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ind w:firstLine="0" w:firstLineChars="0"/>
        <w:rPr>
          <w:rFonts w:hint="eastAsia" w:ascii="黑体" w:hAnsi="黑体" w:eastAsia="黑体" w:cs="黑体"/>
          <w:bCs/>
          <w:szCs w:val="32"/>
          <w:highlight w:val="none"/>
          <w:lang w:val="en-US" w:eastAsia="zh-CN"/>
        </w:rPr>
      </w:pPr>
      <w:bookmarkStart w:id="1" w:name="_GoBack"/>
      <w:bookmarkEnd w:id="1"/>
      <w:r>
        <w:rPr>
          <w:rFonts w:hint="eastAsia" w:ascii="黑体" w:hAnsi="黑体" w:eastAsia="黑体" w:cs="黑体"/>
          <w:bCs/>
          <w:szCs w:val="32"/>
          <w:highlight w:val="none"/>
        </w:rPr>
        <w:t>附件</w:t>
      </w:r>
      <w:r>
        <w:rPr>
          <w:rFonts w:hint="eastAsia" w:ascii="黑体" w:hAnsi="黑体" w:eastAsia="黑体" w:cs="黑体"/>
          <w:bCs/>
          <w:szCs w:val="32"/>
          <w:highlight w:val="none"/>
          <w:lang w:val="en-US" w:eastAsia="zh-CN"/>
        </w:rPr>
        <w:t>5</w:t>
      </w:r>
    </w:p>
    <w:p>
      <w:pPr>
        <w:tabs>
          <w:tab w:val="center" w:pos="4150"/>
          <w:tab w:val="left" w:pos="6371"/>
        </w:tabs>
        <w:autoSpaceDE w:val="0"/>
        <w:ind w:firstLine="640"/>
        <w:rPr>
          <w:highlight w:val="none"/>
        </w:rPr>
      </w:pPr>
    </w:p>
    <w:p>
      <w:pPr>
        <w:adjustRightInd w:val="0"/>
        <w:ind w:firstLine="0" w:firstLineChars="0"/>
        <w:jc w:val="center"/>
        <w:rPr>
          <w:rFonts w:ascii="方正小标宋简体" w:hAnsi="方正小标宋简体" w:eastAsia="方正小标宋简体" w:cs="方正小标宋_GBK"/>
          <w:caps/>
          <w:sz w:val="44"/>
          <w:szCs w:val="32"/>
        </w:rPr>
      </w:pPr>
      <w:r>
        <w:rPr>
          <w:rFonts w:hint="eastAsia" w:ascii="方正小标宋简体" w:hAnsi="方正小标宋简体" w:eastAsia="方正小标宋简体" w:cs="方正小标宋_GBK"/>
          <w:caps/>
          <w:sz w:val="44"/>
          <w:szCs w:val="32"/>
        </w:rPr>
        <w:t>保险公司资产负债管理报表</w:t>
      </w:r>
    </w:p>
    <w:p>
      <w:pPr>
        <w:adjustRightInd w:val="0"/>
        <w:ind w:firstLine="0" w:firstLineChars="0"/>
        <w:jc w:val="center"/>
        <w:rPr>
          <w:rFonts w:ascii="方正小标宋简体" w:hAnsi="方正小标宋简体" w:eastAsia="方正小标宋简体" w:cs="方正小标宋_GBK"/>
          <w:caps/>
          <w:sz w:val="44"/>
          <w:szCs w:val="32"/>
        </w:rPr>
      </w:pPr>
      <w:r>
        <w:rPr>
          <w:rFonts w:hint="eastAsia" w:ascii="方正小标宋简体" w:hAnsi="方正小标宋简体" w:eastAsia="方正小标宋简体" w:cs="方正小标宋_GBK"/>
          <w:caps/>
          <w:sz w:val="44"/>
          <w:szCs w:val="32"/>
        </w:rPr>
        <w:t>压力情景</w:t>
      </w:r>
    </w:p>
    <w:p>
      <w:pPr>
        <w:adjustRightInd w:val="0"/>
        <w:jc w:val="center"/>
        <w:rPr>
          <w:rFonts w:ascii="宋体" w:hAnsi="宋体" w:eastAsia="宋体" w:cs="MS Mincho"/>
          <w:b/>
          <w:sz w:val="44"/>
          <w:szCs w:val="36"/>
        </w:rPr>
      </w:pPr>
    </w:p>
    <w:p>
      <w:pPr>
        <w:adjustRightInd w:val="0"/>
        <w:ind w:firstLine="0" w:firstLineChars="0"/>
        <w:jc w:val="center"/>
        <w:rPr>
          <w:rFonts w:ascii="黑体" w:hAnsi="黑体" w:eastAsia="黑体" w:cs="黑体"/>
          <w:bCs/>
          <w:szCs w:val="32"/>
        </w:rPr>
      </w:pPr>
      <w:r>
        <w:rPr>
          <w:rFonts w:hint="eastAsia" w:ascii="黑体" w:hAnsi="黑体" w:eastAsia="黑体" w:cs="黑体"/>
          <w:bCs/>
          <w:szCs w:val="32"/>
        </w:rPr>
        <w:t>财产保险公司</w:t>
      </w:r>
    </w:p>
    <w:p>
      <w:pPr>
        <w:keepNext/>
        <w:keepLines/>
        <w:numPr>
          <w:ilvl w:val="0"/>
          <w:numId w:val="1"/>
        </w:numPr>
        <w:spacing w:line="580" w:lineRule="exact"/>
        <w:ind w:firstLine="640"/>
        <w:outlineLvl w:val="0"/>
        <w:rPr>
          <w:rFonts w:ascii="黑体" w:hAnsi="黑体" w:eastAsia="黑体"/>
          <w:color w:val="000000"/>
          <w:szCs w:val="32"/>
          <w:lang w:val="en-GB"/>
        </w:rPr>
      </w:pPr>
      <w:r>
        <w:rPr>
          <w:rFonts w:hint="eastAsia" w:ascii="黑体" w:hAnsi="黑体" w:eastAsia="黑体"/>
          <w:color w:val="000000"/>
          <w:szCs w:val="32"/>
          <w:lang w:val="en-GB"/>
        </w:rPr>
        <w:t>成本收益匹配</w:t>
      </w:r>
    </w:p>
    <w:p>
      <w:pPr>
        <w:adjustRightInd w:val="0"/>
        <w:spacing w:line="580" w:lineRule="exact"/>
        <w:ind w:left="640" w:leftChars="200" w:firstLine="0" w:firstLineChars="0"/>
        <w:contextualSpacing/>
        <w:outlineLvl w:val="1"/>
        <w:rPr>
          <w:rFonts w:hint="eastAsia" w:ascii="楷体_GB2312" w:hAnsi="楷体_GB2312" w:eastAsia="楷体_GB2312" w:cs="楷体_GB2312"/>
          <w:bCs/>
          <w:szCs w:val="32"/>
        </w:rPr>
      </w:pPr>
      <w:r>
        <w:rPr>
          <w:rFonts w:hint="eastAsia" w:ascii="楷体_GB2312" w:hAnsi="楷体_GB2312" w:eastAsia="楷体_GB2312" w:cs="楷体_GB2312"/>
          <w:bCs/>
          <w:szCs w:val="32"/>
        </w:rPr>
        <w:t>（一）压力情景一宏观压力情景</w:t>
      </w:r>
    </w:p>
    <w:p>
      <w:pPr>
        <w:adjustRightInd w:val="0"/>
        <w:spacing w:line="580" w:lineRule="exact"/>
        <w:ind w:firstLine="640" w:firstLineChars="0"/>
        <w:rPr>
          <w:rFonts w:ascii="仿宋_GB2312" w:hAnsi="仿宋" w:eastAsia="仿宋_GB2312" w:cs="宋体"/>
          <w:szCs w:val="32"/>
        </w:rPr>
      </w:pPr>
      <w:r>
        <w:rPr>
          <w:rFonts w:hint="eastAsia" w:ascii="仿宋_GB2312" w:hAnsi="仿宋" w:eastAsia="仿宋_GB2312" w:cs="宋体"/>
          <w:szCs w:val="32"/>
        </w:rPr>
        <w:t>该情景旨在反映宏观经济形势恶化对保险公司当期成本收益匹配状况的影响。具体情景设置为：权益市场下跌、房地产市场波动、投资资产违约率上升、汇率不利变动、黄金商品价格下跌，预测期间末，相关情景假设在基础情景中同时发生以下情况：</w:t>
      </w:r>
    </w:p>
    <w:p>
      <w:pPr>
        <w:spacing w:line="580" w:lineRule="exact"/>
        <w:ind w:firstLine="640"/>
        <w:contextualSpacing/>
        <w:jc w:val="both"/>
        <w:rPr>
          <w:rFonts w:ascii="仿宋_GB2312" w:hAnsi="仿宋" w:eastAsia="仿宋_GB2312" w:cs="宋体"/>
          <w:szCs w:val="32"/>
        </w:rPr>
      </w:pPr>
      <w:r>
        <w:rPr>
          <w:rFonts w:ascii="仿宋_GB2312" w:hAnsi="仿宋" w:eastAsia="仿宋_GB2312" w:cs="宋体"/>
          <w:szCs w:val="32"/>
        </w:rPr>
        <w:t>1.权益类投资资产</w:t>
      </w:r>
      <w:r>
        <w:rPr>
          <w:rFonts w:hint="eastAsia" w:ascii="仿宋" w:hAnsi="仿宋" w:eastAsia="仿宋_GB2312" w:cs="Arial"/>
          <w:szCs w:val="32"/>
        </w:rPr>
        <w:t>和债券型基金</w:t>
      </w:r>
      <w:r>
        <w:rPr>
          <w:rFonts w:ascii="仿宋_GB2312" w:hAnsi="仿宋" w:eastAsia="仿宋_GB2312" w:cs="宋体"/>
          <w:szCs w:val="32"/>
        </w:rPr>
        <w:t>价值下跌</w:t>
      </w:r>
    </w:p>
    <w:p>
      <w:pPr>
        <w:adjustRightInd w:val="0"/>
        <w:spacing w:line="580" w:lineRule="exact"/>
        <w:ind w:firstLine="640" w:firstLineChars="0"/>
        <w:rPr>
          <w:rFonts w:ascii="仿宋_GB2312" w:hAnsi="仿宋" w:eastAsia="仿宋_GB2312" w:cs="宋体"/>
          <w:szCs w:val="32"/>
          <w:highlight w:val="cyan"/>
        </w:rPr>
      </w:pPr>
      <w:r>
        <w:rPr>
          <w:rFonts w:hint="eastAsia" w:ascii="仿宋_GB2312" w:hAnsi="仿宋" w:eastAsia="仿宋_GB2312" w:cs="宋体"/>
          <w:szCs w:val="32"/>
        </w:rPr>
        <w:t>境内外权益资产（含</w:t>
      </w:r>
      <w:r>
        <w:rPr>
          <w:rFonts w:hint="eastAsia" w:ascii="仿宋_GB2312" w:hAnsi="仿宋" w:eastAsia="仿宋_GB2312" w:cs="宋体"/>
          <w:szCs w:val="32"/>
          <w:lang w:eastAsia="zh-CN"/>
        </w:rPr>
        <w:t>普通股</w:t>
      </w:r>
      <w:r>
        <w:rPr>
          <w:rFonts w:hint="eastAsia" w:ascii="仿宋_GB2312" w:hAnsi="仿宋" w:eastAsia="仿宋_GB2312" w:cs="宋体"/>
          <w:szCs w:val="32"/>
        </w:rPr>
        <w:t>及存托凭证、权益型证券投资基金、混合型证券投资基金、私募证券投资基金，不包含上述资产中纳入长期股权投资的部分）和境内外债券型基金的账面价值，根据公司报送的99%置信区间下一年VaR值的情况下跌；除上述境内外权益资产外的其他权益类投资资产，按账面价值的</w:t>
      </w:r>
      <w:r>
        <w:rPr>
          <w:rFonts w:ascii="仿宋_GB2312" w:hAnsi="仿宋" w:eastAsia="仿宋_GB2312" w:cs="宋体"/>
          <w:szCs w:val="32"/>
        </w:rPr>
        <w:t>15</w:t>
      </w:r>
      <w:r>
        <w:rPr>
          <w:rFonts w:hint="eastAsia" w:ascii="仿宋_GB2312" w:hAnsi="仿宋" w:eastAsia="仿宋_GB2312" w:cs="宋体"/>
          <w:szCs w:val="32"/>
        </w:rPr>
        <w:t>%下跌。</w:t>
      </w:r>
    </w:p>
    <w:p>
      <w:pPr>
        <w:spacing w:line="580" w:lineRule="exact"/>
        <w:ind w:firstLine="640"/>
        <w:contextualSpacing/>
        <w:jc w:val="both"/>
        <w:rPr>
          <w:rFonts w:ascii="仿宋_GB2312" w:hAnsi="仿宋" w:eastAsia="仿宋_GB2312" w:cs="宋体"/>
          <w:szCs w:val="32"/>
        </w:rPr>
      </w:pPr>
      <w:r>
        <w:rPr>
          <w:rFonts w:ascii="仿宋_GB2312" w:hAnsi="仿宋" w:eastAsia="仿宋_GB2312" w:cs="宋体"/>
          <w:szCs w:val="32"/>
        </w:rPr>
        <w:t>2.</w:t>
      </w:r>
      <w:r>
        <w:rPr>
          <w:rFonts w:hint="eastAsia" w:ascii="仿宋_GB2312" w:hAnsi="仿宋" w:eastAsia="仿宋_GB2312" w:cs="宋体"/>
          <w:szCs w:val="32"/>
        </w:rPr>
        <w:t>不动产类投资资产</w:t>
      </w:r>
      <w:r>
        <w:rPr>
          <w:rFonts w:ascii="仿宋_GB2312" w:hAnsi="仿宋" w:eastAsia="仿宋_GB2312" w:cs="宋体"/>
          <w:szCs w:val="32"/>
        </w:rPr>
        <w:t>价格下跌20%</w:t>
      </w:r>
    </w:p>
    <w:p>
      <w:pPr>
        <w:spacing w:line="580" w:lineRule="exact"/>
        <w:ind w:firstLine="640"/>
        <w:contextualSpacing/>
        <w:jc w:val="both"/>
        <w:rPr>
          <w:rFonts w:ascii="仿宋_GB2312" w:hAnsi="仿宋" w:eastAsia="仿宋_GB2312" w:cs="宋体"/>
          <w:szCs w:val="32"/>
        </w:rPr>
      </w:pPr>
      <w:r>
        <w:rPr>
          <w:rFonts w:hint="eastAsia" w:ascii="仿宋_GB2312" w:hAnsi="仿宋" w:eastAsia="仿宋_GB2312" w:cs="宋体"/>
          <w:szCs w:val="32"/>
        </w:rPr>
        <w:t>对于按公允价值计价的不动产类投资资产，根据对应资产的账面价值乘以</w:t>
      </w:r>
      <w:r>
        <w:rPr>
          <w:rFonts w:ascii="仿宋_GB2312" w:hAnsi="仿宋" w:eastAsia="仿宋_GB2312" w:cs="宋体"/>
          <w:szCs w:val="32"/>
        </w:rPr>
        <w:t>80%，得到压力情景下的账面价值。</w:t>
      </w:r>
    </w:p>
    <w:p>
      <w:pPr>
        <w:spacing w:line="580" w:lineRule="exact"/>
        <w:ind w:firstLine="640"/>
        <w:contextualSpacing/>
        <w:jc w:val="both"/>
        <w:rPr>
          <w:rFonts w:ascii="仿宋_GB2312" w:hAnsi="仿宋" w:eastAsia="仿宋_GB2312" w:cs="宋体"/>
          <w:szCs w:val="32"/>
        </w:rPr>
      </w:pPr>
      <w:r>
        <w:rPr>
          <w:rFonts w:hint="eastAsia" w:ascii="仿宋_GB2312" w:hAnsi="仿宋" w:eastAsia="仿宋_GB2312" w:cs="宋体"/>
          <w:szCs w:val="32"/>
        </w:rPr>
        <w:t>对于按历史成本计价的上述资产，根据对应资产最近一次的评估价格乘以</w:t>
      </w:r>
      <w:r>
        <w:rPr>
          <w:rFonts w:ascii="仿宋_GB2312" w:hAnsi="仿宋" w:eastAsia="仿宋_GB2312" w:cs="宋体"/>
          <w:szCs w:val="32"/>
        </w:rPr>
        <w:t>80%与账面价值的较低值，得到压力情景下的账面价值。</w:t>
      </w:r>
    </w:p>
    <w:p>
      <w:pPr>
        <w:spacing w:line="580" w:lineRule="exact"/>
        <w:ind w:firstLine="640"/>
        <w:contextualSpacing/>
        <w:jc w:val="both"/>
        <w:rPr>
          <w:rFonts w:ascii="仿宋_GB2312" w:hAnsi="仿宋" w:eastAsia="仿宋_GB2312" w:cs="宋体"/>
          <w:szCs w:val="32"/>
          <w:lang w:val="en-GB"/>
        </w:rPr>
      </w:pPr>
      <w:r>
        <w:rPr>
          <w:rFonts w:ascii="仿宋_GB2312" w:hAnsi="仿宋" w:eastAsia="仿宋_GB2312" w:cs="宋体"/>
          <w:szCs w:val="32"/>
          <w:lang w:val="en-GB"/>
        </w:rPr>
        <w:t>3.固定收益类投资资产信用风险</w:t>
      </w:r>
    </w:p>
    <w:p>
      <w:pPr>
        <w:spacing w:line="580" w:lineRule="exact"/>
        <w:ind w:firstLine="640"/>
        <w:contextualSpacing/>
        <w:rPr>
          <w:rFonts w:ascii="仿宋_GB2312" w:hAnsi="仿宋" w:eastAsia="仿宋_GB2312" w:cs="宋体"/>
          <w:szCs w:val="32"/>
          <w:lang w:val="en-GB"/>
        </w:rPr>
      </w:pPr>
      <w:r>
        <w:rPr>
          <w:rFonts w:hint="eastAsia" w:ascii="仿宋_GB2312" w:hAnsi="仿宋" w:eastAsia="仿宋_GB2312" w:cs="宋体"/>
          <w:szCs w:val="32"/>
          <w:lang w:val="en-GB"/>
        </w:rPr>
        <w:t>根据最近一期评估的固定收益类资产风险分类的情况，假设不良资产发生违约，产生相当于其对应资产账面价值</w:t>
      </w:r>
      <w:r>
        <w:rPr>
          <w:rFonts w:ascii="仿宋_GB2312" w:hAnsi="仿宋" w:eastAsia="仿宋_GB2312" w:cs="宋体"/>
          <w:szCs w:val="32"/>
          <w:lang w:val="en-GB"/>
        </w:rPr>
        <w:t>60%的损失；除上述资产和（准）</w:t>
      </w:r>
      <w:r>
        <w:rPr>
          <w:rFonts w:hint="eastAsia" w:ascii="仿宋_GB2312" w:hAnsi="仿宋" w:eastAsia="仿宋_GB2312" w:cs="宋体"/>
          <w:szCs w:val="32"/>
          <w:lang w:val="en-GB" w:eastAsia="zh-CN"/>
        </w:rPr>
        <w:t>政府债券</w:t>
      </w:r>
      <w:r>
        <w:rPr>
          <w:rFonts w:ascii="仿宋_GB2312" w:hAnsi="仿宋" w:eastAsia="仿宋_GB2312" w:cs="宋体"/>
          <w:szCs w:val="32"/>
          <w:lang w:val="en-GB"/>
        </w:rPr>
        <w:t>之外的其他固定收益类投资资产，按照对应资产账面价值的10%计提损失。</w:t>
      </w:r>
    </w:p>
    <w:p>
      <w:pPr>
        <w:spacing w:line="580" w:lineRule="exact"/>
        <w:ind w:firstLine="640"/>
        <w:contextualSpacing/>
        <w:jc w:val="both"/>
        <w:rPr>
          <w:rFonts w:ascii="仿宋_GB2312" w:hAnsi="仿宋" w:eastAsia="仿宋_GB2312" w:cs="宋体"/>
          <w:szCs w:val="32"/>
          <w:lang w:val="en-GB"/>
        </w:rPr>
      </w:pPr>
      <w:r>
        <w:rPr>
          <w:rFonts w:ascii="仿宋_GB2312" w:hAnsi="仿宋" w:eastAsia="仿宋_GB2312" w:cs="宋体"/>
          <w:szCs w:val="32"/>
          <w:lang w:val="en-GB"/>
        </w:rPr>
        <w:t>4.外汇风险</w:t>
      </w:r>
    </w:p>
    <w:p>
      <w:pPr>
        <w:spacing w:line="580" w:lineRule="exact"/>
        <w:ind w:firstLine="640"/>
        <w:contextualSpacing/>
        <w:jc w:val="both"/>
        <w:rPr>
          <w:rFonts w:ascii="仿宋_GB2312" w:hAnsi="仿宋" w:eastAsia="仿宋_GB2312" w:cs="宋体"/>
          <w:szCs w:val="32"/>
          <w:lang w:val="en-GB"/>
        </w:rPr>
      </w:pPr>
      <w:r>
        <w:rPr>
          <w:rFonts w:hint="eastAsia" w:ascii="仿宋_GB2312" w:hAnsi="仿宋" w:eastAsia="仿宋_GB2312" w:cs="宋体"/>
          <w:szCs w:val="32"/>
          <w:lang w:val="en-GB"/>
        </w:rPr>
        <w:t>有外汇敞口的公司，受到人民币汇率向不利方向波动</w:t>
      </w:r>
      <w:r>
        <w:rPr>
          <w:rFonts w:ascii="仿宋_GB2312" w:hAnsi="仿宋" w:eastAsia="仿宋_GB2312" w:cs="宋体"/>
          <w:szCs w:val="32"/>
          <w:lang w:val="en-GB"/>
        </w:rPr>
        <w:t>10%的影响。</w:t>
      </w:r>
    </w:p>
    <w:p>
      <w:pPr>
        <w:spacing w:line="580" w:lineRule="exact"/>
        <w:ind w:firstLine="640"/>
        <w:contextualSpacing/>
        <w:jc w:val="both"/>
        <w:rPr>
          <w:rFonts w:ascii="仿宋_GB2312" w:hAnsi="仿宋" w:eastAsia="仿宋_GB2312" w:cs="宋体"/>
          <w:szCs w:val="32"/>
          <w:lang w:val="en-GB"/>
        </w:rPr>
      </w:pPr>
      <w:r>
        <w:rPr>
          <w:rFonts w:ascii="仿宋_GB2312" w:hAnsi="仿宋" w:eastAsia="仿宋_GB2312" w:cs="宋体"/>
          <w:szCs w:val="32"/>
          <w:lang w:val="en-GB"/>
        </w:rPr>
        <w:t>5.商品</w:t>
      </w:r>
      <w:r>
        <w:rPr>
          <w:rFonts w:hint="eastAsia" w:ascii="仿宋_GB2312" w:hAnsi="仿宋" w:eastAsia="仿宋_GB2312" w:cs="宋体"/>
          <w:szCs w:val="32"/>
        </w:rPr>
        <w:t>类投资资产</w:t>
      </w:r>
      <w:r>
        <w:rPr>
          <w:rFonts w:ascii="仿宋_GB2312" w:hAnsi="仿宋" w:eastAsia="仿宋_GB2312" w:cs="宋体"/>
          <w:szCs w:val="32"/>
          <w:lang w:val="en-GB"/>
        </w:rPr>
        <w:t>价格风险</w:t>
      </w:r>
    </w:p>
    <w:p>
      <w:pPr>
        <w:spacing w:line="580" w:lineRule="exact"/>
        <w:ind w:firstLine="640"/>
        <w:contextualSpacing/>
        <w:jc w:val="both"/>
        <w:rPr>
          <w:rFonts w:ascii="仿宋_GB2312" w:hAnsi="仿宋" w:eastAsia="仿宋_GB2312" w:cs="宋体"/>
          <w:szCs w:val="32"/>
          <w:lang w:val="en-GB"/>
        </w:rPr>
      </w:pPr>
      <w:r>
        <w:rPr>
          <w:rFonts w:hint="eastAsia" w:ascii="仿宋_GB2312" w:hAnsi="仿宋" w:eastAsia="仿宋_GB2312" w:cs="宋体"/>
          <w:szCs w:val="32"/>
          <w:lang w:val="en-GB"/>
        </w:rPr>
        <w:t>有黄金等大宗商品持仓的公司，按其账面价值的</w:t>
      </w:r>
      <w:r>
        <w:rPr>
          <w:rFonts w:ascii="仿宋_GB2312" w:hAnsi="仿宋" w:eastAsia="仿宋_GB2312" w:cs="宋体"/>
          <w:szCs w:val="32"/>
          <w:lang w:val="en-GB"/>
        </w:rPr>
        <w:t>15%计提损失。</w:t>
      </w:r>
    </w:p>
    <w:p>
      <w:pPr>
        <w:adjustRightInd w:val="0"/>
        <w:spacing w:line="580" w:lineRule="exact"/>
        <w:ind w:left="640" w:leftChars="200" w:firstLine="0" w:firstLineChars="0"/>
        <w:contextualSpacing/>
        <w:outlineLvl w:val="1"/>
        <w:rPr>
          <w:rFonts w:hint="eastAsia" w:ascii="楷体_GB2312" w:hAnsi="楷体_GB2312" w:eastAsia="楷体_GB2312" w:cs="楷体_GB2312"/>
          <w:bCs/>
          <w:szCs w:val="32"/>
        </w:rPr>
      </w:pPr>
      <w:r>
        <w:rPr>
          <w:rFonts w:hint="eastAsia" w:ascii="楷体_GB2312" w:hAnsi="楷体_GB2312" w:eastAsia="楷体_GB2312" w:cs="楷体_GB2312"/>
          <w:bCs/>
          <w:szCs w:val="32"/>
        </w:rPr>
        <w:t>（二）压力情景二业务压力情景</w:t>
      </w:r>
    </w:p>
    <w:p>
      <w:pPr>
        <w:spacing w:line="580" w:lineRule="exact"/>
        <w:ind w:firstLine="640"/>
        <w:contextualSpacing/>
        <w:jc w:val="both"/>
        <w:rPr>
          <w:rFonts w:ascii="仿宋_GB2312" w:hAnsi="仿宋" w:eastAsia="仿宋_GB2312" w:cs="宋体"/>
          <w:szCs w:val="32"/>
        </w:rPr>
      </w:pPr>
      <w:r>
        <w:rPr>
          <w:rFonts w:hint="eastAsia" w:ascii="仿宋_GB2312" w:hAnsi="仿宋" w:eastAsia="仿宋_GB2312" w:cs="宋体"/>
          <w:szCs w:val="32"/>
        </w:rPr>
        <w:t>保费增长率：开业满三年的公司为基础情景的130%，开业未满三年的公司为基础情景的150%。</w:t>
      </w:r>
    </w:p>
    <w:p>
      <w:pPr>
        <w:spacing w:line="580" w:lineRule="exact"/>
        <w:ind w:firstLine="640"/>
        <w:contextualSpacing/>
        <w:jc w:val="both"/>
        <w:rPr>
          <w:rFonts w:ascii="仿宋_GB2312" w:hAnsi="仿宋" w:eastAsia="仿宋_GB2312" w:cs="宋体"/>
          <w:szCs w:val="32"/>
        </w:rPr>
      </w:pPr>
      <w:r>
        <w:rPr>
          <w:rFonts w:hint="eastAsia" w:ascii="仿宋_GB2312" w:hAnsi="仿宋" w:eastAsia="仿宋_GB2312" w:cs="宋体"/>
          <w:szCs w:val="32"/>
        </w:rPr>
        <w:t>承保综合成本率：开业满三年的公司为基础情景的106%，开业未满三年的公司分别为基础情景的110%。</w:t>
      </w:r>
    </w:p>
    <w:p>
      <w:pPr>
        <w:keepNext/>
        <w:keepLines/>
        <w:numPr>
          <w:ilvl w:val="0"/>
          <w:numId w:val="1"/>
        </w:numPr>
        <w:spacing w:line="580" w:lineRule="exact"/>
        <w:ind w:firstLine="640"/>
        <w:outlineLvl w:val="0"/>
        <w:rPr>
          <w:rFonts w:ascii="黑体" w:hAnsi="黑体" w:eastAsia="黑体"/>
          <w:color w:val="000000"/>
          <w:szCs w:val="32"/>
          <w:lang w:val="en-GB"/>
        </w:rPr>
      </w:pPr>
      <w:r>
        <w:rPr>
          <w:rFonts w:hint="eastAsia" w:ascii="黑体" w:hAnsi="黑体" w:eastAsia="黑体"/>
          <w:color w:val="000000"/>
          <w:szCs w:val="32"/>
          <w:lang w:val="en-GB"/>
        </w:rPr>
        <w:t>流动性匹配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contextualSpacing/>
        <w:jc w:val="both"/>
        <w:textAlignment w:val="auto"/>
        <w:outlineLvl w:val="1"/>
        <w:rPr>
          <w:rFonts w:hint="eastAsia" w:ascii="仿宋_GB2312" w:hAnsi="仿宋" w:eastAsia="仿宋_GB2312" w:cs="宋体"/>
          <w:b w:val="0"/>
          <w:sz w:val="32"/>
          <w:szCs w:val="32"/>
          <w:highlight w:val="none"/>
          <w:u w:val="none"/>
        </w:rPr>
      </w:pPr>
      <w:r>
        <w:rPr>
          <w:rFonts w:hint="eastAsia" w:ascii="仿宋_GB2312" w:hAnsi="仿宋" w:eastAsia="仿宋_GB2312" w:cs="宋体"/>
          <w:b w:val="0"/>
          <w:sz w:val="32"/>
          <w:szCs w:val="32"/>
          <w:highlight w:val="none"/>
          <w:u w:val="none"/>
        </w:rPr>
        <w:t>该情景可反映市场与经营等要素发生不利变动时，保险公司普通账户在未来的流动性匹配状况。</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contextualSpacing/>
        <w:jc w:val="both"/>
        <w:textAlignment w:val="auto"/>
        <w:outlineLvl w:val="1"/>
        <w:rPr>
          <w:rFonts w:ascii="宋体" w:hAnsi="宋体" w:eastAsia="宋体" w:cs="MS Mincho"/>
          <w:b/>
          <w:sz w:val="40"/>
          <w:szCs w:val="32"/>
          <w:highlight w:val="cyan"/>
        </w:rPr>
      </w:pPr>
      <w:r>
        <w:rPr>
          <w:rFonts w:hint="eastAsia" w:ascii="仿宋_GB2312" w:hAnsi="仿宋" w:eastAsia="仿宋_GB2312" w:cs="宋体"/>
          <w:b w:val="0"/>
          <w:sz w:val="32"/>
          <w:szCs w:val="32"/>
          <w:highlight w:val="none"/>
          <w:u w:val="none"/>
        </w:rPr>
        <w:t>现金流压力情景按照国家金融监督管理总局有关保险公司流动性风险监管规则设定，由国家金融监督管理总局综合考虑宏观经济金融形势、行业风险状况、监管要求等统一确定发布，并可根据市场变化和行业发展情况适时调整。</w:t>
      </w:r>
      <w:r>
        <w:rPr>
          <w:rFonts w:ascii="宋体" w:hAnsi="宋体" w:eastAsia="宋体" w:cs="MS Mincho"/>
          <w:b/>
          <w:sz w:val="40"/>
          <w:szCs w:val="32"/>
          <w:highlight w:val="cyan"/>
        </w:rPr>
        <w:br w:type="page"/>
      </w:r>
    </w:p>
    <w:p>
      <w:pPr>
        <w:adjustRightInd w:val="0"/>
        <w:spacing w:line="560" w:lineRule="atLeast"/>
        <w:ind w:firstLine="0" w:firstLineChars="0"/>
        <w:jc w:val="center"/>
        <w:rPr>
          <w:rFonts w:ascii="黑体" w:hAnsi="黑体" w:eastAsia="黑体" w:cs="黑体"/>
          <w:bCs/>
          <w:szCs w:val="24"/>
        </w:rPr>
      </w:pPr>
      <w:r>
        <w:rPr>
          <w:rFonts w:hint="eastAsia" w:ascii="黑体" w:hAnsi="黑体" w:eastAsia="黑体" w:cs="黑体"/>
          <w:bCs/>
          <w:szCs w:val="24"/>
        </w:rPr>
        <w:t>人身保险公司</w:t>
      </w:r>
    </w:p>
    <w:p>
      <w:pPr>
        <w:adjustRightInd w:val="0"/>
        <w:spacing w:line="560" w:lineRule="exact"/>
        <w:ind w:left="720" w:firstLine="0" w:firstLineChars="0"/>
        <w:contextualSpacing/>
        <w:outlineLvl w:val="0"/>
        <w:rPr>
          <w:rFonts w:ascii="黑体" w:hAnsi="黑体" w:eastAsia="黑体"/>
          <w:color w:val="000000"/>
          <w:szCs w:val="32"/>
          <w:lang w:val="en-GB"/>
        </w:rPr>
      </w:pPr>
      <w:r>
        <w:rPr>
          <w:rFonts w:hint="eastAsia" w:ascii="黑体" w:hAnsi="黑体" w:eastAsia="黑体"/>
          <w:color w:val="000000"/>
          <w:szCs w:val="32"/>
        </w:rPr>
        <w:t>一、</w:t>
      </w:r>
      <w:r>
        <w:rPr>
          <w:rFonts w:hint="eastAsia" w:ascii="黑体" w:hAnsi="黑体" w:eastAsia="黑体"/>
          <w:color w:val="000000"/>
          <w:szCs w:val="32"/>
          <w:lang w:val="en-GB"/>
        </w:rPr>
        <w:t>期限结构匹配</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期限结构匹配基点价值变动的六种情景分别为上升、下降、倾斜上、倾斜下、扭转上和扭转下。变动幅度如下，其中正值表示关键期限对应折现率的上升幅度，负值表示折现率的下降幅度：</w:t>
      </w:r>
    </w:p>
    <w:tbl>
      <w:tblPr>
        <w:tblStyle w:val="9"/>
        <w:tblW w:w="9103" w:type="dxa"/>
        <w:jc w:val="center"/>
        <w:tblInd w:w="0" w:type="dxa"/>
        <w:tblLayout w:type="fixed"/>
        <w:tblCellMar>
          <w:top w:w="0" w:type="dxa"/>
          <w:left w:w="108" w:type="dxa"/>
          <w:bottom w:w="0" w:type="dxa"/>
          <w:right w:w="108" w:type="dxa"/>
        </w:tblCellMar>
      </w:tblPr>
      <w:tblGrid>
        <w:gridCol w:w="1300"/>
        <w:gridCol w:w="1300"/>
        <w:gridCol w:w="1300"/>
        <w:gridCol w:w="1300"/>
        <w:gridCol w:w="1301"/>
        <w:gridCol w:w="1301"/>
        <w:gridCol w:w="1301"/>
      </w:tblGrid>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关键期限</w:t>
            </w:r>
          </w:p>
        </w:tc>
        <w:tc>
          <w:tcPr>
            <w:tcW w:w="1300"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上升</w:t>
            </w:r>
          </w:p>
        </w:tc>
        <w:tc>
          <w:tcPr>
            <w:tcW w:w="1300"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下降</w:t>
            </w:r>
          </w:p>
        </w:tc>
        <w:tc>
          <w:tcPr>
            <w:tcW w:w="1300"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倾斜上</w:t>
            </w:r>
          </w:p>
        </w:tc>
        <w:tc>
          <w:tcPr>
            <w:tcW w:w="1301"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倾斜下</w:t>
            </w:r>
          </w:p>
        </w:tc>
        <w:tc>
          <w:tcPr>
            <w:tcW w:w="1301"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扭转上</w:t>
            </w:r>
          </w:p>
        </w:tc>
        <w:tc>
          <w:tcPr>
            <w:tcW w:w="1301" w:type="dxa"/>
            <w:tcBorders>
              <w:top w:val="single" w:color="auto" w:sz="4" w:space="0"/>
              <w:left w:val="nil"/>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扭转下</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142.91</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-84.70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-66.05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60.52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35.08</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-39.08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0.5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142.91</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-84.70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-66.05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60.52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35.08</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-39.08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142.91</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-84.70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-66.05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60.52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35.08</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-39.08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160.17</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-94.94</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-56.02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51.33</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18.40</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-20.49</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166.94</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-98.95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-51.32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47.03</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7.08</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-7.89</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169.44</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-100.43</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-43.02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39.42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-2.00</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2.22</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167.31</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-99.17</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-37.12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34.02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-9.10</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10.14</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6</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162.12</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-96.09</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-25.35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23.23</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-13.76</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15.33</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7</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157.22</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-93.19</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-19.26</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17.65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-15.87</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17.68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8</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150.74</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-89.35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-13.03</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11.94</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-16.29</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18.15</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149.90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-88.85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-7.59</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6.95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-16.26</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18.11</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12</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150.45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-89.17</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-0.11</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0.10</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-13.63</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15.18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148.80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-88.20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13.62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-12.48</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-5.82</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6.48</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20</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139.79</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-82.86</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20.35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-18.65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3.65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-4.06</w:t>
            </w:r>
          </w:p>
        </w:tc>
      </w:tr>
      <w:tr>
        <w:tblPrEx>
          <w:tblLayout w:type="fixed"/>
          <w:tblCellMar>
            <w:top w:w="0" w:type="dxa"/>
            <w:left w:w="108" w:type="dxa"/>
            <w:bottom w:w="0" w:type="dxa"/>
            <w:right w:w="108" w:type="dxa"/>
          </w:tblCellMar>
        </w:tblPrEx>
        <w:trPr>
          <w:trHeight w:val="317" w:hRule="atLeast"/>
          <w:jc w:val="center"/>
        </w:trPr>
        <w:tc>
          <w:tcPr>
            <w:tcW w:w="1300" w:type="dxa"/>
            <w:tcBorders>
              <w:top w:val="nil"/>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25</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141.68</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-83.98</w:t>
            </w:r>
          </w:p>
        </w:tc>
        <w:tc>
          <w:tcPr>
            <w:tcW w:w="1300"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25.55</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-23.41</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9.27</w:t>
            </w:r>
          </w:p>
        </w:tc>
        <w:tc>
          <w:tcPr>
            <w:tcW w:w="1301" w:type="dxa"/>
            <w:tcBorders>
              <w:top w:val="nil"/>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-10.32</w:t>
            </w:r>
          </w:p>
        </w:tc>
      </w:tr>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30</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147.53</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-87.44</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25.68</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-23.53</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11.15</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-12.42</w:t>
            </w:r>
          </w:p>
        </w:tc>
      </w:tr>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35</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147.53</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-87.44</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25.68</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-23.53</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11.15</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-12.42</w:t>
            </w:r>
          </w:p>
        </w:tc>
      </w:tr>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40</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147.53</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-87.44</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25.68</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-23.53</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11.15</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-12.42</w:t>
            </w:r>
          </w:p>
        </w:tc>
      </w:tr>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45</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147.53</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-87.44</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25.68</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-23.53</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11.15</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-12.42</w:t>
            </w:r>
          </w:p>
        </w:tc>
      </w:tr>
      <w:tr>
        <w:tblPrEx>
          <w:tblLayout w:type="fixed"/>
          <w:tblCellMar>
            <w:top w:w="0" w:type="dxa"/>
            <w:left w:w="108" w:type="dxa"/>
            <w:bottom w:w="0" w:type="dxa"/>
            <w:right w:w="108" w:type="dxa"/>
          </w:tblCellMar>
        </w:tblPrEx>
        <w:trPr>
          <w:trHeight w:val="317" w:hRule="atLeast"/>
          <w:jc w:val="center"/>
        </w:trPr>
        <w:tc>
          <w:tcPr>
            <w:tcW w:w="1300" w:type="dxa"/>
            <w:tcBorders>
              <w:top w:val="single" w:color="auto" w:sz="4" w:space="0"/>
              <w:left w:val="single" w:color="auto" w:sz="4" w:space="0"/>
              <w:bottom w:val="single" w:color="auto" w:sz="4" w:space="0"/>
              <w:right w:val="single" w:color="auto" w:sz="4" w:space="0"/>
            </w:tcBorders>
            <w:noWrap/>
            <w:vAlign w:val="center"/>
          </w:tcPr>
          <w:p>
            <w:pPr>
              <w:spacing w:line="560" w:lineRule="atLeast"/>
              <w:ind w:firstLine="0" w:firstLineChars="0"/>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50+</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300"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c>
          <w:tcPr>
            <w:tcW w:w="1301" w:type="dxa"/>
            <w:tcBorders>
              <w:top w:val="single" w:color="auto" w:sz="4" w:space="0"/>
              <w:left w:val="nil"/>
              <w:bottom w:val="single" w:color="auto" w:sz="4" w:space="0"/>
              <w:right w:val="single" w:color="auto" w:sz="4" w:space="0"/>
            </w:tcBorders>
            <w:noWrap/>
          </w:tcPr>
          <w:p>
            <w:pPr>
              <w:spacing w:line="560" w:lineRule="atLeast"/>
              <w:ind w:firstLine="0" w:firstLineChars="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0</w:t>
            </w:r>
          </w:p>
        </w:tc>
      </w:tr>
    </w:tbl>
    <w:p>
      <w:pPr>
        <w:adjustRightInd w:val="0"/>
        <w:spacing w:line="560" w:lineRule="exact"/>
        <w:ind w:left="720" w:firstLine="0" w:firstLineChars="0"/>
        <w:contextualSpacing/>
        <w:outlineLvl w:val="0"/>
        <w:rPr>
          <w:rFonts w:ascii="黑体" w:hAnsi="黑体" w:eastAsia="黑体"/>
          <w:color w:val="000000"/>
          <w:szCs w:val="32"/>
          <w:lang w:val="en-GB"/>
        </w:rPr>
      </w:pPr>
      <w:r>
        <w:rPr>
          <w:rFonts w:hint="eastAsia" w:ascii="黑体" w:hAnsi="黑体" w:eastAsia="黑体"/>
          <w:color w:val="000000"/>
          <w:szCs w:val="32"/>
          <w:lang w:val="en-GB"/>
        </w:rPr>
        <w:t>二、成本收益匹配</w:t>
      </w:r>
    </w:p>
    <w:p>
      <w:pPr>
        <w:widowControl/>
        <w:adjustRightInd w:val="0"/>
        <w:spacing w:line="560" w:lineRule="exact"/>
        <w:ind w:left="640" w:leftChars="200" w:firstLine="0" w:firstLineChars="0"/>
        <w:contextualSpacing/>
        <w:outlineLvl w:val="1"/>
        <w:rPr>
          <w:rFonts w:hint="eastAsia" w:ascii="楷体_GB2312" w:hAnsi="楷体_GB2312" w:eastAsia="楷体_GB2312" w:cs="楷体_GB2312"/>
          <w:bCs/>
          <w:szCs w:val="32"/>
        </w:rPr>
      </w:pPr>
      <w:r>
        <w:rPr>
          <w:rFonts w:hint="eastAsia" w:ascii="楷体_GB2312" w:hAnsi="楷体_GB2312" w:eastAsia="楷体_GB2312" w:cs="楷体_GB2312"/>
          <w:bCs/>
          <w:szCs w:val="32"/>
        </w:rPr>
        <w:t>（一）宏观压力情景</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该情景旨在反映宏观经济形势恶化对保险公司当期成本收益匹配状况的影响。具体情景设置为：权益市场下跌、房地产市场波动、投资资产违约率上升、汇率不利变动、黄金商品价格下跌，该情景假设在报告期末同时发生以下情况：</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1.权益类投资资产和债券型基金价值下跌</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境内外权益资产（含</w:t>
      </w:r>
      <w:r>
        <w:rPr>
          <w:rFonts w:hint="eastAsia" w:ascii="仿宋_GB2312" w:hAnsi="仿宋" w:eastAsia="仿宋_GB2312" w:cs="宋体"/>
          <w:szCs w:val="32"/>
          <w:lang w:eastAsia="zh-CN"/>
        </w:rPr>
        <w:t>普通股</w:t>
      </w:r>
      <w:r>
        <w:rPr>
          <w:rFonts w:hint="eastAsia" w:ascii="仿宋_GB2312" w:hAnsi="仿宋" w:eastAsia="仿宋_GB2312" w:cs="宋体"/>
          <w:szCs w:val="32"/>
        </w:rPr>
        <w:t>及存托凭证、权益型证券投资基金、混合型证券投资基金、私募证券投资基金，不包含上述资产中纳入长期股权投资的部分）和境内外债券型基金的账面价值，根据公司报送的99%置信区间下三年VaR值的情况下跌；除上述境内外权益资产外的其他权益类投资资产，按账面价值的15%下跌。</w:t>
      </w:r>
    </w:p>
    <w:p>
      <w:pPr>
        <w:adjustRightInd w:val="0"/>
        <w:spacing w:line="560" w:lineRule="exact"/>
        <w:ind w:left="640" w:firstLine="0" w:firstLineChars="0"/>
        <w:contextualSpacing/>
        <w:outlineLvl w:val="2"/>
        <w:rPr>
          <w:rFonts w:ascii="仿宋_GB2312" w:hAnsi="仿宋_GB2312" w:eastAsia="仿宋_GB2312" w:cs="仿宋_GB2312"/>
          <w:szCs w:val="32"/>
        </w:rPr>
      </w:pPr>
      <w:r>
        <w:rPr>
          <w:rFonts w:hint="eastAsia" w:ascii="仿宋_GB2312" w:hAnsi="仿宋_GB2312" w:eastAsia="仿宋_GB2312" w:cs="仿宋_GB2312"/>
          <w:szCs w:val="32"/>
        </w:rPr>
        <w:t>2.不动产类投资资产价格下跌20%</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对于按公允价值计价的不动产类投资资产，根据对应资产的账面价值乘以80%，得到压力情景下的账面价值。</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 xml:space="preserve">对于按历史成本计价的上述资产，根据对应资产最近一次的评估价格乘以80%与账面价值的较低值，得到压力情景下的账面价值。 </w:t>
      </w:r>
    </w:p>
    <w:p>
      <w:pPr>
        <w:adjustRightInd w:val="0"/>
        <w:spacing w:line="560" w:lineRule="exact"/>
        <w:ind w:left="640" w:firstLine="0" w:firstLineChars="0"/>
        <w:contextualSpacing/>
        <w:outlineLvl w:val="2"/>
        <w:rPr>
          <w:rFonts w:ascii="仿宋_GB2312" w:hAnsi="仿宋_GB2312" w:eastAsia="仿宋_GB2312" w:cs="仿宋_GB2312"/>
          <w:szCs w:val="32"/>
        </w:rPr>
      </w:pPr>
      <w:r>
        <w:rPr>
          <w:rFonts w:hint="eastAsia" w:ascii="仿宋_GB2312" w:hAnsi="仿宋_GB2312" w:eastAsia="仿宋_GB2312" w:cs="仿宋_GB2312"/>
          <w:szCs w:val="32"/>
        </w:rPr>
        <w:t>3.固定收益类投资资产信用风险</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根据最近一期评估的固定收益类资产风险分类的情况，假设不良资产发生违约，产生相当于其对应资产账面价值60%的损失；除上述资产和（准）</w:t>
      </w:r>
      <w:r>
        <w:rPr>
          <w:rFonts w:hint="eastAsia" w:ascii="仿宋_GB2312" w:hAnsi="仿宋_GB2312" w:eastAsia="仿宋_GB2312" w:cs="仿宋_GB2312"/>
          <w:szCs w:val="32"/>
          <w:lang w:eastAsia="zh-CN"/>
        </w:rPr>
        <w:t>政府债券</w:t>
      </w:r>
      <w:r>
        <w:rPr>
          <w:rFonts w:hint="eastAsia" w:ascii="仿宋_GB2312" w:hAnsi="仿宋_GB2312" w:eastAsia="仿宋_GB2312" w:cs="仿宋_GB2312"/>
          <w:szCs w:val="32"/>
        </w:rPr>
        <w:t>之外的其他固定收益类投资资产，按照对应资产账面价值的10%计提损失。</w:t>
      </w:r>
    </w:p>
    <w:p>
      <w:pPr>
        <w:adjustRightInd w:val="0"/>
        <w:spacing w:line="560" w:lineRule="exact"/>
        <w:ind w:left="640" w:firstLine="0" w:firstLineChars="0"/>
        <w:contextualSpacing/>
        <w:outlineLvl w:val="2"/>
        <w:rPr>
          <w:rFonts w:ascii="仿宋_GB2312" w:hAnsi="仿宋" w:eastAsia="仿宋_GB2312" w:cs="Arial"/>
          <w:szCs w:val="32"/>
        </w:rPr>
      </w:pPr>
      <w:r>
        <w:rPr>
          <w:rFonts w:hint="eastAsia" w:ascii="仿宋_GB2312" w:hAnsi="仿宋" w:eastAsia="仿宋_GB2312" w:cs="Arial"/>
          <w:szCs w:val="32"/>
        </w:rPr>
        <w:t>4.外汇风险</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有外汇敞口的公司，受到人民币汇率向不利方向波动10%的影响。</w:t>
      </w:r>
    </w:p>
    <w:p>
      <w:pPr>
        <w:adjustRightInd w:val="0"/>
        <w:spacing w:line="560" w:lineRule="exact"/>
        <w:ind w:left="640" w:firstLine="0" w:firstLineChars="0"/>
        <w:contextualSpacing/>
        <w:outlineLvl w:val="2"/>
        <w:rPr>
          <w:rFonts w:ascii="仿宋_GB2312" w:hAnsi="仿宋" w:eastAsia="仿宋_GB2312" w:cs="Arial"/>
          <w:szCs w:val="32"/>
        </w:rPr>
      </w:pPr>
      <w:r>
        <w:rPr>
          <w:rFonts w:hint="eastAsia" w:ascii="仿宋_GB2312" w:hAnsi="仿宋" w:eastAsia="仿宋_GB2312" w:cs="Arial"/>
          <w:szCs w:val="32"/>
        </w:rPr>
        <w:t>5.商品类投资资产价格风险</w:t>
      </w:r>
    </w:p>
    <w:p>
      <w:pPr>
        <w:adjustRightInd w:val="0"/>
        <w:spacing w:line="560" w:lineRule="exact"/>
        <w:ind w:firstLine="640" w:firstLineChars="0"/>
        <w:rPr>
          <w:rFonts w:ascii="仿宋_GB2312" w:hAnsi="仿宋" w:eastAsia="仿宋_GB2312" w:cs="宋体"/>
          <w:szCs w:val="32"/>
          <w:lang w:val="en-GB"/>
        </w:rPr>
      </w:pPr>
      <w:r>
        <w:rPr>
          <w:rFonts w:hint="eastAsia" w:ascii="仿宋_GB2312" w:hAnsi="仿宋" w:eastAsia="仿宋_GB2312" w:cs="宋体"/>
          <w:szCs w:val="32"/>
          <w:lang w:val="en-GB"/>
        </w:rPr>
        <w:t>有黄金</w:t>
      </w:r>
      <w:r>
        <w:rPr>
          <w:rFonts w:hint="eastAsia" w:ascii="仿宋_GB2312" w:hAnsi="仿宋" w:eastAsia="仿宋_GB2312" w:cs="宋体"/>
          <w:szCs w:val="32"/>
        </w:rPr>
        <w:t>等大宗商品</w:t>
      </w:r>
      <w:r>
        <w:rPr>
          <w:rFonts w:hint="eastAsia" w:ascii="仿宋_GB2312" w:hAnsi="仿宋" w:eastAsia="仿宋_GB2312" w:cs="宋体"/>
          <w:szCs w:val="32"/>
          <w:lang w:val="en-GB"/>
        </w:rPr>
        <w:t>持仓的公司，</w:t>
      </w:r>
      <w:r>
        <w:rPr>
          <w:rFonts w:hint="eastAsia" w:ascii="仿宋_GB2312" w:hAnsi="仿宋" w:eastAsia="仿宋_GB2312" w:cs="宋体"/>
          <w:szCs w:val="32"/>
        </w:rPr>
        <w:t>按其账面价值的</w:t>
      </w:r>
      <w:r>
        <w:rPr>
          <w:rFonts w:ascii="仿宋_GB2312" w:hAnsi="仿宋" w:eastAsia="仿宋_GB2312" w:cs="宋体"/>
          <w:szCs w:val="32"/>
        </w:rPr>
        <w:t>15</w:t>
      </w:r>
      <w:r>
        <w:rPr>
          <w:rFonts w:hint="eastAsia" w:ascii="仿宋_GB2312" w:hAnsi="仿宋" w:eastAsia="仿宋_GB2312" w:cs="宋体"/>
          <w:szCs w:val="32"/>
        </w:rPr>
        <w:t>%计提损失</w:t>
      </w:r>
      <w:r>
        <w:rPr>
          <w:rFonts w:hint="eastAsia" w:ascii="仿宋_GB2312" w:hAnsi="仿宋" w:eastAsia="仿宋_GB2312" w:cs="宋体"/>
          <w:szCs w:val="32"/>
          <w:lang w:val="en-GB"/>
        </w:rPr>
        <w:t>。</w:t>
      </w:r>
    </w:p>
    <w:p>
      <w:pPr>
        <w:widowControl/>
        <w:adjustRightInd w:val="0"/>
        <w:spacing w:line="560" w:lineRule="exact"/>
        <w:ind w:left="640" w:leftChars="200" w:firstLine="0" w:firstLineChars="0"/>
        <w:contextualSpacing/>
        <w:outlineLvl w:val="1"/>
        <w:rPr>
          <w:rFonts w:hint="eastAsia" w:ascii="楷体_GB2312" w:hAnsi="楷体_GB2312" w:eastAsia="楷体_GB2312" w:cs="楷体_GB2312"/>
          <w:bCs/>
          <w:szCs w:val="32"/>
        </w:rPr>
      </w:pPr>
      <w:r>
        <w:rPr>
          <w:rFonts w:hint="eastAsia" w:ascii="楷体_GB2312" w:hAnsi="楷体_GB2312" w:eastAsia="楷体_GB2312" w:cs="楷体_GB2312"/>
          <w:bCs/>
          <w:szCs w:val="32"/>
        </w:rPr>
        <w:t>（二）利率上行压力情景</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该情景旨在反映市场利率跃升对保险公司成本收益匹配状况的影响。</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压力情景不改变原有的资产配置策略（包括配置方案、存量资产处置安排与再投资计划、融资安排）和业务规划情况。</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假设固定收益类投资资产的收益率在未来第一年与基础情景相同，未来第二年较未来第一年按照偿付能力监管规则中计量利率风险资本所对应期限的利率上调比例计算，未来第三年较未来第二年按照相同幅度再上升，每年上升幅度不超过100bps。保险公司可根据公司实际情况，按照上述规则选择对利率曲线进行压力调整，或者对固定收益类投资资产的收益率进行压力调整。</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未来三年存量固定收益类投资资产（含未来第X年新增且在X+1年末仍存续的部分）的账面价值及投资收益率考虑会计分类的影响。其中，分类为以摊余成本计量（以下简称AC）和无明确剩余期限的固定收益类投资资产的账面价值及会计收益率不变；分类为FVTPL或FVOCI的固定收益类投资资产的账面价值及会计投资收益率，根据其剩余期限考虑对应期限（向下取整）利率上升的影响，且上升幅度每年不超过100bps。</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新增固定收益类投资资产压力后的收益率，基于基础情景假设的再投资收益率向上调整。</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压力后未来第一年新增的固定收益类投资资产收益率 = 基础情景未来第一年的新增固定收益类投资资产收益率</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压力后未来第二年新增的固定收益类投资资产收益率 = 压力后未来第一年新增的固定收益类投资资产收益率 + Min（基础情景未来第一年的新增固定收益类投资资产收益率×利率上调比例，100bps)</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压力后未来第三年新增的固定收益类投资资产收益率 = 压力后未来第二年新增的固定收益类投资资产收益率+ Min（基础情景未来第一年的新增固定收益类投资资产收益率×利率上调比例，100bps)</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压力情景下现金及流动性管理工具、权益类投资资产、不动产类投资资产、商品类投资资产、保户质押贷款未来三年的收益率与基础情景相同。</w:t>
      </w:r>
    </w:p>
    <w:p>
      <w:pPr>
        <w:adjustRightInd w:val="0"/>
        <w:spacing w:line="560" w:lineRule="exact"/>
        <w:ind w:firstLine="640" w:firstLineChars="0"/>
        <w:jc w:val="left"/>
        <w:rPr>
          <w:rFonts w:ascii="仿宋_GB2312" w:hAnsi="仿宋_GB2312" w:eastAsia="仿宋_GB2312" w:cs="仿宋_GB2312"/>
          <w:szCs w:val="32"/>
        </w:rPr>
      </w:pPr>
      <w:r>
        <w:rPr>
          <w:rFonts w:hint="eastAsia" w:ascii="仿宋_GB2312" w:hAnsi="仿宋_GB2312" w:eastAsia="仿宋_GB2312" w:cs="仿宋_GB2312"/>
          <w:szCs w:val="32"/>
        </w:rPr>
        <w:t>寿险业务负债资金成本率在未来第一年与基础情景相同。未来第二年和未来第三年寿险业务负债资金成本率在基础情景上考虑利率上升的影响。</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新增普通型人身险保险业务预定利率的上升幅度，按照报告期末10年期国债到期收益率对应的10年期利率上调比例计算上升幅度，就近取0.25%的整数倍，且上升幅度不超过100bps，其中利率上调比例采用按照偿付能力监管规则中计量利率风险资本所对应10年期的利率上调比例。普通型人身保险业务预定利率的变动幅度，作为寿险业务负债资金成本率未来第二年和第三年上升幅度的基准。</w:t>
      </w:r>
    </w:p>
    <w:p>
      <w:pPr>
        <w:adjustRightInd w:val="0"/>
        <w:spacing w:line="560" w:lineRule="exact"/>
        <w:ind w:firstLine="640" w:firstLineChars="0"/>
        <w:rPr>
          <w:rFonts w:ascii="仿宋_GB2312" w:hAnsi="仿宋_GB2312" w:eastAsia="仿宋_GB2312" w:cs="仿宋_GB2312"/>
          <w:szCs w:val="32"/>
          <w:lang w:val="en-GB"/>
        </w:rPr>
      </w:pPr>
      <w:r>
        <w:rPr>
          <w:rFonts w:hint="eastAsia" w:ascii="仿宋_GB2312" w:hAnsi="仿宋_GB2312" w:eastAsia="仿宋_GB2312" w:cs="仿宋_GB2312"/>
          <w:szCs w:val="32"/>
        </w:rPr>
        <w:t>未来第二年，传统保险账户中的存量寿险业务负债资金成本率不变，新增寿险业务的负债资金成本率较未来第二年基础情景按照上述基准向上调整；万能保险账户的负债资金成本率较未来第二年基础情景按照上述基准向上调整，分红保险账户的负债资金成本率较未来第二年基础情景按照上述基准×分配给保单持有人的比例向上调整。</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未来第三年，传统保险账户中的存量业务负债资金成本率不变，新增业务的负债资金成本率较未来第三年基础情景按上述基准的2倍向上调整，且上升幅度不超过200bps；万能保险账户的负债资金成本率较未来第三年基础情景按照上述基准的2倍向上调整，且上升幅度不超过200bps；分红保险账户的负债资金成本率较未来第三年基础情景按照上述基准的2倍（不超过200bps）×分配给保单持有人的比例向上调整。</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非寿险业务</w:t>
      </w:r>
      <w:bookmarkStart w:id="0" w:name="OLE_LINK7"/>
      <w:r>
        <w:rPr>
          <w:rFonts w:hint="eastAsia" w:ascii="仿宋_GB2312" w:hAnsi="仿宋_GB2312" w:eastAsia="仿宋_GB2312" w:cs="仿宋_GB2312"/>
          <w:szCs w:val="32"/>
        </w:rPr>
        <w:t>未来三年的负债资金成本率</w:t>
      </w:r>
      <w:bookmarkEnd w:id="0"/>
      <w:r>
        <w:rPr>
          <w:rFonts w:hint="eastAsia" w:ascii="仿宋_GB2312" w:hAnsi="仿宋_GB2312" w:eastAsia="仿宋_GB2312" w:cs="仿宋_GB2312"/>
          <w:szCs w:val="32"/>
        </w:rPr>
        <w:t>与基础情景相同。</w:t>
      </w:r>
    </w:p>
    <w:p>
      <w:pPr>
        <w:adjustRightInd w:val="0"/>
        <w:spacing w:line="560" w:lineRule="exact"/>
        <w:ind w:firstLine="640" w:firstLineChars="0"/>
        <w:rPr>
          <w:rFonts w:ascii="仿宋_GB2312" w:hAnsi="仿宋_GB2312" w:eastAsia="仿宋_GB2312" w:cs="仿宋_GB2312"/>
          <w:szCs w:val="32"/>
        </w:rPr>
      </w:pPr>
      <w:r>
        <w:rPr>
          <w:rFonts w:hint="eastAsia" w:ascii="仿宋_GB2312" w:hAnsi="仿宋_GB2312" w:eastAsia="仿宋_GB2312" w:cs="仿宋_GB2312"/>
          <w:szCs w:val="32"/>
        </w:rPr>
        <w:t>次级债、资本补充债和无固定期限资本债账户的负债资金成本率在未来三年与基础情景相同。</w:t>
      </w:r>
    </w:p>
    <w:p>
      <w:pPr>
        <w:widowControl/>
        <w:adjustRightInd w:val="0"/>
        <w:spacing w:line="560" w:lineRule="exact"/>
        <w:ind w:left="640" w:leftChars="200" w:firstLine="0" w:firstLineChars="0"/>
        <w:contextualSpacing/>
        <w:outlineLvl w:val="1"/>
        <w:rPr>
          <w:rFonts w:hint="eastAsia" w:ascii="楷体_GB2312" w:hAnsi="楷体_GB2312" w:eastAsia="楷体_GB2312" w:cs="楷体_GB2312"/>
          <w:bCs/>
          <w:szCs w:val="32"/>
        </w:rPr>
      </w:pPr>
      <w:r>
        <w:rPr>
          <w:rFonts w:hint="eastAsia" w:ascii="楷体_GB2312" w:hAnsi="楷体_GB2312" w:eastAsia="楷体_GB2312" w:cs="楷体_GB2312"/>
          <w:bCs/>
          <w:szCs w:val="32"/>
        </w:rPr>
        <w:t>（三）利率下行压力情景</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该情景旨在反映市场低利率环境对保险公司成本收益匹配状况的影响。</w:t>
      </w:r>
    </w:p>
    <w:p>
      <w:pPr>
        <w:adjustRightInd w:val="0"/>
        <w:spacing w:line="560" w:lineRule="exact"/>
        <w:ind w:firstLine="640" w:firstLineChars="0"/>
        <w:rPr>
          <w:rFonts w:ascii="仿宋_GB2312" w:hAnsi="仿宋" w:eastAsia="仿宋_GB2312" w:cs="Arial"/>
          <w:szCs w:val="32"/>
        </w:rPr>
      </w:pPr>
      <w:r>
        <w:rPr>
          <w:rFonts w:hint="eastAsia" w:ascii="仿宋_GB2312" w:hAnsi="仿宋" w:eastAsia="仿宋_GB2312" w:cs="宋体"/>
          <w:szCs w:val="32"/>
        </w:rPr>
        <w:t>压力情景</w:t>
      </w:r>
      <w:r>
        <w:rPr>
          <w:rFonts w:hint="eastAsia" w:ascii="仿宋_GB2312" w:hAnsi="仿宋" w:eastAsia="仿宋_GB2312" w:cs="Arial"/>
          <w:szCs w:val="32"/>
        </w:rPr>
        <w:t>不改变原有的资产配置策略（包括配置方案、存量资产处置安排与再投资计划、融资安排）和业务规划情况。</w:t>
      </w:r>
    </w:p>
    <w:p>
      <w:pPr>
        <w:adjustRightInd w:val="0"/>
        <w:spacing w:line="560" w:lineRule="exact"/>
        <w:ind w:firstLine="640" w:firstLineChars="0"/>
        <w:rPr>
          <w:rFonts w:ascii="仿宋_GB2312" w:hAnsi="仿宋" w:eastAsia="仿宋_GB2312" w:cs="宋体"/>
          <w:szCs w:val="32"/>
        </w:rPr>
      </w:pPr>
      <w:r>
        <w:rPr>
          <w:rFonts w:hint="eastAsia" w:ascii="仿宋_GB2312" w:hAnsi="仿宋" w:eastAsia="仿宋_GB2312" w:cs="宋体"/>
          <w:szCs w:val="32"/>
        </w:rPr>
        <w:t>存量可计算现金流的固定收益类投资资产的到期收益率不变，新增可计算现金流的固定收益类投资资产的收益率按压力后的投资收益率计算；按照摊余成本加权计算整体可计算现金流的固定收益类投资资产到期收益率。</w:t>
      </w:r>
    </w:p>
    <w:p>
      <w:pPr>
        <w:adjustRightInd w:val="0"/>
        <w:spacing w:line="560" w:lineRule="exact"/>
        <w:ind w:firstLine="640" w:firstLineChars="0"/>
        <w:rPr>
          <w:rFonts w:ascii="仿宋_GB2312" w:hAnsi="仿宋" w:eastAsia="仿宋_GB2312" w:cs="Arial"/>
          <w:szCs w:val="32"/>
        </w:rPr>
      </w:pPr>
      <w:r>
        <w:rPr>
          <w:rFonts w:hint="eastAsia" w:ascii="仿宋_GB2312" w:hAnsi="仿宋" w:eastAsia="仿宋_GB2312" w:cs="Arial"/>
          <w:szCs w:val="32"/>
        </w:rPr>
        <w:t>新增</w:t>
      </w:r>
      <w:r>
        <w:rPr>
          <w:rFonts w:hint="eastAsia" w:ascii="仿宋_GB2312" w:hAnsi="仿宋" w:eastAsia="仿宋_GB2312" w:cs="宋体"/>
          <w:szCs w:val="32"/>
        </w:rPr>
        <w:t>可计算现金流的</w:t>
      </w:r>
      <w:r>
        <w:rPr>
          <w:rFonts w:hint="eastAsia" w:ascii="仿宋_GB2312" w:hAnsi="仿宋" w:eastAsia="仿宋_GB2312" w:cs="Arial"/>
          <w:szCs w:val="32"/>
        </w:rPr>
        <w:t>固定收益类投资资产压力后的收益率，基于基础情景假设的再投资收益率向下调整，利率下调比例按照偿付能力监管规则中计量利率风险资本所对应期限的利率下调比例计算。未来第X年新增的可计算现金流的固定收益类投资资产压力后的收益率=未来第X年的基础情景再投资收益率×（1+利率下调比例），其中，利率下调比例取负值且下降幅度不超过100bps。</w:t>
      </w:r>
    </w:p>
    <w:p>
      <w:pPr>
        <w:adjustRightInd w:val="0"/>
        <w:spacing w:line="560" w:lineRule="exact"/>
        <w:ind w:firstLine="640" w:firstLineChars="0"/>
        <w:jc w:val="both"/>
        <w:rPr>
          <w:rFonts w:ascii="仿宋_GB2312" w:hAnsi="仿宋" w:eastAsia="仿宋_GB2312" w:cs="Arial"/>
          <w:szCs w:val="32"/>
        </w:rPr>
      </w:pPr>
      <w:r>
        <w:rPr>
          <w:rFonts w:hint="eastAsia" w:ascii="仿宋_GB2312" w:hAnsi="仿宋" w:eastAsia="仿宋_GB2312" w:cs="宋体"/>
          <w:szCs w:val="32"/>
        </w:rPr>
        <w:t>存量寿险业务，未来第一年新增寿险业务，未来第二年和未来第三年普通型保险产品和分红型保险产品的续期业务、万能保险产品的追加业务形成的寿险业务，其负债保证成本率与基础情景相同；其他新增寿险业务未来第二年和未来第三年的负债保证成本率的下降幅度，分别较未来第二年和未来第三年基础情景的负债保证成本率，按照报告期末10年期国债到期收益率对应的10年期利率下调比例计算，并就近取0.25%的整数倍，且下降幅度不超过100bps；其中利率下调比例采用按照</w:t>
      </w:r>
      <w:r>
        <w:rPr>
          <w:rFonts w:hint="eastAsia" w:ascii="仿宋_GB2312" w:hAnsi="仿宋" w:eastAsia="仿宋_GB2312" w:cs="Arial"/>
          <w:szCs w:val="32"/>
        </w:rPr>
        <w:t>偿付能力监管规则中计量利率风险资本所对应10年期的利率下调比例。非寿险业务及保证续保期届满前的</w:t>
      </w:r>
      <w:r>
        <w:rPr>
          <w:rFonts w:hint="eastAsia" w:ascii="仿宋" w:hAnsi="仿宋" w:eastAsia="仿宋_GB2312" w:cs="MS Mincho"/>
          <w:szCs w:val="32"/>
          <w:lang w:val="en-GB"/>
        </w:rPr>
        <w:t>健康险业务</w:t>
      </w:r>
      <w:r>
        <w:rPr>
          <w:rFonts w:hint="eastAsia" w:ascii="仿宋_GB2312" w:hAnsi="仿宋" w:eastAsia="仿宋_GB2312" w:cs="Arial"/>
          <w:szCs w:val="32"/>
        </w:rPr>
        <w:t>未来三年的负债保证成本率</w:t>
      </w:r>
      <w:r>
        <w:rPr>
          <w:rFonts w:hint="eastAsia" w:ascii="仿宋_GB2312" w:hAnsi="仿宋" w:eastAsia="仿宋_GB2312" w:cs="宋体"/>
          <w:szCs w:val="32"/>
        </w:rPr>
        <w:t>与基础情景相同</w:t>
      </w:r>
      <w:r>
        <w:rPr>
          <w:rFonts w:hint="eastAsia" w:ascii="仿宋_GB2312" w:hAnsi="仿宋" w:eastAsia="仿宋_GB2312" w:cs="Arial"/>
          <w:szCs w:val="32"/>
        </w:rPr>
        <w:t>。</w:t>
      </w:r>
    </w:p>
    <w:p>
      <w:pPr>
        <w:adjustRightInd w:val="0"/>
        <w:spacing w:line="560" w:lineRule="exact"/>
        <w:ind w:firstLine="640" w:firstLineChars="0"/>
        <w:jc w:val="both"/>
        <w:rPr>
          <w:rFonts w:ascii="仿宋_GB2312" w:hAnsi="仿宋" w:eastAsia="仿宋_GB2312" w:cs="宋体"/>
          <w:szCs w:val="32"/>
        </w:rPr>
      </w:pPr>
      <w:r>
        <w:rPr>
          <w:rFonts w:hint="eastAsia" w:ascii="仿宋_GB2312" w:hAnsi="仿宋" w:eastAsia="仿宋_GB2312" w:cs="宋体"/>
          <w:szCs w:val="32"/>
        </w:rPr>
        <w:t>次级债、资本补充债和无固定期限资本债账户未来三年的负债保证成本率与基础情景相同。</w:t>
      </w:r>
    </w:p>
    <w:p>
      <w:pPr>
        <w:adjustRightInd w:val="0"/>
        <w:spacing w:line="560" w:lineRule="exact"/>
        <w:ind w:left="720" w:firstLine="0" w:firstLineChars="0"/>
        <w:contextualSpacing/>
        <w:outlineLvl w:val="0"/>
        <w:rPr>
          <w:rFonts w:ascii="黑体" w:hAnsi="黑体" w:eastAsia="黑体"/>
          <w:color w:val="000000"/>
          <w:szCs w:val="32"/>
          <w:lang w:val="en-GB"/>
        </w:rPr>
      </w:pPr>
      <w:r>
        <w:rPr>
          <w:rFonts w:hint="eastAsia" w:ascii="黑体" w:hAnsi="黑体" w:eastAsia="黑体"/>
          <w:color w:val="000000"/>
          <w:szCs w:val="32"/>
          <w:lang w:val="en-GB"/>
        </w:rPr>
        <w:t>三、流动性匹配</w:t>
      </w:r>
    </w:p>
    <w:p>
      <w:pPr>
        <w:adjustRightInd w:val="0"/>
        <w:spacing w:after="0" w:line="560" w:lineRule="exact"/>
        <w:ind w:firstLine="640"/>
        <w:rPr>
          <w:rFonts w:hint="eastAsia" w:ascii="仿宋_GB2312" w:hAnsi="仿宋" w:eastAsia="仿宋_GB2312" w:cs="宋体"/>
          <w:szCs w:val="32"/>
          <w:highlight w:val="none"/>
        </w:rPr>
      </w:pPr>
      <w:r>
        <w:rPr>
          <w:rFonts w:hint="eastAsia" w:ascii="仿宋_GB2312" w:hAnsi="仿宋" w:eastAsia="仿宋_GB2312" w:cs="宋体"/>
          <w:szCs w:val="32"/>
          <w:highlight w:val="none"/>
        </w:rPr>
        <w:t>该情景可反映市场与经营等要素发生不利变动时，保险公司普通账户及各大类账户在未来的流动性匹配状况。</w:t>
      </w:r>
    </w:p>
    <w:p>
      <w:pPr>
        <w:adjustRightInd w:val="0"/>
        <w:spacing w:after="0" w:line="560" w:lineRule="exact"/>
        <w:ind w:firstLine="640"/>
        <w:rPr>
          <w:rFonts w:hint="eastAsia" w:ascii="仿宋_GB2312" w:hAnsi="仿宋" w:eastAsia="仿宋_GB2312" w:cs="宋体"/>
          <w:color w:val="auto"/>
          <w:sz w:val="32"/>
          <w:szCs w:val="32"/>
          <w:highlight w:val="none"/>
          <w:lang w:eastAsia="zh-CN"/>
        </w:rPr>
      </w:pPr>
      <w:r>
        <w:rPr>
          <w:rFonts w:hint="eastAsia" w:ascii="仿宋_GB2312" w:hAnsi="仿宋" w:eastAsia="仿宋_GB2312" w:cs="宋体"/>
          <w:szCs w:val="32"/>
          <w:highlight w:val="none"/>
        </w:rPr>
        <w:t>现金流压力情景按照国家金融监督管理总局有关保险公司流动性风险监管规则设定，由国家金融监督管理总局综合考虑宏观经济金融形势、行业风险状况、监管要求等统一确定发布，并可根据市场变化和行业发展情况适时调整。</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EA15610-A831-4C1D-824D-6B5E330C3F2D}"/>
  </w:font>
  <w:font w:name="黑体">
    <w:panose1 w:val="02010609060101010101"/>
    <w:charset w:val="86"/>
    <w:family w:val="auto"/>
    <w:pitch w:val="default"/>
    <w:sig w:usb0="800002BF" w:usb1="38CF7CFA" w:usb2="00000016" w:usb3="00000000" w:csb0="00040001" w:csb1="00000000"/>
    <w:embedRegular r:id="rId2" w:fontKey="{47DB12D5-C9A0-45AC-8005-9CE45D86C5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31978F27-CD21-4D70-97FF-ED8F052DF66C}"/>
  </w:font>
  <w:font w:name="仿宋">
    <w:panose1 w:val="02010609060101010101"/>
    <w:charset w:val="86"/>
    <w:family w:val="modern"/>
    <w:pitch w:val="default"/>
    <w:sig w:usb0="800002BF" w:usb1="38CF7CFA" w:usb2="00000016" w:usb3="00000000" w:csb0="00040001" w:csb1="00000000"/>
    <w:embedRegular r:id="rId4" w:fontKey="{B5DBC3C6-C5DB-4BCB-AAFB-BE917FFC8BFB}"/>
  </w:font>
  <w:font w:name="MS Mincho">
    <w:panose1 w:val="02020609040205080304"/>
    <w:charset w:val="80"/>
    <w:family w:val="modern"/>
    <w:pitch w:val="default"/>
    <w:sig w:usb0="E00002FF" w:usb1="6AC7FDFB" w:usb2="00000012" w:usb3="00000000" w:csb0="4002009F" w:csb1="DFD70000"/>
    <w:embedRegular r:id="rId5" w:fontKey="{34D879EF-A6D6-4620-AE8C-B20EE1CE225F}"/>
  </w:font>
  <w:font w:name="仿宋_GB2312">
    <w:altName w:val="仿宋"/>
    <w:panose1 w:val="02010609030101010101"/>
    <w:charset w:val="86"/>
    <w:family w:val="auto"/>
    <w:pitch w:val="default"/>
    <w:sig w:usb0="00000000" w:usb1="00000000" w:usb2="00000000" w:usb3="00000000" w:csb0="00040000" w:csb1="00000000"/>
    <w:embedRegular r:id="rId6" w:fontKey="{0485D09A-5DED-450D-B681-4F192E129664}"/>
  </w:font>
  <w:font w:name="方正小标宋简体">
    <w:altName w:val="黑体"/>
    <w:panose1 w:val="02000000000000000000"/>
    <w:charset w:val="86"/>
    <w:family w:val="auto"/>
    <w:pitch w:val="default"/>
    <w:sig w:usb0="00000000" w:usb1="00000000" w:usb2="00000012" w:usb3="00000000" w:csb0="00040001" w:csb1="00000000"/>
    <w:embedRegular r:id="rId7" w:fontKey="{FDB37196-C2CA-4D63-8FC3-3D6E8AD4D542}"/>
  </w:font>
  <w:font w:name="方正小标宋_GBK">
    <w:altName w:val="微软雅黑"/>
    <w:panose1 w:val="02000000000000000000"/>
    <w:charset w:val="86"/>
    <w:family w:val="auto"/>
    <w:pitch w:val="default"/>
    <w:sig w:usb0="00000000" w:usb1="00000000" w:usb2="00000000" w:usb3="00000000" w:csb0="00040000" w:csb1="00000000"/>
    <w:embedRegular r:id="rId8" w:fontKey="{2F0D9DB7-EED1-4F50-9EA0-BA529EDCEC6E}"/>
  </w:font>
  <w:font w:name="楷体_GB2312">
    <w:altName w:val="楷体"/>
    <w:panose1 w:val="02010609030101010101"/>
    <w:charset w:val="86"/>
    <w:family w:val="auto"/>
    <w:pitch w:val="default"/>
    <w:sig w:usb0="00000000" w:usb1="00000000" w:usb2="00000000" w:usb3="00000000" w:csb0="00040000" w:csb1="00000000"/>
    <w:embedRegular r:id="rId9" w:fontKey="{69BF0CAA-BAAD-4071-9948-F9D8DEEA52EE}"/>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ind w:firstLine="0" w:firstLineChars="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4D2125"/>
    <w:multiLevelType w:val="singleLevel"/>
    <w:tmpl w:val="C64D212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B03E6C"/>
    <w:rsid w:val="00012F69"/>
    <w:rsid w:val="00054924"/>
    <w:rsid w:val="000708BC"/>
    <w:rsid w:val="000F017B"/>
    <w:rsid w:val="00173D95"/>
    <w:rsid w:val="001807BD"/>
    <w:rsid w:val="001C281C"/>
    <w:rsid w:val="001C4083"/>
    <w:rsid w:val="001C5176"/>
    <w:rsid w:val="001C51A4"/>
    <w:rsid w:val="001D41F8"/>
    <w:rsid w:val="001E3F6C"/>
    <w:rsid w:val="00226708"/>
    <w:rsid w:val="00247A4A"/>
    <w:rsid w:val="00270ADA"/>
    <w:rsid w:val="0027149B"/>
    <w:rsid w:val="002D69C3"/>
    <w:rsid w:val="003038BC"/>
    <w:rsid w:val="00356778"/>
    <w:rsid w:val="00381D6E"/>
    <w:rsid w:val="0039031B"/>
    <w:rsid w:val="003A14CD"/>
    <w:rsid w:val="003A2D26"/>
    <w:rsid w:val="003C1B42"/>
    <w:rsid w:val="003F10E6"/>
    <w:rsid w:val="004A7537"/>
    <w:rsid w:val="00511D6B"/>
    <w:rsid w:val="00515AA9"/>
    <w:rsid w:val="0054613A"/>
    <w:rsid w:val="00563356"/>
    <w:rsid w:val="00571191"/>
    <w:rsid w:val="005752F7"/>
    <w:rsid w:val="00626419"/>
    <w:rsid w:val="00666138"/>
    <w:rsid w:val="006B2E79"/>
    <w:rsid w:val="007066D2"/>
    <w:rsid w:val="0071437F"/>
    <w:rsid w:val="00715C28"/>
    <w:rsid w:val="0071631C"/>
    <w:rsid w:val="00723D83"/>
    <w:rsid w:val="00736C30"/>
    <w:rsid w:val="00775D1D"/>
    <w:rsid w:val="008033F5"/>
    <w:rsid w:val="0082013C"/>
    <w:rsid w:val="008D11AD"/>
    <w:rsid w:val="008E563A"/>
    <w:rsid w:val="00961A9A"/>
    <w:rsid w:val="009E051E"/>
    <w:rsid w:val="00A47865"/>
    <w:rsid w:val="00A72212"/>
    <w:rsid w:val="00A97477"/>
    <w:rsid w:val="00AA3DD4"/>
    <w:rsid w:val="00AA5421"/>
    <w:rsid w:val="00AA6C52"/>
    <w:rsid w:val="00AE308D"/>
    <w:rsid w:val="00BB1D86"/>
    <w:rsid w:val="00BC1646"/>
    <w:rsid w:val="00BE4F96"/>
    <w:rsid w:val="00C62335"/>
    <w:rsid w:val="00C80080"/>
    <w:rsid w:val="00CA7BAB"/>
    <w:rsid w:val="00D47EB4"/>
    <w:rsid w:val="00D50AF8"/>
    <w:rsid w:val="00DA0D5B"/>
    <w:rsid w:val="00E12DE0"/>
    <w:rsid w:val="00ED4FE9"/>
    <w:rsid w:val="00F11C41"/>
    <w:rsid w:val="00F3618C"/>
    <w:rsid w:val="00F56367"/>
    <w:rsid w:val="00F6574B"/>
    <w:rsid w:val="00FC7371"/>
    <w:rsid w:val="00FD21F9"/>
    <w:rsid w:val="083F4E49"/>
    <w:rsid w:val="096060D8"/>
    <w:rsid w:val="0A050043"/>
    <w:rsid w:val="0A3A7DF8"/>
    <w:rsid w:val="0BBB3BD6"/>
    <w:rsid w:val="151807E8"/>
    <w:rsid w:val="18FE01DD"/>
    <w:rsid w:val="1E4C0F24"/>
    <w:rsid w:val="20F21098"/>
    <w:rsid w:val="28044637"/>
    <w:rsid w:val="2BFF8974"/>
    <w:rsid w:val="2C3A5283"/>
    <w:rsid w:val="2E6F4AEB"/>
    <w:rsid w:val="2EA65C8F"/>
    <w:rsid w:val="32B03E6C"/>
    <w:rsid w:val="352966EE"/>
    <w:rsid w:val="3A17369C"/>
    <w:rsid w:val="3AA631BB"/>
    <w:rsid w:val="3B1618B9"/>
    <w:rsid w:val="3C095764"/>
    <w:rsid w:val="3EEDFAA2"/>
    <w:rsid w:val="403569B2"/>
    <w:rsid w:val="4BFDDABE"/>
    <w:rsid w:val="4ECE1A58"/>
    <w:rsid w:val="55E00816"/>
    <w:rsid w:val="57E32422"/>
    <w:rsid w:val="597365A0"/>
    <w:rsid w:val="59EF0E2A"/>
    <w:rsid w:val="5BBF4D51"/>
    <w:rsid w:val="5DDF99E3"/>
    <w:rsid w:val="5DF0E110"/>
    <w:rsid w:val="5EB9569F"/>
    <w:rsid w:val="5EF76FB7"/>
    <w:rsid w:val="5F737ED1"/>
    <w:rsid w:val="5FDE4152"/>
    <w:rsid w:val="642E5EBA"/>
    <w:rsid w:val="645D14D4"/>
    <w:rsid w:val="64EA3749"/>
    <w:rsid w:val="66B141AA"/>
    <w:rsid w:val="6984693B"/>
    <w:rsid w:val="6C480F7D"/>
    <w:rsid w:val="6F5DBBCC"/>
    <w:rsid w:val="6FCA46CA"/>
    <w:rsid w:val="71F02BFB"/>
    <w:rsid w:val="76875E6C"/>
    <w:rsid w:val="76B319F8"/>
    <w:rsid w:val="77B9FD88"/>
    <w:rsid w:val="7A942130"/>
    <w:rsid w:val="7D7942B0"/>
    <w:rsid w:val="7DFB6A39"/>
    <w:rsid w:val="7E7EB8E4"/>
    <w:rsid w:val="7F2552DD"/>
    <w:rsid w:val="7F423899"/>
    <w:rsid w:val="7FEDEF05"/>
    <w:rsid w:val="7FF33977"/>
    <w:rsid w:val="835F5882"/>
    <w:rsid w:val="9F7DDF53"/>
    <w:rsid w:val="AFEFD495"/>
    <w:rsid w:val="B4F900CF"/>
    <w:rsid w:val="B76F07C8"/>
    <w:rsid w:val="BF7A3109"/>
    <w:rsid w:val="C69D50BC"/>
    <w:rsid w:val="DB3FDBC1"/>
    <w:rsid w:val="EFFEB230"/>
    <w:rsid w:val="F3FD93BA"/>
    <w:rsid w:val="F5FFBA52"/>
    <w:rsid w:val="F6F7692C"/>
    <w:rsid w:val="F7D7DB5D"/>
    <w:rsid w:val="F7FDFDA0"/>
    <w:rsid w:val="FD9BE278"/>
    <w:rsid w:val="FDF76187"/>
    <w:rsid w:val="FEE9DD3D"/>
    <w:rsid w:val="FEEC54CF"/>
    <w:rsid w:val="FF428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Calibri" w:hAnsi="Calibri" w:eastAsia="仿宋" w:cs="Times New Roman"/>
      <w:kern w:val="2"/>
      <w:sz w:val="32"/>
      <w:szCs w:val="22"/>
      <w:lang w:val="en-US" w:eastAsia="zh-CN" w:bidi="ar-SA"/>
    </w:rPr>
  </w:style>
  <w:style w:type="paragraph" w:styleId="2">
    <w:name w:val="heading 1"/>
    <w:basedOn w:val="3"/>
    <w:next w:val="1"/>
    <w:qFormat/>
    <w:uiPriority w:val="9"/>
    <w:pPr>
      <w:keepNext/>
      <w:keepLines/>
      <w:spacing w:before="120" w:after="120" w:line="480" w:lineRule="auto"/>
      <w:outlineLvl w:val="0"/>
    </w:pPr>
    <w:rPr>
      <w:rFonts w:ascii="黑体" w:hAnsi="黑体" w:eastAsia="黑体"/>
      <w:color w:val="000000"/>
      <w:szCs w:val="32"/>
      <w:lang w:val="en-G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List Paragraph"/>
    <w:basedOn w:val="1"/>
    <w:qFormat/>
    <w:uiPriority w:val="34"/>
    <w:pPr>
      <w:ind w:firstLine="420"/>
    </w:pPr>
  </w:style>
  <w:style w:type="paragraph" w:styleId="4">
    <w:name w:val="annotation text"/>
    <w:basedOn w:val="1"/>
    <w:link w:val="13"/>
    <w:qFormat/>
    <w:uiPriority w:val="0"/>
    <w:pPr>
      <w:jc w:val="left"/>
    </w:pPr>
  </w:style>
  <w:style w:type="paragraph" w:styleId="5">
    <w:name w:val="Balloon Text"/>
    <w:basedOn w:val="1"/>
    <w:link w:val="15"/>
    <w:qFormat/>
    <w:uiPriority w:val="0"/>
    <w:pPr>
      <w:spacing w:line="240" w:lineRule="auto"/>
    </w:pPr>
    <w:rPr>
      <w:sz w:val="18"/>
      <w:szCs w:val="1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annotation subject"/>
    <w:basedOn w:val="4"/>
    <w:next w:val="4"/>
    <w:link w:val="14"/>
    <w:qFormat/>
    <w:uiPriority w:val="0"/>
    <w:rPr>
      <w:b/>
      <w:bCs/>
    </w:rPr>
  </w:style>
  <w:style w:type="character" w:styleId="11">
    <w:name w:val="annotation reference"/>
    <w:basedOn w:val="10"/>
    <w:qFormat/>
    <w:uiPriority w:val="0"/>
    <w:rPr>
      <w:sz w:val="21"/>
      <w:szCs w:val="21"/>
    </w:rPr>
  </w:style>
  <w:style w:type="paragraph" w:customStyle="1" w:styleId="12">
    <w:name w:val="第一条"/>
    <w:basedOn w:val="1"/>
    <w:qFormat/>
    <w:uiPriority w:val="0"/>
    <w:pPr>
      <w:widowControl/>
      <w:adjustRightInd w:val="0"/>
      <w:jc w:val="center"/>
    </w:pPr>
    <w:rPr>
      <w:rFonts w:ascii="宋体" w:hAnsi="宋体" w:eastAsia="宋体" w:cs="MS Mincho"/>
      <w:b/>
      <w:sz w:val="44"/>
      <w:szCs w:val="36"/>
    </w:rPr>
  </w:style>
  <w:style w:type="character" w:customStyle="1" w:styleId="13">
    <w:name w:val="批注文字 字符"/>
    <w:basedOn w:val="10"/>
    <w:link w:val="4"/>
    <w:qFormat/>
    <w:uiPriority w:val="0"/>
    <w:rPr>
      <w:rFonts w:eastAsia="仿宋"/>
      <w:kern w:val="2"/>
      <w:sz w:val="32"/>
      <w:szCs w:val="22"/>
    </w:rPr>
  </w:style>
  <w:style w:type="character" w:customStyle="1" w:styleId="14">
    <w:name w:val="批注主题 字符"/>
    <w:basedOn w:val="13"/>
    <w:link w:val="8"/>
    <w:qFormat/>
    <w:uiPriority w:val="0"/>
    <w:rPr>
      <w:rFonts w:eastAsia="仿宋"/>
      <w:b/>
      <w:bCs/>
      <w:kern w:val="2"/>
      <w:sz w:val="32"/>
      <w:szCs w:val="22"/>
    </w:rPr>
  </w:style>
  <w:style w:type="character" w:customStyle="1" w:styleId="15">
    <w:name w:val="批注框文本 字符"/>
    <w:basedOn w:val="10"/>
    <w:link w:val="5"/>
    <w:qFormat/>
    <w:uiPriority w:val="0"/>
    <w:rPr>
      <w:rFonts w:eastAsia="仿宋"/>
      <w:kern w:val="2"/>
      <w:sz w:val="18"/>
      <w:szCs w:val="18"/>
    </w:rPr>
  </w:style>
  <w:style w:type="character" w:customStyle="1" w:styleId="16">
    <w:name w:val="页眉 字符"/>
    <w:basedOn w:val="10"/>
    <w:link w:val="7"/>
    <w:qFormat/>
    <w:uiPriority w:val="0"/>
    <w:rPr>
      <w:rFonts w:eastAsia="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CPIC</Company>
  <Pages>10</Pages>
  <Words>4034</Words>
  <Characters>4717</Characters>
  <Lines>34</Lines>
  <Paragraphs>9</Paragraphs>
  <TotalTime>4</TotalTime>
  <ScaleCrop>false</ScaleCrop>
  <LinksUpToDate>false</LinksUpToDate>
  <CharactersWithSpaces>4727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2026-06-22T16:27:00Z</dcterms:created>
  <dc:creator>zhaozj11</dc:creator>
  <cp:lastModifiedBy>cbirc</cp:lastModifiedBy>
  <cp:lastPrinted>2026-08-06T17:30:00Z</cp:lastPrinted>
  <dcterms:modified xsi:type="dcterms:W3CDTF">2026-08-21T11:43:47Z</dcterms:modified>
  <dc:title>附件5</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F1B143CA689C4126BB5BAA079B9F66F1_13</vt:lpwstr>
  </property>
  <property fmtid="{D5CDD505-2E9C-101B-9397-08002B2CF9AE}" pid="4" name="KSOTemplateDocerSaveRecord">
    <vt:lpwstr>eyJoZGlkIjoiZTFhYTJiYWMyMWE1MGU5M2ZhZDVkM2JjZTFkMTY1MWYiLCJ1c2VySWQiOiIyMTAyMDQ1NzgifQ==</vt:lpwstr>
  </property>
</Properties>
</file>