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ind w:firstLine="0" w:firstLineChars="0"/>
        <w:rPr>
          <w:rFonts w:hint="eastAsia" w:ascii="黑体" w:hAnsi="黑体" w:eastAsia="黑体" w:cs="黑体"/>
          <w:bCs/>
          <w:szCs w:val="32"/>
          <w:highlight w:val="none"/>
        </w:rPr>
      </w:pPr>
      <w:bookmarkStart w:id="33" w:name="_GoBack"/>
      <w:bookmarkEnd w:id="33"/>
      <w:r>
        <w:rPr>
          <w:rFonts w:hint="eastAsia" w:ascii="黑体" w:hAnsi="黑体" w:eastAsia="黑体" w:cs="黑体"/>
          <w:bCs/>
          <w:szCs w:val="32"/>
          <w:highlight w:val="none"/>
        </w:rPr>
        <w:t>附件1</w:t>
      </w:r>
    </w:p>
    <w:p>
      <w:pPr>
        <w:tabs>
          <w:tab w:val="center" w:pos="4150"/>
          <w:tab w:val="left" w:pos="6371"/>
        </w:tabs>
        <w:autoSpaceDE w:val="0"/>
        <w:ind w:firstLine="640"/>
        <w:rPr>
          <w:highlight w:val="none"/>
        </w:rPr>
      </w:pPr>
    </w:p>
    <w:p>
      <w:pPr>
        <w:pStyle w:val="2"/>
        <w:spacing w:line="560" w:lineRule="exact"/>
        <w:ind w:left="0" w:firstLine="0" w:firstLineChars="0"/>
        <w:rPr>
          <w:rFonts w:ascii="方正小标宋简体" w:hAnsi="方正小标宋简体" w:eastAsia="方正小标宋简体" w:cs="方正小标宋_GBK"/>
          <w:highlight w:val="none"/>
        </w:rPr>
      </w:pPr>
      <w:r>
        <w:rPr>
          <w:rFonts w:hint="eastAsia" w:ascii="方正小标宋简体" w:hAnsi="方正小标宋简体" w:eastAsia="方正小标宋简体" w:cs="方正小标宋_GBK"/>
          <w:highlight w:val="none"/>
        </w:rPr>
        <w:t>资产负债管理报告内容和要求</w:t>
      </w:r>
    </w:p>
    <w:p>
      <w:pPr>
        <w:ind w:firstLine="640"/>
        <w:jc w:val="both"/>
        <w:rPr>
          <w:rFonts w:ascii="黑体" w:hAnsi="黑体" w:eastAsia="黑体"/>
          <w:szCs w:val="32"/>
          <w:highlight w:val="none"/>
        </w:rPr>
      </w:pPr>
    </w:p>
    <w:p>
      <w:pPr>
        <w:ind w:firstLine="0" w:firstLineChars="0"/>
        <w:jc w:val="center"/>
        <w:rPr>
          <w:rFonts w:ascii="黑体" w:hAnsi="黑体" w:eastAsia="黑体"/>
          <w:szCs w:val="32"/>
          <w:highlight w:val="none"/>
        </w:rPr>
      </w:pPr>
      <w:r>
        <w:rPr>
          <w:rFonts w:hint="eastAsia" w:ascii="黑体" w:hAnsi="黑体" w:eastAsia="黑体"/>
          <w:szCs w:val="32"/>
          <w:highlight w:val="none"/>
        </w:rPr>
        <w:t>总体要求</w:t>
      </w:r>
    </w:p>
    <w:p>
      <w:pPr>
        <w:ind w:firstLine="640"/>
        <w:jc w:val="both"/>
        <w:rPr>
          <w:rFonts w:ascii="黑体" w:hAnsi="黑体" w:eastAsia="黑体"/>
          <w:szCs w:val="32"/>
          <w:highlight w:val="none"/>
        </w:rPr>
      </w:pPr>
    </w:p>
    <w:p>
      <w:pPr>
        <w:widowControl/>
        <w:ind w:firstLine="640"/>
        <w:contextualSpacing/>
        <w:outlineLvl w:val="0"/>
        <w:rPr>
          <w:rFonts w:ascii="黑体" w:hAnsi="黑体" w:eastAsia="黑体" w:cs="Times New Roman"/>
          <w:color w:val="000000"/>
          <w:szCs w:val="32"/>
          <w:highlight w:val="none"/>
        </w:rPr>
      </w:pPr>
      <w:r>
        <w:rPr>
          <w:rFonts w:hint="eastAsia" w:ascii="黑体" w:hAnsi="黑体" w:eastAsia="黑体" w:cs="Times New Roman"/>
          <w:color w:val="000000"/>
          <w:szCs w:val="32"/>
          <w:highlight w:val="none"/>
        </w:rPr>
        <w:t>一、适用范围</w:t>
      </w:r>
    </w:p>
    <w:p>
      <w:pPr>
        <w:ind w:firstLine="640"/>
        <w:rPr>
          <w:highlight w:val="none"/>
        </w:rPr>
      </w:pPr>
      <w:r>
        <w:rPr>
          <w:rFonts w:hAnsi="仿宋_GB2312" w:eastAsia="仿宋_GB2312" w:cs="仿宋_GB2312" w:asciiTheme="minorHAnsi"/>
          <w:color w:val="000000" w:themeColor="text1"/>
          <w:kern w:val="2"/>
          <w:sz w:val="32"/>
          <w:szCs w:val="22"/>
          <w:lang w:val="en-US" w:eastAsia="zh-CN" w:bidi="ar-SA"/>
          <w14:textFill>
            <w14:solidFill>
              <w14:schemeClr w14:val="tx1"/>
            </w14:solidFill>
          </w14:textFill>
        </w:rPr>
        <w:t>本报告</w:t>
      </w:r>
      <w:r>
        <w:rPr>
          <w:rFonts w:hAnsi="仿宋_GB2312" w:eastAsia="仿宋_GB2312" w:cs="仿宋_GB2312" w:asciiTheme="minorHAnsi"/>
          <w:color w:val="auto"/>
          <w:kern w:val="2"/>
          <w:sz w:val="32"/>
          <w:szCs w:val="22"/>
          <w:lang w:val="en-US" w:eastAsia="zh-CN" w:bidi="ar-SA"/>
        </w:rPr>
        <w:t>要求适用于符合</w:t>
      </w:r>
      <w:r>
        <w:rPr>
          <w:rFonts w:eastAsia="仿宋_GB2312" w:asciiTheme="minorHAnsi" w:hAnsiTheme="minorHAnsi" w:cstheme="minorBidi"/>
          <w:color w:val="auto"/>
          <w:kern w:val="2"/>
          <w:sz w:val="32"/>
          <w:szCs w:val="22"/>
          <w:shd w:val="clear"/>
          <w:lang w:val="en-US" w:eastAsia="zh-CN" w:bidi="ar-SA"/>
        </w:rPr>
        <w:t>《保险公司资产负债管理办法》</w:t>
      </w:r>
      <w:r>
        <w:rPr>
          <w:rFonts w:hAnsi="仿宋_GB2312" w:eastAsia="仿宋_GB2312" w:cs="仿宋_GB2312" w:asciiTheme="minorHAnsi"/>
          <w:color w:val="auto"/>
          <w:kern w:val="2"/>
          <w:sz w:val="32"/>
          <w:szCs w:val="22"/>
          <w:lang w:val="en-US" w:eastAsia="zh-CN" w:bidi="ar-SA"/>
        </w:rPr>
        <w:t>规定的保险公司。健康保险公司</w:t>
      </w:r>
      <w:r>
        <w:rPr>
          <w:rFonts w:hint="eastAsia" w:hAnsi="仿宋_GB2312" w:eastAsia="仿宋_GB2312" w:cs="仿宋_GB2312" w:asciiTheme="minorHAnsi"/>
          <w:color w:val="auto"/>
          <w:kern w:val="2"/>
          <w:sz w:val="32"/>
          <w:szCs w:val="22"/>
          <w:lang w:val="en-US" w:eastAsia="zh-CN" w:bidi="ar-SA"/>
        </w:rPr>
        <w:t>寿险</w:t>
      </w:r>
      <w:r>
        <w:rPr>
          <w:rFonts w:hAnsi="仿宋_GB2312" w:eastAsia="仿宋_GB2312" w:cs="仿宋_GB2312" w:asciiTheme="minorHAnsi"/>
          <w:color w:val="auto"/>
          <w:kern w:val="2"/>
          <w:sz w:val="32"/>
          <w:szCs w:val="22"/>
          <w:lang w:val="en-US" w:eastAsia="zh-CN" w:bidi="ar-SA"/>
        </w:rPr>
        <w:t>业务负债规模</w:t>
      </w:r>
      <w:r>
        <w:rPr>
          <w:rFonts w:hint="eastAsia" w:hAnsi="仿宋_GB2312" w:cs="仿宋_GB2312"/>
          <w:color w:val="auto"/>
          <w:highlight w:val="none"/>
        </w:rPr>
        <w:t>占比高于</w:t>
      </w:r>
      <w:r>
        <w:rPr>
          <w:rFonts w:hint="eastAsia" w:ascii="仿宋_GB2312" w:hAnsi="仿宋_GB2312" w:cs="仿宋_GB2312"/>
          <w:color w:val="auto"/>
          <w:highlight w:val="none"/>
        </w:rPr>
        <w:t>10%（含本数）</w:t>
      </w:r>
      <w:r>
        <w:rPr>
          <w:rFonts w:hint="eastAsia" w:hAnsi="仿宋_GB2312" w:cs="仿宋_GB2312"/>
          <w:color w:val="auto"/>
          <w:highlight w:val="none"/>
        </w:rPr>
        <w:t>的，适用人身保险公司的报告内容和要求</w:t>
      </w:r>
      <w:r>
        <w:rPr>
          <w:rFonts w:hAnsi="仿宋_GB2312" w:eastAsia="仿宋_GB2312" w:cs="仿宋_GB2312" w:asciiTheme="minorHAnsi"/>
          <w:color w:val="auto"/>
          <w:kern w:val="2"/>
          <w:sz w:val="32"/>
          <w:szCs w:val="22"/>
          <w:lang w:val="en-US" w:eastAsia="zh-CN" w:bidi="ar-SA"/>
        </w:rPr>
        <w:t>。保险集团（控股）公司、再保险公司</w:t>
      </w:r>
      <w:r>
        <w:rPr>
          <w:rFonts w:hint="eastAsia"/>
          <w:color w:val="auto"/>
          <w:highlight w:val="none"/>
        </w:rPr>
        <w:t>、劳合社保险（中国）有限公司仅填报资产配置状况和资产信用状况信息；仅经营商业养老金业务的养老保险公司，仅填报资产配置状况、资产信用状况和负债产品信息，相关信息填报至“独立账户”。</w:t>
      </w:r>
    </w:p>
    <w:p>
      <w:pPr>
        <w:tabs>
          <w:tab w:val="left" w:pos="6720"/>
        </w:tabs>
        <w:ind w:firstLine="640"/>
        <w:outlineLvl w:val="0"/>
        <w:rPr>
          <w:rFonts w:ascii="黑体" w:hAnsi="黑体" w:eastAsia="黑体" w:cs="Times New Roman"/>
          <w:color w:val="000000"/>
          <w:szCs w:val="32"/>
          <w:highlight w:val="none"/>
        </w:rPr>
      </w:pPr>
      <w:r>
        <w:rPr>
          <w:rFonts w:hint="eastAsia" w:ascii="黑体" w:hAnsi="黑体" w:eastAsia="黑体" w:cs="Times New Roman"/>
          <w:color w:val="000000"/>
          <w:szCs w:val="32"/>
          <w:highlight w:val="none"/>
        </w:rPr>
        <w:t>二、报告内容概览</w:t>
      </w:r>
    </w:p>
    <w:p>
      <w:pPr>
        <w:tabs>
          <w:tab w:val="left" w:pos="6720"/>
        </w:tabs>
        <w:ind w:firstLine="0" w:firstLineChars="0"/>
        <w:jc w:val="both"/>
        <w:outlineLvl w:val="0"/>
        <w:rPr>
          <w:rFonts w:ascii="黑体" w:hAnsi="黑体" w:eastAsia="黑体" w:cs="仿宋_GB2312"/>
          <w:bCs/>
          <w:color w:val="000000" w:themeColor="text1"/>
          <w:szCs w:val="32"/>
          <w:highlight w:val="none"/>
          <w14:textFill>
            <w14:solidFill>
              <w14:schemeClr w14:val="tx1"/>
            </w14:solidFill>
          </w14:textFill>
        </w:rPr>
      </w:pPr>
      <w:r>
        <w:rPr>
          <w:rFonts w:hint="eastAsia" w:ascii="黑体" w:hAnsi="黑体" w:eastAsia="黑体" w:cs="仿宋_GB2312"/>
          <w:bCs/>
          <w:color w:val="000000" w:themeColor="text1"/>
          <w:szCs w:val="32"/>
          <w:highlight w:val="none"/>
          <w14:textFill>
            <w14:solidFill>
              <w14:schemeClr w14:val="tx1"/>
            </w14:solidFill>
          </w14:textFill>
        </w:rPr>
        <w:t>财产保险公司报告概览</w:t>
      </w:r>
    </w:p>
    <w:tbl>
      <w:tblPr>
        <w:tblStyle w:val="16"/>
        <w:tblW w:w="8303"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008"/>
        <w:gridCol w:w="4023"/>
        <w:gridCol w:w="1276"/>
        <w:gridCol w:w="135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序号</w:t>
            </w:r>
          </w:p>
        </w:tc>
        <w:tc>
          <w:tcPr>
            <w:tcW w:w="5031" w:type="dxa"/>
            <w:gridSpan w:val="2"/>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项目</w:t>
            </w:r>
          </w:p>
        </w:tc>
        <w:tc>
          <w:tcPr>
            <w:tcW w:w="127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计量频率</w:t>
            </w:r>
          </w:p>
        </w:tc>
        <w:tc>
          <w:tcPr>
            <w:tcW w:w="1357"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报告频率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w:t>
            </w:r>
          </w:p>
        </w:tc>
        <w:tc>
          <w:tcPr>
            <w:tcW w:w="1008" w:type="dxa"/>
            <w:vMerge w:val="restart"/>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资产配置状况</w:t>
            </w:r>
          </w:p>
        </w:tc>
        <w:tc>
          <w:tcPr>
            <w:tcW w:w="4023" w:type="dxa"/>
            <w:shd w:val="clear" w:color="auto" w:fill="auto"/>
            <w:noWrap/>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1-1-1.资产规模和偿付能力充足率</w:t>
            </w:r>
          </w:p>
        </w:tc>
        <w:tc>
          <w:tcPr>
            <w:tcW w:w="127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1-1-2.资金运用规模</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1-1-3.资金运用比例监管</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4</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1-1-4.固定收益类投资资产剩余期限分布</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5</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1-1-5.风险10日VaR值</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6</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1-1-6.外汇敞口</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7</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1-1-7.融资杠杆比例</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8</w:t>
            </w:r>
          </w:p>
        </w:tc>
        <w:tc>
          <w:tcPr>
            <w:tcW w:w="1008" w:type="dxa"/>
            <w:vMerge w:val="restart"/>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资产信用状况</w:t>
            </w: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1-2-1.固定收益类投资资产信用评级</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9</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1-2-2.存款及同业存单</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10</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1-2-3.固定收益类投资资产信用评级剩余期限分布</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w:t>
            </w:r>
            <w:r>
              <w:rPr>
                <w:rFonts w:ascii="仿宋_GB2312" w:hAnsi="仿宋_GB2312" w:cs="仿宋_GB2312"/>
                <w:color w:val="000000" w:themeColor="text1"/>
                <w:sz w:val="24"/>
                <w:szCs w:val="24"/>
                <w:highlight w:val="none"/>
                <w14:textFill>
                  <w14:solidFill>
                    <w14:schemeClr w14:val="tx1"/>
                  </w14:solidFill>
                </w14:textFill>
              </w:rPr>
              <w:t>4</w:t>
            </w:r>
            <w:r>
              <w:rPr>
                <w:rFonts w:hint="eastAsia" w:ascii="仿宋_GB2312" w:hAnsi="仿宋_GB2312" w:cs="仿宋_GB2312"/>
                <w:color w:val="000000" w:themeColor="text1"/>
                <w:sz w:val="24"/>
                <w:szCs w:val="24"/>
                <w:highlight w:val="none"/>
                <w14:textFill>
                  <w14:solidFill>
                    <w14:schemeClr w14:val="tx1"/>
                  </w14:solidFill>
                </w14:textFill>
              </w:rPr>
              <w:t>.保险资产风险分类状况</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半年度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w:t>
            </w:r>
            <w:r>
              <w:rPr>
                <w:rFonts w:ascii="仿宋_GB2312" w:hAnsi="仿宋_GB2312" w:cs="仿宋_GB2312"/>
                <w:color w:val="000000" w:themeColor="text1"/>
                <w:sz w:val="24"/>
                <w:szCs w:val="24"/>
                <w:highlight w:val="none"/>
                <w14:textFill>
                  <w14:solidFill>
                    <w14:schemeClr w14:val="tx1"/>
                  </w14:solidFill>
                </w14:textFill>
              </w:rPr>
              <w:t>5</w:t>
            </w:r>
            <w:r>
              <w:rPr>
                <w:rFonts w:hint="eastAsia" w:ascii="仿宋_GB2312" w:hAnsi="仿宋_GB2312" w:cs="仿宋_GB2312"/>
                <w:color w:val="000000" w:themeColor="text1"/>
                <w:sz w:val="24"/>
                <w:szCs w:val="24"/>
                <w:highlight w:val="none"/>
                <w14:textFill>
                  <w14:solidFill>
                    <w14:schemeClr w14:val="tx1"/>
                  </w14:solidFill>
                </w14:textFill>
              </w:rPr>
              <w:t>.集中度风险</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w:t>
            </w:r>
          </w:p>
        </w:tc>
        <w:tc>
          <w:tcPr>
            <w:tcW w:w="1008" w:type="dxa"/>
            <w:vMerge w:val="restart"/>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负债产品信息</w:t>
            </w: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1-3-1.保险合同负债/资产</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14</w:t>
            </w:r>
          </w:p>
        </w:tc>
        <w:tc>
          <w:tcPr>
            <w:tcW w:w="1008"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1-3-2.业务规划</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ascii="仿宋_GB2312" w:hAnsi="仿宋_GB2312" w:cs="仿宋_GB2312"/>
                <w:color w:val="000000" w:themeColor="text1"/>
                <w:sz w:val="24"/>
                <w:szCs w:val="24"/>
                <w:highlight w:val="none"/>
                <w14:textFill>
                  <w14:solidFill>
                    <w14:schemeClr w14:val="tx1"/>
                  </w14:solidFill>
                </w14:textFill>
              </w:rPr>
              <w:t>1</w:t>
            </w:r>
            <w:r>
              <w:rPr>
                <w:rFonts w:hint="eastAsia" w:ascii="仿宋_GB2312" w:hAnsi="仿宋_GB2312" w:cs="仿宋_GB2312"/>
                <w:color w:val="000000" w:themeColor="text1"/>
                <w:sz w:val="24"/>
                <w:szCs w:val="24"/>
                <w:highlight w:val="none"/>
                <w14:textFill>
                  <w14:solidFill>
                    <w14:schemeClr w14:val="tx1"/>
                  </w14:solidFill>
                </w14:textFill>
              </w:rPr>
              <w:t>5</w:t>
            </w:r>
          </w:p>
        </w:tc>
        <w:tc>
          <w:tcPr>
            <w:tcW w:w="1008" w:type="dxa"/>
            <w:vMerge w:val="restart"/>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期限结构匹配</w:t>
            </w:r>
          </w:p>
        </w:tc>
        <w:tc>
          <w:tcPr>
            <w:tcW w:w="4023" w:type="dxa"/>
            <w:shd w:val="clear" w:color="auto" w:fill="auto"/>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2-1-</w:t>
            </w:r>
            <w:r>
              <w:rPr>
                <w:rFonts w:ascii="仿宋_GB2312" w:hAnsi="仿宋_GB2312" w:cs="仿宋_GB2312"/>
                <w:color w:val="000000" w:themeColor="text1"/>
                <w:sz w:val="24"/>
                <w:szCs w:val="24"/>
                <w:highlight w:val="none"/>
                <w14:textFill>
                  <w14:solidFill>
                    <w14:schemeClr w14:val="tx1"/>
                  </w14:solidFill>
                </w14:textFill>
              </w:rPr>
              <w:t>1.</w:t>
            </w:r>
            <w:r>
              <w:rPr>
                <w:rFonts w:hint="eastAsia" w:ascii="仿宋_GB2312" w:hAnsi="仿宋_GB2312" w:cs="仿宋_GB2312"/>
                <w:color w:val="000000" w:themeColor="text1"/>
                <w:sz w:val="24"/>
                <w:szCs w:val="24"/>
                <w:highlight w:val="none"/>
                <w14:textFill>
                  <w14:solidFill>
                    <w14:schemeClr w14:val="tx1"/>
                  </w14:solidFill>
                </w14:textFill>
              </w:rPr>
              <w:t>沉淀资金预测</w:t>
            </w:r>
          </w:p>
        </w:tc>
        <w:tc>
          <w:tcPr>
            <w:tcW w:w="127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16</w:t>
            </w:r>
          </w:p>
        </w:tc>
        <w:tc>
          <w:tcPr>
            <w:tcW w:w="1008"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w:t>
            </w:r>
            <w:r>
              <w:rPr>
                <w:rFonts w:ascii="仿宋_GB2312" w:hAnsi="仿宋_GB2312" w:cs="仿宋_GB2312"/>
                <w:color w:val="000000" w:themeColor="text1"/>
                <w:sz w:val="24"/>
                <w:szCs w:val="24"/>
                <w:highlight w:val="none"/>
                <w14:textFill>
                  <w14:solidFill>
                    <w14:schemeClr w14:val="tx1"/>
                  </w14:solidFill>
                </w14:textFill>
              </w:rPr>
              <w:t>1</w:t>
            </w:r>
            <w:r>
              <w:rPr>
                <w:rFonts w:hint="eastAsia" w:ascii="仿宋_GB2312" w:hAnsi="仿宋_GB2312" w:cs="仿宋_GB2312"/>
                <w:color w:val="000000" w:themeColor="text1"/>
                <w:sz w:val="24"/>
                <w:szCs w:val="24"/>
                <w:highlight w:val="none"/>
                <w14:textFill>
                  <w14:solidFill>
                    <w14:schemeClr w14:val="tx1"/>
                  </w14:solidFill>
                </w14:textFill>
              </w:rPr>
              <w:t>-</w:t>
            </w:r>
            <w:r>
              <w:rPr>
                <w:rFonts w:ascii="仿宋_GB2312" w:hAnsi="仿宋_GB2312" w:cs="仿宋_GB2312"/>
                <w:color w:val="000000" w:themeColor="text1"/>
                <w:sz w:val="24"/>
                <w:szCs w:val="24"/>
                <w:highlight w:val="none"/>
                <w14:textFill>
                  <w14:solidFill>
                    <w14:schemeClr w14:val="tx1"/>
                  </w14:solidFill>
                </w14:textFill>
              </w:rPr>
              <w:t>2.</w:t>
            </w:r>
            <w:r>
              <w:rPr>
                <w:rFonts w:hint="eastAsia" w:ascii="仿宋_GB2312" w:hAnsi="仿宋_GB2312" w:cs="仿宋_GB2312"/>
                <w:color w:val="000000" w:themeColor="text1"/>
                <w:sz w:val="24"/>
                <w:szCs w:val="24"/>
                <w:highlight w:val="none"/>
                <w14:textFill>
                  <w14:solidFill>
                    <w14:schemeClr w14:val="tx1"/>
                  </w14:solidFill>
                </w14:textFill>
              </w:rPr>
              <w:t>沉淀资金匹配</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ascii="仿宋_GB2312" w:hAnsi="仿宋_GB2312" w:cs="仿宋_GB2312"/>
                <w:color w:val="000000" w:themeColor="text1"/>
                <w:sz w:val="24"/>
                <w:szCs w:val="24"/>
                <w:highlight w:val="none"/>
                <w14:textFill>
                  <w14:solidFill>
                    <w14:schemeClr w14:val="tx1"/>
                  </w14:solidFill>
                </w14:textFill>
              </w:rPr>
              <w:t>1</w:t>
            </w:r>
            <w:r>
              <w:rPr>
                <w:rFonts w:hint="eastAsia" w:ascii="仿宋_GB2312" w:hAnsi="仿宋_GB2312" w:cs="仿宋_GB2312"/>
                <w:color w:val="000000" w:themeColor="text1"/>
                <w:sz w:val="24"/>
                <w:szCs w:val="24"/>
                <w:highlight w:val="none"/>
                <w14:textFill>
                  <w14:solidFill>
                    <w14:schemeClr w14:val="tx1"/>
                  </w14:solidFill>
                </w14:textFill>
              </w:rPr>
              <w:t>7</w:t>
            </w:r>
          </w:p>
        </w:tc>
        <w:tc>
          <w:tcPr>
            <w:tcW w:w="1008" w:type="dxa"/>
            <w:vMerge w:val="restart"/>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成本收益匹配</w:t>
            </w:r>
          </w:p>
        </w:tc>
        <w:tc>
          <w:tcPr>
            <w:tcW w:w="4023" w:type="dxa"/>
            <w:shd w:val="clear" w:color="auto" w:fill="auto"/>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3-1</w:t>
            </w:r>
            <w:r>
              <w:rPr>
                <w:rFonts w:ascii="仿宋_GB2312" w:hAnsi="仿宋_GB2312" w:cs="仿宋_GB2312"/>
                <w:color w:val="000000" w:themeColor="text1"/>
                <w:sz w:val="24"/>
                <w:szCs w:val="24"/>
                <w:highlight w:val="none"/>
                <w14:textFill>
                  <w14:solidFill>
                    <w14:schemeClr w14:val="tx1"/>
                  </w14:solidFill>
                </w14:textFill>
              </w:rPr>
              <w:t>.</w:t>
            </w:r>
            <w:r>
              <w:rPr>
                <w:rFonts w:hint="eastAsia" w:ascii="仿宋_GB2312" w:hAnsi="仿宋_GB2312" w:cs="仿宋_GB2312"/>
                <w:color w:val="000000" w:themeColor="text1"/>
                <w:sz w:val="24"/>
                <w:szCs w:val="24"/>
                <w:highlight w:val="none"/>
                <w14:textFill>
                  <w14:solidFill>
                    <w14:schemeClr w14:val="tx1"/>
                  </w14:solidFill>
                </w14:textFill>
              </w:rPr>
              <w:t>成本收益匹配状况</w:t>
            </w:r>
          </w:p>
        </w:tc>
        <w:tc>
          <w:tcPr>
            <w:tcW w:w="127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18</w:t>
            </w:r>
          </w:p>
        </w:tc>
        <w:tc>
          <w:tcPr>
            <w:tcW w:w="1008"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3-2-1.收益预测</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ascii="仿宋_GB2312" w:hAnsi="仿宋_GB2312" w:cs="仿宋_GB2312"/>
                <w:color w:val="000000" w:themeColor="text1"/>
                <w:sz w:val="24"/>
                <w:szCs w:val="24"/>
                <w:highlight w:val="none"/>
                <w14:textFill>
                  <w14:solidFill>
                    <w14:schemeClr w14:val="tx1"/>
                  </w14:solidFill>
                </w14:textFill>
              </w:rPr>
              <w:t>1</w:t>
            </w:r>
            <w:r>
              <w:rPr>
                <w:rFonts w:hint="eastAsia" w:ascii="仿宋_GB2312" w:hAnsi="仿宋_GB2312" w:cs="仿宋_GB2312"/>
                <w:color w:val="000000" w:themeColor="text1"/>
                <w:sz w:val="24"/>
                <w:szCs w:val="24"/>
                <w:highlight w:val="none"/>
                <w14:textFill>
                  <w14:solidFill>
                    <w14:schemeClr w14:val="tx1"/>
                  </w14:solidFill>
                </w14:textFill>
              </w:rPr>
              <w:t>9</w:t>
            </w:r>
          </w:p>
        </w:tc>
        <w:tc>
          <w:tcPr>
            <w:tcW w:w="1008"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3-2-2.资产配置占比</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20</w:t>
            </w:r>
          </w:p>
        </w:tc>
        <w:tc>
          <w:tcPr>
            <w:tcW w:w="1008"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3-2-3.利差预测-基础情景</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21</w:t>
            </w:r>
          </w:p>
        </w:tc>
        <w:tc>
          <w:tcPr>
            <w:tcW w:w="1008"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3-2-3.利差预测-宏观压力情景</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22</w:t>
            </w:r>
          </w:p>
        </w:tc>
        <w:tc>
          <w:tcPr>
            <w:tcW w:w="1008"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23"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3-2-3.利差预测-业务压力情景</w:t>
            </w:r>
          </w:p>
        </w:tc>
        <w:tc>
          <w:tcPr>
            <w:tcW w:w="127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57"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23</w:t>
            </w:r>
          </w:p>
        </w:tc>
        <w:tc>
          <w:tcPr>
            <w:tcW w:w="1008"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流动性匹配</w:t>
            </w:r>
          </w:p>
        </w:tc>
        <w:tc>
          <w:tcPr>
            <w:tcW w:w="4023" w:type="dxa"/>
            <w:shd w:val="clear" w:color="auto" w:fill="auto"/>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4-1</w:t>
            </w:r>
            <w:r>
              <w:rPr>
                <w:rFonts w:ascii="仿宋_GB2312" w:hAnsi="仿宋_GB2312" w:cs="仿宋_GB2312"/>
                <w:color w:val="000000" w:themeColor="text1"/>
                <w:sz w:val="24"/>
                <w:szCs w:val="24"/>
                <w:highlight w:val="none"/>
                <w14:textFill>
                  <w14:solidFill>
                    <w14:schemeClr w14:val="tx1"/>
                  </w14:solidFill>
                </w14:textFill>
              </w:rPr>
              <w:t>.</w:t>
            </w:r>
            <w:r>
              <w:rPr>
                <w:rFonts w:hint="eastAsia" w:ascii="仿宋_GB2312" w:hAnsi="仿宋_GB2312" w:cs="仿宋_GB2312"/>
                <w:color w:val="000000" w:themeColor="text1"/>
                <w:sz w:val="24"/>
                <w:szCs w:val="24"/>
                <w:highlight w:val="none"/>
                <w14:textFill>
                  <w14:solidFill>
                    <w14:schemeClr w14:val="tx1"/>
                  </w14:solidFill>
                </w14:textFill>
              </w:rPr>
              <w:t>流动性覆盖率</w:t>
            </w:r>
          </w:p>
        </w:tc>
        <w:tc>
          <w:tcPr>
            <w:tcW w:w="127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57"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bl>
    <w:p>
      <w:pPr>
        <w:tabs>
          <w:tab w:val="left" w:pos="6720"/>
        </w:tabs>
        <w:ind w:firstLine="0" w:firstLineChars="0"/>
        <w:jc w:val="both"/>
        <w:outlineLvl w:val="0"/>
        <w:rPr>
          <w:rFonts w:ascii="黑体" w:hAnsi="黑体" w:eastAsia="黑体" w:cs="Times New Roman"/>
          <w:color w:val="000000"/>
          <w:szCs w:val="32"/>
          <w:highlight w:val="none"/>
        </w:rPr>
      </w:pPr>
      <w:r>
        <w:rPr>
          <w:rFonts w:hint="eastAsia" w:ascii="黑体" w:hAnsi="黑体" w:eastAsia="黑体" w:cs="Times New Roman"/>
          <w:color w:val="000000"/>
          <w:szCs w:val="32"/>
          <w:highlight w:val="none"/>
        </w:rPr>
        <w:t>人身保险公司报告概览</w:t>
      </w:r>
    </w:p>
    <w:tbl>
      <w:tblPr>
        <w:tblStyle w:val="16"/>
        <w:tblW w:w="8310"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9"/>
        <w:gridCol w:w="959"/>
        <w:gridCol w:w="4062"/>
        <w:gridCol w:w="1286"/>
        <w:gridCol w:w="136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序号</w:t>
            </w:r>
          </w:p>
        </w:tc>
        <w:tc>
          <w:tcPr>
            <w:tcW w:w="5021" w:type="dxa"/>
            <w:gridSpan w:val="2"/>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项目</w:t>
            </w:r>
          </w:p>
        </w:tc>
        <w:tc>
          <w:tcPr>
            <w:tcW w:w="128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计量频率</w:t>
            </w:r>
          </w:p>
        </w:tc>
        <w:tc>
          <w:tcPr>
            <w:tcW w:w="1364"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报告频率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w:t>
            </w:r>
          </w:p>
        </w:tc>
        <w:tc>
          <w:tcPr>
            <w:tcW w:w="959" w:type="dxa"/>
            <w:vMerge w:val="restart"/>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资产配置状况</w:t>
            </w:r>
          </w:p>
        </w:tc>
        <w:tc>
          <w:tcPr>
            <w:tcW w:w="4062" w:type="dxa"/>
            <w:shd w:val="clear" w:color="auto" w:fill="auto"/>
            <w:noWrap/>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1-1-1.资产规模和偿付能力充足率</w:t>
            </w:r>
          </w:p>
        </w:tc>
        <w:tc>
          <w:tcPr>
            <w:tcW w:w="128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1-1-2.资金运用规模</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1-1-3.资金运用比例监管</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4</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1-1-4.固定收益类投资资产剩余期限分布</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5</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1-1-5.风险10日VaR值</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6</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1-1-6.外汇敞口</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7</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1-1-7.融资杠杆比例</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8</w:t>
            </w:r>
          </w:p>
        </w:tc>
        <w:tc>
          <w:tcPr>
            <w:tcW w:w="959" w:type="dxa"/>
            <w:vMerge w:val="restart"/>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资产信用状况</w:t>
            </w: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1-2-1.固定收益类投资资产信用评级</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9</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1-2-2.存款及同业存单</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10</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1-2-3.固定收益类投资资产信用评级剩余期限分布</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11</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w:t>
            </w:r>
            <w:r>
              <w:rPr>
                <w:rFonts w:ascii="仿宋_GB2312" w:hAnsi="仿宋_GB2312" w:cs="仿宋_GB2312"/>
                <w:color w:val="000000" w:themeColor="text1"/>
                <w:sz w:val="24"/>
                <w:szCs w:val="24"/>
                <w:highlight w:val="none"/>
                <w14:textFill>
                  <w14:solidFill>
                    <w14:schemeClr w14:val="tx1"/>
                  </w14:solidFill>
                </w14:textFill>
              </w:rPr>
              <w:t>4</w:t>
            </w:r>
            <w:r>
              <w:rPr>
                <w:rFonts w:hint="eastAsia" w:ascii="仿宋_GB2312" w:hAnsi="仿宋_GB2312" w:cs="仿宋_GB2312"/>
                <w:color w:val="000000" w:themeColor="text1"/>
                <w:sz w:val="24"/>
                <w:szCs w:val="24"/>
                <w:highlight w:val="none"/>
                <w14:textFill>
                  <w14:solidFill>
                    <w14:schemeClr w14:val="tx1"/>
                  </w14:solidFill>
                </w14:textFill>
              </w:rPr>
              <w:t>.保险资产风险分类状况</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半年度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1-2-</w:t>
            </w:r>
            <w:r>
              <w:rPr>
                <w:rFonts w:ascii="仿宋_GB2312" w:hAnsi="仿宋_GB2312" w:cs="仿宋_GB2312"/>
                <w:color w:val="000000" w:themeColor="text1"/>
                <w:sz w:val="24"/>
                <w:szCs w:val="24"/>
                <w:highlight w:val="none"/>
                <w14:textFill>
                  <w14:solidFill>
                    <w14:schemeClr w14:val="tx1"/>
                  </w14:solidFill>
                </w14:textFill>
              </w:rPr>
              <w:t>5</w:t>
            </w:r>
            <w:r>
              <w:rPr>
                <w:rFonts w:hint="eastAsia" w:ascii="仿宋_GB2312" w:hAnsi="仿宋_GB2312" w:cs="仿宋_GB2312"/>
                <w:color w:val="000000" w:themeColor="text1"/>
                <w:sz w:val="24"/>
                <w:szCs w:val="24"/>
                <w:highlight w:val="none"/>
                <w14:textFill>
                  <w14:solidFill>
                    <w14:schemeClr w14:val="tx1"/>
                  </w14:solidFill>
                </w14:textFill>
              </w:rPr>
              <w:t>.集中度风险</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w:t>
            </w:r>
          </w:p>
        </w:tc>
        <w:tc>
          <w:tcPr>
            <w:tcW w:w="959" w:type="dxa"/>
            <w:vMerge w:val="restart"/>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负债产品信息</w:t>
            </w: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1-3-1.保险合同负债/资产</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14</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1-3-2.负债规模占比</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15</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1-3-3.新单保费</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16</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1-3-4.保单续保率情况</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17</w:t>
            </w:r>
          </w:p>
        </w:tc>
        <w:tc>
          <w:tcPr>
            <w:tcW w:w="959" w:type="dxa"/>
            <w:vMerge w:val="continue"/>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noWrap/>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1-3-5.三年新业务规划</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18</w:t>
            </w:r>
          </w:p>
        </w:tc>
        <w:tc>
          <w:tcPr>
            <w:tcW w:w="959" w:type="dxa"/>
            <w:vMerge w:val="restart"/>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期限结构匹配</w:t>
            </w:r>
          </w:p>
        </w:tc>
        <w:tc>
          <w:tcPr>
            <w:tcW w:w="4062" w:type="dxa"/>
            <w:shd w:val="clear" w:color="auto" w:fill="auto"/>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2-1.期限结构匹配测试_利率风险对冲率</w:t>
            </w:r>
          </w:p>
        </w:tc>
        <w:tc>
          <w:tcPr>
            <w:tcW w:w="128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19</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2-2.期限结构匹配测试_基点价值变动率</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20</w:t>
            </w:r>
          </w:p>
        </w:tc>
        <w:tc>
          <w:tcPr>
            <w:tcW w:w="959" w:type="dxa"/>
            <w:vMerge w:val="restart"/>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成本收益匹配</w:t>
            </w:r>
          </w:p>
        </w:tc>
        <w:tc>
          <w:tcPr>
            <w:tcW w:w="4062" w:type="dxa"/>
            <w:shd w:val="clear" w:color="auto" w:fill="auto"/>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3-1.成本收益匹配状况</w:t>
            </w:r>
          </w:p>
        </w:tc>
        <w:tc>
          <w:tcPr>
            <w:tcW w:w="128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21</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3-2-1.收益预测</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22</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3-2-2.资产配置占比</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23</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3-2-3.成本收益压力测试-宏观压力情景</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24</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3-2-3.成本收益压力测试-利率上行压力情景</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25</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3-2-3.成本收益压力测试-利率下行压力情景</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年度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26</w:t>
            </w:r>
          </w:p>
        </w:tc>
        <w:tc>
          <w:tcPr>
            <w:tcW w:w="959" w:type="dxa"/>
            <w:vMerge w:val="restart"/>
            <w:shd w:val="clear" w:color="auto" w:fill="auto"/>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流动性匹配</w:t>
            </w:r>
          </w:p>
        </w:tc>
        <w:tc>
          <w:tcPr>
            <w:tcW w:w="4062" w:type="dxa"/>
            <w:shd w:val="clear" w:color="auto" w:fill="auto"/>
            <w:vAlign w:val="center"/>
          </w:tcPr>
          <w:p>
            <w:pPr>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4-</w:t>
            </w:r>
            <w:r>
              <w:rPr>
                <w:rFonts w:ascii="仿宋_GB2312" w:hAnsi="仿宋_GB2312" w:cs="仿宋_GB2312"/>
                <w:color w:val="000000" w:themeColor="text1"/>
                <w:sz w:val="24"/>
                <w:szCs w:val="24"/>
                <w:highlight w:val="none"/>
                <w14:textFill>
                  <w14:solidFill>
                    <w14:schemeClr w14:val="tx1"/>
                  </w14:solidFill>
                </w14:textFill>
              </w:rPr>
              <w:t>1.</w:t>
            </w:r>
            <w:r>
              <w:rPr>
                <w:rFonts w:hint="eastAsia" w:ascii="仿宋_GB2312" w:hAnsi="仿宋_GB2312" w:cs="仿宋_GB2312"/>
                <w:color w:val="000000" w:themeColor="text1"/>
                <w:sz w:val="24"/>
                <w:szCs w:val="24"/>
                <w:highlight w:val="none"/>
                <w14:textFill>
                  <w14:solidFill>
                    <w14:schemeClr w14:val="tx1"/>
                  </w14:solidFill>
                </w14:textFill>
              </w:rPr>
              <w:t>流动性覆盖率</w:t>
            </w:r>
          </w:p>
        </w:tc>
        <w:tc>
          <w:tcPr>
            <w:tcW w:w="1286"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68" w:hRule="atLeast"/>
          <w:jc w:val="center"/>
        </w:trPr>
        <w:tc>
          <w:tcPr>
            <w:tcW w:w="639" w:type="dxa"/>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27</w:t>
            </w:r>
          </w:p>
        </w:tc>
        <w:tc>
          <w:tcPr>
            <w:tcW w:w="959" w:type="dxa"/>
            <w:vMerge w:val="continue"/>
            <w:shd w:val="clear" w:color="auto" w:fill="auto"/>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p>
        </w:tc>
        <w:tc>
          <w:tcPr>
            <w:tcW w:w="4062" w:type="dxa"/>
            <w:shd w:val="clear" w:color="auto" w:fill="auto"/>
            <w:vAlign w:val="center"/>
          </w:tcPr>
          <w:p>
            <w:pPr>
              <w:widowControl/>
              <w:spacing w:line="240" w:lineRule="auto"/>
              <w:ind w:firstLine="0" w:firstLineChars="0"/>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4-</w:t>
            </w:r>
            <w:r>
              <w:rPr>
                <w:rFonts w:ascii="仿宋_GB2312" w:hAnsi="仿宋_GB2312" w:cs="仿宋_GB2312"/>
                <w:color w:val="000000" w:themeColor="text1"/>
                <w:sz w:val="24"/>
                <w:szCs w:val="24"/>
                <w:highlight w:val="none"/>
                <w14:textFill>
                  <w14:solidFill>
                    <w14:schemeClr w14:val="tx1"/>
                  </w14:solidFill>
                </w14:textFill>
              </w:rPr>
              <w:t>2.</w:t>
            </w:r>
            <w:r>
              <w:rPr>
                <w:rFonts w:hint="eastAsia" w:ascii="仿宋_GB2312" w:hAnsi="仿宋_GB2312" w:cs="仿宋_GB2312"/>
                <w:color w:val="000000" w:themeColor="text1"/>
                <w:sz w:val="24"/>
                <w:szCs w:val="24"/>
                <w:highlight w:val="none"/>
                <w14:textFill>
                  <w14:solidFill>
                    <w14:schemeClr w14:val="tx1"/>
                  </w14:solidFill>
                </w14:textFill>
              </w:rPr>
              <w:t>流动性匹配率</w:t>
            </w:r>
          </w:p>
        </w:tc>
        <w:tc>
          <w:tcPr>
            <w:tcW w:w="1286"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季度</w:t>
            </w:r>
          </w:p>
        </w:tc>
        <w:tc>
          <w:tcPr>
            <w:tcW w:w="1364" w:type="dxa"/>
            <w:shd w:val="clear" w:color="auto" w:fill="auto"/>
            <w:noWrap/>
            <w:vAlign w:val="center"/>
          </w:tcPr>
          <w:p>
            <w:pPr>
              <w:widowControl/>
              <w:spacing w:line="240" w:lineRule="auto"/>
              <w:ind w:firstLine="0" w:firstLineChars="0"/>
              <w:jc w:val="both"/>
              <w:rPr>
                <w:rFonts w:ascii="仿宋_GB2312" w:hAnsi="仿宋_GB2312" w:cs="仿宋_GB2312"/>
                <w:color w:val="000000" w:themeColor="text1"/>
                <w:sz w:val="24"/>
                <w:szCs w:val="24"/>
                <w:highlight w:val="none"/>
                <w14:textFill>
                  <w14:solidFill>
                    <w14:schemeClr w14:val="tx1"/>
                  </w14:solidFill>
                </w14:textFill>
              </w:rPr>
            </w:pPr>
            <w:r>
              <w:rPr>
                <w:rFonts w:hint="eastAsia" w:ascii="仿宋_GB2312" w:hAnsi="仿宋_GB2312" w:cs="仿宋_GB2312"/>
                <w:color w:val="000000" w:themeColor="text1"/>
                <w:sz w:val="24"/>
                <w:szCs w:val="24"/>
                <w:highlight w:val="none"/>
                <w14:textFill>
                  <w14:solidFill>
                    <w14:schemeClr w14:val="tx1"/>
                  </w14:solidFill>
                </w14:textFill>
              </w:rPr>
              <w:t>季报</w:t>
            </w:r>
          </w:p>
        </w:tc>
      </w:tr>
    </w:tbl>
    <w:p>
      <w:pPr>
        <w:tabs>
          <w:tab w:val="left" w:pos="6720"/>
        </w:tabs>
        <w:ind w:firstLine="640"/>
        <w:outlineLvl w:val="0"/>
        <w:rPr>
          <w:rFonts w:ascii="仿宋_GB2312" w:hAnsi="仿宋_GB2312" w:eastAsia="黑体" w:cs="Times New Roman"/>
          <w:color w:val="000000"/>
          <w:szCs w:val="32"/>
          <w:highlight w:val="none"/>
        </w:rPr>
      </w:pPr>
      <w:r>
        <w:rPr>
          <w:rFonts w:hint="eastAsia" w:ascii="仿宋_GB2312" w:hAnsi="仿宋_GB2312" w:eastAsia="黑体" w:cs="Times New Roman"/>
          <w:color w:val="000000"/>
          <w:szCs w:val="32"/>
          <w:highlight w:val="none"/>
        </w:rPr>
        <w:t>三、报告基本要求</w:t>
      </w:r>
    </w:p>
    <w:p>
      <w:pPr>
        <w:ind w:firstLine="640"/>
        <w:rPr>
          <w:rFonts w:ascii="仿宋_GB2312" w:hAnsi="仿宋_GB2312"/>
          <w:highlight w:val="none"/>
        </w:rPr>
      </w:pPr>
      <w:r>
        <w:rPr>
          <w:rFonts w:hint="eastAsia" w:ascii="仿宋_GB2312" w:hAnsi="仿宋_GB2312" w:cs="Arial"/>
          <w:highlight w:val="none"/>
        </w:rPr>
        <w:t>（一）保险公司以表格形式</w:t>
      </w:r>
      <w:r>
        <w:rPr>
          <w:rFonts w:hint="eastAsia" w:ascii="仿宋_GB2312" w:hAnsi="仿宋_GB2312"/>
          <w:highlight w:val="none"/>
        </w:rPr>
        <w:t>进行资产负债监管信息报告，应按说明填写固定表格并转为</w:t>
      </w:r>
      <w:r>
        <w:rPr>
          <w:rFonts w:ascii="仿宋_GB2312" w:hAnsi="仿宋_GB2312"/>
          <w:highlight w:val="none"/>
        </w:rPr>
        <w:t>XML</w:t>
      </w:r>
      <w:r>
        <w:rPr>
          <w:rFonts w:hint="eastAsia" w:ascii="仿宋_GB2312" w:hAnsi="仿宋_GB2312"/>
          <w:highlight w:val="none"/>
        </w:rPr>
        <w:t>文件上报系统。非标准化信息可在“备注表”中补充报告。</w:t>
      </w:r>
      <w:r>
        <w:rPr>
          <w:rFonts w:hint="eastAsia" w:ascii="仿宋_GB2312" w:hAnsi="仿宋_GB2312" w:cs="宋体"/>
          <w:highlight w:val="none"/>
        </w:rPr>
        <w:t>所有报表中数据，金额类填报小数点后两位，其余填报小数点后四位（百分号为小数点后两位），金额单位为人民币元。</w:t>
      </w:r>
      <w:r>
        <w:rPr>
          <w:rFonts w:hint="eastAsia" w:ascii="仿宋_GB2312" w:hAnsi="仿宋_GB2312"/>
          <w:highlight w:val="none"/>
        </w:rPr>
        <w:t>置灰单元格无需填写。</w:t>
      </w:r>
    </w:p>
    <w:p>
      <w:pPr>
        <w:ind w:firstLine="640"/>
        <w:rPr>
          <w:rFonts w:ascii="仿宋_GB2312" w:hAnsi="仿宋_GB2312"/>
          <w:highlight w:val="none"/>
        </w:rPr>
      </w:pPr>
      <w:r>
        <w:rPr>
          <w:rFonts w:hint="eastAsia" w:ascii="仿宋_GB2312" w:hAnsi="仿宋_GB2312"/>
          <w:highlight w:val="none"/>
        </w:rPr>
        <w:t>（二）保险公司</w:t>
      </w:r>
      <w:r>
        <w:rPr>
          <w:rFonts w:ascii="仿宋_GB2312" w:hAnsi="仿宋_GB2312"/>
          <w:highlight w:val="none"/>
        </w:rPr>
        <w:t>应根据</w:t>
      </w:r>
      <w:r>
        <w:rPr>
          <w:rFonts w:hint="eastAsia" w:ascii="仿宋_GB2312" w:hAnsi="仿宋_GB2312"/>
          <w:highlight w:val="none"/>
        </w:rPr>
        <w:t>本通知</w:t>
      </w:r>
      <w:r>
        <w:rPr>
          <w:rFonts w:ascii="仿宋_GB2312" w:hAnsi="仿宋_GB2312"/>
          <w:highlight w:val="none"/>
        </w:rPr>
        <w:t>要求，分别按照季度</w:t>
      </w:r>
      <w:r>
        <w:rPr>
          <w:rFonts w:hint="eastAsia" w:ascii="仿宋_GB2312" w:hAnsi="仿宋_GB2312"/>
          <w:highlight w:val="none"/>
        </w:rPr>
        <w:t>和</w:t>
      </w:r>
      <w:r>
        <w:rPr>
          <w:rFonts w:ascii="仿宋_GB2312" w:hAnsi="仿宋_GB2312"/>
          <w:highlight w:val="none"/>
        </w:rPr>
        <w:t>年度的频率</w:t>
      </w:r>
      <w:r>
        <w:rPr>
          <w:rFonts w:hint="eastAsia" w:ascii="仿宋_GB2312" w:hAnsi="仿宋_GB2312"/>
          <w:highlight w:val="none"/>
        </w:rPr>
        <w:t>报告</w:t>
      </w:r>
      <w:r>
        <w:rPr>
          <w:rFonts w:ascii="仿宋_GB2312" w:hAnsi="仿宋_GB2312"/>
          <w:highlight w:val="none"/>
        </w:rPr>
        <w:t>。</w:t>
      </w:r>
      <w:r>
        <w:rPr>
          <w:rFonts w:hint="eastAsia" w:ascii="仿宋_GB2312" w:hAnsi="仿宋_GB2312"/>
          <w:highlight w:val="none"/>
        </w:rPr>
        <w:t>年报需要说明的内容及审核情况单独附文报告。</w:t>
      </w:r>
    </w:p>
    <w:p>
      <w:pPr>
        <w:ind w:firstLine="640"/>
        <w:rPr>
          <w:rFonts w:ascii="仿宋_GB2312" w:hAnsi="仿宋_GB2312" w:cs="Arial"/>
          <w:highlight w:val="none"/>
        </w:rPr>
      </w:pPr>
      <w:r>
        <w:rPr>
          <w:rFonts w:hint="eastAsia" w:ascii="仿宋_GB2312" w:hAnsi="仿宋_GB2312" w:cs="Arial"/>
          <w:highlight w:val="none"/>
        </w:rPr>
        <w:t>（三）保险公司应当按照报告内容概览中的频率开展计量。报告期无需计量的指标，采用最近一期的计量结果填报。保险公司可根据管理需要，增加计量和报告频率。</w:t>
      </w:r>
    </w:p>
    <w:p>
      <w:pPr>
        <w:tabs>
          <w:tab w:val="left" w:pos="6720"/>
        </w:tabs>
        <w:ind w:firstLine="640"/>
        <w:outlineLvl w:val="0"/>
        <w:rPr>
          <w:rFonts w:ascii="仿宋_GB2312" w:hAnsi="仿宋_GB2312" w:eastAsia="黑体" w:cs="Times New Roman"/>
          <w:color w:val="000000"/>
          <w:szCs w:val="32"/>
          <w:highlight w:val="none"/>
        </w:rPr>
      </w:pPr>
      <w:r>
        <w:rPr>
          <w:rFonts w:hint="eastAsia" w:ascii="仿宋_GB2312" w:hAnsi="仿宋_GB2312" w:eastAsia="黑体" w:cs="Times New Roman"/>
          <w:color w:val="000000"/>
          <w:szCs w:val="32"/>
          <w:highlight w:val="none"/>
        </w:rPr>
        <w:t>四、回溯报告要求</w:t>
      </w:r>
    </w:p>
    <w:p>
      <w:pPr>
        <w:ind w:firstLine="640"/>
        <w:rPr>
          <w:rFonts w:ascii="仿宋_GB2312" w:hAnsi="仿宋_GB2312"/>
          <w:highlight w:val="none"/>
        </w:rPr>
      </w:pPr>
      <w:r>
        <w:rPr>
          <w:rFonts w:hint="eastAsia" w:ascii="仿宋_GB2312" w:hAnsi="仿宋_GB2312"/>
          <w:highlight w:val="none"/>
        </w:rPr>
        <w:t>（一）对于要求同时报告当期和前期数据的表格，如果保险公司变更计量方法并首次进行相关报告，则无需对前期数据追溯报告。计量规则或表格中另有规定的除外。</w:t>
      </w:r>
    </w:p>
    <w:p>
      <w:pPr>
        <w:ind w:firstLine="640"/>
        <w:rPr>
          <w:rFonts w:ascii="仿宋_GB2312" w:hAnsi="仿宋_GB2312"/>
          <w:highlight w:val="none"/>
        </w:rPr>
      </w:pPr>
      <w:bookmarkStart w:id="0" w:name="OLE_LINK26"/>
      <w:bookmarkStart w:id="1" w:name="OLE_LINK25"/>
      <w:r>
        <w:rPr>
          <w:rFonts w:hint="eastAsia" w:ascii="仿宋_GB2312" w:hAnsi="仿宋_GB2312"/>
          <w:highlight w:val="none"/>
        </w:rPr>
        <w:t>（二）</w:t>
      </w:r>
      <w:bookmarkEnd w:id="0"/>
      <w:bookmarkEnd w:id="1"/>
      <w:r>
        <w:rPr>
          <w:rFonts w:hint="eastAsia" w:ascii="仿宋_GB2312" w:hAnsi="仿宋_GB2312"/>
          <w:highlight w:val="none"/>
        </w:rPr>
        <w:t>报告期新开业的保险公司，在填报上季末或上年末数据时，按公司开业时点的数据进行填报。</w:t>
      </w:r>
    </w:p>
    <w:p>
      <w:pPr>
        <w:tabs>
          <w:tab w:val="left" w:pos="6720"/>
        </w:tabs>
        <w:ind w:firstLine="640"/>
        <w:outlineLvl w:val="0"/>
        <w:rPr>
          <w:rFonts w:ascii="仿宋_GB2312" w:hAnsi="仿宋_GB2312" w:eastAsia="黑体" w:cs="Times New Roman"/>
          <w:color w:val="000000"/>
          <w:szCs w:val="32"/>
          <w:highlight w:val="none"/>
        </w:rPr>
      </w:pPr>
      <w:r>
        <w:rPr>
          <w:rFonts w:hint="eastAsia" w:ascii="仿宋_GB2312" w:hAnsi="仿宋_GB2312" w:eastAsia="黑体" w:cs="Times New Roman"/>
          <w:color w:val="000000"/>
          <w:szCs w:val="32"/>
          <w:highlight w:val="none"/>
        </w:rPr>
        <w:t>五、第三方审核要求</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（一）独立第三方审核机构</w:t>
      </w:r>
    </w:p>
    <w:p>
      <w:pPr>
        <w:ind w:firstLine="640"/>
        <w:rPr>
          <w:rFonts w:ascii="仿宋_GB2312" w:hAnsi="仿宋_GB2312"/>
          <w:highlight w:val="none"/>
        </w:rPr>
      </w:pPr>
      <w:r>
        <w:rPr>
          <w:rFonts w:hint="eastAsia" w:ascii="仿宋_GB2312" w:hAnsi="仿宋_GB2312"/>
          <w:highlight w:val="none"/>
        </w:rPr>
        <w:t>对保险公司的资产负债管理报表出具审核意见的独立第三方审核机构，是指符合独立性要求和具备资产负债管理报表审核所必需的专业胜任能力的会计师事务所、精算咨询顾问公司等机构。独立第三方审核机构的独立性应满足财政部关于中国注册会计师执业道德规范的有关要求，保持实质上和形式上的独立，不得因任何利害关系影响其客观、公正的立场。</w:t>
      </w:r>
    </w:p>
    <w:p>
      <w:pPr>
        <w:pStyle w:val="4"/>
        <w:ind w:firstLine="640"/>
        <w:rPr>
          <w:rFonts w:hint="eastAsia" w:ascii="楷体_GB2312" w:hAnsi="楷体_GB2312" w:eastAsia="楷体_GB2312" w:cs="楷体_GB2312"/>
          <w:kern w:val="2"/>
          <w:sz w:val="32"/>
          <w:szCs w:val="22"/>
          <w:lang w:val="en-US" w:eastAsia="zh-CN" w:bidi="ar-SA"/>
        </w:rPr>
      </w:pPr>
      <w:r>
        <w:rPr>
          <w:rFonts w:ascii="楷体_GB2312" w:hAnsi="楷体_GB2312" w:eastAsia="楷体_GB2312" w:cs="楷体_GB2312"/>
          <w:kern w:val="2"/>
          <w:sz w:val="32"/>
          <w:szCs w:val="22"/>
          <w:lang w:val="en-US" w:eastAsia="zh-CN" w:bidi="ar-SA"/>
        </w:rPr>
        <w:t>（二）审核原则</w:t>
      </w:r>
    </w:p>
    <w:p>
      <w:pPr>
        <w:ind w:firstLine="640"/>
        <w:rPr>
          <w:rFonts w:ascii="仿宋_GB2312" w:hAnsi="仿宋_GB2312" w:cs="Arial"/>
          <w:sz w:val="30"/>
          <w:szCs w:val="30"/>
          <w:highlight w:val="none"/>
        </w:rPr>
      </w:pPr>
      <w:r>
        <w:rPr>
          <w:rFonts w:hint="eastAsia" w:ascii="仿宋_GB2312" w:hAnsi="仿宋_GB2312"/>
          <w:highlight w:val="none"/>
        </w:rPr>
        <w:t>独立第三方审核机构应当按照本规则的要求，从事财产保险公司、人身保险公司资产负债管理报表审核业务，本规则未明确规定的事项，适用《中国注册会计师其他鉴证业务准则第3101号——历史财务信息审计或审阅以外的鉴证业务》及《中国注册会计师其他业务鉴证准则第3111号——预测性财务信息的审核》。除会计师事务所以外，精算咨询顾问公司等独立第三方审核机构从事资产负债管理报表审核业务，应参照中国注册会计师执业准则的有关要求确定审核程序、编制和保存审核工作底稿、利用其他注册会计师的工作以及发表审核意见等。</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（三）审核范围</w:t>
      </w:r>
    </w:p>
    <w:p>
      <w:pPr>
        <w:ind w:firstLine="640"/>
        <w:rPr>
          <w:rFonts w:ascii="仿宋_GB2312" w:hAnsi="仿宋_GB2312"/>
          <w:highlight w:val="none"/>
        </w:rPr>
      </w:pPr>
      <w:r>
        <w:rPr>
          <w:rFonts w:hint="eastAsia" w:ascii="仿宋_GB2312" w:hAnsi="仿宋_GB2312"/>
          <w:highlight w:val="none"/>
        </w:rPr>
        <w:t>独立第三方审核机构应当对保险公司资产负债管理报表的下列事项进行审核：</w:t>
      </w:r>
    </w:p>
    <w:p>
      <w:pPr>
        <w:ind w:firstLine="640"/>
        <w:rPr>
          <w:rFonts w:ascii="仿宋_GB2312" w:hAnsi="仿宋_GB2312"/>
          <w:highlight w:val="none"/>
        </w:rPr>
      </w:pPr>
      <w:r>
        <w:rPr>
          <w:rFonts w:hint="eastAsia" w:ascii="仿宋_GB2312" w:hAnsi="仿宋_GB2312"/>
          <w:highlight w:val="none"/>
        </w:rPr>
        <w:t>1.财产保险公司、人身保险公司编制资产负债管理报表依赖的公司财务信息，包括：财产保险公司资产负债管理报表[表1-1]、[表1-2-5]和[表1-3]，人身保险公司资产负债管理报表[表1-1]、[表1-2-5]和[表1-3]。</w:t>
      </w:r>
    </w:p>
    <w:p>
      <w:pPr>
        <w:ind w:firstLine="640"/>
        <w:rPr>
          <w:rFonts w:ascii="仿宋_GB2312" w:hAnsi="仿宋_GB2312"/>
          <w:highlight w:val="none"/>
        </w:rPr>
      </w:pPr>
      <w:r>
        <w:rPr>
          <w:rFonts w:hint="eastAsia" w:ascii="仿宋_GB2312" w:hAnsi="仿宋_GB2312"/>
          <w:highlight w:val="none"/>
        </w:rPr>
        <w:t>2.财产保险公司、人身保险公司资产负债管理报表中关于期限结构匹配、成本收益匹配及流动性匹配的预测方法和程序的合规性、合理性。</w:t>
      </w:r>
    </w:p>
    <w:p>
      <w:pPr>
        <w:ind w:firstLine="640"/>
        <w:rPr>
          <w:rFonts w:ascii="仿宋_GB2312" w:hAnsi="仿宋_GB2312"/>
          <w:highlight w:val="none"/>
        </w:rPr>
      </w:pPr>
      <w:r>
        <w:rPr>
          <w:rFonts w:hint="eastAsia" w:ascii="仿宋_GB2312" w:hAnsi="仿宋_GB2312"/>
          <w:highlight w:val="none"/>
        </w:rPr>
        <w:t>3.财产保险公司、人身保险公司资产负债管理报表涵盖业务的全面性及大类账户的全面性。</w:t>
      </w:r>
    </w:p>
    <w:p>
      <w:pPr>
        <w:ind w:firstLine="640"/>
        <w:rPr>
          <w:rFonts w:ascii="仿宋_GB2312" w:hAnsi="仿宋_GB2312"/>
          <w:highlight w:val="none"/>
        </w:rPr>
      </w:pPr>
      <w:r>
        <w:rPr>
          <w:rFonts w:hint="eastAsia" w:ascii="仿宋_GB2312" w:hAnsi="仿宋_GB2312"/>
          <w:highlight w:val="none"/>
        </w:rPr>
        <w:t>4.基础情景所采用的预测假设及相关事项（如业务规划、资产战略配置规划、年度资产配置计划、投资收益率、赔付率、退保率、费用率等），并与近期实际经验进行对比，进一步审核公司对预测假设与实际经验的显著差异所做解释的合理性。</w:t>
      </w:r>
    </w:p>
    <w:p>
      <w:pPr>
        <w:ind w:firstLine="640"/>
        <w:rPr>
          <w:rFonts w:ascii="仿宋_GB2312" w:hAnsi="仿宋_GB2312"/>
          <w:highlight w:val="none"/>
        </w:rPr>
      </w:pPr>
      <w:r>
        <w:rPr>
          <w:rFonts w:hint="eastAsia" w:ascii="仿宋_GB2312" w:hAnsi="仿宋_GB2312"/>
          <w:highlight w:val="none"/>
        </w:rPr>
        <w:t>在对基础情景的审核中，独立第三方审核机构应重点关注以下事项：</w:t>
      </w:r>
    </w:p>
    <w:p>
      <w:pPr>
        <w:ind w:firstLine="640"/>
        <w:rPr>
          <w:rFonts w:ascii="仿宋_GB2312" w:hAnsi="仿宋_GB2312"/>
          <w:highlight w:val="none"/>
        </w:rPr>
      </w:pPr>
      <w:r>
        <w:rPr>
          <w:rFonts w:hint="eastAsia" w:ascii="仿宋_GB2312" w:hAnsi="仿宋_GB2312"/>
          <w:highlight w:val="none"/>
        </w:rPr>
        <w:t>（1）业务规划是否真实反映了董事会或管理层的观点并得到批准，通过与市场发展规模进行横向比较，进一步审核业务规划的合理性；</w:t>
      </w:r>
    </w:p>
    <w:p>
      <w:pPr>
        <w:ind w:firstLine="640"/>
        <w:rPr>
          <w:rFonts w:ascii="仿宋_GB2312" w:hAnsi="仿宋_GB2312"/>
          <w:highlight w:val="none"/>
        </w:rPr>
      </w:pPr>
      <w:r>
        <w:rPr>
          <w:rFonts w:hint="eastAsia" w:ascii="仿宋_GB2312" w:hAnsi="仿宋_GB2312"/>
          <w:highlight w:val="none"/>
        </w:rPr>
        <w:t>（2）资产战略配置规划及年度资产配置计划是否真实反映了董事会或管理层的观点并得到批准，并进一步审核大类资产配置比例及投资收益率假设的合理性；</w:t>
      </w:r>
    </w:p>
    <w:p>
      <w:pPr>
        <w:ind w:firstLine="640"/>
        <w:rPr>
          <w:rFonts w:ascii="仿宋_GB2312" w:hAnsi="仿宋_GB2312"/>
          <w:highlight w:val="none"/>
        </w:rPr>
      </w:pPr>
      <w:r>
        <w:rPr>
          <w:rFonts w:hint="eastAsia" w:ascii="仿宋_GB2312" w:hAnsi="仿宋_GB2312"/>
          <w:highlight w:val="none"/>
        </w:rPr>
        <w:t>（3）公司总精算师或精算责任人对赔付率、退保率、费用、再保险等假设的意见，以及公司董事会和管理层对相关假设的意见；</w:t>
      </w:r>
    </w:p>
    <w:p>
      <w:pPr>
        <w:ind w:firstLine="640"/>
        <w:rPr>
          <w:rFonts w:ascii="仿宋_GB2312" w:hAnsi="仿宋_GB2312"/>
          <w:highlight w:val="none"/>
        </w:rPr>
      </w:pPr>
      <w:r>
        <w:rPr>
          <w:rFonts w:hint="eastAsia" w:ascii="仿宋_GB2312" w:hAnsi="仿宋_GB2312"/>
          <w:highlight w:val="none"/>
        </w:rPr>
        <w:t>（4）预测采用的费用支出是否与公司费用预算一致；</w:t>
      </w:r>
    </w:p>
    <w:p>
      <w:pPr>
        <w:ind w:firstLine="640"/>
        <w:rPr>
          <w:rFonts w:ascii="仿宋_GB2312" w:hAnsi="仿宋_GB2312"/>
          <w:highlight w:val="none"/>
        </w:rPr>
      </w:pPr>
      <w:r>
        <w:rPr>
          <w:rFonts w:hint="eastAsia" w:ascii="仿宋_GB2312" w:hAnsi="仿宋_GB2312"/>
          <w:highlight w:val="none"/>
        </w:rPr>
        <w:t>（5）人身保险公司在测试期间内分红保险保单红利水平、万能保险结算利率的合理性。</w:t>
      </w:r>
    </w:p>
    <w:p>
      <w:pPr>
        <w:ind w:firstLine="640"/>
        <w:rPr>
          <w:rFonts w:ascii="仿宋_GB2312" w:hAnsi="仿宋_GB2312"/>
          <w:highlight w:val="none"/>
        </w:rPr>
      </w:pPr>
      <w:r>
        <w:rPr>
          <w:rFonts w:hint="eastAsia" w:ascii="仿宋_GB2312" w:hAnsi="仿宋_GB2312"/>
          <w:highlight w:val="none"/>
        </w:rPr>
        <w:t>5.财产保险公司、人身保险公司使用的压力情景是否与监管规定一致，压力情景下资产负债管理报表编制的合理性和一致性。</w:t>
      </w:r>
    </w:p>
    <w:p>
      <w:pPr>
        <w:ind w:firstLine="640"/>
        <w:rPr>
          <w:rFonts w:ascii="仿宋_GB2312" w:hAnsi="仿宋_GB2312"/>
          <w:highlight w:val="none"/>
        </w:rPr>
      </w:pPr>
      <w:r>
        <w:rPr>
          <w:rFonts w:hint="eastAsia" w:ascii="仿宋_GB2312" w:hAnsi="仿宋_GB2312"/>
          <w:highlight w:val="none"/>
        </w:rPr>
        <w:t>6.抽样检测各大类账户主要业务的现金流和主要资产的投资收益等，通过检查数据计算的准确性和内在一致性，确定测试模型中所使用的假设、方法与相关报告文件中所阐述的假设、方法是否一致。</w:t>
      </w:r>
    </w:p>
    <w:p>
      <w:pPr>
        <w:ind w:firstLine="640"/>
        <w:rPr>
          <w:rFonts w:ascii="仿宋_GB2312" w:hAnsi="仿宋_GB2312"/>
          <w:highlight w:val="none"/>
        </w:rPr>
      </w:pPr>
      <w:r>
        <w:rPr>
          <w:rFonts w:hint="eastAsia" w:ascii="仿宋_GB2312" w:hAnsi="仿宋_GB2312"/>
          <w:highlight w:val="none"/>
        </w:rPr>
        <w:t>7.财产保险公司、人身保险公司资产负债管理报表关于期限结构匹配、成本收益匹配及流动性匹配指标计量方法的合规性，计量假设的合理性与一致性，计算结果的完整性与准确性。</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（四）审核意见</w:t>
      </w:r>
    </w:p>
    <w:p>
      <w:pPr>
        <w:ind w:firstLine="640"/>
        <w:rPr>
          <w:rFonts w:ascii="仿宋_GB2312" w:hAnsi="仿宋_GB2312"/>
          <w:highlight w:val="none"/>
        </w:rPr>
      </w:pPr>
      <w:r>
        <w:rPr>
          <w:rFonts w:hint="eastAsia" w:ascii="仿宋_GB2312" w:hAnsi="仿宋_GB2312"/>
          <w:highlight w:val="none"/>
        </w:rPr>
        <w:t>独立第三方审核机构应当对下列事项发表审核意见：</w:t>
      </w:r>
    </w:p>
    <w:p>
      <w:pPr>
        <w:ind w:firstLine="640"/>
        <w:rPr>
          <w:rFonts w:ascii="仿宋_GB2312" w:hAnsi="仿宋_GB2312"/>
          <w:highlight w:val="none"/>
        </w:rPr>
      </w:pPr>
      <w:r>
        <w:rPr>
          <w:rFonts w:hint="eastAsia" w:ascii="仿宋_GB2312" w:hAnsi="仿宋_GB2312"/>
          <w:highlight w:val="none"/>
        </w:rPr>
        <w:t>1</w:t>
      </w:r>
      <w:r>
        <w:rPr>
          <w:rFonts w:ascii="仿宋_GB2312" w:hAnsi="仿宋_GB2312"/>
          <w:highlight w:val="none"/>
        </w:rPr>
        <w:t>.</w:t>
      </w:r>
      <w:r>
        <w:rPr>
          <w:rFonts w:hint="eastAsia" w:ascii="仿宋_GB2312" w:hAnsi="仿宋_GB2312"/>
          <w:highlight w:val="none"/>
        </w:rPr>
        <w:t>财产保险公司、人身保险公司资产负债管理报表</w:t>
      </w:r>
      <w:r>
        <w:rPr>
          <w:rFonts w:ascii="仿宋_GB2312" w:hAnsi="仿宋_GB2312"/>
          <w:highlight w:val="none"/>
        </w:rPr>
        <w:t>[</w:t>
      </w:r>
      <w:r>
        <w:rPr>
          <w:rFonts w:hint="eastAsia" w:ascii="仿宋_GB2312" w:hAnsi="仿宋_GB2312"/>
          <w:highlight w:val="none"/>
        </w:rPr>
        <w:t>表1-1、1-2-5和1-3]中的历史财务信息是否存在重大错报。</w:t>
      </w:r>
    </w:p>
    <w:p>
      <w:pPr>
        <w:ind w:firstLine="640"/>
        <w:rPr>
          <w:rFonts w:ascii="仿宋_GB2312" w:hAnsi="仿宋_GB2312"/>
          <w:highlight w:val="none"/>
        </w:rPr>
      </w:pPr>
      <w:r>
        <w:rPr>
          <w:rFonts w:hint="eastAsia" w:ascii="仿宋_GB2312" w:hAnsi="仿宋_GB2312"/>
          <w:highlight w:val="none"/>
        </w:rPr>
        <w:t>2</w:t>
      </w:r>
      <w:r>
        <w:rPr>
          <w:rFonts w:ascii="仿宋_GB2312" w:hAnsi="仿宋_GB2312"/>
          <w:highlight w:val="none"/>
        </w:rPr>
        <w:t>.</w:t>
      </w:r>
      <w:r>
        <w:rPr>
          <w:rFonts w:hint="eastAsia" w:ascii="仿宋_GB2312" w:hAnsi="仿宋_GB2312"/>
          <w:highlight w:val="none"/>
        </w:rPr>
        <w:t>预测假设是否为财产保险公司、人身保险公司资产负债管理报表提供合理基础。</w:t>
      </w:r>
    </w:p>
    <w:p>
      <w:pPr>
        <w:ind w:firstLine="640"/>
        <w:rPr>
          <w:rFonts w:ascii="仿宋_GB2312" w:hAnsi="仿宋_GB2312"/>
          <w:highlight w:val="none"/>
        </w:rPr>
      </w:pPr>
      <w:r>
        <w:rPr>
          <w:rFonts w:hint="eastAsia" w:ascii="仿宋_GB2312" w:hAnsi="仿宋_GB2312"/>
          <w:highlight w:val="none"/>
        </w:rPr>
        <w:t>3</w:t>
      </w:r>
      <w:r>
        <w:rPr>
          <w:rFonts w:ascii="仿宋_GB2312" w:hAnsi="仿宋_GB2312"/>
          <w:highlight w:val="none"/>
        </w:rPr>
        <w:t>.</w:t>
      </w:r>
      <w:r>
        <w:rPr>
          <w:rFonts w:hint="eastAsia" w:ascii="仿宋_GB2312" w:hAnsi="仿宋_GB2312"/>
          <w:highlight w:val="none"/>
        </w:rPr>
        <w:t>财产保险公司、人身保险公司资产负债管理报表是否依据这些预测假设，并按照适用的监管规则的规定编制和列报。</w:t>
      </w:r>
    </w:p>
    <w:p>
      <w:pPr>
        <w:pStyle w:val="4"/>
        <w:ind w:firstLine="640"/>
        <w:rPr>
          <w:rFonts w:ascii="仿宋_GB2312" w:hAnsi="仿宋_GB2312"/>
          <w:highlight w:val="none"/>
        </w:rPr>
      </w:pPr>
      <w:r>
        <w:rPr>
          <w:rFonts w:hint="default" w:ascii="楷体_GB2312" w:hAnsi="楷体_GB2312" w:eastAsia="楷体_GB2312" w:cs="楷体_GB2312"/>
          <w:kern w:val="2"/>
          <w:sz w:val="32"/>
          <w:szCs w:val="22"/>
          <w:lang w:val="en-US" w:eastAsia="zh-CN" w:bidi="ar-SA"/>
        </w:rPr>
        <w:t>（五</w:t>
      </w:r>
      <w:r>
        <w:rPr>
          <w:rFonts w:ascii="楷体_GB2312" w:hAnsi="楷体_GB2312" w:eastAsia="楷体_GB2312" w:cs="楷体_GB2312"/>
          <w:kern w:val="2"/>
          <w:sz w:val="32"/>
          <w:szCs w:val="22"/>
          <w:lang w:val="en-US" w:eastAsia="zh-CN" w:bidi="ar-SA"/>
        </w:rPr>
        <w:t>）</w:t>
      </w:r>
      <w:r>
        <w:rPr>
          <w:rFonts w:hint="default" w:ascii="楷体_GB2312" w:hAnsi="楷体_GB2312" w:eastAsia="楷体_GB2312" w:cs="楷体_GB2312"/>
          <w:kern w:val="2"/>
          <w:sz w:val="32"/>
          <w:szCs w:val="22"/>
          <w:lang w:val="en-US" w:eastAsia="zh-CN" w:bidi="ar-SA"/>
        </w:rPr>
        <w:t>审核报告要求</w:t>
      </w:r>
      <w:r>
        <w:rPr>
          <w:rFonts w:ascii="仿宋_GB2312" w:hAnsi="仿宋_GB2312"/>
          <w:highlight w:val="none"/>
        </w:rPr>
        <w:t xml:space="preserve"> </w:t>
      </w:r>
    </w:p>
    <w:p>
      <w:pPr>
        <w:ind w:firstLine="640"/>
        <w:rPr>
          <w:highlight w:val="none"/>
        </w:rPr>
      </w:pPr>
      <w:r>
        <w:rPr>
          <w:rFonts w:hint="eastAsia" w:ascii="仿宋_GB2312" w:hAnsi="仿宋_GB2312"/>
          <w:highlight w:val="none"/>
        </w:rPr>
        <w:t>会计师事务所出具的</w:t>
      </w:r>
      <w:bookmarkStart w:id="2" w:name="OLE_LINK11"/>
      <w:r>
        <w:rPr>
          <w:rFonts w:hint="eastAsia" w:ascii="仿宋_GB2312" w:hAnsi="仿宋_GB2312"/>
          <w:highlight w:val="none"/>
        </w:rPr>
        <w:t>资产负债管理报表</w:t>
      </w:r>
      <w:bookmarkEnd w:id="2"/>
      <w:r>
        <w:rPr>
          <w:rFonts w:hint="eastAsia" w:ascii="仿宋_GB2312" w:hAnsi="仿宋_GB2312"/>
          <w:highlight w:val="none"/>
        </w:rPr>
        <w:t>审核报告，应由两名注册会计师签名并盖章。除会计师事务所外，其他独立第三方审核机构出具的资产负债管理报表审核报告，应当由两名在中国从事保险精算及相关工作五年以上、熟悉中国保险监管法规并且具有国内或国际认可的精算师资格的精算师签名并盖章。</w:t>
      </w:r>
    </w:p>
    <w:p>
      <w:pPr>
        <w:widowControl/>
        <w:ind w:firstLine="600"/>
        <w:rPr>
          <w:rFonts w:ascii="仿宋_GB2312" w:hAnsi="宋体" w:cs="宋体"/>
          <w:sz w:val="30"/>
          <w:szCs w:val="30"/>
          <w:highlight w:val="none"/>
        </w:rPr>
      </w:pPr>
      <w:r>
        <w:rPr>
          <w:rFonts w:ascii="仿宋_GB2312" w:hAnsi="宋体" w:cs="宋体"/>
          <w:sz w:val="30"/>
          <w:szCs w:val="30"/>
          <w:highlight w:val="none"/>
        </w:rPr>
        <w:br w:type="page"/>
      </w:r>
    </w:p>
    <w:p>
      <w:pPr>
        <w:pStyle w:val="2"/>
        <w:spacing w:line="560" w:lineRule="exact"/>
        <w:ind w:left="0" w:firstLine="0" w:firstLineChars="0"/>
        <w:rPr>
          <w:rFonts w:ascii="黑体" w:hAnsi="黑体" w:eastAsia="黑体" w:cs="黑体"/>
          <w:sz w:val="32"/>
          <w:highlight w:val="none"/>
        </w:rPr>
      </w:pPr>
      <w:r>
        <w:rPr>
          <w:rFonts w:hint="eastAsia" w:ascii="黑体" w:hAnsi="黑体" w:eastAsia="黑体" w:cs="黑体"/>
          <w:sz w:val="32"/>
          <w:highlight w:val="none"/>
        </w:rPr>
        <w:t>财产保险公司资产负债管理报告填报要求</w:t>
      </w:r>
    </w:p>
    <w:p>
      <w:pPr>
        <w:ind w:firstLine="640"/>
        <w:jc w:val="both"/>
        <w:rPr>
          <w:rFonts w:ascii="黑体" w:hAnsi="黑体" w:eastAsia="黑体" w:cs="黑体"/>
          <w:szCs w:val="32"/>
          <w:highlight w:val="none"/>
        </w:rPr>
      </w:pPr>
    </w:p>
    <w:p>
      <w:pPr>
        <w:tabs>
          <w:tab w:val="left" w:pos="6720"/>
        </w:tabs>
        <w:ind w:firstLine="640"/>
        <w:outlineLvl w:val="0"/>
        <w:rPr>
          <w:rFonts w:ascii="黑体" w:hAnsi="黑体" w:eastAsia="黑体" w:cs="Times New Roman"/>
          <w:color w:val="000000"/>
          <w:szCs w:val="32"/>
          <w:highlight w:val="none"/>
        </w:rPr>
      </w:pPr>
      <w:r>
        <w:rPr>
          <w:rFonts w:hint="eastAsia" w:ascii="黑体" w:hAnsi="黑体" w:eastAsia="黑体" w:cs="Times New Roman"/>
          <w:color w:val="000000"/>
          <w:szCs w:val="32"/>
          <w:highlight w:val="none"/>
        </w:rPr>
        <w:t>一、报告范围</w:t>
      </w:r>
    </w:p>
    <w:p>
      <w:pPr>
        <w:ind w:firstLine="640"/>
        <w:rPr>
          <w:highlight w:val="none"/>
        </w:rPr>
      </w:pPr>
      <w:r>
        <w:rPr>
          <w:rFonts w:hint="eastAsia"/>
          <w:highlight w:val="none"/>
        </w:rPr>
        <w:t>财产保险公司应当报告资产信息、负债信息和资产负债匹配信息。</w:t>
      </w:r>
    </w:p>
    <w:p>
      <w:pPr>
        <w:ind w:firstLine="640"/>
        <w:rPr>
          <w:rFonts w:hint="eastAsia" w:ascii="仿宋_GB2312" w:hAnsi="仿宋_GB2312" w:cs="仿宋_GB2312"/>
          <w:highlight w:val="none"/>
          <w:lang w:val="en-GB"/>
        </w:rPr>
      </w:pPr>
      <w:r>
        <w:rPr>
          <w:rFonts w:hint="eastAsia" w:ascii="仿宋" w:hAnsi="仿宋" w:cs="Arial"/>
          <w:highlight w:val="none"/>
        </w:rPr>
        <w:t>财产保险公司的</w:t>
      </w:r>
      <w:r>
        <w:rPr>
          <w:rFonts w:hint="eastAsia" w:ascii="仿宋" w:hAnsi="仿宋" w:cs="Arial"/>
          <w:bCs/>
          <w:highlight w:val="none"/>
        </w:rPr>
        <w:t>期限结构匹配</w:t>
      </w:r>
      <w:r>
        <w:rPr>
          <w:rFonts w:hint="eastAsia" w:ascii="仿宋" w:hAnsi="仿宋" w:cs="Arial"/>
          <w:highlight w:val="none"/>
        </w:rPr>
        <w:t>包括传统保险账户的沉淀资金匹配状况</w:t>
      </w:r>
      <w:r>
        <w:rPr>
          <w:rFonts w:hint="eastAsia" w:ascii="仿宋" w:hAnsi="仿宋" w:cs="Arial"/>
          <w:highlight w:val="none"/>
          <w:lang w:eastAsia="zh-CN"/>
        </w:rPr>
        <w:t>。</w:t>
      </w:r>
      <w:r>
        <w:rPr>
          <w:rFonts w:hint="eastAsia" w:hAnsi="仿宋" w:cs="Arial"/>
          <w:bCs/>
          <w:highlight w:val="none"/>
          <w:lang w:val="en-GB"/>
        </w:rPr>
        <w:t>成本收益匹配</w:t>
      </w:r>
      <w:r>
        <w:rPr>
          <w:rFonts w:hint="eastAsia" w:hAnsi="仿宋" w:cs="Arial"/>
          <w:highlight w:val="none"/>
          <w:lang w:val="en-GB"/>
        </w:rPr>
        <w:t>包括基础情景与压力情景下公司投资活动和负债成本的匹配状况</w:t>
      </w:r>
      <w:r>
        <w:rPr>
          <w:rFonts w:hint="eastAsia" w:hAnsi="仿宋" w:cs="Arial"/>
          <w:highlight w:val="none"/>
          <w:lang w:val="en-GB" w:eastAsia="zh-CN"/>
        </w:rPr>
        <w:t>，</w:t>
      </w:r>
      <w:r>
        <w:rPr>
          <w:rFonts w:hint="eastAsia" w:hAnsi="仿宋" w:cs="Arial"/>
          <w:highlight w:val="none"/>
          <w:lang w:val="en-GB"/>
        </w:rPr>
        <w:t>应当分别评估普通账户</w:t>
      </w:r>
      <w:r>
        <w:rPr>
          <w:rStyle w:val="19"/>
          <w:rFonts w:hint="eastAsia" w:ascii="仿宋_GB2312" w:hAnsi="仿宋_GB2312" w:cs="仿宋_GB2312"/>
          <w:highlight w:val="none"/>
          <w:lang w:val="en-GB"/>
        </w:rPr>
        <w:footnoteReference w:id="0"/>
      </w:r>
      <w:r>
        <w:rPr>
          <w:rFonts w:hint="eastAsia" w:ascii="仿宋_GB2312" w:hAnsi="仿宋_GB2312" w:cs="仿宋_GB2312"/>
          <w:highlight w:val="none"/>
          <w:lang w:val="en-GB"/>
        </w:rPr>
        <w:t>、传统保险账户、次级债、资本补充债和无固定期限资本债券账户的成本收益匹配状况</w:t>
      </w:r>
      <w:r>
        <w:rPr>
          <w:rFonts w:hint="eastAsia" w:ascii="仿宋_GB2312" w:hAnsi="仿宋_GB2312" w:cs="仿宋_GB2312"/>
          <w:highlight w:val="none"/>
          <w:lang w:val="en-GB" w:eastAsia="zh-CN"/>
        </w:rPr>
        <w:t>。</w:t>
      </w:r>
      <w:r>
        <w:rPr>
          <w:rFonts w:hint="eastAsia" w:ascii="仿宋_GB2312" w:hAnsi="仿宋_GB2312" w:cs="仿宋_GB2312"/>
          <w:bCs/>
          <w:highlight w:val="none"/>
        </w:rPr>
        <w:t>流动性</w:t>
      </w:r>
      <w:r>
        <w:rPr>
          <w:rFonts w:hint="eastAsia" w:ascii="仿宋_GB2312" w:hAnsi="仿宋_GB2312" w:cs="仿宋_GB2312"/>
          <w:bCs/>
          <w:highlight w:val="none"/>
          <w:lang w:val="en-GB"/>
        </w:rPr>
        <w:t>匹配</w:t>
      </w:r>
      <w:r>
        <w:rPr>
          <w:rFonts w:hint="eastAsia" w:ascii="仿宋_GB2312" w:hAnsi="仿宋_GB2312" w:cs="仿宋_GB2312"/>
          <w:highlight w:val="none"/>
          <w:lang w:val="en-GB"/>
        </w:rPr>
        <w:t>包括流动性覆盖率</w:t>
      </w:r>
      <w:r>
        <w:rPr>
          <w:rFonts w:hint="eastAsia" w:ascii="仿宋_GB2312" w:hAnsi="仿宋_GB2312" w:cs="仿宋_GB2312"/>
          <w:highlight w:val="none"/>
          <w:lang w:val="en-GB" w:eastAsia="zh-CN"/>
        </w:rPr>
        <w:t>，</w:t>
      </w:r>
      <w:r>
        <w:rPr>
          <w:rFonts w:hint="eastAsia" w:ascii="仿宋_GB2312" w:hAnsi="仿宋_GB2312" w:cs="仿宋_GB2312"/>
          <w:highlight w:val="none"/>
          <w:lang w:val="en-GB"/>
        </w:rPr>
        <w:t>应当评估普通账户的流动性匹配状况。</w:t>
      </w:r>
      <w:r>
        <w:rPr>
          <w:rFonts w:hint="eastAsia" w:ascii="仿宋_GB2312" w:hAnsi="仿宋_GB2312" w:cs="仿宋_GB2312"/>
          <w:bCs/>
          <w:highlight w:val="none"/>
        </w:rPr>
        <w:t>沉淀资金覆盖率监管指标阈值针对传统保险账户，其余监管指标阈值针对普通账户</w:t>
      </w:r>
      <w:r>
        <w:rPr>
          <w:rFonts w:hint="eastAsia" w:ascii="仿宋_GB2312" w:hAnsi="仿宋_GB2312" w:cs="仿宋_GB2312"/>
          <w:highlight w:val="none"/>
        </w:rPr>
        <w:t>。</w:t>
      </w:r>
    </w:p>
    <w:p>
      <w:pPr>
        <w:tabs>
          <w:tab w:val="left" w:pos="6720"/>
        </w:tabs>
        <w:ind w:firstLine="640"/>
        <w:outlineLvl w:val="0"/>
        <w:rPr>
          <w:rFonts w:hint="eastAsia" w:ascii="黑体" w:hAnsi="黑体" w:eastAsia="黑体" w:cs="Times New Roman"/>
          <w:kern w:val="2"/>
          <w:sz w:val="32"/>
          <w:szCs w:val="22"/>
          <w:lang w:val="en-US" w:eastAsia="zh-CN" w:bidi="ar-SA"/>
        </w:rPr>
      </w:pPr>
      <w:r>
        <w:rPr>
          <w:rFonts w:ascii="黑体" w:hAnsi="黑体" w:eastAsia="黑体" w:cs="Times New Roman"/>
          <w:kern w:val="2"/>
          <w:sz w:val="32"/>
          <w:szCs w:val="22"/>
          <w:lang w:val="en-US" w:eastAsia="zh-CN" w:bidi="ar-SA"/>
        </w:rPr>
        <w:t>二、填报基本原则</w:t>
      </w:r>
    </w:p>
    <w:p>
      <w:pPr>
        <w:ind w:firstLine="640"/>
        <w:rPr>
          <w:rFonts w:hint="eastAsia" w:ascii="仿宋_GB2312" w:hAnsi="仿宋_GB2312" w:cs="仿宋_GB2312"/>
          <w:highlight w:val="none"/>
          <w:lang w:val="en-GB"/>
        </w:rPr>
      </w:pPr>
      <w:r>
        <w:rPr>
          <w:rFonts w:hint="eastAsia" w:ascii="仿宋_GB2312" w:hAnsi="仿宋_GB2312" w:cs="仿宋_GB2312"/>
          <w:kern w:val="0"/>
          <w:highlight w:val="none"/>
        </w:rPr>
        <w:t>基本信息：</w:t>
      </w:r>
      <w:r>
        <w:rPr>
          <w:rFonts w:hint="eastAsia" w:ascii="仿宋_GB2312" w:hAnsi="仿宋_GB2312" w:cs="仿宋_GB2312"/>
          <w:highlight w:val="none"/>
          <w:lang w:val="en-GB"/>
        </w:rPr>
        <w:t>保险公司应当在当前资产、负债结构的基础上，填报公司资产配置、资产信用与负债产品的有关信息。</w:t>
      </w:r>
    </w:p>
    <w:p>
      <w:pPr>
        <w:ind w:firstLine="640"/>
        <w:rPr>
          <w:highlight w:val="none"/>
        </w:rPr>
      </w:pPr>
      <w:r>
        <w:rPr>
          <w:rFonts w:hint="eastAsia" w:ascii="仿宋_GB2312" w:hAnsi="仿宋_GB2312" w:cs="仿宋_GB2312"/>
          <w:kern w:val="0"/>
          <w:highlight w:val="none"/>
        </w:rPr>
        <w:t>期限结构匹配：</w:t>
      </w:r>
      <w:r>
        <w:rPr>
          <w:rFonts w:hint="eastAsia" w:ascii="仿宋_GB2312" w:hAnsi="仿宋_GB2312" w:cs="仿宋_GB2312"/>
          <w:highlight w:val="none"/>
          <w:lang w:val="en-GB"/>
        </w:rPr>
        <w:t>保险公司应当选取合理的保费</w:t>
      </w:r>
      <w:r>
        <w:rPr>
          <w:rStyle w:val="19"/>
          <w:rFonts w:hint="eastAsia" w:ascii="仿宋_GB2312" w:hAnsi="仿宋_GB2312" w:cs="仿宋_GB2312"/>
          <w:highlight w:val="none"/>
          <w:lang w:val="en-GB"/>
        </w:rPr>
        <w:footnoteReference w:id="1"/>
      </w:r>
      <w:r>
        <w:rPr>
          <w:rFonts w:hint="eastAsia" w:ascii="仿宋_GB2312" w:hAnsi="仿宋_GB2312" w:cs="仿宋_GB2312"/>
          <w:highlight w:val="none"/>
          <w:lang w:val="en-GB"/>
        </w:rPr>
        <w:t>增</w:t>
      </w:r>
      <w:r>
        <w:rPr>
          <w:rFonts w:hint="eastAsia"/>
          <w:highlight w:val="none"/>
          <w:lang w:val="en-GB"/>
        </w:rPr>
        <w:t>长率、</w:t>
      </w:r>
      <w:r>
        <w:rPr>
          <w:rFonts w:hint="eastAsia"/>
          <w:highlight w:val="none"/>
        </w:rPr>
        <w:t>承保</w:t>
      </w:r>
      <w:r>
        <w:rPr>
          <w:rFonts w:hint="eastAsia"/>
          <w:highlight w:val="none"/>
          <w:lang w:val="en-GB"/>
        </w:rPr>
        <w:t>综合费用率、最终赔付率、综合投资收益率、所得税率等假设，结合压力情景预测传统保险账户未来三年每年末的</w:t>
      </w:r>
      <w:r>
        <w:rPr>
          <w:rFonts w:hint="eastAsia" w:cs="Times New Roman"/>
          <w:highlight w:val="none"/>
        </w:rPr>
        <w:t>保险合同负债净额</w:t>
      </w:r>
      <w:r>
        <w:rPr>
          <w:rFonts w:hint="eastAsia"/>
          <w:highlight w:val="none"/>
          <w:lang w:val="en-GB"/>
        </w:rPr>
        <w:t>、保费准备金</w:t>
      </w:r>
      <w:r>
        <w:rPr>
          <w:rFonts w:hint="eastAsia" w:ascii="仿宋_GB2312" w:hAnsi="仿宋_GB2312" w:cs="仿宋_GB2312"/>
          <w:highlight w:val="none"/>
          <w:vertAlign w:val="superscript"/>
          <w:lang w:val="en-GB"/>
        </w:rPr>
        <w:footnoteReference w:id="2"/>
      </w:r>
      <w:r>
        <w:rPr>
          <w:rFonts w:hint="eastAsia"/>
          <w:highlight w:val="none"/>
          <w:lang w:val="en-GB"/>
        </w:rPr>
        <w:t>余额及净资产，从而测算公司传统保险账户的沉淀资金。同时，公司基于传统保险账户投资资产的期限结构以及投资资产流动性状况计算沉淀资金与中长期资产的账面价值的比值，从而得到传统保险账户沉淀资金覆盖率。</w:t>
      </w:r>
      <w:r>
        <w:rPr>
          <w:rFonts w:hint="eastAsia"/>
          <w:bCs/>
          <w:highlight w:val="none"/>
          <w:lang w:val="en-GB"/>
        </w:rPr>
        <w:t>程序上，</w:t>
      </w:r>
      <w:r>
        <w:rPr>
          <w:rFonts w:hint="eastAsia"/>
          <w:highlight w:val="none"/>
        </w:rPr>
        <w:t>未来三年的资产配置和业务规划数据须在每年第四季度的报告中进行更新，若尚未经董事会审批的，可采用未经审批的预案数据进行填报，经董事会审批后有调整的，应在年度报告中对数据进行调整并在备注中说明。年度报告中的资产配置规划和业务规划应与经董事会批准的一致，若一季度至三季度资产配置规划发生调整，可在对应季度报告中根据实际情况进行更新评估，并在备注中说明。期限结构匹配、成本收益匹配和流动性匹配中的资产配置规划和业务规划口径应与更新后的内容保持一致。</w:t>
      </w:r>
    </w:p>
    <w:p>
      <w:pPr>
        <w:ind w:firstLine="640"/>
        <w:rPr>
          <w:highlight w:val="none"/>
        </w:rPr>
      </w:pPr>
      <w:r>
        <w:rPr>
          <w:rFonts w:hint="eastAsia"/>
          <w:kern w:val="0"/>
          <w:highlight w:val="none"/>
        </w:rPr>
        <w:t>成本收益匹配：</w:t>
      </w:r>
      <w:r>
        <w:rPr>
          <w:rFonts w:hint="eastAsia"/>
          <w:highlight w:val="none"/>
        </w:rPr>
        <w:t>保险公司应根据自身经营业务和投资业务的实际情况，填报公司普通账户、传统保险账户、</w:t>
      </w:r>
      <w:r>
        <w:rPr>
          <w:rFonts w:hint="eastAsia"/>
          <w:highlight w:val="none"/>
          <w:lang w:val="en-GB"/>
        </w:rPr>
        <w:t>次级债、资本补充债和无固定期限资本债券账户</w:t>
      </w:r>
      <w:r>
        <w:rPr>
          <w:rFonts w:hint="eastAsia"/>
          <w:highlight w:val="none"/>
        </w:rPr>
        <w:t>的成本收益情况。为评估公司未来的成本收益状况，保险公司应在公司当前的资产、负债基础上，合理确定预测假设，基于权责发生制原则，结合公司业务规划、资产配置政策等构建测试期间内的资产负债模型，预测对成本收益有重要影响的主要财务报表项目。</w:t>
      </w:r>
      <w:r>
        <w:rPr>
          <w:rFonts w:hint="eastAsia"/>
          <w:bCs/>
          <w:highlight w:val="none"/>
        </w:rPr>
        <w:t>根据以上信息，保险公司可以对基础情景下评估期间内的资产和负债进行预测：一是资产配置和收益预测。</w:t>
      </w:r>
      <w:r>
        <w:rPr>
          <w:rFonts w:hint="eastAsia"/>
          <w:highlight w:val="none"/>
        </w:rPr>
        <w:t>保险公司应基于公司期初投资资产，结合预测期间的资产负债现金流、再投资策略和各大类资产投资收益率假设，预测各时点投资资产相关信息，包括资产分布、资产的账面价值、摊余成本和投资收益等。未来一年的资产配置比例和投资收益率假设应与年度资产配置计划保持一致。</w:t>
      </w:r>
      <w:r>
        <w:rPr>
          <w:rFonts w:hint="eastAsia"/>
          <w:bCs/>
          <w:highlight w:val="none"/>
        </w:rPr>
        <w:t>程序上，</w:t>
      </w:r>
      <w:r>
        <w:rPr>
          <w:rFonts w:hint="eastAsia"/>
          <w:highlight w:val="none"/>
          <w:lang w:val="en-GB"/>
        </w:rPr>
        <w:t>未来一</w:t>
      </w:r>
      <w:r>
        <w:rPr>
          <w:rFonts w:hint="eastAsia"/>
          <w:highlight w:val="none"/>
        </w:rPr>
        <w:t>年的资产配置规划数据须在每年第四季度的报告中进行更新，若尚未经董事会审批的，可采用未经审批的预案数据进行填报，经董事会审批后有调整的，应在年度报告中对数据进行调整并在备注中说明。年度报告中的资产配置规划应与经董事会批准的一致，若一季度至三季度资产配置规划发生调整，可在对应季度报告中根据实际情况进行更新评估，并在备注中说明。</w:t>
      </w:r>
      <w:r>
        <w:rPr>
          <w:rFonts w:hint="eastAsia"/>
          <w:bCs/>
          <w:highlight w:val="none"/>
        </w:rPr>
        <w:t>二是负债规模和成本预测。</w:t>
      </w:r>
      <w:r>
        <w:rPr>
          <w:rFonts w:hint="eastAsia"/>
          <w:highlight w:val="none"/>
        </w:rPr>
        <w:t>保险公司应基于公司期初负债情况，结合预测期间的业务规划和资产负债现金流，预测各时点负债相关信息，包括负债规模和负债成本情况等。未来一年的保险业务规模和负债特征应与年度业务规划情况保持一致。</w:t>
      </w:r>
      <w:r>
        <w:rPr>
          <w:rFonts w:hint="eastAsia"/>
          <w:bCs/>
          <w:highlight w:val="none"/>
        </w:rPr>
        <w:t>程序上，</w:t>
      </w:r>
      <w:r>
        <w:rPr>
          <w:rFonts w:hint="eastAsia"/>
          <w:highlight w:val="none"/>
          <w:lang w:val="en-GB"/>
        </w:rPr>
        <w:t>未来</w:t>
      </w:r>
      <w:r>
        <w:rPr>
          <w:rFonts w:hint="eastAsia"/>
          <w:highlight w:val="none"/>
        </w:rPr>
        <w:t>一年的业务规划数据须在每年第四季度的报告中进行更新，若尚未经董事会审批的，可采用未经审批的预案数据进行填报，经董事会审批后有调整的，应在年度报告中对数据进行调整并在备注中说明。年度报告中的业务规划应与经董事会批准的一致，若一季度至三季度业务规划发生调整，可在对应季度报告中根据实际情况进行更新评估，并在备注中说明。</w:t>
      </w:r>
      <w:r>
        <w:rPr>
          <w:rFonts w:hint="eastAsia"/>
          <w:bCs/>
          <w:highlight w:val="none"/>
        </w:rPr>
        <w:t>压力情景测试的压力情景由国家金融监督管理总局发布。</w:t>
      </w:r>
      <w:r>
        <w:rPr>
          <w:rFonts w:hint="eastAsia"/>
          <w:highlight w:val="none"/>
        </w:rPr>
        <w:t>保险公司应基于基础情景下的资产负债情况进行压力测试，即压力测试情景不改变原有的资产配置策略（包括配置方案、存量资产处置安排与再投资计划、融资安排等）和业务规划情况。保险公司在预测压力情景下的未来投资收益时，可以按照重要性原则，不考虑部分投资回报少、发生频率低的项目，不应考虑无法预测的临时行为，如将投资性不动产、长期股权投资、固定资产等项目在无明确交收合约的情况下变现，将超出基础情景假设以外的存量资产处置变现等获得资产增值收益；亦不应考虑不可确认的投资收益，如突发性的分红收入、政府税金减免等。在预测压力情景下的投资收益和负债成本时，不应考虑保险公司管理层为改善公司投资收益或负债成本而采取的紧急措施，如对资产配置计划或产品销售计划的调整，压力情景中规定的除外。</w:t>
      </w:r>
    </w:p>
    <w:p>
      <w:pPr>
        <w:ind w:firstLine="640"/>
        <w:rPr>
          <w:kern w:val="0"/>
          <w:highlight w:val="none"/>
        </w:rPr>
      </w:pPr>
      <w:r>
        <w:rPr>
          <w:rFonts w:hint="eastAsia"/>
          <w:kern w:val="0"/>
          <w:highlight w:val="none"/>
        </w:rPr>
        <w:t>流动性匹配：保险公司应当测算普通账户未来</w:t>
      </w:r>
      <w:r>
        <w:rPr>
          <w:rFonts w:hint="eastAsia"/>
          <w:kern w:val="0"/>
          <w:highlight w:val="none"/>
          <w:lang w:val="en-US" w:eastAsia="zh-CN"/>
        </w:rPr>
        <w:t>三个月和一年</w:t>
      </w:r>
      <w:r>
        <w:rPr>
          <w:rFonts w:hint="eastAsia"/>
          <w:kern w:val="0"/>
          <w:highlight w:val="none"/>
        </w:rPr>
        <w:t>的流动性覆盖率指标。</w:t>
      </w:r>
    </w:p>
    <w:p>
      <w:pPr>
        <w:pStyle w:val="14"/>
        <w:ind w:firstLine="640"/>
        <w:rPr>
          <w:highlight w:val="none"/>
        </w:rPr>
      </w:pPr>
      <w:r>
        <w:rPr>
          <w:rFonts w:hint="eastAsia"/>
          <w:highlight w:val="none"/>
        </w:rPr>
        <w:t>三、资产配置状况计量规则</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（一）资产规模和偿付能力充足率</w:t>
      </w:r>
    </w:p>
    <w:p>
      <w:pPr>
        <w:ind w:firstLine="640"/>
        <w:rPr>
          <w:highlight w:val="none"/>
        </w:rPr>
      </w:pPr>
      <w:r>
        <w:rPr>
          <w:rFonts w:hint="eastAsia"/>
          <w:highlight w:val="none"/>
        </w:rPr>
        <w:t>填报公司会计口径下的总资产和净资产规模，以及偿付能力监管规则口径下的实际资本和综合偿付能力充足率（</w:t>
      </w:r>
      <w:r>
        <w:rPr>
          <w:rFonts w:hint="eastAsia" w:ascii="仿宋_GB2312"/>
          <w:highlight w:val="none"/>
        </w:rPr>
        <w:t>保险集团（控股）公司按照偿付能力监管规则有关规定填报，季度填报时若无数据更新，可采用上期数</w:t>
      </w:r>
      <w:r>
        <w:rPr>
          <w:rFonts w:hint="eastAsia"/>
          <w:highlight w:val="none"/>
        </w:rPr>
        <w:t>）。</w:t>
      </w:r>
    </w:p>
    <w:p>
      <w:pPr>
        <w:ind w:firstLine="640"/>
        <w:rPr>
          <w:highlight w:val="none"/>
        </w:rPr>
      </w:pPr>
      <w:r>
        <w:rPr>
          <w:rFonts w:hint="eastAsia"/>
          <w:bCs/>
          <w:highlight w:val="none"/>
        </w:rPr>
        <w:t>总资产</w:t>
      </w:r>
      <w:r>
        <w:rPr>
          <w:rFonts w:hint="eastAsia"/>
          <w:highlight w:val="none"/>
        </w:rPr>
        <w:t>是指填报规定期间的</w:t>
      </w:r>
      <w:r>
        <w:rPr>
          <w:rFonts w:hint="eastAsia"/>
          <w:highlight w:val="none"/>
          <w:lang w:val="en-GB"/>
        </w:rPr>
        <w:t>保险公司</w:t>
      </w:r>
      <w:r>
        <w:rPr>
          <w:rFonts w:hint="eastAsia"/>
          <w:highlight w:val="none"/>
        </w:rPr>
        <w:t>资产负债表列示的期末资产合计；</w:t>
      </w:r>
      <w:r>
        <w:rPr>
          <w:rFonts w:hint="eastAsia"/>
          <w:bCs/>
          <w:highlight w:val="none"/>
        </w:rPr>
        <w:t>净资产</w:t>
      </w:r>
      <w:r>
        <w:rPr>
          <w:rFonts w:hint="eastAsia"/>
          <w:highlight w:val="none"/>
        </w:rPr>
        <w:t>是指填报规定期间的</w:t>
      </w:r>
      <w:r>
        <w:rPr>
          <w:rFonts w:hint="eastAsia"/>
          <w:highlight w:val="none"/>
          <w:lang w:val="en-GB"/>
        </w:rPr>
        <w:t>保险公司</w:t>
      </w:r>
      <w:r>
        <w:rPr>
          <w:rFonts w:hint="eastAsia"/>
          <w:highlight w:val="none"/>
        </w:rPr>
        <w:t>资产负债表列示的期末所有者权益合计；</w:t>
      </w:r>
      <w:r>
        <w:rPr>
          <w:rFonts w:hint="eastAsia"/>
          <w:bCs/>
          <w:highlight w:val="none"/>
        </w:rPr>
        <w:t>实际资本、综合偿付能力充足率</w:t>
      </w:r>
      <w:r>
        <w:rPr>
          <w:rFonts w:hint="eastAsia"/>
          <w:highlight w:val="none"/>
        </w:rPr>
        <w:t>是指填报规定期间内保险公司偿付能力监管规则标准下偿付能力报告中列示的实际资本和综合偿付能力充足率。</w:t>
      </w:r>
    </w:p>
    <w:p>
      <w:pPr>
        <w:ind w:firstLine="640"/>
        <w:rPr>
          <w:highlight w:val="none"/>
        </w:rPr>
      </w:pPr>
      <w:r>
        <w:rPr>
          <w:rFonts w:hint="eastAsia"/>
          <w:highlight w:val="none"/>
        </w:rPr>
        <w:t>上年末的数据尚未经审计的，可在季度报表中填报未经审计数据并在备注中说明，年度报告中应填报经审计后的信息。</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（二）资金运用规模</w:t>
      </w:r>
    </w:p>
    <w:p>
      <w:pPr>
        <w:ind w:firstLine="640"/>
        <w:rPr>
          <w:highlight w:val="none"/>
        </w:rPr>
      </w:pPr>
      <w:r>
        <w:rPr>
          <w:rFonts w:cs="MS Mincho"/>
          <w:highlight w:val="none"/>
        </w:rPr>
        <w:t>保</w:t>
      </w:r>
      <w:r>
        <w:rPr>
          <w:rFonts w:cs="宋体"/>
          <w:highlight w:val="none"/>
        </w:rPr>
        <w:t>险</w:t>
      </w:r>
      <w:r>
        <w:rPr>
          <w:rFonts w:cs="MS Mincho"/>
          <w:highlight w:val="none"/>
        </w:rPr>
        <w:t>公司</w:t>
      </w:r>
      <w:r>
        <w:rPr>
          <w:rFonts w:cs="宋体"/>
          <w:highlight w:val="none"/>
        </w:rPr>
        <w:t>应</w:t>
      </w:r>
      <w:r>
        <w:rPr>
          <w:rFonts w:cs="MS Mincho"/>
          <w:highlight w:val="none"/>
        </w:rPr>
        <w:t>分</w:t>
      </w:r>
      <w:r>
        <w:rPr>
          <w:rFonts w:cs="宋体"/>
          <w:highlight w:val="none"/>
        </w:rPr>
        <w:t>别</w:t>
      </w:r>
      <w:r>
        <w:rPr>
          <w:rFonts w:cs="MS Mincho"/>
          <w:highlight w:val="none"/>
        </w:rPr>
        <w:t>填</w:t>
      </w:r>
      <w:r>
        <w:rPr>
          <w:rFonts w:cs="宋体"/>
          <w:highlight w:val="none"/>
        </w:rPr>
        <w:t>报</w:t>
      </w:r>
      <w:r>
        <w:rPr>
          <w:rFonts w:cs="MS Mincho"/>
          <w:highlight w:val="none"/>
        </w:rPr>
        <w:t>普通</w:t>
      </w:r>
      <w:r>
        <w:rPr>
          <w:rFonts w:cs="宋体"/>
          <w:highlight w:val="none"/>
        </w:rPr>
        <w:t>账户</w:t>
      </w:r>
      <w:r>
        <w:rPr>
          <w:rFonts w:hint="eastAsia" w:cs="宋体"/>
          <w:highlight w:val="none"/>
        </w:rPr>
        <w:t>在</w:t>
      </w:r>
      <w:r>
        <w:rPr>
          <w:rFonts w:hint="eastAsia" w:cs="MS Mincho"/>
          <w:highlight w:val="none"/>
        </w:rPr>
        <w:t>报告期末的资金运用余额。</w:t>
      </w:r>
      <w:r>
        <w:rPr>
          <w:rFonts w:cs="MS Mincho"/>
          <w:highlight w:val="none"/>
        </w:rPr>
        <w:t>公司</w:t>
      </w:r>
      <w:r>
        <w:rPr>
          <w:rFonts w:cs="宋体"/>
          <w:highlight w:val="none"/>
        </w:rPr>
        <w:t>发</w:t>
      </w:r>
      <w:r>
        <w:rPr>
          <w:rFonts w:cs="MS Mincho"/>
          <w:highlight w:val="none"/>
        </w:rPr>
        <w:t>行</w:t>
      </w:r>
      <w:r>
        <w:rPr>
          <w:rFonts w:hint="eastAsia" w:cs="MS Mincho"/>
          <w:highlight w:val="none"/>
        </w:rPr>
        <w:t>次级债、资本补充债和无固定期限资本债券</w:t>
      </w:r>
      <w:r>
        <w:rPr>
          <w:rFonts w:cs="MS Mincho"/>
          <w:highlight w:val="none"/>
        </w:rPr>
        <w:t>的，需</w:t>
      </w:r>
      <w:r>
        <w:rPr>
          <w:rFonts w:cs="宋体"/>
          <w:highlight w:val="none"/>
        </w:rPr>
        <w:t>单</w:t>
      </w:r>
      <w:r>
        <w:rPr>
          <w:rFonts w:cs="MS Mincho"/>
          <w:highlight w:val="none"/>
        </w:rPr>
        <w:t>独</w:t>
      </w:r>
      <w:r>
        <w:rPr>
          <w:rFonts w:hint="eastAsia" w:cs="宋体"/>
          <w:highlight w:val="none"/>
        </w:rPr>
        <w:t>填报</w:t>
      </w:r>
      <w:r>
        <w:rPr>
          <w:rFonts w:hint="eastAsia" w:cs="MS Mincho"/>
          <w:highlight w:val="none"/>
        </w:rPr>
        <w:t>次级债、资本补充债和无固定期限资本债账户</w:t>
      </w:r>
      <w:r>
        <w:rPr>
          <w:rFonts w:cs="MS Mincho"/>
          <w:highlight w:val="none"/>
        </w:rPr>
        <w:t>的</w:t>
      </w:r>
      <w:r>
        <w:rPr>
          <w:rFonts w:hint="eastAsia" w:cs="MS Mincho"/>
          <w:highlight w:val="none"/>
        </w:rPr>
        <w:t>资金运用余额</w:t>
      </w:r>
      <w:r>
        <w:rPr>
          <w:rFonts w:cs="MS Mincho"/>
          <w:highlight w:val="none"/>
        </w:rPr>
        <w:t>情况</w:t>
      </w:r>
      <w:r>
        <w:rPr>
          <w:rFonts w:cs="MS Mincho"/>
          <w:highlight w:val="none"/>
          <w:lang w:val="en-GB"/>
        </w:rPr>
        <w:t>。</w:t>
      </w:r>
      <w:r>
        <w:rPr>
          <w:rFonts w:cs="宋体"/>
          <w:highlight w:val="none"/>
        </w:rPr>
        <w:t>资</w:t>
      </w:r>
      <w:r>
        <w:rPr>
          <w:highlight w:val="none"/>
        </w:rPr>
        <w:t>金运用</w:t>
      </w:r>
      <w:r>
        <w:rPr>
          <w:rFonts w:hint="eastAsia"/>
          <w:highlight w:val="none"/>
        </w:rPr>
        <w:t>余额</w:t>
      </w:r>
      <w:r>
        <w:rPr>
          <w:highlight w:val="none"/>
        </w:rPr>
        <w:t>包括投资资产</w:t>
      </w:r>
      <w:r>
        <w:rPr>
          <w:rFonts w:hint="eastAsia"/>
          <w:highlight w:val="none"/>
        </w:rPr>
        <w:t>、</w:t>
      </w:r>
      <w:r>
        <w:rPr>
          <w:highlight w:val="none"/>
        </w:rPr>
        <w:t>金融衍生工具</w:t>
      </w:r>
      <w:r>
        <w:rPr>
          <w:rFonts w:hint="eastAsia"/>
          <w:highlight w:val="none"/>
        </w:rPr>
        <w:t>等，</w:t>
      </w:r>
      <w:r>
        <w:rPr>
          <w:highlight w:val="none"/>
        </w:rPr>
        <w:t>不包含独立账户的资产</w:t>
      </w:r>
      <w:r>
        <w:rPr>
          <w:rFonts w:hint="eastAsia"/>
          <w:highlight w:val="none"/>
        </w:rPr>
        <w:t>。其中，</w:t>
      </w:r>
      <w:r>
        <w:rPr>
          <w:highlight w:val="none"/>
        </w:rPr>
        <w:t>金融衍生工具包括</w:t>
      </w:r>
      <w:r>
        <w:rPr>
          <w:rFonts w:hint="eastAsia"/>
          <w:highlight w:val="none"/>
        </w:rPr>
        <w:t>国债期货、</w:t>
      </w:r>
      <w:r>
        <w:rPr>
          <w:highlight w:val="none"/>
        </w:rPr>
        <w:t>股指期货</w:t>
      </w:r>
      <w:r>
        <w:rPr>
          <w:rFonts w:hint="eastAsia"/>
          <w:highlight w:val="none"/>
        </w:rPr>
        <w:t>、</w:t>
      </w:r>
      <w:r>
        <w:rPr>
          <w:highlight w:val="none"/>
        </w:rPr>
        <w:t>利率互换</w:t>
      </w:r>
      <w:r>
        <w:rPr>
          <w:rFonts w:hint="eastAsia"/>
          <w:highlight w:val="none"/>
        </w:rPr>
        <w:t>、</w:t>
      </w:r>
      <w:r>
        <w:rPr>
          <w:highlight w:val="none"/>
        </w:rPr>
        <w:t>外汇衍生品等符合</w:t>
      </w:r>
      <w:r>
        <w:rPr>
          <w:rFonts w:hint="eastAsia"/>
          <w:highlight w:val="none"/>
        </w:rPr>
        <w:t>国家金融监督管理总局</w:t>
      </w:r>
      <w:r>
        <w:rPr>
          <w:highlight w:val="none"/>
        </w:rPr>
        <w:t>规定</w:t>
      </w:r>
      <w:r>
        <w:rPr>
          <w:rFonts w:hint="eastAsia"/>
          <w:highlight w:val="none"/>
        </w:rPr>
        <w:t>的金融衍生品。投资资产包括以下五类：</w:t>
      </w:r>
    </w:p>
    <w:p>
      <w:pPr>
        <w:ind w:firstLine="640"/>
        <w:rPr>
          <w:highlight w:val="none"/>
        </w:rPr>
      </w:pPr>
      <w:r>
        <w:rPr>
          <w:rFonts w:hint="eastAsia"/>
          <w:bCs/>
          <w:highlight w:val="none"/>
        </w:rPr>
        <w:t>现金及流动性管理工具</w:t>
      </w:r>
      <w:r>
        <w:rPr>
          <w:highlight w:val="none"/>
        </w:rPr>
        <w:t>账面余额和</w:t>
      </w:r>
      <w:r>
        <w:rPr>
          <w:rFonts w:hint="eastAsia"/>
          <w:highlight w:val="none"/>
        </w:rPr>
        <w:t>账面价值应按全价口径填报，包括境内现金及流动性管理工具和境外现金及流动性管理工具。</w:t>
      </w:r>
      <w:r>
        <w:rPr>
          <w:rFonts w:hint="eastAsia"/>
          <w:bCs/>
          <w:highlight w:val="none"/>
        </w:rPr>
        <w:t>境内现金及流动性管理工具</w:t>
      </w:r>
      <w:r>
        <w:rPr>
          <w:rFonts w:hint="eastAsia"/>
          <w:highlight w:val="none"/>
        </w:rPr>
        <w:t>，包括库存现金（含保险公司用于办理保险业务资金收付结算的营运资金）、银行活期存款、银行通知存款、货币市场基金、货币市场类组合类保险资产管理产品、现金管理类理财产品、短期融资券、超短期融资券、买入返售证券、央行票据、商业银行票据、大额可转让存单、同业存单、拆出资金、存放在中国证券登记结算公司和中央国债登记结算公司的清算备付金、存放在上海黄金交易所和中国金融期货交易股份有限公司的结算准备金、存放在第三方支付机构账户的资金等。</w:t>
      </w:r>
      <w:r>
        <w:rPr>
          <w:rFonts w:hint="eastAsia"/>
          <w:bCs/>
          <w:highlight w:val="none"/>
        </w:rPr>
        <w:t>境外现金及流动性管理工具</w:t>
      </w:r>
      <w:r>
        <w:rPr>
          <w:rFonts w:hint="eastAsia"/>
          <w:highlight w:val="none"/>
        </w:rPr>
        <w:t>包括库存现金、银行活期存款、隔夜拆出、货币市场基金、大额可转让存单、逆回购协议，发行期限不超过一年的政府债券、商业票据、银行票据等。</w:t>
      </w:r>
    </w:p>
    <w:p>
      <w:pPr>
        <w:ind w:firstLine="640"/>
        <w:rPr>
          <w:rFonts w:ascii="仿宋_GB2312"/>
          <w:highlight w:val="none"/>
        </w:rPr>
      </w:pPr>
      <w:r>
        <w:rPr>
          <w:rFonts w:hint="eastAsia"/>
          <w:bCs/>
          <w:highlight w:val="none"/>
        </w:rPr>
        <w:t>固定收益类投资资产</w:t>
      </w:r>
      <w:r>
        <w:rPr>
          <w:highlight w:val="none"/>
        </w:rPr>
        <w:t>账面余额和</w:t>
      </w:r>
      <w:r>
        <w:rPr>
          <w:rFonts w:hint="eastAsia"/>
          <w:highlight w:val="none"/>
        </w:rPr>
        <w:t>账面价值应按全价口径填报，包括境内固定收益类投资资产和境外固定收益类投资资产，其中境内固定收益类投资资产包括</w:t>
      </w:r>
      <w:r>
        <w:rPr>
          <w:highlight w:val="none"/>
        </w:rPr>
        <w:t>传统固定收益类</w:t>
      </w:r>
      <w:r>
        <w:rPr>
          <w:rFonts w:hint="eastAsia"/>
          <w:highlight w:val="none"/>
        </w:rPr>
        <w:t>投资</w:t>
      </w:r>
      <w:r>
        <w:rPr>
          <w:highlight w:val="none"/>
        </w:rPr>
        <w:t>资产</w:t>
      </w:r>
      <w:r>
        <w:rPr>
          <w:rFonts w:hint="eastAsia"/>
          <w:highlight w:val="none"/>
        </w:rPr>
        <w:t>、</w:t>
      </w:r>
      <w:r>
        <w:rPr>
          <w:highlight w:val="none"/>
        </w:rPr>
        <w:t>非标准固定收益类</w:t>
      </w:r>
      <w:r>
        <w:rPr>
          <w:rFonts w:hint="eastAsia"/>
          <w:highlight w:val="none"/>
        </w:rPr>
        <w:t>投资</w:t>
      </w:r>
      <w:r>
        <w:rPr>
          <w:highlight w:val="none"/>
        </w:rPr>
        <w:t>资产</w:t>
      </w:r>
      <w:r>
        <w:rPr>
          <w:rFonts w:hint="eastAsia"/>
          <w:highlight w:val="none"/>
        </w:rPr>
        <w:t>。</w:t>
      </w:r>
      <w:r>
        <w:rPr>
          <w:rFonts w:hint="eastAsia"/>
          <w:bCs/>
          <w:highlight w:val="none"/>
        </w:rPr>
        <w:t>传统固定收益类投资资产</w:t>
      </w:r>
      <w:r>
        <w:rPr>
          <w:rFonts w:hint="eastAsia"/>
          <w:highlight w:val="none"/>
        </w:rPr>
        <w:t>包括</w:t>
      </w:r>
      <w:r>
        <w:rPr>
          <w:rFonts w:hint="eastAsia"/>
          <w:highlight w:val="none"/>
          <w:lang w:eastAsia="zh-CN"/>
        </w:rPr>
        <w:t>：</w:t>
      </w:r>
      <w:r>
        <w:rPr>
          <w:rFonts w:hint="eastAsia"/>
          <w:highlight w:val="none"/>
        </w:rPr>
        <w:t>存款；（准）政府债券、金融企业（公司）债券、非金融企业（公司）债券；债券型基金；资产证券化产品；发行人确认为债务工具的优先股和无固定期限资本债券等。</w:t>
      </w:r>
      <w:r>
        <w:rPr>
          <w:rFonts w:hint="eastAsia" w:cs="宋体"/>
          <w:highlight w:val="none"/>
          <w:lang w:val="en-GB"/>
        </w:rPr>
        <w:t>存款包括银行定期存款、银行协议存款、大额存单、存出资本保证金等；（准）政府债券包括中央政府债券，省级政府债券和准政府债券，政策性银行发行的金融债券、次级债券和资本补充债券、资本补充工具，国务院批准特定机构发行的特别机构债券</w:t>
      </w:r>
      <w:r>
        <w:rPr>
          <w:rStyle w:val="19"/>
          <w:rFonts w:hint="eastAsia" w:ascii="仿宋_GB2312" w:hAnsi="仿宋"/>
          <w:szCs w:val="32"/>
          <w:highlight w:val="none"/>
        </w:rPr>
        <w:footnoteReference w:id="3"/>
      </w:r>
      <w:r>
        <w:rPr>
          <w:rFonts w:hint="eastAsia" w:cs="宋体"/>
          <w:highlight w:val="none"/>
          <w:lang w:val="en-GB"/>
        </w:rPr>
        <w:t>；金融企业（公司）债券包括</w:t>
      </w:r>
      <w:r>
        <w:rPr>
          <w:rFonts w:ascii="仿宋_GB2312" w:hAnsi="宋体" w:cs="宋体"/>
          <w:color w:val="000000"/>
          <w:highlight w:val="none"/>
        </w:rPr>
        <w:t>金融机构在全国银行间债券市场、证券交易所市场发行的债券和国际开发机构人民币债券等</w:t>
      </w:r>
      <w:r>
        <w:rPr>
          <w:rFonts w:hint="eastAsia" w:cs="宋体"/>
          <w:highlight w:val="none"/>
          <w:lang w:val="en-GB"/>
        </w:rPr>
        <w:t>；非金融企业（公司）债券包括企业债券、公司债券、中期票据，不含短期融资券、超短期融资券、可转换公司债券、可交换公司债券等；</w:t>
      </w:r>
      <w:r>
        <w:rPr>
          <w:rFonts w:ascii="仿宋_GB2312" w:hAnsi="宋体" w:cs="宋体"/>
          <w:color w:val="000000"/>
          <w:highlight w:val="none"/>
        </w:rPr>
        <w:t>资产证券化产品包括信贷资产支持证券、证券交易所挂牌交易的资产支持专项计划</w:t>
      </w:r>
      <w:r>
        <w:rPr>
          <w:rFonts w:hint="eastAsia" w:ascii="仿宋_GB2312" w:hAnsi="宋体" w:cs="宋体"/>
          <w:color w:val="000000"/>
          <w:highlight w:val="none"/>
        </w:rPr>
        <w:t>等，不包括</w:t>
      </w:r>
      <w:r>
        <w:rPr>
          <w:rFonts w:hint="eastAsia"/>
          <w:highlight w:val="none"/>
        </w:rPr>
        <w:t>持有型不动产资产支持专项计划</w:t>
      </w:r>
      <w:r>
        <w:rPr>
          <w:rFonts w:hint="eastAsia" w:cs="宋体"/>
          <w:highlight w:val="none"/>
          <w:lang w:val="en-GB"/>
        </w:rPr>
        <w:t>。</w:t>
      </w:r>
      <w:r>
        <w:rPr>
          <w:rFonts w:hint="eastAsia"/>
          <w:bCs/>
          <w:highlight w:val="none"/>
        </w:rPr>
        <w:t>非标准固定收益类投资资产</w:t>
      </w:r>
      <w:r>
        <w:rPr>
          <w:rFonts w:hint="eastAsia"/>
          <w:highlight w:val="none"/>
        </w:rPr>
        <w:t>包括</w:t>
      </w:r>
      <w:r>
        <w:rPr>
          <w:rFonts w:hint="eastAsia"/>
          <w:highlight w:val="none"/>
          <w:lang w:eastAsia="zh-CN"/>
        </w:rPr>
        <w:t>：</w:t>
      </w:r>
      <w:r>
        <w:rPr>
          <w:rFonts w:hint="eastAsia"/>
          <w:highlight w:val="none"/>
        </w:rPr>
        <w:t>债权投资计划；</w:t>
      </w:r>
      <w:r>
        <w:rPr>
          <w:rFonts w:ascii="仿宋_GB2312" w:hAnsi="宋体" w:cs="宋体"/>
          <w:highlight w:val="none"/>
        </w:rPr>
        <w:t>固定收益类集合资金信托计划</w:t>
      </w:r>
      <w:r>
        <w:rPr>
          <w:rFonts w:hint="eastAsia" w:ascii="仿宋_GB2312" w:hAnsi="宋体" w:cs="宋体"/>
          <w:highlight w:val="none"/>
        </w:rPr>
        <w:t>；</w:t>
      </w:r>
      <w:r>
        <w:rPr>
          <w:rFonts w:ascii="仿宋_GB2312" w:hAnsi="宋体" w:cs="宋体"/>
          <w:highlight w:val="none"/>
        </w:rPr>
        <w:t>固定收益类专项产品</w:t>
      </w:r>
      <w:r>
        <w:rPr>
          <w:rFonts w:hint="eastAsia" w:ascii="仿宋_GB2312" w:hAnsi="宋体" w:cs="宋体"/>
          <w:highlight w:val="none"/>
          <w:lang w:eastAsia="zh-CN"/>
        </w:rPr>
        <w:t>；</w:t>
      </w:r>
      <w:r>
        <w:rPr>
          <w:rFonts w:hint="eastAsia"/>
          <w:highlight w:val="none"/>
        </w:rPr>
        <w:t>固定收益类组合类保险资产管理产品；固定收益类理财产品；</w:t>
      </w:r>
      <w:r>
        <w:rPr>
          <w:rFonts w:ascii="仿宋_GB2312" w:hAnsi="宋体" w:cs="宋体"/>
          <w:highlight w:val="none"/>
        </w:rPr>
        <w:t>非证券交易所挂牌交易的资产支持专项计划</w:t>
      </w:r>
      <w:r>
        <w:rPr>
          <w:rFonts w:hint="eastAsia" w:ascii="仿宋_GB2312" w:hAnsi="宋体" w:cs="宋体"/>
          <w:highlight w:val="none"/>
        </w:rPr>
        <w:t>、资产支持计划；</w:t>
      </w:r>
      <w:r>
        <w:rPr>
          <w:highlight w:val="none"/>
        </w:rPr>
        <w:t>含保证条款的权益类</w:t>
      </w:r>
      <w:r>
        <w:rPr>
          <w:rFonts w:hint="eastAsia"/>
          <w:highlight w:val="none"/>
        </w:rPr>
        <w:t>投资</w:t>
      </w:r>
      <w:r>
        <w:rPr>
          <w:highlight w:val="none"/>
        </w:rPr>
        <w:t>资产</w:t>
      </w:r>
      <w:r>
        <w:rPr>
          <w:rFonts w:ascii="仿宋_GB2312" w:hAnsi="宋体" w:cs="宋体"/>
          <w:highlight w:val="none"/>
        </w:rPr>
        <w:t>等。</w:t>
      </w:r>
      <w:r>
        <w:rPr>
          <w:rFonts w:hint="eastAsia" w:ascii="仿宋_GB2312" w:hAnsi="宋体" w:cs="宋体"/>
          <w:highlight w:val="none"/>
        </w:rPr>
        <w:t>其中，</w:t>
      </w:r>
      <w:r>
        <w:rPr>
          <w:rFonts w:ascii="仿宋_GB2312" w:hAnsi="宋体" w:cs="宋体"/>
          <w:highlight w:val="none"/>
        </w:rPr>
        <w:t>基础资产</w:t>
      </w:r>
      <w:r>
        <w:rPr>
          <w:rFonts w:hint="eastAsia" w:ascii="仿宋_GB2312" w:hAnsi="宋体" w:cs="宋体"/>
          <w:highlight w:val="none"/>
        </w:rPr>
        <w:t>80%及以上投资于标准化债权类资产的固定收益类理财产品和固定收益类组合类保险资产管理产品纳入传统固定收益类投资资产统计</w:t>
      </w:r>
      <w:r>
        <w:rPr>
          <w:rFonts w:hint="eastAsia"/>
          <w:highlight w:val="none"/>
        </w:rPr>
        <w:t>。</w:t>
      </w:r>
      <w:r>
        <w:rPr>
          <w:highlight w:val="none"/>
        </w:rPr>
        <w:t>含保证条款的权益类投资资产</w:t>
      </w:r>
      <w:r>
        <w:rPr>
          <w:rFonts w:hint="eastAsia"/>
          <w:highlight w:val="none"/>
        </w:rPr>
        <w:t>包括有保证条款的股权投资计划、有保证条款的股权投资基金等，保证条款应符合以下规定：</w:t>
      </w:r>
      <w:r>
        <w:rPr>
          <w:highlight w:val="none"/>
        </w:rPr>
        <w:t>合同明确约定最低保证回报</w:t>
      </w:r>
      <w:r>
        <w:rPr>
          <w:rFonts w:hint="eastAsia"/>
          <w:highlight w:val="none"/>
        </w:rPr>
        <w:t>；</w:t>
      </w:r>
      <w:r>
        <w:rPr>
          <w:highlight w:val="none"/>
        </w:rPr>
        <w:t>最低保证回报水平不明显低于相应信用等级债券的市场回报率</w:t>
      </w:r>
      <w:r>
        <w:rPr>
          <w:rFonts w:hint="eastAsia"/>
          <w:highlight w:val="none"/>
        </w:rPr>
        <w:t>；</w:t>
      </w:r>
      <w:r>
        <w:rPr>
          <w:highlight w:val="none"/>
        </w:rPr>
        <w:t>最低保证回报设定担保机制</w:t>
      </w:r>
      <w:r>
        <w:rPr>
          <w:rFonts w:hint="eastAsia"/>
          <w:highlight w:val="none"/>
        </w:rPr>
        <w:t>；</w:t>
      </w:r>
      <w:r>
        <w:rPr>
          <w:highlight w:val="none"/>
        </w:rPr>
        <w:t>合同中约定赎回条款，使合同双方有足够经济动机履行赎回权利或义务。</w:t>
      </w:r>
      <w:r>
        <w:rPr>
          <w:rFonts w:hint="eastAsia"/>
          <w:bCs/>
          <w:highlight w:val="none"/>
        </w:rPr>
        <w:t>境外固定收益类投资资产</w:t>
      </w:r>
      <w:r>
        <w:rPr>
          <w:rFonts w:hint="eastAsia"/>
          <w:highlight w:val="none"/>
        </w:rPr>
        <w:t>包括境外以人民币或外币计价发行的固定收益类投资资产，和境内以人民币或外币计价发行、以境外金融工具或者其他资产为投资对象的固定收益类投资资产，</w:t>
      </w:r>
      <w:r>
        <w:rPr>
          <w:rFonts w:ascii="仿宋_GB2312" w:hAnsi="宋体" w:cs="宋体"/>
          <w:color w:val="000000"/>
          <w:highlight w:val="none"/>
        </w:rPr>
        <w:t>包括银行定期存款、具有银行保本承诺的结构性存款</w:t>
      </w:r>
      <w:r>
        <w:rPr>
          <w:rFonts w:hint="eastAsia" w:ascii="仿宋_GB2312" w:hAnsi="宋体" w:cs="宋体"/>
          <w:color w:val="000000"/>
          <w:highlight w:val="none"/>
        </w:rPr>
        <w:t>、</w:t>
      </w:r>
      <w:r>
        <w:rPr>
          <w:rFonts w:ascii="仿宋_GB2312" w:hAnsi="宋体" w:cs="宋体"/>
          <w:color w:val="000000"/>
          <w:highlight w:val="none"/>
        </w:rPr>
        <w:t>政府债券、政府支持性债券、国际金融组织债券、公司债券、</w:t>
      </w:r>
      <w:r>
        <w:rPr>
          <w:rFonts w:hint="eastAsia"/>
          <w:highlight w:val="none"/>
        </w:rPr>
        <w:t>纳入境外资产的南向通债券、</w:t>
      </w:r>
      <w:r>
        <w:rPr>
          <w:rFonts w:ascii="仿宋_GB2312" w:hAnsi="宋体" w:cs="宋体"/>
          <w:color w:val="000000"/>
          <w:highlight w:val="none"/>
        </w:rPr>
        <w:t>固定收益类证券投资基金</w:t>
      </w:r>
      <w:r>
        <w:rPr>
          <w:rFonts w:hint="eastAsia" w:ascii="仿宋_GB2312" w:hAnsi="宋体" w:cs="宋体"/>
          <w:color w:val="000000"/>
          <w:highlight w:val="none"/>
        </w:rPr>
        <w:t>（债券型基金）等</w:t>
      </w:r>
      <w:r>
        <w:rPr>
          <w:rFonts w:ascii="仿宋_GB2312" w:hAnsi="宋体" w:cs="宋体"/>
          <w:color w:val="000000"/>
          <w:highlight w:val="none"/>
        </w:rPr>
        <w:t>。</w:t>
      </w:r>
    </w:p>
    <w:p>
      <w:pPr>
        <w:ind w:firstLine="640"/>
        <w:rPr>
          <w:rFonts w:ascii="仿宋_GB2312" w:hAnsi="仿宋_GB2312"/>
          <w:highlight w:val="none"/>
        </w:rPr>
      </w:pPr>
      <w:r>
        <w:rPr>
          <w:rFonts w:hint="eastAsia" w:ascii="仿宋_GB2312" w:hAnsi="仿宋_GB2312"/>
          <w:bCs/>
          <w:highlight w:val="none"/>
        </w:rPr>
        <w:t>权益类投资资产</w:t>
      </w:r>
      <w:r>
        <w:rPr>
          <w:rFonts w:hint="eastAsia" w:ascii="仿宋_GB2312" w:hAnsi="仿宋_GB2312"/>
          <w:highlight w:val="none"/>
        </w:rPr>
        <w:t>包括境内权益类投资资产及境外权益类投资资产。</w:t>
      </w:r>
      <w:r>
        <w:rPr>
          <w:rFonts w:hint="eastAsia" w:ascii="仿宋_GB2312" w:hAnsi="仿宋_GB2312"/>
          <w:bCs/>
          <w:highlight w:val="none"/>
        </w:rPr>
        <w:t>境内权益类投资资产</w:t>
      </w:r>
      <w:r>
        <w:rPr>
          <w:rFonts w:hint="eastAsia" w:ascii="仿宋_GB2312" w:hAnsi="仿宋_GB2312"/>
          <w:highlight w:val="none"/>
        </w:rPr>
        <w:t>包括：普通股；</w:t>
      </w:r>
      <w:r>
        <w:rPr>
          <w:rFonts w:ascii="仿宋_GB2312" w:hAnsi="仿宋_GB2312" w:cs="宋体"/>
          <w:color w:val="000000"/>
          <w:highlight w:val="none"/>
        </w:rPr>
        <w:t>股票型证券投资基金、混合型证券投资基金</w:t>
      </w:r>
      <w:r>
        <w:rPr>
          <w:rFonts w:hint="eastAsia" w:ascii="仿宋_GB2312" w:hAnsi="仿宋_GB2312"/>
          <w:highlight w:val="none"/>
        </w:rPr>
        <w:t>；发行人确认为权益工具的优先股和无固定期限资本债券等；可转债（含商业银行可转换债券、保险公司可转换债券、可转换公司债券、可交换公司债券）；未上市企业股权；不含保证条款的权益类和混合类组合类保险资产管理产品（不包括基础资产80%及以上投资于公募REITs的）；不含保证条款的股权投资计划、股权投资基金（不包括基础资产为不动产类投资资产的）；发行人确认为权益工具的</w:t>
      </w:r>
      <w:r>
        <w:rPr>
          <w:rFonts w:ascii="仿宋_GB2312" w:hAnsi="仿宋_GB2312" w:cs="宋体"/>
          <w:highlight w:val="none"/>
        </w:rPr>
        <w:t>固定收益类集合资金信托计划</w:t>
      </w:r>
      <w:r>
        <w:rPr>
          <w:rFonts w:hint="eastAsia" w:ascii="仿宋_GB2312" w:hAnsi="仿宋_GB2312" w:cs="宋体"/>
          <w:highlight w:val="none"/>
        </w:rPr>
        <w:t>，</w:t>
      </w:r>
      <w:r>
        <w:rPr>
          <w:rFonts w:hint="eastAsia" w:ascii="仿宋_GB2312" w:hAnsi="仿宋_GB2312"/>
          <w:highlight w:val="none"/>
        </w:rPr>
        <w:t>权益类集合资金信托计划（不包括基础资产为不动产类投资资产的）；权益类</w:t>
      </w:r>
      <w:r>
        <w:rPr>
          <w:rFonts w:ascii="仿宋_GB2312" w:hAnsi="仿宋_GB2312" w:cs="宋体"/>
          <w:color w:val="000000"/>
          <w:highlight w:val="none"/>
        </w:rPr>
        <w:t>专项产品</w:t>
      </w:r>
      <w:r>
        <w:rPr>
          <w:rFonts w:hint="eastAsia" w:ascii="仿宋_GB2312" w:hAnsi="仿宋_GB2312" w:cs="宋体"/>
          <w:color w:val="000000"/>
          <w:highlight w:val="none"/>
        </w:rPr>
        <w:t>、债转股投资计划；私募证券投资基金</w:t>
      </w:r>
      <w:r>
        <w:rPr>
          <w:rFonts w:hint="eastAsia" w:ascii="仿宋_GB2312" w:hAnsi="仿宋_GB2312"/>
          <w:highlight w:val="none"/>
        </w:rPr>
        <w:t>等</w:t>
      </w:r>
      <w:r>
        <w:rPr>
          <w:rFonts w:ascii="仿宋_GB2312" w:hAnsi="仿宋_GB2312"/>
          <w:highlight w:val="none"/>
        </w:rPr>
        <w:t>。投资全国中小企业股份转让系统挂牌的公司股票，按照投资未上市企业股权相关监管规定执行</w:t>
      </w:r>
      <w:r>
        <w:rPr>
          <w:rFonts w:hint="eastAsia" w:ascii="仿宋_GB2312" w:hAnsi="仿宋_GB2312"/>
          <w:highlight w:val="none"/>
        </w:rPr>
        <w:t>。</w:t>
      </w:r>
      <w:r>
        <w:rPr>
          <w:rFonts w:hint="eastAsia" w:ascii="仿宋_GB2312" w:hAnsi="仿宋_GB2312"/>
          <w:bCs/>
          <w:highlight w:val="none"/>
        </w:rPr>
        <w:t>境外权益类投资资产</w:t>
      </w:r>
      <w:r>
        <w:rPr>
          <w:rFonts w:hint="eastAsia" w:ascii="仿宋_GB2312" w:hAnsi="仿宋_GB2312"/>
          <w:highlight w:val="none"/>
        </w:rPr>
        <w:t>包括：普通股、全球存托凭证、美国存托凭证；证券投资基金（不含货币市场基金、债券型基金）；可转债；发行人确认为权益工具的优先股和无固定期限资本债券等；私募证券投资基金（基础资产投资境外股票占比50%以上）；以纳入境外资产的港股通为主要投资标的境内基金和组合类保险资产管理产品；未上市企业股权；股权投资基金（不包括基础资产为不动产类投资资产的）；不具有银行保本承诺的结构性存款等。其中，境内外可转债的</w:t>
      </w:r>
      <w:r>
        <w:rPr>
          <w:rFonts w:ascii="仿宋_GB2312" w:hAnsi="仿宋_GB2312"/>
          <w:highlight w:val="none"/>
        </w:rPr>
        <w:t>账面余额和</w:t>
      </w:r>
      <w:r>
        <w:rPr>
          <w:rFonts w:hint="eastAsia" w:ascii="仿宋_GB2312" w:hAnsi="仿宋_GB2312"/>
          <w:highlight w:val="none"/>
        </w:rPr>
        <w:t>账面价值应按全价口径填报；境内外权益类投资资产中的长期股权投资是根据《企业会计准则第2号——长期股权投资》（财会〔2014〕14号）规定所认定的长期股权投资。</w:t>
      </w:r>
    </w:p>
    <w:p>
      <w:pPr>
        <w:ind w:firstLine="640"/>
        <w:rPr>
          <w:rFonts w:hint="eastAsia" w:ascii="仿宋_GB2312" w:hAnsi="仿宋_GB2312"/>
          <w:highlight w:val="none"/>
        </w:rPr>
      </w:pPr>
      <w:r>
        <w:rPr>
          <w:rFonts w:hint="eastAsia" w:ascii="仿宋_GB2312" w:hAnsi="仿宋_GB2312"/>
          <w:bCs/>
          <w:highlight w:val="none"/>
        </w:rPr>
        <w:t>不动产类投资资产</w:t>
      </w:r>
      <w:r>
        <w:rPr>
          <w:rFonts w:hint="eastAsia" w:ascii="仿宋_GB2312" w:hAnsi="仿宋_GB2312"/>
          <w:highlight w:val="none"/>
        </w:rPr>
        <w:t>包括境内外以物权或项目公司股权方式持有的投资性不动产</w:t>
      </w:r>
      <w:r>
        <w:rPr>
          <w:rFonts w:hint="eastAsia" w:ascii="仿宋_GB2312" w:hAnsi="仿宋_GB2312" w:cs="宋体"/>
          <w:color w:val="000000"/>
          <w:highlight w:val="none"/>
        </w:rPr>
        <w:t>或</w:t>
      </w:r>
      <w:r>
        <w:rPr>
          <w:rFonts w:hint="eastAsia" w:ascii="仿宋_GB2312" w:hAnsi="仿宋_GB2312"/>
          <w:highlight w:val="none"/>
        </w:rPr>
        <w:t>基础设施项目</w:t>
      </w:r>
      <w:r>
        <w:rPr>
          <w:rFonts w:ascii="仿宋_GB2312" w:hAnsi="仿宋_GB2312" w:cs="宋体"/>
          <w:color w:val="000000"/>
          <w:highlight w:val="none"/>
        </w:rPr>
        <w:t>（包括向项目公司提供的股东借款）</w:t>
      </w:r>
      <w:r>
        <w:rPr>
          <w:rFonts w:hint="eastAsia" w:ascii="仿宋_GB2312" w:hAnsi="仿宋_GB2312"/>
          <w:highlight w:val="none"/>
        </w:rPr>
        <w:t>，</w:t>
      </w:r>
      <w:r>
        <w:rPr>
          <w:rFonts w:hint="eastAsia" w:ascii="仿宋_GB2312" w:hAnsi="仿宋_GB2312" w:cs="宋体"/>
          <w:color w:val="000000"/>
          <w:highlight w:val="none"/>
        </w:rPr>
        <w:t>以及不动产金融产品</w:t>
      </w:r>
      <w:r>
        <w:rPr>
          <w:rFonts w:hint="eastAsia" w:ascii="仿宋_GB2312" w:hAnsi="仿宋_GB2312"/>
          <w:highlight w:val="none"/>
        </w:rPr>
        <w:t>，不包括保险公司购置的自用性不动产</w:t>
      </w:r>
      <w:r>
        <w:rPr>
          <w:rFonts w:hint="eastAsia" w:ascii="仿宋_GB2312" w:hAnsi="仿宋_GB2312" w:cs="宋体"/>
          <w:color w:val="000000"/>
          <w:highlight w:val="none"/>
        </w:rPr>
        <w:t>。</w:t>
      </w:r>
      <w:r>
        <w:rPr>
          <w:rFonts w:hint="eastAsia" w:ascii="仿宋_GB2312" w:hAnsi="仿宋_GB2312" w:cs="宋体"/>
          <w:bCs/>
          <w:color w:val="000000"/>
          <w:highlight w:val="none"/>
        </w:rPr>
        <w:t>境内</w:t>
      </w:r>
      <w:r>
        <w:rPr>
          <w:rFonts w:hint="eastAsia" w:ascii="仿宋_GB2312" w:hAnsi="仿宋_GB2312" w:cs="宋体"/>
          <w:color w:val="000000"/>
          <w:highlight w:val="none"/>
        </w:rPr>
        <w:t>不动产金融产品包括</w:t>
      </w:r>
      <w:r>
        <w:rPr>
          <w:rFonts w:hint="eastAsia" w:ascii="仿宋_GB2312" w:hAnsi="仿宋_GB2312"/>
          <w:highlight w:val="none"/>
        </w:rPr>
        <w:t>基础资产为不动产的股权投资基金</w:t>
      </w:r>
      <w:r>
        <w:rPr>
          <w:rFonts w:hint="eastAsia" w:ascii="仿宋_GB2312" w:hAnsi="仿宋_GB2312" w:cs="宋体"/>
          <w:color w:val="000000"/>
          <w:highlight w:val="none"/>
        </w:rPr>
        <w:t>、股权投资计划、</w:t>
      </w:r>
      <w:r>
        <w:rPr>
          <w:rFonts w:hint="eastAsia" w:ascii="仿宋_GB2312" w:hAnsi="仿宋_GB2312"/>
          <w:highlight w:val="none"/>
        </w:rPr>
        <w:t>权益类集合资金信托计划、发行人确认为权益工具的债权计划等；</w:t>
      </w:r>
      <w:r>
        <w:rPr>
          <w:rFonts w:hint="eastAsia" w:ascii="仿宋_GB2312" w:hAnsi="仿宋_GB2312" w:cs="宋体"/>
          <w:color w:val="000000"/>
          <w:highlight w:val="none"/>
        </w:rPr>
        <w:t>公开募集基础设施证券投资基金（公募</w:t>
      </w:r>
      <w:r>
        <w:rPr>
          <w:rFonts w:ascii="仿宋_GB2312" w:hAnsi="仿宋_GB2312" w:cs="宋体"/>
          <w:color w:val="000000"/>
          <w:highlight w:val="none"/>
        </w:rPr>
        <w:t>R</w:t>
      </w:r>
      <w:r>
        <w:rPr>
          <w:rFonts w:hint="eastAsia" w:ascii="仿宋_GB2312" w:hAnsi="仿宋_GB2312" w:cs="宋体"/>
          <w:color w:val="000000"/>
          <w:highlight w:val="none"/>
        </w:rPr>
        <w:t>EIT</w:t>
      </w:r>
      <w:r>
        <w:rPr>
          <w:rFonts w:ascii="仿宋_GB2312" w:hAnsi="仿宋_GB2312" w:cs="宋体"/>
          <w:color w:val="000000"/>
          <w:highlight w:val="none"/>
        </w:rPr>
        <w:t>s）</w:t>
      </w:r>
      <w:r>
        <w:rPr>
          <w:rFonts w:hint="eastAsia" w:ascii="仿宋_GB2312" w:hAnsi="仿宋_GB2312" w:cs="宋体"/>
          <w:color w:val="000000"/>
          <w:highlight w:val="none"/>
        </w:rPr>
        <w:t>、</w:t>
      </w:r>
      <w:r>
        <w:rPr>
          <w:rFonts w:hint="eastAsia" w:ascii="仿宋_GB2312" w:hAnsi="仿宋_GB2312"/>
          <w:highlight w:val="none"/>
        </w:rPr>
        <w:t>持有型不动产资产支持专项计划以及</w:t>
      </w:r>
      <w:r>
        <w:rPr>
          <w:rFonts w:hint="eastAsia" w:ascii="仿宋_GB2312" w:hAnsi="仿宋_GB2312" w:cs="宋体"/>
          <w:highlight w:val="none"/>
        </w:rPr>
        <w:t>基础资产80%及以上投资于公募REITs的资产管理产品</w:t>
      </w:r>
      <w:r>
        <w:rPr>
          <w:rFonts w:hint="eastAsia" w:ascii="仿宋_GB2312" w:hAnsi="仿宋_GB2312"/>
          <w:highlight w:val="none"/>
        </w:rPr>
        <w:t>等金融产品，纳入境内不动产金融产品统计。</w:t>
      </w:r>
      <w:r>
        <w:rPr>
          <w:rFonts w:hint="eastAsia" w:ascii="仿宋_GB2312" w:hAnsi="仿宋_GB2312" w:cs="宋体"/>
          <w:bCs/>
          <w:color w:val="000000"/>
          <w:highlight w:val="none"/>
        </w:rPr>
        <w:t>境外</w:t>
      </w:r>
      <w:r>
        <w:rPr>
          <w:rFonts w:hint="eastAsia" w:ascii="仿宋_GB2312" w:hAnsi="仿宋_GB2312" w:cs="宋体"/>
          <w:color w:val="000000"/>
          <w:highlight w:val="none"/>
        </w:rPr>
        <w:t>不动产金融产品包括</w:t>
      </w:r>
      <w:r>
        <w:rPr>
          <w:rFonts w:hint="eastAsia" w:ascii="仿宋_GB2312" w:hAnsi="仿宋_GB2312"/>
          <w:highlight w:val="none"/>
        </w:rPr>
        <w:t>基础资产为不动产的股权投资基金等</w:t>
      </w:r>
      <w:r>
        <w:rPr>
          <w:rFonts w:hint="eastAsia" w:ascii="仿宋_GB2312" w:hAnsi="仿宋_GB2312"/>
          <w:highlight w:val="none"/>
          <w:lang w:eastAsia="zh-CN"/>
        </w:rPr>
        <w:t>，</w:t>
      </w:r>
      <w:r>
        <w:rPr>
          <w:rFonts w:hint="eastAsia" w:ascii="仿宋_GB2312" w:hAnsi="仿宋_GB2312"/>
          <w:highlight w:val="none"/>
        </w:rPr>
        <w:t>房地产信托投资基金（REITs）纳入境外不动产金融产品统计。</w:t>
      </w:r>
      <w:r>
        <w:rPr>
          <w:rFonts w:hint="eastAsia" w:ascii="仿宋_GB2312" w:hAnsi="仿宋_GB2312"/>
          <w:bCs/>
          <w:highlight w:val="none"/>
        </w:rPr>
        <w:t>保险公司填报的自用性不动产</w:t>
      </w:r>
      <w:r>
        <w:rPr>
          <w:rFonts w:hint="eastAsia" w:ascii="仿宋_GB2312" w:hAnsi="仿宋_GB2312"/>
          <w:highlight w:val="none"/>
        </w:rPr>
        <w:t>，包括已经建成和处于在建工程的、以自用为目的的办公用房、培训中心、后援中心、灾备中心等，同时包括以建设自用性不动产为目的的土地。</w:t>
      </w:r>
    </w:p>
    <w:p>
      <w:pPr>
        <w:ind w:firstLine="640"/>
        <w:rPr>
          <w:rFonts w:ascii="仿宋_GB2312" w:hAnsi="仿宋_GB2312"/>
          <w:highlight w:val="none"/>
        </w:rPr>
      </w:pPr>
      <w:r>
        <w:rPr>
          <w:rFonts w:hint="eastAsia" w:ascii="仿宋_GB2312" w:hAnsi="仿宋_GB2312"/>
          <w:bCs/>
          <w:highlight w:val="none"/>
        </w:rPr>
        <w:t>商品类投资资产</w:t>
      </w:r>
      <w:r>
        <w:rPr>
          <w:rFonts w:hint="eastAsia" w:ascii="仿宋_GB2312" w:hAnsi="仿宋_GB2312"/>
          <w:highlight w:val="none"/>
        </w:rPr>
        <w:t>包括黄金合约以及其他国家金融监督管理总局认可的投资资产。</w:t>
      </w:r>
      <w:r>
        <w:rPr>
          <w:rFonts w:hint="eastAsia" w:ascii="仿宋_GB2312" w:hAnsi="仿宋_GB2312"/>
          <w:bCs/>
          <w:highlight w:val="none"/>
        </w:rPr>
        <w:t>其中</w:t>
      </w:r>
      <w:r>
        <w:rPr>
          <w:rFonts w:hint="eastAsia" w:ascii="仿宋_GB2312" w:hAnsi="仿宋_GB2312"/>
          <w:highlight w:val="none"/>
        </w:rPr>
        <w:t>，黄金合约包括在上海黄金交易所主板上市或交易的黄金现货实盘合约、黄金现货延期交收合约、上海金集中定价合约、黄金询价即期合约、黄金询价掉期合约等。</w:t>
      </w:r>
    </w:p>
    <w:p>
      <w:pPr>
        <w:ind w:firstLine="640"/>
        <w:rPr>
          <w:rFonts w:ascii="仿宋_GB2312" w:hAnsi="仿宋_GB2312" w:cs="宋体"/>
          <w:color w:val="000000"/>
          <w:highlight w:val="none"/>
        </w:rPr>
      </w:pPr>
      <w:r>
        <w:rPr>
          <w:rFonts w:hint="eastAsia" w:ascii="仿宋_GB2312" w:hAnsi="仿宋_GB2312" w:cs="宋体"/>
          <w:color w:val="000000"/>
          <w:highlight w:val="none"/>
        </w:rPr>
        <w:t>保险公司投资单一资产管理计划和面向单一投资者发行的组合类保险资产管理产品、私募理财产品，应当按照穿透原则将基础资产分别纳入对应投资资产类别统计。</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（三）固定收益类投资资产剩余期限分布</w:t>
      </w:r>
    </w:p>
    <w:p>
      <w:pPr>
        <w:ind w:firstLine="640"/>
        <w:rPr>
          <w:rFonts w:ascii="仿宋_GB2312" w:hAnsi="仿宋_GB2312"/>
          <w:highlight w:val="none"/>
          <w:lang w:val="en-GB"/>
        </w:rPr>
      </w:pPr>
      <w:r>
        <w:rPr>
          <w:rFonts w:hint="eastAsia" w:ascii="仿宋_GB2312" w:hAnsi="仿宋_GB2312"/>
          <w:highlight w:val="none"/>
          <w:lang w:val="en-GB"/>
        </w:rPr>
        <w:t>根据公司持有的固定收益类投资资产的剩余期限情况分别进行填报。其中，保险公司持有的传统固定收益类资产按照存款、（准）政府债券、金融企业（公司）债券、非金融企业（公司）债券、债券型基金、资产证券化产品、发行人确认为债务工具的优先股和无固定期限资本债券和其他传统固定收益类投资资产分别填报。其中</w:t>
      </w:r>
      <w:r>
        <w:rPr>
          <w:rFonts w:hint="eastAsia" w:ascii="仿宋_GB2312" w:hAnsi="仿宋_GB2312" w:cs="MS Mincho"/>
          <w:highlight w:val="none"/>
          <w:lang w:val="en-GB"/>
        </w:rPr>
        <w:t>债券型基金、</w:t>
      </w:r>
      <w:r>
        <w:rPr>
          <w:rFonts w:hint="eastAsia" w:ascii="仿宋_GB2312" w:hAnsi="仿宋_GB2312" w:cs="MS Mincho"/>
          <w:highlight w:val="none"/>
        </w:rPr>
        <w:t>面向非单一投资者发行的</w:t>
      </w:r>
      <w:r>
        <w:rPr>
          <w:rFonts w:hint="eastAsia" w:ascii="仿宋_GB2312" w:hAnsi="仿宋_GB2312"/>
          <w:highlight w:val="none"/>
        </w:rPr>
        <w:t>固定收益类理财产品和固定收益类组合类保险资产管理产品按照无明确期限统计</w:t>
      </w:r>
      <w:r>
        <w:rPr>
          <w:rFonts w:hint="eastAsia" w:ascii="仿宋_GB2312" w:hAnsi="仿宋_GB2312"/>
          <w:highlight w:val="none"/>
          <w:lang w:val="en-GB"/>
        </w:rPr>
        <w:t>。</w:t>
      </w:r>
    </w:p>
    <w:p>
      <w:pPr>
        <w:ind w:firstLine="640"/>
        <w:rPr>
          <w:rFonts w:ascii="仿宋_GB2312" w:hAnsi="仿宋_GB2312"/>
          <w:highlight w:val="none"/>
          <w:lang w:val="en-GB"/>
        </w:rPr>
      </w:pPr>
      <w:r>
        <w:rPr>
          <w:rFonts w:hint="eastAsia" w:ascii="仿宋_GB2312" w:hAnsi="仿宋_GB2312"/>
          <w:highlight w:val="none"/>
          <w:lang w:val="en-GB"/>
        </w:rPr>
        <w:t>对于含权的固定收益类投资资产，根据其特征判断是否行权，再确定剩余期限。对于含权债券，可参照中央国债登记结算有限责任公司公布的《含投资人回售权和发行人调整票面利率选择权的附息式固定利率债券估值方法》判断是否行权，再确定其剩余期限。对于含权且与利率挂钩的非标准固定收益类投资资产，可根据报告期末的市场远期利率曲线和行权利率比较判断是否行权，再确定其剩余期限。</w:t>
      </w:r>
    </w:p>
    <w:p>
      <w:pPr>
        <w:ind w:firstLine="640"/>
        <w:rPr>
          <w:rFonts w:ascii="仿宋_GB2312" w:hAnsi="仿宋_GB2312"/>
          <w:highlight w:val="none"/>
          <w:lang w:val="en-GB"/>
        </w:rPr>
      </w:pPr>
      <w:bookmarkStart w:id="3" w:name="OLE_LINK14"/>
      <w:bookmarkStart w:id="4" w:name="OLE_LINK13"/>
      <w:r>
        <w:rPr>
          <w:rFonts w:hint="eastAsia" w:ascii="仿宋_GB2312" w:hAnsi="仿宋_GB2312"/>
          <w:highlight w:val="none"/>
        </w:rPr>
        <w:t>对于</w:t>
      </w:r>
      <w:r>
        <w:rPr>
          <w:rFonts w:hint="eastAsia" w:ascii="仿宋_GB2312" w:hAnsi="仿宋_GB2312" w:cs="MS Mincho"/>
          <w:highlight w:val="none"/>
          <w:lang w:val="en-GB"/>
        </w:rPr>
        <w:t>保险公司投资的单一资产管理计划和</w:t>
      </w:r>
      <w:r>
        <w:rPr>
          <w:rFonts w:ascii="仿宋_GB2312" w:hAnsi="仿宋_GB2312" w:cs="MS Mincho"/>
          <w:highlight w:val="none"/>
          <w:lang w:val="en-GB"/>
        </w:rPr>
        <w:t>面向单一投资者发行的组合类保险资产管理产品</w:t>
      </w:r>
      <w:r>
        <w:rPr>
          <w:rFonts w:hint="eastAsia" w:ascii="仿宋_GB2312" w:hAnsi="仿宋_GB2312" w:cs="MS Mincho"/>
          <w:highlight w:val="none"/>
          <w:lang w:val="en-GB"/>
        </w:rPr>
        <w:t>、私募理财产品，应当按照穿透原则统计基础资产的剩余期限分布。</w:t>
      </w:r>
    </w:p>
    <w:bookmarkEnd w:id="3"/>
    <w:bookmarkEnd w:id="4"/>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（四）风险10日VaR值</w:t>
      </w:r>
    </w:p>
    <w:p>
      <w:pPr>
        <w:ind w:firstLine="640"/>
        <w:rPr>
          <w:rFonts w:ascii="仿宋_GB2312" w:hAnsi="仿宋_GB2312"/>
          <w:highlight w:val="none"/>
        </w:rPr>
      </w:pPr>
      <w:r>
        <w:rPr>
          <w:rFonts w:hint="eastAsia" w:ascii="仿宋_GB2312" w:hAnsi="仿宋_GB2312"/>
          <w:highlight w:val="none"/>
        </w:rPr>
        <w:t>VaR值采用历史模拟法进行计算，测试期间包括过去一年和过去三年。如历史数据不足，可采用指数数据进行替代。</w:t>
      </w:r>
      <w:r>
        <w:rPr>
          <w:rFonts w:ascii="仿宋_GB2312" w:hAnsi="仿宋_GB2312"/>
          <w:highlight w:val="none"/>
        </w:rPr>
        <w:t>VaR</w:t>
      </w:r>
      <w:r>
        <w:rPr>
          <w:rFonts w:hint="eastAsia" w:ascii="仿宋_GB2312" w:hAnsi="仿宋_GB2312"/>
          <w:highlight w:val="none"/>
        </w:rPr>
        <w:t>值</w:t>
      </w:r>
      <w:r>
        <w:rPr>
          <w:rFonts w:ascii="仿宋_GB2312" w:hAnsi="仿宋_GB2312"/>
          <w:highlight w:val="none"/>
        </w:rPr>
        <w:t>定义损失为正值，样本期间未发生损失，VaR值填</w:t>
      </w:r>
      <w:r>
        <w:rPr>
          <w:rFonts w:hint="eastAsia" w:ascii="仿宋_GB2312" w:hAnsi="仿宋_GB2312"/>
          <w:highlight w:val="none"/>
        </w:rPr>
        <w:t>“0”。</w:t>
      </w:r>
    </w:p>
    <w:p>
      <w:pPr>
        <w:ind w:firstLine="640"/>
        <w:rPr>
          <w:rFonts w:ascii="仿宋_GB2312" w:hAnsi="仿宋_GB2312"/>
          <w:highlight w:val="none"/>
        </w:rPr>
      </w:pPr>
      <w:r>
        <w:rPr>
          <w:rFonts w:hint="eastAsia" w:ascii="仿宋_GB2312" w:hAnsi="仿宋_GB2312"/>
          <w:highlight w:val="none"/>
        </w:rPr>
        <w:t>分别计算境内债券型基金、境外债券型基金、境内权益资产、境外权益资产的VaR值和VaR值与该类资产账面价值的比。本处所指权益资产包括</w:t>
      </w:r>
      <w:r>
        <w:rPr>
          <w:rFonts w:hint="eastAsia" w:ascii="仿宋_GB2312" w:hAnsi="仿宋_GB2312"/>
          <w:highlight w:val="none"/>
          <w:lang w:eastAsia="zh-CN"/>
        </w:rPr>
        <w:t>普通股</w:t>
      </w:r>
      <w:r>
        <w:rPr>
          <w:rFonts w:hint="eastAsia" w:ascii="仿宋_GB2312" w:hAnsi="仿宋_GB2312"/>
          <w:highlight w:val="none"/>
        </w:rPr>
        <w:t>及存托凭证、权益型证券投资基金、混合型证券投资基金、私募证券投资基金，不包含上述资产中纳入长期股权投资的部分。</w:t>
      </w:r>
    </w:p>
    <w:p>
      <w:pPr>
        <w:ind w:firstLine="640"/>
        <w:rPr>
          <w:rFonts w:ascii="仿宋_GB2312" w:hAnsi="仿宋_GB2312"/>
          <w:highlight w:val="none"/>
        </w:rPr>
      </w:pPr>
      <w:r>
        <w:rPr>
          <w:rFonts w:hint="eastAsia" w:ascii="仿宋_GB2312" w:hAnsi="仿宋_GB2312"/>
          <w:highlight w:val="none"/>
        </w:rPr>
        <w:t>缺少历史数据的，境内股票和香港市场股票采用该股票所对应的</w:t>
      </w:r>
      <w:r>
        <w:rPr>
          <w:rFonts w:ascii="仿宋_GB2312" w:hAnsi="仿宋_GB2312"/>
          <w:highlight w:val="none"/>
        </w:rPr>
        <w:t>申万一级行业指数替代</w:t>
      </w:r>
      <w:r>
        <w:rPr>
          <w:rFonts w:hint="eastAsia" w:ascii="仿宋_GB2312" w:hAnsi="仿宋_GB2312"/>
          <w:highlight w:val="none"/>
        </w:rPr>
        <w:t>，境内基金只追溯到基金成立日。境外股票和存托凭证只追溯到股票发行日，境外基金只追溯到基金成立日。</w:t>
      </w:r>
    </w:p>
    <w:p>
      <w:pPr>
        <w:ind w:firstLine="640"/>
        <w:rPr>
          <w:rFonts w:ascii="仿宋_GB2312" w:hAnsi="仿宋_GB2312"/>
          <w:highlight w:val="none"/>
        </w:rPr>
      </w:pPr>
      <w:r>
        <w:rPr>
          <w:rFonts w:hint="eastAsia" w:ascii="仿宋_GB2312" w:hAnsi="仿宋_GB2312"/>
          <w:highlight w:val="none"/>
        </w:rPr>
        <w:t>境外资产基于其本币与人民币在报告期末的价格进行折算。</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（五）外汇敞口</w:t>
      </w:r>
    </w:p>
    <w:p>
      <w:pPr>
        <w:ind w:firstLine="640"/>
        <w:rPr>
          <w:rFonts w:ascii="仿宋_GB2312" w:hAnsi="仿宋_GB2312"/>
          <w:highlight w:val="none"/>
        </w:rPr>
      </w:pPr>
      <w:r>
        <w:rPr>
          <w:rFonts w:hint="eastAsia" w:ascii="仿宋_GB2312" w:hAnsi="仿宋_GB2312" w:cs="宋体"/>
          <w:highlight w:val="none"/>
        </w:rPr>
        <w:t>外汇资产及外汇负债的账面价值统一按套保后的净值填报。</w:t>
      </w:r>
      <w:r>
        <w:rPr>
          <w:rFonts w:ascii="仿宋_GB2312" w:hAnsi="仿宋_GB2312" w:cs="宋体"/>
          <w:highlight w:val="none"/>
        </w:rPr>
        <w:t>资</w:t>
      </w:r>
      <w:r>
        <w:rPr>
          <w:rFonts w:hint="eastAsia" w:ascii="仿宋_GB2312" w:hAnsi="仿宋_GB2312"/>
          <w:highlight w:val="none"/>
        </w:rPr>
        <w:t>产和负债应基于其本币与人民币在报告期末的价格进行折算后加总填报其账面价值，折算方法应与经审计财务报告方法保持一致。对于通过VaR计算风险敞口的品种不再计算</w:t>
      </w:r>
      <w:r>
        <w:rPr>
          <w:rFonts w:ascii="仿宋_GB2312" w:hAnsi="仿宋_GB2312"/>
          <w:highlight w:val="none"/>
        </w:rPr>
        <w:t>外汇敞口</w:t>
      </w:r>
      <w:r>
        <w:rPr>
          <w:rFonts w:hint="eastAsia" w:ascii="仿宋_GB2312" w:hAnsi="仿宋_GB2312"/>
          <w:highlight w:val="none"/>
        </w:rPr>
        <w:t>，如境外普通股、存托凭证、境外债券型基金、境外权益型基金等</w:t>
      </w:r>
      <w:r>
        <w:rPr>
          <w:rFonts w:ascii="仿宋_GB2312" w:hAnsi="仿宋_GB2312"/>
          <w:highlight w:val="none"/>
        </w:rPr>
        <w:t>资产或负债。</w:t>
      </w:r>
      <w:r>
        <w:rPr>
          <w:rFonts w:hint="eastAsia" w:ascii="仿宋_GB2312" w:hAnsi="仿宋_GB2312"/>
          <w:highlight w:val="none"/>
        </w:rPr>
        <w:t>外汇敞口不需要计算到具体的账户。</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（六）融资杠杆比例</w:t>
      </w:r>
    </w:p>
    <w:p>
      <w:pPr>
        <w:ind w:firstLine="640"/>
        <w:rPr>
          <w:rFonts w:ascii="仿宋_GB2312" w:hAnsi="仿宋_GB2312"/>
          <w:highlight w:val="none"/>
        </w:rPr>
      </w:pPr>
      <w:r>
        <w:rPr>
          <w:rFonts w:ascii="仿宋_GB2312" w:hAnsi="仿宋_GB2312" w:cs="MS Mincho"/>
          <w:highlight w:val="none"/>
        </w:rPr>
        <w:t>融</w:t>
      </w:r>
      <w:r>
        <w:rPr>
          <w:rFonts w:hint="eastAsia" w:ascii="仿宋_GB2312" w:hAnsi="仿宋_GB2312"/>
          <w:highlight w:val="none"/>
        </w:rPr>
        <w:t>资杠杆包括同业拆借、债券回购、</w:t>
      </w:r>
      <w:r>
        <w:rPr>
          <w:rFonts w:hint="eastAsia" w:ascii="仿宋_GB2312" w:hAnsi="仿宋_GB2312"/>
          <w:highlight w:val="none"/>
          <w:lang w:eastAsia="zh-CN"/>
        </w:rPr>
        <w:t>保单质押贷款</w:t>
      </w:r>
      <w:r>
        <w:rPr>
          <w:rFonts w:ascii="仿宋_GB2312" w:hAnsi="仿宋_GB2312"/>
          <w:highlight w:val="none"/>
        </w:rPr>
        <w:t>资产支持计划</w:t>
      </w:r>
      <w:r>
        <w:rPr>
          <w:rFonts w:hint="eastAsia" w:ascii="仿宋_GB2312" w:hAnsi="仿宋_GB2312"/>
          <w:highlight w:val="none"/>
        </w:rPr>
        <w:t>等融入资金，不包括保险公司发行的</w:t>
      </w:r>
      <w:r>
        <w:rPr>
          <w:rFonts w:hint="eastAsia" w:ascii="仿宋_GB2312" w:hAnsi="仿宋_GB2312" w:cs="宋体"/>
          <w:highlight w:val="none"/>
          <w:lang w:val="en-GB"/>
        </w:rPr>
        <w:t>次级债、资本补充债</w:t>
      </w:r>
      <w:r>
        <w:rPr>
          <w:rFonts w:hint="eastAsia" w:ascii="仿宋_GB2312" w:hAnsi="仿宋_GB2312" w:cs="宋体"/>
          <w:highlight w:val="none"/>
        </w:rPr>
        <w:t>和</w:t>
      </w:r>
      <w:r>
        <w:rPr>
          <w:rFonts w:hint="eastAsia" w:ascii="仿宋_GB2312" w:hAnsi="仿宋_GB2312" w:cs="MS Mincho"/>
          <w:highlight w:val="none"/>
        </w:rPr>
        <w:t>无固定期限资本债券</w:t>
      </w:r>
      <w:r>
        <w:rPr>
          <w:rFonts w:hint="eastAsia" w:ascii="仿宋_GB2312" w:hAnsi="仿宋_GB2312" w:cs="宋体"/>
          <w:highlight w:val="none"/>
          <w:lang w:val="en-GB"/>
        </w:rPr>
        <w:t>等资本工具</w:t>
      </w:r>
      <w:r>
        <w:rPr>
          <w:rFonts w:hint="eastAsia" w:ascii="仿宋_GB2312" w:hAnsi="仿宋_GB2312"/>
          <w:highlight w:val="none"/>
        </w:rPr>
        <w:t>融入资金。</w:t>
      </w:r>
    </w:p>
    <w:p>
      <w:pPr>
        <w:pStyle w:val="14"/>
        <w:ind w:firstLine="640"/>
        <w:rPr>
          <w:rFonts w:ascii="仿宋_GB2312" w:hAnsi="仿宋_GB2312"/>
          <w:highlight w:val="none"/>
        </w:rPr>
      </w:pPr>
      <w:r>
        <w:rPr>
          <w:rFonts w:hint="eastAsia" w:ascii="仿宋_GB2312" w:hAnsi="仿宋_GB2312"/>
          <w:highlight w:val="none"/>
        </w:rPr>
        <w:t>四、资产信用状况计量规则</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（一）固定收益类投资资产信用评级</w:t>
      </w:r>
    </w:p>
    <w:p>
      <w:pPr>
        <w:ind w:firstLine="640"/>
        <w:rPr>
          <w:rFonts w:ascii="仿宋_GB2312" w:hAnsi="仿宋_GB2312"/>
          <w:highlight w:val="none"/>
          <w:lang w:val="en-GB"/>
        </w:rPr>
      </w:pPr>
      <w:r>
        <w:rPr>
          <w:rFonts w:ascii="仿宋_GB2312" w:hAnsi="仿宋_GB2312" w:cs="MS Mincho"/>
          <w:highlight w:val="none"/>
          <w:lang w:val="en-GB"/>
        </w:rPr>
        <w:t>保</w:t>
      </w:r>
      <w:r>
        <w:rPr>
          <w:rFonts w:hint="eastAsia" w:ascii="仿宋_GB2312" w:hAnsi="仿宋_GB2312"/>
          <w:highlight w:val="none"/>
          <w:lang w:val="en-GB"/>
        </w:rPr>
        <w:t>险公司填报固定收益类投资资产信用评级时，应符合保险公司偿付能力监管规则中信用风险最低资本</w:t>
      </w:r>
      <w:r>
        <w:rPr>
          <w:rFonts w:hint="eastAsia" w:ascii="仿宋_GB2312" w:hAnsi="仿宋_GB2312" w:cs="Arial"/>
          <w:highlight w:val="none"/>
        </w:rPr>
        <w:t>中的相关规定</w:t>
      </w:r>
      <w:r>
        <w:rPr>
          <w:rFonts w:hint="eastAsia" w:ascii="仿宋_GB2312" w:hAnsi="仿宋_GB2312"/>
          <w:highlight w:val="none"/>
          <w:lang w:val="en-GB"/>
        </w:rPr>
        <w:t>。</w:t>
      </w:r>
    </w:p>
    <w:p>
      <w:pPr>
        <w:ind w:firstLine="640"/>
        <w:rPr>
          <w:rFonts w:ascii="仿宋_GB2312" w:hAnsi="仿宋_GB2312"/>
          <w:highlight w:val="none"/>
          <w:lang w:val="en-GB"/>
        </w:rPr>
      </w:pPr>
      <w:r>
        <w:rPr>
          <w:rFonts w:hint="eastAsia" w:ascii="仿宋_GB2312" w:hAnsi="仿宋_GB2312"/>
          <w:highlight w:val="none"/>
          <w:lang w:val="en-GB"/>
        </w:rPr>
        <w:t>保险公司应将固定收益类投资资产按照免评级、AAA级、AA级（包括AA+和AA-）、A级（包括A+和A-）、BBB级（包括BBB+和BBB-）、BBB级以下及无评级共七大类分别填报。</w:t>
      </w:r>
    </w:p>
    <w:p>
      <w:pPr>
        <w:ind w:firstLine="640"/>
        <w:rPr>
          <w:rFonts w:ascii="仿宋_GB2312" w:hAnsi="仿宋_GB2312" w:cs="MS Mincho"/>
          <w:highlight w:val="none"/>
          <w:lang w:val="en-GB"/>
        </w:rPr>
      </w:pPr>
      <w:r>
        <w:rPr>
          <w:rFonts w:hint="eastAsia" w:ascii="仿宋_GB2312" w:hAnsi="仿宋_GB2312"/>
          <w:highlight w:val="none"/>
          <w:lang w:val="en-GB"/>
        </w:rPr>
        <w:t>填报时，对于存款按照存款机构主体评级统计；对于没有评级的（准）政府债券，按免评级统计；对于金融企业（</w:t>
      </w:r>
      <w:r>
        <w:rPr>
          <w:rFonts w:ascii="仿宋_GB2312" w:hAnsi="仿宋_GB2312"/>
          <w:highlight w:val="none"/>
          <w:lang w:val="en-GB"/>
        </w:rPr>
        <w:t>公司</w:t>
      </w:r>
      <w:r>
        <w:rPr>
          <w:rFonts w:hint="eastAsia" w:ascii="仿宋_GB2312" w:hAnsi="仿宋_GB2312"/>
          <w:highlight w:val="none"/>
          <w:lang w:val="en-GB"/>
        </w:rPr>
        <w:t>）</w:t>
      </w:r>
      <w:r>
        <w:rPr>
          <w:rFonts w:ascii="仿宋_GB2312" w:hAnsi="仿宋_GB2312"/>
          <w:highlight w:val="none"/>
          <w:lang w:val="en-GB"/>
        </w:rPr>
        <w:t>债券和非金融企业</w:t>
      </w:r>
      <w:r>
        <w:rPr>
          <w:rFonts w:hint="eastAsia" w:ascii="仿宋_GB2312" w:hAnsi="仿宋_GB2312"/>
          <w:highlight w:val="none"/>
          <w:lang w:val="en-GB"/>
        </w:rPr>
        <w:t>（</w:t>
      </w:r>
      <w:r>
        <w:rPr>
          <w:rFonts w:ascii="仿宋_GB2312" w:hAnsi="仿宋_GB2312"/>
          <w:highlight w:val="none"/>
          <w:lang w:val="en-GB"/>
        </w:rPr>
        <w:t>公司</w:t>
      </w:r>
      <w:r>
        <w:rPr>
          <w:rFonts w:hint="eastAsia" w:ascii="仿宋_GB2312" w:hAnsi="仿宋_GB2312"/>
          <w:highlight w:val="none"/>
          <w:lang w:val="en-GB"/>
        </w:rPr>
        <w:t>）</w:t>
      </w:r>
      <w:r>
        <w:rPr>
          <w:rFonts w:ascii="仿宋_GB2312" w:hAnsi="仿宋_GB2312"/>
          <w:highlight w:val="none"/>
          <w:lang w:val="en-GB"/>
        </w:rPr>
        <w:t>债券，优先按照债项评级统计，无债项评级的按发债机构主体评级统计，无主体评级的按无评级统计</w:t>
      </w:r>
      <w:r>
        <w:rPr>
          <w:rFonts w:hint="eastAsia" w:ascii="仿宋_GB2312" w:hAnsi="仿宋_GB2312"/>
          <w:highlight w:val="none"/>
          <w:lang w:val="en-GB"/>
        </w:rPr>
        <w:t>；</w:t>
      </w:r>
      <w:r>
        <w:rPr>
          <w:rFonts w:hint="eastAsia" w:ascii="仿宋_GB2312" w:hAnsi="仿宋_GB2312" w:cs="MS Mincho"/>
          <w:highlight w:val="none"/>
          <w:lang w:val="en-GB"/>
        </w:rPr>
        <w:t>债券型基金、</w:t>
      </w:r>
      <w:r>
        <w:rPr>
          <w:rFonts w:hint="eastAsia" w:ascii="仿宋_GB2312" w:hAnsi="仿宋_GB2312" w:cs="MS Mincho"/>
          <w:highlight w:val="none"/>
        </w:rPr>
        <w:t>面向非单一投资者发行的</w:t>
      </w:r>
      <w:r>
        <w:rPr>
          <w:rFonts w:hint="eastAsia" w:ascii="仿宋_GB2312" w:hAnsi="仿宋_GB2312"/>
          <w:highlight w:val="none"/>
        </w:rPr>
        <w:t>固定收益类理财产品和固定收益类组合类保险资产管理产品按照无评级统计；</w:t>
      </w:r>
      <w:r>
        <w:rPr>
          <w:rFonts w:hint="eastAsia" w:ascii="仿宋_GB2312" w:hAnsi="仿宋_GB2312"/>
          <w:highlight w:val="none"/>
          <w:lang w:val="en-GB"/>
        </w:rPr>
        <w:t>对于其他固定收益类投资资产按照债项评级统计；</w:t>
      </w:r>
      <w:bookmarkStart w:id="5" w:name="OLE_LINK12"/>
      <w:r>
        <w:rPr>
          <w:rFonts w:hint="eastAsia" w:ascii="仿宋_GB2312" w:hAnsi="仿宋_GB2312"/>
          <w:highlight w:val="none"/>
        </w:rPr>
        <w:t>对于</w:t>
      </w:r>
      <w:r>
        <w:rPr>
          <w:rFonts w:hint="eastAsia" w:ascii="仿宋_GB2312" w:hAnsi="仿宋_GB2312" w:cs="MS Mincho"/>
          <w:highlight w:val="none"/>
          <w:lang w:val="en-GB"/>
        </w:rPr>
        <w:t>保险公司投资的单一资产管理计划和</w:t>
      </w:r>
      <w:r>
        <w:rPr>
          <w:rFonts w:ascii="仿宋_GB2312" w:hAnsi="仿宋_GB2312" w:cs="MS Mincho"/>
          <w:highlight w:val="none"/>
          <w:lang w:val="en-GB"/>
        </w:rPr>
        <w:t>面向单一投资者发行的组合类保险资产管理产品</w:t>
      </w:r>
      <w:r>
        <w:rPr>
          <w:rFonts w:hint="eastAsia" w:ascii="仿宋_GB2312" w:hAnsi="仿宋_GB2312" w:cs="MS Mincho"/>
          <w:highlight w:val="none"/>
          <w:lang w:val="en-GB"/>
        </w:rPr>
        <w:t>、私募理财产品，应当按照穿透原则统计基础资产信用评级分布</w:t>
      </w:r>
      <w:bookmarkEnd w:id="5"/>
      <w:r>
        <w:rPr>
          <w:rFonts w:hint="eastAsia" w:ascii="仿宋_GB2312" w:hAnsi="仿宋_GB2312"/>
          <w:highlight w:val="none"/>
          <w:lang w:val="en-GB"/>
        </w:rPr>
        <w:t>。</w:t>
      </w:r>
    </w:p>
    <w:p>
      <w:pPr>
        <w:ind w:firstLine="640"/>
        <w:rPr>
          <w:rFonts w:ascii="仿宋_GB2312" w:hAnsi="仿宋_GB2312" w:cs="Arial"/>
          <w:highlight w:val="none"/>
        </w:rPr>
      </w:pPr>
      <w:r>
        <w:rPr>
          <w:rFonts w:hint="eastAsia" w:ascii="仿宋_GB2312" w:hAnsi="仿宋_GB2312"/>
          <w:highlight w:val="none"/>
          <w:lang w:val="en-GB"/>
        </w:rPr>
        <w:t>境外固定收益类投资资产采用国际主要评级机构信用评级的，可参照保险公司偿付能力监管规则信用风险最低资本计量规则</w:t>
      </w:r>
      <w:r>
        <w:rPr>
          <w:rFonts w:hint="eastAsia" w:ascii="仿宋_GB2312" w:hAnsi="仿宋_GB2312" w:cs="Arial"/>
          <w:highlight w:val="none"/>
        </w:rPr>
        <w:t>中关于使用外部信用评级的相关要求。</w:t>
      </w:r>
    </w:p>
    <w:p>
      <w:pPr>
        <w:ind w:firstLine="640"/>
        <w:rPr>
          <w:rFonts w:ascii="仿宋_GB2312" w:hAnsi="仿宋_GB2312"/>
          <w:highlight w:val="none"/>
          <w:lang w:val="en-GB"/>
        </w:rPr>
      </w:pPr>
      <w:r>
        <w:rPr>
          <w:rFonts w:hint="eastAsia" w:ascii="仿宋_GB2312" w:hAnsi="仿宋_GB2312" w:cs="Arial"/>
          <w:highlight w:val="none"/>
        </w:rPr>
        <w:t>占比是指各类别固定收益类投资资产中不同评级资产所占比例。</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（二）存款及同业存单</w:t>
      </w:r>
    </w:p>
    <w:p>
      <w:pPr>
        <w:ind w:firstLine="640"/>
        <w:rPr>
          <w:rFonts w:ascii="仿宋_GB2312" w:hAnsi="仿宋_GB2312"/>
          <w:highlight w:val="none"/>
          <w:lang w:val="en-GB"/>
        </w:rPr>
      </w:pPr>
      <w:r>
        <w:rPr>
          <w:rFonts w:hint="eastAsia" w:ascii="仿宋_GB2312" w:hAnsi="仿宋_GB2312" w:cs="MS Mincho"/>
          <w:highlight w:val="none"/>
          <w:lang w:val="en-GB"/>
        </w:rPr>
        <w:t>存</w:t>
      </w:r>
      <w:r>
        <w:rPr>
          <w:rFonts w:hint="eastAsia" w:ascii="仿宋_GB2312" w:hAnsi="仿宋_GB2312"/>
          <w:highlight w:val="none"/>
          <w:lang w:val="en-GB"/>
        </w:rPr>
        <w:t>款机构和同业存单发行机构分类参照保险公司偿付能力监管规则中信用风险最低资本中的相关规定，按照国有大型商业银行及政策性银行、股份制商业银行、城市商业银行及国际信用评级在A级及以上的外资商业银行、农村商业银行、其他境内商业银行和境外银行共</w:t>
      </w:r>
      <w:r>
        <w:rPr>
          <w:rFonts w:hint="eastAsia" w:ascii="仿宋_GB2312" w:hAnsi="仿宋_GB2312"/>
          <w:highlight w:val="none"/>
        </w:rPr>
        <w:t>五</w:t>
      </w:r>
      <w:r>
        <w:rPr>
          <w:rFonts w:hint="eastAsia" w:ascii="仿宋_GB2312" w:hAnsi="仿宋_GB2312"/>
          <w:highlight w:val="none"/>
          <w:lang w:val="en-GB"/>
        </w:rPr>
        <w:t>类分别填报。存款包括存出资本保证金。</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（三）固定收益类投资资产外部评级剩余期限分布</w:t>
      </w:r>
    </w:p>
    <w:p>
      <w:pPr>
        <w:ind w:firstLine="640"/>
        <w:rPr>
          <w:rFonts w:ascii="仿宋_GB2312" w:hAnsi="仿宋_GB2312"/>
          <w:highlight w:val="none"/>
          <w:lang w:val="en-GB"/>
        </w:rPr>
      </w:pPr>
      <w:r>
        <w:rPr>
          <w:rFonts w:hint="eastAsia" w:ascii="仿宋_GB2312" w:hAnsi="仿宋_GB2312"/>
          <w:highlight w:val="none"/>
          <w:lang w:val="en-GB"/>
        </w:rPr>
        <w:t xml:space="preserve">分别填写境内和境外固定收益类投资资产信用评级和剩余期限的对应分布情况。 </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（四）保险资产风险分类</w:t>
      </w:r>
    </w:p>
    <w:p>
      <w:pPr>
        <w:ind w:firstLine="640"/>
        <w:rPr>
          <w:rFonts w:ascii="仿宋_GB2312" w:hAnsi="仿宋_GB2312"/>
          <w:highlight w:val="none"/>
          <w:lang w:val="en-GB"/>
        </w:rPr>
      </w:pPr>
      <w:r>
        <w:rPr>
          <w:rFonts w:hint="eastAsia" w:ascii="仿宋_GB2312" w:hAnsi="仿宋_GB2312" w:cs="MS Mincho"/>
          <w:highlight w:val="none"/>
          <w:lang w:val="en-GB"/>
        </w:rPr>
        <w:t>根</w:t>
      </w:r>
      <w:r>
        <w:rPr>
          <w:rFonts w:hint="eastAsia" w:ascii="仿宋_GB2312" w:hAnsi="仿宋_GB2312"/>
          <w:highlight w:val="none"/>
          <w:lang w:val="en-GB"/>
        </w:rPr>
        <w:t>据</w:t>
      </w:r>
      <w:r>
        <w:rPr>
          <w:rFonts w:ascii="仿宋_GB2312" w:hAnsi="仿宋_GB2312"/>
          <w:highlight w:val="none"/>
          <w:lang w:val="en-GB"/>
        </w:rPr>
        <w:t>《</w:t>
      </w:r>
      <w:r>
        <w:rPr>
          <w:rFonts w:hint="eastAsia" w:ascii="仿宋_GB2312" w:hAnsi="仿宋_GB2312"/>
          <w:highlight w:val="none"/>
          <w:lang w:val="en-GB"/>
        </w:rPr>
        <w:t>国家金融监督管理总局关于印发</w:t>
      </w:r>
      <w:r>
        <w:rPr>
          <w:rFonts w:hint="eastAsia" w:ascii="仿宋_GB2312" w:hAnsi="仿宋_GB2312" w:eastAsia="仿宋_GB2312" w:cs="仿宋_GB2312"/>
          <w:highlight w:val="none"/>
          <w:lang w:val="en-GB"/>
        </w:rPr>
        <w:t>〈</w:t>
      </w:r>
      <w:r>
        <w:rPr>
          <w:rFonts w:hint="eastAsia" w:ascii="仿宋_GB2312" w:hAnsi="仿宋_GB2312"/>
          <w:highlight w:val="none"/>
          <w:lang w:val="en-GB"/>
        </w:rPr>
        <w:t>保险资产风险分类暂行办法</w:t>
      </w:r>
      <w:r>
        <w:rPr>
          <w:rFonts w:hint="eastAsia" w:ascii="仿宋_GB2312" w:hAnsi="仿宋_GB2312" w:eastAsia="仿宋_GB2312" w:cs="仿宋_GB2312"/>
          <w:highlight w:val="none"/>
          <w:lang w:val="en-GB"/>
        </w:rPr>
        <w:t>〉</w:t>
      </w:r>
      <w:r>
        <w:rPr>
          <w:rFonts w:hint="eastAsia" w:ascii="仿宋_GB2312" w:hAnsi="仿宋_GB2312"/>
          <w:highlight w:val="none"/>
          <w:lang w:val="en-GB"/>
        </w:rPr>
        <w:t>的通知》（金规〔</w:t>
      </w:r>
      <w:r>
        <w:rPr>
          <w:rFonts w:ascii="仿宋_GB2312" w:hAnsi="仿宋_GB2312"/>
          <w:highlight w:val="none"/>
          <w:lang w:val="en-GB"/>
        </w:rPr>
        <w:t>2024〕19号</w:t>
      </w:r>
      <w:r>
        <w:rPr>
          <w:rFonts w:hint="eastAsia" w:ascii="仿宋_GB2312" w:hAnsi="仿宋_GB2312"/>
          <w:highlight w:val="none"/>
          <w:lang w:val="en-GB"/>
        </w:rPr>
        <w:t>）中的分类标准填报。</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（五）集中度风险</w:t>
      </w:r>
    </w:p>
    <w:p>
      <w:pPr>
        <w:ind w:firstLine="640"/>
        <w:rPr>
          <w:rFonts w:ascii="仿宋_GB2312" w:hAnsi="仿宋_GB2312"/>
          <w:highlight w:val="none"/>
          <w:lang w:val="en-GB"/>
        </w:rPr>
      </w:pPr>
      <w:r>
        <w:rPr>
          <w:rFonts w:hint="eastAsia" w:ascii="仿宋_GB2312" w:hAnsi="仿宋_GB2312"/>
          <w:highlight w:val="none"/>
          <w:lang w:val="en-GB"/>
        </w:rPr>
        <w:t>衡量单一行业、单一资产投资和单一交易对手的集中度风险。</w:t>
      </w:r>
      <w:r>
        <w:rPr>
          <w:rFonts w:hint="eastAsia" w:ascii="仿宋_GB2312" w:hAnsi="仿宋_GB2312" w:cs="宋体"/>
          <w:highlight w:val="none"/>
          <w:lang w:val="en-GB"/>
        </w:rPr>
        <w:t>只需填报权重占比前五的具体信息。</w:t>
      </w:r>
    </w:p>
    <w:p>
      <w:pPr>
        <w:pStyle w:val="5"/>
        <w:ind w:firstLine="640"/>
        <w:rPr>
          <w:rFonts w:ascii="仿宋_GB2312" w:hAnsi="仿宋_GB2312"/>
          <w:highlight w:val="none"/>
        </w:rPr>
      </w:pPr>
      <w:r>
        <w:rPr>
          <w:rFonts w:hint="eastAsia" w:ascii="仿宋_GB2312" w:hAnsi="仿宋_GB2312"/>
          <w:highlight w:val="none"/>
        </w:rPr>
        <w:t>1.单一行业</w:t>
      </w:r>
    </w:p>
    <w:p>
      <w:pPr>
        <w:ind w:firstLine="640"/>
        <w:rPr>
          <w:rFonts w:ascii="仿宋_GB2312" w:hAnsi="仿宋_GB2312"/>
          <w:highlight w:val="none"/>
          <w:lang w:val="en-GB"/>
        </w:rPr>
      </w:pPr>
      <w:r>
        <w:rPr>
          <w:rFonts w:hint="eastAsia" w:ascii="仿宋_GB2312" w:hAnsi="仿宋_GB2312"/>
          <w:highlight w:val="none"/>
          <w:lang w:val="en-GB"/>
        </w:rPr>
        <w:t>单一行业集中度计算考虑除现金及流动性管理工具、（</w:t>
      </w:r>
      <w:r>
        <w:rPr>
          <w:rFonts w:hint="eastAsia" w:ascii="仿宋_GB2312" w:hAnsi="仿宋_GB2312"/>
          <w:highlight w:val="none"/>
        </w:rPr>
        <w:t>准</w:t>
      </w:r>
      <w:r>
        <w:rPr>
          <w:rFonts w:hint="eastAsia" w:ascii="仿宋_GB2312" w:hAnsi="仿宋_GB2312"/>
          <w:highlight w:val="none"/>
          <w:lang w:val="en-GB"/>
        </w:rPr>
        <w:t>）政府债券之外的所有投资资产。</w:t>
      </w:r>
      <w:r>
        <w:rPr>
          <w:rFonts w:ascii="仿宋_GB2312" w:hAnsi="仿宋_GB2312"/>
          <w:highlight w:val="none"/>
          <w:lang w:val="en-GB"/>
        </w:rPr>
        <w:t>保险公司对投资资产使用穿透法计算其行业集中度，确实无法穿透的，按照产品的管理人计算其行业集中度。</w:t>
      </w:r>
    </w:p>
    <w:p>
      <w:pPr>
        <w:ind w:firstLine="640"/>
        <w:rPr>
          <w:highlight w:val="none"/>
          <w:lang w:val="en-GB"/>
        </w:rPr>
      </w:pPr>
      <w:r>
        <w:rPr>
          <w:rFonts w:hint="eastAsia" w:ascii="仿宋_GB2312" w:hAnsi="仿宋_GB2312"/>
          <w:highlight w:val="none"/>
          <w:lang w:val="en-GB"/>
        </w:rPr>
        <w:t>单一行业集中度风险的计算方法如下：</w:t>
      </w:r>
    </w:p>
    <w:p>
      <w:pPr>
        <w:spacing w:line="360" w:lineRule="auto"/>
        <w:ind w:left="640" w:leftChars="200" w:firstLine="640"/>
        <w:rPr>
          <w:rFonts w:ascii="DejaVu Math TeX Gyre" w:hAnsi="DejaVu Math TeX Gyre" w:cstheme="minorHAnsi"/>
          <w:szCs w:val="30"/>
          <w:highlight w:val="none"/>
          <w:lang w:val="en-GB"/>
          <w:oMath/>
        </w:rPr>
      </w:pPr>
      <m:oMathPara>
        <m:oMathParaPr>
          <m:jc m:val="left"/>
        </m:oMathParaPr>
        <m:oMath>
          <m:sSub>
            <m:sSubPr>
              <m:ctrlPr>
                <w:rPr>
                  <w:rFonts w:ascii="DejaVu Math TeX Gyre" w:hAnsi="DejaVu Math TeX Gyre" w:cstheme="minorHAnsi"/>
                  <w:szCs w:val="30"/>
                  <w:highlight w:val="none"/>
                  <w:lang w:val="en-GB"/>
                </w:rPr>
              </m:ctrlPr>
            </m:sSubPr>
            <m:e>
              <m:r>
                <w:rPr>
                  <w:rFonts w:ascii="DejaVu Math TeX Gyre" w:hAnsi="DejaVu Math TeX Gyre" w:cstheme="minorHAnsi"/>
                  <w:szCs w:val="30"/>
                  <w:highlight w:val="none"/>
                  <w:lang w:val="en-GB"/>
                </w:rPr>
                <m:t>ω</m:t>
              </m:r>
              <m:ctrlPr>
                <w:rPr>
                  <w:rFonts w:ascii="DejaVu Math TeX Gyre" w:hAnsi="DejaVu Math TeX Gyre" w:cstheme="minorHAnsi"/>
                  <w:szCs w:val="30"/>
                  <w:highlight w:val="none"/>
                  <w:lang w:val="en-GB"/>
                </w:rPr>
              </m:ctrlPr>
            </m:e>
            <m:sub>
              <m:r>
                <w:rPr>
                  <w:rFonts w:ascii="DejaVu Math TeX Gyre" w:hAnsi="DejaVu Math TeX Gyre" w:cstheme="minorHAnsi"/>
                  <w:szCs w:val="30"/>
                  <w:highlight w:val="none"/>
                  <w:lang w:val="en-GB"/>
                </w:rPr>
                <m:t>i</m:t>
              </m:r>
              <m:ctrlPr>
                <w:rPr>
                  <w:rFonts w:ascii="DejaVu Math TeX Gyre" w:hAnsi="DejaVu Math TeX Gyre" w:cstheme="minorHAnsi"/>
                  <w:szCs w:val="30"/>
                  <w:highlight w:val="none"/>
                  <w:lang w:val="en-GB"/>
                </w:rPr>
              </m:ctrlPr>
            </m:sub>
          </m:sSub>
          <m:r>
            <m:rPr>
              <m:sty m:val="p"/>
            </m:rPr>
            <w:rPr>
              <w:rFonts w:ascii="DejaVu Math TeX Gyre" w:hAnsi="DejaVu Math TeX Gyre" w:cstheme="minorHAnsi"/>
              <w:szCs w:val="30"/>
              <w:highlight w:val="none"/>
              <w:lang w:val="en-GB"/>
            </w:rPr>
            <m:t>=</m:t>
          </m:r>
          <m:sSub>
            <m:sSubPr>
              <m:ctrlPr>
                <w:rPr>
                  <w:rFonts w:ascii="DejaVu Math TeX Gyre" w:hAnsi="DejaVu Math TeX Gyre" w:cstheme="minorHAnsi"/>
                  <w:szCs w:val="30"/>
                  <w:highlight w:val="none"/>
                  <w:lang w:val="en-GB"/>
                </w:rPr>
              </m:ctrlPr>
            </m:sSubPr>
            <m:e>
              <m:r>
                <w:rPr>
                  <w:rFonts w:ascii="DejaVu Math TeX Gyre" w:hAnsi="DejaVu Math TeX Gyre" w:cstheme="minorHAnsi"/>
                  <w:szCs w:val="30"/>
                  <w:highlight w:val="none"/>
                  <w:lang w:val="en-GB"/>
                </w:rPr>
                <m:t>BV</m:t>
              </m:r>
              <m:ctrlPr>
                <w:rPr>
                  <w:rFonts w:ascii="DejaVu Math TeX Gyre" w:hAnsi="DejaVu Math TeX Gyre" w:cstheme="minorHAnsi"/>
                  <w:szCs w:val="30"/>
                  <w:highlight w:val="none"/>
                  <w:lang w:val="en-GB"/>
                </w:rPr>
              </m:ctrlPr>
            </m:e>
            <m:sub>
              <m:r>
                <w:rPr>
                  <w:rFonts w:ascii="DejaVu Math TeX Gyre" w:hAnsi="DejaVu Math TeX Gyre" w:cstheme="minorHAnsi"/>
                  <w:szCs w:val="30"/>
                  <w:highlight w:val="none"/>
                </w:rPr>
                <m:t>i</m:t>
              </m:r>
              <m:ctrlPr>
                <w:rPr>
                  <w:rFonts w:ascii="DejaVu Math TeX Gyre" w:hAnsi="DejaVu Math TeX Gyre" w:cstheme="minorHAnsi"/>
                  <w:szCs w:val="30"/>
                  <w:highlight w:val="none"/>
                  <w:lang w:val="en-GB"/>
                </w:rPr>
              </m:ctrlPr>
            </m:sub>
          </m:sSub>
          <m:r>
            <m:rPr>
              <m:sty m:val="p"/>
            </m:rPr>
            <w:rPr>
              <w:rFonts w:ascii="DejaVu Math TeX Gyre" w:hAnsi="DejaVu Math TeX Gyre" w:cstheme="minorHAnsi"/>
              <w:szCs w:val="30"/>
              <w:highlight w:val="none"/>
              <w:lang w:val="en-GB"/>
            </w:rPr>
            <m:t>/</m:t>
          </m:r>
          <m:r>
            <w:rPr>
              <w:rFonts w:ascii="DejaVu Math TeX Gyre" w:hAnsi="DejaVu Math TeX Gyre" w:cstheme="minorHAnsi"/>
              <w:szCs w:val="30"/>
              <w:highlight w:val="none"/>
              <w:lang w:val="en-GB"/>
            </w:rPr>
            <m:t>BV</m:t>
          </m:r>
        </m:oMath>
      </m:oMathPara>
    </w:p>
    <w:p>
      <w:pPr>
        <w:spacing w:line="360" w:lineRule="auto"/>
        <w:ind w:left="640" w:leftChars="200" w:firstLine="640"/>
        <w:rPr>
          <w:rFonts w:cstheme="minorHAnsi"/>
          <w:szCs w:val="30"/>
          <w:highlight w:val="none"/>
          <w:lang w:val="en-GB"/>
        </w:rPr>
      </w:pPr>
      <m:oMathPara>
        <m:oMathParaPr>
          <m:jc m:val="left"/>
        </m:oMathParaPr>
        <m:oMath>
          <m:r>
            <w:rPr>
              <w:rFonts w:ascii="DejaVu Math TeX Gyre" w:hAnsi="DejaVu Math TeX Gyre" w:cstheme="minorHAnsi"/>
              <w:szCs w:val="30"/>
              <w:highlight w:val="none"/>
              <w:lang w:val="en-GB"/>
            </w:rPr>
            <m:t>HHI</m:t>
          </m:r>
          <m:r>
            <m:rPr>
              <m:sty m:val="p"/>
            </m:rPr>
            <w:rPr>
              <w:rFonts w:ascii="DejaVu Math TeX Gyre" w:hAnsi="DejaVu Math TeX Gyre" w:cstheme="minorHAnsi"/>
              <w:szCs w:val="30"/>
              <w:highlight w:val="none"/>
              <w:lang w:val="en-GB"/>
            </w:rPr>
            <m:t>=10000×</m:t>
          </m:r>
          <m:nary>
            <m:naryPr>
              <m:chr m:val="∑"/>
              <m:limLoc m:val="undOvr"/>
              <m:subHide m:val="1"/>
              <m:supHide m:val="1"/>
              <m:ctrlPr>
                <w:rPr>
                  <w:rFonts w:ascii="DejaVu Math TeX Gyre" w:hAnsi="DejaVu Math TeX Gyre" w:cstheme="minorHAnsi"/>
                  <w:szCs w:val="30"/>
                  <w:highlight w:val="none"/>
                  <w:lang w:val="en-GB"/>
                </w:rPr>
              </m:ctrlPr>
            </m:naryPr>
            <m:sub>
              <m:ctrlPr>
                <w:rPr>
                  <w:rFonts w:ascii="DejaVu Math TeX Gyre" w:hAnsi="DejaVu Math TeX Gyre" w:cstheme="minorHAnsi"/>
                  <w:szCs w:val="30"/>
                  <w:highlight w:val="none"/>
                  <w:lang w:val="en-GB"/>
                </w:rPr>
              </m:ctrlPr>
            </m:sub>
            <m:sup>
              <m:ctrlPr>
                <w:rPr>
                  <w:rFonts w:ascii="DejaVu Math TeX Gyre" w:hAnsi="DejaVu Math TeX Gyre" w:cstheme="minorHAnsi"/>
                  <w:szCs w:val="30"/>
                  <w:highlight w:val="none"/>
                  <w:lang w:val="en-GB"/>
                </w:rPr>
              </m:ctrlPr>
            </m:sup>
            <m:e>
              <m:sSup>
                <m:sSupPr>
                  <m:ctrlPr>
                    <w:rPr>
                      <w:rFonts w:ascii="DejaVu Math TeX Gyre" w:hAnsi="DejaVu Math TeX Gyre" w:cstheme="minorHAnsi"/>
                      <w:szCs w:val="30"/>
                      <w:highlight w:val="none"/>
                      <w:lang w:val="en-GB"/>
                    </w:rPr>
                  </m:ctrlPr>
                </m:sSupPr>
                <m:e>
                  <m:sSub>
                    <m:sSubPr>
                      <m:ctrlPr>
                        <w:rPr>
                          <w:rFonts w:ascii="DejaVu Math TeX Gyre" w:hAnsi="DejaVu Math TeX Gyre" w:cstheme="minorHAnsi"/>
                          <w:szCs w:val="30"/>
                          <w:highlight w:val="none"/>
                          <w:lang w:val="en-GB"/>
                        </w:rPr>
                      </m:ctrlPr>
                    </m:sSubPr>
                    <m:e>
                      <m:r>
                        <m:rPr>
                          <m:sty m:val="p"/>
                        </m:rPr>
                        <w:rPr>
                          <w:rFonts w:ascii="DejaVu Math TeX Gyre" w:hAnsi="DejaVu Math TeX Gyre" w:cstheme="minorHAnsi"/>
                          <w:szCs w:val="30"/>
                          <w:highlight w:val="none"/>
                          <w:lang w:val="en-GB"/>
                        </w:rPr>
                        <m:t>ω</m:t>
                      </m:r>
                      <m:ctrlPr>
                        <w:rPr>
                          <w:rFonts w:ascii="DejaVu Math TeX Gyre" w:hAnsi="DejaVu Math TeX Gyre" w:cstheme="minorHAnsi"/>
                          <w:szCs w:val="30"/>
                          <w:highlight w:val="none"/>
                          <w:lang w:val="en-GB"/>
                        </w:rPr>
                      </m:ctrlPr>
                    </m:e>
                    <m:sub>
                      <m:r>
                        <w:rPr>
                          <w:rFonts w:ascii="DejaVu Math TeX Gyre" w:hAnsi="DejaVu Math TeX Gyre" w:cstheme="minorHAnsi"/>
                          <w:szCs w:val="30"/>
                          <w:highlight w:val="none"/>
                          <w:lang w:val="en-GB"/>
                        </w:rPr>
                        <m:t>i</m:t>
                      </m:r>
                      <m:ctrlPr>
                        <w:rPr>
                          <w:rFonts w:ascii="DejaVu Math TeX Gyre" w:hAnsi="DejaVu Math TeX Gyre" w:cstheme="minorHAnsi"/>
                          <w:szCs w:val="30"/>
                          <w:highlight w:val="none"/>
                          <w:lang w:val="en-GB"/>
                        </w:rPr>
                      </m:ctrlPr>
                    </m:sub>
                  </m:sSub>
                  <m:ctrlPr>
                    <w:rPr>
                      <w:rFonts w:ascii="DejaVu Math TeX Gyre" w:hAnsi="DejaVu Math TeX Gyre" w:cstheme="minorHAnsi"/>
                      <w:szCs w:val="30"/>
                      <w:highlight w:val="none"/>
                      <w:lang w:val="en-GB"/>
                    </w:rPr>
                  </m:ctrlPr>
                </m:e>
                <m:sup>
                  <m:r>
                    <m:rPr>
                      <m:sty m:val="p"/>
                    </m:rPr>
                    <w:rPr>
                      <w:rFonts w:ascii="DejaVu Math TeX Gyre" w:hAnsi="DejaVu Math TeX Gyre" w:cstheme="minorHAnsi"/>
                      <w:szCs w:val="30"/>
                      <w:highlight w:val="none"/>
                      <w:lang w:val="en-GB"/>
                    </w:rPr>
                    <m:t>2</m:t>
                  </m:r>
                  <m:ctrlPr>
                    <w:rPr>
                      <w:rFonts w:ascii="DejaVu Math TeX Gyre" w:hAnsi="DejaVu Math TeX Gyre" w:cstheme="minorHAnsi"/>
                      <w:szCs w:val="30"/>
                      <w:highlight w:val="none"/>
                      <w:lang w:val="en-GB"/>
                    </w:rPr>
                  </m:ctrlPr>
                </m:sup>
              </m:sSup>
              <m:ctrlPr>
                <w:rPr>
                  <w:rFonts w:ascii="DejaVu Math TeX Gyre" w:hAnsi="DejaVu Math TeX Gyre" w:cstheme="minorHAnsi"/>
                  <w:szCs w:val="30"/>
                  <w:highlight w:val="none"/>
                  <w:lang w:val="en-GB"/>
                </w:rPr>
              </m:ctrlPr>
            </m:e>
          </m:nary>
        </m:oMath>
      </m:oMathPara>
    </w:p>
    <w:p>
      <w:pPr>
        <w:ind w:firstLine="640"/>
        <w:rPr>
          <w:highlight w:val="none"/>
          <w:lang w:val="en-GB"/>
        </w:rPr>
      </w:pPr>
      <w:r>
        <w:rPr>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ω</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为投资第</w:t>
      </w:r>
      <m:oMath>
        <m:r>
          <w:rPr>
            <w:rFonts w:ascii="DejaVu Math TeX Gyre" w:hAnsi="DejaVu Math TeX Gyre" w:cstheme="minorHAnsi"/>
            <w:highlight w:val="none"/>
          </w:rPr>
          <m:t>i</m:t>
        </m:r>
      </m:oMath>
      <w:r>
        <w:rPr>
          <w:highlight w:val="none"/>
          <w:lang w:val="en-GB"/>
        </w:rPr>
        <w:t>个行业的风险敞口权重；</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BV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为投资第</w:t>
      </w:r>
      <m:oMath>
        <m:r>
          <w:rPr>
            <w:rFonts w:ascii="DejaVu Math TeX Gyre" w:hAnsi="DejaVu Math TeX Gyre" w:cstheme="minorHAnsi"/>
            <w:highlight w:val="none"/>
          </w:rPr>
          <m:t>i</m:t>
        </m:r>
      </m:oMath>
      <w:r>
        <w:rPr>
          <w:highlight w:val="none"/>
          <w:lang w:val="en-GB"/>
        </w:rPr>
        <w:t>个行业的账面</w:t>
      </w:r>
      <w:r>
        <w:rPr>
          <w:rFonts w:hint="eastAsia"/>
          <w:highlight w:val="none"/>
          <w:lang w:val="en-GB"/>
        </w:rPr>
        <w:t>余额</w:t>
      </w:r>
      <w:r>
        <w:rPr>
          <w:highlight w:val="none"/>
          <w:lang w:val="en-GB"/>
        </w:rPr>
        <w:t>；</w:t>
      </w:r>
    </w:p>
    <w:p>
      <w:pPr>
        <w:ind w:firstLine="640"/>
        <w:rPr>
          <w:highlight w:val="none"/>
          <w:lang w:val="en-GB"/>
        </w:rPr>
      </w:pPr>
      <m:oMath>
        <m:r>
          <w:rPr>
            <w:rFonts w:ascii="DejaVu Math TeX Gyre" w:hAnsi="DejaVu Math TeX Gyre" w:cstheme="minorHAnsi"/>
            <w:highlight w:val="none"/>
            <w:lang w:val="en-GB"/>
          </w:rPr>
          <m:t>BV</m:t>
        </m:r>
      </m:oMath>
      <w:r>
        <w:rPr>
          <w:rFonts w:hint="eastAsia"/>
          <w:highlight w:val="none"/>
          <w:lang w:val="en-GB"/>
        </w:rPr>
        <w:t>为总体投资资产的账面余额；</w:t>
      </w:r>
    </w:p>
    <w:p>
      <w:pPr>
        <w:ind w:firstLine="640"/>
        <w:rPr>
          <w:highlight w:val="none"/>
          <w:lang w:val="en-GB"/>
        </w:rPr>
      </w:pPr>
      <m:oMath>
        <m:r>
          <w:rPr>
            <w:rFonts w:ascii="DejaVu Math TeX Gyre" w:hAnsi="DejaVu Math TeX Gyre" w:cstheme="minorHAnsi"/>
            <w:highlight w:val="none"/>
            <w:lang w:val="en-GB"/>
          </w:rPr>
          <m:t>HHI</m:t>
        </m:r>
      </m:oMath>
      <w:r>
        <w:rPr>
          <w:rFonts w:hint="eastAsia"/>
          <w:highlight w:val="none"/>
          <w:lang w:val="en-GB"/>
        </w:rPr>
        <w:t>为全部行业</w:t>
      </w:r>
      <w:r>
        <w:rPr>
          <w:highlight w:val="none"/>
          <w:lang w:val="en-GB"/>
        </w:rPr>
        <w:t>集中度</w:t>
      </w:r>
      <w:r>
        <w:rPr>
          <w:rFonts w:hint="eastAsia"/>
          <w:highlight w:val="none"/>
          <w:lang w:val="en-GB"/>
        </w:rPr>
        <w:t>指数</w:t>
      </w:r>
      <w:r>
        <w:rPr>
          <w:highlight w:val="none"/>
          <w:lang w:val="en-GB"/>
        </w:rPr>
        <w:t>。</w:t>
      </w:r>
    </w:p>
    <w:p>
      <w:pPr>
        <w:ind w:firstLine="640"/>
        <w:rPr>
          <w:rFonts w:ascii="仿宋_GB2312" w:hAnsi="仿宋_GB2312"/>
          <w:highlight w:val="none"/>
          <w:lang w:val="en-GB"/>
        </w:rPr>
      </w:pPr>
      <w:r>
        <w:rPr>
          <w:rFonts w:hint="eastAsia" w:ascii="仿宋_GB2312" w:hAnsi="仿宋_GB2312"/>
          <w:highlight w:val="none"/>
          <w:lang w:val="en-GB"/>
        </w:rPr>
        <w:t>境内</w:t>
      </w:r>
      <w:r>
        <w:rPr>
          <w:rFonts w:hint="eastAsia" w:ascii="仿宋_GB2312" w:hAnsi="仿宋_GB2312"/>
          <w:highlight w:val="none"/>
        </w:rPr>
        <w:t>和香港市场</w:t>
      </w:r>
      <w:r>
        <w:rPr>
          <w:rFonts w:hint="eastAsia" w:ascii="仿宋_GB2312" w:hAnsi="仿宋_GB2312"/>
          <w:highlight w:val="none"/>
          <w:lang w:val="en-GB"/>
        </w:rPr>
        <w:t>投资资产行业分类采用申万一级行业分类</w:t>
      </w:r>
      <w:r>
        <w:rPr>
          <w:rFonts w:hint="eastAsia" w:ascii="仿宋_GB2312" w:hAnsi="仿宋_GB2312"/>
          <w:highlight w:val="none"/>
        </w:rPr>
        <w:t>，</w:t>
      </w:r>
      <w:r>
        <w:rPr>
          <w:rFonts w:ascii="仿宋_GB2312" w:hAnsi="仿宋_GB2312"/>
          <w:highlight w:val="none"/>
          <w:lang w:val="en-GB"/>
        </w:rPr>
        <w:t>计算行业集中度时，将境内投资资产行业与</w:t>
      </w:r>
      <w:r>
        <w:rPr>
          <w:rFonts w:hint="eastAsia" w:ascii="仿宋_GB2312" w:hAnsi="仿宋_GB2312"/>
          <w:highlight w:val="none"/>
          <w:lang w:val="en-GB"/>
        </w:rPr>
        <w:t>香港市场</w:t>
      </w:r>
      <w:r>
        <w:rPr>
          <w:rFonts w:hint="eastAsia" w:ascii="仿宋_GB2312" w:hAnsi="仿宋_GB2312"/>
          <w:highlight w:val="none"/>
        </w:rPr>
        <w:t>投资资产行业进行合并计算；</w:t>
      </w:r>
      <w:r>
        <w:rPr>
          <w:rFonts w:hint="eastAsia" w:ascii="仿宋_GB2312" w:hAnsi="仿宋_GB2312"/>
          <w:highlight w:val="none"/>
          <w:lang w:val="en-GB"/>
        </w:rPr>
        <w:t>除香港市场外的境外投资资产行业分类采用国际行业分类标准（</w:t>
      </w:r>
      <w:r>
        <w:rPr>
          <w:rFonts w:ascii="仿宋_GB2312" w:hAnsi="仿宋_GB2312" w:cstheme="minorHAnsi"/>
          <w:highlight w:val="none"/>
          <w:lang w:val="en-GB"/>
        </w:rPr>
        <w:t>GICS</w:t>
      </w:r>
      <w:r>
        <w:rPr>
          <w:rFonts w:hint="eastAsia" w:ascii="仿宋_GB2312" w:hAnsi="仿宋_GB2312"/>
          <w:highlight w:val="none"/>
          <w:lang w:val="en-GB"/>
        </w:rPr>
        <w:t>）</w:t>
      </w:r>
      <w:r>
        <w:rPr>
          <w:rFonts w:ascii="仿宋_GB2312" w:hAnsi="仿宋_GB2312"/>
          <w:highlight w:val="none"/>
          <w:lang w:val="en-GB"/>
        </w:rPr>
        <w:t>一级行业分类或符合国际行业分类标准的一级行业分类</w:t>
      </w:r>
      <w:r>
        <w:rPr>
          <w:rFonts w:hint="eastAsia" w:ascii="仿宋_GB2312" w:hAnsi="仿宋_GB2312"/>
          <w:highlight w:val="none"/>
          <w:lang w:val="en-GB"/>
        </w:rPr>
        <w:t>，</w:t>
      </w:r>
      <w:r>
        <w:rPr>
          <w:rFonts w:hint="eastAsia" w:ascii="仿宋_GB2312" w:hAnsi="仿宋_GB2312"/>
          <w:highlight w:val="none"/>
        </w:rPr>
        <w:t>不考虑境内外投资资产行业的对应关系</w:t>
      </w:r>
      <w:r>
        <w:rPr>
          <w:rFonts w:ascii="仿宋_GB2312" w:hAnsi="仿宋_GB2312"/>
          <w:highlight w:val="none"/>
          <w:lang w:val="en-GB"/>
        </w:rPr>
        <w:t>。投资资产发行人为非上市公司的，公司可根据相应分类标准判断其行业归属。如果单一行业交易对手不足五个，</w:t>
      </w:r>
      <w:r>
        <w:rPr>
          <w:rFonts w:hint="eastAsia" w:ascii="仿宋_GB2312" w:hAnsi="仿宋_GB2312"/>
          <w:highlight w:val="none"/>
          <w:lang w:val="en-GB"/>
        </w:rPr>
        <w:t>“</w:t>
      </w:r>
      <w:r>
        <w:rPr>
          <w:rFonts w:ascii="仿宋_GB2312" w:hAnsi="仿宋_GB2312"/>
          <w:highlight w:val="none"/>
          <w:lang w:val="en-GB"/>
        </w:rPr>
        <w:t>行业名称</w:t>
      </w:r>
      <w:r>
        <w:rPr>
          <w:rFonts w:hint="eastAsia" w:ascii="仿宋_GB2312" w:hAnsi="仿宋_GB2312"/>
          <w:highlight w:val="none"/>
          <w:lang w:val="en-GB"/>
        </w:rPr>
        <w:t>”填报“</w:t>
      </w:r>
      <w:r>
        <w:rPr>
          <w:rFonts w:ascii="仿宋_GB2312" w:hAnsi="仿宋_GB2312"/>
          <w:highlight w:val="none"/>
          <w:lang w:val="en-GB"/>
        </w:rPr>
        <w:t>不适用</w:t>
      </w:r>
      <w:r>
        <w:rPr>
          <w:rFonts w:hint="eastAsia" w:ascii="仿宋_GB2312" w:hAnsi="仿宋_GB2312"/>
          <w:highlight w:val="none"/>
          <w:lang w:val="en-GB"/>
        </w:rPr>
        <w:t>”</w:t>
      </w:r>
      <w:r>
        <w:rPr>
          <w:rFonts w:ascii="仿宋_GB2312" w:hAnsi="仿宋_GB2312"/>
          <w:highlight w:val="none"/>
          <w:lang w:val="en-GB"/>
        </w:rPr>
        <w:t>，风险敞口</w:t>
      </w:r>
      <w:r>
        <w:rPr>
          <w:rFonts w:hint="eastAsia" w:ascii="仿宋_GB2312" w:hAnsi="仿宋_GB2312"/>
          <w:highlight w:val="none"/>
          <w:lang w:val="en-GB"/>
        </w:rPr>
        <w:t>和</w:t>
      </w:r>
      <w:r>
        <w:rPr>
          <w:rFonts w:ascii="仿宋_GB2312" w:hAnsi="仿宋_GB2312"/>
          <w:highlight w:val="none"/>
          <w:lang w:val="en-GB"/>
        </w:rPr>
        <w:t>风险敞口权重填</w:t>
      </w:r>
      <w:r>
        <w:rPr>
          <w:rFonts w:hint="eastAsia" w:ascii="仿宋_GB2312" w:hAnsi="仿宋_GB2312"/>
          <w:highlight w:val="none"/>
          <w:lang w:val="en-GB"/>
        </w:rPr>
        <w:t>“0”</w:t>
      </w:r>
      <w:r>
        <w:rPr>
          <w:rFonts w:ascii="仿宋_GB2312" w:hAnsi="仿宋_GB2312"/>
          <w:highlight w:val="none"/>
          <w:lang w:val="en-GB"/>
        </w:rPr>
        <w:t>。</w:t>
      </w:r>
    </w:p>
    <w:p>
      <w:pPr>
        <w:pStyle w:val="5"/>
        <w:ind w:firstLine="640"/>
        <w:rPr>
          <w:rFonts w:ascii="仿宋_GB2312" w:hAnsi="仿宋_GB2312"/>
          <w:highlight w:val="none"/>
        </w:rPr>
      </w:pPr>
      <w:r>
        <w:rPr>
          <w:rFonts w:hint="eastAsia" w:ascii="仿宋_GB2312" w:hAnsi="仿宋_GB2312"/>
          <w:highlight w:val="none"/>
        </w:rPr>
        <w:t>2.单一资产投资</w:t>
      </w:r>
    </w:p>
    <w:p>
      <w:pPr>
        <w:ind w:firstLine="640"/>
        <w:rPr>
          <w:rFonts w:ascii="仿宋_GB2312" w:hAnsi="仿宋_GB2312"/>
          <w:highlight w:val="none"/>
          <w:lang w:val="en-GB"/>
        </w:rPr>
      </w:pPr>
      <w:r>
        <w:rPr>
          <w:rFonts w:hint="eastAsia" w:ascii="仿宋_GB2312" w:hAnsi="仿宋_GB2312"/>
          <w:highlight w:val="none"/>
          <w:lang w:val="en-GB"/>
        </w:rPr>
        <w:t>单一资产投资是指投资大类资产中的单一具体投资品种</w:t>
      </w:r>
      <w:r>
        <w:rPr>
          <w:rFonts w:ascii="仿宋_GB2312" w:hAnsi="仿宋_GB2312"/>
          <w:highlight w:val="none"/>
          <w:lang w:val="en-GB"/>
        </w:rPr>
        <w:t>，如某只股票、某只债券、某项股权、某项债权、某笔信托计划等投资，并非指某一投资类别资产</w:t>
      </w:r>
      <w:r>
        <w:rPr>
          <w:rFonts w:hint="eastAsia" w:ascii="仿宋_GB2312" w:hAnsi="仿宋_GB2312"/>
          <w:highlight w:val="none"/>
          <w:lang w:val="en-GB"/>
        </w:rPr>
        <w:t>。保险公司对投资资产根据穿透</w:t>
      </w:r>
      <w:r>
        <w:rPr>
          <w:rFonts w:hint="eastAsia" w:ascii="仿宋_GB2312" w:hAnsi="仿宋_GB2312"/>
          <w:highlight w:val="none"/>
        </w:rPr>
        <w:t>原则</w:t>
      </w:r>
      <w:r>
        <w:rPr>
          <w:rFonts w:hint="eastAsia" w:ascii="仿宋_GB2312" w:hAnsi="仿宋_GB2312"/>
          <w:highlight w:val="none"/>
          <w:lang w:val="en-GB"/>
        </w:rPr>
        <w:t>统计基础资产的单一资产集中度，确实无法穿透的，按照非基础资产计量；对于分期发行的，投资单一资产的账面余额为各分期投资余额合计；对于多地上市的，投资单一资产的账面余额为各地</w:t>
      </w:r>
      <w:r>
        <w:rPr>
          <w:rFonts w:hint="eastAsia" w:ascii="仿宋_GB2312" w:hAnsi="仿宋_GB2312"/>
          <w:highlight w:val="none"/>
          <w:lang w:val="en-GB" w:eastAsia="zh-CN"/>
        </w:rPr>
        <w:t>普通股</w:t>
      </w:r>
      <w:r>
        <w:rPr>
          <w:rFonts w:hint="eastAsia" w:ascii="仿宋_GB2312" w:hAnsi="仿宋_GB2312"/>
          <w:highlight w:val="none"/>
          <w:lang w:val="en-GB"/>
        </w:rPr>
        <w:t>投资余额合计。填报集中度风险报表时，不包括投资现金及流动性管理工具、境内的（准）政府债券、银行存款，以自有资金投资保险类企业股权，以及集团内购买保险资产管理产品等。</w:t>
      </w:r>
      <w:r>
        <w:rPr>
          <w:rFonts w:ascii="仿宋_GB2312" w:hAnsi="仿宋_GB2312"/>
          <w:highlight w:val="none"/>
          <w:lang w:val="en-GB"/>
        </w:rPr>
        <w:t>重大股权投资</w:t>
      </w:r>
      <w:r>
        <w:rPr>
          <w:rFonts w:hint="eastAsia" w:ascii="仿宋_GB2312" w:hAnsi="仿宋_GB2312"/>
          <w:highlight w:val="none"/>
        </w:rPr>
        <w:t>按照国家金融监督管理总局有关规定认定</w:t>
      </w:r>
      <w:r>
        <w:rPr>
          <w:rFonts w:ascii="仿宋_GB2312" w:hAnsi="仿宋_GB2312"/>
          <w:highlight w:val="none"/>
          <w:lang w:val="en-GB"/>
        </w:rPr>
        <w:t>。</w:t>
      </w:r>
    </w:p>
    <w:p>
      <w:pPr>
        <w:pStyle w:val="5"/>
        <w:ind w:firstLine="640"/>
        <w:rPr>
          <w:rFonts w:ascii="仿宋_GB2312" w:hAnsi="仿宋_GB2312"/>
          <w:highlight w:val="none"/>
        </w:rPr>
      </w:pPr>
      <w:r>
        <w:rPr>
          <w:rFonts w:hint="eastAsia" w:ascii="仿宋_GB2312" w:hAnsi="仿宋_GB2312"/>
          <w:highlight w:val="none"/>
        </w:rPr>
        <w:t>3.单一交易对手</w:t>
      </w:r>
    </w:p>
    <w:p>
      <w:pPr>
        <w:ind w:firstLine="640"/>
        <w:rPr>
          <w:rFonts w:ascii="仿宋_GB2312" w:hAnsi="仿宋_GB2312"/>
          <w:highlight w:val="none"/>
          <w:lang w:val="en-GB"/>
        </w:rPr>
      </w:pPr>
      <w:r>
        <w:rPr>
          <w:rFonts w:hint="eastAsia" w:ascii="仿宋_GB2312" w:hAnsi="仿宋_GB2312"/>
          <w:highlight w:val="none"/>
          <w:lang w:val="en-GB"/>
        </w:rPr>
        <w:t>单一交易对手是指保险公司进行投资而与其形成债权或股权关系的具有法人资格的单一融资主体。投资境内的（准）政府债券，国有大型商业银行</w:t>
      </w:r>
      <w:r>
        <w:rPr>
          <w:rFonts w:ascii="仿宋_GB2312" w:hAnsi="仿宋_GB2312"/>
          <w:highlight w:val="none"/>
          <w:lang w:val="en-GB"/>
        </w:rPr>
        <w:t>存款和发行的股票、债券等</w:t>
      </w:r>
      <w:r>
        <w:rPr>
          <w:rFonts w:hint="eastAsia" w:ascii="仿宋_GB2312" w:hAnsi="仿宋_GB2312"/>
          <w:highlight w:val="none"/>
        </w:rPr>
        <w:t>有价证券</w:t>
      </w:r>
      <w:r>
        <w:rPr>
          <w:rFonts w:ascii="仿宋_GB2312" w:hAnsi="仿宋_GB2312"/>
          <w:highlight w:val="none"/>
          <w:lang w:val="en-GB"/>
        </w:rPr>
        <w:t>，</w:t>
      </w:r>
      <w:r>
        <w:rPr>
          <w:rFonts w:hint="eastAsia" w:ascii="仿宋_GB2312" w:hAnsi="仿宋_GB2312"/>
          <w:highlight w:val="none"/>
          <w:lang w:val="en-GB"/>
        </w:rPr>
        <w:t>以自有资金投资保险类企业股权</w:t>
      </w:r>
      <w:r>
        <w:rPr>
          <w:rFonts w:ascii="仿宋_GB2312" w:hAnsi="仿宋_GB2312"/>
          <w:highlight w:val="none"/>
          <w:lang w:val="en-GB"/>
        </w:rPr>
        <w:t>以及集团内购买保险资产管理产品</w:t>
      </w:r>
      <w:r>
        <w:rPr>
          <w:rFonts w:hint="eastAsia" w:ascii="仿宋_GB2312" w:hAnsi="仿宋_GB2312"/>
          <w:highlight w:val="none"/>
          <w:lang w:val="en-GB"/>
        </w:rPr>
        <w:t>等除外。</w:t>
      </w:r>
    </w:p>
    <w:p>
      <w:pPr>
        <w:ind w:firstLine="640"/>
        <w:rPr>
          <w:rFonts w:cs="Arial"/>
          <w:sz w:val="30"/>
          <w:szCs w:val="30"/>
          <w:highlight w:val="none"/>
        </w:rPr>
      </w:pPr>
      <w:r>
        <w:rPr>
          <w:rFonts w:hint="eastAsia" w:ascii="仿宋_GB2312" w:hAnsi="仿宋_GB2312"/>
          <w:highlight w:val="none"/>
          <w:lang w:val="en-GB"/>
        </w:rPr>
        <w:t>单一交易对手按照以下原则确定：交易对手为融资主体；融资主体出现违约的，以担保人作为交易对手；不能确定融资主体的，产品发行人为交易对手。保险公司应当按照穿透</w:t>
      </w:r>
      <w:r>
        <w:rPr>
          <w:rFonts w:hint="eastAsia" w:ascii="仿宋_GB2312" w:hAnsi="仿宋_GB2312"/>
          <w:highlight w:val="none"/>
        </w:rPr>
        <w:t>原则</w:t>
      </w:r>
      <w:r>
        <w:rPr>
          <w:rFonts w:hint="eastAsia" w:ascii="仿宋_GB2312" w:hAnsi="仿宋_GB2312"/>
          <w:highlight w:val="none"/>
          <w:lang w:val="en-GB"/>
        </w:rPr>
        <w:t>确定资产真实的融资主体。</w:t>
      </w:r>
    </w:p>
    <w:p>
      <w:pPr>
        <w:pStyle w:val="14"/>
        <w:ind w:firstLine="640"/>
        <w:rPr>
          <w:highlight w:val="none"/>
        </w:rPr>
      </w:pPr>
      <w:r>
        <w:rPr>
          <w:rFonts w:hint="eastAsia"/>
          <w:highlight w:val="none"/>
          <w:lang w:val="en-GB"/>
        </w:rPr>
        <w:t>五、</w:t>
      </w:r>
      <w:r>
        <w:rPr>
          <w:rFonts w:hint="eastAsia"/>
          <w:highlight w:val="none"/>
        </w:rPr>
        <w:t>负债产品信息</w:t>
      </w:r>
    </w:p>
    <w:p>
      <w:pPr>
        <w:pStyle w:val="4"/>
        <w:ind w:firstLine="640"/>
        <w:rPr>
          <w:rFonts w:ascii="楷体_GB2312" w:hAnsi="楷体_GB2312" w:eastAsia="楷体_GB2312" w:cs="楷体_GB2312"/>
          <w:kern w:val="2"/>
          <w:sz w:val="32"/>
          <w:szCs w:val="22"/>
          <w:lang w:val="en-US" w:eastAsia="zh-CN" w:bidi="ar-SA"/>
        </w:rPr>
      </w:pPr>
      <w:r>
        <w:rPr>
          <w:rFonts w:hint="eastAsia" w:ascii="楷体_GB2312" w:hAnsi="楷体_GB2312" w:eastAsia="楷体_GB2312" w:cs="楷体_GB2312"/>
          <w:kern w:val="2"/>
          <w:sz w:val="32"/>
          <w:szCs w:val="22"/>
          <w:lang w:val="en-US" w:eastAsia="zh-CN" w:bidi="ar-SA"/>
        </w:rPr>
        <w:t>（</w:t>
      </w:r>
      <w:r>
        <w:rPr>
          <w:rFonts w:hint="default" w:ascii="楷体_GB2312" w:hAnsi="楷体_GB2312" w:eastAsia="楷体_GB2312" w:cs="楷体_GB2312"/>
          <w:kern w:val="2"/>
          <w:sz w:val="32"/>
          <w:szCs w:val="22"/>
          <w:lang w:val="en-US" w:eastAsia="zh-CN" w:bidi="ar-SA"/>
        </w:rPr>
        <w:t>一</w:t>
      </w:r>
      <w:r>
        <w:rPr>
          <w:rFonts w:hint="eastAsia" w:ascii="楷体_GB2312" w:hAnsi="楷体_GB2312" w:eastAsia="楷体_GB2312" w:cs="楷体_GB2312"/>
          <w:kern w:val="2"/>
          <w:sz w:val="32"/>
          <w:szCs w:val="22"/>
          <w:lang w:val="en-US" w:eastAsia="zh-CN" w:bidi="ar-SA"/>
        </w:rPr>
        <w:t>）</w:t>
      </w:r>
      <w:r>
        <w:rPr>
          <w:rFonts w:hint="default" w:ascii="楷体_GB2312" w:hAnsi="楷体_GB2312" w:eastAsia="楷体_GB2312" w:cs="楷体_GB2312"/>
          <w:kern w:val="2"/>
          <w:sz w:val="32"/>
          <w:szCs w:val="22"/>
          <w:lang w:val="en-US" w:eastAsia="zh-CN" w:bidi="ar-SA"/>
        </w:rPr>
        <w:t>保险合同负债</w:t>
      </w:r>
    </w:p>
    <w:p>
      <w:pPr>
        <w:ind w:firstLine="640"/>
        <w:rPr>
          <w:highlight w:val="none"/>
        </w:rPr>
      </w:pPr>
      <w:r>
        <w:rPr>
          <w:rFonts w:hint="eastAsia"/>
          <w:highlight w:val="none"/>
        </w:rPr>
        <w:t>填报公司在报告期末会计口径下各产品的保险合同负债净额及保费准备金信息，其中：</w:t>
      </w:r>
    </w:p>
    <w:p>
      <w:pPr>
        <w:ind w:firstLine="640"/>
        <w:rPr>
          <w:highlight w:val="none"/>
        </w:rPr>
      </w:pPr>
      <w:bookmarkStart w:id="6" w:name="OLE_LINK3"/>
      <w:r>
        <w:rPr>
          <w:rFonts w:hint="eastAsia" w:ascii="仿宋_GB2312" w:hAnsi="仿宋_GB2312" w:cs="仿宋_GB2312"/>
          <w:highlight w:val="none"/>
        </w:rPr>
        <w:t>保险合同负债净额=保险合同负债+分出再保险合同负债-保险合同资产-分出再保险合同资产，不考虑财务再保险</w:t>
      </w:r>
      <w:r>
        <w:rPr>
          <w:rStyle w:val="19"/>
          <w:rFonts w:hint="eastAsia" w:ascii="仿宋_GB2312" w:hAnsi="仿宋_GB2312" w:cs="仿宋_GB2312"/>
          <w:highlight w:val="none"/>
        </w:rPr>
        <w:footnoteReference w:id="4"/>
      </w:r>
    </w:p>
    <w:bookmarkEnd w:id="6"/>
    <w:p>
      <w:pPr>
        <w:pStyle w:val="4"/>
        <w:ind w:firstLine="640"/>
        <w:rPr>
          <w:rFonts w:ascii="楷体_GB2312" w:hAnsi="楷体_GB2312" w:eastAsia="楷体_GB2312" w:cs="楷体_GB2312"/>
          <w:kern w:val="2"/>
          <w:sz w:val="32"/>
          <w:szCs w:val="22"/>
          <w:lang w:val="en-US" w:eastAsia="zh-CN" w:bidi="ar-SA"/>
        </w:rPr>
      </w:pPr>
      <w:r>
        <w:rPr>
          <w:rFonts w:hint="eastAsia" w:ascii="楷体_GB2312" w:hAnsi="楷体_GB2312" w:eastAsia="楷体_GB2312" w:cs="楷体_GB2312"/>
          <w:kern w:val="2"/>
          <w:sz w:val="32"/>
          <w:szCs w:val="22"/>
          <w:lang w:val="en-US" w:eastAsia="zh-CN" w:bidi="ar-SA"/>
        </w:rPr>
        <w:t>（</w:t>
      </w:r>
      <w:r>
        <w:rPr>
          <w:rFonts w:hint="default" w:ascii="楷体_GB2312" w:hAnsi="楷体_GB2312" w:eastAsia="楷体_GB2312" w:cs="楷体_GB2312"/>
          <w:kern w:val="2"/>
          <w:sz w:val="32"/>
          <w:szCs w:val="22"/>
          <w:lang w:val="en-US" w:eastAsia="zh-CN" w:bidi="ar-SA"/>
        </w:rPr>
        <w:t>二</w:t>
      </w:r>
      <w:r>
        <w:rPr>
          <w:rFonts w:hint="eastAsia" w:ascii="楷体_GB2312" w:hAnsi="楷体_GB2312" w:eastAsia="楷体_GB2312" w:cs="楷体_GB2312"/>
          <w:kern w:val="2"/>
          <w:sz w:val="32"/>
          <w:szCs w:val="22"/>
          <w:lang w:val="en-US" w:eastAsia="zh-CN" w:bidi="ar-SA"/>
        </w:rPr>
        <w:t>）</w:t>
      </w:r>
      <w:r>
        <w:rPr>
          <w:rFonts w:hint="default" w:ascii="楷体_GB2312" w:hAnsi="楷体_GB2312" w:eastAsia="楷体_GB2312" w:cs="楷体_GB2312"/>
          <w:kern w:val="2"/>
          <w:sz w:val="32"/>
          <w:szCs w:val="22"/>
          <w:lang w:val="en-US" w:eastAsia="zh-CN" w:bidi="ar-SA"/>
        </w:rPr>
        <w:t>业务规划</w:t>
      </w:r>
    </w:p>
    <w:p>
      <w:pPr>
        <w:ind w:firstLine="640"/>
        <w:rPr>
          <w:highlight w:val="none"/>
        </w:rPr>
      </w:pPr>
      <w:r>
        <w:rPr>
          <w:rFonts w:hint="eastAsia"/>
          <w:highlight w:val="none"/>
        </w:rPr>
        <w:t>公司应根据业务规划，填报传统保险账户未来三年规划数据，其中：</w:t>
      </w:r>
    </w:p>
    <w:p>
      <w:pPr>
        <w:ind w:firstLine="640"/>
        <w:rPr>
          <w:rFonts w:ascii="Cambria Math" w:hAnsi="Cambria Math"/>
          <w:szCs w:val="32"/>
          <w:highlight w:val="none"/>
        </w:rPr>
      </w:pPr>
      <w:r>
        <w:rPr>
          <w:rFonts w:hint="eastAsia" w:ascii="Cambria Math" w:hAnsi="Cambria Math"/>
          <w:szCs w:val="32"/>
          <w:highlight w:val="none"/>
        </w:rPr>
        <w:t>自留保费=保费+分入保费-分出保费</w:t>
      </w:r>
    </w:p>
    <w:p>
      <w:pPr>
        <w:spacing w:line="360" w:lineRule="auto"/>
        <w:ind w:firstLine="640"/>
        <w:rPr>
          <w:rFonts w:ascii="Cambria Math" w:hAnsi="Cambria Math"/>
          <w:szCs w:val="32"/>
          <w:highlight w:val="none"/>
        </w:rPr>
      </w:pPr>
      <w:r>
        <w:rPr>
          <w:rFonts w:hint="eastAsia" w:ascii="Cambria Math" w:hAnsi="Cambria Math"/>
          <w:szCs w:val="32"/>
          <w:highlight w:val="none"/>
        </w:rPr>
        <w:t>保费自留比例=自留保费÷保费×100%</w:t>
      </w:r>
    </w:p>
    <w:p>
      <w:pPr>
        <w:spacing w:line="360" w:lineRule="auto"/>
        <w:ind w:left="640" w:leftChars="200" w:firstLine="640"/>
        <w:rPr>
          <w:rFonts w:ascii="仿宋_GB2312" w:hAnsi="仿宋"/>
          <w:szCs w:val="32"/>
          <w:highlight w:val="none"/>
        </w:rPr>
      </w:pPr>
      <m:oMathPara>
        <m:oMathParaPr>
          <m:jc m:val="left"/>
        </m:oMathParaPr>
        <m:oMath>
          <m:r>
            <m:rPr>
              <m:sty m:val="p"/>
            </m:rPr>
            <w:rPr>
              <w:rFonts w:hint="eastAsia" w:ascii="DejaVu Math TeX Gyre" w:hAnsi="DejaVu Math TeX Gyre"/>
              <w:szCs w:val="32"/>
              <w:highlight w:val="none"/>
            </w:rPr>
            <m:t>承保综合费用率=</m:t>
          </m:r>
          <m:f>
            <m:fPr>
              <m:ctrlPr>
                <w:rPr>
                  <w:rFonts w:hint="eastAsia" w:ascii="DejaVu Math TeX Gyre" w:hAnsi="DejaVu Math TeX Gyre"/>
                  <w:szCs w:val="32"/>
                  <w:highlight w:val="none"/>
                </w:rPr>
              </m:ctrlPr>
            </m:fPr>
            <m:num>
              <m:r>
                <m:rPr>
                  <m:sty m:val="p"/>
                </m:rPr>
                <w:rPr>
                  <w:rFonts w:hint="eastAsia" w:ascii="DejaVu Math TeX Gyre" w:hAnsi="DejaVu Math TeX Gyre"/>
                  <w:szCs w:val="32"/>
                  <w:highlight w:val="none"/>
                </w:rPr>
                <m:t>获取费用摊销+维持费用</m:t>
              </m:r>
              <m:ctrlPr>
                <w:rPr>
                  <w:rFonts w:hint="eastAsia" w:ascii="DejaVu Math TeX Gyre" w:hAnsi="DejaVu Math TeX Gyre"/>
                  <w:szCs w:val="32"/>
                  <w:highlight w:val="none"/>
                </w:rPr>
              </m:ctrlPr>
            </m:num>
            <m:den>
              <m:r>
                <m:rPr>
                  <m:sty m:val="p"/>
                </m:rPr>
                <w:rPr>
                  <w:rFonts w:hint="eastAsia" w:ascii="DejaVu Math TeX Gyre" w:hAnsi="DejaVu Math TeX Gyre"/>
                  <w:szCs w:val="32"/>
                  <w:highlight w:val="none"/>
                </w:rPr>
                <m:t>保险服务收入</m:t>
              </m:r>
              <m:ctrlPr>
                <w:rPr>
                  <w:rFonts w:hint="eastAsia" w:ascii="DejaVu Math TeX Gyre" w:hAnsi="DejaVu Math TeX Gyre"/>
                  <w:szCs w:val="32"/>
                  <w:highlight w:val="none"/>
                </w:rPr>
              </m:ctrlPr>
            </m:den>
          </m:f>
          <m:r>
            <m:rPr>
              <m:sty m:val="p"/>
            </m:rPr>
            <w:rPr>
              <w:rFonts w:hint="eastAsia" w:ascii="DejaVu Math TeX Gyre" w:hAnsi="DejaVu Math TeX Gyre" w:cs="Helvetica"/>
              <w:szCs w:val="32"/>
              <w:highlight w:val="none"/>
              <w:lang w:val="en-GB"/>
            </w:rPr>
            <m:t>×100</m:t>
          </m:r>
          <m:r>
            <m:rPr>
              <m:sty m:val="p"/>
            </m:rPr>
            <w:rPr>
              <w:rFonts w:hint="eastAsia" w:ascii="DejaVu Math TeX Gyre" w:hAnsi="DejaVu Math TeX Gyre"/>
              <w:szCs w:val="32"/>
              <w:highlight w:val="none"/>
              <w:lang w:val="en-GB"/>
            </w:rPr>
            <m:t>%</m:t>
          </m:r>
        </m:oMath>
      </m:oMathPara>
    </w:p>
    <w:p>
      <w:pPr>
        <w:spacing w:line="360" w:lineRule="auto"/>
        <w:ind w:left="640" w:leftChars="200" w:firstLine="640"/>
        <w:rPr>
          <w:rFonts w:ascii="Cambria Math" w:hAnsi="Cambria Math"/>
          <w:szCs w:val="32"/>
          <w:highlight w:val="none"/>
        </w:rPr>
      </w:pPr>
      <m:oMathPara>
        <m:oMathParaPr>
          <m:jc m:val="left"/>
        </m:oMathParaPr>
        <m:oMath>
          <m:r>
            <m:rPr>
              <m:sty m:val="p"/>
            </m:rPr>
            <w:rPr>
              <w:rFonts w:hint="eastAsia" w:ascii="DejaVu Math TeX Gyre" w:hAnsi="DejaVu Math TeX Gyre"/>
              <w:szCs w:val="32"/>
              <w:highlight w:val="none"/>
            </w:rPr>
            <m:t>摊回分保费用比例=</m:t>
          </m:r>
          <m:f>
            <m:fPr>
              <m:ctrlPr>
                <w:rPr>
                  <w:rFonts w:hint="eastAsia" w:ascii="DejaVu Math TeX Gyre" w:hAnsi="DejaVu Math TeX Gyre"/>
                  <w:szCs w:val="32"/>
                  <w:highlight w:val="none"/>
                </w:rPr>
              </m:ctrlPr>
            </m:fPr>
            <m:num>
              <m:r>
                <m:rPr>
                  <m:sty m:val="p"/>
                </m:rPr>
                <w:rPr>
                  <w:rFonts w:hint="eastAsia" w:ascii="DejaVu Math TeX Gyre" w:hAnsi="DejaVu Math TeX Gyre"/>
                  <w:szCs w:val="32"/>
                  <w:highlight w:val="none"/>
                </w:rPr>
                <m:t>摊回分保费用</m:t>
              </m:r>
              <m:ctrlPr>
                <w:rPr>
                  <w:rFonts w:hint="eastAsia" w:ascii="DejaVu Math TeX Gyre" w:hAnsi="DejaVu Math TeX Gyre"/>
                  <w:szCs w:val="32"/>
                  <w:highlight w:val="none"/>
                </w:rPr>
              </m:ctrlPr>
            </m:num>
            <m:den>
              <m:r>
                <m:rPr>
                  <m:sty m:val="p"/>
                </m:rPr>
                <w:rPr>
                  <w:rFonts w:hint="eastAsia" w:ascii="DejaVu Math TeX Gyre" w:hAnsi="DejaVu Math TeX Gyre"/>
                  <w:szCs w:val="32"/>
                  <w:highlight w:val="none"/>
                </w:rPr>
                <m:t>分出保费</m:t>
              </m:r>
              <m:ctrlPr>
                <w:rPr>
                  <w:rFonts w:hint="eastAsia" w:ascii="DejaVu Math TeX Gyre" w:hAnsi="DejaVu Math TeX Gyre"/>
                  <w:szCs w:val="32"/>
                  <w:highlight w:val="none"/>
                </w:rPr>
              </m:ctrlPr>
            </m:den>
          </m:f>
          <m:r>
            <m:rPr>
              <m:sty m:val="p"/>
            </m:rPr>
            <w:rPr>
              <w:rFonts w:hint="eastAsia" w:ascii="DejaVu Math TeX Gyre" w:hAnsi="DejaVu Math TeX Gyre"/>
              <w:szCs w:val="32"/>
              <w:highlight w:val="none"/>
            </w:rPr>
            <m:t>×100%</m:t>
          </m:r>
        </m:oMath>
      </m:oMathPara>
    </w:p>
    <w:p>
      <w:pPr>
        <w:spacing w:line="360" w:lineRule="auto"/>
        <w:ind w:left="640" w:leftChars="200" w:firstLine="640"/>
        <w:rPr>
          <w:rFonts w:ascii="Cambria Math" w:hAnsi="Cambria Math"/>
          <w:szCs w:val="32"/>
          <w:highlight w:val="none"/>
        </w:rPr>
      </w:pPr>
      <m:oMathPara>
        <m:oMathParaPr>
          <m:jc m:val="left"/>
        </m:oMathParaPr>
        <m:oMath>
          <m:r>
            <m:rPr>
              <m:sty m:val="p"/>
            </m:rPr>
            <w:rPr>
              <w:rFonts w:hint="eastAsia" w:ascii="DejaVu Math TeX Gyre" w:hAnsi="DejaVu Math TeX Gyre"/>
              <w:szCs w:val="32"/>
              <w:highlight w:val="none"/>
            </w:rPr>
            <m:t>最终赔付率=</m:t>
          </m:r>
          <m:f>
            <m:fPr>
              <m:ctrlPr>
                <w:rPr>
                  <w:rFonts w:hint="eastAsia" w:ascii="DejaVu Math TeX Gyre" w:hAnsi="DejaVu Math TeX Gyre"/>
                  <w:szCs w:val="32"/>
                  <w:highlight w:val="none"/>
                </w:rPr>
              </m:ctrlPr>
            </m:fPr>
            <m:num>
              <m:r>
                <m:rPr>
                  <m:sty m:val="p"/>
                </m:rPr>
                <w:rPr>
                  <w:rFonts w:hint="eastAsia" w:ascii="DejaVu Math TeX Gyre" w:hAnsi="DejaVu Math TeX Gyre"/>
                  <w:szCs w:val="32"/>
                  <w:highlight w:val="none"/>
                </w:rPr>
                <m:t>事故年度估计最终赔款</m:t>
              </m:r>
              <m:ctrlPr>
                <w:rPr>
                  <w:rFonts w:hint="eastAsia" w:ascii="DejaVu Math TeX Gyre" w:hAnsi="DejaVu Math TeX Gyre"/>
                  <w:szCs w:val="32"/>
                  <w:highlight w:val="none"/>
                </w:rPr>
              </m:ctrlPr>
            </m:num>
            <m:den>
              <m:r>
                <m:rPr>
                  <m:sty m:val="p"/>
                </m:rPr>
                <w:rPr>
                  <w:rFonts w:hint="default" w:ascii="DejaVu Math TeX Gyre" w:hAnsi="DejaVu Math TeX Gyre"/>
                  <w:szCs w:val="32"/>
                  <w:highlight w:val="none"/>
                  <w:lang w:eastAsia="zh-CN"/>
                </w:rPr>
                <m:t>保费</m:t>
              </m:r>
              <m:ctrlPr>
                <w:rPr>
                  <w:rFonts w:hint="eastAsia" w:ascii="DejaVu Math TeX Gyre" w:hAnsi="DejaVu Math TeX Gyre"/>
                  <w:szCs w:val="32"/>
                  <w:highlight w:val="none"/>
                </w:rPr>
              </m:ctrlPr>
            </m:den>
          </m:f>
          <m:r>
            <m:rPr>
              <m:sty m:val="p"/>
            </m:rPr>
            <w:rPr>
              <w:rFonts w:hint="eastAsia" w:ascii="DejaVu Math TeX Gyre" w:hAnsi="DejaVu Math TeX Gyre"/>
              <w:szCs w:val="32"/>
              <w:highlight w:val="none"/>
            </w:rPr>
            <m:t>×100%</m:t>
          </m:r>
        </m:oMath>
      </m:oMathPara>
    </w:p>
    <w:p>
      <w:pPr>
        <w:ind w:firstLine="640"/>
        <w:rPr>
          <w:highlight w:val="none"/>
        </w:rPr>
      </w:pPr>
      <w:r>
        <w:rPr>
          <w:rFonts w:hint="eastAsia" w:ascii="仿宋_GB2312" w:hAnsi="仿宋_GB2312" w:cs="仿宋_GB2312"/>
          <w:highlight w:val="none"/>
        </w:rPr>
        <w:t>承保综合赔付率=（当期发生的赔款及理赔费用+已发生赔款负债履约现金流变动+提取保费准备金+承保财务损益+亏损合同损益+再保净成本）÷保险服务收入×100%，当期发生的赔款及理赔费用包括直接理赔费用和间接理赔费用</w:t>
      </w:r>
    </w:p>
    <w:p>
      <w:pPr>
        <w:ind w:firstLine="640"/>
        <w:rPr>
          <w:rFonts w:hint="eastAsia" w:ascii="仿宋_GB2312" w:hAnsi="仿宋_GB2312" w:cs="仿宋_GB2312"/>
          <w:highlight w:val="none"/>
        </w:rPr>
      </w:pPr>
      <w:r>
        <w:rPr>
          <w:rFonts w:hint="eastAsia" w:ascii="仿宋_GB2312" w:hAnsi="仿宋_GB2312" w:cs="仿宋_GB2312"/>
          <w:highlight w:val="none"/>
        </w:rPr>
        <w:t>承保综合成本=保险服务费用+承保财务损益+提取保费准备金+再保净成本</w:t>
      </w:r>
    </w:p>
    <w:p>
      <w:pPr>
        <w:ind w:firstLine="640"/>
        <w:rPr>
          <w:rFonts w:hint="eastAsia" w:ascii="仿宋_GB2312" w:hAnsi="仿宋_GB2312" w:cs="仿宋_GB2312"/>
          <w:highlight w:val="none"/>
        </w:rPr>
      </w:pPr>
      <w:r>
        <w:rPr>
          <w:rFonts w:hint="eastAsia" w:ascii="仿宋_GB2312" w:hAnsi="仿宋_GB2312" w:cs="仿宋_GB2312"/>
          <w:highlight w:val="none"/>
        </w:rPr>
        <w:t>承保综合成本率=承保综合成本÷保险服务收入×100%</w:t>
      </w:r>
    </w:p>
    <w:p>
      <w:pPr>
        <w:ind w:firstLine="640"/>
        <w:rPr>
          <w:rFonts w:hint="eastAsia" w:ascii="仿宋_GB2312" w:hAnsi="仿宋_GB2312" w:cs="仿宋_GB2312"/>
          <w:highlight w:val="none"/>
        </w:rPr>
      </w:pPr>
      <w:r>
        <w:rPr>
          <w:rFonts w:hint="eastAsia" w:ascii="仿宋_GB2312" w:hAnsi="仿宋_GB2312" w:cs="仿宋_GB2312"/>
          <w:highlight w:val="none"/>
        </w:rPr>
        <w:t>其中：</w:t>
      </w:r>
    </w:p>
    <w:p>
      <w:pPr>
        <w:ind w:firstLine="640"/>
        <w:rPr>
          <w:rFonts w:hint="eastAsia" w:ascii="仿宋_GB2312" w:hAnsi="仿宋_GB2312" w:cs="仿宋_GB2312"/>
          <w:highlight w:val="none"/>
        </w:rPr>
      </w:pPr>
      <w:r>
        <w:rPr>
          <w:rFonts w:hint="eastAsia" w:ascii="仿宋_GB2312" w:hAnsi="仿宋_GB2312" w:cs="仿宋_GB2312"/>
          <w:highlight w:val="none"/>
        </w:rPr>
        <w:t>再保净成本=分出保费的分摊-摊回保险服务费用-分出再保险财务损益，不考虑财务再保险</w:t>
      </w:r>
    </w:p>
    <w:p>
      <w:pPr>
        <w:ind w:firstLine="640"/>
        <w:rPr>
          <w:rFonts w:hint="eastAsia" w:ascii="仿宋_GB2312" w:hAnsi="仿宋_GB2312" w:cs="仿宋_GB2312"/>
          <w:highlight w:val="none"/>
        </w:rPr>
      </w:pPr>
      <w:r>
        <w:rPr>
          <w:rFonts w:hint="eastAsia" w:ascii="仿宋_GB2312" w:hAnsi="仿宋_GB2312" w:cs="仿宋_GB2312"/>
          <w:highlight w:val="none"/>
        </w:rPr>
        <w:t>保险服务费用=获取费用摊销+维持费用+当期发生的赔款及理赔费用+已发生赔款负债履约现金流变动+亏损合同损益</w:t>
      </w:r>
    </w:p>
    <w:p>
      <w:pPr>
        <w:ind w:firstLine="640"/>
        <w:rPr>
          <w:rFonts w:hint="eastAsia" w:ascii="仿宋_GB2312" w:hAnsi="仿宋_GB2312" w:cs="仿宋_GB2312"/>
          <w:highlight w:val="none"/>
          <w:lang w:val="en-GB"/>
        </w:rPr>
      </w:pPr>
      <w:r>
        <w:rPr>
          <w:rFonts w:hint="eastAsia" w:ascii="仿宋_GB2312" w:hAnsi="仿宋_GB2312" w:cs="仿宋_GB2312"/>
          <w:highlight w:val="none"/>
        </w:rPr>
        <w:t>综合投资收益=利息收入+投资收益+公允价值变动损益</w:t>
      </w:r>
      <w:r>
        <w:rPr>
          <w:rFonts w:hint="eastAsia" w:ascii="仿宋_GB2312" w:hAnsi="仿宋_GB2312" w:cs="仿宋_GB2312"/>
          <w:highlight w:val="none"/>
          <w:lang w:val="en-GB"/>
        </w:rPr>
        <w:t>+其他投资损益+</w:t>
      </w:r>
      <w:r>
        <w:rPr>
          <w:rFonts w:hint="eastAsia" w:ascii="仿宋_GB2312" w:hAnsi="仿宋_GB2312" w:cs="仿宋_GB2312"/>
          <w:highlight w:val="none"/>
        </w:rPr>
        <w:t>“以公允价值计量且其变动计入其他综合收益”（以下简称</w:t>
      </w:r>
      <w:r>
        <w:rPr>
          <w:rFonts w:hint="eastAsia" w:ascii="仿宋_GB2312" w:hAnsi="仿宋_GB2312" w:eastAsia="仿宋_GB2312" w:cs="仿宋_GB2312"/>
          <w:kern w:val="2"/>
          <w:sz w:val="32"/>
          <w:szCs w:val="22"/>
          <w:lang w:val="en-US" w:eastAsia="zh-CN" w:bidi="ar-SA"/>
        </w:rPr>
        <w:t>FVOCI</w:t>
      </w:r>
      <w:r>
        <w:rPr>
          <w:rFonts w:hint="eastAsia" w:ascii="仿宋_GB2312" w:hAnsi="仿宋_GB2312" w:cs="仿宋_GB2312"/>
          <w:highlight w:val="none"/>
        </w:rPr>
        <w:t>）</w:t>
      </w:r>
      <w:r>
        <w:rPr>
          <w:rFonts w:ascii="仿宋_GB2312" w:hAnsi="仿宋_GB2312" w:eastAsia="仿宋_GB2312" w:cs="仿宋_GB2312"/>
          <w:kern w:val="2"/>
          <w:sz w:val="32"/>
          <w:szCs w:val="22"/>
          <w:lang w:val="en-US" w:eastAsia="zh-CN" w:bidi="ar-SA"/>
        </w:rPr>
        <w:t>金融资产的公允价值变动+指定为FVOCI的非交易性</w:t>
      </w:r>
      <w:r>
        <w:rPr>
          <w:rFonts w:hint="eastAsia" w:ascii="仿宋_GB2312" w:hAnsi="仿宋_GB2312" w:cs="仿宋_GB2312"/>
          <w:highlight w:val="none"/>
          <w:lang w:val="en-GB"/>
        </w:rPr>
        <w:t>权益工具投资的处置损益-投资资产减值损失-利息支出</w:t>
      </w:r>
    </w:p>
    <w:p>
      <w:pPr>
        <w:ind w:firstLine="640"/>
        <w:rPr>
          <w:highlight w:val="none"/>
        </w:rPr>
      </w:pPr>
      <w:r>
        <w:rPr>
          <w:rFonts w:hint="eastAsia" w:ascii="仿宋_GB2312" w:hAnsi="仿宋_GB2312" w:cs="仿宋_GB2312"/>
          <w:highlight w:val="none"/>
        </w:rPr>
        <w:t>综合投资收益率=综合投资收益÷</w:t>
      </w:r>
      <m:oMath>
        <m:r>
          <m:rPr>
            <m:sty m:val="p"/>
          </m:rPr>
          <w:rPr>
            <w:rFonts w:hint="eastAsia" w:ascii="Cambria Math" w:hAnsi="Cambria Math" w:cs="仿宋_GB2312"/>
            <w:highlight w:val="none"/>
            <w:lang w:val="en-GB"/>
          </w:rPr>
          <m:t>资金运用平均净额</m:t>
        </m:r>
      </m:oMath>
      <w:r>
        <w:rPr>
          <w:rFonts w:hint="eastAsia" w:ascii="仿宋_GB2312" w:hAnsi="仿宋_GB2312" w:cs="仿宋_GB2312"/>
          <w:highlight w:val="none"/>
        </w:rPr>
        <w:t>×100%</w:t>
      </w:r>
    </w:p>
    <w:p>
      <w:pPr>
        <w:spacing w:line="360" w:lineRule="auto"/>
        <w:ind w:left="640" w:leftChars="200" w:firstLine="640"/>
        <w:rPr>
          <w:rFonts w:ascii="Cambria Math" w:hAnsi="Cambria Math"/>
          <w:szCs w:val="32"/>
          <w:highlight w:val="none"/>
        </w:rPr>
      </w:pPr>
      <m:oMathPara>
        <m:oMathParaPr>
          <m:jc m:val="left"/>
        </m:oMathParaPr>
        <m:oMath>
          <m:r>
            <m:rPr>
              <m:sty m:val="p"/>
            </m:rPr>
            <w:rPr>
              <w:rFonts w:hint="eastAsia" w:ascii="DejaVu Math TeX Gyre" w:hAnsi="DejaVu Math TeX Gyre"/>
              <w:szCs w:val="32"/>
              <w:highlight w:val="none"/>
            </w:rPr>
            <m:t>所得税费用率=</m:t>
          </m:r>
          <m:f>
            <m:fPr>
              <m:ctrlPr>
                <w:rPr>
                  <w:rFonts w:hint="eastAsia" w:ascii="DejaVu Math TeX Gyre" w:hAnsi="DejaVu Math TeX Gyre"/>
                  <w:szCs w:val="32"/>
                  <w:highlight w:val="none"/>
                </w:rPr>
              </m:ctrlPr>
            </m:fPr>
            <m:num>
              <m:r>
                <m:rPr>
                  <m:sty m:val="p"/>
                </m:rPr>
                <w:rPr>
                  <w:rFonts w:hint="eastAsia" w:ascii="DejaVu Math TeX Gyre" w:hAnsi="DejaVu Math TeX Gyre"/>
                  <w:szCs w:val="32"/>
                  <w:highlight w:val="none"/>
                </w:rPr>
                <m:t>所得税费用</m:t>
              </m:r>
              <m:ctrlPr>
                <w:rPr>
                  <w:rFonts w:hint="eastAsia" w:ascii="DejaVu Math TeX Gyre" w:hAnsi="DejaVu Math TeX Gyre"/>
                  <w:szCs w:val="32"/>
                  <w:highlight w:val="none"/>
                </w:rPr>
              </m:ctrlPr>
            </m:num>
            <m:den>
              <m:r>
                <m:rPr>
                  <m:sty m:val="p"/>
                </m:rPr>
                <w:rPr>
                  <w:rFonts w:hint="eastAsia" w:ascii="DejaVu Math TeX Gyre" w:hAnsi="DejaVu Math TeX Gyre"/>
                  <w:szCs w:val="32"/>
                  <w:highlight w:val="none"/>
                </w:rPr>
                <m:t>利润总额</m:t>
              </m:r>
              <m:ctrlPr>
                <w:rPr>
                  <w:rFonts w:hint="eastAsia" w:ascii="DejaVu Math TeX Gyre" w:hAnsi="DejaVu Math TeX Gyre"/>
                  <w:szCs w:val="32"/>
                  <w:highlight w:val="none"/>
                </w:rPr>
              </m:ctrlPr>
            </m:den>
          </m:f>
          <m:r>
            <m:rPr>
              <m:sty m:val="p"/>
            </m:rPr>
            <w:rPr>
              <w:rFonts w:hint="eastAsia" w:ascii="DejaVu Math TeX Gyre" w:hAnsi="DejaVu Math TeX Gyre"/>
              <w:szCs w:val="32"/>
              <w:highlight w:val="none"/>
            </w:rPr>
            <m:t>×100%</m:t>
          </m:r>
        </m:oMath>
      </m:oMathPara>
    </w:p>
    <w:p>
      <w:pPr>
        <w:pStyle w:val="14"/>
        <w:ind w:firstLine="640"/>
        <w:rPr>
          <w:highlight w:val="none"/>
        </w:rPr>
      </w:pPr>
      <w:r>
        <w:rPr>
          <w:rFonts w:hint="eastAsia"/>
          <w:highlight w:val="none"/>
        </w:rPr>
        <w:t>六、资产负债匹配计量规则</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（一）期限结构匹配计量规则</w:t>
      </w:r>
    </w:p>
    <w:p>
      <w:pPr>
        <w:pStyle w:val="5"/>
        <w:ind w:firstLine="640"/>
        <w:rPr>
          <w:rFonts w:hint="eastAsia" w:ascii="仿宋_GB2312" w:hAnsi="仿宋_GB2312" w:cs="仿宋_GB2312"/>
          <w:highlight w:val="none"/>
        </w:rPr>
      </w:pPr>
      <w:r>
        <w:rPr>
          <w:rFonts w:hint="eastAsia" w:ascii="仿宋_GB2312" w:hAnsi="仿宋_GB2312" w:cs="仿宋_GB2312"/>
          <w:highlight w:val="none"/>
        </w:rPr>
        <w:t>1.沉淀资金预测</w:t>
      </w:r>
    </w:p>
    <w:p>
      <w:pPr>
        <w:ind w:firstLine="640"/>
        <w:rPr>
          <w:highlight w:val="none"/>
        </w:rPr>
      </w:pPr>
      <w:r>
        <w:rPr>
          <w:rFonts w:hint="eastAsia" w:ascii="仿宋_GB2312" w:hAnsi="仿宋_GB2312" w:cs="仿宋_GB2312"/>
          <w:highlight w:val="none"/>
        </w:rPr>
        <w:t>沉淀资金是保险公司基于传统保险产品滚动投保的特性，在账户日常资金流动过程中留存的、数量相对稳定的资金，一般为中短期之内不需要用于保险业务日常经营活动支付的资金。沉淀资金计算方法如下：</w:t>
      </w:r>
    </w:p>
    <w:p>
      <w:pPr>
        <w:spacing w:line="360" w:lineRule="auto"/>
        <w:ind w:left="640" w:leftChars="200" w:firstLine="640"/>
        <w:rPr>
          <w:rFonts w:ascii="Cambria Math" w:hAnsi="Cambria Math"/>
          <w:szCs w:val="32"/>
          <w:highlight w:val="none"/>
        </w:rPr>
      </w:pPr>
      <m:oMathPara>
        <m:oMathParaPr>
          <m:jc m:val="left"/>
        </m:oMathParaPr>
        <m:oMath>
          <m:r>
            <m:rPr>
              <m:sty m:val="p"/>
            </m:rPr>
            <w:rPr>
              <w:rFonts w:hint="eastAsia" w:ascii="DejaVu Math TeX Gyre" w:hAnsi="DejaVu Math TeX Gyre"/>
              <w:szCs w:val="32"/>
              <w:highlight w:val="none"/>
            </w:rPr>
            <m:t>沉淀资金</m:t>
          </m:r>
          <m:r>
            <m:rPr>
              <m:sty m:val="p"/>
            </m:rPr>
            <w:rPr>
              <w:rFonts w:ascii="DejaVu Math TeX Gyre" w:hAnsi="DejaVu Math TeX Gyre"/>
              <w:szCs w:val="32"/>
              <w:highlight w:val="none"/>
            </w:rPr>
            <m:t>=</m:t>
          </m:r>
          <m:r>
            <w:rPr>
              <w:rFonts w:hint="eastAsia" w:ascii="DejaVu Math TeX Gyre" w:hAnsi="DejaVu Math TeX Gyre"/>
              <w:szCs w:val="32"/>
              <w:highlight w:val="none"/>
            </w:rPr>
            <m:t>Min</m:t>
          </m:r>
          <m:d>
            <m:dPr>
              <m:begChr m:val="{"/>
              <m:endChr m:val="}"/>
              <m:ctrlPr>
                <w:rPr>
                  <w:rFonts w:hint="eastAsia" w:ascii="DejaVu Math TeX Gyre" w:hAnsi="DejaVu Math TeX Gyre"/>
                  <w:szCs w:val="32"/>
                  <w:highlight w:val="none"/>
                </w:rPr>
              </m:ctrlPr>
            </m:dPr>
            <m:e>
              <m:r>
                <m:rPr>
                  <m:sty m:val="p"/>
                </m:rPr>
                <w:rPr>
                  <w:rFonts w:hint="eastAsia" w:ascii="DejaVu Math TeX Gyre" w:hAnsi="DejaVu Math TeX Gyre"/>
                  <w:szCs w:val="32"/>
                  <w:highlight w:val="none"/>
                </w:rPr>
                <m:t>情景法下沉淀资金，系数法下沉淀资金</m:t>
              </m:r>
              <m:ctrlPr>
                <w:rPr>
                  <w:rFonts w:hint="eastAsia" w:ascii="DejaVu Math TeX Gyre" w:hAnsi="DejaVu Math TeX Gyre"/>
                  <w:szCs w:val="32"/>
                  <w:highlight w:val="none"/>
                </w:rPr>
              </m:ctrlPr>
            </m:e>
          </m:d>
        </m:oMath>
      </m:oMathPara>
    </w:p>
    <w:p>
      <w:pPr>
        <w:spacing w:line="360" w:lineRule="auto"/>
        <w:ind w:left="640" w:leftChars="200" w:firstLine="640"/>
        <w:rPr>
          <w:rFonts w:ascii="Cambria Math" w:hAnsi="Cambria Math"/>
          <w:szCs w:val="32"/>
          <w:highlight w:val="none"/>
        </w:rPr>
      </w:pPr>
      <m:oMathPara>
        <m:oMathParaPr>
          <m:jc m:val="left"/>
        </m:oMathParaPr>
        <m:oMath>
          <m:r>
            <m:rPr>
              <m:sty m:val="p"/>
            </m:rPr>
            <w:rPr>
              <w:rFonts w:ascii="DejaVu Math TeX Gyre" w:hAnsi="DejaVu Math TeX Gyre" w:cstheme="minorHAnsi"/>
              <w:szCs w:val="32"/>
              <w:highlight w:val="none"/>
            </w:rPr>
            <m:t>情景法下沉淀资金=</m:t>
          </m:r>
          <m:sSub>
            <m:sSubPr>
              <m:ctrlPr>
                <w:rPr>
                  <w:rFonts w:ascii="DejaVu Math TeX Gyre" w:hAnsi="DejaVu Math TeX Gyre" w:cstheme="minorHAnsi"/>
                  <w:szCs w:val="32"/>
                  <w:highlight w:val="none"/>
                </w:rPr>
              </m:ctrlPr>
            </m:sSubPr>
            <m:e>
              <m:r>
                <w:rPr>
                  <w:rFonts w:ascii="DejaVu Math TeX Gyre" w:hAnsi="DejaVu Math TeX Gyre" w:cstheme="minorHAnsi"/>
                  <w:szCs w:val="32"/>
                  <w:highlight w:val="none"/>
                </w:rPr>
                <m:t>NR</m:t>
              </m:r>
              <m:ctrlPr>
                <w:rPr>
                  <w:rFonts w:ascii="DejaVu Math TeX Gyre" w:hAnsi="DejaVu Math TeX Gyre" w:cstheme="minorHAnsi"/>
                  <w:szCs w:val="32"/>
                  <w:highlight w:val="none"/>
                </w:rPr>
              </m:ctrlPr>
            </m:e>
            <m:sub>
              <m:r>
                <w:rPr>
                  <w:rFonts w:ascii="DejaVu Math TeX Gyre" w:hAnsi="DejaVu Math TeX Gyre" w:cstheme="minorHAnsi"/>
                  <w:szCs w:val="32"/>
                  <w:highlight w:val="none"/>
                </w:rPr>
                <m:t>min</m:t>
              </m:r>
              <m:ctrlPr>
                <w:rPr>
                  <w:rFonts w:ascii="DejaVu Math TeX Gyre" w:hAnsi="DejaVu Math TeX Gyre" w:cstheme="minorHAnsi"/>
                  <w:szCs w:val="32"/>
                  <w:highlight w:val="none"/>
                </w:rPr>
              </m:ctrlPr>
            </m:sub>
          </m:sSub>
          <m:r>
            <m:rPr>
              <m:sty m:val="p"/>
            </m:rPr>
            <w:rPr>
              <w:rFonts w:ascii="DejaVu Math TeX Gyre" w:hAnsi="DejaVu Math TeX Gyre" w:cstheme="minorHAnsi"/>
              <w:szCs w:val="32"/>
              <w:highlight w:val="none"/>
            </w:rPr>
            <m:t>+</m:t>
          </m:r>
          <m:sSub>
            <m:sSubPr>
              <m:ctrlPr>
                <w:rPr>
                  <w:rFonts w:ascii="DejaVu Math TeX Gyre" w:hAnsi="DejaVu Math TeX Gyre" w:cstheme="minorHAnsi"/>
                  <w:szCs w:val="32"/>
                  <w:highlight w:val="none"/>
                </w:rPr>
              </m:ctrlPr>
            </m:sSubPr>
            <m:e>
              <m:r>
                <w:rPr>
                  <w:rFonts w:ascii="DejaVu Math TeX Gyre" w:hAnsi="DejaVu Math TeX Gyre" w:cstheme="minorHAnsi"/>
                  <w:szCs w:val="32"/>
                  <w:highlight w:val="none"/>
                </w:rPr>
                <m:t>AICR</m:t>
              </m:r>
              <m:ctrlPr>
                <w:rPr>
                  <w:rFonts w:ascii="DejaVu Math TeX Gyre" w:hAnsi="DejaVu Math TeX Gyre" w:cstheme="minorHAnsi"/>
                  <w:szCs w:val="32"/>
                  <w:highlight w:val="none"/>
                </w:rPr>
              </m:ctrlPr>
            </m:e>
            <m:sub>
              <m:r>
                <w:rPr>
                  <w:rFonts w:ascii="DejaVu Math TeX Gyre" w:hAnsi="DejaVu Math TeX Gyre" w:cstheme="minorHAnsi"/>
                  <w:szCs w:val="32"/>
                  <w:highlight w:val="none"/>
                </w:rPr>
                <m:t>min</m:t>
              </m:r>
              <m:ctrlPr>
                <w:rPr>
                  <w:rFonts w:ascii="DejaVu Math TeX Gyre" w:hAnsi="DejaVu Math TeX Gyre" w:cstheme="minorHAnsi"/>
                  <w:szCs w:val="32"/>
                  <w:highlight w:val="none"/>
                </w:rPr>
              </m:ctrlPr>
            </m:sub>
          </m:sSub>
          <m:r>
            <m:rPr>
              <m:sty m:val="p"/>
            </m:rPr>
            <w:rPr>
              <w:rFonts w:ascii="DejaVu Math TeX Gyre" w:hAnsi="DejaVu Math TeX Gyre" w:cstheme="minorHAnsi"/>
              <w:szCs w:val="32"/>
              <w:highlight w:val="none"/>
            </w:rPr>
            <m:t>+</m:t>
          </m:r>
          <m:sSub>
            <m:sSubPr>
              <m:ctrlPr>
                <w:rPr>
                  <w:rFonts w:ascii="DejaVu Math TeX Gyre" w:hAnsi="DejaVu Math TeX Gyre" w:cstheme="minorHAnsi"/>
                  <w:szCs w:val="32"/>
                  <w:highlight w:val="none"/>
                </w:rPr>
              </m:ctrlPr>
            </m:sSubPr>
            <m:e>
              <m:r>
                <w:rPr>
                  <w:rFonts w:ascii="DejaVu Math TeX Gyre" w:hAnsi="DejaVu Math TeX Gyre" w:cstheme="minorHAnsi"/>
                  <w:szCs w:val="32"/>
                  <w:highlight w:val="none"/>
                </w:rPr>
                <m:t>NA</m:t>
              </m:r>
              <m:ctrlPr>
                <w:rPr>
                  <w:rFonts w:ascii="DejaVu Math TeX Gyre" w:hAnsi="DejaVu Math TeX Gyre" w:cstheme="minorHAnsi"/>
                  <w:szCs w:val="32"/>
                  <w:highlight w:val="none"/>
                </w:rPr>
              </m:ctrlPr>
            </m:e>
            <m:sub>
              <m:r>
                <w:rPr>
                  <w:rFonts w:ascii="DejaVu Math TeX Gyre" w:hAnsi="DejaVu Math TeX Gyre" w:cstheme="minorHAnsi"/>
                  <w:szCs w:val="32"/>
                  <w:highlight w:val="none"/>
                </w:rPr>
                <m:t>min</m:t>
              </m:r>
              <m:ctrlPr>
                <w:rPr>
                  <w:rFonts w:ascii="DejaVu Math TeX Gyre" w:hAnsi="DejaVu Math TeX Gyre" w:cstheme="minorHAnsi"/>
                  <w:szCs w:val="32"/>
                  <w:highlight w:val="none"/>
                </w:rPr>
              </m:ctrlPr>
            </m:sub>
          </m:sSub>
        </m:oMath>
      </m:oMathPara>
    </w:p>
    <w:p>
      <w:pPr>
        <w:spacing w:line="360" w:lineRule="auto"/>
        <w:ind w:left="640" w:leftChars="200" w:firstLine="640"/>
        <w:rPr>
          <w:highlight w:val="none"/>
        </w:rPr>
      </w:pPr>
      <m:oMathPara>
        <m:oMathParaPr>
          <m:jc m:val="left"/>
        </m:oMathParaPr>
        <m:oMath>
          <m:r>
            <m:rPr>
              <m:sty m:val="p"/>
            </m:rPr>
            <w:rPr>
              <w:rFonts w:ascii="DejaVu Math TeX Gyre" w:hAnsi="DejaVu Math TeX Gyre" w:cstheme="minorHAnsi"/>
              <w:highlight w:val="none"/>
            </w:rPr>
            <m:t>系数法下沉淀资金=</m:t>
          </m:r>
          <m:sSub>
            <m:sSubPr>
              <m:ctrlPr>
                <w:rPr>
                  <w:rFonts w:ascii="DejaVu Math TeX Gyre" w:hAnsi="DejaVu Math TeX Gyre" w:cstheme="minorHAnsi"/>
                  <w:i/>
                  <w:highlight w:val="none"/>
                </w:rPr>
              </m:ctrlPr>
            </m:sSubPr>
            <m:e>
              <m:r>
                <w:rPr>
                  <w:rFonts w:ascii="DejaVu Math TeX Gyre" w:hAnsi="DejaVu Math TeX Gyre" w:cstheme="minorHAnsi"/>
                  <w:highlight w:val="none"/>
                </w:rPr>
                <m:t>P</m:t>
              </m:r>
              <m:ctrlPr>
                <w:rPr>
                  <w:rFonts w:ascii="DejaVu Math TeX Gyre" w:hAnsi="DejaVu Math TeX Gyre" w:cstheme="minorHAnsi"/>
                  <w:i/>
                  <w:highlight w:val="none"/>
                </w:rPr>
              </m:ctrlPr>
            </m:e>
            <m:sub>
              <m:r>
                <w:rPr>
                  <w:rFonts w:ascii="DejaVu Math TeX Gyre" w:hAnsi="DejaVu Math TeX Gyre" w:cstheme="minorHAnsi"/>
                  <w:highlight w:val="none"/>
                </w:rPr>
                <m:t>0</m:t>
              </m:r>
              <m:ctrlPr>
                <w:rPr>
                  <w:rFonts w:ascii="DejaVu Math TeX Gyre" w:hAnsi="DejaVu Math TeX Gyre" w:cstheme="minorHAnsi"/>
                  <w:i/>
                  <w:highlight w:val="none"/>
                </w:rPr>
              </m:ctrlPr>
            </m:sub>
          </m:sSub>
          <m:r>
            <w:rPr>
              <w:rFonts w:ascii="DejaVu Math TeX Gyre" w:hAnsi="DejaVu Math TeX Gyre" w:cstheme="minorHAnsi"/>
              <w:highlight w:val="none"/>
            </w:rPr>
            <m:t>×</m:t>
          </m:r>
          <m:sSub>
            <m:sSubPr>
              <m:ctrlPr>
                <w:rPr>
                  <w:rFonts w:ascii="DejaVu Math TeX Gyre" w:hAnsi="DejaVu Math TeX Gyre" w:cstheme="minorHAnsi"/>
                  <w:i/>
                  <w:highlight w:val="none"/>
                </w:rPr>
              </m:ctrlPr>
            </m:sSubPr>
            <m:e>
              <m:r>
                <w:rPr>
                  <w:rFonts w:ascii="DejaVu Math TeX Gyre" w:hAnsi="DejaVu Math TeX Gyre" w:cstheme="minorHAnsi"/>
                  <w:highlight w:val="none"/>
                </w:rPr>
                <m:t>PRR</m:t>
              </m:r>
              <m:ctrlPr>
                <w:rPr>
                  <w:rFonts w:ascii="DejaVu Math TeX Gyre" w:hAnsi="DejaVu Math TeX Gyre" w:cstheme="minorHAnsi"/>
                  <w:i/>
                  <w:highlight w:val="none"/>
                </w:rPr>
              </m:ctrlPr>
            </m:e>
            <m:sub>
              <m:r>
                <w:rPr>
                  <w:rFonts w:ascii="DejaVu Math TeX Gyre" w:hAnsi="DejaVu Math TeX Gyre" w:cstheme="minorHAnsi"/>
                  <w:highlight w:val="none"/>
                </w:rPr>
                <m:t>0</m:t>
              </m:r>
              <m:ctrlPr>
                <w:rPr>
                  <w:rFonts w:ascii="DejaVu Math TeX Gyre" w:hAnsi="DejaVu Math TeX Gyre" w:cstheme="minorHAnsi"/>
                  <w:i/>
                  <w:highlight w:val="none"/>
                </w:rPr>
              </m:ctrlPr>
            </m:sub>
          </m:sSub>
          <m:r>
            <w:rPr>
              <w:rFonts w:ascii="DejaVu Math TeX Gyre" w:hAnsi="DejaVu Math TeX Gyre" w:cstheme="minorHAnsi"/>
              <w:highlight w:val="none"/>
            </w:rPr>
            <m:t>×</m:t>
          </m:r>
          <m:r>
            <m:rPr>
              <m:sty m:val="p"/>
            </m:rPr>
            <w:rPr>
              <w:rFonts w:ascii="DejaVu Math TeX Gyre" w:hAnsi="DejaVu Math TeX Gyre" w:cstheme="minorHAnsi"/>
              <w:highlight w:val="none"/>
            </w:rPr>
            <m:t>（1</m:t>
          </m:r>
          <m:r>
            <m:rPr>
              <m:sty m:val="p"/>
            </m:rPr>
            <w:rPr>
              <w:rFonts w:ascii="DejaVu Math TeX Gyre" w:hAnsi="DejaVu Math TeX Gyre" w:eastAsia="微软雅黑" w:cstheme="minorHAnsi"/>
              <w:highlight w:val="none"/>
            </w:rPr>
            <m:t>−</m:t>
          </m:r>
          <m:sSub>
            <m:sSubPr>
              <m:ctrlPr>
                <w:rPr>
                  <w:rFonts w:ascii="DejaVu Math TeX Gyre" w:hAnsi="DejaVu Math TeX Gyre" w:cstheme="minorHAnsi"/>
                  <w:i/>
                  <w:highlight w:val="none"/>
                </w:rPr>
              </m:ctrlPr>
            </m:sSubPr>
            <m:e>
              <m:r>
                <w:rPr>
                  <w:rFonts w:ascii="DejaVu Math TeX Gyre" w:hAnsi="DejaVu Math TeX Gyre" w:cstheme="minorHAnsi"/>
                  <w:highlight w:val="none"/>
                </w:rPr>
                <m:t>CCR</m:t>
              </m:r>
              <m:ctrlPr>
                <w:rPr>
                  <w:rFonts w:ascii="DejaVu Math TeX Gyre" w:hAnsi="DejaVu Math TeX Gyre" w:cstheme="minorHAnsi"/>
                  <w:i/>
                  <w:highlight w:val="none"/>
                </w:rPr>
              </m:ctrlPr>
            </m:e>
            <m:sub>
              <m:r>
                <w:rPr>
                  <w:rFonts w:ascii="DejaVu Math TeX Gyre" w:hAnsi="DejaVu Math TeX Gyre" w:cstheme="minorHAnsi"/>
                  <w:highlight w:val="none"/>
                </w:rPr>
                <m:t>0</m:t>
              </m:r>
              <m:ctrlPr>
                <w:rPr>
                  <w:rFonts w:ascii="DejaVu Math TeX Gyre" w:hAnsi="DejaVu Math TeX Gyre" w:cstheme="minorHAnsi"/>
                  <w:i/>
                  <w:highlight w:val="none"/>
                </w:rPr>
              </m:ctrlPr>
            </m:sub>
          </m:sSub>
          <m:r>
            <m:rPr>
              <m:sty m:val="p"/>
            </m:rPr>
            <w:rPr>
              <w:rFonts w:ascii="DejaVu Math TeX Gyre" w:hAnsi="DejaVu Math TeX Gyre" w:cstheme="minorHAnsi"/>
              <w:highlight w:val="none"/>
            </w:rPr>
            <m:t>）</m:t>
          </m:r>
          <m:r>
            <w:rPr>
              <w:rFonts w:ascii="DejaVu Math TeX Gyre" w:hAnsi="DejaVu Math TeX Gyre" w:cstheme="minorHAnsi"/>
              <w:highlight w:val="none"/>
            </w:rPr>
            <m:t>×α+</m:t>
          </m:r>
          <m:sSub>
            <m:sSubPr>
              <m:ctrlPr>
                <w:rPr>
                  <w:rFonts w:ascii="DejaVu Math TeX Gyre" w:hAnsi="DejaVu Math TeX Gyre" w:cstheme="minorHAnsi"/>
                  <w:i/>
                  <w:highlight w:val="none"/>
                </w:rPr>
              </m:ctrlPr>
            </m:sSubPr>
            <m:e>
              <m:r>
                <w:rPr>
                  <w:rFonts w:ascii="DejaVu Math TeX Gyre" w:hAnsi="DejaVu Math TeX Gyre" w:cstheme="minorHAnsi"/>
                  <w:highlight w:val="none"/>
                </w:rPr>
                <m:t>NA</m:t>
              </m:r>
              <m:ctrlPr>
                <w:rPr>
                  <w:rFonts w:ascii="DejaVu Math TeX Gyre" w:hAnsi="DejaVu Math TeX Gyre" w:cstheme="minorHAnsi"/>
                  <w:i/>
                  <w:highlight w:val="none"/>
                </w:rPr>
              </m:ctrlPr>
            </m:e>
            <m:sub>
              <m:r>
                <w:rPr>
                  <w:rFonts w:ascii="DejaVu Math TeX Gyre" w:hAnsi="DejaVu Math TeX Gyre" w:cstheme="minorHAnsi"/>
                  <w:highlight w:val="none"/>
                </w:rPr>
                <m:t>0</m:t>
              </m:r>
              <m:ctrlPr>
                <w:rPr>
                  <w:rFonts w:ascii="DejaVu Math TeX Gyre" w:hAnsi="DejaVu Math TeX Gyre" w:cstheme="minorHAnsi"/>
                  <w:i/>
                  <w:highlight w:val="none"/>
                </w:rPr>
              </m:ctrlPr>
            </m:sub>
          </m:sSub>
          <m:r>
            <m:rPr>
              <m:sty m:val="p"/>
            </m:rPr>
            <w:rPr>
              <w:rFonts w:ascii="DejaVu Math TeX Gyre" w:hAnsi="DejaVu Math TeX Gyre" w:cstheme="minorHAnsi"/>
              <w:szCs w:val="32"/>
              <w:highlight w:val="none"/>
            </w:rPr>
            <w:br w:type="textWrapping"/>
          </m:r>
        </m:oMath>
      </m:oMathPara>
      <w:r>
        <w:rPr>
          <w:rFonts w:hint="eastAsia"/>
          <w:highlight w:val="none"/>
        </w:rPr>
        <w:t>其中：</w:t>
      </w:r>
    </w:p>
    <w:p>
      <w:pPr>
        <w:spacing w:line="360" w:lineRule="auto"/>
        <w:ind w:left="640" w:leftChars="200" w:firstLine="560"/>
        <w:rPr>
          <w:rFonts w:ascii="仿宋_GB2312" w:hAnsi="仿宋"/>
          <w:highlight w:val="none"/>
        </w:rPr>
      </w:pPr>
      <m:oMathPara>
        <m:oMathParaPr>
          <m:jc m:val="left"/>
        </m:oMathParaPr>
        <m:oMath>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w:rPr>
                  <w:rFonts w:hint="eastAsia" w:ascii="DejaVu Math TeX Gyre" w:hAnsi="DejaVu Math TeX Gyre"/>
                  <w:sz w:val="28"/>
                  <w:highlight w:val="none"/>
                </w:rPr>
                <m:t>min</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r>
            <w:rPr>
              <w:rFonts w:hint="eastAsia" w:ascii="DejaVu Math TeX Gyre" w:hAnsi="DejaVu Math TeX Gyre"/>
              <w:sz w:val="28"/>
              <w:highlight w:val="none"/>
            </w:rPr>
            <m:t>Min</m:t>
          </m:r>
          <m:d>
            <m:dPr>
              <m:begChr m:val="（"/>
              <m:endChr m:val="）"/>
              <m:ctrlPr>
                <w:rPr>
                  <w:rFonts w:hint="eastAsia" w:ascii="DejaVu Math TeX Gyre" w:hAnsi="DejaVu Math TeX Gyre"/>
                  <w:sz w:val="28"/>
                  <w:highlight w:val="none"/>
                </w:rPr>
              </m:ctrlPr>
            </m:dPr>
            <m:e>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0</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变化幅度1</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变化幅度</m:t>
                  </m:r>
                  <m:r>
                    <m:rPr>
                      <m:sty m:val="p"/>
                    </m:rPr>
                    <w:rPr>
                      <w:rFonts w:ascii="DejaVu Math TeX Gyre" w:hAnsi="DejaVu Math TeX Gyre"/>
                      <w:sz w:val="28"/>
                      <w:highlight w:val="none"/>
                    </w:rPr>
                    <m:t>2</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变化幅度</m:t>
                  </m:r>
                  <m:r>
                    <m:rPr>
                      <m:sty m:val="p"/>
                    </m:rPr>
                    <w:rPr>
                      <w:rFonts w:ascii="DejaVu Math TeX Gyre" w:hAnsi="DejaVu Math TeX Gyre"/>
                      <w:sz w:val="28"/>
                      <w:highlight w:val="none"/>
                    </w:rPr>
                    <m:t>n</m:t>
                  </m:r>
                  <m:ctrlPr>
                    <w:rPr>
                      <w:rFonts w:hint="eastAsia" w:ascii="DejaVu Math TeX Gyre" w:hAnsi="DejaVu Math TeX Gyre"/>
                      <w:sz w:val="28"/>
                      <w:highlight w:val="none"/>
                    </w:rPr>
                  </m:ctrlPr>
                </m:sub>
              </m:sSub>
              <m:ctrlPr>
                <w:rPr>
                  <w:rFonts w:hint="eastAsia" w:ascii="DejaVu Math TeX Gyre" w:hAnsi="DejaVu Math TeX Gyre"/>
                  <w:sz w:val="28"/>
                  <w:highlight w:val="none"/>
                </w:rPr>
              </m:ctrlPr>
            </m:e>
          </m:d>
        </m:oMath>
      </m:oMathPara>
    </w:p>
    <w:p>
      <w:pPr>
        <w:spacing w:line="360" w:lineRule="auto"/>
        <w:ind w:left="640" w:leftChars="200" w:firstLine="560"/>
        <w:rPr>
          <w:rFonts w:ascii="仿宋_GB2312" w:hAnsi="仿宋"/>
          <w:sz w:val="28"/>
          <w:highlight w:val="none"/>
        </w:rPr>
      </w:pPr>
      <m:oMathPara>
        <m:oMathParaPr>
          <m:jc m:val="left"/>
        </m:oMathParaPr>
        <m:oMath>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变化幅度</m:t>
              </m:r>
              <m:r>
                <w:rPr>
                  <w:rFonts w:hint="eastAsia" w:ascii="DejaVu Math TeX Gyre" w:hAnsi="DejaVu Math TeX Gyre"/>
                  <w:sz w:val="28"/>
                  <w:highlight w:val="none"/>
                </w:rPr>
                <m:t>i</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r>
            <w:rPr>
              <w:rFonts w:hint="eastAsia" w:ascii="DejaVu Math TeX Gyre" w:hAnsi="DejaVu Math TeX Gyre"/>
              <w:sz w:val="28"/>
              <w:highlight w:val="none"/>
            </w:rPr>
            <m:t>Min</m:t>
          </m:r>
          <m:d>
            <m:dPr>
              <m:begChr m:val="（"/>
              <m:endChr m:val="）"/>
              <m:ctrlPr>
                <w:rPr>
                  <w:rFonts w:hint="eastAsia" w:ascii="DejaVu Math TeX Gyre" w:hAnsi="DejaVu Math TeX Gyre"/>
                  <w:sz w:val="28"/>
                  <w:highlight w:val="none"/>
                </w:rPr>
              </m:ctrlPr>
            </m:dPr>
            <m:e>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1</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2</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NR</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3</m:t>
                  </m:r>
                  <m:ctrlPr>
                    <w:rPr>
                      <w:rFonts w:hint="eastAsia" w:ascii="DejaVu Math TeX Gyre" w:hAnsi="DejaVu Math TeX Gyre"/>
                      <w:sz w:val="28"/>
                      <w:highlight w:val="none"/>
                    </w:rPr>
                  </m:ctrlPr>
                </m:sub>
              </m:sSub>
              <m:ctrlPr>
                <w:rPr>
                  <w:rFonts w:hint="eastAsia" w:ascii="DejaVu Math TeX Gyre" w:hAnsi="DejaVu Math TeX Gyre"/>
                  <w:sz w:val="28"/>
                  <w:highlight w:val="none"/>
                </w:rPr>
              </m:ctrlPr>
            </m:e>
          </m:d>
        </m:oMath>
      </m:oMathPara>
    </w:p>
    <w:p>
      <w:pPr>
        <w:spacing w:line="360" w:lineRule="auto"/>
        <w:ind w:left="640" w:leftChars="200" w:firstLine="560"/>
        <w:rPr>
          <w:sz w:val="28"/>
          <w:szCs w:val="30"/>
          <w:highlight w:val="none"/>
        </w:rPr>
      </w:pPr>
      <m:oMathPara>
        <m:oMathParaPr>
          <m:jc m:val="left"/>
        </m:oMathParaPr>
        <m:oMath>
          <m:sSub>
            <m:sSubPr>
              <m:ctrlPr>
                <w:rPr>
                  <w:rFonts w:hint="eastAsia" w:ascii="DejaVu Math TeX Gyre" w:hAnsi="DejaVu Math TeX Gyre"/>
                  <w:sz w:val="28"/>
                  <w:szCs w:val="30"/>
                  <w:highlight w:val="none"/>
                </w:rPr>
              </m:ctrlPr>
            </m:sSubPr>
            <m:e>
              <m:r>
                <w:rPr>
                  <w:rFonts w:hint="eastAsia" w:ascii="DejaVu Math TeX Gyre" w:hAnsi="DejaVu Math TeX Gyre"/>
                  <w:sz w:val="28"/>
                  <w:szCs w:val="30"/>
                  <w:highlight w:val="none"/>
                </w:rPr>
                <m:t>AICR</m:t>
              </m:r>
              <m:ctrlPr>
                <w:rPr>
                  <w:rFonts w:hint="eastAsia" w:ascii="DejaVu Math TeX Gyre" w:hAnsi="DejaVu Math TeX Gyre"/>
                  <w:sz w:val="28"/>
                  <w:szCs w:val="30"/>
                  <w:highlight w:val="none"/>
                </w:rPr>
              </m:ctrlPr>
            </m:e>
            <m:sub>
              <m:r>
                <w:rPr>
                  <w:rFonts w:hint="eastAsia" w:ascii="DejaVu Math TeX Gyre" w:hAnsi="DejaVu Math TeX Gyre"/>
                  <w:sz w:val="28"/>
                  <w:szCs w:val="30"/>
                  <w:highlight w:val="none"/>
                </w:rPr>
                <m:t>min</m:t>
              </m:r>
              <m:ctrlPr>
                <w:rPr>
                  <w:rFonts w:hint="eastAsia" w:ascii="DejaVu Math TeX Gyre" w:hAnsi="DejaVu Math TeX Gyre"/>
                  <w:sz w:val="28"/>
                  <w:szCs w:val="30"/>
                  <w:highlight w:val="none"/>
                </w:rPr>
              </m:ctrlPr>
            </m:sub>
          </m:sSub>
          <m:r>
            <m:rPr>
              <m:sty m:val="p"/>
            </m:rPr>
            <w:rPr>
              <w:rFonts w:hint="eastAsia" w:ascii="DejaVu Math TeX Gyre" w:hAnsi="DejaVu Math TeX Gyre"/>
              <w:sz w:val="28"/>
              <w:szCs w:val="30"/>
              <w:highlight w:val="none"/>
            </w:rPr>
            <m:t>=</m:t>
          </m:r>
          <m:r>
            <w:rPr>
              <w:rFonts w:hint="eastAsia" w:ascii="DejaVu Math TeX Gyre" w:hAnsi="DejaVu Math TeX Gyre"/>
              <w:sz w:val="28"/>
              <w:szCs w:val="30"/>
              <w:highlight w:val="none"/>
            </w:rPr>
            <m:t>Min</m:t>
          </m:r>
          <m:d>
            <m:dPr>
              <m:begChr m:val="（"/>
              <m:endChr m:val="）"/>
              <m:ctrlPr>
                <w:rPr>
                  <w:rFonts w:hint="eastAsia" w:ascii="DejaVu Math TeX Gyre" w:hAnsi="DejaVu Math TeX Gyre"/>
                  <w:sz w:val="28"/>
                  <w:szCs w:val="30"/>
                  <w:highlight w:val="none"/>
                </w:rPr>
              </m:ctrlPr>
            </m:dPr>
            <m:e>
              <m:sSub>
                <m:sSubPr>
                  <m:ctrlPr>
                    <w:rPr>
                      <w:rFonts w:hint="eastAsia" w:ascii="DejaVu Math TeX Gyre" w:hAnsi="DejaVu Math TeX Gyre"/>
                      <w:sz w:val="28"/>
                      <w:highlight w:val="none"/>
                    </w:rPr>
                  </m:ctrlPr>
                </m:sSubPr>
                <m:e>
                  <m:sSub>
                    <m:sSubPr>
                      <m:ctrlPr>
                        <w:rPr>
                          <w:rFonts w:hint="eastAsia" w:ascii="DejaVu Math TeX Gyre" w:hAnsi="DejaVu Math TeX Gyre"/>
                          <w:sz w:val="28"/>
                          <w:highlight w:val="none"/>
                        </w:rPr>
                      </m:ctrlPr>
                    </m:sSubPr>
                    <m:e>
                      <m:r>
                        <w:rPr>
                          <w:rFonts w:ascii="DejaVu Math TeX Gyre" w:hAnsi="DejaVu Math TeX Gyre"/>
                          <w:sz w:val="28"/>
                          <w:highlight w:val="none"/>
                        </w:rPr>
                        <m:t>AICR</m:t>
                      </m:r>
                      <m:ctrlPr>
                        <w:rPr>
                          <w:rFonts w:hint="eastAsia" w:ascii="DejaVu Math TeX Gyre" w:hAnsi="DejaVu Math TeX Gyre"/>
                          <w:sz w:val="28"/>
                          <w:highlight w:val="none"/>
                        </w:rPr>
                      </m:ctrlPr>
                    </m:e>
                    <m:sub>
                      <m:r>
                        <m:rPr>
                          <m:sty m:val="p"/>
                        </m:rPr>
                        <w:rPr>
                          <w:rFonts w:ascii="DejaVu Math TeX Gyre" w:hAnsi="DejaVu Math TeX Gyre"/>
                          <w:sz w:val="28"/>
                          <w:highlight w:val="none"/>
                        </w:rPr>
                        <m:t>0</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r>
                    <w:rPr>
                      <w:rFonts w:ascii="DejaVu Math TeX Gyre" w:hAnsi="DejaVu Math TeX Gyre"/>
                      <w:sz w:val="28"/>
                      <w:highlight w:val="none"/>
                    </w:rPr>
                    <m:t>AICR</m:t>
                  </m:r>
                  <m:ctrlPr>
                    <w:rPr>
                      <w:rFonts w:hint="eastAsia" w:ascii="DejaVu Math TeX Gyre" w:hAnsi="DejaVu Math TeX Gyre"/>
                      <w:sz w:val="28"/>
                      <w:highlight w:val="none"/>
                    </w:rPr>
                  </m:ctrlPr>
                </m:e>
                <m:sub>
                  <m:eqArr>
                    <m:eqArrPr>
                      <m:ctrlPr>
                        <w:rPr>
                          <w:rFonts w:hint="eastAsia" w:ascii="DejaVu Math TeX Gyre" w:hAnsi="DejaVu Math TeX Gyre"/>
                          <w:sz w:val="28"/>
                          <w:highlight w:val="none"/>
                        </w:rPr>
                      </m:ctrlPr>
                    </m:eqArrPr>
                    <m:e>
                      <m:r>
                        <m:rPr>
                          <m:sty m:val="p"/>
                        </m:rPr>
                        <w:rPr>
                          <w:rFonts w:hint="eastAsia" w:ascii="DejaVu Math TeX Gyre" w:hAnsi="DejaVu Math TeX Gyre"/>
                          <w:sz w:val="28"/>
                          <w:highlight w:val="none"/>
                        </w:rPr>
                        <m:t>变化</m:t>
                      </m:r>
                      <m:ctrlPr>
                        <w:rPr>
                          <w:rFonts w:hint="eastAsia" w:ascii="DejaVu Math TeX Gyre" w:hAnsi="DejaVu Math TeX Gyre"/>
                          <w:sz w:val="28"/>
                          <w:highlight w:val="none"/>
                        </w:rPr>
                      </m:ctrlPr>
                    </m:e>
                    <m:e>
                      <m:r>
                        <m:rPr>
                          <m:sty m:val="p"/>
                        </m:rPr>
                        <w:rPr>
                          <w:rFonts w:hint="eastAsia" w:ascii="DejaVu Math TeX Gyre" w:hAnsi="DejaVu Math TeX Gyre"/>
                          <w:sz w:val="28"/>
                          <w:highlight w:val="none"/>
                        </w:rPr>
                        <m:t>幅度</m:t>
                      </m:r>
                      <m:r>
                        <m:rPr>
                          <m:sty m:val="p"/>
                        </m:rPr>
                        <w:rPr>
                          <w:rFonts w:ascii="DejaVu Math TeX Gyre" w:hAnsi="DejaVu Math TeX Gyre"/>
                          <w:sz w:val="28"/>
                          <w:highlight w:val="none"/>
                        </w:rPr>
                        <m:t>1</m:t>
                      </m:r>
                      <m:ctrlPr>
                        <w:rPr>
                          <w:rFonts w:ascii="DejaVu Math TeX Gyre" w:hAnsi="DejaVu Math TeX Gyre"/>
                          <w:sz w:val="28"/>
                          <w:highlight w:val="none"/>
                        </w:rPr>
                      </m:ctrlPr>
                    </m:e>
                  </m:eqAr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ascii="DejaVu Math TeX Gyre" w:hAnsi="DejaVu Math TeX Gyre"/>
                      <w:sz w:val="28"/>
                      <w:highlight w:val="none"/>
                    </w:rPr>
                    <m:t>AICR</m:t>
                  </m:r>
                  <m:ctrlPr>
                    <w:rPr>
                      <w:rFonts w:hint="eastAsia" w:ascii="DejaVu Math TeX Gyre" w:hAnsi="DejaVu Math TeX Gyre"/>
                      <w:sz w:val="28"/>
                      <w:highlight w:val="none"/>
                    </w:rPr>
                  </m:ctrlPr>
                </m:e>
                <m:sub>
                  <m:eqArr>
                    <m:eqArrPr>
                      <m:ctrlPr>
                        <w:rPr>
                          <w:rFonts w:hint="eastAsia" w:ascii="DejaVu Math TeX Gyre" w:hAnsi="DejaVu Math TeX Gyre"/>
                          <w:sz w:val="28"/>
                          <w:highlight w:val="none"/>
                        </w:rPr>
                      </m:ctrlPr>
                    </m:eqArrPr>
                    <m:e>
                      <m:r>
                        <m:rPr>
                          <m:sty m:val="p"/>
                        </m:rPr>
                        <w:rPr>
                          <w:rFonts w:hint="eastAsia" w:ascii="DejaVu Math TeX Gyre" w:hAnsi="DejaVu Math TeX Gyre"/>
                          <w:sz w:val="28"/>
                          <w:highlight w:val="none"/>
                        </w:rPr>
                        <m:t>变化</m:t>
                      </m:r>
                      <m:ctrlPr>
                        <w:rPr>
                          <w:rFonts w:hint="eastAsia" w:ascii="DejaVu Math TeX Gyre" w:hAnsi="DejaVu Math TeX Gyre"/>
                          <w:sz w:val="28"/>
                          <w:highlight w:val="none"/>
                        </w:rPr>
                      </m:ctrlPr>
                    </m:e>
                    <m:e>
                      <m:r>
                        <m:rPr>
                          <m:sty m:val="p"/>
                        </m:rPr>
                        <w:rPr>
                          <w:rFonts w:hint="eastAsia" w:ascii="DejaVu Math TeX Gyre" w:hAnsi="DejaVu Math TeX Gyre"/>
                          <w:sz w:val="28"/>
                          <w:highlight w:val="none"/>
                        </w:rPr>
                        <m:t>幅度</m:t>
                      </m:r>
                      <m:r>
                        <m:rPr>
                          <m:sty m:val="p"/>
                        </m:rPr>
                        <w:rPr>
                          <w:rFonts w:ascii="DejaVu Math TeX Gyre" w:hAnsi="DejaVu Math TeX Gyre"/>
                          <w:sz w:val="28"/>
                          <w:highlight w:val="none"/>
                        </w:rPr>
                        <m:t>2</m:t>
                      </m:r>
                      <m:ctrlPr>
                        <w:rPr>
                          <w:rFonts w:ascii="DejaVu Math TeX Gyre" w:hAnsi="DejaVu Math TeX Gyre"/>
                          <w:sz w:val="28"/>
                          <w:highlight w:val="none"/>
                        </w:rPr>
                      </m:ctrlPr>
                    </m:e>
                  </m:eqArr>
                  <m:ctrlPr>
                    <w:rPr>
                      <w:rFonts w:hint="eastAsia" w:ascii="DejaVu Math TeX Gyre" w:hAnsi="DejaVu Math TeX Gyre"/>
                      <w:sz w:val="28"/>
                      <w:highlight w:val="none"/>
                    </w:rPr>
                  </m:ctrlPr>
                </m:sub>
              </m:sSub>
              <m:r>
                <m:rPr>
                  <m:sty m:val="p"/>
                </m:rPr>
                <w:rPr>
                  <w:rFonts w:hint="eastAsia" w:ascii="DejaVu Math TeX Gyre" w:hAnsi="DejaVu Math TeX Gyre"/>
                  <w:sz w:val="28"/>
                  <w:szCs w:val="30"/>
                  <w:highlight w:val="none"/>
                </w:rPr>
                <m:t>，…，</m:t>
              </m:r>
              <m:sSub>
                <m:sSubPr>
                  <m:ctrlPr>
                    <w:rPr>
                      <w:rFonts w:hint="eastAsia" w:ascii="DejaVu Math TeX Gyre" w:hAnsi="DejaVu Math TeX Gyre"/>
                      <w:sz w:val="28"/>
                      <w:highlight w:val="none"/>
                    </w:rPr>
                  </m:ctrlPr>
                </m:sSubPr>
                <m:e>
                  <m:r>
                    <w:rPr>
                      <w:rFonts w:ascii="DejaVu Math TeX Gyre" w:hAnsi="DejaVu Math TeX Gyre"/>
                      <w:sz w:val="28"/>
                      <w:highlight w:val="none"/>
                    </w:rPr>
                    <m:t>AICR</m:t>
                  </m:r>
                  <m:ctrlPr>
                    <w:rPr>
                      <w:rFonts w:hint="eastAsia" w:ascii="DejaVu Math TeX Gyre" w:hAnsi="DejaVu Math TeX Gyre"/>
                      <w:sz w:val="28"/>
                      <w:highlight w:val="none"/>
                    </w:rPr>
                  </m:ctrlPr>
                </m:e>
                <m:sub>
                  <m:eqArr>
                    <m:eqArrPr>
                      <m:ctrlPr>
                        <w:rPr>
                          <w:rFonts w:hint="eastAsia" w:ascii="DejaVu Math TeX Gyre" w:hAnsi="DejaVu Math TeX Gyre"/>
                          <w:sz w:val="28"/>
                          <w:highlight w:val="none"/>
                        </w:rPr>
                      </m:ctrlPr>
                    </m:eqArrPr>
                    <m:e>
                      <m:r>
                        <m:rPr>
                          <m:sty m:val="p"/>
                        </m:rPr>
                        <w:rPr>
                          <w:rFonts w:hint="eastAsia" w:ascii="DejaVu Math TeX Gyre" w:hAnsi="DejaVu Math TeX Gyre"/>
                          <w:sz w:val="28"/>
                          <w:highlight w:val="none"/>
                        </w:rPr>
                        <m:t>变化</m:t>
                      </m:r>
                      <m:ctrlPr>
                        <w:rPr>
                          <w:rFonts w:hint="eastAsia" w:ascii="DejaVu Math TeX Gyre" w:hAnsi="DejaVu Math TeX Gyre"/>
                          <w:sz w:val="28"/>
                          <w:highlight w:val="none"/>
                        </w:rPr>
                      </m:ctrlPr>
                    </m:e>
                    <m:e>
                      <m:r>
                        <m:rPr>
                          <m:sty m:val="p"/>
                        </m:rPr>
                        <w:rPr>
                          <w:rFonts w:hint="eastAsia" w:ascii="DejaVu Math TeX Gyre" w:hAnsi="DejaVu Math TeX Gyre"/>
                          <w:sz w:val="28"/>
                          <w:highlight w:val="none"/>
                        </w:rPr>
                        <m:t>幅度n</m:t>
                      </m:r>
                      <m:ctrlPr>
                        <w:rPr>
                          <w:rFonts w:hint="eastAsia" w:ascii="DejaVu Math TeX Gyre" w:hAnsi="DejaVu Math TeX Gyre"/>
                          <w:sz w:val="28"/>
                          <w:highlight w:val="none"/>
                        </w:rPr>
                      </m:ctrlPr>
                    </m:e>
                  </m:eqArr>
                  <m:ctrlPr>
                    <w:rPr>
                      <w:rFonts w:hint="eastAsia" w:ascii="DejaVu Math TeX Gyre" w:hAnsi="DejaVu Math TeX Gyre"/>
                      <w:sz w:val="28"/>
                      <w:highlight w:val="none"/>
                    </w:rPr>
                  </m:ctrlPr>
                </m:sub>
              </m:sSub>
              <m:ctrlPr>
                <w:rPr>
                  <w:rFonts w:hint="eastAsia" w:ascii="DejaVu Math TeX Gyre" w:hAnsi="DejaVu Math TeX Gyre"/>
                  <w:sz w:val="28"/>
                  <w:szCs w:val="30"/>
                  <w:highlight w:val="none"/>
                </w:rPr>
              </m:ctrlPr>
            </m:e>
          </m:d>
        </m:oMath>
      </m:oMathPara>
    </w:p>
    <w:p>
      <w:pPr>
        <w:spacing w:line="360" w:lineRule="auto"/>
        <w:ind w:left="640" w:leftChars="200" w:firstLine="560"/>
        <w:rPr>
          <w:rFonts w:ascii="Cambria Math" w:hAnsi="Cambria Math"/>
          <w:sz w:val="28"/>
          <w:highlight w:val="none"/>
        </w:rPr>
      </w:pPr>
      <m:oMathPara>
        <m:oMathParaPr>
          <m:jc m:val="left"/>
        </m:oMathParaPr>
        <m:oMath>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AICR</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变化幅度</m:t>
              </m:r>
              <m:r>
                <w:rPr>
                  <w:rFonts w:hint="eastAsia" w:ascii="DejaVu Math TeX Gyre" w:hAnsi="DejaVu Math TeX Gyre"/>
                  <w:sz w:val="28"/>
                  <w:highlight w:val="none"/>
                </w:rPr>
                <m:t>i</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r>
            <w:rPr>
              <w:rFonts w:hint="eastAsia" w:ascii="DejaVu Math TeX Gyre" w:hAnsi="DejaVu Math TeX Gyre"/>
              <w:sz w:val="28"/>
              <w:highlight w:val="none"/>
            </w:rPr>
            <m:t>Min</m:t>
          </m:r>
          <m:d>
            <m:dPr>
              <m:begChr m:val="（"/>
              <m:endChr m:val="）"/>
              <m:ctrlPr>
                <w:rPr>
                  <w:rFonts w:hint="eastAsia" w:ascii="DejaVu Math TeX Gyre" w:hAnsi="DejaVu Math TeX Gyre"/>
                  <w:sz w:val="28"/>
                  <w:highlight w:val="none"/>
                </w:rPr>
              </m:ctrlPr>
            </m:dPr>
            <m:e>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AICR</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1</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AICR</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2</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AICR</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3</m:t>
                  </m:r>
                  <m:ctrlPr>
                    <w:rPr>
                      <w:rFonts w:hint="eastAsia" w:ascii="DejaVu Math TeX Gyre" w:hAnsi="DejaVu Math TeX Gyre"/>
                      <w:sz w:val="28"/>
                      <w:highlight w:val="none"/>
                    </w:rPr>
                  </m:ctrlPr>
                </m:sub>
              </m:sSub>
              <m:ctrlPr>
                <w:rPr>
                  <w:rFonts w:hint="eastAsia" w:ascii="DejaVu Math TeX Gyre" w:hAnsi="DejaVu Math TeX Gyre"/>
                  <w:sz w:val="28"/>
                  <w:highlight w:val="none"/>
                </w:rPr>
              </m:ctrlPr>
            </m:e>
          </m:d>
        </m:oMath>
      </m:oMathPara>
    </w:p>
    <w:p>
      <w:pPr>
        <w:spacing w:line="360" w:lineRule="auto"/>
        <w:ind w:left="640" w:leftChars="200" w:firstLine="560"/>
        <w:rPr>
          <w:rFonts w:ascii="Cambria Math" w:hAnsi="Cambria Math"/>
          <w:sz w:val="30"/>
          <w:szCs w:val="30"/>
          <w:highlight w:val="none"/>
        </w:rPr>
      </w:pPr>
      <m:oMathPara>
        <m:oMathParaPr>
          <m:jc m:val="left"/>
        </m:oMathParaPr>
        <m:oMath>
          <m:sSub>
            <m:sSubPr>
              <m:ctrlPr>
                <w:rPr>
                  <w:rFonts w:hint="eastAsia" w:ascii="DejaVu Math TeX Gyre" w:hAnsi="DejaVu Math TeX Gyre"/>
                  <w:sz w:val="28"/>
                  <w:szCs w:val="30"/>
                  <w:highlight w:val="none"/>
                </w:rPr>
              </m:ctrlPr>
            </m:sSubPr>
            <m:e>
              <m:r>
                <w:rPr>
                  <w:rFonts w:hint="eastAsia" w:ascii="DejaVu Math TeX Gyre" w:hAnsi="DejaVu Math TeX Gyre"/>
                  <w:sz w:val="28"/>
                  <w:szCs w:val="30"/>
                  <w:highlight w:val="none"/>
                </w:rPr>
                <m:t>NA</m:t>
              </m:r>
              <m:ctrlPr>
                <w:rPr>
                  <w:rFonts w:hint="eastAsia" w:ascii="DejaVu Math TeX Gyre" w:hAnsi="DejaVu Math TeX Gyre"/>
                  <w:sz w:val="28"/>
                  <w:szCs w:val="30"/>
                  <w:highlight w:val="none"/>
                </w:rPr>
              </m:ctrlPr>
            </m:e>
            <m:sub>
              <m:r>
                <w:rPr>
                  <w:rFonts w:hint="eastAsia" w:ascii="DejaVu Math TeX Gyre" w:hAnsi="DejaVu Math TeX Gyre"/>
                  <w:sz w:val="28"/>
                  <w:szCs w:val="30"/>
                  <w:highlight w:val="none"/>
                </w:rPr>
                <m:t>min</m:t>
              </m:r>
              <m:ctrlPr>
                <w:rPr>
                  <w:rFonts w:hint="eastAsia" w:ascii="DejaVu Math TeX Gyre" w:hAnsi="DejaVu Math TeX Gyre"/>
                  <w:sz w:val="28"/>
                  <w:szCs w:val="30"/>
                  <w:highlight w:val="none"/>
                </w:rPr>
              </m:ctrlPr>
            </m:sub>
          </m:sSub>
          <m:r>
            <m:rPr>
              <m:sty m:val="p"/>
            </m:rPr>
            <w:rPr>
              <w:rFonts w:hint="eastAsia" w:ascii="DejaVu Math TeX Gyre" w:hAnsi="DejaVu Math TeX Gyre"/>
              <w:sz w:val="28"/>
              <w:szCs w:val="30"/>
              <w:highlight w:val="none"/>
            </w:rPr>
            <m:t>=</m:t>
          </m:r>
          <m:r>
            <w:rPr>
              <w:rFonts w:hint="eastAsia" w:ascii="DejaVu Math TeX Gyre" w:hAnsi="DejaVu Math TeX Gyre"/>
              <w:sz w:val="28"/>
              <w:szCs w:val="30"/>
              <w:highlight w:val="none"/>
            </w:rPr>
            <m:t>Min</m:t>
          </m:r>
          <m:d>
            <m:dPr>
              <m:begChr m:val="（"/>
              <m:endChr m:val="）"/>
              <m:ctrlPr>
                <w:rPr>
                  <w:rFonts w:hint="eastAsia" w:ascii="DejaVu Math TeX Gyre" w:hAnsi="DejaVu Math TeX Gyre"/>
                  <w:sz w:val="28"/>
                  <w:szCs w:val="30"/>
                  <w:highlight w:val="none"/>
                </w:rPr>
              </m:ctrlPr>
            </m:dPr>
            <m:e>
              <m:sSub>
                <m:sSubPr>
                  <m:ctrlPr>
                    <w:rPr>
                      <w:rFonts w:hint="eastAsia" w:ascii="DejaVu Math TeX Gyre" w:hAnsi="DejaVu Math TeX Gyre"/>
                      <w:sz w:val="28"/>
                      <w:szCs w:val="30"/>
                      <w:highlight w:val="none"/>
                    </w:rPr>
                  </m:ctrlPr>
                </m:sSubPr>
                <m:e>
                  <m:sSub>
                    <m:sSubPr>
                      <m:ctrlPr>
                        <w:rPr>
                          <w:rFonts w:hint="eastAsia" w:ascii="DejaVu Math TeX Gyre" w:hAnsi="DejaVu Math TeX Gyre"/>
                          <w:sz w:val="28"/>
                          <w:szCs w:val="30"/>
                          <w:highlight w:val="none"/>
                        </w:rPr>
                      </m:ctrlPr>
                    </m:sSubPr>
                    <m:e>
                      <m:r>
                        <w:rPr>
                          <w:rFonts w:hint="eastAsia" w:ascii="DejaVu Math TeX Gyre" w:hAnsi="DejaVu Math TeX Gyre"/>
                          <w:sz w:val="28"/>
                          <w:szCs w:val="30"/>
                          <w:highlight w:val="none"/>
                        </w:rPr>
                        <m:t>NA</m:t>
                      </m:r>
                      <m:ctrlPr>
                        <w:rPr>
                          <w:rFonts w:hint="eastAsia" w:ascii="DejaVu Math TeX Gyre" w:hAnsi="DejaVu Math TeX Gyre"/>
                          <w:sz w:val="28"/>
                          <w:szCs w:val="30"/>
                          <w:highlight w:val="none"/>
                        </w:rPr>
                      </m:ctrlPr>
                    </m:e>
                    <m:sub>
                      <m:r>
                        <m:rPr>
                          <m:sty m:val="p"/>
                        </m:rPr>
                        <w:rPr>
                          <w:rFonts w:hint="eastAsia" w:ascii="DejaVu Math TeX Gyre" w:hAnsi="DejaVu Math TeX Gyre"/>
                          <w:sz w:val="28"/>
                          <w:szCs w:val="30"/>
                          <w:highlight w:val="none"/>
                        </w:rPr>
                        <m:t>0</m:t>
                      </m:r>
                      <m:ctrlPr>
                        <w:rPr>
                          <w:rFonts w:hint="eastAsia" w:ascii="DejaVu Math TeX Gyre" w:hAnsi="DejaVu Math TeX Gyre"/>
                          <w:sz w:val="28"/>
                          <w:szCs w:val="30"/>
                          <w:highlight w:val="none"/>
                        </w:rPr>
                      </m:ctrlPr>
                    </m:sub>
                  </m:sSub>
                  <m:r>
                    <m:rPr>
                      <m:sty m:val="p"/>
                    </m:rPr>
                    <w:rPr>
                      <w:rFonts w:hint="eastAsia" w:ascii="DejaVu Math TeX Gyre" w:hAnsi="DejaVu Math TeX Gyre"/>
                      <w:sz w:val="28"/>
                      <w:szCs w:val="30"/>
                      <w:highlight w:val="none"/>
                    </w:rPr>
                    <m:t>，</m:t>
                  </m:r>
                  <m:r>
                    <w:rPr>
                      <w:rFonts w:hint="eastAsia" w:ascii="DejaVu Math TeX Gyre" w:hAnsi="DejaVu Math TeX Gyre"/>
                      <w:sz w:val="28"/>
                      <w:szCs w:val="30"/>
                      <w:highlight w:val="none"/>
                    </w:rPr>
                    <m:t>NA</m:t>
                  </m:r>
                  <m:ctrlPr>
                    <w:rPr>
                      <w:rFonts w:hint="eastAsia" w:ascii="DejaVu Math TeX Gyre" w:hAnsi="DejaVu Math TeX Gyre"/>
                      <w:sz w:val="28"/>
                      <w:szCs w:val="30"/>
                      <w:highlight w:val="none"/>
                    </w:rPr>
                  </m:ctrlPr>
                </m:e>
                <m:sub>
                  <m:r>
                    <m:rPr>
                      <m:sty m:val="p"/>
                    </m:rPr>
                    <w:rPr>
                      <w:rFonts w:hint="eastAsia" w:ascii="DejaVu Math TeX Gyre" w:hAnsi="DejaVu Math TeX Gyre"/>
                      <w:sz w:val="28"/>
                      <w:szCs w:val="30"/>
                      <w:highlight w:val="none"/>
                    </w:rPr>
                    <m:t>变化幅度1</m:t>
                  </m:r>
                  <m:ctrlPr>
                    <w:rPr>
                      <w:rFonts w:hint="eastAsia" w:ascii="DejaVu Math TeX Gyre" w:hAnsi="DejaVu Math TeX Gyre"/>
                      <w:sz w:val="28"/>
                      <w:szCs w:val="30"/>
                      <w:highlight w:val="none"/>
                    </w:rPr>
                  </m:ctrlPr>
                </m:sub>
              </m:sSub>
              <m:r>
                <m:rPr>
                  <m:sty m:val="p"/>
                </m:rPr>
                <w:rPr>
                  <w:rFonts w:hint="eastAsia" w:ascii="DejaVu Math TeX Gyre" w:hAnsi="DejaVu Math TeX Gyre"/>
                  <w:sz w:val="28"/>
                  <w:szCs w:val="30"/>
                  <w:highlight w:val="none"/>
                </w:rPr>
                <m:t>，</m:t>
              </m:r>
              <m:sSub>
                <m:sSubPr>
                  <m:ctrlPr>
                    <w:rPr>
                      <w:rFonts w:hint="eastAsia" w:ascii="DejaVu Math TeX Gyre" w:hAnsi="DejaVu Math TeX Gyre"/>
                      <w:sz w:val="28"/>
                      <w:szCs w:val="30"/>
                      <w:highlight w:val="none"/>
                    </w:rPr>
                  </m:ctrlPr>
                </m:sSubPr>
                <m:e>
                  <m:r>
                    <w:rPr>
                      <w:rFonts w:hint="eastAsia" w:ascii="DejaVu Math TeX Gyre" w:hAnsi="DejaVu Math TeX Gyre"/>
                      <w:sz w:val="28"/>
                      <w:szCs w:val="30"/>
                      <w:highlight w:val="none"/>
                    </w:rPr>
                    <m:t>NA</m:t>
                  </m:r>
                  <m:ctrlPr>
                    <w:rPr>
                      <w:rFonts w:hint="eastAsia" w:ascii="DejaVu Math TeX Gyre" w:hAnsi="DejaVu Math TeX Gyre"/>
                      <w:sz w:val="28"/>
                      <w:szCs w:val="30"/>
                      <w:highlight w:val="none"/>
                    </w:rPr>
                  </m:ctrlPr>
                </m:e>
                <m:sub>
                  <m:r>
                    <m:rPr>
                      <m:sty m:val="p"/>
                    </m:rPr>
                    <w:rPr>
                      <w:rFonts w:hint="eastAsia" w:ascii="DejaVu Math TeX Gyre" w:hAnsi="DejaVu Math TeX Gyre"/>
                      <w:sz w:val="28"/>
                      <w:szCs w:val="30"/>
                      <w:highlight w:val="none"/>
                    </w:rPr>
                    <m:t>变化幅度2</m:t>
                  </m:r>
                  <m:ctrlPr>
                    <w:rPr>
                      <w:rFonts w:hint="eastAsia" w:ascii="DejaVu Math TeX Gyre" w:hAnsi="DejaVu Math TeX Gyre"/>
                      <w:sz w:val="28"/>
                      <w:szCs w:val="30"/>
                      <w:highlight w:val="none"/>
                    </w:rPr>
                  </m:ctrlPr>
                </m:sub>
              </m:sSub>
              <m:r>
                <m:rPr>
                  <m:sty m:val="p"/>
                </m:rPr>
                <w:rPr>
                  <w:rFonts w:hint="eastAsia" w:ascii="DejaVu Math TeX Gyre" w:hAnsi="DejaVu Math TeX Gyre"/>
                  <w:sz w:val="28"/>
                  <w:szCs w:val="30"/>
                  <w:highlight w:val="none"/>
                </w:rPr>
                <m:t>，…，</m:t>
              </m:r>
              <m:sSub>
                <m:sSubPr>
                  <m:ctrlPr>
                    <w:rPr>
                      <w:rFonts w:hint="eastAsia" w:ascii="DejaVu Math TeX Gyre" w:hAnsi="DejaVu Math TeX Gyre"/>
                      <w:sz w:val="28"/>
                      <w:szCs w:val="30"/>
                      <w:highlight w:val="none"/>
                    </w:rPr>
                  </m:ctrlPr>
                </m:sSubPr>
                <m:e>
                  <m:r>
                    <w:rPr>
                      <w:rFonts w:hint="eastAsia" w:ascii="DejaVu Math TeX Gyre" w:hAnsi="DejaVu Math TeX Gyre"/>
                      <w:sz w:val="28"/>
                      <w:szCs w:val="30"/>
                      <w:highlight w:val="none"/>
                    </w:rPr>
                    <m:t>NA</m:t>
                  </m:r>
                  <m:ctrlPr>
                    <w:rPr>
                      <w:rFonts w:hint="eastAsia" w:ascii="DejaVu Math TeX Gyre" w:hAnsi="DejaVu Math TeX Gyre"/>
                      <w:sz w:val="28"/>
                      <w:szCs w:val="30"/>
                      <w:highlight w:val="none"/>
                    </w:rPr>
                  </m:ctrlPr>
                </m:e>
                <m:sub>
                  <m:r>
                    <m:rPr>
                      <m:sty m:val="p"/>
                    </m:rPr>
                    <w:rPr>
                      <w:rFonts w:hint="eastAsia" w:ascii="DejaVu Math TeX Gyre" w:hAnsi="DejaVu Math TeX Gyre"/>
                      <w:sz w:val="28"/>
                      <w:szCs w:val="30"/>
                      <w:highlight w:val="none"/>
                    </w:rPr>
                    <m:t>变化幅度</m:t>
                  </m:r>
                  <m:r>
                    <w:rPr>
                      <w:rFonts w:hint="eastAsia" w:ascii="DejaVu Math TeX Gyre" w:hAnsi="DejaVu Math TeX Gyre"/>
                      <w:sz w:val="28"/>
                      <w:szCs w:val="30"/>
                      <w:highlight w:val="none"/>
                    </w:rPr>
                    <m:t>n</m:t>
                  </m:r>
                  <m:ctrlPr>
                    <w:rPr>
                      <w:rFonts w:hint="eastAsia" w:ascii="DejaVu Math TeX Gyre" w:hAnsi="DejaVu Math TeX Gyre"/>
                      <w:sz w:val="28"/>
                      <w:szCs w:val="30"/>
                      <w:highlight w:val="none"/>
                    </w:rPr>
                  </m:ctrlPr>
                </m:sub>
              </m:sSub>
              <m:ctrlPr>
                <w:rPr>
                  <w:rFonts w:hint="eastAsia" w:ascii="DejaVu Math TeX Gyre" w:hAnsi="DejaVu Math TeX Gyre"/>
                  <w:sz w:val="28"/>
                  <w:szCs w:val="30"/>
                  <w:highlight w:val="none"/>
                </w:rPr>
              </m:ctrlPr>
            </m:e>
          </m:d>
        </m:oMath>
      </m:oMathPara>
    </w:p>
    <w:p>
      <w:pPr>
        <w:spacing w:line="360" w:lineRule="auto"/>
        <w:ind w:left="640" w:leftChars="200" w:firstLine="560"/>
        <w:rPr>
          <w:rFonts w:ascii="Cambria Math" w:hAnsi="Cambria Math"/>
          <w:sz w:val="28"/>
          <w:highlight w:val="none"/>
        </w:rPr>
      </w:pPr>
      <m:oMathPara>
        <m:oMathParaPr>
          <m:jc m:val="left"/>
        </m:oMathParaPr>
        <m:oMath>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NA</m:t>
              </m:r>
              <m:ctrlPr>
                <w:rPr>
                  <w:rFonts w:hint="eastAsia" w:ascii="DejaVu Math TeX Gyre" w:hAnsi="DejaVu Math TeX Gyre"/>
                  <w:sz w:val="28"/>
                  <w:highlight w:val="none"/>
                </w:rPr>
              </m:ctrlPr>
            </m:e>
            <m:sub>
              <m:r>
                <m:rPr>
                  <m:sty m:val="p"/>
                </m:rPr>
                <w:rPr>
                  <w:rFonts w:hint="eastAsia" w:ascii="DejaVu Math TeX Gyre" w:hAnsi="DejaVu Math TeX Gyre"/>
                  <w:sz w:val="28"/>
                  <w:highlight w:val="none"/>
                </w:rPr>
                <m:t>变化幅度</m:t>
              </m:r>
              <m:r>
                <w:rPr>
                  <w:rFonts w:hint="eastAsia" w:ascii="DejaVu Math TeX Gyre" w:hAnsi="DejaVu Math TeX Gyre"/>
                  <w:sz w:val="28"/>
                  <w:highlight w:val="none"/>
                </w:rPr>
                <m:t>i</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r>
            <w:rPr>
              <w:rFonts w:hint="eastAsia" w:ascii="DejaVu Math TeX Gyre" w:hAnsi="DejaVu Math TeX Gyre"/>
              <w:sz w:val="28"/>
              <w:highlight w:val="none"/>
            </w:rPr>
            <m:t>Min</m:t>
          </m:r>
          <m:d>
            <m:dPr>
              <m:begChr m:val="（"/>
              <m:endChr m:val="）"/>
              <m:ctrlPr>
                <w:rPr>
                  <w:rFonts w:hint="eastAsia" w:ascii="DejaVu Math TeX Gyre" w:hAnsi="DejaVu Math TeX Gyre"/>
                  <w:sz w:val="28"/>
                  <w:highlight w:val="none"/>
                </w:rPr>
              </m:ctrlPr>
            </m:dPr>
            <m:e>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NA</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1</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NA</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2</m:t>
                  </m:r>
                  <m:ctrlPr>
                    <w:rPr>
                      <w:rFonts w:hint="eastAsia" w:ascii="DejaVu Math TeX Gyre" w:hAnsi="DejaVu Math TeX Gyre"/>
                      <w:sz w:val="28"/>
                      <w:highlight w:val="none"/>
                    </w:rPr>
                  </m:ctrlPr>
                </m:sub>
              </m:sSub>
              <m:r>
                <m:rPr>
                  <m:sty m:val="p"/>
                </m:rPr>
                <w:rPr>
                  <w:rFonts w:hint="eastAsia" w:ascii="DejaVu Math TeX Gyre" w:hAnsi="DejaVu Math TeX Gyre"/>
                  <w:sz w:val="28"/>
                  <w:highlight w:val="none"/>
                </w:rPr>
                <m:t>，</m:t>
              </m:r>
              <m:sSub>
                <m:sSubPr>
                  <m:ctrlPr>
                    <w:rPr>
                      <w:rFonts w:hint="eastAsia" w:ascii="DejaVu Math TeX Gyre" w:hAnsi="DejaVu Math TeX Gyre"/>
                      <w:sz w:val="28"/>
                      <w:highlight w:val="none"/>
                    </w:rPr>
                  </m:ctrlPr>
                </m:sSubPr>
                <m:e>
                  <m:r>
                    <w:rPr>
                      <w:rFonts w:hint="eastAsia" w:ascii="DejaVu Math TeX Gyre" w:hAnsi="DejaVu Math TeX Gyre"/>
                      <w:sz w:val="28"/>
                      <w:highlight w:val="none"/>
                    </w:rPr>
                    <m:t>NA</m:t>
                  </m:r>
                  <m:ctrlPr>
                    <w:rPr>
                      <w:rFonts w:hint="eastAsia" w:ascii="DejaVu Math TeX Gyre" w:hAnsi="DejaVu Math TeX Gyre"/>
                      <w:sz w:val="28"/>
                      <w:highlight w:val="none"/>
                    </w:rPr>
                  </m:ctrlPr>
                </m:e>
                <m:sub>
                  <m:r>
                    <w:rPr>
                      <w:rFonts w:hint="eastAsia" w:ascii="DejaVu Math TeX Gyre" w:hAnsi="DejaVu Math TeX Gyre"/>
                      <w:sz w:val="28"/>
                      <w:highlight w:val="none"/>
                    </w:rPr>
                    <m:t>i</m:t>
                  </m:r>
                  <m:r>
                    <m:rPr>
                      <m:sty m:val="p"/>
                    </m:rPr>
                    <w:rPr>
                      <w:rFonts w:hint="eastAsia" w:ascii="DejaVu Math TeX Gyre" w:hAnsi="DejaVu Math TeX Gyre"/>
                      <w:sz w:val="28"/>
                      <w:highlight w:val="none"/>
                    </w:rPr>
                    <m:t>3</m:t>
                  </m:r>
                  <m:ctrlPr>
                    <w:rPr>
                      <w:rFonts w:hint="eastAsia" w:ascii="DejaVu Math TeX Gyre" w:hAnsi="DejaVu Math TeX Gyre"/>
                      <w:sz w:val="28"/>
                      <w:highlight w:val="none"/>
                    </w:rPr>
                  </m:ctrlPr>
                </m:sub>
              </m:sSub>
              <m:ctrlPr>
                <w:rPr>
                  <w:rFonts w:hint="eastAsia" w:ascii="DejaVu Math TeX Gyre" w:hAnsi="DejaVu Math TeX Gyre"/>
                  <w:sz w:val="28"/>
                  <w:highlight w:val="none"/>
                </w:rPr>
              </m:ctrlPr>
            </m:e>
          </m:d>
        </m:oMath>
      </m:oMathPara>
    </w:p>
    <w:p>
      <w:pPr>
        <w:ind w:firstLine="640"/>
        <w:rPr>
          <w:rFonts w:hint="eastAsia" w:ascii="仿宋_GB2312" w:hAnsi="仿宋_GB2312" w:cs="仿宋_GB2312"/>
          <w:highlight w:val="none"/>
        </w:rPr>
      </w:pPr>
      <w:r>
        <w:rPr>
          <w:rFonts w:hint="eastAsia" w:ascii="仿宋_GB2312" w:hAnsi="仿宋_GB2312" w:cs="仿宋_GB2312"/>
          <w:highlight w:val="none"/>
        </w:rPr>
        <w:t>参数说明：</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NR</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r>
          <w:rPr>
            <w:rFonts w:hint="eastAsia" w:ascii="Cambria Math" w:hAnsi="Cambria Math" w:cs="仿宋_GB2312"/>
            <w:highlight w:val="none"/>
          </w:rPr>
          <m:t>、</m:t>
        </m:r>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AICR</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r>
          <w:rPr>
            <w:rFonts w:hint="eastAsia" w:ascii="Cambria Math" w:hAnsi="Cambria Math" w:cs="仿宋_GB2312"/>
            <w:highlight w:val="none"/>
          </w:rPr>
          <m:t>、</m:t>
        </m:r>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NA</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r>
          <m:rPr>
            <m:sty m:val="p"/>
          </m:rPr>
          <w:rPr>
            <w:rFonts w:hint="eastAsia" w:ascii="Cambria Math" w:hAnsi="Cambria Math" w:cs="仿宋_GB2312"/>
            <w:highlight w:val="none"/>
          </w:rPr>
          <m:t xml:space="preserve"> </m:t>
        </m:r>
      </m:oMath>
      <w:r>
        <w:rPr>
          <w:rFonts w:hint="eastAsia" w:ascii="仿宋_GB2312" w:hAnsi="仿宋_GB2312" w:cs="仿宋_GB2312"/>
          <w:highlight w:val="none"/>
        </w:rPr>
        <w:t>分别表示报告期末的保险合同负债净额、保费准备金余额和净资产；</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P</m:t>
            </m:r>
            <m:ctrlPr>
              <w:rPr>
                <w:rFonts w:hint="eastAsia" w:ascii="DejaVu Math TeX Gyre" w:hAnsi="DejaVu Math TeX Gyre" w:cs="仿宋_GB2312"/>
                <w:i/>
                <w:highlight w:val="none"/>
              </w:rPr>
            </m:ctrlPr>
          </m:e>
          <m:sub>
            <m:r>
              <w:rPr>
                <w:rFonts w:hint="eastAsia" w:ascii="Cambria Math" w:hAnsi="Cambria Math" w:cs="仿宋_GB2312"/>
                <w:highlight w:val="none"/>
              </w:rPr>
              <m:t>ij</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表示变化幅度</w:t>
      </w:r>
      <m:oMath>
        <w:bookmarkStart w:id="7" w:name="OLE_LINK28"/>
        <w:bookmarkStart w:id="8" w:name="OLE_LINK29"/>
        <m:r>
          <w:rPr>
            <w:rFonts w:hint="eastAsia" w:ascii="Cambria Math" w:hAnsi="Cambria Math" w:cs="仿宋_GB2312"/>
            <w:highlight w:val="none"/>
          </w:rPr>
          <m:t>i</m:t>
        </m:r>
        <w:bookmarkEnd w:id="7"/>
        <w:bookmarkEnd w:id="8"/>
      </m:oMath>
      <w:r>
        <w:rPr>
          <w:rFonts w:hint="eastAsia" w:ascii="仿宋_GB2312" w:hAnsi="仿宋_GB2312" w:cs="仿宋_GB2312"/>
          <w:highlight w:val="none"/>
        </w:rPr>
        <w:t>下未来第</w:t>
      </w:r>
      <m:oMath>
        <m:r>
          <w:rPr>
            <w:rFonts w:hint="eastAsia" w:ascii="Cambria Math" w:hAnsi="Cambria Math" w:cs="仿宋_GB2312"/>
            <w:highlight w:val="none"/>
          </w:rPr>
          <m:t>j</m:t>
        </m:r>
      </m:oMath>
      <w:r>
        <w:rPr>
          <w:rFonts w:hint="eastAsia" w:ascii="仿宋_GB2312" w:hAnsi="仿宋_GB2312" w:cs="仿宋_GB2312"/>
          <w:highlight w:val="none"/>
        </w:rPr>
        <w:t>年度的保费，</w:t>
      </w:r>
      <m:oMath>
        <m:r>
          <w:rPr>
            <w:rFonts w:hint="eastAsia" w:ascii="Cambria Math" w:hAnsi="Cambria Math" w:cs="仿宋_GB2312"/>
            <w:highlight w:val="none"/>
          </w:rPr>
          <m:t>j</m:t>
        </m:r>
      </m:oMath>
      <w:r>
        <w:rPr>
          <w:rFonts w:hint="eastAsia" w:ascii="仿宋_GB2312" w:hAnsi="仿宋_GB2312" w:cs="仿宋_GB2312"/>
          <w:highlight w:val="none"/>
        </w:rPr>
        <w:t>=1</w:t>
      </w:r>
      <w:r>
        <w:rPr>
          <w:rFonts w:hint="eastAsia" w:ascii="仿宋_GB2312" w:hAnsi="仿宋_GB2312" w:cs="仿宋_GB2312"/>
          <w:i/>
          <w:highlight w:val="none"/>
        </w:rPr>
        <w:t>,</w:t>
      </w:r>
      <w:r>
        <w:rPr>
          <w:rFonts w:hint="eastAsia" w:ascii="仿宋_GB2312" w:hAnsi="仿宋_GB2312" w:cs="仿宋_GB2312"/>
          <w:highlight w:val="none"/>
        </w:rPr>
        <w:t>2</w:t>
      </w:r>
      <w:r>
        <w:rPr>
          <w:rFonts w:hint="eastAsia" w:ascii="仿宋_GB2312" w:hAnsi="仿宋_GB2312" w:cs="仿宋_GB2312"/>
          <w:i/>
          <w:highlight w:val="none"/>
        </w:rPr>
        <w:t>,</w:t>
      </w:r>
      <w:r>
        <w:rPr>
          <w:rFonts w:hint="eastAsia" w:ascii="仿宋_GB2312" w:hAnsi="仿宋_GB2312" w:cs="仿宋_GB2312"/>
          <w:highlight w:val="none"/>
        </w:rPr>
        <w:t>3；</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NR</m:t>
            </m:r>
            <m:ctrlPr>
              <w:rPr>
                <w:rFonts w:hint="eastAsia" w:ascii="DejaVu Math TeX Gyre" w:hAnsi="DejaVu Math TeX Gyre" w:cs="仿宋_GB2312"/>
                <w:i/>
                <w:highlight w:val="none"/>
              </w:rPr>
            </m:ctrlPr>
          </m:e>
          <m:sub>
            <m:r>
              <w:rPr>
                <w:rFonts w:hint="eastAsia" w:ascii="Cambria Math" w:hAnsi="Cambria Math" w:cs="仿宋_GB2312"/>
                <w:highlight w:val="none"/>
              </w:rPr>
              <m:t>ij</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表示变化幅度</w:t>
      </w:r>
      <m:oMath>
        <m:r>
          <w:rPr>
            <w:rFonts w:hint="eastAsia" w:ascii="Cambria Math" w:hAnsi="Cambria Math" w:cs="仿宋_GB2312"/>
            <w:highlight w:val="none"/>
          </w:rPr>
          <m:t>i</m:t>
        </m:r>
      </m:oMath>
      <w:r>
        <w:rPr>
          <w:rFonts w:hint="eastAsia" w:ascii="仿宋_GB2312" w:hAnsi="仿宋_GB2312" w:cs="仿宋_GB2312"/>
          <w:highlight w:val="none"/>
        </w:rPr>
        <w:t>下未来第</w:t>
      </w:r>
      <m:oMath>
        <m:r>
          <w:rPr>
            <w:rFonts w:hint="eastAsia" w:ascii="Cambria Math" w:hAnsi="Cambria Math" w:cs="仿宋_GB2312"/>
            <w:highlight w:val="none"/>
          </w:rPr>
          <m:t>j</m:t>
        </m:r>
      </m:oMath>
      <w:r>
        <w:rPr>
          <w:rFonts w:hint="eastAsia" w:ascii="仿宋_GB2312" w:hAnsi="仿宋_GB2312" w:cs="仿宋_GB2312"/>
          <w:highlight w:val="none"/>
        </w:rPr>
        <w:t>年末的保险合同负债净额，</w:t>
      </w:r>
      <m:oMath>
        <m:r>
          <w:rPr>
            <w:rFonts w:hint="eastAsia" w:ascii="Cambria Math" w:hAnsi="Cambria Math" w:cs="仿宋_GB2312"/>
            <w:highlight w:val="none"/>
          </w:rPr>
          <m:t>j</m:t>
        </m:r>
      </m:oMath>
      <w:r>
        <w:rPr>
          <w:rFonts w:hint="eastAsia" w:ascii="仿宋_GB2312" w:hAnsi="仿宋_GB2312" w:cs="仿宋_GB2312"/>
          <w:highlight w:val="none"/>
        </w:rPr>
        <w:t>=1</w:t>
      </w:r>
      <w:r>
        <w:rPr>
          <w:rFonts w:hint="eastAsia" w:ascii="仿宋_GB2312" w:hAnsi="仿宋_GB2312" w:cs="仿宋_GB2312"/>
          <w:i/>
          <w:highlight w:val="none"/>
        </w:rPr>
        <w:t>,</w:t>
      </w:r>
      <w:r>
        <w:rPr>
          <w:rFonts w:hint="eastAsia" w:ascii="仿宋_GB2312" w:hAnsi="仿宋_GB2312" w:cs="仿宋_GB2312"/>
          <w:highlight w:val="none"/>
        </w:rPr>
        <w:t>2</w:t>
      </w:r>
      <w:r>
        <w:rPr>
          <w:rFonts w:hint="eastAsia" w:ascii="仿宋_GB2312" w:hAnsi="仿宋_GB2312" w:cs="仿宋_GB2312"/>
          <w:i/>
          <w:highlight w:val="none"/>
        </w:rPr>
        <w:t>,</w:t>
      </w:r>
      <w:r>
        <w:rPr>
          <w:rFonts w:hint="eastAsia" w:ascii="仿宋_GB2312" w:hAnsi="仿宋_GB2312" w:cs="仿宋_GB2312"/>
          <w:highlight w:val="none"/>
        </w:rPr>
        <w:t>3；</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AICR</m:t>
            </m:r>
            <m:ctrlPr>
              <w:rPr>
                <w:rFonts w:hint="eastAsia" w:ascii="DejaVu Math TeX Gyre" w:hAnsi="DejaVu Math TeX Gyre" w:cs="仿宋_GB2312"/>
                <w:i/>
                <w:highlight w:val="none"/>
              </w:rPr>
            </m:ctrlPr>
          </m:e>
          <m:sub>
            <m:r>
              <w:rPr>
                <w:rFonts w:hint="eastAsia" w:ascii="Cambria Math" w:hAnsi="Cambria Math" w:cs="仿宋_GB2312"/>
                <w:highlight w:val="none"/>
              </w:rPr>
              <m:t>ij</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表示变化幅度</w:t>
      </w:r>
      <m:oMath>
        <m:r>
          <w:rPr>
            <w:rFonts w:hint="eastAsia" w:ascii="Cambria Math" w:hAnsi="Cambria Math" w:cs="仿宋_GB2312"/>
            <w:highlight w:val="none"/>
          </w:rPr>
          <m:t>i</m:t>
        </m:r>
      </m:oMath>
      <w:r>
        <w:rPr>
          <w:rFonts w:hint="eastAsia" w:ascii="仿宋_GB2312" w:hAnsi="仿宋_GB2312" w:cs="仿宋_GB2312"/>
          <w:highlight w:val="none"/>
        </w:rPr>
        <w:t>下未来第</w:t>
      </w:r>
      <m:oMath>
        <m:r>
          <w:rPr>
            <w:rFonts w:hint="eastAsia" w:ascii="Cambria Math" w:hAnsi="Cambria Math" w:cs="仿宋_GB2312"/>
            <w:highlight w:val="none"/>
          </w:rPr>
          <m:t>j</m:t>
        </m:r>
      </m:oMath>
      <w:r>
        <w:rPr>
          <w:rFonts w:hint="eastAsia" w:ascii="仿宋_GB2312" w:hAnsi="仿宋_GB2312" w:cs="仿宋_GB2312"/>
          <w:highlight w:val="none"/>
        </w:rPr>
        <w:t>年末的保费准备金余额，</w:t>
      </w:r>
      <m:oMath>
        <m:r>
          <w:rPr>
            <w:rFonts w:hint="eastAsia" w:ascii="Cambria Math" w:hAnsi="Cambria Math" w:cs="仿宋_GB2312"/>
            <w:highlight w:val="none"/>
          </w:rPr>
          <m:t>j</m:t>
        </m:r>
      </m:oMath>
      <w:r>
        <w:rPr>
          <w:rFonts w:hint="eastAsia" w:ascii="仿宋_GB2312" w:hAnsi="仿宋_GB2312" w:cs="仿宋_GB2312"/>
          <w:highlight w:val="none"/>
        </w:rPr>
        <w:t>=</w:t>
      </w:r>
      <w:bookmarkStart w:id="9" w:name="OLE_LINK27"/>
      <w:r>
        <w:rPr>
          <w:rFonts w:hint="eastAsia" w:ascii="仿宋_GB2312" w:hAnsi="仿宋_GB2312" w:cs="仿宋_GB2312"/>
          <w:highlight w:val="none"/>
        </w:rPr>
        <w:t>1</w:t>
      </w:r>
      <w:r>
        <w:rPr>
          <w:rFonts w:hint="eastAsia" w:ascii="仿宋_GB2312" w:hAnsi="仿宋_GB2312" w:cs="仿宋_GB2312"/>
          <w:i/>
          <w:highlight w:val="none"/>
        </w:rPr>
        <w:t>,</w:t>
      </w:r>
      <w:r>
        <w:rPr>
          <w:rFonts w:hint="eastAsia" w:ascii="仿宋_GB2312" w:hAnsi="仿宋_GB2312" w:cs="仿宋_GB2312"/>
          <w:highlight w:val="none"/>
        </w:rPr>
        <w:t>2</w:t>
      </w:r>
      <w:r>
        <w:rPr>
          <w:rFonts w:hint="eastAsia" w:ascii="仿宋_GB2312" w:hAnsi="仿宋_GB2312" w:cs="仿宋_GB2312"/>
          <w:i/>
          <w:highlight w:val="none"/>
        </w:rPr>
        <w:t>,</w:t>
      </w:r>
      <w:r>
        <w:rPr>
          <w:rFonts w:hint="eastAsia" w:ascii="仿宋_GB2312" w:hAnsi="仿宋_GB2312" w:cs="仿宋_GB2312"/>
          <w:highlight w:val="none"/>
        </w:rPr>
        <w:t>3</w:t>
      </w:r>
      <w:bookmarkEnd w:id="9"/>
      <w:r>
        <w:rPr>
          <w:rFonts w:hint="eastAsia" w:ascii="仿宋_GB2312" w:hAnsi="仿宋_GB2312" w:cs="仿宋_GB2312"/>
          <w:highlight w:val="none"/>
        </w:rPr>
        <w:t>；</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NA</m:t>
            </m:r>
            <m:ctrlPr>
              <w:rPr>
                <w:rFonts w:hint="eastAsia" w:ascii="DejaVu Math TeX Gyre" w:hAnsi="DejaVu Math TeX Gyre" w:cs="仿宋_GB2312"/>
                <w:i/>
                <w:highlight w:val="none"/>
              </w:rPr>
            </m:ctrlPr>
          </m:e>
          <m:sub>
            <m:r>
              <w:rPr>
                <w:rFonts w:hint="eastAsia" w:ascii="Cambria Math" w:hAnsi="Cambria Math" w:cs="仿宋_GB2312"/>
                <w:highlight w:val="none"/>
              </w:rPr>
              <m:t>ij</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表示变化幅度</w:t>
      </w:r>
      <m:oMath>
        <m:r>
          <w:rPr>
            <w:rFonts w:hint="eastAsia" w:ascii="Cambria Math" w:hAnsi="Cambria Math" w:cs="仿宋_GB2312"/>
            <w:highlight w:val="none"/>
          </w:rPr>
          <m:t>i</m:t>
        </m:r>
      </m:oMath>
      <w:r>
        <w:rPr>
          <w:rFonts w:hint="eastAsia" w:ascii="仿宋_GB2312" w:hAnsi="仿宋_GB2312" w:cs="仿宋_GB2312"/>
          <w:highlight w:val="none"/>
        </w:rPr>
        <w:t>下未来第</w:t>
      </w:r>
      <m:oMath>
        <m:r>
          <w:rPr>
            <w:rFonts w:hint="eastAsia" w:ascii="Cambria Math" w:hAnsi="Cambria Math" w:cs="仿宋_GB2312"/>
            <w:highlight w:val="none"/>
          </w:rPr>
          <m:t>j</m:t>
        </m:r>
      </m:oMath>
      <w:r>
        <w:rPr>
          <w:rFonts w:hint="eastAsia" w:ascii="仿宋_GB2312" w:hAnsi="仿宋_GB2312" w:cs="仿宋_GB2312"/>
          <w:highlight w:val="none"/>
        </w:rPr>
        <w:t>年末的净资产，</w:t>
      </w:r>
      <m:oMath>
        <m:r>
          <w:rPr>
            <w:rFonts w:hint="eastAsia" w:ascii="Cambria Math" w:hAnsi="Cambria Math" w:cs="仿宋_GB2312"/>
            <w:highlight w:val="none"/>
          </w:rPr>
          <m:t>j</m:t>
        </m:r>
      </m:oMath>
      <w:r>
        <w:rPr>
          <w:rFonts w:hint="eastAsia" w:ascii="仿宋_GB2312" w:hAnsi="仿宋_GB2312" w:cs="仿宋_GB2312"/>
          <w:i/>
          <w:highlight w:val="none"/>
        </w:rPr>
        <w:t>=</w:t>
      </w:r>
      <w:r>
        <w:rPr>
          <w:rFonts w:hint="eastAsia" w:ascii="仿宋_GB2312" w:hAnsi="仿宋_GB2312" w:cs="仿宋_GB2312"/>
          <w:i w:val="0"/>
          <w:iCs/>
          <w:highlight w:val="none"/>
        </w:rPr>
        <w:t>1,2,3</w:t>
      </w:r>
      <w:r>
        <w:rPr>
          <w:rFonts w:hint="eastAsia" w:ascii="仿宋_GB2312" w:hAnsi="仿宋_GB2312" w:cs="仿宋_GB2312"/>
          <w:highlight w:val="none"/>
        </w:rPr>
        <w:t>；</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P</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表示报告期末过去12个月的保费；</w:t>
      </w:r>
    </w:p>
    <w:p>
      <w:pPr>
        <w:ind w:firstLine="640"/>
        <w:rPr>
          <w:rFonts w:hint="eastAsia" w:ascii="仿宋_GB2312" w:hAnsi="仿宋_GB2312" w:cs="仿宋_GB2312"/>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PRR</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为报告期末过去12个月的保费自留比例，</w:t>
      </w: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PRR</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=报告期末过去12个月的（保费+分入保费-分出保费）÷报告期末过去12个月的保费×100%；</w:t>
      </w:r>
    </w:p>
    <w:p>
      <w:pPr>
        <w:ind w:firstLine="640"/>
        <w:rPr>
          <w:highlight w:val="none"/>
        </w:rPr>
      </w:pP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CCR</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为报告期末过去12个月的承保综合费用率</w:t>
      </w:r>
      <w:r>
        <w:rPr>
          <w:rFonts w:hint="eastAsia" w:ascii="仿宋_GB2312" w:hAnsi="仿宋_GB2312" w:cs="仿宋_GB2312"/>
          <w:highlight w:val="none"/>
          <w:lang w:eastAsia="zh-CN"/>
        </w:rPr>
        <w:t>，</w:t>
      </w:r>
      <m:oMath>
        <m:sSub>
          <m:sSubPr>
            <m:ctrlPr>
              <w:rPr>
                <w:rFonts w:hint="eastAsia" w:ascii="DejaVu Math TeX Gyre" w:hAnsi="DejaVu Math TeX Gyre" w:cs="仿宋_GB2312"/>
                <w:i/>
                <w:highlight w:val="none"/>
              </w:rPr>
            </m:ctrlPr>
          </m:sSubPr>
          <m:e>
            <m:r>
              <w:rPr>
                <w:rFonts w:hint="eastAsia" w:ascii="Cambria Math" w:hAnsi="Cambria Math" w:cs="仿宋_GB2312"/>
                <w:highlight w:val="none"/>
              </w:rPr>
              <m:t>CCR</m:t>
            </m:r>
            <m:ctrlPr>
              <w:rPr>
                <w:rFonts w:hint="eastAsia" w:ascii="DejaVu Math TeX Gyre" w:hAnsi="DejaVu Math TeX Gyre" w:cs="仿宋_GB2312"/>
                <w:i/>
                <w:highlight w:val="none"/>
              </w:rPr>
            </m:ctrlPr>
          </m:e>
          <m:sub>
            <m:r>
              <w:rPr>
                <w:rFonts w:hint="eastAsia" w:ascii="Cambria Math" w:hAnsi="Cambria Math" w:cs="仿宋_GB2312"/>
                <w:highlight w:val="none"/>
              </w:rPr>
              <m:t>0</m:t>
            </m:r>
            <m:ctrlPr>
              <w:rPr>
                <w:rFonts w:hint="eastAsia" w:ascii="DejaVu Math TeX Gyre" w:hAnsi="DejaVu Math TeX Gyre" w:cs="仿宋_GB2312"/>
                <w:i/>
                <w:highlight w:val="none"/>
              </w:rPr>
            </m:ctrlPr>
          </m:sub>
        </m:sSub>
      </m:oMath>
      <w:r>
        <w:rPr>
          <w:rFonts w:hint="eastAsia" w:ascii="仿宋_GB2312" w:hAnsi="仿宋_GB2312" w:cs="仿宋_GB2312"/>
          <w:highlight w:val="none"/>
        </w:rPr>
        <w:t>＝报告期末过去12个月的（获取费用摊销+维持费用）÷报告期末过去12个月的保险服务收入×100%；</w:t>
      </w:r>
    </w:p>
    <w:p>
      <w:pPr>
        <w:ind w:firstLine="640"/>
        <w:rPr>
          <w:highlight w:val="none"/>
        </w:rPr>
      </w:pPr>
      <m:oMath>
        <m:r>
          <w:rPr>
            <w:rFonts w:hint="eastAsia" w:ascii="Cambria Math" w:hAnsi="Cambria Math" w:cs="仿宋_GB2312"/>
            <w:highlight w:val="none"/>
          </w:rPr>
          <m:t>α</m:t>
        </m:r>
      </m:oMath>
      <w:r>
        <w:rPr>
          <w:rFonts w:hint="eastAsia" w:ascii="仿宋_GB2312" w:hAnsi="仿宋_GB2312" w:cs="仿宋_GB2312"/>
          <w:highlight w:val="none"/>
        </w:rPr>
        <w:t>是留存资金系数，取值0.75。</w:t>
      </w:r>
      <w:r>
        <w:rPr>
          <w:rFonts w:hint="eastAsia"/>
          <w:highlight w:val="none"/>
        </w:rPr>
        <w:t>国家金融监督管理总局可根据行业发展变化情况对留存资金系数取值进行调整。</w:t>
      </w:r>
    </w:p>
    <w:p>
      <w:pPr>
        <w:ind w:firstLine="640"/>
        <w:rPr>
          <w:highlight w:val="none"/>
        </w:rPr>
      </w:pPr>
      <w:r>
        <w:rPr>
          <w:rFonts w:hint="eastAsia"/>
          <w:bCs/>
          <w:highlight w:val="none"/>
        </w:rPr>
        <w:t>情景法下沉淀资金预测频率为年度，</w:t>
      </w:r>
      <w:r>
        <w:rPr>
          <w:rFonts w:hint="eastAsia"/>
          <w:highlight w:val="none"/>
        </w:rPr>
        <w:t>若年中业务规划发生调整，保险公司可对沉淀资金预测进行相应调整。基础情景设定基于公司未来三年业务规划数据。</w:t>
      </w:r>
    </w:p>
    <w:p>
      <w:pPr>
        <w:ind w:firstLine="640"/>
        <w:rPr>
          <w:highlight w:val="none"/>
        </w:rPr>
      </w:pPr>
      <w:r>
        <w:rPr>
          <w:rFonts w:hint="eastAsia" w:ascii="仿宋_GB2312" w:hAnsi="仿宋_GB2312" w:cs="仿宋_GB2312"/>
          <w:highlight w:val="none"/>
        </w:rPr>
        <w:t>保费增长率、最终赔付率、承保综合费用率“变化幅度”为未来三年每年相对该年基础情景的绝对变化值，例如：未来三年基础情景保费增长率分别为10%、8%、5%，保费增长率变化幅度为-5%，那么变化后的未来三年保费增长率分别为5%、3%、0%。</w:t>
      </w:r>
    </w:p>
    <w:p>
      <w:pPr>
        <w:ind w:firstLine="640"/>
        <w:rPr>
          <w:highlight w:val="none"/>
        </w:rPr>
      </w:pPr>
      <w:r>
        <w:rPr>
          <w:rFonts w:hint="eastAsia"/>
          <w:highlight w:val="none"/>
        </w:rPr>
        <w:t>保险公司应预测未来三年各年末的保险合同负债净额、保费准备金余额和净资产。当保险公司自身的数据不充分时，精算人员可以采用行业数据；当行业数据同样缺乏时，精算人员有必要采用一定程度的职业判断，职业判断应当审慎、稳健，密切结合定价、承保、理赔、再保等方面的经验。保险合同负债净额、保费准备金余额和净资产填报对于关键因素</w:t>
      </w:r>
      <w:r>
        <w:rPr>
          <w:highlight w:val="none"/>
        </w:rPr>
        <w:t>保费</w:t>
      </w:r>
      <w:r>
        <w:rPr>
          <w:rFonts w:hint="eastAsia"/>
          <w:highlight w:val="none"/>
        </w:rPr>
        <w:t>增长率、最终赔付率、承保综合费用率发生变动时，在相应“变化幅度”下未来三年内触及的最低值。</w:t>
      </w:r>
    </w:p>
    <w:p>
      <w:pPr>
        <w:pStyle w:val="5"/>
        <w:ind w:firstLine="640"/>
        <w:rPr>
          <w:rFonts w:hint="eastAsia" w:ascii="仿宋_GB2312" w:hAnsi="仿宋_GB2312" w:cs="仿宋_GB2312"/>
          <w:highlight w:val="none"/>
        </w:rPr>
      </w:pPr>
      <w:r>
        <w:rPr>
          <w:rFonts w:hint="eastAsia" w:ascii="仿宋_GB2312" w:hAnsi="仿宋_GB2312" w:cs="仿宋_GB2312"/>
          <w:highlight w:val="none"/>
        </w:rPr>
        <w:t>2.沉淀资金匹配</w:t>
      </w:r>
    </w:p>
    <w:p>
      <w:pPr>
        <w:ind w:firstLine="640"/>
        <w:rPr>
          <w:rFonts w:ascii="仿宋" w:eastAsia="仿宋"/>
          <w:highlight w:val="none"/>
        </w:rPr>
      </w:pPr>
      <w:r>
        <w:rPr>
          <w:rFonts w:hint="eastAsia"/>
          <w:highlight w:val="none"/>
        </w:rPr>
        <w:t>沉淀资金匹配的评估频率为每季度，评估指标为沉淀资金覆盖率。</w:t>
      </w:r>
    </w:p>
    <w:p>
      <w:pPr>
        <w:spacing w:line="360" w:lineRule="auto"/>
        <w:ind w:left="640" w:leftChars="200" w:firstLine="640"/>
        <w:rPr>
          <w:rFonts w:ascii="仿宋" w:hAnsi="仿宋"/>
          <w:highlight w:val="none"/>
        </w:rPr>
      </w:pPr>
      <m:oMathPara>
        <m:oMathParaPr>
          <m:jc m:val="left"/>
        </m:oMathParaPr>
        <m:oMath>
          <m:r>
            <m:rPr>
              <m:sty m:val="p"/>
            </m:rPr>
            <w:rPr>
              <w:rFonts w:hint="eastAsia" w:ascii="DejaVu Math TeX Gyre" w:hAnsi="DejaVu Math TeX Gyre"/>
              <w:highlight w:val="none"/>
            </w:rPr>
            <m:t>沉淀</m:t>
          </m:r>
          <m:r>
            <m:rPr>
              <m:sty m:val="p"/>
            </m:rPr>
            <w:rPr>
              <w:rFonts w:ascii="DejaVu Math TeX Gyre" w:hAnsi="DejaVu Math TeX Gyre"/>
              <w:highlight w:val="none"/>
            </w:rPr>
            <m:t>资金</m:t>
          </m:r>
          <m:r>
            <m:rPr>
              <m:sty m:val="p"/>
            </m:rPr>
            <w:rPr>
              <w:rFonts w:hint="eastAsia" w:ascii="DejaVu Math TeX Gyre" w:hAnsi="DejaVu Math TeX Gyre"/>
              <w:highlight w:val="none"/>
            </w:rPr>
            <m:t>覆盖率=</m:t>
          </m:r>
          <m:f>
            <m:fPr>
              <m:ctrlPr>
                <w:rPr>
                  <w:rFonts w:ascii="DejaVu Math TeX Gyre" w:hAnsi="DejaVu Math TeX Gyre"/>
                  <w:highlight w:val="none"/>
                </w:rPr>
              </m:ctrlPr>
            </m:fPr>
            <m:num>
              <m:r>
                <m:rPr>
                  <m:sty m:val="p"/>
                </m:rPr>
                <w:rPr>
                  <w:rFonts w:hint="eastAsia" w:ascii="DejaVu Math TeX Gyre" w:hAnsi="DejaVu Math TeX Gyre"/>
                  <w:highlight w:val="none"/>
                </w:rPr>
                <m:t>沉淀</m:t>
              </m:r>
              <m:r>
                <m:rPr>
                  <m:sty m:val="p"/>
                </m:rPr>
                <w:rPr>
                  <w:rFonts w:ascii="DejaVu Math TeX Gyre" w:hAnsi="DejaVu Math TeX Gyre"/>
                  <w:highlight w:val="none"/>
                </w:rPr>
                <m:t>资金</m:t>
              </m:r>
              <m:ctrlPr>
                <w:rPr>
                  <w:rFonts w:ascii="DejaVu Math TeX Gyre" w:hAnsi="DejaVu Math TeX Gyre"/>
                  <w:highlight w:val="none"/>
                </w:rPr>
              </m:ctrlPr>
            </m:num>
            <m:den>
              <m:r>
                <m:rPr>
                  <m:sty m:val="p"/>
                </m:rPr>
                <w:rPr>
                  <w:rFonts w:hint="eastAsia" w:ascii="DejaVu Math TeX Gyre" w:hAnsi="DejaVu Math TeX Gyre"/>
                  <w:highlight w:val="none"/>
                </w:rPr>
                <m:t>中长期资产</m:t>
              </m:r>
              <m:ctrlPr>
                <w:rPr>
                  <w:rFonts w:ascii="DejaVu Math TeX Gyre" w:hAnsi="DejaVu Math TeX Gyre"/>
                  <w:highlight w:val="none"/>
                </w:rPr>
              </m:ctrlPr>
            </m:den>
          </m:f>
          <m:r>
            <m:rPr>
              <m:sty m:val="p"/>
            </m:rPr>
            <w:rPr>
              <w:rFonts w:ascii="DejaVu Math TeX Gyre" w:hAnsi="DejaVu Math TeX Gyre"/>
              <w:highlight w:val="none"/>
            </w:rPr>
            <m:t>×100%</m:t>
          </m:r>
        </m:oMath>
      </m:oMathPara>
    </w:p>
    <w:p>
      <w:pPr>
        <w:ind w:firstLine="640"/>
        <w:rPr>
          <w:highlight w:val="none"/>
        </w:rPr>
      </w:pPr>
      <w:r>
        <w:rPr>
          <w:rFonts w:hint="eastAsia"/>
          <w:highlight w:val="none"/>
        </w:rPr>
        <w:t>中长期资产包括剩余期限三年期以上的存款、金融企业（公司）债券、非金融企业（公司）债券、政府支持性债券、国际金融组织债券、资产证券化产品、非标准固定收益类投资资产（不含无明确期限非标准固定收益类投资资产）；权益类投资资产中的未上市企业股权、不含保证条款的股权投资计划、股权投资基金、权益类集合资金信托计划、权益类专项产品、债转股投资计划、纳入长期股权投资的</w:t>
      </w:r>
      <w:r>
        <w:rPr>
          <w:rFonts w:hint="eastAsia"/>
          <w:highlight w:val="none"/>
          <w:lang w:eastAsia="zh-CN"/>
        </w:rPr>
        <w:t>普通股</w:t>
      </w:r>
      <w:r>
        <w:rPr>
          <w:rFonts w:hint="eastAsia"/>
          <w:highlight w:val="none"/>
        </w:rPr>
        <w:t>；不动产类投资资产（不含境内公开募集基础设施证券投资基金、境外房地产信托投资基金等）、自用性不动产；商品类投资资产等。对于保险公司投资的单一资产管理计划和面向单一投资者发行的组合类保险资产管理产品、私募理财产品，应当按照穿透原则统计。若保险公司无中长期资产，</w:t>
      </w:r>
      <w:r>
        <w:rPr>
          <w:rFonts w:hint="eastAsia" w:ascii="仿宋_GB2312" w:hAnsi="仿宋_GB2312" w:cs="仿宋_GB2312"/>
          <w:highlight w:val="none"/>
        </w:rPr>
        <w:t>沉淀资产覆盖率取值为100%。</w:t>
      </w:r>
    </w:p>
    <w:p>
      <w:pPr>
        <w:pStyle w:val="4"/>
        <w:ind w:firstLine="640"/>
        <w:rPr>
          <w:rFonts w:hint="eastAsia" w:ascii="楷体_GB2312" w:hAnsi="楷体_GB2312" w:eastAsia="楷体_GB2312" w:cs="楷体_GB2312"/>
          <w:kern w:val="2"/>
          <w:sz w:val="32"/>
          <w:szCs w:val="22"/>
          <w:lang w:val="en-US" w:eastAsia="zh-CN" w:bidi="ar-SA"/>
        </w:rPr>
      </w:pPr>
      <w:r>
        <w:rPr>
          <w:rFonts w:ascii="楷体_GB2312" w:hAnsi="楷体_GB2312" w:eastAsia="楷体_GB2312" w:cs="楷体_GB2312"/>
          <w:kern w:val="2"/>
          <w:sz w:val="32"/>
          <w:szCs w:val="22"/>
          <w:lang w:val="en-US" w:eastAsia="zh-CN" w:bidi="ar-SA"/>
        </w:rPr>
        <w:t>（二）成本收益匹配计量规则</w:t>
      </w:r>
    </w:p>
    <w:p>
      <w:pPr>
        <w:ind w:firstLine="640"/>
        <w:rPr>
          <w:highlight w:val="none"/>
        </w:rPr>
      </w:pPr>
      <w:r>
        <w:rPr>
          <w:rFonts w:hint="eastAsia"/>
          <w:highlight w:val="none"/>
        </w:rPr>
        <w:t>保险公司应当根据要求，分别填报普通账户、传统保险账户、次级债、资本补充债和无固定期限资本债券账户的报告期末成本收益匹配情况和成本收益匹配压力测试情况，在负债资金成本率的计算中不考虑财务再保险安排。公司发行次级债、资本补充债和无固定期限资本债券的，需单独填写次级债、资本补充债和无固定期限资本债券账户。</w:t>
      </w:r>
    </w:p>
    <w:p>
      <w:pPr>
        <w:ind w:firstLine="640"/>
        <w:rPr>
          <w:rFonts w:ascii="仿宋" w:cs="Arial"/>
          <w:highlight w:val="none"/>
        </w:rPr>
      </w:pPr>
      <w:r>
        <w:rPr>
          <w:rFonts w:hint="eastAsia" w:ascii="仿宋" w:cs="Arial"/>
          <w:highlight w:val="none"/>
        </w:rPr>
        <w:t>保险公司应至少每季度评估公司过去一年、过去三年的成本收益匹配情况。</w:t>
      </w:r>
      <w:r>
        <w:rPr>
          <w:rFonts w:hint="eastAsia" w:ascii="仿宋_GB2312" w:hAnsi="仿宋_GB2312" w:cs="仿宋_GB2312"/>
          <w:highlight w:val="none"/>
        </w:rPr>
        <w:t>过去一年是指报告期末过去12个月，过去三年是指报告期末过去第一年至第三年，过去第X年是指报告期末对应过去第X个12个月。</w:t>
      </w:r>
      <w:r>
        <w:rPr>
          <w:rFonts w:hint="eastAsia" w:hAnsi="宋体" w:cs="华文仿宋+FPEF"/>
          <w:color w:val="000000"/>
          <w:kern w:val="0"/>
          <w:highlight w:val="none"/>
        </w:rPr>
        <w:t>开业不满三年的公司，评估从公司开业日期至报告期末对应期间的成本收益匹配情况。</w:t>
      </w:r>
    </w:p>
    <w:p>
      <w:pPr>
        <w:ind w:firstLine="640"/>
        <w:rPr>
          <w:highlight w:val="none"/>
        </w:rPr>
      </w:pPr>
      <w:r>
        <w:rPr>
          <w:rFonts w:hint="eastAsia"/>
          <w:highlight w:val="none"/>
        </w:rPr>
        <w:t>保险公司</w:t>
      </w:r>
      <w:r>
        <w:rPr>
          <w:rFonts w:hint="eastAsia" w:ascii="仿宋" w:cs="Arial"/>
          <w:highlight w:val="none"/>
        </w:rPr>
        <w:t>应至少每年进行一次成本收益匹配压力测试，</w:t>
      </w:r>
      <w:r>
        <w:rPr>
          <w:rFonts w:hint="eastAsia"/>
          <w:highlight w:val="none"/>
        </w:rPr>
        <w:t>成本收益匹配压力测试的测试期间为自评估期末起未来一年。</w:t>
      </w:r>
    </w:p>
    <w:p>
      <w:pPr>
        <w:ind w:firstLine="640"/>
        <w:rPr>
          <w:highlight w:val="none"/>
        </w:rPr>
      </w:pPr>
      <w:r>
        <w:rPr>
          <w:rFonts w:hint="eastAsia"/>
          <w:highlight w:val="none"/>
        </w:rPr>
        <w:t>测试资产包括评估期末的存量资产在测试期间内未来一年末的剩余存量资产，以及预测的新业务或资产到期等因素导致净现金流变化而增加或减少的资产。</w:t>
      </w:r>
    </w:p>
    <w:p>
      <w:pPr>
        <w:ind w:firstLine="640"/>
        <w:rPr>
          <w:highlight w:val="none"/>
        </w:rPr>
      </w:pPr>
      <w:r>
        <w:rPr>
          <w:rFonts w:hint="eastAsia"/>
          <w:highlight w:val="none"/>
        </w:rPr>
        <w:t>测试资产至少包括以下类别：现金及流动性管理工具、境内固定收益类投资资产、境外固定收益类投资资产、境内权益类资产（应分为</w:t>
      </w:r>
      <w:r>
        <w:rPr>
          <w:rFonts w:hint="eastAsia"/>
          <w:highlight w:val="none"/>
          <w:lang w:eastAsia="zh-CN"/>
        </w:rPr>
        <w:t>普通股</w:t>
      </w:r>
      <w:r>
        <w:rPr>
          <w:rFonts w:hint="eastAsia"/>
          <w:highlight w:val="none"/>
        </w:rPr>
        <w:t>和基金、长期股权投资和其他境内权益投资）、境外权益类投资资产、不动产类投资资产、商品类投资资产等。保险公司根据资产的具体风险特征有更细致分类的，可以在上述分类的基础上对资产类别进一步细分。</w:t>
      </w:r>
    </w:p>
    <w:p>
      <w:pPr>
        <w:pStyle w:val="5"/>
        <w:ind w:firstLine="640"/>
        <w:rPr>
          <w:highlight w:val="none"/>
        </w:rPr>
      </w:pPr>
      <w:r>
        <w:rPr>
          <w:rFonts w:hint="eastAsia" w:ascii="仿宋_GB2312" w:hAnsi="仿宋_GB2312" w:cs="仿宋_GB2312"/>
          <w:highlight w:val="none"/>
        </w:rPr>
        <w:t>1.会计投资收益</w:t>
      </w:r>
      <w:r>
        <w:rPr>
          <w:rFonts w:hint="eastAsia"/>
          <w:highlight w:val="none"/>
        </w:rPr>
        <w:t>率及过去第一年平均会计投资收益率</w:t>
      </w:r>
    </w:p>
    <w:p>
      <w:pPr>
        <w:ind w:firstLine="640"/>
        <w:rPr>
          <w:highlight w:val="none"/>
          <w:lang w:val="en-GB"/>
        </w:rPr>
      </w:pPr>
      <w:r>
        <w:rPr>
          <w:rFonts w:hint="eastAsia" w:cs="MS Mincho"/>
          <w:highlight w:val="none"/>
          <w:lang w:val="en-GB"/>
        </w:rPr>
        <w:t>会</w:t>
      </w:r>
      <w:r>
        <w:rPr>
          <w:rFonts w:hint="eastAsia"/>
          <w:highlight w:val="none"/>
          <w:lang w:val="en-GB"/>
        </w:rPr>
        <w:t>计投资收益率不考虑分类</w:t>
      </w:r>
      <w:r>
        <w:rPr>
          <w:rFonts w:hint="eastAsia" w:ascii="仿宋_GB2312" w:hAnsi="仿宋_GB2312" w:cs="仿宋_GB2312"/>
          <w:highlight w:val="none"/>
          <w:lang w:val="en-GB"/>
        </w:rPr>
        <w:t>为FVOCI的</w:t>
      </w:r>
      <w:r>
        <w:rPr>
          <w:rFonts w:hint="eastAsia"/>
          <w:highlight w:val="none"/>
          <w:lang w:val="en-GB"/>
        </w:rPr>
        <w:t>金融资产公允价值变动。</w:t>
      </w:r>
    </w:p>
    <w:p>
      <w:pPr>
        <w:ind w:left="640" w:leftChars="200" w:firstLine="640"/>
        <w:rPr>
          <w:rFonts w:ascii="仿宋_GB2312" w:hAnsi="仿宋" w:cs="宋体"/>
          <w:highlight w:val="none"/>
          <w:lang w:val="en-GB"/>
        </w:rPr>
      </w:pPr>
      <m:oMathPara>
        <m:oMathParaPr>
          <m:jc m:val="left"/>
        </m:oMathParaPr>
        <m:oMath>
          <m:r>
            <m:rPr>
              <m:sty m:val="p"/>
            </m:rPr>
            <w:rPr>
              <w:rFonts w:hint="eastAsia" w:ascii="DejaVu Math TeX Gyre" w:hAnsi="DejaVu Math TeX Gyre"/>
              <w:highlight w:val="none"/>
              <w:lang w:val="en-GB"/>
            </w:rPr>
            <m:t>会计投资收益=</m:t>
          </m:r>
          <m:r>
            <m:rPr>
              <m:sty m:val="p"/>
            </m:rPr>
            <w:rPr>
              <w:rFonts w:hint="eastAsia" w:ascii="DejaVu Math TeX Gyre" w:hAnsi="DejaVu Math TeX Gyre"/>
              <w:highlight w:val="none"/>
            </w:rPr>
            <m:t>利息收入+</m:t>
          </m:r>
          <m:r>
            <m:rPr>
              <m:sty m:val="p"/>
            </m:rPr>
            <w:rPr>
              <w:rFonts w:hint="eastAsia" w:ascii="DejaVu Math TeX Gyre" w:hAnsi="DejaVu Math TeX Gyre"/>
              <w:highlight w:val="none"/>
              <w:lang w:val="en-GB"/>
            </w:rPr>
            <m:t>投资收益+公允价值变动损益+其他投资损益</m:t>
          </m:r>
          <m:r>
            <m:rPr>
              <m:sty m:val="p"/>
            </m:rPr>
            <w:rPr>
              <w:rFonts w:hint="eastAsia" w:ascii="DejaVu Math TeX Gyre" w:hAnsi="DejaVu Math TeX Gyre" w:eastAsia="微软雅黑" w:cs="微软雅黑"/>
              <w:highlight w:val="none"/>
              <w:lang w:val="en-GB"/>
            </w:rPr>
            <m:t>−</m:t>
          </m:r>
          <m:r>
            <m:rPr>
              <m:sty m:val="p"/>
            </m:rPr>
            <w:rPr>
              <w:rFonts w:hint="eastAsia" w:ascii="DejaVu Math TeX Gyre" w:hAnsi="DejaVu Math TeX Gyre"/>
              <w:highlight w:val="none"/>
              <w:lang w:val="en-GB"/>
            </w:rPr>
            <m:t>投资资产减值损失</m:t>
          </m:r>
          <m:r>
            <m:rPr>
              <m:sty m:val="p"/>
            </m:rPr>
            <w:rPr>
              <w:rFonts w:hint="eastAsia" w:ascii="DejaVu Math TeX Gyre" w:hAnsi="DejaVu Math TeX Gyre" w:eastAsia="微软雅黑" w:cs="微软雅黑"/>
              <w:highlight w:val="none"/>
              <w:lang w:val="en-GB"/>
            </w:rPr>
            <m:t>−</m:t>
          </m:r>
          <m:r>
            <m:rPr>
              <m:sty m:val="p"/>
            </m:rPr>
            <w:rPr>
              <w:rFonts w:hint="eastAsia" w:ascii="DejaVu Math TeX Gyre" w:hAnsi="DejaVu Math TeX Gyre"/>
              <w:highlight w:val="none"/>
              <w:lang w:val="en-GB"/>
            </w:rPr>
            <m:t>利息支出</m:t>
          </m:r>
        </m:oMath>
      </m:oMathPara>
    </w:p>
    <w:p>
      <w:pPr>
        <w:ind w:left="640" w:leftChars="200" w:firstLine="640"/>
        <w:rPr>
          <w:rFonts w:ascii="仿宋_GB2312" w:hAnsi="仿宋" w:cs="宋体"/>
          <w:highlight w:val="none"/>
          <w:lang w:val="en-GB"/>
        </w:rPr>
      </w:pPr>
      <m:oMathPara>
        <m:oMathParaPr>
          <m:jc m:val="left"/>
        </m:oMathParaPr>
        <m:oMath>
          <m:r>
            <m:rPr>
              <m:sty m:val="p"/>
            </m:rPr>
            <w:rPr>
              <w:rFonts w:ascii="DejaVu Math TeX Gyre" w:hAnsi="DejaVu Math TeX Gyre" w:cstheme="minorHAnsi"/>
              <w:highlight w:val="none"/>
              <w:lang w:val="en-GB"/>
            </w:rPr>
            <m:t>会计投资收益率=会计投资收益÷资金运用平均净额×</m:t>
          </m:r>
          <m:r>
            <m:rPr>
              <m:sty m:val="p"/>
            </m:rPr>
            <w:rPr>
              <w:rFonts w:hint="eastAsia" w:ascii="DejaVu Math TeX Gyre" w:hAnsi="DejaVu Math TeX Gyre"/>
              <w:highlight w:val="none"/>
            </w:rPr>
            <m:t>1</m:t>
          </m:r>
          <m:r>
            <m:rPr>
              <m:sty m:val="p"/>
            </m:rPr>
            <w:rPr>
              <w:rFonts w:ascii="DejaVu Math TeX Gyre" w:hAnsi="DejaVu Math TeX Gyre"/>
              <w:highlight w:val="none"/>
            </w:rPr>
            <m:t>00%</m:t>
          </m:r>
        </m:oMath>
      </m:oMathPara>
    </w:p>
    <w:p>
      <w:pPr>
        <w:ind w:left="640" w:leftChars="200" w:firstLine="640"/>
        <w:rPr>
          <w:rFonts w:ascii="Cambria Math" w:hAnsi="Cambria Math" w:cstheme="minorHAnsi"/>
          <w:highlight w:val="none"/>
          <w:lang w:val="en-GB"/>
        </w:rPr>
      </w:pPr>
      <m:oMathPara>
        <m:oMathParaPr>
          <m:jc m:val="left"/>
        </m:oMathParaPr>
        <m:oMath>
          <m:r>
            <m:rPr>
              <m:sty m:val="p"/>
            </m:rPr>
            <w:rPr>
              <w:rFonts w:hint="eastAsia" w:ascii="DejaVu Math TeX Gyre" w:hAnsi="DejaVu Math TeX Gyre" w:cstheme="minorHAnsi"/>
              <w:highlight w:val="none"/>
              <w:lang w:val="en-GB"/>
            </w:rPr>
            <m:t>过去第一年平均会计投资收益率=过去第一年的累计会计投资收益÷过去第一年资金运用平均净额×100%</m:t>
          </m:r>
        </m:oMath>
      </m:oMathPara>
    </w:p>
    <w:p>
      <w:pPr>
        <w:ind w:firstLine="640"/>
        <w:rPr>
          <w:highlight w:val="none"/>
          <w:lang w:val="en-GB"/>
        </w:rPr>
      </w:pPr>
      <w:r>
        <w:rPr>
          <w:rFonts w:hint="eastAsia"/>
          <w:highlight w:val="none"/>
          <w:lang w:val="en-GB"/>
        </w:rPr>
        <w:t>其中：</w:t>
      </w:r>
    </w:p>
    <w:p>
      <w:pPr>
        <w:ind w:firstLine="640"/>
        <w:rPr>
          <w:rFonts w:hint="eastAsia" w:ascii="仿宋_GB2312" w:hAnsi="仿宋_GB2312" w:cs="仿宋_GB2312"/>
          <w:highlight w:val="none"/>
        </w:rPr>
      </w:pPr>
      <w:r>
        <w:rPr>
          <w:rFonts w:hint="eastAsia" w:ascii="仿宋_GB2312" w:hAnsi="仿宋_GB2312" w:cs="仿宋_GB2312"/>
          <w:highlight w:val="none"/>
        </w:rPr>
        <w:t>（1）利息收入是指年初至</w:t>
      </w:r>
      <w:r>
        <w:rPr>
          <w:rFonts w:hint="eastAsia"/>
          <w:highlight w:val="none"/>
        </w:rPr>
        <w:t>报告期末的会计分类为“以摊余成本计量”（以下</w:t>
      </w:r>
      <w:r>
        <w:rPr>
          <w:rFonts w:hint="eastAsia" w:ascii="仿宋_GB2312" w:hAnsi="仿宋_GB2312" w:cs="仿宋_GB2312"/>
          <w:highlight w:val="none"/>
        </w:rPr>
        <w:t>简称AC）的、及以分类为FVOCI的债务工具的利息收入，买入返售金融资产、银行活期存款、及银行定期存款等的利息收入等</w:t>
      </w:r>
      <w:r>
        <w:rPr>
          <w:rFonts w:hint="eastAsia" w:ascii="仿宋_GB2312" w:hAnsi="仿宋_GB2312" w:cs="仿宋_GB2312"/>
          <w:highlight w:val="none"/>
          <w:lang w:eastAsia="zh-CN"/>
        </w:rPr>
        <w:t>。</w:t>
      </w:r>
    </w:p>
    <w:p>
      <w:pPr>
        <w:ind w:firstLine="640"/>
        <w:rPr>
          <w:rFonts w:hint="eastAsia" w:eastAsia="仿宋_GB2312"/>
          <w:highlight w:val="none"/>
          <w:lang w:val="en-GB" w:eastAsia="zh-CN"/>
        </w:rPr>
      </w:pPr>
      <w:r>
        <w:rPr>
          <w:rFonts w:ascii="仿宋_GB2312" w:hAnsi="仿宋_GB2312" w:eastAsia="仿宋_GB2312" w:cs="仿宋_GB2312"/>
          <w:kern w:val="2"/>
          <w:sz w:val="32"/>
          <w:szCs w:val="22"/>
          <w:lang w:val="en-US" w:eastAsia="zh-CN" w:bidi="ar-SA"/>
        </w:rPr>
        <w:t>（2）投资收</w:t>
      </w:r>
      <w:r>
        <w:rPr>
          <w:rFonts w:hint="eastAsia" w:ascii="仿宋_GB2312" w:hAnsi="仿宋_GB2312" w:cs="仿宋_GB2312"/>
          <w:highlight w:val="none"/>
          <w:lang w:val="en-GB"/>
        </w:rPr>
        <w:t>益是指年初至报告期末确认的投资收益，包括分类为“以公允价值计量且其变动计入</w:t>
      </w:r>
      <w:r>
        <w:rPr>
          <w:rFonts w:hint="eastAsia" w:ascii="仿宋_GB2312" w:hAnsi="仿宋_GB2312" w:cs="仿宋_GB2312"/>
          <w:highlight w:val="none"/>
        </w:rPr>
        <w:t>当期</w:t>
      </w:r>
      <w:r>
        <w:rPr>
          <w:rFonts w:hint="eastAsia" w:ascii="仿宋_GB2312" w:hAnsi="仿宋_GB2312" w:cs="仿宋_GB2312"/>
          <w:highlight w:val="none"/>
          <w:lang w:val="en-GB"/>
        </w:rPr>
        <w:t>损益”（以下简称</w:t>
      </w:r>
      <w:r>
        <w:rPr>
          <w:rFonts w:hint="eastAsia" w:ascii="仿宋_GB2312" w:hAnsi="仿宋_GB2312" w:eastAsia="仿宋_GB2312" w:cs="仿宋_GB2312"/>
          <w:kern w:val="2"/>
          <w:sz w:val="32"/>
          <w:szCs w:val="22"/>
          <w:lang w:val="en-US" w:eastAsia="zh-CN" w:bidi="ar-SA"/>
        </w:rPr>
        <w:t>FVTPL</w:t>
      </w:r>
      <w:r>
        <w:rPr>
          <w:rFonts w:hint="eastAsia" w:ascii="仿宋_GB2312" w:hAnsi="仿宋_GB2312" w:cs="仿宋_GB2312"/>
          <w:highlight w:val="none"/>
          <w:lang w:val="en-GB"/>
        </w:rPr>
        <w:t>）的金融资产利息收入及处置价差、</w:t>
      </w:r>
      <w:r>
        <w:rPr>
          <w:rFonts w:hint="eastAsia" w:ascii="仿宋_GB2312" w:hAnsi="仿宋_GB2312" w:cs="仿宋_GB2312"/>
          <w:highlight w:val="none"/>
        </w:rPr>
        <w:t>其他</w:t>
      </w:r>
      <w:r>
        <w:rPr>
          <w:rFonts w:hint="eastAsia" w:ascii="仿宋_GB2312" w:hAnsi="仿宋_GB2312" w:cs="仿宋_GB2312"/>
          <w:highlight w:val="none"/>
          <w:lang w:val="en-GB"/>
        </w:rPr>
        <w:t>投资资产处置价差（不含指定为FVOCI的非</w:t>
      </w:r>
      <w:r>
        <w:rPr>
          <w:rFonts w:hint="eastAsia"/>
          <w:highlight w:val="none"/>
          <w:lang w:val="en-GB"/>
        </w:rPr>
        <w:t>交易性权益工具投资的处置损益）、股息红利收入及应占联营企业和合营企业损益等</w:t>
      </w:r>
      <w:r>
        <w:rPr>
          <w:rFonts w:hint="eastAsia"/>
          <w:highlight w:val="none"/>
          <w:lang w:val="en-GB" w:eastAsia="zh-CN"/>
        </w:rPr>
        <w:t>。</w:t>
      </w:r>
    </w:p>
    <w:p>
      <w:pPr>
        <w:ind w:firstLine="640"/>
        <w:rPr>
          <w:rFonts w:hint="eastAsia" w:eastAsia="仿宋_GB2312"/>
          <w:highlight w:val="none"/>
          <w:lang w:val="en-GB" w:eastAsia="zh-CN"/>
        </w:rPr>
      </w:pPr>
      <w:r>
        <w:rPr>
          <w:rFonts w:hint="default" w:ascii="仿宋_GB2312" w:hAnsi="仿宋_GB2312" w:eastAsia="仿宋_GB2312" w:cs="仿宋_GB2312"/>
          <w:kern w:val="2"/>
          <w:sz w:val="32"/>
          <w:szCs w:val="22"/>
          <w:lang w:val="en-US" w:eastAsia="zh-CN" w:bidi="ar-SA"/>
        </w:rPr>
        <w:t>（3）公允价值变</w:t>
      </w:r>
      <w:r>
        <w:rPr>
          <w:rFonts w:hint="eastAsia"/>
          <w:highlight w:val="none"/>
          <w:lang w:val="en-GB"/>
        </w:rPr>
        <w:t>动损益包括分</w:t>
      </w:r>
      <w:r>
        <w:rPr>
          <w:rFonts w:hint="eastAsia" w:ascii="仿宋_GB2312" w:hAnsi="仿宋_GB2312" w:cs="仿宋_GB2312"/>
          <w:highlight w:val="none"/>
          <w:lang w:val="en-GB"/>
        </w:rPr>
        <w:t>类为</w:t>
      </w:r>
      <w:r>
        <w:rPr>
          <w:rFonts w:hint="eastAsia" w:ascii="仿宋_GB2312" w:hAnsi="仿宋_GB2312" w:eastAsia="仿宋_GB2312" w:cs="仿宋_GB2312"/>
          <w:kern w:val="2"/>
          <w:sz w:val="32"/>
          <w:szCs w:val="22"/>
          <w:lang w:val="en-US" w:eastAsia="zh-CN" w:bidi="ar-SA"/>
        </w:rPr>
        <w:t>FVTPL</w:t>
      </w:r>
      <w:r>
        <w:rPr>
          <w:rFonts w:hint="eastAsia" w:ascii="仿宋_GB2312" w:hAnsi="仿宋_GB2312" w:cs="仿宋_GB2312"/>
          <w:highlight w:val="none"/>
          <w:lang w:val="en-GB"/>
        </w:rPr>
        <w:t>的金融资</w:t>
      </w:r>
      <w:r>
        <w:rPr>
          <w:rFonts w:hint="eastAsia"/>
          <w:highlight w:val="none"/>
          <w:lang w:val="en-GB"/>
        </w:rPr>
        <w:t>产、投资性房地产及金融衍生工具年初至报告期末的公允价值变动</w:t>
      </w:r>
      <w:r>
        <w:rPr>
          <w:rFonts w:hint="eastAsia"/>
          <w:highlight w:val="none"/>
          <w:lang w:val="en-GB" w:eastAsia="zh-CN"/>
        </w:rPr>
        <w:t>。</w:t>
      </w:r>
    </w:p>
    <w:p>
      <w:pPr>
        <w:ind w:firstLine="640"/>
        <w:rPr>
          <w:rFonts w:ascii="仿宋_GB2312" w:hAnsi="仿宋_GB2312" w:eastAsia="仿宋_GB2312" w:cs="仿宋_GB2312"/>
          <w:kern w:val="2"/>
          <w:sz w:val="32"/>
          <w:szCs w:val="22"/>
          <w:lang w:val="en-US" w:eastAsia="zh-CN" w:bidi="ar-SA"/>
        </w:rPr>
      </w:pPr>
      <w:r>
        <w:rPr>
          <w:rFonts w:hint="default" w:ascii="仿宋_GB2312" w:hAnsi="仿宋_GB2312" w:eastAsia="仿宋_GB2312" w:cs="仿宋_GB2312"/>
          <w:kern w:val="2"/>
          <w:sz w:val="32"/>
          <w:szCs w:val="22"/>
          <w:lang w:val="en-US" w:eastAsia="zh-CN" w:bidi="ar-SA"/>
        </w:rPr>
        <w:t>（4）其他投资损益包括年初至报告期末的投融资活动汇兑损益、投资性房地产租金收入、长期股权投资计入营业外收入的部分等</w:t>
      </w:r>
      <w:r>
        <w:rPr>
          <w:rFonts w:hint="eastAsia" w:ascii="仿宋_GB2312" w:hAnsi="仿宋_GB2312" w:cs="仿宋_GB2312"/>
          <w:kern w:val="2"/>
          <w:sz w:val="32"/>
          <w:szCs w:val="22"/>
          <w:lang w:val="en-US" w:eastAsia="zh-CN" w:bidi="ar-SA"/>
        </w:rPr>
        <w:t>。</w:t>
      </w:r>
    </w:p>
    <w:p>
      <w:pPr>
        <w:ind w:firstLine="640"/>
        <w:rPr>
          <w:rFonts w:ascii="仿宋_GB2312" w:hAnsi="仿宋_GB2312" w:eastAsia="仿宋_GB2312" w:cs="仿宋_GB2312"/>
          <w:kern w:val="2"/>
          <w:sz w:val="32"/>
          <w:szCs w:val="22"/>
          <w:lang w:val="en-US" w:eastAsia="zh-CN" w:bidi="ar-SA"/>
        </w:rPr>
      </w:pPr>
      <w:r>
        <w:rPr>
          <w:rFonts w:hint="default" w:ascii="仿宋_GB2312" w:hAnsi="仿宋_GB2312" w:eastAsia="仿宋_GB2312" w:cs="仿宋_GB2312"/>
          <w:kern w:val="2"/>
          <w:sz w:val="32"/>
          <w:szCs w:val="22"/>
          <w:lang w:val="en-US" w:eastAsia="zh-CN" w:bidi="ar-SA"/>
        </w:rPr>
        <w:t>（5）投资资产减值损失是指年初至报告期末确认的信用减值损失和其他资产减值损失金额</w:t>
      </w:r>
      <w:r>
        <w:rPr>
          <w:rFonts w:hint="eastAsia" w:ascii="仿宋_GB2312" w:hAnsi="仿宋_GB2312" w:cs="仿宋_GB2312"/>
          <w:kern w:val="2"/>
          <w:sz w:val="32"/>
          <w:szCs w:val="22"/>
          <w:lang w:val="en-US" w:eastAsia="zh-CN" w:bidi="ar-SA"/>
        </w:rPr>
        <w:t>。</w:t>
      </w:r>
    </w:p>
    <w:p>
      <w:pPr>
        <w:ind w:firstLine="640"/>
        <w:rPr>
          <w:rFonts w:ascii="仿宋_GB2312" w:hAnsi="仿宋_GB2312" w:eastAsia="仿宋_GB2312" w:cs="仿宋_GB2312"/>
          <w:kern w:val="2"/>
          <w:sz w:val="32"/>
          <w:szCs w:val="22"/>
          <w:lang w:val="en-US" w:eastAsia="zh-CN" w:bidi="ar-SA"/>
        </w:rPr>
      </w:pPr>
      <w:r>
        <w:rPr>
          <w:rFonts w:hint="default" w:ascii="仿宋_GB2312" w:hAnsi="仿宋_GB2312" w:eastAsia="仿宋_GB2312" w:cs="仿宋_GB2312"/>
          <w:kern w:val="2"/>
          <w:sz w:val="32"/>
          <w:szCs w:val="22"/>
          <w:lang w:val="en-US" w:eastAsia="zh-CN" w:bidi="ar-SA"/>
        </w:rPr>
        <w:t>（6）利息支出指保险公司年初至报告期末的融资活动所支付的利息，不包括次级债、资本补充债和无固定期限资本债券所支付的利息。次级债、资本补充债和无固定期限资本债券所支付的利息在次级债、资本补充债和无固定期限资本债券账户的负债成本率中计算</w:t>
      </w:r>
      <w:r>
        <w:rPr>
          <w:rFonts w:hint="eastAsia" w:ascii="仿宋_GB2312" w:hAnsi="仿宋_GB2312" w:cs="仿宋_GB2312"/>
          <w:kern w:val="2"/>
          <w:sz w:val="32"/>
          <w:szCs w:val="22"/>
          <w:lang w:val="en-US" w:eastAsia="zh-CN" w:bidi="ar-SA"/>
        </w:rPr>
        <w:t>。</w:t>
      </w:r>
    </w:p>
    <w:p>
      <w:pPr>
        <w:ind w:firstLine="640"/>
        <w:rPr>
          <w:rFonts w:ascii="仿宋_GB2312" w:hAnsi="仿宋_GB2312" w:eastAsia="仿宋_GB2312" w:cs="仿宋_GB2312"/>
          <w:kern w:val="2"/>
          <w:sz w:val="32"/>
          <w:szCs w:val="22"/>
          <w:lang w:val="en-US" w:eastAsia="zh-CN" w:bidi="ar-SA"/>
        </w:rPr>
      </w:pPr>
      <w:r>
        <w:rPr>
          <w:rFonts w:hint="default" w:ascii="仿宋_GB2312" w:hAnsi="仿宋_GB2312" w:eastAsia="仿宋_GB2312" w:cs="仿宋_GB2312"/>
          <w:kern w:val="2"/>
          <w:sz w:val="32"/>
          <w:szCs w:val="22"/>
          <w:lang w:val="en-US" w:eastAsia="zh-CN" w:bidi="ar-SA"/>
        </w:rPr>
        <w:t>（7）以上均需要考虑增值税进项税、销项税的影响</w:t>
      </w:r>
      <w:r>
        <w:rPr>
          <w:rFonts w:hint="eastAsia" w:ascii="仿宋_GB2312" w:hAnsi="仿宋_GB2312" w:cs="仿宋_GB2312"/>
          <w:kern w:val="2"/>
          <w:sz w:val="32"/>
          <w:szCs w:val="22"/>
          <w:lang w:val="en-US" w:eastAsia="zh-CN" w:bidi="ar-SA"/>
        </w:rPr>
        <w:t>。</w:t>
      </w:r>
    </w:p>
    <w:p>
      <w:pPr>
        <w:ind w:firstLine="640"/>
        <w:rPr>
          <w:rFonts w:ascii="仿宋_GB2312" w:hAnsi="仿宋_GB2312" w:eastAsia="仿宋_GB2312" w:cs="仿宋_GB2312"/>
          <w:kern w:val="2"/>
          <w:sz w:val="32"/>
          <w:szCs w:val="22"/>
          <w:lang w:val="en-US" w:eastAsia="zh-CN" w:bidi="ar-SA"/>
        </w:rPr>
      </w:pPr>
      <w:r>
        <w:rPr>
          <w:rFonts w:hint="default" w:ascii="仿宋_GB2312" w:hAnsi="仿宋_GB2312" w:eastAsia="仿宋_GB2312" w:cs="仿宋_GB2312"/>
          <w:kern w:val="2"/>
          <w:sz w:val="32"/>
          <w:szCs w:val="22"/>
          <w:lang w:val="en-US" w:eastAsia="zh-CN" w:bidi="ar-SA"/>
        </w:rPr>
        <w:t>（8）资金运用净额=资金运用余额-卖出回购证券，采用账面价值口径；月度资金运用平均净额=（月初资金运用净额+月末资金运用净额）÷2；年初至报告期末资金运用平均净额为年初至报告期末各月月度资金运用平均净额的算术平均值；过去第一年资金运用平均净额为报告期末过去12个月的月度资金运用平均净额的算术平均值；允许选择更精确的平均资金占用计算方式，如按天加权平均。</w:t>
      </w:r>
    </w:p>
    <w:p>
      <w:pPr>
        <w:widowControl w:val="0"/>
        <w:adjustRightInd w:val="0"/>
        <w:snapToGrid w:val="0"/>
        <w:spacing w:line="560" w:lineRule="exact"/>
        <w:ind w:firstLine="640" w:firstLineChars="200"/>
        <w:rPr>
          <w:highlight w:val="none"/>
        </w:rPr>
      </w:pPr>
      <w:r>
        <w:rPr>
          <w:rFonts w:hint="default" w:ascii="仿宋_GB2312" w:hAnsi="仿宋_GB2312" w:eastAsia="仿宋_GB2312" w:cs="仿宋_GB2312"/>
          <w:kern w:val="2"/>
          <w:sz w:val="32"/>
          <w:szCs w:val="22"/>
          <w:lang w:val="en-US" w:eastAsia="zh-CN" w:bidi="ar-SA"/>
        </w:rPr>
        <w:t>2.净投</w:t>
      </w:r>
      <w:r>
        <w:rPr>
          <w:rFonts w:hint="eastAsia"/>
          <w:highlight w:val="none"/>
        </w:rPr>
        <w:t>资收益率及过去第一年净投资收益率的计算</w:t>
      </w:r>
    </w:p>
    <w:p>
      <w:pPr>
        <w:ind w:firstLine="640"/>
        <w:rPr>
          <w:highlight w:val="none"/>
          <w:lang w:val="en-GB"/>
        </w:rPr>
      </w:pPr>
      <w:r>
        <w:rPr>
          <w:rFonts w:hint="eastAsia"/>
          <w:highlight w:val="none"/>
          <w:lang w:val="en-GB"/>
        </w:rPr>
        <w:t>净投资收益包括利息收入和分</w:t>
      </w:r>
      <w:r>
        <w:rPr>
          <w:rFonts w:hint="eastAsia" w:ascii="仿宋_GB2312" w:hAnsi="仿宋_GB2312" w:cs="仿宋_GB2312"/>
          <w:highlight w:val="none"/>
          <w:lang w:val="en-GB"/>
        </w:rPr>
        <w:t>类为</w:t>
      </w:r>
      <w:r>
        <w:rPr>
          <w:rFonts w:hint="eastAsia" w:ascii="仿宋_GB2312" w:hAnsi="仿宋_GB2312" w:eastAsia="仿宋_GB2312" w:cs="仿宋_GB2312"/>
          <w:kern w:val="2"/>
          <w:sz w:val="32"/>
          <w:szCs w:val="22"/>
          <w:lang w:val="en-US" w:eastAsia="zh-CN" w:bidi="ar-SA"/>
        </w:rPr>
        <w:t>FVTPL</w:t>
      </w:r>
      <w:r>
        <w:rPr>
          <w:rFonts w:hint="eastAsia" w:ascii="仿宋_GB2312" w:hAnsi="仿宋_GB2312" w:cs="仿宋_GB2312"/>
          <w:highlight w:val="none"/>
          <w:lang w:val="en-GB"/>
        </w:rPr>
        <w:t>金融资</w:t>
      </w:r>
      <w:r>
        <w:rPr>
          <w:rFonts w:hint="eastAsia"/>
          <w:highlight w:val="none"/>
          <w:lang w:val="en-GB"/>
        </w:rPr>
        <w:t>产的利息收入，股息红利收入，以及投资性房地产租金收入等，并扣除利息支出。</w:t>
      </w:r>
    </w:p>
    <w:p>
      <w:pPr>
        <w:ind w:left="640" w:leftChars="200" w:firstLine="640"/>
        <w:rPr>
          <w:rFonts w:ascii="仿宋_GB2312" w:hAnsi="Cambria Math" w:cs="宋体"/>
          <w:highlight w:val="none"/>
          <w:lang w:val="en-GB"/>
        </w:rPr>
      </w:pPr>
      <m:oMathPara>
        <m:oMathParaPr>
          <m:jc m:val="left"/>
        </m:oMathParaPr>
        <m:oMath>
          <m:r>
            <m:rPr>
              <m:sty m:val="p"/>
            </m:rPr>
            <w:rPr>
              <w:rFonts w:hint="eastAsia" w:ascii="DejaVu Math TeX Gyre" w:hAnsi="DejaVu Math TeX Gyre"/>
              <w:highlight w:val="none"/>
            </w:rPr>
            <m:t>净投资收益率=净投资收益÷资金运用平均净额×100%</m:t>
          </m:r>
        </m:oMath>
      </m:oMathPara>
    </w:p>
    <w:p>
      <w:pPr>
        <w:ind w:left="640" w:leftChars="200" w:firstLine="640"/>
        <w:rPr>
          <w:rFonts w:ascii="Cambria Math" w:hAnsi="Cambria Math"/>
          <w:highlight w:val="none"/>
        </w:rPr>
      </w:pPr>
      <m:oMathPara>
        <m:oMathParaPr>
          <m:jc m:val="left"/>
        </m:oMathParaPr>
        <m:oMath>
          <m:r>
            <m:rPr>
              <m:sty m:val="p"/>
            </m:rPr>
            <w:rPr>
              <w:rFonts w:hint="eastAsia" w:ascii="DejaVu Math TeX Gyre" w:hAnsi="DejaVu Math TeX Gyre"/>
              <w:highlight w:val="none"/>
            </w:rPr>
            <m:t>过去第一年平均净投资收益率=过去第一年的累计净投资收益÷过去第一年资金运用平均净额×100%</m:t>
          </m:r>
        </m:oMath>
      </m:oMathPara>
    </w:p>
    <w:p>
      <w:pPr>
        <w:pStyle w:val="5"/>
        <w:ind w:firstLine="640"/>
        <w:rPr>
          <w:highlight w:val="none"/>
          <w:lang w:val="en-GB"/>
        </w:rPr>
      </w:pPr>
      <w:r>
        <w:rPr>
          <w:rFonts w:hint="eastAsia" w:ascii="仿宋_GB2312" w:hAnsi="仿宋_GB2312" w:cs="仿宋_GB2312"/>
          <w:highlight w:val="none"/>
          <w:lang w:val="en-GB"/>
        </w:rPr>
        <w:t>3.综合投资收益</w:t>
      </w:r>
      <w:r>
        <w:rPr>
          <w:rFonts w:hint="eastAsia"/>
          <w:highlight w:val="none"/>
          <w:lang w:val="en-GB"/>
        </w:rPr>
        <w:t>率</w:t>
      </w:r>
      <w:r>
        <w:rPr>
          <w:rFonts w:hint="eastAsia"/>
          <w:highlight w:val="none"/>
        </w:rPr>
        <w:t>、过去第一年平均</w:t>
      </w:r>
      <w:r>
        <w:rPr>
          <w:rFonts w:hint="eastAsia"/>
          <w:highlight w:val="none"/>
          <w:lang w:val="en-GB"/>
        </w:rPr>
        <w:t>综合投资收益率、过去三年平均综合投资收益率的计算</w:t>
      </w:r>
    </w:p>
    <w:p>
      <w:pPr>
        <w:ind w:firstLine="640"/>
        <w:rPr>
          <w:highlight w:val="none"/>
          <w:lang w:val="en-GB"/>
        </w:rPr>
      </w:pPr>
      <w:r>
        <w:rPr>
          <w:rFonts w:hint="eastAsia" w:cs="宋体"/>
          <w:highlight w:val="none"/>
          <w:lang w:val="en-GB"/>
        </w:rPr>
        <w:t>综</w:t>
      </w:r>
      <w:r>
        <w:rPr>
          <w:rFonts w:hint="eastAsia"/>
          <w:highlight w:val="none"/>
          <w:lang w:val="en-GB"/>
        </w:rPr>
        <w:t>合投资收益率应考虑分</w:t>
      </w:r>
      <w:r>
        <w:rPr>
          <w:rFonts w:hint="eastAsia" w:ascii="仿宋_GB2312" w:hAnsi="仿宋_GB2312" w:cs="仿宋_GB2312"/>
          <w:highlight w:val="none"/>
          <w:lang w:val="en-GB"/>
        </w:rPr>
        <w:t>类为FVOCI金融资产</w:t>
      </w:r>
      <w:r>
        <w:rPr>
          <w:rFonts w:hint="eastAsia" w:ascii="仿宋_GB2312" w:hAnsi="仿宋_GB2312" w:cs="仿宋_GB2312"/>
          <w:highlight w:val="none"/>
        </w:rPr>
        <w:t>的</w:t>
      </w:r>
      <w:r>
        <w:rPr>
          <w:rFonts w:hint="eastAsia" w:ascii="仿宋_GB2312" w:hAnsi="仿宋_GB2312" w:cs="仿宋_GB2312"/>
          <w:highlight w:val="none"/>
          <w:lang w:val="en-GB"/>
        </w:rPr>
        <w:t>公允价值变动、指定为FVOCI的非交易性权益</w:t>
      </w:r>
      <w:r>
        <w:rPr>
          <w:rFonts w:hint="eastAsia"/>
          <w:highlight w:val="none"/>
          <w:lang w:val="en-GB"/>
        </w:rPr>
        <w:t>工具投资的处置损益。</w:t>
      </w:r>
    </w:p>
    <w:p>
      <w:pPr>
        <w:ind w:left="640" w:leftChars="200" w:firstLine="640"/>
        <w:rPr>
          <w:rFonts w:ascii="宋体" w:hAnsi="Cambria Math" w:cs="宋体"/>
          <w:sz w:val="30"/>
          <w:szCs w:val="30"/>
          <w:highlight w:val="none"/>
          <w:lang w:val="en-GB"/>
        </w:rPr>
      </w:pPr>
      <m:oMathPara>
        <m:oMathParaPr>
          <m:jc m:val="left"/>
        </m:oMathParaPr>
        <m:oMath>
          <m:r>
            <m:rPr>
              <m:sty m:val="p"/>
            </m:rPr>
            <w:rPr>
              <w:rFonts w:hint="eastAsia" w:ascii="DejaVu Math TeX Gyre" w:hAnsi="DejaVu Math TeX Gyre"/>
              <w:highlight w:val="none"/>
            </w:rPr>
            <m:t>综合投资收益=利息收入+投资收益+公允价值变动损益+其他投资损益+FVOCI金融资产的公允价值变动+FVOCI非交易性权益工具投资的处置损益</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highlight w:val="none"/>
            </w:rPr>
            <m:t>投资资产减值损失</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highlight w:val="none"/>
            </w:rPr>
            <m:t>利息支出</m:t>
          </m:r>
          <m:r>
            <m:rPr>
              <m:sty m:val="p"/>
            </m:rPr>
            <w:rPr>
              <w:rFonts w:hint="eastAsia" w:ascii="DejaVu Math TeX Gyre" w:hAnsi="DejaVu Math TeX Gyre"/>
              <w:szCs w:val="32"/>
              <w:highlight w:val="none"/>
              <w:lang w:val="en-GB"/>
            </w:rPr>
            <w:br w:type="textWrapping"/>
          </m:r>
        </m:oMath>
      </m:oMathPara>
      <m:oMathPara>
        <m:oMathParaPr>
          <m:jc m:val="left"/>
        </m:oMathParaPr>
        <m:oMath>
          <m:r>
            <m:rPr>
              <m:sty m:val="p"/>
            </m:rPr>
            <w:rPr>
              <w:rFonts w:hint="eastAsia" w:ascii="DejaVu Math TeX Gyre" w:hAnsi="DejaVu Math TeX Gyre"/>
              <w:highlight w:val="none"/>
            </w:rPr>
            <m:t>综合投资收益率=综合投资收益÷资金运用平均净额×100%</m:t>
          </m:r>
        </m:oMath>
      </m:oMathPara>
    </w:p>
    <w:p>
      <w:pPr>
        <w:ind w:left="640" w:leftChars="200" w:firstLine="640"/>
        <w:rPr>
          <w:rFonts w:ascii="Cambria Math" w:hAnsi="Cambria Math"/>
          <w:highlight w:val="none"/>
        </w:rPr>
      </w:pPr>
      <m:oMathPara>
        <m:oMathParaPr>
          <m:jc m:val="left"/>
        </m:oMathParaPr>
        <m:oMath>
          <m:r>
            <m:rPr>
              <m:sty m:val="p"/>
            </m:rPr>
            <w:rPr>
              <w:rFonts w:hint="eastAsia" w:ascii="DejaVu Math TeX Gyre" w:hAnsi="DejaVu Math TeX Gyre"/>
              <w:highlight w:val="none"/>
            </w:rPr>
            <m:t>过去第一年平均综合投资收益率=过去第一年的累计综合投资收益÷过去第一年资金运用平均净额×100%</m:t>
          </m:r>
        </m:oMath>
      </m:oMathPara>
    </w:p>
    <w:p>
      <w:pPr>
        <w:ind w:left="640" w:leftChars="200" w:firstLine="640"/>
        <w:rPr>
          <w:rFonts w:ascii="Cambria Math" w:hAnsi="Cambria Math"/>
          <w:szCs w:val="30"/>
          <w:highlight w:val="none"/>
        </w:rPr>
      </w:pPr>
      <m:oMathPara>
        <m:oMath>
          <m:r>
            <m:rPr>
              <m:sty m:val="p"/>
            </m:rPr>
            <w:rPr>
              <w:rFonts w:ascii="DejaVu Math TeX Gyre" w:hAnsi="DejaVu Math TeX Gyre" w:cstheme="minorHAnsi"/>
              <w:szCs w:val="30"/>
              <w:highlight w:val="none"/>
            </w:rPr>
            <m:t>过去三年平均综合投资收益率=</m:t>
          </m:r>
          <m:d>
            <m:dPr>
              <m:begChr m:val="["/>
              <m:endChr m:val="]"/>
              <m:ctrlPr>
                <w:rPr>
                  <w:rFonts w:ascii="DejaVu Math TeX Gyre" w:hAnsi="DejaVu Math TeX Gyre" w:cstheme="minorHAnsi"/>
                  <w:szCs w:val="30"/>
                  <w:highlight w:val="none"/>
                </w:rPr>
              </m:ctrlPr>
            </m:dPr>
            <m:e>
              <m:d>
                <m:dPr>
                  <m:ctrlPr>
                    <w:rPr>
                      <w:rFonts w:ascii="DejaVu Math TeX Gyre" w:hAnsi="DejaVu Math TeX Gyre" w:cstheme="minorHAnsi"/>
                      <w:szCs w:val="30"/>
                      <w:highlight w:val="none"/>
                    </w:rPr>
                  </m:ctrlPr>
                </m:dPr>
                <m:e>
                  <m:r>
                    <m:rPr>
                      <m:sty m:val="p"/>
                    </m:rPr>
                    <w:rPr>
                      <w:rFonts w:ascii="DejaVu Math TeX Gyre" w:hAnsi="DejaVu Math TeX Gyre" w:cstheme="minorHAnsi"/>
                      <w:szCs w:val="30"/>
                      <w:highlight w:val="none"/>
                    </w:rPr>
                    <m:t>1+过去第一年平均综合投资收益率</m:t>
                  </m:r>
                  <m:ctrlPr>
                    <w:rPr>
                      <w:rFonts w:ascii="DejaVu Math TeX Gyre" w:hAnsi="DejaVu Math TeX Gyre" w:cstheme="minorHAnsi"/>
                      <w:szCs w:val="30"/>
                      <w:highlight w:val="none"/>
                    </w:rPr>
                  </m:ctrlPr>
                </m:e>
              </m:d>
              <m:r>
                <m:rPr>
                  <m:sty m:val="p"/>
                </m:rPr>
                <w:rPr>
                  <w:rFonts w:ascii="DejaVu Math TeX Gyre" w:hAnsi="DejaVu Math TeX Gyre" w:cstheme="minorHAnsi"/>
                  <w:szCs w:val="30"/>
                  <w:highlight w:val="none"/>
                </w:rPr>
                <m:t>×</m:t>
              </m:r>
              <m:d>
                <m:dPr>
                  <m:ctrlPr>
                    <w:rPr>
                      <w:rFonts w:ascii="DejaVu Math TeX Gyre" w:hAnsi="DejaVu Math TeX Gyre" w:cstheme="minorHAnsi"/>
                      <w:szCs w:val="30"/>
                      <w:highlight w:val="none"/>
                    </w:rPr>
                  </m:ctrlPr>
                </m:dPr>
                <m:e>
                  <m:r>
                    <m:rPr>
                      <m:sty m:val="p"/>
                    </m:rPr>
                    <w:rPr>
                      <w:rFonts w:ascii="DejaVu Math TeX Gyre" w:hAnsi="DejaVu Math TeX Gyre" w:cstheme="minorHAnsi"/>
                      <w:szCs w:val="30"/>
                      <w:highlight w:val="none"/>
                    </w:rPr>
                    <m:t>1+过去第二年平均综合投资收益率</m:t>
                  </m:r>
                  <m:ctrlPr>
                    <w:rPr>
                      <w:rFonts w:ascii="DejaVu Math TeX Gyre" w:hAnsi="DejaVu Math TeX Gyre" w:cstheme="minorHAnsi"/>
                      <w:szCs w:val="30"/>
                      <w:highlight w:val="none"/>
                    </w:rPr>
                  </m:ctrlPr>
                </m:e>
              </m:d>
              <m:r>
                <m:rPr>
                  <m:sty m:val="p"/>
                </m:rPr>
                <w:rPr>
                  <w:rFonts w:ascii="DejaVu Math TeX Gyre" w:hAnsi="DejaVu Math TeX Gyre" w:cstheme="minorHAnsi"/>
                  <w:szCs w:val="30"/>
                  <w:highlight w:val="none"/>
                </w:rPr>
                <m:t>×</m:t>
              </m:r>
              <m:d>
                <m:dPr>
                  <m:ctrlPr>
                    <w:rPr>
                      <w:rFonts w:ascii="DejaVu Math TeX Gyre" w:hAnsi="DejaVu Math TeX Gyre" w:cstheme="minorHAnsi"/>
                      <w:szCs w:val="30"/>
                      <w:highlight w:val="none"/>
                    </w:rPr>
                  </m:ctrlPr>
                </m:dPr>
                <m:e>
                  <m:r>
                    <m:rPr>
                      <m:sty m:val="p"/>
                    </m:rPr>
                    <w:rPr>
                      <w:rFonts w:ascii="DejaVu Math TeX Gyre" w:hAnsi="DejaVu Math TeX Gyre" w:cstheme="minorHAnsi"/>
                      <w:szCs w:val="30"/>
                      <w:highlight w:val="none"/>
                    </w:rPr>
                    <m:t>1+过去第三年平均综合投资收益率</m:t>
                  </m:r>
                  <m:ctrlPr>
                    <w:rPr>
                      <w:rFonts w:ascii="DejaVu Math TeX Gyre" w:hAnsi="DejaVu Math TeX Gyre" w:cstheme="minorHAnsi"/>
                      <w:szCs w:val="30"/>
                      <w:highlight w:val="none"/>
                    </w:rPr>
                  </m:ctrlPr>
                </m:e>
              </m:d>
              <m:ctrlPr>
                <w:rPr>
                  <w:rFonts w:ascii="DejaVu Math TeX Gyre" w:hAnsi="DejaVu Math TeX Gyre" w:cstheme="minorHAnsi"/>
                  <w:szCs w:val="30"/>
                  <w:highlight w:val="none"/>
                </w:rPr>
              </m:ctrlPr>
            </m:e>
          </m:d>
          <m:r>
            <m:rPr>
              <m:sty m:val="p"/>
            </m:rPr>
            <w:rPr>
              <w:rFonts w:ascii="DejaVu Math TeX Gyre" w:hAnsi="DejaVu Math TeX Gyre" w:cstheme="minorHAnsi"/>
              <w:szCs w:val="30"/>
              <w:highlight w:val="none"/>
            </w:rPr>
            <m:t>^(1/3)</m:t>
          </m:r>
          <m:r>
            <m:rPr>
              <m:sty m:val="p"/>
            </m:rPr>
            <w:rPr>
              <w:rFonts w:ascii="DejaVu Math TeX Gyre" w:hAnsi="DejaVu Math TeX Gyre" w:eastAsia="微软雅黑" w:cstheme="minorHAnsi"/>
              <w:szCs w:val="30"/>
              <w:highlight w:val="none"/>
            </w:rPr>
            <m:t>−</m:t>
          </m:r>
          <m:r>
            <m:rPr>
              <m:sty m:val="p"/>
            </m:rPr>
            <w:rPr>
              <w:rFonts w:ascii="DejaVu Math TeX Gyre" w:hAnsi="DejaVu Math TeX Gyre" w:cstheme="minorHAnsi"/>
              <w:szCs w:val="30"/>
              <w:highlight w:val="none"/>
            </w:rPr>
            <m:t>1</m:t>
          </m:r>
        </m:oMath>
      </m:oMathPara>
    </w:p>
    <w:p>
      <w:pPr>
        <w:ind w:firstLine="640"/>
        <w:rPr>
          <w:highlight w:val="none"/>
        </w:rPr>
      </w:pPr>
      <w:r>
        <w:rPr>
          <w:rFonts w:hint="eastAsia" w:ascii="仿宋_GB2312" w:hAnsi="仿宋_GB2312" w:cs="仿宋_GB2312"/>
          <w:highlight w:val="none"/>
        </w:rPr>
        <w:t>其中，过去第X年平均综合投资收益率是指报告期末对应过去第X个12个月平均综合投资收益率。开业不满三年的公司，采用从公司开业日期至报告期末的平均年化综合投资收益率。公司按照《企业会计准则第22号——金融工具确认和计量》（财会</w:t>
      </w:r>
      <w:r>
        <w:rPr>
          <w:rFonts w:hint="eastAsia" w:ascii="仿宋_GB2312" w:hAnsi="仿宋_GB2312" w:cs="仿宋_GB2312"/>
          <w:highlight w:val="none"/>
          <w:lang w:val="en-GB"/>
        </w:rPr>
        <w:t>〔2006〕</w:t>
      </w:r>
      <w:r>
        <w:rPr>
          <w:rFonts w:hint="eastAsia" w:ascii="仿宋_GB2312" w:hAnsi="仿宋_GB2312" w:cs="仿宋_GB2312"/>
          <w:highlight w:val="none"/>
        </w:rPr>
        <w:t>3号）第三十五条，将固定收益类投资资产进行会计重分类的，应当在该报告期计算综合投资收益率的分子和分母中剔除由于固定收益类投资资产会计重分类造成的一次性影响。</w:t>
      </w:r>
    </w:p>
    <w:p>
      <w:pPr>
        <w:ind w:left="640" w:leftChars="200" w:firstLine="640"/>
        <w:rPr>
          <w:rFonts w:ascii="仿宋_GB2312" w:hAnsi="Cambria Math" w:cs="宋体"/>
          <w:szCs w:val="32"/>
          <w:highlight w:val="none"/>
          <w:lang w:val="en-GB"/>
        </w:rPr>
      </w:pPr>
      <m:oMathPara>
        <m:oMathParaPr>
          <m:jc m:val="left"/>
        </m:oMathParaPr>
        <m:oMath>
          <m:r>
            <m:rPr>
              <m:sty m:val="p"/>
            </m:rPr>
            <w:rPr>
              <w:rFonts w:ascii="DejaVu Math TeX Gyre" w:hAnsi="DejaVu Math TeX Gyre" w:cstheme="minorHAnsi"/>
              <w:szCs w:val="32"/>
              <w:highlight w:val="none"/>
            </w:rPr>
            <m:t>调整后的</m:t>
          </m:r>
          <m:r>
            <m:rPr>
              <m:sty m:val="p"/>
            </m:rPr>
            <w:rPr>
              <w:rFonts w:ascii="DejaVu Math TeX Gyre" w:hAnsi="DejaVu Math TeX Gyre" w:cstheme="minorHAnsi"/>
              <w:szCs w:val="32"/>
              <w:highlight w:val="none"/>
              <w:lang w:val="en-GB"/>
            </w:rPr>
            <m:t>综合投资收益率=</m:t>
          </m:r>
          <m:r>
            <m:rPr>
              <m:sty m:val="p"/>
            </m:rPr>
            <w:rPr>
              <w:rFonts w:ascii="DejaVu Math TeX Gyre" w:hAnsi="DejaVu Math TeX Gyre" w:cstheme="minorHAnsi"/>
              <w:highlight w:val="none"/>
            </w:rPr>
            <m:t>（综合投资收益</m:t>
          </m:r>
          <m:r>
            <m:rPr>
              <m:sty m:val="p"/>
            </m:rPr>
            <w:rPr>
              <w:rFonts w:ascii="DejaVu Math TeX Gyre" w:hAnsi="DejaVu Math TeX Gyre" w:eastAsia="微软雅黑" w:cstheme="minorHAnsi"/>
              <w:highlight w:val="none"/>
            </w:rPr>
            <m:t>−</m:t>
          </m:r>
          <m:r>
            <m:rPr>
              <m:sty m:val="p"/>
            </m:rPr>
            <w:rPr>
              <w:rFonts w:ascii="DejaVu Math TeX Gyre" w:hAnsi="DejaVu Math TeX Gyre" w:cstheme="minorHAnsi"/>
              <w:highlight w:val="none"/>
            </w:rPr>
            <m:t>FVOCI债务工具公允价值变动）÷调整后的资金运用平均净额×100%</m:t>
          </m:r>
        </m:oMath>
      </m:oMathPara>
    </w:p>
    <w:p>
      <w:pPr>
        <w:ind w:left="640" w:leftChars="200" w:firstLine="640"/>
        <w:rPr>
          <w:rFonts w:ascii="仿宋_GB2312" w:hAnsi="Cambria Math" w:cs="宋体"/>
          <w:szCs w:val="32"/>
          <w:highlight w:val="none"/>
          <w:lang w:val="en-GB"/>
        </w:rPr>
      </w:pPr>
      <m:oMathPara>
        <m:oMathParaPr>
          <m:jc m:val="left"/>
        </m:oMathParaPr>
        <m:oMath>
          <m:r>
            <m:rPr>
              <m:sty m:val="p"/>
            </m:rPr>
            <w:rPr>
              <w:rFonts w:ascii="DejaVu Math TeX Gyre" w:hAnsi="DejaVu Math TeX Gyre" w:cstheme="minorHAnsi"/>
              <w:szCs w:val="32"/>
              <w:highlight w:val="none"/>
            </w:rPr>
            <m:t>调整后的</m:t>
          </m:r>
          <m:r>
            <m:rPr>
              <m:sty m:val="p"/>
            </m:rPr>
            <w:rPr>
              <w:rFonts w:ascii="DejaVu Math TeX Gyre" w:hAnsi="DejaVu Math TeX Gyre" w:cstheme="minorHAnsi"/>
              <w:szCs w:val="32"/>
              <w:highlight w:val="none"/>
              <w:lang w:val="en-GB"/>
            </w:rPr>
            <m:t>过去</m:t>
          </m:r>
          <m:r>
            <m:rPr>
              <m:sty m:val="p"/>
            </m:rPr>
            <w:rPr>
              <w:rFonts w:ascii="DejaVu Math TeX Gyre" w:hAnsi="DejaVu Math TeX Gyre" w:cstheme="minorHAnsi"/>
              <w:szCs w:val="32"/>
              <w:highlight w:val="none"/>
            </w:rPr>
            <m:t>第一年</m:t>
          </m:r>
          <m:r>
            <m:rPr>
              <m:sty m:val="p"/>
            </m:rPr>
            <w:rPr>
              <w:rFonts w:ascii="DejaVu Math TeX Gyre" w:hAnsi="DejaVu Math TeX Gyre" w:cstheme="minorHAnsi"/>
              <w:szCs w:val="32"/>
              <w:highlight w:val="none"/>
              <w:lang w:val="en-GB"/>
            </w:rPr>
            <m:t>平均综合投资收益率=</m:t>
          </m:r>
          <m:r>
            <m:rPr>
              <m:sty m:val="p"/>
            </m:rPr>
            <w:rPr>
              <w:rFonts w:ascii="DejaVu Math TeX Gyre" w:hAnsi="DejaVu Math TeX Gyre" w:cstheme="minorHAnsi"/>
              <w:szCs w:val="32"/>
              <w:highlight w:val="none"/>
            </w:rPr>
            <m:t>调整后的</m:t>
          </m:r>
          <m:r>
            <m:rPr>
              <m:sty m:val="p"/>
            </m:rPr>
            <w:rPr>
              <w:rFonts w:ascii="DejaVu Math TeX Gyre" w:hAnsi="DejaVu Math TeX Gyre" w:cstheme="minorHAnsi"/>
              <w:szCs w:val="32"/>
              <w:highlight w:val="none"/>
              <w:lang w:val="en-GB"/>
            </w:rPr>
            <m:t>过去</m:t>
          </m:r>
          <m:r>
            <m:rPr>
              <m:sty m:val="p"/>
            </m:rPr>
            <w:rPr>
              <w:rFonts w:ascii="DejaVu Math TeX Gyre" w:hAnsi="DejaVu Math TeX Gyre" w:cstheme="minorHAnsi"/>
              <w:szCs w:val="32"/>
              <w:highlight w:val="none"/>
            </w:rPr>
            <m:t>第一年的</m:t>
          </m:r>
          <m:r>
            <m:rPr>
              <m:sty m:val="p"/>
            </m:rPr>
            <w:rPr>
              <w:rFonts w:ascii="DejaVu Math TeX Gyre" w:hAnsi="DejaVu Math TeX Gyre" w:cstheme="minorHAnsi"/>
              <w:szCs w:val="32"/>
              <w:highlight w:val="none"/>
              <w:lang w:val="en-GB"/>
            </w:rPr>
            <m:t>累计综合投资收益÷过去</m:t>
          </m:r>
          <m:r>
            <m:rPr>
              <m:sty m:val="p"/>
            </m:rPr>
            <w:rPr>
              <w:rFonts w:ascii="DejaVu Math TeX Gyre" w:hAnsi="DejaVu Math TeX Gyre" w:cstheme="minorHAnsi"/>
              <w:szCs w:val="32"/>
              <w:highlight w:val="none"/>
            </w:rPr>
            <m:t>第一年调整后的</m:t>
          </m:r>
          <m:r>
            <m:rPr>
              <m:sty m:val="p"/>
            </m:rPr>
            <w:rPr>
              <w:rFonts w:ascii="DejaVu Math TeX Gyre" w:hAnsi="DejaVu Math TeX Gyre" w:cstheme="minorHAnsi"/>
              <w:szCs w:val="32"/>
              <w:highlight w:val="none"/>
              <w:lang w:val="en-GB"/>
            </w:rPr>
            <m:t>资金运用平均净额×100%</m:t>
          </m:r>
        </m:oMath>
      </m:oMathPara>
    </w:p>
    <w:p>
      <w:pPr>
        <w:ind w:firstLine="640"/>
        <w:rPr>
          <w:highlight w:val="none"/>
        </w:rPr>
      </w:pPr>
      <w:r>
        <w:rPr>
          <w:rFonts w:hint="eastAsia"/>
          <w:highlight w:val="none"/>
        </w:rPr>
        <w:t>其中，“调整后的</w:t>
      </w:r>
      <w:r>
        <w:rPr>
          <w:rFonts w:hint="eastAsia" w:ascii="仿宋_GB2312" w:hAnsi="仿宋_GB2312" w:cs="仿宋_GB2312"/>
          <w:highlight w:val="none"/>
        </w:rPr>
        <w:t>过去第一年的累计综合投资收益”的调整是指剔除FVOCI债务工具</w:t>
      </w:r>
      <w:r>
        <w:rPr>
          <w:rFonts w:hint="eastAsia"/>
          <w:highlight w:val="none"/>
        </w:rPr>
        <w:t>的公允价值变动；“</w:t>
      </w:r>
      <w:r>
        <w:rPr>
          <w:rFonts w:hint="eastAsia"/>
          <w:highlight w:val="none"/>
          <w:lang w:val="en-GB"/>
        </w:rPr>
        <w:t>调整后的资金运用平均净额”</w:t>
      </w:r>
      <w:r>
        <w:rPr>
          <w:rFonts w:hint="eastAsia"/>
          <w:highlight w:val="none"/>
        </w:rPr>
        <w:t>及“过去第一年调整后的</w:t>
      </w:r>
      <w:r>
        <w:rPr>
          <w:rFonts w:hint="eastAsia"/>
          <w:highlight w:val="none"/>
          <w:lang w:val="en-GB"/>
        </w:rPr>
        <w:t>资金运用平均净额</w:t>
      </w:r>
      <w:r>
        <w:rPr>
          <w:rFonts w:hint="eastAsia"/>
          <w:highlight w:val="none"/>
        </w:rPr>
        <w:t>”的调整是</w:t>
      </w:r>
      <w:r>
        <w:rPr>
          <w:rFonts w:hint="eastAsia" w:ascii="仿宋_GB2312" w:hAnsi="仿宋_GB2312" w:cs="仿宋_GB2312"/>
          <w:highlight w:val="none"/>
        </w:rPr>
        <w:t>指</w:t>
      </w:r>
      <w:r>
        <w:rPr>
          <w:rFonts w:hint="eastAsia" w:ascii="仿宋_GB2312" w:hAnsi="仿宋_GB2312" w:cs="仿宋_GB2312"/>
          <w:highlight w:val="none"/>
          <w:lang w:val="en-GB"/>
        </w:rPr>
        <w:t>剔除</w:t>
      </w:r>
      <w:r>
        <w:rPr>
          <w:rFonts w:hint="eastAsia" w:ascii="仿宋_GB2312" w:hAnsi="仿宋_GB2312" w:cs="仿宋_GB2312"/>
          <w:highlight w:val="none"/>
        </w:rPr>
        <w:t>FVOCI</w:t>
      </w:r>
      <w:r>
        <w:rPr>
          <w:rFonts w:hint="eastAsia" w:ascii="仿宋_GB2312" w:hAnsi="仿宋_GB2312" w:cs="仿宋_GB2312"/>
          <w:highlight w:val="none"/>
          <w:lang w:val="en-GB"/>
        </w:rPr>
        <w:t>债务工具的</w:t>
      </w:r>
      <w:r>
        <w:rPr>
          <w:rFonts w:hint="eastAsia"/>
          <w:highlight w:val="none"/>
          <w:lang w:val="en-GB"/>
        </w:rPr>
        <w:t>累计公允价值变动。</w:t>
      </w:r>
    </w:p>
    <w:p>
      <w:pPr>
        <w:pStyle w:val="5"/>
        <w:ind w:firstLine="640"/>
        <w:rPr>
          <w:highlight w:val="none"/>
        </w:rPr>
      </w:pPr>
      <w:r>
        <w:rPr>
          <w:rFonts w:hint="eastAsia" w:ascii="仿宋_GB2312" w:hAnsi="仿宋_GB2312" w:cs="仿宋_GB2312"/>
          <w:highlight w:val="none"/>
        </w:rPr>
        <w:t>4.风险调整</w:t>
      </w:r>
      <w:r>
        <w:rPr>
          <w:rFonts w:hint="eastAsia"/>
          <w:highlight w:val="none"/>
        </w:rPr>
        <w:t>后的过去第一年平均综合投资收益率的计算</w:t>
      </w:r>
    </w:p>
    <w:p>
      <w:pPr>
        <w:spacing w:line="360" w:lineRule="auto"/>
        <w:ind w:left="640" w:leftChars="200" w:firstLine="640"/>
        <w:rPr>
          <w:rFonts w:eastAsia="仿宋" w:cs="Arial"/>
          <w:highlight w:val="none"/>
          <w:lang w:val="en-GB"/>
        </w:rPr>
      </w:pPr>
      <m:oMathPara>
        <m:oMathParaPr>
          <m:jc m:val="left"/>
        </m:oMathParaPr>
        <m:oMath>
          <m:r>
            <w:rPr>
              <w:rFonts w:ascii="DejaVu Math TeX Gyre" w:hAnsi="DejaVu Math TeX Gyre" w:cstheme="minorHAnsi"/>
              <w:highlight w:val="none"/>
              <w:lang w:val="en-GB"/>
            </w:rPr>
            <m:t>RAROI</m:t>
          </m:r>
          <m:r>
            <m:rPr>
              <m:sty m:val="p"/>
            </m:rPr>
            <w:rPr>
              <w:rFonts w:ascii="DejaVu Math TeX Gyre" w:hAnsi="DejaVu Math TeX Gyre" w:cstheme="minorHAnsi"/>
              <w:highlight w:val="none"/>
              <w:lang w:val="en-GB"/>
            </w:rPr>
            <m:t xml:space="preserve"> =</m:t>
          </m:r>
          <m:r>
            <w:rPr>
              <w:rFonts w:ascii="DejaVu Math TeX Gyre" w:hAnsi="DejaVu Math TeX Gyre" w:cstheme="minorHAnsi"/>
              <w:highlight w:val="none"/>
              <w:lang w:val="en-GB"/>
            </w:rPr>
            <m:t>ROI</m:t>
          </m:r>
          <m:r>
            <m:rPr>
              <m:sty m:val="p"/>
            </m:rPr>
            <w:rPr>
              <w:rFonts w:ascii="DejaVu Math TeX Gyre" w:hAnsi="DejaVu Math TeX Gyre" w:eastAsia="Helvetica" w:cstheme="minorHAnsi"/>
              <w:highlight w:val="none"/>
              <w:lang w:val="en-GB"/>
            </w:rPr>
            <m:t>−</m:t>
          </m:r>
          <m:f>
            <m:fPr>
              <m:ctrlPr>
                <w:rPr>
                  <w:rFonts w:ascii="DejaVu Math TeX Gyre" w:hAnsi="DejaVu Math TeX Gyre" w:cstheme="minorHAnsi"/>
                  <w:highlight w:val="none"/>
                  <w:lang w:val="en-GB"/>
                </w:rPr>
              </m:ctrlPr>
            </m:fPr>
            <m:num>
              <m:r>
                <w:rPr>
                  <w:rFonts w:ascii="DejaVu Math TeX Gyre" w:hAnsi="DejaVu Math TeX Gyre" w:eastAsia="宋体" w:cstheme="minorHAnsi"/>
                  <w:highlight w:val="none"/>
                </w:rPr>
                <m:t>COC</m:t>
              </m:r>
              <m:r>
                <m:rPr>
                  <m:sty m:val="p"/>
                </m:rPr>
                <w:rPr>
                  <w:rFonts w:ascii="DejaVu Math TeX Gyre" w:hAnsi="DejaVu Math TeX Gyre" w:cstheme="minorHAnsi"/>
                  <w:highlight w:val="none"/>
                  <w:lang w:val="en-GB"/>
                </w:rPr>
                <m:t>×</m:t>
              </m:r>
              <m:rad>
                <m:radPr>
                  <m:degHide m:val="1"/>
                  <m:ctrlPr>
                    <w:rPr>
                      <w:rFonts w:ascii="DejaVu Math TeX Gyre" w:hAnsi="DejaVu Math TeX Gyre" w:cstheme="minorHAnsi"/>
                      <w:highlight w:val="none"/>
                      <w:lang w:val="en-GB"/>
                    </w:rPr>
                  </m:ctrlPr>
                </m:radPr>
                <m:deg>
                  <m:ctrlPr>
                    <w:rPr>
                      <w:rFonts w:ascii="DejaVu Math TeX Gyre" w:hAnsi="DejaVu Math TeX Gyre" w:cstheme="minorHAnsi"/>
                      <w:highlight w:val="none"/>
                      <w:lang w:val="en-GB"/>
                    </w:rPr>
                  </m:ctrlPr>
                </m:deg>
                <m:e>
                  <m:sSup>
                    <m:sSupPr>
                      <m:ctrlPr>
                        <w:rPr>
                          <w:rFonts w:ascii="DejaVu Math TeX Gyre" w:hAnsi="DejaVu Math TeX Gyre" w:cstheme="minorHAnsi"/>
                          <w:highlight w:val="none"/>
                          <w:lang w:val="en-GB"/>
                        </w:rPr>
                      </m:ctrlPr>
                    </m:sSupPr>
                    <m:e>
                      <m:r>
                        <w:rPr>
                          <w:rFonts w:ascii="DejaVu Math TeX Gyre" w:hAnsi="DejaVu Math TeX Gyre" w:cstheme="minorHAnsi"/>
                          <w:highlight w:val="none"/>
                          <w:lang w:val="en-GB"/>
                        </w:rPr>
                        <m:t>MCM</m:t>
                      </m:r>
                      <m:ctrlPr>
                        <w:rPr>
                          <w:rFonts w:ascii="DejaVu Math TeX Gyre" w:hAnsi="DejaVu Math TeX Gyre" w:cstheme="minorHAnsi"/>
                          <w:highlight w:val="none"/>
                          <w:lang w:val="en-GB"/>
                        </w:rPr>
                      </m:ctrlPr>
                    </m:e>
                    <m:sup>
                      <m:r>
                        <m:rPr>
                          <m:sty m:val="p"/>
                        </m:rPr>
                        <w:rPr>
                          <w:rFonts w:ascii="DejaVu Math TeX Gyre" w:hAnsi="DejaVu Math TeX Gyre" w:cstheme="minorHAnsi"/>
                          <w:highlight w:val="none"/>
                          <w:lang w:val="en-GB"/>
                        </w:rPr>
                        <m:t>2</m:t>
                      </m:r>
                      <m:ctrlPr>
                        <w:rPr>
                          <w:rFonts w:ascii="DejaVu Math TeX Gyre" w:hAnsi="DejaVu Math TeX Gyre" w:cstheme="minorHAnsi"/>
                          <w:highlight w:val="none"/>
                          <w:lang w:val="en-GB"/>
                        </w:rPr>
                      </m:ctrlPr>
                    </m:sup>
                  </m:sSup>
                  <m:r>
                    <m:rPr>
                      <m:sty m:val="p"/>
                    </m:rPr>
                    <w:rPr>
                      <w:rFonts w:ascii="DejaVu Math TeX Gyre" w:hAnsi="DejaVu Math TeX Gyre" w:cstheme="minorHAnsi"/>
                      <w:highlight w:val="none"/>
                      <w:lang w:val="en-GB"/>
                    </w:rPr>
                    <m:t>+2</m:t>
                  </m:r>
                  <m:r>
                    <w:rPr>
                      <w:rFonts w:ascii="DejaVu Math TeX Gyre" w:hAnsi="DejaVu Math TeX Gyre" w:cstheme="minorHAnsi"/>
                      <w:highlight w:val="none"/>
                      <w:lang w:val="en-GB"/>
                    </w:rPr>
                    <m:t>ρ</m:t>
                  </m:r>
                  <m:r>
                    <m:rPr>
                      <m:sty m:val="p"/>
                    </m:rPr>
                    <w:rPr>
                      <w:rFonts w:ascii="DejaVu Math TeX Gyre" w:hAnsi="DejaVu Math TeX Gyre" w:cstheme="minorHAnsi"/>
                      <w:highlight w:val="none"/>
                      <w:lang w:val="en-GB"/>
                    </w:rPr>
                    <m:t>×</m:t>
                  </m:r>
                  <m:r>
                    <w:rPr>
                      <w:rFonts w:ascii="DejaVu Math TeX Gyre" w:hAnsi="DejaVu Math TeX Gyre" w:cstheme="minorHAnsi"/>
                      <w:highlight w:val="none"/>
                      <w:lang w:val="en-GB"/>
                    </w:rPr>
                    <m:t>MCM</m:t>
                  </m:r>
                  <m:r>
                    <m:rPr>
                      <m:sty m:val="p"/>
                    </m:rPr>
                    <w:rPr>
                      <w:rFonts w:ascii="DejaVu Math TeX Gyre" w:hAnsi="DejaVu Math TeX Gyre" w:cstheme="minorHAnsi"/>
                      <w:highlight w:val="none"/>
                      <w:lang w:val="en-GB"/>
                    </w:rPr>
                    <m:t>×</m:t>
                  </m:r>
                  <m:r>
                    <w:rPr>
                      <w:rFonts w:ascii="DejaVu Math TeX Gyre" w:hAnsi="DejaVu Math TeX Gyre" w:cstheme="minorHAnsi"/>
                      <w:highlight w:val="none"/>
                      <w:lang w:val="en-GB"/>
                    </w:rPr>
                    <m:t>MCC</m:t>
                  </m:r>
                  <m:r>
                    <m:rPr>
                      <m:sty m:val="p"/>
                    </m:rPr>
                    <w:rPr>
                      <w:rFonts w:ascii="DejaVu Math TeX Gyre" w:hAnsi="DejaVu Math TeX Gyre" w:cstheme="minorHAnsi"/>
                      <w:highlight w:val="none"/>
                      <w:lang w:val="en-GB"/>
                    </w:rPr>
                    <m:t>+</m:t>
                  </m:r>
                  <m:sSup>
                    <m:sSupPr>
                      <m:ctrlPr>
                        <w:rPr>
                          <w:rFonts w:ascii="DejaVu Math TeX Gyre" w:hAnsi="DejaVu Math TeX Gyre" w:cstheme="minorHAnsi"/>
                          <w:highlight w:val="none"/>
                          <w:lang w:val="en-GB"/>
                        </w:rPr>
                      </m:ctrlPr>
                    </m:sSupPr>
                    <m:e>
                      <m:r>
                        <w:rPr>
                          <w:rFonts w:ascii="DejaVu Math TeX Gyre" w:hAnsi="DejaVu Math TeX Gyre" w:cstheme="minorHAnsi"/>
                          <w:highlight w:val="none"/>
                          <w:lang w:val="en-GB"/>
                        </w:rPr>
                        <m:t>MCC</m:t>
                      </m:r>
                      <m:ctrlPr>
                        <w:rPr>
                          <w:rFonts w:ascii="DejaVu Math TeX Gyre" w:hAnsi="DejaVu Math TeX Gyre" w:cstheme="minorHAnsi"/>
                          <w:highlight w:val="none"/>
                          <w:lang w:val="en-GB"/>
                        </w:rPr>
                      </m:ctrlPr>
                    </m:e>
                    <m:sup>
                      <m:r>
                        <m:rPr>
                          <m:sty m:val="p"/>
                        </m:rPr>
                        <w:rPr>
                          <w:rFonts w:ascii="DejaVu Math TeX Gyre" w:hAnsi="DejaVu Math TeX Gyre" w:cstheme="minorHAnsi"/>
                          <w:highlight w:val="none"/>
                          <w:lang w:val="en-GB"/>
                        </w:rPr>
                        <m:t>2</m:t>
                      </m:r>
                      <m:ctrlPr>
                        <w:rPr>
                          <w:rFonts w:ascii="DejaVu Math TeX Gyre" w:hAnsi="DejaVu Math TeX Gyre" w:cstheme="minorHAnsi"/>
                          <w:highlight w:val="none"/>
                          <w:lang w:val="en-GB"/>
                        </w:rPr>
                      </m:ctrlPr>
                    </m:sup>
                  </m:sSup>
                  <m:ctrlPr>
                    <w:rPr>
                      <w:rFonts w:ascii="DejaVu Math TeX Gyre" w:hAnsi="DejaVu Math TeX Gyre" w:cstheme="minorHAnsi"/>
                      <w:highlight w:val="none"/>
                      <w:lang w:val="en-GB"/>
                    </w:rPr>
                  </m:ctrlPr>
                </m:e>
              </m:rad>
              <m:ctrlPr>
                <w:rPr>
                  <w:rFonts w:ascii="DejaVu Math TeX Gyre" w:hAnsi="DejaVu Math TeX Gyre" w:cstheme="minorHAnsi"/>
                  <w:highlight w:val="none"/>
                  <w:lang w:val="en-GB"/>
                </w:rPr>
              </m:ctrlPr>
            </m:num>
            <m:den>
              <m:r>
                <w:rPr>
                  <w:rFonts w:ascii="DejaVu Math TeX Gyre" w:hAnsi="DejaVu Math TeX Gyre" w:cstheme="minorHAnsi"/>
                  <w:highlight w:val="none"/>
                  <w:lang w:val="en-GB"/>
                </w:rPr>
                <m:t>NUIF</m:t>
              </m:r>
              <m:ctrlPr>
                <w:rPr>
                  <w:rFonts w:ascii="DejaVu Math TeX Gyre" w:hAnsi="DejaVu Math TeX Gyre" w:cstheme="minorHAnsi"/>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highlight w:val="none"/>
          <w:lang w:val="en-GB"/>
        </w:rPr>
      </w:pPr>
      <m:oMath>
        <m:r>
          <w:rPr>
            <w:rFonts w:ascii="DejaVu Math TeX Gyre" w:hAnsi="DejaVu Math TeX Gyre" w:cstheme="minorHAnsi"/>
            <w:highlight w:val="none"/>
            <w:lang w:val="en-GB"/>
          </w:rPr>
          <m:t>RAROI</m:t>
        </m:r>
      </m:oMath>
      <w:r>
        <w:rPr>
          <w:rFonts w:hint="eastAsia"/>
          <w:highlight w:val="none"/>
          <w:lang w:val="en-GB"/>
        </w:rPr>
        <w:t>为风险调整后的</w:t>
      </w:r>
      <w:r>
        <w:rPr>
          <w:rFonts w:hint="eastAsia"/>
          <w:highlight w:val="none"/>
        </w:rPr>
        <w:t>过去第一年平均</w:t>
      </w:r>
      <w:r>
        <w:rPr>
          <w:rFonts w:hint="eastAsia"/>
          <w:highlight w:val="none"/>
          <w:lang w:val="en-GB"/>
        </w:rPr>
        <w:t>综合投资收益率；</w:t>
      </w:r>
    </w:p>
    <w:p>
      <w:pPr>
        <w:ind w:firstLine="640"/>
        <w:rPr>
          <w:highlight w:val="none"/>
          <w:lang w:val="en-GB"/>
        </w:rPr>
      </w:pPr>
      <m:oMath>
        <m:r>
          <w:rPr>
            <w:rFonts w:ascii="DejaVu Math TeX Gyre" w:hAnsi="DejaVu Math TeX Gyre" w:cstheme="minorHAnsi"/>
            <w:highlight w:val="none"/>
            <w:lang w:val="en-GB"/>
          </w:rPr>
          <m:t>ROI</m:t>
        </m:r>
      </m:oMath>
      <w:r>
        <w:rPr>
          <w:rFonts w:hint="eastAsia"/>
          <w:highlight w:val="none"/>
          <w:lang w:val="en-GB"/>
        </w:rPr>
        <w:t>为过去第一年平均</w:t>
      </w:r>
      <w:r>
        <w:rPr>
          <w:rFonts w:hint="eastAsia"/>
          <w:highlight w:val="none"/>
        </w:rPr>
        <w:t>综合投资收益率</w:t>
      </w:r>
      <w:r>
        <w:rPr>
          <w:rFonts w:hint="eastAsia"/>
          <w:highlight w:val="none"/>
          <w:lang w:val="en-GB"/>
        </w:rPr>
        <w:t>；</w:t>
      </w:r>
    </w:p>
    <w:p>
      <w:pPr>
        <w:ind w:firstLine="640"/>
        <w:rPr>
          <w:highlight w:val="none"/>
          <w:lang w:val="en-GB"/>
        </w:rPr>
      </w:pPr>
      <m:oMath>
        <m:r>
          <w:rPr>
            <w:rFonts w:ascii="DejaVu Math TeX Gyre" w:hAnsi="DejaVu Math TeX Gyre" w:cstheme="minorHAnsi"/>
            <w:highlight w:val="none"/>
          </w:rPr>
          <m:t>COC</m:t>
        </m:r>
      </m:oMath>
      <w:r>
        <w:rPr>
          <w:rFonts w:hint="eastAsia"/>
          <w:highlight w:val="none"/>
          <w:lang w:val="en-GB"/>
        </w:rPr>
        <w:t>为保险公司资本要求成本，</w:t>
      </w:r>
      <w:r>
        <w:rPr>
          <w:rFonts w:hint="eastAsia" w:ascii="仿宋_GB2312" w:hAnsi="仿宋_GB2312" w:cs="仿宋_GB2312"/>
          <w:highlight w:val="none"/>
        </w:rPr>
        <w:t>设定为6%</w:t>
      </w:r>
      <w:r>
        <w:rPr>
          <w:rFonts w:hint="eastAsia" w:ascii="仿宋_GB2312" w:hAnsi="仿宋_GB2312" w:cs="仿宋_GB2312"/>
          <w:highlight w:val="none"/>
          <w:lang w:val="en-GB"/>
        </w:rPr>
        <w:t>，</w:t>
      </w:r>
      <w:r>
        <w:rPr>
          <w:rFonts w:hint="eastAsia"/>
          <w:highlight w:val="none"/>
          <w:lang w:val="en-GB"/>
        </w:rPr>
        <w:t>国家金融监督管理总局可根据宏观经济变化及行业发展情况对保险公司资本要求成本取值进行调整；</w:t>
      </w:r>
    </w:p>
    <w:p>
      <w:pPr>
        <w:ind w:firstLine="640"/>
        <w:rPr>
          <w:highlight w:val="none"/>
          <w:lang w:val="en-GB"/>
        </w:rPr>
      </w:pPr>
      <m:oMath>
        <m:r>
          <w:rPr>
            <w:rFonts w:ascii="DejaVu Math TeX Gyre" w:hAnsi="DejaVu Math TeX Gyre" w:cstheme="minorHAnsi"/>
            <w:highlight w:val="none"/>
            <w:lang w:val="en-GB"/>
          </w:rPr>
          <m:t>MCM</m:t>
        </m:r>
      </m:oMath>
      <w:r>
        <w:rPr>
          <w:rFonts w:hint="eastAsia"/>
          <w:highlight w:val="none"/>
          <w:lang w:val="en-GB"/>
        </w:rPr>
        <w:t>为报告期末市场风险最低资本（仅含投资业务相关部分）；</w:t>
      </w:r>
    </w:p>
    <w:p>
      <w:pPr>
        <w:ind w:firstLine="640"/>
        <w:rPr>
          <w:highlight w:val="none"/>
          <w:lang w:val="en-GB"/>
        </w:rPr>
      </w:pPr>
      <m:oMath>
        <m:r>
          <w:rPr>
            <w:rFonts w:ascii="DejaVu Math TeX Gyre" w:hAnsi="DejaVu Math TeX Gyre" w:cstheme="minorHAnsi"/>
            <w:highlight w:val="none"/>
            <w:lang w:val="en-GB"/>
          </w:rPr>
          <m:t>MCC</m:t>
        </m:r>
      </m:oMath>
      <w:r>
        <w:rPr>
          <w:rFonts w:hint="eastAsia"/>
          <w:highlight w:val="none"/>
          <w:lang w:val="en-GB"/>
        </w:rPr>
        <w:t>为报告期末信用风险最低资本（仅含投资业务相关部分），即与资金运用业务相关的报告期末信用风险最低资本，不包括应收分保款项、应收保费、其他应收及预付款项、对外提供债务担保等非资金运用业务的交易对手违约风险。风险调整后的过去第一年平均</w:t>
      </w:r>
      <w:r>
        <w:rPr>
          <w:rFonts w:hint="eastAsia"/>
          <w:highlight w:val="none"/>
        </w:rPr>
        <w:t>综合投资收益率</w:t>
      </w:r>
      <w:r>
        <w:rPr>
          <w:rFonts w:hint="eastAsia"/>
          <w:highlight w:val="none"/>
          <w:lang w:val="en-GB"/>
        </w:rPr>
        <w:t xml:space="preserve">评估获取投资收益的同时承担的资金运用风险的大小，仅包括与资金运用相关的市场风险、信用风险； </w:t>
      </w:r>
    </w:p>
    <w:p>
      <w:pPr>
        <w:ind w:firstLine="640"/>
        <w:rPr>
          <w:highlight w:val="none"/>
          <w:lang w:val="en-GB"/>
        </w:rPr>
      </w:pPr>
      <m:oMath>
        <m:r>
          <w:rPr>
            <w:rFonts w:ascii="DejaVu Math TeX Gyre" w:hAnsi="DejaVu Math TeX Gyre" w:cstheme="minorHAnsi"/>
            <w:highlight w:val="none"/>
            <w:lang w:val="en-GB"/>
          </w:rPr>
          <m:t>ρ</m:t>
        </m:r>
      </m:oMath>
      <w:r>
        <w:rPr>
          <w:rFonts w:hint="eastAsia"/>
          <w:highlight w:val="none"/>
          <w:lang w:val="en-GB"/>
        </w:rPr>
        <w:t>为保险公司偿付能力监管规则中市场风险最低资本与信用风险最低资本的相关系数；</w:t>
      </w:r>
    </w:p>
    <w:p>
      <w:pPr>
        <w:ind w:firstLine="640"/>
        <w:rPr>
          <w:highlight w:val="none"/>
          <w:lang w:val="en-GB"/>
        </w:rPr>
      </w:pPr>
      <m:oMath>
        <m:r>
          <w:rPr>
            <w:rFonts w:ascii="DejaVu Math TeX Gyre" w:hAnsi="DejaVu Math TeX Gyre" w:cstheme="minorHAnsi"/>
            <w:highlight w:val="none"/>
            <w:lang w:val="en-GB"/>
          </w:rPr>
          <m:t>NUIF</m:t>
        </m:r>
      </m:oMath>
      <w:r>
        <w:rPr>
          <w:rFonts w:hint="eastAsia"/>
          <w:highlight w:val="none"/>
          <w:lang w:val="en-GB"/>
        </w:rPr>
        <w:t>为</w:t>
      </w:r>
      <w:r>
        <w:rPr>
          <w:rFonts w:hint="eastAsia"/>
          <w:highlight w:val="none"/>
        </w:rPr>
        <w:t>过去第一年</w:t>
      </w:r>
      <w:r>
        <w:rPr>
          <w:rFonts w:hint="eastAsia"/>
          <w:highlight w:val="none"/>
          <w:lang w:val="en-GB"/>
        </w:rPr>
        <w:t>资金运用平均净额。</w:t>
      </w:r>
    </w:p>
    <w:p>
      <w:pPr>
        <w:ind w:firstLine="640"/>
        <w:rPr>
          <w:highlight w:val="none"/>
        </w:rPr>
      </w:pPr>
      <w:r>
        <w:rPr>
          <w:rFonts w:hint="eastAsia"/>
          <w:highlight w:val="none"/>
          <w:lang w:val="en-GB"/>
        </w:rPr>
        <w:t>市场风险、信用风险最低资本的计算规则应与</w:t>
      </w:r>
      <w:r>
        <w:rPr>
          <w:rFonts w:hint="eastAsia"/>
          <w:highlight w:val="none"/>
        </w:rPr>
        <w:t>偿付能力监管规则</w:t>
      </w:r>
      <w:r>
        <w:rPr>
          <w:rFonts w:hint="eastAsia"/>
          <w:highlight w:val="none"/>
          <w:lang w:val="en-GB"/>
        </w:rPr>
        <w:t>保持一致。计算分账户市场风险、信用风险最低资本时，不考虑各账户之间的风险分散效应。</w:t>
      </w:r>
    </w:p>
    <w:p>
      <w:pPr>
        <w:pStyle w:val="5"/>
        <w:ind w:firstLine="640"/>
        <w:rPr>
          <w:rFonts w:hint="eastAsia" w:ascii="仿宋_GB2312" w:hAnsi="仿宋_GB2312" w:cs="仿宋_GB2312"/>
          <w:highlight w:val="none"/>
        </w:rPr>
      </w:pPr>
      <w:r>
        <w:rPr>
          <w:rFonts w:hint="eastAsia" w:ascii="仿宋_GB2312" w:hAnsi="仿宋_GB2312" w:cs="仿宋_GB2312"/>
          <w:highlight w:val="none"/>
        </w:rPr>
        <w:t>5.可计算现金流的固定收益类投资资产到期收益率的计算</w:t>
      </w:r>
    </w:p>
    <w:p>
      <w:pPr>
        <w:ind w:firstLine="640"/>
        <w:rPr>
          <w:rFonts w:hint="eastAsia" w:ascii="仿宋_GB2312" w:hAnsi="仿宋_GB2312" w:cs="仿宋_GB2312"/>
          <w:highlight w:val="none"/>
        </w:rPr>
      </w:pPr>
      <w:r>
        <w:rPr>
          <w:rFonts w:hint="eastAsia" w:ascii="仿宋_GB2312" w:hAnsi="仿宋_GB2312" w:cs="仿宋_GB2312"/>
          <w:highlight w:val="none"/>
        </w:rPr>
        <w:t>（1）各账</w:t>
      </w:r>
      <w:r>
        <w:rPr>
          <w:rFonts w:hint="eastAsia" w:hAnsi="仿宋"/>
          <w:highlight w:val="none"/>
        </w:rPr>
        <w:t>户可计算现金流的固定收益类投资资产到期收益</w:t>
      </w:r>
      <w:r>
        <w:rPr>
          <w:rFonts w:hint="eastAsia" w:ascii="仿宋_GB2312" w:hAnsi="仿宋_GB2312" w:cs="仿宋_GB2312"/>
          <w:highlight w:val="none"/>
        </w:rPr>
        <w:t>率=（∑第i投资资产摊余成本×第i投资资产到期收益率）÷该账户可计算现金流的固定收益类投资资产摊余成本×100%</w:t>
      </w:r>
    </w:p>
    <w:p>
      <w:pPr>
        <w:ind w:firstLine="640"/>
        <w:rPr>
          <w:rFonts w:hAnsi="仿宋"/>
          <w:highlight w:val="none"/>
        </w:rPr>
      </w:pPr>
      <w:r>
        <w:rPr>
          <w:rFonts w:hint="eastAsia" w:ascii="仿宋_GB2312" w:hAnsi="仿宋_GB2312" w:cs="仿宋_GB2312"/>
          <w:highlight w:val="none"/>
        </w:rPr>
        <w:t>其中：第i投资资产到</w:t>
      </w:r>
      <w:r>
        <w:rPr>
          <w:rFonts w:hint="eastAsia" w:hAnsi="仿宋"/>
          <w:highlight w:val="none"/>
        </w:rPr>
        <w:t>期收益率为现金流折现值等于该投资资产摊余成本时的年化折现率，计算方法如下：</w:t>
      </w:r>
    </w:p>
    <w:p>
      <w:pPr>
        <w:spacing w:line="360" w:lineRule="auto"/>
        <w:ind w:left="640" w:leftChars="200" w:firstLine="640"/>
        <w:rPr>
          <w:rFonts w:ascii="仿宋_GB2312" w:hAnsi="楷体"/>
          <w:szCs w:val="30"/>
          <w:highlight w:val="none"/>
          <w:lang w:val="en-GB"/>
        </w:rPr>
      </w:pPr>
      <m:oMathPara>
        <m:oMathParaPr>
          <m:jc m:val="left"/>
        </m:oMathParaPr>
        <m:oMath>
          <m:r>
            <w:rPr>
              <w:rFonts w:hint="eastAsia" w:ascii="DejaVu Math TeX Gyre" w:hAnsi="DejaVu Math TeX Gyre"/>
              <w:szCs w:val="30"/>
              <w:highlight w:val="none"/>
              <w:lang w:val="en-GB"/>
            </w:rPr>
            <m:t>BV</m:t>
          </m:r>
          <m:r>
            <m:rPr>
              <m:sty m:val="p"/>
            </m:rPr>
            <w:rPr>
              <w:rFonts w:ascii="DejaVu Math TeX Gyre" w:hAnsi="DejaVu Math TeX Gyre"/>
              <w:szCs w:val="30"/>
              <w:highlight w:val="none"/>
              <w:lang w:val="en-GB"/>
            </w:rPr>
            <m:t>=</m:t>
          </m:r>
          <m:nary>
            <m:naryPr>
              <m:chr m:val="∑"/>
              <m:limLoc m:val="undOvr"/>
              <m:supHide m:val="1"/>
              <m:ctrlPr>
                <w:rPr>
                  <w:rFonts w:ascii="DejaVu Math TeX Gyre" w:hAnsi="DejaVu Math TeX Gyre"/>
                  <w:szCs w:val="30"/>
                  <w:highlight w:val="none"/>
                  <w:lang w:val="en-GB"/>
                </w:rPr>
              </m:ctrlPr>
            </m:naryPr>
            <m:sub>
              <m:r>
                <w:rPr>
                  <w:rFonts w:ascii="DejaVu Math TeX Gyre" w:hAnsi="DejaVu Math TeX Gyre"/>
                  <w:szCs w:val="30"/>
                  <w:highlight w:val="none"/>
                  <w:lang w:val="en-GB"/>
                </w:rPr>
                <m:t>t</m:t>
              </m:r>
              <m:ctrlPr>
                <w:rPr>
                  <w:rFonts w:ascii="DejaVu Math TeX Gyre" w:hAnsi="DejaVu Math TeX Gyre"/>
                  <w:szCs w:val="30"/>
                  <w:highlight w:val="none"/>
                  <w:lang w:val="en-GB"/>
                </w:rPr>
              </m:ctrlPr>
            </m:sub>
            <m:sup>
              <m:ctrlPr>
                <w:rPr>
                  <w:rFonts w:ascii="DejaVu Math TeX Gyre" w:hAnsi="DejaVu Math TeX Gyre"/>
                  <w:szCs w:val="30"/>
                  <w:highlight w:val="none"/>
                  <w:lang w:val="en-GB"/>
                </w:rPr>
              </m:ctrlPr>
            </m:sup>
            <m:e>
              <m:f>
                <m:fPr>
                  <m:ctrlPr>
                    <w:rPr>
                      <w:rFonts w:ascii="DejaVu Math TeX Gyre" w:hAnsi="DejaVu Math TeX Gyre"/>
                      <w:szCs w:val="30"/>
                      <w:highlight w:val="none"/>
                      <w:lang w:val="en-GB"/>
                    </w:rPr>
                  </m:ctrlPr>
                </m:fPr>
                <m:num>
                  <m:sSub>
                    <m:sSubPr>
                      <m:ctrlPr>
                        <w:rPr>
                          <w:rFonts w:ascii="DejaVu Math TeX Gyre" w:hAnsi="DejaVu Math TeX Gyre"/>
                          <w:szCs w:val="30"/>
                          <w:highlight w:val="none"/>
                          <w:lang w:val="en-GB"/>
                        </w:rPr>
                      </m:ctrlPr>
                    </m:sSubPr>
                    <m:e>
                      <m:r>
                        <w:rPr>
                          <w:rFonts w:ascii="DejaVu Math TeX Gyre" w:hAnsi="DejaVu Math TeX Gyre"/>
                          <w:szCs w:val="30"/>
                          <w:highlight w:val="none"/>
                          <w:lang w:val="en-GB"/>
                        </w:rPr>
                        <m:t>CF</m:t>
                      </m:r>
                      <m:ctrlPr>
                        <w:rPr>
                          <w:rFonts w:ascii="DejaVu Math TeX Gyre" w:hAnsi="DejaVu Math TeX Gyre"/>
                          <w:szCs w:val="30"/>
                          <w:highlight w:val="none"/>
                          <w:lang w:val="en-GB"/>
                        </w:rPr>
                      </m:ctrlPr>
                    </m:e>
                    <m:sub>
                      <m:r>
                        <w:rPr>
                          <w:rFonts w:ascii="DejaVu Math TeX Gyre" w:hAnsi="DejaVu Math TeX Gyre"/>
                          <w:szCs w:val="30"/>
                          <w:highlight w:val="none"/>
                          <w:lang w:val="en-GB"/>
                        </w:rPr>
                        <m:t>t</m:t>
                      </m:r>
                      <m:ctrlPr>
                        <w:rPr>
                          <w:rFonts w:ascii="DejaVu Math TeX Gyre" w:hAnsi="DejaVu Math TeX Gyre"/>
                          <w:szCs w:val="30"/>
                          <w:highlight w:val="none"/>
                          <w:lang w:val="en-GB"/>
                        </w:rPr>
                      </m:ctrlPr>
                    </m:sub>
                  </m:sSub>
                  <m:ctrlPr>
                    <w:rPr>
                      <w:rFonts w:ascii="DejaVu Math TeX Gyre" w:hAnsi="DejaVu Math TeX Gyre"/>
                      <w:szCs w:val="30"/>
                      <w:highlight w:val="none"/>
                      <w:lang w:val="en-GB"/>
                    </w:rPr>
                  </m:ctrlPr>
                </m:num>
                <m:den>
                  <m:sSup>
                    <m:sSupPr>
                      <m:ctrlPr>
                        <w:rPr>
                          <w:rFonts w:ascii="DejaVu Math TeX Gyre" w:hAnsi="DejaVu Math TeX Gyre"/>
                          <w:szCs w:val="30"/>
                          <w:highlight w:val="none"/>
                          <w:lang w:val="en-GB"/>
                        </w:rPr>
                      </m:ctrlPr>
                    </m:sSupPr>
                    <m:e>
                      <m:d>
                        <m:dPr>
                          <m:begChr m:val="（"/>
                          <m:endChr m:val="）"/>
                          <m:ctrlPr>
                            <w:rPr>
                              <w:rFonts w:ascii="DejaVu Math TeX Gyre" w:hAnsi="DejaVu Math TeX Gyre"/>
                              <w:szCs w:val="30"/>
                              <w:highlight w:val="none"/>
                              <w:lang w:val="en-GB"/>
                            </w:rPr>
                          </m:ctrlPr>
                        </m:dPr>
                        <m:e>
                          <m:r>
                            <m:rPr>
                              <m:sty m:val="p"/>
                            </m:rPr>
                            <w:rPr>
                              <w:rFonts w:ascii="DejaVu Math TeX Gyre" w:hAnsi="DejaVu Math TeX Gyre"/>
                              <w:szCs w:val="30"/>
                              <w:highlight w:val="none"/>
                              <w:lang w:val="en-GB"/>
                            </w:rPr>
                            <m:t>1+</m:t>
                          </m:r>
                          <m:r>
                            <w:rPr>
                              <w:rFonts w:ascii="DejaVu Math TeX Gyre" w:hAnsi="DejaVu Math TeX Gyre"/>
                              <w:szCs w:val="30"/>
                              <w:highlight w:val="none"/>
                              <w:lang w:val="en-GB"/>
                            </w:rPr>
                            <m:t>YTM</m:t>
                          </m:r>
                          <m:ctrlPr>
                            <w:rPr>
                              <w:rFonts w:ascii="DejaVu Math TeX Gyre" w:hAnsi="DejaVu Math TeX Gyre"/>
                              <w:szCs w:val="30"/>
                              <w:highlight w:val="none"/>
                              <w:lang w:val="en-GB"/>
                            </w:rPr>
                          </m:ctrlPr>
                        </m:e>
                      </m:d>
                      <m:ctrlPr>
                        <w:rPr>
                          <w:rFonts w:ascii="DejaVu Math TeX Gyre" w:hAnsi="DejaVu Math TeX Gyre"/>
                          <w:szCs w:val="30"/>
                          <w:highlight w:val="none"/>
                          <w:lang w:val="en-GB"/>
                        </w:rPr>
                      </m:ctrlPr>
                    </m:e>
                    <m:sup>
                      <m:r>
                        <w:rPr>
                          <w:rFonts w:ascii="DejaVu Math TeX Gyre" w:hAnsi="DejaVu Math TeX Gyre"/>
                          <w:szCs w:val="30"/>
                          <w:highlight w:val="none"/>
                          <w:lang w:val="en-GB"/>
                        </w:rPr>
                        <m:t>t</m:t>
                      </m:r>
                      <m:ctrlPr>
                        <w:rPr>
                          <w:rFonts w:ascii="DejaVu Math TeX Gyre" w:hAnsi="DejaVu Math TeX Gyre"/>
                          <w:szCs w:val="30"/>
                          <w:highlight w:val="none"/>
                          <w:lang w:val="en-GB"/>
                        </w:rPr>
                      </m:ctrlPr>
                    </m:sup>
                  </m:sSup>
                  <m:ctrlPr>
                    <w:rPr>
                      <w:rFonts w:ascii="DejaVu Math TeX Gyre" w:hAnsi="DejaVu Math TeX Gyre"/>
                      <w:szCs w:val="30"/>
                      <w:highlight w:val="none"/>
                      <w:lang w:val="en-GB"/>
                    </w:rPr>
                  </m:ctrlPr>
                </m:den>
              </m:f>
              <m:ctrlPr>
                <w:rPr>
                  <w:rFonts w:ascii="DejaVu Math TeX Gyre" w:hAnsi="DejaVu Math TeX Gyre"/>
                  <w:szCs w:val="30"/>
                  <w:highlight w:val="none"/>
                  <w:lang w:val="en-GB"/>
                </w:rPr>
              </m:ctrlPr>
            </m:e>
          </m:nary>
        </m:oMath>
      </m:oMathPara>
    </w:p>
    <w:p>
      <w:pPr>
        <w:ind w:firstLine="640"/>
        <w:rPr>
          <w:highlight w:val="none"/>
        </w:rPr>
      </w:pPr>
      <w:r>
        <w:rPr>
          <w:rFonts w:hint="eastAsia"/>
          <w:highlight w:val="none"/>
        </w:rPr>
        <w:t>参数说明：</w:t>
      </w:r>
    </w:p>
    <w:p>
      <w:pPr>
        <w:ind w:firstLine="640"/>
        <w:rPr>
          <w:highlight w:val="none"/>
        </w:rPr>
      </w:pPr>
      <m:oMath>
        <m:r>
          <w:rPr>
            <w:rFonts w:ascii="DejaVu Math TeX Gyre" w:hAnsi="DejaVu Math TeX Gyre" w:cstheme="minorHAnsi"/>
            <w:highlight w:val="none"/>
            <w:lang w:val="en-GB"/>
          </w:rPr>
          <m:t>BV</m:t>
        </m:r>
      </m:oMath>
      <w:r>
        <w:rPr>
          <w:rFonts w:hint="eastAsia"/>
          <w:highlight w:val="none"/>
        </w:rPr>
        <w:t>为</w:t>
      </w:r>
      <w:r>
        <w:rPr>
          <w:rFonts w:hint="eastAsia" w:ascii="仿宋" w:cs="宋体"/>
          <w:highlight w:val="none"/>
        </w:rPr>
        <w:t>对应</w:t>
      </w:r>
      <w:r>
        <w:rPr>
          <w:rFonts w:hint="eastAsia" w:ascii="仿宋" w:cs="宋体"/>
          <w:highlight w:val="none"/>
          <w:lang w:val="en-GB"/>
        </w:rPr>
        <w:t>可计算现金流的固定收益类</w:t>
      </w:r>
      <w:r>
        <w:rPr>
          <w:rFonts w:hint="eastAsia"/>
          <w:highlight w:val="none"/>
        </w:rPr>
        <w:t>投资资产的摊余成本；对于</w:t>
      </w:r>
      <w:r>
        <w:rPr>
          <w:rFonts w:hint="eastAsia" w:ascii="仿宋_GB2312" w:hAnsi="仿宋_GB2312" w:cs="仿宋_GB2312"/>
          <w:highlight w:val="none"/>
        </w:rPr>
        <w:t>分类为FVTPL的固定收</w:t>
      </w:r>
      <w:r>
        <w:rPr>
          <w:rFonts w:hint="eastAsia"/>
          <w:highlight w:val="none"/>
        </w:rPr>
        <w:t>益类投资资产，可以采用账面价值；</w:t>
      </w:r>
      <w:r>
        <w:rPr>
          <w:rFonts w:hint="eastAsia" w:ascii="仿宋" w:cs="MS Mincho"/>
          <w:highlight w:val="none"/>
          <w:lang w:val="en-GB"/>
        </w:rPr>
        <w:t>对于保险公司投资的单一资产管理计划和面向单一投资者发行的组合类保险资产管理产品、私募理财产品，应当按照穿透原则统计基础资产的摊余成本</w:t>
      </w:r>
      <w:r>
        <w:rPr>
          <w:rFonts w:hint="eastAsia" w:ascii="仿宋" w:cs="Arial"/>
          <w:highlight w:val="none"/>
        </w:rPr>
        <w:t>；</w:t>
      </w:r>
    </w:p>
    <w:p>
      <w:pPr>
        <w:ind w:firstLine="640"/>
        <w:rPr>
          <w:highlight w:val="none"/>
        </w:rPr>
      </w:pPr>
      <m:oMath>
        <m:sSub>
          <m:sSubPr>
            <m:ctrlPr>
              <w:rPr>
                <w:rFonts w:ascii="DejaVu Math TeX Gyre" w:hAnsi="DejaVu Math TeX Gyre" w:cstheme="minorHAnsi"/>
                <w:i/>
                <w:highlight w:val="none"/>
              </w:rPr>
            </m:ctrlPr>
          </m:sSubPr>
          <m:e>
            <m:r>
              <w:rPr>
                <w:rFonts w:ascii="DejaVu Math TeX Gyre" w:hAnsi="DejaVu Math TeX Gyre" w:cstheme="minorHAnsi"/>
                <w:highlight w:val="none"/>
              </w:rPr>
              <m:t>CF</m:t>
            </m:r>
            <m:ctrlPr>
              <w:rPr>
                <w:rFonts w:ascii="DejaVu Math TeX Gyre" w:hAnsi="DejaVu Math TeX Gyre" w:cstheme="minorHAnsi"/>
                <w:i/>
                <w:highlight w:val="none"/>
              </w:rPr>
            </m:ctrlPr>
          </m:e>
          <m:sub>
            <m:r>
              <w:rPr>
                <w:rFonts w:ascii="DejaVu Math TeX Gyre" w:hAnsi="DejaVu Math TeX Gyre" w:cstheme="minorHAnsi"/>
                <w:highlight w:val="none"/>
              </w:rPr>
              <m:t>t</m:t>
            </m:r>
            <m:ctrlPr>
              <w:rPr>
                <w:rFonts w:ascii="DejaVu Math TeX Gyre" w:hAnsi="DejaVu Math TeX Gyre" w:cstheme="minorHAnsi"/>
                <w:i/>
                <w:highlight w:val="none"/>
              </w:rPr>
            </m:ctrlPr>
          </m:sub>
        </m:sSub>
      </m:oMath>
      <w:r>
        <w:rPr>
          <w:rFonts w:hint="eastAsia"/>
          <w:highlight w:val="none"/>
        </w:rPr>
        <w:t>为报告期末的该投资资产在未来</w:t>
      </w:r>
      <m:oMath>
        <m:r>
          <w:rPr>
            <w:rFonts w:ascii="DejaVu Math TeX Gyre" w:hAnsi="DejaVu Math TeX Gyre" w:cstheme="minorHAnsi"/>
            <w:highlight w:val="none"/>
            <w:lang w:val="en-GB"/>
          </w:rPr>
          <m:t>t</m:t>
        </m:r>
      </m:oMath>
      <w:r>
        <w:rPr>
          <w:rFonts w:hint="eastAsia"/>
          <w:highlight w:val="none"/>
        </w:rPr>
        <w:t>时刻的票息和到期现金流；</w:t>
      </w:r>
    </w:p>
    <w:p>
      <w:pPr>
        <w:ind w:firstLine="640"/>
        <w:rPr>
          <w:highlight w:val="none"/>
        </w:rPr>
      </w:pPr>
      <m:oMath>
        <m:r>
          <w:rPr>
            <w:rFonts w:ascii="DejaVu Math TeX Gyre" w:hAnsi="DejaVu Math TeX Gyre" w:cstheme="minorHAnsi"/>
            <w:highlight w:val="none"/>
          </w:rPr>
          <m:t>YTM</m:t>
        </m:r>
      </m:oMath>
      <w:r>
        <w:rPr>
          <w:rFonts w:hint="eastAsia"/>
          <w:highlight w:val="none"/>
        </w:rPr>
        <w:t>为该投资资产的到期收益率。</w:t>
      </w:r>
    </w:p>
    <w:p>
      <w:pPr>
        <w:ind w:firstLine="640"/>
        <w:rPr>
          <w:rFonts w:ascii="仿宋"/>
          <w:highlight w:val="none"/>
        </w:rPr>
      </w:pPr>
      <w:r>
        <w:rPr>
          <w:rFonts w:hint="eastAsia" w:ascii="仿宋_GB2312" w:hAnsi="仿宋_GB2312" w:cs="仿宋_GB2312"/>
          <w:highlight w:val="none"/>
        </w:rPr>
        <w:t>（2）普通账户可计算现金流的固定收益类投资资产到期收益率=传统账户可计算现金流的固定收益类投资资产到期收益率</w:t>
      </w:r>
    </w:p>
    <w:p>
      <w:pPr>
        <w:pStyle w:val="5"/>
        <w:ind w:firstLine="640"/>
        <w:rPr>
          <w:rFonts w:hint="eastAsia" w:ascii="仿宋_GB2312" w:hAnsi="仿宋_GB2312" w:cs="仿宋_GB2312"/>
          <w:highlight w:val="none"/>
        </w:rPr>
      </w:pPr>
      <w:r>
        <w:rPr>
          <w:rFonts w:hint="eastAsia" w:ascii="仿宋_GB2312" w:hAnsi="仿宋_GB2312" w:cs="仿宋_GB2312"/>
          <w:highlight w:val="none"/>
        </w:rPr>
        <w:t>6.负债规模</w:t>
      </w:r>
    </w:p>
    <w:p>
      <w:pPr>
        <w:ind w:firstLine="640"/>
        <w:rPr>
          <w:highlight w:val="none"/>
        </w:rPr>
      </w:pPr>
      <w:r>
        <w:rPr>
          <w:rFonts w:hint="eastAsia" w:ascii="仿宋_GB2312" w:hAnsi="仿宋_GB2312" w:cs="仿宋_GB2312"/>
          <w:highlight w:val="none"/>
        </w:rPr>
        <w:t>传统保险账户的负债规模是指传统保险账户保险合同负债净额（</w:t>
      </w:r>
      <w:r>
        <w:rPr>
          <w:rFonts w:hint="eastAsia"/>
          <w:highlight w:val="none"/>
        </w:rPr>
        <w:t>财务再保险除外）及保费准备金余额；次级债、资本补充债和无固定期限资本债券账户的负债规模是次级债、资本补充债和无固定期限资本债券未偿余额；普通账户的负债规模是传统保险账户的负债规模及次级债、资本补充债和无固定期限资本债券账户的负债规模之和。</w:t>
      </w:r>
    </w:p>
    <w:p>
      <w:pPr>
        <w:ind w:firstLine="640"/>
        <w:rPr>
          <w:rFonts w:ascii="仿宋_GB2312" w:hAnsi="仿宋_GB2312"/>
          <w:highlight w:val="none"/>
        </w:rPr>
      </w:pPr>
      <w:r>
        <w:rPr>
          <w:rFonts w:hint="eastAsia" w:ascii="仿宋_GB2312" w:hAnsi="仿宋_GB2312"/>
          <w:highlight w:val="none"/>
        </w:rPr>
        <w:t>过去三年负债</w:t>
      </w:r>
      <w:r>
        <w:rPr>
          <w:rFonts w:hint="eastAsia" w:ascii="仿宋_GB2312" w:hAnsi="仿宋_GB2312" w:cs="华文仿宋+FPEF"/>
          <w:color w:val="000000"/>
          <w:kern w:val="0"/>
          <w:highlight w:val="none"/>
        </w:rPr>
        <w:t>平均规模</w:t>
      </w:r>
      <w:r>
        <w:rPr>
          <w:rFonts w:hint="eastAsia" w:ascii="仿宋_GB2312" w:hAnsi="仿宋_GB2312"/>
          <w:highlight w:val="none"/>
        </w:rPr>
        <w:t>=</w:t>
      </w:r>
      <w:r>
        <w:rPr>
          <w:rFonts w:hint="eastAsia" w:ascii="仿宋_GB2312" w:hAnsi="仿宋_GB2312" w:cs="华文仿宋+FPEF"/>
          <w:color w:val="000000"/>
          <w:kern w:val="0"/>
          <w:highlight w:val="none"/>
        </w:rPr>
        <w:t>（过去第一年负债平均规模+过去第二年负债平均规模+过去第三年负债平均规模）</w:t>
      </w:r>
      <w:r>
        <w:rPr>
          <w:rFonts w:hint="eastAsia" w:ascii="仿宋_GB2312" w:hAnsi="仿宋_GB2312"/>
          <w:highlight w:val="none"/>
        </w:rPr>
        <w:t>÷3</w:t>
      </w:r>
    </w:p>
    <w:p>
      <w:pPr>
        <w:ind w:firstLine="640"/>
        <w:rPr>
          <w:rFonts w:hAnsi="Cambria Math" w:cs="华文仿宋+FPEF"/>
          <w:color w:val="000000"/>
          <w:kern w:val="0"/>
          <w:highlight w:val="none"/>
        </w:rPr>
      </w:pPr>
      <w:r>
        <w:rPr>
          <w:rFonts w:hint="eastAsia" w:ascii="仿宋_GB2312" w:hAnsi="仿宋_GB2312" w:cs="华文仿宋+FPEF"/>
          <w:color w:val="000000"/>
          <w:kern w:val="0"/>
          <w:highlight w:val="none"/>
        </w:rPr>
        <w:t>其中过去第X年负债平均规模是指报告期末对应过去第X个12个月</w:t>
      </w:r>
      <w:r>
        <w:rPr>
          <w:rFonts w:hint="eastAsia" w:ascii="仿宋_GB2312" w:hAnsi="仿宋_GB2312" w:cs="华文仿宋+FPEF"/>
          <w:color w:val="000000"/>
          <w:kern w:val="0"/>
          <w:highlight w:val="none"/>
          <w:lang w:val="en-GB"/>
        </w:rPr>
        <w:t>负债</w:t>
      </w:r>
      <w:r>
        <w:rPr>
          <w:rFonts w:hint="eastAsia" w:ascii="仿宋_GB2312" w:hAnsi="仿宋_GB2312" w:cs="华文仿宋+FPEF"/>
          <w:color w:val="000000"/>
          <w:kern w:val="0"/>
          <w:highlight w:val="none"/>
        </w:rPr>
        <w:t>平均规模</w:t>
      </w:r>
      <w:r>
        <w:rPr>
          <w:rFonts w:hint="eastAsia" w:ascii="仿宋_GB2312" w:hAnsi="仿宋_GB2312" w:cs="华文仿宋+FPEF"/>
          <w:color w:val="000000"/>
          <w:kern w:val="0"/>
          <w:highlight w:val="none"/>
          <w:lang w:val="en-GB"/>
        </w:rPr>
        <w:t>的算术平均值，</w:t>
      </w:r>
      <w:r>
        <w:rPr>
          <w:rFonts w:hint="eastAsia" w:ascii="仿宋_GB2312" w:hAnsi="仿宋_GB2312" w:cs="宋体"/>
          <w:highlight w:val="none"/>
        </w:rPr>
        <w:t>月度负债</w:t>
      </w:r>
      <w:r>
        <w:rPr>
          <w:rFonts w:hint="eastAsia" w:ascii="仿宋_GB2312" w:hAnsi="仿宋_GB2312" w:cs="华文仿宋+FPEF"/>
          <w:color w:val="000000"/>
          <w:kern w:val="0"/>
          <w:highlight w:val="none"/>
        </w:rPr>
        <w:t>平均规模</w:t>
      </w:r>
      <w:r>
        <w:rPr>
          <w:rFonts w:hint="eastAsia" w:ascii="仿宋_GB2312" w:hAnsi="仿宋_GB2312" w:cs="宋体"/>
          <w:highlight w:val="none"/>
        </w:rPr>
        <w:t>=（月初负债</w:t>
      </w:r>
      <w:r>
        <w:rPr>
          <w:rFonts w:hint="eastAsia" w:ascii="仿宋_GB2312" w:hAnsi="仿宋_GB2312" w:cs="华文仿宋+FPEF"/>
          <w:color w:val="000000"/>
          <w:kern w:val="0"/>
          <w:highlight w:val="none"/>
        </w:rPr>
        <w:t>规模</w:t>
      </w:r>
      <w:r>
        <w:rPr>
          <w:rFonts w:hint="eastAsia" w:ascii="仿宋_GB2312" w:hAnsi="仿宋_GB2312" w:cs="宋体"/>
          <w:highlight w:val="none"/>
        </w:rPr>
        <w:t>+月末负债</w:t>
      </w:r>
      <w:r>
        <w:rPr>
          <w:rFonts w:hint="eastAsia" w:ascii="仿宋_GB2312" w:hAnsi="仿宋_GB2312" w:cs="华文仿宋+FPEF"/>
          <w:color w:val="000000"/>
          <w:kern w:val="0"/>
          <w:highlight w:val="none"/>
        </w:rPr>
        <w:t>规模</w:t>
      </w:r>
      <w:r>
        <w:rPr>
          <w:rFonts w:hint="eastAsia" w:ascii="仿宋_GB2312" w:hAnsi="仿宋_GB2312" w:cs="宋体"/>
          <w:highlight w:val="none"/>
        </w:rPr>
        <w:t>）÷2</w:t>
      </w:r>
      <w:r>
        <w:rPr>
          <w:rFonts w:hint="eastAsia" w:ascii="仿宋_GB2312" w:hAnsi="仿宋_GB2312" w:cs="华文仿宋+FPEF"/>
          <w:color w:val="000000"/>
          <w:kern w:val="0"/>
          <w:highlight w:val="none"/>
        </w:rPr>
        <w:t>。开业不满三年的公司，采用从公司开业日期至报告期末的负债平均规模。</w:t>
      </w:r>
    </w:p>
    <w:p>
      <w:pPr>
        <w:pStyle w:val="5"/>
        <w:ind w:firstLine="640"/>
        <w:rPr>
          <w:rFonts w:hint="eastAsia" w:ascii="仿宋_GB2312" w:hAnsi="仿宋_GB2312" w:cs="仿宋_GB2312"/>
          <w:highlight w:val="none"/>
        </w:rPr>
      </w:pPr>
      <w:r>
        <w:rPr>
          <w:rFonts w:hint="eastAsia" w:ascii="仿宋_GB2312" w:hAnsi="仿宋_GB2312" w:cs="仿宋_GB2312"/>
          <w:highlight w:val="none"/>
        </w:rPr>
        <w:t>7.负债资金成本率</w:t>
      </w:r>
    </w:p>
    <w:p>
      <w:pPr>
        <w:ind w:firstLine="640"/>
        <w:rPr>
          <w:rFonts w:hint="eastAsia" w:ascii="仿宋_GB2312" w:hAnsi="仿宋_GB2312" w:cs="仿宋_GB2312"/>
          <w:highlight w:val="none"/>
          <w:lang w:val="en-GB"/>
        </w:rPr>
      </w:pPr>
      <w:r>
        <w:rPr>
          <w:rFonts w:hint="eastAsia" w:ascii="仿宋_GB2312" w:hAnsi="仿宋_GB2312" w:cs="仿宋_GB2312"/>
          <w:highlight w:val="none"/>
        </w:rPr>
        <w:t>（1）传统保险账户的负债资金成本率=（承保综合成本-保险服务收入）÷（传统保险账户负债平均规模+平均净资产）×100%</w:t>
      </w:r>
    </w:p>
    <w:p>
      <w:pPr>
        <w:ind w:firstLine="640"/>
        <w:rPr>
          <w:rFonts w:hint="eastAsia" w:ascii="仿宋_GB2312" w:hAnsi="仿宋_GB2312" w:cs="仿宋_GB2312"/>
          <w:highlight w:val="none"/>
        </w:rPr>
      </w:pPr>
      <w:r>
        <w:rPr>
          <w:rFonts w:hint="eastAsia" w:ascii="仿宋_GB2312" w:hAnsi="仿宋_GB2312" w:cs="仿宋_GB2312"/>
          <w:highlight w:val="none"/>
        </w:rPr>
        <w:t>计算过去第一年负债资金成本率，承保综合成本和保险服务收入为报告期末以前12个月内的承保综合成本和保险服务收入；平均净资产的计算方法与负债平均规模保持一致。</w:t>
      </w:r>
    </w:p>
    <w:p>
      <w:pPr>
        <w:ind w:firstLine="640"/>
        <w:rPr>
          <w:rFonts w:hint="eastAsia" w:ascii="仿宋_GB2312" w:hAnsi="仿宋_GB2312" w:cs="仿宋_GB2312"/>
          <w:highlight w:val="none"/>
        </w:rPr>
      </w:pPr>
      <w:r>
        <w:rPr>
          <w:rFonts w:hint="eastAsia" w:ascii="仿宋_GB2312" w:hAnsi="仿宋_GB2312" w:cs="仿宋_GB2312"/>
          <w:highlight w:val="none"/>
        </w:rPr>
        <w:t>（2）次级债、资本补充债和无固定期限资本债券账户负债资金成本率为该账户债券票面利率按照对应债券的负债平均规模加权平均计算。</w:t>
      </w:r>
    </w:p>
    <w:p>
      <w:pPr>
        <w:ind w:firstLine="640"/>
        <w:rPr>
          <w:rFonts w:hint="eastAsia" w:ascii="仿宋_GB2312" w:hAnsi="仿宋_GB2312" w:cs="仿宋_GB2312"/>
          <w:highlight w:val="none"/>
        </w:rPr>
      </w:pPr>
      <w:r>
        <w:rPr>
          <w:rFonts w:hint="eastAsia" w:ascii="仿宋_GB2312" w:hAnsi="仿宋_GB2312" w:cs="仿宋_GB2312"/>
          <w:highlight w:val="none"/>
        </w:rPr>
        <w:t>（3）普通账户负债资金成本率=[传统保险账户负债资金成本率×（传统账户负债平均规模+平均净资产）+次级债、资本补充债和无固定期限资本债券账户负债资金成本率×次级债、资本补充债和无固定期限资本债券负债平均规模]÷（传统账户负债平均规模+平均净资产+次级债、资本补充债和无固定期限资本债券负债平均规模）×100%</w:t>
      </w:r>
    </w:p>
    <w:p>
      <w:pPr>
        <w:ind w:firstLine="640"/>
        <w:rPr>
          <w:rFonts w:hint="eastAsia" w:ascii="仿宋_GB2312" w:hAnsi="仿宋_GB2312" w:cs="仿宋_GB2312"/>
          <w:color w:val="000000"/>
          <w:kern w:val="0"/>
          <w:highlight w:val="none"/>
        </w:rPr>
      </w:pPr>
      <w:r>
        <w:rPr>
          <w:rFonts w:hint="eastAsia" w:ascii="仿宋_GB2312" w:hAnsi="仿宋_GB2312" w:cs="仿宋_GB2312"/>
          <w:highlight w:val="none"/>
        </w:rPr>
        <w:t>（4）</w:t>
      </w:r>
      <w:r>
        <w:rPr>
          <w:rFonts w:hint="eastAsia" w:ascii="仿宋_GB2312" w:hAnsi="仿宋_GB2312" w:cs="仿宋_GB2312"/>
          <w:color w:val="000000"/>
          <w:kern w:val="0"/>
          <w:highlight w:val="none"/>
        </w:rPr>
        <w:t>过去三年平均负债资金成本率=（过去第一年负债资金成本率+过去第二年负债资金成本率+过去第三年负债资金成本率）</w:t>
      </w:r>
      <w:r>
        <w:rPr>
          <w:rFonts w:hint="eastAsia" w:ascii="仿宋_GB2312" w:hAnsi="仿宋_GB2312" w:cs="仿宋_GB2312"/>
          <w:highlight w:val="none"/>
        </w:rPr>
        <w:t>÷3</w:t>
      </w:r>
    </w:p>
    <w:p>
      <w:pPr>
        <w:ind w:firstLine="640"/>
        <w:rPr>
          <w:rFonts w:hint="eastAsia" w:ascii="仿宋_GB2312" w:hAnsi="仿宋_GB2312" w:cs="仿宋_GB2312"/>
          <w:highlight w:val="none"/>
        </w:rPr>
      </w:pPr>
      <w:r>
        <w:rPr>
          <w:rFonts w:hint="eastAsia" w:ascii="仿宋_GB2312" w:hAnsi="仿宋_GB2312" w:cs="仿宋_GB2312"/>
          <w:color w:val="000000"/>
          <w:kern w:val="0"/>
          <w:highlight w:val="none"/>
        </w:rPr>
        <w:t>其中，过去第X年负债资金成本率是指报告期末对应过去第X个12个月负债资金成本率。开业不满三年的公司，采用从公司开业日期至报告期末的平均负债资金成本率。</w:t>
      </w:r>
    </w:p>
    <w:p>
      <w:pPr>
        <w:pStyle w:val="5"/>
        <w:ind w:firstLine="640"/>
        <w:rPr>
          <w:rFonts w:hint="eastAsia" w:ascii="仿宋_GB2312" w:hAnsi="仿宋_GB2312" w:cs="仿宋_GB2312"/>
          <w:highlight w:val="none"/>
        </w:rPr>
      </w:pPr>
      <w:r>
        <w:rPr>
          <w:rFonts w:hint="eastAsia" w:ascii="仿宋_GB2312" w:hAnsi="仿宋_GB2312" w:cs="仿宋_GB2312"/>
          <w:highlight w:val="none"/>
        </w:rPr>
        <w:t>8.普通账户及各大类账户成本收益利差的计算</w:t>
      </w:r>
    </w:p>
    <w:p>
      <w:pPr>
        <w:ind w:firstLine="640"/>
        <w:rPr>
          <w:rFonts w:hint="eastAsia" w:ascii="仿宋_GB2312" w:hAnsi="仿宋_GB2312" w:cs="仿宋_GB2312"/>
          <w:highlight w:val="none"/>
          <w:lang w:val="en-GB"/>
        </w:rPr>
      </w:pPr>
      <w:r>
        <w:rPr>
          <w:rFonts w:hint="eastAsia" w:ascii="仿宋_GB2312" w:hAnsi="仿宋_GB2312" w:cs="仿宋_GB2312"/>
          <w:highlight w:val="none"/>
        </w:rPr>
        <w:t>过去三年</w:t>
      </w:r>
      <w:r>
        <w:rPr>
          <w:rFonts w:hint="eastAsia" w:ascii="仿宋_GB2312" w:hAnsi="仿宋_GB2312" w:cs="仿宋_GB2312"/>
          <w:highlight w:val="none"/>
          <w:lang w:val="en-GB"/>
        </w:rPr>
        <w:t>平均综合投资收益率与负债资金成本率差额</w:t>
      </w:r>
      <w:r>
        <w:rPr>
          <w:rFonts w:hint="eastAsia" w:ascii="仿宋_GB2312" w:hAnsi="仿宋_GB2312" w:cs="仿宋_GB2312"/>
          <w:highlight w:val="none"/>
        </w:rPr>
        <w:t>=过去三年</w:t>
      </w:r>
      <w:r>
        <w:rPr>
          <w:rFonts w:hint="eastAsia" w:ascii="仿宋_GB2312" w:hAnsi="仿宋_GB2312" w:cs="仿宋_GB2312"/>
          <w:highlight w:val="none"/>
          <w:lang w:val="en-GB"/>
        </w:rPr>
        <w:t>平均综合投资收益率</w:t>
      </w:r>
      <w:r>
        <w:rPr>
          <w:rFonts w:hint="eastAsia" w:ascii="仿宋_GB2312" w:hAnsi="仿宋_GB2312" w:cs="仿宋_GB2312"/>
          <w:highlight w:val="none"/>
        </w:rPr>
        <w:t>-过去三年</w:t>
      </w:r>
      <w:r>
        <w:rPr>
          <w:rFonts w:hint="eastAsia" w:ascii="仿宋_GB2312" w:hAnsi="仿宋_GB2312" w:cs="仿宋_GB2312"/>
          <w:highlight w:val="none"/>
          <w:lang w:val="en-GB"/>
        </w:rPr>
        <w:t>平均负债资金成本率</w:t>
      </w:r>
    </w:p>
    <w:p>
      <w:pPr>
        <w:ind w:firstLine="640"/>
        <w:rPr>
          <w:rFonts w:hint="eastAsia" w:ascii="仿宋_GB2312" w:hAnsi="仿宋_GB2312" w:cs="仿宋_GB2312"/>
          <w:highlight w:val="none"/>
        </w:rPr>
      </w:pPr>
      <w:r>
        <w:rPr>
          <w:rFonts w:hint="eastAsia" w:ascii="仿宋_GB2312" w:hAnsi="仿宋_GB2312" w:cs="仿宋_GB2312"/>
          <w:highlight w:val="none"/>
          <w:lang w:val="en-GB"/>
        </w:rPr>
        <w:t>过去第一年平均净投资收益率与负债资金成本率差额</w:t>
      </w:r>
      <w:r>
        <w:rPr>
          <w:rFonts w:hint="eastAsia" w:ascii="仿宋_GB2312" w:hAnsi="仿宋_GB2312" w:cs="仿宋_GB2312"/>
          <w:highlight w:val="none"/>
        </w:rPr>
        <w:t>=</w:t>
      </w:r>
      <w:r>
        <w:rPr>
          <w:rFonts w:hint="eastAsia" w:ascii="仿宋_GB2312" w:hAnsi="仿宋_GB2312" w:cs="仿宋_GB2312"/>
          <w:highlight w:val="none"/>
          <w:lang w:val="en-GB"/>
        </w:rPr>
        <w:t>过去第一年平均净投资收益率</w:t>
      </w:r>
      <w:r>
        <w:rPr>
          <w:rFonts w:hint="eastAsia" w:ascii="仿宋_GB2312" w:hAnsi="仿宋_GB2312" w:cs="仿宋_GB2312"/>
          <w:highlight w:val="none"/>
        </w:rPr>
        <w:t>-</w:t>
      </w:r>
      <w:r>
        <w:rPr>
          <w:rFonts w:hint="eastAsia" w:ascii="仿宋_GB2312" w:hAnsi="仿宋_GB2312" w:cs="仿宋_GB2312"/>
          <w:highlight w:val="none"/>
          <w:lang w:val="en-GB"/>
        </w:rPr>
        <w:t>过去第一年负债资金成本率</w:t>
      </w:r>
    </w:p>
    <w:p>
      <w:pPr>
        <w:ind w:firstLine="640"/>
        <w:rPr>
          <w:rFonts w:hint="eastAsia" w:ascii="仿宋_GB2312" w:hAnsi="仿宋_GB2312" w:cs="仿宋_GB2312"/>
          <w:highlight w:val="none"/>
        </w:rPr>
      </w:pPr>
      <w:r>
        <w:rPr>
          <w:rFonts w:hint="eastAsia" w:ascii="仿宋_GB2312" w:hAnsi="仿宋_GB2312" w:cs="仿宋_GB2312"/>
          <w:highlight w:val="none"/>
        </w:rPr>
        <w:t>过去第一年平均综合投资收益率与负债资金成本率差额=过去第一年平均综合投资收益率-过去第一年负债资金成本率</w:t>
      </w:r>
    </w:p>
    <w:p>
      <w:pPr>
        <w:ind w:firstLine="640"/>
        <w:rPr>
          <w:rFonts w:hint="eastAsia" w:ascii="仿宋_GB2312" w:hAnsi="仿宋_GB2312" w:cs="仿宋_GB2312"/>
          <w:highlight w:val="none"/>
        </w:rPr>
      </w:pPr>
      <w:r>
        <w:rPr>
          <w:rFonts w:hint="eastAsia" w:ascii="仿宋_GB2312" w:hAnsi="仿宋_GB2312" w:cs="仿宋_GB2312"/>
          <w:highlight w:val="none"/>
          <w:lang w:val="en-GB"/>
        </w:rPr>
        <w:t>风险调整后的过去第一年平均</w:t>
      </w:r>
      <w:r>
        <w:rPr>
          <w:rFonts w:hint="eastAsia" w:ascii="仿宋_GB2312" w:hAnsi="仿宋_GB2312" w:cs="仿宋_GB2312"/>
          <w:highlight w:val="none"/>
        </w:rPr>
        <w:t>综合投资收益率</w:t>
      </w:r>
      <w:r>
        <w:rPr>
          <w:rFonts w:hint="eastAsia" w:ascii="仿宋_GB2312" w:hAnsi="仿宋_GB2312" w:cs="仿宋_GB2312"/>
          <w:highlight w:val="none"/>
          <w:lang w:val="en-GB"/>
        </w:rPr>
        <w:t>与负债资金成本率差额</w:t>
      </w:r>
      <w:r>
        <w:rPr>
          <w:rFonts w:hint="eastAsia" w:ascii="仿宋_GB2312" w:hAnsi="仿宋_GB2312" w:cs="仿宋_GB2312"/>
          <w:highlight w:val="none"/>
        </w:rPr>
        <w:t>=风险调整后的过去第一年平均综合投资收益率-过去第一年负债资金成本率</w:t>
      </w:r>
    </w:p>
    <w:p>
      <w:pPr>
        <w:ind w:firstLine="640"/>
        <w:rPr>
          <w:rFonts w:hint="eastAsia" w:ascii="仿宋_GB2312" w:hAnsi="仿宋_GB2312" w:cs="仿宋_GB2312"/>
          <w:highlight w:val="none"/>
        </w:rPr>
      </w:pPr>
      <w:r>
        <w:rPr>
          <w:rFonts w:hint="eastAsia" w:ascii="仿宋_GB2312" w:hAnsi="仿宋_GB2312" w:cs="仿宋_GB2312"/>
          <w:color w:val="000000"/>
          <w:kern w:val="0"/>
          <w:highlight w:val="none"/>
        </w:rPr>
        <w:t>调整后的过去第一年平均综合投资收益率与</w:t>
      </w:r>
      <w:r>
        <w:rPr>
          <w:rFonts w:hint="eastAsia" w:ascii="仿宋_GB2312" w:hAnsi="仿宋_GB2312" w:cs="仿宋_GB2312"/>
          <w:highlight w:val="none"/>
          <w:lang w:val="en-GB"/>
        </w:rPr>
        <w:t>负债资金成本率差额</w:t>
      </w:r>
      <w:r>
        <w:rPr>
          <w:rFonts w:hint="eastAsia" w:ascii="仿宋_GB2312" w:hAnsi="仿宋_GB2312" w:cs="仿宋_GB2312"/>
          <w:highlight w:val="none"/>
        </w:rPr>
        <w:t>=</w:t>
      </w:r>
      <w:r>
        <w:rPr>
          <w:rFonts w:hint="eastAsia" w:ascii="仿宋_GB2312" w:hAnsi="仿宋_GB2312" w:cs="仿宋_GB2312"/>
          <w:color w:val="000000"/>
          <w:kern w:val="0"/>
          <w:highlight w:val="none"/>
        </w:rPr>
        <w:t>调整后的过去第一年综合投资收益率-</w:t>
      </w:r>
      <w:r>
        <w:rPr>
          <w:rFonts w:hint="eastAsia" w:ascii="仿宋_GB2312" w:hAnsi="仿宋_GB2312" w:cs="仿宋_GB2312"/>
          <w:highlight w:val="none"/>
          <w:lang w:val="en-GB"/>
        </w:rPr>
        <w:t>过去第一年负债资金成本率</w:t>
      </w:r>
    </w:p>
    <w:p>
      <w:pPr>
        <w:pStyle w:val="5"/>
        <w:ind w:firstLine="640"/>
        <w:rPr>
          <w:rFonts w:hint="eastAsia" w:ascii="仿宋_GB2312" w:hAnsi="仿宋_GB2312" w:cs="仿宋_GB2312"/>
          <w:highlight w:val="none"/>
        </w:rPr>
      </w:pPr>
      <w:r>
        <w:rPr>
          <w:rFonts w:hint="eastAsia" w:ascii="仿宋_GB2312" w:hAnsi="仿宋_GB2312" w:cs="仿宋_GB2312"/>
          <w:highlight w:val="none"/>
        </w:rPr>
        <w:t>9.收入覆盖率</w:t>
      </w:r>
    </w:p>
    <w:p>
      <w:pPr>
        <w:ind w:firstLine="640"/>
        <w:rPr>
          <w:rFonts w:hint="eastAsia" w:ascii="仿宋_GB2312" w:hAnsi="仿宋_GB2312" w:cs="仿宋_GB2312"/>
          <w:highlight w:val="none"/>
        </w:rPr>
      </w:pPr>
      <w:r>
        <w:rPr>
          <w:rFonts w:hint="eastAsia" w:ascii="仿宋_GB2312" w:hAnsi="仿宋_GB2312" w:cs="仿宋_GB2312"/>
          <w:highlight w:val="none"/>
        </w:rPr>
        <w:t>（1）传统保险账户收入覆盖率=（过去三年平均综合投资收益+过去三年平均保险服务收入）÷过去三年平均承保综合成本×100%</w:t>
      </w:r>
    </w:p>
    <w:p>
      <w:pPr>
        <w:ind w:firstLine="640"/>
        <w:rPr>
          <w:rFonts w:hint="eastAsia" w:ascii="仿宋_GB2312" w:hAnsi="仿宋_GB2312" w:cs="仿宋_GB2312"/>
          <w:highlight w:val="none"/>
        </w:rPr>
      </w:pPr>
      <w:r>
        <w:rPr>
          <w:rFonts w:hint="eastAsia" w:ascii="仿宋_GB2312" w:hAnsi="仿宋_GB2312" w:cs="仿宋_GB2312"/>
          <w:highlight w:val="none"/>
        </w:rPr>
        <w:t>（2）普通账户收入覆盖率=（普通账户过去三年平均综合投资收益+传统保险账户过去三年平均保险服务收入）÷（传统保险账户过去三年平均承保综合成本+过去三年平均次级债、资本补充债和无固定期限资本债券利息支出）×100%</w:t>
      </w:r>
    </w:p>
    <w:p>
      <w:pPr>
        <w:ind w:firstLine="640"/>
        <w:rPr>
          <w:rFonts w:hint="eastAsia" w:ascii="仿宋_GB2312" w:hAnsi="仿宋_GB2312" w:cs="仿宋_GB2312"/>
          <w:highlight w:val="none"/>
        </w:rPr>
      </w:pPr>
      <w:r>
        <w:rPr>
          <w:rFonts w:hint="eastAsia" w:ascii="仿宋_GB2312" w:hAnsi="仿宋_GB2312" w:cs="仿宋_GB2312"/>
          <w:highlight w:val="none"/>
        </w:rPr>
        <w:t>其中，过去三年保险服务收入为过去36个月累计收入，公司执行《企业会计准则第25号——原保险合同》（财会〔2006〕3号）的，可用“已赚保费”代替。过去三年平均保险服务收入=过去三年保险服务收入÷3。</w:t>
      </w:r>
    </w:p>
    <w:p>
      <w:pPr>
        <w:ind w:firstLine="640"/>
        <w:rPr>
          <w:rFonts w:hint="eastAsia" w:ascii="仿宋_GB2312" w:hAnsi="仿宋_GB2312" w:cs="仿宋_GB2312"/>
          <w:highlight w:val="none"/>
        </w:rPr>
      </w:pPr>
      <w:r>
        <w:rPr>
          <w:rFonts w:hint="eastAsia" w:ascii="仿宋_GB2312" w:hAnsi="仿宋_GB2312" w:cs="仿宋_GB2312"/>
          <w:highlight w:val="none"/>
        </w:rPr>
        <w:t>过去三年综合投资收益为过去36个月累计综合投资收益</w:t>
      </w:r>
      <w:r>
        <w:rPr>
          <w:rFonts w:hint="eastAsia" w:ascii="仿宋_GB2312" w:hAnsi="仿宋_GB2312" w:cs="仿宋_GB2312"/>
          <w:highlight w:val="none"/>
          <w:lang w:val="en-GB"/>
        </w:rPr>
        <w:t>。过去三年平均综合投资收益</w:t>
      </w:r>
      <w:r>
        <w:rPr>
          <w:rFonts w:hint="eastAsia" w:ascii="仿宋_GB2312" w:hAnsi="仿宋_GB2312" w:cs="仿宋_GB2312"/>
          <w:highlight w:val="none"/>
        </w:rPr>
        <w:t>=过去三年综合投资收益÷3。</w:t>
      </w:r>
    </w:p>
    <w:p>
      <w:pPr>
        <w:ind w:firstLine="640"/>
        <w:rPr>
          <w:rFonts w:hint="eastAsia" w:ascii="仿宋_GB2312" w:hAnsi="仿宋_GB2312" w:cs="仿宋_GB2312"/>
          <w:highlight w:val="none"/>
        </w:rPr>
      </w:pPr>
      <w:r>
        <w:rPr>
          <w:rFonts w:hint="eastAsia" w:ascii="仿宋_GB2312" w:hAnsi="仿宋_GB2312" w:cs="仿宋_GB2312"/>
          <w:highlight w:val="none"/>
        </w:rPr>
        <w:t>过去三年承保综合成本为过去36个月累计承保综合成本。过去三年平均承保综合成本=过去三年承保综合成本÷3。</w:t>
      </w:r>
    </w:p>
    <w:p>
      <w:pPr>
        <w:ind w:firstLine="640"/>
        <w:rPr>
          <w:rFonts w:hint="eastAsia" w:ascii="仿宋_GB2312" w:hAnsi="仿宋_GB2312" w:cs="仿宋_GB2312"/>
          <w:highlight w:val="none"/>
        </w:rPr>
      </w:pPr>
      <w:r>
        <w:rPr>
          <w:rFonts w:hint="eastAsia" w:ascii="仿宋_GB2312" w:hAnsi="仿宋_GB2312" w:cs="仿宋_GB2312"/>
          <w:highlight w:val="none"/>
        </w:rPr>
        <w:t>过去三年次级债、资本补充债和无固定期限资本债券利息支出为过去36个月累计次级债、资本补充债和无固定期限资本债券利息支出。过去三年平均次级债、资本补充债和无固定期限资本债券利息支出=过去三年平均次级债、资本补充债和无固定期限资本债券负债平均规模×过去三年平均次级债、资本补充债和无固定期限资本债券平均负债资金成本率。</w:t>
      </w:r>
    </w:p>
    <w:p>
      <w:pPr>
        <w:ind w:firstLine="640"/>
        <w:rPr>
          <w:rFonts w:hint="eastAsia" w:ascii="仿宋_GB2312" w:hAnsi="仿宋_GB2312" w:cs="仿宋_GB2312"/>
          <w:highlight w:val="none"/>
        </w:rPr>
      </w:pPr>
      <w:r>
        <w:rPr>
          <w:rFonts w:hint="eastAsia" w:ascii="仿宋_GB2312" w:hAnsi="仿宋_GB2312" w:cs="仿宋_GB2312"/>
          <w:color w:val="000000"/>
          <w:kern w:val="0"/>
          <w:highlight w:val="none"/>
        </w:rPr>
        <w:t>对于开业不满三年的公司，采用从公司开业日期至报告期末计算累计数和平均数。对于发行不满三年的</w:t>
      </w:r>
      <w:r>
        <w:rPr>
          <w:rFonts w:hint="eastAsia" w:ascii="仿宋_GB2312" w:hAnsi="仿宋_GB2312" w:cs="仿宋_GB2312"/>
          <w:highlight w:val="none"/>
        </w:rPr>
        <w:t>次级债、资本补充债和无固定期限资本债券，采用从发行日</w:t>
      </w:r>
      <w:r>
        <w:rPr>
          <w:rFonts w:hint="eastAsia" w:ascii="仿宋_GB2312" w:hAnsi="仿宋_GB2312" w:cs="仿宋_GB2312"/>
          <w:color w:val="000000"/>
          <w:kern w:val="0"/>
          <w:highlight w:val="none"/>
        </w:rPr>
        <w:t>至报告期末计算累计数和平均数。</w:t>
      </w:r>
    </w:p>
    <w:p>
      <w:pPr>
        <w:pStyle w:val="5"/>
        <w:ind w:firstLine="640"/>
        <w:rPr>
          <w:highlight w:val="none"/>
        </w:rPr>
      </w:pPr>
      <w:r>
        <w:rPr>
          <w:rFonts w:hint="eastAsia" w:ascii="仿宋_GB2312" w:hAnsi="仿宋_GB2312" w:cs="仿宋_GB2312"/>
          <w:highlight w:val="none"/>
        </w:rPr>
        <w:t>10.成本收益匹配压力测试假设</w:t>
      </w:r>
    </w:p>
    <w:p>
      <w:pPr>
        <w:ind w:firstLine="640"/>
        <w:rPr>
          <w:highlight w:val="none"/>
        </w:rPr>
      </w:pPr>
      <w:r>
        <w:rPr>
          <w:rFonts w:hint="eastAsia"/>
          <w:highlight w:val="none"/>
        </w:rPr>
        <w:t>成本收益匹配压力测试基础情景预测假设应根据历史经验和对未来趋势的判断，并与公司经营规划一致。新业务假设应与公司业务规划一致。费用假设应与公司业务规划和财务预算一致。再保险假设应符合公司再保险管理策略。投资假设应与公司资产战略配置规划保持一致。对股东的股利分配假设应符合公司的股利政策的实际经验。</w:t>
      </w:r>
    </w:p>
    <w:p>
      <w:pPr>
        <w:ind w:firstLine="640"/>
        <w:rPr>
          <w:rFonts w:hAnsi="仿宋_GB2312" w:cs="仿宋_GB2312"/>
          <w:highlight w:val="none"/>
        </w:rPr>
      </w:pPr>
      <w:r>
        <w:rPr>
          <w:rFonts w:hint="eastAsia"/>
          <w:highlight w:val="none"/>
        </w:rPr>
        <w:t>压力情景测</w:t>
      </w:r>
      <w:r>
        <w:rPr>
          <w:rFonts w:hint="eastAsia" w:hAnsi="仿宋_GB2312" w:cs="仿宋_GB2312"/>
          <w:highlight w:val="none"/>
        </w:rPr>
        <w:t>试的压力情景由国家金融监督管理总局发布。成本收益匹配压力测试的评估指标为综合投资收益率与负债资金成本率差额。</w:t>
      </w:r>
    </w:p>
    <w:p>
      <w:pPr>
        <w:pStyle w:val="5"/>
        <w:ind w:firstLine="640"/>
        <w:rPr>
          <w:highlight w:val="none"/>
        </w:rPr>
      </w:pPr>
      <w:r>
        <w:rPr>
          <w:rFonts w:hint="eastAsia" w:ascii="仿宋_GB2312" w:hAnsi="仿宋_GB2312" w:cs="仿宋_GB2312"/>
          <w:highlight w:val="none"/>
        </w:rPr>
        <w:t>11.综合投</w:t>
      </w:r>
      <w:r>
        <w:rPr>
          <w:rFonts w:hint="eastAsia"/>
          <w:highlight w:val="none"/>
        </w:rPr>
        <w:t>资收益率（未来一个年度）</w:t>
      </w:r>
    </w:p>
    <w:p>
      <w:pPr>
        <w:ind w:firstLine="640"/>
        <w:rPr>
          <w:rFonts w:ascii="仿宋_GB2312" w:hAnsi="仿宋_GB2312"/>
          <w:highlight w:val="none"/>
        </w:rPr>
      </w:pPr>
      <m:oMathPara>
        <m:oMath>
          <m:r>
            <m:rPr>
              <m:sty m:val="p"/>
            </m:rPr>
            <w:rPr>
              <w:rFonts w:hint="eastAsia" w:ascii="DejaVu Math TeX Gyre" w:hAnsi="DejaVu Math TeX Gyre"/>
              <w:kern w:val="0"/>
              <w:highlight w:val="none"/>
            </w:rPr>
            <m:t>综合投资收益率（未来一个年度）</m:t>
          </m:r>
          <m:r>
            <m:rPr>
              <m:sty m:val="p"/>
            </m:rPr>
            <w:rPr>
              <w:rFonts w:hint="eastAsia" w:ascii="DejaVu Math TeX Gyre" w:hAnsi="DejaVu Math TeX Gyre"/>
              <w:highlight w:val="none"/>
            </w:rPr>
            <m:t>=预测未来第一年度末综合投资收益÷预测未来第一年度末资金运用平均净额×100%</m:t>
          </m:r>
        </m:oMath>
      </m:oMathPara>
    </w:p>
    <w:p>
      <w:pPr>
        <w:ind w:firstLine="640"/>
        <w:rPr>
          <w:highlight w:val="none"/>
        </w:rPr>
      </w:pPr>
      <w:r>
        <w:rPr>
          <w:rFonts w:hint="eastAsia"/>
          <w:highlight w:val="none"/>
        </w:rPr>
        <w:t>其中，“预测未来第一年度末资金运用平均净额”是指相应资产在未来第一年度末的预测资金运用平均净额，未来</w:t>
      </w:r>
      <w:r>
        <w:rPr>
          <w:rFonts w:hint="eastAsia" w:hAnsi="仿宋"/>
          <w:highlight w:val="none"/>
        </w:rPr>
        <w:t>第一年度末的资金运用平均净额为未来第一年年初与年末资金运用净额的算术平均值</w:t>
      </w:r>
      <w:r>
        <w:rPr>
          <w:rFonts w:hint="eastAsia"/>
          <w:highlight w:val="none"/>
        </w:rPr>
        <w:t>。</w:t>
      </w:r>
    </w:p>
    <w:p>
      <w:pPr>
        <w:ind w:firstLine="640"/>
        <w:rPr>
          <w:rFonts w:hAnsi="仿宋"/>
          <w:highlight w:val="none"/>
        </w:rPr>
      </w:pPr>
      <w:r>
        <w:rPr>
          <w:rFonts w:hint="eastAsia"/>
          <w:highlight w:val="none"/>
        </w:rPr>
        <w:t>在计算公司普通账户资金运用净额及各大类资产的预测综合投资收益率时，不应考虑次级债、资本补充债和无固定期限资本债券所支付的利息；在计算次级债、资本补充债和无固定期限资本债券账户的</w:t>
      </w:r>
      <w:r>
        <w:rPr>
          <w:rFonts w:hint="eastAsia" w:hAnsi="仿宋"/>
          <w:highlight w:val="none"/>
        </w:rPr>
        <w:t>预测综合投资收益率及负债成本率时，次级债、资本补充债和无固定期限资本债券所支付的利息在负债资金成本率中进行考虑。</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（三）流动性匹配计量规则</w:t>
      </w:r>
    </w:p>
    <w:p>
      <w:pPr>
        <w:widowControl w:val="0"/>
        <w:adjustRightInd w:val="0"/>
        <w:snapToGrid w:val="0"/>
        <w:spacing w:line="560" w:lineRule="exact"/>
        <w:ind w:firstLine="640" w:firstLineChars="200"/>
        <w:rPr>
          <w:rFonts w:ascii="仿宋_GB2312" w:hAnsi="仿宋" w:cs="MS Mincho"/>
          <w:szCs w:val="32"/>
          <w:highlight w:val="none"/>
        </w:rPr>
      </w:pPr>
      <w:r>
        <w:rPr>
          <w:rFonts w:ascii="仿宋_GB2312" w:hAnsi="仿宋" w:cs="MS Mincho"/>
          <w:szCs w:val="32"/>
          <w:highlight w:val="none"/>
        </w:rPr>
        <w:t>流动性覆盖率</w:t>
      </w:r>
      <w:r>
        <w:rPr>
          <w:rFonts w:hint="eastAsia" w:ascii="仿宋_GB2312" w:hAnsi="仿宋" w:cs="MS Mincho"/>
          <w:szCs w:val="32"/>
          <w:highlight w:val="none"/>
        </w:rPr>
        <w:t>（LCR）衡量保险公司获得资金以支付到期债务或履行其他支付义务的能力，防范流动性风险。压力情景下流动性覆盖率指标的计算方法按照国家金融监督管理总局有关流动性风险监管规则执行。</w:t>
      </w:r>
      <w:r>
        <w:rPr>
          <w:rFonts w:ascii="仿宋_GB2312" w:hAnsi="仿宋" w:cs="MS Mincho"/>
          <w:szCs w:val="32"/>
          <w:highlight w:val="none"/>
        </w:rPr>
        <w:br w:type="page"/>
      </w:r>
    </w:p>
    <w:p>
      <w:pPr>
        <w:pStyle w:val="2"/>
        <w:spacing w:line="560" w:lineRule="exact"/>
        <w:ind w:left="0" w:firstLine="0" w:firstLineChars="0"/>
        <w:rPr>
          <w:rFonts w:ascii="黑体" w:hAnsi="黑体" w:eastAsia="黑体" w:cs="黑体"/>
          <w:sz w:val="32"/>
          <w:highlight w:val="none"/>
        </w:rPr>
      </w:pPr>
      <w:r>
        <w:rPr>
          <w:rFonts w:hint="eastAsia" w:ascii="黑体" w:hAnsi="黑体" w:eastAsia="黑体" w:cs="黑体"/>
          <w:sz w:val="32"/>
          <w:highlight w:val="none"/>
        </w:rPr>
        <w:t>人身保险公司资产负债管理报告填报要求</w:t>
      </w:r>
    </w:p>
    <w:p>
      <w:pPr>
        <w:ind w:firstLine="640"/>
        <w:jc w:val="both"/>
        <w:rPr>
          <w:rFonts w:ascii="黑体" w:hAnsi="黑体" w:eastAsia="黑体" w:cs="黑体"/>
          <w:szCs w:val="32"/>
          <w:highlight w:val="none"/>
        </w:rPr>
      </w:pPr>
    </w:p>
    <w:p>
      <w:pPr>
        <w:pStyle w:val="14"/>
        <w:ind w:firstLine="640"/>
        <w:rPr>
          <w:highlight w:val="none"/>
        </w:rPr>
      </w:pPr>
      <w:r>
        <w:rPr>
          <w:rFonts w:hint="eastAsia"/>
          <w:highlight w:val="none"/>
        </w:rPr>
        <w:t>一、报告范围</w:t>
      </w:r>
    </w:p>
    <w:p>
      <w:pPr>
        <w:ind w:firstLine="640"/>
        <w:rPr>
          <w:highlight w:val="none"/>
        </w:rPr>
      </w:pPr>
      <w:r>
        <w:rPr>
          <w:rFonts w:hint="eastAsia"/>
          <w:highlight w:val="none"/>
        </w:rPr>
        <w:t>人身保险公司应当报告资产信息、负债信息和资产负债匹配信息。</w:t>
      </w:r>
    </w:p>
    <w:p>
      <w:pPr>
        <w:ind w:firstLine="640"/>
        <w:rPr>
          <w:highlight w:val="none"/>
        </w:rPr>
      </w:pPr>
      <w:r>
        <w:rPr>
          <w:rFonts w:hint="eastAsia"/>
          <w:highlight w:val="none"/>
        </w:rPr>
        <w:t>人身保险公司的</w:t>
      </w:r>
      <w:r>
        <w:rPr>
          <w:rFonts w:hint="eastAsia"/>
          <w:bCs/>
          <w:highlight w:val="none"/>
        </w:rPr>
        <w:t>期限结构匹配</w:t>
      </w:r>
      <w:r>
        <w:rPr>
          <w:rFonts w:hint="eastAsia"/>
          <w:highlight w:val="none"/>
        </w:rPr>
        <w:t>包括公司普通账户、传统保险账户、分红保险账户、万能保险账户的修正久期、有效久期、利率风险对冲率、关键久期的匹配状况和基点价值变动率情况</w:t>
      </w:r>
      <w:r>
        <w:rPr>
          <w:rFonts w:hint="eastAsia"/>
          <w:highlight w:val="none"/>
          <w:lang w:eastAsia="zh-CN"/>
        </w:rPr>
        <w:t>。</w:t>
      </w:r>
      <w:r>
        <w:rPr>
          <w:bCs/>
          <w:highlight w:val="none"/>
        </w:rPr>
        <w:t>成本收益匹配</w:t>
      </w:r>
      <w:r>
        <w:rPr>
          <w:highlight w:val="none"/>
        </w:rPr>
        <w:t>包括</w:t>
      </w:r>
      <w:r>
        <w:rPr>
          <w:rFonts w:hint="eastAsia"/>
          <w:highlight w:val="none"/>
        </w:rPr>
        <w:t>基础情景与</w:t>
      </w:r>
      <w:r>
        <w:rPr>
          <w:highlight w:val="none"/>
        </w:rPr>
        <w:t>压力</w:t>
      </w:r>
      <w:r>
        <w:rPr>
          <w:rFonts w:hint="eastAsia"/>
          <w:highlight w:val="none"/>
        </w:rPr>
        <w:t>情景下</w:t>
      </w:r>
      <w:r>
        <w:rPr>
          <w:highlight w:val="none"/>
        </w:rPr>
        <w:t>公司投资活动和负债成本的</w:t>
      </w:r>
      <w:r>
        <w:rPr>
          <w:rFonts w:hint="eastAsia"/>
          <w:highlight w:val="none"/>
        </w:rPr>
        <w:t>匹配状况</w:t>
      </w:r>
      <w:r>
        <w:rPr>
          <w:rFonts w:hint="eastAsia"/>
          <w:highlight w:val="none"/>
          <w:lang w:eastAsia="zh-CN"/>
        </w:rPr>
        <w:t>，</w:t>
      </w:r>
      <w:r>
        <w:rPr>
          <w:highlight w:val="none"/>
        </w:rPr>
        <w:t>应当分别</w:t>
      </w:r>
      <w:r>
        <w:rPr>
          <w:rFonts w:hint="eastAsia"/>
          <w:highlight w:val="none"/>
        </w:rPr>
        <w:t>评估普通账</w:t>
      </w:r>
      <w:r>
        <w:rPr>
          <w:rFonts w:hint="eastAsia" w:ascii="仿宋_GB2312" w:hAnsi="仿宋_GB2312" w:cs="仿宋_GB2312"/>
          <w:highlight w:val="none"/>
        </w:rPr>
        <w:t>户</w:t>
      </w:r>
      <w:r>
        <w:rPr>
          <w:rStyle w:val="19"/>
          <w:rFonts w:hint="eastAsia" w:ascii="仿宋_GB2312" w:hAnsi="仿宋_GB2312" w:cs="仿宋_GB2312"/>
          <w:highlight w:val="none"/>
        </w:rPr>
        <w:footnoteReference w:id="5"/>
      </w:r>
      <w:r>
        <w:rPr>
          <w:rFonts w:hint="eastAsia" w:ascii="仿宋_GB2312" w:hAnsi="仿宋_GB2312" w:cs="仿宋_GB2312"/>
          <w:highlight w:val="none"/>
        </w:rPr>
        <w:t>、传</w:t>
      </w:r>
      <w:r>
        <w:rPr>
          <w:highlight w:val="none"/>
        </w:rPr>
        <w:t>统</w:t>
      </w:r>
      <w:r>
        <w:rPr>
          <w:rFonts w:hint="eastAsia"/>
          <w:highlight w:val="none"/>
        </w:rPr>
        <w:t>保险</w:t>
      </w:r>
      <w:r>
        <w:rPr>
          <w:highlight w:val="none"/>
        </w:rPr>
        <w:t>账户、分红</w:t>
      </w:r>
      <w:r>
        <w:rPr>
          <w:rFonts w:hint="eastAsia"/>
          <w:highlight w:val="none"/>
        </w:rPr>
        <w:t>保险</w:t>
      </w:r>
      <w:r>
        <w:rPr>
          <w:highlight w:val="none"/>
        </w:rPr>
        <w:t>账户、万能</w:t>
      </w:r>
      <w:r>
        <w:rPr>
          <w:rFonts w:hint="eastAsia"/>
          <w:highlight w:val="none"/>
        </w:rPr>
        <w:t>保险</w:t>
      </w:r>
      <w:r>
        <w:rPr>
          <w:highlight w:val="none"/>
        </w:rPr>
        <w:t>账户的成本收益匹配状况</w:t>
      </w:r>
      <w:r>
        <w:rPr>
          <w:rFonts w:hint="eastAsia"/>
          <w:highlight w:val="none"/>
          <w:lang w:eastAsia="zh-CN"/>
        </w:rPr>
        <w:t>。</w:t>
      </w:r>
      <w:r>
        <w:rPr>
          <w:rFonts w:hint="eastAsia"/>
          <w:bCs/>
          <w:highlight w:val="none"/>
        </w:rPr>
        <w:t>流动性匹配</w:t>
      </w:r>
      <w:r>
        <w:rPr>
          <w:rFonts w:hint="eastAsia"/>
          <w:highlight w:val="none"/>
        </w:rPr>
        <w:t>包括流动性覆盖率</w:t>
      </w:r>
      <w:r>
        <w:rPr>
          <w:rFonts w:hint="eastAsia"/>
          <w:highlight w:val="none"/>
          <w:lang w:eastAsia="zh-CN"/>
        </w:rPr>
        <w:t>和</w:t>
      </w:r>
      <w:r>
        <w:rPr>
          <w:rFonts w:hint="eastAsia"/>
          <w:highlight w:val="none"/>
        </w:rPr>
        <w:t>流动性匹配率</w:t>
      </w:r>
      <w:r>
        <w:rPr>
          <w:rFonts w:hint="eastAsia"/>
          <w:highlight w:val="none"/>
          <w:lang w:eastAsia="zh-CN"/>
        </w:rPr>
        <w:t>，</w:t>
      </w:r>
      <w:r>
        <w:rPr>
          <w:rFonts w:hint="eastAsia"/>
          <w:highlight w:val="none"/>
        </w:rPr>
        <w:t>应当分别评估公司普通账户、传统保险账户、分红保险账户、万能保险账户的</w:t>
      </w:r>
      <w:r>
        <w:rPr>
          <w:rFonts w:hint="eastAsia"/>
          <w:highlight w:val="none"/>
          <w:lang w:eastAsia="zh-CN"/>
        </w:rPr>
        <w:t>流动性</w:t>
      </w:r>
      <w:r>
        <w:rPr>
          <w:rFonts w:hint="eastAsia"/>
          <w:highlight w:val="none"/>
        </w:rPr>
        <w:t>状况。</w:t>
      </w:r>
      <w:r>
        <w:rPr>
          <w:rFonts w:hint="eastAsia"/>
          <w:bCs/>
          <w:highlight w:val="none"/>
        </w:rPr>
        <w:t>监管指标阈值针对</w:t>
      </w:r>
      <w:r>
        <w:rPr>
          <w:rFonts w:hint="eastAsia"/>
          <w:bCs/>
          <w:highlight w:val="none"/>
          <w:lang w:eastAsia="zh-CN"/>
        </w:rPr>
        <w:t>人身保险公司</w:t>
      </w:r>
      <w:r>
        <w:rPr>
          <w:rFonts w:hint="eastAsia"/>
          <w:bCs/>
          <w:highlight w:val="none"/>
        </w:rPr>
        <w:t>普通账户。</w:t>
      </w:r>
    </w:p>
    <w:p>
      <w:pPr>
        <w:ind w:firstLine="640"/>
        <w:rPr>
          <w:rFonts w:ascii="仿宋" w:hAnsi="仿宋" w:cs="Arial"/>
          <w:highlight w:val="none"/>
        </w:rPr>
      </w:pPr>
      <w:r>
        <w:rPr>
          <w:rFonts w:hint="eastAsia" w:ascii="仿宋" w:hAnsi="仿宋" w:cs="Arial"/>
          <w:highlight w:val="none"/>
        </w:rPr>
        <w:t>人身保险公司开展个人税收递延型商业养老保险、专属商业养老保险和商业养老金业务的，应当将个人税收递延型商业养老保险传统型账户、分红型账户、万能型账户、投连型账户分别与传统保险账户、分红保险账户、万能保险账户、独立账户合并填报；将专属商业养老保险账户与万能保险账户合并填报；将商业养老金与独立账户合并填报。</w:t>
      </w:r>
    </w:p>
    <w:p>
      <w:pPr>
        <w:pStyle w:val="14"/>
        <w:ind w:firstLine="640"/>
        <w:rPr>
          <w:highlight w:val="none"/>
        </w:rPr>
      </w:pPr>
      <w:r>
        <w:rPr>
          <w:rFonts w:hint="eastAsia"/>
          <w:highlight w:val="none"/>
        </w:rPr>
        <w:t>二、填报基本原则</w:t>
      </w:r>
    </w:p>
    <w:p>
      <w:pPr>
        <w:ind w:firstLine="640"/>
        <w:rPr>
          <w:highlight w:val="none"/>
        </w:rPr>
      </w:pPr>
      <w:r>
        <w:rPr>
          <w:rFonts w:hint="eastAsia"/>
          <w:highlight w:val="none"/>
        </w:rPr>
        <w:t>基本信息：保险公司应在公司当前的资产、负债基础上，填报公司资产配置、资产信用与负债产品的有关信息。</w:t>
      </w:r>
    </w:p>
    <w:p>
      <w:pPr>
        <w:ind w:firstLine="640"/>
        <w:rPr>
          <w:highlight w:val="none"/>
        </w:rPr>
      </w:pPr>
      <w:r>
        <w:rPr>
          <w:rFonts w:hint="eastAsia"/>
          <w:highlight w:val="none"/>
        </w:rPr>
        <w:t>期限结构匹配：保险公司应基于当前资产负债情况，合理确定预测假设和再保安排，预测存量资产和存量负债的最优估计现金流。在此基础上，分别计算公司普通账户和各大类账户的修正久期、有效久期、久期缺口，以及利率风险对冲率，基于关键久期计算规定情景下的基点价值变动，以及基点价值变动率。</w:t>
      </w:r>
    </w:p>
    <w:p>
      <w:pPr>
        <w:ind w:firstLine="640"/>
        <w:rPr>
          <w:highlight w:val="none"/>
        </w:rPr>
      </w:pPr>
      <w:r>
        <w:rPr>
          <w:rFonts w:hint="eastAsia"/>
          <w:highlight w:val="none"/>
        </w:rPr>
        <w:t>成本收益匹配：保险公司应根据自身经营业务和投资业务的实际情况，填报公司普通账户、传统保险账户、分红保险账户和万能保险账户的成本收益情况。为评估公司未来的成本收益状况，保险公司应在公司当前的资产、负债基础上，合理确定预测假设，基于权责发生制原则，结合公司业务规划、资产配置政策等构建测试期间内的资产负债模型，预测对成本收益有重要影响的主要财务报表项目。出于稳健审慎的考虑，在成本收益匹配预测评估中，公司不应考虑未来新增的再保安排，测试存量分保后（财务再保</w:t>
      </w:r>
      <w:r>
        <w:rPr>
          <w:rFonts w:hint="eastAsia" w:ascii="仿宋_GB2312" w:hAnsi="仿宋_GB2312" w:cs="仿宋_GB2312"/>
          <w:highlight w:val="none"/>
        </w:rPr>
        <w:t>险</w:t>
      </w:r>
      <w:r>
        <w:rPr>
          <w:rStyle w:val="19"/>
          <w:rFonts w:hint="eastAsia" w:ascii="仿宋_GB2312" w:hAnsi="仿宋_GB2312" w:cs="仿宋_GB2312"/>
          <w:highlight w:val="none"/>
        </w:rPr>
        <w:footnoteReference w:id="6"/>
      </w:r>
      <w:r>
        <w:rPr>
          <w:rFonts w:hint="eastAsia" w:ascii="仿宋_GB2312" w:hAnsi="仿宋_GB2312" w:cs="仿宋_GB2312"/>
          <w:highlight w:val="none"/>
        </w:rPr>
        <w:t>除外</w:t>
      </w:r>
      <w:r>
        <w:rPr>
          <w:rFonts w:hint="eastAsia"/>
          <w:highlight w:val="none"/>
        </w:rPr>
        <w:t>）和预测期间新增原保险各业务类别的现金流。</w:t>
      </w:r>
      <w:r>
        <w:rPr>
          <w:rFonts w:hint="eastAsia"/>
          <w:bCs/>
          <w:highlight w:val="none"/>
        </w:rPr>
        <w:t>根据以上信息，保险公司对基础情景下测试期间内各年度末的资产和负债进行预测</w:t>
      </w:r>
      <w:r>
        <w:rPr>
          <w:rFonts w:hint="eastAsia"/>
          <w:highlight w:val="none"/>
        </w:rPr>
        <w:t>：</w:t>
      </w:r>
      <w:r>
        <w:rPr>
          <w:rFonts w:hint="eastAsia"/>
          <w:bCs/>
          <w:highlight w:val="none"/>
        </w:rPr>
        <w:t>一是资产配置和收益预测。</w:t>
      </w:r>
      <w:r>
        <w:rPr>
          <w:rFonts w:hint="eastAsia"/>
          <w:highlight w:val="none"/>
        </w:rPr>
        <w:t>保险公司应基于公司期初投资资产，结合预测期间的资产负债现金流、再投资策略和各大类资产投资收益率假设，预测各时点投资资产相关信息，包括资产分布、资产的账面价值、摊余成本和投资收益等。未来一年的资产配置比例和投资收益假设应与年度资产配置计划保持一致，未来二至三年的资产配置比例和投资收益假设应与战略资产配置规划保持一致。</w:t>
      </w:r>
      <w:r>
        <w:rPr>
          <w:rFonts w:hint="eastAsia"/>
          <w:bCs/>
          <w:highlight w:val="none"/>
        </w:rPr>
        <w:t>程序上，</w:t>
      </w:r>
      <w:r>
        <w:rPr>
          <w:rFonts w:hint="eastAsia"/>
          <w:highlight w:val="none"/>
          <w:lang w:val="en-GB"/>
        </w:rPr>
        <w:t>未来</w:t>
      </w:r>
      <w:r>
        <w:rPr>
          <w:rFonts w:hint="eastAsia"/>
          <w:highlight w:val="none"/>
        </w:rPr>
        <w:t>三年的资产配置规划数据须在每年第四季度的报告中进行更新，若尚未经董事会审批的，可采用未经审批的预案数据进行填报，经董事会审批后有调整的，应在年度报告中对数据进行调整并在备注中说明。年度报告中的资产配置规划应与经董事会批准的一致，若一季度至三季度资产配置规划发生调整，可在对应季度报告中根据实际情况进行更新评估，并在备注中说明。</w:t>
      </w:r>
      <w:r>
        <w:rPr>
          <w:rFonts w:hint="eastAsia"/>
          <w:bCs/>
          <w:highlight w:val="none"/>
        </w:rPr>
        <w:t>二是负债规模和成本预测。</w:t>
      </w:r>
      <w:r>
        <w:rPr>
          <w:rFonts w:hint="eastAsia"/>
          <w:highlight w:val="none"/>
        </w:rPr>
        <w:t>保险公司应基于公司期初负债情况，结合预测期间的业务规划和资产负债现金流，预测各时点负债相关信息，包括负债规模和负债成本情况等。未来一年的保险业务规模和负债特征应与年度业务规划情况保持一致，未来二至三年保险业务规模和负债特征应与三年业务规划保持一致。</w:t>
      </w:r>
      <w:r>
        <w:rPr>
          <w:rFonts w:hint="eastAsia"/>
          <w:bCs/>
          <w:highlight w:val="none"/>
        </w:rPr>
        <w:t>程序上，</w:t>
      </w:r>
      <w:r>
        <w:rPr>
          <w:rFonts w:hint="eastAsia"/>
          <w:highlight w:val="none"/>
          <w:lang w:val="en-GB"/>
        </w:rPr>
        <w:t>未来</w:t>
      </w:r>
      <w:r>
        <w:rPr>
          <w:rFonts w:hint="eastAsia"/>
          <w:highlight w:val="none"/>
        </w:rPr>
        <w:t>三年的业务规划数据须在每年第四季度的报告中进行更新，若尚未经董事会审批的，可采用未经审批的预案数据进行填报，经董事会审批后有调整的，应在年度报告中对数据进行调整并在备注中说明。年度报告中的业务规划应与经董事会批准的一致，若一季度至三季度业务规划发生调整，可在对应季度报告中根据实际情况进行更新评估，并在备注中说明。</w:t>
      </w:r>
      <w:r>
        <w:rPr>
          <w:rFonts w:hint="eastAsia"/>
          <w:bCs/>
          <w:highlight w:val="none"/>
        </w:rPr>
        <w:t>压力情景测试的压力情景由国家金融监督管理总局发布。</w:t>
      </w:r>
      <w:r>
        <w:rPr>
          <w:rFonts w:hint="eastAsia"/>
          <w:highlight w:val="none"/>
        </w:rPr>
        <w:t>保险公司应基于基础情景下的资产负债情况进行压力测试，即压力测试情景不改变原有的资产配置策略（包括配置方案、存量资产处置安排与再投资计划、融资安排等）和业务规划情况。保险公司在预测压力情景下的未来投资收益时，可以按照重要性原则，不考虑部分投资回报少、发生频率低的项目，不应考虑无法预测的临时行为，如将投资性不动产、长期股权投资、固定资产等项目在无明确交收合约的情况下变现，将超出基础情景假设以外的存量资产处置变现等获得资产增值收益；亦不应考虑不可确认的投资收益，如突发性的分红收入、政府税金减免等。在预测压力情景下的投资收益和负债成本时，不应考虑保险公司管理层为改善公司投资收益或负债成本而采取的紧急措施，如对资产配置计划或产品销售计划的调整、对分红水平的调整等，压力情景中规定的除外。</w:t>
      </w:r>
    </w:p>
    <w:p>
      <w:pPr>
        <w:ind w:firstLine="640"/>
        <w:rPr>
          <w:highlight w:val="none"/>
        </w:rPr>
      </w:pPr>
      <w:r>
        <w:rPr>
          <w:rFonts w:hint="eastAsia"/>
          <w:highlight w:val="none"/>
        </w:rPr>
        <w:t>流动性匹配：保险公司应当分别测算公司普通账户、传统保险账户、分红保险账户和万能保险账户未来</w:t>
      </w:r>
      <w:r>
        <w:rPr>
          <w:rFonts w:hint="eastAsia"/>
          <w:highlight w:val="none"/>
          <w:lang w:val="en-US" w:eastAsia="zh-CN"/>
        </w:rPr>
        <w:t>三个月和一年</w:t>
      </w:r>
      <w:r>
        <w:rPr>
          <w:rFonts w:hint="eastAsia"/>
          <w:highlight w:val="none"/>
        </w:rPr>
        <w:t>的流动性覆盖率</w:t>
      </w:r>
      <w:r>
        <w:rPr>
          <w:rFonts w:hint="eastAsia"/>
          <w:highlight w:val="none"/>
          <w:lang w:eastAsia="zh-CN"/>
        </w:rPr>
        <w:t>，以</w:t>
      </w:r>
      <w:r>
        <w:rPr>
          <w:rFonts w:hint="eastAsia"/>
          <w:highlight w:val="none"/>
        </w:rPr>
        <w:t>及流动性匹配率。</w:t>
      </w:r>
    </w:p>
    <w:p>
      <w:pPr>
        <w:pStyle w:val="14"/>
        <w:ind w:firstLine="640"/>
        <w:rPr>
          <w:highlight w:val="none"/>
        </w:rPr>
      </w:pPr>
      <w:r>
        <w:rPr>
          <w:rFonts w:hint="eastAsia"/>
          <w:highlight w:val="none"/>
        </w:rPr>
        <w:t>三、资产配置状况计量规则</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（一）资产规模和偿付能力充足率</w:t>
      </w:r>
    </w:p>
    <w:p>
      <w:pPr>
        <w:ind w:firstLine="640"/>
        <w:rPr>
          <w:highlight w:val="none"/>
        </w:rPr>
      </w:pPr>
      <w:r>
        <w:rPr>
          <w:rFonts w:hint="eastAsia"/>
          <w:highlight w:val="none"/>
        </w:rPr>
        <w:t>填报公司会计口径下的总资产和净资产规模，以及偿付能力监管规则口径下的实际资本和综合偿付能力充足率（</w:t>
      </w:r>
      <w:r>
        <w:rPr>
          <w:rFonts w:hint="eastAsia" w:ascii="仿宋_GB2312"/>
          <w:highlight w:val="none"/>
        </w:rPr>
        <w:t>保险集团（控股）公司按照偿付能力监管规则有关规定填报，季度填报时若无数据更新，可采用上期数</w:t>
      </w:r>
      <w:r>
        <w:rPr>
          <w:rFonts w:hint="eastAsia"/>
          <w:highlight w:val="none"/>
        </w:rPr>
        <w:t>）。</w:t>
      </w:r>
    </w:p>
    <w:p>
      <w:pPr>
        <w:ind w:firstLine="640"/>
        <w:rPr>
          <w:highlight w:val="none"/>
        </w:rPr>
      </w:pPr>
      <w:r>
        <w:rPr>
          <w:rFonts w:hint="eastAsia"/>
          <w:bCs/>
          <w:highlight w:val="none"/>
        </w:rPr>
        <w:t>总资产</w:t>
      </w:r>
      <w:r>
        <w:rPr>
          <w:rFonts w:hint="eastAsia"/>
          <w:highlight w:val="none"/>
        </w:rPr>
        <w:t>是指填报规定期间的</w:t>
      </w:r>
      <w:r>
        <w:rPr>
          <w:rFonts w:hint="eastAsia"/>
          <w:highlight w:val="none"/>
          <w:lang w:val="en-GB"/>
        </w:rPr>
        <w:t>保险公司</w:t>
      </w:r>
      <w:r>
        <w:rPr>
          <w:rFonts w:hint="eastAsia"/>
          <w:highlight w:val="none"/>
        </w:rPr>
        <w:t>资产负债表列示的期末资产合计；</w:t>
      </w:r>
      <w:r>
        <w:rPr>
          <w:rFonts w:hint="eastAsia"/>
          <w:bCs/>
          <w:highlight w:val="none"/>
        </w:rPr>
        <w:t>净资产</w:t>
      </w:r>
      <w:r>
        <w:rPr>
          <w:rFonts w:hint="eastAsia"/>
          <w:highlight w:val="none"/>
        </w:rPr>
        <w:t>是指填报规定期间的</w:t>
      </w:r>
      <w:r>
        <w:rPr>
          <w:rFonts w:hint="eastAsia"/>
          <w:highlight w:val="none"/>
          <w:lang w:val="en-GB"/>
        </w:rPr>
        <w:t>保险公司</w:t>
      </w:r>
      <w:r>
        <w:rPr>
          <w:rFonts w:hint="eastAsia"/>
          <w:highlight w:val="none"/>
        </w:rPr>
        <w:t>资产负债表列示的期末所有者权益合计；</w:t>
      </w:r>
      <w:r>
        <w:rPr>
          <w:rFonts w:hint="eastAsia"/>
          <w:bCs/>
          <w:highlight w:val="none"/>
        </w:rPr>
        <w:t>实际资本、综合偿付能力充足率</w:t>
      </w:r>
      <w:r>
        <w:rPr>
          <w:rFonts w:hint="eastAsia"/>
          <w:highlight w:val="none"/>
        </w:rPr>
        <w:t>是指填报规定期间内保险公司偿付能力监管规则标准下偿付能力报告中列示的实际资本和综合偿付能力充足率。</w:t>
      </w:r>
    </w:p>
    <w:p>
      <w:pPr>
        <w:ind w:firstLine="640"/>
        <w:rPr>
          <w:highlight w:val="none"/>
        </w:rPr>
      </w:pPr>
      <w:r>
        <w:rPr>
          <w:rFonts w:hint="eastAsia"/>
          <w:highlight w:val="none"/>
        </w:rPr>
        <w:t>上年末的数据尚未经审计的，可在季度报表中填报未经审计数据并在备注中说明，年度报告中应填报经审计后的信息。</w:t>
      </w:r>
    </w:p>
    <w:p>
      <w:pPr>
        <w:pStyle w:val="4"/>
        <w:ind w:firstLine="640"/>
        <w:rPr>
          <w:rFonts w:hint="eastAsia" w:ascii="楷体_GB2312" w:hAnsi="楷体_GB2312" w:eastAsia="楷体_GB2312" w:cs="楷体_GB2312"/>
          <w:kern w:val="2"/>
          <w:sz w:val="32"/>
          <w:szCs w:val="22"/>
          <w:lang w:val="en-US" w:eastAsia="zh-CN" w:bidi="ar-SA"/>
        </w:rPr>
      </w:pPr>
      <w:r>
        <w:rPr>
          <w:rFonts w:ascii="楷体_GB2312" w:hAnsi="楷体_GB2312" w:eastAsia="楷体_GB2312" w:cs="楷体_GB2312"/>
          <w:kern w:val="2"/>
          <w:sz w:val="32"/>
          <w:szCs w:val="22"/>
          <w:lang w:val="en-US" w:eastAsia="zh-CN" w:bidi="ar-SA"/>
        </w:rPr>
        <w:t>（二）资金运用规模</w:t>
      </w:r>
    </w:p>
    <w:p>
      <w:pPr>
        <w:ind w:firstLine="640"/>
        <w:rPr>
          <w:highlight w:val="none"/>
        </w:rPr>
      </w:pPr>
      <w:r>
        <w:rPr>
          <w:rFonts w:cs="MS Mincho"/>
          <w:highlight w:val="none"/>
        </w:rPr>
        <w:t>保</w:t>
      </w:r>
      <w:r>
        <w:rPr>
          <w:rFonts w:cs="宋体"/>
          <w:highlight w:val="none"/>
        </w:rPr>
        <w:t>险</w:t>
      </w:r>
      <w:r>
        <w:rPr>
          <w:rFonts w:cs="MS Mincho"/>
          <w:highlight w:val="none"/>
        </w:rPr>
        <w:t>公司</w:t>
      </w:r>
      <w:r>
        <w:rPr>
          <w:rFonts w:cs="宋体"/>
          <w:highlight w:val="none"/>
        </w:rPr>
        <w:t>应</w:t>
      </w:r>
      <w:r>
        <w:rPr>
          <w:rFonts w:cs="MS Mincho"/>
          <w:highlight w:val="none"/>
        </w:rPr>
        <w:t>分</w:t>
      </w:r>
      <w:r>
        <w:rPr>
          <w:rFonts w:cs="宋体"/>
          <w:highlight w:val="none"/>
        </w:rPr>
        <w:t>别</w:t>
      </w:r>
      <w:r>
        <w:rPr>
          <w:rFonts w:cs="MS Mincho"/>
          <w:highlight w:val="none"/>
        </w:rPr>
        <w:t>填</w:t>
      </w:r>
      <w:r>
        <w:rPr>
          <w:rFonts w:cs="宋体"/>
          <w:highlight w:val="none"/>
        </w:rPr>
        <w:t>报</w:t>
      </w:r>
      <w:r>
        <w:rPr>
          <w:rFonts w:cs="MS Mincho"/>
          <w:highlight w:val="none"/>
        </w:rPr>
        <w:t>普通</w:t>
      </w:r>
      <w:r>
        <w:rPr>
          <w:rFonts w:cs="宋体"/>
          <w:highlight w:val="none"/>
        </w:rPr>
        <w:t>账户</w:t>
      </w:r>
      <w:r>
        <w:rPr>
          <w:rFonts w:hint="eastAsia" w:cs="宋体"/>
          <w:highlight w:val="none"/>
        </w:rPr>
        <w:t>和独立账户在</w:t>
      </w:r>
      <w:r>
        <w:rPr>
          <w:rFonts w:hint="eastAsia" w:cs="MS Mincho"/>
          <w:highlight w:val="none"/>
        </w:rPr>
        <w:t>报告期末的资金运用余额。</w:t>
      </w:r>
      <w:r>
        <w:rPr>
          <w:rFonts w:cs="MS Mincho"/>
          <w:highlight w:val="none"/>
        </w:rPr>
        <w:t>公司</w:t>
      </w:r>
      <w:r>
        <w:rPr>
          <w:rFonts w:cs="宋体"/>
          <w:highlight w:val="none"/>
        </w:rPr>
        <w:t>发</w:t>
      </w:r>
      <w:r>
        <w:rPr>
          <w:rFonts w:cs="MS Mincho"/>
          <w:highlight w:val="none"/>
        </w:rPr>
        <w:t>行</w:t>
      </w:r>
      <w:r>
        <w:rPr>
          <w:rFonts w:hint="eastAsia" w:cs="MS Mincho"/>
          <w:highlight w:val="none"/>
        </w:rPr>
        <w:t>次级债、资本补充债和无固定期限资本债券</w:t>
      </w:r>
      <w:r>
        <w:rPr>
          <w:rFonts w:cs="MS Mincho"/>
          <w:highlight w:val="none"/>
        </w:rPr>
        <w:t>的，需</w:t>
      </w:r>
      <w:r>
        <w:rPr>
          <w:rFonts w:cs="宋体"/>
          <w:highlight w:val="none"/>
        </w:rPr>
        <w:t>单</w:t>
      </w:r>
      <w:r>
        <w:rPr>
          <w:rFonts w:cs="MS Mincho"/>
          <w:highlight w:val="none"/>
        </w:rPr>
        <w:t>独</w:t>
      </w:r>
      <w:r>
        <w:rPr>
          <w:rFonts w:hint="eastAsia" w:cs="宋体"/>
          <w:highlight w:val="none"/>
        </w:rPr>
        <w:t>填报</w:t>
      </w:r>
      <w:r>
        <w:rPr>
          <w:rFonts w:hint="eastAsia" w:cs="MS Mincho"/>
          <w:highlight w:val="none"/>
        </w:rPr>
        <w:t>次级债、资本补充债和无固定期限资本债账户</w:t>
      </w:r>
      <w:r>
        <w:rPr>
          <w:rFonts w:cs="MS Mincho"/>
          <w:highlight w:val="none"/>
        </w:rPr>
        <w:t>的</w:t>
      </w:r>
      <w:r>
        <w:rPr>
          <w:rFonts w:hint="eastAsia" w:cs="MS Mincho"/>
          <w:highlight w:val="none"/>
        </w:rPr>
        <w:t>资金运用余额</w:t>
      </w:r>
      <w:r>
        <w:rPr>
          <w:rFonts w:cs="MS Mincho"/>
          <w:highlight w:val="none"/>
        </w:rPr>
        <w:t>情况</w:t>
      </w:r>
      <w:r>
        <w:rPr>
          <w:rFonts w:cs="MS Mincho"/>
          <w:highlight w:val="none"/>
          <w:lang w:val="en-GB"/>
        </w:rPr>
        <w:t>。</w:t>
      </w:r>
      <w:r>
        <w:rPr>
          <w:rFonts w:cs="宋体"/>
          <w:highlight w:val="none"/>
        </w:rPr>
        <w:t>资</w:t>
      </w:r>
      <w:r>
        <w:rPr>
          <w:highlight w:val="none"/>
        </w:rPr>
        <w:t>金运用</w:t>
      </w:r>
      <w:r>
        <w:rPr>
          <w:rFonts w:hint="eastAsia"/>
          <w:highlight w:val="none"/>
        </w:rPr>
        <w:t>余额</w:t>
      </w:r>
      <w:r>
        <w:rPr>
          <w:highlight w:val="none"/>
        </w:rPr>
        <w:t>包括投资资产</w:t>
      </w:r>
      <w:r>
        <w:rPr>
          <w:rFonts w:hint="eastAsia"/>
          <w:highlight w:val="none"/>
        </w:rPr>
        <w:t>、</w:t>
      </w:r>
      <w:r>
        <w:rPr>
          <w:highlight w:val="none"/>
        </w:rPr>
        <w:t>金融衍生工具</w:t>
      </w:r>
      <w:r>
        <w:rPr>
          <w:rFonts w:hint="eastAsia"/>
          <w:highlight w:val="none"/>
        </w:rPr>
        <w:t>、</w:t>
      </w:r>
      <w:r>
        <w:rPr>
          <w:rFonts w:hint="eastAsia"/>
          <w:highlight w:val="none"/>
          <w:lang w:eastAsia="zh-CN"/>
        </w:rPr>
        <w:t>保单质押贷款</w:t>
      </w:r>
      <w:r>
        <w:rPr>
          <w:rFonts w:hint="eastAsia"/>
          <w:highlight w:val="none"/>
        </w:rPr>
        <w:t>等，</w:t>
      </w:r>
      <w:r>
        <w:rPr>
          <w:highlight w:val="none"/>
        </w:rPr>
        <w:t>不包含独立账户的资产</w:t>
      </w:r>
      <w:r>
        <w:rPr>
          <w:rFonts w:hint="eastAsia"/>
          <w:highlight w:val="none"/>
        </w:rPr>
        <w:t>。其中，</w:t>
      </w:r>
      <w:r>
        <w:rPr>
          <w:highlight w:val="none"/>
        </w:rPr>
        <w:t>金融衍生工具包括</w:t>
      </w:r>
      <w:r>
        <w:rPr>
          <w:rFonts w:hint="eastAsia"/>
          <w:highlight w:val="none"/>
        </w:rPr>
        <w:t>国债期货、</w:t>
      </w:r>
      <w:r>
        <w:rPr>
          <w:highlight w:val="none"/>
        </w:rPr>
        <w:t>股指期货</w:t>
      </w:r>
      <w:r>
        <w:rPr>
          <w:rFonts w:hint="eastAsia"/>
          <w:highlight w:val="none"/>
        </w:rPr>
        <w:t>、</w:t>
      </w:r>
      <w:r>
        <w:rPr>
          <w:highlight w:val="none"/>
        </w:rPr>
        <w:t>利率互换</w:t>
      </w:r>
      <w:r>
        <w:rPr>
          <w:rFonts w:hint="eastAsia"/>
          <w:highlight w:val="none"/>
        </w:rPr>
        <w:t>、</w:t>
      </w:r>
      <w:r>
        <w:rPr>
          <w:highlight w:val="none"/>
        </w:rPr>
        <w:t>外汇衍生品等符合</w:t>
      </w:r>
      <w:r>
        <w:rPr>
          <w:rFonts w:hint="eastAsia"/>
          <w:highlight w:val="none"/>
        </w:rPr>
        <w:t>国家金融监督管理总局</w:t>
      </w:r>
      <w:r>
        <w:rPr>
          <w:highlight w:val="none"/>
        </w:rPr>
        <w:t>规定</w:t>
      </w:r>
      <w:r>
        <w:rPr>
          <w:rFonts w:hint="eastAsia"/>
          <w:highlight w:val="none"/>
        </w:rPr>
        <w:t>的金融衍生品。投资资产包括以下五类：</w:t>
      </w:r>
    </w:p>
    <w:p>
      <w:pPr>
        <w:ind w:firstLine="640"/>
        <w:rPr>
          <w:highlight w:val="none"/>
        </w:rPr>
      </w:pPr>
      <w:r>
        <w:rPr>
          <w:rFonts w:hint="eastAsia"/>
          <w:bCs/>
          <w:highlight w:val="none"/>
        </w:rPr>
        <w:t>现金及流动性管理工具</w:t>
      </w:r>
      <w:r>
        <w:rPr>
          <w:highlight w:val="none"/>
        </w:rPr>
        <w:t>账面余额和</w:t>
      </w:r>
      <w:r>
        <w:rPr>
          <w:rFonts w:hint="eastAsia"/>
          <w:highlight w:val="none"/>
        </w:rPr>
        <w:t>账面价值应按全价口径填报，包括境内现金及流动性管理工具和境外现金及流动性管理工具。</w:t>
      </w:r>
      <w:r>
        <w:rPr>
          <w:rFonts w:hint="eastAsia"/>
          <w:bCs/>
          <w:highlight w:val="none"/>
        </w:rPr>
        <w:t>境内现金及流动性管理工具</w:t>
      </w:r>
      <w:r>
        <w:rPr>
          <w:rFonts w:hint="eastAsia"/>
          <w:highlight w:val="none"/>
        </w:rPr>
        <w:t>，包括库存现金（含保险公司用于办理保险业务资金收付结算的营运资金）、银行活期存款、银行通知存款、货币市场基金、货币市场类组合类保险资产管理产品、现金管理类理财产品、短期融资券、超短期融资券、买入返售证券、央行票据、商业银行票据、大额可转让存单、同业存单、拆出资金、存放在中国证券登记结算公司和中央国债登记结算公司的清算备付金、存放在上海黄金交易所和中国金融期货交易股份有限公司的结算准备金、存放在第三方支付机构账户的资金等。</w:t>
      </w:r>
      <w:r>
        <w:rPr>
          <w:rFonts w:hint="eastAsia"/>
          <w:bCs/>
          <w:highlight w:val="none"/>
        </w:rPr>
        <w:t>境外现金及流动性管理工具</w:t>
      </w:r>
      <w:r>
        <w:rPr>
          <w:rFonts w:hint="eastAsia"/>
          <w:highlight w:val="none"/>
        </w:rPr>
        <w:t>包括库存现金、银行活期存款、隔夜拆出、货币市场基金、大额可转让存单、逆回购协议，发行期限不超过一年的政府债券、商业票据、银行票据等。</w:t>
      </w:r>
    </w:p>
    <w:p>
      <w:pPr>
        <w:ind w:firstLine="640"/>
        <w:rPr>
          <w:rFonts w:ascii="仿宋_GB2312"/>
          <w:highlight w:val="none"/>
        </w:rPr>
      </w:pPr>
      <w:r>
        <w:rPr>
          <w:rFonts w:hint="eastAsia"/>
          <w:highlight w:val="none"/>
        </w:rPr>
        <w:t>固定收益类投资资产</w:t>
      </w:r>
      <w:r>
        <w:rPr>
          <w:highlight w:val="none"/>
        </w:rPr>
        <w:t>账面余额和</w:t>
      </w:r>
      <w:r>
        <w:rPr>
          <w:rFonts w:hint="eastAsia"/>
          <w:highlight w:val="none"/>
        </w:rPr>
        <w:t>账面价值应按全价口径填报，包括境内固定收益类投资资产和境外固定收益类投资资产，其中境内固定收益类投资资产包括</w:t>
      </w:r>
      <w:r>
        <w:rPr>
          <w:highlight w:val="none"/>
        </w:rPr>
        <w:t>传统固定收益类</w:t>
      </w:r>
      <w:r>
        <w:rPr>
          <w:rFonts w:hint="eastAsia"/>
          <w:highlight w:val="none"/>
        </w:rPr>
        <w:t>投资</w:t>
      </w:r>
      <w:r>
        <w:rPr>
          <w:highlight w:val="none"/>
        </w:rPr>
        <w:t>资产</w:t>
      </w:r>
      <w:r>
        <w:rPr>
          <w:rFonts w:hint="eastAsia"/>
          <w:highlight w:val="none"/>
        </w:rPr>
        <w:t>、</w:t>
      </w:r>
      <w:r>
        <w:rPr>
          <w:highlight w:val="none"/>
        </w:rPr>
        <w:t>非标准固定收益类</w:t>
      </w:r>
      <w:r>
        <w:rPr>
          <w:rFonts w:hint="eastAsia"/>
          <w:highlight w:val="none"/>
        </w:rPr>
        <w:t>投资</w:t>
      </w:r>
      <w:r>
        <w:rPr>
          <w:highlight w:val="none"/>
        </w:rPr>
        <w:t>资产</w:t>
      </w:r>
      <w:r>
        <w:rPr>
          <w:rFonts w:hint="eastAsia"/>
          <w:highlight w:val="none"/>
        </w:rPr>
        <w:t>。传统固定收益类投资资产包括</w:t>
      </w:r>
      <w:r>
        <w:rPr>
          <w:rFonts w:hint="eastAsia"/>
          <w:highlight w:val="none"/>
          <w:lang w:eastAsia="zh-CN"/>
        </w:rPr>
        <w:t>：</w:t>
      </w:r>
      <w:r>
        <w:rPr>
          <w:rFonts w:hint="eastAsia"/>
          <w:highlight w:val="none"/>
        </w:rPr>
        <w:t>存款；（准）政府债券、金融企业（公司）债券、非金融企业（公司）债券；债券型基金；资产证券化产品；发行人确认为债务工具的优先股和无固定期限资本债券等。存款包括银行定期存款、银行协议存款、大额存单、存出资本保证金等；（准）政府债券包括中央政府债券，省级政府债券和准政府债券，政策性银行发行的金融债券、次级债券和资本补充债券、资本补充工具，</w:t>
      </w:r>
      <w:r>
        <w:rPr>
          <w:rFonts w:hint="eastAsia"/>
          <w:highlight w:val="none"/>
          <w:lang w:val="en-GB"/>
        </w:rPr>
        <w:t>国务院批准特定机构发行的特别机构债券</w:t>
      </w:r>
      <w:r>
        <w:rPr>
          <w:rStyle w:val="19"/>
          <w:rFonts w:hint="eastAsia" w:ascii="仿宋_GB2312" w:hAnsi="仿宋"/>
          <w:szCs w:val="32"/>
          <w:highlight w:val="none"/>
        </w:rPr>
        <w:footnoteReference w:id="7"/>
      </w:r>
      <w:r>
        <w:rPr>
          <w:rFonts w:hint="eastAsia"/>
          <w:highlight w:val="none"/>
          <w:lang w:val="en-GB"/>
        </w:rPr>
        <w:t>；金融企业（公司）债券包括</w:t>
      </w:r>
      <w:r>
        <w:rPr>
          <w:rFonts w:ascii="仿宋_GB2312" w:hAnsi="宋体"/>
          <w:color w:val="000000"/>
          <w:highlight w:val="none"/>
        </w:rPr>
        <w:t>金融机构在全国银行间债券市场、证券交易</w:t>
      </w:r>
      <w:r>
        <w:rPr>
          <w:highlight w:val="none"/>
        </w:rPr>
        <w:t>所市场发行的债券和国际开发机构人民币债券等</w:t>
      </w:r>
      <w:r>
        <w:rPr>
          <w:rFonts w:hint="eastAsia"/>
          <w:highlight w:val="none"/>
        </w:rPr>
        <w:t>；非金融企业（公司）债券包括企业债券、公司债券、中期票据，不含短期融资券、超短期融资券、可转换公司债券、可交换公司债券等；</w:t>
      </w:r>
      <w:r>
        <w:rPr>
          <w:highlight w:val="none"/>
        </w:rPr>
        <w:t>资产证券化产品包括信贷资产支持证券、证券交易所挂牌交易的资产支持专项计划</w:t>
      </w:r>
      <w:r>
        <w:rPr>
          <w:rFonts w:hint="eastAsia"/>
          <w:highlight w:val="none"/>
        </w:rPr>
        <w:t>等，不包括持有型不动产资产支持专项计划。非标准固定收益类投资资产包括</w:t>
      </w:r>
      <w:r>
        <w:rPr>
          <w:rFonts w:hint="eastAsia"/>
          <w:highlight w:val="none"/>
          <w:lang w:eastAsia="zh-CN"/>
        </w:rPr>
        <w:t>：</w:t>
      </w:r>
      <w:r>
        <w:rPr>
          <w:rFonts w:hint="eastAsia"/>
          <w:highlight w:val="none"/>
        </w:rPr>
        <w:t>债权投资计划；</w:t>
      </w:r>
      <w:r>
        <w:rPr>
          <w:highlight w:val="none"/>
        </w:rPr>
        <w:t>固定收益类集合资金信托计划</w:t>
      </w:r>
      <w:r>
        <w:rPr>
          <w:rFonts w:hint="eastAsia"/>
          <w:highlight w:val="none"/>
        </w:rPr>
        <w:t>；</w:t>
      </w:r>
      <w:r>
        <w:rPr>
          <w:highlight w:val="none"/>
        </w:rPr>
        <w:t>固定收益类专项产品</w:t>
      </w:r>
      <w:r>
        <w:rPr>
          <w:rFonts w:hint="eastAsia"/>
          <w:highlight w:val="none"/>
          <w:lang w:eastAsia="zh-CN"/>
        </w:rPr>
        <w:t>；</w:t>
      </w:r>
      <w:r>
        <w:rPr>
          <w:rFonts w:hint="eastAsia"/>
          <w:highlight w:val="none"/>
        </w:rPr>
        <w:t>固定收益类组合类保险资产管理产品；固定收益类理财产品；</w:t>
      </w:r>
      <w:r>
        <w:rPr>
          <w:highlight w:val="none"/>
        </w:rPr>
        <w:t>非证券交易所挂牌交易的资产支持专项计划</w:t>
      </w:r>
      <w:r>
        <w:rPr>
          <w:rFonts w:hint="eastAsia"/>
          <w:highlight w:val="none"/>
        </w:rPr>
        <w:t>、资产支持计划；</w:t>
      </w:r>
      <w:r>
        <w:rPr>
          <w:highlight w:val="none"/>
        </w:rPr>
        <w:t>含保证条款的权益类</w:t>
      </w:r>
      <w:r>
        <w:rPr>
          <w:rFonts w:hint="eastAsia"/>
          <w:highlight w:val="none"/>
        </w:rPr>
        <w:t>投资</w:t>
      </w:r>
      <w:r>
        <w:rPr>
          <w:highlight w:val="none"/>
        </w:rPr>
        <w:t>资产</w:t>
      </w:r>
      <w:r>
        <w:rPr>
          <w:rFonts w:ascii="仿宋_GB2312" w:hAnsi="宋体"/>
          <w:highlight w:val="none"/>
        </w:rPr>
        <w:t>等。</w:t>
      </w:r>
      <w:r>
        <w:rPr>
          <w:rFonts w:hint="eastAsia"/>
          <w:highlight w:val="none"/>
        </w:rPr>
        <w:t>其中，</w:t>
      </w:r>
      <w:r>
        <w:rPr>
          <w:highlight w:val="none"/>
        </w:rPr>
        <w:t>基础资</w:t>
      </w:r>
      <w:r>
        <w:rPr>
          <w:rFonts w:hint="eastAsia" w:ascii="仿宋_GB2312" w:hAnsi="仿宋_GB2312" w:cs="仿宋_GB2312"/>
          <w:highlight w:val="none"/>
        </w:rPr>
        <w:t>产80%及以上</w:t>
      </w:r>
      <w:r>
        <w:rPr>
          <w:rFonts w:hint="eastAsia"/>
          <w:highlight w:val="none"/>
        </w:rPr>
        <w:t>投资于标准化债权类资产的固定收益类理财产品和固定收益类组合类保险资产管理产品纳入传统固定收益类投资资产统计。</w:t>
      </w:r>
      <w:r>
        <w:rPr>
          <w:highlight w:val="none"/>
        </w:rPr>
        <w:t>含保证条款的权益类投资资产</w:t>
      </w:r>
      <w:r>
        <w:rPr>
          <w:rFonts w:hint="eastAsia"/>
          <w:highlight w:val="none"/>
        </w:rPr>
        <w:t>包括有保证条款的股权投资计划、有保证条款的股权投资基金等，保证条款应符合以下规定：</w:t>
      </w:r>
      <w:r>
        <w:rPr>
          <w:highlight w:val="none"/>
        </w:rPr>
        <w:t>合同明确约定最低保证回报</w:t>
      </w:r>
      <w:r>
        <w:rPr>
          <w:rFonts w:hint="eastAsia"/>
          <w:highlight w:val="none"/>
        </w:rPr>
        <w:t>；</w:t>
      </w:r>
      <w:r>
        <w:rPr>
          <w:highlight w:val="none"/>
        </w:rPr>
        <w:t>最低保证回报水平不明显低于相应信用等级债券的市场回报率</w:t>
      </w:r>
      <w:r>
        <w:rPr>
          <w:rFonts w:hint="eastAsia"/>
          <w:highlight w:val="none"/>
        </w:rPr>
        <w:t>；</w:t>
      </w:r>
      <w:r>
        <w:rPr>
          <w:highlight w:val="none"/>
        </w:rPr>
        <w:t>最低保证回报设定担保机制</w:t>
      </w:r>
      <w:r>
        <w:rPr>
          <w:rFonts w:hint="eastAsia"/>
          <w:highlight w:val="none"/>
        </w:rPr>
        <w:t>；</w:t>
      </w:r>
      <w:r>
        <w:rPr>
          <w:highlight w:val="none"/>
        </w:rPr>
        <w:t>合同中约定赎回条款，使合同双方有足够经济动机履行赎回权利或义务。</w:t>
      </w:r>
      <w:r>
        <w:rPr>
          <w:rFonts w:hint="eastAsia"/>
          <w:highlight w:val="none"/>
        </w:rPr>
        <w:t>境外固定收益类投资资产包括境外以人民币或外币计价发行的固定收益类投资资产，和境内以人民币或外币计价发行、以境外金融工具或者其他资产为投资对象的固定收益类投资资产，</w:t>
      </w:r>
      <w:r>
        <w:rPr>
          <w:highlight w:val="none"/>
        </w:rPr>
        <w:t>包括银行定期存款、具有银行保本承诺的结构性存款</w:t>
      </w:r>
      <w:r>
        <w:rPr>
          <w:rFonts w:hint="eastAsia"/>
          <w:highlight w:val="none"/>
        </w:rPr>
        <w:t>、</w:t>
      </w:r>
      <w:r>
        <w:rPr>
          <w:highlight w:val="none"/>
        </w:rPr>
        <w:t>政府债券、政府支持性债券、国际金融组织债券、公司债券、</w:t>
      </w:r>
      <w:r>
        <w:rPr>
          <w:rFonts w:hint="eastAsia"/>
          <w:highlight w:val="none"/>
        </w:rPr>
        <w:t>纳入境外资产的南向通债券、</w:t>
      </w:r>
      <w:r>
        <w:rPr>
          <w:highlight w:val="none"/>
        </w:rPr>
        <w:t>固定收益类证券投资基金</w:t>
      </w:r>
      <w:r>
        <w:rPr>
          <w:rFonts w:hint="eastAsia"/>
          <w:highlight w:val="none"/>
        </w:rPr>
        <w:t>（债券型基金）等</w:t>
      </w:r>
      <w:r>
        <w:rPr>
          <w:highlight w:val="none"/>
        </w:rPr>
        <w:t>。</w:t>
      </w:r>
    </w:p>
    <w:p>
      <w:pPr>
        <w:ind w:firstLine="640"/>
        <w:rPr>
          <w:rFonts w:ascii="仿宋_GB2312"/>
          <w:highlight w:val="none"/>
        </w:rPr>
      </w:pPr>
      <w:r>
        <w:rPr>
          <w:rFonts w:hint="eastAsia"/>
          <w:bCs/>
          <w:highlight w:val="none"/>
        </w:rPr>
        <w:t>权益类投资资产</w:t>
      </w:r>
      <w:r>
        <w:rPr>
          <w:rFonts w:hint="eastAsia"/>
          <w:highlight w:val="none"/>
        </w:rPr>
        <w:t>包括境内权益类投资资产及境外权益类投资资产。</w:t>
      </w:r>
      <w:r>
        <w:rPr>
          <w:rFonts w:hint="eastAsia"/>
          <w:bCs/>
          <w:highlight w:val="none"/>
        </w:rPr>
        <w:t>境内权益类投资资产</w:t>
      </w:r>
      <w:r>
        <w:rPr>
          <w:rFonts w:hint="eastAsia"/>
          <w:highlight w:val="none"/>
        </w:rPr>
        <w:t>包括：普通股；</w:t>
      </w:r>
      <w:r>
        <w:rPr>
          <w:rFonts w:ascii="仿宋_GB2312" w:hAnsi="宋体"/>
          <w:color w:val="000000"/>
          <w:highlight w:val="none"/>
        </w:rPr>
        <w:t>股票型证券投资基金、混合型证券投资基金</w:t>
      </w:r>
      <w:r>
        <w:rPr>
          <w:rFonts w:hint="eastAsia"/>
          <w:highlight w:val="none"/>
        </w:rPr>
        <w:t>；发行人确认为权益工具的优先股和无固定期限资本债券等；可转债（含商业银行可转换债券、保险公司可转换债券、可转换公司债券、可交换公司债券）；未上市企业股权；不含保证条款的权益类和混合类组合类保险资产管理产品（不包括基础</w:t>
      </w:r>
      <w:r>
        <w:rPr>
          <w:rFonts w:hint="eastAsia" w:ascii="仿宋_GB2312" w:hAnsi="仿宋_GB2312" w:cs="仿宋_GB2312"/>
          <w:highlight w:val="none"/>
        </w:rPr>
        <w:t>资产80%及以上投资于公募REITs的）；不含保证条款的</w:t>
      </w:r>
      <w:r>
        <w:rPr>
          <w:rFonts w:hint="eastAsia"/>
          <w:highlight w:val="none"/>
        </w:rPr>
        <w:t>股权投资计划、股权投资基金（不包括基础资产为不动产类投资资产的）；发行人确认为权益工具的</w:t>
      </w:r>
      <w:r>
        <w:rPr>
          <w:rFonts w:ascii="仿宋_GB2312" w:hAnsi="宋体"/>
          <w:highlight w:val="none"/>
        </w:rPr>
        <w:t>固定收益类集合资金信托计划</w:t>
      </w:r>
      <w:r>
        <w:rPr>
          <w:rFonts w:hint="eastAsia" w:ascii="仿宋_GB2312" w:hAnsi="宋体"/>
          <w:highlight w:val="none"/>
        </w:rPr>
        <w:t>，</w:t>
      </w:r>
      <w:r>
        <w:rPr>
          <w:rFonts w:hint="eastAsia"/>
          <w:highlight w:val="none"/>
        </w:rPr>
        <w:t>权益类集合资金信托计划（不包括基础资产为不动产类投资资产的）；权益类</w:t>
      </w:r>
      <w:r>
        <w:rPr>
          <w:rFonts w:ascii="仿宋_GB2312" w:hAnsi="宋体"/>
          <w:color w:val="000000"/>
          <w:highlight w:val="none"/>
        </w:rPr>
        <w:t>专项产品</w:t>
      </w:r>
      <w:r>
        <w:rPr>
          <w:rFonts w:hint="eastAsia" w:ascii="仿宋_GB2312" w:hAnsi="宋体"/>
          <w:color w:val="000000"/>
          <w:highlight w:val="none"/>
        </w:rPr>
        <w:t>、债转股投资计划；私募证券投资基金</w:t>
      </w:r>
      <w:r>
        <w:rPr>
          <w:rFonts w:hint="eastAsia"/>
          <w:highlight w:val="none"/>
        </w:rPr>
        <w:t>等</w:t>
      </w:r>
      <w:r>
        <w:rPr>
          <w:highlight w:val="none"/>
        </w:rPr>
        <w:t>。投资全国中小企业股份转让系统挂牌的公司股票，按照投资未上市企业股权相关监管规定执行</w:t>
      </w:r>
      <w:r>
        <w:rPr>
          <w:rFonts w:hint="eastAsia"/>
          <w:highlight w:val="none"/>
        </w:rPr>
        <w:t>。</w:t>
      </w:r>
      <w:r>
        <w:rPr>
          <w:rFonts w:hint="eastAsia"/>
          <w:bCs/>
          <w:highlight w:val="none"/>
        </w:rPr>
        <w:t>境外权益类投资资产</w:t>
      </w:r>
      <w:r>
        <w:rPr>
          <w:rFonts w:hint="eastAsia"/>
          <w:highlight w:val="none"/>
        </w:rPr>
        <w:t>包括：普通股、全球存托凭证、美国存托凭证；证券投资基金（不含货币市场基金、债券型基金）；可转债；发行人确认为权益工具的优先股和无固定期限资本债券等；私募证券投资基金（基础资产投资境外股票</w:t>
      </w:r>
      <w:r>
        <w:rPr>
          <w:rFonts w:hint="eastAsia" w:ascii="仿宋_GB2312" w:hAnsi="仿宋_GB2312" w:cs="仿宋_GB2312"/>
          <w:highlight w:val="none"/>
        </w:rPr>
        <w:t>占比50%以上）；以纳入境外资产的港股通为主要投资标的境内基金和组合类保险资产管理产品；未上市企业股权；股权投资基金（不包括基础资产为不动产类投资资产的）；不具有银行保本承诺的结构性存款等。其中，境内外可转债的账面余额和账面价值应按全价口径填报；境内外权益类投资资产中的长期股权投资是根据《企业会计准则第2号——长期股权投资》（财会</w:t>
      </w:r>
      <w:bookmarkStart w:id="10" w:name="OLE_LINK35"/>
      <w:bookmarkStart w:id="11" w:name="OLE_LINK34"/>
      <w:r>
        <w:rPr>
          <w:rFonts w:hint="eastAsia" w:ascii="仿宋_GB2312" w:hAnsi="仿宋_GB2312" w:cs="仿宋_GB2312"/>
          <w:highlight w:val="none"/>
        </w:rPr>
        <w:t>〔2014〕</w:t>
      </w:r>
      <w:bookmarkEnd w:id="10"/>
      <w:bookmarkEnd w:id="11"/>
      <w:r>
        <w:rPr>
          <w:rFonts w:hint="eastAsia" w:ascii="仿宋_GB2312" w:hAnsi="仿宋_GB2312" w:cs="仿宋_GB2312"/>
          <w:highlight w:val="none"/>
        </w:rPr>
        <w:t>14号）规定所认定的长期股权投资。</w:t>
      </w:r>
    </w:p>
    <w:p>
      <w:pPr>
        <w:ind w:firstLine="640"/>
        <w:rPr>
          <w:highlight w:val="none"/>
        </w:rPr>
      </w:pPr>
      <w:r>
        <w:rPr>
          <w:rFonts w:hint="eastAsia"/>
          <w:bCs/>
          <w:highlight w:val="none"/>
        </w:rPr>
        <w:t>不动产类投资资产</w:t>
      </w:r>
      <w:r>
        <w:rPr>
          <w:rFonts w:hint="eastAsia"/>
          <w:highlight w:val="none"/>
        </w:rPr>
        <w:t>包括境内外以物权或项目公司股权方式持有的投资性不动产</w:t>
      </w:r>
      <w:r>
        <w:rPr>
          <w:rFonts w:hint="eastAsia" w:hAnsi="宋体"/>
          <w:color w:val="000000"/>
          <w:highlight w:val="none"/>
        </w:rPr>
        <w:t>或</w:t>
      </w:r>
      <w:r>
        <w:rPr>
          <w:rFonts w:hint="eastAsia"/>
          <w:highlight w:val="none"/>
        </w:rPr>
        <w:t>基础设施项目</w:t>
      </w:r>
      <w:r>
        <w:rPr>
          <w:rFonts w:hAnsi="宋体"/>
          <w:color w:val="000000"/>
          <w:highlight w:val="none"/>
        </w:rPr>
        <w:t>（包括向项目公司提供的股东借款）</w:t>
      </w:r>
      <w:r>
        <w:rPr>
          <w:rFonts w:hint="eastAsia"/>
          <w:highlight w:val="none"/>
        </w:rPr>
        <w:t>，</w:t>
      </w:r>
      <w:r>
        <w:rPr>
          <w:rFonts w:hint="eastAsia" w:hAnsi="宋体"/>
          <w:color w:val="000000"/>
          <w:highlight w:val="none"/>
        </w:rPr>
        <w:t>以及不动产金融产品</w:t>
      </w:r>
      <w:r>
        <w:rPr>
          <w:rFonts w:hint="eastAsia"/>
          <w:highlight w:val="none"/>
        </w:rPr>
        <w:t>，不包括保险公司购置的自用性不动产</w:t>
      </w:r>
      <w:r>
        <w:rPr>
          <w:rFonts w:hint="eastAsia" w:hAnsi="宋体"/>
          <w:color w:val="000000"/>
          <w:highlight w:val="none"/>
        </w:rPr>
        <w:t>。</w:t>
      </w:r>
      <w:bookmarkStart w:id="12" w:name="OLE_LINK4"/>
      <w:r>
        <w:rPr>
          <w:rFonts w:hint="eastAsia" w:hAnsi="宋体"/>
          <w:bCs/>
          <w:color w:val="000000"/>
          <w:highlight w:val="none"/>
        </w:rPr>
        <w:t>境内</w:t>
      </w:r>
      <w:r>
        <w:rPr>
          <w:rFonts w:hint="eastAsia" w:hAnsi="宋体"/>
          <w:color w:val="000000"/>
          <w:highlight w:val="none"/>
        </w:rPr>
        <w:t>不动产金融产品包括</w:t>
      </w:r>
      <w:r>
        <w:rPr>
          <w:rFonts w:hint="eastAsia"/>
          <w:highlight w:val="none"/>
        </w:rPr>
        <w:t>基础资产为不动产的股权投资基金</w:t>
      </w:r>
      <w:r>
        <w:rPr>
          <w:rFonts w:hint="eastAsia" w:hAnsi="宋体"/>
          <w:color w:val="000000"/>
          <w:highlight w:val="none"/>
        </w:rPr>
        <w:t>、股权投资计划、</w:t>
      </w:r>
      <w:r>
        <w:rPr>
          <w:rFonts w:hint="eastAsia"/>
          <w:highlight w:val="none"/>
        </w:rPr>
        <w:t>权益类集合资金信托计划、发行人确认为权益工具的债权计划等；</w:t>
      </w:r>
      <w:r>
        <w:rPr>
          <w:rFonts w:hint="eastAsia" w:hAnsi="宋体"/>
          <w:color w:val="000000"/>
          <w:highlight w:val="none"/>
        </w:rPr>
        <w:t>公开募集基础设施证券投资基金</w:t>
      </w:r>
      <w:r>
        <w:rPr>
          <w:rFonts w:hint="eastAsia" w:ascii="仿宋_GB2312" w:hAnsi="仿宋_GB2312" w:cs="仿宋_GB2312"/>
          <w:color w:val="000000"/>
          <w:highlight w:val="none"/>
        </w:rPr>
        <w:t>（公募REITs）、</w:t>
      </w:r>
      <w:r>
        <w:rPr>
          <w:rFonts w:hint="eastAsia" w:ascii="仿宋_GB2312" w:hAnsi="仿宋_GB2312" w:cs="仿宋_GB2312"/>
          <w:highlight w:val="none"/>
        </w:rPr>
        <w:t>持有型不动产资产支持专项计划以及基础资产80%及以上投资于公募REITs的资产管理产品等金融产品，纳入境内不动产金融产品统计。</w:t>
      </w:r>
      <w:r>
        <w:rPr>
          <w:rFonts w:hint="eastAsia" w:ascii="仿宋_GB2312" w:hAnsi="仿宋_GB2312" w:cs="仿宋_GB2312"/>
          <w:bCs/>
          <w:color w:val="000000"/>
          <w:highlight w:val="none"/>
        </w:rPr>
        <w:t>境外</w:t>
      </w:r>
      <w:r>
        <w:rPr>
          <w:rFonts w:hint="eastAsia" w:ascii="仿宋_GB2312" w:hAnsi="仿宋_GB2312" w:cs="仿宋_GB2312"/>
          <w:color w:val="000000"/>
          <w:highlight w:val="none"/>
        </w:rPr>
        <w:t>不动产金融产品包括</w:t>
      </w:r>
      <w:r>
        <w:rPr>
          <w:rFonts w:hint="eastAsia" w:ascii="仿宋_GB2312" w:hAnsi="仿宋_GB2312" w:cs="仿宋_GB2312"/>
          <w:highlight w:val="none"/>
        </w:rPr>
        <w:t>基础资产为不动产的股权投资基金等</w:t>
      </w:r>
      <w:r>
        <w:rPr>
          <w:rFonts w:hint="eastAsia" w:ascii="仿宋_GB2312" w:hAnsi="仿宋_GB2312" w:cs="仿宋_GB2312"/>
          <w:highlight w:val="none"/>
          <w:lang w:eastAsia="zh-CN"/>
        </w:rPr>
        <w:t>，</w:t>
      </w:r>
      <w:r>
        <w:rPr>
          <w:rFonts w:hint="eastAsia" w:ascii="仿宋_GB2312" w:hAnsi="仿宋_GB2312" w:cs="仿宋_GB2312"/>
          <w:highlight w:val="none"/>
        </w:rPr>
        <w:t>房地产信托投资基金（REITs）纳</w:t>
      </w:r>
      <w:r>
        <w:rPr>
          <w:rFonts w:hint="eastAsia"/>
          <w:highlight w:val="none"/>
        </w:rPr>
        <w:t>入境外不动产金融产品统计。</w:t>
      </w:r>
      <w:bookmarkEnd w:id="12"/>
      <w:r>
        <w:rPr>
          <w:rFonts w:hint="eastAsia"/>
          <w:bCs/>
          <w:highlight w:val="none"/>
        </w:rPr>
        <w:t>保险公司填报的自用性不动产</w:t>
      </w:r>
      <w:r>
        <w:rPr>
          <w:rFonts w:hint="eastAsia"/>
          <w:highlight w:val="none"/>
        </w:rPr>
        <w:t>，包括已经建成和处于在建工程的、以自用为目的的办公用房、培训中心、后援中心、灾备中心等，同时包括以建设自用性不动产为目的的土地。</w:t>
      </w:r>
    </w:p>
    <w:p>
      <w:pPr>
        <w:ind w:firstLine="640"/>
        <w:rPr>
          <w:rFonts w:ascii="仿宋_GB2312"/>
          <w:highlight w:val="none"/>
        </w:rPr>
      </w:pPr>
      <w:r>
        <w:rPr>
          <w:rFonts w:hint="eastAsia" w:ascii="仿宋_GB2312"/>
          <w:bCs/>
          <w:highlight w:val="none"/>
        </w:rPr>
        <w:t>商品类投资资产</w:t>
      </w:r>
      <w:r>
        <w:rPr>
          <w:rFonts w:hint="eastAsia" w:ascii="仿宋_GB2312"/>
          <w:highlight w:val="none"/>
        </w:rPr>
        <w:t>包括黄金合约以及其他国家金融监督管理总局认可的投资资产。</w:t>
      </w:r>
      <w:r>
        <w:rPr>
          <w:rFonts w:hint="eastAsia" w:ascii="仿宋_GB2312"/>
          <w:bCs/>
          <w:highlight w:val="none"/>
        </w:rPr>
        <w:t>其中</w:t>
      </w:r>
      <w:r>
        <w:rPr>
          <w:rFonts w:hint="eastAsia" w:ascii="仿宋_GB2312"/>
          <w:highlight w:val="none"/>
        </w:rPr>
        <w:t>，黄金合约包括在上海黄金交易所主板上市或交易的黄金现货实盘合约、黄金现货延期交收合约、上海金集中定价合约、黄金询价即期合约、黄金询价掉期合约等。</w:t>
      </w:r>
    </w:p>
    <w:p>
      <w:pPr>
        <w:ind w:firstLine="640"/>
        <w:rPr>
          <w:highlight w:val="none"/>
          <w:lang w:val="en-GB"/>
        </w:rPr>
      </w:pPr>
      <w:r>
        <w:rPr>
          <w:rFonts w:hint="eastAsia" w:ascii="仿宋_GB2312" w:hAnsi="宋体"/>
          <w:color w:val="000000"/>
          <w:highlight w:val="none"/>
        </w:rPr>
        <w:t>保险公司投资单一资产管理计划和面向单一投资者发行的组合类保险资产管理产品、私募理财产品，应当按照穿透原则将基础资产分别纳入对应投资资产类别统计。</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（三）固定收益类投资资产剩余期限分布</w:t>
      </w:r>
    </w:p>
    <w:p>
      <w:pPr>
        <w:ind w:firstLine="640"/>
        <w:rPr>
          <w:highlight w:val="none"/>
          <w:lang w:val="en-GB"/>
        </w:rPr>
      </w:pPr>
      <w:r>
        <w:rPr>
          <w:rFonts w:hint="eastAsia"/>
          <w:highlight w:val="none"/>
          <w:lang w:val="en-GB"/>
        </w:rPr>
        <w:t>根据公司持有的固定收益类投资资产的剩余期限情况分别进行填报。其中，保险公司持有的传统固定收益类资产按照存款、（准）政府债券、金融企业（公司）债券、非金融企业（公司）债券、债券型基金、资产证券化产品、发行人确认为债务工具的优先股和无固定期限资本债券和其他传统固定收益类投资资产分别填报。其中</w:t>
      </w:r>
      <w:r>
        <w:rPr>
          <w:rFonts w:hint="eastAsia" w:ascii="仿宋" w:hAnsi="仿宋" w:cs="MS Mincho"/>
          <w:highlight w:val="none"/>
          <w:lang w:val="en-GB"/>
        </w:rPr>
        <w:t>债券型基金、</w:t>
      </w:r>
      <w:r>
        <w:rPr>
          <w:rFonts w:hint="eastAsia" w:ascii="仿宋" w:hAnsi="仿宋" w:cs="MS Mincho"/>
          <w:highlight w:val="none"/>
        </w:rPr>
        <w:t>面向非单一投资者发行的</w:t>
      </w:r>
      <w:r>
        <w:rPr>
          <w:rFonts w:hint="eastAsia"/>
          <w:highlight w:val="none"/>
        </w:rPr>
        <w:t>固定收益类理财产品和固定收益类组合类保险资产管理产品按照无明确期限统计</w:t>
      </w:r>
      <w:r>
        <w:rPr>
          <w:rFonts w:hint="eastAsia"/>
          <w:highlight w:val="none"/>
          <w:lang w:val="en-GB"/>
        </w:rPr>
        <w:t>。</w:t>
      </w:r>
    </w:p>
    <w:p>
      <w:pPr>
        <w:ind w:firstLine="640"/>
        <w:rPr>
          <w:highlight w:val="none"/>
          <w:lang w:val="en-GB"/>
        </w:rPr>
      </w:pPr>
      <w:r>
        <w:rPr>
          <w:rFonts w:hint="eastAsia"/>
          <w:highlight w:val="none"/>
          <w:lang w:val="en-GB"/>
        </w:rPr>
        <w:t>对于含权的固定收益类投资资产，根据其特征判断是否行权，再确定剩余期限。对于含权债券，可参照中央国债登记结算有限责任公司公布的《含投资人回售权和发行人调整票面利率选择权的附息式固定利率债券估值方法》判断是否行权，再确定其剩余期限。对于含权且与利率挂钩的非标准固定收益类投资资产，可根据报告期末的市场远期利率曲线和行权利率比较判断是否行权，再确定其剩余期限。</w:t>
      </w:r>
    </w:p>
    <w:p>
      <w:pPr>
        <w:ind w:firstLine="640"/>
        <w:rPr>
          <w:rFonts w:ascii="仿宋" w:hAnsi="仿宋" w:cs="MS Mincho"/>
          <w:b/>
          <w:highlight w:val="none"/>
        </w:rPr>
      </w:pPr>
      <w:r>
        <w:rPr>
          <w:rFonts w:hint="eastAsia"/>
          <w:highlight w:val="none"/>
          <w:lang w:val="en-GB"/>
        </w:rPr>
        <w:t>对于保险公司投资的单一资产管理计划和</w:t>
      </w:r>
      <w:r>
        <w:rPr>
          <w:highlight w:val="none"/>
          <w:lang w:val="en-GB"/>
        </w:rPr>
        <w:t>面向单一投资者发行的组合类保险资产管理产品</w:t>
      </w:r>
      <w:r>
        <w:rPr>
          <w:rFonts w:hint="eastAsia"/>
          <w:highlight w:val="none"/>
          <w:lang w:val="en-GB"/>
        </w:rPr>
        <w:t>、私募理财产品，应当按照穿透原则统计基础资产的剩余期限分布。</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（四）风险10日VaR值</w:t>
      </w:r>
    </w:p>
    <w:p>
      <w:pPr>
        <w:ind w:firstLine="640"/>
        <w:rPr>
          <w:rFonts w:hint="eastAsia" w:ascii="仿宋_GB2312" w:hAnsi="仿宋_GB2312" w:cs="仿宋_GB2312"/>
          <w:highlight w:val="none"/>
        </w:rPr>
      </w:pPr>
      <w:r>
        <w:rPr>
          <w:rFonts w:hint="eastAsia" w:ascii="仿宋_GB2312" w:hAnsi="仿宋_GB2312" w:cs="仿宋_GB2312"/>
          <w:highlight w:val="none"/>
        </w:rPr>
        <w:t>VaR值采用历史模拟法进行计算，测试期间包括过去一年和过去三年。如历史数据不足，可采用指数数据进行替代。VaR值定义损失为正值，样本期间未发生损失，VaR值填“0”。</w:t>
      </w:r>
    </w:p>
    <w:p>
      <w:pPr>
        <w:ind w:firstLine="640"/>
        <w:rPr>
          <w:rFonts w:ascii="仿宋"/>
          <w:highlight w:val="none"/>
        </w:rPr>
      </w:pPr>
      <w:r>
        <w:rPr>
          <w:rFonts w:hint="eastAsia" w:ascii="仿宋_GB2312" w:hAnsi="仿宋_GB2312" w:cs="仿宋_GB2312"/>
          <w:highlight w:val="none"/>
        </w:rPr>
        <w:t>分别计算境内债券型基金、境外债券型基金、境内权益资产、境外权益资产的VaR值和VaR值与</w:t>
      </w:r>
      <w:r>
        <w:rPr>
          <w:rFonts w:hint="eastAsia"/>
          <w:highlight w:val="none"/>
        </w:rPr>
        <w:t>该类资产账面价值的比。本处所指权益资产包括</w:t>
      </w:r>
      <w:r>
        <w:rPr>
          <w:rFonts w:hint="eastAsia"/>
          <w:highlight w:val="none"/>
          <w:lang w:eastAsia="zh-CN"/>
        </w:rPr>
        <w:t>普通股</w:t>
      </w:r>
      <w:r>
        <w:rPr>
          <w:rFonts w:hint="eastAsia"/>
          <w:highlight w:val="none"/>
        </w:rPr>
        <w:t>及存托凭证、权益型证券投资基金、混合型证券投资基金、私募证券投资基金，不包含上述资产中纳入长期股权投资的部分</w:t>
      </w:r>
      <w:r>
        <w:rPr>
          <w:rFonts w:hint="eastAsia" w:ascii="仿宋"/>
          <w:highlight w:val="none"/>
        </w:rPr>
        <w:t>。</w:t>
      </w:r>
    </w:p>
    <w:p>
      <w:pPr>
        <w:ind w:firstLine="640"/>
        <w:rPr>
          <w:rFonts w:ascii="仿宋"/>
          <w:highlight w:val="none"/>
        </w:rPr>
      </w:pPr>
      <w:bookmarkStart w:id="13" w:name="OLE_LINK1"/>
      <w:r>
        <w:rPr>
          <w:rFonts w:hint="eastAsia" w:ascii="仿宋"/>
          <w:highlight w:val="none"/>
        </w:rPr>
        <w:t>缺少历史数据的，境内股票和香港市场股票采用该股票所对应的</w:t>
      </w:r>
      <w:r>
        <w:rPr>
          <w:rFonts w:ascii="仿宋"/>
          <w:highlight w:val="none"/>
        </w:rPr>
        <w:t>申万一级行业指数替代</w:t>
      </w:r>
      <w:r>
        <w:rPr>
          <w:rFonts w:hint="eastAsia" w:ascii="仿宋"/>
          <w:highlight w:val="none"/>
        </w:rPr>
        <w:t>，境内基金只追溯到基金成立日。</w:t>
      </w:r>
      <w:bookmarkEnd w:id="13"/>
      <w:r>
        <w:rPr>
          <w:rFonts w:hint="eastAsia" w:ascii="仿宋"/>
          <w:highlight w:val="none"/>
        </w:rPr>
        <w:t>境外股票和存托凭证只追溯到股票发行日，境外基金只追溯到基金成立日。</w:t>
      </w:r>
    </w:p>
    <w:p>
      <w:pPr>
        <w:ind w:firstLine="640"/>
        <w:rPr>
          <w:rFonts w:ascii="仿宋"/>
          <w:highlight w:val="none"/>
        </w:rPr>
      </w:pPr>
      <w:r>
        <w:rPr>
          <w:rFonts w:hint="eastAsia" w:ascii="仿宋"/>
          <w:highlight w:val="none"/>
        </w:rPr>
        <w:t>境外资产基于其本币与人民币在报告期末的价格进行折算。</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（五）外汇敞口</w:t>
      </w:r>
    </w:p>
    <w:p>
      <w:pPr>
        <w:ind w:firstLine="640"/>
        <w:rPr>
          <w:highlight w:val="none"/>
        </w:rPr>
      </w:pPr>
      <w:r>
        <w:rPr>
          <w:rFonts w:hint="eastAsia" w:ascii="仿宋_GB2312" w:hAnsi="宋体" w:cs="宋体"/>
          <w:highlight w:val="none"/>
        </w:rPr>
        <w:t>外汇资产及外汇负债的账面价值统一按套保后的净值填报。</w:t>
      </w:r>
      <w:r>
        <w:rPr>
          <w:rFonts w:cs="宋体"/>
          <w:highlight w:val="none"/>
        </w:rPr>
        <w:t>资</w:t>
      </w:r>
      <w:r>
        <w:rPr>
          <w:rFonts w:hint="eastAsia"/>
          <w:highlight w:val="none"/>
        </w:rPr>
        <w:t>产和负债应基于其本币与人民币在报告期末的价格进行折算后加总填报其账面价值，折算方法应与经审计财务报告方法保持一致。对于通</w:t>
      </w:r>
      <w:r>
        <w:rPr>
          <w:rFonts w:hint="eastAsia" w:ascii="仿宋_GB2312" w:hAnsi="仿宋_GB2312" w:cs="仿宋_GB2312"/>
          <w:highlight w:val="none"/>
        </w:rPr>
        <w:t>过VaR计算风</w:t>
      </w:r>
      <w:r>
        <w:rPr>
          <w:rFonts w:hint="eastAsia"/>
          <w:highlight w:val="none"/>
        </w:rPr>
        <w:t>险敞口的品种不再计算</w:t>
      </w:r>
      <w:r>
        <w:rPr>
          <w:highlight w:val="none"/>
        </w:rPr>
        <w:t>外汇敞口</w:t>
      </w:r>
      <w:r>
        <w:rPr>
          <w:rFonts w:hint="eastAsia"/>
          <w:highlight w:val="none"/>
        </w:rPr>
        <w:t>，如境外普通股、存托凭证、境外债券型基金、境外权益型基金等</w:t>
      </w:r>
      <w:r>
        <w:rPr>
          <w:highlight w:val="none"/>
        </w:rPr>
        <w:t>资产或负债。</w:t>
      </w:r>
      <w:r>
        <w:rPr>
          <w:rFonts w:hint="eastAsia"/>
          <w:highlight w:val="none"/>
        </w:rPr>
        <w:t>外汇敞口不需要计算到具体的账户。</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（六）融资杠杆比例</w:t>
      </w:r>
    </w:p>
    <w:p>
      <w:pPr>
        <w:ind w:firstLine="640"/>
        <w:rPr>
          <w:highlight w:val="none"/>
        </w:rPr>
      </w:pPr>
      <w:r>
        <w:rPr>
          <w:rFonts w:cs="MS Mincho"/>
          <w:highlight w:val="none"/>
        </w:rPr>
        <w:t>融</w:t>
      </w:r>
      <w:r>
        <w:rPr>
          <w:rFonts w:hint="eastAsia"/>
          <w:highlight w:val="none"/>
        </w:rPr>
        <w:t>资杠杆包括同业拆借、债券回购、</w:t>
      </w:r>
      <w:r>
        <w:rPr>
          <w:rFonts w:hint="eastAsia"/>
          <w:highlight w:val="none"/>
          <w:lang w:eastAsia="zh-CN"/>
        </w:rPr>
        <w:t>保单质押贷款</w:t>
      </w:r>
      <w:r>
        <w:rPr>
          <w:highlight w:val="none"/>
        </w:rPr>
        <w:t>资产支持计划</w:t>
      </w:r>
      <w:r>
        <w:rPr>
          <w:rFonts w:hint="eastAsia"/>
          <w:highlight w:val="none"/>
        </w:rPr>
        <w:t>等融入资金，不包括保险公司发行的</w:t>
      </w:r>
      <w:r>
        <w:rPr>
          <w:rFonts w:hint="eastAsia" w:cs="宋体"/>
          <w:highlight w:val="none"/>
          <w:lang w:val="en-GB"/>
        </w:rPr>
        <w:t>次级债、资本补充债</w:t>
      </w:r>
      <w:r>
        <w:rPr>
          <w:rFonts w:hint="eastAsia" w:cs="宋体"/>
          <w:highlight w:val="none"/>
        </w:rPr>
        <w:t>和</w:t>
      </w:r>
      <w:r>
        <w:rPr>
          <w:rFonts w:hint="eastAsia" w:cs="MS Mincho"/>
          <w:highlight w:val="none"/>
        </w:rPr>
        <w:t>无固定期限资本债券</w:t>
      </w:r>
      <w:r>
        <w:rPr>
          <w:rFonts w:hint="eastAsia" w:cs="宋体"/>
          <w:highlight w:val="none"/>
          <w:lang w:val="en-GB"/>
        </w:rPr>
        <w:t>等资本工具</w:t>
      </w:r>
      <w:r>
        <w:rPr>
          <w:rFonts w:hint="eastAsia"/>
          <w:highlight w:val="none"/>
        </w:rPr>
        <w:t>融入资金。</w:t>
      </w:r>
    </w:p>
    <w:p>
      <w:pPr>
        <w:pStyle w:val="14"/>
        <w:ind w:firstLine="640"/>
        <w:rPr>
          <w:highlight w:val="none"/>
        </w:rPr>
      </w:pPr>
      <w:r>
        <w:rPr>
          <w:rFonts w:hint="eastAsia"/>
          <w:highlight w:val="none"/>
        </w:rPr>
        <w:t>四、资产信用状况计量规则</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（一）固定收益类投资资产信用评级</w:t>
      </w:r>
    </w:p>
    <w:p>
      <w:pPr>
        <w:ind w:firstLine="640"/>
        <w:rPr>
          <w:highlight w:val="none"/>
          <w:lang w:val="en-GB"/>
        </w:rPr>
      </w:pPr>
      <w:r>
        <w:rPr>
          <w:rFonts w:cs="MS Mincho"/>
          <w:highlight w:val="none"/>
          <w:lang w:val="en-GB"/>
        </w:rPr>
        <w:t>保</w:t>
      </w:r>
      <w:r>
        <w:rPr>
          <w:rFonts w:hint="eastAsia"/>
          <w:highlight w:val="none"/>
          <w:lang w:val="en-GB"/>
        </w:rPr>
        <w:t>险公司填报固定收益类投资资产信用评级时，应符合保险公司偿付能力监管规则中信用风险最低资本</w:t>
      </w:r>
      <w:r>
        <w:rPr>
          <w:rFonts w:hint="eastAsia" w:cs="Arial"/>
          <w:highlight w:val="none"/>
        </w:rPr>
        <w:t>中的相关规定</w:t>
      </w:r>
      <w:r>
        <w:rPr>
          <w:rFonts w:hint="eastAsia"/>
          <w:highlight w:val="none"/>
          <w:lang w:val="en-GB"/>
        </w:rPr>
        <w:t>。</w:t>
      </w:r>
    </w:p>
    <w:p>
      <w:pPr>
        <w:ind w:firstLine="640"/>
        <w:rPr>
          <w:highlight w:val="none"/>
          <w:lang w:val="en-GB"/>
        </w:rPr>
      </w:pPr>
      <w:r>
        <w:rPr>
          <w:rFonts w:hint="eastAsia"/>
          <w:highlight w:val="none"/>
          <w:lang w:val="en-GB"/>
        </w:rPr>
        <w:t>保险公司应将固定收益类投资资产按照</w:t>
      </w:r>
      <w:r>
        <w:rPr>
          <w:rFonts w:hint="eastAsia" w:ascii="仿宋_GB2312" w:hAnsi="仿宋_GB2312" w:eastAsia="仿宋_GB2312" w:cs="仿宋_GB2312"/>
          <w:highlight w:val="none"/>
          <w:lang w:val="en-GB"/>
        </w:rPr>
        <w:t>免评级、AAA级、AA级（包括AA+和AA-）、A级（包括A+和A-）、BBB级（包括BBB+和BBB-）、BBB级以下及无评级共七大类分别填报。</w:t>
      </w:r>
    </w:p>
    <w:p>
      <w:pPr>
        <w:ind w:firstLine="640"/>
        <w:rPr>
          <w:rFonts w:cs="MS Mincho"/>
          <w:highlight w:val="none"/>
          <w:lang w:val="en-GB"/>
        </w:rPr>
      </w:pPr>
      <w:r>
        <w:rPr>
          <w:rFonts w:hint="eastAsia"/>
          <w:highlight w:val="none"/>
          <w:lang w:val="en-GB"/>
        </w:rPr>
        <w:t>填报时，对于存款按照存款机构主体评级统计；对于没有评级的（准）政府债券，按免评级统计；对于金融企业（</w:t>
      </w:r>
      <w:r>
        <w:rPr>
          <w:highlight w:val="none"/>
          <w:lang w:val="en-GB"/>
        </w:rPr>
        <w:t>公司</w:t>
      </w:r>
      <w:r>
        <w:rPr>
          <w:rFonts w:hint="eastAsia"/>
          <w:highlight w:val="none"/>
          <w:lang w:val="en-GB"/>
        </w:rPr>
        <w:t>）</w:t>
      </w:r>
      <w:r>
        <w:rPr>
          <w:highlight w:val="none"/>
          <w:lang w:val="en-GB"/>
        </w:rPr>
        <w:t>债券和非金融企业</w:t>
      </w:r>
      <w:r>
        <w:rPr>
          <w:rFonts w:hint="eastAsia"/>
          <w:highlight w:val="none"/>
          <w:lang w:val="en-GB"/>
        </w:rPr>
        <w:t>（</w:t>
      </w:r>
      <w:r>
        <w:rPr>
          <w:highlight w:val="none"/>
          <w:lang w:val="en-GB"/>
        </w:rPr>
        <w:t>公司</w:t>
      </w:r>
      <w:r>
        <w:rPr>
          <w:rFonts w:hint="eastAsia"/>
          <w:highlight w:val="none"/>
          <w:lang w:val="en-GB"/>
        </w:rPr>
        <w:t>）</w:t>
      </w:r>
      <w:r>
        <w:rPr>
          <w:highlight w:val="none"/>
          <w:lang w:val="en-GB"/>
        </w:rPr>
        <w:t>债券，优先按照债项评级统计，无债项评级的按发债机构主体评级统计，无主体评级的按无评级统计</w:t>
      </w:r>
      <w:r>
        <w:rPr>
          <w:rFonts w:hint="eastAsia"/>
          <w:highlight w:val="none"/>
          <w:lang w:val="en-GB"/>
        </w:rPr>
        <w:t>；</w:t>
      </w:r>
      <w:r>
        <w:rPr>
          <w:rFonts w:hint="eastAsia" w:cs="MS Mincho"/>
          <w:highlight w:val="none"/>
          <w:lang w:val="en-GB"/>
        </w:rPr>
        <w:t>债券型基金、</w:t>
      </w:r>
      <w:r>
        <w:rPr>
          <w:rFonts w:hint="eastAsia" w:cs="MS Mincho"/>
          <w:highlight w:val="none"/>
        </w:rPr>
        <w:t>面向非单一投资者发行的</w:t>
      </w:r>
      <w:r>
        <w:rPr>
          <w:rFonts w:hint="eastAsia" w:hAnsi="宋体"/>
          <w:highlight w:val="none"/>
        </w:rPr>
        <w:t>固定收益类理财产品和固定收益类组合类保险资产管理产品按照无评级统计；</w:t>
      </w:r>
      <w:r>
        <w:rPr>
          <w:rFonts w:hint="eastAsia"/>
          <w:highlight w:val="none"/>
          <w:lang w:val="en-GB"/>
        </w:rPr>
        <w:t>对于其他固定收益类投资资产按照债项评级统计；</w:t>
      </w:r>
      <w:bookmarkStart w:id="14" w:name="OLE_LINK5"/>
      <w:bookmarkStart w:id="15" w:name="OLE_LINK6"/>
      <w:r>
        <w:rPr>
          <w:rFonts w:hint="eastAsia"/>
          <w:highlight w:val="none"/>
        </w:rPr>
        <w:t>对于</w:t>
      </w:r>
      <w:r>
        <w:rPr>
          <w:rFonts w:hint="eastAsia" w:cs="MS Mincho"/>
          <w:highlight w:val="none"/>
          <w:lang w:val="en-GB"/>
        </w:rPr>
        <w:t>保险公司投资的单一资产管理计划和</w:t>
      </w:r>
      <w:r>
        <w:rPr>
          <w:rFonts w:cs="MS Mincho"/>
          <w:highlight w:val="none"/>
          <w:lang w:val="en-GB"/>
        </w:rPr>
        <w:t>面向单一投资者发行的组合类保险资产管理产品</w:t>
      </w:r>
      <w:r>
        <w:rPr>
          <w:rFonts w:hint="eastAsia" w:cs="MS Mincho"/>
          <w:highlight w:val="none"/>
          <w:lang w:val="en-GB"/>
        </w:rPr>
        <w:t>、私募理财产品，应当按照穿透原则统计</w:t>
      </w:r>
      <w:bookmarkEnd w:id="14"/>
      <w:bookmarkEnd w:id="15"/>
      <w:r>
        <w:rPr>
          <w:rFonts w:hint="eastAsia" w:cs="MS Mincho"/>
          <w:highlight w:val="none"/>
          <w:lang w:val="en-GB"/>
        </w:rPr>
        <w:t>基础资产信用评级分布</w:t>
      </w:r>
      <w:r>
        <w:rPr>
          <w:rFonts w:hint="eastAsia"/>
          <w:highlight w:val="none"/>
          <w:lang w:val="en-GB"/>
        </w:rPr>
        <w:t>。</w:t>
      </w:r>
    </w:p>
    <w:p>
      <w:pPr>
        <w:ind w:firstLine="640"/>
        <w:rPr>
          <w:rFonts w:cs="Arial"/>
          <w:highlight w:val="none"/>
        </w:rPr>
      </w:pPr>
      <w:r>
        <w:rPr>
          <w:rFonts w:hint="eastAsia"/>
          <w:highlight w:val="none"/>
          <w:lang w:val="en-GB"/>
        </w:rPr>
        <w:t>境外固定收益类投资资产采用国际主要评级机构信用评级的，可参照保险公司偿付能力监管规则信用风险最低资本</w:t>
      </w:r>
      <w:r>
        <w:rPr>
          <w:rFonts w:hint="eastAsia"/>
          <w:highlight w:val="none"/>
        </w:rPr>
        <w:t>计量规则</w:t>
      </w:r>
      <w:r>
        <w:rPr>
          <w:rFonts w:hint="eastAsia" w:cs="Arial"/>
          <w:highlight w:val="none"/>
        </w:rPr>
        <w:t>中关于使用外部信用评级的相关要求。</w:t>
      </w:r>
    </w:p>
    <w:p>
      <w:pPr>
        <w:ind w:firstLine="640"/>
        <w:rPr>
          <w:highlight w:val="none"/>
          <w:lang w:val="en-GB"/>
        </w:rPr>
      </w:pPr>
      <w:r>
        <w:rPr>
          <w:rFonts w:hint="eastAsia" w:cs="Arial"/>
          <w:highlight w:val="none"/>
        </w:rPr>
        <w:t>占比是指各类别固定收益类投资资产中不同评级资产所占比例。</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（二）存款及同业存单</w:t>
      </w:r>
    </w:p>
    <w:p>
      <w:pPr>
        <w:ind w:firstLine="640"/>
        <w:rPr>
          <w:highlight w:val="none"/>
          <w:lang w:val="en-GB"/>
        </w:rPr>
      </w:pPr>
      <w:r>
        <w:rPr>
          <w:rFonts w:hint="eastAsia" w:cs="MS Mincho"/>
          <w:highlight w:val="none"/>
          <w:lang w:val="en-GB"/>
        </w:rPr>
        <w:t>存</w:t>
      </w:r>
      <w:r>
        <w:rPr>
          <w:rFonts w:hint="eastAsia"/>
          <w:highlight w:val="none"/>
          <w:lang w:val="en-GB"/>
        </w:rPr>
        <w:t>款机构和同业存单发行机构分类参照</w:t>
      </w:r>
      <w:r>
        <w:rPr>
          <w:rFonts w:hint="eastAsia" w:ascii="仿宋"/>
          <w:highlight w:val="none"/>
          <w:lang w:val="en-GB"/>
        </w:rPr>
        <w:t>保险公司偿付能力监管规则中信用风险最低资本中</w:t>
      </w:r>
      <w:r>
        <w:rPr>
          <w:rFonts w:hint="eastAsia"/>
          <w:highlight w:val="none"/>
          <w:lang w:val="en-GB"/>
        </w:rPr>
        <w:t>的相关规定，按照国有大型商业银行及政策性银行、股份制商业银行、城市商业银行及国际信用评</w:t>
      </w:r>
      <w:r>
        <w:rPr>
          <w:rFonts w:hint="eastAsia" w:ascii="仿宋_GB2312" w:hAnsi="仿宋_GB2312" w:cs="仿宋_GB2312"/>
          <w:highlight w:val="none"/>
          <w:lang w:val="en-GB"/>
        </w:rPr>
        <w:t>级在A级及以上的外资商业银行、农村商业银行、其他境内商业银行和境外银行共</w:t>
      </w:r>
      <w:r>
        <w:rPr>
          <w:rFonts w:hint="eastAsia" w:ascii="仿宋_GB2312" w:hAnsi="仿宋_GB2312" w:cs="仿宋_GB2312"/>
          <w:highlight w:val="none"/>
        </w:rPr>
        <w:t>五</w:t>
      </w:r>
      <w:r>
        <w:rPr>
          <w:rFonts w:hint="eastAsia" w:ascii="仿宋_GB2312" w:hAnsi="仿宋_GB2312" w:cs="仿宋_GB2312"/>
          <w:highlight w:val="none"/>
          <w:lang w:val="en-GB"/>
        </w:rPr>
        <w:t>类分别填报。存款包括存出资本保证金。</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（三）固定收益类投资资产外部评级剩余期限分布</w:t>
      </w:r>
    </w:p>
    <w:p>
      <w:pPr>
        <w:ind w:firstLine="640"/>
        <w:rPr>
          <w:highlight w:val="none"/>
          <w:lang w:val="en-GB"/>
        </w:rPr>
      </w:pPr>
      <w:r>
        <w:rPr>
          <w:rFonts w:hint="eastAsia"/>
          <w:highlight w:val="none"/>
          <w:lang w:val="en-GB"/>
        </w:rPr>
        <w:t>分别填写境内和境外固定收益类投资资产信用评级和剩余期限的对应分布情况。</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（四）保险资产风险分类</w:t>
      </w:r>
    </w:p>
    <w:p>
      <w:pPr>
        <w:ind w:firstLine="640"/>
        <w:rPr>
          <w:highlight w:val="none"/>
          <w:lang w:val="en-GB"/>
        </w:rPr>
      </w:pPr>
      <w:r>
        <w:rPr>
          <w:rFonts w:hint="eastAsia" w:ascii="仿宋_GB2312" w:hAnsi="仿宋_GB2312" w:cs="仿宋_GB2312"/>
          <w:highlight w:val="none"/>
          <w:lang w:val="en-GB"/>
        </w:rPr>
        <w:t>根据《国家金融监督管理总局关于印发</w:t>
      </w:r>
      <w:r>
        <w:rPr>
          <w:rFonts w:hint="eastAsia" w:ascii="仿宋_GB2312" w:hAnsi="仿宋_GB2312" w:eastAsia="仿宋_GB2312" w:cs="仿宋_GB2312"/>
          <w:highlight w:val="none"/>
          <w:lang w:val="en-GB"/>
        </w:rPr>
        <w:t>〈</w:t>
      </w:r>
      <w:r>
        <w:rPr>
          <w:rFonts w:hint="eastAsia" w:ascii="仿宋_GB2312" w:hAnsi="仿宋_GB2312" w:cs="仿宋_GB2312"/>
          <w:highlight w:val="none"/>
          <w:lang w:val="en-GB"/>
        </w:rPr>
        <w:t>保险资产风险分类暂行办法</w:t>
      </w:r>
      <w:r>
        <w:rPr>
          <w:rFonts w:hint="eastAsia" w:ascii="仿宋_GB2312" w:hAnsi="仿宋_GB2312" w:eastAsia="仿宋_GB2312" w:cs="仿宋_GB2312"/>
          <w:highlight w:val="none"/>
          <w:lang w:val="en-GB"/>
        </w:rPr>
        <w:t>〉</w:t>
      </w:r>
      <w:r>
        <w:rPr>
          <w:rFonts w:hint="eastAsia" w:ascii="仿宋_GB2312" w:hAnsi="仿宋_GB2312" w:cs="仿宋_GB2312"/>
          <w:highlight w:val="none"/>
          <w:lang w:val="en-GB"/>
        </w:rPr>
        <w:t>的通知》（金规〔2024〕19号）中的分类标准填报。</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（五）集中度风险</w:t>
      </w:r>
    </w:p>
    <w:p>
      <w:pPr>
        <w:ind w:firstLine="640"/>
        <w:rPr>
          <w:highlight w:val="none"/>
          <w:lang w:val="en-GB"/>
        </w:rPr>
      </w:pPr>
      <w:r>
        <w:rPr>
          <w:rFonts w:hint="eastAsia"/>
          <w:highlight w:val="none"/>
          <w:lang w:val="en-GB"/>
        </w:rPr>
        <w:t>衡量单一行业、单一资产投资和单一交易对手的集中度风险。</w:t>
      </w:r>
      <w:r>
        <w:rPr>
          <w:rFonts w:hint="eastAsia" w:cs="宋体"/>
          <w:highlight w:val="none"/>
          <w:lang w:val="en-GB"/>
        </w:rPr>
        <w:t>只需填报权重占比前五的具体信息。</w:t>
      </w:r>
    </w:p>
    <w:p>
      <w:pPr>
        <w:pStyle w:val="5"/>
        <w:ind w:firstLine="640"/>
        <w:rPr>
          <w:highlight w:val="none"/>
        </w:rPr>
      </w:pPr>
      <w:r>
        <w:rPr>
          <w:rFonts w:hint="eastAsia" w:ascii="仿宋_GB2312" w:hAnsi="仿宋_GB2312" w:cs="仿宋_GB2312"/>
          <w:highlight w:val="none"/>
        </w:rPr>
        <w:t>1.单一行</w:t>
      </w:r>
      <w:r>
        <w:rPr>
          <w:rFonts w:hint="eastAsia"/>
          <w:highlight w:val="none"/>
        </w:rPr>
        <w:t>业</w:t>
      </w:r>
    </w:p>
    <w:p>
      <w:pPr>
        <w:ind w:firstLine="640"/>
        <w:rPr>
          <w:highlight w:val="none"/>
          <w:lang w:val="en-GB"/>
        </w:rPr>
      </w:pPr>
      <w:r>
        <w:rPr>
          <w:rFonts w:hint="eastAsia"/>
          <w:highlight w:val="none"/>
          <w:lang w:val="en-GB"/>
        </w:rPr>
        <w:t>单一行业集中度计算考虑除现金及流动性管理工具、（准）政府债券之外的所有投资资产。</w:t>
      </w:r>
      <w:r>
        <w:rPr>
          <w:highlight w:val="none"/>
          <w:lang w:val="en-GB"/>
        </w:rPr>
        <w:t>保险公司对投资资产使用穿透法计算其行业集中度，确实无法穿透的，按照产品的管理人计算其行业集中度。</w:t>
      </w:r>
    </w:p>
    <w:p>
      <w:pPr>
        <w:ind w:firstLine="640"/>
        <w:rPr>
          <w:highlight w:val="none"/>
          <w:lang w:val="en-GB"/>
        </w:rPr>
      </w:pPr>
      <w:r>
        <w:rPr>
          <w:rFonts w:hint="eastAsia"/>
          <w:highlight w:val="none"/>
          <w:lang w:val="en-GB"/>
        </w:rPr>
        <w:t>单一行业集中度风险的计算方法如下：</w:t>
      </w:r>
    </w:p>
    <w:p>
      <w:pPr>
        <w:spacing w:line="360" w:lineRule="auto"/>
        <w:ind w:left="640" w:leftChars="200" w:firstLine="640"/>
        <w:rPr>
          <w:rFonts w:ascii="DejaVu Math TeX Gyre" w:hAnsi="DejaVu Math TeX Gyre" w:cstheme="minorHAnsi"/>
          <w:szCs w:val="30"/>
          <w:highlight w:val="none"/>
          <w:lang w:val="en-GB"/>
          <w:oMath/>
        </w:rPr>
      </w:pPr>
      <m:oMathPara>
        <m:oMathParaPr>
          <m:jc m:val="left"/>
        </m:oMathParaPr>
        <m:oMath>
          <m:sSub>
            <m:sSubPr>
              <m:ctrlPr>
                <w:rPr>
                  <w:rFonts w:ascii="DejaVu Math TeX Gyre" w:hAnsi="DejaVu Math TeX Gyre" w:cstheme="minorHAnsi"/>
                  <w:szCs w:val="30"/>
                  <w:highlight w:val="none"/>
                  <w:lang w:val="en-GB"/>
                </w:rPr>
              </m:ctrlPr>
            </m:sSubPr>
            <m:e>
              <m:r>
                <w:rPr>
                  <w:rFonts w:ascii="DejaVu Math TeX Gyre" w:hAnsi="DejaVu Math TeX Gyre" w:cstheme="minorHAnsi"/>
                  <w:szCs w:val="30"/>
                  <w:highlight w:val="none"/>
                  <w:lang w:val="en-GB"/>
                </w:rPr>
                <m:t>ω</m:t>
              </m:r>
              <m:ctrlPr>
                <w:rPr>
                  <w:rFonts w:ascii="DejaVu Math TeX Gyre" w:hAnsi="DejaVu Math TeX Gyre" w:cstheme="minorHAnsi"/>
                  <w:szCs w:val="30"/>
                  <w:highlight w:val="none"/>
                  <w:lang w:val="en-GB"/>
                </w:rPr>
              </m:ctrlPr>
            </m:e>
            <m:sub>
              <m:r>
                <w:rPr>
                  <w:rFonts w:ascii="DejaVu Math TeX Gyre" w:hAnsi="DejaVu Math TeX Gyre" w:cstheme="minorHAnsi"/>
                  <w:szCs w:val="30"/>
                  <w:highlight w:val="none"/>
                  <w:lang w:val="en-GB"/>
                </w:rPr>
                <m:t>i</m:t>
              </m:r>
              <m:ctrlPr>
                <w:rPr>
                  <w:rFonts w:ascii="DejaVu Math TeX Gyre" w:hAnsi="DejaVu Math TeX Gyre" w:cstheme="minorHAnsi"/>
                  <w:szCs w:val="30"/>
                  <w:highlight w:val="none"/>
                  <w:lang w:val="en-GB"/>
                </w:rPr>
              </m:ctrlPr>
            </m:sub>
          </m:sSub>
          <m:r>
            <m:rPr>
              <m:sty m:val="p"/>
            </m:rPr>
            <w:rPr>
              <w:rFonts w:ascii="DejaVu Math TeX Gyre" w:hAnsi="DejaVu Math TeX Gyre" w:cstheme="minorHAnsi"/>
              <w:szCs w:val="30"/>
              <w:highlight w:val="none"/>
              <w:lang w:val="en-GB"/>
            </w:rPr>
            <m:t>=</m:t>
          </m:r>
          <m:sSub>
            <m:sSubPr>
              <m:ctrlPr>
                <w:rPr>
                  <w:rFonts w:ascii="DejaVu Math TeX Gyre" w:hAnsi="DejaVu Math TeX Gyre" w:cstheme="minorHAnsi"/>
                  <w:szCs w:val="30"/>
                  <w:highlight w:val="none"/>
                  <w:lang w:val="en-GB"/>
                </w:rPr>
              </m:ctrlPr>
            </m:sSubPr>
            <m:e>
              <m:r>
                <w:rPr>
                  <w:rFonts w:ascii="DejaVu Math TeX Gyre" w:hAnsi="DejaVu Math TeX Gyre" w:cstheme="minorHAnsi"/>
                  <w:szCs w:val="30"/>
                  <w:highlight w:val="none"/>
                  <w:lang w:val="en-GB"/>
                </w:rPr>
                <m:t>BV</m:t>
              </m:r>
              <m:ctrlPr>
                <w:rPr>
                  <w:rFonts w:ascii="DejaVu Math TeX Gyre" w:hAnsi="DejaVu Math TeX Gyre" w:cstheme="minorHAnsi"/>
                  <w:szCs w:val="30"/>
                  <w:highlight w:val="none"/>
                  <w:lang w:val="en-GB"/>
                </w:rPr>
              </m:ctrlPr>
            </m:e>
            <m:sub>
              <m:r>
                <w:rPr>
                  <w:rFonts w:ascii="DejaVu Math TeX Gyre" w:hAnsi="DejaVu Math TeX Gyre" w:cstheme="minorHAnsi"/>
                  <w:szCs w:val="30"/>
                  <w:highlight w:val="none"/>
                </w:rPr>
                <m:t>i</m:t>
              </m:r>
              <m:ctrlPr>
                <w:rPr>
                  <w:rFonts w:ascii="DejaVu Math TeX Gyre" w:hAnsi="DejaVu Math TeX Gyre" w:cstheme="minorHAnsi"/>
                  <w:szCs w:val="30"/>
                  <w:highlight w:val="none"/>
                  <w:lang w:val="en-GB"/>
                </w:rPr>
              </m:ctrlPr>
            </m:sub>
          </m:sSub>
          <m:r>
            <m:rPr>
              <m:sty m:val="p"/>
            </m:rPr>
            <w:rPr>
              <w:rFonts w:ascii="DejaVu Math TeX Gyre" w:hAnsi="DejaVu Math TeX Gyre" w:cstheme="minorHAnsi"/>
              <w:szCs w:val="30"/>
              <w:highlight w:val="none"/>
              <w:lang w:val="en-GB"/>
            </w:rPr>
            <m:t>/</m:t>
          </m:r>
          <m:r>
            <w:rPr>
              <w:rFonts w:ascii="DejaVu Math TeX Gyre" w:hAnsi="DejaVu Math TeX Gyre" w:cstheme="minorHAnsi"/>
              <w:szCs w:val="30"/>
              <w:highlight w:val="none"/>
              <w:lang w:val="en-GB"/>
            </w:rPr>
            <m:t>BV</m:t>
          </m:r>
        </m:oMath>
      </m:oMathPara>
    </w:p>
    <w:p>
      <w:pPr>
        <w:spacing w:line="360" w:lineRule="auto"/>
        <w:ind w:left="640" w:leftChars="200" w:firstLine="640"/>
        <w:rPr>
          <w:rFonts w:cstheme="minorHAnsi"/>
          <w:szCs w:val="30"/>
          <w:highlight w:val="none"/>
          <w:lang w:val="en-GB"/>
        </w:rPr>
      </w:pPr>
      <m:oMathPara>
        <m:oMathParaPr>
          <m:jc m:val="left"/>
        </m:oMathParaPr>
        <m:oMath>
          <m:r>
            <w:rPr>
              <w:rFonts w:ascii="DejaVu Math TeX Gyre" w:hAnsi="DejaVu Math TeX Gyre" w:cstheme="minorHAnsi"/>
              <w:szCs w:val="30"/>
              <w:highlight w:val="none"/>
              <w:lang w:val="en-GB"/>
            </w:rPr>
            <m:t>HHI</m:t>
          </m:r>
          <m:r>
            <m:rPr>
              <m:sty m:val="p"/>
            </m:rPr>
            <w:rPr>
              <w:rFonts w:ascii="DejaVu Math TeX Gyre" w:hAnsi="DejaVu Math TeX Gyre" w:cstheme="minorHAnsi"/>
              <w:szCs w:val="30"/>
              <w:highlight w:val="none"/>
              <w:lang w:val="en-GB"/>
            </w:rPr>
            <m:t>=10000×</m:t>
          </m:r>
          <m:nary>
            <m:naryPr>
              <m:chr m:val="∑"/>
              <m:limLoc m:val="undOvr"/>
              <m:subHide m:val="1"/>
              <m:supHide m:val="1"/>
              <m:ctrlPr>
                <w:rPr>
                  <w:rFonts w:ascii="DejaVu Math TeX Gyre" w:hAnsi="DejaVu Math TeX Gyre" w:cstheme="minorHAnsi"/>
                  <w:szCs w:val="30"/>
                  <w:highlight w:val="none"/>
                  <w:lang w:val="en-GB"/>
                </w:rPr>
              </m:ctrlPr>
            </m:naryPr>
            <m:sub>
              <m:ctrlPr>
                <w:rPr>
                  <w:rFonts w:ascii="DejaVu Math TeX Gyre" w:hAnsi="DejaVu Math TeX Gyre" w:cstheme="minorHAnsi"/>
                  <w:szCs w:val="30"/>
                  <w:highlight w:val="none"/>
                  <w:lang w:val="en-GB"/>
                </w:rPr>
              </m:ctrlPr>
            </m:sub>
            <m:sup>
              <m:ctrlPr>
                <w:rPr>
                  <w:rFonts w:ascii="DejaVu Math TeX Gyre" w:hAnsi="DejaVu Math TeX Gyre" w:cstheme="minorHAnsi"/>
                  <w:szCs w:val="30"/>
                  <w:highlight w:val="none"/>
                  <w:lang w:val="en-GB"/>
                </w:rPr>
              </m:ctrlPr>
            </m:sup>
            <m:e>
              <m:sSup>
                <m:sSupPr>
                  <m:ctrlPr>
                    <w:rPr>
                      <w:rFonts w:ascii="DejaVu Math TeX Gyre" w:hAnsi="DejaVu Math TeX Gyre" w:cstheme="minorHAnsi"/>
                      <w:szCs w:val="30"/>
                      <w:highlight w:val="none"/>
                      <w:lang w:val="en-GB"/>
                    </w:rPr>
                  </m:ctrlPr>
                </m:sSupPr>
                <m:e>
                  <m:sSub>
                    <m:sSubPr>
                      <m:ctrlPr>
                        <w:rPr>
                          <w:rFonts w:ascii="DejaVu Math TeX Gyre" w:hAnsi="DejaVu Math TeX Gyre" w:cstheme="minorHAnsi"/>
                          <w:szCs w:val="30"/>
                          <w:highlight w:val="none"/>
                          <w:lang w:val="en-GB"/>
                        </w:rPr>
                      </m:ctrlPr>
                    </m:sSubPr>
                    <m:e>
                      <m:r>
                        <m:rPr>
                          <m:sty m:val="p"/>
                        </m:rPr>
                        <w:rPr>
                          <w:rFonts w:ascii="DejaVu Math TeX Gyre" w:hAnsi="DejaVu Math TeX Gyre" w:cstheme="minorHAnsi"/>
                          <w:szCs w:val="30"/>
                          <w:highlight w:val="none"/>
                          <w:lang w:val="en-GB"/>
                        </w:rPr>
                        <m:t>ω</m:t>
                      </m:r>
                      <m:ctrlPr>
                        <w:rPr>
                          <w:rFonts w:ascii="DejaVu Math TeX Gyre" w:hAnsi="DejaVu Math TeX Gyre" w:cstheme="minorHAnsi"/>
                          <w:szCs w:val="30"/>
                          <w:highlight w:val="none"/>
                          <w:lang w:val="en-GB"/>
                        </w:rPr>
                      </m:ctrlPr>
                    </m:e>
                    <m:sub>
                      <m:r>
                        <w:rPr>
                          <w:rFonts w:ascii="DejaVu Math TeX Gyre" w:hAnsi="DejaVu Math TeX Gyre" w:cstheme="minorHAnsi"/>
                          <w:szCs w:val="30"/>
                          <w:highlight w:val="none"/>
                          <w:lang w:val="en-GB"/>
                        </w:rPr>
                        <m:t>i</m:t>
                      </m:r>
                      <m:ctrlPr>
                        <w:rPr>
                          <w:rFonts w:ascii="DejaVu Math TeX Gyre" w:hAnsi="DejaVu Math TeX Gyre" w:cstheme="minorHAnsi"/>
                          <w:szCs w:val="30"/>
                          <w:highlight w:val="none"/>
                          <w:lang w:val="en-GB"/>
                        </w:rPr>
                      </m:ctrlPr>
                    </m:sub>
                  </m:sSub>
                  <m:ctrlPr>
                    <w:rPr>
                      <w:rFonts w:ascii="DejaVu Math TeX Gyre" w:hAnsi="DejaVu Math TeX Gyre" w:cstheme="minorHAnsi"/>
                      <w:szCs w:val="30"/>
                      <w:highlight w:val="none"/>
                      <w:lang w:val="en-GB"/>
                    </w:rPr>
                  </m:ctrlPr>
                </m:e>
                <m:sup>
                  <m:r>
                    <m:rPr>
                      <m:sty m:val="p"/>
                    </m:rPr>
                    <w:rPr>
                      <w:rFonts w:ascii="DejaVu Math TeX Gyre" w:hAnsi="DejaVu Math TeX Gyre" w:cstheme="minorHAnsi"/>
                      <w:szCs w:val="30"/>
                      <w:highlight w:val="none"/>
                      <w:lang w:val="en-GB"/>
                    </w:rPr>
                    <m:t>2</m:t>
                  </m:r>
                  <m:ctrlPr>
                    <w:rPr>
                      <w:rFonts w:ascii="DejaVu Math TeX Gyre" w:hAnsi="DejaVu Math TeX Gyre" w:cstheme="minorHAnsi"/>
                      <w:szCs w:val="30"/>
                      <w:highlight w:val="none"/>
                      <w:lang w:val="en-GB"/>
                    </w:rPr>
                  </m:ctrlPr>
                </m:sup>
              </m:sSup>
              <m:ctrlPr>
                <w:rPr>
                  <w:rFonts w:ascii="DejaVu Math TeX Gyre" w:hAnsi="DejaVu Math TeX Gyre" w:cstheme="minorHAnsi"/>
                  <w:szCs w:val="30"/>
                  <w:highlight w:val="none"/>
                  <w:lang w:val="en-GB"/>
                </w:rPr>
              </m:ctrlPr>
            </m:e>
          </m:nary>
        </m:oMath>
      </m:oMathPara>
    </w:p>
    <w:p>
      <w:pPr>
        <w:ind w:firstLine="640"/>
        <w:rPr>
          <w:highlight w:val="none"/>
          <w:lang w:val="en-GB"/>
        </w:rPr>
      </w:pPr>
      <w:r>
        <w:rPr>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ω</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为投资第</w:t>
      </w:r>
      <m:oMath>
        <m:r>
          <w:rPr>
            <w:rFonts w:ascii="DejaVu Math TeX Gyre" w:hAnsi="DejaVu Math TeX Gyre" w:cstheme="minorHAnsi"/>
            <w:highlight w:val="none"/>
          </w:rPr>
          <m:t>i</m:t>
        </m:r>
      </m:oMath>
      <w:r>
        <w:rPr>
          <w:highlight w:val="none"/>
          <w:lang w:val="en-GB"/>
        </w:rPr>
        <w:t>个行业的风险敞口权重；</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BV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为投资第</w:t>
      </w:r>
      <m:oMath>
        <m:r>
          <w:rPr>
            <w:rFonts w:ascii="DejaVu Math TeX Gyre" w:hAnsi="DejaVu Math TeX Gyre" w:cstheme="minorHAnsi"/>
            <w:highlight w:val="none"/>
          </w:rPr>
          <m:t>i</m:t>
        </m:r>
      </m:oMath>
      <w:r>
        <w:rPr>
          <w:highlight w:val="none"/>
          <w:lang w:val="en-GB"/>
        </w:rPr>
        <w:t>个行业的账面</w:t>
      </w:r>
      <w:r>
        <w:rPr>
          <w:rFonts w:hint="eastAsia"/>
          <w:highlight w:val="none"/>
          <w:lang w:val="en-GB"/>
        </w:rPr>
        <w:t>余额</w:t>
      </w:r>
      <w:r>
        <w:rPr>
          <w:highlight w:val="none"/>
          <w:lang w:val="en-GB"/>
        </w:rPr>
        <w:t>；</w:t>
      </w:r>
    </w:p>
    <w:p>
      <w:pPr>
        <w:ind w:firstLine="640"/>
        <w:rPr>
          <w:highlight w:val="none"/>
          <w:lang w:val="en-GB"/>
        </w:rPr>
      </w:pPr>
      <m:oMath>
        <m:r>
          <w:rPr>
            <w:rFonts w:ascii="DejaVu Math TeX Gyre" w:hAnsi="DejaVu Math TeX Gyre" w:cstheme="minorHAnsi"/>
            <w:highlight w:val="none"/>
            <w:lang w:val="en-GB"/>
          </w:rPr>
          <m:t>BV</m:t>
        </m:r>
      </m:oMath>
      <w:r>
        <w:rPr>
          <w:rFonts w:hint="eastAsia"/>
          <w:highlight w:val="none"/>
          <w:lang w:val="en-GB"/>
        </w:rPr>
        <w:t>为总体投资资产的账面余额；</w:t>
      </w:r>
    </w:p>
    <w:p>
      <w:pPr>
        <w:ind w:firstLine="640"/>
        <w:rPr>
          <w:highlight w:val="none"/>
          <w:lang w:val="en-GB"/>
        </w:rPr>
      </w:pPr>
      <m:oMath>
        <m:r>
          <w:rPr>
            <w:rFonts w:ascii="DejaVu Math TeX Gyre" w:hAnsi="DejaVu Math TeX Gyre" w:cstheme="minorHAnsi"/>
            <w:highlight w:val="none"/>
            <w:lang w:val="en-GB"/>
          </w:rPr>
          <m:t>HHI</m:t>
        </m:r>
      </m:oMath>
      <w:r>
        <w:rPr>
          <w:rFonts w:hint="eastAsia"/>
          <w:highlight w:val="none"/>
          <w:lang w:val="en-GB"/>
        </w:rPr>
        <w:t>为全部行业</w:t>
      </w:r>
      <w:r>
        <w:rPr>
          <w:highlight w:val="none"/>
          <w:lang w:val="en-GB"/>
        </w:rPr>
        <w:t>集中度</w:t>
      </w:r>
      <w:r>
        <w:rPr>
          <w:rFonts w:hint="eastAsia"/>
          <w:highlight w:val="none"/>
          <w:lang w:val="en-GB"/>
        </w:rPr>
        <w:t>指数</w:t>
      </w:r>
      <w:r>
        <w:rPr>
          <w:highlight w:val="none"/>
          <w:lang w:val="en-GB"/>
        </w:rPr>
        <w:t>。</w:t>
      </w:r>
    </w:p>
    <w:p>
      <w:pPr>
        <w:ind w:firstLine="640"/>
        <w:rPr>
          <w:rFonts w:hint="eastAsia" w:ascii="仿宋_GB2312" w:hAnsi="仿宋_GB2312" w:cs="仿宋_GB2312"/>
          <w:highlight w:val="none"/>
          <w:lang w:val="en-GB"/>
        </w:rPr>
      </w:pPr>
      <w:r>
        <w:rPr>
          <w:rFonts w:hint="eastAsia"/>
          <w:highlight w:val="none"/>
          <w:lang w:val="en-GB"/>
        </w:rPr>
        <w:t>境内</w:t>
      </w:r>
      <w:r>
        <w:rPr>
          <w:rFonts w:hint="eastAsia"/>
          <w:highlight w:val="none"/>
        </w:rPr>
        <w:t>和香港市场</w:t>
      </w:r>
      <w:r>
        <w:rPr>
          <w:rFonts w:hint="eastAsia"/>
          <w:highlight w:val="none"/>
          <w:lang w:val="en-GB"/>
        </w:rPr>
        <w:t>投资资产行业分类采用申万一级行业分类</w:t>
      </w:r>
      <w:r>
        <w:rPr>
          <w:rFonts w:hint="eastAsia"/>
          <w:highlight w:val="none"/>
        </w:rPr>
        <w:t>，</w:t>
      </w:r>
      <w:r>
        <w:rPr>
          <w:highlight w:val="none"/>
          <w:lang w:val="en-GB"/>
        </w:rPr>
        <w:t>计算行业集中度时，将境内投资资产行业与</w:t>
      </w:r>
      <w:r>
        <w:rPr>
          <w:rFonts w:hint="eastAsia"/>
          <w:highlight w:val="none"/>
          <w:lang w:val="en-GB"/>
        </w:rPr>
        <w:t>香港市场</w:t>
      </w:r>
      <w:r>
        <w:rPr>
          <w:rFonts w:hint="eastAsia"/>
          <w:highlight w:val="none"/>
        </w:rPr>
        <w:t>投资资产行业进行合并计算；</w:t>
      </w:r>
      <w:r>
        <w:rPr>
          <w:rFonts w:hint="eastAsia"/>
          <w:highlight w:val="none"/>
          <w:lang w:val="en-GB"/>
        </w:rPr>
        <w:t>除香港市场外的境外投资资产行业分类采用国际行业分类标</w:t>
      </w:r>
      <w:r>
        <w:rPr>
          <w:rFonts w:hint="eastAsia" w:ascii="仿宋_GB2312" w:hAnsi="仿宋_GB2312" w:cs="仿宋_GB2312"/>
          <w:highlight w:val="none"/>
          <w:lang w:val="en-GB"/>
        </w:rPr>
        <w:t>准（GICS）一级</w:t>
      </w:r>
      <w:r>
        <w:rPr>
          <w:highlight w:val="none"/>
          <w:lang w:val="en-GB"/>
        </w:rPr>
        <w:t>行业分类或符合国际行业分类标准的一级行业分类</w:t>
      </w:r>
      <w:r>
        <w:rPr>
          <w:rFonts w:hint="eastAsia"/>
          <w:highlight w:val="none"/>
          <w:lang w:val="en-GB"/>
        </w:rPr>
        <w:t>，</w:t>
      </w:r>
      <w:r>
        <w:rPr>
          <w:rFonts w:hint="eastAsia"/>
          <w:highlight w:val="none"/>
        </w:rPr>
        <w:t>不考虑境内外投资资产行业的对应关系</w:t>
      </w:r>
      <w:r>
        <w:rPr>
          <w:highlight w:val="none"/>
          <w:lang w:val="en-GB"/>
        </w:rPr>
        <w:t>。投资资产发行人为非上市公司的，公司可根据相应分类标准判断其行业归属。如果单一行业交易对手不足五个，</w:t>
      </w:r>
      <w:r>
        <w:rPr>
          <w:rFonts w:hint="eastAsia"/>
          <w:highlight w:val="none"/>
          <w:lang w:val="en-GB"/>
        </w:rPr>
        <w:t>“</w:t>
      </w:r>
      <w:r>
        <w:rPr>
          <w:highlight w:val="none"/>
          <w:lang w:val="en-GB"/>
        </w:rPr>
        <w:t>行业名称</w:t>
      </w:r>
      <w:r>
        <w:rPr>
          <w:rFonts w:hint="eastAsia"/>
          <w:highlight w:val="none"/>
          <w:lang w:val="en-GB"/>
        </w:rPr>
        <w:t>”填报“</w:t>
      </w:r>
      <w:r>
        <w:rPr>
          <w:highlight w:val="none"/>
          <w:lang w:val="en-GB"/>
        </w:rPr>
        <w:t>不适用</w:t>
      </w:r>
      <w:r>
        <w:rPr>
          <w:rFonts w:hint="eastAsia"/>
          <w:highlight w:val="none"/>
          <w:lang w:val="en-GB"/>
        </w:rPr>
        <w:t>”</w:t>
      </w:r>
      <w:r>
        <w:rPr>
          <w:highlight w:val="none"/>
          <w:lang w:val="en-GB"/>
        </w:rPr>
        <w:t>，风险敞口</w:t>
      </w:r>
      <w:r>
        <w:rPr>
          <w:rFonts w:hint="eastAsia"/>
          <w:highlight w:val="none"/>
          <w:lang w:val="en-GB"/>
        </w:rPr>
        <w:t>和</w:t>
      </w:r>
      <w:r>
        <w:rPr>
          <w:highlight w:val="none"/>
          <w:lang w:val="en-GB"/>
        </w:rPr>
        <w:t>风险敞口权重填</w:t>
      </w:r>
      <w:r>
        <w:rPr>
          <w:rFonts w:hint="eastAsia" w:ascii="仿宋_GB2312" w:hAnsi="仿宋_GB2312" w:cs="仿宋_GB2312"/>
          <w:highlight w:val="none"/>
          <w:lang w:val="en-GB"/>
        </w:rPr>
        <w:t>“0”。</w:t>
      </w:r>
    </w:p>
    <w:p>
      <w:pPr>
        <w:pStyle w:val="5"/>
        <w:ind w:firstLine="640"/>
        <w:rPr>
          <w:rFonts w:hint="eastAsia" w:ascii="仿宋_GB2312" w:hAnsi="仿宋_GB2312" w:cs="仿宋_GB2312"/>
          <w:highlight w:val="none"/>
        </w:rPr>
      </w:pPr>
      <w:bookmarkStart w:id="16" w:name="OLE_LINK2"/>
      <w:r>
        <w:rPr>
          <w:rFonts w:hint="eastAsia" w:ascii="仿宋_GB2312" w:hAnsi="仿宋_GB2312" w:cs="仿宋_GB2312"/>
          <w:highlight w:val="none"/>
        </w:rPr>
        <w:t>2.单一资产投资</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单一资产投资是指投资大类资产中的单一具体投资品种，如某只股票、某只债券、某项股权、某项债权、某笔信托计划等投资，并非指某一投资类别资产。保险公司对投资资产根据穿透</w:t>
      </w:r>
      <w:r>
        <w:rPr>
          <w:rFonts w:hint="eastAsia" w:ascii="仿宋_GB2312" w:hAnsi="仿宋_GB2312" w:cs="仿宋_GB2312"/>
          <w:highlight w:val="none"/>
        </w:rPr>
        <w:t>原则</w:t>
      </w:r>
      <w:r>
        <w:rPr>
          <w:rFonts w:hint="eastAsia" w:ascii="仿宋_GB2312" w:hAnsi="仿宋_GB2312" w:cs="仿宋_GB2312"/>
          <w:highlight w:val="none"/>
          <w:lang w:val="en-GB"/>
        </w:rPr>
        <w:t>统计基础资产的单一资产集中度，确实无法穿透的，按照非基础资产计量；对于分期发行的，投资单一资产的账面余额为各分期投资余额合计；对于多地上市的，投资单一资产的账面余额为各地</w:t>
      </w:r>
      <w:r>
        <w:rPr>
          <w:rFonts w:hint="eastAsia" w:ascii="仿宋_GB2312" w:hAnsi="仿宋_GB2312" w:cs="仿宋_GB2312"/>
          <w:highlight w:val="none"/>
          <w:lang w:val="en-GB" w:eastAsia="zh-CN"/>
        </w:rPr>
        <w:t>普通股</w:t>
      </w:r>
      <w:r>
        <w:rPr>
          <w:rFonts w:hint="eastAsia" w:ascii="仿宋_GB2312" w:hAnsi="仿宋_GB2312" w:cs="仿宋_GB2312"/>
          <w:highlight w:val="none"/>
          <w:lang w:val="en-GB"/>
        </w:rPr>
        <w:t>投资余额合计。填报集中度风险报表时，不包括投资现金及流动性管理工具、境内的（准）政府债券、银行存款，以自有资金投资保险类企业股权，以及集团内购买保险资产管理产品等。</w:t>
      </w:r>
      <w:bookmarkEnd w:id="16"/>
      <w:r>
        <w:rPr>
          <w:rFonts w:hint="eastAsia" w:ascii="仿宋_GB2312" w:hAnsi="仿宋_GB2312" w:cs="仿宋_GB2312"/>
          <w:highlight w:val="none"/>
          <w:lang w:val="en-GB"/>
        </w:rPr>
        <w:t>重大股权投资</w:t>
      </w:r>
      <w:r>
        <w:rPr>
          <w:rFonts w:hint="eastAsia" w:ascii="仿宋_GB2312" w:hAnsi="仿宋_GB2312" w:cs="仿宋_GB2312"/>
          <w:highlight w:val="none"/>
        </w:rPr>
        <w:t>按照国家金融监督管理总局有关规定认定</w:t>
      </w:r>
      <w:r>
        <w:rPr>
          <w:rFonts w:hint="eastAsia" w:ascii="仿宋_GB2312" w:hAnsi="仿宋_GB2312" w:cs="仿宋_GB2312"/>
          <w:highlight w:val="none"/>
          <w:lang w:val="en-GB"/>
        </w:rPr>
        <w:t>。</w:t>
      </w:r>
    </w:p>
    <w:p>
      <w:pPr>
        <w:pStyle w:val="5"/>
        <w:ind w:firstLine="640"/>
        <w:rPr>
          <w:rFonts w:hint="eastAsia" w:ascii="仿宋_GB2312" w:hAnsi="仿宋_GB2312" w:cs="仿宋_GB2312"/>
          <w:highlight w:val="none"/>
        </w:rPr>
      </w:pPr>
      <w:r>
        <w:rPr>
          <w:rFonts w:hint="eastAsia" w:ascii="仿宋_GB2312" w:hAnsi="仿宋_GB2312" w:cs="仿宋_GB2312"/>
          <w:highlight w:val="none"/>
        </w:rPr>
        <w:t>3.单一交易对手</w:t>
      </w:r>
    </w:p>
    <w:p>
      <w:pPr>
        <w:ind w:firstLine="640"/>
        <w:rPr>
          <w:highlight w:val="none"/>
          <w:lang w:val="en-GB"/>
        </w:rPr>
      </w:pPr>
      <w:r>
        <w:rPr>
          <w:rFonts w:hint="eastAsia" w:ascii="仿宋_GB2312" w:hAnsi="仿宋_GB2312" w:cs="仿宋_GB2312"/>
          <w:highlight w:val="none"/>
          <w:lang w:val="en-GB"/>
        </w:rPr>
        <w:t>单一交易对手是指</w:t>
      </w:r>
      <w:r>
        <w:rPr>
          <w:rFonts w:hint="eastAsia"/>
          <w:highlight w:val="none"/>
          <w:lang w:val="en-GB"/>
        </w:rPr>
        <w:t>保险公司进行投资而与其形成债权或股权关系的具有法人资格的单一融资主体。投资境内的（准）政府债券，国有大型商业银行</w:t>
      </w:r>
      <w:r>
        <w:rPr>
          <w:highlight w:val="none"/>
          <w:lang w:val="en-GB"/>
        </w:rPr>
        <w:t>存款和发行的股票、债券等</w:t>
      </w:r>
      <w:r>
        <w:rPr>
          <w:rFonts w:hint="eastAsia"/>
          <w:highlight w:val="none"/>
        </w:rPr>
        <w:t>有价证券</w:t>
      </w:r>
      <w:r>
        <w:rPr>
          <w:highlight w:val="none"/>
          <w:lang w:val="en-GB"/>
        </w:rPr>
        <w:t>，</w:t>
      </w:r>
      <w:r>
        <w:rPr>
          <w:rFonts w:hint="eastAsia"/>
          <w:highlight w:val="none"/>
          <w:lang w:val="en-GB"/>
        </w:rPr>
        <w:t>以自有资金投资保险类企业股权</w:t>
      </w:r>
      <w:r>
        <w:rPr>
          <w:highlight w:val="none"/>
          <w:lang w:val="en-GB"/>
        </w:rPr>
        <w:t>以及集团内购买保险资产管理产品</w:t>
      </w:r>
      <w:r>
        <w:rPr>
          <w:rFonts w:hint="eastAsia"/>
          <w:highlight w:val="none"/>
          <w:lang w:val="en-GB"/>
        </w:rPr>
        <w:t>等除外。</w:t>
      </w:r>
    </w:p>
    <w:p>
      <w:pPr>
        <w:ind w:firstLine="640"/>
        <w:rPr>
          <w:rFonts w:cs="Arial"/>
          <w:sz w:val="30"/>
          <w:szCs w:val="30"/>
          <w:highlight w:val="none"/>
        </w:rPr>
      </w:pPr>
      <w:r>
        <w:rPr>
          <w:rFonts w:hint="eastAsia"/>
          <w:highlight w:val="none"/>
          <w:lang w:val="en-GB"/>
        </w:rPr>
        <w:t>单一交易对手按照以下原则确定：交易对手为融资主体；融资主体出现违约的，以担保人作为交易对手；不能确定融资主体的，产品发行人为交易对手。保险公司应当按照穿透</w:t>
      </w:r>
      <w:r>
        <w:rPr>
          <w:rFonts w:hint="eastAsia"/>
          <w:highlight w:val="none"/>
        </w:rPr>
        <w:t>原则</w:t>
      </w:r>
      <w:r>
        <w:rPr>
          <w:rFonts w:hint="eastAsia"/>
          <w:highlight w:val="none"/>
          <w:lang w:val="en-GB"/>
        </w:rPr>
        <w:t>确定资产真实的融资主体。</w:t>
      </w:r>
    </w:p>
    <w:p>
      <w:pPr>
        <w:pStyle w:val="14"/>
        <w:ind w:firstLine="640"/>
        <w:rPr>
          <w:highlight w:val="none"/>
        </w:rPr>
      </w:pPr>
      <w:r>
        <w:rPr>
          <w:rFonts w:hint="eastAsia"/>
          <w:highlight w:val="none"/>
        </w:rPr>
        <w:t>五、负债信息计量规则</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（一）保险合同负债/资产</w:t>
      </w:r>
    </w:p>
    <w:p>
      <w:pPr>
        <w:ind w:firstLine="640"/>
        <w:rPr>
          <w:highlight w:val="none"/>
          <w:lang w:val="en-GB"/>
        </w:rPr>
      </w:pPr>
      <w:r>
        <w:rPr>
          <w:rFonts w:hint="eastAsia"/>
          <w:highlight w:val="none"/>
          <w:lang w:val="en-GB"/>
        </w:rPr>
        <w:t>保险公司填报应至少包括公司普通账户、传统保险账户、分红保险账户、万能保险账户和独立账户；公司普通账户为传统保险账户、分红保险账户和万能保险账户的合计。</w:t>
      </w:r>
    </w:p>
    <w:p>
      <w:pPr>
        <w:ind w:firstLine="640"/>
        <w:rPr>
          <w:rFonts w:ascii="宋体" w:hAnsi="宋体"/>
          <w:sz w:val="24"/>
          <w:szCs w:val="24"/>
          <w:highlight w:val="none"/>
        </w:rPr>
      </w:pPr>
      <w:r>
        <w:rPr>
          <w:rFonts w:hint="eastAsia"/>
          <w:highlight w:val="none"/>
        </w:rPr>
        <w:t>保险公司</w:t>
      </w:r>
      <w:r>
        <w:rPr>
          <w:rFonts w:hint="eastAsia"/>
          <w:highlight w:val="none"/>
          <w:lang w:val="en-GB"/>
        </w:rPr>
        <w:t>应分别填报各账户的保险合同负债</w:t>
      </w:r>
      <w:r>
        <w:rPr>
          <w:rFonts w:hint="eastAsia"/>
          <w:highlight w:val="none"/>
        </w:rPr>
        <w:t>/保险合同资产、分出再保险合同资产/分出再保险合同负债（对于分出再保险科目难以区分账户的，可以只填报普通账户总数）</w:t>
      </w:r>
      <w:r>
        <w:rPr>
          <w:rFonts w:hint="eastAsia"/>
          <w:highlight w:val="none"/>
          <w:lang w:val="en-GB"/>
        </w:rPr>
        <w:t>，保险合同负债含未到期责任负债和已发生赔款负债，</w:t>
      </w:r>
      <w:r>
        <w:rPr>
          <w:rFonts w:hint="eastAsia"/>
          <w:highlight w:val="none"/>
        </w:rPr>
        <w:t>需分别填报未来现金流量现值、非金融风险调整、合同服务边际；保险公司应当采用合理的自定义方法按照保单对应账户进行统计；若难以拆分至保单对应账户，应按照保险合同组的对应账户进行统计</w:t>
      </w:r>
      <w:r>
        <w:rPr>
          <w:rFonts w:hint="eastAsia"/>
          <w:highlight w:val="none"/>
          <w:lang w:val="en-GB"/>
        </w:rPr>
        <w:t>。</w:t>
      </w:r>
      <w:r>
        <w:rPr>
          <w:rFonts w:hint="eastAsia" w:cs="MS Mincho"/>
          <w:highlight w:val="none"/>
          <w:lang w:val="en-GB"/>
        </w:rPr>
        <w:t>保险合同资产与分出再保险合同资产以负数填列。</w:t>
      </w:r>
    </w:p>
    <w:p>
      <w:pPr>
        <w:ind w:firstLine="640"/>
        <w:rPr>
          <w:highlight w:val="none"/>
        </w:rPr>
      </w:pPr>
      <w:r>
        <w:rPr>
          <w:rFonts w:hint="eastAsia"/>
          <w:highlight w:val="none"/>
        </w:rPr>
        <w:t>保险公司应分别填报公司整体层面以通用模型法或修正通用模型法计量的负债业务的财务口径负债资金成本率和财务口径综合负债资金成本率，按照以下公式计算：</w:t>
      </w:r>
    </w:p>
    <w:p>
      <w:pPr>
        <w:spacing w:line="360" w:lineRule="auto"/>
        <w:ind w:left="640" w:leftChars="200" w:firstLine="640"/>
        <w:rPr>
          <w:rFonts w:ascii="仿宋" w:hAnsi="仿宋" w:cs="宋体"/>
          <w:szCs w:val="32"/>
          <w:highlight w:val="none"/>
        </w:rPr>
      </w:pPr>
      <m:oMathPara>
        <m:oMathParaPr>
          <m:jc m:val="left"/>
        </m:oMathParaPr>
        <m:oMath>
          <m:r>
            <m:rPr>
              <m:sty m:val="p"/>
            </m:rPr>
            <w:rPr>
              <w:rFonts w:hint="eastAsia" w:ascii="DejaVu Math TeX Gyre" w:hAnsi="DejaVu Math TeX Gyre"/>
              <w:highlight w:val="none"/>
            </w:rPr>
            <m:t>财务口径负债资金成本率</m:t>
          </m:r>
          <m:r>
            <m:rPr>
              <m:sty m:val="p"/>
            </m:rPr>
            <w:rPr>
              <w:rFonts w:ascii="DejaVu Math TeX Gyre" w:hAnsi="DejaVu Math TeX Gyre"/>
              <w:highlight w:val="none"/>
            </w:rPr>
            <m:t>=</m:t>
          </m:r>
          <m:f>
            <m:fPr>
              <m:ctrlPr>
                <w:rPr>
                  <w:rFonts w:ascii="DejaVu Math TeX Gyre" w:hAnsi="DejaVu Math TeX Gyre"/>
                  <w:iCs/>
                  <w:highlight w:val="none"/>
                </w:rPr>
              </m:ctrlPr>
            </m:fPr>
            <m:num>
              <m:r>
                <m:rPr>
                  <m:sty m:val="p"/>
                </m:rPr>
                <w:rPr>
                  <w:rFonts w:hint="eastAsia" w:ascii="DejaVu Math TeX Gyre" w:hAnsi="DejaVu Math TeX Gyre"/>
                  <w:highlight w:val="none"/>
                </w:rPr>
                <m:t>承保财务损益</m:t>
              </m:r>
              <m:ctrlPr>
                <w:rPr>
                  <w:rFonts w:ascii="DejaVu Math TeX Gyre" w:hAnsi="DejaVu Math TeX Gyre"/>
                  <w:iCs/>
                  <w:highlight w:val="none"/>
                </w:rPr>
              </m:ctrlPr>
            </m:num>
            <m:den>
              <m:f>
                <m:fPr>
                  <m:ctrlPr>
                    <w:rPr>
                      <w:rFonts w:ascii="DejaVu Math TeX Gyre" w:hAnsi="DejaVu Math TeX Gyre"/>
                      <w:iCs/>
                      <w:highlight w:val="none"/>
                    </w:rPr>
                  </m:ctrlPr>
                </m:fPr>
                <m:num>
                  <m:r>
                    <m:rPr>
                      <m:sty m:val="p"/>
                    </m:rPr>
                    <w:rPr>
                      <w:rFonts w:ascii="DejaVu Math TeX Gyre" w:hAnsi="DejaVu Math TeX Gyre"/>
                      <w:highlight w:val="none"/>
                    </w:rPr>
                    <m:t>(</m:t>
                  </m:r>
                  <m:r>
                    <m:rPr>
                      <m:sty m:val="p"/>
                    </m:rPr>
                    <w:rPr>
                      <w:rFonts w:hint="eastAsia" w:ascii="DejaVu Math TeX Gyre" w:hAnsi="DejaVu Math TeX Gyre"/>
                      <w:highlight w:val="none"/>
                    </w:rPr>
                    <m:t>期初的保险合同负债</m:t>
                  </m:r>
                  <m:r>
                    <m:rPr>
                      <m:sty m:val="p"/>
                    </m:rPr>
                    <w:rPr>
                      <w:rFonts w:ascii="DejaVu Math TeX Gyre" w:hAnsi="DejaVu Math TeX Gyre"/>
                      <w:highlight w:val="none"/>
                    </w:rPr>
                    <m:t xml:space="preserve"> + </m:t>
                  </m:r>
                  <m:r>
                    <m:rPr>
                      <m:sty m:val="p"/>
                    </m:rPr>
                    <w:rPr>
                      <w:rFonts w:hint="eastAsia" w:ascii="DejaVu Math TeX Gyre" w:hAnsi="DejaVu Math TeX Gyre"/>
                      <w:highlight w:val="none"/>
                    </w:rPr>
                    <m:t>期末的保险合同负债</m:t>
                  </m:r>
                  <m:r>
                    <m:rPr>
                      <m:sty m:val="p"/>
                    </m:rPr>
                    <w:rPr>
                      <w:rFonts w:ascii="DejaVu Math TeX Gyre" w:hAnsi="DejaVu Math TeX Gyre"/>
                      <w:highlight w:val="none"/>
                    </w:rPr>
                    <m:t>)</m:t>
                  </m:r>
                  <m:ctrlPr>
                    <w:rPr>
                      <w:rFonts w:ascii="DejaVu Math TeX Gyre" w:hAnsi="DejaVu Math TeX Gyre"/>
                      <w:iCs/>
                      <w:highlight w:val="none"/>
                    </w:rPr>
                  </m:ctrlPr>
                </m:num>
                <m:den>
                  <m:r>
                    <m:rPr>
                      <m:sty m:val="p"/>
                    </m:rPr>
                    <w:rPr>
                      <w:rFonts w:ascii="DejaVu Math TeX Gyre" w:hAnsi="DejaVu Math TeX Gyre"/>
                      <w:highlight w:val="none"/>
                    </w:rPr>
                    <m:t>2</m:t>
                  </m:r>
                  <m:ctrlPr>
                    <w:rPr>
                      <w:rFonts w:ascii="DejaVu Math TeX Gyre" w:hAnsi="DejaVu Math TeX Gyre"/>
                      <w:iCs/>
                      <w:highlight w:val="none"/>
                    </w:rPr>
                  </m:ctrlPr>
                </m:den>
              </m:f>
              <m:ctrlPr>
                <w:rPr>
                  <w:rFonts w:ascii="DejaVu Math TeX Gyre" w:hAnsi="DejaVu Math TeX Gyre"/>
                  <w:iCs/>
                  <w:highlight w:val="none"/>
                </w:rPr>
              </m:ctrlPr>
            </m:den>
          </m:f>
        </m:oMath>
      </m:oMathPara>
    </w:p>
    <w:p>
      <w:pPr>
        <w:spacing w:line="360" w:lineRule="auto"/>
        <w:ind w:left="640" w:leftChars="200" w:firstLine="640"/>
        <w:rPr>
          <w:rFonts w:ascii="Cambria Math" w:hAnsi="Cambria Math"/>
          <w:highlight w:val="none"/>
        </w:rPr>
      </w:pPr>
      <m:oMathPara>
        <m:oMathParaPr>
          <m:jc m:val="left"/>
        </m:oMathParaPr>
        <m:oMath>
          <m:r>
            <m:rPr>
              <m:sty m:val="p"/>
            </m:rPr>
            <w:rPr>
              <w:rFonts w:hint="eastAsia" w:ascii="DejaVu Math TeX Gyre" w:hAnsi="DejaVu Math TeX Gyre"/>
              <w:highlight w:val="none"/>
            </w:rPr>
            <m:t>财务口径综合负债资金成本率</m:t>
          </m:r>
          <m:r>
            <m:rPr>
              <m:sty m:val="p"/>
            </m:rPr>
            <w:rPr>
              <w:rFonts w:ascii="DejaVu Math TeX Gyre" w:hAnsi="DejaVu Math TeX Gyre"/>
              <w:highlight w:val="none"/>
            </w:rPr>
            <m:t>=</m:t>
          </m:r>
          <m:f>
            <m:fPr>
              <m:ctrlPr>
                <w:rPr>
                  <w:rFonts w:ascii="DejaVu Math TeX Gyre" w:hAnsi="DejaVu Math TeX Gyre"/>
                  <w:highlight w:val="none"/>
                </w:rPr>
              </m:ctrlPr>
            </m:fPr>
            <m:num>
              <m:r>
                <m:rPr>
                  <m:sty m:val="p"/>
                </m:rPr>
                <w:rPr>
                  <w:rFonts w:hint="eastAsia" w:ascii="DejaVu Math TeX Gyre" w:hAnsi="DejaVu Math TeX Gyre"/>
                  <w:highlight w:val="none"/>
                </w:rPr>
                <m:t>承保财务损益</m:t>
              </m:r>
              <m:r>
                <m:rPr>
                  <m:sty m:val="p"/>
                </m:rPr>
                <w:rPr>
                  <w:rFonts w:ascii="DejaVu Math TeX Gyre" w:hAnsi="DejaVu Math TeX Gyre"/>
                  <w:highlight w:val="none"/>
                </w:rPr>
                <m:t xml:space="preserve"> + </m:t>
              </m:r>
              <m:f>
                <m:fPr>
                  <m:ctrlPr>
                    <w:rPr>
                      <w:rFonts w:ascii="DejaVu Math TeX Gyre" w:hAnsi="DejaVu Math TeX Gyre"/>
                      <w:highlight w:val="none"/>
                    </w:rPr>
                  </m:ctrlPr>
                </m:fPr>
                <m:num>
                  <m:r>
                    <m:rPr>
                      <m:sty m:val="p"/>
                    </m:rPr>
                    <w:rPr>
                      <w:rFonts w:hint="eastAsia" w:ascii="DejaVu Math TeX Gyre" w:hAnsi="DejaVu Math TeX Gyre"/>
                      <w:highlight w:val="none"/>
                    </w:rPr>
                    <m:t>可转损益的保险合同金融变动</m:t>
                  </m:r>
                  <m:ctrlPr>
                    <w:rPr>
                      <w:rFonts w:ascii="DejaVu Math TeX Gyre" w:hAnsi="DejaVu Math TeX Gyre"/>
                      <w:highlight w:val="none"/>
                    </w:rPr>
                  </m:ctrlPr>
                </m:num>
                <m:den>
                  <m:r>
                    <m:rPr>
                      <m:sty m:val="p"/>
                    </m:rPr>
                    <w:rPr>
                      <w:rFonts w:ascii="DejaVu Math TeX Gyre" w:hAnsi="DejaVu Math TeX Gyre"/>
                      <w:highlight w:val="none"/>
                    </w:rPr>
                    <m:t>1−</m:t>
                  </m:r>
                  <m:r>
                    <m:rPr>
                      <m:sty m:val="p"/>
                    </m:rPr>
                    <w:rPr>
                      <w:rFonts w:hint="eastAsia" w:ascii="DejaVu Math TeX Gyre" w:hAnsi="DejaVu Math TeX Gyre"/>
                      <w:highlight w:val="none"/>
                    </w:rPr>
                    <m:t>所得税率</m:t>
                  </m:r>
                  <m:ctrlPr>
                    <w:rPr>
                      <w:rFonts w:ascii="DejaVu Math TeX Gyre" w:hAnsi="DejaVu Math TeX Gyre"/>
                      <w:highlight w:val="none"/>
                    </w:rPr>
                  </m:ctrlPr>
                </m:den>
              </m:f>
              <m:ctrlPr>
                <w:rPr>
                  <w:rFonts w:ascii="DejaVu Math TeX Gyre" w:hAnsi="DejaVu Math TeX Gyre"/>
                  <w:highlight w:val="none"/>
                </w:rPr>
              </m:ctrlPr>
            </m:num>
            <m:den>
              <m:f>
                <m:fPr>
                  <m:ctrlPr>
                    <w:rPr>
                      <w:rFonts w:ascii="DejaVu Math TeX Gyre" w:hAnsi="DejaVu Math TeX Gyre"/>
                      <w:highlight w:val="none"/>
                    </w:rPr>
                  </m:ctrlPr>
                </m:fPr>
                <m:num>
                  <m:r>
                    <m:rPr>
                      <m:sty m:val="p"/>
                    </m:rPr>
                    <w:rPr>
                      <w:rFonts w:ascii="DejaVu Math TeX Gyre" w:hAnsi="DejaVu Math TeX Gyre"/>
                      <w:highlight w:val="none"/>
                    </w:rPr>
                    <m:t>(</m:t>
                  </m:r>
                  <m:r>
                    <m:rPr>
                      <m:sty m:val="p"/>
                    </m:rPr>
                    <w:rPr>
                      <w:rFonts w:hint="eastAsia" w:ascii="DejaVu Math TeX Gyre" w:hAnsi="DejaVu Math TeX Gyre"/>
                      <w:highlight w:val="none"/>
                    </w:rPr>
                    <m:t>期初的保险合同负债</m:t>
                  </m:r>
                  <m:r>
                    <m:rPr>
                      <m:sty m:val="p"/>
                    </m:rPr>
                    <w:rPr>
                      <w:rFonts w:ascii="DejaVu Math TeX Gyre" w:hAnsi="DejaVu Math TeX Gyre"/>
                      <w:highlight w:val="none"/>
                    </w:rPr>
                    <m:t xml:space="preserve"> + </m:t>
                  </m:r>
                  <m:r>
                    <m:rPr>
                      <m:sty m:val="p"/>
                    </m:rPr>
                    <w:rPr>
                      <w:rFonts w:hint="eastAsia" w:ascii="DejaVu Math TeX Gyre" w:hAnsi="DejaVu Math TeX Gyre"/>
                      <w:highlight w:val="none"/>
                    </w:rPr>
                    <m:t>期末的保险合同负债</m:t>
                  </m:r>
                  <m:r>
                    <m:rPr>
                      <m:sty m:val="p"/>
                    </m:rPr>
                    <w:rPr>
                      <w:rFonts w:ascii="DejaVu Math TeX Gyre" w:hAnsi="DejaVu Math TeX Gyre"/>
                      <w:highlight w:val="none"/>
                    </w:rPr>
                    <m:t>)</m:t>
                  </m:r>
                  <m:ctrlPr>
                    <w:rPr>
                      <w:rFonts w:ascii="DejaVu Math TeX Gyre" w:hAnsi="DejaVu Math TeX Gyre"/>
                      <w:highlight w:val="none"/>
                    </w:rPr>
                  </m:ctrlPr>
                </m:num>
                <m:den>
                  <m:r>
                    <m:rPr>
                      <m:sty m:val="p"/>
                    </m:rPr>
                    <w:rPr>
                      <w:rFonts w:ascii="DejaVu Math TeX Gyre" w:hAnsi="DejaVu Math TeX Gyre"/>
                      <w:highlight w:val="none"/>
                    </w:rPr>
                    <m:t>2</m:t>
                  </m:r>
                  <m:ctrlPr>
                    <w:rPr>
                      <w:rFonts w:ascii="DejaVu Math TeX Gyre" w:hAnsi="DejaVu Math TeX Gyre"/>
                      <w:highlight w:val="none"/>
                    </w:rPr>
                  </m:ctrlPr>
                </m:den>
              </m:f>
              <m:ctrlPr>
                <w:rPr>
                  <w:rFonts w:ascii="DejaVu Math TeX Gyre" w:hAnsi="DejaVu Math TeX Gyre"/>
                  <w:highlight w:val="none"/>
                </w:rPr>
              </m:ctrlPr>
            </m:den>
          </m:f>
        </m:oMath>
      </m:oMathPara>
    </w:p>
    <w:p>
      <w:pPr>
        <w:ind w:firstLine="640"/>
        <w:rPr>
          <w:highlight w:val="none"/>
        </w:rPr>
      </w:pPr>
      <w:r>
        <w:rPr>
          <w:rFonts w:hint="eastAsia"/>
          <w:highlight w:val="none"/>
        </w:rPr>
        <w:t>其中，承保财务损益是指报告期末公司整体层面以通用模型法计量或以修正通用模型法计量的负债业务，在财务报表口径下对应的承保财务损益；保险合同负债是指公司整体层面以通用模型法计量或修正通用模型法计量的负债业务对应的保险合同负债；可转损益的保险合同金融变动是指公司整体层面以通用模型法计量或修正通用模型法计量的负债业务，在财务报表口径下对应的可转损益的保险合同金融变动；所得税率是指在财务报表口径下公司报告期末所适用的企业所得税税率。</w:t>
      </w:r>
    </w:p>
    <w:p>
      <w:pPr>
        <w:pStyle w:val="4"/>
        <w:ind w:firstLine="640"/>
        <w:rPr>
          <w:rFonts w:hint="eastAsia" w:ascii="楷体_GB2312" w:hAnsi="楷体_GB2312" w:eastAsia="楷体_GB2312" w:cs="楷体_GB2312"/>
          <w:kern w:val="2"/>
          <w:sz w:val="32"/>
          <w:szCs w:val="22"/>
          <w:lang w:val="en-US" w:eastAsia="zh-CN" w:bidi="ar-SA"/>
        </w:rPr>
      </w:pPr>
      <w:r>
        <w:rPr>
          <w:rFonts w:ascii="楷体_GB2312" w:hAnsi="楷体_GB2312" w:eastAsia="楷体_GB2312" w:cs="楷体_GB2312"/>
          <w:kern w:val="2"/>
          <w:sz w:val="32"/>
          <w:szCs w:val="22"/>
          <w:lang w:val="en-US" w:eastAsia="zh-CN" w:bidi="ar-SA"/>
        </w:rPr>
        <w:t>（二）负债规模统计</w:t>
      </w:r>
    </w:p>
    <w:p>
      <w:pPr>
        <w:ind w:firstLine="640"/>
        <w:rPr>
          <w:highlight w:val="none"/>
          <w:lang w:val="en-GB"/>
        </w:rPr>
      </w:pPr>
      <w:r>
        <w:rPr>
          <w:rFonts w:hint="eastAsia"/>
          <w:highlight w:val="none"/>
          <w:lang w:val="en-GB"/>
        </w:rPr>
        <w:t>负债规模为分保后（财务再保险除外）的负债规模，基于监管有关《精算报告》编报规则中对应产品的责任准备金（</w:t>
      </w:r>
      <w:r>
        <w:rPr>
          <w:rFonts w:hint="eastAsia"/>
          <w:highlight w:val="none"/>
        </w:rPr>
        <w:t>不含特别储备）</w:t>
      </w:r>
      <w:r>
        <w:rPr>
          <w:rFonts w:hint="eastAsia"/>
          <w:highlight w:val="none"/>
          <w:lang w:val="en-GB"/>
        </w:rPr>
        <w:t>计算，公司需分别填报传统保险账户（不含非寿险业务）、分红保险账户、万能保险账户，以及非寿险业务的负债规模及占比。公司没有历史高利率保单的，相关内容填</w:t>
      </w:r>
      <w:r>
        <w:rPr>
          <w:rFonts w:hint="eastAsia" w:ascii="仿宋_GB2312" w:hAnsi="仿宋_GB2312" w:cs="仿宋_GB2312"/>
          <w:highlight w:val="none"/>
          <w:lang w:val="en-GB"/>
        </w:rPr>
        <w:t>报“0”。</w:t>
      </w:r>
    </w:p>
    <w:p>
      <w:pPr>
        <w:ind w:firstLine="640"/>
        <w:rPr>
          <w:highlight w:val="none"/>
        </w:rPr>
      </w:pPr>
      <w:r>
        <w:rPr>
          <w:rFonts w:hint="eastAsia" w:cs="MS Mincho"/>
          <w:highlight w:val="none"/>
          <w:lang w:val="en-GB"/>
        </w:rPr>
        <w:t>寿险业务是指保险公司经营的以人身为保险标的的保险，包括长期寿险（含年金保险）业务、长期健康险业务及长期意外险业务，但不包括短期意外险、短期健康险（含保证续保期届满后的健康险业务）和短期寿险。</w:t>
      </w:r>
      <w:r>
        <w:rPr>
          <w:rFonts w:cs="MS Mincho"/>
          <w:highlight w:val="none"/>
          <w:lang w:val="en-GB"/>
        </w:rPr>
        <w:t>非寿险业务是指保险公司经营的短期意外险、短期健康险</w:t>
      </w:r>
      <w:r>
        <w:rPr>
          <w:rFonts w:hint="eastAsia" w:cs="MS Mincho"/>
          <w:highlight w:val="none"/>
          <w:lang w:val="en-GB"/>
        </w:rPr>
        <w:t>（含保证续保期届满后的健康险业务）</w:t>
      </w:r>
      <w:r>
        <w:rPr>
          <w:rFonts w:cs="MS Mincho"/>
          <w:highlight w:val="none"/>
          <w:lang w:val="en-GB"/>
        </w:rPr>
        <w:t>和短期寿险。</w:t>
      </w:r>
    </w:p>
    <w:p>
      <w:pPr>
        <w:spacing w:line="360" w:lineRule="auto"/>
        <w:ind w:left="640" w:leftChars="200" w:firstLine="640"/>
        <w:rPr>
          <w:rFonts w:ascii="宋体" w:eastAsia="MS Mincho"/>
          <w:highlight w:val="none"/>
          <w:lang w:val="en-GB"/>
        </w:rPr>
      </w:pPr>
      <m:oMathPara>
        <m:oMathParaPr>
          <m:jc m:val="left"/>
        </m:oMathParaPr>
        <m:oMath>
          <m:r>
            <m:rPr>
              <m:sty m:val="p"/>
            </m:rPr>
            <w:rPr>
              <w:rFonts w:hint="eastAsia" w:ascii="DejaVu Math TeX Gyre" w:hAnsi="DejaVu Math TeX Gyre"/>
              <w:highlight w:val="none"/>
              <w:lang w:val="en-GB"/>
            </w:rPr>
            <m:t>寿险业务占比</m:t>
          </m:r>
          <m:r>
            <m:rPr>
              <m:sty m:val="p"/>
            </m:rPr>
            <w:rPr>
              <w:rFonts w:ascii="DejaVu Math TeX Gyre" w:hAnsi="DejaVu Math TeX Gyre"/>
              <w:highlight w:val="none"/>
              <w:lang w:val="en-GB"/>
            </w:rPr>
            <m:t>=</m:t>
          </m:r>
          <m:f>
            <m:fPr>
              <m:ctrlPr>
                <w:rPr>
                  <w:rFonts w:ascii="DejaVu Math TeX Gyre" w:hAnsi="DejaVu Math TeX Gyre"/>
                  <w:highlight w:val="none"/>
                  <w:lang w:val="en-GB"/>
                </w:rPr>
              </m:ctrlPr>
            </m:fPr>
            <m:num>
              <m:r>
                <m:rPr>
                  <m:sty m:val="p"/>
                </m:rPr>
                <w:rPr>
                  <w:rFonts w:hint="eastAsia" w:ascii="DejaVu Math TeX Gyre" w:hAnsi="DejaVu Math TeX Gyre"/>
                  <w:highlight w:val="none"/>
                  <w:lang w:val="en-GB"/>
                </w:rPr>
                <m:t>寿险业务负债规模</m:t>
              </m:r>
              <m:ctrlPr>
                <w:rPr>
                  <w:rFonts w:ascii="DejaVu Math TeX Gyre" w:hAnsi="DejaVu Math TeX Gyre"/>
                  <w:highlight w:val="none"/>
                  <w:lang w:val="en-GB"/>
                </w:rPr>
              </m:ctrlPr>
            </m:num>
            <m:den>
              <m:r>
                <m:rPr>
                  <m:sty m:val="p"/>
                </m:rPr>
                <w:rPr>
                  <w:rFonts w:hint="eastAsia" w:ascii="DejaVu Math TeX Gyre" w:hAnsi="DejaVu Math TeX Gyre"/>
                  <w:highlight w:val="none"/>
                  <w:lang w:val="en-GB"/>
                </w:rPr>
                <m:t>普通账户</m:t>
              </m:r>
              <m:r>
                <m:rPr>
                  <m:sty m:val="p"/>
                </m:rPr>
                <w:rPr>
                  <w:rFonts w:hint="eastAsia" w:ascii="DejaVu Math TeX Gyre" w:hAnsi="DejaVu Math TeX Gyre"/>
                  <w:highlight w:val="none"/>
                </w:rPr>
                <m:t>负债规模</m:t>
              </m:r>
              <m:ctrlPr>
                <w:rPr>
                  <w:rFonts w:ascii="DejaVu Math TeX Gyre" w:hAnsi="DejaVu Math TeX Gyre"/>
                  <w:highlight w:val="none"/>
                  <w:lang w:val="en-GB"/>
                </w:rPr>
              </m:ctrlPr>
            </m:den>
          </m:f>
          <m:r>
            <m:rPr>
              <m:sty m:val="p"/>
            </m:rPr>
            <w:rPr>
              <w:rFonts w:ascii="DejaVu Math TeX Gyre" w:hAnsi="DejaVu Math TeX Gyre" w:eastAsia="MS Mincho"/>
              <w:highlight w:val="none"/>
              <w:lang w:val="en-GB"/>
            </w:rPr>
            <m:t>×100%</m:t>
          </m:r>
        </m:oMath>
      </m:oMathPara>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（三）新单保费</w:t>
      </w:r>
    </w:p>
    <w:p>
      <w:pPr>
        <w:ind w:firstLine="640"/>
        <w:rPr>
          <w:highlight w:val="none"/>
          <w:lang w:val="en-GB"/>
        </w:rPr>
      </w:pPr>
      <w:r>
        <w:rPr>
          <w:rFonts w:cs="MS Mincho"/>
          <w:highlight w:val="none"/>
          <w:lang w:val="en-GB"/>
        </w:rPr>
        <w:t>保</w:t>
      </w:r>
      <w:r>
        <w:rPr>
          <w:rFonts w:hint="eastAsia"/>
          <w:highlight w:val="none"/>
          <w:lang w:val="en-GB"/>
        </w:rPr>
        <w:t>险公司应根据本年累计的新单保</w:t>
      </w:r>
      <w:r>
        <w:rPr>
          <w:rFonts w:hint="eastAsia" w:ascii="仿宋_GB2312" w:hAnsi="仿宋_GB2312" w:cs="仿宋_GB2312"/>
          <w:highlight w:val="none"/>
          <w:lang w:val="en-GB"/>
        </w:rPr>
        <w:t>费</w:t>
      </w:r>
      <w:r>
        <w:rPr>
          <w:rStyle w:val="19"/>
          <w:rFonts w:hint="eastAsia" w:ascii="仿宋_GB2312" w:hAnsi="仿宋_GB2312" w:cs="仿宋_GB2312"/>
          <w:highlight w:val="none"/>
          <w:lang w:val="en-GB"/>
        </w:rPr>
        <w:footnoteReference w:id="8"/>
      </w:r>
      <w:r>
        <w:rPr>
          <w:rFonts w:hint="eastAsia" w:ascii="仿宋_GB2312" w:hAnsi="仿宋_GB2312" w:cs="仿宋_GB2312"/>
          <w:highlight w:val="none"/>
          <w:lang w:val="en-GB"/>
        </w:rPr>
        <w:t>按照</w:t>
      </w:r>
      <w:r>
        <w:rPr>
          <w:rFonts w:hint="eastAsia"/>
          <w:highlight w:val="none"/>
          <w:lang w:val="en-GB"/>
        </w:rPr>
        <w:t>业务类型、缴费年期和账户分别填报保费、保户投资款新增交费和独立账户新增交费。</w:t>
      </w:r>
    </w:p>
    <w:p>
      <w:pPr>
        <w:ind w:firstLine="640"/>
        <w:rPr>
          <w:highlight w:val="none"/>
          <w:lang w:val="en-GB"/>
        </w:rPr>
      </w:pPr>
      <w:r>
        <w:rPr>
          <w:rFonts w:hint="eastAsia"/>
          <w:highlight w:val="none"/>
        </w:rPr>
        <w:t>寿险业务</w:t>
      </w:r>
      <w:r>
        <w:rPr>
          <w:rFonts w:hint="eastAsia" w:ascii="仿宋_GB2312" w:hAnsi="仿宋_GB2312" w:cs="仿宋_GB2312"/>
          <w:highlight w:val="none"/>
        </w:rPr>
        <w:t>缴费年期包括趸交、3年期及以内、3</w:t>
      </w:r>
      <w:r>
        <w:rPr>
          <w:rFonts w:hint="eastAsia" w:ascii="仿宋_GB2312" w:hAnsi="仿宋_GB2312" w:cs="仿宋_GB2312"/>
          <w:highlight w:val="none"/>
          <w:lang w:eastAsia="zh-CN"/>
        </w:rPr>
        <w:t>—</w:t>
      </w:r>
      <w:r>
        <w:rPr>
          <w:rFonts w:hint="eastAsia" w:ascii="仿宋_GB2312" w:hAnsi="仿宋_GB2312" w:cs="仿宋_GB2312"/>
          <w:highlight w:val="none"/>
        </w:rPr>
        <w:t>5年期（含5年期）、5</w:t>
      </w:r>
      <w:r>
        <w:rPr>
          <w:rFonts w:hint="eastAsia" w:ascii="仿宋_GB2312" w:hAnsi="仿宋_GB2312" w:cs="仿宋_GB2312"/>
          <w:highlight w:val="none"/>
          <w:lang w:eastAsia="zh-CN"/>
        </w:rPr>
        <w:t>—</w:t>
      </w:r>
      <w:r>
        <w:rPr>
          <w:rFonts w:hint="eastAsia" w:ascii="仿宋_GB2312" w:hAnsi="仿宋_GB2312" w:cs="仿宋_GB2312"/>
          <w:highlight w:val="none"/>
        </w:rPr>
        <w:t>10年期（含10年期）、10年期以上</w:t>
      </w:r>
      <w:r>
        <w:rPr>
          <w:rFonts w:hint="eastAsia" w:ascii="仿宋_GB2312" w:hAnsi="仿宋_GB2312" w:cs="仿宋_GB2312"/>
          <w:highlight w:val="none"/>
          <w:lang w:val="en-GB"/>
        </w:rPr>
        <w:t>。</w:t>
      </w:r>
    </w:p>
    <w:p>
      <w:pPr>
        <w:ind w:firstLine="640"/>
        <w:rPr>
          <w:highlight w:val="none"/>
          <w:lang w:val="en-GB"/>
        </w:rPr>
      </w:pPr>
      <w:r>
        <w:rPr>
          <w:rFonts w:hint="eastAsia"/>
          <w:highlight w:val="none"/>
          <w:lang w:val="en-GB"/>
        </w:rPr>
        <w:t>保险公司账户应至少包括公司普通账户、传统保险账户、分红保险账户、万能保险账户和独立账户。公司普通账户为传统保险账户、分红保险账户和万能保险账户的合计。</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（四）保单续保率情况</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保险公司应分别计算个人营销渠道、银邮保险渠道和其他渠道的续保率，</w:t>
      </w:r>
      <w:r>
        <w:rPr>
          <w:rFonts w:hint="eastAsia" w:ascii="仿宋_GB2312" w:hAnsi="仿宋_GB2312" w:cs="仿宋_GB2312"/>
          <w:highlight w:val="none"/>
        </w:rPr>
        <w:t>统计范围包括个人长期人身险期缴保单和新单（不含趸交保单、犹豫期撤单保单、终止或失效的保单）</w:t>
      </w:r>
      <w:r>
        <w:rPr>
          <w:rFonts w:hint="eastAsia" w:ascii="仿宋_GB2312" w:hAnsi="仿宋_GB2312" w:cs="仿宋_GB2312"/>
          <w:highlight w:val="none"/>
          <w:lang w:val="en-GB"/>
        </w:rPr>
        <w:t>。</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保单继续率=（上年可比月度当月新增的寿险合同有效保单在第14个月末仍然有效的保单数量÷上年可比月度当月新增的寿险合同有效保单数量）×100%</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以填报三季度数据为例：</w:t>
      </w:r>
    </w:p>
    <w:p>
      <w:pPr>
        <w:ind w:firstLine="640"/>
        <w:rPr>
          <w:rFonts w:hint="eastAsia" w:ascii="仿宋_GB2312" w:hAnsi="仿宋_GB2312" w:cs="仿宋_GB2312"/>
          <w:highlight w:val="none"/>
          <w:lang w:val="en-GB"/>
        </w:rPr>
      </w:pPr>
      <w:r>
        <w:rPr>
          <w:rFonts w:hint="eastAsia" w:ascii="仿宋_GB2312" w:hAnsi="仿宋_GB2312" w:cs="仿宋_GB2312"/>
          <w:highlight w:val="none"/>
        </w:rPr>
        <w:t>季度第一个月的续保率=（上年5月当月新增的寿险合同有效保单在本年7月末仍然有效的保单数量÷上年5月当月新增的寿险合同有效保单数量）×100%</w:t>
      </w:r>
      <w:r>
        <w:rPr>
          <w:rFonts w:hint="eastAsia" w:ascii="仿宋_GB2312" w:hAnsi="仿宋_GB2312" w:cs="仿宋_GB2312"/>
          <w:highlight w:val="none"/>
          <w:lang w:val="en-GB"/>
        </w:rPr>
        <w:t>；</w:t>
      </w:r>
    </w:p>
    <w:p>
      <w:pPr>
        <w:ind w:firstLine="640"/>
        <w:rPr>
          <w:rFonts w:hint="eastAsia" w:ascii="仿宋_GB2312" w:hAnsi="仿宋_GB2312" w:cs="仿宋_GB2312"/>
          <w:highlight w:val="none"/>
          <w:lang w:val="en-GB"/>
        </w:rPr>
      </w:pPr>
      <w:r>
        <w:rPr>
          <w:rFonts w:hint="eastAsia" w:ascii="仿宋_GB2312" w:hAnsi="仿宋_GB2312" w:cs="仿宋_GB2312"/>
          <w:highlight w:val="none"/>
        </w:rPr>
        <w:t>季度第二个月的续保率=（上年6月当月新增的寿险合同有效保单在本年8月末仍然有效的保单数量÷上年6月当月新增的寿险合同有效保单数量）×100%</w:t>
      </w:r>
      <w:r>
        <w:rPr>
          <w:rFonts w:hint="eastAsia" w:ascii="仿宋_GB2312" w:hAnsi="仿宋_GB2312" w:cs="仿宋_GB2312"/>
          <w:highlight w:val="none"/>
          <w:lang w:val="en-GB"/>
        </w:rPr>
        <w:t>；</w:t>
      </w:r>
    </w:p>
    <w:p>
      <w:pPr>
        <w:ind w:firstLine="640"/>
        <w:rPr>
          <w:rFonts w:ascii="仿宋_GB2312"/>
          <w:highlight w:val="none"/>
          <w:lang w:val="en-GB"/>
        </w:rPr>
      </w:pPr>
      <w:r>
        <w:rPr>
          <w:rFonts w:hint="eastAsia" w:ascii="仿宋_GB2312" w:hAnsi="仿宋_GB2312" w:cs="仿宋_GB2312"/>
          <w:highlight w:val="none"/>
        </w:rPr>
        <w:t>季度第三个月的续保率=（上年7月当月新增的寿险合同有效保单在本年9月末仍然有效的保单数量÷上年7月当月新增的寿险合同有效保单数量）×100%</w:t>
      </w:r>
      <w:r>
        <w:rPr>
          <w:rFonts w:hint="eastAsia" w:ascii="仿宋_GB2312" w:hAnsi="仿宋_GB2312" w:cs="仿宋_GB2312"/>
          <w:highlight w:val="none"/>
          <w:lang w:val="en-GB"/>
        </w:rPr>
        <w:t>。</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（五）三年新业务规划</w:t>
      </w:r>
    </w:p>
    <w:p>
      <w:pPr>
        <w:ind w:firstLine="640"/>
        <w:rPr>
          <w:highlight w:val="none"/>
          <w:lang w:val="en-GB"/>
        </w:rPr>
      </w:pPr>
      <w:r>
        <w:rPr>
          <w:rFonts w:ascii="仿宋_GB2312" w:hAnsi="宋体"/>
          <w:highlight w:val="none"/>
        </w:rPr>
        <w:t>公司应根据</w:t>
      </w:r>
      <w:r>
        <w:rPr>
          <w:rFonts w:cs="MS Mincho"/>
          <w:highlight w:val="none"/>
          <w:lang w:val="en-GB"/>
        </w:rPr>
        <w:t>业务规划，填报各类产品业务未来三年的预期保费</w:t>
      </w:r>
      <w:r>
        <w:rPr>
          <w:rFonts w:hint="eastAsia" w:cs="MS Mincho"/>
          <w:highlight w:val="none"/>
          <w:lang w:val="en-GB" w:eastAsia="zh-CN"/>
        </w:rPr>
        <w:t>，</w:t>
      </w:r>
      <w:r>
        <w:rPr>
          <w:rFonts w:hint="eastAsia"/>
          <w:highlight w:val="none"/>
          <w:lang w:val="en-GB"/>
        </w:rPr>
        <w:t>包括</w:t>
      </w:r>
      <w:r>
        <w:rPr>
          <w:rFonts w:hint="eastAsia" w:cs="MS Mincho"/>
          <w:highlight w:val="none"/>
          <w:lang w:val="en-GB" w:eastAsia="zh-CN"/>
        </w:rPr>
        <w:t>普通账户及各大类账户</w:t>
      </w:r>
      <w:r>
        <w:rPr>
          <w:rFonts w:hint="eastAsia"/>
          <w:highlight w:val="none"/>
          <w:lang w:val="en-GB"/>
        </w:rPr>
        <w:t>保费、保户投资款新增交费和投连险新增交费</w:t>
      </w:r>
      <w:r>
        <w:rPr>
          <w:rFonts w:hint="eastAsia"/>
          <w:highlight w:val="none"/>
          <w:lang w:val="en-GB" w:eastAsia="zh-CN"/>
        </w:rPr>
        <w:t>；</w:t>
      </w:r>
      <w:r>
        <w:rPr>
          <w:rFonts w:hint="eastAsia"/>
          <w:highlight w:val="none"/>
          <w:lang w:val="en-GB"/>
        </w:rPr>
        <w:t>商业养老金产品填报资产管理规模净增量，填报至独立账户。</w:t>
      </w:r>
    </w:p>
    <w:p>
      <w:pPr>
        <w:pStyle w:val="14"/>
        <w:ind w:firstLine="640"/>
        <w:rPr>
          <w:highlight w:val="none"/>
        </w:rPr>
      </w:pPr>
      <w:r>
        <w:rPr>
          <w:rFonts w:hint="eastAsia"/>
          <w:highlight w:val="none"/>
        </w:rPr>
        <w:t>六、资产负债匹配计量规则</w:t>
      </w:r>
    </w:p>
    <w:p>
      <w:pPr>
        <w:pStyle w:val="4"/>
        <w:ind w:firstLine="640"/>
        <w:rPr>
          <w:rFonts w:ascii="楷体_GB2312" w:hAnsi="楷体_GB2312" w:eastAsia="楷体_GB2312" w:cs="楷体_GB2312"/>
          <w:kern w:val="2"/>
          <w:sz w:val="32"/>
          <w:szCs w:val="22"/>
          <w:lang w:val="en-US" w:eastAsia="zh-CN" w:bidi="ar-SA"/>
        </w:rPr>
      </w:pPr>
      <w:r>
        <w:rPr>
          <w:rFonts w:hint="default" w:ascii="楷体_GB2312" w:hAnsi="楷体_GB2312" w:eastAsia="楷体_GB2312" w:cs="楷体_GB2312"/>
          <w:kern w:val="2"/>
          <w:sz w:val="32"/>
          <w:szCs w:val="22"/>
          <w:lang w:val="en-US" w:eastAsia="zh-CN" w:bidi="ar-SA"/>
        </w:rPr>
        <w:t>（一）期限结构匹配计量规则</w:t>
      </w:r>
    </w:p>
    <w:p>
      <w:pPr>
        <w:ind w:firstLine="640"/>
        <w:rPr>
          <w:highlight w:val="none"/>
        </w:rPr>
      </w:pPr>
      <w:r>
        <w:rPr>
          <w:highlight w:val="none"/>
        </w:rPr>
        <w:t>保险公司应当根据要求，分别填报</w:t>
      </w:r>
      <w:r>
        <w:rPr>
          <w:rFonts w:hint="eastAsia"/>
          <w:highlight w:val="none"/>
        </w:rPr>
        <w:t>公司普通账户</w:t>
      </w:r>
      <w:r>
        <w:rPr>
          <w:highlight w:val="none"/>
        </w:rPr>
        <w:t>的期限结构匹配测试情况</w:t>
      </w:r>
      <w:r>
        <w:rPr>
          <w:rFonts w:hint="eastAsia"/>
          <w:highlight w:val="none"/>
        </w:rPr>
        <w:t>，公司普通账户包括</w:t>
      </w:r>
      <w:r>
        <w:rPr>
          <w:highlight w:val="none"/>
        </w:rPr>
        <w:t>传统保险账户、分红保险账户、万能保险账户</w:t>
      </w:r>
      <w:r>
        <w:rPr>
          <w:rFonts w:hint="eastAsia"/>
          <w:highlight w:val="none"/>
        </w:rPr>
        <w:t>、次级债、资本补充债和无固定期限资本债券账户</w:t>
      </w:r>
      <w:r>
        <w:rPr>
          <w:highlight w:val="none"/>
        </w:rPr>
        <w:t>和</w:t>
      </w:r>
      <w:r>
        <w:rPr>
          <w:rFonts w:hint="eastAsia"/>
          <w:highlight w:val="none"/>
        </w:rPr>
        <w:t>资本金</w:t>
      </w:r>
      <w:r>
        <w:rPr>
          <w:highlight w:val="none"/>
        </w:rPr>
        <w:t>账户（可与传统保险账户合并）</w:t>
      </w:r>
      <w:r>
        <w:rPr>
          <w:rFonts w:hint="eastAsia"/>
          <w:highlight w:val="none"/>
        </w:rPr>
        <w:t>，不含独立账户</w:t>
      </w:r>
      <w:r>
        <w:rPr>
          <w:highlight w:val="none"/>
        </w:rPr>
        <w:t>。公司有发行</w:t>
      </w:r>
      <w:r>
        <w:rPr>
          <w:rFonts w:hint="eastAsia"/>
          <w:highlight w:val="none"/>
        </w:rPr>
        <w:t>次级债、资本补充债和无固定期限资本债券</w:t>
      </w:r>
      <w:r>
        <w:rPr>
          <w:highlight w:val="none"/>
        </w:rPr>
        <w:t>的，需单独计算</w:t>
      </w:r>
      <w:r>
        <w:rPr>
          <w:rFonts w:hint="eastAsia"/>
          <w:highlight w:val="none"/>
        </w:rPr>
        <w:t>次级债、资本补充债和无固定期限资本债账户</w:t>
      </w:r>
      <w:r>
        <w:rPr>
          <w:highlight w:val="none"/>
        </w:rPr>
        <w:t>的期限结构匹配情况。</w:t>
      </w:r>
    </w:p>
    <w:p>
      <w:pPr>
        <w:pStyle w:val="5"/>
        <w:ind w:firstLine="640"/>
        <w:rPr>
          <w:rFonts w:ascii="仿宋_GB2312" w:hAnsi="仿宋_GB2312"/>
          <w:highlight w:val="none"/>
        </w:rPr>
      </w:pPr>
      <w:r>
        <w:rPr>
          <w:rFonts w:hint="eastAsia" w:ascii="仿宋_GB2312" w:hAnsi="仿宋_GB2312"/>
          <w:highlight w:val="none"/>
        </w:rPr>
        <w:t>1.资产现金流的计算</w:t>
      </w:r>
    </w:p>
    <w:p>
      <w:pPr>
        <w:ind w:firstLine="640"/>
        <w:rPr>
          <w:rFonts w:ascii="仿宋_GB2312" w:hAnsi="仿宋_GB2312"/>
          <w:highlight w:val="none"/>
        </w:rPr>
      </w:pPr>
      <w:r>
        <w:rPr>
          <w:rFonts w:ascii="仿宋_GB2312" w:hAnsi="仿宋_GB2312" w:cs="宋体"/>
          <w:highlight w:val="none"/>
        </w:rPr>
        <w:t>进</w:t>
      </w:r>
      <w:r>
        <w:rPr>
          <w:rFonts w:hint="eastAsia" w:ascii="仿宋_GB2312" w:hAnsi="仿宋_GB2312"/>
          <w:highlight w:val="none"/>
        </w:rPr>
        <w:t>行期限结构匹配测试的资产包括所有“可计算现金流的现金及流动性管理工具”（包括短期融资券、超短期融资券、买入返售证券、央行票据、商业银行票据、大额可转让存单、同业存单等）、“可计算现金流的固定收益类投资资产”（不含债券型基金和不可计算现金流的固定收益类投资资产）以及</w:t>
      </w:r>
      <w:r>
        <w:rPr>
          <w:rFonts w:ascii="仿宋_GB2312" w:hAnsi="仿宋_GB2312"/>
          <w:highlight w:val="none"/>
        </w:rPr>
        <w:t>利率类金融衍生品（包括利率互换、国债期货</w:t>
      </w:r>
      <w:r>
        <w:rPr>
          <w:rFonts w:hint="eastAsia" w:ascii="仿宋_GB2312" w:hAnsi="仿宋_GB2312"/>
          <w:highlight w:val="none"/>
        </w:rPr>
        <w:t>等</w:t>
      </w:r>
      <w:r>
        <w:rPr>
          <w:rFonts w:ascii="仿宋_GB2312" w:hAnsi="仿宋_GB2312"/>
          <w:highlight w:val="none"/>
        </w:rPr>
        <w:t>）；</w:t>
      </w:r>
      <w:r>
        <w:rPr>
          <w:rFonts w:hint="eastAsia" w:ascii="仿宋_GB2312" w:hAnsi="仿宋_GB2312" w:cs="MS Mincho"/>
          <w:highlight w:val="none"/>
          <w:lang w:val="en-GB"/>
        </w:rPr>
        <w:t>对于保险公司投资的单一资产管理计划和面向单一投资者发行的组合类保险资产管理产品、私募理财产品，应当按照穿透原则统计基础资产的资产现金流</w:t>
      </w:r>
      <w:r>
        <w:rPr>
          <w:rFonts w:hint="eastAsia" w:ascii="仿宋_GB2312" w:hAnsi="仿宋_GB2312"/>
          <w:highlight w:val="none"/>
        </w:rPr>
        <w:t>。</w:t>
      </w:r>
    </w:p>
    <w:p>
      <w:pPr>
        <w:ind w:firstLine="640"/>
        <w:rPr>
          <w:rFonts w:ascii="仿宋_GB2312" w:hAnsi="仿宋_GB2312"/>
          <w:highlight w:val="none"/>
        </w:rPr>
      </w:pPr>
      <w:r>
        <w:rPr>
          <w:rFonts w:hint="eastAsia" w:ascii="仿宋_GB2312" w:hAnsi="仿宋_GB2312"/>
          <w:highlight w:val="none"/>
        </w:rPr>
        <w:t>对于不含权的现金及流动性管理工具、固定收益类投资资产，根据其票面利率和面值计算现金流；</w:t>
      </w:r>
      <w:r>
        <w:rPr>
          <w:rFonts w:hint="eastAsia" w:ascii="仿宋_GB2312" w:hAnsi="仿宋_GB2312" w:cs="宋体"/>
          <w:highlight w:val="none"/>
          <w:lang w:val="en-GB"/>
        </w:rPr>
        <w:t>对于含权的固定收益类投资资产，根据其特征判断是否行权，再计算现金流。对于含权债券，可参照中央国债登记结算有限责任公司公布的《含投资人回售权和发行人调整票面利率选择权的附息式固定利率债券估值方法》</w:t>
      </w:r>
      <w:r>
        <w:rPr>
          <w:rFonts w:hint="eastAsia" w:ascii="仿宋_GB2312" w:hAnsi="仿宋_GB2312"/>
          <w:highlight w:val="none"/>
        </w:rPr>
        <w:t>判断是否行权，再计算现金流；对于含权且与利率挂钩的非标准固定收益类投资资产，可根据报告期末的市场远期利率曲线和行权利率比较判断是否行权，再计算现金流。</w:t>
      </w:r>
    </w:p>
    <w:p>
      <w:pPr>
        <w:pStyle w:val="5"/>
        <w:ind w:firstLine="640"/>
        <w:rPr>
          <w:rFonts w:ascii="仿宋_GB2312" w:hAnsi="仿宋_GB2312"/>
          <w:highlight w:val="none"/>
        </w:rPr>
      </w:pPr>
      <w:r>
        <w:rPr>
          <w:rFonts w:hint="eastAsia" w:ascii="仿宋_GB2312" w:hAnsi="仿宋_GB2312"/>
          <w:highlight w:val="none"/>
        </w:rPr>
        <w:t>2.负债现金流的计算</w:t>
      </w:r>
    </w:p>
    <w:p>
      <w:pPr>
        <w:ind w:firstLine="640"/>
        <w:rPr>
          <w:rFonts w:ascii="仿宋_GB2312" w:hAnsi="仿宋_GB2312"/>
          <w:highlight w:val="none"/>
        </w:rPr>
      </w:pPr>
      <w:r>
        <w:rPr>
          <w:rFonts w:ascii="仿宋_GB2312" w:hAnsi="仿宋_GB2312" w:cs="宋体"/>
          <w:highlight w:val="none"/>
        </w:rPr>
        <w:t>负</w:t>
      </w:r>
      <w:r>
        <w:rPr>
          <w:rFonts w:hint="eastAsia" w:ascii="仿宋_GB2312" w:hAnsi="仿宋_GB2312"/>
          <w:highlight w:val="none"/>
        </w:rPr>
        <w:t>债现金流包括负债现金流流入和负债现金流流出，分别包括保险业务现金流和非保险业务现金流。其中，</w:t>
      </w:r>
      <w:r>
        <w:rPr>
          <w:rFonts w:hint="eastAsia" w:ascii="仿宋_GB2312" w:hAnsi="仿宋_GB2312" w:cs="宋体"/>
          <w:highlight w:val="none"/>
        </w:rPr>
        <w:t>负债现金流流出的填报和在计算相关指标时均采用正值。</w:t>
      </w:r>
      <w:r>
        <w:rPr>
          <w:rFonts w:hint="eastAsia" w:ascii="仿宋_GB2312" w:hAnsi="仿宋_GB2312"/>
          <w:highlight w:val="none"/>
        </w:rPr>
        <w:t>保险业务现金流按照</w:t>
      </w:r>
      <w:r>
        <w:rPr>
          <w:rFonts w:ascii="仿宋_GB2312" w:hAnsi="仿宋_GB2312"/>
          <w:highlight w:val="none"/>
        </w:rPr>
        <w:t>分保后</w:t>
      </w:r>
      <w:r>
        <w:rPr>
          <w:rFonts w:hint="eastAsia" w:ascii="仿宋_GB2312" w:hAnsi="仿宋_GB2312"/>
          <w:highlight w:val="none"/>
        </w:rPr>
        <w:t>（财务再保险除外）</w:t>
      </w:r>
      <w:r>
        <w:rPr>
          <w:rFonts w:ascii="仿宋_GB2312" w:hAnsi="仿宋_GB2312"/>
          <w:highlight w:val="none"/>
        </w:rPr>
        <w:t>的寿险合同负债</w:t>
      </w:r>
      <w:r>
        <w:rPr>
          <w:rFonts w:hint="eastAsia" w:ascii="仿宋_GB2312" w:hAnsi="仿宋_GB2312"/>
          <w:highlight w:val="none"/>
        </w:rPr>
        <w:t>进行计算，寿险合同包括长期寿险合同（含年金保险）、长期健康险合同和长期意外险合同。</w:t>
      </w:r>
    </w:p>
    <w:p>
      <w:pPr>
        <w:ind w:firstLine="640"/>
        <w:rPr>
          <w:rFonts w:ascii="仿宋_GB2312" w:hAnsi="仿宋_GB2312" w:cs="宋体"/>
          <w:highlight w:val="none"/>
        </w:rPr>
      </w:pPr>
      <w:r>
        <w:rPr>
          <w:rFonts w:hint="eastAsia" w:ascii="仿宋_GB2312" w:hAnsi="仿宋_GB2312"/>
          <w:highlight w:val="none"/>
        </w:rPr>
        <w:t>保险公司预测保险业务现金流时，对未来一段时间内的费用假设、再保险假设、投资策略假设、保单分红策略假设和万能利率结算策略假设，以及投资收益率、赔付率、退保率、死亡发生率、疾病发生率等假设的估计应当基于公司</w:t>
      </w:r>
      <w:r>
        <w:rPr>
          <w:rFonts w:ascii="仿宋_GB2312" w:hAnsi="仿宋_GB2312"/>
          <w:highlight w:val="none"/>
        </w:rPr>
        <w:t>当前对未来的最优估计。</w:t>
      </w:r>
      <w:r>
        <w:rPr>
          <w:rFonts w:hint="eastAsia" w:ascii="仿宋_GB2312" w:hAnsi="仿宋_GB2312"/>
          <w:highlight w:val="none"/>
        </w:rPr>
        <w:t>预测</w:t>
      </w:r>
      <w:r>
        <w:rPr>
          <w:rFonts w:ascii="仿宋_GB2312" w:hAnsi="仿宋_GB2312"/>
          <w:highlight w:val="none"/>
        </w:rPr>
        <w:t>万能保险最优估计</w:t>
      </w:r>
      <w:r>
        <w:rPr>
          <w:rFonts w:hint="eastAsia" w:ascii="仿宋_GB2312" w:hAnsi="仿宋_GB2312"/>
          <w:highlight w:val="none"/>
        </w:rPr>
        <w:t>现金流</w:t>
      </w:r>
      <w:r>
        <w:rPr>
          <w:rFonts w:ascii="仿宋_GB2312" w:hAnsi="仿宋_GB2312"/>
          <w:highlight w:val="none"/>
        </w:rPr>
        <w:t>时，应对保险部分与投资部分的现金流合并评估，不进行拆分。</w:t>
      </w:r>
    </w:p>
    <w:p>
      <w:pPr>
        <w:ind w:firstLine="640"/>
        <w:rPr>
          <w:rFonts w:ascii="仿宋_GB2312" w:hAnsi="仿宋_GB2312"/>
          <w:highlight w:val="none"/>
        </w:rPr>
      </w:pPr>
      <w:r>
        <w:rPr>
          <w:rFonts w:hint="eastAsia" w:ascii="仿宋_GB2312" w:hAnsi="仿宋_GB2312"/>
          <w:highlight w:val="none"/>
        </w:rPr>
        <w:t>保险公司经营的短期寿险合同、短期意外伤害险合同、短期健康险</w:t>
      </w:r>
      <w:r>
        <w:rPr>
          <w:rFonts w:hint="eastAsia" w:ascii="仿宋_GB2312" w:hAnsi="仿宋_GB2312" w:cs="MS Mincho"/>
          <w:highlight w:val="none"/>
          <w:lang w:val="en-GB"/>
        </w:rPr>
        <w:t>（含保证续保期届满后的健康险业务）</w:t>
      </w:r>
      <w:r>
        <w:rPr>
          <w:rFonts w:hint="eastAsia" w:ascii="仿宋_GB2312" w:hAnsi="仿宋_GB2312"/>
          <w:highlight w:val="none"/>
        </w:rPr>
        <w:t>合同的负债现金流为其在财务报表中的账面价值，扣除对应的分出再保险合同资产。</w:t>
      </w:r>
    </w:p>
    <w:p>
      <w:pPr>
        <w:ind w:firstLine="640"/>
        <w:rPr>
          <w:rFonts w:ascii="仿宋_GB2312" w:hAnsi="仿宋_GB2312"/>
          <w:highlight w:val="none"/>
        </w:rPr>
      </w:pPr>
      <w:r>
        <w:rPr>
          <w:rFonts w:hint="eastAsia" w:ascii="仿宋_GB2312" w:hAnsi="仿宋_GB2312"/>
          <w:highlight w:val="none"/>
        </w:rPr>
        <w:t>保险业务现金流流入</w:t>
      </w:r>
      <w:r>
        <w:rPr>
          <w:rFonts w:ascii="仿宋_GB2312" w:hAnsi="仿宋_GB2312"/>
          <w:highlight w:val="none"/>
        </w:rPr>
        <w:t>是指保险公司承担保险合同相关义务而获得的现金流入，包括保费和其他收费</w:t>
      </w:r>
      <w:r>
        <w:rPr>
          <w:rFonts w:hint="eastAsia" w:ascii="仿宋_GB2312" w:hAnsi="仿宋_GB2312"/>
          <w:highlight w:val="none"/>
        </w:rPr>
        <w:t>，以及存量</w:t>
      </w:r>
      <w:r>
        <w:rPr>
          <w:rFonts w:hint="eastAsia" w:ascii="仿宋_GB2312" w:hAnsi="仿宋_GB2312"/>
          <w:highlight w:val="none"/>
          <w:lang w:eastAsia="zh-CN"/>
        </w:rPr>
        <w:t>保单质押贷款</w:t>
      </w:r>
      <w:r>
        <w:rPr>
          <w:rFonts w:hint="eastAsia" w:ascii="仿宋_GB2312" w:hAnsi="仿宋_GB2312"/>
          <w:highlight w:val="none"/>
        </w:rPr>
        <w:t>本金和利息的现金流流入等。</w:t>
      </w:r>
    </w:p>
    <w:p>
      <w:pPr>
        <w:ind w:firstLine="640"/>
        <w:rPr>
          <w:rFonts w:ascii="仿宋_GB2312" w:hAnsi="仿宋_GB2312"/>
          <w:highlight w:val="none"/>
        </w:rPr>
      </w:pPr>
      <w:r>
        <w:rPr>
          <w:rFonts w:hint="eastAsia" w:ascii="仿宋_GB2312" w:hAnsi="仿宋_GB2312"/>
          <w:highlight w:val="none"/>
        </w:rPr>
        <w:t>保险业务现金流</w:t>
      </w:r>
      <w:r>
        <w:rPr>
          <w:rFonts w:ascii="仿宋_GB2312" w:hAnsi="仿宋_GB2312"/>
          <w:highlight w:val="none"/>
        </w:rPr>
        <w:t>流出是指保险公司为履行保险合同相关义务所必需的、全部的、合理的现金流出，主要包括：根据保险合同对保单持有人承诺的保证利益，包括死亡给付、残疾给付、疾病给付、生存给付、满期给付、退保给付等</w:t>
      </w:r>
      <w:r>
        <w:rPr>
          <w:rFonts w:hint="eastAsia" w:ascii="仿宋_GB2312" w:hAnsi="仿宋_GB2312"/>
          <w:highlight w:val="none"/>
          <w:lang w:eastAsia="zh-CN"/>
        </w:rPr>
        <w:t>，</w:t>
      </w:r>
      <w:r>
        <w:rPr>
          <w:rFonts w:hint="eastAsia" w:ascii="仿宋_GB2312" w:hAnsi="仿宋_GB2312"/>
          <w:highlight w:val="none"/>
        </w:rPr>
        <w:t>以及再保险相关净现金流</w:t>
      </w:r>
      <w:r>
        <w:rPr>
          <w:rFonts w:ascii="仿宋_GB2312" w:hAnsi="仿宋_GB2312"/>
          <w:highlight w:val="none"/>
        </w:rPr>
        <w:t>；根据保险合同构成推定义务的非保证利益，包括分红保险红利给付、万能保险结算收益中超过保证利益的部分等；管理保险合同或处理相关赔付的保单维持费用，包括续期佣金、保险保障基金、监管费、流转税（如有）以及其他维持费用等；履行保险合同义务的其他现金流出</w:t>
      </w:r>
      <w:r>
        <w:rPr>
          <w:rFonts w:hint="eastAsia" w:ascii="仿宋_GB2312" w:hAnsi="仿宋_GB2312"/>
          <w:highlight w:val="none"/>
        </w:rPr>
        <w:t>，包括累积生息负债现金流，预测累积生息现金流时，对未来一段时间红利和生存金转入进行累积生息的部分、累积生息利率、客户领取等假设应当基于公司当前对未来的最优估计假设，并根据累积生息对应其资产所在账户分账户计算。</w:t>
      </w:r>
    </w:p>
    <w:p>
      <w:pPr>
        <w:ind w:firstLine="640"/>
        <w:rPr>
          <w:rFonts w:ascii="仿宋_GB2312" w:hAnsi="仿宋_GB2312"/>
          <w:highlight w:val="none"/>
        </w:rPr>
      </w:pPr>
      <w:r>
        <w:rPr>
          <w:rFonts w:hint="eastAsia" w:ascii="仿宋_GB2312" w:hAnsi="仿宋_GB2312"/>
          <w:highlight w:val="none"/>
        </w:rPr>
        <w:t>非保险业务现金流流出包括保险公司发行的次级债、资本补充债和无固定期限资本债券、优先股债务融资工具产生的现金流流出和卖出回购业务等产生的现金流流出。</w:t>
      </w:r>
    </w:p>
    <w:p>
      <w:pPr>
        <w:pStyle w:val="5"/>
        <w:ind w:firstLine="640"/>
        <w:rPr>
          <w:rFonts w:ascii="仿宋_GB2312" w:hAnsi="仿宋_GB2312"/>
          <w:highlight w:val="none"/>
        </w:rPr>
      </w:pPr>
      <w:r>
        <w:rPr>
          <w:rFonts w:hint="eastAsia" w:ascii="仿宋_GB2312" w:hAnsi="仿宋_GB2312"/>
          <w:highlight w:val="none"/>
        </w:rPr>
        <w:t>3.资产现金流修正久期的计算</w:t>
      </w:r>
    </w:p>
    <w:p>
      <w:pPr>
        <w:ind w:firstLine="640"/>
        <w:rPr>
          <w:highlight w:val="none"/>
        </w:rPr>
      </w:pPr>
      <w:r>
        <w:rPr>
          <w:rFonts w:hint="eastAsia" w:ascii="仿宋_GB2312" w:hAnsi="仿宋_GB2312"/>
          <w:highlight w:val="none"/>
        </w:rPr>
        <w:t>（1）对不处于最后计息周期的附息式固定利率投资资产（计息周期规则的情况，以起息日计算为例）</w:t>
      </w:r>
      <w:bookmarkStart w:id="17" w:name="OLE_LINK36"/>
      <w:r>
        <w:rPr>
          <w:rFonts w:hint="eastAsia" w:ascii="仿宋_GB2312" w:hAnsi="仿宋_GB2312"/>
          <w:highlight w:val="none"/>
          <w:lang w:val="en-GB"/>
        </w:rPr>
        <w:t>修正久期的计算方法如下：</w:t>
      </w:r>
      <w:bookmarkEnd w:id="17"/>
    </w:p>
    <w:p>
      <w:pPr>
        <w:spacing w:line="360" w:lineRule="auto"/>
        <w:ind w:left="640" w:leftChars="200" w:firstLine="640"/>
        <w:rPr>
          <w:rFonts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mod</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dPV</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dy</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d>
            <m:dPr>
              <m:begChr m:val="{"/>
              <m:endChr m:val="}"/>
              <m:ctrlPr>
                <w:rPr>
                  <w:rFonts w:ascii="DejaVu Math TeX Gyre" w:hAnsi="DejaVu Math TeX Gyre" w:cstheme="minorHAnsi"/>
                  <w:i/>
                  <w:szCs w:val="32"/>
                  <w:highlight w:val="none"/>
                  <w:lang w:val="en-GB"/>
                </w:rPr>
              </m:ctrlPr>
            </m:dPr>
            <m:e>
              <m:nary>
                <m:naryPr>
                  <m:chr m:val="∑"/>
                  <m:limLoc m:val="undOvr"/>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i=1</m:t>
                  </m:r>
                  <m:ctrlPr>
                    <w:rPr>
                      <w:rFonts w:ascii="DejaVu Math TeX Gyre" w:hAnsi="DejaVu Math TeX Gyre" w:cstheme="minorHAnsi"/>
                      <w:i/>
                      <w:szCs w:val="32"/>
                      <w:highlight w:val="none"/>
                      <w:lang w:val="en-GB"/>
                    </w:rPr>
                  </m:ctrlPr>
                </m:sub>
                <m:sup>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i×</m:t>
                      </m:r>
                      <m:d>
                        <m:dPr>
                          <m:begChr m:val="["/>
                          <m:endChr m:val="]"/>
                          <m:ctrlPr>
                            <w:rPr>
                              <w:rFonts w:ascii="DejaVu Math TeX Gyre" w:hAnsi="DejaVu Math TeX Gyre" w:cstheme="minorHAnsi"/>
                              <w:i/>
                              <w:szCs w:val="32"/>
                              <w:highlight w:val="none"/>
                              <w:lang w:val="en-GB"/>
                            </w:rPr>
                          </m:ctrlPr>
                        </m:dPr>
                        <m:e>
                          <m:d>
                            <m:dPr>
                              <m:ctrlPr>
                                <w:rPr>
                                  <w:rFonts w:ascii="DejaVu Math TeX Gyre" w:hAnsi="DejaVu Math TeX Gyre" w:cstheme="minorHAnsi"/>
                                  <w:i/>
                                  <w:szCs w:val="32"/>
                                  <w:highlight w:val="none"/>
                                  <w:lang w:val="en-GB"/>
                                </w:rPr>
                              </m:ctrlPr>
                            </m:dPr>
                            <m:e>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C</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f</m:t>
                                  </m:r>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d>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m</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M</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ctrlPr>
                                <w:rPr>
                                  <w:rFonts w:ascii="DejaVu Math TeX Gyre" w:hAnsi="DejaVu Math TeX Gyre" w:cstheme="minorHAnsi"/>
                                  <w:i/>
                                  <w:szCs w:val="32"/>
                                  <w:highlight w:val="none"/>
                                  <w:lang w:val="en-GB"/>
                                </w:rPr>
                              </m:ctrlPr>
                            </m:dPr>
                            <m:e>
                              <m:r>
                                <w:rPr>
                                  <w:rFonts w:ascii="DejaVu Math TeX Gyre" w:hAnsi="DejaVu Math TeX Gyre" w:cstheme="minorHAnsi"/>
                                  <w:szCs w:val="32"/>
                                  <w:highlight w:val="none"/>
                                  <w:lang w:val="en-GB"/>
                                </w:rPr>
                                <m:t>1+</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y</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f</m:t>
                                  </m:r>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sup>
                          <m:r>
                            <w:rPr>
                              <w:rFonts w:ascii="DejaVu Math TeX Gyre" w:hAnsi="DejaVu Math TeX Gyre" w:cstheme="minorHAnsi"/>
                              <w:szCs w:val="32"/>
                              <w:highlight w:val="none"/>
                              <w:lang w:val="en-GB"/>
                            </w:rPr>
                            <m:t>i+1</m:t>
                          </m:r>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ctrlPr>
                <w:rPr>
                  <w:rFonts w:ascii="DejaVu Math TeX Gyre" w:hAnsi="DejaVu Math TeX Gyre" w:cstheme="minorHAnsi"/>
                  <w:i/>
                  <w:szCs w:val="32"/>
                  <w:highlight w:val="none"/>
                  <w:lang w:val="en-GB"/>
                </w:rPr>
              </m:ctrlPr>
            </m:e>
          </m:d>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f</m:t>
              </m:r>
              <m:ctrlPr>
                <w:rPr>
                  <w:rFonts w:ascii="DejaVu Math TeX Gyre" w:hAnsi="DejaVu Math TeX Gyre" w:cstheme="minorHAnsi"/>
                  <w:i/>
                  <w:szCs w:val="32"/>
                  <w:highlight w:val="none"/>
                  <w:lang w:val="en-GB"/>
                </w:rPr>
              </m:ctrlPr>
            </m:den>
          </m:f>
        </m:oMath>
      </m:oMathPara>
    </w:p>
    <w:p>
      <w:pPr>
        <w:ind w:firstLine="640"/>
        <w:rPr>
          <w:highlight w:val="none"/>
        </w:rPr>
      </w:pPr>
      <w:r>
        <w:rPr>
          <w:rFonts w:ascii="仿宋_GB2312" w:hAnsi="仿宋_GB2312" w:eastAsia="仿宋_GB2312" w:cstheme="minorBidi"/>
          <w:kern w:val="2"/>
          <w:sz w:val="32"/>
          <w:szCs w:val="22"/>
          <w:lang w:val="en-US" w:eastAsia="zh-CN" w:bidi="ar-SA"/>
        </w:rPr>
        <w:t>（2）对不处</w:t>
      </w:r>
      <w:r>
        <w:rPr>
          <w:rFonts w:hint="eastAsia"/>
          <w:highlight w:val="none"/>
        </w:rPr>
        <w:t>于最后计息周期的附息式固定利率投资资产（计息周期不规则的情况）</w:t>
      </w:r>
      <w:r>
        <w:rPr>
          <w:rFonts w:hint="eastAsia"/>
          <w:highlight w:val="none"/>
          <w:lang w:val="en-GB"/>
        </w:rPr>
        <w:t>修正久期的计算方法如下：</w:t>
      </w:r>
    </w:p>
    <w:p>
      <w:pPr>
        <w:spacing w:line="360" w:lineRule="auto"/>
        <w:ind w:left="640" w:leftChars="200" w:firstLine="640"/>
        <w:rPr>
          <w:rFonts w:ascii="Cambria Math" w:hAnsi="Cambria Math"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hint="eastAsia"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hint="eastAsia" w:ascii="DejaVu Math TeX Gyre" w:hAnsi="DejaVu Math TeX Gyre" w:cstheme="minorHAnsi"/>
                  <w:szCs w:val="32"/>
                  <w:highlight w:val="none"/>
                  <w:lang w:val="en-GB"/>
                </w:rPr>
                <m:t>mod</m:t>
              </m:r>
              <m:ctrlPr>
                <w:rPr>
                  <w:rFonts w:ascii="DejaVu Math TeX Gyre" w:hAnsi="DejaVu Math TeX Gyre" w:cstheme="minorHAnsi"/>
                  <w:i/>
                  <w:szCs w:val="32"/>
                  <w:highlight w:val="none"/>
                  <w:lang w:val="en-GB"/>
                </w:rPr>
              </m:ctrlPr>
            </m:sub>
          </m:sSub>
          <m:r>
            <w:rPr>
              <w:rFonts w:hint="eastAsia" w:ascii="DejaVu Math TeX Gyre" w:hAnsi="DejaVu Math TeX Gyre" w:cstheme="minorHAnsi"/>
              <w:szCs w:val="32"/>
              <w:highlight w:val="none"/>
              <w:lang w:val="en-GB"/>
            </w:rPr>
            <m:t>=</m:t>
          </m:r>
          <m:r>
            <w:rPr>
              <w:rFonts w:hint="eastAsia" w:ascii="DejaVu Math TeX Gyre" w:hAnsi="DejaVu Math TeX Gyre" w:eastAsia="微软雅黑" w:cs="微软雅黑"/>
              <w:szCs w:val="32"/>
              <w:highlight w:val="none"/>
              <w:lang w:val="en-GB"/>
            </w:rPr>
            <m:t>−</m:t>
          </m:r>
          <m:f>
            <m:fPr>
              <m:ctrlPr>
                <w:rPr>
                  <w:rFonts w:ascii="DejaVu Math TeX Gyre" w:hAnsi="DejaVu Math TeX Gyre" w:cstheme="minorHAnsi"/>
                  <w:i/>
                  <w:szCs w:val="32"/>
                  <w:highlight w:val="none"/>
                  <w:lang w:val="en-GB"/>
                </w:rPr>
              </m:ctrlPr>
            </m:fPr>
            <m:num>
              <m:r>
                <w:rPr>
                  <w:rFonts w:hint="eastAsia"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hint="eastAsia"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dPV</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dy</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d>
            <m:dPr>
              <m:begChr m:val="{"/>
              <m:endChr m:val="}"/>
              <m:ctrlPr>
                <w:rPr>
                  <w:rFonts w:ascii="DejaVu Math TeX Gyre" w:hAnsi="DejaVu Math TeX Gyre" w:cstheme="minorHAnsi"/>
                  <w:i/>
                  <w:szCs w:val="32"/>
                  <w:highlight w:val="none"/>
                  <w:lang w:val="en-GB"/>
                </w:rPr>
              </m:ctrlPr>
            </m:dPr>
            <m:e>
              <m:nary>
                <m:naryPr>
                  <m:chr m:val="∑"/>
                  <m:limLoc m:val="undOvr"/>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i=1</m:t>
                  </m:r>
                  <m:ctrlPr>
                    <w:rPr>
                      <w:rFonts w:ascii="DejaVu Math TeX Gyre" w:hAnsi="DejaVu Math TeX Gyre" w:cstheme="minorHAnsi"/>
                      <w:i/>
                      <w:szCs w:val="32"/>
                      <w:highlight w:val="none"/>
                      <w:lang w:val="en-GB"/>
                    </w:rPr>
                  </m:ctrlPr>
                </m:sub>
                <m:sup>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d>
                        <m:dPr>
                          <m:begChr m:val="["/>
                          <m:endChr m:val="]"/>
                          <m:ctrlPr>
                            <w:rPr>
                              <w:rFonts w:ascii="DejaVu Math TeX Gyre" w:hAnsi="DejaVu Math TeX Gyre" w:cstheme="minorHAnsi"/>
                              <w:i/>
                              <w:szCs w:val="32"/>
                              <w:highlight w:val="none"/>
                              <w:lang w:val="en-GB"/>
                            </w:rPr>
                          </m:ctrlPr>
                        </m:dPr>
                        <m:e>
                          <m:d>
                            <m:dPr>
                              <m:ctrlPr>
                                <w:rPr>
                                  <w:rFonts w:ascii="DejaVu Math TeX Gyre" w:hAnsi="DejaVu Math TeX Gyre" w:cstheme="minorHAnsi"/>
                                  <w:i/>
                                  <w:szCs w:val="32"/>
                                  <w:highlight w:val="none"/>
                                  <w:lang w:val="en-GB"/>
                                </w:rPr>
                              </m:ctrlPr>
                            </m:dPr>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TS</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TY</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d>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m</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×C+</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M</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ctrlPr>
                                <w:rPr>
                                  <w:rFonts w:ascii="DejaVu Math TeX Gyre" w:hAnsi="DejaVu Math TeX Gyre" w:cstheme="minorHAnsi"/>
                                  <w:i/>
                                  <w:szCs w:val="32"/>
                                  <w:highlight w:val="none"/>
                                  <w:lang w:val="en-GB"/>
                                </w:rPr>
                              </m:ctrlPr>
                            </m:dPr>
                            <m:e>
                              <m:r>
                                <w:rPr>
                                  <w:rFonts w:ascii="DejaVu Math TeX Gyre" w:hAnsi="DejaVu Math TeX Gyre" w:cstheme="minorHAnsi"/>
                                  <w:szCs w:val="32"/>
                                  <w:highlight w:val="none"/>
                                  <w:lang w:val="en-GB"/>
                                </w:rPr>
                                <m:t>1+y</m:t>
                              </m:r>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sup>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ctrlPr>
                <w:rPr>
                  <w:rFonts w:ascii="DejaVu Math TeX Gyre" w:hAnsi="DejaVu Math TeX Gyre" w:cstheme="minorHAnsi"/>
                  <w:i/>
                  <w:szCs w:val="32"/>
                  <w:highlight w:val="none"/>
                  <w:lang w:val="en-GB"/>
                </w:rPr>
              </m:ctrlPr>
            </m:e>
          </m:d>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oMath>
      </m:oMathPara>
    </w:p>
    <w:p>
      <w:pPr>
        <w:ind w:firstLine="640"/>
        <w:rPr>
          <w:highlight w:val="none"/>
        </w:rPr>
      </w:pPr>
      <w:r>
        <w:rPr>
          <w:rFonts w:hint="default" w:ascii="仿宋_GB2312" w:hAnsi="仿宋_GB2312" w:eastAsia="仿宋_GB2312" w:cstheme="minorBidi"/>
          <w:kern w:val="2"/>
          <w:sz w:val="32"/>
          <w:szCs w:val="22"/>
          <w:lang w:val="en-US" w:eastAsia="zh-CN" w:bidi="ar-SA"/>
        </w:rPr>
        <w:t>（3）对处</w:t>
      </w:r>
      <w:r>
        <w:rPr>
          <w:rFonts w:hint="eastAsia"/>
          <w:highlight w:val="none"/>
        </w:rPr>
        <w:t>于最后计息周期的附息式固定利率投资资产、贴现债券、到期一次还本付息投资资产</w:t>
      </w:r>
      <w:r>
        <w:rPr>
          <w:rFonts w:hint="eastAsia"/>
          <w:highlight w:val="none"/>
          <w:lang w:val="en-GB"/>
        </w:rPr>
        <w:t>修正久期的计算方法如下：</w:t>
      </w:r>
    </w:p>
    <w:p>
      <w:pPr>
        <w:spacing w:line="360" w:lineRule="auto"/>
        <w:ind w:left="640" w:leftChars="200" w:firstLine="640"/>
        <w:rPr>
          <w:rFonts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mod</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dPV</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dy</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d</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TY</m:t>
                  </m:r>
                  <m:ctrlPr>
                    <w:rPr>
                      <w:rFonts w:ascii="DejaVu Math TeX Gyre" w:hAnsi="DejaVu Math TeX Gyre" w:cstheme="minorHAnsi"/>
                      <w:i/>
                      <w:szCs w:val="32"/>
                      <w:highlight w:val="none"/>
                      <w:lang w:val="en-GB"/>
                    </w:rPr>
                  </m:ctrlPr>
                </m:den>
              </m:f>
              <m:r>
                <w:rPr>
                  <w:rFonts w:ascii="DejaVu Math TeX Gyre" w:hAnsi="DejaVu Math TeX Gyre" w:cstheme="minorHAnsi"/>
                  <w:szCs w:val="32"/>
                  <w:highlight w:val="none"/>
                  <w:lang w:val="en-GB"/>
                </w:rPr>
                <m:t>×FV</m:t>
              </m:r>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ctrlPr>
                        <w:rPr>
                          <w:rFonts w:ascii="DejaVu Math TeX Gyre" w:hAnsi="DejaVu Math TeX Gyre" w:cstheme="minorHAnsi"/>
                          <w:i/>
                          <w:szCs w:val="32"/>
                          <w:highlight w:val="none"/>
                          <w:lang w:val="en-GB"/>
                        </w:rPr>
                      </m:ctrlPr>
                    </m:dPr>
                    <m:e>
                      <m:r>
                        <w:rPr>
                          <w:rFonts w:ascii="DejaVu Math TeX Gyre" w:hAnsi="DejaVu Math TeX Gyre" w:cstheme="minorHAnsi"/>
                          <w:szCs w:val="32"/>
                          <w:highlight w:val="none"/>
                          <w:lang w:val="en-GB"/>
                        </w:rPr>
                        <m:t>1+y×</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d</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TY</m:t>
                          </m:r>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sup>
                  <m:r>
                    <w:rPr>
                      <w:rFonts w:ascii="DejaVu Math TeX Gyre" w:hAnsi="DejaVu Math TeX Gyre" w:cstheme="minorHAnsi"/>
                      <w:szCs w:val="32"/>
                      <w:highlight w:val="none"/>
                      <w:lang w:val="en-GB"/>
                    </w:rPr>
                    <m:t>2</m:t>
                  </m:r>
                  <m:ctrlPr>
                    <w:rPr>
                      <w:rFonts w:ascii="DejaVu Math TeX Gyre" w:hAnsi="DejaVu Math TeX Gyre" w:cstheme="minorHAnsi"/>
                      <w:i/>
                      <w:szCs w:val="32"/>
                      <w:highlight w:val="none"/>
                      <w:lang w:val="en-GB"/>
                    </w:rPr>
                  </m:ctrlPr>
                </m:sup>
              </m:sSup>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其中，</w:t>
      </w:r>
      <m:oMath>
        <m:r>
          <m:rPr>
            <m:sty m:val="p"/>
          </m:rPr>
          <w:rPr>
            <w:rFonts w:ascii="DejaVu Math TeX Gyre" w:hAnsi="DejaVu Math TeX Gyre"/>
            <w:highlight w:val="none"/>
            <w:lang w:val="en-GB"/>
          </w:rPr>
          <m:t>FV=M</m:t>
        </m:r>
        <m:r>
          <m:rPr>
            <m:sty m:val="p"/>
          </m:rPr>
          <w:rPr>
            <w:rFonts w:hint="eastAsia" w:ascii="DejaVu Math TeX Gyre" w:hAnsi="DejaVu Math TeX Gyre"/>
            <w:highlight w:val="none"/>
            <w:lang w:val="en-GB"/>
          </w:rPr>
          <m:t>×（</m:t>
        </m:r>
        <m:r>
          <m:rPr>
            <m:sty m:val="p"/>
          </m:rPr>
          <w:rPr>
            <w:rFonts w:ascii="DejaVu Math TeX Gyre" w:hAnsi="DejaVu Math TeX Gyre"/>
            <w:highlight w:val="none"/>
            <w:lang w:val="en-GB"/>
          </w:rPr>
          <m:t>1+C/f</m:t>
        </m:r>
        <m:r>
          <m:rPr>
            <m:sty m:val="p"/>
          </m:rPr>
          <w:rPr>
            <w:rFonts w:hint="eastAsia" w:ascii="DejaVu Math TeX Gyre" w:hAnsi="DejaVu Math TeX Gyre"/>
            <w:highlight w:val="none"/>
            <w:lang w:val="en-GB"/>
          </w:rPr>
          <m:t>）</m:t>
        </m:r>
      </m:oMath>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mod</m:t>
            </m:r>
            <m:ctrlPr>
              <w:rPr>
                <w:rFonts w:ascii="DejaVu Math TeX Gyre" w:hAnsi="DejaVu Math TeX Gyre" w:cstheme="minorHAnsi"/>
                <w:i/>
                <w:highlight w:val="none"/>
                <w:lang w:val="en-GB"/>
              </w:rPr>
            </m:ctrlPr>
          </m:sub>
        </m:sSub>
      </m:oMath>
      <w:r>
        <w:rPr>
          <w:rFonts w:hint="eastAsia"/>
          <w:highlight w:val="none"/>
          <w:lang w:val="en-GB"/>
        </w:rPr>
        <w:t>为估价修正久期；</w:t>
      </w:r>
    </w:p>
    <w:p>
      <w:pPr>
        <w:ind w:firstLine="640"/>
        <w:rPr>
          <w:highlight w:val="none"/>
          <w:lang w:val="en-GB"/>
        </w:rPr>
      </w:pPr>
      <m:oMath>
        <m:r>
          <w:rPr>
            <w:rFonts w:ascii="DejaVu Math TeX Gyre" w:hAnsi="DejaVu Math TeX Gyre" w:cstheme="minorHAnsi"/>
            <w:highlight w:val="none"/>
            <w:lang w:val="en-GB"/>
          </w:rPr>
          <m:t>PV</m:t>
        </m:r>
      </m:oMath>
      <w:r>
        <w:rPr>
          <w:rFonts w:hint="eastAsia"/>
          <w:highlight w:val="none"/>
          <w:lang w:val="en-GB"/>
        </w:rPr>
        <w:t>为资产现金流的折现值；</w:t>
      </w:r>
    </w:p>
    <w:p>
      <w:pPr>
        <w:ind w:firstLine="640"/>
        <w:rPr>
          <w:highlight w:val="none"/>
          <w:lang w:val="en-GB"/>
        </w:rPr>
      </w:pPr>
      <m:oMath>
        <m:r>
          <w:rPr>
            <w:rFonts w:ascii="DejaVu Math TeX Gyre" w:hAnsi="DejaVu Math TeX Gyre" w:cstheme="minorHAnsi"/>
            <w:highlight w:val="none"/>
            <w:lang w:val="en-GB"/>
          </w:rPr>
          <m:t>y</m:t>
        </m:r>
      </m:oMath>
      <w:r>
        <w:rPr>
          <w:rFonts w:hint="eastAsia"/>
          <w:highlight w:val="none"/>
          <w:lang w:val="en-GB"/>
        </w:rPr>
        <w:t>为报告期末到期收益率；</w:t>
      </w:r>
    </w:p>
    <w:p>
      <w:pPr>
        <w:ind w:firstLine="640"/>
        <w:rPr>
          <w:highlight w:val="none"/>
          <w:lang w:val="en-GB"/>
        </w:rPr>
      </w:pPr>
      <m:oMath>
        <m:r>
          <w:rPr>
            <w:rFonts w:ascii="DejaVu Math TeX Gyre" w:hAnsi="DejaVu Math TeX Gyre" w:cstheme="minorHAnsi"/>
            <w:highlight w:val="none"/>
            <w:lang w:val="en-GB"/>
          </w:rPr>
          <m:t>C</m:t>
        </m:r>
      </m:oMath>
      <w:r>
        <w:rPr>
          <w:rFonts w:hint="eastAsia"/>
          <w:highlight w:val="none"/>
          <w:lang w:val="en-GB"/>
        </w:rPr>
        <w:t>为票面利率；</w:t>
      </w:r>
    </w:p>
    <w:p>
      <w:pPr>
        <w:ind w:firstLine="640"/>
        <w:rPr>
          <w:highlight w:val="none"/>
          <w:lang w:val="en-GB"/>
        </w:rPr>
      </w:pPr>
      <m:oMath>
        <m:r>
          <w:rPr>
            <w:rFonts w:ascii="DejaVu Math TeX Gyre" w:hAnsi="DejaVu Math TeX Gyre" w:cstheme="minorHAnsi"/>
            <w:highlight w:val="none"/>
            <w:lang w:val="en-GB"/>
          </w:rPr>
          <m:t>f</m:t>
        </m:r>
      </m:oMath>
      <w:r>
        <w:rPr>
          <w:rFonts w:hint="eastAsia"/>
          <w:highlight w:val="none"/>
          <w:lang w:val="en-GB"/>
        </w:rPr>
        <w:t>为年付息次数；</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m</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为第</w:t>
      </w:r>
      <m:oMath>
        <m:r>
          <w:rPr>
            <w:rFonts w:ascii="DejaVu Math TeX Gyre" w:hAnsi="DejaVu Math TeX Gyre" w:cstheme="minorHAnsi"/>
            <w:highlight w:val="none"/>
            <w:lang w:val="en-GB"/>
          </w:rPr>
          <m:t>i</m:t>
        </m:r>
      </m:oMath>
      <w:r>
        <w:rPr>
          <w:rFonts w:hint="eastAsia"/>
          <w:highlight w:val="none"/>
          <w:lang w:val="en-GB"/>
        </w:rPr>
        <w:t>个的计息周期期初的剩余本金额；</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M</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为第</w:t>
      </w:r>
      <m:oMath>
        <m:r>
          <w:rPr>
            <w:rFonts w:ascii="DejaVu Math TeX Gyre" w:hAnsi="DejaVu Math TeX Gyre" w:cstheme="minorHAnsi"/>
            <w:highlight w:val="none"/>
            <w:lang w:val="en-GB"/>
          </w:rPr>
          <m:t>i</m:t>
        </m:r>
      </m:oMath>
      <w:r>
        <w:rPr>
          <w:rFonts w:hint="eastAsia"/>
          <w:highlight w:val="none"/>
          <w:lang w:val="en-GB"/>
        </w:rPr>
        <w:t>个的计息周期期末的偿付的本金额；</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TS</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为第</w:t>
      </w:r>
      <m:oMath>
        <m:r>
          <w:rPr>
            <w:rFonts w:ascii="DejaVu Math TeX Gyre" w:hAnsi="DejaVu Math TeX Gyre" w:cstheme="minorHAnsi"/>
            <w:highlight w:val="none"/>
            <w:lang w:val="en-GB"/>
          </w:rPr>
          <m:t>i</m:t>
        </m:r>
      </m:oMath>
      <w:r>
        <w:rPr>
          <w:rFonts w:hint="eastAsia"/>
          <w:highlight w:val="none"/>
          <w:lang w:val="en-GB"/>
        </w:rPr>
        <w:t>个的计息周期的实际天数；</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TY</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为第</w:t>
      </w:r>
      <m:oMath>
        <m:r>
          <w:rPr>
            <w:rFonts w:ascii="DejaVu Math TeX Gyre" w:hAnsi="DejaVu Math TeX Gyre" w:cstheme="minorHAnsi"/>
            <w:highlight w:val="none"/>
            <w:lang w:val="en-GB"/>
          </w:rPr>
          <m:t>i</m:t>
        </m:r>
      </m:oMath>
      <w:r>
        <w:rPr>
          <w:rFonts w:hint="eastAsia"/>
          <w:highlight w:val="none"/>
          <w:lang w:val="en-GB"/>
        </w:rPr>
        <w:t>个的计息周期所在计息年度的实际天数；</w:t>
      </w:r>
    </w:p>
    <w:p>
      <w:pPr>
        <w:ind w:firstLine="640"/>
        <w:rPr>
          <w:highlight w:val="none"/>
          <w:lang w:val="en-GB"/>
        </w:rPr>
      </w:pPr>
      <m:oMath>
        <m:r>
          <w:rPr>
            <w:rFonts w:ascii="DejaVu Math TeX Gyre" w:hAnsi="DejaVu Math TeX Gyre" w:cstheme="minorHAnsi"/>
            <w:highlight w:val="none"/>
            <w:lang w:val="en-GB"/>
          </w:rPr>
          <m:t>n</m:t>
        </m:r>
      </m:oMath>
      <w:r>
        <w:rPr>
          <w:rFonts w:hint="eastAsia"/>
          <w:highlight w:val="none"/>
          <w:lang w:val="en-GB"/>
        </w:rPr>
        <w:t>为剩余付息次数；</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t</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为报告期末后第</w:t>
      </w:r>
      <m:oMath>
        <m:r>
          <w:rPr>
            <w:rFonts w:ascii="DejaVu Math TeX Gyre" w:hAnsi="DejaVu Math TeX Gyre" w:cstheme="minorHAnsi"/>
            <w:highlight w:val="none"/>
            <w:lang w:val="en-GB"/>
          </w:rPr>
          <m:t>i</m:t>
        </m:r>
      </m:oMath>
      <w:r>
        <w:rPr>
          <w:rFonts w:hint="eastAsia"/>
          <w:highlight w:val="none"/>
          <w:lang w:val="en-GB"/>
        </w:rPr>
        <w:t>次现金流距离报告期末的时间长度；</w:t>
      </w:r>
    </w:p>
    <w:p>
      <w:pPr>
        <w:ind w:firstLine="640"/>
        <w:rPr>
          <w:highlight w:val="none"/>
          <w:lang w:val="en-GB"/>
        </w:rPr>
      </w:pPr>
      <m:oMath>
        <m:r>
          <w:rPr>
            <w:rFonts w:ascii="DejaVu Math TeX Gyre" w:hAnsi="DejaVu Math TeX Gyre" w:cstheme="minorHAnsi"/>
            <w:highlight w:val="none"/>
            <w:lang w:val="en-GB"/>
          </w:rPr>
          <m:t>d</m:t>
        </m:r>
      </m:oMath>
      <w:r>
        <w:rPr>
          <w:rFonts w:hint="eastAsia"/>
          <w:highlight w:val="none"/>
          <w:lang w:val="en-GB"/>
        </w:rPr>
        <w:t>为计算日至到期日的实际天数；</w:t>
      </w:r>
    </w:p>
    <w:p>
      <w:pPr>
        <w:ind w:firstLine="640"/>
        <w:rPr>
          <w:highlight w:val="none"/>
          <w:lang w:val="en-GB"/>
        </w:rPr>
      </w:pPr>
      <m:oMath>
        <m:r>
          <w:rPr>
            <w:rFonts w:ascii="DejaVu Math TeX Gyre" w:hAnsi="DejaVu Math TeX Gyre" w:cstheme="minorHAnsi"/>
            <w:highlight w:val="none"/>
            <w:lang w:val="en-GB"/>
          </w:rPr>
          <m:t>TY</m:t>
        </m:r>
      </m:oMath>
      <w:r>
        <w:rPr>
          <w:rFonts w:hint="eastAsia"/>
          <w:highlight w:val="none"/>
          <w:lang w:val="en-GB"/>
        </w:rPr>
        <w:t>为报告期末所在计息年度的实际天数；</w:t>
      </w:r>
    </w:p>
    <w:p>
      <w:pPr>
        <w:ind w:firstLine="640"/>
        <w:rPr>
          <w:highlight w:val="none"/>
          <w:lang w:val="en-GB"/>
        </w:rPr>
      </w:pPr>
      <m:oMath>
        <m:r>
          <w:rPr>
            <w:rFonts w:ascii="DejaVu Math TeX Gyre" w:hAnsi="DejaVu Math TeX Gyre" w:cstheme="minorHAnsi"/>
            <w:highlight w:val="none"/>
            <w:lang w:val="en-GB"/>
          </w:rPr>
          <m:t>M</m:t>
        </m:r>
      </m:oMath>
      <w:r>
        <w:rPr>
          <w:rFonts w:hint="eastAsia"/>
          <w:highlight w:val="none"/>
          <w:lang w:val="en-GB"/>
        </w:rPr>
        <w:t>为投资资产本金额。</w:t>
      </w:r>
    </w:p>
    <w:p>
      <w:pPr>
        <w:ind w:firstLine="640"/>
        <w:rPr>
          <w:highlight w:val="none"/>
          <w:lang w:val="en-GB"/>
        </w:rPr>
      </w:pPr>
      <w:r>
        <w:rPr>
          <w:rFonts w:ascii="仿宋_GB2312" w:cs="宋体"/>
          <w:highlight w:val="none"/>
        </w:rPr>
        <w:t>对于附息式浮动利率债券的资产修正久期的计算方法</w:t>
      </w:r>
      <w:r>
        <w:rPr>
          <w:rFonts w:hint="eastAsia" w:ascii="宋体" w:hAnsi="宋体" w:cs="宋体"/>
          <w:sz w:val="24"/>
          <w:szCs w:val="24"/>
          <w:highlight w:val="none"/>
        </w:rPr>
        <w:t>，</w:t>
      </w:r>
      <w:r>
        <w:rPr>
          <w:rFonts w:hint="eastAsia" w:ascii="宋体" w:hAnsi="宋体" w:cs="宋体"/>
          <w:szCs w:val="24"/>
          <w:highlight w:val="none"/>
        </w:rPr>
        <w:t>根据其利率浮动的特征，采用附息式固定利率投资资产的修正久期的计算方法，</w:t>
      </w:r>
      <w:r>
        <w:rPr>
          <w:rFonts w:ascii="宋体" w:hAnsi="宋体" w:cs="宋体"/>
          <w:szCs w:val="24"/>
          <w:highlight w:val="none"/>
        </w:rPr>
        <w:t>或</w:t>
      </w:r>
      <w:r>
        <w:rPr>
          <w:rFonts w:ascii="仿宋_GB2312" w:cs="宋体"/>
          <w:highlight w:val="none"/>
        </w:rPr>
        <w:t>采用中央国债登记结算有限责任公司公布的《中债价格指标产品久期基本计算方法》中对估价修正久期的计算方法。</w:t>
      </w:r>
      <w:r>
        <w:rPr>
          <w:rFonts w:hint="eastAsia"/>
          <w:highlight w:val="none"/>
          <w:lang w:val="en-GB"/>
        </w:rPr>
        <w:t>计算标准债券</w:t>
      </w:r>
      <w:r>
        <w:rPr>
          <w:rFonts w:hint="eastAsia" w:ascii="仿宋_GB2312" w:hAnsi="仿宋_GB2312" w:cs="仿宋_GB2312"/>
          <w:highlight w:val="none"/>
          <w:lang w:val="en-GB"/>
        </w:rPr>
        <w:t>时，PV为报告期末该债券的市场价格。对于无活跃市场价格的标准债券，选取该债券外部评级对应的市场收益率曲线折现计算，有条件的公司建议采用中债市场隐含评级曲线。对于非标准固定收益类投资资产、含保证条款的权益类投资资产，折现率需考虑流动性溢价调整，计算该资产在发行日与对应评级的市场收益率曲线的利差作为流动性溢价，在报告期末用对应评级的市场收益率曲线加初始的流动性溢价作为计算PV的折现率。当资产无评级时，计算资产在发行日与无风险收益率曲线（中债国债即期收益率曲线，下同）的利差作为包含流动性溢价和信用溢价的综合价差，在报告期末用无风险收益率曲线与综合价差构成的新收益率曲线作为计算PV的</w:t>
      </w:r>
      <w:r>
        <w:rPr>
          <w:highlight w:val="none"/>
          <w:lang w:val="en-GB"/>
        </w:rPr>
        <w:t>折现率。定期存款类资产的计算方法与无评级资产计算方法一致。</w:t>
      </w:r>
    </w:p>
    <w:p>
      <w:pPr>
        <w:ind w:firstLine="640"/>
        <w:rPr>
          <w:highlight w:val="none"/>
        </w:rPr>
      </w:pPr>
      <w:r>
        <w:rPr>
          <w:rFonts w:hint="eastAsia" w:ascii="仿宋_GB2312" w:hAnsi="仿宋_GB2312" w:cs="仿宋_GB2312"/>
          <w:highlight w:val="none"/>
        </w:rPr>
        <w:t>（4）利率</w:t>
      </w:r>
      <w:r>
        <w:rPr>
          <w:rFonts w:hint="eastAsia"/>
          <w:highlight w:val="none"/>
        </w:rPr>
        <w:t>类金融衍生品的修正久期计算：</w:t>
      </w:r>
    </w:p>
    <w:p>
      <w:pPr>
        <w:widowControl/>
        <w:spacing w:line="360" w:lineRule="auto"/>
        <w:ind w:left="640" w:leftChars="200" w:firstLine="640"/>
        <w:rPr>
          <w:rFonts w:ascii="仿宋" w:hAnsi="仿宋" w:cs="Arial"/>
          <w:szCs w:val="32"/>
          <w:highlight w:val="none"/>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future</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CTD</m:t>
              </m:r>
              <m:ctrlPr>
                <w:rPr>
                  <w:rFonts w:ascii="DejaVu Math TeX Gyre" w:hAnsi="DejaVu Math TeX Gyre" w:cstheme="minorHAnsi"/>
                  <w:i/>
                  <w:szCs w:val="32"/>
                  <w:highlight w:val="none"/>
                  <w:lang w:val="en-GB"/>
                </w:rPr>
              </m:ctrlPr>
            </m:sub>
          </m:sSub>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future</m:t>
            </m:r>
            <m:ctrlPr>
              <w:rPr>
                <w:rFonts w:ascii="DejaVu Math TeX Gyre" w:hAnsi="DejaVu Math TeX Gyre" w:cstheme="minorHAnsi"/>
                <w:i/>
                <w:highlight w:val="none"/>
                <w:lang w:val="en-GB"/>
              </w:rPr>
            </m:ctrlPr>
          </m:sub>
        </m:sSub>
      </m:oMath>
      <w:r>
        <w:rPr>
          <w:rFonts w:hint="eastAsia"/>
          <w:highlight w:val="none"/>
          <w:lang w:val="en-GB"/>
        </w:rPr>
        <w:t>为</w:t>
      </w:r>
      <w:r>
        <w:rPr>
          <w:rFonts w:hint="eastAsia"/>
          <w:highlight w:val="none"/>
        </w:rPr>
        <w:t>国债期货</w:t>
      </w:r>
      <w:r>
        <w:rPr>
          <w:rFonts w:hint="eastAsia"/>
          <w:highlight w:val="none"/>
          <w:lang w:val="en-GB"/>
        </w:rPr>
        <w:t>修正久期；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CTD</m:t>
            </m:r>
            <m:ctrlPr>
              <w:rPr>
                <w:rFonts w:ascii="DejaVu Math TeX Gyre" w:hAnsi="DejaVu Math TeX Gyre" w:cstheme="minorHAnsi"/>
                <w:i/>
                <w:highlight w:val="none"/>
                <w:lang w:val="en-GB"/>
              </w:rPr>
            </m:ctrlPr>
          </m:sub>
        </m:sSub>
      </m:oMath>
      <w:r>
        <w:rPr>
          <w:rFonts w:hint="eastAsia"/>
          <w:highlight w:val="none"/>
          <w:lang w:val="en-GB"/>
        </w:rPr>
        <w:t>为</w:t>
      </w:r>
      <w:r>
        <w:rPr>
          <w:rFonts w:hint="eastAsia"/>
          <w:highlight w:val="none"/>
        </w:rPr>
        <w:t>对应国债期货合约最便宜可交割债券的修正久期。</w:t>
      </w:r>
    </w:p>
    <w:p>
      <w:pPr>
        <w:ind w:firstLine="640"/>
        <w:rPr>
          <w:highlight w:val="none"/>
        </w:rPr>
      </w:pPr>
      <w:r>
        <w:rPr>
          <w:rFonts w:hint="eastAsia" w:ascii="仿宋_GB2312" w:hAnsi="仿宋_GB2312" w:cs="仿宋_GB2312"/>
          <w:highlight w:val="none"/>
        </w:rPr>
        <w:t>利率互换合约的修正久期计算，收取固定利率利息方的修正久期根据“固定利率资产组合的修正久期-到浮动利率下一重置日的时间”进行估算，支付固定利率利息方的修正久期根据“-固定利率资产组合的修正久期+到浮动利率下一重置日的时间”进行估算。</w:t>
      </w:r>
    </w:p>
    <w:p>
      <w:pPr>
        <w:ind w:firstLine="640"/>
        <w:rPr>
          <w:highlight w:val="none"/>
        </w:rPr>
      </w:pPr>
      <w:r>
        <w:rPr>
          <w:rFonts w:hint="eastAsia" w:cs="MS Mincho"/>
          <w:highlight w:val="none"/>
        </w:rPr>
        <w:t>各账户利率衍生品买入合约的修正久期合计按照利率衍生品买入合约的名义本金进行加权，各账户卖出合约修正久期的合计按照利率衍生品卖出合约的名义本金进行加权。其中，利率衍生品买入合约和卖出合约的修正久期均填报正数</w:t>
      </w:r>
      <w:r>
        <w:rPr>
          <w:rFonts w:hint="eastAsia"/>
          <w:highlight w:val="none"/>
        </w:rPr>
        <w:t>。</w:t>
      </w:r>
    </w:p>
    <w:p>
      <w:pPr>
        <w:ind w:firstLine="640"/>
        <w:rPr>
          <w:rFonts w:cs="Arial"/>
          <w:highlight w:val="none"/>
        </w:rPr>
      </w:pPr>
      <w:r>
        <w:rPr>
          <w:rFonts w:hint="eastAsia" w:cs="MS Mincho"/>
          <w:highlight w:val="none"/>
          <w:lang w:val="en-GB"/>
        </w:rPr>
        <w:t>各类账户资产修正久期的合并方法一经确定，原则上不得更改，若有更改，须在备注中说明具体原因。</w:t>
      </w:r>
    </w:p>
    <w:p>
      <w:pPr>
        <w:pStyle w:val="5"/>
        <w:ind w:firstLine="640"/>
        <w:rPr>
          <w:highlight w:val="none"/>
        </w:rPr>
      </w:pPr>
      <w:r>
        <w:rPr>
          <w:rFonts w:hint="eastAsia" w:ascii="仿宋_GB2312" w:hAnsi="仿宋_GB2312" w:cs="仿宋_GB2312"/>
          <w:highlight w:val="none"/>
        </w:rPr>
        <w:t>4.负债现金流修正久</w:t>
      </w:r>
      <w:r>
        <w:rPr>
          <w:rFonts w:hint="eastAsia"/>
          <w:highlight w:val="none"/>
        </w:rPr>
        <w:t>期的计算</w:t>
      </w:r>
    </w:p>
    <w:p>
      <w:pPr>
        <w:ind w:firstLine="640"/>
        <w:rPr>
          <w:highlight w:val="none"/>
          <w:lang w:val="en-GB"/>
        </w:rPr>
      </w:pPr>
      <w:r>
        <w:rPr>
          <w:rFonts w:hint="eastAsia"/>
          <w:highlight w:val="none"/>
        </w:rPr>
        <w:t>分别计算负债现金流流入修正久期和负债现金流流出修正久期，其中</w:t>
      </w:r>
      <w:r>
        <w:rPr>
          <w:rFonts w:hint="eastAsia"/>
          <w:highlight w:val="none"/>
          <w:lang w:val="en-GB"/>
        </w:rPr>
        <w:t>：</w:t>
      </w:r>
    </w:p>
    <w:p>
      <w:pPr>
        <w:ind w:firstLine="640"/>
        <w:rPr>
          <w:highlight w:val="none"/>
          <w:lang w:val="en-GB"/>
        </w:rPr>
      </w:pPr>
      <w:r>
        <w:rPr>
          <w:rFonts w:hint="eastAsia" w:ascii="仿宋_GB2312" w:hAnsi="仿宋_GB2312" w:cs="仿宋_GB2312"/>
          <w:highlight w:val="none"/>
          <w:lang w:val="en-GB"/>
        </w:rPr>
        <w:t>（1）寿险</w:t>
      </w:r>
      <w:r>
        <w:rPr>
          <w:rFonts w:hint="eastAsia"/>
          <w:highlight w:val="none"/>
          <w:lang w:val="en-GB"/>
        </w:rPr>
        <w:t>合同负债修正久期的计算方法如下：</w:t>
      </w:r>
    </w:p>
    <w:p>
      <w:pPr>
        <w:spacing w:line="360" w:lineRule="auto"/>
        <w:ind w:left="640" w:leftChars="200" w:firstLine="640"/>
        <w:rPr>
          <w:rFonts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mod</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r>
            <w:rPr>
              <w:rFonts w:ascii="DejaVu Math TeX Gyre" w:hAnsi="DejaVu Math TeX Gyre" w:eastAsia="Helvetica"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r>
            <w:rPr>
              <w:rFonts w:ascii="DejaVu Math TeX Gyre" w:hAnsi="DejaVu Math TeX Gyre" w:eastAsia="Helvetica" w:cstheme="minorHAnsi"/>
              <w:szCs w:val="32"/>
              <w:highlight w:val="none"/>
              <w:lang w:val="en-GB"/>
            </w:rPr>
            <m:t>×</m:t>
          </m:r>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dPV</m:t>
                  </m:r>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y</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CF</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eastAsia="Helvetica"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ctrlPr>
                                <w:rPr>
                                  <w:rFonts w:ascii="DejaVu Math TeX Gyre" w:hAnsi="DejaVu Math TeX Gyre" w:cstheme="minorHAnsi"/>
                                  <w:i/>
                                  <w:szCs w:val="32"/>
                                  <w:highlight w:val="none"/>
                                  <w:lang w:val="en-GB"/>
                                </w:rPr>
                              </m:ctrlPr>
                            </m:dPr>
                            <m:e>
                              <m:r>
                                <w:rPr>
                                  <w:rFonts w:ascii="DejaVu Math TeX Gyre" w:hAnsi="DejaVu Math TeX Gyre" w:cstheme="minorHAnsi"/>
                                  <w:szCs w:val="32"/>
                                  <w:highlight w:val="none"/>
                                  <w:lang w:val="en-GB"/>
                                </w:rPr>
                                <m:t>1+</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y</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sup>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+1</m:t>
                          </m:r>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ctrlPr>
                <w:rPr>
                  <w:rFonts w:ascii="DejaVu Math TeX Gyre" w:hAnsi="DejaVu Math TeX Gyre" w:cstheme="minorHAnsi"/>
                  <w:i/>
                  <w:szCs w:val="32"/>
                  <w:highlight w:val="none"/>
                  <w:lang w:val="en-GB"/>
                </w:rPr>
              </m:ctrlPr>
            </m:num>
            <m:den>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CF</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ctrlPr>
                                <w:rPr>
                                  <w:rFonts w:ascii="DejaVu Math TeX Gyre" w:hAnsi="DejaVu Math TeX Gyre" w:cstheme="minorHAnsi"/>
                                  <w:i/>
                                  <w:szCs w:val="32"/>
                                  <w:highlight w:val="none"/>
                                  <w:lang w:val="en-GB"/>
                                </w:rPr>
                              </m:ctrlPr>
                            </m:dPr>
                            <m:e>
                              <m:r>
                                <w:rPr>
                                  <w:rFonts w:ascii="DejaVu Math TeX Gyre" w:hAnsi="DejaVu Math TeX Gyre" w:cstheme="minorHAnsi"/>
                                  <w:szCs w:val="32"/>
                                  <w:highlight w:val="none"/>
                                  <w:lang w:val="en-GB"/>
                                </w:rPr>
                                <m:t>1+</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y</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sup>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ctrlPr>
                <w:rPr>
                  <w:rFonts w:ascii="DejaVu Math TeX Gyre" w:hAnsi="DejaVu Math TeX Gyre" w:cstheme="minorHAnsi"/>
                  <w:i/>
                  <w:szCs w:val="32"/>
                  <w:highlight w:val="none"/>
                  <w:lang w:val="en-GB"/>
                </w:rPr>
              </m:ctrlPr>
            </m:den>
          </m:f>
        </m:oMath>
      </m:oMathPara>
    </w:p>
    <w:p>
      <w:pPr>
        <w:spacing w:line="360" w:lineRule="auto"/>
        <w:ind w:left="640" w:leftChars="200" w:firstLine="640"/>
        <w:rPr>
          <w:rFonts w:ascii="Cambria Math" w:hAnsi="Cambria Math" w:cstheme="minorHAnsi"/>
          <w:i/>
          <w:szCs w:val="32"/>
          <w:highlight w:val="none"/>
          <w:lang w:val="en-GB"/>
        </w:rPr>
      </w:pPr>
      <m:oMathPara>
        <m:oMathParaPr>
          <m:jc m:val="left"/>
        </m:oMathParaPr>
        <m:oMath>
          <m:r>
            <w:rPr>
              <w:rFonts w:ascii="DejaVu Math TeX Gyre" w:hAnsi="DejaVu Math TeX Gyre" w:cstheme="minorHAnsi"/>
              <w:szCs w:val="32"/>
              <w:highlight w:val="none"/>
              <w:lang w:val="en-GB"/>
            </w:rPr>
            <m:t>PV=</m:t>
          </m:r>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CF</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ctrlPr>
                            <w:rPr>
                              <w:rFonts w:ascii="DejaVu Math TeX Gyre" w:hAnsi="DejaVu Math TeX Gyre" w:cstheme="minorHAnsi"/>
                              <w:i/>
                              <w:szCs w:val="32"/>
                              <w:highlight w:val="none"/>
                              <w:lang w:val="en-GB"/>
                            </w:rPr>
                          </m:ctrlPr>
                        </m:dPr>
                        <m:e>
                          <m:r>
                            <w:rPr>
                              <w:rFonts w:hint="eastAsia" w:ascii="DejaVu Math TeX Gyre" w:hAnsi="DejaVu Math TeX Gyre" w:cstheme="minorHAnsi"/>
                              <w:szCs w:val="32"/>
                              <w:highlight w:val="none"/>
                              <w:lang w:val="en-GB"/>
                            </w:rPr>
                            <m:t>1+</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y</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sup>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mod</m:t>
            </m:r>
            <m:ctrlPr>
              <w:rPr>
                <w:rFonts w:ascii="DejaVu Math TeX Gyre" w:hAnsi="DejaVu Math TeX Gyre" w:cstheme="minorHAnsi"/>
                <w:i/>
                <w:highlight w:val="none"/>
                <w:lang w:val="en-GB"/>
              </w:rPr>
            </m:ctrlPr>
          </m:sub>
        </m:sSub>
      </m:oMath>
      <w:r>
        <w:rPr>
          <w:rFonts w:hint="eastAsia"/>
          <w:highlight w:val="none"/>
          <w:lang w:val="en-GB"/>
        </w:rPr>
        <w:t>为负债修正久期；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CF</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为第</w:t>
      </w:r>
      <m:oMath>
        <m:r>
          <w:rPr>
            <w:rFonts w:ascii="DejaVu Math TeX Gyre" w:hAnsi="DejaVu Math TeX Gyre" w:cstheme="minorHAnsi"/>
            <w:highlight w:val="none"/>
            <w:lang w:val="en-GB"/>
          </w:rPr>
          <m:t>i</m:t>
        </m:r>
      </m:oMath>
      <w:r>
        <w:rPr>
          <w:rFonts w:hint="eastAsia"/>
          <w:highlight w:val="none"/>
          <w:lang w:val="en-GB"/>
        </w:rPr>
        <w:t>个周期期末的负债现金流；</w:t>
      </w:r>
    </w:p>
    <w:p>
      <w:pPr>
        <w:ind w:firstLine="640"/>
        <w:rPr>
          <w:rFonts w:ascii="仿宋_GB2312"/>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y</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为报告期末至第</w:t>
      </w:r>
      <m:oMath>
        <m:r>
          <w:rPr>
            <w:rFonts w:ascii="DejaVu Math TeX Gyre" w:hAnsi="DejaVu Math TeX Gyre" w:cstheme="minorHAnsi"/>
            <w:highlight w:val="none"/>
            <w:lang w:val="en-GB"/>
          </w:rPr>
          <m:t>i</m:t>
        </m:r>
      </m:oMath>
      <w:r>
        <w:rPr>
          <w:rFonts w:hint="eastAsia"/>
          <w:highlight w:val="none"/>
          <w:lang w:val="en-GB"/>
        </w:rPr>
        <w:t>个周期的中债国债即期收益率</w:t>
      </w:r>
      <w:r>
        <w:rPr>
          <w:rFonts w:hint="eastAsia" w:ascii="仿宋_GB2312"/>
          <w:highlight w:val="none"/>
          <w:lang w:val="en-GB"/>
        </w:rPr>
        <w:t>加溢价调整，溢价的取值与</w:t>
      </w:r>
      <w:r>
        <w:rPr>
          <w:rFonts w:hint="eastAsia" w:ascii="仿宋_GB2312"/>
          <w:highlight w:val="none"/>
        </w:rPr>
        <w:t>偿付能力监管规则对寿险合同负债评估的前端综合溢价保持一致。</w:t>
      </w:r>
    </w:p>
    <w:p>
      <w:pPr>
        <w:ind w:firstLine="640"/>
        <w:rPr>
          <w:highlight w:val="none"/>
          <w:lang w:val="en-GB"/>
        </w:rPr>
      </w:pPr>
      <w:bookmarkStart w:id="18" w:name="OLE_LINK32"/>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t</m:t>
            </m:r>
            <w:bookmarkEnd w:id="18"/>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为报告期末后第</w:t>
      </w:r>
      <m:oMath>
        <m:r>
          <w:rPr>
            <w:rFonts w:ascii="DejaVu Math TeX Gyre" w:hAnsi="DejaVu Math TeX Gyre" w:cstheme="minorHAnsi"/>
            <w:highlight w:val="none"/>
            <w:lang w:val="en-GB"/>
          </w:rPr>
          <m:t>i</m:t>
        </m:r>
      </m:oMath>
      <w:r>
        <w:rPr>
          <w:rFonts w:hint="eastAsia"/>
          <w:highlight w:val="none"/>
          <w:lang w:val="en-GB"/>
        </w:rPr>
        <w:t>次现金流距离报告期末的时间长度；</w:t>
      </w:r>
    </w:p>
    <w:p>
      <w:pPr>
        <w:ind w:firstLine="640"/>
        <w:rPr>
          <w:highlight w:val="none"/>
          <w:lang w:val="en-GB"/>
        </w:rPr>
      </w:pPr>
      <m:oMath>
        <m:r>
          <w:rPr>
            <w:rFonts w:ascii="DejaVu Math TeX Gyre" w:hAnsi="DejaVu Math TeX Gyre" w:cstheme="minorHAnsi"/>
            <w:highlight w:val="none"/>
            <w:lang w:val="en-GB"/>
          </w:rPr>
          <m:t>PV</m:t>
        </m:r>
      </m:oMath>
      <w:r>
        <w:rPr>
          <w:rFonts w:hint="eastAsia"/>
          <w:highlight w:val="none"/>
          <w:lang w:val="en-GB"/>
        </w:rPr>
        <w:t>为寿险合同负债的</w:t>
      </w:r>
      <w:r>
        <w:rPr>
          <w:rFonts w:hint="eastAsia" w:cs="Arial"/>
          <w:highlight w:val="none"/>
        </w:rPr>
        <w:t>折现值。</w:t>
      </w:r>
    </w:p>
    <w:p>
      <w:pPr>
        <w:ind w:firstLine="640"/>
        <w:rPr>
          <w:highlight w:val="none"/>
        </w:rPr>
      </w:pPr>
      <w:r>
        <w:rPr>
          <w:rFonts w:hint="eastAsia" w:ascii="仿宋_GB2312" w:hAnsi="仿宋_GB2312" w:cs="仿宋_GB2312"/>
          <w:szCs w:val="32"/>
          <w:highlight w:val="none"/>
        </w:rPr>
        <w:t>（2）短期寿险合同、短</w:t>
      </w:r>
      <w:r>
        <w:rPr>
          <w:rFonts w:hint="eastAsia" w:ascii="仿宋_GB2312"/>
          <w:highlight w:val="none"/>
        </w:rPr>
        <w:t>期意外伤害险合同、短期健康</w:t>
      </w:r>
      <w:r>
        <w:rPr>
          <w:rFonts w:hint="eastAsia"/>
          <w:highlight w:val="none"/>
        </w:rPr>
        <w:t>险</w:t>
      </w:r>
      <w:r>
        <w:rPr>
          <w:rFonts w:hint="eastAsia" w:cs="MS Mincho"/>
          <w:highlight w:val="none"/>
          <w:lang w:val="en-GB"/>
        </w:rPr>
        <w:t>（含保证续保期届满后的健康险业务）</w:t>
      </w:r>
      <w:r>
        <w:rPr>
          <w:rFonts w:hint="eastAsia"/>
          <w:highlight w:val="none"/>
        </w:rPr>
        <w:t>合同的负债现金流的修正久期，</w:t>
      </w:r>
      <w:bookmarkStart w:id="19" w:name="OLE_LINK15"/>
      <w:bookmarkStart w:id="20" w:name="OLE_LINK16"/>
      <w:r>
        <w:rPr>
          <w:rFonts w:hint="eastAsia" w:ascii="仿宋_GB2312" w:hAnsi="宋体"/>
          <w:highlight w:val="none"/>
        </w:rPr>
        <w:t>既可按照寿险合同负债修正久期的计算方法进行计算，也可</w:t>
      </w:r>
      <w:r>
        <w:rPr>
          <w:rFonts w:hint="eastAsia"/>
          <w:highlight w:val="none"/>
        </w:rPr>
        <w:t>按照非寿险业务合同载明的期限的一半进行估算，折现值填报采用其财务报表的账面价值，扣除对应的分出再保险合同资产。</w:t>
      </w:r>
    </w:p>
    <w:bookmarkEnd w:id="19"/>
    <w:bookmarkEnd w:id="20"/>
    <w:p>
      <w:pPr>
        <w:ind w:firstLine="640"/>
        <w:rPr>
          <w:rFonts w:cs="Arial"/>
          <w:highlight w:val="none"/>
        </w:rPr>
      </w:pPr>
      <w:r>
        <w:rPr>
          <w:rFonts w:hAnsi="仿宋_GB2312" w:eastAsia="仿宋_GB2312" w:cs="仿宋_GB2312" w:asciiTheme="minorHAnsi"/>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3</w:t>
      </w:r>
      <w:r>
        <w:rPr>
          <w:rFonts w:hAnsi="仿宋_GB2312" w:eastAsia="仿宋_GB2312" w:cs="仿宋_GB2312" w:asciiTheme="minorHAnsi"/>
          <w:kern w:val="2"/>
          <w:sz w:val="32"/>
          <w:szCs w:val="32"/>
          <w:lang w:val="en-US" w:eastAsia="zh-CN" w:bidi="ar-SA"/>
        </w:rPr>
        <w:t>）</w:t>
      </w:r>
      <w:bookmarkStart w:id="21" w:name="OLE_LINK20"/>
      <w:bookmarkStart w:id="22" w:name="OLE_LINK19"/>
      <w:r>
        <w:rPr>
          <w:rFonts w:ascii="仿宋_GB2312" w:hAnsi="仿宋_GB2312" w:eastAsia="仿宋_GB2312" w:cs="仿宋_GB2312"/>
          <w:kern w:val="2"/>
          <w:sz w:val="32"/>
          <w:szCs w:val="32"/>
          <w:lang w:val="en-US" w:eastAsia="zh-CN" w:bidi="ar-SA"/>
        </w:rPr>
        <w:t>保险公司按照</w:t>
      </w:r>
      <w:r>
        <w:rPr>
          <w:rFonts w:hint="eastAsia"/>
          <w:highlight w:val="none"/>
        </w:rPr>
        <w:t>财政部相关要求对</w:t>
      </w:r>
      <w:r>
        <w:rPr>
          <w:rFonts w:hint="eastAsia"/>
          <w:highlight w:val="none"/>
          <w:lang w:eastAsia="zh-CN"/>
        </w:rPr>
        <w:t>保单质押贷款</w:t>
      </w:r>
      <w:r>
        <w:rPr>
          <w:rFonts w:hint="eastAsia"/>
          <w:highlight w:val="none"/>
        </w:rPr>
        <w:t>进行简化处理的，</w:t>
      </w:r>
      <w:r>
        <w:rPr>
          <w:rFonts w:hint="eastAsia"/>
          <w:highlight w:val="none"/>
          <w:lang w:eastAsia="zh-CN"/>
        </w:rPr>
        <w:t>保单质押贷款</w:t>
      </w:r>
      <w:r>
        <w:rPr>
          <w:rFonts w:hint="eastAsia"/>
          <w:highlight w:val="none"/>
        </w:rPr>
        <w:t>现金流流入的负债修正久期按照</w:t>
      </w:r>
      <w:r>
        <w:rPr>
          <w:rFonts w:hint="eastAsia"/>
          <w:highlight w:val="none"/>
          <w:lang w:eastAsia="zh-CN"/>
        </w:rPr>
        <w:t>保单质押贷款</w:t>
      </w:r>
      <w:r>
        <w:rPr>
          <w:rFonts w:hint="eastAsia"/>
          <w:highlight w:val="none"/>
        </w:rPr>
        <w:t>平均期限（一般为六个月）进行估算，现金流流入规模为</w:t>
      </w:r>
      <w:r>
        <w:rPr>
          <w:rFonts w:hint="eastAsia"/>
          <w:highlight w:val="none"/>
          <w:lang w:eastAsia="zh-CN"/>
        </w:rPr>
        <w:t>保单质押贷款</w:t>
      </w:r>
      <w:r>
        <w:rPr>
          <w:rFonts w:hint="eastAsia"/>
          <w:highlight w:val="none"/>
        </w:rPr>
        <w:t>本金及其应计利息，合并至负债现金流流入久期计算。</w:t>
      </w:r>
      <w:bookmarkEnd w:id="21"/>
      <w:bookmarkEnd w:id="22"/>
    </w:p>
    <w:p>
      <w:pPr>
        <w:ind w:firstLine="640"/>
        <w:rPr>
          <w:rFonts w:cs="Arial"/>
          <w:highlight w:val="none"/>
        </w:rPr>
      </w:pPr>
      <w:r>
        <w:rPr>
          <w:rFonts w:hint="default" w:ascii="仿宋_GB2312" w:hAnsi="仿宋_GB2312" w:eastAsia="仿宋_GB2312" w:cs="仿宋_GB2312"/>
          <w:kern w:val="2"/>
          <w:sz w:val="32"/>
          <w:szCs w:val="32"/>
          <w:lang w:val="en-US" w:eastAsia="zh-CN" w:bidi="ar-SA"/>
        </w:rPr>
        <w:t>（</w:t>
      </w:r>
      <w:r>
        <w:rPr>
          <w:rFonts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en-US" w:eastAsia="zh-CN" w:bidi="ar-SA"/>
        </w:rPr>
        <w:t>）保</w:t>
      </w:r>
      <w:r>
        <w:rPr>
          <w:rFonts w:hint="eastAsia"/>
          <w:highlight w:val="none"/>
        </w:rPr>
        <w:t>险公司按照财政部相关要求对累积生息进行简化处理的，累积生息现金流流出的负债修正久期按照一年进行估算，现金流流出规模为累积生息的账面价值，合并至负债现金流流出久期计算。</w:t>
      </w:r>
    </w:p>
    <w:p>
      <w:pPr>
        <w:ind w:firstLine="640"/>
        <w:rPr>
          <w:rFonts w:ascii="仿宋_GB2312" w:hAnsi="仿宋_GB2312" w:eastAsia="仿宋_GB2312" w:cs="仿宋_GB2312"/>
          <w:kern w:val="2"/>
          <w:sz w:val="32"/>
          <w:szCs w:val="32"/>
          <w:lang w:val="en-US" w:eastAsia="zh-CN" w:bidi="ar-SA"/>
        </w:rPr>
      </w:pPr>
      <w:r>
        <w:rPr>
          <w:rFonts w:hint="default" w:hAnsi="仿宋_GB2312" w:eastAsia="仿宋_GB2312" w:cs="仿宋_GB2312" w:asciiTheme="minorHAnsi"/>
          <w:kern w:val="2"/>
          <w:sz w:val="32"/>
          <w:szCs w:val="32"/>
          <w:lang w:val="en-US" w:eastAsia="zh-CN" w:bidi="ar-SA"/>
        </w:rPr>
        <w:t>（</w:t>
      </w:r>
      <w:r>
        <w:rPr>
          <w:rFonts w:ascii="仿宋_GB2312" w:hAnsi="仿宋_GB2312" w:eastAsia="仿宋_GB2312" w:cs="仿宋_GB2312"/>
          <w:kern w:val="2"/>
          <w:sz w:val="32"/>
          <w:szCs w:val="32"/>
          <w:lang w:val="en-US" w:eastAsia="zh-CN" w:bidi="ar-SA"/>
        </w:rPr>
        <w:t>5</w:t>
      </w:r>
      <w:r>
        <w:rPr>
          <w:rFonts w:hint="default" w:hAnsi="仿宋_GB2312" w:eastAsia="仿宋_GB2312" w:cs="仿宋_GB2312" w:asciiTheme="minorHAnsi"/>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保险公司发行的次级债、资本补充债、境外发行债券、优先股债务融资工具的负债修正久期计算参照资产修正久期的计算方法。</w:t>
      </w:r>
    </w:p>
    <w:p>
      <w:pPr>
        <w:ind w:firstLine="640"/>
        <w:rPr>
          <w:rFonts w:cs="Arial"/>
          <w:highlight w:val="none"/>
        </w:rPr>
      </w:pPr>
      <w:r>
        <w:rPr>
          <w:rFonts w:hint="default" w:hAnsi="仿宋_GB2312" w:eastAsia="仿宋_GB2312" w:cs="仿宋_GB2312" w:asciiTheme="minorHAnsi"/>
          <w:kern w:val="2"/>
          <w:sz w:val="32"/>
          <w:szCs w:val="32"/>
          <w:lang w:val="en-US" w:eastAsia="zh-CN" w:bidi="ar-SA"/>
        </w:rPr>
        <w:t>（</w:t>
      </w:r>
      <w:r>
        <w:rPr>
          <w:rFonts w:ascii="仿宋_GB2312" w:hAnsi="仿宋_GB2312" w:eastAsia="仿宋_GB2312" w:cs="仿宋_GB2312"/>
          <w:kern w:val="2"/>
          <w:sz w:val="32"/>
          <w:szCs w:val="32"/>
          <w:lang w:val="en-US" w:eastAsia="zh-CN" w:bidi="ar-SA"/>
        </w:rPr>
        <w:t>6</w:t>
      </w:r>
      <w:r>
        <w:rPr>
          <w:rFonts w:hint="default" w:hAnsi="仿宋_GB2312" w:eastAsia="仿宋_GB2312" w:cs="仿宋_GB2312" w:asciiTheme="minorHAnsi"/>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卖出</w:t>
      </w:r>
      <w:r>
        <w:rPr>
          <w:rFonts w:hint="eastAsia"/>
          <w:highlight w:val="none"/>
        </w:rPr>
        <w:t>回购业务现金流流出的修正久期可以按照公司的卖出回购业务的平均期限进行估算，折现值填报采用卖出回购金融资产款及其应付利息之和，期限短于两个月的卖出回购业务可不进行评估。</w:t>
      </w:r>
    </w:p>
    <w:p>
      <w:pPr>
        <w:pStyle w:val="5"/>
        <w:ind w:firstLine="640"/>
        <w:rPr>
          <w:highlight w:val="none"/>
        </w:rPr>
      </w:pPr>
      <w:r>
        <w:rPr>
          <w:rFonts w:hint="eastAsia" w:ascii="仿宋_GB2312" w:hAnsi="仿宋_GB2312" w:cs="仿宋_GB2312"/>
          <w:highlight w:val="none"/>
        </w:rPr>
        <w:t>5.资产现</w:t>
      </w:r>
      <w:r>
        <w:rPr>
          <w:rFonts w:hint="eastAsia"/>
          <w:highlight w:val="none"/>
        </w:rPr>
        <w:t>金流有效久期的计算</w:t>
      </w:r>
    </w:p>
    <w:p>
      <w:pPr>
        <w:ind w:firstLine="640"/>
        <w:rPr>
          <w:highlight w:val="none"/>
        </w:rPr>
      </w:pPr>
      <w:r>
        <w:rPr>
          <w:rFonts w:cs="宋体"/>
          <w:highlight w:val="none"/>
        </w:rPr>
        <w:t>资</w:t>
      </w:r>
      <w:r>
        <w:rPr>
          <w:rFonts w:hint="eastAsia"/>
          <w:highlight w:val="none"/>
        </w:rPr>
        <w:t>产现金流有效久期的计算方法如下：</w:t>
      </w:r>
    </w:p>
    <w:p>
      <w:pPr>
        <w:widowControl/>
        <w:spacing w:line="360" w:lineRule="auto"/>
        <w:ind w:left="640" w:leftChars="200" w:firstLine="640"/>
        <w:rPr>
          <w:rFonts w:cstheme="minorHAnsi"/>
          <w:i/>
          <w:szCs w:val="32"/>
          <w:highlight w:val="none"/>
          <w:lang w:val="en-GB"/>
        </w:rPr>
      </w:pPr>
      <m:oMathPara>
        <m:oMathParaPr>
          <m:jc m:val="left"/>
        </m:oMathParaPr>
        <m:oMath>
          <m:sSub>
            <w:bookmarkStart w:id="23" w:name="OLE_LINK21"/>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eff</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+50bps</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−50bps</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PV×0.01</m:t>
              </m:r>
              <m:ctrlPr>
                <w:rPr>
                  <w:rFonts w:ascii="DejaVu Math TeX Gyre" w:hAnsi="DejaVu Math TeX Gyre" w:cstheme="minorHAnsi"/>
                  <w:i/>
                  <w:szCs w:val="32"/>
                  <w:highlight w:val="none"/>
                  <w:lang w:val="en-GB"/>
                </w:rPr>
              </m:ctrlPr>
            </m:den>
          </m:f>
        </m:oMath>
      </m:oMathPara>
    </w:p>
    <w:bookmarkEnd w:id="23"/>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eff</m:t>
            </m:r>
            <m:ctrlPr>
              <w:rPr>
                <w:rFonts w:ascii="DejaVu Math TeX Gyre" w:hAnsi="DejaVu Math TeX Gyre" w:cstheme="minorHAnsi"/>
                <w:i/>
                <w:highlight w:val="none"/>
                <w:lang w:val="en-GB"/>
              </w:rPr>
            </m:ctrlPr>
          </m:sub>
        </m:sSub>
      </m:oMath>
      <w:r>
        <w:rPr>
          <w:rFonts w:hint="eastAsia"/>
          <w:highlight w:val="none"/>
          <w:lang w:val="en-GB"/>
        </w:rPr>
        <w:t>为资产现金流</w:t>
      </w:r>
      <w:r>
        <w:rPr>
          <w:rFonts w:hint="eastAsia"/>
          <w:highlight w:val="none"/>
        </w:rPr>
        <w:t>有效久期</w:t>
      </w:r>
      <w:r>
        <w:rPr>
          <w:rFonts w:hint="eastAsia"/>
          <w:highlight w:val="none"/>
          <w:lang w:val="en-GB"/>
        </w:rPr>
        <w:t>；</w:t>
      </w:r>
    </w:p>
    <w:p>
      <w:pPr>
        <w:ind w:firstLine="640"/>
        <w:rPr>
          <w:highlight w:val="none"/>
          <w:lang w:val="en-GB"/>
        </w:rPr>
      </w:pPr>
      <m:oMath>
        <m:r>
          <w:rPr>
            <w:rFonts w:ascii="DejaVu Math TeX Gyre" w:hAnsi="DejaVu Math TeX Gyre" w:cstheme="minorHAnsi"/>
            <w:highlight w:val="none"/>
            <w:lang w:val="en-GB"/>
          </w:rPr>
          <m:t>PV</m:t>
        </m:r>
      </m:oMath>
      <w:r>
        <w:rPr>
          <w:rFonts w:hint="eastAsia"/>
          <w:highlight w:val="none"/>
          <w:lang w:val="en-GB"/>
        </w:rPr>
        <w:t>为资产现金流折现值；</w:t>
      </w:r>
    </w:p>
    <w:p>
      <w:pPr>
        <w:ind w:firstLine="640"/>
        <w:rPr>
          <w:rFonts w:ascii="仿宋_GB2312"/>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ascii="仿宋_GB2312"/>
          <w:highlight w:val="none"/>
          <w:lang w:val="en-GB"/>
        </w:rPr>
        <w:t>为资产现金流按折现率上</w:t>
      </w:r>
      <w:r>
        <w:rPr>
          <w:rFonts w:hint="eastAsia" w:ascii="仿宋_GB2312" w:hAnsi="仿宋_GB2312" w:cs="仿宋_GB2312"/>
          <w:highlight w:val="none"/>
          <w:lang w:val="en-GB"/>
        </w:rPr>
        <w:t>移50bps计算</w:t>
      </w:r>
      <w:r>
        <w:rPr>
          <w:rFonts w:hint="eastAsia" w:ascii="仿宋_GB2312"/>
          <w:highlight w:val="none"/>
          <w:lang w:val="en-GB"/>
        </w:rPr>
        <w:t>出的折现值；</w:t>
      </w:r>
    </w:p>
    <w:p>
      <w:pPr>
        <w:ind w:firstLine="640"/>
        <w:rPr>
          <w:rFonts w:ascii="仿宋_GB2312"/>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eastAsia="微软雅黑" w:cstheme="minorHAnsi"/>
                <w:highlight w:val="none"/>
                <w:lang w:val="en-GB"/>
              </w:rPr>
              <m:t>−</m:t>
            </m:r>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ascii="仿宋_GB2312"/>
          <w:highlight w:val="none"/>
          <w:lang w:val="en-GB"/>
        </w:rPr>
        <w:t>为资产现金流按折现率下</w:t>
      </w:r>
      <w:r>
        <w:rPr>
          <w:rFonts w:hAnsi="仿宋_GB2312" w:eastAsia="仿宋_GB2312" w:cs="仿宋_GB2312" w:asciiTheme="minorHAnsi"/>
          <w:kern w:val="2"/>
          <w:sz w:val="32"/>
          <w:szCs w:val="22"/>
          <w:lang w:val="en-US" w:eastAsia="zh-CN" w:bidi="ar-SA"/>
        </w:rPr>
        <w:t>降</w:t>
      </w:r>
      <w:r>
        <w:rPr>
          <w:rFonts w:hint="eastAsia" w:ascii="仿宋_GB2312" w:hAnsi="仿宋_GB2312" w:eastAsia="仿宋_GB2312" w:cs="仿宋_GB2312"/>
          <w:kern w:val="2"/>
          <w:sz w:val="32"/>
          <w:szCs w:val="22"/>
          <w:lang w:val="en-US" w:eastAsia="zh-CN" w:bidi="ar-SA"/>
        </w:rPr>
        <w:t>50bps</w:t>
      </w:r>
      <w:r>
        <w:rPr>
          <w:rFonts w:hAnsi="仿宋_GB2312" w:eastAsia="仿宋_GB2312" w:cs="仿宋_GB2312" w:asciiTheme="minorHAnsi"/>
          <w:kern w:val="2"/>
          <w:sz w:val="32"/>
          <w:szCs w:val="22"/>
          <w:lang w:val="en-US" w:eastAsia="zh-CN" w:bidi="ar-SA"/>
        </w:rPr>
        <w:t>计</w:t>
      </w:r>
      <w:r>
        <w:rPr>
          <w:rFonts w:hint="eastAsia" w:ascii="仿宋_GB2312"/>
          <w:highlight w:val="none"/>
          <w:lang w:val="en-GB"/>
        </w:rPr>
        <w:t>算出的折现值。</w:t>
      </w:r>
    </w:p>
    <w:p>
      <w:pPr>
        <w:ind w:firstLine="640"/>
        <w:rPr>
          <w:highlight w:val="none"/>
          <w:lang w:val="en-GB"/>
        </w:rPr>
      </w:pPr>
      <w:r>
        <w:rPr>
          <w:rFonts w:hint="eastAsia" w:ascii="仿宋_GB2312" w:hAnsi="仿宋_GB2312" w:cs="仿宋_GB2312"/>
          <w:highlight w:val="none"/>
          <w:lang w:val="en-GB"/>
        </w:rPr>
        <w:t>计算资产现金流</w:t>
      </w:r>
      <w:r>
        <w:rPr>
          <w:rFonts w:hint="eastAsia" w:ascii="仿宋_GB2312" w:hAnsi="仿宋_GB2312" w:cs="仿宋_GB2312"/>
          <w:highlight w:val="none"/>
        </w:rPr>
        <w:t>有效久期</w:t>
      </w:r>
      <w:r>
        <w:rPr>
          <w:rFonts w:hint="eastAsia" w:ascii="仿宋_GB2312" w:hAnsi="仿宋_GB2312" w:cs="仿宋_GB2312"/>
          <w:highlight w:val="none"/>
          <w:lang w:val="en-GB"/>
        </w:rPr>
        <w:t>时，需要考虑收益率曲线变动50bps对资产现金流的影响。对于含权的固定收益类投资资产，根据其特征判断是否行权。对于含权债券，可参照中央国债登记结算有限责任公司公布的《含投资人回售权和发行人调整票面利率选择权的附息式固定利率债券估值方法》，判断市场收益率上浮和下浮50bps幅度对行权的影响；对于含权的非标准固定收益类投资资产等，可根据市场收益率上浮和下浮50bps后的远期收益率重新判断对行</w:t>
      </w:r>
      <w:r>
        <w:rPr>
          <w:rFonts w:hint="eastAsia"/>
          <w:highlight w:val="none"/>
          <w:lang w:val="en-GB"/>
        </w:rPr>
        <w:t>权的影响，按照调整后的现金流进行久期计算。其他资产现金流不变。</w:t>
      </w:r>
    </w:p>
    <w:p>
      <w:pPr>
        <w:ind w:firstLine="640"/>
        <w:rPr>
          <w:highlight w:val="none"/>
          <w:lang w:val="en-GB"/>
        </w:rPr>
      </w:pPr>
      <w:r>
        <w:rPr>
          <w:rFonts w:hint="eastAsia"/>
          <w:highlight w:val="none"/>
          <w:lang w:val="en-GB"/>
        </w:rPr>
        <w:t>计算资产现金流</w:t>
      </w:r>
      <w:r>
        <w:rPr>
          <w:rFonts w:hint="eastAsia"/>
          <w:highlight w:val="none"/>
        </w:rPr>
        <w:t>有效久期</w:t>
      </w:r>
      <w:r>
        <w:rPr>
          <w:rFonts w:hint="eastAsia"/>
          <w:highlight w:val="none"/>
          <w:lang w:val="en-GB"/>
        </w:rPr>
        <w:t>的</w:t>
      </w:r>
      <m:oMath>
        <m:r>
          <w:rPr>
            <w:rFonts w:ascii="DejaVu Math TeX Gyre" w:hAnsi="DejaVu Math TeX Gyre" w:cstheme="minorHAnsi"/>
            <w:highlight w:val="none"/>
            <w:lang w:val="en-GB"/>
          </w:rPr>
          <m:t>PV</m:t>
        </m:r>
      </m:oMath>
      <w:r>
        <w:rPr>
          <w:rFonts w:hint="eastAsia"/>
          <w:highlight w:val="none"/>
          <w:lang w:val="en-GB"/>
        </w:rPr>
        <w:t>与修正久期相同。计算</w:t>
      </w: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highlight w:val="none"/>
          <w:lang w:val="en-GB"/>
        </w:rPr>
        <w:t>和</w:t>
      </w: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eastAsia="MS Mincho" w:cstheme="minorHAnsi"/>
                <w:highlight w:val="none"/>
                <w:lang w:val="en-GB"/>
              </w:rPr>
              <m:t>−</m:t>
            </m:r>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highlight w:val="none"/>
          <w:lang w:val="en-GB"/>
        </w:rPr>
        <w:t>时，折现率曲线为市场收益率曲线按相同幅</w:t>
      </w:r>
      <w:r>
        <w:rPr>
          <w:rFonts w:hint="eastAsia" w:ascii="仿宋_GB2312" w:hAnsi="仿宋_GB2312" w:cs="仿宋_GB2312"/>
          <w:highlight w:val="none"/>
          <w:lang w:val="en-GB"/>
        </w:rPr>
        <w:t>度（+/-50bps）变动</w:t>
      </w:r>
      <w:r>
        <w:rPr>
          <w:rFonts w:hint="eastAsia"/>
          <w:highlight w:val="none"/>
          <w:lang w:val="en-GB"/>
        </w:rPr>
        <w:t>后的收益率曲线。</w:t>
      </w:r>
    </w:p>
    <w:p>
      <w:pPr>
        <w:ind w:firstLine="640"/>
        <w:rPr>
          <w:rFonts w:ascii="宋体" w:hAnsi="宋体"/>
          <w:sz w:val="24"/>
          <w:szCs w:val="24"/>
          <w:highlight w:val="none"/>
          <w:lang w:val="en-GB"/>
        </w:rPr>
      </w:pPr>
      <w:r>
        <w:rPr>
          <w:rFonts w:hint="eastAsia" w:cs="MS Mincho"/>
          <w:highlight w:val="none"/>
          <w:lang w:val="en-GB"/>
        </w:rPr>
        <w:t>各类账户资产现金流</w:t>
      </w:r>
      <w:r>
        <w:rPr>
          <w:rFonts w:hint="eastAsia"/>
          <w:highlight w:val="none"/>
        </w:rPr>
        <w:t>有效久期</w:t>
      </w:r>
      <w:r>
        <w:rPr>
          <w:rFonts w:hint="eastAsia" w:cs="MS Mincho"/>
          <w:highlight w:val="none"/>
          <w:lang w:val="en-GB"/>
        </w:rPr>
        <w:t>的合并方法一经确定，原则上不得更改，若有更改，须在备注中说明具体原因。</w:t>
      </w:r>
    </w:p>
    <w:p>
      <w:pPr>
        <w:pStyle w:val="5"/>
        <w:ind w:firstLine="640"/>
        <w:rPr>
          <w:highlight w:val="none"/>
        </w:rPr>
      </w:pPr>
      <w:r>
        <w:rPr>
          <w:rFonts w:hint="eastAsia" w:ascii="仿宋_GB2312" w:hAnsi="仿宋_GB2312" w:cs="仿宋_GB2312"/>
          <w:highlight w:val="none"/>
        </w:rPr>
        <w:t>6.负债现金</w:t>
      </w:r>
      <w:r>
        <w:rPr>
          <w:rFonts w:hint="eastAsia"/>
          <w:highlight w:val="none"/>
        </w:rPr>
        <w:t>流有效久期的计算</w:t>
      </w:r>
    </w:p>
    <w:p>
      <w:pPr>
        <w:ind w:firstLine="640"/>
        <w:rPr>
          <w:highlight w:val="none"/>
          <w:lang w:val="en-GB"/>
        </w:rPr>
      </w:pPr>
      <w:r>
        <w:rPr>
          <w:rFonts w:hint="eastAsia"/>
          <w:highlight w:val="none"/>
          <w:lang w:val="en-GB"/>
        </w:rPr>
        <w:t>分别计算负债现金流流入有效久期和负债现金流流出有效久期，负债现金流</w:t>
      </w:r>
      <w:r>
        <w:rPr>
          <w:rFonts w:hint="eastAsia" w:ascii="仿宋_GB2312" w:hAnsi="仿宋_GB2312" w:cs="仿宋_GB2312"/>
          <w:highlight w:val="none"/>
          <w:lang w:val="en-GB"/>
        </w:rPr>
        <w:t>流入/流出</w:t>
      </w:r>
      <w:r>
        <w:rPr>
          <w:highlight w:val="none"/>
          <w:lang w:val="en-GB"/>
        </w:rPr>
        <w:t>有效久期</w:t>
      </w:r>
      <w:r>
        <w:rPr>
          <w:rFonts w:hint="eastAsia"/>
          <w:highlight w:val="none"/>
          <w:lang w:val="en-GB"/>
        </w:rPr>
        <w:t>的</w:t>
      </w:r>
      <w:r>
        <w:rPr>
          <w:highlight w:val="none"/>
          <w:lang w:val="en-GB"/>
        </w:rPr>
        <w:t>计算方法</w:t>
      </w:r>
      <w:r>
        <w:rPr>
          <w:rFonts w:hint="eastAsia"/>
          <w:highlight w:val="none"/>
          <w:lang w:val="en-GB"/>
        </w:rPr>
        <w:t>如下</w:t>
      </w:r>
      <w:r>
        <w:rPr>
          <w:highlight w:val="none"/>
          <w:lang w:val="en-GB"/>
        </w:rPr>
        <w:t>：</w:t>
      </w:r>
    </w:p>
    <w:p>
      <w:pPr>
        <w:spacing w:line="360" w:lineRule="auto"/>
        <w:ind w:left="640" w:leftChars="200" w:firstLine="640"/>
        <w:rPr>
          <w:rFonts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eff</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+50bps</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−50bps</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PV×0.01</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eff</m:t>
            </m:r>
            <m:ctrlPr>
              <w:rPr>
                <w:rFonts w:ascii="DejaVu Math TeX Gyre" w:hAnsi="DejaVu Math TeX Gyre" w:cstheme="minorHAnsi"/>
                <w:i/>
                <w:highlight w:val="none"/>
                <w:lang w:val="en-GB"/>
              </w:rPr>
            </m:ctrlPr>
          </m:sub>
        </m:sSub>
      </m:oMath>
      <w:r>
        <w:rPr>
          <w:rFonts w:hint="eastAsia"/>
          <w:highlight w:val="none"/>
          <w:lang w:val="en-GB"/>
        </w:rPr>
        <w:t>为负债现金流流</w:t>
      </w:r>
      <w:r>
        <w:rPr>
          <w:rFonts w:hint="eastAsia" w:ascii="仿宋_GB2312" w:hAnsi="仿宋_GB2312" w:cs="仿宋_GB2312"/>
          <w:highlight w:val="none"/>
          <w:lang w:val="en-GB"/>
        </w:rPr>
        <w:t>入/流</w:t>
      </w:r>
      <w:r>
        <w:rPr>
          <w:highlight w:val="none"/>
          <w:lang w:val="en-GB"/>
        </w:rPr>
        <w:t>出有效久期；</w:t>
      </w:r>
    </w:p>
    <w:p>
      <w:pPr>
        <w:ind w:firstLine="640"/>
        <w:rPr>
          <w:highlight w:val="none"/>
          <w:lang w:val="en-GB"/>
        </w:rPr>
      </w:pPr>
      <m:oMath>
        <m:r>
          <w:rPr>
            <w:rFonts w:ascii="DejaVu Math TeX Gyre" w:hAnsi="DejaVu Math TeX Gyre" w:cstheme="minorHAnsi"/>
            <w:highlight w:val="none"/>
            <w:lang w:val="en-GB"/>
          </w:rPr>
          <m:t>PV</m:t>
        </m:r>
      </m:oMath>
      <w:r>
        <w:rPr>
          <w:rFonts w:hint="eastAsia"/>
          <w:highlight w:val="none"/>
          <w:lang w:val="en-GB"/>
        </w:rPr>
        <w:t>为负债现金流流</w:t>
      </w:r>
      <w:r>
        <w:rPr>
          <w:rFonts w:hint="eastAsia" w:ascii="仿宋_GB2312" w:hAnsi="仿宋_GB2312" w:cs="仿宋_GB2312"/>
          <w:highlight w:val="none"/>
          <w:lang w:val="en-GB"/>
        </w:rPr>
        <w:t>入/流出</w:t>
      </w:r>
      <w:r>
        <w:rPr>
          <w:highlight w:val="none"/>
          <w:lang w:val="en-GB"/>
        </w:rPr>
        <w:t>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highlight w:val="none"/>
          <w:lang w:val="en-GB"/>
        </w:rPr>
        <w:t>为负债现金流流</w:t>
      </w:r>
      <w:r>
        <w:rPr>
          <w:rFonts w:hint="eastAsia" w:ascii="仿宋_GB2312" w:hAnsi="仿宋_GB2312" w:eastAsia="仿宋_GB2312" w:cs="仿宋_GB2312"/>
          <w:highlight w:val="none"/>
          <w:lang w:val="en-GB"/>
        </w:rPr>
        <w:t>入/流出按</w:t>
      </w:r>
      <w:r>
        <w:rPr>
          <w:highlight w:val="none"/>
          <w:lang w:val="en-GB"/>
        </w:rPr>
        <w:t>折现率上移</w:t>
      </w:r>
      <w:r>
        <w:rPr>
          <w:rFonts w:hint="eastAsia" w:ascii="仿宋_GB2312" w:hAnsi="仿宋_GB2312" w:cs="仿宋_GB2312"/>
          <w:highlight w:val="none"/>
          <w:lang w:val="en-GB"/>
        </w:rPr>
        <w:t>50bps计算</w:t>
      </w:r>
      <w:r>
        <w:rPr>
          <w:highlight w:val="none"/>
          <w:lang w:val="en-GB"/>
        </w:rPr>
        <w:t>出的折现值；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eastAsia="Helvetica" w:cstheme="minorHAnsi"/>
                <w:highlight w:val="none"/>
                <w:lang w:val="en-GB"/>
              </w:rPr>
              <m:t>−</m:t>
            </m:r>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highlight w:val="none"/>
          <w:lang w:val="en-GB"/>
        </w:rPr>
        <w:t>为负债现金流</w:t>
      </w:r>
      <w:r>
        <w:rPr>
          <w:rFonts w:hint="eastAsia" w:ascii="仿宋_GB2312" w:hAnsi="仿宋_GB2312" w:cs="仿宋_GB2312"/>
          <w:highlight w:val="none"/>
          <w:lang w:val="en-GB"/>
        </w:rPr>
        <w:t>流入/流</w:t>
      </w:r>
      <w:r>
        <w:rPr>
          <w:highlight w:val="none"/>
          <w:lang w:val="en-GB"/>
        </w:rPr>
        <w:t>出按折现率下降</w:t>
      </w:r>
      <w:r>
        <w:rPr>
          <w:rFonts w:hint="eastAsia" w:ascii="仿宋_GB2312" w:hAnsi="仿宋_GB2312" w:cs="仿宋_GB2312"/>
          <w:highlight w:val="none"/>
          <w:lang w:val="en-GB"/>
        </w:rPr>
        <w:t>50bps计算</w:t>
      </w:r>
      <w:r>
        <w:rPr>
          <w:highlight w:val="none"/>
          <w:lang w:val="en-GB"/>
        </w:rPr>
        <w:t>出的折现值</w:t>
      </w:r>
      <w:r>
        <w:rPr>
          <w:rFonts w:hint="eastAsia"/>
          <w:highlight w:val="none"/>
          <w:lang w:val="en-GB"/>
        </w:rPr>
        <w:t>。</w:t>
      </w:r>
    </w:p>
    <w:p>
      <w:pPr>
        <w:ind w:firstLine="640"/>
        <w:rPr>
          <w:highlight w:val="none"/>
          <w:lang w:val="en-GB"/>
        </w:rPr>
      </w:pPr>
      <w:r>
        <w:rPr>
          <w:rFonts w:hint="eastAsia"/>
          <w:highlight w:val="none"/>
          <w:lang w:val="en-GB"/>
        </w:rPr>
        <w:t>计算负债现金流</w:t>
      </w:r>
      <w:r>
        <w:rPr>
          <w:rFonts w:hint="eastAsia" w:ascii="仿宋_GB2312" w:hAnsi="仿宋_GB2312" w:cs="仿宋_GB2312"/>
          <w:highlight w:val="none"/>
          <w:lang w:val="en-GB"/>
        </w:rPr>
        <w:t>流入/流出有</w:t>
      </w:r>
      <w:r>
        <w:rPr>
          <w:rFonts w:hint="eastAsia"/>
          <w:highlight w:val="none"/>
          <w:lang w:val="en-GB"/>
        </w:rPr>
        <w:t>效久期时，需要考虑收益率曲线变动对负债现金流的影响。在</w:t>
      </w:r>
      <w:r>
        <w:rPr>
          <w:rFonts w:hint="eastAsia"/>
          <w:color w:val="000000"/>
          <w:highlight w:val="none"/>
          <w:lang w:val="en-GB"/>
        </w:rPr>
        <w:t>预测分红保险、万能保险等与资产投资收益率直接关联的保险合同现金流时，</w:t>
      </w:r>
      <w:r>
        <w:rPr>
          <w:rFonts w:hint="eastAsia"/>
          <w:highlight w:val="none"/>
          <w:lang w:val="en-GB"/>
        </w:rPr>
        <w:t>投资收益率假设按规定的变动幅度</w:t>
      </w:r>
      <w:r>
        <w:rPr>
          <w:rFonts w:hint="eastAsia" w:ascii="仿宋_GB2312" w:hAnsi="仿宋_GB2312" w:cs="仿宋_GB2312"/>
          <w:highlight w:val="none"/>
          <w:lang w:val="en-GB"/>
        </w:rPr>
        <w:t>（+/-50bps）分别</w:t>
      </w:r>
      <w:r>
        <w:rPr>
          <w:rFonts w:hint="eastAsia"/>
          <w:highlight w:val="none"/>
          <w:lang w:val="en-GB"/>
        </w:rPr>
        <w:t>进行调整，</w:t>
      </w:r>
      <w:r>
        <w:rPr>
          <w:rFonts w:hint="eastAsia"/>
          <w:highlight w:val="none"/>
        </w:rPr>
        <w:t>形成新的投资收益率假设，</w:t>
      </w:r>
      <w:r>
        <w:rPr>
          <w:rFonts w:hint="eastAsia"/>
          <w:highlight w:val="none"/>
          <w:lang w:val="en-GB"/>
        </w:rPr>
        <w:t>再计算调整后的负债现金流。保险公司预测调整后的分红保险保单红利现金流出（不考虑资产变动带来分红特储变化对负债现金流的影响），应满足以下条件：报告期末起连</w:t>
      </w:r>
      <w:r>
        <w:rPr>
          <w:rFonts w:hint="eastAsia" w:ascii="仿宋_GB2312" w:hAnsi="仿宋_GB2312" w:cs="仿宋_GB2312"/>
          <w:highlight w:val="none"/>
          <w:lang w:val="en-GB"/>
        </w:rPr>
        <w:t>续36个月内分红保险保单红利水平与收益率变动前保持一致；36个月后的保单红利水平变动幅度按照投资收益率变动幅度和公司分红</w:t>
      </w:r>
      <w:r>
        <w:rPr>
          <w:rFonts w:hint="eastAsia" w:ascii="仿宋_GB2312" w:hAnsi="仿宋_GB2312" w:cs="仿宋_GB2312"/>
          <w:highlight w:val="none"/>
        </w:rPr>
        <w:t>保险合同约定的分红</w:t>
      </w:r>
      <w:r>
        <w:rPr>
          <w:rFonts w:hint="eastAsia" w:ascii="仿宋_GB2312" w:hAnsi="仿宋_GB2312" w:cs="仿宋_GB2312"/>
          <w:highlight w:val="none"/>
          <w:lang w:val="en-GB"/>
        </w:rPr>
        <w:t>比例进行调整（例如向下调整幅度变动不超过50bps×</w:t>
      </w:r>
      <w:r>
        <w:rPr>
          <w:rFonts w:hint="eastAsia" w:ascii="仿宋_GB2312" w:hAnsi="仿宋_GB2312" w:cs="仿宋_GB2312"/>
          <w:highlight w:val="none"/>
        </w:rPr>
        <w:t>分红比例</w:t>
      </w:r>
      <w:r>
        <w:rPr>
          <w:rFonts w:hint="eastAsia" w:ascii="仿宋_GB2312" w:hAnsi="仿宋_GB2312" w:cs="仿宋_GB2312"/>
          <w:highlight w:val="none"/>
          <w:lang w:val="en-GB"/>
        </w:rPr>
        <w:t>），但</w:t>
      </w:r>
      <w:r>
        <w:rPr>
          <w:rFonts w:hint="eastAsia" w:ascii="仿宋_GB2312" w:hAnsi="仿宋_GB2312" w:cs="仿宋_GB2312"/>
          <w:highlight w:val="none"/>
        </w:rPr>
        <w:t>调整后的</w:t>
      </w:r>
      <w:r>
        <w:rPr>
          <w:rFonts w:hint="eastAsia" w:ascii="仿宋_GB2312" w:hAnsi="仿宋_GB2312" w:cs="仿宋_GB2312"/>
          <w:highlight w:val="none"/>
          <w:lang w:val="en-GB"/>
        </w:rPr>
        <w:t>保单红利水平不低于</w:t>
      </w:r>
      <w:r>
        <w:rPr>
          <w:rFonts w:hint="eastAsia" w:ascii="仿宋_GB2312" w:hAnsi="仿宋_GB2312" w:cs="仿宋_GB2312"/>
          <w:highlight w:val="none"/>
        </w:rPr>
        <w:t>零</w:t>
      </w:r>
      <w:bookmarkStart w:id="24" w:name="OLE_LINK22"/>
      <w:bookmarkStart w:id="25" w:name="OLE_LINK23"/>
      <w:r>
        <w:rPr>
          <w:rFonts w:hint="eastAsia" w:ascii="仿宋_GB2312" w:hAnsi="仿宋_GB2312" w:cs="仿宋_GB2312"/>
          <w:highlight w:val="none"/>
          <w:lang w:val="en-GB"/>
        </w:rPr>
        <w:t>。保险公司预测调整后的万能保险结算利率应满足以下条件：报告期末起连续36个月内万能保险保单结算利率水平与收益率变动前保持一致；36个</w:t>
      </w:r>
      <w:r>
        <w:rPr>
          <w:rFonts w:hint="eastAsia"/>
          <w:highlight w:val="none"/>
          <w:lang w:val="en-GB"/>
        </w:rPr>
        <w:t>月后的结算利率水平变动幅度按照投资收益率变动幅度进行调整，但调</w:t>
      </w:r>
      <w:r>
        <w:rPr>
          <w:highlight w:val="none"/>
          <w:lang w:val="en-GB"/>
        </w:rPr>
        <w:t>整后的每期结算利率假设不得低于合同约定的最低保证利率</w:t>
      </w:r>
      <w:bookmarkEnd w:id="24"/>
      <w:bookmarkEnd w:id="25"/>
      <w:r>
        <w:rPr>
          <w:highlight w:val="none"/>
          <w:lang w:val="en-GB"/>
        </w:rPr>
        <w:t>。</w:t>
      </w:r>
    </w:p>
    <w:p>
      <w:pPr>
        <w:ind w:firstLine="640"/>
        <w:rPr>
          <w:highlight w:val="none"/>
          <w:lang w:val="en-GB"/>
        </w:rPr>
      </w:pPr>
      <w:r>
        <w:rPr>
          <w:rFonts w:hint="eastAsia"/>
          <w:highlight w:val="none"/>
          <w:lang w:val="en-GB"/>
        </w:rPr>
        <w:t>计算负债保险</w:t>
      </w:r>
      <w:r>
        <w:rPr>
          <w:rFonts w:hint="eastAsia" w:ascii="仿宋_GB2312" w:hAnsi="仿宋_GB2312" w:cs="仿宋_GB2312"/>
          <w:highlight w:val="none"/>
          <w:lang w:val="en-GB"/>
        </w:rPr>
        <w:t>业务现金流流入/流出</w:t>
      </w:r>
      <w:r>
        <w:rPr>
          <w:rFonts w:hint="eastAsia"/>
          <w:highlight w:val="none"/>
          <w:lang w:val="en-GB"/>
        </w:rPr>
        <w:t>有效久期的</w:t>
      </w:r>
      <m:oMath>
        <m:r>
          <w:rPr>
            <w:rFonts w:ascii="DejaVu Math TeX Gyre" w:hAnsi="DejaVu Math TeX Gyre" w:cstheme="minorHAnsi"/>
            <w:highlight w:val="none"/>
            <w:lang w:val="en-GB"/>
          </w:rPr>
          <m:t>PV</m:t>
        </m:r>
      </m:oMath>
      <w:r>
        <w:rPr>
          <w:rFonts w:hint="eastAsia"/>
          <w:highlight w:val="none"/>
          <w:lang w:val="en-GB"/>
        </w:rPr>
        <w:t>与修正久期相同，折现率为无风险收益率曲线加溢价调整，溢价调整与修正久期保持一致。计算</w:t>
      </w: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highlight w:val="none"/>
          <w:lang w:val="en-GB"/>
        </w:rPr>
        <w:t>和</w:t>
      </w: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eastAsia="微软雅黑" w:cstheme="minorHAnsi"/>
                <w:highlight w:val="none"/>
                <w:lang w:val="en-GB"/>
              </w:rPr>
              <m:t>−</m:t>
            </m:r>
            <m:r>
              <w:rPr>
                <w:rFonts w:ascii="DejaVu Math TeX Gyre" w:hAnsi="DejaVu Math TeX Gyre" w:cstheme="minorHAnsi"/>
                <w:highlight w:val="none"/>
                <w:lang w:val="en-GB"/>
              </w:rPr>
              <m:t>50bps</m:t>
            </m:r>
            <m:ctrlPr>
              <w:rPr>
                <w:rFonts w:ascii="DejaVu Math TeX Gyre" w:hAnsi="DejaVu Math TeX Gyre" w:cstheme="minorHAnsi"/>
                <w:i/>
                <w:highlight w:val="none"/>
                <w:lang w:val="en-GB"/>
              </w:rPr>
            </m:ctrlPr>
          </m:sub>
        </m:sSub>
      </m:oMath>
      <w:r>
        <w:rPr>
          <w:rFonts w:hint="eastAsia" w:ascii="仿宋_GB2312" w:hAnsi="仿宋_GB2312" w:cs="仿宋_GB2312"/>
          <w:highlight w:val="none"/>
          <w:lang w:val="en-GB"/>
        </w:rPr>
        <w:t>时，折现率曲线为无风险收益率曲线加溢价调整按相同幅度（+/-50bps）变动后的收</w:t>
      </w:r>
      <w:r>
        <w:rPr>
          <w:rFonts w:hint="eastAsia"/>
          <w:highlight w:val="none"/>
          <w:lang w:val="en-GB"/>
        </w:rPr>
        <w:t>益率曲线。负债非保险业务的有效久期计算，参照资产现金流有效久期的方法。</w:t>
      </w:r>
    </w:p>
    <w:p>
      <w:pPr>
        <w:ind w:firstLine="640"/>
        <w:rPr>
          <w:rFonts w:ascii="仿宋_GB2312"/>
          <w:highlight w:val="none"/>
          <w:lang w:val="en-GB"/>
        </w:rPr>
      </w:pPr>
      <w:r>
        <w:rPr>
          <w:rFonts w:hint="eastAsia"/>
          <w:highlight w:val="none"/>
        </w:rPr>
        <w:t>保险公司按照财政部相关要求对</w:t>
      </w:r>
      <w:r>
        <w:rPr>
          <w:rFonts w:hint="eastAsia"/>
          <w:highlight w:val="none"/>
          <w:lang w:eastAsia="zh-CN"/>
        </w:rPr>
        <w:t>保单质押贷款</w:t>
      </w:r>
      <w:r>
        <w:rPr>
          <w:rFonts w:hint="eastAsia"/>
          <w:highlight w:val="none"/>
        </w:rPr>
        <w:t>、累积生息进行简化处理的，</w:t>
      </w:r>
      <w:r>
        <w:rPr>
          <w:rFonts w:hint="eastAsia"/>
          <w:highlight w:val="none"/>
          <w:lang w:eastAsia="zh-CN"/>
        </w:rPr>
        <w:t>保单质押贷款</w:t>
      </w:r>
      <w:r>
        <w:rPr>
          <w:rFonts w:hint="eastAsia"/>
          <w:highlight w:val="none"/>
        </w:rPr>
        <w:t>现金流流入负债有效久期、累积生息现金流出负债有效久期的计算，与其负债修正久期的计算保持一致。</w:t>
      </w:r>
    </w:p>
    <w:p>
      <w:pPr>
        <w:pStyle w:val="5"/>
        <w:ind w:firstLine="640"/>
        <w:rPr>
          <w:rFonts w:hint="eastAsia" w:ascii="仿宋_GB2312" w:hAnsi="仿宋_GB2312" w:cs="仿宋_GB2312"/>
          <w:highlight w:val="none"/>
        </w:rPr>
      </w:pPr>
      <w:r>
        <w:rPr>
          <w:rFonts w:hint="eastAsia" w:ascii="仿宋_GB2312" w:hAnsi="仿宋_GB2312" w:cs="仿宋_GB2312"/>
          <w:highlight w:val="none"/>
        </w:rPr>
        <w:t>7.利率风险对冲率的计算</w:t>
      </w:r>
    </w:p>
    <w:p>
      <w:pPr>
        <w:ind w:firstLine="640"/>
        <w:rPr>
          <w:highlight w:val="none"/>
        </w:rPr>
      </w:pPr>
      <w:r>
        <w:rPr>
          <w:rFonts w:hint="eastAsia" w:ascii="仿宋_GB2312" w:hAnsi="仿宋_GB2312" w:cs="仿宋_GB2312"/>
          <w:highlight w:val="none"/>
        </w:rPr>
        <w:t>利率风险对冲率反映收益率曲线上下变动50bps，公</w:t>
      </w:r>
      <w:r>
        <w:rPr>
          <w:rFonts w:hint="eastAsia"/>
          <w:highlight w:val="none"/>
        </w:rPr>
        <w:t>司普通账户及各大类账户现金流流入价值变动幅度对现金流流出价值变动幅度的对冲情况。</w:t>
      </w:r>
    </w:p>
    <w:p>
      <w:pPr>
        <w:ind w:firstLine="640"/>
        <w:rPr>
          <w:highlight w:val="none"/>
        </w:rPr>
      </w:pPr>
      <w:r>
        <w:rPr>
          <w:rFonts w:hint="eastAsia"/>
          <w:highlight w:val="none"/>
        </w:rPr>
        <w:t>公司普通账户及各大类资产账户的利率风险对冲率的计算方法如下：</w:t>
      </w:r>
    </w:p>
    <w:p>
      <w:pPr>
        <w:spacing w:line="360" w:lineRule="auto"/>
        <w:ind w:left="640" w:leftChars="200" w:firstLine="640"/>
        <w:rPr>
          <w:rFonts w:ascii="Cambria Math" w:hAnsi="Cambria Math" w:cstheme="minorHAnsi"/>
          <w:iCs/>
          <w:szCs w:val="32"/>
          <w:highlight w:val="none"/>
          <w:lang w:val="en-GB"/>
        </w:rPr>
      </w:pPr>
      <m:oMathPara>
        <m:oMathParaPr>
          <m:jc m:val="left"/>
        </m:oMathParaPr>
        <m:oMath>
          <m:r>
            <m:rPr>
              <m:sty m:val="p"/>
            </m:rPr>
            <w:rPr>
              <w:rFonts w:ascii="DejaVu Math TeX Gyre" w:hAnsi="DejaVu Math TeX Gyre" w:cstheme="minorHAnsi"/>
              <w:szCs w:val="32"/>
              <w:highlight w:val="none"/>
              <w:lang w:val="en-GB"/>
            </w:rPr>
            <m:t>利率风险对冲率=</m:t>
          </m:r>
          <m:f>
            <m:fPr>
              <m:ctrlPr>
                <w:rPr>
                  <w:rFonts w:ascii="DejaVu Math TeX Gyre" w:hAnsi="DejaVu Math TeX Gyre" w:cstheme="minorHAnsi"/>
                  <w:iCs/>
                  <w:szCs w:val="32"/>
                  <w:highlight w:val="none"/>
                  <w:lang w:val="en-GB"/>
                </w:rPr>
              </m:ctrlPr>
            </m:fPr>
            <m:num>
              <m:r>
                <m:rPr>
                  <m:sty m:val="p"/>
                </m:rPr>
                <w:rPr>
                  <w:rFonts w:ascii="DejaVu Math TeX Gyre" w:hAnsi="DejaVu Math TeX Gyre" w:cstheme="minorHAnsi"/>
                  <w:szCs w:val="32"/>
                  <w:highlight w:val="none"/>
                  <w:lang w:val="en-GB"/>
                </w:rPr>
                <m:t>现金流流入利率敏感度</m:t>
              </m:r>
              <m:ctrlPr>
                <w:rPr>
                  <w:rFonts w:ascii="DejaVu Math TeX Gyre" w:hAnsi="DejaVu Math TeX Gyre" w:cstheme="minorHAnsi"/>
                  <w:iCs/>
                  <w:szCs w:val="32"/>
                  <w:highlight w:val="none"/>
                  <w:lang w:val="en-GB"/>
                </w:rPr>
              </m:ctrlPr>
            </m:num>
            <m:den>
              <m:r>
                <m:rPr>
                  <m:sty m:val="p"/>
                </m:rPr>
                <w:rPr>
                  <w:rFonts w:ascii="DejaVu Math TeX Gyre" w:hAnsi="DejaVu Math TeX Gyre" w:cstheme="minorHAnsi"/>
                  <w:szCs w:val="32"/>
                  <w:highlight w:val="none"/>
                  <w:lang w:val="en-GB"/>
                </w:rPr>
                <m:t>现金流流出利率敏感度</m:t>
              </m:r>
              <m:ctrlPr>
                <w:rPr>
                  <w:rFonts w:ascii="DejaVu Math TeX Gyre" w:hAnsi="DejaVu Math TeX Gyre" w:cstheme="minorHAnsi"/>
                  <w:iCs/>
                  <w:szCs w:val="32"/>
                  <w:highlight w:val="none"/>
                  <w:lang w:val="en-GB"/>
                </w:rPr>
              </m:ctrlPr>
            </m:den>
          </m:f>
        </m:oMath>
      </m:oMathPara>
    </w:p>
    <w:p>
      <w:pPr>
        <w:ind w:firstLine="640"/>
        <w:rPr>
          <w:szCs w:val="32"/>
          <w:highlight w:val="none"/>
        </w:rPr>
      </w:pPr>
      <w:r>
        <w:rPr>
          <w:rFonts w:hint="eastAsia"/>
          <w:highlight w:val="none"/>
          <w:lang w:val="en-GB"/>
        </w:rPr>
        <w:t>其中，</w:t>
      </w:r>
      <w:r>
        <w:rPr>
          <w:rFonts w:hint="eastAsia"/>
          <w:highlight w:val="none"/>
        </w:rPr>
        <w:t>公司普通账户及各大类资产账户的现金流流入利率敏感度</w:t>
      </w:r>
      <m:oMath>
        <m:r>
          <m:rPr>
            <m:sty m:val="p"/>
          </m:rPr>
          <w:rPr>
            <w:rFonts w:hint="eastAsia" w:ascii="DejaVu Math TeX Gyre" w:hAnsi="DejaVu Math TeX Gyre"/>
            <w:highlight w:val="none"/>
          </w:rPr>
          <m:t>=</m:t>
        </m:r>
        <m:d>
          <m:dPr>
            <m:begChr m:val="["/>
            <m:endChr m:val="]"/>
            <m:ctrlPr>
              <w:rPr>
                <w:rFonts w:ascii="DejaVu Math TeX Gyre" w:hAnsi="DejaVu Math TeX Gyre" w:cstheme="minorHAnsi"/>
                <w:i/>
                <w:szCs w:val="32"/>
                <w:highlight w:val="none"/>
              </w:rPr>
            </m:ctrlPr>
          </m:dPr>
          <m:e>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long</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NA</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long</m:t>
                </m:r>
                <m:ctrlPr>
                  <w:rPr>
                    <w:rFonts w:ascii="DejaVu Math TeX Gyre" w:hAnsi="DejaVu Math TeX Gyre" w:cstheme="minorHAnsi"/>
                    <w:i/>
                    <w:szCs w:val="32"/>
                    <w:highlight w:val="none"/>
                    <w:lang w:val="en-GB"/>
                  </w:rPr>
                </m:ctrlPr>
              </m:sub>
            </m:s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m:t>
                </m:r>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sℎort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NA</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sℎort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)×1</m:t>
            </m:r>
            <m:r>
              <w:rPr>
                <w:rFonts w:ascii="DejaVu Math TeX Gyre" w:hAnsi="DejaVu Math TeX Gyre" w:cstheme="minorHAnsi"/>
                <w:szCs w:val="32"/>
                <w:highlight w:val="none"/>
              </w:rPr>
              <m:t>%</m:t>
            </m:r>
            <m:ctrlPr>
              <w:rPr>
                <w:rFonts w:ascii="DejaVu Math TeX Gyre" w:hAnsi="DejaVu Math TeX Gyre" w:cstheme="minorHAnsi"/>
                <w:i/>
                <w:szCs w:val="32"/>
                <w:highlight w:val="none"/>
              </w:rPr>
            </m:ctrlPr>
          </m:e>
        </m:d>
        <m:r>
          <w:rPr>
            <w:rFonts w:hint="eastAsia"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oMath>
      <w:r>
        <w:rPr>
          <w:rFonts w:hint="eastAsia"/>
          <w:highlight w:val="none"/>
        </w:rPr>
        <w:t>；公司普通账户及各大类资产账户的现金流流出利率敏感度</w:t>
      </w:r>
      <m:oMath>
        <m:r>
          <m:rPr>
            <m:sty m:val="p"/>
          </m:rPr>
          <w:rPr>
            <w:rFonts w:hint="eastAsia" w:ascii="DejaVu Math TeX Gyre" w:hAnsi="DejaVu Math TeX Gyre"/>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r>
          <w:rPr>
            <w:rFonts w:ascii="DejaVu Math TeX Gyre" w:hAnsi="DejaVu Math TeX Gyre" w:cstheme="minorHAnsi"/>
            <w:szCs w:val="32"/>
            <w:highlight w:val="none"/>
          </w:rPr>
          <m:t>1%</m:t>
        </m:r>
      </m:oMath>
      <w:r>
        <w:rPr>
          <w:rFonts w:hint="eastAsia"/>
          <w:szCs w:val="32"/>
          <w:highlight w:val="none"/>
          <w:lang w:val="en-GB"/>
        </w:rPr>
        <w:t>。</w:t>
      </w:r>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为资产现金流有效久期；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为负债现金流流入有效久期；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lang w:val="en-GB"/>
        </w:rPr>
        <w:t>为负债现金流流出有效久期；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lang w:val="en-GB"/>
        </w:rPr>
        <w:t>为负债现金流流出的折现值；</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long</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为利率类金融衍生品买入合约的修正久期；</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NA</m:t>
            </m:r>
            <m:ctrlPr>
              <w:rPr>
                <w:rFonts w:ascii="DejaVu Math TeX Gyre" w:hAnsi="DejaVu Math TeX Gyre" w:cstheme="minorHAnsi"/>
                <w:i/>
                <w:highlight w:val="none"/>
                <w:lang w:val="en-GB"/>
              </w:rPr>
            </m:ctrlPr>
          </m:e>
          <m:sub>
            <m:r>
              <w:rPr>
                <w:rFonts w:ascii="DejaVu Math TeX Gyre" w:hAnsi="DejaVu Math TeX Gyre" w:cstheme="minorHAnsi"/>
                <w:highlight w:val="none"/>
              </w:rPr>
              <m:t>long</m:t>
            </m:r>
            <m:ctrlPr>
              <w:rPr>
                <w:rFonts w:ascii="DejaVu Math TeX Gyre" w:hAnsi="DejaVu Math TeX Gyre" w:cstheme="minorHAnsi"/>
                <w:i/>
                <w:highlight w:val="none"/>
                <w:lang w:val="en-GB"/>
              </w:rPr>
            </m:ctrlPr>
          </m:sub>
        </m:sSub>
      </m:oMath>
      <w:r>
        <w:rPr>
          <w:rFonts w:hint="eastAsia" w:cs="MS Mincho"/>
          <w:highlight w:val="none"/>
        </w:rPr>
        <w:t>为</w:t>
      </w:r>
      <w:r>
        <w:rPr>
          <w:rFonts w:hint="eastAsia" w:ascii="宋体" w:hAnsi="Cambria Math"/>
          <w:highlight w:val="none"/>
        </w:rPr>
        <w:t>利率类金融衍生品买入合约</w:t>
      </w:r>
      <w:r>
        <w:rPr>
          <w:rFonts w:hint="eastAsia" w:cs="MS Mincho"/>
          <w:highlight w:val="none"/>
        </w:rPr>
        <w:t>的名义本金之和；</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sℎort</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为利率类金融衍生品卖出合约的修正久期；</w:t>
      </w:r>
    </w:p>
    <w:p>
      <w:pPr>
        <w:ind w:firstLine="640"/>
        <w:rPr>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NA</m:t>
            </m:r>
            <m:ctrlPr>
              <w:rPr>
                <w:rFonts w:ascii="DejaVu Math TeX Gyre" w:hAnsi="DejaVu Math TeX Gyre" w:cstheme="minorHAnsi"/>
                <w:i/>
                <w:highlight w:val="none"/>
                <w:lang w:val="en-GB"/>
              </w:rPr>
            </m:ctrlPr>
          </m:e>
          <m:sub>
            <m:r>
              <w:rPr>
                <w:rFonts w:ascii="DejaVu Math TeX Gyre" w:hAnsi="DejaVu Math TeX Gyre" w:cstheme="minorHAnsi"/>
                <w:highlight w:val="none"/>
              </w:rPr>
              <m:t>sℎort</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为利率类金融衍生品卖出合约</w:t>
      </w:r>
      <w:r>
        <w:rPr>
          <w:rFonts w:hint="eastAsia" w:cs="MS Mincho"/>
          <w:highlight w:val="none"/>
        </w:rPr>
        <w:t>的名义本金之和。</w:t>
      </w:r>
    </w:p>
    <w:p>
      <w:pPr>
        <w:pStyle w:val="5"/>
        <w:ind w:firstLine="640"/>
        <w:rPr>
          <w:rFonts w:hint="eastAsia" w:ascii="仿宋_GB2312" w:hAnsi="仿宋_GB2312" w:cs="仿宋_GB2312"/>
          <w:highlight w:val="none"/>
        </w:rPr>
      </w:pPr>
      <w:r>
        <w:rPr>
          <w:rFonts w:hint="eastAsia" w:ascii="仿宋_GB2312" w:hAnsi="仿宋_GB2312" w:cs="仿宋_GB2312"/>
          <w:highlight w:val="none"/>
        </w:rPr>
        <w:t>8.久期缺口的计算</w:t>
      </w:r>
    </w:p>
    <w:p>
      <w:pPr>
        <w:ind w:firstLine="640"/>
        <w:rPr>
          <w:highlight w:val="none"/>
          <w:lang w:val="en-GB"/>
        </w:rPr>
      </w:pPr>
      <w:r>
        <w:rPr>
          <w:rFonts w:hint="eastAsia" w:ascii="仿宋_GB2312" w:hAnsi="仿宋_GB2312" w:cs="仿宋_GB2312"/>
          <w:highlight w:val="none"/>
        </w:rPr>
        <w:t>（1）金额久期缺口反映市场收益率曲线平行变动10bps对公</w:t>
      </w:r>
      <w:r>
        <w:rPr>
          <w:rFonts w:hint="eastAsia"/>
          <w:highlight w:val="none"/>
        </w:rPr>
        <w:t>司普通账户及各大类账户资产负债金额的影响，计算方法如下</w:t>
      </w:r>
      <w:r>
        <w:rPr>
          <w:rFonts w:hint="eastAsia"/>
          <w:highlight w:val="none"/>
          <w:lang w:val="en-GB"/>
        </w:rPr>
        <w:t>：</w:t>
      </w:r>
    </w:p>
    <w:p>
      <w:pPr>
        <w:spacing w:line="360" w:lineRule="auto"/>
        <w:ind w:left="640" w:leftChars="200" w:firstLine="640"/>
        <w:rPr>
          <w:rFonts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Gap</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D</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long</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NA</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long</m:t>
              </m:r>
              <m:ctrlPr>
                <w:rPr>
                  <w:rFonts w:ascii="DejaVu Math TeX Gyre" w:hAnsi="DejaVu Math TeX Gyre" w:cstheme="minorHAnsi"/>
                  <w:i/>
                  <w:szCs w:val="32"/>
                  <w:highlight w:val="none"/>
                  <w:lang w:val="en-GB"/>
                </w:rPr>
              </m:ctrlPr>
            </m:sub>
          </m:s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m:t>
              </m:r>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sℎort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NA</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sℎort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rPr>
            <m:t>)/1000</m:t>
          </m:r>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Gap</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D</m:t>
            </m:r>
            <m:ctrlPr>
              <w:rPr>
                <w:rFonts w:ascii="DejaVu Math TeX Gyre" w:hAnsi="DejaVu Math TeX Gyre" w:cstheme="minorHAnsi"/>
                <w:i/>
                <w:highlight w:val="none"/>
                <w:lang w:val="en-GB"/>
              </w:rPr>
            </m:ctrlPr>
          </m:sub>
        </m:sSub>
      </m:oMath>
      <w:r>
        <w:rPr>
          <w:rFonts w:hint="eastAsia"/>
          <w:highlight w:val="none"/>
          <w:lang w:val="en-GB"/>
        </w:rPr>
        <w:t>为金额久期缺口；</w:t>
      </w:r>
    </w:p>
    <w:p>
      <w:pPr>
        <w:ind w:firstLine="640"/>
        <w:rPr>
          <w:highlight w:val="none"/>
          <w:lang w:val="en-GB"/>
        </w:rPr>
      </w:pPr>
      <m:oMath>
        <m:sSub>
          <w:bookmarkStart w:id="26" w:name="OLE_LINK30"/>
          <w:bookmarkStart w:id="27" w:name="OLE_LINK31"/>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w:t>
      </w:r>
      <w:r>
        <w:rPr>
          <w:highlight w:val="none"/>
          <w:lang w:val="en-GB"/>
        </w:rPr>
        <w:t>修正/有效</w:t>
      </w:r>
      <w:r>
        <w:rPr>
          <w:rFonts w:hint="eastAsia"/>
          <w:highlight w:val="none"/>
          <w:lang w:val="en-GB"/>
        </w:rPr>
        <w:t>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w:t>
      </w:r>
      <w:r>
        <w:rPr>
          <w:highlight w:val="none"/>
          <w:lang w:val="en-GB"/>
        </w:rPr>
        <w:t>修正/有效</w:t>
      </w:r>
      <w:r>
        <w:rPr>
          <w:rFonts w:hint="eastAsia"/>
          <w:highlight w:val="none"/>
          <w:lang w:val="en-GB"/>
        </w:rPr>
        <w:t>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lang w:val="en-GB"/>
        </w:rPr>
        <w:t>为负债现金流流出</w:t>
      </w:r>
      <w:r>
        <w:rPr>
          <w:highlight w:val="none"/>
          <w:lang w:val="en-GB"/>
        </w:rPr>
        <w:t>修正/有效</w:t>
      </w:r>
      <w:r>
        <w:rPr>
          <w:rFonts w:hint="eastAsia"/>
          <w:highlight w:val="none"/>
          <w:lang w:val="en-GB"/>
        </w:rPr>
        <w:t>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lang w:val="en-GB"/>
        </w:rPr>
        <w:t>为负债现金流流出的折现值；</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long</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为利率类金融衍生品买入合约的修正久期；</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NA</m:t>
            </m:r>
            <m:ctrlPr>
              <w:rPr>
                <w:rFonts w:ascii="DejaVu Math TeX Gyre" w:hAnsi="DejaVu Math TeX Gyre" w:cstheme="minorHAnsi"/>
                <w:i/>
                <w:highlight w:val="none"/>
                <w:lang w:val="en-GB"/>
              </w:rPr>
            </m:ctrlPr>
          </m:e>
          <m:sub>
            <m:r>
              <w:rPr>
                <w:rFonts w:ascii="DejaVu Math TeX Gyre" w:hAnsi="DejaVu Math TeX Gyre" w:cstheme="minorHAnsi"/>
                <w:highlight w:val="none"/>
              </w:rPr>
              <m:t>long</m:t>
            </m:r>
            <m:ctrlPr>
              <w:rPr>
                <w:rFonts w:ascii="DejaVu Math TeX Gyre" w:hAnsi="DejaVu Math TeX Gyre" w:cstheme="minorHAnsi"/>
                <w:i/>
                <w:highlight w:val="none"/>
                <w:lang w:val="en-GB"/>
              </w:rPr>
            </m:ctrlPr>
          </m:sub>
        </m:sSub>
      </m:oMath>
      <w:r>
        <w:rPr>
          <w:rFonts w:hint="eastAsia" w:cs="MS Mincho"/>
          <w:highlight w:val="none"/>
        </w:rPr>
        <w:t>为</w:t>
      </w:r>
      <w:r>
        <w:rPr>
          <w:rFonts w:hint="eastAsia" w:ascii="宋体" w:hAnsi="Cambria Math"/>
          <w:highlight w:val="none"/>
        </w:rPr>
        <w:t>利率类金融衍生品买入合约</w:t>
      </w:r>
      <w:r>
        <w:rPr>
          <w:rFonts w:hint="eastAsia" w:cs="MS Mincho"/>
          <w:highlight w:val="none"/>
        </w:rPr>
        <w:t>的名义本金之和；</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sℎort</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为利率类金融衍生品卖出合约的修正久期；</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NA</m:t>
            </m:r>
            <m:ctrlPr>
              <w:rPr>
                <w:rFonts w:ascii="DejaVu Math TeX Gyre" w:hAnsi="DejaVu Math TeX Gyre" w:cstheme="minorHAnsi"/>
                <w:i/>
                <w:highlight w:val="none"/>
                <w:lang w:val="en-GB"/>
              </w:rPr>
            </m:ctrlPr>
          </m:e>
          <m:sub>
            <m:r>
              <w:rPr>
                <w:rFonts w:ascii="DejaVu Math TeX Gyre" w:hAnsi="DejaVu Math TeX Gyre" w:cstheme="minorHAnsi"/>
                <w:highlight w:val="none"/>
              </w:rPr>
              <m:t>sℎort</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为利率类金融衍生品卖出合约</w:t>
      </w:r>
      <w:r>
        <w:rPr>
          <w:rFonts w:hint="eastAsia" w:cs="MS Mincho"/>
          <w:highlight w:val="none"/>
        </w:rPr>
        <w:t>的名义本金之和。</w:t>
      </w:r>
      <w:bookmarkEnd w:id="26"/>
      <w:bookmarkEnd w:id="27"/>
    </w:p>
    <w:p>
      <w:pPr>
        <w:ind w:firstLine="640"/>
        <w:rPr>
          <w:highlight w:val="none"/>
          <w:lang w:val="en-GB"/>
        </w:rPr>
      </w:pPr>
      <w:r>
        <w:rPr>
          <w:rFonts w:hint="eastAsia" w:ascii="仿宋_GB2312" w:hAnsi="仿宋_GB2312" w:cs="仿宋_GB2312"/>
          <w:highlight w:val="none"/>
          <w:lang w:val="en-GB"/>
        </w:rPr>
        <w:t>（2）规模调整</w:t>
      </w:r>
      <w:r>
        <w:rPr>
          <w:rFonts w:hint="eastAsia"/>
          <w:highlight w:val="none"/>
          <w:lang w:val="en-GB"/>
        </w:rPr>
        <w:t>后的久期缺口计算方法如下：</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Gap</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Adjusted</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long</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NA</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long</m:t>
              </m:r>
              <m:ctrlPr>
                <w:rPr>
                  <w:rFonts w:ascii="DejaVu Math TeX Gyre" w:hAnsi="DejaVu Math TeX Gyre" w:cstheme="minorHAnsi"/>
                  <w:i/>
                  <w:szCs w:val="32"/>
                  <w:highlight w:val="none"/>
                  <w:lang w:val="en-GB"/>
                </w:rPr>
              </m:ctrlPr>
            </m:sub>
          </m:s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m:t>
              </m:r>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sℎort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rPr>
                <m:t>NA</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sℎort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Gap</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Adjusted</m:t>
            </m:r>
            <m:ctrlPr>
              <w:rPr>
                <w:rFonts w:ascii="DejaVu Math TeX Gyre" w:hAnsi="DejaVu Math TeX Gyre" w:cstheme="minorHAnsi"/>
                <w:i/>
                <w:highlight w:val="none"/>
                <w:lang w:val="en-GB"/>
              </w:rPr>
            </m:ctrlPr>
          </m:sub>
        </m:sSub>
      </m:oMath>
      <w:r>
        <w:rPr>
          <w:rFonts w:hint="eastAsia"/>
          <w:highlight w:val="none"/>
          <w:lang w:val="en-GB"/>
        </w:rPr>
        <w:t>为</w:t>
      </w:r>
      <w:r>
        <w:rPr>
          <w:highlight w:val="none"/>
          <w:lang w:val="en-GB"/>
        </w:rPr>
        <w:t>规模调整后的久期缺口</w:t>
      </w:r>
      <w:r>
        <w:rPr>
          <w:rFonts w:hint="eastAsia"/>
          <w:highlight w:val="none"/>
          <w:lang w:val="en-GB"/>
        </w:rPr>
        <w:t>；</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w:t>
      </w:r>
      <w:r>
        <w:rPr>
          <w:highlight w:val="none"/>
          <w:lang w:val="en-GB"/>
        </w:rPr>
        <w:t>修正/有效</w:t>
      </w:r>
      <w:r>
        <w:rPr>
          <w:rFonts w:hint="eastAsia"/>
          <w:highlight w:val="none"/>
          <w:lang w:val="en-GB"/>
        </w:rPr>
        <w:t>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w:t>
      </w:r>
      <w:r>
        <w:rPr>
          <w:highlight w:val="none"/>
          <w:lang w:val="en-GB"/>
        </w:rPr>
        <w:t>修正/有效</w:t>
      </w:r>
      <w:r>
        <w:rPr>
          <w:rFonts w:hint="eastAsia"/>
          <w:highlight w:val="none"/>
          <w:lang w:val="en-GB"/>
        </w:rPr>
        <w:t>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lang w:val="en-GB"/>
        </w:rPr>
        <w:t>为负债现金流流出</w:t>
      </w:r>
      <w:r>
        <w:rPr>
          <w:highlight w:val="none"/>
          <w:lang w:val="en-GB"/>
        </w:rPr>
        <w:t>修正/有效</w:t>
      </w:r>
      <w:r>
        <w:rPr>
          <w:rFonts w:hint="eastAsia"/>
          <w:highlight w:val="none"/>
          <w:lang w:val="en-GB"/>
        </w:rPr>
        <w:t>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lang w:val="en-GB"/>
        </w:rPr>
        <w:t>为负债现金流流出的折现值；</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long</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为利率类金融衍生品买入合约的修正久期；</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NA</m:t>
            </m:r>
            <m:ctrlPr>
              <w:rPr>
                <w:rFonts w:ascii="DejaVu Math TeX Gyre" w:hAnsi="DejaVu Math TeX Gyre" w:cstheme="minorHAnsi"/>
                <w:i/>
                <w:highlight w:val="none"/>
                <w:lang w:val="en-GB"/>
              </w:rPr>
            </m:ctrlPr>
          </m:e>
          <m:sub>
            <m:r>
              <w:rPr>
                <w:rFonts w:ascii="DejaVu Math TeX Gyre" w:hAnsi="DejaVu Math TeX Gyre" w:cstheme="minorHAnsi"/>
                <w:highlight w:val="none"/>
              </w:rPr>
              <m:t>long</m:t>
            </m:r>
            <m:ctrlPr>
              <w:rPr>
                <w:rFonts w:ascii="DejaVu Math TeX Gyre" w:hAnsi="DejaVu Math TeX Gyre" w:cstheme="minorHAnsi"/>
                <w:i/>
                <w:highlight w:val="none"/>
                <w:lang w:val="en-GB"/>
              </w:rPr>
            </m:ctrlPr>
          </m:sub>
        </m:sSub>
      </m:oMath>
      <w:r>
        <w:rPr>
          <w:rFonts w:hint="eastAsia" w:cs="MS Mincho"/>
          <w:highlight w:val="none"/>
        </w:rPr>
        <w:t>为</w:t>
      </w:r>
      <w:r>
        <w:rPr>
          <w:rFonts w:hint="eastAsia" w:ascii="宋体" w:hAnsi="Cambria Math"/>
          <w:highlight w:val="none"/>
        </w:rPr>
        <w:t>利率类金融衍生品买入合约</w:t>
      </w:r>
      <w:r>
        <w:rPr>
          <w:rFonts w:hint="eastAsia" w:cs="MS Mincho"/>
          <w:highlight w:val="none"/>
        </w:rPr>
        <w:t>的名义本金之和；</w:t>
      </w:r>
    </w:p>
    <w:p>
      <w:pPr>
        <w:ind w:firstLine="640"/>
        <w:rPr>
          <w:rFonts w:ascii="宋体" w:hAnsi="Cambria Math"/>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rPr>
              <m:t>sℎort</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为利率类金融衍生品卖出合约的修正久期；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rPr>
              <m:t>NA</m:t>
            </m:r>
            <m:ctrlPr>
              <w:rPr>
                <w:rFonts w:ascii="DejaVu Math TeX Gyre" w:hAnsi="DejaVu Math TeX Gyre" w:cstheme="minorHAnsi"/>
                <w:i/>
                <w:highlight w:val="none"/>
                <w:lang w:val="en-GB"/>
              </w:rPr>
            </m:ctrlPr>
          </m:e>
          <m:sub>
            <m:r>
              <w:rPr>
                <w:rFonts w:ascii="DejaVu Math TeX Gyre" w:hAnsi="DejaVu Math TeX Gyre" w:cstheme="minorHAnsi"/>
                <w:highlight w:val="none"/>
              </w:rPr>
              <m:t>sℎort</m:t>
            </m:r>
            <m:ctrlPr>
              <w:rPr>
                <w:rFonts w:ascii="DejaVu Math TeX Gyre" w:hAnsi="DejaVu Math TeX Gyre" w:cstheme="minorHAnsi"/>
                <w:i/>
                <w:highlight w:val="none"/>
                <w:lang w:val="en-GB"/>
              </w:rPr>
            </m:ctrlPr>
          </m:sub>
        </m:sSub>
      </m:oMath>
      <w:r>
        <w:rPr>
          <w:rFonts w:hint="eastAsia" w:ascii="宋体" w:hAnsi="Cambria Math"/>
          <w:highlight w:val="none"/>
        </w:rPr>
        <w:t>为利率类金融衍生品卖出合约</w:t>
      </w:r>
      <w:r>
        <w:rPr>
          <w:rFonts w:hint="eastAsia" w:cs="MS Mincho"/>
          <w:highlight w:val="none"/>
        </w:rPr>
        <w:t>的名义本金之和。</w:t>
      </w:r>
    </w:p>
    <w:p>
      <w:pPr>
        <w:ind w:firstLine="640"/>
        <w:rPr>
          <w:highlight w:val="none"/>
          <w:lang w:val="en-GB"/>
        </w:rPr>
      </w:pPr>
      <w:r>
        <w:rPr>
          <w:rFonts w:hint="eastAsia" w:ascii="仿宋_GB2312" w:hAnsi="仿宋_GB2312" w:cs="仿宋_GB2312"/>
          <w:highlight w:val="none"/>
          <w:lang w:val="en-GB"/>
        </w:rPr>
        <w:t>（3）金额久期缺</w:t>
      </w:r>
      <w:r>
        <w:rPr>
          <w:rFonts w:hint="eastAsia"/>
          <w:highlight w:val="none"/>
          <w:lang w:val="en-GB"/>
        </w:rPr>
        <w:t>口率的计算方法如下：</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Ratio</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D</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Gap</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D</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Capital</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Ratio</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D</m:t>
            </m:r>
            <m:ctrlPr>
              <w:rPr>
                <w:rFonts w:ascii="DejaVu Math TeX Gyre" w:hAnsi="DejaVu Math TeX Gyre" w:cstheme="minorHAnsi"/>
                <w:i/>
                <w:highlight w:val="none"/>
                <w:lang w:val="en-GB"/>
              </w:rPr>
            </m:ctrlPr>
          </m:sub>
        </m:sSub>
      </m:oMath>
      <w:r>
        <w:rPr>
          <w:rFonts w:hint="eastAsia"/>
          <w:highlight w:val="none"/>
          <w:lang w:val="en-GB"/>
        </w:rPr>
        <w:t>为金额久期</w:t>
      </w:r>
      <w:r>
        <w:rPr>
          <w:highlight w:val="none"/>
          <w:lang w:val="en-GB"/>
        </w:rPr>
        <w:t>缺口率</w:t>
      </w:r>
      <w:r>
        <w:rPr>
          <w:rFonts w:hint="eastAsia"/>
          <w:highlight w:val="none"/>
          <w:lang w:val="en-GB"/>
        </w:rPr>
        <w:t>；</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Gap</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D</m:t>
            </m:r>
            <m:ctrlPr>
              <w:rPr>
                <w:rFonts w:ascii="DejaVu Math TeX Gyre" w:hAnsi="DejaVu Math TeX Gyre" w:cstheme="minorHAnsi"/>
                <w:i/>
                <w:highlight w:val="none"/>
                <w:lang w:val="en-GB"/>
              </w:rPr>
            </m:ctrlPr>
          </m:sub>
        </m:sSub>
      </m:oMath>
      <w:r>
        <w:rPr>
          <w:rFonts w:hint="eastAsia"/>
          <w:highlight w:val="none"/>
          <w:lang w:val="en-GB"/>
        </w:rPr>
        <w:t>为公司普通账户的金额</w:t>
      </w:r>
      <w:r>
        <w:rPr>
          <w:highlight w:val="none"/>
          <w:lang w:val="en-GB"/>
        </w:rPr>
        <w:t>久期缺口</w:t>
      </w:r>
      <w:r>
        <w:rPr>
          <w:rFonts w:hint="eastAsia"/>
          <w:highlight w:val="none"/>
          <w:lang w:val="en-GB"/>
        </w:rPr>
        <w:t>；</w:t>
      </w:r>
    </w:p>
    <w:p>
      <w:pPr>
        <w:ind w:firstLine="640"/>
        <w:rPr>
          <w:highlight w:val="none"/>
          <w:lang w:val="en-GB"/>
        </w:rPr>
      </w:pPr>
      <m:oMath>
        <m:r>
          <w:rPr>
            <w:rFonts w:ascii="DejaVu Math TeX Gyre" w:hAnsi="DejaVu Math TeX Gyre" w:cstheme="minorHAnsi"/>
            <w:highlight w:val="none"/>
            <w:lang w:val="en-GB"/>
          </w:rPr>
          <m:t>Capital</m:t>
        </m:r>
      </m:oMath>
      <w:r>
        <w:rPr>
          <w:rFonts w:hint="eastAsia"/>
          <w:highlight w:val="none"/>
          <w:lang w:val="en-GB"/>
        </w:rPr>
        <w:t>为公司实际资本。</w:t>
      </w:r>
    </w:p>
    <w:p>
      <w:pPr>
        <w:pStyle w:val="5"/>
        <w:ind w:firstLine="640"/>
        <w:rPr>
          <w:rFonts w:hint="eastAsia"/>
          <w:highlight w:val="none"/>
        </w:rPr>
      </w:pPr>
      <w:r>
        <w:rPr>
          <w:rFonts w:hint="eastAsia" w:ascii="仿宋_GB2312" w:hAnsi="仿宋_GB2312" w:cs="仿宋_GB2312"/>
          <w:highlight w:val="none"/>
        </w:rPr>
        <w:t>9.基点</w:t>
      </w:r>
      <w:r>
        <w:rPr>
          <w:rFonts w:hint="eastAsia"/>
          <w:highlight w:val="none"/>
        </w:rPr>
        <w:t>价值（</w:t>
      </w:r>
      <w:r>
        <w:rPr>
          <w:rFonts w:hint="default" w:ascii="DejaVu Math TeX Gyre" w:hAnsi="DejaVu Math TeX Gyre" w:cs="DejaVu Math TeX Gyre"/>
          <w:highlight w:val="none"/>
        </w:rPr>
        <w:t>DV10</w:t>
      </w:r>
      <w:r>
        <w:rPr>
          <w:rFonts w:hint="eastAsia"/>
          <w:highlight w:val="none"/>
        </w:rPr>
        <w:t>）的计算</w:t>
      </w:r>
    </w:p>
    <w:p>
      <w:pPr>
        <w:ind w:firstLine="640"/>
        <w:rPr>
          <w:highlight w:val="none"/>
          <w:lang w:val="en-GB"/>
        </w:rPr>
      </w:pPr>
      <w:r>
        <w:rPr>
          <w:rFonts w:hint="eastAsia" w:cs="MS Mincho"/>
          <w:highlight w:val="none"/>
          <w:lang w:val="en-GB"/>
        </w:rPr>
        <w:t>基</w:t>
      </w:r>
      <w:r>
        <w:rPr>
          <w:rFonts w:hint="eastAsia"/>
          <w:highlight w:val="none"/>
          <w:lang w:val="en-GB"/>
        </w:rPr>
        <w:t>点价值</w:t>
      </w:r>
      <w:r>
        <w:rPr>
          <w:rFonts w:hint="eastAsia" w:ascii="仿宋_GB2312" w:hAnsi="仿宋_GB2312" w:cs="仿宋_GB2312"/>
          <w:highlight w:val="none"/>
          <w:lang w:val="en-GB"/>
        </w:rPr>
        <w:t>（</w:t>
      </w:r>
      <w:r>
        <w:rPr>
          <w:rFonts w:hint="default" w:ascii="DejaVu Math TeX Gyre" w:hAnsi="DejaVu Math TeX Gyre" w:cs="DejaVu Math TeX Gyre"/>
          <w:szCs w:val="32"/>
          <w:highlight w:val="none"/>
          <w:lang w:val="en-US"/>
        </w:rPr>
        <w:t>DV10</w:t>
      </w:r>
      <w:r>
        <w:rPr>
          <w:rFonts w:hint="eastAsia" w:ascii="仿宋_GB2312" w:hAnsi="仿宋_GB2312" w:cs="仿宋_GB2312"/>
          <w:highlight w:val="none"/>
          <w:lang w:val="en-GB"/>
        </w:rPr>
        <w:t>）反映关键期限年上的折现率变动10bps对资产负债现金流折现值的影响。</w:t>
      </w:r>
    </w:p>
    <w:p>
      <w:pPr>
        <w:ind w:firstLine="640"/>
        <w:rPr>
          <w:highlight w:val="none"/>
          <w:lang w:val="en-GB"/>
        </w:rPr>
      </w:pPr>
      <w:r>
        <w:rPr>
          <w:rFonts w:cs="MS Mincho"/>
          <w:highlight w:val="none"/>
          <w:lang w:val="en-GB"/>
        </w:rPr>
        <w:t>分</w:t>
      </w:r>
      <w:r>
        <w:rPr>
          <w:highlight w:val="none"/>
          <w:lang w:val="en-GB"/>
        </w:rPr>
        <w:t>别计</w:t>
      </w:r>
      <w:r>
        <w:rPr>
          <w:rFonts w:cs="MS Mincho"/>
          <w:highlight w:val="none"/>
          <w:lang w:val="en-GB"/>
        </w:rPr>
        <w:t>算</w:t>
      </w:r>
      <w:r>
        <w:rPr>
          <w:rFonts w:hint="eastAsia" w:cs="MS Mincho"/>
          <w:highlight w:val="none"/>
          <w:lang w:val="en-GB"/>
        </w:rPr>
        <w:t>公司</w:t>
      </w:r>
      <w:r>
        <w:rPr>
          <w:rFonts w:cs="MS Mincho"/>
          <w:highlight w:val="none"/>
          <w:lang w:val="en-GB"/>
        </w:rPr>
        <w:t>普通</w:t>
      </w:r>
      <w:r>
        <w:rPr>
          <w:highlight w:val="none"/>
          <w:lang w:val="en-GB"/>
        </w:rPr>
        <w:t>账户</w:t>
      </w:r>
      <w:r>
        <w:rPr>
          <w:rFonts w:cs="MS Mincho"/>
          <w:highlight w:val="none"/>
          <w:lang w:val="en-GB"/>
        </w:rPr>
        <w:t>和各大</w:t>
      </w:r>
      <w:r>
        <w:rPr>
          <w:highlight w:val="none"/>
          <w:lang w:val="en-GB"/>
        </w:rPr>
        <w:t>类账户的资产现金流、负债现金流流入和负债现金流流出的基点价值。</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选取的折现率变化的关键期限年分别为0年、0.5年、1年、2年、3年、4年、5年、6年、7年、8年、10年、12年、15年、20年、25年、30年、35年、40年、45年和50年。</w:t>
      </w:r>
    </w:p>
    <w:p>
      <w:pPr>
        <w:ind w:firstLine="640"/>
        <w:rPr>
          <w:rFonts w:hint="eastAsia" w:ascii="仿宋_GB2312" w:hAnsi="仿宋_GB2312" w:cs="仿宋_GB2312"/>
          <w:highlight w:val="none"/>
          <w:lang w:val="en-GB"/>
        </w:rPr>
      </w:pPr>
      <w:r>
        <w:rPr>
          <w:rFonts w:hint="eastAsia" w:ascii="仿宋_GB2312" w:hAnsi="仿宋_GB2312" w:cs="仿宋_GB2312"/>
          <w:highlight w:val="none"/>
        </w:rPr>
        <w:t>假设关键期限年折现率变动对其相邻关键期限年的影响是线性关系，即关键期限年折现率变动最大，与其相邻的关键期限年之间的折现率呈线性递减，至相邻关键期限年的影响递减为0，50年及以后折现率不变</w:t>
      </w:r>
      <w:r>
        <w:rPr>
          <w:rFonts w:hint="eastAsia" w:ascii="仿宋_GB2312" w:hAnsi="仿宋_GB2312" w:cs="仿宋_GB2312"/>
          <w:highlight w:val="none"/>
          <w:lang w:val="en-GB"/>
        </w:rPr>
        <w:t>。</w:t>
      </w:r>
    </w:p>
    <w:p>
      <w:pPr>
        <w:ind w:firstLine="640"/>
        <w:rPr>
          <w:highlight w:val="none"/>
          <w:lang w:val="en-GB"/>
        </w:rPr>
      </w:pPr>
      <w:r>
        <w:rPr>
          <w:rFonts w:hint="eastAsia" w:ascii="仿宋_GB2312" w:hAnsi="仿宋_GB2312" w:cs="仿宋_GB2312"/>
          <w:highlight w:val="none"/>
        </w:rPr>
        <w:t>假设第N个关键期限年对应的折现率分别向上和向下变动10bps，根据上述折现率变化的关系，构建新的折现率曲线，然后分别计算折现率变化后的折现值，则第N个关键</w:t>
      </w:r>
      <w:r>
        <w:rPr>
          <w:highlight w:val="none"/>
        </w:rPr>
        <w:t>期限年的基点价值为</w:t>
      </w:r>
      <w:r>
        <w:rPr>
          <w:highlight w:val="none"/>
          <w:lang w:val="en-GB"/>
        </w:rPr>
        <w:t>：</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DV10</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+10bps</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−10bps</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2</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DV10</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lang w:val="en-GB"/>
        </w:rPr>
        <w:t>为关键期限</w:t>
      </w:r>
      <w:r>
        <w:rPr>
          <w:rFonts w:hint="eastAsia" w:ascii="仿宋_GB2312" w:hAnsi="仿宋_GB2312" w:cs="仿宋_GB2312"/>
          <w:highlight w:val="none"/>
          <w:lang w:val="en-GB"/>
        </w:rPr>
        <w:t>年</w:t>
      </w:r>
      <w:r>
        <w:rPr>
          <w:rFonts w:hint="default" w:ascii="DejaVu Math TeX Gyre" w:hAnsi="DejaVu Math TeX Gyre" w:cs="DejaVu Math TeX Gyre"/>
          <w:highlight w:val="none"/>
          <w:lang w:val="en-GB"/>
        </w:rPr>
        <w:t>N</w:t>
      </w:r>
      <w:r>
        <w:rPr>
          <w:rFonts w:hint="eastAsia" w:ascii="仿宋_GB2312" w:hAnsi="仿宋_GB2312" w:cs="仿宋_GB2312"/>
          <w:highlight w:val="none"/>
          <w:lang w:val="en-GB"/>
        </w:rPr>
        <w:t>对应的基</w:t>
      </w:r>
      <w:r>
        <w:rPr>
          <w:highlight w:val="none"/>
          <w:lang w:val="en-GB"/>
        </w:rPr>
        <w:t>点价值；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+10bps</m:t>
            </m:r>
            <m:ctrlPr>
              <w:rPr>
                <w:rFonts w:ascii="DejaVu Math TeX Gyre" w:hAnsi="DejaVu Math TeX Gyre" w:cstheme="minorHAnsi"/>
                <w:i/>
                <w:highlight w:val="none"/>
                <w:lang w:val="en-GB"/>
              </w:rPr>
            </m:ctrlPr>
          </m:sub>
        </m:sSub>
      </m:oMath>
      <w:r>
        <w:rPr>
          <w:rFonts w:hint="eastAsia"/>
          <w:highlight w:val="none"/>
        </w:rPr>
        <w:t>为现金流按折现率在关</w:t>
      </w:r>
      <w:r>
        <w:rPr>
          <w:rFonts w:hint="eastAsia" w:ascii="仿宋_GB2312" w:hAnsi="仿宋_GB2312" w:cs="仿宋_GB2312"/>
          <w:highlight w:val="none"/>
        </w:rPr>
        <w:t>键期限年</w:t>
      </w:r>
      <w:r>
        <w:rPr>
          <w:rFonts w:hint="default" w:ascii="DejaVu Math TeX Gyre" w:hAnsi="DejaVu Math TeX Gyre" w:eastAsia="仿宋_GB2312" w:cs="DejaVu Math TeX Gyre"/>
          <w:kern w:val="2"/>
          <w:sz w:val="32"/>
          <w:szCs w:val="22"/>
          <w:lang w:val="en-GB" w:eastAsia="zh-CN" w:bidi="ar-SA"/>
        </w:rPr>
        <w:t>N</w:t>
      </w:r>
      <w:r>
        <w:rPr>
          <w:rFonts w:hint="eastAsia" w:ascii="仿宋_GB2312" w:hAnsi="仿宋_GB2312" w:cs="仿宋_GB2312"/>
          <w:highlight w:val="none"/>
        </w:rPr>
        <w:t>上移10bps计算出的折现值；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eastAsia="Helvetica" w:cstheme="minorHAnsi"/>
                <w:highlight w:val="none"/>
                <w:lang w:val="en-GB"/>
              </w:rPr>
              <m:t>−</m:t>
            </m:r>
            <m:r>
              <w:rPr>
                <w:rFonts w:ascii="DejaVu Math TeX Gyre" w:hAnsi="DejaVu Math TeX Gyre" w:cstheme="minorHAnsi"/>
                <w:highlight w:val="none"/>
                <w:lang w:val="en-GB"/>
              </w:rPr>
              <m:t>10bps</m:t>
            </m:r>
            <m:ctrlPr>
              <w:rPr>
                <w:rFonts w:ascii="DejaVu Math TeX Gyre" w:hAnsi="DejaVu Math TeX Gyre" w:cstheme="minorHAnsi"/>
                <w:i/>
                <w:highlight w:val="none"/>
                <w:lang w:val="en-GB"/>
              </w:rPr>
            </m:ctrlPr>
          </m:sub>
        </m:sSub>
      </m:oMath>
      <w:r>
        <w:rPr>
          <w:rFonts w:hint="eastAsia"/>
          <w:highlight w:val="none"/>
        </w:rPr>
        <w:t>为现金流按折现率在关键</w:t>
      </w:r>
      <w:r>
        <w:rPr>
          <w:rFonts w:hint="eastAsia" w:ascii="仿宋_GB2312" w:hAnsi="仿宋_GB2312" w:cs="仿宋_GB2312"/>
          <w:highlight w:val="none"/>
        </w:rPr>
        <w:t>期限年</w:t>
      </w:r>
      <w:r>
        <w:rPr>
          <w:rFonts w:hint="default" w:ascii="DejaVu Math TeX Gyre" w:hAnsi="DejaVu Math TeX Gyre" w:eastAsia="仿宋_GB2312" w:cs="DejaVu Math TeX Gyre"/>
          <w:kern w:val="2"/>
          <w:sz w:val="32"/>
          <w:szCs w:val="22"/>
          <w:lang w:val="en-GB" w:eastAsia="zh-CN" w:bidi="ar-SA"/>
        </w:rPr>
        <w:t>N</w:t>
      </w:r>
      <w:r>
        <w:rPr>
          <w:rFonts w:hint="eastAsia" w:ascii="仿宋_GB2312" w:hAnsi="仿宋_GB2312" w:cs="仿宋_GB2312"/>
          <w:highlight w:val="none"/>
        </w:rPr>
        <w:t>下降10bps计算出的折现值。</w:t>
      </w:r>
    </w:p>
    <w:p>
      <w:pPr>
        <w:ind w:firstLine="640"/>
        <w:rPr>
          <w:highlight w:val="none"/>
          <w:lang w:val="en-GB"/>
        </w:rPr>
      </w:pPr>
      <w:r>
        <w:rPr>
          <w:rFonts w:hint="eastAsia"/>
          <w:highlight w:val="none"/>
          <w:lang w:val="en-GB"/>
        </w:rPr>
        <w:t>计算资产现金流、负债现金流流入</w:t>
      </w:r>
      <w:r>
        <w:rPr>
          <w:rFonts w:hint="eastAsia" w:ascii="仿宋_GB2312" w:hAnsi="仿宋_GB2312" w:cs="仿宋_GB2312"/>
          <w:highlight w:val="none"/>
          <w:lang w:val="en-GB"/>
        </w:rPr>
        <w:t>/流</w:t>
      </w:r>
      <w:r>
        <w:rPr>
          <w:highlight w:val="none"/>
          <w:lang w:val="en-GB"/>
        </w:rPr>
        <w:t>出的基点价值的现金流和折现率与计算修正久期的现金流和折现率相同</w:t>
      </w:r>
      <w:r>
        <w:rPr>
          <w:rFonts w:hint="eastAsia"/>
          <w:highlight w:val="none"/>
          <w:lang w:val="en-GB"/>
        </w:rPr>
        <w:t>，不同的现金流根据其所对应的折现率分别计算后，再进行加总。</w:t>
      </w:r>
    </w:p>
    <w:p>
      <w:pPr>
        <w:ind w:firstLine="640"/>
        <w:rPr>
          <w:highlight w:val="none"/>
          <w:lang w:val="en-GB"/>
        </w:rPr>
      </w:pPr>
      <w:r>
        <w:rPr>
          <w:rFonts w:hint="eastAsia" w:cs="MS Mincho"/>
          <w:highlight w:val="none"/>
          <w:lang w:val="en-GB"/>
        </w:rPr>
        <w:t>各类账户资产基点价值的合并方法一经确定，原则上不得更改，若有更改，须在备注中说明具体原因。</w:t>
      </w:r>
    </w:p>
    <w:p>
      <w:pPr>
        <w:pStyle w:val="5"/>
        <w:ind w:firstLine="640"/>
        <w:rPr>
          <w:highlight w:val="none"/>
        </w:rPr>
      </w:pPr>
      <w:r>
        <w:rPr>
          <w:rFonts w:hint="eastAsia" w:ascii="仿宋_GB2312" w:hAnsi="仿宋_GB2312" w:cs="仿宋_GB2312"/>
          <w:highlight w:val="none"/>
        </w:rPr>
        <w:t>10.关键久</w:t>
      </w:r>
      <w:r>
        <w:rPr>
          <w:rFonts w:hint="eastAsia"/>
          <w:highlight w:val="none"/>
        </w:rPr>
        <w:t>期的计算</w:t>
      </w:r>
    </w:p>
    <w:p>
      <w:pPr>
        <w:ind w:firstLine="640"/>
        <w:rPr>
          <w:highlight w:val="none"/>
          <w:lang w:val="en-GB"/>
        </w:rPr>
      </w:pPr>
      <w:r>
        <w:rPr>
          <w:rFonts w:hint="eastAsia" w:cs="MS Mincho"/>
          <w:highlight w:val="none"/>
          <w:lang w:val="en-GB"/>
        </w:rPr>
        <w:t>关</w:t>
      </w:r>
      <w:r>
        <w:rPr>
          <w:rFonts w:hint="eastAsia"/>
          <w:highlight w:val="none"/>
          <w:lang w:val="en-GB"/>
        </w:rPr>
        <w:t>键久期等于各关键期限年的基点价值</w:t>
      </w:r>
      <w:r>
        <w:rPr>
          <w:rFonts w:hint="eastAsia" w:ascii="仿宋_GB2312"/>
          <w:highlight w:val="none"/>
          <w:lang w:val="en-GB"/>
        </w:rPr>
        <w:t>（</w:t>
      </w:r>
      <w:r>
        <w:rPr>
          <w:rFonts w:ascii="DejaVu Math TeX Gyre" w:hAnsi="DejaVu Math TeX Gyre" w:cs="DejaVu Math TeX Gyre"/>
          <w:highlight w:val="none"/>
          <w:lang w:val="en-GB"/>
        </w:rPr>
        <w:t>DV10</w:t>
      </w:r>
      <w:r>
        <w:rPr>
          <w:rFonts w:hint="eastAsia" w:ascii="仿宋_GB2312"/>
          <w:highlight w:val="none"/>
          <w:lang w:val="en-GB"/>
        </w:rPr>
        <w:t>）</w:t>
      </w:r>
      <w:r>
        <w:rPr>
          <w:rFonts w:hint="eastAsia"/>
          <w:highlight w:val="none"/>
          <w:lang w:val="en-GB"/>
        </w:rPr>
        <w:t>之和与折现值的比例，计算公式如下：</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Key</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r>
                <w:rPr>
                  <w:rFonts w:ascii="DejaVu Math TeX Gyre" w:hAnsi="DejaVu Math TeX Gyre" w:cstheme="minorHAnsi"/>
                  <w:szCs w:val="32"/>
                  <w:highlight w:val="none"/>
                  <w:lang w:val="en-GB"/>
                </w:rPr>
                <m:t>1000×</m:t>
              </m:r>
              <m:nary>
                <m:naryPr>
                  <m:chr m:val="∑"/>
                  <m:limLoc m:val="undOvr"/>
                  <m:subHide m:val="1"/>
                  <m:supHide m:val="1"/>
                  <m:ctrlPr>
                    <w:rPr>
                      <w:rFonts w:ascii="DejaVu Math TeX Gyre" w:hAnsi="DejaVu Math TeX Gyre" w:cstheme="minorHAnsi"/>
                      <w:i/>
                      <w:szCs w:val="32"/>
                      <w:highlight w:val="none"/>
                      <w:lang w:val="en-GB"/>
                    </w:rPr>
                  </m:ctrlPr>
                </m:naryPr>
                <m:sub>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DV10</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nary>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PV</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Key</m:t>
            </m:r>
            <m:ctrlPr>
              <w:rPr>
                <w:rFonts w:ascii="DejaVu Math TeX Gyre" w:hAnsi="DejaVu Math TeX Gyre" w:cstheme="minorHAnsi"/>
                <w:i/>
                <w:highlight w:val="none"/>
                <w:lang w:val="en-GB"/>
              </w:rPr>
            </m:ctrlPr>
          </m:sub>
        </m:sSub>
      </m:oMath>
      <w:r>
        <w:rPr>
          <w:rFonts w:hint="eastAsia"/>
          <w:highlight w:val="none"/>
          <w:lang w:val="en-GB"/>
        </w:rPr>
        <w:t>为关键久期；</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DV10</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lang w:val="en-GB"/>
        </w:rPr>
        <w:t>为关键期限年</w:t>
      </w:r>
      <w:r>
        <w:rPr>
          <w:rFonts w:ascii="DejaVu Math TeX Gyre" w:hAnsi="DejaVu Math TeX Gyre" w:eastAsia="仿宋_GB2312" w:cs="DejaVu Math TeX Gyre"/>
          <w:kern w:val="2"/>
          <w:sz w:val="32"/>
          <w:szCs w:val="22"/>
          <w:lang w:val="en-US" w:eastAsia="zh-CN" w:bidi="ar-SA"/>
        </w:rPr>
        <w:t>N</w:t>
      </w:r>
      <w:r>
        <w:rPr>
          <w:highlight w:val="none"/>
          <w:lang w:val="en-GB"/>
        </w:rPr>
        <w:t>对应的基点价值；</w:t>
      </w:r>
    </w:p>
    <w:p>
      <w:pPr>
        <w:ind w:firstLine="640"/>
        <w:rPr>
          <w:highlight w:val="none"/>
          <w:lang w:val="en-GB"/>
        </w:rPr>
      </w:pPr>
      <m:oMath>
        <m:r>
          <w:rPr>
            <w:rFonts w:ascii="DejaVu Math TeX Gyre" w:hAnsi="DejaVu Math TeX Gyre" w:cstheme="minorHAnsi"/>
            <w:highlight w:val="none"/>
            <w:lang w:val="en-GB"/>
          </w:rPr>
          <m:t>PV</m:t>
        </m:r>
      </m:oMath>
      <w:r>
        <w:rPr>
          <w:rFonts w:hint="eastAsia"/>
          <w:highlight w:val="none"/>
          <w:lang w:val="en-GB"/>
        </w:rPr>
        <w:t>为现金流的折现值。</w:t>
      </w:r>
    </w:p>
    <w:p>
      <w:pPr>
        <w:ind w:firstLine="640"/>
        <w:rPr>
          <w:highlight w:val="none"/>
        </w:rPr>
      </w:pPr>
      <w:r>
        <w:rPr>
          <w:rFonts w:hint="eastAsia" w:ascii="仿宋_GB2312" w:hAnsi="仿宋_GB2312" w:cs="仿宋_GB2312"/>
          <w:highlight w:val="none"/>
        </w:rPr>
        <w:t>10.基点</w:t>
      </w:r>
      <w:r>
        <w:rPr>
          <w:rFonts w:hint="eastAsia"/>
          <w:highlight w:val="none"/>
        </w:rPr>
        <w:t>价值变动（</w:t>
      </w:r>
      <w:r>
        <w:rPr>
          <w:rFonts w:hint="default" w:ascii="DejaVu Math TeX Gyre" w:hAnsi="DejaVu Math TeX Gyre" w:cs="DejaVu Math TeX Gyre"/>
          <w:highlight w:val="none"/>
        </w:rPr>
        <w:t>DV_X</w:t>
      </w:r>
      <w:r>
        <w:rPr>
          <w:rFonts w:hint="eastAsia"/>
          <w:highlight w:val="none"/>
        </w:rPr>
        <w:t>）的计算</w:t>
      </w:r>
    </w:p>
    <w:p>
      <w:pPr>
        <w:ind w:firstLine="640"/>
        <w:rPr>
          <w:rFonts w:ascii="仿宋"/>
          <w:highlight w:val="none"/>
          <w:lang w:val="en-GB"/>
        </w:rPr>
      </w:pPr>
      <w:r>
        <w:rPr>
          <w:rFonts w:hint="eastAsia" w:ascii="仿宋"/>
          <w:highlight w:val="none"/>
          <w:lang w:val="en-GB"/>
        </w:rPr>
        <w:t>根据基点价值</w:t>
      </w:r>
      <w:r>
        <w:rPr>
          <w:rFonts w:hint="eastAsia"/>
          <w:highlight w:val="none"/>
          <w:lang w:val="en-GB"/>
        </w:rPr>
        <w:t>（</w:t>
      </w:r>
      <w:r>
        <w:rPr>
          <w:rFonts w:hint="default" w:ascii="DejaVu Math TeX Gyre" w:hAnsi="DejaVu Math TeX Gyre" w:cs="DejaVu Math TeX Gyre"/>
          <w:highlight w:val="none"/>
          <w:lang w:val="en-GB"/>
        </w:rPr>
        <w:t>DV10</w:t>
      </w:r>
      <w:r>
        <w:rPr>
          <w:rFonts w:hint="eastAsia"/>
          <w:highlight w:val="none"/>
          <w:lang w:val="en-GB"/>
        </w:rPr>
        <w:t>）的结果，分别计算在六种变动情景下公司普通账户的基点价值变动（</w:t>
      </w:r>
      <w:r>
        <w:rPr>
          <w:rFonts w:hint="default" w:ascii="DejaVu Math TeX Gyre" w:hAnsi="DejaVu Math TeX Gyre" w:cs="DejaVu Math TeX Gyre"/>
          <w:highlight w:val="none"/>
          <w:lang w:val="en-GB"/>
        </w:rPr>
        <w:t>DV_X</w:t>
      </w:r>
      <w:r>
        <w:rPr>
          <w:rFonts w:hint="eastAsia"/>
          <w:highlight w:val="none"/>
          <w:lang w:val="en-GB"/>
        </w:rPr>
        <w:t>）。六种变动情景分别为上升、下降、倾斜上、倾斜下、扭转上和扭转下。变动幅度</w:t>
      </w:r>
      <w:r>
        <w:rPr>
          <w:rFonts w:hint="default" w:ascii="DejaVu Math TeX Gyre" w:hAnsi="DejaVu Math TeX Gyre" w:cs="DejaVu Math TeX Gyre"/>
          <w:highlight w:val="none"/>
          <w:lang w:val="en-GB"/>
        </w:rPr>
        <w:t>X</w:t>
      </w:r>
      <w:r>
        <w:rPr>
          <w:rFonts w:hint="eastAsia"/>
          <w:highlight w:val="none"/>
          <w:lang w:val="en-GB"/>
        </w:rPr>
        <w:t>由国家金融监督管理总局发布，国家金融监督管理总局可根据市场变化等因素不定期进行更新。</w:t>
      </w:r>
    </w:p>
    <w:p>
      <w:pPr>
        <w:ind w:firstLine="640"/>
        <w:rPr>
          <w:rFonts w:ascii="仿宋"/>
          <w:highlight w:val="none"/>
          <w:lang w:val="en-GB"/>
        </w:rPr>
      </w:pPr>
      <w:r>
        <w:rPr>
          <w:rFonts w:hint="eastAsia" w:ascii="仿宋"/>
          <w:highlight w:val="none"/>
          <w:lang w:val="en-GB"/>
        </w:rPr>
        <w:t>关键期限</w:t>
      </w:r>
      <w:r>
        <w:rPr>
          <w:rFonts w:hint="eastAsia"/>
          <w:highlight w:val="none"/>
          <w:lang w:val="en-GB"/>
        </w:rPr>
        <w:t>年</w:t>
      </w:r>
      <w:r>
        <w:rPr>
          <w:rFonts w:hint="default" w:ascii="DejaVu Math TeX Gyre" w:hAnsi="DejaVu Math TeX Gyre" w:cs="DejaVu Math TeX Gyre"/>
          <w:highlight w:val="none"/>
          <w:lang w:val="en-GB"/>
        </w:rPr>
        <w:t>N</w:t>
      </w:r>
      <w:r>
        <w:rPr>
          <w:rFonts w:hint="eastAsia" w:ascii="仿宋"/>
          <w:highlight w:val="none"/>
          <w:lang w:val="en-GB"/>
        </w:rPr>
        <w:t>的基点价值变动为：</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DV10</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r>
            <w:rPr>
              <w:rFonts w:ascii="DejaVu Math TeX Gyre" w:hAnsi="DejaVu Math TeX Gyre" w:eastAsia="Helvetica" w:cstheme="minorHAnsi"/>
              <w:szCs w:val="32"/>
              <w:highlight w:val="none"/>
              <w:lang w:val="en-GB"/>
            </w:rPr>
            <m:t>×</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10</m:t>
              </m:r>
              <m:ctrlPr>
                <w:rPr>
                  <w:rFonts w:ascii="DejaVu Math TeX Gyre" w:hAnsi="DejaVu Math TeX Gyre" w:cstheme="minorHAnsi"/>
                  <w:i/>
                  <w:szCs w:val="32"/>
                  <w:highlight w:val="none"/>
                  <w:lang w:val="en-GB"/>
                </w:rPr>
              </m:ctrlPr>
            </m:den>
          </m:f>
        </m:oMath>
      </m:oMathPara>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V</m:t>
                  </m:r>
                  <m:ctrlPr>
                    <w:rPr>
                      <w:rFonts w:ascii="DejaVu Math TeX Gyre" w:hAnsi="DejaVu Math TeX Gyre" w:cstheme="minorHAnsi"/>
                      <w:i/>
                      <w:szCs w:val="32"/>
                      <w:highlight w:val="none"/>
                      <w:lang w:val="en-GB"/>
                    </w:rPr>
                  </m:ctrlPr>
                </m:e>
                <m: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All</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r>
            <m:rPr>
              <m:sty m:val="p"/>
            </m:rP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DV10</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DV10</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In</m:t>
              </m:r>
              <m:ctrlPr>
                <w:rPr>
                  <w:rFonts w:ascii="DejaVu Math TeX Gyre" w:hAnsi="DejaVu Math TeX Gyre" w:cstheme="minorHAnsi"/>
                  <w:i/>
                  <w:szCs w:val="32"/>
                  <w:highlight w:val="none"/>
                  <w:lang w:val="en-GB"/>
                </w:rPr>
              </m:ctrlPr>
            </m:sub>
          </m:sSub>
          <m:r>
            <w:rPr>
              <w:rFonts w:ascii="DejaVu Math TeX Gyre" w:hAnsi="DejaVu Math TeX Gyre" w:eastAsia="Helvetica" w:cstheme="minorHAnsi"/>
              <w:szCs w:val="32"/>
              <w:highlight w:val="none"/>
              <w:lang w:val="en-GB"/>
            </w:rPr>
            <m:t>−</m:t>
          </m:r>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DV10</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Out</m:t>
              </m:r>
              <m:ctrlPr>
                <w:rPr>
                  <w:rFonts w:ascii="DejaVu Math TeX Gyre" w:hAnsi="DejaVu Math TeX Gyre" w:cstheme="minorHAnsi"/>
                  <w:i/>
                  <w:szCs w:val="32"/>
                  <w:highlight w:val="none"/>
                  <w:lang w:val="en-GB"/>
                </w:rPr>
              </m:ctrlPr>
            </m:sub>
          </m:sSub>
          <m:r>
            <m:rPr>
              <m:sty m:val="p"/>
            </m:rPr>
            <w:rPr>
              <w:rFonts w:ascii="DejaVu Math TeX Gyre" w:hAnsi="DejaVu Math TeX Gyre" w:cstheme="minorHAnsi"/>
              <w:szCs w:val="32"/>
              <w:highlight w:val="none"/>
              <w:lang w:val="en-GB"/>
            </w:rPr>
            <m:t>）</m:t>
          </m:r>
          <m:r>
            <w:rPr>
              <w:rFonts w:ascii="DejaVu Math TeX Gyre" w:hAnsi="DejaVu Math TeX Gyre" w:eastAsia="Helvetica" w:cstheme="minorHAnsi"/>
              <w:szCs w:val="32"/>
              <w:highlight w:val="none"/>
              <w:lang w:val="en-GB"/>
            </w:rPr>
            <m:t>×</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10</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参数说明：</w:t>
      </w:r>
    </w:p>
    <w:p>
      <w:pPr>
        <w:spacing w:line="360" w:lineRule="auto"/>
        <w:ind w:firstLine="640"/>
        <w:rPr>
          <w:rFonts w:ascii="仿宋_GB2312"/>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rPr>
        <w:t>为关键期限年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的基点价值变动</w:t>
      </w:r>
      <w:r>
        <w:rPr>
          <w:rFonts w:hint="eastAsia" w:ascii="仿宋_GB2312"/>
          <w:highlight w:val="none"/>
          <w:lang w:val="en-GB"/>
        </w:rPr>
        <w:t>；</w:t>
      </w:r>
    </w:p>
    <w:p>
      <w:pPr>
        <w:spacing w:line="360" w:lineRule="auto"/>
        <w:ind w:firstLine="640"/>
        <w:rPr>
          <w:rFonts w:ascii="仿宋_GB2312"/>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DV10</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rPr>
        <w:t>为关键期限年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对应的基点价值</w:t>
      </w:r>
      <w:r>
        <w:rPr>
          <w:rFonts w:hint="eastAsia" w:ascii="仿宋_GB2312"/>
          <w:highlight w:val="none"/>
          <w:lang w:val="en-GB"/>
        </w:rPr>
        <w:t>；</w:t>
      </w:r>
    </w:p>
    <w:p>
      <w:pPr>
        <w:spacing w:line="360" w:lineRule="auto"/>
        <w:ind w:firstLine="640"/>
        <w:rPr>
          <w:rFonts w:ascii="仿宋_GB2312"/>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rPr>
        <w:t>为关键期限年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对应的变动幅度</w:t>
      </w:r>
      <w:r>
        <w:rPr>
          <w:rFonts w:hint="eastAsia" w:ascii="仿宋_GB2312"/>
          <w:highlight w:val="none"/>
          <w:lang w:val="en-GB"/>
        </w:rPr>
        <w:t>；</w:t>
      </w:r>
    </w:p>
    <w:p>
      <w:pPr>
        <w:spacing w:line="360" w:lineRule="auto"/>
        <w:ind w:firstLine="640"/>
        <w:rPr>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All</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rPr>
        <w:t>为公司普通账户关键期限年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的基点价值变动；</w:t>
      </w:r>
    </w:p>
    <w:p>
      <w:pPr>
        <w:spacing w:line="360" w:lineRule="auto"/>
        <w:ind w:firstLine="640"/>
        <w:rPr>
          <w:rFonts w:ascii="仿宋_GB2312"/>
          <w:highlight w:val="none"/>
          <w:lang w:val="en-GB"/>
        </w:rPr>
      </w:pP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DV10</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rPr>
        <w:t>为关键期限年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对应的资产现金流基点价值；</w:t>
      </w:r>
    </w:p>
    <w:p>
      <w:pPr>
        <w:spacing w:line="360" w:lineRule="auto"/>
        <w:ind w:firstLine="640"/>
        <w:rPr>
          <w:rFonts w:ascii="仿宋_GB2312"/>
          <w:highlight w:val="none"/>
          <w:lang w:val="en-GB"/>
        </w:rPr>
      </w:pP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DV10</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rPr>
        <w:t>为关键期限年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对应的负债现金流流入基点价值；</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DV10</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hint="eastAsia"/>
          <w:highlight w:val="none"/>
        </w:rPr>
        <w:t>为关键期限年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对应</w:t>
      </w:r>
      <w:r>
        <w:rPr>
          <w:highlight w:val="none"/>
        </w:rPr>
        <w:t>的</w:t>
      </w:r>
      <w:r>
        <w:rPr>
          <w:rFonts w:hint="eastAsia"/>
          <w:highlight w:val="none"/>
        </w:rPr>
        <w:t>负债现金流流出</w:t>
      </w:r>
      <w:r>
        <w:rPr>
          <w:highlight w:val="none"/>
        </w:rPr>
        <w:t>基点价值</w:t>
      </w:r>
      <w:r>
        <w:rPr>
          <w:rFonts w:hint="eastAsia"/>
          <w:highlight w:val="none"/>
        </w:rPr>
        <w:t>。</w:t>
      </w:r>
    </w:p>
    <w:p>
      <w:pPr>
        <w:ind w:firstLine="640"/>
        <w:rPr>
          <w:highlight w:val="none"/>
          <w:lang w:val="en-GB"/>
        </w:rPr>
      </w:pPr>
      <w:r>
        <w:rPr>
          <w:rFonts w:hint="eastAsia"/>
          <w:highlight w:val="none"/>
          <w:lang w:val="en-GB"/>
        </w:rPr>
        <w:t>公司普通账户基点价值变动的合计为：</w:t>
      </w:r>
    </w:p>
    <w:p>
      <w:pPr>
        <w:spacing w:line="360" w:lineRule="auto"/>
        <w:ind w:left="640" w:leftChars="200" w:firstLine="640"/>
        <w:rPr>
          <w:rFonts w:cstheme="minorHAnsi"/>
          <w:szCs w:val="32"/>
          <w:highlight w:val="none"/>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Sum</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nary>
            <m:naryPr>
              <m:chr m:val="∑"/>
              <m:limLoc m:val="undOvr"/>
              <m:subHide m:val="1"/>
              <m:supHide m:val="1"/>
              <m:ctrlPr>
                <w:rPr>
                  <w:rFonts w:ascii="DejaVu Math TeX Gyre" w:hAnsi="DejaVu Math TeX Gyre" w:cstheme="minorHAnsi"/>
                  <w:i/>
                  <w:szCs w:val="32"/>
                  <w:highlight w:val="none"/>
                  <w:lang w:val="en-GB"/>
                </w:rPr>
              </m:ctrlPr>
            </m:naryPr>
            <m:sub>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V</m:t>
                      </m:r>
                      <m:ctrlPr>
                        <w:rPr>
                          <w:rFonts w:ascii="DejaVu Math TeX Gyre" w:hAnsi="DejaVu Math TeX Gyre" w:cstheme="minorHAnsi"/>
                          <w:i/>
                          <w:szCs w:val="32"/>
                          <w:highlight w:val="none"/>
                          <w:lang w:val="en-GB"/>
                        </w:rPr>
                      </m:ctrlPr>
                    </m:e>
                    <m: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All</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N</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nary>
          <m:r>
            <w:rPr>
              <w:rFonts w:ascii="DejaVu Math TeX Gyre" w:hAnsi="DejaVu Math TeX Gyre" w:eastAsia="Helvetica" w:cstheme="minorHAnsi"/>
              <w:szCs w:val="32"/>
              <w:highlight w:val="none"/>
              <w:lang w:val="en-GB"/>
            </w:rPr>
            <m:t>+</m:t>
          </m:r>
          <m:r>
            <w:rPr>
              <w:rFonts w:ascii="DejaVu Math TeX Gyre" w:hAnsi="DejaVu Math TeX Gyre" w:cstheme="minorHAnsi"/>
              <w:szCs w:val="32"/>
              <w:highlight w:val="none"/>
              <w:lang w:val="en-GB"/>
            </w:rPr>
            <m:t>LA</m:t>
          </m:r>
        </m:oMath>
      </m:oMathPara>
    </w:p>
    <w:p>
      <w:pPr>
        <w:ind w:firstLine="640"/>
        <w:rPr>
          <w:highlight w:val="none"/>
          <w:lang w:val="en-GB"/>
        </w:rPr>
      </w:pPr>
      <w:r>
        <w:rPr>
          <w:rFonts w:hint="eastAsia"/>
          <w:highlight w:val="none"/>
          <w:lang w:val="en-GB"/>
        </w:rPr>
        <w:t>参数说明：</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Sum</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sub>
        </m:sSub>
      </m:oMath>
      <w:r>
        <w:rPr>
          <w:rFonts w:hint="eastAsia"/>
          <w:highlight w:val="none"/>
          <w:lang w:val="en-GB"/>
        </w:rPr>
        <w:t>为基点价值变动的合计；</w:t>
      </w:r>
    </w:p>
    <w:p>
      <w:pPr>
        <w:spacing w:line="360" w:lineRule="auto"/>
        <w:ind w:firstLine="640"/>
        <w:rPr>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All</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N</m:t>
            </m:r>
            <m:ctrlPr>
              <w:rPr>
                <w:rFonts w:ascii="DejaVu Math TeX Gyre" w:hAnsi="DejaVu Math TeX Gyre" w:cstheme="minorHAnsi"/>
                <w:i/>
                <w:highlight w:val="none"/>
                <w:lang w:val="en-GB"/>
              </w:rPr>
            </m:ctrlPr>
          </m:sub>
        </m:sSub>
      </m:oMath>
      <w:r>
        <w:rPr>
          <w:rFonts w:hint="eastAsia"/>
          <w:highlight w:val="none"/>
        </w:rPr>
        <w:t>为公司普通账户关键期限年</w:t>
      </w:r>
      <w:r>
        <w:rPr>
          <w:rFonts w:hint="default" w:ascii="DejaVu Math TeX Gyre" w:hAnsi="DejaVu Math TeX Gyre" w:eastAsia="仿宋_GB2312" w:cs="DejaVu Math TeX Gyre"/>
          <w:kern w:val="2"/>
          <w:sz w:val="32"/>
          <w:szCs w:val="22"/>
          <w:lang w:val="en-GB" w:eastAsia="zh-CN" w:bidi="ar-SA"/>
        </w:rPr>
        <w:t>N</w:t>
      </w:r>
      <w:r>
        <w:rPr>
          <w:rFonts w:hint="eastAsia"/>
          <w:highlight w:val="none"/>
        </w:rPr>
        <w:t>对应的基点价值变动；</w:t>
      </w:r>
    </w:p>
    <w:p>
      <w:pPr>
        <w:spacing w:line="360" w:lineRule="auto"/>
        <w:ind w:firstLine="640"/>
        <w:rPr>
          <w:highlight w:val="none"/>
          <w:lang w:val="en-GB"/>
        </w:rPr>
      </w:pPr>
      <m:oMath>
        <m:r>
          <w:rPr>
            <w:rFonts w:ascii="DejaVu Math TeX Gyre" w:hAnsi="DejaVu Math TeX Gyre" w:cstheme="minorHAnsi"/>
            <w:highlight w:val="none"/>
            <w:lang w:val="en-GB"/>
          </w:rPr>
          <m:t>LA</m:t>
        </m:r>
      </m:oMath>
      <w:r>
        <w:rPr>
          <w:rFonts w:hint="eastAsia"/>
          <w:highlight w:val="none"/>
          <w:lang w:val="en-GB"/>
        </w:rPr>
        <w:t>为损失吸收效应调整，最大值为零。</w:t>
      </w:r>
    </w:p>
    <w:p>
      <w:pPr>
        <w:ind w:firstLine="640"/>
        <w:rPr>
          <w:highlight w:val="none"/>
          <w:lang w:val="en-GB"/>
        </w:rPr>
      </w:pPr>
      <w:r>
        <w:rPr>
          <w:rFonts w:hint="eastAsia"/>
          <w:highlight w:val="none"/>
        </w:rPr>
        <w:t>在变动情景为上升、下降、倾斜上、倾斜下、扭转上和扭转下时，计算分红保险和万能保险负债现金流流出的基点价值变动合计应考虑损失吸收效应调整。</w:t>
      </w:r>
      <m:oMath>
        <m:r>
          <w:rPr>
            <w:rFonts w:ascii="DejaVu Math TeX Gyre" w:hAnsi="DejaVu Math TeX Gyre" w:cstheme="minorHAnsi"/>
            <w:highlight w:val="none"/>
          </w:rPr>
          <m:t>β</m:t>
        </m:r>
      </m:oMath>
      <w:r>
        <w:rPr>
          <w:highlight w:val="none"/>
        </w:rPr>
        <w:t>为分红保险和万能保险损失吸收效应的调整比</w:t>
      </w:r>
      <w:r>
        <w:rPr>
          <w:rFonts w:hint="eastAsia"/>
          <w:highlight w:val="none"/>
        </w:rPr>
        <w:t>例</w:t>
      </w:r>
      <w:r>
        <w:rPr>
          <w:highlight w:val="none"/>
        </w:rPr>
        <w:t>，计算</w:t>
      </w:r>
      <w:r>
        <w:rPr>
          <w:rFonts w:hint="eastAsia"/>
          <w:highlight w:val="none"/>
        </w:rPr>
        <w:t>方法如下</w:t>
      </w:r>
      <w:r>
        <w:rPr>
          <w:highlight w:val="none"/>
          <w:lang w:val="en-GB"/>
        </w:rPr>
        <w:t>：</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β</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Par</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unc>
            <m:funcPr>
              <m:ctrlPr>
                <w:rPr>
                  <w:rFonts w:ascii="DejaVu Math TeX Gyre" w:hAnsi="DejaVu Math TeX Gyre" w:cstheme="minorHAnsi"/>
                  <w:i/>
                  <w:szCs w:val="32"/>
                  <w:highlight w:val="none"/>
                  <w:lang w:val="en-GB"/>
                </w:rPr>
              </m:ctrlPr>
            </m:funcPr>
            <m:fName>
              <m:r>
                <w:rPr>
                  <w:rFonts w:ascii="DejaVu Math TeX Gyre" w:hAnsi="DejaVu Math TeX Gyre" w:cstheme="minorHAnsi"/>
                  <w:szCs w:val="32"/>
                  <w:highlight w:val="none"/>
                  <w:lang w:val="en-GB"/>
                </w:rPr>
                <m:t>Min</m:t>
              </m:r>
              <m:ctrlPr>
                <w:rPr>
                  <w:rFonts w:ascii="DejaVu Math TeX Gyre" w:hAnsi="DejaVu Math TeX Gyre" w:cstheme="minorHAnsi"/>
                  <w:i/>
                  <w:szCs w:val="32"/>
                  <w:highlight w:val="none"/>
                  <w:lang w:val="en-GB"/>
                </w:rPr>
              </m:ctrlPr>
            </m:fName>
            <m:e>
              <m:d>
                <m:dPr>
                  <m:ctrlPr>
                    <w:rPr>
                      <w:rFonts w:ascii="DejaVu Math TeX Gyre" w:hAnsi="DejaVu Math TeX Gyre" w:cstheme="minorHAnsi"/>
                      <w:i/>
                      <w:szCs w:val="32"/>
                      <w:highlight w:val="none"/>
                      <w:lang w:val="en-GB"/>
                    </w:rPr>
                  </m:ctrlPr>
                </m:d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β</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cross−par</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，1−</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eff</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Par</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mod</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Par</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func>
        </m:oMath>
      </m:oMathPara>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β</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U</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unc>
            <m:funcPr>
              <m:ctrlPr>
                <w:rPr>
                  <w:rFonts w:ascii="DejaVu Math TeX Gyre" w:hAnsi="DejaVu Math TeX Gyre" w:cstheme="minorHAnsi"/>
                  <w:i/>
                  <w:szCs w:val="32"/>
                  <w:highlight w:val="none"/>
                  <w:lang w:val="en-GB"/>
                </w:rPr>
              </m:ctrlPr>
            </m:funcPr>
            <m:fName>
              <m:r>
                <w:rPr>
                  <w:rFonts w:ascii="DejaVu Math TeX Gyre" w:hAnsi="DejaVu Math TeX Gyre" w:cstheme="minorHAnsi"/>
                  <w:szCs w:val="32"/>
                  <w:highlight w:val="none"/>
                  <w:lang w:val="en-GB"/>
                </w:rPr>
                <m:t>Min</m:t>
              </m:r>
              <m:ctrlPr>
                <w:rPr>
                  <w:rFonts w:ascii="DejaVu Math TeX Gyre" w:hAnsi="DejaVu Math TeX Gyre" w:cstheme="minorHAnsi"/>
                  <w:i/>
                  <w:szCs w:val="32"/>
                  <w:highlight w:val="none"/>
                  <w:lang w:val="en-GB"/>
                </w:rPr>
              </m:ctrlPr>
            </m:fName>
            <m:e>
              <m:d>
                <m:dPr>
                  <m:ctrlPr>
                    <w:rPr>
                      <w:rFonts w:ascii="DejaVu Math TeX Gyre" w:hAnsi="DejaVu Math TeX Gyre" w:cstheme="minorHAnsi"/>
                      <w:i/>
                      <w:szCs w:val="32"/>
                      <w:highlight w:val="none"/>
                      <w:lang w:val="en-GB"/>
                    </w:rPr>
                  </m:ctrlPr>
                </m:d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β</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rPr>
                        <m:t>cross−U</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，1−</m:t>
                  </m:r>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eff</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U</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Dur</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mod</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U</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func>
        </m:oMath>
      </m:oMathPara>
    </w:p>
    <w:p>
      <w:pPr>
        <w:spacing w:line="360" w:lineRule="auto"/>
        <w:ind w:left="640" w:leftChars="200" w:firstLine="640"/>
        <w:rPr>
          <w:rFonts w:cstheme="minorHAnsi"/>
          <w:szCs w:val="32"/>
          <w:highlight w:val="none"/>
          <w:lang w:val="en-GB"/>
        </w:rPr>
      </w:pPr>
      <m:oMathPara>
        <m:oMathParaPr>
          <m:jc m:val="left"/>
        </m:oMathParaPr>
        <m:oMath>
          <m:r>
            <w:rPr>
              <w:rFonts w:ascii="DejaVu Math TeX Gyre" w:hAnsi="DejaVu Math TeX Gyre" w:cstheme="minorHAnsi"/>
              <w:szCs w:val="32"/>
              <w:highlight w:val="none"/>
              <w:lang w:val="en-GB"/>
            </w:rPr>
            <m:t>LA=</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β</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Par</m:t>
              </m:r>
              <m:ctrlPr>
                <w:rPr>
                  <w:rFonts w:ascii="DejaVu Math TeX Gyre" w:hAnsi="DejaVu Math TeX Gyre" w:cstheme="minorHAnsi"/>
                  <w:i/>
                  <w:szCs w:val="32"/>
                  <w:highlight w:val="none"/>
                  <w:lang w:val="en-GB"/>
                </w:rPr>
              </m:ctrlPr>
            </m:sub>
          </m:sSub>
          <m:r>
            <w:rPr>
              <w:rFonts w:ascii="DejaVu Math TeX Gyre" w:hAnsi="DejaVu Math TeX Gyre" w:eastAsia="Helvetica" w:cstheme="minorHAnsi"/>
              <w:szCs w:val="32"/>
              <w:highlight w:val="none"/>
              <w:lang w:val="en-GB"/>
            </w:rPr>
            <m:t>×</m:t>
          </m:r>
          <m:func>
            <m:funcPr>
              <m:ctrlPr>
                <w:rPr>
                  <w:rFonts w:ascii="DejaVu Math TeX Gyre" w:hAnsi="DejaVu Math TeX Gyre" w:cstheme="minorHAnsi"/>
                  <w:i/>
                  <w:szCs w:val="32"/>
                  <w:highlight w:val="none"/>
                  <w:lang w:val="en-GB"/>
                </w:rPr>
              </m:ctrlPr>
            </m:funcPr>
            <m:fName>
              <m:r>
                <w:rPr>
                  <w:rFonts w:ascii="DejaVu Math TeX Gyre" w:hAnsi="DejaVu Math TeX Gyre" w:cstheme="minorHAnsi"/>
                  <w:szCs w:val="32"/>
                  <w:highlight w:val="none"/>
                  <w:lang w:val="en-GB"/>
                </w:rPr>
                <m:t>min</m:t>
              </m:r>
              <m:r>
                <w:rPr>
                  <w:rFonts w:ascii="DejaVu Math TeX Gyre" w:hAnsi="DejaVu Math TeX Gyre" w:eastAsia="Helvetica" w:cstheme="minorHAnsi"/>
                  <w:szCs w:val="32"/>
                  <w:highlight w:val="none"/>
                  <w:lang w:val="en-GB"/>
                </w:rPr>
                <m:t>⁡</m:t>
              </m:r>
              <m:r>
                <m:rPr>
                  <m:sty m:val="p"/>
                </m:rPr>
                <w:rPr>
                  <w:rFonts w:ascii="DejaVu Math TeX Gyre" w:hAnsi="DejaVu Math TeX Gyre" w:cstheme="minorHAnsi"/>
                  <w:szCs w:val="32"/>
                  <w:highlight w:val="none"/>
                  <w:lang w:val="en-GB"/>
                </w:rPr>
                <m:t>(</m:t>
              </m:r>
              <m:ctrlPr>
                <w:rPr>
                  <w:rFonts w:ascii="DejaVu Math TeX Gyre" w:hAnsi="DejaVu Math TeX Gyre" w:cstheme="minorHAnsi"/>
                  <w:i/>
                  <w:szCs w:val="32"/>
                  <w:highlight w:val="none"/>
                  <w:lang w:val="en-GB"/>
                </w:rPr>
              </m:ctrlPr>
            </m:fName>
            <m:e>
              <m:nary>
                <m:naryPr>
                  <m:chr m:val="∑"/>
                  <m:limLoc m:val="undOvr"/>
                  <m:subHide m:val="1"/>
                  <m:supHide m:val="1"/>
                  <m:ctrlPr>
                    <w:rPr>
                      <w:rFonts w:ascii="DejaVu Math TeX Gyre" w:hAnsi="DejaVu Math TeX Gyre" w:cstheme="minorHAnsi"/>
                      <w:i/>
                      <w:szCs w:val="32"/>
                      <w:highlight w:val="none"/>
                      <w:lang w:val="en-GB"/>
                    </w:rPr>
                  </m:ctrlPr>
                </m:naryPr>
                <m:sub>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m:t>
                      </m:r>
                      <m:ctrlPr>
                        <w:rPr>
                          <w:rFonts w:ascii="DejaVu Math TeX Gyre" w:hAnsi="DejaVu Math TeX Gyre" w:cstheme="minorHAnsi"/>
                          <w:i/>
                          <w:szCs w:val="32"/>
                          <w:highlight w:val="none"/>
                          <w:lang w:val="en-GB"/>
                        </w:rPr>
                      </m:ctrlPr>
                    </m:e>
                    <m: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Par</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nary>
              <m:r>
                <w:rPr>
                  <w:rFonts w:ascii="DejaVu Math TeX Gyre" w:hAnsi="DejaVu Math TeX Gyre" w:cstheme="minorHAnsi"/>
                  <w:szCs w:val="32"/>
                  <w:highlight w:val="none"/>
                  <w:lang w:val="en-GB"/>
                </w:rPr>
                <m:t>,0)</m:t>
              </m:r>
              <m:ctrlPr>
                <w:rPr>
                  <w:rFonts w:ascii="DejaVu Math TeX Gyre" w:hAnsi="DejaVu Math TeX Gyre" w:cstheme="minorHAnsi"/>
                  <w:i/>
                  <w:szCs w:val="32"/>
                  <w:highlight w:val="none"/>
                  <w:lang w:val="en-GB"/>
                </w:rPr>
              </m:ctrlPr>
            </m:e>
          </m:func>
          <m:r>
            <w:rPr>
              <w:rFonts w:ascii="DejaVu Math TeX Gyre" w:hAnsi="DejaVu Math TeX Gyre" w:cstheme="minorHAnsi"/>
              <w:szCs w:val="32"/>
              <w:highlight w:val="none"/>
              <w:lang w:val="en-GB"/>
            </w:rPr>
            <m:t>+</m:t>
          </m:r>
          <m:sSub>
            <m:sSubPr>
              <m:ctrlPr>
                <w:rPr>
                  <w:rFonts w:ascii="DejaVu Math TeX Gyre" w:hAnsi="DejaVu Math TeX Gyre" w:cstheme="minorHAnsi"/>
                  <w:i/>
                  <w:szCs w:val="32"/>
                  <w:highlight w:val="none"/>
                  <w:lang w:val="en-GB"/>
                </w:rPr>
              </m:ctrlPr>
            </m:sSubPr>
            <m:e>
              <m:r>
                <w:rPr>
                  <w:rFonts w:ascii="DejaVu Math TeX Gyre" w:hAnsi="DejaVu Math TeX Gyre" w:eastAsia="Helvetica" w:cstheme="minorHAnsi"/>
                  <w:szCs w:val="32"/>
                  <w:highlight w:val="none"/>
                  <w:lang w:val="en-GB"/>
                </w:rPr>
                <m:t>β</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U</m:t>
              </m:r>
              <m:ctrlPr>
                <w:rPr>
                  <w:rFonts w:ascii="DejaVu Math TeX Gyre" w:hAnsi="DejaVu Math TeX Gyre" w:cstheme="minorHAnsi"/>
                  <w:i/>
                  <w:szCs w:val="32"/>
                  <w:highlight w:val="none"/>
                  <w:lang w:val="en-GB"/>
                </w:rPr>
              </m:ctrlPr>
            </m:sub>
          </m:sSub>
          <m:r>
            <w:rPr>
              <w:rFonts w:ascii="DejaVu Math TeX Gyre" w:hAnsi="DejaVu Math TeX Gyre" w:eastAsia="Helvetica" w:cstheme="minorHAnsi"/>
              <w:szCs w:val="32"/>
              <w:highlight w:val="none"/>
              <w:lang w:val="en-GB"/>
            </w:rPr>
            <m:t>×</m:t>
          </m:r>
          <m:func>
            <m:funcPr>
              <m:ctrlPr>
                <w:rPr>
                  <w:rFonts w:ascii="DejaVu Math TeX Gyre" w:hAnsi="DejaVu Math TeX Gyre" w:cstheme="minorHAnsi"/>
                  <w:i/>
                  <w:szCs w:val="32"/>
                  <w:highlight w:val="none"/>
                  <w:lang w:val="en-GB"/>
                </w:rPr>
              </m:ctrlPr>
            </m:funcPr>
            <m:fName>
              <m:r>
                <w:rPr>
                  <w:rFonts w:ascii="DejaVu Math TeX Gyre" w:hAnsi="DejaVu Math TeX Gyre" w:cstheme="minorHAnsi"/>
                  <w:szCs w:val="32"/>
                  <w:highlight w:val="none"/>
                  <w:lang w:val="en-GB"/>
                </w:rPr>
                <m:t>min</m:t>
              </m:r>
              <m:r>
                <w:rPr>
                  <w:rFonts w:ascii="DejaVu Math TeX Gyre" w:hAnsi="DejaVu Math TeX Gyre" w:eastAsia="Helvetica" w:cstheme="minorHAnsi"/>
                  <w:szCs w:val="32"/>
                  <w:highlight w:val="none"/>
                  <w:lang w:val="en-GB"/>
                </w:rPr>
                <m:t>⁡</m:t>
              </m:r>
              <m:r>
                <w:rPr>
                  <w:rFonts w:ascii="DejaVu Math TeX Gyre" w:hAnsi="DejaVu Math TeX Gyre" w:cstheme="minorHAnsi"/>
                  <w:szCs w:val="32"/>
                  <w:highlight w:val="none"/>
                  <w:lang w:val="en-GB"/>
                </w:rPr>
                <m:t>(</m:t>
              </m:r>
              <m:ctrlPr>
                <w:rPr>
                  <w:rFonts w:ascii="DejaVu Math TeX Gyre" w:hAnsi="DejaVu Math TeX Gyre" w:cstheme="minorHAnsi"/>
                  <w:i/>
                  <w:szCs w:val="32"/>
                  <w:highlight w:val="none"/>
                  <w:lang w:val="en-GB"/>
                </w:rPr>
              </m:ctrlPr>
            </m:fName>
            <m:e>
              <m:nary>
                <m:naryPr>
                  <m:chr m:val="∑"/>
                  <m:limLoc m:val="undOvr"/>
                  <m:subHide m:val="1"/>
                  <m:supHide m:val="1"/>
                  <m:ctrlPr>
                    <w:rPr>
                      <w:rFonts w:ascii="DejaVu Math TeX Gyre" w:hAnsi="DejaVu Math TeX Gyre" w:cstheme="minorHAnsi"/>
                      <w:i/>
                      <w:szCs w:val="32"/>
                      <w:highlight w:val="none"/>
                      <w:lang w:val="en-GB"/>
                    </w:rPr>
                  </m:ctrlPr>
                </m:naryPr>
                <m:sub>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DV</m:t>
                      </m:r>
                      <m:ctrlPr>
                        <w:rPr>
                          <w:rFonts w:ascii="DejaVu Math TeX Gyre" w:hAnsi="DejaVu Math TeX Gyre" w:cstheme="minorHAnsi"/>
                          <w:i/>
                          <w:szCs w:val="32"/>
                          <w:highlight w:val="none"/>
                          <w:lang w:val="en-GB"/>
                        </w:rPr>
                      </m:ctrlPr>
                    </m:e>
                    <m:sub>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U</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nary>
              <m:r>
                <w:rPr>
                  <w:rFonts w:ascii="DejaVu Math TeX Gyre" w:hAnsi="DejaVu Math TeX Gyre" w:cstheme="minorHAnsi"/>
                  <w:szCs w:val="32"/>
                  <w:highlight w:val="none"/>
                  <w:lang w:val="en-GB"/>
                </w:rPr>
                <m:t>,0)</m:t>
              </m:r>
              <m:ctrlPr>
                <w:rPr>
                  <w:rFonts w:ascii="DejaVu Math TeX Gyre" w:hAnsi="DejaVu Math TeX Gyre" w:cstheme="minorHAnsi"/>
                  <w:i/>
                  <w:szCs w:val="32"/>
                  <w:highlight w:val="none"/>
                  <w:lang w:val="en-GB"/>
                </w:rPr>
              </m:ctrlPr>
            </m:e>
          </m:func>
        </m:oMath>
      </m:oMathPara>
    </w:p>
    <w:p>
      <w:pPr>
        <w:ind w:firstLine="640"/>
        <w:rPr>
          <w:highlight w:val="none"/>
          <w:lang w:val="en-GB"/>
        </w:rPr>
      </w:pPr>
      <w:r>
        <w:rPr>
          <w:rFonts w:hint="eastAsia"/>
          <w:highlight w:val="none"/>
          <w:lang w:val="en-GB"/>
        </w:rPr>
        <w:t>参数说明：</w:t>
      </w:r>
    </w:p>
    <w:p>
      <w:pPr>
        <w:spacing w:line="360" w:lineRule="auto"/>
        <w:ind w:firstLine="640"/>
        <w:rPr>
          <w:rFonts w:ascii="宋体" w:hAnsi="Cambria Math"/>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β</m:t>
            </m:r>
            <m:ctrlPr>
              <w:rPr>
                <w:rFonts w:ascii="DejaVu Math TeX Gyre" w:hAnsi="DejaVu Math TeX Gyre" w:cstheme="minorHAnsi"/>
                <w:i/>
                <w:highlight w:val="none"/>
                <w:lang w:val="en-GB"/>
              </w:rPr>
            </m:ctrlPr>
          </m:e>
          <m:sub>
            <m:r>
              <w:rPr>
                <w:rFonts w:ascii="DejaVu Math TeX Gyre" w:hAnsi="DejaVu Math TeX Gyre" w:cstheme="minorHAnsi"/>
                <w:highlight w:val="none"/>
              </w:rPr>
              <m:t>cross−</m:t>
            </m:r>
            <m:r>
              <w:rPr>
                <w:rFonts w:ascii="DejaVu Math TeX Gyre" w:hAnsi="DejaVu Math TeX Gyre" w:cstheme="minorHAnsi"/>
                <w:highlight w:val="none"/>
                <w:lang w:val="en-GB"/>
              </w:rPr>
              <m:t>Par</m:t>
            </m:r>
            <m:ctrlPr>
              <w:rPr>
                <w:rFonts w:ascii="DejaVu Math TeX Gyre" w:hAnsi="DejaVu Math TeX Gyre" w:cstheme="minorHAnsi"/>
                <w:i/>
                <w:highlight w:val="none"/>
                <w:lang w:val="en-GB"/>
              </w:rPr>
            </m:ctrlPr>
          </m:sub>
        </m:sSub>
      </m:oMath>
      <w:r>
        <w:rPr>
          <w:rFonts w:hint="eastAsia"/>
          <w:highlight w:val="none"/>
          <w:lang w:val="en-GB"/>
        </w:rPr>
        <w:t>和</w:t>
      </w: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β</m:t>
            </m:r>
            <m:ctrlPr>
              <w:rPr>
                <w:rFonts w:ascii="DejaVu Math TeX Gyre" w:hAnsi="DejaVu Math TeX Gyre" w:cstheme="minorHAnsi"/>
                <w:i/>
                <w:highlight w:val="none"/>
                <w:lang w:val="en-GB"/>
              </w:rPr>
            </m:ctrlPr>
          </m:e>
          <m:sub>
            <m:r>
              <w:rPr>
                <w:rFonts w:ascii="DejaVu Math TeX Gyre" w:hAnsi="DejaVu Math TeX Gyre" w:cstheme="minorHAnsi"/>
                <w:highlight w:val="none"/>
              </w:rPr>
              <m:t>cross−</m:t>
            </m:r>
            <m:r>
              <w:rPr>
                <w:rFonts w:ascii="DejaVu Math TeX Gyre" w:hAnsi="DejaVu Math TeX Gyre" w:cstheme="minorHAnsi"/>
                <w:highlight w:val="none"/>
                <w:lang w:val="en-GB"/>
              </w:rPr>
              <m:t>U</m:t>
            </m:r>
            <m:ctrlPr>
              <w:rPr>
                <w:rFonts w:ascii="DejaVu Math TeX Gyre" w:hAnsi="DejaVu Math TeX Gyre" w:cstheme="minorHAnsi"/>
                <w:i/>
                <w:highlight w:val="none"/>
                <w:lang w:val="en-GB"/>
              </w:rPr>
            </m:ctrlPr>
          </m:sub>
        </m:sSub>
      </m:oMath>
      <w:r>
        <w:rPr>
          <w:rFonts w:hint="eastAsia" w:ascii="宋体" w:hAnsi="Cambria Math"/>
          <w:highlight w:val="none"/>
        </w:rPr>
        <w:t>取值</w:t>
      </w:r>
      <w:r>
        <w:rPr>
          <w:rFonts w:hint="eastAsia"/>
          <w:highlight w:val="none"/>
        </w:rPr>
        <w:t>与偿付能力监管规则关于分红保险和万能保险合同损失吸收效应调整比率保持一致</w:t>
      </w:r>
      <w:r>
        <w:rPr>
          <w:rFonts w:hint="eastAsia"/>
          <w:highlight w:val="none"/>
          <w:lang w:val="en-GB"/>
        </w:rPr>
        <w:t>；</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β</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Par</m:t>
            </m:r>
            <m:ctrlPr>
              <w:rPr>
                <w:rFonts w:ascii="DejaVu Math TeX Gyre" w:hAnsi="DejaVu Math TeX Gyre" w:cstheme="minorHAnsi"/>
                <w:i/>
                <w:highlight w:val="none"/>
                <w:lang w:val="en-GB"/>
              </w:rPr>
            </m:ctrlPr>
          </m:sub>
        </m:sSub>
      </m:oMath>
      <w:r>
        <w:rPr>
          <w:rFonts w:hint="eastAsia"/>
          <w:highlight w:val="none"/>
          <w:lang w:val="en-GB"/>
        </w:rPr>
        <w:t>和</w:t>
      </w: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β</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U</m:t>
            </m:r>
            <m:ctrlPr>
              <w:rPr>
                <w:rFonts w:ascii="DejaVu Math TeX Gyre" w:hAnsi="DejaVu Math TeX Gyre" w:cstheme="minorHAnsi"/>
                <w:i/>
                <w:highlight w:val="none"/>
                <w:lang w:val="en-GB"/>
              </w:rPr>
            </m:ctrlPr>
          </m:sub>
        </m:sSub>
      </m:oMath>
      <w:r>
        <w:rPr>
          <w:rFonts w:hint="eastAsia"/>
          <w:highlight w:val="none"/>
          <w:lang w:val="en-GB"/>
        </w:rPr>
        <w:t>为分红保险和万能保险负债现金流流出的损失吸收系数；</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eff</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Par</m:t>
            </m:r>
            <m:ctrlPr>
              <w:rPr>
                <w:rFonts w:ascii="DejaVu Math TeX Gyre" w:hAnsi="DejaVu Math TeX Gyre" w:cstheme="minorHAnsi"/>
                <w:i/>
                <w:highlight w:val="none"/>
                <w:lang w:val="en-GB"/>
              </w:rPr>
            </m:ctrlPr>
          </m:sub>
        </m:sSub>
      </m:oMath>
      <w:r>
        <w:rPr>
          <w:highlight w:val="none"/>
          <w:lang w:val="en-GB"/>
        </w:rPr>
        <w:t>和</w:t>
      </w: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eff</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U</m:t>
            </m:r>
            <m:ctrlPr>
              <w:rPr>
                <w:rFonts w:ascii="DejaVu Math TeX Gyre" w:hAnsi="DejaVu Math TeX Gyre" w:cstheme="minorHAnsi"/>
                <w:i/>
                <w:highlight w:val="none"/>
                <w:lang w:val="en-GB"/>
              </w:rPr>
            </m:ctrlPr>
          </m:sub>
        </m:sSub>
      </m:oMath>
      <w:r>
        <w:rPr>
          <w:rFonts w:hint="eastAsia"/>
          <w:highlight w:val="none"/>
          <w:lang w:val="en-GB"/>
        </w:rPr>
        <w:t>分别为分红保险和万能保险负债现金流流出的有效久期；</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mod</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Par</m:t>
            </m:r>
            <m:ctrlPr>
              <w:rPr>
                <w:rFonts w:ascii="DejaVu Math TeX Gyre" w:hAnsi="DejaVu Math TeX Gyre" w:cstheme="minorHAnsi"/>
                <w:i/>
                <w:highlight w:val="none"/>
                <w:lang w:val="en-GB"/>
              </w:rPr>
            </m:ctrlPr>
          </m:sub>
        </m:sSub>
      </m:oMath>
      <w:r>
        <w:rPr>
          <w:highlight w:val="none"/>
          <w:lang w:val="en-GB"/>
        </w:rPr>
        <w:t>和</w:t>
      </w: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mod</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U</m:t>
            </m:r>
            <m:ctrlPr>
              <w:rPr>
                <w:rFonts w:ascii="DejaVu Math TeX Gyre" w:hAnsi="DejaVu Math TeX Gyre" w:cstheme="minorHAnsi"/>
                <w:i/>
                <w:highlight w:val="none"/>
                <w:lang w:val="en-GB"/>
              </w:rPr>
            </m:ctrlPr>
          </m:sub>
        </m:sSub>
      </m:oMath>
      <w:r>
        <w:rPr>
          <w:rFonts w:hint="eastAsia"/>
          <w:highlight w:val="none"/>
          <w:lang w:val="en-GB"/>
        </w:rPr>
        <w:t>分别为分红保险和万能保险负债现金流流出的修正久期；</w:t>
      </w:r>
    </w:p>
    <w:p>
      <w:pPr>
        <w:spacing w:line="360" w:lineRule="auto"/>
        <w:ind w:firstLine="640"/>
        <w:rPr>
          <w:highlight w:val="none"/>
          <w:lang w:val="en-GB"/>
        </w:rPr>
      </w:pPr>
      <m:oMath>
        <m:r>
          <w:rPr>
            <w:rFonts w:ascii="DejaVu Math TeX Gyre" w:hAnsi="DejaVu Math TeX Gyre" w:cstheme="minorHAnsi"/>
            <w:highlight w:val="none"/>
            <w:lang w:val="en-GB"/>
          </w:rPr>
          <m:t>LA</m:t>
        </m:r>
      </m:oMath>
      <w:r>
        <w:rPr>
          <w:rFonts w:hint="eastAsia"/>
          <w:highlight w:val="none"/>
          <w:lang w:val="en-GB"/>
        </w:rPr>
        <w:t>为损失吸收效应调整，最大值为零；</w:t>
      </w:r>
    </w:p>
    <w:p>
      <w:pPr>
        <w:spacing w:line="360" w:lineRule="auto"/>
        <w:ind w:firstLine="640"/>
        <w:rPr>
          <w:highlight w:val="none"/>
          <w:lang w:val="en-GB"/>
        </w:rPr>
      </w:pPr>
      <m:oMath>
        <m:nary>
          <m:naryPr>
            <m:chr m:val="∑"/>
            <m:limLoc m:val="undOvr"/>
            <m:subHide m:val="1"/>
            <m:supHide m:val="1"/>
            <m:ctrlPr>
              <w:rPr>
                <w:rFonts w:ascii="DejaVu Math TeX Gyre" w:hAnsi="DejaVu Math TeX Gyre" w:cstheme="minorHAnsi"/>
                <w:i/>
                <w:highlight w:val="none"/>
                <w:lang w:val="en-GB"/>
              </w:rPr>
            </m:ctrlPr>
          </m:naryPr>
          <m:sub>
            <m:ctrlPr>
              <w:rPr>
                <w:rFonts w:ascii="DejaVu Math TeX Gyre" w:hAnsi="DejaVu Math TeX Gyre" w:cstheme="minorHAnsi"/>
                <w:i/>
                <w:highlight w:val="none"/>
                <w:lang w:val="en-GB"/>
              </w:rPr>
            </m:ctrlPr>
          </m:sub>
          <m:sup>
            <m:ctrlPr>
              <w:rPr>
                <w:rFonts w:ascii="DejaVu Math TeX Gyre" w:hAnsi="DejaVu Math TeX Gyre" w:cstheme="minorHAnsi"/>
                <w:i/>
                <w:highlight w:val="none"/>
                <w:lang w:val="en-GB"/>
              </w:rPr>
            </m:ctrlPr>
          </m:sup>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Par</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nary>
      </m:oMath>
      <w:r>
        <w:rPr>
          <w:highlight w:val="none"/>
          <w:lang w:val="en-GB"/>
        </w:rPr>
        <w:t>和</w:t>
      </w:r>
      <m:oMath>
        <m:nary>
          <m:naryPr>
            <m:chr m:val="∑"/>
            <m:limLoc m:val="undOvr"/>
            <m:subHide m:val="1"/>
            <m:supHide m:val="1"/>
            <m:ctrlPr>
              <w:rPr>
                <w:rFonts w:ascii="DejaVu Math TeX Gyre" w:hAnsi="DejaVu Math TeX Gyre" w:cstheme="minorHAnsi"/>
                <w:i/>
                <w:highlight w:val="none"/>
                <w:lang w:val="en-GB"/>
              </w:rPr>
            </m:ctrlPr>
          </m:naryPr>
          <m:sub>
            <m:ctrlPr>
              <w:rPr>
                <w:rFonts w:ascii="DejaVu Math TeX Gyre" w:hAnsi="DejaVu Math TeX Gyre" w:cstheme="minorHAnsi"/>
                <w:i/>
                <w:highlight w:val="none"/>
                <w:lang w:val="en-GB"/>
              </w:rPr>
            </m:ctrlPr>
          </m:sub>
          <m:sup>
            <m:ctrlPr>
              <w:rPr>
                <w:rFonts w:ascii="DejaVu Math TeX Gyre" w:hAnsi="DejaVu Math TeX Gyre" w:cstheme="minorHAnsi"/>
                <w:i/>
                <w:highlight w:val="none"/>
                <w:lang w:val="en-GB"/>
              </w:rPr>
            </m:ctrlPr>
          </m:sup>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U</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nary>
      </m:oMath>
      <w:r>
        <w:rPr>
          <w:highlight w:val="none"/>
          <w:lang w:val="en-GB"/>
        </w:rPr>
        <w:t>分别为分红保险和万能保险负债现金流流出的价值变动合计</w:t>
      </w:r>
      <w:r>
        <w:rPr>
          <w:rFonts w:hint="eastAsia"/>
          <w:highlight w:val="none"/>
          <w:lang w:val="en-GB"/>
        </w:rPr>
        <w:t>。</w:t>
      </w:r>
    </w:p>
    <w:p>
      <w:pPr>
        <w:ind w:firstLine="640"/>
        <w:rPr>
          <w:highlight w:val="none"/>
        </w:rPr>
      </w:pPr>
      <w:r>
        <w:rPr>
          <w:rFonts w:hint="eastAsia" w:ascii="仿宋_GB2312" w:hAnsi="仿宋_GB2312" w:cs="仿宋_GB2312"/>
          <w:highlight w:val="none"/>
        </w:rPr>
        <w:t>11.基点价值变动</w:t>
      </w:r>
      <w:r>
        <w:rPr>
          <w:rFonts w:hint="eastAsia"/>
          <w:highlight w:val="none"/>
        </w:rPr>
        <w:t>率的计算</w:t>
      </w:r>
    </w:p>
    <w:p>
      <w:pPr>
        <w:ind w:firstLine="640"/>
        <w:rPr>
          <w:rFonts w:cs="Arial"/>
          <w:highlight w:val="none"/>
        </w:rPr>
      </w:pPr>
      <w:r>
        <w:rPr>
          <w:highlight w:val="none"/>
        </w:rPr>
        <w:t>根据</w:t>
      </w:r>
      <w:r>
        <w:rPr>
          <w:rFonts w:hint="eastAsia"/>
          <w:highlight w:val="none"/>
        </w:rPr>
        <w:t>公司</w:t>
      </w:r>
      <w:r>
        <w:rPr>
          <w:highlight w:val="none"/>
        </w:rPr>
        <w:t>普通</w:t>
      </w:r>
      <w:r>
        <w:rPr>
          <w:rFonts w:cs="宋体"/>
          <w:highlight w:val="none"/>
        </w:rPr>
        <w:t>账户</w:t>
      </w:r>
      <w:r>
        <w:rPr>
          <w:highlight w:val="none"/>
        </w:rPr>
        <w:t>基点价</w:t>
      </w:r>
      <w:r>
        <w:rPr>
          <w:rFonts w:cs="宋体"/>
          <w:highlight w:val="none"/>
        </w:rPr>
        <w:t>值变动</w:t>
      </w:r>
      <w:r>
        <w:rPr>
          <w:highlight w:val="none"/>
        </w:rPr>
        <w:t>合</w:t>
      </w:r>
      <w:r>
        <w:rPr>
          <w:rFonts w:cs="宋体"/>
          <w:highlight w:val="none"/>
        </w:rPr>
        <w:t>计</w:t>
      </w:r>
      <w:r>
        <w:rPr>
          <w:highlight w:val="none"/>
        </w:rPr>
        <w:t>的</w:t>
      </w:r>
      <w:r>
        <w:rPr>
          <w:rFonts w:cs="宋体"/>
          <w:highlight w:val="none"/>
        </w:rPr>
        <w:t>结</w:t>
      </w:r>
      <w:r>
        <w:rPr>
          <w:highlight w:val="none"/>
        </w:rPr>
        <w:t>果，</w:t>
      </w:r>
      <w:r>
        <w:rPr>
          <w:rFonts w:cs="宋体"/>
          <w:highlight w:val="none"/>
        </w:rPr>
        <w:t>计</w:t>
      </w:r>
      <w:r>
        <w:rPr>
          <w:highlight w:val="none"/>
        </w:rPr>
        <w:t>算基点价</w:t>
      </w:r>
      <w:r>
        <w:rPr>
          <w:rFonts w:cs="宋体"/>
          <w:highlight w:val="none"/>
        </w:rPr>
        <w:t>值变动</w:t>
      </w:r>
      <w:r>
        <w:rPr>
          <w:highlight w:val="none"/>
        </w:rPr>
        <w:t>率：</w:t>
      </w:r>
    </w:p>
    <w:p>
      <w:pPr>
        <w:spacing w:line="360" w:lineRule="auto"/>
        <w:ind w:left="640" w:leftChars="200" w:firstLine="640"/>
        <w:rPr>
          <w:rFonts w:cstheme="minorHAns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Ratio</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f>
            <m:fPr>
              <m:ctrlPr>
                <w:rPr>
                  <w:rFonts w:ascii="DejaVu Math TeX Gyre" w:hAnsi="DejaVu Math TeX Gyre" w:cstheme="minorHAnsi"/>
                  <w:i/>
                  <w:szCs w:val="32"/>
                  <w:highlight w:val="none"/>
                  <w:lang w:val="en-GB"/>
                </w:rPr>
              </m:ctrlPr>
            </m:fPr>
            <m:num>
              <m:func>
                <m:funcPr>
                  <m:ctrlPr>
                    <w:rPr>
                      <w:rFonts w:ascii="DejaVu Math TeX Gyre" w:hAnsi="DejaVu Math TeX Gyre" w:cstheme="minorHAnsi"/>
                      <w:i/>
                      <w:szCs w:val="32"/>
                      <w:highlight w:val="none"/>
                      <w:lang w:val="en-GB"/>
                    </w:rPr>
                  </m:ctrlPr>
                </m:funcPr>
                <m:fName>
                  <m:limLow>
                    <m:limLowPr>
                      <m:ctrlPr>
                        <w:rPr>
                          <w:rFonts w:ascii="DejaVu Math TeX Gyre" w:hAnsi="DejaVu Math TeX Gyre" w:cstheme="minorHAnsi"/>
                          <w:i/>
                          <w:szCs w:val="32"/>
                          <w:highlight w:val="none"/>
                          <w:lang w:val="en-GB"/>
                        </w:rPr>
                      </m:ctrlPr>
                    </m:limLowPr>
                    <m:e>
                      <m:r>
                        <w:rPr>
                          <w:rFonts w:ascii="DejaVu Math TeX Gyre" w:hAnsi="DejaVu Math TeX Gyre" w:cstheme="minorHAnsi"/>
                          <w:szCs w:val="32"/>
                          <w:highlight w:val="none"/>
                          <w:lang w:val="en-GB"/>
                        </w:rPr>
                        <m:t>Max</m:t>
                      </m:r>
                      <m:ctrlPr>
                        <w:rPr>
                          <w:rFonts w:ascii="DejaVu Math TeX Gyre" w:hAnsi="DejaVu Math TeX Gyre" w:cstheme="minorHAnsi"/>
                          <w:i/>
                          <w:szCs w:val="32"/>
                          <w:highlight w:val="none"/>
                          <w:lang w:val="en-GB"/>
                        </w:rPr>
                      </m:ctrlPr>
                    </m:e>
                    <m:lim>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lim>
                  </m:limLow>
                  <m:ctrlPr>
                    <w:rPr>
                      <w:rFonts w:ascii="DejaVu Math TeX Gyre" w:hAnsi="DejaVu Math TeX Gyre" w:cstheme="minorHAnsi"/>
                      <w:i/>
                      <w:szCs w:val="32"/>
                      <w:highlight w:val="none"/>
                      <w:lang w:val="en-GB"/>
                    </w:rPr>
                  </m:ctrlPr>
                </m:fName>
                <m:e>
                  <m:d>
                    <m:dPr>
                      <m:ctrlPr>
                        <w:rPr>
                          <w:rFonts w:ascii="DejaVu Math TeX Gyre" w:hAnsi="DejaVu Math TeX Gyre" w:cstheme="minorHAnsi"/>
                          <w:i/>
                          <w:szCs w:val="32"/>
                          <w:highlight w:val="none"/>
                          <w:lang w:val="en-GB"/>
                        </w:rPr>
                      </m:ctrlPr>
                    </m:dPr>
                    <m:e>
                      <m:sSub>
                        <m:sSubPr>
                          <m:ctrlPr>
                            <w:rPr>
                              <w:rFonts w:ascii="DejaVu Math TeX Gyre" w:hAnsi="DejaVu Math TeX Gyre" w:cstheme="minorHAnsi"/>
                              <w:i/>
                              <w:szCs w:val="32"/>
                              <w:highlight w:val="none"/>
                              <w:lang w:val="en-GB"/>
                            </w:rPr>
                          </m:ctrlPr>
                        </m:sSubPr>
                        <m:e>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Sum</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D</m:t>
                              </m:r>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X</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i</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r>
                        <w:rPr>
                          <w:rFonts w:ascii="DejaVu Math TeX Gyre" w:hAnsi="DejaVu Math TeX Gyre" w:cstheme="minorHAnsi"/>
                          <w:szCs w:val="32"/>
                          <w:highlight w:val="none"/>
                        </w:rPr>
                        <m:t>0</m:t>
                      </m:r>
                      <m:ctrlPr>
                        <w:rPr>
                          <w:rFonts w:ascii="DejaVu Math TeX Gyre" w:hAnsi="DejaVu Math TeX Gyre" w:cstheme="minorHAnsi"/>
                          <w:i/>
                          <w:szCs w:val="32"/>
                          <w:highlight w:val="none"/>
                          <w:lang w:val="en-GB"/>
                        </w:rPr>
                      </m:ctrlPr>
                    </m:e>
                  </m:d>
                  <m:ctrlPr>
                    <w:rPr>
                      <w:rFonts w:ascii="DejaVu Math TeX Gyre" w:hAnsi="DejaVu Math TeX Gyre" w:cstheme="minorHAnsi"/>
                      <w:i/>
                      <w:szCs w:val="32"/>
                      <w:highlight w:val="none"/>
                      <w:lang w:val="en-GB"/>
                    </w:rPr>
                  </m:ctrlPr>
                </m:e>
              </m:func>
              <m:ctrlPr>
                <w:rPr>
                  <w:rFonts w:ascii="DejaVu Math TeX Gyre" w:hAnsi="DejaVu Math TeX Gyre" w:cstheme="minorHAnsi"/>
                  <w:i/>
                  <w:szCs w:val="32"/>
                  <w:highlight w:val="none"/>
                  <w:lang w:val="en-GB"/>
                </w:rPr>
              </m:ctrlPr>
            </m:num>
            <m:den>
              <m:r>
                <w:rPr>
                  <w:rFonts w:ascii="DejaVu Math TeX Gyre" w:hAnsi="DejaVu Math TeX Gyre" w:cstheme="minorHAnsi"/>
                  <w:szCs w:val="32"/>
                  <w:highlight w:val="none"/>
                  <w:lang w:val="en-GB"/>
                </w:rPr>
                <m:t>Capital</m:t>
              </m:r>
              <m:ctrlPr>
                <w:rPr>
                  <w:rFonts w:ascii="DejaVu Math TeX Gyre" w:hAnsi="DejaVu Math TeX Gyre" w:cstheme="minorHAnsi"/>
                  <w:i/>
                  <w:szCs w:val="32"/>
                  <w:highlight w:val="none"/>
                  <w:lang w:val="en-GB"/>
                </w:rPr>
              </m:ctrlPr>
            </m:den>
          </m:f>
        </m:oMath>
      </m:oMathPara>
    </w:p>
    <w:p>
      <w:pPr>
        <w:ind w:firstLine="640"/>
        <w:rPr>
          <w:highlight w:val="none"/>
          <w:lang w:val="en-GB"/>
        </w:rPr>
      </w:pPr>
      <w:r>
        <w:rPr>
          <w:rFonts w:hint="eastAsia"/>
          <w:highlight w:val="none"/>
          <w:lang w:val="en-GB"/>
        </w:rPr>
        <w:t>参数说明：</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Ratio</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sub>
        </m:sSub>
      </m:oMath>
      <w:r>
        <w:rPr>
          <w:rFonts w:hint="eastAsia"/>
          <w:highlight w:val="none"/>
          <w:lang w:val="en-GB"/>
        </w:rPr>
        <w:t>为基点价值变动</w:t>
      </w:r>
      <w:r>
        <w:rPr>
          <w:highlight w:val="none"/>
          <w:lang w:val="en-GB"/>
        </w:rPr>
        <w:t>率</w:t>
      </w:r>
      <w:r>
        <w:rPr>
          <w:rFonts w:hint="eastAsia"/>
          <w:highlight w:val="none"/>
          <w:lang w:val="en-GB"/>
        </w:rPr>
        <w:t>；</w:t>
      </w:r>
    </w:p>
    <w:p>
      <w:pPr>
        <w:spacing w:line="360" w:lineRule="auto"/>
        <w:ind w:firstLine="640"/>
        <w:rPr>
          <w:highlight w:val="none"/>
          <w:lang w:val="en-GB"/>
        </w:rPr>
      </w:pPr>
      <m:oMath>
        <m:sSub>
          <m:sSubPr>
            <m:ctrlPr>
              <w:rPr>
                <w:rFonts w:ascii="DejaVu Math TeX Gyre" w:hAnsi="DejaVu Math TeX Gyre" w:cstheme="minorHAnsi"/>
                <w:i/>
                <w:highlight w:val="none"/>
                <w:lang w:val="en-GB"/>
              </w:rPr>
            </m:ctrlPr>
          </m:sSubPr>
          <m:e>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Sum</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D</m:t>
                </m:r>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X</m:t>
                    </m:r>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sub>
            </m:sSub>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m:t>
            </m:r>
            <m:ctrlPr>
              <w:rPr>
                <w:rFonts w:ascii="DejaVu Math TeX Gyre" w:hAnsi="DejaVu Math TeX Gyre" w:cstheme="minorHAnsi"/>
                <w:i/>
                <w:highlight w:val="none"/>
                <w:lang w:val="en-GB"/>
              </w:rPr>
            </m:ctrlPr>
          </m:sub>
        </m:sSub>
      </m:oMath>
      <w:r>
        <w:rPr>
          <w:rFonts w:hint="eastAsia"/>
          <w:highlight w:val="none"/>
          <w:lang w:val="en-GB"/>
        </w:rPr>
        <w:t>为第</w:t>
      </w:r>
      <w:r>
        <w:rPr>
          <w:rFonts w:hint="eastAsia" w:ascii="仿宋_GB2312"/>
          <w:highlight w:val="none"/>
          <w:lang w:val="en-GB"/>
        </w:rPr>
        <w:t>i</w:t>
      </w:r>
      <w:r>
        <w:rPr>
          <w:highlight w:val="none"/>
          <w:lang w:val="en-GB"/>
        </w:rPr>
        <w:t>个情景下基点价值变动的合计；</w:t>
      </w:r>
    </w:p>
    <w:p>
      <w:pPr>
        <w:spacing w:line="360" w:lineRule="auto"/>
        <w:ind w:firstLine="640"/>
        <w:rPr>
          <w:highlight w:val="none"/>
          <w:lang w:val="en-GB"/>
        </w:rPr>
      </w:pPr>
      <m:oMath>
        <m:r>
          <w:rPr>
            <w:rFonts w:ascii="DejaVu Math TeX Gyre" w:hAnsi="DejaVu Math TeX Gyre" w:cstheme="minorHAnsi"/>
            <w:highlight w:val="none"/>
            <w:lang w:val="en-GB"/>
          </w:rPr>
          <m:t>Capital</m:t>
        </m:r>
      </m:oMath>
      <w:r>
        <w:rPr>
          <w:rFonts w:hint="eastAsia"/>
          <w:highlight w:val="none"/>
          <w:lang w:val="en-GB"/>
        </w:rPr>
        <w:t>为公司</w:t>
      </w:r>
      <w:r>
        <w:rPr>
          <w:rFonts w:hint="eastAsia"/>
          <w:highlight w:val="none"/>
        </w:rPr>
        <w:t>实际</w:t>
      </w:r>
      <w:r>
        <w:rPr>
          <w:rFonts w:hint="eastAsia"/>
          <w:highlight w:val="none"/>
          <w:lang w:val="en-GB"/>
        </w:rPr>
        <w:t>资本。</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（二）成本收益匹配计量规则</w:t>
      </w:r>
    </w:p>
    <w:p>
      <w:pPr>
        <w:ind w:firstLine="640"/>
        <w:rPr>
          <w:highlight w:val="none"/>
        </w:rPr>
      </w:pPr>
      <w:r>
        <w:rPr>
          <w:rFonts w:cs="MS Mincho"/>
          <w:highlight w:val="none"/>
        </w:rPr>
        <w:t>保</w:t>
      </w:r>
      <w:r>
        <w:rPr>
          <w:rFonts w:cs="宋体"/>
          <w:highlight w:val="none"/>
        </w:rPr>
        <w:t>险</w:t>
      </w:r>
      <w:r>
        <w:rPr>
          <w:rFonts w:cs="MS Mincho"/>
          <w:highlight w:val="none"/>
        </w:rPr>
        <w:t>公司</w:t>
      </w:r>
      <w:r>
        <w:rPr>
          <w:rFonts w:cs="宋体"/>
          <w:highlight w:val="none"/>
        </w:rPr>
        <w:t>应</w:t>
      </w:r>
      <w:r>
        <w:rPr>
          <w:rFonts w:cs="MS Mincho"/>
          <w:highlight w:val="none"/>
        </w:rPr>
        <w:t>当根据要求，分</w:t>
      </w:r>
      <w:r>
        <w:rPr>
          <w:rFonts w:cs="宋体"/>
          <w:highlight w:val="none"/>
        </w:rPr>
        <w:t>别</w:t>
      </w:r>
      <w:r>
        <w:rPr>
          <w:rFonts w:cs="MS Mincho"/>
          <w:highlight w:val="none"/>
        </w:rPr>
        <w:t>填</w:t>
      </w:r>
      <w:r>
        <w:rPr>
          <w:rFonts w:cs="宋体"/>
          <w:highlight w:val="none"/>
        </w:rPr>
        <w:t>报</w:t>
      </w:r>
      <w:r>
        <w:rPr>
          <w:rFonts w:hint="eastAsia" w:cs="宋体"/>
          <w:highlight w:val="none"/>
        </w:rPr>
        <w:t>公司</w:t>
      </w:r>
      <w:r>
        <w:rPr>
          <w:rFonts w:cs="MS Mincho"/>
          <w:highlight w:val="none"/>
        </w:rPr>
        <w:t>普通</w:t>
      </w:r>
      <w:r>
        <w:rPr>
          <w:rFonts w:cs="宋体"/>
          <w:highlight w:val="none"/>
        </w:rPr>
        <w:t>账户</w:t>
      </w:r>
      <w:r>
        <w:rPr>
          <w:rFonts w:hint="eastAsia" w:cs="MS Mincho"/>
          <w:highlight w:val="none"/>
        </w:rPr>
        <w:t>报告期末的</w:t>
      </w:r>
      <w:r>
        <w:rPr>
          <w:rFonts w:cs="MS Mincho"/>
          <w:highlight w:val="none"/>
        </w:rPr>
        <w:t>成本收益匹配</w:t>
      </w:r>
      <w:r>
        <w:rPr>
          <w:rFonts w:cs="宋体"/>
          <w:highlight w:val="none"/>
        </w:rPr>
        <w:t>情况</w:t>
      </w:r>
      <w:r>
        <w:rPr>
          <w:rFonts w:hint="eastAsia" w:cs="宋体"/>
          <w:highlight w:val="none"/>
        </w:rPr>
        <w:t>和成本收益匹配压力测试情况。</w:t>
      </w:r>
      <w:r>
        <w:rPr>
          <w:rFonts w:hint="eastAsia"/>
          <w:highlight w:val="none"/>
        </w:rPr>
        <w:t>出于稳健审慎的考虑，在负债保证成本率和负债资金成本率的计算中</w:t>
      </w:r>
      <w:r>
        <w:rPr>
          <w:highlight w:val="none"/>
        </w:rPr>
        <w:t>不考虑</w:t>
      </w:r>
      <w:r>
        <w:rPr>
          <w:rFonts w:hint="eastAsia"/>
          <w:highlight w:val="none"/>
        </w:rPr>
        <w:t>财务再保险安排；负债规模为</w:t>
      </w:r>
      <w:r>
        <w:rPr>
          <w:highlight w:val="none"/>
        </w:rPr>
        <w:t>分保后</w:t>
      </w:r>
      <w:r>
        <w:rPr>
          <w:rFonts w:hint="eastAsia"/>
          <w:highlight w:val="none"/>
        </w:rPr>
        <w:t>（财务再保险除外）的负债规模，评估各业务的</w:t>
      </w:r>
      <w:r>
        <w:rPr>
          <w:rFonts w:cs="MS Mincho"/>
          <w:highlight w:val="none"/>
        </w:rPr>
        <w:t>成本收益匹配</w:t>
      </w:r>
      <w:r>
        <w:rPr>
          <w:rFonts w:hint="eastAsia" w:cs="MS Mincho"/>
          <w:highlight w:val="none"/>
        </w:rPr>
        <w:t>情况</w:t>
      </w:r>
      <w:r>
        <w:rPr>
          <w:rFonts w:hint="eastAsia" w:cs="宋体"/>
          <w:highlight w:val="none"/>
        </w:rPr>
        <w:t>和成本收益匹配压力测试情况</w:t>
      </w:r>
      <w:r>
        <w:rPr>
          <w:rFonts w:hint="eastAsia"/>
          <w:highlight w:val="none"/>
        </w:rPr>
        <w:t>。</w:t>
      </w:r>
    </w:p>
    <w:p>
      <w:pPr>
        <w:ind w:firstLine="640"/>
        <w:rPr>
          <w:rFonts w:cs="MS Mincho"/>
          <w:highlight w:val="none"/>
          <w:lang w:val="en-GB"/>
        </w:rPr>
      </w:pPr>
      <w:r>
        <w:rPr>
          <w:rFonts w:hint="eastAsia" w:cs="MS Mincho"/>
          <w:highlight w:val="none"/>
        </w:rPr>
        <w:t>公司普通</w:t>
      </w:r>
      <w:r>
        <w:rPr>
          <w:rFonts w:cs="宋体"/>
          <w:highlight w:val="none"/>
        </w:rPr>
        <w:t>账户</w:t>
      </w:r>
      <w:r>
        <w:rPr>
          <w:rFonts w:hint="eastAsia" w:cs="MS Mincho"/>
          <w:highlight w:val="none"/>
        </w:rPr>
        <w:t>包括</w:t>
      </w:r>
      <w:r>
        <w:rPr>
          <w:rFonts w:cs="宋体"/>
          <w:highlight w:val="none"/>
        </w:rPr>
        <w:t>传统</w:t>
      </w:r>
      <w:r>
        <w:rPr>
          <w:rFonts w:cs="MS Mincho"/>
          <w:highlight w:val="none"/>
        </w:rPr>
        <w:t>保</w:t>
      </w:r>
      <w:r>
        <w:rPr>
          <w:rFonts w:cs="宋体"/>
          <w:highlight w:val="none"/>
        </w:rPr>
        <w:t>险账户</w:t>
      </w:r>
      <w:r>
        <w:rPr>
          <w:rFonts w:cs="MS Mincho"/>
          <w:highlight w:val="none"/>
        </w:rPr>
        <w:t>、分</w:t>
      </w:r>
      <w:r>
        <w:rPr>
          <w:rFonts w:cs="宋体"/>
          <w:highlight w:val="none"/>
        </w:rPr>
        <w:t>红</w:t>
      </w:r>
      <w:r>
        <w:rPr>
          <w:rFonts w:cs="MS Mincho"/>
          <w:highlight w:val="none"/>
        </w:rPr>
        <w:t>保</w:t>
      </w:r>
      <w:r>
        <w:rPr>
          <w:rFonts w:cs="宋体"/>
          <w:highlight w:val="none"/>
        </w:rPr>
        <w:t>险账户</w:t>
      </w:r>
      <w:r>
        <w:rPr>
          <w:rFonts w:cs="MS Mincho"/>
          <w:highlight w:val="none"/>
        </w:rPr>
        <w:t>、万能保</w:t>
      </w:r>
      <w:r>
        <w:rPr>
          <w:rFonts w:cs="宋体"/>
          <w:highlight w:val="none"/>
        </w:rPr>
        <w:t>险账户</w:t>
      </w:r>
      <w:r>
        <w:rPr>
          <w:rFonts w:hint="eastAsia" w:cs="宋体"/>
          <w:highlight w:val="none"/>
        </w:rPr>
        <w:t>、</w:t>
      </w:r>
      <w:r>
        <w:rPr>
          <w:rFonts w:hint="eastAsia" w:cs="MS Mincho"/>
          <w:highlight w:val="none"/>
        </w:rPr>
        <w:t>次级债、资本补充债和无固定期限资本债券账户</w:t>
      </w:r>
      <w:r>
        <w:rPr>
          <w:rFonts w:cs="MS Mincho"/>
          <w:highlight w:val="none"/>
        </w:rPr>
        <w:t>和</w:t>
      </w:r>
      <w:r>
        <w:rPr>
          <w:rFonts w:hint="eastAsia" w:cs="MS Mincho"/>
          <w:highlight w:val="none"/>
        </w:rPr>
        <w:t>资本金</w:t>
      </w:r>
      <w:r>
        <w:rPr>
          <w:rFonts w:cs="宋体"/>
          <w:highlight w:val="none"/>
        </w:rPr>
        <w:t>账户</w:t>
      </w:r>
      <w:r>
        <w:rPr>
          <w:rFonts w:cs="MS Mincho"/>
          <w:highlight w:val="none"/>
        </w:rPr>
        <w:t>（可与</w:t>
      </w:r>
      <w:r>
        <w:rPr>
          <w:rFonts w:cs="宋体"/>
          <w:highlight w:val="none"/>
        </w:rPr>
        <w:t>传统</w:t>
      </w:r>
      <w:r>
        <w:rPr>
          <w:rFonts w:cs="MS Mincho"/>
          <w:highlight w:val="none"/>
        </w:rPr>
        <w:t>保</w:t>
      </w:r>
      <w:r>
        <w:rPr>
          <w:rFonts w:cs="宋体"/>
          <w:highlight w:val="none"/>
        </w:rPr>
        <w:t>险账户</w:t>
      </w:r>
      <w:r>
        <w:rPr>
          <w:rFonts w:cs="MS Mincho"/>
          <w:highlight w:val="none"/>
        </w:rPr>
        <w:t>合并），不包含独立</w:t>
      </w:r>
      <w:r>
        <w:rPr>
          <w:rFonts w:cs="宋体"/>
          <w:highlight w:val="none"/>
        </w:rPr>
        <w:t>账户</w:t>
      </w:r>
      <w:r>
        <w:rPr>
          <w:rFonts w:cs="MS Mincho"/>
          <w:highlight w:val="none"/>
        </w:rPr>
        <w:t>。公司</w:t>
      </w:r>
      <w:r>
        <w:rPr>
          <w:rFonts w:cs="宋体"/>
          <w:highlight w:val="none"/>
        </w:rPr>
        <w:t>发</w:t>
      </w:r>
      <w:r>
        <w:rPr>
          <w:rFonts w:cs="MS Mincho"/>
          <w:highlight w:val="none"/>
        </w:rPr>
        <w:t>行</w:t>
      </w:r>
      <w:r>
        <w:rPr>
          <w:rFonts w:hint="eastAsia" w:cs="MS Mincho"/>
          <w:highlight w:val="none"/>
        </w:rPr>
        <w:t>次级债、资本补充债和无固定期限资本债券</w:t>
      </w:r>
      <w:r>
        <w:rPr>
          <w:rFonts w:cs="MS Mincho"/>
          <w:highlight w:val="none"/>
        </w:rPr>
        <w:t>的，需</w:t>
      </w:r>
      <w:r>
        <w:rPr>
          <w:rFonts w:cs="宋体"/>
          <w:highlight w:val="none"/>
        </w:rPr>
        <w:t>单</w:t>
      </w:r>
      <w:r>
        <w:rPr>
          <w:rFonts w:cs="MS Mincho"/>
          <w:highlight w:val="none"/>
        </w:rPr>
        <w:t>独</w:t>
      </w:r>
      <w:r>
        <w:rPr>
          <w:rFonts w:cs="宋体"/>
          <w:highlight w:val="none"/>
        </w:rPr>
        <w:t>计</w:t>
      </w:r>
      <w:r>
        <w:rPr>
          <w:rFonts w:cs="MS Mincho"/>
          <w:highlight w:val="none"/>
        </w:rPr>
        <w:t>算</w:t>
      </w:r>
      <w:r>
        <w:rPr>
          <w:rFonts w:hint="eastAsia" w:cs="MS Mincho"/>
          <w:highlight w:val="none"/>
        </w:rPr>
        <w:t>次级债、资本补充债和无固定期限资本债账户</w:t>
      </w:r>
      <w:r>
        <w:rPr>
          <w:rFonts w:cs="MS Mincho"/>
          <w:highlight w:val="none"/>
        </w:rPr>
        <w:t>的成本收益匹配情况</w:t>
      </w:r>
      <w:r>
        <w:rPr>
          <w:rFonts w:cs="MS Mincho"/>
          <w:highlight w:val="none"/>
          <w:lang w:val="en-GB"/>
        </w:rPr>
        <w:t>。</w:t>
      </w:r>
    </w:p>
    <w:p>
      <w:pPr>
        <w:ind w:firstLine="640"/>
        <w:rPr>
          <w:highlight w:val="none"/>
        </w:rPr>
      </w:pPr>
      <w:r>
        <w:rPr>
          <w:rFonts w:hint="eastAsia"/>
          <w:highlight w:val="none"/>
        </w:rPr>
        <w:t>保险公司应至少每季度评估公司过去一年、过去三年和</w:t>
      </w:r>
      <w:r>
        <w:rPr>
          <w:rFonts w:hint="eastAsia" w:ascii="仿宋_GB2312" w:hAnsi="仿宋_GB2312" w:cs="仿宋_GB2312"/>
          <w:highlight w:val="none"/>
        </w:rPr>
        <w:t>过去五年的成本收益匹配情况。过去一年是指报告期末过去12个月，过去三年是指报告期末过去第一年至第三年，过去五年是指报告期末过去第一年至第五年，过去第X年是指报告期末对应过去第X个12个月。</w:t>
      </w:r>
      <w:r>
        <w:rPr>
          <w:rFonts w:hint="eastAsia" w:ascii="仿宋_GB2312" w:hAnsi="仿宋_GB2312" w:cs="仿宋_GB2312"/>
          <w:color w:val="000000"/>
          <w:kern w:val="0"/>
          <w:highlight w:val="none"/>
        </w:rPr>
        <w:t>开业不满三年/五</w:t>
      </w:r>
      <w:r>
        <w:rPr>
          <w:rFonts w:hint="eastAsia" w:hAnsi="宋体" w:cs="华文仿宋+FPEF"/>
          <w:color w:val="000000"/>
          <w:kern w:val="0"/>
          <w:highlight w:val="none"/>
        </w:rPr>
        <w:t>年的公司，评估从公司开业日期至报告期末对应期间的成本收益匹配情况。</w:t>
      </w:r>
    </w:p>
    <w:p>
      <w:pPr>
        <w:ind w:firstLine="640"/>
        <w:rPr>
          <w:highlight w:val="none"/>
        </w:rPr>
      </w:pPr>
      <w:r>
        <w:rPr>
          <w:highlight w:val="none"/>
        </w:rPr>
        <w:t>保险公司</w:t>
      </w:r>
      <w:r>
        <w:rPr>
          <w:rFonts w:hint="eastAsia"/>
          <w:highlight w:val="none"/>
        </w:rPr>
        <w:t>应至少每年进行一次成本收益匹配压力测试，</w:t>
      </w:r>
      <w:r>
        <w:rPr>
          <w:highlight w:val="none"/>
        </w:rPr>
        <w:t>成本收益匹配</w:t>
      </w:r>
      <w:r>
        <w:rPr>
          <w:rFonts w:hint="eastAsia"/>
          <w:highlight w:val="none"/>
        </w:rPr>
        <w:t>压力测试</w:t>
      </w:r>
      <w:r>
        <w:rPr>
          <w:highlight w:val="none"/>
        </w:rPr>
        <w:t>的</w:t>
      </w:r>
      <w:r>
        <w:rPr>
          <w:rFonts w:hint="eastAsia"/>
          <w:highlight w:val="none"/>
        </w:rPr>
        <w:t>测试</w:t>
      </w:r>
      <w:r>
        <w:rPr>
          <w:highlight w:val="none"/>
        </w:rPr>
        <w:t>期间</w:t>
      </w:r>
      <w:r>
        <w:rPr>
          <w:rFonts w:hint="eastAsia"/>
          <w:highlight w:val="none"/>
        </w:rPr>
        <w:t>为自报告期末起未来三</w:t>
      </w:r>
      <w:r>
        <w:rPr>
          <w:highlight w:val="none"/>
        </w:rPr>
        <w:t>年</w:t>
      </w:r>
      <w:r>
        <w:rPr>
          <w:rFonts w:hint="eastAsia"/>
          <w:highlight w:val="none"/>
        </w:rPr>
        <w:t>度。</w:t>
      </w:r>
    </w:p>
    <w:p>
      <w:pPr>
        <w:ind w:firstLine="640"/>
        <w:rPr>
          <w:rFonts w:ascii="仿宋_GB2312" w:hAnsi="仿宋_GB2312" w:cs="仿宋_GB2312"/>
          <w:highlight w:val="none"/>
        </w:rPr>
      </w:pPr>
      <w:r>
        <w:rPr>
          <w:highlight w:val="none"/>
        </w:rPr>
        <w:t>测试资产包括</w:t>
      </w:r>
      <w:r>
        <w:rPr>
          <w:rFonts w:hint="eastAsia"/>
          <w:highlight w:val="none"/>
        </w:rPr>
        <w:t>报告</w:t>
      </w:r>
      <w:r>
        <w:rPr>
          <w:highlight w:val="none"/>
        </w:rPr>
        <w:t>期末的存量资产在测试期间内各年度末的剩</w:t>
      </w:r>
      <w:r>
        <w:rPr>
          <w:rFonts w:hint="eastAsia" w:ascii="仿宋_GB2312" w:hAnsi="仿宋_GB2312" w:cs="仿宋_GB2312"/>
          <w:highlight w:val="none"/>
        </w:rPr>
        <w:t>余存量资产，以及预测的新业务或资产到期等因素导致净现金流变化而增加或减少的资产。</w:t>
      </w:r>
    </w:p>
    <w:p>
      <w:pPr>
        <w:ind w:firstLine="640"/>
        <w:rPr>
          <w:highlight w:val="none"/>
        </w:rPr>
      </w:pPr>
      <w:r>
        <w:rPr>
          <w:rFonts w:hint="eastAsia" w:ascii="仿宋_GB2312" w:hAnsi="仿宋_GB2312" w:cs="仿宋_GB2312"/>
          <w:highlight w:val="none"/>
        </w:rPr>
        <w:t>测试资产至少包括以下类别：现金及流动性管理工具、境内固定收益类投资资产、境外固定收益类投资资产、境内权益类资产（应分为</w:t>
      </w:r>
      <w:r>
        <w:rPr>
          <w:rFonts w:hint="eastAsia" w:ascii="仿宋_GB2312" w:hAnsi="仿宋_GB2312" w:cs="仿宋_GB2312"/>
          <w:highlight w:val="none"/>
          <w:lang w:eastAsia="zh-CN"/>
        </w:rPr>
        <w:t>普通股</w:t>
      </w:r>
      <w:r>
        <w:rPr>
          <w:rFonts w:hint="eastAsia" w:ascii="仿宋_GB2312" w:hAnsi="仿宋_GB2312" w:cs="仿宋_GB2312"/>
          <w:highlight w:val="none"/>
        </w:rPr>
        <w:t>和基金、长期股权投资和其他境内权益投资）、境</w:t>
      </w:r>
      <w:r>
        <w:rPr>
          <w:highlight w:val="none"/>
        </w:rPr>
        <w:t>外权益类投资资产、</w:t>
      </w:r>
      <w:r>
        <w:rPr>
          <w:rFonts w:hint="eastAsia"/>
          <w:highlight w:val="none"/>
        </w:rPr>
        <w:t>不动产类投资资产、</w:t>
      </w:r>
      <w:r>
        <w:rPr>
          <w:rFonts w:hint="eastAsia" w:ascii="仿宋_GB2312"/>
          <w:highlight w:val="none"/>
        </w:rPr>
        <w:t>商品类投资资产</w:t>
      </w:r>
      <w:r>
        <w:rPr>
          <w:rFonts w:hint="eastAsia"/>
          <w:highlight w:val="none"/>
        </w:rPr>
        <w:t>等</w:t>
      </w:r>
      <w:r>
        <w:rPr>
          <w:highlight w:val="none"/>
        </w:rPr>
        <w:t>。保险公司根据资产的具体风险特征有更细致分类的，可以在上述分类的基础上对资产类别进一步细分。</w:t>
      </w:r>
    </w:p>
    <w:p>
      <w:pPr>
        <w:pStyle w:val="5"/>
        <w:ind w:firstLine="640"/>
        <w:rPr>
          <w:highlight w:val="none"/>
        </w:rPr>
      </w:pPr>
      <w:r>
        <w:rPr>
          <w:rFonts w:hint="eastAsia" w:ascii="仿宋_GB2312" w:hAnsi="仿宋_GB2312" w:cs="仿宋_GB2312"/>
          <w:highlight w:val="none"/>
        </w:rPr>
        <w:t>1.会计投资</w:t>
      </w:r>
      <w:r>
        <w:rPr>
          <w:rFonts w:hint="eastAsia"/>
          <w:highlight w:val="none"/>
        </w:rPr>
        <w:t>收益率及过去第一年平均会计投资收益率与过去三年平均会计投资收益率的计算</w:t>
      </w:r>
    </w:p>
    <w:p>
      <w:pPr>
        <w:ind w:firstLine="640"/>
        <w:rPr>
          <w:highlight w:val="none"/>
          <w:lang w:val="en-GB"/>
        </w:rPr>
      </w:pPr>
      <w:r>
        <w:rPr>
          <w:rFonts w:hint="eastAsia"/>
          <w:highlight w:val="none"/>
          <w:lang w:val="en-GB"/>
        </w:rPr>
        <w:t>会计投资收益不考虑</w:t>
      </w:r>
      <w:r>
        <w:rPr>
          <w:rFonts w:hint="eastAsia"/>
          <w:highlight w:val="none"/>
        </w:rPr>
        <w:t>分类为“以公允价值计量且其变动计入其他综合收益”（以下简</w:t>
      </w:r>
      <w:r>
        <w:rPr>
          <w:rFonts w:hint="eastAsia" w:ascii="仿宋_GB2312" w:hAnsi="仿宋_GB2312" w:cs="仿宋_GB2312"/>
          <w:highlight w:val="none"/>
        </w:rPr>
        <w:t>称FVOCI）的</w:t>
      </w:r>
      <w:r>
        <w:rPr>
          <w:rFonts w:hint="eastAsia" w:ascii="仿宋_GB2312" w:hAnsi="仿宋_GB2312" w:cs="仿宋_GB2312"/>
          <w:highlight w:val="none"/>
          <w:lang w:val="en-GB"/>
        </w:rPr>
        <w:t>金融资</w:t>
      </w:r>
      <w:r>
        <w:rPr>
          <w:rFonts w:hint="eastAsia"/>
          <w:highlight w:val="none"/>
          <w:lang w:val="en-GB"/>
        </w:rPr>
        <w:t>产公允价值变动。</w:t>
      </w:r>
    </w:p>
    <w:p>
      <w:pPr>
        <w:widowControl/>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cs="仿宋_GB2312"/>
              <w:szCs w:val="32"/>
              <w:highlight w:val="none"/>
              <w:lang w:val="en-GB"/>
            </w:rPr>
            <m:t>会计投资收益=</m:t>
          </m:r>
          <m:r>
            <m:rPr>
              <m:sty m:val="p"/>
            </m:rPr>
            <w:rPr>
              <w:rFonts w:hint="eastAsia" w:ascii="DejaVu Math TeX Gyre" w:hAnsi="DejaVu Math TeX Gyre" w:cs="仿宋_GB2312"/>
              <w:szCs w:val="32"/>
              <w:highlight w:val="none"/>
            </w:rPr>
            <m:t>利息收入+</m:t>
          </m:r>
          <m:r>
            <m:rPr>
              <m:sty m:val="p"/>
            </m:rPr>
            <w:rPr>
              <w:rFonts w:hint="eastAsia" w:ascii="DejaVu Math TeX Gyre" w:hAnsi="DejaVu Math TeX Gyre" w:cs="仿宋_GB2312"/>
              <w:szCs w:val="32"/>
              <w:highlight w:val="none"/>
              <w:lang w:val="en-GB"/>
            </w:rPr>
            <m:t>投资收益+公允价值变动损益+其他投资损益−投资资产减值损失−利息支出</m:t>
          </m:r>
        </m:oMath>
      </m:oMathPara>
    </w:p>
    <w:p>
      <w:pPr>
        <w:widowControl/>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cs="仿宋_GB2312"/>
              <w:szCs w:val="32"/>
              <w:highlight w:val="none"/>
              <w:lang w:val="en-GB"/>
            </w:rPr>
            <m:t>会计投资收益率=会计投资收益÷调整后的资金运用平均净额×100%</m:t>
          </m:r>
        </m:oMath>
      </m:oMathPara>
    </w:p>
    <w:p>
      <w:pPr>
        <w:widowControl/>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cs="仿宋_GB2312"/>
              <w:szCs w:val="32"/>
              <w:highlight w:val="none"/>
              <w:lang w:val="en-GB"/>
            </w:rPr>
            <m:t>过去</m:t>
          </m:r>
          <m:r>
            <m:rPr>
              <m:sty m:val="p"/>
            </m:rPr>
            <w:rPr>
              <w:rFonts w:hint="eastAsia" w:ascii="DejaVu Math TeX Gyre" w:hAnsi="DejaVu Math TeX Gyre" w:cs="仿宋_GB2312"/>
              <w:szCs w:val="32"/>
              <w:highlight w:val="none"/>
            </w:rPr>
            <m:t>第一年</m:t>
          </m:r>
          <m:r>
            <m:rPr>
              <m:sty m:val="p"/>
            </m:rPr>
            <w:rPr>
              <w:rFonts w:hint="eastAsia" w:ascii="DejaVu Math TeX Gyre" w:hAnsi="DejaVu Math TeX Gyre" w:cs="仿宋_GB2312"/>
              <w:szCs w:val="32"/>
              <w:highlight w:val="none"/>
              <w:lang w:val="en-GB"/>
            </w:rPr>
            <m:t>平均会计投资收益率=过去</m:t>
          </m:r>
          <m:r>
            <m:rPr>
              <m:sty m:val="p"/>
            </m:rPr>
            <w:rPr>
              <w:rFonts w:hint="eastAsia" w:ascii="DejaVu Math TeX Gyre" w:hAnsi="DejaVu Math TeX Gyre" w:cs="仿宋_GB2312"/>
              <w:szCs w:val="32"/>
              <w:highlight w:val="none"/>
            </w:rPr>
            <m:t>第一年</m:t>
          </m:r>
          <m:r>
            <m:rPr>
              <m:sty m:val="p"/>
            </m:rPr>
            <w:rPr>
              <w:rFonts w:hint="eastAsia" w:ascii="DejaVu Math TeX Gyre" w:hAnsi="DejaVu Math TeX Gyre" w:cs="仿宋_GB2312"/>
              <w:szCs w:val="32"/>
              <w:highlight w:val="none"/>
              <w:lang w:val="en-GB"/>
            </w:rPr>
            <m:t>的累计会计投资收益÷过去</m:t>
          </m:r>
          <m:r>
            <m:rPr>
              <m:sty m:val="p"/>
            </m:rPr>
            <w:rPr>
              <w:rFonts w:hint="eastAsia" w:ascii="DejaVu Math TeX Gyre" w:hAnsi="DejaVu Math TeX Gyre" w:cs="仿宋_GB2312"/>
              <w:szCs w:val="32"/>
              <w:highlight w:val="none"/>
            </w:rPr>
            <m:t>第一年调整后的</m:t>
          </m:r>
          <m:r>
            <m:rPr>
              <m:sty m:val="p"/>
            </m:rPr>
            <w:rPr>
              <w:rFonts w:hint="eastAsia" w:ascii="DejaVu Math TeX Gyre" w:hAnsi="DejaVu Math TeX Gyre" w:cs="仿宋_GB2312"/>
              <w:szCs w:val="32"/>
              <w:highlight w:val="none"/>
              <w:lang w:val="en-GB"/>
            </w:rPr>
            <m:t>资金运用平均净额×100%</m:t>
          </m:r>
        </m:oMath>
      </m:oMathPara>
    </w:p>
    <w:p>
      <w:pPr>
        <w:widowControl/>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cs="仿宋_GB2312"/>
              <w:szCs w:val="36"/>
              <w:highlight w:val="none"/>
              <w:lang w:val="en-GB"/>
            </w:rPr>
            <m:t>过去</m:t>
          </m:r>
          <m:r>
            <m:rPr>
              <m:sty m:val="p"/>
            </m:rPr>
            <w:rPr>
              <w:rFonts w:hint="eastAsia" w:ascii="DejaVu Math TeX Gyre" w:hAnsi="DejaVu Math TeX Gyre" w:cs="仿宋_GB2312"/>
              <w:szCs w:val="36"/>
              <w:highlight w:val="none"/>
            </w:rPr>
            <m:t>三年</m:t>
          </m:r>
          <m:r>
            <m:rPr>
              <m:sty m:val="p"/>
            </m:rPr>
            <w:rPr>
              <w:rFonts w:hint="eastAsia" w:ascii="DejaVu Math TeX Gyre" w:hAnsi="DejaVu Math TeX Gyre" w:cs="仿宋_GB2312"/>
              <w:szCs w:val="36"/>
              <w:highlight w:val="none"/>
              <w:lang w:val="en-GB"/>
            </w:rPr>
            <m:t>平均会计投资收益率=</m:t>
          </m:r>
          <m:r>
            <m:rPr>
              <m:sty m:val="p"/>
            </m:rPr>
            <w:rPr>
              <w:rFonts w:hint="eastAsia" w:ascii="DejaVu Math TeX Gyre" w:hAnsi="DejaVu Math TeX Gyre" w:cs="仿宋_GB2312"/>
              <w:szCs w:val="32"/>
              <w:highlight w:val="none"/>
            </w:rPr>
            <m:t>[(1+</m:t>
          </m:r>
          <m:r>
            <m:rPr>
              <m:sty m:val="p"/>
            </m:rPr>
            <w:rPr>
              <w:rFonts w:hint="eastAsia" w:ascii="DejaVu Math TeX Gyre" w:hAnsi="DejaVu Math TeX Gyre" w:cs="仿宋_GB2312"/>
              <w:szCs w:val="32"/>
              <w:highlight w:val="none"/>
              <w:lang w:val="en-GB"/>
            </w:rPr>
            <m:t>过去</m:t>
          </m:r>
          <m:r>
            <m:rPr>
              <m:sty m:val="p"/>
            </m:rPr>
            <w:rPr>
              <w:rFonts w:hint="eastAsia" w:ascii="DejaVu Math TeX Gyre" w:hAnsi="DejaVu Math TeX Gyre" w:cs="仿宋_GB2312"/>
              <w:szCs w:val="32"/>
              <w:highlight w:val="none"/>
            </w:rPr>
            <m:t>第一年平均会计投资收益率)</m:t>
          </m:r>
          <m:r>
            <m:rPr>
              <m:sty m:val="p"/>
            </m:rPr>
            <w:rPr>
              <w:rFonts w:hint="eastAsia" w:ascii="DejaVu Math TeX Gyre" w:hAnsi="DejaVu Math TeX Gyre" w:cs="仿宋_GB2312"/>
              <w:szCs w:val="32"/>
              <w:highlight w:val="none"/>
              <w:lang w:val="en-GB"/>
            </w:rPr>
            <m:t>×</m:t>
          </m:r>
          <m:r>
            <m:rPr>
              <m:sty m:val="p"/>
            </m:rPr>
            <w:rPr>
              <w:rFonts w:hint="eastAsia" w:ascii="DejaVu Math TeX Gyre" w:hAnsi="DejaVu Math TeX Gyre" w:cs="仿宋_GB2312"/>
              <w:szCs w:val="32"/>
              <w:highlight w:val="none"/>
            </w:rPr>
            <m:t>(1+</m:t>
          </m:r>
          <m:r>
            <m:rPr>
              <m:sty m:val="p"/>
            </m:rPr>
            <w:rPr>
              <w:rFonts w:hint="eastAsia" w:ascii="DejaVu Math TeX Gyre" w:hAnsi="DejaVu Math TeX Gyre" w:cs="仿宋_GB2312"/>
              <w:szCs w:val="32"/>
              <w:highlight w:val="none"/>
              <w:lang w:val="en-GB"/>
            </w:rPr>
            <m:t>过去</m:t>
          </m:r>
          <m:r>
            <m:rPr>
              <m:sty m:val="p"/>
            </m:rPr>
            <w:rPr>
              <w:rFonts w:hint="eastAsia" w:ascii="DejaVu Math TeX Gyre" w:hAnsi="DejaVu Math TeX Gyre" w:cs="仿宋_GB2312"/>
              <w:szCs w:val="32"/>
              <w:highlight w:val="none"/>
            </w:rPr>
            <m:t>第二年平均会计投资收益率)</m:t>
          </m:r>
          <m:r>
            <m:rPr>
              <m:sty m:val="p"/>
            </m:rPr>
            <w:rPr>
              <w:rFonts w:hint="eastAsia" w:ascii="DejaVu Math TeX Gyre" w:hAnsi="DejaVu Math TeX Gyre" w:cs="仿宋_GB2312"/>
              <w:szCs w:val="32"/>
              <w:highlight w:val="none"/>
              <w:lang w:val="en-GB"/>
            </w:rPr>
            <m:t>×</m:t>
          </m:r>
          <m:r>
            <m:rPr>
              <m:sty m:val="p"/>
            </m:rPr>
            <w:rPr>
              <w:rFonts w:hint="eastAsia" w:ascii="DejaVu Math TeX Gyre" w:hAnsi="DejaVu Math TeX Gyre" w:cs="仿宋_GB2312"/>
              <w:szCs w:val="32"/>
              <w:highlight w:val="none"/>
            </w:rPr>
            <m:t>(1+</m:t>
          </m:r>
          <m:r>
            <m:rPr>
              <m:sty m:val="p"/>
            </m:rPr>
            <w:rPr>
              <w:rFonts w:hint="eastAsia" w:ascii="DejaVu Math TeX Gyre" w:hAnsi="DejaVu Math TeX Gyre" w:cs="仿宋_GB2312"/>
              <w:szCs w:val="32"/>
              <w:highlight w:val="none"/>
              <w:lang w:val="en-GB"/>
            </w:rPr>
            <m:t>过去</m:t>
          </m:r>
          <m:r>
            <m:rPr>
              <m:sty m:val="p"/>
            </m:rPr>
            <w:rPr>
              <w:rFonts w:hint="eastAsia" w:ascii="DejaVu Math TeX Gyre" w:hAnsi="DejaVu Math TeX Gyre" w:cs="仿宋_GB2312"/>
              <w:szCs w:val="32"/>
              <w:highlight w:val="none"/>
            </w:rPr>
            <m:t>第三年平均会计投资收益率)]^(1/3)−1</m:t>
          </m:r>
        </m:oMath>
      </m:oMathPara>
    </w:p>
    <w:p>
      <w:pPr>
        <w:ind w:firstLine="640"/>
        <w:rPr>
          <w:highlight w:val="none"/>
          <w:lang w:val="en-GB"/>
        </w:rPr>
      </w:pPr>
      <w:r>
        <w:rPr>
          <w:rFonts w:hint="eastAsia"/>
          <w:highlight w:val="none"/>
          <w:lang w:val="en-GB"/>
        </w:rPr>
        <w:t>其中：</w:t>
      </w:r>
    </w:p>
    <w:p>
      <w:pPr>
        <w:ind w:firstLine="640"/>
        <w:rPr>
          <w:rFonts w:hint="eastAsia" w:hAnsi="宋体" w:eastAsia="仿宋_GB2312" w:cs="华文仿宋+FPEF"/>
          <w:color w:val="000000"/>
          <w:kern w:val="0"/>
          <w:highlight w:val="none"/>
          <w:lang w:eastAsia="zh-CN"/>
        </w:rPr>
      </w:pPr>
      <w:r>
        <w:rPr>
          <w:rFonts w:hint="eastAsia" w:ascii="仿宋_GB2312" w:hAnsi="仿宋_GB2312" w:cs="仿宋_GB2312"/>
          <w:highlight w:val="none"/>
        </w:rPr>
        <w:t>（1）资金运用净额=资金运用余额-卖出回购证</w:t>
      </w:r>
      <w:r>
        <w:rPr>
          <w:rFonts w:hint="eastAsia"/>
          <w:highlight w:val="none"/>
        </w:rPr>
        <w:t>券等融入资金，采用账面价值</w:t>
      </w:r>
      <w:r>
        <w:rPr>
          <w:rFonts w:hint="eastAsia" w:ascii="仿宋_GB2312" w:hAnsi="仿宋_GB2312" w:cs="仿宋_GB2312"/>
          <w:highlight w:val="none"/>
        </w:rPr>
        <w:t>口径；调整后的资金运用净额=资金运用净额-FVOCI债务工具的累计公允价值变动。月度调整后的资金运用平均净额=（月初调整后的资金运用净额+月末调整后的资金运用净额）÷2；年初至</w:t>
      </w:r>
      <w:r>
        <w:rPr>
          <w:rFonts w:hint="eastAsia"/>
          <w:highlight w:val="none"/>
        </w:rPr>
        <w:t>报告期末调整后的资金运用平均净额为年初至报告期末各月调整后的资金运用平均净额的算术平均值；过去第一年调整后的资金运用平均净额为报告期末过</w:t>
      </w:r>
      <w:r>
        <w:rPr>
          <w:rFonts w:hint="eastAsia" w:ascii="仿宋_GB2312" w:hAnsi="仿宋_GB2312" w:cs="仿宋_GB2312"/>
          <w:highlight w:val="none"/>
        </w:rPr>
        <w:t>去12个月的调整后的资金运用平均净额的算术平均值；允许选择更精确的平均资金占用计算方式，如按天加权平均。公司执行《企业会计准则第22号——金融工具确认和计量》（财会〔2006〕3号）</w:t>
      </w:r>
      <w:r>
        <w:rPr>
          <w:rFonts w:hint="eastAsia"/>
          <w:highlight w:val="none"/>
        </w:rPr>
        <w:t>的，调整后的资金运用净额不扣除可供出售债务工具的累计公允价值变动，即调整后的资金运用净额等于资金运用净额</w:t>
      </w:r>
      <w:r>
        <w:rPr>
          <w:rFonts w:hint="eastAsia" w:hAnsi="宋体" w:cs="华文仿宋+FPEF"/>
          <w:color w:val="000000"/>
          <w:kern w:val="0"/>
          <w:highlight w:val="none"/>
          <w:lang w:eastAsia="zh-CN"/>
        </w:rPr>
        <w:t>。</w:t>
      </w:r>
    </w:p>
    <w:p>
      <w:pPr>
        <w:ind w:firstLine="640"/>
        <w:rPr>
          <w:rFonts w:hint="eastAsia" w:ascii="仿宋_GB2312" w:eastAsia="仿宋_GB2312"/>
          <w:highlight w:val="none"/>
          <w:lang w:eastAsia="zh-CN"/>
        </w:rPr>
      </w:pPr>
      <w:r>
        <w:rPr>
          <w:rFonts w:hint="eastAsia" w:ascii="仿宋_GB2312" w:hAnsi="仿宋_GB2312" w:cs="仿宋_GB2312"/>
          <w:highlight w:val="none"/>
        </w:rPr>
        <w:t>（2）利息收入是指年初至报告期末的分类为“以摊余成本计量”</w:t>
      </w:r>
      <w:r>
        <w:rPr>
          <w:rFonts w:hint="eastAsia"/>
          <w:highlight w:val="none"/>
        </w:rPr>
        <w:t>（以下</w:t>
      </w:r>
      <w:r>
        <w:rPr>
          <w:rFonts w:hint="eastAsia" w:ascii="仿宋_GB2312" w:hAnsi="仿宋_GB2312" w:cs="仿宋_GB2312"/>
          <w:highlight w:val="none"/>
        </w:rPr>
        <w:t>简称AC）的、及以分类为FVOCI的债务工具的利息收入，买入返售金融资产、银行活期存款</w:t>
      </w:r>
      <w:r>
        <w:rPr>
          <w:rFonts w:hint="eastAsia"/>
          <w:highlight w:val="none"/>
        </w:rPr>
        <w:t>、及银行定期存款、</w:t>
      </w:r>
      <w:r>
        <w:rPr>
          <w:rFonts w:hint="eastAsia"/>
          <w:highlight w:val="none"/>
          <w:lang w:eastAsia="zh-CN"/>
        </w:rPr>
        <w:t>保单质押贷款</w:t>
      </w:r>
      <w:r>
        <w:rPr>
          <w:rFonts w:hint="eastAsia"/>
          <w:highlight w:val="none"/>
        </w:rPr>
        <w:t>等的利息收入等</w:t>
      </w:r>
      <w:r>
        <w:rPr>
          <w:rFonts w:hint="eastAsia" w:ascii="仿宋_GB2312"/>
          <w:highlight w:val="none"/>
          <w:lang w:val="en-GB" w:eastAsia="zh-CN"/>
        </w:rPr>
        <w:t>。</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w:t>
      </w:r>
      <w:r>
        <w:rPr>
          <w:rFonts w:hint="eastAsia" w:ascii="仿宋_GB2312" w:hAnsi="仿宋_GB2312" w:cs="仿宋_GB2312"/>
          <w:highlight w:val="none"/>
        </w:rPr>
        <w:t>3</w:t>
      </w:r>
      <w:r>
        <w:rPr>
          <w:rFonts w:hint="eastAsia" w:ascii="仿宋_GB2312" w:hAnsi="仿宋_GB2312" w:cs="仿宋_GB2312"/>
          <w:highlight w:val="none"/>
          <w:lang w:val="en-GB"/>
        </w:rPr>
        <w:t>）投资收益是指年初至报告期末确认的投资收益，包括</w:t>
      </w:r>
      <w:r>
        <w:rPr>
          <w:rFonts w:hint="eastAsia" w:ascii="仿宋_GB2312" w:hAnsi="仿宋_GB2312" w:cs="仿宋_GB2312"/>
          <w:highlight w:val="none"/>
        </w:rPr>
        <w:t>分类为“</w:t>
      </w:r>
      <w:r>
        <w:rPr>
          <w:rFonts w:hint="eastAsia" w:ascii="仿宋_GB2312" w:hAnsi="仿宋_GB2312" w:cs="仿宋_GB2312"/>
          <w:highlight w:val="none"/>
          <w:lang w:val="en-GB"/>
        </w:rPr>
        <w:t>以</w:t>
      </w:r>
      <w:r>
        <w:rPr>
          <w:rFonts w:hint="eastAsia"/>
          <w:highlight w:val="none"/>
          <w:lang w:val="en-GB"/>
        </w:rPr>
        <w:t>公</w:t>
      </w:r>
      <w:r>
        <w:rPr>
          <w:rFonts w:hint="eastAsia" w:ascii="仿宋_GB2312" w:hAnsi="仿宋_GB2312" w:cs="仿宋_GB2312"/>
          <w:highlight w:val="none"/>
          <w:lang w:val="en-GB"/>
        </w:rPr>
        <w:t>允价值计量且其变动计入</w:t>
      </w:r>
      <w:r>
        <w:rPr>
          <w:rFonts w:hint="eastAsia" w:ascii="仿宋_GB2312" w:hAnsi="仿宋_GB2312" w:cs="仿宋_GB2312"/>
          <w:highlight w:val="none"/>
        </w:rPr>
        <w:t>当期</w:t>
      </w:r>
      <w:r>
        <w:rPr>
          <w:rFonts w:hint="eastAsia" w:ascii="仿宋_GB2312" w:hAnsi="仿宋_GB2312" w:cs="仿宋_GB2312"/>
          <w:highlight w:val="none"/>
          <w:lang w:val="en-GB"/>
        </w:rPr>
        <w:t>损益</w:t>
      </w:r>
      <w:r>
        <w:rPr>
          <w:rFonts w:hint="eastAsia" w:ascii="仿宋_GB2312" w:hAnsi="仿宋_GB2312" w:cs="仿宋_GB2312"/>
          <w:highlight w:val="none"/>
        </w:rPr>
        <w:t>”</w:t>
      </w:r>
      <w:r>
        <w:rPr>
          <w:rFonts w:hint="eastAsia" w:ascii="仿宋_GB2312" w:hAnsi="仿宋_GB2312" w:cs="仿宋_GB2312"/>
          <w:highlight w:val="none"/>
          <w:lang w:val="en-GB"/>
        </w:rPr>
        <w:t>（</w:t>
      </w:r>
      <w:r>
        <w:rPr>
          <w:rFonts w:hint="eastAsia" w:ascii="仿宋_GB2312" w:hAnsi="仿宋_GB2312" w:cs="仿宋_GB2312"/>
          <w:highlight w:val="none"/>
        </w:rPr>
        <w:t>以下简称FVTPL</w:t>
      </w:r>
      <w:r>
        <w:rPr>
          <w:rFonts w:hint="eastAsia" w:ascii="仿宋_GB2312" w:hAnsi="仿宋_GB2312" w:cs="仿宋_GB2312"/>
          <w:highlight w:val="none"/>
          <w:lang w:val="en-GB"/>
        </w:rPr>
        <w:t>）的金融资产利息收入</w:t>
      </w:r>
      <w:r>
        <w:rPr>
          <w:rFonts w:hint="eastAsia" w:ascii="仿宋_GB2312" w:hAnsi="仿宋_GB2312" w:cs="仿宋_GB2312"/>
          <w:highlight w:val="none"/>
        </w:rPr>
        <w:t>及处置价差</w:t>
      </w:r>
      <w:r>
        <w:rPr>
          <w:rFonts w:hint="eastAsia" w:ascii="仿宋_GB2312" w:hAnsi="仿宋_GB2312" w:cs="仿宋_GB2312"/>
          <w:highlight w:val="none"/>
          <w:lang w:val="en-GB"/>
        </w:rPr>
        <w:t>、</w:t>
      </w:r>
      <w:r>
        <w:rPr>
          <w:rFonts w:hint="eastAsia" w:ascii="仿宋_GB2312" w:hAnsi="仿宋_GB2312" w:cs="仿宋_GB2312"/>
          <w:highlight w:val="none"/>
        </w:rPr>
        <w:t>其他</w:t>
      </w:r>
      <w:r>
        <w:rPr>
          <w:rFonts w:hint="eastAsia" w:ascii="仿宋_GB2312" w:hAnsi="仿宋_GB2312" w:cs="仿宋_GB2312"/>
          <w:highlight w:val="none"/>
          <w:lang w:val="en-GB"/>
        </w:rPr>
        <w:t>投资资产处置价差（</w:t>
      </w:r>
      <w:r>
        <w:rPr>
          <w:rFonts w:hint="eastAsia" w:ascii="仿宋_GB2312" w:hAnsi="仿宋_GB2312" w:cs="仿宋_GB2312"/>
          <w:highlight w:val="none"/>
        </w:rPr>
        <w:t>不含指定为FVOCI的非交易性权益工具投资的处置损益</w:t>
      </w:r>
      <w:r>
        <w:rPr>
          <w:rFonts w:hint="eastAsia" w:ascii="仿宋_GB2312" w:hAnsi="仿宋_GB2312" w:cs="仿宋_GB2312"/>
          <w:highlight w:val="none"/>
          <w:lang w:val="en-GB"/>
        </w:rPr>
        <w:t>）、股息红利收入</w:t>
      </w:r>
      <w:r>
        <w:rPr>
          <w:rFonts w:hint="eastAsia" w:ascii="仿宋_GB2312" w:hAnsi="仿宋_GB2312" w:cs="仿宋_GB2312"/>
          <w:highlight w:val="none"/>
        </w:rPr>
        <w:t>及应占联营企业和合营企业损益</w:t>
      </w:r>
      <w:r>
        <w:rPr>
          <w:rFonts w:hint="eastAsia" w:ascii="仿宋_GB2312" w:hAnsi="仿宋_GB2312" w:cs="仿宋_GB2312"/>
          <w:highlight w:val="none"/>
          <w:lang w:val="en-GB"/>
        </w:rPr>
        <w:t>等</w:t>
      </w:r>
      <w:r>
        <w:rPr>
          <w:rFonts w:hint="eastAsia" w:ascii="仿宋_GB2312" w:hAnsi="仿宋_GB2312" w:cs="仿宋_GB2312"/>
          <w:highlight w:val="none"/>
          <w:lang w:val="en-GB" w:eastAsia="zh-CN"/>
        </w:rPr>
        <w:t>。</w:t>
      </w:r>
    </w:p>
    <w:p>
      <w:pPr>
        <w:ind w:firstLine="640"/>
        <w:rPr>
          <w:rFonts w:hint="eastAsia" w:eastAsia="仿宋_GB2312"/>
          <w:highlight w:val="none"/>
          <w:lang w:val="en-GB" w:eastAsia="zh-CN"/>
        </w:rPr>
      </w:pPr>
      <w:r>
        <w:rPr>
          <w:rFonts w:hint="eastAsia" w:ascii="仿宋_GB2312" w:hAnsi="仿宋_GB2312" w:cs="仿宋_GB2312"/>
          <w:highlight w:val="none"/>
          <w:lang w:val="en-GB"/>
        </w:rPr>
        <w:t>（</w:t>
      </w:r>
      <w:r>
        <w:rPr>
          <w:rFonts w:hint="eastAsia" w:ascii="仿宋_GB2312" w:hAnsi="仿宋_GB2312" w:cs="仿宋_GB2312"/>
          <w:highlight w:val="none"/>
        </w:rPr>
        <w:t>4</w:t>
      </w:r>
      <w:r>
        <w:rPr>
          <w:rFonts w:hint="eastAsia" w:ascii="仿宋_GB2312" w:hAnsi="仿宋_GB2312" w:cs="仿宋_GB2312"/>
          <w:highlight w:val="none"/>
          <w:lang w:val="en-GB"/>
        </w:rPr>
        <w:t>）公允价值变动损益包括</w:t>
      </w:r>
      <w:r>
        <w:rPr>
          <w:rFonts w:hint="eastAsia" w:ascii="仿宋_GB2312" w:hAnsi="仿宋_GB2312" w:cs="仿宋_GB2312"/>
          <w:highlight w:val="none"/>
        </w:rPr>
        <w:t>分类为FVTPL的</w:t>
      </w:r>
      <w:r>
        <w:rPr>
          <w:rFonts w:hint="eastAsia" w:ascii="仿宋_GB2312" w:hAnsi="仿宋_GB2312" w:cs="仿宋_GB2312"/>
          <w:highlight w:val="none"/>
          <w:lang w:val="en-GB"/>
        </w:rPr>
        <w:t>金融资产、投资性房地产及金融衍生工具年初至报告期末的公</w:t>
      </w:r>
      <w:r>
        <w:rPr>
          <w:rFonts w:hint="eastAsia"/>
          <w:highlight w:val="none"/>
          <w:lang w:val="en-GB"/>
        </w:rPr>
        <w:t>允价值变动</w:t>
      </w:r>
      <w:r>
        <w:rPr>
          <w:rFonts w:hint="eastAsia"/>
          <w:highlight w:val="none"/>
          <w:lang w:val="en-GB" w:eastAsia="zh-CN"/>
        </w:rPr>
        <w:t>。</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w:t>
      </w:r>
      <w:r>
        <w:rPr>
          <w:rFonts w:hint="eastAsia" w:ascii="仿宋_GB2312" w:hAnsi="仿宋_GB2312" w:cs="仿宋_GB2312"/>
          <w:highlight w:val="none"/>
        </w:rPr>
        <w:t>5</w:t>
      </w:r>
      <w:r>
        <w:rPr>
          <w:rFonts w:hint="eastAsia" w:ascii="仿宋_GB2312" w:hAnsi="仿宋_GB2312" w:cs="仿宋_GB2312"/>
          <w:highlight w:val="none"/>
          <w:lang w:val="en-GB"/>
        </w:rPr>
        <w:t>）其他投资损益包括年初至报告期末的投融资活动汇兑损益、投资性房地产租金收入、长期股权投资计入营业外收入的部分等</w:t>
      </w:r>
      <w:r>
        <w:rPr>
          <w:rFonts w:hint="eastAsia" w:ascii="仿宋_GB2312" w:hAnsi="仿宋_GB2312" w:cs="仿宋_GB2312"/>
          <w:highlight w:val="none"/>
          <w:lang w:val="en-GB" w:eastAsia="zh-CN"/>
        </w:rPr>
        <w:t>。</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w:t>
      </w:r>
      <w:r>
        <w:rPr>
          <w:rFonts w:hint="eastAsia" w:ascii="仿宋_GB2312" w:hAnsi="仿宋_GB2312" w:cs="仿宋_GB2312"/>
          <w:highlight w:val="none"/>
        </w:rPr>
        <w:t>6</w:t>
      </w:r>
      <w:r>
        <w:rPr>
          <w:rFonts w:hint="eastAsia" w:ascii="仿宋_GB2312" w:hAnsi="仿宋_GB2312" w:cs="仿宋_GB2312"/>
          <w:highlight w:val="none"/>
          <w:lang w:val="en-GB"/>
        </w:rPr>
        <w:t>）投资资产减值损失是指年初至报告期末确认的</w:t>
      </w:r>
      <w:r>
        <w:rPr>
          <w:rFonts w:hint="eastAsia" w:ascii="仿宋_GB2312" w:hAnsi="仿宋_GB2312" w:cs="仿宋_GB2312"/>
          <w:highlight w:val="none"/>
        </w:rPr>
        <w:t>信用</w:t>
      </w:r>
      <w:r>
        <w:rPr>
          <w:rFonts w:hint="eastAsia" w:ascii="仿宋_GB2312" w:hAnsi="仿宋_GB2312" w:cs="仿宋_GB2312"/>
          <w:highlight w:val="none"/>
          <w:lang w:val="en-GB"/>
        </w:rPr>
        <w:t>减值损失</w:t>
      </w:r>
      <w:r>
        <w:rPr>
          <w:rFonts w:hint="eastAsia" w:ascii="仿宋_GB2312" w:hAnsi="仿宋_GB2312" w:cs="仿宋_GB2312"/>
          <w:highlight w:val="none"/>
        </w:rPr>
        <w:t>和其他资产减值损失</w:t>
      </w:r>
      <w:r>
        <w:rPr>
          <w:rFonts w:hint="eastAsia" w:ascii="仿宋_GB2312" w:hAnsi="仿宋_GB2312" w:cs="仿宋_GB2312"/>
          <w:highlight w:val="none"/>
          <w:lang w:val="en-GB"/>
        </w:rPr>
        <w:t>金额</w:t>
      </w:r>
      <w:r>
        <w:rPr>
          <w:rFonts w:hint="eastAsia" w:ascii="仿宋_GB2312" w:hAnsi="仿宋_GB2312" w:cs="仿宋_GB2312"/>
          <w:highlight w:val="none"/>
          <w:lang w:val="en-GB" w:eastAsia="zh-CN"/>
        </w:rPr>
        <w:t>。</w:t>
      </w:r>
    </w:p>
    <w:p>
      <w:pPr>
        <w:ind w:firstLine="640"/>
        <w:rPr>
          <w:rFonts w:hint="eastAsia" w:eastAsia="仿宋_GB2312"/>
          <w:highlight w:val="none"/>
          <w:lang w:val="en-GB" w:eastAsia="zh-CN"/>
        </w:rPr>
      </w:pPr>
      <w:r>
        <w:rPr>
          <w:rFonts w:hint="eastAsia" w:ascii="仿宋_GB2312" w:hAnsi="仿宋_GB2312" w:cs="仿宋_GB2312"/>
          <w:highlight w:val="none"/>
          <w:lang w:val="en-GB"/>
        </w:rPr>
        <w:t>（</w:t>
      </w:r>
      <w:r>
        <w:rPr>
          <w:rFonts w:hint="eastAsia" w:ascii="仿宋_GB2312" w:hAnsi="仿宋_GB2312" w:cs="仿宋_GB2312"/>
          <w:highlight w:val="none"/>
        </w:rPr>
        <w:t>7</w:t>
      </w:r>
      <w:r>
        <w:rPr>
          <w:rFonts w:hint="eastAsia" w:ascii="仿宋_GB2312" w:hAnsi="仿宋_GB2312" w:cs="仿宋_GB2312"/>
          <w:highlight w:val="none"/>
          <w:lang w:val="en-GB"/>
        </w:rPr>
        <w:t>）利</w:t>
      </w:r>
      <w:r>
        <w:rPr>
          <w:rFonts w:hint="eastAsia"/>
          <w:highlight w:val="none"/>
          <w:lang w:val="en-GB"/>
        </w:rPr>
        <w:t>息支出指保险公司年初至报告期末的融资活动所支付的利息。计算普通账户</w:t>
      </w:r>
      <w:r>
        <w:rPr>
          <w:rFonts w:hint="eastAsia"/>
          <w:highlight w:val="none"/>
        </w:rPr>
        <w:t>及</w:t>
      </w:r>
      <w:r>
        <w:rPr>
          <w:rFonts w:hint="eastAsia"/>
          <w:highlight w:val="none"/>
          <w:lang w:val="en-GB"/>
        </w:rPr>
        <w:t>次级债、资本补充债和无固定期限资本债账户的投资收益时，利息支出不包括次级债、资本补充债</w:t>
      </w:r>
      <w:r>
        <w:rPr>
          <w:rFonts w:hint="eastAsia"/>
          <w:highlight w:val="none"/>
        </w:rPr>
        <w:t>和无固定期限资本债券</w:t>
      </w:r>
      <w:r>
        <w:rPr>
          <w:rFonts w:hint="eastAsia"/>
          <w:highlight w:val="none"/>
          <w:lang w:val="en-GB"/>
        </w:rPr>
        <w:t>所支付的利息，</w:t>
      </w:r>
      <w:r>
        <w:rPr>
          <w:rFonts w:hint="eastAsia"/>
          <w:bCs/>
          <w:highlight w:val="none"/>
          <w:lang w:val="en-GB"/>
        </w:rPr>
        <w:t>该部分利息支出在</w:t>
      </w:r>
      <w:r>
        <w:rPr>
          <w:rFonts w:hint="eastAsia"/>
          <w:bCs/>
          <w:highlight w:val="none"/>
        </w:rPr>
        <w:t>普通账户</w:t>
      </w:r>
      <w:r>
        <w:rPr>
          <w:rFonts w:hint="eastAsia"/>
          <w:bCs/>
          <w:highlight w:val="none"/>
          <w:lang w:val="en-GB"/>
        </w:rPr>
        <w:t>成本收益覆盖率及需要规模调整的利差指标</w:t>
      </w:r>
      <w:r>
        <w:rPr>
          <w:rFonts w:hint="eastAsia"/>
          <w:bCs/>
          <w:highlight w:val="none"/>
        </w:rPr>
        <w:t>计算时从投资收益中扣除</w:t>
      </w:r>
      <w:r>
        <w:rPr>
          <w:rFonts w:hint="eastAsia"/>
          <w:highlight w:val="none"/>
        </w:rPr>
        <w:t>，其在</w:t>
      </w:r>
      <w:r>
        <w:rPr>
          <w:rFonts w:hint="eastAsia"/>
          <w:highlight w:val="none"/>
          <w:lang w:val="en-GB"/>
        </w:rPr>
        <w:t>次级债、资本补充债</w:t>
      </w:r>
      <w:r>
        <w:rPr>
          <w:rFonts w:hint="eastAsia"/>
          <w:highlight w:val="none"/>
        </w:rPr>
        <w:t>和无固定期限资本债</w:t>
      </w:r>
      <w:r>
        <w:rPr>
          <w:rFonts w:hint="eastAsia"/>
          <w:highlight w:val="none"/>
          <w:lang w:val="en-GB"/>
        </w:rPr>
        <w:t>账户的负债成本率中计算</w:t>
      </w:r>
      <w:r>
        <w:rPr>
          <w:rFonts w:hint="eastAsia"/>
          <w:highlight w:val="none"/>
          <w:lang w:val="en-GB" w:eastAsia="zh-CN"/>
        </w:rPr>
        <w:t>。</w:t>
      </w:r>
    </w:p>
    <w:p>
      <w:pPr>
        <w:ind w:firstLine="640"/>
        <w:rPr>
          <w:rFonts w:hint="eastAsia" w:ascii="仿宋_GB2312" w:hAnsi="仿宋_GB2312" w:cs="仿宋_GB2312"/>
          <w:highlight w:val="none"/>
        </w:rPr>
      </w:pPr>
      <w:r>
        <w:rPr>
          <w:rFonts w:hint="eastAsia" w:ascii="仿宋_GB2312" w:hAnsi="仿宋_GB2312" w:cs="仿宋_GB2312"/>
          <w:highlight w:val="none"/>
          <w:lang w:val="en-GB"/>
        </w:rPr>
        <w:t>（</w:t>
      </w:r>
      <w:r>
        <w:rPr>
          <w:rFonts w:hint="eastAsia" w:ascii="仿宋_GB2312" w:hAnsi="仿宋_GB2312" w:cs="仿宋_GB2312"/>
          <w:highlight w:val="none"/>
        </w:rPr>
        <w:t>8</w:t>
      </w:r>
      <w:r>
        <w:rPr>
          <w:rFonts w:hint="eastAsia" w:ascii="仿宋_GB2312" w:hAnsi="仿宋_GB2312" w:cs="仿宋_GB2312"/>
          <w:highlight w:val="none"/>
          <w:lang w:val="en-GB"/>
        </w:rPr>
        <w:t>）以上均需要考虑增值税进项税、销项税的影响</w:t>
      </w:r>
      <w:r>
        <w:rPr>
          <w:rFonts w:hint="eastAsia" w:ascii="仿宋_GB2312" w:hAnsi="仿宋_GB2312" w:cs="仿宋_GB2312"/>
          <w:highlight w:val="none"/>
          <w:lang w:val="en-GB" w:eastAsia="zh-CN"/>
        </w:rPr>
        <w:t>。</w:t>
      </w:r>
    </w:p>
    <w:p>
      <w:pPr>
        <w:ind w:firstLine="640"/>
        <w:rPr>
          <w:rFonts w:hint="eastAsia" w:ascii="仿宋_GB2312" w:hAnsi="仿宋_GB2312" w:cs="仿宋_GB2312"/>
          <w:highlight w:val="none"/>
          <w:lang w:val="en-GB"/>
        </w:rPr>
      </w:pPr>
      <w:r>
        <w:rPr>
          <w:rFonts w:hint="eastAsia" w:ascii="仿宋_GB2312" w:hAnsi="仿宋_GB2312" w:cs="仿宋_GB2312"/>
          <w:highlight w:val="none"/>
          <w:lang w:val="en-GB"/>
        </w:rPr>
        <w:t>（9）</w:t>
      </w:r>
      <w:r>
        <w:rPr>
          <w:rFonts w:hint="eastAsia" w:ascii="仿宋_GB2312" w:hAnsi="仿宋_GB2312" w:cs="仿宋_GB2312"/>
          <w:highlight w:val="none"/>
        </w:rPr>
        <w:t>过去第一年平均会计投资收益率为</w:t>
      </w:r>
      <w:r>
        <w:rPr>
          <w:rFonts w:hint="eastAsia" w:ascii="仿宋_GB2312" w:hAnsi="仿宋_GB2312" w:cs="仿宋_GB2312"/>
          <w:highlight w:val="none"/>
          <w:lang w:val="en-GB"/>
        </w:rPr>
        <w:t>报告期末过去12个月</w:t>
      </w:r>
      <w:r>
        <w:rPr>
          <w:rFonts w:hint="eastAsia" w:ascii="仿宋_GB2312" w:hAnsi="仿宋_GB2312" w:cs="仿宋_GB2312"/>
          <w:highlight w:val="none"/>
        </w:rPr>
        <w:t>平</w:t>
      </w:r>
      <w:r>
        <w:rPr>
          <w:rFonts w:hint="eastAsia" w:hAnsi="仿宋_GB2312" w:cs="仿宋_GB2312"/>
          <w:highlight w:val="none"/>
        </w:rPr>
        <w:t>均</w:t>
      </w:r>
      <w:r>
        <w:rPr>
          <w:rFonts w:hint="eastAsia" w:hAnsi="仿宋_GB2312" w:cs="仿宋_GB2312"/>
          <w:highlight w:val="none"/>
          <w:lang w:val="en-GB"/>
        </w:rPr>
        <w:t>会计投资收益</w:t>
      </w:r>
      <w:r>
        <w:rPr>
          <w:rFonts w:hint="eastAsia" w:hAnsi="仿宋_GB2312" w:cs="仿宋_GB2312"/>
          <w:highlight w:val="none"/>
        </w:rPr>
        <w:t>率</w:t>
      </w:r>
      <w:r>
        <w:rPr>
          <w:rFonts w:hint="eastAsia" w:hAnsi="仿宋_GB2312" w:cs="仿宋_GB2312"/>
          <w:highlight w:val="none"/>
          <w:lang w:val="en-GB"/>
        </w:rPr>
        <w:t>；</w:t>
      </w:r>
      <w:r>
        <w:rPr>
          <w:rFonts w:hint="eastAsia" w:hAnsi="仿宋_GB2312" w:cs="仿宋_GB2312"/>
          <w:color w:val="000000"/>
          <w:kern w:val="0"/>
          <w:highlight w:val="none"/>
        </w:rPr>
        <w:t>过</w:t>
      </w:r>
      <w:r>
        <w:rPr>
          <w:rFonts w:hint="eastAsia" w:ascii="仿宋_GB2312" w:hAnsi="仿宋_GB2312" w:cs="仿宋_GB2312"/>
          <w:color w:val="000000"/>
          <w:kern w:val="0"/>
          <w:highlight w:val="none"/>
        </w:rPr>
        <w:t>去第X年平均会计投资收益率是指报告期末对应过去第X个12个月平均会计投资收益率。</w:t>
      </w:r>
    </w:p>
    <w:p>
      <w:pPr>
        <w:pStyle w:val="5"/>
        <w:ind w:firstLine="640"/>
        <w:rPr>
          <w:highlight w:val="none"/>
        </w:rPr>
      </w:pPr>
      <w:r>
        <w:rPr>
          <w:rFonts w:hint="eastAsia" w:ascii="仿宋_GB2312" w:hAnsi="仿宋_GB2312" w:cs="仿宋_GB2312"/>
          <w:highlight w:val="none"/>
        </w:rPr>
        <w:t>2.净投资收益率及过去三年</w:t>
      </w:r>
      <w:r>
        <w:rPr>
          <w:rFonts w:hint="eastAsia"/>
          <w:highlight w:val="none"/>
        </w:rPr>
        <w:t>平均净投资收益率的计算</w:t>
      </w:r>
    </w:p>
    <w:p>
      <w:pPr>
        <w:ind w:firstLine="640"/>
        <w:rPr>
          <w:rFonts w:hint="eastAsia" w:ascii="仿宋_GB2312" w:hAnsi="仿宋_GB2312" w:cs="仿宋_GB2312"/>
          <w:highlight w:val="none"/>
        </w:rPr>
      </w:pPr>
      <w:r>
        <w:rPr>
          <w:rFonts w:hint="eastAsia"/>
          <w:highlight w:val="none"/>
        </w:rPr>
        <w:t>净投资收益包括利息收入和分</w:t>
      </w:r>
      <w:r>
        <w:rPr>
          <w:rFonts w:hint="eastAsia" w:ascii="仿宋_GB2312" w:hAnsi="仿宋_GB2312" w:cs="仿宋_GB2312"/>
          <w:highlight w:val="none"/>
        </w:rPr>
        <w:t>类为FVTPL</w:t>
      </w:r>
      <w:r>
        <w:rPr>
          <w:rFonts w:hint="eastAsia" w:ascii="仿宋_GB2312" w:hAnsi="仿宋_GB2312" w:cs="仿宋_GB2312"/>
          <w:highlight w:val="none"/>
          <w:lang w:val="en-GB"/>
        </w:rPr>
        <w:t>金融资产</w:t>
      </w:r>
      <w:r>
        <w:rPr>
          <w:rFonts w:hint="eastAsia" w:ascii="仿宋_GB2312" w:hAnsi="仿宋_GB2312" w:cs="仿宋_GB2312"/>
          <w:highlight w:val="none"/>
        </w:rPr>
        <w:t>的</w:t>
      </w:r>
      <w:r>
        <w:rPr>
          <w:rFonts w:hint="eastAsia" w:ascii="仿宋_GB2312" w:hAnsi="仿宋_GB2312" w:cs="仿宋_GB2312"/>
          <w:highlight w:val="none"/>
          <w:lang w:val="en-GB"/>
        </w:rPr>
        <w:t>利息收入，</w:t>
      </w:r>
      <w:r>
        <w:rPr>
          <w:rFonts w:hint="eastAsia" w:ascii="仿宋_GB2312" w:hAnsi="仿宋_GB2312" w:cs="仿宋_GB2312"/>
          <w:highlight w:val="none"/>
        </w:rPr>
        <w:t>股息红利收入，以及投资性房地产租金收入等，并扣除利息支出。</w:t>
      </w:r>
    </w:p>
    <w:p>
      <w:pPr>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cs="仿宋_GB2312"/>
              <w:szCs w:val="32"/>
              <w:highlight w:val="none"/>
            </w:rPr>
            <m:t>净</m:t>
          </m:r>
          <m:r>
            <m:rPr>
              <m:sty m:val="p"/>
            </m:rPr>
            <w:rPr>
              <w:rFonts w:hint="eastAsia" w:ascii="DejaVu Math TeX Gyre" w:hAnsi="DejaVu Math TeX Gyre" w:cs="仿宋_GB2312"/>
              <w:szCs w:val="32"/>
              <w:highlight w:val="none"/>
              <w:lang w:val="en-GB"/>
            </w:rPr>
            <m:t>投资收益</m:t>
          </m:r>
          <m:r>
            <m:rPr>
              <m:sty m:val="p"/>
            </m:rPr>
            <w:rPr>
              <w:rFonts w:hint="eastAsia" w:ascii="DejaVu Math TeX Gyre" w:hAnsi="DejaVu Math TeX Gyre" w:cs="仿宋_GB2312"/>
              <w:szCs w:val="32"/>
              <w:highlight w:val="none"/>
            </w:rPr>
            <m:t>率</m:t>
          </m:r>
          <m:r>
            <m:rPr>
              <m:sty m:val="p"/>
            </m:rPr>
            <w:rPr>
              <w:rFonts w:hint="eastAsia" w:ascii="DejaVu Math TeX Gyre" w:hAnsi="DejaVu Math TeX Gyre"/>
              <w:highlight w:val="none"/>
            </w:rPr>
            <m:t>=净投资收益÷调整后的资金运用平均净额×100%</m:t>
          </m:r>
        </m:oMath>
      </m:oMathPara>
    </w:p>
    <w:p>
      <w:pPr>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highlight w:val="none"/>
            </w:rPr>
            <m:t>过去第一年平均净投资收益率=过去第一年的累计净投资收益÷过去第一年调整后的资金运用平均净额×100%</m:t>
          </m:r>
        </m:oMath>
      </m:oMathPara>
    </w:p>
    <w:p>
      <w:pPr>
        <w:topLinePunct/>
        <w:ind w:left="640" w:leftChars="200" w:firstLine="640"/>
        <w:rPr>
          <w:rFonts w:ascii="仿宋_GB2312" w:hAnsi="仿宋_GB2312" w:cs="仿宋_GB2312"/>
          <w:color w:val="000000"/>
          <w:kern w:val="0"/>
          <w:sz w:val="28"/>
          <w:szCs w:val="28"/>
          <w:highlight w:val="none"/>
        </w:rPr>
      </w:pPr>
      <m:oMathPara>
        <m:oMathParaPr>
          <m:jc m:val="left"/>
        </m:oMathParaPr>
        <m:oMath>
          <m:r>
            <m:rPr>
              <m:sty m:val="p"/>
            </m:rPr>
            <w:rPr>
              <w:rFonts w:hint="eastAsia" w:ascii="DejaVu Math TeX Gyre" w:hAnsi="DejaVu Math TeX Gyre" w:cs="仿宋_GB2312"/>
              <w:szCs w:val="32"/>
              <w:highlight w:val="none"/>
              <w:lang w:val="en-GB"/>
            </w:rPr>
            <m:t>过去</m:t>
          </m:r>
          <m:r>
            <m:rPr>
              <m:sty m:val="p"/>
            </m:rPr>
            <w:rPr>
              <w:rFonts w:hint="eastAsia" w:ascii="DejaVu Math TeX Gyre" w:hAnsi="DejaVu Math TeX Gyre" w:cs="仿宋_GB2312"/>
              <w:szCs w:val="32"/>
              <w:highlight w:val="none"/>
            </w:rPr>
            <m:t>三年</m:t>
          </m:r>
          <m:r>
            <m:rPr>
              <m:sty m:val="p"/>
            </m:rPr>
            <w:rPr>
              <w:rFonts w:hint="eastAsia" w:ascii="DejaVu Math TeX Gyre" w:hAnsi="DejaVu Math TeX Gyre" w:cs="仿宋_GB2312"/>
              <w:szCs w:val="32"/>
              <w:highlight w:val="none"/>
              <w:lang w:val="en-GB"/>
            </w:rPr>
            <m:t>平均</m:t>
          </m:r>
          <m:r>
            <m:rPr>
              <m:sty m:val="p"/>
            </m:rPr>
            <w:rPr>
              <w:rFonts w:hint="eastAsia" w:ascii="DejaVu Math TeX Gyre" w:hAnsi="DejaVu Math TeX Gyre" w:cs="仿宋_GB2312"/>
              <w:szCs w:val="32"/>
              <w:highlight w:val="none"/>
            </w:rPr>
            <m:t>净</m:t>
          </m:r>
          <m:r>
            <m:rPr>
              <m:sty m:val="p"/>
            </m:rPr>
            <w:rPr>
              <w:rFonts w:hint="eastAsia" w:ascii="DejaVu Math TeX Gyre" w:hAnsi="DejaVu Math TeX Gyre" w:cs="仿宋_GB2312"/>
              <w:szCs w:val="32"/>
              <w:highlight w:val="none"/>
              <w:lang w:val="en-GB"/>
            </w:rPr>
            <m:t>投资收益率</m:t>
          </m:r>
          <m:r>
            <m:rPr>
              <m:sty m:val="p"/>
            </m:rPr>
            <w:rPr>
              <w:rFonts w:hint="eastAsia" w:ascii="DejaVu Math TeX Gyre" w:hAnsi="DejaVu Math TeX Gyre"/>
              <w:highlight w:val="none"/>
            </w:rPr>
            <m:t>=</m:t>
          </m:r>
          <m:d>
            <m:dPr>
              <m:begChr m:val="["/>
              <m:endChr m:val="]"/>
              <m:ctrlPr>
                <w:rPr>
                  <w:rFonts w:hint="eastAsia" w:ascii="DejaVu Math TeX Gyre" w:hAnsi="DejaVu Math TeX Gyre"/>
                  <w:highlight w:val="none"/>
                </w:rPr>
              </m:ctrlPr>
            </m:dPr>
            <m:e>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1+过去第一年平均净投资收益率</m:t>
                  </m:r>
                  <m:ctrlPr>
                    <w:rPr>
                      <w:rFonts w:hint="eastAsia" w:ascii="DejaVu Math TeX Gyre" w:hAnsi="DejaVu Math TeX Gyre"/>
                      <w:highlight w:val="none"/>
                    </w:rPr>
                  </m:ctrlPr>
                </m:e>
              </m:d>
              <m:r>
                <m:rPr>
                  <m:sty m:val="p"/>
                </m:rPr>
                <w:rPr>
                  <w:rFonts w:hint="eastAsia" w:ascii="DejaVu Math TeX Gyre" w:hAnsi="DejaVu Math TeX Gyre"/>
                  <w:highlight w:val="none"/>
                </w:rPr>
                <m:t>×</m:t>
              </m:r>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1+过去第二年平均净投资收益率</m:t>
                  </m:r>
                  <m:ctrlPr>
                    <w:rPr>
                      <w:rFonts w:hint="eastAsia" w:ascii="DejaVu Math TeX Gyre" w:hAnsi="DejaVu Math TeX Gyre"/>
                      <w:highlight w:val="none"/>
                    </w:rPr>
                  </m:ctrlPr>
                </m:e>
              </m:d>
              <m:r>
                <m:rPr>
                  <m:sty m:val="p"/>
                </m:rPr>
                <w:rPr>
                  <w:rFonts w:hint="eastAsia" w:ascii="DejaVu Math TeX Gyre" w:hAnsi="DejaVu Math TeX Gyre"/>
                  <w:highlight w:val="none"/>
                </w:rPr>
                <m:t>×</m:t>
              </m:r>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1+过去第三年平均净投资收益率</m:t>
                  </m:r>
                  <m:ctrlPr>
                    <w:rPr>
                      <w:rFonts w:hint="eastAsia" w:ascii="DejaVu Math TeX Gyre" w:hAnsi="DejaVu Math TeX Gyre"/>
                      <w:highlight w:val="none"/>
                    </w:rPr>
                  </m:ctrlPr>
                </m:e>
              </m:d>
              <m:ctrlPr>
                <w:rPr>
                  <w:rFonts w:hint="eastAsia" w:ascii="DejaVu Math TeX Gyre" w:hAnsi="DejaVu Math TeX Gyre"/>
                  <w:highlight w:val="none"/>
                </w:rPr>
              </m:ctrlPr>
            </m:e>
          </m:d>
          <m:r>
            <m:rPr>
              <m:sty m:val="p"/>
            </m:rPr>
            <w:rPr>
              <w:rFonts w:hint="eastAsia" w:ascii="DejaVu Math TeX Gyre" w:hAnsi="DejaVu Math TeX Gyre"/>
              <w:highlight w:val="none"/>
            </w:rPr>
            <m:t>^(1/3)</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highlight w:val="none"/>
            </w:rPr>
            <m:t>1</m:t>
          </m:r>
        </m:oMath>
      </m:oMathPara>
    </w:p>
    <w:p>
      <w:pPr>
        <w:ind w:firstLine="640"/>
        <w:rPr>
          <w:rFonts w:hint="eastAsia" w:ascii="仿宋_GB2312" w:hAnsi="仿宋_GB2312" w:eastAsia="仿宋_GB2312" w:cs="仿宋_GB2312"/>
          <w:highlight w:val="none"/>
          <w:lang w:val="en-GB"/>
        </w:rPr>
      </w:pPr>
      <w:r>
        <w:rPr>
          <w:rFonts w:hint="eastAsia" w:ascii="仿宋_GB2312" w:hAnsi="仿宋_GB2312" w:cs="仿宋_GB2312"/>
          <w:highlight w:val="none"/>
        </w:rPr>
        <w:t>其中，过去第X年平均净投资收益率</w:t>
      </w:r>
      <w:r>
        <w:rPr>
          <w:rFonts w:hint="eastAsia" w:ascii="仿宋_GB2312" w:hAnsi="仿宋_GB2312" w:cs="仿宋_GB2312"/>
          <w:highlight w:val="none"/>
          <w:lang w:val="en-GB"/>
        </w:rPr>
        <w:t>为报告期末过去</w:t>
      </w:r>
      <w:r>
        <w:rPr>
          <w:rFonts w:hint="eastAsia" w:ascii="仿宋_GB2312" w:hAnsi="仿宋_GB2312" w:cs="仿宋_GB2312"/>
          <w:highlight w:val="none"/>
        </w:rPr>
        <w:t>第X个</w:t>
      </w:r>
      <w:r>
        <w:rPr>
          <w:rFonts w:hint="eastAsia" w:ascii="仿宋_GB2312" w:hAnsi="仿宋_GB2312" w:cs="仿宋_GB2312"/>
          <w:highlight w:val="none"/>
          <w:lang w:val="en-GB"/>
        </w:rPr>
        <w:t>12个月</w:t>
      </w:r>
      <w:r>
        <w:rPr>
          <w:rFonts w:hint="eastAsia" w:ascii="仿宋_GB2312" w:hAnsi="仿宋_GB2312" w:cs="仿宋_GB2312"/>
          <w:highlight w:val="none"/>
        </w:rPr>
        <w:t>平均净</w:t>
      </w:r>
      <w:r>
        <w:rPr>
          <w:rFonts w:hint="eastAsia" w:ascii="仿宋_GB2312" w:hAnsi="仿宋_GB2312" w:cs="仿宋_GB2312"/>
          <w:highlight w:val="none"/>
          <w:lang w:val="en-GB"/>
        </w:rPr>
        <w:t>投资收益</w:t>
      </w:r>
      <w:r>
        <w:rPr>
          <w:rFonts w:hint="eastAsia" w:ascii="仿宋_GB2312" w:hAnsi="仿宋_GB2312" w:cs="仿宋_GB2312"/>
          <w:highlight w:val="none"/>
        </w:rPr>
        <w:t>率。</w:t>
      </w:r>
    </w:p>
    <w:p>
      <w:pPr>
        <w:pStyle w:val="5"/>
        <w:ind w:firstLine="643"/>
        <w:rPr>
          <w:b/>
          <w:highlight w:val="none"/>
        </w:rPr>
      </w:pPr>
      <w:r>
        <w:rPr>
          <w:rFonts w:hint="eastAsia" w:ascii="仿宋_GB2312" w:hAnsi="仿宋_GB2312" w:cs="仿宋_GB2312"/>
          <w:b/>
          <w:highlight w:val="none"/>
        </w:rPr>
        <w:t>3.</w:t>
      </w:r>
      <w:r>
        <w:rPr>
          <w:rFonts w:hint="eastAsia" w:ascii="仿宋_GB2312" w:hAnsi="仿宋_GB2312" w:cs="仿宋_GB2312"/>
          <w:highlight w:val="none"/>
        </w:rPr>
        <w:t>综合投资收</w:t>
      </w:r>
      <w:r>
        <w:rPr>
          <w:rFonts w:hint="eastAsia"/>
          <w:highlight w:val="none"/>
        </w:rPr>
        <w:t>益率、过去第一年平均综合投资收益率及过去五年平均综合投资收益率的计算</w:t>
      </w:r>
    </w:p>
    <w:p>
      <w:pPr>
        <w:ind w:firstLine="640"/>
        <w:rPr>
          <w:highlight w:val="none"/>
          <w:lang w:val="en-GB"/>
        </w:rPr>
      </w:pPr>
      <w:r>
        <w:rPr>
          <w:highlight w:val="none"/>
          <w:lang w:val="en-GB"/>
        </w:rPr>
        <w:t>综合投资收益</w:t>
      </w:r>
      <w:r>
        <w:rPr>
          <w:rFonts w:hint="eastAsia"/>
          <w:highlight w:val="none"/>
          <w:lang w:val="en-GB"/>
        </w:rPr>
        <w:t>应考虑</w:t>
      </w:r>
      <w:r>
        <w:rPr>
          <w:rFonts w:hint="eastAsia"/>
          <w:highlight w:val="none"/>
        </w:rPr>
        <w:t>分类</w:t>
      </w:r>
      <w:r>
        <w:rPr>
          <w:rFonts w:hint="eastAsia" w:ascii="仿宋_GB2312" w:hAnsi="仿宋_GB2312" w:cs="仿宋_GB2312"/>
          <w:highlight w:val="none"/>
        </w:rPr>
        <w:t>为FVOCI</w:t>
      </w:r>
      <w:r>
        <w:rPr>
          <w:rFonts w:hint="eastAsia" w:ascii="仿宋_GB2312" w:hAnsi="仿宋_GB2312" w:cs="仿宋_GB2312"/>
          <w:highlight w:val="none"/>
          <w:lang w:val="en-GB"/>
        </w:rPr>
        <w:t>金融资产</w:t>
      </w:r>
      <w:r>
        <w:rPr>
          <w:rFonts w:hint="eastAsia" w:ascii="仿宋_GB2312" w:hAnsi="仿宋_GB2312" w:cs="仿宋_GB2312"/>
          <w:highlight w:val="none"/>
        </w:rPr>
        <w:t>的</w:t>
      </w:r>
      <w:r>
        <w:rPr>
          <w:rFonts w:hint="eastAsia" w:ascii="仿宋_GB2312" w:hAnsi="仿宋_GB2312" w:cs="仿宋_GB2312"/>
          <w:highlight w:val="none"/>
          <w:lang w:val="en-GB"/>
        </w:rPr>
        <w:t>公允价值变动</w:t>
      </w:r>
      <w:r>
        <w:rPr>
          <w:rFonts w:hint="eastAsia" w:ascii="仿宋_GB2312" w:hAnsi="仿宋_GB2312" w:cs="仿宋_GB2312"/>
          <w:highlight w:val="none"/>
        </w:rPr>
        <w:t>(分类为FVOCI</w:t>
      </w:r>
      <w:r>
        <w:rPr>
          <w:rFonts w:hint="eastAsia" w:ascii="仿宋_GB2312" w:hAnsi="仿宋_GB2312" w:cs="仿宋_GB2312"/>
          <w:color w:val="000000"/>
          <w:kern w:val="0"/>
          <w:highlight w:val="none"/>
        </w:rPr>
        <w:t>债务工具的公允价值变动除外)</w:t>
      </w:r>
      <w:r>
        <w:rPr>
          <w:rFonts w:hint="eastAsia" w:ascii="仿宋_GB2312" w:hAnsi="仿宋_GB2312" w:cs="仿宋_GB2312"/>
          <w:highlight w:val="none"/>
        </w:rPr>
        <w:t>、指定为FVOCI的非交易性权益工具投</w:t>
      </w:r>
      <w:r>
        <w:rPr>
          <w:rFonts w:hint="eastAsia"/>
          <w:highlight w:val="none"/>
        </w:rPr>
        <w:t>资的处置损益</w:t>
      </w:r>
      <w:r>
        <w:rPr>
          <w:rFonts w:hint="eastAsia"/>
          <w:highlight w:val="none"/>
          <w:lang w:val="en-GB"/>
        </w:rPr>
        <w:t>。</w:t>
      </w:r>
    </w:p>
    <w:p>
      <w:pPr>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highlight w:val="none"/>
            </w:rPr>
            <m:t>综合投资收益=利息收入+投资收益+公允价值变动损益+其他投资损益+FVOCI金融资产的公允价值变动</m:t>
          </m:r>
          <m:r>
            <m:rPr>
              <m:sty m:val="p"/>
            </m:rPr>
            <w:rPr>
              <w:rFonts w:ascii="DejaVu Math TeX Gyre" w:hAnsi="DejaVu Math TeX Gyre"/>
              <w:highlight w:val="none"/>
            </w:rPr>
            <m:t>−FVOCI</m:t>
          </m:r>
          <m:r>
            <m:rPr>
              <m:sty m:val="p"/>
            </m:rPr>
            <w:rPr>
              <w:rFonts w:hint="eastAsia" w:ascii="DejaVu Math TeX Gyre" w:hAnsi="DejaVu Math TeX Gyre"/>
              <w:highlight w:val="none"/>
            </w:rPr>
            <m:t>债务工具的公允价值变动+FVOCI非交易性权益工具投资的处置损益</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cs="仿宋_GB2312"/>
              <w:highlight w:val="none"/>
            </w:rPr>
            <m:t>投资资产减值损失</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cs="仿宋_GB2312"/>
              <w:highlight w:val="none"/>
            </w:rPr>
            <m:t>利息支出</m:t>
          </m:r>
          <m:r>
            <m:rPr>
              <m:sty m:val="p"/>
            </m:rPr>
            <w:rPr>
              <w:rFonts w:hint="eastAsia" w:ascii="DejaVu Math TeX Gyre" w:hAnsi="DejaVu Math TeX Gyre" w:cs="仿宋_GB2312"/>
              <w:szCs w:val="32"/>
              <w:highlight w:val="none"/>
              <w:lang w:val="en-GB"/>
            </w:rPr>
            <w:br w:type="textWrapping"/>
          </m:r>
        </m:oMath>
      </m:oMathPara>
      <m:oMathPara>
        <m:oMathParaPr>
          <m:jc m:val="left"/>
        </m:oMathParaPr>
        <m:oMath>
          <m:r>
            <m:rPr>
              <m:sty m:val="p"/>
            </m:rPr>
            <w:rPr>
              <w:rFonts w:hint="eastAsia" w:ascii="DejaVu Math TeX Gyre" w:hAnsi="DejaVu Math TeX Gyre" w:cs="仿宋_GB2312"/>
              <w:szCs w:val="32"/>
              <w:highlight w:val="none"/>
              <w:lang w:val="en-GB"/>
            </w:rPr>
            <m:t>综合投资收益率=</m:t>
          </m:r>
          <m:r>
            <m:rPr>
              <m:sty m:val="p"/>
            </m:rPr>
            <w:rPr>
              <w:rFonts w:hint="eastAsia" w:ascii="DejaVu Math TeX Gyre" w:hAnsi="DejaVu Math TeX Gyre"/>
              <w:highlight w:val="none"/>
            </w:rPr>
            <m:t>综合投资收益÷调整后的资金运用平均净额×100%</m:t>
          </m:r>
        </m:oMath>
      </m:oMathPara>
    </w:p>
    <w:p>
      <w:pPr>
        <w:ind w:left="640" w:leftChars="200" w:firstLine="640"/>
        <w:rPr>
          <w:rFonts w:ascii="仿宋_GB2312" w:hAnsi="仿宋_GB2312" w:cs="仿宋_GB2312"/>
          <w:szCs w:val="32"/>
          <w:highlight w:val="none"/>
          <w:lang w:val="en-GB"/>
        </w:rPr>
      </w:pPr>
      <m:oMathPara>
        <m:oMathParaPr>
          <m:jc m:val="left"/>
        </m:oMathParaPr>
        <m:oMath>
          <m:r>
            <m:rPr>
              <m:sty m:val="p"/>
            </m:rPr>
            <w:rPr>
              <w:rFonts w:hint="eastAsia" w:ascii="DejaVu Math TeX Gyre" w:hAnsi="DejaVu Math TeX Gyre" w:cs="仿宋_GB2312"/>
              <w:szCs w:val="32"/>
              <w:highlight w:val="none"/>
              <w:lang w:val="en-GB"/>
            </w:rPr>
            <m:t>过去</m:t>
          </m:r>
          <m:r>
            <m:rPr>
              <m:sty m:val="p"/>
            </m:rPr>
            <w:rPr>
              <w:rFonts w:hint="eastAsia" w:ascii="DejaVu Math TeX Gyre" w:hAnsi="DejaVu Math TeX Gyre" w:cs="仿宋_GB2312"/>
              <w:szCs w:val="32"/>
              <w:highlight w:val="none"/>
            </w:rPr>
            <m:t>第一年</m:t>
          </m:r>
          <m:r>
            <m:rPr>
              <m:sty m:val="p"/>
            </m:rPr>
            <w:rPr>
              <w:rFonts w:hint="eastAsia" w:ascii="DejaVu Math TeX Gyre" w:hAnsi="DejaVu Math TeX Gyre" w:cs="仿宋_GB2312"/>
              <w:szCs w:val="32"/>
              <w:highlight w:val="none"/>
              <w:lang w:val="en-GB"/>
            </w:rPr>
            <m:t>平均综合投资收益率=</m:t>
          </m:r>
          <m:r>
            <m:rPr>
              <m:sty m:val="p"/>
            </m:rPr>
            <w:rPr>
              <w:rFonts w:hint="eastAsia" w:ascii="DejaVu Math TeX Gyre" w:hAnsi="DejaVu Math TeX Gyre"/>
              <w:highlight w:val="none"/>
            </w:rPr>
            <m:t>过去第一年的累计综合投资收益÷过去第一年调整后的资金运用平均净额×100%</m:t>
          </m:r>
        </m:oMath>
      </m:oMathPara>
    </w:p>
    <w:p>
      <w:pPr>
        <w:topLinePunct/>
        <w:ind w:left="640" w:leftChars="200" w:firstLine="640"/>
        <w:rPr>
          <w:rFonts w:ascii="仿宋_GB2312" w:hAnsi="仿宋_GB2312" w:cs="仿宋_GB2312"/>
          <w:color w:val="000000"/>
          <w:kern w:val="0"/>
          <w:sz w:val="28"/>
          <w:szCs w:val="28"/>
          <w:highlight w:val="none"/>
        </w:rPr>
      </w:pPr>
      <m:oMathPara>
        <m:oMath>
          <m:r>
            <m:rPr>
              <m:sty m:val="p"/>
            </m:rPr>
            <w:rPr>
              <w:rFonts w:hint="eastAsia" w:ascii="DejaVu Math TeX Gyre" w:hAnsi="DejaVu Math TeX Gyre" w:cs="仿宋_GB2312"/>
              <w:color w:val="000000"/>
              <w:kern w:val="0"/>
              <w:szCs w:val="32"/>
              <w:highlight w:val="none"/>
            </w:rPr>
            <m:t>过去五年年平均综合投资收益率=</m:t>
          </m:r>
          <m:d>
            <m:dPr>
              <m:begChr m:val="["/>
              <m:endChr m:val="]"/>
              <m:ctrlPr>
                <w:rPr>
                  <w:rFonts w:hint="eastAsia" w:ascii="DejaVu Math TeX Gyre" w:hAnsi="DejaVu Math TeX Gyre"/>
                  <w:highlight w:val="none"/>
                </w:rPr>
              </m:ctrlPr>
            </m:dPr>
            <m:e>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1+过去第一年平均综合投资收益率</m:t>
                  </m:r>
                  <m:ctrlPr>
                    <w:rPr>
                      <w:rFonts w:hint="eastAsia" w:ascii="DejaVu Math TeX Gyre" w:hAnsi="DejaVu Math TeX Gyre"/>
                      <w:highlight w:val="none"/>
                    </w:rPr>
                  </m:ctrlPr>
                </m:e>
              </m:d>
              <m:r>
                <m:rPr>
                  <m:sty m:val="p"/>
                </m:rPr>
                <w:rPr>
                  <w:rFonts w:hint="eastAsia" w:ascii="DejaVu Math TeX Gyre" w:hAnsi="DejaVu Math TeX Gyre"/>
                  <w:highlight w:val="none"/>
                </w:rPr>
                <m:t>×</m:t>
              </m:r>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1+过去第二年平均综合投资收益率</m:t>
                  </m:r>
                  <m:ctrlPr>
                    <w:rPr>
                      <w:rFonts w:hint="eastAsia" w:ascii="DejaVu Math TeX Gyre" w:hAnsi="DejaVu Math TeX Gyre"/>
                      <w:highlight w:val="none"/>
                    </w:rPr>
                  </m:ctrlPr>
                </m:e>
              </m:d>
              <m:r>
                <m:rPr>
                  <m:sty m:val="p"/>
                </m:rPr>
                <w:rPr>
                  <w:rFonts w:hint="eastAsia" w:ascii="DejaVu Math TeX Gyre" w:hAnsi="DejaVu Math TeX Gyre"/>
                  <w:highlight w:val="none"/>
                </w:rPr>
                <m:t>×</m:t>
              </m:r>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1+过去第三年平均综合投资收益率</m:t>
                  </m:r>
                  <m:ctrlPr>
                    <w:rPr>
                      <w:rFonts w:hint="eastAsia" w:ascii="DejaVu Math TeX Gyre" w:hAnsi="DejaVu Math TeX Gyre"/>
                      <w:highlight w:val="none"/>
                    </w:rPr>
                  </m:ctrlPr>
                </m:e>
              </m:d>
              <m:r>
                <m:rPr>
                  <m:sty m:val="p"/>
                </m:rPr>
                <w:rPr>
                  <w:rFonts w:hint="eastAsia" w:ascii="DejaVu Math TeX Gyre" w:hAnsi="DejaVu Math TeX Gyre"/>
                  <w:highlight w:val="none"/>
                </w:rPr>
                <m:t>×</m:t>
              </m:r>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1+过去第四年平均综合投资收益率</m:t>
                  </m:r>
                  <m:ctrlPr>
                    <w:rPr>
                      <w:rFonts w:hint="eastAsia" w:ascii="DejaVu Math TeX Gyre" w:hAnsi="DejaVu Math TeX Gyre"/>
                      <w:highlight w:val="none"/>
                    </w:rPr>
                  </m:ctrlPr>
                </m:e>
              </m:d>
              <m:r>
                <m:rPr>
                  <m:sty m:val="p"/>
                </m:rPr>
                <w:rPr>
                  <w:rFonts w:hint="eastAsia" w:ascii="DejaVu Math TeX Gyre" w:hAnsi="DejaVu Math TeX Gyre"/>
                  <w:highlight w:val="none"/>
                </w:rPr>
                <m:t>×</m:t>
              </m:r>
              <m:d>
                <m:dPr>
                  <m:ctrlPr>
                    <w:rPr>
                      <w:rFonts w:hint="eastAsia" w:ascii="DejaVu Math TeX Gyre" w:hAnsi="DejaVu Math TeX Gyre"/>
                      <w:highlight w:val="none"/>
                    </w:rPr>
                  </m:ctrlPr>
                </m:dPr>
                <m:e>
                  <m:r>
                    <m:rPr>
                      <m:sty m:val="p"/>
                    </m:rPr>
                    <w:rPr>
                      <w:rFonts w:hint="eastAsia" w:ascii="DejaVu Math TeX Gyre" w:hAnsi="DejaVu Math TeX Gyre"/>
                      <w:highlight w:val="none"/>
                    </w:rPr>
                    <m:t>1+过去第五年平均综合投资收益率</m:t>
                  </m:r>
                  <m:ctrlPr>
                    <w:rPr>
                      <w:rFonts w:hint="eastAsia" w:ascii="DejaVu Math TeX Gyre" w:hAnsi="DejaVu Math TeX Gyre"/>
                      <w:highlight w:val="none"/>
                    </w:rPr>
                  </m:ctrlPr>
                </m:e>
              </m:d>
              <m:ctrlPr>
                <w:rPr>
                  <w:rFonts w:hint="eastAsia" w:ascii="DejaVu Math TeX Gyre" w:hAnsi="DejaVu Math TeX Gyre"/>
                  <w:highlight w:val="none"/>
                </w:rPr>
              </m:ctrlPr>
            </m:e>
          </m:d>
          <m:r>
            <m:rPr>
              <m:sty m:val="p"/>
            </m:rPr>
            <w:rPr>
              <w:rFonts w:hint="eastAsia" w:ascii="DejaVu Math TeX Gyre" w:hAnsi="DejaVu Math TeX Gyre"/>
              <w:highlight w:val="none"/>
            </w:rPr>
            <m:t>^(1/5)</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highlight w:val="none"/>
            </w:rPr>
            <m:t>1</m:t>
          </m:r>
        </m:oMath>
      </m:oMathPara>
    </w:p>
    <w:p>
      <w:pPr>
        <w:ind w:firstLine="640"/>
        <w:rPr>
          <w:rFonts w:hint="eastAsia" w:ascii="仿宋_GB2312" w:hAnsi="仿宋_GB2312" w:cs="仿宋_GB2312"/>
          <w:highlight w:val="none"/>
        </w:rPr>
      </w:pPr>
      <w:r>
        <w:rPr>
          <w:rFonts w:hint="eastAsia" w:ascii="仿宋_GB2312" w:hAnsi="仿宋_GB2312" w:cs="仿宋_GB2312"/>
          <w:highlight w:val="none"/>
        </w:rPr>
        <w:t>其中，过去第X年平均综合投资收益率是指报告期末对应过去第X个12个月平均综合投资收益率。公司执行《企业会计准则第22号——金融工具确认和计量》（财会</w:t>
      </w:r>
      <w:r>
        <w:rPr>
          <w:rFonts w:hint="eastAsia" w:ascii="仿宋_GB2312" w:hAnsi="仿宋_GB2312" w:cs="仿宋_GB2312"/>
          <w:highlight w:val="none"/>
          <w:lang w:val="en-GB"/>
        </w:rPr>
        <w:t>〔2006〕</w:t>
      </w:r>
      <w:r>
        <w:rPr>
          <w:rFonts w:hint="eastAsia" w:ascii="仿宋_GB2312" w:hAnsi="仿宋_GB2312" w:cs="仿宋_GB2312"/>
          <w:highlight w:val="none"/>
        </w:rPr>
        <w:t>3号）期间的综合投资收益，不扣除可供出售债务工具的公允价值变动。公司按照《企业会计准则第22号——金融工具确认和计量》（财会</w:t>
      </w:r>
      <w:r>
        <w:rPr>
          <w:rFonts w:hint="eastAsia" w:ascii="仿宋_GB2312" w:hAnsi="仿宋_GB2312" w:cs="仿宋_GB2312"/>
          <w:highlight w:val="none"/>
          <w:lang w:val="en-GB"/>
        </w:rPr>
        <w:t>〔2006〕</w:t>
      </w:r>
      <w:r>
        <w:rPr>
          <w:rFonts w:hint="eastAsia" w:ascii="仿宋_GB2312" w:hAnsi="仿宋_GB2312" w:cs="仿宋_GB2312"/>
          <w:highlight w:val="none"/>
        </w:rPr>
        <w:t>3号）第三十五条，将固定收益类投资资产进行会计重分类的，应当在该报告期计算综合投资收益率的分子和分母中剔除由于固定收益类投资资产会计重分类造成的一次性影响。</w:t>
      </w:r>
    </w:p>
    <w:p>
      <w:pPr>
        <w:pStyle w:val="5"/>
        <w:ind w:firstLine="640"/>
        <w:rPr>
          <w:highlight w:val="none"/>
        </w:rPr>
      </w:pPr>
      <w:r>
        <w:rPr>
          <w:rFonts w:hint="eastAsia" w:ascii="仿宋_GB2312" w:hAnsi="仿宋_GB2312" w:cs="仿宋_GB2312"/>
          <w:highlight w:val="none"/>
        </w:rPr>
        <w:t>4.风险调整后的过去第一</w:t>
      </w:r>
      <w:r>
        <w:rPr>
          <w:rFonts w:hint="eastAsia"/>
          <w:highlight w:val="none"/>
        </w:rPr>
        <w:t>年</w:t>
      </w:r>
      <w:r>
        <w:rPr>
          <w:highlight w:val="none"/>
        </w:rPr>
        <w:t>平均</w:t>
      </w:r>
      <w:r>
        <w:rPr>
          <w:rFonts w:hint="eastAsia"/>
          <w:highlight w:val="none"/>
        </w:rPr>
        <w:t>综合投资收益率的计算</w:t>
      </w:r>
    </w:p>
    <w:p>
      <w:pPr>
        <w:widowControl/>
        <w:spacing w:line="360" w:lineRule="auto"/>
        <w:ind w:left="640" w:leftChars="200" w:firstLine="640"/>
        <w:rPr>
          <w:rFonts w:eastAsia="仿宋" w:cstheme="minorHAnsi"/>
          <w:highlight w:val="none"/>
          <w:lang w:val="en-GB"/>
        </w:rPr>
      </w:pPr>
      <m:oMathPara>
        <m:oMathParaPr>
          <m:jc m:val="left"/>
        </m:oMathParaPr>
        <m:oMath>
          <m:r>
            <w:rPr>
              <w:rFonts w:ascii="DejaVu Math TeX Gyre" w:hAnsi="DejaVu Math TeX Gyre" w:cstheme="minorHAnsi"/>
              <w:highlight w:val="none"/>
              <w:lang w:val="en-GB"/>
            </w:rPr>
            <m:t>RAROI</m:t>
          </m:r>
          <m:r>
            <m:rPr>
              <m:sty m:val="p"/>
            </m:rPr>
            <w:rPr>
              <w:rFonts w:ascii="DejaVu Math TeX Gyre" w:hAnsi="DejaVu Math TeX Gyre" w:cstheme="minorHAnsi"/>
              <w:highlight w:val="none"/>
              <w:lang w:val="en-GB"/>
            </w:rPr>
            <m:t xml:space="preserve"> =</m:t>
          </m:r>
          <m:r>
            <w:rPr>
              <w:rFonts w:ascii="DejaVu Math TeX Gyre" w:hAnsi="DejaVu Math TeX Gyre" w:cstheme="minorHAnsi"/>
              <w:highlight w:val="none"/>
              <w:lang w:val="en-GB"/>
            </w:rPr>
            <m:t>ROI</m:t>
          </m:r>
          <m:r>
            <m:rPr>
              <m:sty m:val="p"/>
            </m:rPr>
            <w:rPr>
              <w:rFonts w:ascii="DejaVu Math TeX Gyre" w:hAnsi="DejaVu Math TeX Gyre" w:eastAsia="Helvetica" w:cstheme="minorHAnsi"/>
              <w:highlight w:val="none"/>
              <w:lang w:val="en-GB"/>
            </w:rPr>
            <m:t>−</m:t>
          </m:r>
          <m:f>
            <m:fPr>
              <m:ctrlPr>
                <w:rPr>
                  <w:rFonts w:ascii="DejaVu Math TeX Gyre" w:hAnsi="DejaVu Math TeX Gyre" w:cstheme="minorHAnsi"/>
                  <w:highlight w:val="none"/>
                  <w:lang w:val="en-GB"/>
                </w:rPr>
              </m:ctrlPr>
            </m:fPr>
            <m:num>
              <m:r>
                <w:rPr>
                  <w:rFonts w:ascii="DejaVu Math TeX Gyre" w:hAnsi="DejaVu Math TeX Gyre" w:eastAsia="宋体" w:cstheme="minorHAnsi"/>
                  <w:highlight w:val="none"/>
                </w:rPr>
                <m:t>COC</m:t>
              </m:r>
              <m:r>
                <m:rPr>
                  <m:sty m:val="p"/>
                </m:rPr>
                <w:rPr>
                  <w:rFonts w:ascii="DejaVu Math TeX Gyre" w:hAnsi="DejaVu Math TeX Gyre" w:cstheme="minorHAnsi"/>
                  <w:highlight w:val="none"/>
                  <w:lang w:val="en-GB"/>
                </w:rPr>
                <m:t>×</m:t>
              </m:r>
              <m:rad>
                <m:radPr>
                  <m:degHide m:val="1"/>
                  <m:ctrlPr>
                    <w:rPr>
                      <w:rFonts w:ascii="DejaVu Math TeX Gyre" w:hAnsi="DejaVu Math TeX Gyre" w:cstheme="minorHAnsi"/>
                      <w:highlight w:val="none"/>
                      <w:lang w:val="en-GB"/>
                    </w:rPr>
                  </m:ctrlPr>
                </m:radPr>
                <m:deg>
                  <m:ctrlPr>
                    <w:rPr>
                      <w:rFonts w:ascii="DejaVu Math TeX Gyre" w:hAnsi="DejaVu Math TeX Gyre" w:cstheme="minorHAnsi"/>
                      <w:highlight w:val="none"/>
                      <w:lang w:val="en-GB"/>
                    </w:rPr>
                  </m:ctrlPr>
                </m:deg>
                <m:e>
                  <m:sSup>
                    <m:sSupPr>
                      <m:ctrlPr>
                        <w:rPr>
                          <w:rFonts w:ascii="DejaVu Math TeX Gyre" w:hAnsi="DejaVu Math TeX Gyre" w:cstheme="minorHAnsi"/>
                          <w:highlight w:val="none"/>
                          <w:lang w:val="en-GB"/>
                        </w:rPr>
                      </m:ctrlPr>
                    </m:sSupPr>
                    <m:e>
                      <m:r>
                        <w:rPr>
                          <w:rFonts w:ascii="DejaVu Math TeX Gyre" w:hAnsi="DejaVu Math TeX Gyre" w:cstheme="minorHAnsi"/>
                          <w:highlight w:val="none"/>
                          <w:lang w:val="en-GB"/>
                        </w:rPr>
                        <m:t>MCM</m:t>
                      </m:r>
                      <m:ctrlPr>
                        <w:rPr>
                          <w:rFonts w:ascii="DejaVu Math TeX Gyre" w:hAnsi="DejaVu Math TeX Gyre" w:cstheme="minorHAnsi"/>
                          <w:highlight w:val="none"/>
                          <w:lang w:val="en-GB"/>
                        </w:rPr>
                      </m:ctrlPr>
                    </m:e>
                    <m:sup>
                      <m:r>
                        <m:rPr>
                          <m:sty m:val="p"/>
                        </m:rPr>
                        <w:rPr>
                          <w:rFonts w:ascii="DejaVu Math TeX Gyre" w:hAnsi="DejaVu Math TeX Gyre" w:cstheme="minorHAnsi"/>
                          <w:highlight w:val="none"/>
                          <w:lang w:val="en-GB"/>
                        </w:rPr>
                        <m:t>2</m:t>
                      </m:r>
                      <m:ctrlPr>
                        <w:rPr>
                          <w:rFonts w:ascii="DejaVu Math TeX Gyre" w:hAnsi="DejaVu Math TeX Gyre" w:cstheme="minorHAnsi"/>
                          <w:highlight w:val="none"/>
                          <w:lang w:val="en-GB"/>
                        </w:rPr>
                      </m:ctrlPr>
                    </m:sup>
                  </m:sSup>
                  <m:r>
                    <m:rPr>
                      <m:sty m:val="p"/>
                    </m:rPr>
                    <w:rPr>
                      <w:rFonts w:ascii="DejaVu Math TeX Gyre" w:hAnsi="DejaVu Math TeX Gyre" w:cstheme="minorHAnsi"/>
                      <w:highlight w:val="none"/>
                      <w:lang w:val="en-GB"/>
                    </w:rPr>
                    <m:t>+2</m:t>
                  </m:r>
                  <m:r>
                    <w:rPr>
                      <w:rFonts w:ascii="DejaVu Math TeX Gyre" w:hAnsi="DejaVu Math TeX Gyre" w:cstheme="minorHAnsi"/>
                      <w:highlight w:val="none"/>
                      <w:lang w:val="en-GB"/>
                    </w:rPr>
                    <m:t>ρ</m:t>
                  </m:r>
                  <m:r>
                    <m:rPr>
                      <m:sty m:val="p"/>
                    </m:rPr>
                    <w:rPr>
                      <w:rFonts w:ascii="DejaVu Math TeX Gyre" w:hAnsi="DejaVu Math TeX Gyre" w:cstheme="minorHAnsi"/>
                      <w:highlight w:val="none"/>
                      <w:lang w:val="en-GB"/>
                    </w:rPr>
                    <m:t>×</m:t>
                  </m:r>
                  <m:r>
                    <w:rPr>
                      <w:rFonts w:ascii="DejaVu Math TeX Gyre" w:hAnsi="DejaVu Math TeX Gyre" w:cstheme="minorHAnsi"/>
                      <w:highlight w:val="none"/>
                      <w:lang w:val="en-GB"/>
                    </w:rPr>
                    <m:t>MCM</m:t>
                  </m:r>
                  <m:r>
                    <m:rPr>
                      <m:sty m:val="p"/>
                    </m:rPr>
                    <w:rPr>
                      <w:rFonts w:ascii="DejaVu Math TeX Gyre" w:hAnsi="DejaVu Math TeX Gyre" w:cstheme="minorHAnsi"/>
                      <w:highlight w:val="none"/>
                      <w:lang w:val="en-GB"/>
                    </w:rPr>
                    <m:t>×</m:t>
                  </m:r>
                  <m:r>
                    <w:rPr>
                      <w:rFonts w:ascii="DejaVu Math TeX Gyre" w:hAnsi="DejaVu Math TeX Gyre" w:cstheme="minorHAnsi"/>
                      <w:highlight w:val="none"/>
                      <w:lang w:val="en-GB"/>
                    </w:rPr>
                    <m:t>MCC</m:t>
                  </m:r>
                  <m:r>
                    <m:rPr>
                      <m:sty m:val="p"/>
                    </m:rPr>
                    <w:rPr>
                      <w:rFonts w:ascii="DejaVu Math TeX Gyre" w:hAnsi="DejaVu Math TeX Gyre" w:cstheme="minorHAnsi"/>
                      <w:highlight w:val="none"/>
                      <w:lang w:val="en-GB"/>
                    </w:rPr>
                    <m:t>+</m:t>
                  </m:r>
                  <m:sSup>
                    <m:sSupPr>
                      <m:ctrlPr>
                        <w:rPr>
                          <w:rFonts w:ascii="DejaVu Math TeX Gyre" w:hAnsi="DejaVu Math TeX Gyre" w:cstheme="minorHAnsi"/>
                          <w:highlight w:val="none"/>
                          <w:lang w:val="en-GB"/>
                        </w:rPr>
                      </m:ctrlPr>
                    </m:sSupPr>
                    <m:e>
                      <m:r>
                        <w:rPr>
                          <w:rFonts w:ascii="DejaVu Math TeX Gyre" w:hAnsi="DejaVu Math TeX Gyre" w:cstheme="minorHAnsi"/>
                          <w:highlight w:val="none"/>
                          <w:lang w:val="en-GB"/>
                        </w:rPr>
                        <m:t>MCC</m:t>
                      </m:r>
                      <m:ctrlPr>
                        <w:rPr>
                          <w:rFonts w:ascii="DejaVu Math TeX Gyre" w:hAnsi="DejaVu Math TeX Gyre" w:cstheme="minorHAnsi"/>
                          <w:highlight w:val="none"/>
                          <w:lang w:val="en-GB"/>
                        </w:rPr>
                      </m:ctrlPr>
                    </m:e>
                    <m:sup>
                      <m:r>
                        <m:rPr>
                          <m:sty m:val="p"/>
                        </m:rPr>
                        <w:rPr>
                          <w:rFonts w:ascii="DejaVu Math TeX Gyre" w:hAnsi="DejaVu Math TeX Gyre" w:cstheme="minorHAnsi"/>
                          <w:highlight w:val="none"/>
                          <w:lang w:val="en-GB"/>
                        </w:rPr>
                        <m:t>2</m:t>
                      </m:r>
                      <m:ctrlPr>
                        <w:rPr>
                          <w:rFonts w:ascii="DejaVu Math TeX Gyre" w:hAnsi="DejaVu Math TeX Gyre" w:cstheme="minorHAnsi"/>
                          <w:highlight w:val="none"/>
                          <w:lang w:val="en-GB"/>
                        </w:rPr>
                      </m:ctrlPr>
                    </m:sup>
                  </m:sSup>
                  <m:ctrlPr>
                    <w:rPr>
                      <w:rFonts w:ascii="DejaVu Math TeX Gyre" w:hAnsi="DejaVu Math TeX Gyre" w:cstheme="minorHAnsi"/>
                      <w:highlight w:val="none"/>
                      <w:lang w:val="en-GB"/>
                    </w:rPr>
                  </m:ctrlPr>
                </m:e>
              </m:rad>
              <m:ctrlPr>
                <w:rPr>
                  <w:rFonts w:ascii="DejaVu Math TeX Gyre" w:hAnsi="DejaVu Math TeX Gyre" w:cstheme="minorHAnsi"/>
                  <w:highlight w:val="none"/>
                  <w:lang w:val="en-GB"/>
                </w:rPr>
              </m:ctrlPr>
            </m:num>
            <m:den>
              <m:r>
                <w:rPr>
                  <w:rFonts w:ascii="DejaVu Math TeX Gyre" w:hAnsi="DejaVu Math TeX Gyre" w:cstheme="minorHAnsi"/>
                  <w:highlight w:val="none"/>
                  <w:lang w:val="en-GB"/>
                </w:rPr>
                <m:t>NUIF</m:t>
              </m:r>
              <m:ctrlPr>
                <w:rPr>
                  <w:rFonts w:ascii="DejaVu Math TeX Gyre" w:hAnsi="DejaVu Math TeX Gyre" w:cstheme="minorHAnsi"/>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highlight w:val="none"/>
          <w:lang w:val="en-GB"/>
        </w:rPr>
      </w:pPr>
      <m:oMath>
        <m:r>
          <w:rPr>
            <w:rFonts w:ascii="DejaVu Math TeX Gyre" w:hAnsi="DejaVu Math TeX Gyre" w:cstheme="minorHAnsi"/>
            <w:highlight w:val="none"/>
            <w:lang w:val="en-GB"/>
          </w:rPr>
          <m:t>RAROI</m:t>
        </m:r>
      </m:oMath>
      <w:r>
        <w:rPr>
          <w:highlight w:val="none"/>
          <w:lang w:val="en-GB"/>
        </w:rPr>
        <w:t>为</w:t>
      </w:r>
      <w:r>
        <w:rPr>
          <w:rFonts w:hint="eastAsia"/>
          <w:highlight w:val="none"/>
          <w:lang w:val="en-GB"/>
        </w:rPr>
        <w:t>风险调整后的过去第一年平均综合投资收益率；</w:t>
      </w:r>
    </w:p>
    <w:p>
      <w:pPr>
        <w:ind w:firstLine="640"/>
        <w:rPr>
          <w:highlight w:val="none"/>
          <w:lang w:val="en-GB"/>
        </w:rPr>
      </w:pPr>
      <m:oMath>
        <m:r>
          <w:rPr>
            <w:rFonts w:ascii="DejaVu Math TeX Gyre" w:hAnsi="DejaVu Math TeX Gyre" w:cstheme="minorHAnsi"/>
            <w:highlight w:val="none"/>
            <w:lang w:val="en-GB"/>
          </w:rPr>
          <m:t>ROI</m:t>
        </m:r>
      </m:oMath>
      <w:r>
        <w:rPr>
          <w:highlight w:val="none"/>
          <w:lang w:val="en-GB"/>
        </w:rPr>
        <w:t>为</w:t>
      </w:r>
      <w:r>
        <w:rPr>
          <w:rFonts w:hint="eastAsia"/>
          <w:highlight w:val="none"/>
        </w:rPr>
        <w:t>过去第一年平均</w:t>
      </w:r>
      <w:r>
        <w:rPr>
          <w:rFonts w:hint="eastAsia"/>
          <w:highlight w:val="none"/>
          <w:lang w:val="en-GB"/>
        </w:rPr>
        <w:t>综合投资收益率；</w:t>
      </w:r>
    </w:p>
    <w:p>
      <w:pPr>
        <w:ind w:firstLine="640"/>
        <w:rPr>
          <w:highlight w:val="none"/>
        </w:rPr>
      </w:pPr>
      <m:oMath>
        <m:r>
          <w:rPr>
            <w:rFonts w:ascii="DejaVu Math TeX Gyre" w:hAnsi="DejaVu Math TeX Gyre" w:cstheme="minorHAnsi"/>
            <w:highlight w:val="none"/>
          </w:rPr>
          <m:t>COC</m:t>
        </m:r>
      </m:oMath>
      <w:r>
        <w:rPr>
          <w:rFonts w:hint="eastAsia"/>
          <w:highlight w:val="none"/>
        </w:rPr>
        <w:t>为保险公司资本要求成本，</w:t>
      </w:r>
      <w:r>
        <w:rPr>
          <w:rFonts w:hint="eastAsia" w:ascii="仿宋_GB2312" w:hAnsi="仿宋_GB2312" w:cs="仿宋_GB2312"/>
          <w:highlight w:val="none"/>
        </w:rPr>
        <w:t>设定为6%，</w:t>
      </w:r>
      <w:r>
        <w:rPr>
          <w:rFonts w:hint="eastAsia" w:ascii="仿宋_GB2312" w:hAnsi="仿宋_GB2312" w:cs="仿宋_GB2312"/>
          <w:highlight w:val="none"/>
          <w:lang w:val="en-GB"/>
        </w:rPr>
        <w:t>国家金融</w:t>
      </w:r>
      <w:r>
        <w:rPr>
          <w:rFonts w:hint="eastAsia" w:ascii="仿宋_GB2312"/>
          <w:highlight w:val="none"/>
          <w:lang w:val="en-GB"/>
        </w:rPr>
        <w:t>监督管理总局可根据宏观经济变化及行业发展情况对保险公司资本要求成本取值进行调整</w:t>
      </w:r>
      <w:r>
        <w:rPr>
          <w:rFonts w:hint="eastAsia"/>
          <w:highlight w:val="none"/>
        </w:rPr>
        <w:t>；</w:t>
      </w:r>
    </w:p>
    <w:p>
      <w:pPr>
        <w:ind w:firstLine="640"/>
        <w:rPr>
          <w:highlight w:val="none"/>
          <w:lang w:val="en-GB"/>
        </w:rPr>
      </w:pPr>
      <m:oMath>
        <m:r>
          <w:rPr>
            <w:rFonts w:ascii="DejaVu Math TeX Gyre" w:hAnsi="DejaVu Math TeX Gyre" w:cstheme="minorHAnsi"/>
            <w:highlight w:val="none"/>
            <w:lang w:val="en-GB"/>
          </w:rPr>
          <m:t>MCM</m:t>
        </m:r>
      </m:oMath>
      <w:r>
        <w:rPr>
          <w:highlight w:val="none"/>
          <w:lang w:val="en-GB"/>
        </w:rPr>
        <w:t>为</w:t>
      </w:r>
      <w:r>
        <w:rPr>
          <w:rFonts w:hint="eastAsia"/>
          <w:highlight w:val="none"/>
          <w:lang w:val="en-GB"/>
        </w:rPr>
        <w:t>报告期末市场风险最低资本；</w:t>
      </w:r>
    </w:p>
    <w:p>
      <w:pPr>
        <w:ind w:firstLine="640"/>
        <w:rPr>
          <w:highlight w:val="none"/>
          <w:lang w:val="en-GB"/>
        </w:rPr>
      </w:pPr>
      <m:oMath>
        <m:r>
          <w:rPr>
            <w:rFonts w:ascii="DejaVu Math TeX Gyre" w:hAnsi="DejaVu Math TeX Gyre" w:cstheme="minorHAnsi"/>
            <w:highlight w:val="none"/>
            <w:lang w:val="en-GB"/>
          </w:rPr>
          <m:t>MCC</m:t>
        </m:r>
      </m:oMath>
      <w:r>
        <w:rPr>
          <w:highlight w:val="none"/>
          <w:lang w:val="en-GB"/>
        </w:rPr>
        <w:t>为</w:t>
      </w:r>
      <w:r>
        <w:rPr>
          <w:rFonts w:hint="eastAsia"/>
          <w:highlight w:val="none"/>
          <w:lang w:val="en-GB"/>
        </w:rPr>
        <w:t>报告期末信用风险最低资本；</w:t>
      </w:r>
    </w:p>
    <w:p>
      <w:pPr>
        <w:ind w:firstLine="640"/>
        <w:rPr>
          <w:highlight w:val="none"/>
          <w:lang w:val="en-GB"/>
        </w:rPr>
      </w:pPr>
      <m:oMath>
        <m:r>
          <w:rPr>
            <w:rFonts w:ascii="DejaVu Math TeX Gyre" w:hAnsi="DejaVu Math TeX Gyre" w:cstheme="minorHAnsi"/>
            <w:highlight w:val="none"/>
            <w:lang w:val="en-GB"/>
          </w:rPr>
          <m:t>ρ</m:t>
        </m:r>
      </m:oMath>
      <w:r>
        <w:rPr>
          <w:highlight w:val="none"/>
          <w:lang w:val="en-GB"/>
        </w:rPr>
        <w:t>为</w:t>
      </w:r>
      <w:r>
        <w:rPr>
          <w:rFonts w:hint="eastAsia"/>
          <w:highlight w:val="none"/>
          <w:lang w:val="en-GB"/>
        </w:rPr>
        <w:t>保险公司偿付能力监管规则中市场风险最低资本与信用风险最低资本的相关系数；</w:t>
      </w:r>
    </w:p>
    <w:p>
      <w:pPr>
        <w:ind w:firstLine="640"/>
        <w:rPr>
          <w:highlight w:val="none"/>
          <w:lang w:val="en-GB"/>
        </w:rPr>
      </w:pPr>
      <m:oMath>
        <m:r>
          <w:rPr>
            <w:rFonts w:ascii="DejaVu Math TeX Gyre" w:hAnsi="DejaVu Math TeX Gyre" w:cstheme="minorHAnsi"/>
            <w:highlight w:val="none"/>
            <w:lang w:val="en-GB"/>
          </w:rPr>
          <m:t>NUIF</m:t>
        </m:r>
      </m:oMath>
      <w:r>
        <w:rPr>
          <w:highlight w:val="none"/>
          <w:lang w:val="en-GB"/>
        </w:rPr>
        <w:t>为</w:t>
      </w:r>
      <w:r>
        <w:rPr>
          <w:rFonts w:hint="eastAsia"/>
          <w:highlight w:val="none"/>
        </w:rPr>
        <w:t>过去第一年调整后的</w:t>
      </w:r>
      <w:r>
        <w:rPr>
          <w:rFonts w:hint="eastAsia"/>
          <w:highlight w:val="none"/>
          <w:lang w:val="en-GB"/>
        </w:rPr>
        <w:t>资金运用平均净额。</w:t>
      </w:r>
    </w:p>
    <w:p>
      <w:pPr>
        <w:ind w:firstLine="640"/>
        <w:rPr>
          <w:highlight w:val="none"/>
          <w:lang w:val="en-GB"/>
        </w:rPr>
      </w:pPr>
      <w:r>
        <w:rPr>
          <w:rFonts w:hint="eastAsia"/>
          <w:highlight w:val="none"/>
          <w:lang w:val="en-GB"/>
        </w:rPr>
        <w:t>市场风险、信用风险最低资本的计算规则应与偿</w:t>
      </w:r>
      <w:r>
        <w:rPr>
          <w:rFonts w:hint="eastAsia"/>
          <w:highlight w:val="none"/>
        </w:rPr>
        <w:t>付能力监管规则</w:t>
      </w:r>
      <w:r>
        <w:rPr>
          <w:rFonts w:hint="eastAsia"/>
          <w:highlight w:val="none"/>
          <w:lang w:val="en-GB"/>
        </w:rPr>
        <w:t>保持一致。计算普通账户市场风险、信用风险最低资本时，不考虑分红、万能保险的损失吸收效应；计算分账户市场风险、信用风险最低资本时，不考虑各账户之间的风险分散效应。</w:t>
      </w:r>
    </w:p>
    <w:p>
      <w:pPr>
        <w:pStyle w:val="5"/>
        <w:ind w:firstLine="640"/>
        <w:rPr>
          <w:rFonts w:hint="eastAsia" w:ascii="仿宋_GB2312" w:hAnsi="仿宋_GB2312" w:cs="仿宋_GB2312"/>
          <w:highlight w:val="none"/>
        </w:rPr>
      </w:pPr>
      <w:r>
        <w:rPr>
          <w:rFonts w:hint="eastAsia" w:ascii="仿宋_GB2312" w:hAnsi="仿宋_GB2312" w:cs="仿宋_GB2312"/>
          <w:highlight w:val="none"/>
        </w:rPr>
        <w:t>5.可计算现金流的固定收益类投资资产到期收益率的计算</w:t>
      </w:r>
    </w:p>
    <w:p>
      <w:pPr>
        <w:ind w:firstLine="640"/>
        <w:rPr>
          <w:rFonts w:hint="eastAsia" w:ascii="仿宋_GB2312" w:hAnsi="仿宋_GB2312" w:cs="仿宋_GB2312"/>
          <w:highlight w:val="none"/>
        </w:rPr>
      </w:pPr>
      <w:r>
        <w:rPr>
          <w:rFonts w:hint="eastAsia" w:ascii="仿宋_GB2312" w:hAnsi="仿宋_GB2312" w:cs="仿宋_GB2312"/>
          <w:highlight w:val="none"/>
        </w:rPr>
        <w:t>（1）各账户可计算现金流的固定收益类投资资产到期收益率=（∑第i投资资产摊余成本×第i投资资产到期收益率）÷该账户可计算现金流的固定收益类投资资产摊余成本×100%</w:t>
      </w:r>
    </w:p>
    <w:p>
      <w:pPr>
        <w:ind w:firstLine="640"/>
        <w:rPr>
          <w:highlight w:val="none"/>
          <w:lang w:val="en-GB"/>
        </w:rPr>
      </w:pPr>
      <w:r>
        <w:rPr>
          <w:rFonts w:hint="eastAsia"/>
          <w:highlight w:val="none"/>
        </w:rPr>
        <w:t>可计算现金流的固定收益类投资资产到期收益率</w:t>
      </w:r>
      <w:r>
        <w:rPr>
          <w:highlight w:val="none"/>
          <w:lang w:val="en-GB"/>
        </w:rPr>
        <w:t>为现金流折现值等于</w:t>
      </w:r>
      <w:r>
        <w:rPr>
          <w:rFonts w:hint="eastAsia"/>
          <w:highlight w:val="none"/>
          <w:lang w:val="en-GB"/>
        </w:rPr>
        <w:t>评估报告期末</w:t>
      </w:r>
      <w:r>
        <w:rPr>
          <w:rFonts w:hint="eastAsia"/>
          <w:highlight w:val="none"/>
        </w:rPr>
        <w:t>摊余成本</w:t>
      </w:r>
      <w:r>
        <w:rPr>
          <w:highlight w:val="none"/>
          <w:lang w:val="en-GB"/>
        </w:rPr>
        <w:t>时的年化折现率</w:t>
      </w:r>
      <w:r>
        <w:rPr>
          <w:rFonts w:hint="eastAsia"/>
          <w:highlight w:val="none"/>
          <w:lang w:val="en-GB"/>
        </w:rPr>
        <w:t>，计算方法如下：</w:t>
      </w:r>
    </w:p>
    <w:p>
      <w:pPr>
        <w:spacing w:line="360" w:lineRule="auto"/>
        <w:ind w:left="640" w:leftChars="200" w:firstLine="640"/>
        <w:rPr>
          <w:rFonts w:cstheme="minorHAnsi"/>
          <w:i/>
          <w:szCs w:val="32"/>
          <w:highlight w:val="none"/>
          <w:lang w:val="en-GB"/>
        </w:rPr>
      </w:pPr>
      <m:oMathPara>
        <m:oMathParaPr>
          <m:jc m:val="left"/>
        </m:oMathParaPr>
        <m:oMath>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BV</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fix</m:t>
              </m:r>
              <m:ctrlPr>
                <w:rPr>
                  <w:rFonts w:ascii="DejaVu Math TeX Gyre" w:hAnsi="DejaVu Math TeX Gyre" w:cstheme="minorHAnsi"/>
                  <w:i/>
                  <w:szCs w:val="32"/>
                  <w:highlight w:val="none"/>
                  <w:lang w:val="en-GB"/>
                </w:rPr>
              </m:ctrlPr>
            </m:sub>
          </m:sSub>
          <m:r>
            <w:rPr>
              <w:rFonts w:ascii="DejaVu Math TeX Gyre" w:hAnsi="DejaVu Math TeX Gyre" w:cstheme="minorHAnsi"/>
              <w:szCs w:val="32"/>
              <w:highlight w:val="none"/>
              <w:lang w:val="en-GB"/>
            </w:rPr>
            <m:t>=</m:t>
          </m:r>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CF</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begChr m:val="（"/>
                          <m:endChr m:val="）"/>
                          <m:ctrlPr>
                            <w:rPr>
                              <w:rFonts w:ascii="DejaVu Math TeX Gyre" w:hAnsi="DejaVu Math TeX Gyre" w:cstheme="minorHAnsi"/>
                              <w:szCs w:val="32"/>
                              <w:highlight w:val="none"/>
                              <w:lang w:val="en-GB"/>
                            </w:rPr>
                          </m:ctrlPr>
                        </m:dPr>
                        <m:e>
                          <m:r>
                            <w:rPr>
                              <w:rFonts w:ascii="DejaVu Math TeX Gyre" w:hAnsi="DejaVu Math TeX Gyre" w:cstheme="minorHAnsi"/>
                              <w:szCs w:val="32"/>
                              <w:highlight w:val="none"/>
                              <w:lang w:val="en-GB"/>
                            </w:rPr>
                            <m:t>1+YTM</m:t>
                          </m:r>
                          <m:ctrlPr>
                            <w:rPr>
                              <w:rFonts w:ascii="DejaVu Math TeX Gyre" w:hAnsi="DejaVu Math TeX Gyre" w:cstheme="minorHAnsi"/>
                              <w:szCs w:val="32"/>
                              <w:highlight w:val="none"/>
                              <w:lang w:val="en-GB"/>
                            </w:rPr>
                          </m:ctrlPr>
                        </m:e>
                      </m:d>
                      <m:ctrlPr>
                        <w:rPr>
                          <w:rFonts w:ascii="DejaVu Math TeX Gyre" w:hAnsi="DejaVu Math TeX Gyre" w:cstheme="minorHAnsi"/>
                          <w:i/>
                          <w:szCs w:val="32"/>
                          <w:highlight w:val="none"/>
                          <w:lang w:val="en-GB"/>
                        </w:rPr>
                      </m:ctrlPr>
                    </m:e>
                    <m:sup>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oMath>
      </m:oMathPara>
    </w:p>
    <w:p>
      <w:pPr>
        <w:ind w:firstLine="640"/>
        <w:rPr>
          <w:highlight w:val="none"/>
          <w:lang w:val="en-GB"/>
        </w:rPr>
      </w:pPr>
      <w:r>
        <w:rPr>
          <w:rFonts w:hint="eastAsia"/>
          <w:highlight w:val="none"/>
          <w:lang w:val="en-GB"/>
        </w:rPr>
        <w:t>参数说明：</w:t>
      </w:r>
    </w:p>
    <w:p>
      <w:pPr>
        <w:ind w:firstLine="640"/>
        <w:rPr>
          <w:rFonts w:cs="Arial"/>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BV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fix</m:t>
            </m:r>
            <m:ctrlPr>
              <w:rPr>
                <w:rFonts w:ascii="DejaVu Math TeX Gyre" w:hAnsi="DejaVu Math TeX Gyre" w:cstheme="minorHAnsi"/>
                <w:i/>
                <w:highlight w:val="none"/>
                <w:lang w:val="en-GB"/>
              </w:rPr>
            </m:ctrlPr>
          </m:sub>
        </m:sSub>
      </m:oMath>
      <w:r>
        <w:rPr>
          <w:highlight w:val="none"/>
          <w:lang w:val="en-GB"/>
        </w:rPr>
        <w:t>为</w:t>
      </w:r>
      <w:r>
        <w:rPr>
          <w:rFonts w:hint="eastAsia"/>
          <w:highlight w:val="none"/>
          <w:lang w:val="en-GB"/>
        </w:rPr>
        <w:t>评估报告期末</w:t>
      </w:r>
      <w:r>
        <w:rPr>
          <w:rFonts w:hint="eastAsia"/>
          <w:highlight w:val="none"/>
        </w:rPr>
        <w:t>对应</w:t>
      </w:r>
      <w:r>
        <w:rPr>
          <w:rFonts w:hint="eastAsia"/>
          <w:highlight w:val="none"/>
          <w:lang w:val="en-GB"/>
        </w:rPr>
        <w:t>可计算现金流的固定收益类投资资产的</w:t>
      </w:r>
      <w:r>
        <w:rPr>
          <w:rFonts w:hint="eastAsia"/>
          <w:highlight w:val="none"/>
        </w:rPr>
        <w:t>摊余成本；对于</w:t>
      </w:r>
      <w:r>
        <w:rPr>
          <w:rFonts w:hint="eastAsia" w:ascii="仿宋_GB2312" w:hAnsi="仿宋_GB2312" w:eastAsia="仿宋_GB2312" w:cs="仿宋_GB2312"/>
          <w:highlight w:val="none"/>
        </w:rPr>
        <w:t>分类为FVTPL的固定收益类投资资产，可以采用</w:t>
      </w:r>
      <w:r>
        <w:rPr>
          <w:rFonts w:hint="eastAsia" w:ascii="仿宋_GB2312" w:hAnsi="仿宋_GB2312" w:eastAsia="仿宋_GB2312" w:cs="仿宋_GB2312"/>
          <w:highlight w:val="none"/>
          <w:lang w:val="en-GB"/>
        </w:rPr>
        <w:t>账面价值；对于保险公司</w:t>
      </w:r>
      <w:r>
        <w:rPr>
          <w:rFonts w:hint="eastAsia" w:cs="MS Mincho"/>
          <w:highlight w:val="none"/>
          <w:lang w:val="en-GB"/>
        </w:rPr>
        <w:t>投资的单一资产管理计划和面向单一投资者发行的组合类保险资产管理产品、私募理财产品，应当按照穿透原则统计基础资产的摊余成本</w:t>
      </w:r>
      <w:r>
        <w:rPr>
          <w:rFonts w:hint="eastAsia" w:cs="Arial"/>
          <w:highlight w:val="none"/>
        </w:rPr>
        <w:t>；</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CF</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t</m:t>
            </m:r>
            <m:ctrlPr>
              <w:rPr>
                <w:rFonts w:ascii="DejaVu Math TeX Gyre" w:hAnsi="DejaVu Math TeX Gyre" w:cstheme="minorHAnsi"/>
                <w:i/>
                <w:highlight w:val="none"/>
                <w:lang w:val="en-GB"/>
              </w:rPr>
            </m:ctrlPr>
          </m:sub>
        </m:sSub>
      </m:oMath>
      <w:r>
        <w:rPr>
          <w:highlight w:val="none"/>
          <w:lang w:val="en-GB"/>
        </w:rPr>
        <w:t>为</w:t>
      </w:r>
      <w:r>
        <w:rPr>
          <w:rFonts w:hint="eastAsia"/>
          <w:highlight w:val="none"/>
        </w:rPr>
        <w:t>对应</w:t>
      </w:r>
      <w:r>
        <w:rPr>
          <w:rFonts w:hint="eastAsia"/>
          <w:highlight w:val="none"/>
          <w:lang w:val="en-GB"/>
        </w:rPr>
        <w:t>可计算现金流的固定收益类投资资产</w:t>
      </w:r>
      <w:r>
        <w:rPr>
          <w:highlight w:val="none"/>
          <w:lang w:val="en-GB"/>
        </w:rPr>
        <w:t>在未来</w:t>
      </w:r>
      <m:oMath>
        <m:r>
          <w:rPr>
            <w:rFonts w:hint="eastAsia" w:ascii="DejaVu Math TeX Gyre" w:hAnsi="DejaVu Math TeX Gyre"/>
            <w:highlight w:val="none"/>
            <w:lang w:val="en-GB"/>
          </w:rPr>
          <m:t>t</m:t>
        </m:r>
      </m:oMath>
      <w:r>
        <w:rPr>
          <w:highlight w:val="none"/>
          <w:lang w:val="en-GB"/>
        </w:rPr>
        <w:t>时刻的票息和到期现金流</w:t>
      </w:r>
      <w:r>
        <w:rPr>
          <w:rFonts w:hint="eastAsia"/>
          <w:highlight w:val="none"/>
          <w:lang w:val="en-GB"/>
        </w:rPr>
        <w:t>；</w:t>
      </w:r>
    </w:p>
    <w:p>
      <w:pPr>
        <w:ind w:firstLine="640"/>
        <w:rPr>
          <w:highlight w:val="none"/>
          <w:lang w:val="en-GB"/>
        </w:rPr>
      </w:pPr>
      <m:oMath>
        <m:r>
          <w:rPr>
            <w:rFonts w:ascii="DejaVu Math TeX Gyre" w:hAnsi="DejaVu Math TeX Gyre" w:cstheme="minorHAnsi"/>
            <w:highlight w:val="none"/>
            <w:lang w:val="en-GB"/>
          </w:rPr>
          <m:t>YTM</m:t>
        </m:r>
      </m:oMath>
      <w:r>
        <w:rPr>
          <w:highlight w:val="none"/>
          <w:lang w:val="en-GB"/>
        </w:rPr>
        <w:t>为</w:t>
      </w:r>
      <w:r>
        <w:rPr>
          <w:rFonts w:hint="eastAsia"/>
          <w:highlight w:val="none"/>
        </w:rPr>
        <w:t>对应</w:t>
      </w:r>
      <w:r>
        <w:rPr>
          <w:rFonts w:hint="eastAsia"/>
          <w:highlight w:val="none"/>
          <w:lang w:val="en-GB"/>
        </w:rPr>
        <w:t>可计算现金流的固定收益类投资资产的到期收益率。</w:t>
      </w:r>
    </w:p>
    <w:p>
      <w:pPr>
        <w:ind w:firstLine="640"/>
        <w:rPr>
          <w:rFonts w:hint="eastAsia" w:ascii="仿宋_GB2312" w:hAnsi="仿宋_GB2312" w:cs="仿宋_GB2312"/>
          <w:highlight w:val="none"/>
        </w:rPr>
      </w:pPr>
      <w:r>
        <w:rPr>
          <w:rFonts w:hint="eastAsia" w:ascii="仿宋_GB2312" w:hAnsi="仿宋_GB2312" w:cs="仿宋_GB2312"/>
          <w:highlight w:val="none"/>
        </w:rPr>
        <w:t>（2）普通账户可计算现金流的固定收益类投资资产到期收益率=（∑k账户可计算现金流的固定收益类投资资产摊余成本×k账户可计算现金流的固定收益类投资资产到期收益率）÷（∑k账户可计算现金流的固定收益类投资资产摊余成本）×100%</w:t>
      </w:r>
    </w:p>
    <w:p>
      <w:pPr>
        <w:ind w:firstLine="640"/>
        <w:rPr>
          <w:rFonts w:hAnsi="仿宋"/>
          <w:highlight w:val="none"/>
        </w:rPr>
      </w:pPr>
      <w:r>
        <w:rPr>
          <w:rFonts w:hint="eastAsia" w:hAnsi="仿宋"/>
          <w:highlight w:val="none"/>
        </w:rPr>
        <w:t>其中：</w:t>
      </w:r>
      <m:oMath>
        <m:r>
          <w:rPr>
            <w:rFonts w:hint="eastAsia" w:ascii="DejaVu Math TeX Gyre" w:hAnsi="DejaVu Math TeX Gyre"/>
            <w:highlight w:val="none"/>
            <w:lang w:val="en-GB"/>
          </w:rPr>
          <m:t>k</m:t>
        </m:r>
      </m:oMath>
      <w:r>
        <w:rPr>
          <w:rFonts w:hint="eastAsia" w:hAnsi="仿宋"/>
          <w:highlight w:val="none"/>
        </w:rPr>
        <w:t>账户包括传统保险账户、分红保险账户、万能保险账户。</w:t>
      </w:r>
    </w:p>
    <w:p>
      <w:pPr>
        <w:ind w:firstLine="640"/>
        <w:rPr>
          <w:rFonts w:ascii="仿宋" w:hAnsi="仿宋" w:cs="宋体"/>
          <w:highlight w:val="none"/>
          <w:lang w:val="en-GB"/>
        </w:rPr>
      </w:pPr>
      <w:r>
        <w:rPr>
          <w:rFonts w:hint="eastAsia" w:ascii="仿宋" w:hAnsi="仿宋" w:cs="宋体"/>
          <w:highlight w:val="none"/>
        </w:rPr>
        <w:t>保险公司应当分别计算当年</w:t>
      </w:r>
      <w:r>
        <w:rPr>
          <w:rFonts w:ascii="仿宋" w:hAnsi="仿宋" w:cs="宋体"/>
          <w:highlight w:val="none"/>
        </w:rPr>
        <w:t>新</w:t>
      </w:r>
      <w:r>
        <w:rPr>
          <w:rFonts w:hint="eastAsia" w:ascii="仿宋" w:hAnsi="仿宋" w:cs="宋体"/>
          <w:highlight w:val="none"/>
        </w:rPr>
        <w:t>增可计算现金流的固定收益类投资资产到期收益率，及报告期末整体</w:t>
      </w:r>
      <w:r>
        <w:rPr>
          <w:rFonts w:ascii="仿宋" w:hAnsi="仿宋" w:cs="宋体"/>
          <w:highlight w:val="none"/>
          <w:lang w:val="en-GB"/>
        </w:rPr>
        <w:t>可计算现金流的固定收益类投资资产到期收益率</w:t>
      </w:r>
      <w:r>
        <w:rPr>
          <w:rFonts w:hint="eastAsia" w:ascii="仿宋" w:hAnsi="仿宋" w:cs="宋体"/>
          <w:highlight w:val="none"/>
          <w:lang w:val="en-GB"/>
        </w:rPr>
        <w:t>。</w:t>
      </w:r>
      <w:r>
        <w:rPr>
          <w:rFonts w:hint="eastAsia" w:ascii="仿宋" w:hAnsi="仿宋" w:cs="宋体"/>
          <w:highlight w:val="none"/>
        </w:rPr>
        <w:t>其中，当年新增可计算现金流的固定收益类投资资产到期收益率，为本会计年初至报告期末新买入的可计算现金流的固定收益类投资资产在买入时刻的到期收益率，按照买入时刻的成本加权计算。</w:t>
      </w:r>
    </w:p>
    <w:p>
      <w:pPr>
        <w:pStyle w:val="5"/>
        <w:ind w:firstLine="640"/>
        <w:rPr>
          <w:highlight w:val="none"/>
        </w:rPr>
      </w:pPr>
      <w:r>
        <w:rPr>
          <w:rFonts w:hint="eastAsia" w:ascii="仿宋_GB2312" w:hAnsi="仿宋_GB2312" w:cs="仿宋_GB2312"/>
          <w:highlight w:val="none"/>
        </w:rPr>
        <w:t>6.当年新业务</w:t>
      </w:r>
      <w:r>
        <w:rPr>
          <w:rFonts w:hint="eastAsia"/>
          <w:highlight w:val="none"/>
        </w:rPr>
        <w:t>负债最低要求回报率的计算</w:t>
      </w:r>
    </w:p>
    <w:p>
      <w:pPr>
        <w:ind w:firstLine="640"/>
        <w:rPr>
          <w:highlight w:val="none"/>
          <w:lang w:val="en-GB"/>
        </w:rPr>
      </w:pPr>
      <w:r>
        <w:rPr>
          <w:rFonts w:hint="eastAsia"/>
          <w:highlight w:val="none"/>
        </w:rPr>
        <w:t>新业务负债最低要求回报率，是指满足公司新业务（包括寿险业务和非寿险业务）期初现金流现值为零时的最低投资收益要求</w:t>
      </w:r>
      <w:r>
        <w:rPr>
          <w:highlight w:val="none"/>
        </w:rPr>
        <w:t>。</w:t>
      </w:r>
      <w:r>
        <w:rPr>
          <w:rFonts w:hint="eastAsia"/>
          <w:highlight w:val="none"/>
          <w:lang w:val="en-GB"/>
        </w:rPr>
        <w:t>计算方法如下：</w:t>
      </w:r>
    </w:p>
    <w:p>
      <w:pPr>
        <w:spacing w:line="360" w:lineRule="auto"/>
        <w:ind w:left="640" w:leftChars="200" w:firstLine="640"/>
        <w:rPr>
          <w:rFonts w:cstheme="minorHAnsi"/>
          <w:i/>
          <w:szCs w:val="32"/>
          <w:highlight w:val="none"/>
          <w:lang w:val="en-GB"/>
        </w:rPr>
      </w:pPr>
      <m:oMathPara>
        <m:oMathParaPr>
          <m:jc m:val="left"/>
        </m:oMathParaPr>
        <m:oMath>
          <m:r>
            <w:rPr>
              <w:rFonts w:ascii="DejaVu Math TeX Gyre" w:hAnsi="DejaVu Math TeX Gyre" w:cstheme="minorHAnsi"/>
              <w:szCs w:val="32"/>
              <w:highlight w:val="none"/>
            </w:rPr>
            <m:t>0</m:t>
          </m:r>
          <m:r>
            <w:rPr>
              <w:rFonts w:ascii="DejaVu Math TeX Gyre" w:hAnsi="DejaVu Math TeX Gyre" w:cstheme="minorHAnsi"/>
              <w:szCs w:val="32"/>
              <w:highlight w:val="none"/>
              <w:lang w:val="en-GB"/>
            </w:rPr>
            <m:t>=</m:t>
          </m:r>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CF</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begChr m:val="（"/>
                          <m:endChr m:val="）"/>
                          <m:ctrlPr>
                            <w:rPr>
                              <w:rFonts w:ascii="DejaVu Math TeX Gyre" w:hAnsi="DejaVu Math TeX Gyre" w:cstheme="minorHAnsi"/>
                              <w:szCs w:val="32"/>
                              <w:highlight w:val="none"/>
                              <w:lang w:val="en-GB"/>
                            </w:rPr>
                          </m:ctrlPr>
                        </m:dPr>
                        <m:e>
                          <m:r>
                            <w:rPr>
                              <w:rFonts w:ascii="DejaVu Math TeX Gyre" w:hAnsi="DejaVu Math TeX Gyre" w:cstheme="minorHAnsi"/>
                              <w:szCs w:val="32"/>
                              <w:highlight w:val="none"/>
                              <w:lang w:val="en-GB"/>
                            </w:rPr>
                            <m:t>1+</m:t>
                          </m:r>
                          <m:r>
                            <w:rPr>
                              <w:rFonts w:ascii="DejaVu Math TeX Gyre" w:hAnsi="DejaVu Math TeX Gyre" w:cstheme="minorHAnsi"/>
                              <w:szCs w:val="32"/>
                              <w:highlight w:val="none"/>
                            </w:rPr>
                            <m:t>MRI</m:t>
                          </m:r>
                          <m:r>
                            <w:rPr>
                              <w:rFonts w:ascii="DejaVu Math TeX Gyre" w:hAnsi="DejaVu Math TeX Gyre" w:cstheme="minorHAnsi"/>
                              <w:szCs w:val="32"/>
                              <w:highlight w:val="none"/>
                              <w:lang w:val="en-GB"/>
                            </w:rPr>
                            <m:t>R</m:t>
                          </m:r>
                          <m:ctrlPr>
                            <w:rPr>
                              <w:rFonts w:ascii="DejaVu Math TeX Gyre" w:hAnsi="DejaVu Math TeX Gyre" w:cstheme="minorHAnsi"/>
                              <w:szCs w:val="32"/>
                              <w:highlight w:val="none"/>
                              <w:lang w:val="en-GB"/>
                            </w:rPr>
                          </m:ctrlPr>
                        </m:e>
                      </m:d>
                      <m:ctrlPr>
                        <w:rPr>
                          <w:rFonts w:ascii="DejaVu Math TeX Gyre" w:hAnsi="DejaVu Math TeX Gyre" w:cstheme="minorHAnsi"/>
                          <w:i/>
                          <w:szCs w:val="32"/>
                          <w:highlight w:val="none"/>
                          <w:lang w:val="en-GB"/>
                        </w:rPr>
                      </m:ctrlPr>
                    </m:e>
                    <m:sup>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oMath>
      </m:oMathPara>
    </w:p>
    <w:p>
      <w:pPr>
        <w:ind w:firstLine="640"/>
        <w:rPr>
          <w:highlight w:val="none"/>
          <w:lang w:val="en-GB"/>
        </w:rPr>
      </w:pPr>
      <w:r>
        <w:rPr>
          <w:rFonts w:hint="eastAsia"/>
          <w:highlight w:val="none"/>
          <w:lang w:val="en-GB"/>
        </w:rPr>
        <w:t>参数说明：</w:t>
      </w:r>
    </w:p>
    <w:p>
      <w:pPr>
        <w:ind w:firstLine="640"/>
        <w:rPr>
          <w:highlight w:val="none"/>
          <w:lang w:val="en-GB"/>
        </w:rPr>
      </w:pPr>
      <m:oMath>
        <m:sSub>
          <m:sSubPr>
            <m:ctrlPr>
              <w:rPr>
                <w:rFonts w:ascii="DejaVu Math TeX Gyre" w:hAnsi="DejaVu Math TeX Gyre" w:cstheme="minorHAnsi"/>
                <w:highlight w:val="none"/>
                <w:lang w:val="en-GB"/>
              </w:rPr>
            </m:ctrlPr>
          </m:sSubPr>
          <m:e>
            <m:r>
              <w:rPr>
                <w:rFonts w:ascii="DejaVu Math TeX Gyre" w:hAnsi="DejaVu Math TeX Gyre" w:cstheme="minorHAnsi"/>
                <w:highlight w:val="none"/>
                <w:lang w:val="en-GB"/>
              </w:rPr>
              <m:t>CF</m:t>
            </m:r>
            <m:ctrlPr>
              <w:rPr>
                <w:rFonts w:ascii="DejaVu Math TeX Gyre" w:hAnsi="DejaVu Math TeX Gyre" w:cstheme="minorHAnsi"/>
                <w:highlight w:val="none"/>
                <w:lang w:val="en-GB"/>
              </w:rPr>
            </m:ctrlPr>
          </m:e>
          <m:sub>
            <m:r>
              <w:rPr>
                <w:rFonts w:ascii="DejaVu Math TeX Gyre" w:hAnsi="DejaVu Math TeX Gyre" w:cstheme="minorHAnsi"/>
                <w:highlight w:val="none"/>
                <w:lang w:val="en-GB"/>
              </w:rPr>
              <m:t>t</m:t>
            </m:r>
            <m:ctrlPr>
              <w:rPr>
                <w:rFonts w:ascii="DejaVu Math TeX Gyre" w:hAnsi="DejaVu Math TeX Gyre" w:cstheme="minorHAnsi"/>
                <w:highlight w:val="none"/>
                <w:lang w:val="en-GB"/>
              </w:rPr>
            </m:ctrlPr>
          </m:sub>
        </m:sSub>
      </m:oMath>
      <w:r>
        <w:rPr>
          <w:highlight w:val="none"/>
          <w:lang w:val="en-GB"/>
        </w:rPr>
        <w:t>为</w:t>
      </w:r>
      <w:r>
        <w:rPr>
          <w:rFonts w:hint="eastAsia"/>
          <w:highlight w:val="none"/>
        </w:rPr>
        <w:t>新业务</w:t>
      </w:r>
      <w:r>
        <w:rPr>
          <w:rFonts w:hint="eastAsia"/>
          <w:highlight w:val="none"/>
          <w:lang w:val="en-GB"/>
        </w:rPr>
        <w:t>在</w:t>
      </w:r>
      <w:bookmarkStart w:id="28" w:name="OLE_LINK33"/>
      <m:oMath>
        <m:r>
          <w:rPr>
            <w:rFonts w:ascii="DejaVu Math TeX Gyre" w:hAnsi="DejaVu Math TeX Gyre" w:cstheme="minorHAnsi"/>
            <w:highlight w:val="none"/>
            <w:lang w:val="en-GB"/>
          </w:rPr>
          <m:t>t</m:t>
        </m:r>
        <w:bookmarkEnd w:id="28"/>
      </m:oMath>
      <w:r>
        <w:rPr>
          <w:highlight w:val="none"/>
          <w:lang w:val="en-GB"/>
        </w:rPr>
        <w:t>时刻的</w:t>
      </w:r>
      <w:r>
        <w:rPr>
          <w:rFonts w:cs="Arial"/>
          <w:highlight w:val="none"/>
        </w:rPr>
        <w:t>分保后</w:t>
      </w:r>
      <w:r>
        <w:rPr>
          <w:rFonts w:hint="eastAsia" w:cs="Arial"/>
          <w:highlight w:val="none"/>
        </w:rPr>
        <w:t>（财务再保险除外）</w:t>
      </w:r>
      <w:r>
        <w:rPr>
          <w:rFonts w:cs="Arial"/>
          <w:highlight w:val="none"/>
        </w:rPr>
        <w:t>的</w:t>
      </w:r>
      <w:r>
        <w:rPr>
          <w:rFonts w:hint="eastAsia"/>
          <w:highlight w:val="none"/>
          <w:lang w:val="en-GB"/>
        </w:rPr>
        <w:t>净现金流，</w:t>
      </w:r>
      <w:r>
        <w:rPr>
          <w:rFonts w:hint="eastAsia"/>
          <w:highlight w:val="none"/>
        </w:rPr>
        <w:t>包括自留保费</w:t>
      </w:r>
      <w:r>
        <w:rPr>
          <w:rStyle w:val="19"/>
          <w:rFonts w:hint="eastAsia" w:ascii="仿宋_GB2312" w:hAnsi="仿宋" w:cs="Arial"/>
          <w:szCs w:val="32"/>
          <w:highlight w:val="none"/>
          <w:lang w:val="en-GB"/>
        </w:rPr>
        <w:footnoteReference w:id="9"/>
      </w:r>
      <w:r>
        <w:rPr>
          <w:rFonts w:hint="eastAsia"/>
          <w:highlight w:val="none"/>
        </w:rPr>
        <w:t>和</w:t>
      </w:r>
      <w:r>
        <w:rPr>
          <w:highlight w:val="none"/>
          <w:lang w:val="en-GB"/>
        </w:rPr>
        <w:t>最优估计假设</w:t>
      </w:r>
      <w:r>
        <w:rPr>
          <w:rFonts w:hint="eastAsia"/>
          <w:highlight w:val="none"/>
        </w:rPr>
        <w:t>下除非保证利益以外的全部支出，如</w:t>
      </w:r>
      <w:r>
        <w:rPr>
          <w:highlight w:val="none"/>
        </w:rPr>
        <w:t>费用、佣金、退保</w:t>
      </w:r>
      <w:r>
        <w:rPr>
          <w:rFonts w:hint="eastAsia"/>
          <w:highlight w:val="none"/>
        </w:rPr>
        <w:t>、赔付</w:t>
      </w:r>
      <w:r>
        <w:rPr>
          <w:highlight w:val="none"/>
        </w:rPr>
        <w:t>等</w:t>
      </w:r>
      <w:r>
        <w:rPr>
          <w:rFonts w:hint="eastAsia"/>
          <w:highlight w:val="none"/>
          <w:lang w:val="en-GB"/>
        </w:rPr>
        <w:t>。</w:t>
      </w:r>
    </w:p>
    <w:p>
      <w:pPr>
        <w:ind w:firstLine="640"/>
        <w:rPr>
          <w:highlight w:val="none"/>
          <w:lang w:val="en-GB"/>
        </w:rPr>
      </w:pPr>
      <m:oMath>
        <m:r>
          <w:rPr>
            <w:rFonts w:ascii="DejaVu Math TeX Gyre" w:hAnsi="DejaVu Math TeX Gyre" w:cstheme="minorHAnsi"/>
            <w:highlight w:val="none"/>
          </w:rPr>
          <m:t>MRI</m:t>
        </m:r>
        <m:r>
          <w:rPr>
            <w:rFonts w:ascii="DejaVu Math TeX Gyre" w:hAnsi="DejaVu Math TeX Gyre" w:cstheme="minorHAnsi"/>
            <w:highlight w:val="none"/>
            <w:lang w:val="en-GB"/>
          </w:rPr>
          <m:t>R</m:t>
        </m:r>
      </m:oMath>
      <w:r>
        <w:rPr>
          <w:highlight w:val="none"/>
          <w:lang w:val="en-GB"/>
        </w:rPr>
        <w:t>为</w:t>
      </w:r>
      <w:r>
        <w:rPr>
          <w:rFonts w:hint="eastAsia"/>
          <w:highlight w:val="none"/>
        </w:rPr>
        <w:t>新业务最低要求回报率</w:t>
      </w:r>
      <w:r>
        <w:rPr>
          <w:rFonts w:hint="eastAsia"/>
          <w:highlight w:val="none"/>
          <w:lang w:val="en-GB"/>
        </w:rPr>
        <w:t>。</w:t>
      </w:r>
    </w:p>
    <w:p>
      <w:pPr>
        <w:ind w:firstLine="640"/>
        <w:rPr>
          <w:highlight w:val="none"/>
        </w:rPr>
      </w:pPr>
      <w:r>
        <w:rPr>
          <w:rFonts w:hint="eastAsia"/>
          <w:highlight w:val="none"/>
        </w:rPr>
        <w:t>公司普通账户整体及各大类账户当年新业务负债最低要求回报率，是指本会计年初至报告期末的新业务应按照上述公式</w:t>
      </w:r>
      <w:r>
        <w:rPr>
          <w:rFonts w:hint="eastAsia"/>
          <w:highlight w:val="none"/>
          <w:lang w:val="en-GB"/>
        </w:rPr>
        <w:t>计算</w:t>
      </w:r>
      <w:r>
        <w:rPr>
          <w:rFonts w:hint="eastAsia"/>
          <w:highlight w:val="none"/>
        </w:rPr>
        <w:t>的新业务最低要求回报率。</w:t>
      </w:r>
    </w:p>
    <w:p>
      <w:pPr>
        <w:pStyle w:val="5"/>
        <w:ind w:firstLine="640"/>
        <w:rPr>
          <w:rFonts w:hint="eastAsia" w:ascii="仿宋_GB2312" w:hAnsi="仿宋_GB2312" w:cs="仿宋_GB2312"/>
          <w:highlight w:val="none"/>
        </w:rPr>
      </w:pPr>
      <w:r>
        <w:rPr>
          <w:rFonts w:hint="eastAsia" w:ascii="仿宋_GB2312" w:hAnsi="仿宋_GB2312" w:cs="仿宋_GB2312"/>
          <w:highlight w:val="none"/>
        </w:rPr>
        <w:t>7.负债保证成本率的计算</w:t>
      </w:r>
    </w:p>
    <w:p>
      <w:pPr>
        <w:ind w:firstLine="640"/>
        <w:rPr>
          <w:highlight w:val="none"/>
        </w:rPr>
      </w:pPr>
      <w:r>
        <w:rPr>
          <w:rFonts w:hint="eastAsia" w:ascii="仿宋_GB2312" w:hAnsi="仿宋_GB2312" w:cs="仿宋_GB2312"/>
          <w:highlight w:val="none"/>
          <w:lang w:val="en-GB"/>
        </w:rPr>
        <w:t>过去第一年负债保证成本率应将各类保险产品的保证成本率按照公司报告期末过去12个月</w:t>
      </w:r>
      <w:r>
        <w:rPr>
          <w:rFonts w:hint="eastAsia" w:ascii="仿宋_GB2312" w:hAnsi="仿宋_GB2312" w:cs="仿宋_GB2312"/>
          <w:highlight w:val="none"/>
        </w:rPr>
        <w:t>的</w:t>
      </w:r>
      <w:r>
        <w:rPr>
          <w:rFonts w:hint="eastAsia" w:ascii="仿宋_GB2312" w:hAnsi="仿宋_GB2312" w:cs="仿宋_GB2312"/>
          <w:highlight w:val="none"/>
          <w:lang w:val="en-GB"/>
        </w:rPr>
        <w:t>负债</w:t>
      </w:r>
      <w:r>
        <w:rPr>
          <w:rFonts w:hint="eastAsia" w:ascii="仿宋_GB2312" w:hAnsi="仿宋_GB2312" w:cs="仿宋_GB2312"/>
          <w:highlight w:val="none"/>
        </w:rPr>
        <w:t>平均</w:t>
      </w:r>
      <w:r>
        <w:rPr>
          <w:rFonts w:hint="eastAsia" w:ascii="仿宋_GB2312" w:hAnsi="仿宋_GB2312" w:cs="仿宋_GB2312"/>
          <w:highlight w:val="none"/>
          <w:lang w:val="en-GB"/>
        </w:rPr>
        <w:t>规模的算术平均值计算相应比例，作为权重加权计算；</w:t>
      </w:r>
      <w:r>
        <w:rPr>
          <w:rFonts w:hint="eastAsia" w:ascii="仿宋_GB2312" w:hAnsi="仿宋_GB2312" w:cs="仿宋_GB2312"/>
          <w:highlight w:val="none"/>
        </w:rPr>
        <w:t>月度负债平均规模=（月初负债规模+月末负债规模）÷2，</w:t>
      </w:r>
      <w:r>
        <w:rPr>
          <w:rFonts w:hint="eastAsia" w:ascii="仿宋_GB2312" w:hAnsi="仿宋_GB2312" w:cs="仿宋_GB2312"/>
          <w:highlight w:val="none"/>
          <w:lang w:val="en-GB"/>
        </w:rPr>
        <w:t>其中</w:t>
      </w:r>
      <w:r>
        <w:rPr>
          <w:rFonts w:hint="eastAsia" w:ascii="仿宋_GB2312" w:hAnsi="仿宋_GB2312" w:cs="仿宋_GB2312"/>
          <w:highlight w:val="none"/>
        </w:rPr>
        <w:t>普通型保险产品、分红型保险产品的</w:t>
      </w:r>
      <w:r>
        <w:rPr>
          <w:rFonts w:hint="eastAsia" w:ascii="仿宋_GB2312" w:hAnsi="仿宋_GB2312" w:cs="仿宋_GB2312"/>
          <w:highlight w:val="none"/>
          <w:lang w:val="en-GB"/>
        </w:rPr>
        <w:t>负债规模基于监管</w:t>
      </w:r>
      <w:r>
        <w:rPr>
          <w:rFonts w:hint="eastAsia"/>
          <w:highlight w:val="none"/>
          <w:lang w:val="en-GB"/>
        </w:rPr>
        <w:t>有关《精算报告》编报规则中对应产品的责任准备金（</w:t>
      </w:r>
      <w:r>
        <w:rPr>
          <w:rFonts w:hint="eastAsia"/>
          <w:highlight w:val="none"/>
        </w:rPr>
        <w:t>不含特别储备）</w:t>
      </w:r>
      <w:r>
        <w:rPr>
          <w:rFonts w:hint="eastAsia"/>
          <w:highlight w:val="none"/>
          <w:lang w:val="en-GB"/>
        </w:rPr>
        <w:t>计算，</w:t>
      </w:r>
      <w:r>
        <w:rPr>
          <w:rFonts w:hint="eastAsia"/>
          <w:highlight w:val="none"/>
        </w:rPr>
        <w:t>万能型保险产品的负债规模基于账户价值计算；累积生息负债规模基于累积生息的账面价值计算；</w:t>
      </w:r>
      <w:r>
        <w:rPr>
          <w:rFonts w:hint="eastAsia"/>
          <w:highlight w:val="none"/>
          <w:lang w:val="en-GB"/>
        </w:rPr>
        <w:t>次级债、资本补充债和无固定期限资本债券账户的负债</w:t>
      </w:r>
      <w:r>
        <w:rPr>
          <w:rFonts w:hint="eastAsia"/>
          <w:highlight w:val="none"/>
        </w:rPr>
        <w:t>规模按照</w:t>
      </w:r>
      <w:r>
        <w:rPr>
          <w:rFonts w:hint="eastAsia"/>
          <w:highlight w:val="none"/>
          <w:lang w:val="en-GB"/>
        </w:rPr>
        <w:t>未偿余额</w:t>
      </w:r>
      <w:r>
        <w:rPr>
          <w:rFonts w:hint="eastAsia"/>
          <w:highlight w:val="none"/>
        </w:rPr>
        <w:t>计算</w:t>
      </w:r>
      <w:r>
        <w:rPr>
          <w:rFonts w:hint="eastAsia"/>
          <w:highlight w:val="none"/>
          <w:lang w:val="en-GB"/>
        </w:rPr>
        <w:t>。</w:t>
      </w:r>
    </w:p>
    <w:p>
      <w:pPr>
        <w:ind w:firstLine="640"/>
        <w:rPr>
          <w:highlight w:val="none"/>
        </w:rPr>
      </w:pPr>
      <w:r>
        <w:rPr>
          <w:rFonts w:hint="eastAsia" w:ascii="仿宋_GB2312"/>
          <w:highlight w:val="none"/>
          <w:lang w:val="en-GB"/>
        </w:rPr>
        <w:t>传统账户，</w:t>
      </w:r>
      <w:r>
        <w:rPr>
          <w:rFonts w:hint="eastAsia"/>
          <w:highlight w:val="none"/>
          <w:lang w:val="en-GB"/>
        </w:rPr>
        <w:t>普通型</w:t>
      </w:r>
      <w:r>
        <w:rPr>
          <w:rFonts w:hint="eastAsia"/>
          <w:highlight w:val="none"/>
        </w:rPr>
        <w:t>寿险业务</w:t>
      </w:r>
      <w:r>
        <w:rPr>
          <w:rFonts w:hint="eastAsia"/>
          <w:highlight w:val="none"/>
          <w:lang w:val="en-GB"/>
        </w:rPr>
        <w:t>保险产品负债保证成本率为该类型产品的预定利率；</w:t>
      </w:r>
      <w:r>
        <w:rPr>
          <w:rFonts w:hint="eastAsia"/>
          <w:highlight w:val="none"/>
        </w:rPr>
        <w:t>普通型非寿险业务保险产品负债保证成本率为取其负债资金成本率与零两者的较大值。</w:t>
      </w:r>
    </w:p>
    <w:p>
      <w:pPr>
        <w:ind w:firstLine="640"/>
        <w:rPr>
          <w:highlight w:val="none"/>
          <w:lang w:val="en-GB"/>
        </w:rPr>
      </w:pPr>
      <w:r>
        <w:rPr>
          <w:rFonts w:hint="eastAsia"/>
          <w:highlight w:val="none"/>
          <w:lang w:val="en-GB"/>
        </w:rPr>
        <w:t>分红型保险产品负债保证成本率为该类型产品的预定利率。</w:t>
      </w:r>
    </w:p>
    <w:p>
      <w:pPr>
        <w:ind w:firstLine="640"/>
        <w:rPr>
          <w:highlight w:val="none"/>
          <w:lang w:val="en-GB"/>
        </w:rPr>
      </w:pPr>
      <w:r>
        <w:rPr>
          <w:rFonts w:hint="eastAsia"/>
          <w:highlight w:val="none"/>
          <w:lang w:val="en-GB"/>
        </w:rPr>
        <w:t>万能型保险产品负债保证成本率为该类型产品的产品说明书中规定的最低保证利率。</w:t>
      </w:r>
    </w:p>
    <w:p>
      <w:pPr>
        <w:ind w:firstLine="640"/>
        <w:rPr>
          <w:highlight w:val="none"/>
        </w:rPr>
      </w:pPr>
      <w:r>
        <w:rPr>
          <w:rFonts w:hint="eastAsia"/>
          <w:highlight w:val="none"/>
        </w:rPr>
        <w:t>累积生息负债的保证成本率为零，并</w:t>
      </w:r>
      <w:r>
        <w:rPr>
          <w:rFonts w:hint="eastAsia" w:ascii="仿宋_GB2312"/>
          <w:highlight w:val="none"/>
        </w:rPr>
        <w:t>按照</w:t>
      </w:r>
      <w:r>
        <w:rPr>
          <w:rFonts w:hint="eastAsia" w:cs="Arial"/>
          <w:highlight w:val="none"/>
        </w:rPr>
        <w:t>对应资产所在账户分账户计算</w:t>
      </w:r>
      <w:r>
        <w:rPr>
          <w:rFonts w:hint="eastAsia"/>
          <w:highlight w:val="none"/>
        </w:rPr>
        <w:t>。</w:t>
      </w:r>
    </w:p>
    <w:p>
      <w:pPr>
        <w:ind w:firstLine="640"/>
        <w:rPr>
          <w:highlight w:val="none"/>
        </w:rPr>
      </w:pPr>
      <w:r>
        <w:rPr>
          <w:rFonts w:hint="eastAsia" w:ascii="仿宋_GB2312" w:hAnsi="仿宋_GB2312" w:cs="仿宋_GB2312"/>
          <w:highlight w:val="none"/>
        </w:rPr>
        <w:t>普通账户的负债保证成本率=（传统账户负债保证成本+分红账户负债保证成本+万能账户负债保证成本）÷普通账户负债平均规模。其中，各账户负债保证成本=各账户负债保证成本率×各账户负债平均规模；普通账户负债平均规模=传统账户负债平均规模+分红账户负债平均规模+万能账户负债平均规模。</w:t>
      </w:r>
    </w:p>
    <w:p>
      <w:pPr>
        <w:ind w:firstLine="640"/>
        <w:rPr>
          <w:highlight w:val="none"/>
        </w:rPr>
      </w:pPr>
      <w:r>
        <w:rPr>
          <w:rFonts w:hint="eastAsia"/>
          <w:highlight w:val="none"/>
          <w:lang w:val="en-GB"/>
        </w:rPr>
        <w:t>次级债、资本补充债和无固定期限资本债账户</w:t>
      </w:r>
      <w:r>
        <w:rPr>
          <w:rFonts w:hint="eastAsia"/>
          <w:highlight w:val="none"/>
        </w:rPr>
        <w:t>的负债保证成本率为该账户债券的票面利率按照对应债券的负债平均规模加权平均计算。</w:t>
      </w:r>
    </w:p>
    <w:p>
      <w:pPr>
        <w:pStyle w:val="5"/>
        <w:ind w:firstLine="640"/>
        <w:rPr>
          <w:rFonts w:hint="eastAsia" w:ascii="仿宋_GB2312" w:hAnsi="仿宋_GB2312" w:cs="仿宋_GB2312"/>
          <w:highlight w:val="none"/>
        </w:rPr>
      </w:pPr>
      <w:r>
        <w:rPr>
          <w:rFonts w:hint="eastAsia" w:ascii="仿宋_GB2312" w:hAnsi="仿宋_GB2312" w:cs="仿宋_GB2312"/>
          <w:highlight w:val="none"/>
        </w:rPr>
        <w:t>8.负债资金成本率的计算</w:t>
      </w:r>
    </w:p>
    <w:p>
      <w:pPr>
        <w:ind w:firstLine="640"/>
        <w:rPr>
          <w:rFonts w:ascii="仿宋_GB2312"/>
          <w:highlight w:val="none"/>
          <w:lang w:val="en-GB"/>
        </w:rPr>
      </w:pPr>
      <w:r>
        <w:rPr>
          <w:rFonts w:hint="eastAsia" w:ascii="仿宋_GB2312" w:hAnsi="仿宋_GB2312" w:cs="仿宋_GB2312"/>
          <w:highlight w:val="none"/>
        </w:rPr>
        <w:t>过去第一年负债资金成本率应将各类保险产品的资金成本率按照公司报告期末过去12个月的负债平均规模的算术平均值计算相应比例，作为权重加权计算；月度负债平均规模=（月初负债规模+月末负债规模）÷2。其中，普通型保险产品、分红型保险产品的负债规模基于监管有关《精算报告》编报规则中对应产品的责任准备金</w:t>
      </w:r>
      <w:r>
        <w:rPr>
          <w:rFonts w:hint="eastAsia"/>
          <w:highlight w:val="none"/>
        </w:rPr>
        <w:t>（不含特别储备）计算，万能型保险产品的负债规模基于账户价值计算；累积生息负债规模基于累积生息的账面价值计算；次级债、资本补充债和无固定期限资本债券账户的负债规模按照未偿余额计算。</w:t>
      </w:r>
    </w:p>
    <w:p>
      <w:pPr>
        <w:ind w:firstLine="640"/>
        <w:rPr>
          <w:rFonts w:ascii="仿宋_GB2312"/>
          <w:highlight w:val="none"/>
        </w:rPr>
      </w:pPr>
      <w:r>
        <w:rPr>
          <w:rFonts w:hint="eastAsia"/>
          <w:highlight w:val="none"/>
        </w:rPr>
        <w:t>传统账户，普通型寿险业务保险产品负债资金成本率为该类型产品的预定利率，与负债</w:t>
      </w:r>
      <w:r>
        <w:rPr>
          <w:rFonts w:hint="eastAsia" w:ascii="仿宋_GB2312" w:hAnsi="仿宋_GB2312" w:eastAsia="仿宋_GB2312" w:cs="仿宋_GB2312"/>
          <w:highlight w:val="none"/>
        </w:rPr>
        <w:t>保证成本率相同；普通型非寿险业务负债资金成本率=（承保综合成本-保险服务收入）÷非寿险业务负债平均规模，其中，承保综合成本和保险服务收入为过去12个月承保综合成本和保险服务收入，承保综合成本=保险服务费用+承保财务损益+再保净成本（财务再保险除外），再保净成本=分出保费的分摊-摊回保险服务费用-分出再保险财务损益。</w:t>
      </w:r>
    </w:p>
    <w:p>
      <w:pPr>
        <w:ind w:firstLine="640"/>
        <w:rPr>
          <w:rFonts w:ascii="仿宋_GB2312"/>
          <w:highlight w:val="none"/>
          <w:lang w:val="en-GB"/>
        </w:rPr>
      </w:pPr>
      <w:r>
        <w:rPr>
          <w:rFonts w:hint="eastAsia"/>
          <w:highlight w:val="none"/>
        </w:rPr>
        <w:t>分红型保险产品负债资金成本率为其对应计算期间</w:t>
      </w:r>
      <w:r>
        <w:rPr>
          <w:highlight w:val="none"/>
        </w:rPr>
        <w:t>宣告的</w:t>
      </w:r>
      <w:r>
        <w:rPr>
          <w:rFonts w:hint="eastAsia"/>
          <w:highlight w:val="none"/>
        </w:rPr>
        <w:t>整体</w:t>
      </w:r>
      <w:r>
        <w:rPr>
          <w:highlight w:val="none"/>
        </w:rPr>
        <w:t>分红水平</w:t>
      </w:r>
      <w:r>
        <w:rPr>
          <w:rFonts w:hint="eastAsia"/>
          <w:highlight w:val="none"/>
        </w:rPr>
        <w:t>和预定利率之和</w:t>
      </w:r>
      <w:r>
        <w:rPr>
          <w:rFonts w:hint="eastAsia" w:ascii="仿宋_GB2312"/>
          <w:highlight w:val="none"/>
          <w:lang w:val="en-GB"/>
        </w:rPr>
        <w:t>。</w:t>
      </w:r>
    </w:p>
    <w:p>
      <w:pPr>
        <w:ind w:firstLine="640"/>
        <w:rPr>
          <w:rFonts w:ascii="仿宋_GB2312"/>
          <w:highlight w:val="none"/>
          <w:lang w:val="en-GB"/>
        </w:rPr>
      </w:pPr>
      <w:r>
        <w:rPr>
          <w:rFonts w:hint="eastAsia"/>
          <w:highlight w:val="none"/>
        </w:rPr>
        <w:t>万能型保险产品负债资金成本率为其过去第一年结算利率的算术平均数，允许选择更精确的计算方式，如使用过去第一年结算利率的加权平均数</w:t>
      </w:r>
      <w:r>
        <w:rPr>
          <w:rFonts w:hint="eastAsia" w:ascii="仿宋_GB2312"/>
          <w:highlight w:val="none"/>
          <w:lang w:val="en-GB"/>
        </w:rPr>
        <w:t>。</w:t>
      </w:r>
    </w:p>
    <w:p>
      <w:pPr>
        <w:ind w:firstLine="640"/>
        <w:rPr>
          <w:rFonts w:ascii="仿宋_GB2312"/>
          <w:highlight w:val="none"/>
        </w:rPr>
      </w:pPr>
      <w:r>
        <w:rPr>
          <w:rFonts w:hint="eastAsia"/>
          <w:highlight w:val="none"/>
        </w:rPr>
        <w:t>累积生息负债资金成本率为</w:t>
      </w:r>
      <w:r>
        <w:rPr>
          <w:rFonts w:hint="eastAsia" w:ascii="仿宋_GB2312" w:hAnsi="仿宋_GB2312" w:cs="仿宋_GB2312"/>
          <w:highlight w:val="none"/>
        </w:rPr>
        <w:t>过去12个月</w:t>
      </w:r>
      <w:r>
        <w:rPr>
          <w:rFonts w:hint="eastAsia"/>
          <w:highlight w:val="none"/>
        </w:rPr>
        <w:t>累积生息利率的算术平均数，并按照对应资产所在账户分账户计算</w:t>
      </w:r>
      <w:r>
        <w:rPr>
          <w:rFonts w:hint="eastAsia" w:ascii="仿宋_GB2312"/>
          <w:highlight w:val="none"/>
        </w:rPr>
        <w:t>。</w:t>
      </w:r>
    </w:p>
    <w:p>
      <w:pPr>
        <w:ind w:firstLine="640"/>
        <w:rPr>
          <w:rFonts w:hint="eastAsia" w:ascii="仿宋_GB2312" w:hAnsi="仿宋_GB2312" w:cs="仿宋_GB2312"/>
          <w:highlight w:val="none"/>
        </w:rPr>
      </w:pPr>
      <w:r>
        <w:rPr>
          <w:rFonts w:hint="eastAsia" w:ascii="仿宋_GB2312" w:hAnsi="仿宋_GB2312" w:cs="仿宋_GB2312"/>
          <w:highlight w:val="none"/>
        </w:rPr>
        <w:t>普通账户的负债资金成本率=（传统账户负债资金成本+分红账户负债资金成本+万能账户负债资金成本）÷普通账户负债平均规模。其中，各账户负债资金成本=各账户负债资金成本率×各账户负债平均规模；普通账户负债平均规模=传统账户负债平均规模+分红账户负债平均规模+万能账户负债平均规模。</w:t>
      </w:r>
    </w:p>
    <w:p>
      <w:pPr>
        <w:ind w:firstLine="640"/>
        <w:rPr>
          <w:rFonts w:hint="eastAsia" w:ascii="仿宋_GB2312" w:hAnsi="仿宋_GB2312" w:cs="仿宋_GB2312"/>
          <w:highlight w:val="none"/>
        </w:rPr>
      </w:pPr>
      <w:r>
        <w:rPr>
          <w:rFonts w:hint="eastAsia" w:ascii="仿宋_GB2312" w:hAnsi="仿宋_GB2312" w:cs="仿宋_GB2312"/>
          <w:highlight w:val="none"/>
        </w:rPr>
        <w:t>过去三</w:t>
      </w:r>
      <w:r>
        <w:rPr>
          <w:rFonts w:hint="eastAsia" w:ascii="仿宋_GB2312" w:hAnsi="仿宋_GB2312" w:cs="仿宋_GB2312"/>
          <w:highlight w:val="none"/>
          <w:lang w:val="en-GB"/>
        </w:rPr>
        <w:t>年平均负债资金成本率=（</w:t>
      </w:r>
      <w:r>
        <w:rPr>
          <w:rFonts w:hint="eastAsia" w:ascii="仿宋_GB2312" w:hAnsi="仿宋_GB2312" w:cs="仿宋_GB2312"/>
          <w:highlight w:val="none"/>
        </w:rPr>
        <w:t>过去第一年</w:t>
      </w:r>
      <w:r>
        <w:rPr>
          <w:rFonts w:hint="eastAsia" w:ascii="仿宋_GB2312" w:hAnsi="仿宋_GB2312" w:cs="仿宋_GB2312"/>
          <w:highlight w:val="none"/>
          <w:lang w:val="en-GB"/>
        </w:rPr>
        <w:t>负债资金成本</w:t>
      </w:r>
      <w:r>
        <w:rPr>
          <w:rFonts w:hint="eastAsia" w:ascii="仿宋_GB2312" w:hAnsi="仿宋_GB2312" w:cs="仿宋_GB2312"/>
          <w:highlight w:val="none"/>
        </w:rPr>
        <w:t>率</w:t>
      </w:r>
      <w:r>
        <w:rPr>
          <w:rFonts w:hint="eastAsia" w:ascii="仿宋_GB2312" w:hAnsi="仿宋_GB2312" w:cs="仿宋_GB2312"/>
          <w:highlight w:val="none"/>
          <w:lang w:val="en-GB"/>
        </w:rPr>
        <w:t>+过去第</w:t>
      </w:r>
      <w:r>
        <w:rPr>
          <w:rFonts w:hint="eastAsia" w:ascii="仿宋_GB2312" w:hAnsi="仿宋_GB2312" w:cs="仿宋_GB2312"/>
          <w:highlight w:val="none"/>
        </w:rPr>
        <w:t>二</w:t>
      </w:r>
      <w:r>
        <w:rPr>
          <w:rFonts w:hint="eastAsia" w:ascii="仿宋_GB2312" w:hAnsi="仿宋_GB2312" w:cs="仿宋_GB2312"/>
          <w:highlight w:val="none"/>
          <w:lang w:val="en-GB"/>
        </w:rPr>
        <w:t>年负债资金成本率+过去第</w:t>
      </w:r>
      <w:r>
        <w:rPr>
          <w:rFonts w:hint="eastAsia" w:ascii="仿宋_GB2312" w:hAnsi="仿宋_GB2312" w:cs="仿宋_GB2312"/>
          <w:highlight w:val="none"/>
        </w:rPr>
        <w:t>三</w:t>
      </w:r>
      <w:r>
        <w:rPr>
          <w:rFonts w:hint="eastAsia" w:ascii="仿宋_GB2312" w:hAnsi="仿宋_GB2312" w:cs="仿宋_GB2312"/>
          <w:highlight w:val="none"/>
          <w:lang w:val="en-GB"/>
        </w:rPr>
        <w:t>年负债资金成本率）÷</w:t>
      </w:r>
      <w:r>
        <w:rPr>
          <w:rFonts w:hint="eastAsia" w:ascii="仿宋_GB2312" w:hAnsi="仿宋_GB2312" w:cs="仿宋_GB2312"/>
          <w:highlight w:val="none"/>
        </w:rPr>
        <w:t>3</w:t>
      </w:r>
    </w:p>
    <w:p>
      <w:pPr>
        <w:ind w:firstLine="640"/>
        <w:rPr>
          <w:rFonts w:hint="eastAsia" w:ascii="仿宋_GB2312" w:hAnsi="仿宋_GB2312" w:cs="仿宋_GB2312"/>
          <w:highlight w:val="none"/>
          <w:lang w:val="en-GB"/>
        </w:rPr>
      </w:pPr>
      <w:r>
        <w:rPr>
          <w:rFonts w:hint="eastAsia" w:ascii="仿宋_GB2312" w:hAnsi="仿宋_GB2312" w:cs="仿宋_GB2312"/>
          <w:highlight w:val="none"/>
        </w:rPr>
        <w:t>过去</w:t>
      </w:r>
      <w:r>
        <w:rPr>
          <w:rFonts w:hint="eastAsia" w:ascii="仿宋_GB2312" w:hAnsi="仿宋_GB2312" w:cs="仿宋_GB2312"/>
          <w:highlight w:val="none"/>
          <w:lang w:val="en-GB"/>
        </w:rPr>
        <w:t>五年平均负债资金成本率=（</w:t>
      </w:r>
      <w:r>
        <w:rPr>
          <w:rFonts w:hint="eastAsia" w:ascii="仿宋_GB2312" w:hAnsi="仿宋_GB2312" w:cs="仿宋_GB2312"/>
          <w:highlight w:val="none"/>
        </w:rPr>
        <w:t>过去第一年</w:t>
      </w:r>
      <w:r>
        <w:rPr>
          <w:rFonts w:hint="eastAsia" w:ascii="仿宋_GB2312" w:hAnsi="仿宋_GB2312" w:cs="仿宋_GB2312"/>
          <w:highlight w:val="none"/>
          <w:lang w:val="en-GB"/>
        </w:rPr>
        <w:t>负债资金成本</w:t>
      </w:r>
      <w:r>
        <w:rPr>
          <w:rFonts w:hint="eastAsia" w:ascii="仿宋_GB2312" w:hAnsi="仿宋_GB2312" w:cs="仿宋_GB2312"/>
          <w:highlight w:val="none"/>
        </w:rPr>
        <w:t>率</w:t>
      </w:r>
      <w:r>
        <w:rPr>
          <w:rFonts w:hint="eastAsia" w:ascii="仿宋_GB2312" w:hAnsi="仿宋_GB2312" w:cs="仿宋_GB2312"/>
          <w:highlight w:val="none"/>
          <w:lang w:val="en-GB"/>
        </w:rPr>
        <w:t>+过去第</w:t>
      </w:r>
      <w:r>
        <w:rPr>
          <w:rFonts w:hint="eastAsia" w:ascii="仿宋_GB2312" w:hAnsi="仿宋_GB2312" w:cs="仿宋_GB2312"/>
          <w:highlight w:val="none"/>
        </w:rPr>
        <w:t>二</w:t>
      </w:r>
      <w:r>
        <w:rPr>
          <w:rFonts w:hint="eastAsia" w:ascii="仿宋_GB2312" w:hAnsi="仿宋_GB2312" w:cs="仿宋_GB2312"/>
          <w:highlight w:val="none"/>
          <w:lang w:val="en-GB"/>
        </w:rPr>
        <w:t>年负债资金成本率+过去第</w:t>
      </w:r>
      <w:r>
        <w:rPr>
          <w:rFonts w:hint="eastAsia" w:ascii="仿宋_GB2312" w:hAnsi="仿宋_GB2312" w:cs="仿宋_GB2312"/>
          <w:highlight w:val="none"/>
        </w:rPr>
        <w:t>三</w:t>
      </w:r>
      <w:r>
        <w:rPr>
          <w:rFonts w:hint="eastAsia" w:ascii="仿宋_GB2312" w:hAnsi="仿宋_GB2312" w:cs="仿宋_GB2312"/>
          <w:highlight w:val="none"/>
          <w:lang w:val="en-GB"/>
        </w:rPr>
        <w:t>年负债资金成本率+过去第</w:t>
      </w:r>
      <w:r>
        <w:rPr>
          <w:rFonts w:hint="eastAsia" w:ascii="仿宋_GB2312" w:hAnsi="仿宋_GB2312" w:cs="仿宋_GB2312"/>
          <w:highlight w:val="none"/>
        </w:rPr>
        <w:t>四</w:t>
      </w:r>
      <w:r>
        <w:rPr>
          <w:rFonts w:hint="eastAsia" w:ascii="仿宋_GB2312" w:hAnsi="仿宋_GB2312" w:cs="仿宋_GB2312"/>
          <w:highlight w:val="none"/>
          <w:lang w:val="en-GB"/>
        </w:rPr>
        <w:t>年负债资金成本率+过去第</w:t>
      </w:r>
      <w:r>
        <w:rPr>
          <w:rFonts w:hint="eastAsia" w:ascii="仿宋_GB2312" w:hAnsi="仿宋_GB2312" w:cs="仿宋_GB2312"/>
          <w:highlight w:val="none"/>
        </w:rPr>
        <w:t>五</w:t>
      </w:r>
      <w:r>
        <w:rPr>
          <w:rFonts w:hint="eastAsia" w:ascii="仿宋_GB2312" w:hAnsi="仿宋_GB2312" w:cs="仿宋_GB2312"/>
          <w:highlight w:val="none"/>
          <w:lang w:val="en-GB"/>
        </w:rPr>
        <w:t>年负债资金成本率）÷5</w:t>
      </w:r>
    </w:p>
    <w:p>
      <w:pPr>
        <w:ind w:firstLine="640"/>
        <w:rPr>
          <w:rFonts w:hint="eastAsia" w:ascii="仿宋_GB2312" w:hAnsi="仿宋_GB2312" w:cs="仿宋_GB2312"/>
          <w:highlight w:val="none"/>
          <w:lang w:val="en-GB"/>
        </w:rPr>
      </w:pPr>
      <w:r>
        <w:rPr>
          <w:rFonts w:hint="eastAsia" w:ascii="仿宋_GB2312" w:hAnsi="仿宋_GB2312" w:cs="仿宋_GB2312"/>
          <w:highlight w:val="none"/>
        </w:rPr>
        <w:t>其中，“过去第X年负债资金成本率”是指报告期末对应过去第X个12个月平均负债资金成本率。</w:t>
      </w:r>
    </w:p>
    <w:p>
      <w:pPr>
        <w:ind w:firstLine="640"/>
        <w:rPr>
          <w:rFonts w:hint="eastAsia" w:ascii="仿宋_GB2312" w:hAnsi="仿宋_GB2312" w:cs="仿宋_GB2312"/>
          <w:highlight w:val="none"/>
        </w:rPr>
      </w:pPr>
      <w:r>
        <w:rPr>
          <w:rFonts w:hint="eastAsia" w:ascii="仿宋_GB2312" w:hAnsi="仿宋_GB2312" w:cs="仿宋_GB2312"/>
          <w:highlight w:val="none"/>
          <w:lang w:val="en-GB"/>
        </w:rPr>
        <w:t>次级债、资本补充债和无固定期限资本债账户</w:t>
      </w:r>
      <w:r>
        <w:rPr>
          <w:rFonts w:hint="eastAsia" w:ascii="仿宋_GB2312" w:hAnsi="仿宋_GB2312" w:cs="仿宋_GB2312"/>
          <w:highlight w:val="none"/>
        </w:rPr>
        <w:t>的负债资金成本率同该账户的负债保证成本率。</w:t>
      </w:r>
    </w:p>
    <w:p>
      <w:pPr>
        <w:pStyle w:val="5"/>
        <w:ind w:firstLine="640"/>
        <w:rPr>
          <w:highlight w:val="none"/>
        </w:rPr>
      </w:pPr>
      <w:r>
        <w:rPr>
          <w:rFonts w:hint="eastAsia" w:ascii="仿宋_GB2312" w:hAnsi="仿宋_GB2312" w:cs="仿宋_GB2312"/>
          <w:highlight w:val="none"/>
        </w:rPr>
        <w:t>9.负债有效成本率的计算</w:t>
      </w:r>
    </w:p>
    <w:p>
      <w:pPr>
        <w:ind w:firstLine="640"/>
        <w:rPr>
          <w:highlight w:val="none"/>
          <w:lang w:val="en-GB"/>
        </w:rPr>
      </w:pPr>
      <w:r>
        <w:rPr>
          <w:rFonts w:hint="eastAsia"/>
          <w:highlight w:val="none"/>
        </w:rPr>
        <w:t>负债有效成本率为公司</w:t>
      </w:r>
      <w:r>
        <w:rPr>
          <w:highlight w:val="none"/>
        </w:rPr>
        <w:t>分保后</w:t>
      </w:r>
      <w:r>
        <w:rPr>
          <w:rFonts w:hint="eastAsia"/>
          <w:highlight w:val="none"/>
        </w:rPr>
        <w:t>（财务再保险除外）</w:t>
      </w:r>
      <w:r>
        <w:rPr>
          <w:highlight w:val="none"/>
        </w:rPr>
        <w:t>的</w:t>
      </w:r>
      <w:r>
        <w:rPr>
          <w:rFonts w:hint="eastAsia"/>
          <w:highlight w:val="none"/>
        </w:rPr>
        <w:t>保险业务（包括寿险业务和非寿险业务）负债现金流</w:t>
      </w:r>
      <w:r>
        <w:rPr>
          <w:highlight w:val="none"/>
        </w:rPr>
        <w:t>折现</w:t>
      </w:r>
      <w:r>
        <w:rPr>
          <w:rFonts w:hint="eastAsia"/>
          <w:highlight w:val="none"/>
        </w:rPr>
        <w:t>值等于调整后资金运用净额的账面价值时的年化折现率，计算方法如下</w:t>
      </w:r>
      <w:r>
        <w:rPr>
          <w:rFonts w:hint="eastAsia"/>
          <w:highlight w:val="none"/>
          <w:lang w:val="en-GB"/>
        </w:rPr>
        <w:t>：</w:t>
      </w:r>
    </w:p>
    <w:p>
      <w:pPr>
        <w:spacing w:line="360" w:lineRule="auto"/>
        <w:ind w:left="640" w:leftChars="200" w:firstLine="640"/>
        <w:rPr>
          <w:rFonts w:cstheme="minorHAnsi"/>
          <w:i/>
          <w:szCs w:val="32"/>
          <w:highlight w:val="none"/>
          <w:lang w:val="en-GB"/>
        </w:rPr>
      </w:pPr>
      <m:oMathPara>
        <m:oMathParaPr>
          <m:jc m:val="left"/>
        </m:oMathParaPr>
        <m:oMath>
          <m:r>
            <w:rPr>
              <w:rFonts w:ascii="DejaVu Math TeX Gyre" w:hAnsi="DejaVu Math TeX Gyre" w:cstheme="minorHAnsi"/>
              <w:szCs w:val="32"/>
              <w:highlight w:val="none"/>
              <w:lang w:val="en-GB"/>
            </w:rPr>
            <m:t>BV=</m:t>
          </m:r>
          <m:nary>
            <m:naryPr>
              <m:chr m:val="∑"/>
              <m:limLoc m:val="undOvr"/>
              <m:supHide m:val="1"/>
              <m:ctrlPr>
                <w:rPr>
                  <w:rFonts w:ascii="DejaVu Math TeX Gyre" w:hAnsi="DejaVu Math TeX Gyre" w:cstheme="minorHAnsi"/>
                  <w:i/>
                  <w:szCs w:val="32"/>
                  <w:highlight w:val="none"/>
                  <w:lang w:val="en-GB"/>
                </w:rPr>
              </m:ctrlPr>
            </m:naryPr>
            <m:sub>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b>
            <m:sup>
              <m:ctrlPr>
                <w:rPr>
                  <w:rFonts w:ascii="DejaVu Math TeX Gyre" w:hAnsi="DejaVu Math TeX Gyre" w:cstheme="minorHAnsi"/>
                  <w:i/>
                  <w:szCs w:val="32"/>
                  <w:highlight w:val="none"/>
                  <w:lang w:val="en-GB"/>
                </w:rPr>
              </m:ctrlPr>
            </m:sup>
            <m:e>
              <m:f>
                <m:fPr>
                  <m:ctrlPr>
                    <w:rPr>
                      <w:rFonts w:ascii="DejaVu Math TeX Gyre" w:hAnsi="DejaVu Math TeX Gyre" w:cstheme="minorHAnsi"/>
                      <w:i/>
                      <w:szCs w:val="32"/>
                      <w:highlight w:val="none"/>
                      <w:lang w:val="en-GB"/>
                    </w:rPr>
                  </m:ctrlPr>
                </m:fPr>
                <m:num>
                  <m:sSub>
                    <m:sSubPr>
                      <m:ctrlPr>
                        <w:rPr>
                          <w:rFonts w:ascii="DejaVu Math TeX Gyre" w:hAnsi="DejaVu Math TeX Gyre" w:cstheme="minorHAnsi"/>
                          <w:i/>
                          <w:szCs w:val="32"/>
                          <w:highlight w:val="none"/>
                          <w:lang w:val="en-GB"/>
                        </w:rPr>
                      </m:ctrlPr>
                    </m:sSubPr>
                    <m:e>
                      <m:r>
                        <w:rPr>
                          <w:rFonts w:ascii="DejaVu Math TeX Gyre" w:hAnsi="DejaVu Math TeX Gyre" w:cstheme="minorHAnsi"/>
                          <w:szCs w:val="32"/>
                          <w:highlight w:val="none"/>
                          <w:lang w:val="en-GB"/>
                        </w:rPr>
                        <m:t>CF</m:t>
                      </m:r>
                      <m:ctrlPr>
                        <w:rPr>
                          <w:rFonts w:ascii="DejaVu Math TeX Gyre" w:hAnsi="DejaVu Math TeX Gyre" w:cstheme="minorHAnsi"/>
                          <w:i/>
                          <w:szCs w:val="32"/>
                          <w:highlight w:val="none"/>
                          <w:lang w:val="en-GB"/>
                        </w:rPr>
                      </m:ctrlPr>
                    </m:e>
                    <m:sub>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b>
                  </m:sSub>
                  <m:ctrlPr>
                    <w:rPr>
                      <w:rFonts w:ascii="DejaVu Math TeX Gyre" w:hAnsi="DejaVu Math TeX Gyre" w:cstheme="minorHAnsi"/>
                      <w:i/>
                      <w:szCs w:val="32"/>
                      <w:highlight w:val="none"/>
                      <w:lang w:val="en-GB"/>
                    </w:rPr>
                  </m:ctrlPr>
                </m:num>
                <m:den>
                  <m:sSup>
                    <m:sSupPr>
                      <m:ctrlPr>
                        <w:rPr>
                          <w:rFonts w:ascii="DejaVu Math TeX Gyre" w:hAnsi="DejaVu Math TeX Gyre" w:cstheme="minorHAnsi"/>
                          <w:i/>
                          <w:szCs w:val="32"/>
                          <w:highlight w:val="none"/>
                          <w:lang w:val="en-GB"/>
                        </w:rPr>
                      </m:ctrlPr>
                    </m:sSupPr>
                    <m:e>
                      <m:d>
                        <m:dPr>
                          <m:begChr m:val="（"/>
                          <m:endChr m:val="）"/>
                          <m:ctrlPr>
                            <w:rPr>
                              <w:rFonts w:ascii="DejaVu Math TeX Gyre" w:hAnsi="DejaVu Math TeX Gyre" w:cstheme="minorHAnsi"/>
                              <w:szCs w:val="32"/>
                              <w:highlight w:val="none"/>
                              <w:lang w:val="en-GB"/>
                            </w:rPr>
                          </m:ctrlPr>
                        </m:dPr>
                        <m:e>
                          <m:r>
                            <w:rPr>
                              <w:rFonts w:ascii="DejaVu Math TeX Gyre" w:hAnsi="DejaVu Math TeX Gyre" w:cstheme="minorHAnsi"/>
                              <w:szCs w:val="32"/>
                              <w:highlight w:val="none"/>
                              <w:lang w:val="en-GB"/>
                            </w:rPr>
                            <m:t>1+IRR</m:t>
                          </m:r>
                          <m:ctrlPr>
                            <w:rPr>
                              <w:rFonts w:ascii="DejaVu Math TeX Gyre" w:hAnsi="DejaVu Math TeX Gyre" w:cstheme="minorHAnsi"/>
                              <w:szCs w:val="32"/>
                              <w:highlight w:val="none"/>
                              <w:lang w:val="en-GB"/>
                            </w:rPr>
                          </m:ctrlPr>
                        </m:e>
                      </m:d>
                      <m:ctrlPr>
                        <w:rPr>
                          <w:rFonts w:ascii="DejaVu Math TeX Gyre" w:hAnsi="DejaVu Math TeX Gyre" w:cstheme="minorHAnsi"/>
                          <w:i/>
                          <w:szCs w:val="32"/>
                          <w:highlight w:val="none"/>
                          <w:lang w:val="en-GB"/>
                        </w:rPr>
                      </m:ctrlPr>
                    </m:e>
                    <m:sup>
                      <m:r>
                        <w:rPr>
                          <w:rFonts w:ascii="DejaVu Math TeX Gyre" w:hAnsi="DejaVu Math TeX Gyre" w:cstheme="minorHAnsi"/>
                          <w:szCs w:val="32"/>
                          <w:highlight w:val="none"/>
                          <w:lang w:val="en-GB"/>
                        </w:rPr>
                        <m:t>t</m:t>
                      </m:r>
                      <m:ctrlPr>
                        <w:rPr>
                          <w:rFonts w:ascii="DejaVu Math TeX Gyre" w:hAnsi="DejaVu Math TeX Gyre" w:cstheme="minorHAnsi"/>
                          <w:i/>
                          <w:szCs w:val="32"/>
                          <w:highlight w:val="none"/>
                          <w:lang w:val="en-GB"/>
                        </w:rPr>
                      </m:ctrlPr>
                    </m:sup>
                  </m:sSup>
                  <m:ctrlPr>
                    <w:rPr>
                      <w:rFonts w:ascii="DejaVu Math TeX Gyre" w:hAnsi="DejaVu Math TeX Gyre" w:cstheme="minorHAnsi"/>
                      <w:i/>
                      <w:szCs w:val="32"/>
                      <w:highlight w:val="none"/>
                      <w:lang w:val="en-GB"/>
                    </w:rPr>
                  </m:ctrlPr>
                </m:den>
              </m:f>
              <m:ctrlPr>
                <w:rPr>
                  <w:rFonts w:ascii="DejaVu Math TeX Gyre" w:hAnsi="DejaVu Math TeX Gyre" w:cstheme="minorHAnsi"/>
                  <w:i/>
                  <w:szCs w:val="32"/>
                  <w:highlight w:val="none"/>
                  <w:lang w:val="en-GB"/>
                </w:rPr>
              </m:ctrlPr>
            </m:e>
          </m:nary>
        </m:oMath>
      </m:oMathPara>
    </w:p>
    <w:p>
      <w:pPr>
        <w:ind w:firstLine="640"/>
        <w:rPr>
          <w:highlight w:val="none"/>
          <w:lang w:val="en-GB"/>
        </w:rPr>
      </w:pPr>
      <w:r>
        <w:rPr>
          <w:rFonts w:hint="eastAsia"/>
          <w:highlight w:val="none"/>
          <w:lang w:val="en-GB"/>
        </w:rPr>
        <w:t>参数说明：</w:t>
      </w:r>
    </w:p>
    <w:p>
      <w:pPr>
        <w:ind w:firstLine="640"/>
        <w:rPr>
          <w:highlight w:val="none"/>
          <w:lang w:val="en-GB"/>
        </w:rPr>
      </w:pPr>
      <m:oMath>
        <m:r>
          <w:rPr>
            <w:rFonts w:ascii="DejaVu Math TeX Gyre" w:hAnsi="DejaVu Math TeX Gyre" w:cstheme="minorHAnsi"/>
            <w:highlight w:val="none"/>
            <w:lang w:val="en-GB"/>
          </w:rPr>
          <m:t>BV</m:t>
        </m:r>
      </m:oMath>
      <w:r>
        <w:rPr>
          <w:rFonts w:hint="eastAsia"/>
          <w:highlight w:val="none"/>
          <w:lang w:val="en-GB"/>
        </w:rPr>
        <w:t>为报告期末调整后的资金运用净额</w:t>
      </w:r>
      <w:r>
        <w:rPr>
          <w:rFonts w:hint="eastAsia"/>
          <w:highlight w:val="none"/>
        </w:rPr>
        <w:t>扣除</w:t>
      </w:r>
      <w:r>
        <w:rPr>
          <w:rFonts w:hint="eastAsia"/>
          <w:highlight w:val="none"/>
          <w:lang w:eastAsia="zh-CN"/>
        </w:rPr>
        <w:t>保单质押贷款</w:t>
      </w:r>
      <w:r>
        <w:rPr>
          <w:rFonts w:hint="eastAsia"/>
          <w:highlight w:val="none"/>
        </w:rPr>
        <w:t>；计算普通账户有效成本率时，需扣除次级债、</w:t>
      </w:r>
      <w:r>
        <w:rPr>
          <w:rFonts w:hint="eastAsia"/>
          <w:highlight w:val="none"/>
          <w:lang w:val="en-GB"/>
        </w:rPr>
        <w:t>资本补充债和无固定期限资本债账户的调整后的</w:t>
      </w:r>
      <w:r>
        <w:rPr>
          <w:rFonts w:hint="eastAsia"/>
          <w:highlight w:val="none"/>
        </w:rPr>
        <w:t>资金运用净额</w:t>
      </w:r>
      <w:r>
        <w:rPr>
          <w:rFonts w:hint="eastAsia"/>
          <w:highlight w:val="none"/>
          <w:lang w:val="en-GB"/>
        </w:rPr>
        <w:t>。</w:t>
      </w:r>
    </w:p>
    <w:p>
      <w:pPr>
        <w:ind w:firstLine="640"/>
        <w:rPr>
          <w:highlight w:val="none"/>
          <w:lang w:val="en-GB"/>
        </w:rPr>
      </w:pPr>
      <m:oMath>
        <m:sSub>
          <m:sSubPr>
            <m:ctrlPr>
              <w:rPr>
                <w:rFonts w:ascii="DejaVu Math TeX Gyre" w:hAnsi="DejaVu Math TeX Gyre" w:cstheme="minorHAnsi"/>
                <w:highlight w:val="none"/>
                <w:lang w:val="en-GB"/>
              </w:rPr>
            </m:ctrlPr>
          </m:sSubPr>
          <m:e>
            <m:r>
              <w:rPr>
                <w:rFonts w:ascii="DejaVu Math TeX Gyre" w:hAnsi="DejaVu Math TeX Gyre" w:cstheme="minorHAnsi"/>
                <w:highlight w:val="none"/>
                <w:lang w:val="en-GB"/>
              </w:rPr>
              <m:t>CF</m:t>
            </m:r>
            <m:ctrlPr>
              <w:rPr>
                <w:rFonts w:ascii="DejaVu Math TeX Gyre" w:hAnsi="DejaVu Math TeX Gyre" w:cstheme="minorHAnsi"/>
                <w:highlight w:val="none"/>
                <w:lang w:val="en-GB"/>
              </w:rPr>
            </m:ctrlPr>
          </m:e>
          <m:sub>
            <m:r>
              <w:rPr>
                <w:rFonts w:ascii="DejaVu Math TeX Gyre" w:hAnsi="DejaVu Math TeX Gyre" w:cstheme="minorHAnsi"/>
                <w:highlight w:val="none"/>
                <w:lang w:val="en-GB"/>
              </w:rPr>
              <m:t>t</m:t>
            </m:r>
            <m:ctrlPr>
              <w:rPr>
                <w:rFonts w:ascii="DejaVu Math TeX Gyre" w:hAnsi="DejaVu Math TeX Gyre" w:cstheme="minorHAnsi"/>
                <w:highlight w:val="none"/>
                <w:lang w:val="en-GB"/>
              </w:rPr>
            </m:ctrlPr>
          </m:sub>
        </m:sSub>
      </m:oMath>
      <w:r>
        <w:rPr>
          <w:highlight w:val="none"/>
          <w:lang w:val="en-GB"/>
        </w:rPr>
        <w:t>为存量业务</w:t>
      </w:r>
      <w:r>
        <w:rPr>
          <w:rFonts w:hint="eastAsia"/>
          <w:highlight w:val="none"/>
          <w:lang w:val="en-GB"/>
        </w:rPr>
        <w:t>在</w:t>
      </w:r>
      <m:oMath>
        <m:r>
          <w:rPr>
            <w:rFonts w:ascii="DejaVu Math TeX Gyre" w:hAnsi="DejaVu Math TeX Gyre" w:cstheme="minorHAnsi"/>
            <w:highlight w:val="none"/>
            <w:lang w:val="en-GB"/>
          </w:rPr>
          <m:t>t</m:t>
        </m:r>
      </m:oMath>
      <w:r>
        <w:rPr>
          <w:highlight w:val="none"/>
          <w:lang w:val="en-GB"/>
        </w:rPr>
        <w:t>时刻</w:t>
      </w:r>
      <w:r>
        <w:rPr>
          <w:rFonts w:cs="Arial"/>
          <w:highlight w:val="none"/>
        </w:rPr>
        <w:t>分保后</w:t>
      </w:r>
      <w:r>
        <w:rPr>
          <w:rFonts w:hint="eastAsia" w:cs="Arial"/>
          <w:highlight w:val="none"/>
        </w:rPr>
        <w:t>（财务再保险除外）</w:t>
      </w:r>
      <w:r>
        <w:rPr>
          <w:rFonts w:cs="Arial"/>
          <w:highlight w:val="none"/>
        </w:rPr>
        <w:t>的</w:t>
      </w:r>
      <w:r>
        <w:rPr>
          <w:rFonts w:hint="eastAsia"/>
          <w:highlight w:val="none"/>
          <w:lang w:val="en-GB"/>
        </w:rPr>
        <w:t>净现金流。预测现金流采用</w:t>
      </w:r>
      <w:r>
        <w:rPr>
          <w:highlight w:val="none"/>
          <w:lang w:val="en-GB"/>
        </w:rPr>
        <w:t>最优估计假设</w:t>
      </w:r>
      <w:r>
        <w:rPr>
          <w:rFonts w:hint="eastAsia"/>
          <w:highlight w:val="none"/>
          <w:lang w:val="en-GB"/>
        </w:rPr>
        <w:t>，万能保险现金流应包括保险部分和投资部分，分红保险和万能保险的现金流应包含归属于保单持有人的全部利益。</w:t>
      </w:r>
    </w:p>
    <w:p>
      <w:pPr>
        <w:ind w:firstLine="640"/>
        <w:rPr>
          <w:highlight w:val="none"/>
          <w:lang w:val="en-GB"/>
        </w:rPr>
      </w:pPr>
      <m:oMath>
        <m:r>
          <w:rPr>
            <w:rFonts w:ascii="DejaVu Math TeX Gyre" w:hAnsi="DejaVu Math TeX Gyre" w:cstheme="minorHAnsi"/>
            <w:highlight w:val="none"/>
            <w:lang w:val="en-GB"/>
          </w:rPr>
          <m:t>IRR</m:t>
        </m:r>
      </m:oMath>
      <w:r>
        <w:rPr>
          <w:highlight w:val="none"/>
          <w:lang w:val="en-GB"/>
        </w:rPr>
        <w:t>为有效成本率</w:t>
      </w:r>
      <w:r>
        <w:rPr>
          <w:rFonts w:hint="eastAsia"/>
          <w:highlight w:val="none"/>
          <w:lang w:val="en-GB"/>
        </w:rPr>
        <w:t>。</w:t>
      </w:r>
    </w:p>
    <w:p>
      <w:pPr>
        <w:ind w:firstLine="640"/>
        <w:rPr>
          <w:highlight w:val="none"/>
          <w:lang w:val="en-GB"/>
        </w:rPr>
      </w:pPr>
      <w:r>
        <w:rPr>
          <w:rFonts w:hint="eastAsia"/>
          <w:highlight w:val="none"/>
          <w:lang w:val="en-GB"/>
        </w:rPr>
        <w:t>次级债、资本补充债和无固定期限资本债账户</w:t>
      </w:r>
      <w:r>
        <w:rPr>
          <w:rFonts w:hint="eastAsia"/>
          <w:highlight w:val="none"/>
        </w:rPr>
        <w:t>的有效成本率的计算方法同负债业务有效成本率的计算方法，为公司</w:t>
      </w:r>
      <w:r>
        <w:rPr>
          <w:rFonts w:hint="eastAsia"/>
          <w:highlight w:val="none"/>
          <w:lang w:val="en-GB"/>
        </w:rPr>
        <w:t>次级债、资本补充债和无固定期限资本债</w:t>
      </w:r>
      <w:r>
        <w:rPr>
          <w:rFonts w:hint="eastAsia"/>
          <w:highlight w:val="none"/>
        </w:rPr>
        <w:t>账户的负债</w:t>
      </w:r>
      <w:r>
        <w:rPr>
          <w:rFonts w:hint="eastAsia"/>
          <w:highlight w:val="none"/>
          <w:lang w:val="en-GB"/>
        </w:rPr>
        <w:t>现金流</w:t>
      </w:r>
      <w:r>
        <w:rPr>
          <w:highlight w:val="none"/>
          <w:lang w:val="en-GB"/>
        </w:rPr>
        <w:t>折现</w:t>
      </w:r>
      <w:r>
        <w:rPr>
          <w:rFonts w:hint="eastAsia"/>
          <w:highlight w:val="none"/>
          <w:lang w:val="en-GB"/>
        </w:rPr>
        <w:t>值等于</w:t>
      </w:r>
      <w:r>
        <w:rPr>
          <w:rFonts w:hint="eastAsia"/>
          <w:highlight w:val="none"/>
        </w:rPr>
        <w:t>对应账户的调整后的资金运用净额的</w:t>
      </w:r>
      <w:r>
        <w:rPr>
          <w:rFonts w:hint="eastAsia"/>
          <w:highlight w:val="none"/>
          <w:lang w:val="en-GB"/>
        </w:rPr>
        <w:t>账面价值时的年化折现率</w:t>
      </w:r>
      <w:r>
        <w:rPr>
          <w:rFonts w:hint="eastAsia"/>
          <w:highlight w:val="none"/>
        </w:rPr>
        <w:t>。</w:t>
      </w:r>
    </w:p>
    <w:p>
      <w:pPr>
        <w:pStyle w:val="5"/>
        <w:ind w:firstLine="640"/>
        <w:rPr>
          <w:highlight w:val="none"/>
        </w:rPr>
      </w:pPr>
      <w:r>
        <w:rPr>
          <w:rFonts w:hint="eastAsia" w:ascii="仿宋_GB2312" w:hAnsi="仿宋_GB2312" w:cs="仿宋_GB2312"/>
          <w:highlight w:val="none"/>
        </w:rPr>
        <w:t>10.普通账户及各</w:t>
      </w:r>
      <w:r>
        <w:rPr>
          <w:rFonts w:hint="eastAsia"/>
          <w:highlight w:val="none"/>
        </w:rPr>
        <w:t>大类账户成本收益匹配指标的计算</w:t>
      </w:r>
    </w:p>
    <w:p>
      <w:pPr>
        <w:ind w:firstLine="640"/>
        <w:rPr>
          <w:rFonts w:hint="eastAsia" w:ascii="仿宋_GB2312" w:hAnsi="仿宋_GB2312" w:cs="仿宋_GB2312"/>
          <w:highlight w:val="none"/>
        </w:rPr>
      </w:pPr>
      <w:r>
        <w:rPr>
          <w:rFonts w:hint="eastAsia" w:ascii="仿宋_GB2312" w:hAnsi="仿宋_GB2312" w:cs="仿宋_GB2312"/>
          <w:highlight w:val="none"/>
        </w:rPr>
        <w:t>综合投资收益覆盖率=五年综合投资收益÷五年负债资金成本</w:t>
      </w:r>
    </w:p>
    <w:p>
      <w:pPr>
        <w:ind w:firstLine="640"/>
        <w:rPr>
          <w:rFonts w:hint="eastAsia" w:ascii="仿宋_GB2312" w:hAnsi="仿宋_GB2312" w:cs="仿宋_GB2312"/>
          <w:highlight w:val="none"/>
        </w:rPr>
      </w:pPr>
      <w:r>
        <w:rPr>
          <w:rFonts w:hint="eastAsia" w:ascii="仿宋_GB2312" w:hAnsi="仿宋_GB2312" w:cs="仿宋_GB2312"/>
          <w:highlight w:val="none"/>
        </w:rPr>
        <w:t>净投资收益覆盖率=</w:t>
      </w:r>
      <w:r>
        <w:rPr>
          <w:rFonts w:hint="eastAsia" w:ascii="仿宋_GB2312" w:hAnsi="仿宋_GB2312" w:cs="仿宋_GB2312"/>
          <w:bCs/>
          <w:highlight w:val="none"/>
        </w:rPr>
        <w:t>三年净投资收益</w:t>
      </w:r>
      <w:r>
        <w:rPr>
          <w:rFonts w:hint="eastAsia" w:ascii="仿宋_GB2312" w:hAnsi="仿宋_GB2312" w:cs="仿宋_GB2312"/>
          <w:highlight w:val="none"/>
        </w:rPr>
        <w:t>÷三年负债保证成本</w:t>
      </w:r>
    </w:p>
    <w:p>
      <w:pPr>
        <w:ind w:firstLine="640"/>
        <w:rPr>
          <w:rFonts w:hint="eastAsia" w:ascii="仿宋_GB2312" w:hAnsi="仿宋_GB2312" w:cs="仿宋_GB2312"/>
          <w:highlight w:val="none"/>
        </w:rPr>
      </w:pPr>
      <w:r>
        <w:rPr>
          <w:rFonts w:hint="eastAsia" w:ascii="仿宋_GB2312" w:hAnsi="仿宋_GB2312" w:cs="仿宋_GB2312"/>
          <w:highlight w:val="none"/>
        </w:rPr>
        <w:t>利差一（过去五年平均综合投资收益率与</w:t>
      </w:r>
      <w:r>
        <w:rPr>
          <w:rFonts w:hint="eastAsia" w:ascii="仿宋_GB2312" w:hAnsi="仿宋_GB2312" w:cs="仿宋_GB2312"/>
          <w:bCs/>
          <w:highlight w:val="none"/>
        </w:rPr>
        <w:t>负债资金成本率差额）</w:t>
      </w:r>
      <w:r>
        <w:rPr>
          <w:rFonts w:hint="eastAsia" w:ascii="仿宋_GB2312" w:hAnsi="仿宋_GB2312" w:cs="仿宋_GB2312"/>
          <w:highlight w:val="none"/>
        </w:rPr>
        <w:t>=过去五年平均综合投资收益率-过去五年平均负债资金成本率×（过去五年负债平均规模÷过去五年调整后的资金运用平均净额）</w:t>
      </w:r>
    </w:p>
    <w:p>
      <w:pPr>
        <w:ind w:firstLine="640"/>
        <w:rPr>
          <w:rFonts w:hint="eastAsia" w:ascii="仿宋_GB2312" w:hAnsi="仿宋_GB2312" w:cs="仿宋_GB2312"/>
          <w:bCs/>
          <w:highlight w:val="none"/>
        </w:rPr>
      </w:pPr>
      <w:r>
        <w:rPr>
          <w:rFonts w:hint="eastAsia" w:ascii="仿宋_GB2312" w:hAnsi="仿宋_GB2312" w:cs="仿宋_GB2312"/>
          <w:bCs/>
          <w:highlight w:val="none"/>
        </w:rPr>
        <w:t>利差二（过去三年平均净投资收益率与负债保证成本率差额）=过去三年平均净投资收益率-过去三年平均负债保证成本率×（过去三年负债平均规模÷过去三年</w:t>
      </w:r>
      <w:r>
        <w:rPr>
          <w:rFonts w:hint="eastAsia" w:ascii="仿宋_GB2312" w:hAnsi="仿宋_GB2312" w:cs="仿宋_GB2312"/>
          <w:highlight w:val="none"/>
        </w:rPr>
        <w:t>调整后的</w:t>
      </w:r>
      <w:r>
        <w:rPr>
          <w:rFonts w:hint="eastAsia" w:ascii="仿宋_GB2312" w:hAnsi="仿宋_GB2312" w:cs="仿宋_GB2312"/>
          <w:bCs/>
          <w:highlight w:val="none"/>
        </w:rPr>
        <w:t>资金运用平均净额）</w:t>
      </w:r>
    </w:p>
    <w:p>
      <w:pPr>
        <w:ind w:firstLine="640"/>
        <w:rPr>
          <w:rFonts w:ascii="宋体" w:hAnsi="Cambria Math"/>
          <w:bCs/>
          <w:highlight w:val="none"/>
        </w:rPr>
      </w:pPr>
      <w:r>
        <w:rPr>
          <w:rFonts w:hint="eastAsia" w:ascii="仿宋_GB2312" w:hAnsi="仿宋_GB2312" w:cs="仿宋_GB2312"/>
          <w:bCs/>
          <w:highlight w:val="none"/>
        </w:rPr>
        <w:t>利差三（过去三年平均会计投资收益率与负债保证成本率差额）=过去三年平均会计投资收益率-过去三年平均负债保证成本率×（过去三年负债平均规模÷过去三年</w:t>
      </w:r>
      <w:r>
        <w:rPr>
          <w:rFonts w:hint="eastAsia" w:ascii="仿宋_GB2312" w:hAnsi="仿宋_GB2312" w:cs="仿宋_GB2312"/>
          <w:highlight w:val="none"/>
        </w:rPr>
        <w:t>调整后的</w:t>
      </w:r>
      <w:r>
        <w:rPr>
          <w:rFonts w:hint="eastAsia" w:ascii="仿宋_GB2312" w:hAnsi="仿宋_GB2312" w:cs="仿宋_GB2312"/>
          <w:bCs/>
          <w:highlight w:val="none"/>
        </w:rPr>
        <w:t>资金运用平均净额）</w:t>
      </w:r>
    </w:p>
    <w:p>
      <w:pPr>
        <w:ind w:firstLine="640"/>
        <w:rPr>
          <w:rFonts w:ascii="宋体" w:hAnsi="Cambria Math"/>
          <w:bCs/>
          <w:highlight w:val="none"/>
        </w:rPr>
      </w:pPr>
      <w:r>
        <w:rPr>
          <w:rFonts w:hint="eastAsia" w:ascii="宋体" w:hAnsi="Cambria Math"/>
          <w:bCs/>
          <w:highlight w:val="none"/>
        </w:rPr>
        <w:t>利差四（新增固定收益类资产到期收益率与新业务负债最低要求回报率差额）=当年新增可计算现金流的固定收益类投资资产到期收益率-当年新业务负债最低要求回报率</w:t>
      </w:r>
    </w:p>
    <w:p>
      <w:pPr>
        <w:ind w:firstLine="640"/>
        <w:rPr>
          <w:rFonts w:ascii="宋体" w:hAnsi="Cambria Math"/>
          <w:bCs/>
          <w:highlight w:val="none"/>
        </w:rPr>
      </w:pPr>
      <w:r>
        <w:rPr>
          <w:rFonts w:hint="eastAsia" w:ascii="宋体" w:hAnsi="Cambria Math"/>
          <w:bCs/>
          <w:highlight w:val="none"/>
        </w:rPr>
        <w:t>利差五（固定收益类投资资产到期收益率与负债有效成本率差额）=可计算现金流的固定收益类投资资产到期收益率-负债有效成本率</w:t>
      </w:r>
    </w:p>
    <w:p>
      <w:pPr>
        <w:ind w:firstLine="640"/>
        <w:rPr>
          <w:rFonts w:ascii="宋体" w:hAnsi="Cambria Math"/>
          <w:bCs/>
          <w:highlight w:val="none"/>
        </w:rPr>
      </w:pPr>
      <w:r>
        <w:rPr>
          <w:rFonts w:hint="eastAsia" w:ascii="宋体" w:hAnsi="Cambria Math"/>
          <w:bCs/>
          <w:highlight w:val="none"/>
        </w:rPr>
        <w:t>利差六（风险调整后的综合投资收益率与负债保证成本率差额）=风险调整后的过去第一年平均综合投资收益率-负债保证成本率×（过去第一年负债平均规模÷过去第一年</w:t>
      </w:r>
      <w:r>
        <w:rPr>
          <w:rFonts w:hint="eastAsia"/>
          <w:highlight w:val="none"/>
        </w:rPr>
        <w:t>调整后的</w:t>
      </w:r>
      <w:r>
        <w:rPr>
          <w:rFonts w:hint="eastAsia" w:ascii="宋体" w:hAnsi="Cambria Math"/>
          <w:bCs/>
          <w:highlight w:val="none"/>
        </w:rPr>
        <w:t>资金运用平均净额）</w:t>
      </w:r>
    </w:p>
    <w:p>
      <w:pPr>
        <w:ind w:firstLine="640"/>
        <w:rPr>
          <w:rFonts w:ascii="宋体" w:hAnsi="Cambria Math"/>
          <w:bCs/>
          <w:highlight w:val="none"/>
        </w:rPr>
      </w:pPr>
      <w:r>
        <w:rPr>
          <w:rFonts w:hint="eastAsia" w:ascii="宋体" w:hAnsi="Cambria Math"/>
          <w:bCs/>
          <w:highlight w:val="none"/>
        </w:rPr>
        <w:t>利差七（</w:t>
      </w:r>
      <w:r>
        <w:rPr>
          <w:rFonts w:hint="eastAsia"/>
          <w:highlight w:val="none"/>
        </w:rPr>
        <w:t>过去五年平均综合投资收益率与</w:t>
      </w:r>
      <w:r>
        <w:rPr>
          <w:rFonts w:hint="eastAsia" w:ascii="宋体" w:hAnsi="Cambria Math"/>
          <w:bCs/>
          <w:highlight w:val="none"/>
        </w:rPr>
        <w:t>负债资金成本率差额-不考虑规模调整）=</w:t>
      </w:r>
      <w:r>
        <w:rPr>
          <w:rFonts w:hint="eastAsia"/>
          <w:highlight w:val="none"/>
        </w:rPr>
        <w:t>过去五年平均综合投资收益率-过去五年平均负债资金成本率</w:t>
      </w:r>
    </w:p>
    <w:p>
      <w:pPr>
        <w:ind w:firstLine="640"/>
        <w:rPr>
          <w:rFonts w:ascii="宋体" w:hAnsi="Cambria Math"/>
          <w:bCs/>
          <w:highlight w:val="none"/>
        </w:rPr>
      </w:pPr>
      <w:r>
        <w:rPr>
          <w:rFonts w:hint="eastAsia" w:ascii="宋体" w:hAnsi="Cambria Math"/>
          <w:bCs/>
          <w:highlight w:val="none"/>
        </w:rPr>
        <w:t>利差八（过去三年平均会计投资收益率与负债保证成本率差额-不考虑规模调整）=过去三年平均会计投资收益率-过去三年平均负债保证成本率</w:t>
      </w:r>
    </w:p>
    <w:p>
      <w:pPr>
        <w:ind w:firstLine="640"/>
        <w:rPr>
          <w:rFonts w:hint="eastAsia" w:ascii="仿宋_GB2312" w:hAnsi="仿宋_GB2312" w:eastAsia="仿宋_GB2312" w:cs="仿宋_GB2312"/>
          <w:highlight w:val="none"/>
          <w:lang w:val="en-GB"/>
        </w:rPr>
      </w:pPr>
      <w:r>
        <w:rPr>
          <w:rFonts w:hint="eastAsia" w:ascii="仿宋_GB2312" w:hAnsi="仿宋_GB2312" w:cs="仿宋_GB2312"/>
          <w:highlight w:val="none"/>
          <w:lang w:val="en-GB"/>
        </w:rPr>
        <w:t>其中，</w:t>
      </w:r>
      <w:r>
        <w:rPr>
          <w:rFonts w:hint="eastAsia" w:ascii="仿宋_GB2312" w:hAnsi="仿宋_GB2312" w:cs="仿宋_GB2312"/>
          <w:highlight w:val="none"/>
        </w:rPr>
        <w:t>五年综合投资收益为</w:t>
      </w:r>
      <w:r>
        <w:rPr>
          <w:rFonts w:hint="eastAsia" w:ascii="仿宋_GB2312" w:hAnsi="仿宋_GB2312" w:cs="仿宋_GB2312"/>
          <w:highlight w:val="none"/>
          <w:lang w:val="en-GB"/>
        </w:rPr>
        <w:t>报告期末</w:t>
      </w:r>
      <w:r>
        <w:rPr>
          <w:rFonts w:hint="eastAsia" w:ascii="仿宋_GB2312" w:hAnsi="仿宋_GB2312" w:cs="仿宋_GB2312"/>
          <w:highlight w:val="none"/>
        </w:rPr>
        <w:t>过去第一年至过去第五年综合投资收益之和</w:t>
      </w:r>
      <w:r>
        <w:rPr>
          <w:rFonts w:hint="eastAsia" w:ascii="仿宋_GB2312" w:hAnsi="仿宋_GB2312" w:cs="仿宋_GB2312"/>
          <w:highlight w:val="none"/>
          <w:lang w:val="en-GB"/>
        </w:rPr>
        <w:t>；</w:t>
      </w:r>
      <w:r>
        <w:rPr>
          <w:rFonts w:hint="eastAsia" w:ascii="仿宋_GB2312" w:hAnsi="仿宋_GB2312" w:cs="仿宋_GB2312"/>
          <w:highlight w:val="none"/>
        </w:rPr>
        <w:t>三年净投资收益为</w:t>
      </w:r>
      <w:r>
        <w:rPr>
          <w:rFonts w:hint="eastAsia" w:ascii="仿宋_GB2312" w:hAnsi="仿宋_GB2312" w:cs="仿宋_GB2312"/>
          <w:highlight w:val="none"/>
          <w:lang w:val="en-GB"/>
        </w:rPr>
        <w:t>报告期末</w:t>
      </w:r>
      <w:r>
        <w:rPr>
          <w:rFonts w:hint="eastAsia" w:ascii="仿宋_GB2312" w:hAnsi="仿宋_GB2312" w:cs="仿宋_GB2312"/>
          <w:highlight w:val="none"/>
        </w:rPr>
        <w:t>过去第一年至过去第三年的净投资收益之和；调整后的</w:t>
      </w:r>
      <w:r>
        <w:rPr>
          <w:rFonts w:hint="eastAsia" w:ascii="仿宋_GB2312" w:hAnsi="仿宋_GB2312" w:cs="仿宋_GB2312"/>
          <w:highlight w:val="none"/>
          <w:lang w:val="en-GB"/>
        </w:rPr>
        <w:t>资金运用平均净额，应当与计算对应投资收益率数据时采用的分母保持一致，</w:t>
      </w:r>
      <w:r>
        <w:rPr>
          <w:rFonts w:hint="eastAsia" w:ascii="仿宋_GB2312" w:hAnsi="仿宋_GB2312" w:cs="仿宋_GB2312"/>
          <w:highlight w:val="none"/>
        </w:rPr>
        <w:t>过去X</w:t>
      </w:r>
      <w:r>
        <w:rPr>
          <w:rFonts w:hint="eastAsia" w:ascii="仿宋_GB2312" w:hAnsi="仿宋_GB2312" w:cs="仿宋_GB2312"/>
          <w:highlight w:val="none"/>
          <w:lang w:val="en-GB"/>
        </w:rPr>
        <w:t>年</w:t>
      </w:r>
      <w:r>
        <w:rPr>
          <w:rFonts w:hint="eastAsia" w:ascii="仿宋_GB2312" w:hAnsi="仿宋_GB2312" w:cs="仿宋_GB2312"/>
          <w:highlight w:val="none"/>
        </w:rPr>
        <w:t>调整后的资金运用平均净额为过去第一年至过去第X年调整后的资金运用平均净额的算术平均数。五年负债资金成本为</w:t>
      </w:r>
      <w:r>
        <w:rPr>
          <w:rFonts w:hint="eastAsia" w:ascii="仿宋_GB2312" w:hAnsi="仿宋_GB2312" w:cs="仿宋_GB2312"/>
          <w:highlight w:val="none"/>
          <w:lang w:val="en-GB"/>
        </w:rPr>
        <w:t>报告期末</w:t>
      </w:r>
      <w:r>
        <w:rPr>
          <w:rFonts w:hint="eastAsia" w:ascii="仿宋_GB2312" w:hAnsi="仿宋_GB2312" w:cs="仿宋_GB2312"/>
          <w:highlight w:val="none"/>
        </w:rPr>
        <w:t>过去第一年至过去第五年负债资金成本之和；三年负债保证成本为</w:t>
      </w:r>
      <w:r>
        <w:rPr>
          <w:rFonts w:hint="eastAsia" w:ascii="仿宋_GB2312" w:hAnsi="仿宋_GB2312" w:cs="仿宋_GB2312"/>
          <w:highlight w:val="none"/>
          <w:lang w:val="en-GB"/>
        </w:rPr>
        <w:t>报告期末</w:t>
      </w:r>
      <w:r>
        <w:rPr>
          <w:rFonts w:hint="eastAsia" w:ascii="仿宋_GB2312" w:hAnsi="仿宋_GB2312" w:cs="仿宋_GB2312"/>
          <w:highlight w:val="none"/>
        </w:rPr>
        <w:t>过去第一年至过去第三年负债保证成本之和；</w:t>
      </w:r>
      <w:r>
        <w:rPr>
          <w:rFonts w:hint="eastAsia" w:ascii="仿宋_GB2312" w:hAnsi="仿宋_GB2312" w:cs="仿宋_GB2312"/>
          <w:highlight w:val="none"/>
          <w:lang w:val="en-GB"/>
        </w:rPr>
        <w:t>负债平均规模，应当</w:t>
      </w:r>
      <w:r>
        <w:rPr>
          <w:rFonts w:hint="eastAsia" w:ascii="仿宋_GB2312" w:hAnsi="仿宋_GB2312" w:cs="仿宋_GB2312"/>
          <w:highlight w:val="none"/>
        </w:rPr>
        <w:t>与计算负债成本率时采用</w:t>
      </w:r>
      <w:r>
        <w:rPr>
          <w:rFonts w:hint="eastAsia" w:ascii="仿宋_GB2312" w:hAnsi="仿宋_GB2312" w:cs="仿宋_GB2312"/>
          <w:highlight w:val="none"/>
          <w:lang w:val="en-GB"/>
        </w:rPr>
        <w:t>的负债平均规模数据保持一致</w:t>
      </w:r>
      <w:r>
        <w:rPr>
          <w:rFonts w:hint="eastAsia" w:ascii="仿宋_GB2312" w:hAnsi="仿宋_GB2312" w:eastAsia="仿宋_GB2312" w:cs="仿宋_GB2312"/>
          <w:highlight w:val="none"/>
        </w:rPr>
        <w:t>，</w:t>
      </w:r>
      <w:r>
        <w:rPr>
          <w:rFonts w:hint="eastAsia" w:ascii="仿宋_GB2312" w:hAnsi="仿宋_GB2312" w:cs="仿宋_GB2312"/>
          <w:highlight w:val="none"/>
          <w:lang w:val="en-GB"/>
        </w:rPr>
        <w:t>过去X年负债平均规模</w:t>
      </w:r>
      <w:r>
        <w:rPr>
          <w:rFonts w:hint="eastAsia" w:ascii="仿宋_GB2312" w:hAnsi="仿宋_GB2312" w:cs="仿宋_GB2312"/>
          <w:highlight w:val="none"/>
        </w:rPr>
        <w:t>为过去第一年至过去第X年负债平均规模的算术平均数</w:t>
      </w:r>
      <w:r>
        <w:rPr>
          <w:rFonts w:hint="eastAsia" w:ascii="仿宋_GB2312" w:hAnsi="仿宋_GB2312" w:cs="仿宋_GB2312"/>
          <w:highlight w:val="none"/>
          <w:lang w:val="en-GB"/>
        </w:rPr>
        <w:t>。</w:t>
      </w:r>
      <w:r>
        <w:rPr>
          <w:rFonts w:hint="eastAsia" w:ascii="仿宋_GB2312" w:hAnsi="仿宋_GB2312" w:cs="仿宋_GB2312"/>
          <w:bCs/>
          <w:highlight w:val="none"/>
          <w:lang w:val="en-GB"/>
        </w:rPr>
        <w:t>在计算普通账户成本收益覆盖率及需要规模调整的利差指标时，应当在投资收益中扣除公司发行次级债、资本补充债</w:t>
      </w:r>
      <w:r>
        <w:rPr>
          <w:rFonts w:hint="eastAsia" w:ascii="仿宋_GB2312" w:hAnsi="仿宋_GB2312" w:cs="仿宋_GB2312"/>
          <w:bCs/>
          <w:highlight w:val="none"/>
        </w:rPr>
        <w:t>和无固定期限资本债账户</w:t>
      </w:r>
      <w:r>
        <w:rPr>
          <w:rFonts w:hint="eastAsia" w:ascii="仿宋_GB2312" w:hAnsi="仿宋_GB2312" w:cs="仿宋_GB2312"/>
          <w:bCs/>
          <w:highlight w:val="none"/>
          <w:lang w:val="en-GB"/>
        </w:rPr>
        <w:t>的利息支出。</w:t>
      </w:r>
    </w:p>
    <w:p>
      <w:pPr>
        <w:pStyle w:val="5"/>
        <w:ind w:firstLine="640"/>
        <w:rPr>
          <w:highlight w:val="none"/>
        </w:rPr>
      </w:pPr>
      <w:r>
        <w:rPr>
          <w:rFonts w:hint="eastAsia" w:ascii="仿宋_GB2312" w:hAnsi="仿宋_GB2312" w:cs="仿宋_GB2312"/>
          <w:highlight w:val="none"/>
        </w:rPr>
        <w:t>11.成本收益匹配压力测</w:t>
      </w:r>
      <w:r>
        <w:rPr>
          <w:rFonts w:hint="eastAsia"/>
          <w:highlight w:val="none"/>
        </w:rPr>
        <w:t>试假设</w:t>
      </w:r>
    </w:p>
    <w:p>
      <w:pPr>
        <w:ind w:firstLine="640"/>
        <w:rPr>
          <w:highlight w:val="none"/>
        </w:rPr>
      </w:pPr>
      <w:r>
        <w:rPr>
          <w:rFonts w:hint="eastAsia" w:cs="MS Mincho"/>
          <w:highlight w:val="none"/>
        </w:rPr>
        <w:t>成本收益匹配压力测试基础情景</w:t>
      </w:r>
      <w:r>
        <w:rPr>
          <w:rFonts w:hint="eastAsia"/>
          <w:highlight w:val="none"/>
        </w:rPr>
        <w:t>预测假设应根据历史经验和对未来趋势的判断，并与公司经营规划一致。</w:t>
      </w:r>
      <w:r>
        <w:rPr>
          <w:highlight w:val="none"/>
        </w:rPr>
        <w:t>新业务假设应与经董事会或管理层批准的公司业务规划一致。费用假设应与经董事会或管理层批准的公司业务规划和财务预算一致</w:t>
      </w:r>
      <w:r>
        <w:rPr>
          <w:rFonts w:hint="eastAsia"/>
          <w:highlight w:val="none"/>
        </w:rPr>
        <w:t>。</w:t>
      </w:r>
      <w:r>
        <w:rPr>
          <w:highlight w:val="none"/>
        </w:rPr>
        <w:t>投资假设应与经董事会或管理层批准的公司资产战略配置规划保持一致。分红保险保单红利和万能保险结算利率相关假设应符合公司分红保险业务、万能保险业务的实际管理策略。对股东的股利分配假设应符合公司的股利政策的实际经验。</w:t>
      </w:r>
    </w:p>
    <w:p>
      <w:pPr>
        <w:ind w:firstLine="640"/>
        <w:rPr>
          <w:highlight w:val="none"/>
        </w:rPr>
      </w:pPr>
      <w:r>
        <w:rPr>
          <w:rFonts w:hint="eastAsia"/>
          <w:highlight w:val="none"/>
        </w:rPr>
        <w:t>基础情景下公司普通账户、传统保险账户、分红保险账户和万能保险账户未来三年的资产配置占比，应填报各大类资产占各账户资金运用净额的比例。次级债、资本补充债和无固定期限资本债账户、资本金账户的资产配置比例状况，可与传统保险账户合并填报。同时须填报各账户资金运用净额占公司普通账户的比例。</w:t>
      </w:r>
    </w:p>
    <w:p>
      <w:pPr>
        <w:ind w:firstLine="640"/>
        <w:rPr>
          <w:rFonts w:ascii="仿宋_GB2312" w:cs="MS Mincho"/>
          <w:highlight w:val="none"/>
        </w:rPr>
      </w:pPr>
      <w:r>
        <w:rPr>
          <w:rFonts w:hint="eastAsia" w:ascii="仿宋_GB2312" w:cs="MS Mincho"/>
          <w:highlight w:val="none"/>
        </w:rPr>
        <w:t>成本收益匹配压力测试的压力情景由国家金融监督管理总局定期发布更新。压力情景测试频率为年度，</w:t>
      </w:r>
      <w:r>
        <w:rPr>
          <w:rFonts w:ascii="仿宋_GB2312" w:hAnsi="宋体"/>
          <w:highlight w:val="none"/>
        </w:rPr>
        <w:t>每年</w:t>
      </w:r>
      <w:r>
        <w:rPr>
          <w:rFonts w:hint="eastAsia" w:ascii="仿宋_GB2312" w:hAnsi="宋体"/>
          <w:highlight w:val="none"/>
        </w:rPr>
        <w:t>在第</w:t>
      </w:r>
      <w:r>
        <w:rPr>
          <w:rFonts w:ascii="仿宋_GB2312" w:hAnsi="宋体"/>
          <w:highlight w:val="none"/>
        </w:rPr>
        <w:t>四季度</w:t>
      </w:r>
      <w:r>
        <w:rPr>
          <w:rFonts w:hint="eastAsia" w:ascii="仿宋_GB2312" w:hAnsi="宋体"/>
          <w:highlight w:val="none"/>
        </w:rPr>
        <w:t>的报告中</w:t>
      </w:r>
      <w:r>
        <w:rPr>
          <w:rFonts w:ascii="仿宋_GB2312" w:hAnsi="宋体"/>
          <w:highlight w:val="none"/>
        </w:rPr>
        <w:t>进行更新</w:t>
      </w:r>
      <w:r>
        <w:rPr>
          <w:rFonts w:hint="eastAsia" w:ascii="仿宋_GB2312" w:hAnsi="宋体"/>
          <w:highlight w:val="none"/>
        </w:rPr>
        <w:t>填报</w:t>
      </w:r>
      <w:r>
        <w:rPr>
          <w:rFonts w:ascii="仿宋_GB2312" w:hAnsi="宋体"/>
          <w:highlight w:val="none"/>
        </w:rPr>
        <w:t>，</w:t>
      </w:r>
      <w:r>
        <w:rPr>
          <w:rFonts w:hint="eastAsia" w:ascii="仿宋_GB2312" w:hAnsi="宋体"/>
          <w:highlight w:val="none"/>
        </w:rPr>
        <w:t>若年度报告经</w:t>
      </w:r>
      <w:r>
        <w:rPr>
          <w:rFonts w:ascii="仿宋_GB2312" w:hAnsi="宋体"/>
          <w:highlight w:val="none"/>
        </w:rPr>
        <w:t>董事会审批后有调整的，</w:t>
      </w:r>
      <w:r>
        <w:rPr>
          <w:rFonts w:hint="eastAsia" w:ascii="仿宋_GB2312" w:hAnsi="宋体"/>
          <w:highlight w:val="none"/>
        </w:rPr>
        <w:t>应</w:t>
      </w:r>
      <w:r>
        <w:rPr>
          <w:rFonts w:ascii="仿宋_GB2312" w:hAnsi="宋体"/>
          <w:highlight w:val="none"/>
        </w:rPr>
        <w:t>在年</w:t>
      </w:r>
      <w:r>
        <w:rPr>
          <w:rFonts w:hint="eastAsia" w:ascii="仿宋_GB2312" w:hAnsi="宋体"/>
          <w:highlight w:val="none"/>
        </w:rPr>
        <w:t>度</w:t>
      </w:r>
      <w:r>
        <w:rPr>
          <w:rFonts w:ascii="仿宋_GB2312" w:hAnsi="宋体"/>
          <w:highlight w:val="none"/>
        </w:rPr>
        <w:t>报</w:t>
      </w:r>
      <w:r>
        <w:rPr>
          <w:rFonts w:hint="eastAsia" w:ascii="仿宋_GB2312" w:hAnsi="宋体"/>
          <w:highlight w:val="none"/>
        </w:rPr>
        <w:t>告</w:t>
      </w:r>
      <w:r>
        <w:rPr>
          <w:rFonts w:ascii="仿宋_GB2312" w:hAnsi="宋体"/>
          <w:highlight w:val="none"/>
        </w:rPr>
        <w:t>中对数据进行调整并</w:t>
      </w:r>
      <w:r>
        <w:rPr>
          <w:rFonts w:hint="eastAsia" w:ascii="仿宋_GB2312" w:hAnsi="宋体"/>
          <w:highlight w:val="none"/>
        </w:rPr>
        <w:t>在</w:t>
      </w:r>
      <w:r>
        <w:rPr>
          <w:rFonts w:ascii="仿宋_GB2312" w:hAnsi="宋体"/>
          <w:highlight w:val="none"/>
        </w:rPr>
        <w:t>备注</w:t>
      </w:r>
      <w:r>
        <w:rPr>
          <w:rFonts w:hint="eastAsia" w:ascii="仿宋_GB2312" w:hAnsi="宋体"/>
          <w:highlight w:val="none"/>
        </w:rPr>
        <w:t>中</w:t>
      </w:r>
      <w:r>
        <w:rPr>
          <w:rFonts w:ascii="仿宋_GB2312" w:hAnsi="宋体"/>
          <w:highlight w:val="none"/>
        </w:rPr>
        <w:t>说明</w:t>
      </w:r>
      <w:r>
        <w:rPr>
          <w:rFonts w:hint="eastAsia" w:ascii="仿宋_GB2312" w:cs="MS Mincho"/>
          <w:highlight w:val="none"/>
        </w:rPr>
        <w:t>，季度报告</w:t>
      </w:r>
      <w:r>
        <w:rPr>
          <w:rFonts w:hint="eastAsia" w:cs="Arial"/>
          <w:highlight w:val="none"/>
        </w:rPr>
        <w:t>若无数据更新，可采用上期数</w:t>
      </w:r>
      <w:r>
        <w:rPr>
          <w:rFonts w:hint="eastAsia" w:ascii="仿宋_GB2312" w:cs="MS Mincho"/>
          <w:highlight w:val="none"/>
        </w:rPr>
        <w:t>。</w:t>
      </w:r>
    </w:p>
    <w:p>
      <w:pPr>
        <w:pStyle w:val="5"/>
        <w:widowControl w:val="0"/>
        <w:adjustRightInd w:val="0"/>
        <w:snapToGrid w:val="0"/>
        <w:spacing w:line="560" w:lineRule="exact"/>
        <w:ind w:firstLine="640" w:firstLineChars="200"/>
        <w:rPr>
          <w:highlight w:val="none"/>
        </w:rPr>
      </w:pPr>
      <w:r>
        <w:rPr>
          <w:rFonts w:hint="eastAsia" w:ascii="仿宋_GB2312" w:hAnsi="仿宋_GB2312" w:cs="仿宋_GB2312"/>
          <w:highlight w:val="none"/>
        </w:rPr>
        <w:t>12.压力情景一</w:t>
      </w:r>
      <w:r>
        <w:rPr>
          <w:rFonts w:hint="eastAsia" w:ascii="仿宋_GB2312" w:hAnsi="仿宋_GB2312" w:eastAsia="仿宋_GB2312" w:cs="仿宋_GB2312"/>
          <w:kern w:val="2"/>
          <w:sz w:val="32"/>
          <w:szCs w:val="22"/>
          <w:lang w:val="en-US" w:eastAsia="zh-CN" w:bidi="ar-SA"/>
        </w:rPr>
        <w:t>宏观</w:t>
      </w:r>
      <w:r>
        <w:rPr>
          <w:rFonts w:eastAsia="仿宋_GB2312" w:cs="Arial" w:asciiTheme="minorHAnsi" w:hAnsiTheme="minorHAnsi"/>
          <w:kern w:val="2"/>
          <w:sz w:val="32"/>
          <w:szCs w:val="22"/>
          <w:lang w:val="en-US" w:eastAsia="zh-CN" w:bidi="ar-SA"/>
        </w:rPr>
        <w:t>经济下行情景</w:t>
      </w:r>
      <w:r>
        <w:rPr>
          <w:rFonts w:hint="eastAsia"/>
          <w:highlight w:val="none"/>
        </w:rPr>
        <w:t>评估指标</w:t>
      </w:r>
    </w:p>
    <w:p>
      <w:pPr>
        <w:ind w:firstLine="640"/>
        <w:rPr>
          <w:rFonts w:ascii="仿宋_GB2312"/>
          <w:highlight w:val="none"/>
        </w:rPr>
      </w:pPr>
      <w:r>
        <w:rPr>
          <w:rFonts w:hint="eastAsia"/>
          <w:highlight w:val="none"/>
        </w:rPr>
        <w:t>评估指标为压力情景一宏观</w:t>
      </w:r>
      <w:r>
        <w:rPr>
          <w:rFonts w:hint="eastAsia" w:ascii="仿宋_GB2312" w:hAnsi="宋体" w:cs="MS Mincho"/>
          <w:highlight w:val="none"/>
        </w:rPr>
        <w:t>经济下行</w:t>
      </w:r>
      <w:r>
        <w:rPr>
          <w:rFonts w:hint="eastAsia"/>
          <w:highlight w:val="none"/>
        </w:rPr>
        <w:t>情景下会计投资收益率与负债保证成本差额，计算方法如下：</w:t>
      </w:r>
    </w:p>
    <w:p>
      <w:pPr>
        <w:ind w:left="640" w:leftChars="200" w:firstLine="640"/>
        <w:rPr>
          <w:rFonts w:ascii="仿宋_GB2312" w:hAnsi="仿宋_GB2312"/>
          <w:highlight w:val="none"/>
        </w:rPr>
      </w:pPr>
      <m:oMathPara>
        <m:oMathParaPr>
          <m:jc m:val="left"/>
        </m:oMathParaPr>
        <m:oMath>
          <m:r>
            <m:rPr>
              <m:sty m:val="p"/>
            </m:rPr>
            <w:rPr>
              <w:rFonts w:hint="eastAsia" w:ascii="DejaVu Math TeX Gyre" w:hAnsi="DejaVu Math TeX Gyre"/>
              <w:highlight w:val="none"/>
            </w:rPr>
            <m:t>压力一宏观经济下行情景利差=（过去第一年会计投资收益率</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cs="仿宋_GB2312"/>
              <w:highlight w:val="none"/>
            </w:rPr>
            <m:t>投资资产损失率）</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cs="仿宋_GB2312"/>
              <w:highlight w:val="none"/>
            </w:rPr>
            <m:t>过去第一年负债保证成本率×（过去第一年负债平均规模÷过去第一年</m:t>
          </m:r>
          <m:r>
            <m:rPr>
              <m:sty m:val="p"/>
            </m:rPr>
            <w:rPr>
              <w:rFonts w:hint="eastAsia" w:ascii="DejaVu Math TeX Gyre" w:hAnsi="DejaVu Math TeX Gyre" w:cs="宋体"/>
              <w:highlight w:val="none"/>
            </w:rPr>
            <m:t>调整后的</m:t>
          </m:r>
          <m:r>
            <m:rPr>
              <m:sty m:val="p"/>
            </m:rPr>
            <w:rPr>
              <w:rFonts w:hint="eastAsia" w:ascii="DejaVu Math TeX Gyre" w:hAnsi="DejaVu Math TeX Gyre"/>
              <w:highlight w:val="none"/>
            </w:rPr>
            <m:t>资金运用平均净额）</m:t>
          </m:r>
        </m:oMath>
      </m:oMathPara>
    </w:p>
    <w:p>
      <w:pPr>
        <w:ind w:left="640" w:leftChars="200" w:firstLine="640"/>
        <w:rPr>
          <w:rFonts w:ascii="仿宋_GB2312" w:hAnsi="仿宋_GB2312"/>
          <w:highlight w:val="none"/>
        </w:rPr>
      </w:pPr>
      <m:oMathPara>
        <m:oMathParaPr>
          <m:jc m:val="left"/>
        </m:oMathParaPr>
        <m:oMath>
          <m:r>
            <m:rPr>
              <m:sty m:val="p"/>
            </m:rPr>
            <w:rPr>
              <w:rFonts w:hint="eastAsia" w:ascii="DejaVu Math TeX Gyre" w:hAnsi="DejaVu Math TeX Gyre"/>
              <w:highlight w:val="none"/>
            </w:rPr>
            <m:t>投资资产损失率=（压力前资金运用净额账面价值</m:t>
          </m:r>
          <m:r>
            <m:rPr>
              <m:sty m:val="p"/>
            </m:rPr>
            <w:rPr>
              <w:rFonts w:hint="eastAsia" w:ascii="DejaVu Math TeX Gyre" w:hAnsi="DejaVu Math TeX Gyre" w:eastAsia="微软雅黑" w:cs="微软雅黑"/>
              <w:highlight w:val="none"/>
            </w:rPr>
            <m:t>−</m:t>
          </m:r>
          <m:r>
            <m:rPr>
              <m:sty m:val="p"/>
            </m:rPr>
            <w:rPr>
              <w:rFonts w:hint="eastAsia" w:ascii="DejaVu Math TeX Gyre" w:hAnsi="DejaVu Math TeX Gyre" w:cs="仿宋_GB2312"/>
              <w:highlight w:val="none"/>
            </w:rPr>
            <m:t>压力后资金运用净额账面价值）÷压力前资金运用净额账面价</m:t>
          </m:r>
          <m:r>
            <m:rPr>
              <m:sty m:val="p"/>
            </m:rPr>
            <w:rPr>
              <w:rFonts w:hint="eastAsia" w:ascii="DejaVu Math TeX Gyre" w:hAnsi="DejaVu Math TeX Gyre"/>
              <w:highlight w:val="none"/>
            </w:rPr>
            <m:t>值</m:t>
          </m:r>
        </m:oMath>
      </m:oMathPara>
    </w:p>
    <w:p>
      <w:pPr>
        <w:ind w:firstLine="640"/>
        <w:rPr>
          <w:highlight w:val="none"/>
        </w:rPr>
      </w:pPr>
      <w:r>
        <w:rPr>
          <w:rFonts w:hint="eastAsia"/>
          <w:highlight w:val="none"/>
        </w:rPr>
        <w:t>计算</w:t>
      </w:r>
      <m:oMath>
        <m:r>
          <m:rPr>
            <m:sty m:val="p"/>
          </m:rPr>
          <w:rPr>
            <w:rFonts w:hint="eastAsia" w:ascii="DejaVu Math TeX Gyre" w:hAnsi="DejaVu Math TeX Gyre"/>
            <w:highlight w:val="none"/>
          </w:rPr>
          <m:t>压力一宏观经济下行情景利差</m:t>
        </m:r>
      </m:oMath>
      <w:r>
        <w:rPr>
          <w:rFonts w:hint="eastAsia"/>
          <w:highlight w:val="none"/>
        </w:rPr>
        <w:t>指标的相关数据，均填报报告期末过去最近日历年度的年度报告数据，并在每年四季度更新为报告期所在年度的期末数据。</w:t>
      </w:r>
    </w:p>
    <w:p>
      <w:pPr>
        <w:ind w:firstLine="640"/>
        <w:rPr>
          <w:rFonts w:hAnsi="仿宋" w:cs="宋体"/>
          <w:highlight w:val="none"/>
        </w:rPr>
      </w:pPr>
      <w:r>
        <w:rPr>
          <w:rFonts w:hint="eastAsia"/>
          <w:highlight w:val="none"/>
        </w:rPr>
        <w:t>在计算压力一宏观经济下行情景普通账户利差时，应当在投资收益中扣除公司发行次级债、资本补充债和无固定期限资本债账户的利息支出</w:t>
      </w:r>
      <w:r>
        <w:rPr>
          <w:rFonts w:hint="eastAsia" w:hAnsi="仿宋" w:cs="宋体"/>
          <w:highlight w:val="none"/>
        </w:rPr>
        <w:t>。</w:t>
      </w:r>
    </w:p>
    <w:p>
      <w:pPr>
        <w:pStyle w:val="5"/>
        <w:widowControl w:val="0"/>
        <w:adjustRightInd w:val="0"/>
        <w:snapToGrid w:val="0"/>
        <w:spacing w:line="560" w:lineRule="exact"/>
        <w:ind w:firstLine="640" w:firstLineChars="200"/>
        <w:rPr>
          <w:highlight w:val="none"/>
        </w:rPr>
      </w:pPr>
      <w:r>
        <w:rPr>
          <w:rFonts w:hint="eastAsia" w:ascii="仿宋_GB2312" w:hAnsi="仿宋_GB2312" w:cs="仿宋_GB2312"/>
          <w:highlight w:val="none"/>
        </w:rPr>
        <w:t>13.压力情景二</w:t>
      </w:r>
      <w:r>
        <w:rPr>
          <w:rFonts w:hint="eastAsia" w:ascii="仿宋_GB2312" w:hAnsi="仿宋_GB2312" w:eastAsia="仿宋_GB2312" w:cs="仿宋_GB2312"/>
          <w:kern w:val="2"/>
          <w:sz w:val="32"/>
          <w:szCs w:val="22"/>
          <w:lang w:val="en-US" w:eastAsia="zh-CN" w:bidi="ar-SA"/>
        </w:rPr>
        <w:t>利率上行</w:t>
      </w:r>
      <w:r>
        <w:rPr>
          <w:rFonts w:eastAsia="仿宋_GB2312" w:cs="Arial" w:asciiTheme="minorHAnsi" w:hAnsiTheme="minorHAnsi"/>
          <w:kern w:val="2"/>
          <w:sz w:val="32"/>
          <w:szCs w:val="22"/>
          <w:lang w:val="en-US" w:eastAsia="zh-CN" w:bidi="ar-SA"/>
        </w:rPr>
        <w:t>压力情景</w:t>
      </w:r>
      <w:r>
        <w:rPr>
          <w:rFonts w:hint="eastAsia"/>
          <w:highlight w:val="none"/>
        </w:rPr>
        <w:t>评估指标</w:t>
      </w:r>
    </w:p>
    <w:p>
      <w:pPr>
        <w:ind w:firstLine="640"/>
        <w:rPr>
          <w:rFonts w:hint="eastAsia" w:ascii="仿宋_GB2312" w:hAnsi="仿宋_GB2312" w:cs="仿宋_GB2312"/>
          <w:highlight w:val="none"/>
        </w:rPr>
      </w:pPr>
      <w:r>
        <w:rPr>
          <w:rFonts w:hint="eastAsia" w:ascii="仿宋_GB2312" w:hAnsi="仿宋_GB2312" w:cs="仿宋_GB2312"/>
          <w:highlight w:val="none"/>
        </w:rPr>
        <w:t>评估指标为压力情景二利率上行压力情景下未来三年的会计投资收益率与负债资金成本率差额，计算方法如下：</w:t>
      </w:r>
    </w:p>
    <w:p>
      <w:pPr>
        <w:ind w:firstLine="640"/>
        <w:rPr>
          <w:rFonts w:hint="eastAsia" w:ascii="仿宋_GB2312" w:hAnsi="仿宋_GB2312" w:cs="仿宋_GB2312"/>
          <w:highlight w:val="none"/>
        </w:rPr>
      </w:pPr>
      <w:r>
        <w:rPr>
          <w:rFonts w:hint="eastAsia" w:ascii="仿宋_GB2312" w:hAnsi="仿宋_GB2312" w:cs="仿宋_GB2312"/>
          <w:highlight w:val="none"/>
        </w:rPr>
        <w:t>压力二利率上行情景预测第X年利差=预测第X年会计投资收益率-预测第X年负债资金成本率×（预测未来第X年度负债平均规模÷预测未来第X年度调整后的资金运用平均净额）</w:t>
      </w:r>
    </w:p>
    <w:p>
      <w:pPr>
        <w:ind w:firstLine="640"/>
        <w:rPr>
          <w:rFonts w:ascii="宋体" w:hAnsi="Cambria Math"/>
          <w:highlight w:val="none"/>
        </w:rPr>
      </w:pPr>
      <w:r>
        <w:rPr>
          <w:rFonts w:hint="eastAsia"/>
          <w:highlight w:val="none"/>
        </w:rPr>
        <w:t>“存量”对应报告期末公司持有的投资资产和有效业务负债</w:t>
      </w:r>
      <w:r>
        <w:rPr>
          <w:rFonts w:hint="eastAsia" w:ascii="仿宋_GB2312" w:hAnsi="宋体"/>
          <w:highlight w:val="none"/>
        </w:rPr>
        <w:t>（</w:t>
      </w:r>
      <w:r>
        <w:rPr>
          <w:rFonts w:hint="eastAsia"/>
          <w:highlight w:val="none"/>
        </w:rPr>
        <w:t>含传统保险产品、分红保险产品的续期业务等），</w:t>
      </w:r>
      <w:r>
        <w:rPr>
          <w:rFonts w:hint="eastAsia" w:ascii="仿宋_GB2312" w:hAnsi="宋体"/>
          <w:highlight w:val="none"/>
        </w:rPr>
        <w:t>在未来各年度末仍然存续的投资资产和有效业务负债；</w:t>
      </w:r>
      <w:r>
        <w:rPr>
          <w:rFonts w:hint="eastAsia"/>
          <w:highlight w:val="none"/>
        </w:rPr>
        <w:t>“新增”对应在报告期后公司新增资产或再投资产生的资产和新增保险业务负债（含万能保险产品的</w:t>
      </w:r>
      <w:bookmarkStart w:id="29" w:name="OLE_LINK9"/>
      <w:bookmarkStart w:id="30" w:name="OLE_LINK8"/>
      <w:r>
        <w:rPr>
          <w:rFonts w:hint="eastAsia"/>
          <w:highlight w:val="none"/>
        </w:rPr>
        <w:t>追加</w:t>
      </w:r>
      <w:bookmarkEnd w:id="29"/>
      <w:bookmarkEnd w:id="30"/>
      <w:r>
        <w:rPr>
          <w:rFonts w:hint="eastAsia"/>
          <w:highlight w:val="none"/>
        </w:rPr>
        <w:t>业务等），</w:t>
      </w:r>
      <w:r>
        <w:rPr>
          <w:rFonts w:hint="eastAsia" w:ascii="仿宋_GB2312" w:hAnsi="宋体"/>
          <w:highlight w:val="none"/>
        </w:rPr>
        <w:t>“新增”不得为负值</w:t>
      </w:r>
      <w:r>
        <w:rPr>
          <w:rFonts w:hint="eastAsia"/>
          <w:highlight w:val="none"/>
        </w:rPr>
        <w:t>。关于各大类账户“资产占比”，指各大类账户调整后的资金运用净额占普通账户调整后的资金运用净额的比例；各大类账户存量或新增“资产占比”，指各大类账户存量资产或新增资产调整后的资金运用净额占各大类账户调整后的资金运用净额的比例。</w:t>
      </w:r>
    </w:p>
    <w:p>
      <w:pPr>
        <w:ind w:firstLine="640"/>
        <w:rPr>
          <w:rFonts w:ascii="宋体" w:hAnsi="Cambria Math"/>
          <w:highlight w:val="none"/>
        </w:rPr>
      </w:pPr>
      <w:r>
        <w:rPr>
          <w:rFonts w:hint="eastAsia" w:ascii="仿宋_GB2312" w:hAnsi="仿宋_GB2312" w:cs="仿宋_GB2312"/>
          <w:highlight w:val="none"/>
        </w:rPr>
        <w:t>未来</w:t>
      </w:r>
      <w:r>
        <w:rPr>
          <w:rFonts w:hint="eastAsia" w:ascii="仿宋_GB2312"/>
          <w:highlight w:val="none"/>
        </w:rPr>
        <w:t>第X年度调整后的资金运用平均净额为未来第X年年初与未来第X年末调整后的资金运用净额的算术平均值</w:t>
      </w:r>
      <w:r>
        <w:rPr>
          <w:rFonts w:hint="eastAsia" w:ascii="仿宋_GB2312" w:hAnsi="仿宋_GB2312" w:cs="仿宋_GB2312"/>
          <w:highlight w:val="none"/>
        </w:rPr>
        <w:t>，</w:t>
      </w:r>
      <w:r>
        <w:rPr>
          <w:rFonts w:hint="eastAsia" w:ascii="宋体" w:hAnsi="Cambria Math"/>
          <w:highlight w:val="none"/>
        </w:rPr>
        <w:t>未来第X年度负债平均规模与对应预测负债成本的负债规模数据保持口径一致。</w:t>
      </w:r>
    </w:p>
    <w:p>
      <w:pPr>
        <w:ind w:firstLine="640"/>
        <w:rPr>
          <w:rFonts w:ascii="仿宋_GB2312"/>
          <w:highlight w:val="none"/>
        </w:rPr>
      </w:pPr>
      <w:r>
        <w:rPr>
          <w:rFonts w:hint="eastAsia"/>
          <w:highlight w:val="none"/>
        </w:rPr>
        <w:t>在计算压力二利率上行压力情景普通账户利差时，应当在投资收益中扣除公司发行次级债、资本补充债和无固定期限资本债账户的利息支出</w:t>
      </w:r>
      <w:r>
        <w:rPr>
          <w:rFonts w:hint="eastAsia" w:ascii="仿宋_GB2312"/>
          <w:highlight w:val="none"/>
        </w:rPr>
        <w:t>。</w:t>
      </w:r>
    </w:p>
    <w:p>
      <w:pPr>
        <w:pStyle w:val="5"/>
        <w:ind w:firstLine="640"/>
        <w:rPr>
          <w:rFonts w:hint="eastAsia" w:ascii="仿宋_GB2312" w:hAnsi="仿宋_GB2312" w:cs="仿宋_GB2312"/>
          <w:highlight w:val="none"/>
        </w:rPr>
      </w:pPr>
      <w:r>
        <w:rPr>
          <w:rFonts w:hint="eastAsia" w:ascii="仿宋_GB2312" w:hAnsi="仿宋_GB2312" w:cs="仿宋_GB2312"/>
          <w:highlight w:val="none"/>
        </w:rPr>
        <w:t>14.压力情景三利率下行压力情景评估指标</w:t>
      </w:r>
    </w:p>
    <w:p>
      <w:pPr>
        <w:ind w:firstLine="640"/>
        <w:rPr>
          <w:rFonts w:hint="eastAsia" w:ascii="仿宋_GB2312" w:hAnsi="仿宋_GB2312" w:cs="仿宋_GB2312"/>
          <w:highlight w:val="none"/>
        </w:rPr>
      </w:pPr>
      <w:r>
        <w:rPr>
          <w:rFonts w:hint="eastAsia" w:ascii="仿宋_GB2312" w:hAnsi="仿宋_GB2312" w:cs="仿宋_GB2312"/>
          <w:highlight w:val="none"/>
        </w:rPr>
        <w:t>评估指标为压力情景三利率下行压力情景下未来三年的固定收益类投资资产到期收益率与负债保证成本率差额，计算方法如下：</w:t>
      </w:r>
    </w:p>
    <w:p>
      <w:pPr>
        <w:ind w:firstLine="640"/>
        <w:rPr>
          <w:rFonts w:hint="eastAsia" w:ascii="仿宋_GB2312" w:hAnsi="仿宋_GB2312" w:cs="仿宋_GB2312"/>
          <w:highlight w:val="none"/>
        </w:rPr>
      </w:pPr>
      <w:r>
        <w:rPr>
          <w:rFonts w:hint="eastAsia" w:ascii="仿宋_GB2312" w:hAnsi="仿宋_GB2312" w:cs="仿宋_GB2312"/>
          <w:highlight w:val="none"/>
        </w:rPr>
        <w:t>压力三利率下行情景预测第X年利差=预测未来第X年可计算现金流的固定收益类投资资产到期收益率-预测未来第X年负债保证成本率</w:t>
      </w:r>
    </w:p>
    <w:p>
      <w:pPr>
        <w:ind w:firstLine="640"/>
        <w:rPr>
          <w:highlight w:val="none"/>
        </w:rPr>
      </w:pPr>
      <w:r>
        <w:rPr>
          <w:rFonts w:hint="eastAsia"/>
          <w:highlight w:val="none"/>
        </w:rPr>
        <w:t>“存量”对应报告期末公司持有的可计算现金流的固定收益类投资资产和有效业务负债</w:t>
      </w:r>
      <w:r>
        <w:rPr>
          <w:rFonts w:hint="eastAsia" w:ascii="仿宋_GB2312" w:hAnsi="宋体"/>
          <w:highlight w:val="none"/>
        </w:rPr>
        <w:t>（</w:t>
      </w:r>
      <w:r>
        <w:rPr>
          <w:rFonts w:hint="eastAsia"/>
          <w:highlight w:val="none"/>
        </w:rPr>
        <w:t>含传统保险产品、分红保险产品的续期业务等），</w:t>
      </w:r>
      <w:r>
        <w:rPr>
          <w:rFonts w:hint="eastAsia" w:ascii="仿宋_GB2312" w:hAnsi="宋体"/>
          <w:highlight w:val="none"/>
        </w:rPr>
        <w:t>在未来各年度末仍然存续的</w:t>
      </w:r>
      <w:r>
        <w:rPr>
          <w:rFonts w:hint="eastAsia"/>
          <w:highlight w:val="none"/>
        </w:rPr>
        <w:t>可计算现金流的固定收益类</w:t>
      </w:r>
      <w:r>
        <w:rPr>
          <w:rFonts w:hint="eastAsia" w:ascii="仿宋_GB2312" w:hAnsi="宋体"/>
          <w:highlight w:val="none"/>
        </w:rPr>
        <w:t>投资资产和有效业务负债；</w:t>
      </w:r>
      <w:r>
        <w:rPr>
          <w:rFonts w:hint="eastAsia"/>
          <w:highlight w:val="none"/>
        </w:rPr>
        <w:t>“新增”对应在报告期后公司新增或再投资产生的可计算现金流的固定收益类投资资产和新增保险业务负债（含万能保险产品的追加业务等），</w:t>
      </w:r>
      <w:r>
        <w:rPr>
          <w:rFonts w:hint="eastAsia" w:ascii="仿宋_GB2312" w:hAnsi="宋体"/>
          <w:highlight w:val="none"/>
        </w:rPr>
        <w:t>“新增”不得为负值</w:t>
      </w:r>
      <w:r>
        <w:rPr>
          <w:rFonts w:hint="eastAsia"/>
          <w:highlight w:val="none"/>
        </w:rPr>
        <w:t>。</w:t>
      </w:r>
    </w:p>
    <w:p>
      <w:pPr>
        <w:ind w:firstLine="640"/>
        <w:rPr>
          <w:highlight w:val="none"/>
        </w:rPr>
      </w:pPr>
      <w:r>
        <w:rPr>
          <w:rFonts w:hint="eastAsia"/>
          <w:highlight w:val="none"/>
        </w:rPr>
        <w:t>关于各大类账户未来三年的“可计算现金流的固定收益类投资资产占比”，应填报各账户可计算现金流的固定收益类投资资产的摊余成本占普通账户整体可计算现金流的固定收益类投资资产的摊余成本的比例；各大类账户存量或新增“可计算现金流的固定收益类投资资产占比”，应填报各大类账户存量或新增的可计算现金流的固定收益类投资资产的摊余成本占各大类账户整体可计算现金流的固定收益类投资资产的摊余成本的比例。</w:t>
      </w:r>
    </w:p>
    <w:p>
      <w:pPr>
        <w:ind w:firstLine="640"/>
        <w:rPr>
          <w:rFonts w:hint="eastAsia" w:ascii="仿宋_GB2312" w:hAnsi="仿宋_GB2312" w:cs="仿宋_GB2312"/>
          <w:highlight w:val="none"/>
        </w:rPr>
      </w:pPr>
      <w:r>
        <w:rPr>
          <w:rFonts w:hint="eastAsia" w:ascii="仿宋_GB2312" w:hAnsi="仿宋_GB2312" w:cs="仿宋_GB2312"/>
          <w:highlight w:val="none"/>
        </w:rPr>
        <w:t>普通账户预测未来第X年可计算现金流的固定收益类投资资产到期收益率=（∑k账户预测未来第X年可计算现金流的固定收益类投资资产摊余成本×k账户预测未来第X年可计算现金流的固定收益类投资资产到期收益率）÷（∑k账户预测未来第X年可计算现金流的固定收益类投资资产摊余成本）×100%</w:t>
      </w:r>
    </w:p>
    <w:p>
      <w:pPr>
        <w:ind w:firstLine="640"/>
        <w:rPr>
          <w:rFonts w:hint="eastAsia" w:ascii="仿宋_GB2312" w:hAnsi="仿宋_GB2312" w:cs="仿宋_GB2312"/>
          <w:highlight w:val="none"/>
        </w:rPr>
      </w:pPr>
      <w:r>
        <w:rPr>
          <w:rFonts w:hint="eastAsia" w:ascii="仿宋_GB2312" w:hAnsi="仿宋_GB2312" w:cs="仿宋_GB2312"/>
          <w:highlight w:val="none"/>
        </w:rPr>
        <w:t>普通账户预测未来第X年负债保证成本率=（</w:t>
      </w:r>
      <w:r>
        <w:rPr>
          <w:rFonts w:hint="eastAsia" w:ascii="仿宋_GB2312" w:hAnsi="仿宋_GB2312" w:cs="仿宋_GB2312"/>
          <w:highlight w:val="none"/>
        </w:rPr>
        <w:t>∑</w:t>
      </w:r>
      <w:r>
        <w:rPr>
          <w:rFonts w:hint="eastAsia" w:ascii="仿宋_GB2312" w:hAnsi="仿宋_GB2312" w:cs="仿宋_GB2312"/>
          <w:highlight w:val="none"/>
        </w:rPr>
        <w:t>k</w:t>
      </w:r>
      <w:bookmarkStart w:id="31" w:name="OLE_LINK7"/>
      <w:bookmarkStart w:id="32" w:name="OLE_LINK10"/>
      <w:r>
        <w:rPr>
          <w:rFonts w:hint="eastAsia" w:ascii="仿宋_GB2312" w:hAnsi="仿宋_GB2312" w:cs="仿宋_GB2312"/>
          <w:highlight w:val="none"/>
        </w:rPr>
        <w:t>账户预测</w:t>
      </w:r>
      <w:r>
        <w:rPr>
          <w:rFonts w:hint="eastAsia" w:ascii="仿宋_GB2312" w:hAnsi="仿宋_GB2312" w:cs="仿宋_GB2312"/>
          <w:highlight w:val="none"/>
        </w:rPr>
        <w:t>未来第X年负债平均规模</w:t>
      </w:r>
      <w:bookmarkEnd w:id="31"/>
      <w:bookmarkEnd w:id="32"/>
      <w:r>
        <w:rPr>
          <w:rFonts w:hint="eastAsia" w:ascii="仿宋_GB2312" w:hAnsi="仿宋_GB2312" w:cs="仿宋_GB2312"/>
          <w:highlight w:val="none"/>
        </w:rPr>
        <w:t>×k</w:t>
      </w:r>
      <w:r>
        <w:rPr>
          <w:rFonts w:hint="eastAsia" w:ascii="仿宋_GB2312" w:hAnsi="仿宋_GB2312" w:cs="仿宋_GB2312"/>
          <w:highlight w:val="none"/>
        </w:rPr>
        <w:t>账户</w:t>
      </w:r>
      <w:r>
        <w:rPr>
          <w:rFonts w:hint="eastAsia" w:ascii="仿宋_GB2312" w:hAnsi="仿宋_GB2312" w:cs="仿宋_GB2312"/>
          <w:highlight w:val="none"/>
        </w:rPr>
        <w:t>预测未来第X年负债保证成本率</w:t>
      </w:r>
      <w:r>
        <w:rPr>
          <w:rFonts w:hint="eastAsia" w:ascii="仿宋_GB2312" w:hAnsi="仿宋_GB2312" w:cs="仿宋_GB2312"/>
          <w:highlight w:val="none"/>
        </w:rPr>
        <w:t>）</w:t>
      </w:r>
      <w:r>
        <w:rPr>
          <w:rFonts w:hint="eastAsia" w:ascii="仿宋_GB2312" w:hAnsi="仿宋_GB2312" w:cs="仿宋_GB2312"/>
          <w:highlight w:val="none"/>
        </w:rPr>
        <w:t>÷（</w:t>
      </w:r>
      <w:r>
        <w:rPr>
          <w:rFonts w:hint="eastAsia" w:ascii="仿宋_GB2312" w:hAnsi="仿宋_GB2312" w:cs="仿宋_GB2312"/>
          <w:highlight w:val="none"/>
        </w:rPr>
        <w:t>∑</w:t>
      </w:r>
      <w:r>
        <w:rPr>
          <w:rFonts w:hint="eastAsia" w:ascii="仿宋_GB2312" w:hAnsi="仿宋_GB2312" w:cs="仿宋_GB2312"/>
          <w:highlight w:val="none"/>
        </w:rPr>
        <w:t>k</w:t>
      </w:r>
      <w:r>
        <w:rPr>
          <w:rFonts w:hint="eastAsia" w:ascii="仿宋_GB2312" w:hAnsi="仿宋_GB2312" w:cs="仿宋_GB2312"/>
          <w:highlight w:val="none"/>
        </w:rPr>
        <w:t>账户预测</w:t>
      </w:r>
      <w:r>
        <w:rPr>
          <w:rFonts w:hint="eastAsia" w:ascii="仿宋_GB2312" w:hAnsi="仿宋_GB2312" w:cs="仿宋_GB2312"/>
          <w:highlight w:val="none"/>
        </w:rPr>
        <w:t>未来第X年负债平均规模</w:t>
      </w:r>
      <w:r>
        <w:rPr>
          <w:rFonts w:hint="eastAsia" w:ascii="仿宋_GB2312" w:hAnsi="仿宋_GB2312" w:cs="仿宋_GB2312"/>
          <w:highlight w:val="none"/>
        </w:rPr>
        <w:t>）</w:t>
      </w:r>
      <w:r>
        <w:rPr>
          <w:rFonts w:hint="eastAsia" w:ascii="仿宋_GB2312" w:hAnsi="仿宋_GB2312" w:cs="仿宋_GB2312"/>
          <w:highlight w:val="none"/>
        </w:rPr>
        <w:t>×100%</w:t>
      </w:r>
    </w:p>
    <w:p>
      <w:pPr>
        <w:ind w:firstLine="640"/>
        <w:rPr>
          <w:rFonts w:hint="eastAsia" w:ascii="仿宋_GB2312" w:hAnsi="仿宋_GB2312" w:cs="仿宋_GB2312"/>
          <w:highlight w:val="none"/>
        </w:rPr>
      </w:pPr>
      <w:r>
        <w:rPr>
          <w:rFonts w:hint="eastAsia" w:ascii="仿宋_GB2312" w:hAnsi="仿宋_GB2312" w:cs="仿宋_GB2312"/>
          <w:highlight w:val="none"/>
        </w:rPr>
        <w:t>其中：</w:t>
      </w:r>
      <m:oMath>
        <m:r>
          <w:rPr>
            <w:rFonts w:hint="eastAsia" w:ascii="Cambria Math" w:hAnsi="Cambria Math" w:cs="仿宋_GB2312"/>
            <w:highlight w:val="none"/>
            <w:lang w:val="en-GB"/>
          </w:rPr>
          <m:t>k</m:t>
        </m:r>
      </m:oMath>
      <w:r>
        <w:rPr>
          <w:rFonts w:hint="eastAsia" w:ascii="仿宋_GB2312" w:hAnsi="仿宋_GB2312" w:cs="仿宋_GB2312"/>
          <w:highlight w:val="none"/>
        </w:rPr>
        <w:t>账户包括传统保险账户、分红保险账户、万能保险账户。</w:t>
      </w:r>
    </w:p>
    <w:p>
      <w:pPr>
        <w:ind w:firstLine="640"/>
        <w:rPr>
          <w:rFonts w:hint="eastAsia" w:ascii="仿宋_GB2312" w:hAnsi="仿宋_GB2312" w:cs="仿宋_GB2312"/>
          <w:highlight w:val="none"/>
        </w:rPr>
      </w:pPr>
      <w:r>
        <w:rPr>
          <w:rFonts w:hint="eastAsia" w:ascii="仿宋_GB2312" w:hAnsi="仿宋_GB2312" w:cs="仿宋_GB2312"/>
          <w:highlight w:val="none"/>
        </w:rPr>
        <w:t>未来第X年度负债平均规模与对应预测负债成本的负债规模数据保持口径一致。</w:t>
      </w:r>
    </w:p>
    <w:p>
      <w:pPr>
        <w:pStyle w:val="4"/>
        <w:ind w:firstLine="640"/>
        <w:rPr>
          <w:rFonts w:hint="eastAsia" w:ascii="楷体_GB2312" w:hAnsi="楷体_GB2312" w:eastAsia="楷体_GB2312" w:cs="楷体_GB2312"/>
          <w:highlight w:val="none"/>
        </w:rPr>
      </w:pPr>
      <w:r>
        <w:rPr>
          <w:rFonts w:hint="eastAsia" w:ascii="楷体_GB2312" w:hAnsi="楷体_GB2312" w:eastAsia="楷体_GB2312" w:cs="楷体_GB2312"/>
          <w:highlight w:val="none"/>
        </w:rPr>
        <w:t>（三）流动性匹配计量规则</w:t>
      </w:r>
    </w:p>
    <w:p>
      <w:pPr>
        <w:spacing w:line="560" w:lineRule="exact"/>
        <w:ind w:firstLine="640"/>
        <w:rPr>
          <w:highlight w:val="none"/>
        </w:rPr>
      </w:pPr>
      <w:r>
        <w:rPr>
          <w:rFonts w:hint="eastAsia"/>
          <w:highlight w:val="none"/>
        </w:rPr>
        <w:t>保险公司应当分别计量普通账户、传统保险账户、分红保险账户、万能保险账户的流动性匹配状况。次级债、资本补充债和无固定期限资本债账户、资本金账户与传统保险账户合并计算。</w:t>
      </w:r>
    </w:p>
    <w:p>
      <w:pPr>
        <w:pStyle w:val="5"/>
        <w:spacing w:line="560" w:lineRule="exact"/>
        <w:ind w:firstLine="640"/>
        <w:rPr>
          <w:highlight w:val="none"/>
        </w:rPr>
      </w:pPr>
      <w:r>
        <w:rPr>
          <w:rFonts w:hint="eastAsia" w:ascii="仿宋_GB2312" w:hAnsi="仿宋_GB2312" w:eastAsia="仿宋_GB2312" w:cs="仿宋_GB2312"/>
          <w:highlight w:val="none"/>
        </w:rPr>
        <w:t>1.流动</w:t>
      </w:r>
      <w:r>
        <w:rPr>
          <w:rFonts w:hint="eastAsia"/>
          <w:highlight w:val="none"/>
        </w:rPr>
        <w:t>性覆盖率</w:t>
      </w:r>
    </w:p>
    <w:p>
      <w:pPr>
        <w:widowControl w:val="0"/>
        <w:adjustRightInd w:val="0"/>
        <w:snapToGrid w:val="0"/>
        <w:spacing w:line="560" w:lineRule="exact"/>
        <w:ind w:firstLine="640" w:firstLineChars="200"/>
        <w:jc w:val="both"/>
        <w:rPr>
          <w:rFonts w:hint="eastAsia" w:eastAsia="仿宋_GB2312" w:asciiTheme="minorHAnsi" w:hAnsiTheme="minorHAnsi" w:cstheme="minorBidi"/>
          <w:kern w:val="2"/>
          <w:sz w:val="32"/>
          <w:szCs w:val="22"/>
          <w:highlight w:val="none"/>
          <w:lang w:val="en-US" w:eastAsia="zh-CN" w:bidi="ar-SA"/>
        </w:rPr>
      </w:pPr>
      <w:r>
        <w:rPr>
          <w:rFonts w:hint="eastAsia" w:eastAsia="仿宋_GB2312" w:asciiTheme="minorHAnsi" w:hAnsiTheme="minorHAnsi" w:cstheme="minorBidi"/>
          <w:kern w:val="2"/>
          <w:sz w:val="32"/>
          <w:szCs w:val="22"/>
          <w:highlight w:val="none"/>
          <w:lang w:val="en-US" w:eastAsia="zh-CN" w:bidi="ar-SA"/>
        </w:rPr>
        <w:t>流动性</w:t>
      </w:r>
      <w:r>
        <w:rPr>
          <w:rFonts w:hint="eastAsia" w:ascii="仿宋_GB2312" w:hAnsi="仿宋_GB2312" w:eastAsia="仿宋_GB2312" w:cs="仿宋_GB2312"/>
          <w:kern w:val="2"/>
          <w:sz w:val="32"/>
          <w:szCs w:val="22"/>
          <w:highlight w:val="none"/>
          <w:lang w:val="en-US" w:eastAsia="zh-CN" w:bidi="ar-SA"/>
        </w:rPr>
        <w:t>覆盖率（LCR）衡量</w:t>
      </w:r>
      <w:r>
        <w:rPr>
          <w:rFonts w:hint="eastAsia" w:eastAsia="仿宋_GB2312" w:asciiTheme="minorHAnsi" w:hAnsiTheme="minorHAnsi" w:cstheme="minorBidi"/>
          <w:kern w:val="2"/>
          <w:sz w:val="32"/>
          <w:szCs w:val="22"/>
          <w:highlight w:val="none"/>
          <w:lang w:val="en-US" w:eastAsia="zh-CN" w:bidi="ar-SA"/>
        </w:rPr>
        <w:t>保险公司获得资金以支付到期债务或履行其他支付义务的能力，防范流动性风险。压力情景下流动性覆盖率指标的计算方法按照国家金融监督管理总局有关流动性风险监管规则执行。</w:t>
      </w:r>
    </w:p>
    <w:p>
      <w:pPr>
        <w:pStyle w:val="5"/>
        <w:ind w:firstLine="640"/>
        <w:rPr>
          <w:highlight w:val="none"/>
        </w:rPr>
      </w:pPr>
      <w:r>
        <w:rPr>
          <w:rFonts w:hint="eastAsia" w:ascii="仿宋_GB2312" w:hAnsi="仿宋_GB2312" w:cs="仿宋_GB2312"/>
          <w:highlight w:val="none"/>
        </w:rPr>
        <w:t>2.流动性</w:t>
      </w:r>
      <w:r>
        <w:rPr>
          <w:rFonts w:hint="eastAsia"/>
          <w:highlight w:val="none"/>
        </w:rPr>
        <w:t>匹配率</w:t>
      </w:r>
    </w:p>
    <w:p>
      <w:pPr>
        <w:ind w:firstLine="640"/>
        <w:rPr>
          <w:highlight w:val="none"/>
        </w:rPr>
      </w:pPr>
      <w:r>
        <w:rPr>
          <w:highlight w:val="none"/>
        </w:rPr>
        <w:t>流动性匹配率旨在引导</w:t>
      </w:r>
      <w:r>
        <w:rPr>
          <w:rFonts w:hint="eastAsia"/>
          <w:highlight w:val="none"/>
        </w:rPr>
        <w:t>保险公司</w:t>
      </w:r>
      <w:r>
        <w:rPr>
          <w:highlight w:val="none"/>
        </w:rPr>
        <w:t>合理</w:t>
      </w:r>
      <w:r>
        <w:rPr>
          <w:rFonts w:hint="eastAsia"/>
          <w:highlight w:val="none"/>
        </w:rPr>
        <w:t>配置长期资产</w:t>
      </w:r>
      <w:r>
        <w:rPr>
          <w:highlight w:val="none"/>
        </w:rPr>
        <w:t>，避免过度依赖</w:t>
      </w:r>
      <w:r>
        <w:rPr>
          <w:rFonts w:hint="eastAsia"/>
          <w:highlight w:val="none"/>
        </w:rPr>
        <w:t>期限较</w:t>
      </w:r>
      <w:r>
        <w:rPr>
          <w:highlight w:val="none"/>
        </w:rPr>
        <w:t>短</w:t>
      </w:r>
      <w:r>
        <w:rPr>
          <w:rFonts w:hint="eastAsia"/>
          <w:highlight w:val="none"/>
        </w:rPr>
        <w:t>的</w:t>
      </w:r>
      <w:r>
        <w:rPr>
          <w:highlight w:val="none"/>
        </w:rPr>
        <w:t>资金</w:t>
      </w:r>
      <w:r>
        <w:rPr>
          <w:rFonts w:hint="eastAsia"/>
          <w:highlight w:val="none"/>
        </w:rPr>
        <w:t>进行长期投资</w:t>
      </w:r>
      <w:r>
        <w:rPr>
          <w:highlight w:val="none"/>
        </w:rPr>
        <w:t>，提高流动性风险抵御能力。</w:t>
      </w:r>
    </w:p>
    <w:p>
      <w:pPr>
        <w:ind w:firstLine="640"/>
        <w:rPr>
          <w:highlight w:val="none"/>
        </w:rPr>
      </w:pPr>
      <w:r>
        <w:rPr>
          <w:rFonts w:hint="eastAsia"/>
          <w:highlight w:val="none"/>
        </w:rPr>
        <w:t>流动性匹配率指标的计算如下：</w:t>
      </w:r>
    </w:p>
    <w:p>
      <w:pPr>
        <w:spacing w:line="360" w:lineRule="auto"/>
        <w:ind w:left="640" w:leftChars="200" w:firstLine="600"/>
        <w:rPr>
          <w:rFonts w:ascii="仿宋_GB2312" w:hAnsi="楷体" w:cs="宋体"/>
          <w:sz w:val="30"/>
          <w:szCs w:val="30"/>
          <w:highlight w:val="none"/>
          <w:lang w:val="en-GB"/>
        </w:rPr>
      </w:pPr>
      <m:oMathPara>
        <m:oMathParaPr>
          <m:jc m:val="left"/>
        </m:oMathParaPr>
        <m:oMath>
          <m:r>
            <m:rPr>
              <m:sty m:val="p"/>
            </m:rPr>
            <w:rPr>
              <w:rFonts w:ascii="DejaVu Math TeX Gyre" w:hAnsi="DejaVu Math TeX Gyre" w:cstheme="minorHAnsi"/>
              <w:sz w:val="30"/>
              <w:szCs w:val="30"/>
              <w:highlight w:val="none"/>
            </w:rPr>
            <m:t>流动性匹配率</m:t>
          </m:r>
          <m:r>
            <w:rPr>
              <w:rFonts w:ascii="DejaVu Math TeX Gyre" w:hAnsi="DejaVu Math TeX Gyre" w:cstheme="minorHAnsi"/>
              <w:sz w:val="30"/>
              <w:szCs w:val="30"/>
              <w:highlight w:val="none"/>
              <w:lang w:val="en-GB"/>
            </w:rPr>
            <m:t>=</m:t>
          </m:r>
          <m:f>
            <m:fPr>
              <m:ctrlPr>
                <w:rPr>
                  <w:rFonts w:ascii="DejaVu Math TeX Gyre" w:hAnsi="DejaVu Math TeX Gyre" w:cstheme="minorHAnsi"/>
                  <w:i/>
                  <w:sz w:val="30"/>
                  <w:szCs w:val="30"/>
                  <w:highlight w:val="none"/>
                  <w:lang w:val="en-GB"/>
                </w:rPr>
              </m:ctrlPr>
            </m:fPr>
            <m:num>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Dur</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Out</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rPr>
                <m:t>×</m:t>
              </m:r>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PV</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rPr>
                    <m:t>Out</m:t>
                  </m:r>
                  <m:ctrlPr>
                    <w:rPr>
                      <w:rFonts w:ascii="DejaVu Math TeX Gyre" w:hAnsi="DejaVu Math TeX Gyre" w:cstheme="minorHAnsi"/>
                      <w:i/>
                      <w:sz w:val="30"/>
                      <w:szCs w:val="30"/>
                      <w:highlight w:val="none"/>
                      <w:lang w:val="en-GB"/>
                    </w:rPr>
                  </m:ctrlPr>
                </m:sub>
              </m:sSub>
              <m:ctrlPr>
                <w:rPr>
                  <w:rFonts w:ascii="DejaVu Math TeX Gyre" w:hAnsi="DejaVu Math TeX Gyre" w:cstheme="minorHAnsi"/>
                  <w:i/>
                  <w:sz w:val="30"/>
                  <w:szCs w:val="30"/>
                  <w:highlight w:val="none"/>
                  <w:lang w:val="en-GB"/>
                </w:rPr>
              </m:ctrlPr>
            </m:num>
            <m:den>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Dur</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A</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lang w:val="en-GB"/>
                </w:rPr>
                <m:t>×</m:t>
              </m:r>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PV</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A</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lang w:val="en-GB"/>
                </w:rPr>
                <m:t>+</m:t>
              </m:r>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Dur</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In</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lang w:val="en-GB"/>
                </w:rPr>
                <m:t>×</m:t>
              </m:r>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PV</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In</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lang w:val="en-GB"/>
                </w:rPr>
                <m:t>+</m:t>
              </m:r>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Dur</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LTI</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lang w:val="en-GB"/>
                </w:rPr>
                <m:t>×LTI+</m:t>
              </m:r>
              <m:sSub>
                <m:sSubPr>
                  <m:ctrlPr>
                    <w:rPr>
                      <w:rFonts w:ascii="DejaVu Math TeX Gyre" w:hAnsi="DejaVu Math TeX Gyre" w:cstheme="minorHAnsi"/>
                      <w:i/>
                      <w:sz w:val="30"/>
                      <w:szCs w:val="30"/>
                      <w:highlight w:val="none"/>
                      <w:lang w:val="en-GB"/>
                    </w:rPr>
                  </m:ctrlPr>
                </m:sSubPr>
                <m:e>
                  <m:r>
                    <w:rPr>
                      <w:rFonts w:ascii="DejaVu Math TeX Gyre" w:hAnsi="DejaVu Math TeX Gyre" w:cstheme="minorHAnsi"/>
                      <w:sz w:val="30"/>
                      <w:szCs w:val="30"/>
                      <w:highlight w:val="none"/>
                      <w:lang w:val="en-GB"/>
                    </w:rPr>
                    <m:t>Dur</m:t>
                  </m:r>
                  <m:ctrlPr>
                    <w:rPr>
                      <w:rFonts w:ascii="DejaVu Math TeX Gyre" w:hAnsi="DejaVu Math TeX Gyre" w:cstheme="minorHAnsi"/>
                      <w:i/>
                      <w:sz w:val="30"/>
                      <w:szCs w:val="30"/>
                      <w:highlight w:val="none"/>
                      <w:lang w:val="en-GB"/>
                    </w:rPr>
                  </m:ctrlPr>
                </m:e>
                <m:sub>
                  <m:r>
                    <w:rPr>
                      <w:rFonts w:ascii="DejaVu Math TeX Gyre" w:hAnsi="DejaVu Math TeX Gyre" w:cstheme="minorHAnsi"/>
                      <w:sz w:val="30"/>
                      <w:szCs w:val="30"/>
                      <w:highlight w:val="none"/>
                      <w:lang w:val="en-GB"/>
                    </w:rPr>
                    <m:t>RE</m:t>
                  </m:r>
                  <m:ctrlPr>
                    <w:rPr>
                      <w:rFonts w:ascii="DejaVu Math TeX Gyre" w:hAnsi="DejaVu Math TeX Gyre" w:cstheme="minorHAnsi"/>
                      <w:i/>
                      <w:sz w:val="30"/>
                      <w:szCs w:val="30"/>
                      <w:highlight w:val="none"/>
                      <w:lang w:val="en-GB"/>
                    </w:rPr>
                  </m:ctrlPr>
                </m:sub>
              </m:sSub>
              <m:r>
                <w:rPr>
                  <w:rFonts w:ascii="DejaVu Math TeX Gyre" w:hAnsi="DejaVu Math TeX Gyre" w:cstheme="minorHAnsi"/>
                  <w:sz w:val="30"/>
                  <w:szCs w:val="30"/>
                  <w:highlight w:val="none"/>
                  <w:lang w:val="en-GB"/>
                </w:rPr>
                <m:t>×RE</m:t>
              </m:r>
              <m:ctrlPr>
                <w:rPr>
                  <w:rFonts w:ascii="DejaVu Math TeX Gyre" w:hAnsi="DejaVu Math TeX Gyre" w:cstheme="minorHAnsi"/>
                  <w:i/>
                  <w:sz w:val="30"/>
                  <w:szCs w:val="30"/>
                  <w:highlight w:val="none"/>
                  <w:lang w:val="en-GB"/>
                </w:rPr>
              </m:ctrlPr>
            </m:den>
          </m:f>
        </m:oMath>
      </m:oMathPara>
    </w:p>
    <w:p>
      <w:pPr>
        <w:ind w:firstLine="640"/>
        <w:rPr>
          <w:highlight w:val="none"/>
          <w:lang w:val="en-GB"/>
        </w:rPr>
      </w:pPr>
      <w:r>
        <w:rPr>
          <w:rFonts w:hint="eastAsia"/>
          <w:highlight w:val="none"/>
          <w:lang w:val="en-GB"/>
        </w:rPr>
        <w:t>参数说明：</w:t>
      </w:r>
    </w:p>
    <w:p>
      <w:pPr>
        <w:ind w:firstLine="640"/>
        <w:rPr>
          <w:rFonts w:ascii="Cambria Math" w:hAnsi="Cambria Math"/>
          <w:iCs/>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ascii="Cambria Math" w:hAnsi="Cambria Math"/>
          <w:iCs/>
          <w:highlight w:val="none"/>
          <w:lang w:val="en-GB"/>
        </w:rPr>
        <w:t>为负债现金流流出修正久期；</w:t>
      </w:r>
    </w:p>
    <w:p>
      <w:pPr>
        <w:ind w:firstLine="640"/>
        <w:rPr>
          <w:rFonts w:ascii="Cambria Math" w:hAnsi="Cambria Math"/>
          <w:iCs/>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Out</m:t>
            </m:r>
            <m:ctrlPr>
              <w:rPr>
                <w:rFonts w:ascii="DejaVu Math TeX Gyre" w:hAnsi="DejaVu Math TeX Gyre" w:cstheme="minorHAnsi"/>
                <w:i/>
                <w:highlight w:val="none"/>
                <w:lang w:val="en-GB"/>
              </w:rPr>
            </m:ctrlPr>
          </m:sub>
        </m:sSub>
      </m:oMath>
      <w:r>
        <w:rPr>
          <w:rFonts w:ascii="Cambria Math" w:hAnsi="Cambria Math"/>
          <w:iCs/>
          <w:highlight w:val="none"/>
          <w:lang w:val="en-GB"/>
        </w:rPr>
        <w:t>为负债现金流流出现值；</w:t>
      </w:r>
    </w:p>
    <w:p>
      <w:pPr>
        <w:ind w:firstLine="640"/>
        <w:rPr>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w:t>
      </w:r>
      <w:r>
        <w:rPr>
          <w:highlight w:val="none"/>
          <w:lang w:val="en-GB"/>
        </w:rPr>
        <w:t>修正</w:t>
      </w:r>
      <w:r>
        <w:rPr>
          <w:rFonts w:hint="eastAsia"/>
          <w:highlight w:val="none"/>
          <w:lang w:val="en-GB"/>
        </w:rPr>
        <w:t>久期；</w:t>
      </w:r>
      <w:r>
        <w:rPr>
          <w:rFonts w:hint="eastAsia"/>
          <w:highlight w:val="none"/>
        </w:rPr>
        <w:tab/>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PV</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A</m:t>
            </m:r>
            <m:ctrlPr>
              <w:rPr>
                <w:rFonts w:ascii="DejaVu Math TeX Gyre" w:hAnsi="DejaVu Math TeX Gyre" w:cstheme="minorHAnsi"/>
                <w:i/>
                <w:highlight w:val="none"/>
                <w:lang w:val="en-GB"/>
              </w:rPr>
            </m:ctrlPr>
          </m:sub>
        </m:sSub>
      </m:oMath>
      <w:r>
        <w:rPr>
          <w:rFonts w:hint="eastAsia"/>
          <w:highlight w:val="none"/>
          <w:lang w:val="en-GB"/>
        </w:rPr>
        <w:t>为资产现金流的折现值；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In</m:t>
            </m:r>
            <m:ctrlPr>
              <w:rPr>
                <w:rFonts w:ascii="DejaVu Math TeX Gyre" w:hAnsi="DejaVu Math TeX Gyre" w:cstheme="minorHAnsi"/>
                <w:i/>
                <w:highlight w:val="none"/>
                <w:lang w:val="en-GB"/>
              </w:rPr>
            </m:ctrlPr>
          </m:sub>
        </m:sSub>
      </m:oMath>
      <w:r>
        <w:rPr>
          <w:rFonts w:hint="eastAsia"/>
          <w:highlight w:val="none"/>
          <w:lang w:val="en-GB"/>
        </w:rPr>
        <w:t>为负债现金流流入</w:t>
      </w:r>
      <w:r>
        <w:rPr>
          <w:highlight w:val="none"/>
          <w:lang w:val="en-GB"/>
        </w:rPr>
        <w:t>修正</w:t>
      </w:r>
      <w:r>
        <w:rPr>
          <w:rFonts w:hint="eastAsia"/>
          <w:highlight w:val="none"/>
          <w:lang w:val="en-GB"/>
        </w:rPr>
        <w:t>久期；</w:t>
      </w:r>
    </w:p>
    <w:p>
      <w:pPr>
        <w:ind w:firstLine="640"/>
        <w:rPr>
          <w:highlight w:val="none"/>
          <w:lang w:val="en-GB"/>
        </w:rPr>
      </w:pPr>
      <m:oMath>
        <m:r>
          <w:rPr>
            <w:rFonts w:ascii="DejaVu Math TeX Gyre" w:hAnsi="DejaVu Math TeX Gyre" w:cstheme="minorHAnsi"/>
            <w:highlight w:val="none"/>
            <w:lang w:val="en-GB"/>
          </w:rPr>
          <m:t>LTI</m:t>
        </m:r>
      </m:oMath>
      <w:r>
        <w:rPr>
          <w:rFonts w:hint="eastAsia"/>
          <w:highlight w:val="none"/>
          <w:lang w:val="en-GB"/>
        </w:rPr>
        <w:t>为长期股权投资的账面价值；</w:t>
      </w:r>
    </w:p>
    <w:p>
      <w:pPr>
        <w:ind w:firstLine="640"/>
        <w:rPr>
          <w:highlight w:val="none"/>
          <w:lang w:val="en-GB"/>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LTI</m:t>
            </m:r>
            <m:ctrlPr>
              <w:rPr>
                <w:rFonts w:ascii="DejaVu Math TeX Gyre" w:hAnsi="DejaVu Math TeX Gyre" w:cstheme="minorHAnsi"/>
                <w:i/>
                <w:highlight w:val="none"/>
                <w:lang w:val="en-GB"/>
              </w:rPr>
            </m:ctrlPr>
          </m:sub>
        </m:sSub>
      </m:oMath>
      <w:r>
        <w:rPr>
          <w:rFonts w:hint="eastAsia"/>
          <w:highlight w:val="none"/>
          <w:lang w:val="en-GB"/>
        </w:rPr>
        <w:t>为长期股权投资的期限，</w:t>
      </w:r>
      <w:r>
        <w:rPr>
          <w:rFonts w:hint="eastAsia" w:ascii="仿宋_GB2312" w:hAnsi="仿宋_GB2312" w:cs="仿宋_GB2312"/>
          <w:highlight w:val="none"/>
          <w:lang w:val="en-GB"/>
        </w:rPr>
        <w:t>取值12年；</w:t>
      </w:r>
    </w:p>
    <w:p>
      <w:pPr>
        <w:ind w:firstLine="640"/>
        <w:rPr>
          <w:highlight w:val="none"/>
          <w:lang w:val="en-GB"/>
        </w:rPr>
      </w:pPr>
      <m:oMath>
        <m:r>
          <w:rPr>
            <w:rFonts w:ascii="DejaVu Math TeX Gyre" w:hAnsi="DejaVu Math TeX Gyre" w:cstheme="minorHAnsi"/>
            <w:highlight w:val="none"/>
            <w:lang w:val="en-GB"/>
          </w:rPr>
          <m:t>RE</m:t>
        </m:r>
      </m:oMath>
      <w:r>
        <w:rPr>
          <w:rFonts w:hint="eastAsia"/>
          <w:highlight w:val="none"/>
          <w:lang w:val="en-GB"/>
        </w:rPr>
        <w:t>为不动产类投资资产（</w:t>
      </w:r>
      <w:r>
        <w:rPr>
          <w:rFonts w:hint="eastAsia" w:cs="Arial"/>
          <w:highlight w:val="none"/>
        </w:rPr>
        <w:t>以物权或项目公司股权方式持有</w:t>
      </w:r>
      <w:r>
        <w:rPr>
          <w:rFonts w:hint="eastAsia"/>
          <w:highlight w:val="none"/>
          <w:lang w:val="en-GB"/>
        </w:rPr>
        <w:t>）的账面价值；</w:t>
      </w:r>
    </w:p>
    <w:p>
      <w:pPr>
        <w:ind w:firstLine="640"/>
        <w:rPr>
          <w:rFonts w:ascii="仿宋_GB2312" w:hAnsi="宋体"/>
          <w:sz w:val="24"/>
          <w:szCs w:val="24"/>
          <w:highlight w:val="none"/>
        </w:rPr>
      </w:pPr>
      <m:oMath>
        <m:sSub>
          <m:sSubPr>
            <m:ctrlPr>
              <w:rPr>
                <w:rFonts w:ascii="DejaVu Math TeX Gyre" w:hAnsi="DejaVu Math TeX Gyre" w:cstheme="minorHAnsi"/>
                <w:i/>
                <w:highlight w:val="none"/>
                <w:lang w:val="en-GB"/>
              </w:rPr>
            </m:ctrlPr>
          </m:sSubPr>
          <m:e>
            <m:r>
              <w:rPr>
                <w:rFonts w:ascii="DejaVu Math TeX Gyre" w:hAnsi="DejaVu Math TeX Gyre" w:cstheme="minorHAnsi"/>
                <w:highlight w:val="none"/>
                <w:lang w:val="en-GB"/>
              </w:rPr>
              <m:t>Dur</m:t>
            </m:r>
            <m:ctrlPr>
              <w:rPr>
                <w:rFonts w:ascii="DejaVu Math TeX Gyre" w:hAnsi="DejaVu Math TeX Gyre" w:cstheme="minorHAnsi"/>
                <w:i/>
                <w:highlight w:val="none"/>
                <w:lang w:val="en-GB"/>
              </w:rPr>
            </m:ctrlPr>
          </m:e>
          <m:sub>
            <m:r>
              <w:rPr>
                <w:rFonts w:ascii="DejaVu Math TeX Gyre" w:hAnsi="DejaVu Math TeX Gyre" w:cstheme="minorHAnsi"/>
                <w:highlight w:val="none"/>
                <w:lang w:val="en-GB"/>
              </w:rPr>
              <m:t>RE</m:t>
            </m:r>
            <m:ctrlPr>
              <w:rPr>
                <w:rFonts w:ascii="DejaVu Math TeX Gyre" w:hAnsi="DejaVu Math TeX Gyre" w:cstheme="minorHAnsi"/>
                <w:i/>
                <w:highlight w:val="none"/>
                <w:lang w:val="en-GB"/>
              </w:rPr>
            </m:ctrlPr>
          </m:sub>
        </m:sSub>
      </m:oMath>
      <w:r>
        <w:rPr>
          <w:rFonts w:hint="eastAsia"/>
          <w:highlight w:val="none"/>
          <w:lang w:val="en-GB"/>
        </w:rPr>
        <w:t>为不动产类投资资产（</w:t>
      </w:r>
      <w:r>
        <w:rPr>
          <w:rFonts w:hint="eastAsia" w:cs="Arial"/>
          <w:highlight w:val="none"/>
        </w:rPr>
        <w:t>以物权或项目公司股权方式持有</w:t>
      </w:r>
      <w:r>
        <w:rPr>
          <w:rFonts w:hint="eastAsia"/>
          <w:highlight w:val="none"/>
          <w:lang w:val="en-GB"/>
        </w:rPr>
        <w:t>）</w:t>
      </w:r>
      <w:r>
        <w:rPr>
          <w:rFonts w:hint="eastAsia"/>
          <w:highlight w:val="none"/>
        </w:rPr>
        <w:t>的</w:t>
      </w:r>
      <w:r>
        <w:rPr>
          <w:rFonts w:hint="eastAsia"/>
          <w:highlight w:val="none"/>
          <w:lang w:val="en-GB"/>
        </w:rPr>
        <w:t>期限</w:t>
      </w:r>
      <w:r>
        <w:rPr>
          <w:rFonts w:hint="eastAsia" w:ascii="仿宋_GB2312" w:hAnsi="仿宋_GB2312" w:cs="仿宋_GB2312"/>
          <w:highlight w:val="none"/>
          <w:lang w:val="en-GB"/>
        </w:rPr>
        <w:t>，取值25年。</w:t>
      </w:r>
    </w:p>
    <w:p>
      <w:pPr>
        <w:pStyle w:val="5"/>
        <w:ind w:firstLine="640"/>
        <w:rPr>
          <w:highlight w:val="none"/>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445C1B3-F44E-4833-BFC3-FF9179567B9E}"/>
  </w:font>
  <w:font w:name="黑体">
    <w:panose1 w:val="02010609060101010101"/>
    <w:charset w:val="86"/>
    <w:family w:val="auto"/>
    <w:pitch w:val="default"/>
    <w:sig w:usb0="800002BF" w:usb1="38CF7CFA" w:usb2="00000016" w:usb3="00000000" w:csb0="00040001" w:csb1="00000000"/>
    <w:embedRegular r:id="rId2" w:fontKey="{7BB1CEA4-B109-4F73-BD54-8A341BEEF2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70223ACC-C5B4-435A-92C8-E3C93357A010}"/>
  </w:font>
  <w:font w:name="仿宋_GB2312">
    <w:altName w:val="仿宋"/>
    <w:panose1 w:val="02010609030101010101"/>
    <w:charset w:val="86"/>
    <w:family w:val="auto"/>
    <w:pitch w:val="default"/>
    <w:sig w:usb0="00000000" w:usb1="00000000" w:usb2="00000000" w:usb3="00000000" w:csb0="00040000" w:csb1="00000000"/>
    <w:embedRegular r:id="rId4" w:fontKey="{CEED3325-8EB7-42FD-BB38-F971B744407C}"/>
  </w:font>
  <w:font w:name="楷体">
    <w:panose1 w:val="02010609060101010101"/>
    <w:charset w:val="86"/>
    <w:family w:val="modern"/>
    <w:pitch w:val="default"/>
    <w:sig w:usb0="800002BF" w:usb1="38CF7CFA" w:usb2="00000016" w:usb3="00000000" w:csb0="00040001" w:csb1="00000000"/>
    <w:embedRegular r:id="rId5" w:fontKey="{F376EF4B-482B-4216-9A0E-0D397CFDAED4}"/>
  </w:font>
  <w:font w:name="仿宋">
    <w:panose1 w:val="02010609060101010101"/>
    <w:charset w:val="86"/>
    <w:family w:val="modern"/>
    <w:pitch w:val="default"/>
    <w:sig w:usb0="800002BF" w:usb1="38CF7CFA" w:usb2="00000016" w:usb3="00000000" w:csb0="00040001" w:csb1="00000000"/>
    <w:embedRegular r:id="rId6" w:fontKey="{9F110351-D196-4B93-BB86-D455621F042E}"/>
  </w:font>
  <w:font w:name="Calibri Light">
    <w:altName w:val="Calibri"/>
    <w:panose1 w:val="020F0302020204030204"/>
    <w:charset w:val="00"/>
    <w:family w:val="swiss"/>
    <w:pitch w:val="default"/>
    <w:sig w:usb0="00000000" w:usb1="00000000" w:usb2="00000009" w:usb3="00000000" w:csb0="200001FF" w:csb1="00000000"/>
  </w:font>
  <w:font w:name="微软雅黑">
    <w:panose1 w:val="020B0503020204020204"/>
    <w:charset w:val="86"/>
    <w:family w:val="swiss"/>
    <w:pitch w:val="default"/>
    <w:sig w:usb0="80000287" w:usb1="280F3C52" w:usb2="00000016" w:usb3="00000000" w:csb0="0004001F" w:csb1="00000000"/>
    <w:embedRegular r:id="rId7" w:fontKey="{DDF79BDD-953F-4F1F-B6CB-55AD87211E36}"/>
  </w:font>
  <w:font w:name="方正小标宋简体">
    <w:altName w:val="黑体"/>
    <w:panose1 w:val="02000000000000000000"/>
    <w:charset w:val="86"/>
    <w:family w:val="auto"/>
    <w:pitch w:val="default"/>
    <w:sig w:usb0="00000000" w:usb1="00000000" w:usb2="00000012" w:usb3="00000000" w:csb0="00040001" w:csb1="00000000"/>
    <w:embedRegular r:id="rId8" w:fontKey="{1C48DDF5-24BF-4BA0-85FD-D90978D1D591}"/>
  </w:font>
  <w:font w:name="方正小标宋_GBK">
    <w:altName w:val="微软雅黑"/>
    <w:panose1 w:val="02000000000000000000"/>
    <w:charset w:val="86"/>
    <w:family w:val="auto"/>
    <w:pitch w:val="default"/>
    <w:sig w:usb0="00000000" w:usb1="00000000" w:usb2="00000000" w:usb3="00000000" w:csb0="00040000" w:csb1="00000000"/>
    <w:embedRegular r:id="rId9" w:fontKey="{FC9BF9C7-1A5C-49F9-AB16-59C56972AD39}"/>
  </w:font>
  <w:font w:name="楷体_GB2312">
    <w:altName w:val="楷体"/>
    <w:panose1 w:val="02010609030101010101"/>
    <w:charset w:val="86"/>
    <w:family w:val="auto"/>
    <w:pitch w:val="default"/>
    <w:sig w:usb0="00000000" w:usb1="00000000" w:usb2="00000000" w:usb3="00000000" w:csb0="00040000" w:csb1="00000000"/>
    <w:embedRegular r:id="rId10" w:fontKey="{FCF796E2-2690-4E55-9D30-2F7EF3CAAE0C}"/>
  </w:font>
  <w:font w:name="MS Mincho">
    <w:panose1 w:val="02020609040205080304"/>
    <w:charset w:val="80"/>
    <w:family w:val="modern"/>
    <w:pitch w:val="default"/>
    <w:sig w:usb0="E00002FF" w:usb1="6AC7FDFB" w:usb2="00000012" w:usb3="00000000" w:csb0="4002009F" w:csb1="DFD70000"/>
    <w:embedRegular r:id="rId11" w:fontKey="{1B90B79C-8AD9-4C0C-B392-AF6EA4E003FB}"/>
  </w:font>
  <w:font w:name="DejaVu Math TeX Gyre">
    <w:altName w:val="Mangal"/>
    <w:panose1 w:val="02000503000000000000"/>
    <w:charset w:val="00"/>
    <w:family w:val="auto"/>
    <w:pitch w:val="default"/>
    <w:sig w:usb0="00000000" w:usb1="00000000" w:usb2="02000000" w:usb3="00000000" w:csb0="60000193" w:csb1="0DD40000"/>
  </w:font>
  <w:font w:name="Cambria Math">
    <w:panose1 w:val="02040503050406030204"/>
    <w:charset w:val="00"/>
    <w:family w:val="roman"/>
    <w:pitch w:val="default"/>
    <w:sig w:usb0="E00002FF" w:usb1="420024FF" w:usb2="00000000" w:usb3="00000000" w:csb0="2000019F" w:csb1="00000000"/>
    <w:embedRegular r:id="rId12" w:fontKey="{B1D28CF9-7A29-4C84-AFE7-AD14F2688D19}"/>
  </w:font>
  <w:font w:name="Helvetica">
    <w:altName w:val="Arial"/>
    <w:panose1 w:val="00000000000000000000"/>
    <w:charset w:val="00"/>
    <w:family w:val="auto"/>
    <w:pitch w:val="default"/>
    <w:sig w:usb0="00000000" w:usb1="00000000" w:usb2="00000000" w:usb3="00000000" w:csb0="0000019F" w:csb1="00000000"/>
    <w:embedRegular r:id="rId13" w:fontKey="{050C836D-33A9-4D94-BDB9-71C956B9279A}"/>
  </w:font>
  <w:font w:name="华文仿宋+FPEF">
    <w:altName w:val="仿宋"/>
    <w:panose1 w:val="020B0604020202020204"/>
    <w:charset w:val="86"/>
    <w:family w:val="auto"/>
    <w:pitch w:val="default"/>
    <w:sig w:usb0="00000000" w:usb1="00000000" w:usb2="00000010" w:usb3="00000000" w:csb0="00040000" w:csb1="00000000"/>
    <w:embedRegular r:id="rId14" w:fontKey="{BF8B015B-85CF-4CDA-A85D-BF68B489EEEB}"/>
  </w:font>
  <w:font w:name="Mangal">
    <w:panose1 w:val="02040503050203030202"/>
    <w:charset w:val="00"/>
    <w:family w:val="auto"/>
    <w:pitch w:val="default"/>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9"/>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8"/>
        <w:ind w:firstLine="360"/>
        <w:rPr>
          <w:rFonts w:hint="eastAsia" w:ascii="仿宋_GB2312" w:hAnsi="仿宋_GB2312" w:cs="仿宋_GB2312"/>
        </w:rPr>
      </w:pPr>
      <w:r>
        <w:rPr>
          <w:rFonts w:hint="eastAsia" w:ascii="仿宋_GB2312" w:hAnsi="仿宋_GB2312" w:eastAsia="仿宋_GB2312" w:cs="仿宋_GB2312"/>
          <w:kern w:val="2"/>
          <w:sz w:val="18"/>
          <w:szCs w:val="18"/>
          <w:lang w:val="en-US" w:eastAsia="zh-CN" w:bidi="ar-SA"/>
        </w:rPr>
        <w:footnoteRef/>
      </w:r>
      <w:r>
        <w:rPr>
          <w:rFonts w:hint="eastAsia" w:ascii="仿宋_GB2312" w:hAnsi="仿宋_GB2312" w:cs="仿宋_GB2312"/>
        </w:rPr>
        <w:t xml:space="preserve"> 普通账户，是指由保险公司部分或全部承担投资风险的账户。财险公司的普通账户包括传统保险账户、次级债、资本补充债和无固定期限资本债券账户和资本金账户（可与传统保险账户合并）。</w:t>
      </w:r>
    </w:p>
  </w:footnote>
  <w:footnote w:id="1">
    <w:p>
      <w:pPr>
        <w:pStyle w:val="8"/>
        <w:ind w:firstLine="360"/>
        <w:rPr>
          <w:rFonts w:hint="eastAsia" w:ascii="仿宋_GB2312" w:hAnsi="仿宋_GB2312" w:cs="仿宋_GB2312"/>
        </w:rPr>
      </w:pPr>
      <w:r>
        <w:rPr>
          <w:rFonts w:hint="eastAsia" w:ascii="仿宋_GB2312" w:hAnsi="仿宋_GB2312" w:cs="仿宋_GB2312"/>
        </w:rPr>
        <w:footnoteRef/>
      </w:r>
      <w:r>
        <w:rPr>
          <w:rFonts w:hint="eastAsia" w:ascii="仿宋_GB2312" w:hAnsi="仿宋_GB2312" w:cs="仿宋_GB2312"/>
        </w:rPr>
        <w:t xml:space="preserve"> 保费，是指</w:t>
      </w:r>
      <w:r>
        <w:rPr>
          <w:rFonts w:hint="eastAsia" w:ascii="仿宋_GB2312" w:hAnsi="仿宋_GB2312" w:cs="仿宋_GB2312"/>
        </w:rPr>
        <w:t>保险监管统计报表指标体系</w:t>
      </w:r>
      <w:r>
        <w:rPr>
          <w:rFonts w:hint="eastAsia" w:ascii="仿宋_GB2312" w:hAnsi="仿宋_GB2312" w:cs="仿宋_GB2312"/>
        </w:rPr>
        <w:t>中的保费。</w:t>
      </w:r>
    </w:p>
  </w:footnote>
  <w:footnote w:id="2">
    <w:p>
      <w:pPr>
        <w:pStyle w:val="8"/>
        <w:ind w:firstLine="360"/>
        <w:rPr>
          <w:rFonts w:hint="eastAsia" w:ascii="仿宋_GB2312" w:hAnsi="仿宋_GB2312" w:cs="仿宋_GB2312"/>
          <w:sz w:val="28"/>
          <w:szCs w:val="28"/>
        </w:rPr>
      </w:pPr>
      <w:r>
        <w:rPr>
          <w:rFonts w:hint="eastAsia" w:ascii="仿宋_GB2312" w:hAnsi="仿宋_GB2312" w:cs="仿宋_GB2312"/>
        </w:rPr>
        <w:footnoteRef/>
      </w:r>
      <w:r>
        <w:rPr>
          <w:rFonts w:hint="eastAsia" w:ascii="仿宋_GB2312" w:hAnsi="仿宋_GB2312" w:cs="仿宋_GB2312"/>
        </w:rPr>
        <w:t xml:space="preserve"> 保费准备金，是指根据财政部和国家金融监督管理总局有关办法计提的农业保险大灾风险准备金、城乡居民住宅地震巨灾保险专项准备金等。</w:t>
      </w:r>
    </w:p>
  </w:footnote>
  <w:footnote w:id="3">
    <w:p>
      <w:pPr>
        <w:pStyle w:val="11"/>
        <w:spacing w:line="240" w:lineRule="auto"/>
        <w:ind w:firstLine="360"/>
        <w:rPr>
          <w:rFonts w:ascii="仿宋_GB2312" w:hAnsi="仿宋"/>
        </w:rPr>
      </w:pPr>
      <w:r>
        <w:rPr>
          <w:rStyle w:val="19"/>
          <w:rFonts w:hint="eastAsia" w:ascii="仿宋_GB2312" w:hAnsi="仿宋_GB2312" w:cs="仿宋_GB2312"/>
          <w:vertAlign w:val="baseline"/>
        </w:rPr>
        <w:footnoteRef/>
      </w:r>
      <w:r>
        <w:rPr>
          <w:rFonts w:hint="eastAsia" w:ascii="仿宋_GB2312" w:hAnsi="仿宋_GB2312" w:cs="仿宋_GB2312"/>
        </w:rPr>
        <w:t xml:space="preserve"> 如中央</w:t>
      </w:r>
      <w:r>
        <w:rPr>
          <w:rFonts w:hint="eastAsia" w:ascii="仿宋_GB2312" w:hAnsi="仿宋"/>
        </w:rPr>
        <w:t>汇金投资有限责任公司发行的政府支持机构债、中国铁路总公司发行的中国铁路建设债券（发改财金[2016]1936号）等。</w:t>
      </w:r>
    </w:p>
  </w:footnote>
  <w:footnote w:id="4">
    <w:p>
      <w:pPr>
        <w:pStyle w:val="11"/>
        <w:spacing w:line="240" w:lineRule="auto"/>
        <w:ind w:firstLine="360"/>
        <w:rPr>
          <w:rFonts w:hint="eastAsia" w:ascii="仿宋_GB2312" w:hAnsi="仿宋_GB2312" w:cs="仿宋_GB2312"/>
          <w:szCs w:val="13"/>
        </w:rPr>
      </w:pPr>
      <w:r>
        <w:rPr>
          <w:rFonts w:hint="eastAsia" w:ascii="仿宋_GB2312" w:hAnsi="仿宋_GB2312" w:cs="仿宋_GB2312"/>
          <w:szCs w:val="13"/>
        </w:rPr>
        <w:footnoteRef/>
      </w:r>
      <w:r>
        <w:rPr>
          <w:rFonts w:hint="eastAsia" w:ascii="仿宋_GB2312" w:hAnsi="仿宋_GB2312" w:cs="仿宋_GB2312"/>
          <w:szCs w:val="13"/>
        </w:rPr>
        <w:t xml:space="preserve"> 财务再保险是指《国家金融监督管理总局关于改进财务再保险监管的通知》（金发</w:t>
      </w:r>
      <w:r>
        <w:rPr>
          <w:rFonts w:hint="eastAsia" w:ascii="仿宋_GB2312" w:hAnsi="仿宋_GB2312" w:eastAsia="仿宋_GB2312" w:cs="仿宋_GB2312"/>
          <w:szCs w:val="13"/>
        </w:rPr>
        <w:t>〔</w:t>
      </w:r>
      <w:r>
        <w:rPr>
          <w:rFonts w:hint="eastAsia" w:ascii="仿宋_GB2312" w:hAnsi="仿宋_GB2312" w:cs="仿宋_GB2312"/>
          <w:szCs w:val="13"/>
        </w:rPr>
        <w:t>2024</w:t>
      </w:r>
      <w:r>
        <w:rPr>
          <w:rFonts w:hint="eastAsia" w:ascii="仿宋_GB2312" w:hAnsi="仿宋_GB2312" w:eastAsia="仿宋_GB2312" w:cs="仿宋_GB2312"/>
          <w:szCs w:val="13"/>
        </w:rPr>
        <w:t>〕</w:t>
      </w:r>
      <w:r>
        <w:rPr>
          <w:rFonts w:hint="eastAsia" w:ascii="仿宋_GB2312" w:hAnsi="仿宋_GB2312" w:cs="仿宋_GB2312"/>
          <w:szCs w:val="13"/>
        </w:rPr>
        <w:t>33）定义的财务再保险。</w:t>
      </w:r>
    </w:p>
  </w:footnote>
  <w:footnote w:id="5">
    <w:p>
      <w:pPr>
        <w:pStyle w:val="11"/>
        <w:snapToGrid w:val="0"/>
        <w:spacing w:line="240" w:lineRule="auto"/>
      </w:pPr>
      <w:r>
        <w:rPr>
          <w:rFonts w:hint="eastAsia" w:ascii="仿宋_GB2312" w:hAnsi="仿宋_GB2312" w:cs="仿宋_GB2312"/>
          <w:szCs w:val="13"/>
          <w:lang w:val="en-US" w:eastAsia="zh-CN"/>
        </w:rPr>
        <w:t>6</w:t>
      </w:r>
      <w:r>
        <w:rPr>
          <w:rFonts w:hint="eastAsia" w:ascii="仿宋_GB2312" w:hAnsi="仿宋_GB2312" w:cs="仿宋_GB2312"/>
        </w:rPr>
        <w:t xml:space="preserve"> 普</w:t>
      </w:r>
      <w:r>
        <w:rPr>
          <w:rFonts w:hint="eastAsia"/>
        </w:rPr>
        <w:t>通账户，是指由保险公司部分或全部承担投资风险的账户。人身险公司的普通账户包括传统保险账户、分红保险账户、万能保险账户、次级债、资本补充债和无固定期限资本债券账户和资本金账户（可与传统保险账户合并）。</w:t>
      </w:r>
    </w:p>
  </w:footnote>
  <w:footnote w:id="6">
    <w:p>
      <w:pPr>
        <w:pStyle w:val="11"/>
        <w:spacing w:line="240" w:lineRule="auto"/>
        <w:ind w:firstLine="360"/>
      </w:pPr>
      <w:r>
        <w:rPr>
          <w:rStyle w:val="19"/>
          <w:rFonts w:hint="eastAsia" w:ascii="仿宋_GB2312" w:hAnsi="仿宋_GB2312" w:cs="仿宋_GB2312"/>
          <w:vertAlign w:val="baseline"/>
        </w:rPr>
        <w:footnoteRef/>
      </w:r>
      <w:r>
        <w:rPr>
          <w:rFonts w:hint="eastAsia" w:ascii="仿宋_GB2312" w:hAnsi="仿宋_GB2312" w:cs="仿宋_GB2312"/>
        </w:rPr>
        <w:t xml:space="preserve"> </w:t>
      </w:r>
      <w:r>
        <w:rPr>
          <w:rFonts w:hint="eastAsia" w:ascii="仿宋_GB2312" w:hAnsi="仿宋_GB2312" w:cs="仿宋_GB2312"/>
          <w:szCs w:val="13"/>
        </w:rPr>
        <w:t>财务再</w:t>
      </w:r>
      <w:r>
        <w:rPr>
          <w:rFonts w:hint="eastAsia"/>
          <w:szCs w:val="13"/>
        </w:rPr>
        <w:t>保险是指《国家金融监督管理总局关于改进财务再保险监管的通知》（金发</w:t>
      </w:r>
      <w:r>
        <w:rPr>
          <w:rFonts w:hint="eastAsia" w:ascii="微软雅黑" w:hAnsi="微软雅黑" w:eastAsia="微软雅黑" w:cs="微软雅黑"/>
          <w:szCs w:val="13"/>
        </w:rPr>
        <w:t>﹝</w:t>
      </w:r>
      <w:r>
        <w:rPr>
          <w:rFonts w:hint="eastAsia"/>
          <w:szCs w:val="13"/>
        </w:rPr>
        <w:t>2024</w:t>
      </w:r>
      <w:r>
        <w:rPr>
          <w:rFonts w:hint="eastAsia" w:ascii="微软雅黑" w:hAnsi="微软雅黑" w:eastAsia="微软雅黑" w:cs="微软雅黑"/>
          <w:szCs w:val="13"/>
        </w:rPr>
        <w:t>﹞</w:t>
      </w:r>
      <w:r>
        <w:rPr>
          <w:rFonts w:hint="eastAsia"/>
          <w:szCs w:val="13"/>
        </w:rPr>
        <w:t>33）定义的财务再保险。</w:t>
      </w:r>
    </w:p>
  </w:footnote>
  <w:footnote w:id="7">
    <w:p>
      <w:pPr>
        <w:pStyle w:val="8"/>
        <w:ind w:firstLine="360"/>
        <w:rPr>
          <w:rFonts w:hint="eastAsia" w:ascii="仿宋_GB2312" w:hAnsi="仿宋_GB2312" w:cs="仿宋_GB2312"/>
        </w:rPr>
      </w:pPr>
      <w:r>
        <w:rPr>
          <w:rStyle w:val="19"/>
          <w:rFonts w:hint="eastAsia" w:ascii="仿宋_GB2312" w:hAnsi="仿宋_GB2312" w:cs="仿宋_GB2312"/>
          <w:vertAlign w:val="baseline"/>
        </w:rPr>
        <w:footnoteRef/>
      </w:r>
      <w:r>
        <w:rPr>
          <w:rFonts w:hint="eastAsia" w:ascii="仿宋_GB2312" w:hAnsi="仿宋_GB2312" w:cs="仿宋_GB2312"/>
        </w:rPr>
        <w:t xml:space="preserve"> 如中央汇金投资有限责任公司发行的政府支持机构债、中国铁路总公司发行的中国铁路建设债券（发改财金〔2016〕1936号）等。</w:t>
      </w:r>
    </w:p>
  </w:footnote>
  <w:footnote w:id="8">
    <w:p>
      <w:pPr>
        <w:pStyle w:val="8"/>
        <w:ind w:firstLine="360"/>
      </w:pPr>
      <w:r>
        <w:rPr>
          <w:rFonts w:hint="eastAsia" w:ascii="仿宋_GB2312" w:hAnsi="仿宋_GB2312" w:cs="仿宋_GB2312"/>
        </w:rPr>
        <w:footnoteRef/>
      </w:r>
      <w:r>
        <w:rPr>
          <w:rFonts w:hint="eastAsia" w:ascii="仿宋_GB2312" w:hAnsi="仿宋_GB2312" w:cs="仿宋_GB2312"/>
        </w:rPr>
        <w:t xml:space="preserve"> </w:t>
      </w:r>
      <w:r>
        <w:rPr>
          <w:rFonts w:hint="eastAsia" w:ascii="仿宋_GB2312" w:hAnsi="仿宋_GB2312" w:cs="仿宋_GB2312"/>
          <w:lang w:eastAsia="zh-CN"/>
        </w:rPr>
        <w:t>新单</w:t>
      </w:r>
      <w:r>
        <w:rPr>
          <w:rFonts w:hint="eastAsia" w:ascii="仿宋_GB2312" w:hAnsi="仿宋_GB2312" w:cs="仿宋_GB2312"/>
        </w:rPr>
        <w:t>保</w:t>
      </w:r>
      <w:r>
        <w:rPr>
          <w:rFonts w:hint="eastAsia"/>
        </w:rPr>
        <w:t>费，是指</w:t>
      </w:r>
      <w:r>
        <w:rPr>
          <w:rFonts w:hint="eastAsia"/>
          <w:lang w:eastAsia="zh-CN"/>
        </w:rPr>
        <w:t>保险监管统计报表指标体系</w:t>
      </w:r>
      <w:r>
        <w:rPr>
          <w:rFonts w:hint="eastAsia"/>
        </w:rPr>
        <w:t>中的</w:t>
      </w:r>
      <w:r>
        <w:rPr>
          <w:rFonts w:hint="eastAsia"/>
          <w:lang w:eastAsia="zh-CN"/>
        </w:rPr>
        <w:t>新单</w:t>
      </w:r>
      <w:r>
        <w:rPr>
          <w:rFonts w:hint="eastAsia"/>
        </w:rPr>
        <w:t>保费。</w:t>
      </w:r>
    </w:p>
  </w:footnote>
  <w:footnote w:id="9">
    <w:p>
      <w:pPr>
        <w:pStyle w:val="8"/>
        <w:ind w:firstLine="360"/>
      </w:pPr>
      <w:r>
        <w:rPr>
          <w:rFonts w:hint="eastAsia" w:ascii="仿宋_GB2312" w:hAnsi="仿宋_GB2312" w:cs="仿宋_GB2312"/>
        </w:rPr>
        <w:footnoteRef/>
      </w:r>
      <w:r>
        <w:rPr>
          <w:rStyle w:val="27"/>
          <w:rFonts w:hint="eastAsia" w:ascii="仿宋_GB2312" w:hAnsi="仿宋_GB2312" w:cs="仿宋_GB2312"/>
        </w:rPr>
        <w:t xml:space="preserve"> 此处自留保费不</w:t>
      </w:r>
      <w:r>
        <w:rPr>
          <w:rStyle w:val="27"/>
          <w:rFonts w:hint="eastAsia"/>
        </w:rPr>
        <w:t>考虑财务再保险的分入和分出。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33483"/>
    <w:multiLevelType w:val="multilevel"/>
    <w:tmpl w:val="7A933483"/>
    <w:lvl w:ilvl="0" w:tentative="0">
      <w:start w:val="1"/>
      <w:numFmt w:val="decimal"/>
      <w:pStyle w:val="6"/>
      <w:lvlText w:val="（%1）"/>
      <w:lvlJc w:val="left"/>
      <w:pPr>
        <w:ind w:left="1790" w:hanging="108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E4"/>
    <w:rsid w:val="000135E6"/>
    <w:rsid w:val="00015D7A"/>
    <w:rsid w:val="0003554C"/>
    <w:rsid w:val="000364ED"/>
    <w:rsid w:val="00043C9B"/>
    <w:rsid w:val="0005114A"/>
    <w:rsid w:val="00070367"/>
    <w:rsid w:val="00095B5B"/>
    <w:rsid w:val="000A323B"/>
    <w:rsid w:val="000A538B"/>
    <w:rsid w:val="000B00C9"/>
    <w:rsid w:val="000C4900"/>
    <w:rsid w:val="000C49EF"/>
    <w:rsid w:val="000C4DC7"/>
    <w:rsid w:val="000D310C"/>
    <w:rsid w:val="000E27C2"/>
    <w:rsid w:val="000E3805"/>
    <w:rsid w:val="000E489C"/>
    <w:rsid w:val="000E653D"/>
    <w:rsid w:val="000F5743"/>
    <w:rsid w:val="00102792"/>
    <w:rsid w:val="00107545"/>
    <w:rsid w:val="00110290"/>
    <w:rsid w:val="00110CDD"/>
    <w:rsid w:val="00120F26"/>
    <w:rsid w:val="00147AA8"/>
    <w:rsid w:val="00152CD7"/>
    <w:rsid w:val="00155E51"/>
    <w:rsid w:val="0017031E"/>
    <w:rsid w:val="0017529A"/>
    <w:rsid w:val="001810A6"/>
    <w:rsid w:val="00181DFF"/>
    <w:rsid w:val="00186EC3"/>
    <w:rsid w:val="00190B4D"/>
    <w:rsid w:val="001A3D68"/>
    <w:rsid w:val="001B0520"/>
    <w:rsid w:val="001B27AE"/>
    <w:rsid w:val="001B4247"/>
    <w:rsid w:val="001B4FBB"/>
    <w:rsid w:val="001B6682"/>
    <w:rsid w:val="001C42B0"/>
    <w:rsid w:val="001C5FA8"/>
    <w:rsid w:val="001D5CF3"/>
    <w:rsid w:val="001E68DC"/>
    <w:rsid w:val="001F039F"/>
    <w:rsid w:val="001F146B"/>
    <w:rsid w:val="00210264"/>
    <w:rsid w:val="0022039E"/>
    <w:rsid w:val="00222B3A"/>
    <w:rsid w:val="00225B73"/>
    <w:rsid w:val="00242549"/>
    <w:rsid w:val="00243B03"/>
    <w:rsid w:val="00285352"/>
    <w:rsid w:val="0028629B"/>
    <w:rsid w:val="002A2275"/>
    <w:rsid w:val="002B17F4"/>
    <w:rsid w:val="002B23D3"/>
    <w:rsid w:val="002B254B"/>
    <w:rsid w:val="002B632F"/>
    <w:rsid w:val="002B7549"/>
    <w:rsid w:val="002C4B8B"/>
    <w:rsid w:val="002C629C"/>
    <w:rsid w:val="002C79D0"/>
    <w:rsid w:val="002E3CBD"/>
    <w:rsid w:val="002E4DC3"/>
    <w:rsid w:val="002F45DD"/>
    <w:rsid w:val="00304CC6"/>
    <w:rsid w:val="00307688"/>
    <w:rsid w:val="00307AF1"/>
    <w:rsid w:val="003159DC"/>
    <w:rsid w:val="00331262"/>
    <w:rsid w:val="003342E7"/>
    <w:rsid w:val="0033684A"/>
    <w:rsid w:val="003472E4"/>
    <w:rsid w:val="00357730"/>
    <w:rsid w:val="0037634B"/>
    <w:rsid w:val="00382F74"/>
    <w:rsid w:val="003906A8"/>
    <w:rsid w:val="003A302B"/>
    <w:rsid w:val="003B0007"/>
    <w:rsid w:val="003B0026"/>
    <w:rsid w:val="003C2489"/>
    <w:rsid w:val="003E256B"/>
    <w:rsid w:val="003E2584"/>
    <w:rsid w:val="003E5E7D"/>
    <w:rsid w:val="003E6344"/>
    <w:rsid w:val="003F37A2"/>
    <w:rsid w:val="0040190A"/>
    <w:rsid w:val="00404B25"/>
    <w:rsid w:val="00426EA3"/>
    <w:rsid w:val="004302DE"/>
    <w:rsid w:val="0043246E"/>
    <w:rsid w:val="00434E60"/>
    <w:rsid w:val="004362DA"/>
    <w:rsid w:val="00460BB9"/>
    <w:rsid w:val="00480F34"/>
    <w:rsid w:val="0048552A"/>
    <w:rsid w:val="00485D25"/>
    <w:rsid w:val="00490B2A"/>
    <w:rsid w:val="004972E2"/>
    <w:rsid w:val="004A5ED8"/>
    <w:rsid w:val="004B210B"/>
    <w:rsid w:val="004B2D4A"/>
    <w:rsid w:val="004C0B25"/>
    <w:rsid w:val="004D3E37"/>
    <w:rsid w:val="00540E41"/>
    <w:rsid w:val="005440D0"/>
    <w:rsid w:val="0054530C"/>
    <w:rsid w:val="0055058B"/>
    <w:rsid w:val="005534CE"/>
    <w:rsid w:val="00566E01"/>
    <w:rsid w:val="00566E73"/>
    <w:rsid w:val="00570A8B"/>
    <w:rsid w:val="0057723A"/>
    <w:rsid w:val="00586152"/>
    <w:rsid w:val="00590450"/>
    <w:rsid w:val="00590C78"/>
    <w:rsid w:val="00596BF9"/>
    <w:rsid w:val="005A49D6"/>
    <w:rsid w:val="005A5778"/>
    <w:rsid w:val="005A6508"/>
    <w:rsid w:val="005D611F"/>
    <w:rsid w:val="005E539F"/>
    <w:rsid w:val="005F699D"/>
    <w:rsid w:val="005F712E"/>
    <w:rsid w:val="00600972"/>
    <w:rsid w:val="00604473"/>
    <w:rsid w:val="00611A4A"/>
    <w:rsid w:val="0063211C"/>
    <w:rsid w:val="00632C0A"/>
    <w:rsid w:val="00634B8A"/>
    <w:rsid w:val="00643BCD"/>
    <w:rsid w:val="006465DE"/>
    <w:rsid w:val="0065678D"/>
    <w:rsid w:val="00660A63"/>
    <w:rsid w:val="00672615"/>
    <w:rsid w:val="00673DE3"/>
    <w:rsid w:val="006903C0"/>
    <w:rsid w:val="00691ABB"/>
    <w:rsid w:val="00695C8D"/>
    <w:rsid w:val="00695FC5"/>
    <w:rsid w:val="006B160A"/>
    <w:rsid w:val="006C0B93"/>
    <w:rsid w:val="006C2BAE"/>
    <w:rsid w:val="006C4F4D"/>
    <w:rsid w:val="006C69CB"/>
    <w:rsid w:val="006D1166"/>
    <w:rsid w:val="006D421A"/>
    <w:rsid w:val="006E281F"/>
    <w:rsid w:val="006E2DB3"/>
    <w:rsid w:val="006E46E5"/>
    <w:rsid w:val="006E5BE0"/>
    <w:rsid w:val="006E70C3"/>
    <w:rsid w:val="006F4398"/>
    <w:rsid w:val="006F5E2C"/>
    <w:rsid w:val="00700970"/>
    <w:rsid w:val="007256E9"/>
    <w:rsid w:val="00730F54"/>
    <w:rsid w:val="007311BF"/>
    <w:rsid w:val="00736F08"/>
    <w:rsid w:val="00747212"/>
    <w:rsid w:val="0074757A"/>
    <w:rsid w:val="00754B11"/>
    <w:rsid w:val="007669A5"/>
    <w:rsid w:val="0078477A"/>
    <w:rsid w:val="0078648F"/>
    <w:rsid w:val="00795CB8"/>
    <w:rsid w:val="007A5196"/>
    <w:rsid w:val="007A68D3"/>
    <w:rsid w:val="007A71C0"/>
    <w:rsid w:val="007B07D1"/>
    <w:rsid w:val="007B183F"/>
    <w:rsid w:val="007C0824"/>
    <w:rsid w:val="007C20AE"/>
    <w:rsid w:val="007C66B1"/>
    <w:rsid w:val="007C716D"/>
    <w:rsid w:val="007D0011"/>
    <w:rsid w:val="007F0627"/>
    <w:rsid w:val="007F0DA4"/>
    <w:rsid w:val="00802F81"/>
    <w:rsid w:val="00812FBE"/>
    <w:rsid w:val="008153FB"/>
    <w:rsid w:val="00822898"/>
    <w:rsid w:val="00843ACD"/>
    <w:rsid w:val="00846C51"/>
    <w:rsid w:val="008503B4"/>
    <w:rsid w:val="00855836"/>
    <w:rsid w:val="00865C17"/>
    <w:rsid w:val="008739E8"/>
    <w:rsid w:val="00877571"/>
    <w:rsid w:val="00880D76"/>
    <w:rsid w:val="00887669"/>
    <w:rsid w:val="008900A1"/>
    <w:rsid w:val="008937C8"/>
    <w:rsid w:val="008A47FA"/>
    <w:rsid w:val="008B710F"/>
    <w:rsid w:val="008C2DE7"/>
    <w:rsid w:val="008F0E8C"/>
    <w:rsid w:val="008F4867"/>
    <w:rsid w:val="008F6FEB"/>
    <w:rsid w:val="00914DCA"/>
    <w:rsid w:val="00932540"/>
    <w:rsid w:val="00932AAF"/>
    <w:rsid w:val="00954399"/>
    <w:rsid w:val="00962E30"/>
    <w:rsid w:val="00976CF7"/>
    <w:rsid w:val="00982AEB"/>
    <w:rsid w:val="0098550E"/>
    <w:rsid w:val="00985A76"/>
    <w:rsid w:val="00987BBA"/>
    <w:rsid w:val="009913FF"/>
    <w:rsid w:val="009938E0"/>
    <w:rsid w:val="009A6DC3"/>
    <w:rsid w:val="009A7C12"/>
    <w:rsid w:val="009B04B5"/>
    <w:rsid w:val="009B1FC6"/>
    <w:rsid w:val="009B2D59"/>
    <w:rsid w:val="009B7B88"/>
    <w:rsid w:val="009C121B"/>
    <w:rsid w:val="009C6F44"/>
    <w:rsid w:val="009D4027"/>
    <w:rsid w:val="009D5D72"/>
    <w:rsid w:val="009E76F9"/>
    <w:rsid w:val="009F36B3"/>
    <w:rsid w:val="009F3856"/>
    <w:rsid w:val="009F4781"/>
    <w:rsid w:val="009F5F68"/>
    <w:rsid w:val="00A00E52"/>
    <w:rsid w:val="00A05266"/>
    <w:rsid w:val="00A07A1A"/>
    <w:rsid w:val="00A21902"/>
    <w:rsid w:val="00A24663"/>
    <w:rsid w:val="00A662D2"/>
    <w:rsid w:val="00A66DE3"/>
    <w:rsid w:val="00A67DA3"/>
    <w:rsid w:val="00A764B7"/>
    <w:rsid w:val="00A83BB7"/>
    <w:rsid w:val="00A96565"/>
    <w:rsid w:val="00A96EC4"/>
    <w:rsid w:val="00AA010D"/>
    <w:rsid w:val="00AA088C"/>
    <w:rsid w:val="00AA7762"/>
    <w:rsid w:val="00AB71C3"/>
    <w:rsid w:val="00AC4A63"/>
    <w:rsid w:val="00AC79EF"/>
    <w:rsid w:val="00AD0BC6"/>
    <w:rsid w:val="00B20BBE"/>
    <w:rsid w:val="00B23036"/>
    <w:rsid w:val="00B33406"/>
    <w:rsid w:val="00B33C8E"/>
    <w:rsid w:val="00B42C05"/>
    <w:rsid w:val="00B435B7"/>
    <w:rsid w:val="00B57B31"/>
    <w:rsid w:val="00B62CF9"/>
    <w:rsid w:val="00B744B2"/>
    <w:rsid w:val="00B774C1"/>
    <w:rsid w:val="00B914D1"/>
    <w:rsid w:val="00B92ED2"/>
    <w:rsid w:val="00B932D1"/>
    <w:rsid w:val="00BA34F0"/>
    <w:rsid w:val="00BA63B4"/>
    <w:rsid w:val="00BA6F2B"/>
    <w:rsid w:val="00BB1160"/>
    <w:rsid w:val="00BC21D7"/>
    <w:rsid w:val="00BC3431"/>
    <w:rsid w:val="00BC5AF0"/>
    <w:rsid w:val="00BE0209"/>
    <w:rsid w:val="00BE15AB"/>
    <w:rsid w:val="00BE52B9"/>
    <w:rsid w:val="00BF1F0B"/>
    <w:rsid w:val="00C03300"/>
    <w:rsid w:val="00C2284C"/>
    <w:rsid w:val="00C3192A"/>
    <w:rsid w:val="00C33F8F"/>
    <w:rsid w:val="00C36ECC"/>
    <w:rsid w:val="00C537F0"/>
    <w:rsid w:val="00C5524C"/>
    <w:rsid w:val="00C63325"/>
    <w:rsid w:val="00C63EDA"/>
    <w:rsid w:val="00C75BE7"/>
    <w:rsid w:val="00C92615"/>
    <w:rsid w:val="00C970D7"/>
    <w:rsid w:val="00C97174"/>
    <w:rsid w:val="00C978BD"/>
    <w:rsid w:val="00CB0598"/>
    <w:rsid w:val="00CC1B04"/>
    <w:rsid w:val="00CC2045"/>
    <w:rsid w:val="00CC4C19"/>
    <w:rsid w:val="00CC5429"/>
    <w:rsid w:val="00CC5AD1"/>
    <w:rsid w:val="00CD55A1"/>
    <w:rsid w:val="00CE5C88"/>
    <w:rsid w:val="00CF5AB0"/>
    <w:rsid w:val="00D0251A"/>
    <w:rsid w:val="00D064AF"/>
    <w:rsid w:val="00D16140"/>
    <w:rsid w:val="00D212F5"/>
    <w:rsid w:val="00D217D3"/>
    <w:rsid w:val="00D23033"/>
    <w:rsid w:val="00D26D61"/>
    <w:rsid w:val="00D332A3"/>
    <w:rsid w:val="00D36C5C"/>
    <w:rsid w:val="00D40661"/>
    <w:rsid w:val="00D43786"/>
    <w:rsid w:val="00D468D7"/>
    <w:rsid w:val="00D54EFB"/>
    <w:rsid w:val="00D55304"/>
    <w:rsid w:val="00D702D8"/>
    <w:rsid w:val="00D70914"/>
    <w:rsid w:val="00D85CA3"/>
    <w:rsid w:val="00D8664C"/>
    <w:rsid w:val="00D97724"/>
    <w:rsid w:val="00DA3F72"/>
    <w:rsid w:val="00DB5B7E"/>
    <w:rsid w:val="00DB5D8A"/>
    <w:rsid w:val="00DC1AE8"/>
    <w:rsid w:val="00DC212D"/>
    <w:rsid w:val="00DD7DA7"/>
    <w:rsid w:val="00DE23E5"/>
    <w:rsid w:val="00DF12AA"/>
    <w:rsid w:val="00DF3049"/>
    <w:rsid w:val="00E00BF9"/>
    <w:rsid w:val="00E04E55"/>
    <w:rsid w:val="00E14FBE"/>
    <w:rsid w:val="00E22284"/>
    <w:rsid w:val="00E22FB4"/>
    <w:rsid w:val="00E50648"/>
    <w:rsid w:val="00E50E15"/>
    <w:rsid w:val="00E56F21"/>
    <w:rsid w:val="00E7466D"/>
    <w:rsid w:val="00E81136"/>
    <w:rsid w:val="00E83293"/>
    <w:rsid w:val="00E84F54"/>
    <w:rsid w:val="00E94F2B"/>
    <w:rsid w:val="00E9513C"/>
    <w:rsid w:val="00EA0569"/>
    <w:rsid w:val="00EB15F6"/>
    <w:rsid w:val="00EB28AE"/>
    <w:rsid w:val="00ED204A"/>
    <w:rsid w:val="00ED6FCD"/>
    <w:rsid w:val="00EE0B8C"/>
    <w:rsid w:val="00EE2FC2"/>
    <w:rsid w:val="00EE58CD"/>
    <w:rsid w:val="00EE6DA1"/>
    <w:rsid w:val="00EF3B0C"/>
    <w:rsid w:val="00F06F6E"/>
    <w:rsid w:val="00F137E1"/>
    <w:rsid w:val="00F173B1"/>
    <w:rsid w:val="00F34F52"/>
    <w:rsid w:val="00F3613E"/>
    <w:rsid w:val="00F42F38"/>
    <w:rsid w:val="00F50F9C"/>
    <w:rsid w:val="00F51B1C"/>
    <w:rsid w:val="00F63A10"/>
    <w:rsid w:val="00F75E4F"/>
    <w:rsid w:val="00F86198"/>
    <w:rsid w:val="00FB02B6"/>
    <w:rsid w:val="00FB6C6E"/>
    <w:rsid w:val="00FC2A1A"/>
    <w:rsid w:val="00FC4115"/>
    <w:rsid w:val="00FC6F91"/>
    <w:rsid w:val="00FD3D06"/>
    <w:rsid w:val="00FF545F"/>
    <w:rsid w:val="03367A72"/>
    <w:rsid w:val="03FA0A9B"/>
    <w:rsid w:val="048F6DBA"/>
    <w:rsid w:val="056723BA"/>
    <w:rsid w:val="06581AF4"/>
    <w:rsid w:val="089614B1"/>
    <w:rsid w:val="0956025E"/>
    <w:rsid w:val="09A06D2A"/>
    <w:rsid w:val="09B01A72"/>
    <w:rsid w:val="0A581ADF"/>
    <w:rsid w:val="0B4E7DDA"/>
    <w:rsid w:val="0BBB3BD6"/>
    <w:rsid w:val="0C93502E"/>
    <w:rsid w:val="0D7B11F2"/>
    <w:rsid w:val="0DAE35BC"/>
    <w:rsid w:val="0DEF4745"/>
    <w:rsid w:val="0E914168"/>
    <w:rsid w:val="0FFFD14B"/>
    <w:rsid w:val="106D353A"/>
    <w:rsid w:val="112A47B8"/>
    <w:rsid w:val="12984975"/>
    <w:rsid w:val="13B12EDD"/>
    <w:rsid w:val="14D1775F"/>
    <w:rsid w:val="16317A83"/>
    <w:rsid w:val="168B1A72"/>
    <w:rsid w:val="16CE6BF4"/>
    <w:rsid w:val="176432ED"/>
    <w:rsid w:val="1767A73F"/>
    <w:rsid w:val="17C00184"/>
    <w:rsid w:val="19E445D0"/>
    <w:rsid w:val="1A2C5436"/>
    <w:rsid w:val="1A673401"/>
    <w:rsid w:val="1B3FEB63"/>
    <w:rsid w:val="1B5E7883"/>
    <w:rsid w:val="1DA32132"/>
    <w:rsid w:val="1E1E3749"/>
    <w:rsid w:val="1E5309DE"/>
    <w:rsid w:val="1EA416D1"/>
    <w:rsid w:val="1EFD003D"/>
    <w:rsid w:val="1EFF7902"/>
    <w:rsid w:val="1EFF9738"/>
    <w:rsid w:val="1F1D683E"/>
    <w:rsid w:val="1F416D5C"/>
    <w:rsid w:val="1FBBD31E"/>
    <w:rsid w:val="2076314D"/>
    <w:rsid w:val="21D63B4D"/>
    <w:rsid w:val="21DE69A0"/>
    <w:rsid w:val="221233E5"/>
    <w:rsid w:val="22C5630B"/>
    <w:rsid w:val="230B3E0B"/>
    <w:rsid w:val="23160353"/>
    <w:rsid w:val="23F9214F"/>
    <w:rsid w:val="2469327B"/>
    <w:rsid w:val="24FA8D63"/>
    <w:rsid w:val="25D02118"/>
    <w:rsid w:val="27053A40"/>
    <w:rsid w:val="28132C98"/>
    <w:rsid w:val="296F10C6"/>
    <w:rsid w:val="2AA31D21"/>
    <w:rsid w:val="2ACFBE53"/>
    <w:rsid w:val="2B193CEA"/>
    <w:rsid w:val="2BA8AAD2"/>
    <w:rsid w:val="2BFB988B"/>
    <w:rsid w:val="2CA04697"/>
    <w:rsid w:val="2D5AC282"/>
    <w:rsid w:val="2DDB741F"/>
    <w:rsid w:val="2DFB2979"/>
    <w:rsid w:val="2DFE0432"/>
    <w:rsid w:val="2E692051"/>
    <w:rsid w:val="2EFCB17C"/>
    <w:rsid w:val="2FBEC8A8"/>
    <w:rsid w:val="2FC6814B"/>
    <w:rsid w:val="2FE70D31"/>
    <w:rsid w:val="2FF74A79"/>
    <w:rsid w:val="2FFC10AE"/>
    <w:rsid w:val="303E343F"/>
    <w:rsid w:val="304C3BC8"/>
    <w:rsid w:val="32A71490"/>
    <w:rsid w:val="32C361BD"/>
    <w:rsid w:val="33103BA0"/>
    <w:rsid w:val="33AA0782"/>
    <w:rsid w:val="34932B90"/>
    <w:rsid w:val="35FE59FB"/>
    <w:rsid w:val="35FEA469"/>
    <w:rsid w:val="3687012A"/>
    <w:rsid w:val="377A30AD"/>
    <w:rsid w:val="37CA980C"/>
    <w:rsid w:val="37FEFADC"/>
    <w:rsid w:val="387E40BB"/>
    <w:rsid w:val="38894EF8"/>
    <w:rsid w:val="38991206"/>
    <w:rsid w:val="38DE3FDD"/>
    <w:rsid w:val="39306122"/>
    <w:rsid w:val="397DC74D"/>
    <w:rsid w:val="39B863C1"/>
    <w:rsid w:val="3A17369C"/>
    <w:rsid w:val="3A2E231C"/>
    <w:rsid w:val="3B0DA05C"/>
    <w:rsid w:val="3BF95A99"/>
    <w:rsid w:val="3C99F8A9"/>
    <w:rsid w:val="3CE64A7A"/>
    <w:rsid w:val="3D577858"/>
    <w:rsid w:val="3DE95B59"/>
    <w:rsid w:val="3DEBADE3"/>
    <w:rsid w:val="3DFE348A"/>
    <w:rsid w:val="3E7F972B"/>
    <w:rsid w:val="3E9F7AC9"/>
    <w:rsid w:val="3F910A17"/>
    <w:rsid w:val="3FB7121A"/>
    <w:rsid w:val="3FDFCB9B"/>
    <w:rsid w:val="3FDFD015"/>
    <w:rsid w:val="3FFE2FBD"/>
    <w:rsid w:val="412B13CD"/>
    <w:rsid w:val="444E23D0"/>
    <w:rsid w:val="454F0E62"/>
    <w:rsid w:val="469D2F78"/>
    <w:rsid w:val="47363E53"/>
    <w:rsid w:val="48E16679"/>
    <w:rsid w:val="4A9D3FC8"/>
    <w:rsid w:val="4B1E25CC"/>
    <w:rsid w:val="4B436B71"/>
    <w:rsid w:val="4C207BDB"/>
    <w:rsid w:val="4C434264"/>
    <w:rsid w:val="4CA3296A"/>
    <w:rsid w:val="4CC20739"/>
    <w:rsid w:val="4D4203D5"/>
    <w:rsid w:val="4D7F3DFB"/>
    <w:rsid w:val="4E140FA2"/>
    <w:rsid w:val="4E68D90B"/>
    <w:rsid w:val="4EA60225"/>
    <w:rsid w:val="4EFF62E2"/>
    <w:rsid w:val="4F3FFE52"/>
    <w:rsid w:val="4F552E95"/>
    <w:rsid w:val="4F7D612F"/>
    <w:rsid w:val="4F9F749B"/>
    <w:rsid w:val="4FF3ECC2"/>
    <w:rsid w:val="4FFC53D1"/>
    <w:rsid w:val="54BD13CD"/>
    <w:rsid w:val="54E2035E"/>
    <w:rsid w:val="54E468FA"/>
    <w:rsid w:val="555A7F4E"/>
    <w:rsid w:val="55752F9F"/>
    <w:rsid w:val="55E00816"/>
    <w:rsid w:val="56B7E226"/>
    <w:rsid w:val="56DF06DC"/>
    <w:rsid w:val="56F26AC9"/>
    <w:rsid w:val="56FFE777"/>
    <w:rsid w:val="57792997"/>
    <w:rsid w:val="57DF2EC0"/>
    <w:rsid w:val="57DF32B9"/>
    <w:rsid w:val="599F27A1"/>
    <w:rsid w:val="59B7D781"/>
    <w:rsid w:val="5BF7704A"/>
    <w:rsid w:val="5C033F73"/>
    <w:rsid w:val="5CBE6924"/>
    <w:rsid w:val="5CCC7F94"/>
    <w:rsid w:val="5D79EA8B"/>
    <w:rsid w:val="5D7EF396"/>
    <w:rsid w:val="5DFEDE59"/>
    <w:rsid w:val="5ED765CC"/>
    <w:rsid w:val="5F5C0538"/>
    <w:rsid w:val="5F7F971A"/>
    <w:rsid w:val="5FE5D64C"/>
    <w:rsid w:val="5FFDA4D3"/>
    <w:rsid w:val="60242015"/>
    <w:rsid w:val="61390F05"/>
    <w:rsid w:val="61CA5DB7"/>
    <w:rsid w:val="628919EE"/>
    <w:rsid w:val="64212D54"/>
    <w:rsid w:val="64AE514E"/>
    <w:rsid w:val="66675555"/>
    <w:rsid w:val="66FFBDCB"/>
    <w:rsid w:val="67BE06B4"/>
    <w:rsid w:val="67F7B643"/>
    <w:rsid w:val="67FDD5A6"/>
    <w:rsid w:val="68173EEA"/>
    <w:rsid w:val="685E6D03"/>
    <w:rsid w:val="68FFCDC9"/>
    <w:rsid w:val="68FFDEB1"/>
    <w:rsid w:val="69EF7F7B"/>
    <w:rsid w:val="6A205A5F"/>
    <w:rsid w:val="6AAC790A"/>
    <w:rsid w:val="6B368862"/>
    <w:rsid w:val="6BCEFB75"/>
    <w:rsid w:val="6BE77EAF"/>
    <w:rsid w:val="6CFB4A03"/>
    <w:rsid w:val="6D3774FD"/>
    <w:rsid w:val="6D8DD05B"/>
    <w:rsid w:val="6DB8F7E0"/>
    <w:rsid w:val="6DCCB212"/>
    <w:rsid w:val="6DFB4EEC"/>
    <w:rsid w:val="6DFEE726"/>
    <w:rsid w:val="6E1238FE"/>
    <w:rsid w:val="6E7DBF15"/>
    <w:rsid w:val="6ED7A96F"/>
    <w:rsid w:val="6EDFB331"/>
    <w:rsid w:val="6EFBF6CD"/>
    <w:rsid w:val="6F2D5524"/>
    <w:rsid w:val="6F62294C"/>
    <w:rsid w:val="6F6E7ACF"/>
    <w:rsid w:val="6F8787B9"/>
    <w:rsid w:val="6FAF7ABE"/>
    <w:rsid w:val="6FBFCA89"/>
    <w:rsid w:val="6FDAFACA"/>
    <w:rsid w:val="6FE62BA6"/>
    <w:rsid w:val="6FFD1CA1"/>
    <w:rsid w:val="70C654CC"/>
    <w:rsid w:val="70C86D0A"/>
    <w:rsid w:val="70CB4E19"/>
    <w:rsid w:val="722D62A3"/>
    <w:rsid w:val="738A1585"/>
    <w:rsid w:val="73D365D4"/>
    <w:rsid w:val="742025A5"/>
    <w:rsid w:val="7549100E"/>
    <w:rsid w:val="75645E1C"/>
    <w:rsid w:val="75BEE7CD"/>
    <w:rsid w:val="75CF37A4"/>
    <w:rsid w:val="769C055A"/>
    <w:rsid w:val="76EF87E7"/>
    <w:rsid w:val="775D3C77"/>
    <w:rsid w:val="775F7C8D"/>
    <w:rsid w:val="777BD4DB"/>
    <w:rsid w:val="777D30E3"/>
    <w:rsid w:val="77923D52"/>
    <w:rsid w:val="77CC1736"/>
    <w:rsid w:val="77FEFC2B"/>
    <w:rsid w:val="780D0E65"/>
    <w:rsid w:val="78F37E69"/>
    <w:rsid w:val="79342D2D"/>
    <w:rsid w:val="795C1131"/>
    <w:rsid w:val="796F7A18"/>
    <w:rsid w:val="7A3F172B"/>
    <w:rsid w:val="7AB12549"/>
    <w:rsid w:val="7B135C74"/>
    <w:rsid w:val="7B227210"/>
    <w:rsid w:val="7B791901"/>
    <w:rsid w:val="7BEFA8FA"/>
    <w:rsid w:val="7BF4BA33"/>
    <w:rsid w:val="7BFD6110"/>
    <w:rsid w:val="7BFEBB8D"/>
    <w:rsid w:val="7BFF33C6"/>
    <w:rsid w:val="7CF7613C"/>
    <w:rsid w:val="7D375721"/>
    <w:rsid w:val="7DAF30C1"/>
    <w:rsid w:val="7E3BFF35"/>
    <w:rsid w:val="7EBA0503"/>
    <w:rsid w:val="7EF9C212"/>
    <w:rsid w:val="7F2F09D2"/>
    <w:rsid w:val="7F3E6E99"/>
    <w:rsid w:val="7F7C5EF8"/>
    <w:rsid w:val="7FBE5E61"/>
    <w:rsid w:val="7FBF97E2"/>
    <w:rsid w:val="7FBFD961"/>
    <w:rsid w:val="7FCE2656"/>
    <w:rsid w:val="7FD774ED"/>
    <w:rsid w:val="7FDD4514"/>
    <w:rsid w:val="7FDE1F73"/>
    <w:rsid w:val="7FF66DF9"/>
    <w:rsid w:val="7FF84EFB"/>
    <w:rsid w:val="7FFA5479"/>
    <w:rsid w:val="7FFB49BC"/>
    <w:rsid w:val="7FFFCAA6"/>
    <w:rsid w:val="97B79451"/>
    <w:rsid w:val="9AF76546"/>
    <w:rsid w:val="9AFF353C"/>
    <w:rsid w:val="9BBF67C9"/>
    <w:rsid w:val="9FB6BC4C"/>
    <w:rsid w:val="9FCFF38A"/>
    <w:rsid w:val="A8CFAE95"/>
    <w:rsid w:val="ABFFB68B"/>
    <w:rsid w:val="AD7B6B96"/>
    <w:rsid w:val="AEB6D420"/>
    <w:rsid w:val="B1D1CC54"/>
    <w:rsid w:val="B3F3C4DD"/>
    <w:rsid w:val="B5FF4FC9"/>
    <w:rsid w:val="B6AFDF9A"/>
    <w:rsid w:val="B76ACC6B"/>
    <w:rsid w:val="B78FE1B5"/>
    <w:rsid w:val="B7FBD172"/>
    <w:rsid w:val="B7FF90DC"/>
    <w:rsid w:val="B90BD4FE"/>
    <w:rsid w:val="BBFBF01A"/>
    <w:rsid w:val="BEBFB2C1"/>
    <w:rsid w:val="BF6CA0BC"/>
    <w:rsid w:val="BF7E417E"/>
    <w:rsid w:val="BFC3B02B"/>
    <w:rsid w:val="BFFB44A2"/>
    <w:rsid w:val="C68FEE04"/>
    <w:rsid w:val="CEEF2B9C"/>
    <w:rsid w:val="CF7D1A6B"/>
    <w:rsid w:val="CFF7001F"/>
    <w:rsid w:val="D5FFCCAA"/>
    <w:rsid w:val="D75FD191"/>
    <w:rsid w:val="D7CF3717"/>
    <w:rsid w:val="D937CE5F"/>
    <w:rsid w:val="D97BC1E1"/>
    <w:rsid w:val="DB6D8D8B"/>
    <w:rsid w:val="DDFF3466"/>
    <w:rsid w:val="DF3D9D35"/>
    <w:rsid w:val="DF764FA0"/>
    <w:rsid w:val="DFDFDBD9"/>
    <w:rsid w:val="DFEFF54B"/>
    <w:rsid w:val="DFF6D61E"/>
    <w:rsid w:val="DFFF64F7"/>
    <w:rsid w:val="E7254167"/>
    <w:rsid w:val="E77F0D49"/>
    <w:rsid w:val="EBEF6846"/>
    <w:rsid w:val="EBFF6A2F"/>
    <w:rsid w:val="EC7E4F22"/>
    <w:rsid w:val="ECFBD8CD"/>
    <w:rsid w:val="ED3F847E"/>
    <w:rsid w:val="EDBA5549"/>
    <w:rsid w:val="EDF6C743"/>
    <w:rsid w:val="EEEFA5EF"/>
    <w:rsid w:val="EF77A95B"/>
    <w:rsid w:val="EF7FFF4E"/>
    <w:rsid w:val="EFF7E92F"/>
    <w:rsid w:val="EFFBF69B"/>
    <w:rsid w:val="EFFF758F"/>
    <w:rsid w:val="F16FDAC2"/>
    <w:rsid w:val="F2AFF8DE"/>
    <w:rsid w:val="F3FCC728"/>
    <w:rsid w:val="F5DDCF33"/>
    <w:rsid w:val="F5FF50AD"/>
    <w:rsid w:val="F5FFB979"/>
    <w:rsid w:val="F7A769DB"/>
    <w:rsid w:val="F9FD02D9"/>
    <w:rsid w:val="FAEB53FF"/>
    <w:rsid w:val="FB3D446F"/>
    <w:rsid w:val="FB3F450B"/>
    <w:rsid w:val="FBD5C5DF"/>
    <w:rsid w:val="FBEAD633"/>
    <w:rsid w:val="FBEE1D8C"/>
    <w:rsid w:val="FBFE0672"/>
    <w:rsid w:val="FBFF43A3"/>
    <w:rsid w:val="FBFFCB7C"/>
    <w:rsid w:val="FC7A1E5F"/>
    <w:rsid w:val="FC8C1EBF"/>
    <w:rsid w:val="FD73DA91"/>
    <w:rsid w:val="FDE96F05"/>
    <w:rsid w:val="FDEDEE1A"/>
    <w:rsid w:val="FDFFC493"/>
    <w:rsid w:val="FE75C771"/>
    <w:rsid w:val="FEDD7CDD"/>
    <w:rsid w:val="FF1D82C3"/>
    <w:rsid w:val="FF355D48"/>
    <w:rsid w:val="FF3577D9"/>
    <w:rsid w:val="FF3AD340"/>
    <w:rsid w:val="FF3F1E4A"/>
    <w:rsid w:val="FF3FAC2C"/>
    <w:rsid w:val="FF6F204E"/>
    <w:rsid w:val="FF7F8DFB"/>
    <w:rsid w:val="FFAAB907"/>
    <w:rsid w:val="FFAE2640"/>
    <w:rsid w:val="FFB7E452"/>
    <w:rsid w:val="FFBFB686"/>
    <w:rsid w:val="FFE6F2D3"/>
    <w:rsid w:val="FFED8190"/>
    <w:rsid w:val="FFF7F826"/>
    <w:rsid w:val="FFFC0ECD"/>
    <w:rsid w:val="FFFC65CA"/>
    <w:rsid w:val="FFFF7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Change w:id="0" w:author="志娟 赵" w:date="2026-06-19T06:52:00Z">
        <w:pPr>
          <w:widowControl w:val="0"/>
          <w:adjustRightInd w:val="0"/>
          <w:snapToGrid w:val="0"/>
          <w:spacing w:line="560" w:lineRule="exact"/>
          <w:ind w:firstLine="200" w:firstLineChars="200"/>
        </w:pPr>
      </w:pPrChange>
    </w:pPr>
    <w:rPr>
      <w:rFonts w:eastAsia="仿宋_GB2312" w:asciiTheme="minorHAnsi" w:hAnsiTheme="minorHAnsi" w:cstheme="minorBidi"/>
      <w:kern w:val="2"/>
      <w:sz w:val="32"/>
      <w:szCs w:val="22"/>
      <w:lang w:val="en-US" w:eastAsia="zh-CN" w:bidi="ar-SA"/>
      <w:rPrChange w:id="1" w:author="志娟 赵" w:date="2026-06-19T06:52:00Z">
        <w:rPr>
          <w:rFonts w:eastAsia="仿宋_GB2312" w:asciiTheme="minorHAnsi" w:hAnsiTheme="minorHAnsi" w:cstheme="minorBidi"/>
          <w:kern w:val="2"/>
          <w:sz w:val="32"/>
          <w:szCs w:val="22"/>
          <w:lang w:val="en-US" w:eastAsia="zh-CN" w:bidi="ar-SA"/>
        </w:rPr>
      </w:rPrChange>
    </w:rPr>
  </w:style>
  <w:style w:type="paragraph" w:styleId="2">
    <w:name w:val="heading 1"/>
    <w:basedOn w:val="3"/>
    <w:next w:val="1"/>
    <w:qFormat/>
    <w:uiPriority w:val="9"/>
    <w:pPr>
      <w:tabs>
        <w:tab w:val="center" w:pos="4150"/>
        <w:tab w:val="left" w:pos="6371"/>
      </w:tabs>
      <w:spacing w:before="120" w:after="120" w:line="240" w:lineRule="auto"/>
      <w:jc w:val="center"/>
      <w:outlineLvl w:val="0"/>
    </w:pPr>
    <w:rPr>
      <w:rFonts w:cs="Times New Roman"/>
      <w:caps/>
      <w:sz w:val="44"/>
      <w:szCs w:val="32"/>
    </w:rPr>
  </w:style>
  <w:style w:type="paragraph" w:styleId="4">
    <w:name w:val="heading 2"/>
    <w:basedOn w:val="3"/>
    <w:next w:val="1"/>
    <w:qFormat/>
    <w:uiPriority w:val="0"/>
    <w:pPr>
      <w:spacing w:after="0" w:line="560" w:lineRule="exact"/>
      <w:ind w:left="0"/>
      <w:contextualSpacing w:val="0"/>
      <w:outlineLvl w:val="1"/>
    </w:pPr>
    <w:rPr>
      <w:rFonts w:ascii="黑体" w:hAnsi="黑体" w:eastAsia="楷体"/>
      <w:bCs/>
      <w:sz w:val="32"/>
      <w:szCs w:val="30"/>
    </w:rPr>
  </w:style>
  <w:style w:type="paragraph" w:styleId="5">
    <w:name w:val="heading 3"/>
    <w:basedOn w:val="3"/>
    <w:next w:val="1"/>
    <w:unhideWhenUsed/>
    <w:qFormat/>
    <w:uiPriority w:val="9"/>
    <w:pPr>
      <w:spacing w:after="0" w:line="560" w:lineRule="exact"/>
      <w:ind w:left="0"/>
      <w:contextualSpacing w:val="0"/>
      <w:outlineLvl w:val="2"/>
    </w:pPr>
    <w:rPr>
      <w:rFonts w:cs="Arial"/>
      <w:sz w:val="32"/>
      <w:szCs w:val="32"/>
    </w:rPr>
  </w:style>
  <w:style w:type="paragraph" w:styleId="6">
    <w:name w:val="heading 4"/>
    <w:basedOn w:val="3"/>
    <w:next w:val="1"/>
    <w:unhideWhenUsed/>
    <w:qFormat/>
    <w:uiPriority w:val="9"/>
    <w:pPr>
      <w:numPr>
        <w:ilvl w:val="0"/>
        <w:numId w:val="1"/>
      </w:numPr>
      <w:tabs>
        <w:tab w:val="left" w:pos="480"/>
        <w:tab w:val="left" w:pos="2429"/>
      </w:tabs>
      <w:spacing w:after="0" w:line="560" w:lineRule="exact"/>
      <w:ind w:firstLine="0"/>
      <w:outlineLvl w:val="3"/>
    </w:pPr>
    <w:rPr>
      <w:rFonts w:ascii="仿宋_GB2312" w:hAnsi="仿宋" w:cs="Arial"/>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3">
    <w:name w:val="List Paragraph"/>
    <w:basedOn w:val="1"/>
    <w:qFormat/>
    <w:uiPriority w:val="34"/>
    <w:pPr>
      <w:spacing w:after="200" w:line="276" w:lineRule="auto"/>
      <w:ind w:left="720"/>
      <w:contextualSpacing/>
    </w:pPr>
    <w:rPr>
      <w:sz w:val="22"/>
    </w:rPr>
  </w:style>
  <w:style w:type="paragraph" w:styleId="7">
    <w:name w:val="annotation text"/>
    <w:basedOn w:val="1"/>
    <w:link w:val="23"/>
    <w:unhideWhenUsed/>
    <w:qFormat/>
    <w:uiPriority w:val="99"/>
  </w:style>
  <w:style w:type="paragraph" w:styleId="8">
    <w:name w:val="Balloon Text"/>
    <w:basedOn w:val="1"/>
    <w:link w:val="27"/>
    <w:qFormat/>
    <w:uiPriority w:val="0"/>
    <w:pPr>
      <w:spacing w:line="240" w:lineRule="auto"/>
    </w:pPr>
    <w:rPr>
      <w:sz w:val="18"/>
      <w:szCs w:val="18"/>
    </w:rPr>
  </w:style>
  <w:style w:type="paragraph" w:styleId="9">
    <w:name w:val="footer"/>
    <w:basedOn w:val="1"/>
    <w:link w:val="26"/>
    <w:qFormat/>
    <w:uiPriority w:val="0"/>
    <w:pPr>
      <w:tabs>
        <w:tab w:val="center" w:pos="4153"/>
        <w:tab w:val="right" w:pos="8306"/>
      </w:tabs>
    </w:pPr>
    <w:rPr>
      <w:sz w:val="18"/>
      <w:szCs w:val="18"/>
    </w:rPr>
  </w:style>
  <w:style w:type="paragraph" w:styleId="10">
    <w:name w:val="header"/>
    <w:basedOn w:val="1"/>
    <w:link w:val="25"/>
    <w:qFormat/>
    <w:uiPriority w:val="0"/>
    <w:pPr>
      <w:pBdr>
        <w:bottom w:val="single" w:color="auto" w:sz="6" w:space="1"/>
      </w:pBdr>
      <w:tabs>
        <w:tab w:val="center" w:pos="4153"/>
        <w:tab w:val="right" w:pos="8306"/>
      </w:tabs>
      <w:jc w:val="center"/>
    </w:pPr>
    <w:rPr>
      <w:sz w:val="18"/>
      <w:szCs w:val="18"/>
    </w:rPr>
  </w:style>
  <w:style w:type="paragraph" w:styleId="11">
    <w:name w:val="footnote text"/>
    <w:basedOn w:val="1"/>
    <w:link w:val="24"/>
    <w:unhideWhenUsed/>
    <w:qFormat/>
    <w:uiPriority w:val="99"/>
    <w:rPr>
      <w:sz w:val="18"/>
      <w:szCs w:val="18"/>
    </w:rPr>
  </w:style>
  <w:style w:type="paragraph" w:styleId="12">
    <w:name w:val="HTML Preformatted"/>
    <w:basedOn w:val="1"/>
    <w:link w:val="3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pPr>
    <w:rPr>
      <w:rFonts w:ascii="宋体" w:hAnsi="宋体" w:eastAsia="宋体" w:cs="宋体"/>
      <w:kern w:val="0"/>
      <w:sz w:val="24"/>
      <w:szCs w:val="24"/>
    </w:rPr>
  </w:style>
  <w:style w:type="paragraph" w:styleId="13">
    <w:name w:val="Normal (Web)"/>
    <w:basedOn w:val="1"/>
    <w:unhideWhenUsed/>
    <w:qFormat/>
    <w:uiPriority w:val="99"/>
    <w:pPr>
      <w:widowControl/>
      <w:adjustRightInd/>
      <w:snapToGrid/>
      <w:spacing w:before="100" w:beforeAutospacing="1" w:after="100" w:afterAutospacing="1" w:line="240" w:lineRule="auto"/>
      <w:ind w:firstLine="0" w:firstLineChars="0"/>
    </w:pPr>
    <w:rPr>
      <w:rFonts w:ascii="宋体" w:hAnsi="宋体" w:eastAsia="宋体" w:cs="宋体"/>
      <w:kern w:val="0"/>
      <w:sz w:val="24"/>
      <w:szCs w:val="24"/>
    </w:rPr>
  </w:style>
  <w:style w:type="paragraph" w:styleId="14">
    <w:name w:val="Title"/>
    <w:basedOn w:val="1"/>
    <w:next w:val="1"/>
    <w:link w:val="30"/>
    <w:qFormat/>
    <w:uiPriority w:val="0"/>
    <w:pPr>
      <w:outlineLvl w:val="0"/>
    </w:pPr>
    <w:rPr>
      <w:rFonts w:eastAsia="黑体" w:asciiTheme="majorHAnsi" w:hAnsiTheme="majorHAnsi" w:cstheme="majorBidi"/>
      <w:bCs/>
      <w:szCs w:val="32"/>
    </w:rPr>
  </w:style>
  <w:style w:type="paragraph" w:styleId="15">
    <w:name w:val="annotation subject"/>
    <w:basedOn w:val="7"/>
    <w:next w:val="7"/>
    <w:link w:val="29"/>
    <w:qFormat/>
    <w:uiPriority w:val="0"/>
    <w:rPr>
      <w:b/>
      <w:bCs/>
    </w:rPr>
  </w:style>
  <w:style w:type="character" w:styleId="18">
    <w:name w:val="annotation reference"/>
    <w:basedOn w:val="17"/>
    <w:unhideWhenUsed/>
    <w:qFormat/>
    <w:uiPriority w:val="99"/>
    <w:rPr>
      <w:sz w:val="21"/>
      <w:szCs w:val="21"/>
    </w:rPr>
  </w:style>
  <w:style w:type="character" w:styleId="19">
    <w:name w:val="footnote reference"/>
    <w:basedOn w:val="17"/>
    <w:unhideWhenUsed/>
    <w:qFormat/>
    <w:uiPriority w:val="99"/>
    <w:rPr>
      <w:vertAlign w:val="superscript"/>
    </w:rPr>
  </w:style>
  <w:style w:type="character" w:customStyle="1" w:styleId="20">
    <w:name w:val="font41"/>
    <w:basedOn w:val="17"/>
    <w:qFormat/>
    <w:uiPriority w:val="0"/>
    <w:rPr>
      <w:rFonts w:hint="eastAsia" w:ascii="微软雅黑" w:hAnsi="微软雅黑" w:eastAsia="微软雅黑" w:cs="微软雅黑"/>
      <w:color w:val="000000"/>
      <w:sz w:val="20"/>
      <w:szCs w:val="20"/>
      <w:u w:val="none"/>
    </w:rPr>
  </w:style>
  <w:style w:type="character" w:customStyle="1" w:styleId="21">
    <w:name w:val="font01"/>
    <w:basedOn w:val="17"/>
    <w:qFormat/>
    <w:uiPriority w:val="0"/>
    <w:rPr>
      <w:rFonts w:hint="eastAsia" w:ascii="微软雅黑" w:hAnsi="微软雅黑" w:eastAsia="微软雅黑" w:cs="微软雅黑"/>
      <w:color w:val="FF0000"/>
      <w:sz w:val="20"/>
      <w:szCs w:val="20"/>
      <w:u w:val="none"/>
    </w:rPr>
  </w:style>
  <w:style w:type="character" w:customStyle="1" w:styleId="22">
    <w:name w:val="font51"/>
    <w:basedOn w:val="17"/>
    <w:qFormat/>
    <w:uiPriority w:val="0"/>
    <w:rPr>
      <w:rFonts w:hint="eastAsia" w:ascii="微软雅黑" w:hAnsi="微软雅黑" w:eastAsia="微软雅黑" w:cs="微软雅黑"/>
      <w:b/>
      <w:bCs/>
      <w:color w:val="FF0000"/>
      <w:sz w:val="20"/>
      <w:szCs w:val="20"/>
      <w:u w:val="none"/>
    </w:rPr>
  </w:style>
  <w:style w:type="character" w:customStyle="1" w:styleId="23">
    <w:name w:val="批注文字 字符"/>
    <w:basedOn w:val="17"/>
    <w:link w:val="7"/>
    <w:qFormat/>
    <w:uiPriority w:val="99"/>
    <w:rPr>
      <w:rFonts w:asciiTheme="minorHAnsi" w:hAnsiTheme="minorHAnsi" w:eastAsiaTheme="minorEastAsia" w:cstheme="minorBidi"/>
      <w:kern w:val="2"/>
      <w:sz w:val="21"/>
      <w:szCs w:val="22"/>
    </w:rPr>
  </w:style>
  <w:style w:type="character" w:customStyle="1" w:styleId="24">
    <w:name w:val="脚注文本 字符"/>
    <w:basedOn w:val="17"/>
    <w:link w:val="11"/>
    <w:qFormat/>
    <w:uiPriority w:val="99"/>
    <w:rPr>
      <w:rFonts w:asciiTheme="minorHAnsi" w:hAnsiTheme="minorHAnsi" w:eastAsiaTheme="minorEastAsia" w:cstheme="minorBidi"/>
      <w:kern w:val="2"/>
      <w:sz w:val="18"/>
      <w:szCs w:val="18"/>
    </w:rPr>
  </w:style>
  <w:style w:type="character" w:customStyle="1" w:styleId="25">
    <w:name w:val="页眉 字符"/>
    <w:basedOn w:val="17"/>
    <w:link w:val="10"/>
    <w:qFormat/>
    <w:uiPriority w:val="0"/>
    <w:rPr>
      <w:rFonts w:asciiTheme="minorHAnsi" w:hAnsiTheme="minorHAnsi" w:eastAsiaTheme="minorEastAsia" w:cstheme="minorBidi"/>
      <w:kern w:val="2"/>
      <w:sz w:val="18"/>
      <w:szCs w:val="18"/>
    </w:rPr>
  </w:style>
  <w:style w:type="character" w:customStyle="1" w:styleId="26">
    <w:name w:val="页脚 字符"/>
    <w:basedOn w:val="17"/>
    <w:link w:val="9"/>
    <w:qFormat/>
    <w:uiPriority w:val="0"/>
    <w:rPr>
      <w:rFonts w:asciiTheme="minorHAnsi" w:hAnsiTheme="minorHAnsi" w:eastAsiaTheme="minorEastAsia" w:cstheme="minorBidi"/>
      <w:kern w:val="2"/>
      <w:sz w:val="18"/>
      <w:szCs w:val="18"/>
    </w:rPr>
  </w:style>
  <w:style w:type="character" w:customStyle="1" w:styleId="27">
    <w:name w:val="批注框文本 字符"/>
    <w:basedOn w:val="17"/>
    <w:link w:val="8"/>
    <w:qFormat/>
    <w:uiPriority w:val="0"/>
    <w:rPr>
      <w:rFonts w:eastAsia="仿宋_GB2312" w:asciiTheme="minorHAnsi" w:hAnsiTheme="minorHAnsi" w:cstheme="minorBidi"/>
      <w:kern w:val="2"/>
      <w:sz w:val="18"/>
      <w:szCs w:val="18"/>
    </w:rPr>
  </w:style>
  <w:style w:type="paragraph" w:styleId="2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9">
    <w:name w:val="批注主题 字符"/>
    <w:basedOn w:val="23"/>
    <w:link w:val="15"/>
    <w:qFormat/>
    <w:uiPriority w:val="0"/>
    <w:rPr>
      <w:rFonts w:asciiTheme="minorHAnsi" w:hAnsiTheme="minorHAnsi" w:eastAsiaTheme="minorEastAsia" w:cstheme="minorBidi"/>
      <w:b/>
      <w:bCs/>
      <w:kern w:val="2"/>
      <w:sz w:val="21"/>
      <w:szCs w:val="22"/>
    </w:rPr>
  </w:style>
  <w:style w:type="character" w:customStyle="1" w:styleId="30">
    <w:name w:val="标题 字符"/>
    <w:basedOn w:val="17"/>
    <w:link w:val="14"/>
    <w:qFormat/>
    <w:uiPriority w:val="0"/>
    <w:rPr>
      <w:rFonts w:eastAsia="黑体" w:asciiTheme="majorHAnsi" w:hAnsiTheme="majorHAnsi" w:cstheme="majorBidi"/>
      <w:bCs/>
      <w:kern w:val="2"/>
      <w:sz w:val="32"/>
      <w:szCs w:val="32"/>
    </w:rPr>
  </w:style>
  <w:style w:type="character" w:customStyle="1" w:styleId="31">
    <w:name w:val="HTML 预设格式 字符"/>
    <w:basedOn w:val="17"/>
    <w:link w:val="12"/>
    <w:qFormat/>
    <w:uiPriority w:val="99"/>
    <w:rPr>
      <w:rFonts w:ascii="宋体" w:hAnsi="宋体" w:cs="宋体"/>
      <w:sz w:val="24"/>
      <w:szCs w:val="24"/>
    </w:rPr>
  </w:style>
  <w:style w:type="character" w:customStyle="1" w:styleId="32">
    <w:name w:val="text-only"/>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CPIC</Company>
  <Pages>94</Pages>
  <Words>8856</Words>
  <Characters>9224</Characters>
  <Lines>377</Lines>
  <Paragraphs>106</Paragraphs>
  <TotalTime>4</TotalTime>
  <ScaleCrop>false</ScaleCrop>
  <LinksUpToDate>false</LinksUpToDate>
  <CharactersWithSpaces>9228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2026-06-24T22:34:00Z</dcterms:created>
  <dc:creator>姚玥</dc:creator>
  <cp:lastModifiedBy>cbirc</cp:lastModifiedBy>
  <cp:lastPrinted>2025-11-15T12:21:00Z</cp:lastPrinted>
  <dcterms:modified xsi:type="dcterms:W3CDTF">2026-08-21T11:42:52Z</dcterms:modified>
  <dc:title>附件1</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68A1B82038B44239BF0186FA526A80FA_13</vt:lpwstr>
  </property>
  <property fmtid="{D5CDD505-2E9C-101B-9397-08002B2CF9AE}" pid="4" name="KSOTemplateDocerSaveRecord">
    <vt:lpwstr>eyJoZGlkIjoiZTFhYTJiYWMyMWE1MGU5M2ZhZDVkM2JjZTFkMTY1MWYiLCJ1c2VySWQiOiIyMTAyMDQ1NzgifQ==</vt:lpwstr>
  </property>
</Properties>
</file>