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hanging="420"/>
        <w:jc w:val="left"/>
        <w:rPr>
          <w:rFonts w:hint="eastAsia" w:ascii="黑体" w:hAnsi="黑体" w:eastAsia="黑体" w:cs="黑体"/>
          <w:sz w:val="32"/>
          <w:szCs w:val="32"/>
        </w:rPr>
      </w:pPr>
      <w:bookmarkStart w:id="7" w:name="_GoBack"/>
      <w:bookmarkEnd w:id="7"/>
      <w:r>
        <w:rPr>
          <w:rFonts w:hint="eastAsia" w:ascii="黑体" w:hAnsi="黑体" w:eastAsia="黑体" w:cs="黑体"/>
          <w:sz w:val="32"/>
          <w:szCs w:val="32"/>
        </w:rPr>
        <w:t>附件4</w:t>
      </w:r>
    </w:p>
    <w:p>
      <w:pPr>
        <w:ind w:left="420" w:hanging="420"/>
        <w:jc w:val="center"/>
        <w:rPr>
          <w:rFonts w:ascii="仿宋" w:hAnsi="仿宋" w:eastAsia="仿宋" w:cs="Times New Roman"/>
          <w:b/>
          <w:bCs/>
          <w:sz w:val="36"/>
          <w:szCs w:val="40"/>
        </w:rPr>
      </w:pPr>
    </w:p>
    <w:p>
      <w:pPr>
        <w:pStyle w:val="2"/>
        <w:keepNext w:val="0"/>
        <w:keepLines w:val="0"/>
        <w:tabs>
          <w:tab w:val="center" w:pos="4150"/>
          <w:tab w:val="left" w:pos="6371"/>
        </w:tabs>
        <w:spacing w:before="120" w:after="120" w:line="560" w:lineRule="exact"/>
        <w:contextualSpacing/>
        <w:jc w:val="center"/>
        <w:rPr>
          <w:rFonts w:ascii="方正小标宋简体" w:hAnsi="方正小标宋简体" w:eastAsia="方正小标宋简体" w:cs="方正小标宋_GBK"/>
          <w:caps/>
          <w:color w:val="auto"/>
          <w:sz w:val="44"/>
          <w:szCs w:val="44"/>
        </w:rPr>
      </w:pPr>
      <w:r>
        <w:rPr>
          <w:rFonts w:hint="eastAsia" w:ascii="方正小标宋简体" w:hAnsi="方正小标宋简体" w:eastAsia="方正小标宋简体" w:cs="方正小标宋_GBK"/>
          <w:caps/>
          <w:color w:val="auto"/>
          <w:sz w:val="44"/>
          <w:szCs w:val="44"/>
        </w:rPr>
        <w:t>保险公司资产负债管理能力评估要求</w:t>
      </w:r>
    </w:p>
    <w:p>
      <w:pPr>
        <w:jc w:val="left"/>
        <w:rPr>
          <w:rFonts w:hint="eastAsia" w:ascii="仿宋_GB2312" w:hAnsi="仿宋_GB2312" w:eastAsia="仿宋_GB2312" w:cs="仿宋_GB2312"/>
          <w:sz w:val="28"/>
          <w:szCs w:val="28"/>
        </w:rPr>
      </w:pPr>
    </w:p>
    <w:p>
      <w:pPr>
        <w:spacing w:line="58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一、</w:t>
      </w:r>
      <w:r>
        <w:rPr>
          <w:rFonts w:hint="eastAsia" w:ascii="仿宋_GB2312" w:hAnsi="仿宋_GB2312" w:eastAsia="仿宋_GB2312" w:cs="仿宋_GB2312"/>
          <w:sz w:val="32"/>
          <w:szCs w:val="32"/>
        </w:rPr>
        <w:t>本评估要求依据《保险公司资产负债管理办法》（以下简称办法）及相关监管规则制定，监管机构可根据本评估要求对保险公司资产负债管理能力进行评估。评估结果表明保险公司资产负债管理能力的强弱，纳入保险公司分类监管评级。</w:t>
      </w:r>
    </w:p>
    <w:p>
      <w:pPr>
        <w:spacing w:line="580" w:lineRule="exact"/>
        <w:ind w:firstLine="640" w:firstLineChars="200"/>
        <w:jc w:val="both"/>
        <w:rPr>
          <w:rFonts w:hint="eastAsia" w:ascii="仿宋_GB2312" w:hAnsi="仿宋_GB2312" w:eastAsia="仿宋_GB2312" w:cs="仿宋_GB2312"/>
          <w:sz w:val="32"/>
          <w:szCs w:val="32"/>
        </w:rPr>
      </w:pPr>
      <w:bookmarkStart w:id="0" w:name="OLE_LINK7"/>
      <w:r>
        <w:rPr>
          <w:rFonts w:hint="eastAsia" w:ascii="黑体" w:hAnsi="黑体" w:eastAsia="黑体" w:cs="黑体"/>
          <w:sz w:val="32"/>
          <w:szCs w:val="32"/>
        </w:rPr>
        <w:t>二、</w:t>
      </w:r>
      <w:r>
        <w:rPr>
          <w:rFonts w:hint="eastAsia" w:ascii="仿宋_GB2312" w:hAnsi="仿宋_GB2312" w:eastAsia="仿宋_GB2312" w:cs="仿宋_GB2312"/>
          <w:sz w:val="32"/>
          <w:szCs w:val="32"/>
        </w:rPr>
        <w:t>参评对象为适用本办法的财产保险公司和人身保险公司（不含仅经营商业养老金业务的养老保险公司及劳合社保险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有限公司）。</w:t>
      </w:r>
    </w:p>
    <w:bookmarkEnd w:id="0"/>
    <w:p>
      <w:pPr>
        <w:spacing w:line="58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三、</w:t>
      </w:r>
      <w:r>
        <w:rPr>
          <w:rFonts w:hint="eastAsia" w:ascii="仿宋_GB2312" w:hAnsi="仿宋_GB2312" w:eastAsia="仿宋_GB2312" w:cs="仿宋_GB2312"/>
          <w:sz w:val="32"/>
          <w:szCs w:val="32"/>
        </w:rPr>
        <w:t>保险公司资产负债管理能力评估的内容包括两部分：治理结构，政策和程序。两部分的评估得分加权汇总得到保险公司资产负债管理能力评估的最终评分结果。保险公司每年评估一次资产负债管理能力建设情况，并按规定向国家金融监督管理总局指定信息平台报送自评估结果。</w:t>
      </w:r>
    </w:p>
    <w:p>
      <w:pPr>
        <w:spacing w:line="58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四、</w:t>
      </w:r>
      <w:r>
        <w:rPr>
          <w:rFonts w:hint="eastAsia" w:ascii="仿宋_GB2312" w:hAnsi="仿宋_GB2312" w:eastAsia="仿宋_GB2312" w:cs="仿宋_GB2312"/>
          <w:sz w:val="32"/>
          <w:szCs w:val="32"/>
        </w:rPr>
        <w:t>除特别说明以外，评估结果分为“优秀”“良好”“一般”和“较差”四档，分别对应不同的得分：“优秀”得标准分值，“良好”得标准分值的80%，“一般”得标准分值的50%，“较差”得标准分值的20%。四档评估结果的定义如下：</w:t>
      </w:r>
    </w:p>
    <w:p>
      <w:pPr>
        <w:spacing w:line="580" w:lineRule="exact"/>
        <w:ind w:firstLine="640" w:firstLineChars="200"/>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“优秀”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指保险公司建立了全面的资产负债管理制度，且内容和要素完全达到或高于评估要求，资产负债管理制度执行情况完全达到或超过评估要求。</w:t>
      </w:r>
    </w:p>
    <w:p>
      <w:pPr>
        <w:spacing w:line="580" w:lineRule="exact"/>
        <w:ind w:firstLine="640" w:firstLineChars="200"/>
        <w:jc w:val="both"/>
        <w:rPr>
          <w:rFonts w:hint="eastAsia" w:ascii="楷体" w:hAnsi="楷体" w:eastAsia="楷体" w:cs="楷体"/>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“良好”</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指保险公司建立了全面的资产负债管理制度，且内容和要素完全达到或高于评估要求，但资产负债管理制度执行情况符合评估要求的程度在80%到100%之间。</w:t>
      </w:r>
    </w:p>
    <w:p>
      <w:pPr>
        <w:spacing w:line="580" w:lineRule="exact"/>
        <w:ind w:firstLine="640" w:firstLineChars="200"/>
        <w:jc w:val="both"/>
        <w:rPr>
          <w:rFonts w:hint="eastAsia" w:ascii="楷体" w:hAnsi="楷体" w:eastAsia="楷体" w:cs="楷体"/>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“一般”</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指以下两种情形：保险公司建立了全面的资产负债管理制度，且内容和要素完全达到评估要求，但资产负债管理制度执行情况符合评估要求的程度在50%到80%之间；或资产负债管理制度及其内容和要素符合评估要求的程度在80%到100%之间，且资产负债管理制度执行情况符合评估要求的程度在80%以上。</w:t>
      </w:r>
    </w:p>
    <w:p>
      <w:pPr>
        <w:spacing w:line="580" w:lineRule="exact"/>
        <w:ind w:firstLine="640" w:firstLineChars="200"/>
        <w:jc w:val="both"/>
        <w:rPr>
          <w:rFonts w:hint="eastAsia" w:ascii="楷体" w:hAnsi="楷体" w:eastAsia="楷体" w:cs="楷体"/>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“较差”是指保险公司的资产负债管理制度或执行情况未达到“一般”标准。</w:t>
      </w:r>
    </w:p>
    <w:p>
      <w:pPr>
        <w:spacing w:line="58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五、报送要求</w:t>
      </w:r>
    </w:p>
    <w:p>
      <w:pPr>
        <w:spacing w:line="58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制度健全性</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公司应针对每项评估标准，在“制度健全性评分说明”项下，对评估结果进行说明，内容至少应包括失分原因；在“制度健全性评分依据”项下，列明支持评估结果的制度依据，格式为：“编号-制度名称-发文文号：具体条款一（条款内容），具体条款二（条款内容）”，如：0001-《资产负债管理办法》-××人寿发〔2025〕6号：第十二条（制度具体内容），0002-《资产配置管理办法》-××人寿发〔2025〕10号：第十条（制度具体内容）。其中，编号为公司将所有支持制度健全性评估的制度统一进行的编号，为从0001开始的四位数字，编号、制度名称和发文文号之间使用连接号“-”连接，文件名长度不超过80个汉字或字符。</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公司应将支持制度健全性评估的全部附件存档备查，每个附件的文件格式为PDF，名称格式为：编号-制度名称-发文文号，且附件编号应与“制度健全性评分依据”项下的制度编号相对应。公司在附件中可不提供制度全文，但应至少包括发文通知页或发文首页，以证明发文主体、发文对象和发文时间。</w:t>
      </w:r>
    </w:p>
    <w:p>
      <w:pPr>
        <w:spacing w:line="58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遵循有效性</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公司应针对每项评估标准，在“遵循有效性评分说明”项下，对评估结果进行说明，内容至少应包括遵循情况和失分的原因；在“遵循有效性评分依据”项下，列明支持评估结果的相关依据，例如议案、呈批件、会议决议及相关纪要、邮件截图、系统（或模型工具）截图、测算底稿、相关报告摘要等，格式为：“评估项目-编号-支持文件名称”，如：治理结构-0001-××人寿第×届董事会第××次会议会议记录，政策和程序-0093-××呈批件。其中，编号为公司将文件按治理结构、政策和程序两个部分分别进行的编号，为从0001开始的四位数字，评估项目、编号和支持文件名称之间使用连接号“-”连接，文件名长度不超过80个汉字或字符。</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公司应将支持遵循有效性评估的全部附件存档备查，每个附件的文件格式为PDF或EXCEL，名称格式为：评估模块-编号-支持文件名称，且附件编号应与“遵循有效性评分依据”项下的文件编号相对应。附件内容较多的可不提供全文，可仅包括与评估标准直接相关的部分。</w:t>
      </w:r>
    </w:p>
    <w:p>
      <w:pPr>
        <w:spacing w:line="58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附件文件夹</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附件文件夹应按照“公司名称-公司代码-评估截止日期”进行命名，如“××人寿保险股份有限公司-0000××-20250930”，将文件夹压缩为一个ZIP文件包后进行报送。</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附件文件夹应包含以下三个子文件夹，子文件夹名称为：“1.制度健全性”“2.遵循有效性-治理结构”“3.遵循有效性-政策和程序”。公司应将作为评估依据的相关资料分别放入三个子文件夹中。</w:t>
      </w:r>
    </w:p>
    <w:p>
      <w:pPr>
        <w:spacing w:line="58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其他说明</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关于评分依据的完整性。保险公司应针对每项评估标准，提供用于支持评估的文件，相关文件提供不完整的，不应认定该点符合评估标准的要求。</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关于对支持文件进行必要的标注和说明。保险公司除在评分说明项下对评分结果进行说明外，对于内容较为复杂专业，特别是涉及系统（或模型工具）截图和指标测算的，可在评分依据和支持文件中进行必要的标注和说明。</w:t>
      </w:r>
    </w:p>
    <w:p>
      <w:pPr>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关于在评估结果中选择“不适用”的情形。若属于保险公司客观上没有某类业务或相关事项的，可在“评分结果”中选择“不适用”，该项评估标准得分为0分；同时，在总分中扣除此项评估内容的分值，并将最终得分按比例调整为百分制得分。例如，某项评估标准的分值为3分，保险公司不适用该项评估标准，则该部分对应的总分由100分变为97分。若该部分的最终评分结果为80分，则调整后得分，即评分结果（“不适用”项目调整后）为80/97×100=82.47分。</w:t>
      </w:r>
    </w:p>
    <w:p>
      <w:pPr>
        <w:spacing w:line="580" w:lineRule="exact"/>
        <w:ind w:firstLine="640" w:firstLineChars="200"/>
        <w:jc w:val="both"/>
        <w:rPr>
          <w:rFonts w:hint="eastAsia" w:ascii="仿宋_GB2312" w:hAnsi="仿宋_GB2312" w:eastAsia="仿宋_GB2312" w:cs="仿宋_GB2312"/>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保险公司资产负债管理报告存在重大纰漏，反映出公司在管理流程、模型构建等环节存在重大缺陷的，监管机构可对公司自评估和监管评估（若有）后的最终评分结果进行额外扣分，最高不超过10分。 </w:t>
      </w:r>
    </w:p>
    <w:p>
      <w:pPr>
        <w:jc w:val="center"/>
        <w:rPr>
          <w:rFonts w:hint="eastAsia" w:ascii="黑体" w:hAnsi="黑体" w:eastAsia="黑体" w:cs="黑体"/>
          <w:b w:val="0"/>
          <w:bCs w:val="0"/>
          <w:sz w:val="32"/>
          <w:szCs w:val="32"/>
        </w:rPr>
      </w:pPr>
      <w:bookmarkStart w:id="1" w:name="OLE_LINK2"/>
      <w:r>
        <w:rPr>
          <w:rFonts w:hint="eastAsia" w:ascii="黑体" w:hAnsi="黑体" w:eastAsia="黑体" w:cs="黑体"/>
          <w:b w:val="0"/>
          <w:bCs w:val="0"/>
          <w:sz w:val="32"/>
          <w:szCs w:val="32"/>
        </w:rPr>
        <w:t>保险公司资产负债管理能力评分结果汇总表</w:t>
      </w:r>
    </w:p>
    <w:tbl>
      <w:tblPr>
        <w:tblStyle w:val="18"/>
        <w:tblW w:w="11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380"/>
        <w:gridCol w:w="2360"/>
        <w:gridCol w:w="2360"/>
        <w:gridCol w:w="1014"/>
        <w:gridCol w:w="2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jc w:val="center"/>
        </w:trPr>
        <w:tc>
          <w:tcPr>
            <w:tcW w:w="1625" w:type="dxa"/>
            <w:vAlign w:val="center"/>
          </w:tcPr>
          <w:p>
            <w:pPr>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评估项目</w:t>
            </w:r>
          </w:p>
        </w:tc>
        <w:tc>
          <w:tcPr>
            <w:tcW w:w="1380" w:type="dxa"/>
            <w:vAlign w:val="center"/>
          </w:tcPr>
          <w:p>
            <w:pPr>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标准分值</w:t>
            </w:r>
          </w:p>
        </w:tc>
        <w:tc>
          <w:tcPr>
            <w:tcW w:w="2360" w:type="dxa"/>
            <w:vAlign w:val="center"/>
          </w:tcPr>
          <w:p>
            <w:pPr>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评分结果（“不适用”项目调整前）</w:t>
            </w:r>
          </w:p>
        </w:tc>
        <w:tc>
          <w:tcPr>
            <w:tcW w:w="2360" w:type="dxa"/>
            <w:vAlign w:val="center"/>
          </w:tcPr>
          <w:p>
            <w:pPr>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评分结果（“不适用”项目调整后）</w:t>
            </w:r>
          </w:p>
        </w:tc>
        <w:tc>
          <w:tcPr>
            <w:tcW w:w="1014" w:type="dxa"/>
            <w:vAlign w:val="center"/>
          </w:tcPr>
          <w:p>
            <w:pPr>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权重</w:t>
            </w:r>
          </w:p>
        </w:tc>
        <w:tc>
          <w:tcPr>
            <w:tcW w:w="2777" w:type="dxa"/>
            <w:vAlign w:val="center"/>
          </w:tcPr>
          <w:p>
            <w:pPr>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最终得分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1625"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（1）</w:t>
            </w:r>
          </w:p>
        </w:tc>
        <w:tc>
          <w:tcPr>
            <w:tcW w:w="1380"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（2）</w:t>
            </w:r>
          </w:p>
        </w:tc>
        <w:tc>
          <w:tcPr>
            <w:tcW w:w="2360"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（3）</w:t>
            </w:r>
          </w:p>
        </w:tc>
        <w:tc>
          <w:tcPr>
            <w:tcW w:w="2360"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（4）</w:t>
            </w:r>
          </w:p>
        </w:tc>
        <w:tc>
          <w:tcPr>
            <w:tcW w:w="1014"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（5）</w:t>
            </w:r>
          </w:p>
        </w:tc>
        <w:tc>
          <w:tcPr>
            <w:tcW w:w="2777"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宋体"/>
                <w:b w:val="0"/>
                <w:bCs w:val="0"/>
                <w:kern w:val="0"/>
                <w:sz w:val="28"/>
                <w:szCs w:val="28"/>
              </w:rPr>
              <w:t>（</w:t>
            </w:r>
            <w:r>
              <w:rPr>
                <w:rFonts w:hint="eastAsia" w:ascii="仿宋_GB2312" w:hAnsi="仿宋" w:eastAsia="仿宋_GB2312" w:cs="Times New Roman"/>
                <w:b w:val="0"/>
                <w:bCs w:val="0"/>
                <w:kern w:val="0"/>
                <w:sz w:val="28"/>
                <w:szCs w:val="28"/>
              </w:rPr>
              <w:t>6</w:t>
            </w:r>
            <w:r>
              <w:rPr>
                <w:rFonts w:hint="eastAsia" w:ascii="仿宋_GB2312" w:hAnsi="仿宋" w:eastAsia="仿宋_GB2312" w:cs="宋体"/>
                <w:b w:val="0"/>
                <w:bCs w:val="0"/>
                <w:kern w:val="0"/>
                <w:sz w:val="28"/>
                <w:szCs w:val="28"/>
              </w:rPr>
              <w:t>）</w:t>
            </w:r>
            <w:r>
              <w:rPr>
                <w:rFonts w:hint="eastAsia" w:ascii="仿宋_GB2312" w:hAnsi="仿宋" w:eastAsia="仿宋_GB2312" w:cs="Times New Roman"/>
                <w:b w:val="0"/>
                <w:bCs w:val="0"/>
                <w:kern w:val="0"/>
                <w:sz w:val="28"/>
                <w:szCs w:val="28"/>
              </w:rPr>
              <w:t>=</w:t>
            </w:r>
            <w:r>
              <w:rPr>
                <w:rFonts w:hint="eastAsia" w:ascii="仿宋_GB2312" w:hAnsi="仿宋" w:eastAsia="仿宋_GB2312" w:cs="宋体"/>
                <w:b w:val="0"/>
                <w:bCs w:val="0"/>
                <w:kern w:val="0"/>
                <w:sz w:val="28"/>
                <w:szCs w:val="28"/>
              </w:rPr>
              <w:t>（</w:t>
            </w:r>
            <w:r>
              <w:rPr>
                <w:rFonts w:hint="eastAsia" w:ascii="仿宋_GB2312" w:hAnsi="仿宋" w:eastAsia="仿宋_GB2312" w:cs="Times New Roman"/>
                <w:b w:val="0"/>
                <w:bCs w:val="0"/>
                <w:kern w:val="0"/>
                <w:sz w:val="28"/>
                <w:szCs w:val="28"/>
              </w:rPr>
              <w:t>4</w:t>
            </w:r>
            <w:r>
              <w:rPr>
                <w:rFonts w:hint="eastAsia" w:ascii="仿宋_GB2312" w:hAnsi="仿宋" w:eastAsia="仿宋_GB2312" w:cs="宋体"/>
                <w:b w:val="0"/>
                <w:bCs w:val="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1625"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治理结构</w:t>
            </w:r>
          </w:p>
        </w:tc>
        <w:tc>
          <w:tcPr>
            <w:tcW w:w="1380" w:type="dxa"/>
            <w:vAlign w:val="center"/>
          </w:tcPr>
          <w:p>
            <w:pPr>
              <w:jc w:val="center"/>
              <w:rPr>
                <w:rFonts w:hint="default" w:ascii="仿宋_GB2312" w:hAnsi="仿宋" w:eastAsia="仿宋_GB2312" w:cs="Times New Roman"/>
                <w:b w:val="0"/>
                <w:bCs w:val="0"/>
                <w:kern w:val="0"/>
                <w:sz w:val="28"/>
                <w:szCs w:val="28"/>
                <w:lang w:val="en-US" w:eastAsia="zh-CN"/>
              </w:rPr>
            </w:pPr>
            <w:r>
              <w:rPr>
                <w:rFonts w:hint="eastAsia" w:ascii="仿宋_GB2312" w:hAnsi="仿宋" w:eastAsia="仿宋_GB2312" w:cs="Times New Roman"/>
                <w:b w:val="0"/>
                <w:bCs w:val="0"/>
                <w:kern w:val="0"/>
                <w:sz w:val="28"/>
                <w:szCs w:val="28"/>
                <w:lang w:val="en-US" w:eastAsia="zh-CN"/>
              </w:rPr>
              <w:t>50</w:t>
            </w:r>
          </w:p>
        </w:tc>
        <w:tc>
          <w:tcPr>
            <w:tcW w:w="2360" w:type="dxa"/>
            <w:vAlign w:val="center"/>
          </w:tcPr>
          <w:p>
            <w:pPr>
              <w:jc w:val="center"/>
              <w:rPr>
                <w:rFonts w:ascii="仿宋_GB2312" w:hAnsi="仿宋" w:eastAsia="仿宋_GB2312" w:cs="Times New Roman"/>
                <w:b w:val="0"/>
                <w:bCs w:val="0"/>
                <w:kern w:val="0"/>
                <w:sz w:val="28"/>
                <w:szCs w:val="28"/>
              </w:rPr>
            </w:pPr>
          </w:p>
        </w:tc>
        <w:tc>
          <w:tcPr>
            <w:tcW w:w="2360" w:type="dxa"/>
            <w:vAlign w:val="center"/>
          </w:tcPr>
          <w:p>
            <w:pPr>
              <w:jc w:val="center"/>
              <w:rPr>
                <w:rFonts w:ascii="仿宋_GB2312" w:hAnsi="仿宋" w:eastAsia="仿宋_GB2312" w:cs="Times New Roman"/>
                <w:b w:val="0"/>
                <w:bCs w:val="0"/>
                <w:kern w:val="0"/>
                <w:sz w:val="28"/>
                <w:szCs w:val="28"/>
              </w:rPr>
            </w:pPr>
          </w:p>
        </w:tc>
        <w:tc>
          <w:tcPr>
            <w:tcW w:w="1014" w:type="dxa"/>
            <w:vAlign w:val="center"/>
          </w:tcPr>
          <w:p>
            <w:pPr>
              <w:jc w:val="center"/>
              <w:rPr>
                <w:rFonts w:ascii="仿宋_GB2312" w:hAnsi="仿宋" w:eastAsia="仿宋_GB2312" w:cs="Times New Roman"/>
                <w:b w:val="0"/>
                <w:bCs w:val="0"/>
                <w:kern w:val="0"/>
                <w:sz w:val="28"/>
                <w:szCs w:val="28"/>
                <w:highlight w:val="none"/>
              </w:rPr>
            </w:pPr>
            <w:r>
              <w:rPr>
                <w:rFonts w:hint="eastAsia" w:ascii="仿宋_GB2312" w:hAnsi="仿宋" w:eastAsia="仿宋_GB2312" w:cs="Times New Roman"/>
                <w:b w:val="0"/>
                <w:bCs w:val="0"/>
                <w:kern w:val="0"/>
                <w:sz w:val="28"/>
                <w:szCs w:val="28"/>
                <w:highlight w:val="none"/>
                <w:lang w:val="en-US" w:eastAsia="zh-CN"/>
              </w:rPr>
              <w:t>5</w:t>
            </w:r>
            <w:r>
              <w:rPr>
                <w:rFonts w:hint="eastAsia" w:ascii="仿宋_GB2312" w:hAnsi="仿宋" w:eastAsia="仿宋_GB2312" w:cs="Times New Roman"/>
                <w:b w:val="0"/>
                <w:bCs w:val="0"/>
                <w:kern w:val="0"/>
                <w:sz w:val="28"/>
                <w:szCs w:val="28"/>
                <w:highlight w:val="none"/>
              </w:rPr>
              <w:t>0%</w:t>
            </w:r>
          </w:p>
        </w:tc>
        <w:tc>
          <w:tcPr>
            <w:tcW w:w="2777" w:type="dxa"/>
            <w:vAlign w:val="center"/>
          </w:tcPr>
          <w:p>
            <w:pPr>
              <w:jc w:val="center"/>
              <w:rPr>
                <w:rFonts w:ascii="仿宋_GB2312" w:hAnsi="仿宋" w:eastAsia="仿宋_GB2312" w:cs="Times New Roman"/>
                <w:b w:val="0"/>
                <w:bCs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jc w:val="center"/>
        </w:trPr>
        <w:tc>
          <w:tcPr>
            <w:tcW w:w="1625"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政策和程序</w:t>
            </w:r>
          </w:p>
        </w:tc>
        <w:tc>
          <w:tcPr>
            <w:tcW w:w="1380" w:type="dxa"/>
            <w:vAlign w:val="center"/>
          </w:tcPr>
          <w:p>
            <w:pPr>
              <w:jc w:val="center"/>
              <w:rPr>
                <w:rFonts w:hint="default" w:ascii="仿宋_GB2312" w:hAnsi="仿宋" w:eastAsia="仿宋_GB2312" w:cs="Times New Roman"/>
                <w:b w:val="0"/>
                <w:bCs w:val="0"/>
                <w:kern w:val="0"/>
                <w:sz w:val="28"/>
                <w:szCs w:val="28"/>
                <w:lang w:val="en-US" w:eastAsia="zh-CN"/>
              </w:rPr>
            </w:pPr>
            <w:r>
              <w:rPr>
                <w:rFonts w:hint="eastAsia" w:ascii="仿宋_GB2312" w:hAnsi="仿宋" w:eastAsia="仿宋_GB2312" w:cs="Times New Roman"/>
                <w:b w:val="0"/>
                <w:bCs w:val="0"/>
                <w:kern w:val="0"/>
                <w:sz w:val="28"/>
                <w:szCs w:val="28"/>
                <w:lang w:val="en-US" w:eastAsia="zh-CN"/>
              </w:rPr>
              <w:t>50</w:t>
            </w:r>
          </w:p>
        </w:tc>
        <w:tc>
          <w:tcPr>
            <w:tcW w:w="2360" w:type="dxa"/>
            <w:vAlign w:val="center"/>
          </w:tcPr>
          <w:p>
            <w:pPr>
              <w:jc w:val="center"/>
              <w:rPr>
                <w:rFonts w:ascii="仿宋_GB2312" w:hAnsi="仿宋" w:eastAsia="仿宋_GB2312" w:cs="Times New Roman"/>
                <w:b w:val="0"/>
                <w:bCs w:val="0"/>
                <w:kern w:val="0"/>
                <w:sz w:val="28"/>
                <w:szCs w:val="28"/>
              </w:rPr>
            </w:pPr>
          </w:p>
        </w:tc>
        <w:tc>
          <w:tcPr>
            <w:tcW w:w="2360" w:type="dxa"/>
            <w:vAlign w:val="center"/>
          </w:tcPr>
          <w:p>
            <w:pPr>
              <w:jc w:val="center"/>
              <w:rPr>
                <w:rFonts w:ascii="仿宋_GB2312" w:hAnsi="仿宋" w:eastAsia="仿宋_GB2312" w:cs="Times New Roman"/>
                <w:b w:val="0"/>
                <w:bCs w:val="0"/>
                <w:kern w:val="0"/>
                <w:sz w:val="28"/>
                <w:szCs w:val="28"/>
              </w:rPr>
            </w:pPr>
          </w:p>
        </w:tc>
        <w:tc>
          <w:tcPr>
            <w:tcW w:w="1014" w:type="dxa"/>
            <w:vAlign w:val="center"/>
          </w:tcPr>
          <w:p>
            <w:pPr>
              <w:jc w:val="center"/>
              <w:rPr>
                <w:rFonts w:ascii="仿宋_GB2312" w:hAnsi="仿宋" w:eastAsia="仿宋_GB2312" w:cs="Times New Roman"/>
                <w:b w:val="0"/>
                <w:bCs w:val="0"/>
                <w:kern w:val="0"/>
                <w:sz w:val="28"/>
                <w:szCs w:val="28"/>
                <w:highlight w:val="none"/>
              </w:rPr>
            </w:pPr>
            <w:r>
              <w:rPr>
                <w:rFonts w:hint="eastAsia" w:ascii="仿宋_GB2312" w:hAnsi="仿宋" w:eastAsia="仿宋_GB2312" w:cs="Times New Roman"/>
                <w:b w:val="0"/>
                <w:bCs w:val="0"/>
                <w:kern w:val="0"/>
                <w:sz w:val="28"/>
                <w:szCs w:val="28"/>
                <w:highlight w:val="none"/>
                <w:lang w:val="en-US" w:eastAsia="zh-CN"/>
              </w:rPr>
              <w:t>5</w:t>
            </w:r>
            <w:r>
              <w:rPr>
                <w:rFonts w:hint="eastAsia" w:ascii="仿宋_GB2312" w:hAnsi="仿宋" w:eastAsia="仿宋_GB2312" w:cs="Times New Roman"/>
                <w:b w:val="0"/>
                <w:bCs w:val="0"/>
                <w:kern w:val="0"/>
                <w:sz w:val="28"/>
                <w:szCs w:val="28"/>
                <w:highlight w:val="none"/>
              </w:rPr>
              <w:t>0%</w:t>
            </w:r>
          </w:p>
        </w:tc>
        <w:tc>
          <w:tcPr>
            <w:tcW w:w="2777" w:type="dxa"/>
            <w:vAlign w:val="center"/>
          </w:tcPr>
          <w:p>
            <w:pPr>
              <w:jc w:val="center"/>
              <w:rPr>
                <w:rFonts w:ascii="仿宋_GB2312" w:hAnsi="仿宋" w:eastAsia="仿宋_GB2312" w:cs="Times New Roman"/>
                <w:b w:val="0"/>
                <w:bCs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jc w:val="center"/>
        </w:trPr>
        <w:tc>
          <w:tcPr>
            <w:tcW w:w="1625"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监管调整</w:t>
            </w:r>
          </w:p>
        </w:tc>
        <w:tc>
          <w:tcPr>
            <w:tcW w:w="1380"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kern w:val="0"/>
                <w:sz w:val="28"/>
                <w:szCs w:val="28"/>
              </w:rPr>
              <w:t>—</w:t>
            </w:r>
          </w:p>
        </w:tc>
        <w:tc>
          <w:tcPr>
            <w:tcW w:w="2360"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kern w:val="0"/>
                <w:sz w:val="28"/>
                <w:szCs w:val="28"/>
              </w:rPr>
              <w:t>—</w:t>
            </w:r>
          </w:p>
        </w:tc>
        <w:tc>
          <w:tcPr>
            <w:tcW w:w="2360"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kern w:val="0"/>
                <w:sz w:val="28"/>
                <w:szCs w:val="28"/>
              </w:rPr>
              <w:t>—</w:t>
            </w:r>
          </w:p>
        </w:tc>
        <w:tc>
          <w:tcPr>
            <w:tcW w:w="1014"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kern w:val="0"/>
                <w:sz w:val="28"/>
                <w:szCs w:val="28"/>
              </w:rPr>
              <w:t>—</w:t>
            </w:r>
          </w:p>
        </w:tc>
        <w:tc>
          <w:tcPr>
            <w:tcW w:w="2777"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kern w:val="0"/>
                <w:sz w:val="28"/>
                <w:szCs w:val="28"/>
              </w:rPr>
              <w:t>（取值为-10至0分）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1625"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分值合计</w:t>
            </w:r>
          </w:p>
        </w:tc>
        <w:tc>
          <w:tcPr>
            <w:tcW w:w="1380" w:type="dxa"/>
            <w:vAlign w:val="center"/>
          </w:tcPr>
          <w:p>
            <w:pPr>
              <w:jc w:val="center"/>
              <w:rPr>
                <w:rFonts w:ascii="仿宋_GB2312" w:hAnsi="仿宋" w:eastAsia="仿宋_GB2312" w:cs="Times New Roman"/>
                <w:b w:val="0"/>
                <w:bCs w:val="0"/>
                <w:kern w:val="0"/>
                <w:sz w:val="28"/>
                <w:szCs w:val="28"/>
              </w:rPr>
            </w:pPr>
          </w:p>
        </w:tc>
        <w:tc>
          <w:tcPr>
            <w:tcW w:w="2360" w:type="dxa"/>
            <w:vAlign w:val="center"/>
          </w:tcPr>
          <w:p>
            <w:pPr>
              <w:jc w:val="center"/>
              <w:rPr>
                <w:rFonts w:ascii="仿宋_GB2312" w:hAnsi="仿宋" w:eastAsia="仿宋_GB2312" w:cs="Times New Roman"/>
                <w:b w:val="0"/>
                <w:bCs w:val="0"/>
                <w:kern w:val="0"/>
                <w:sz w:val="28"/>
                <w:szCs w:val="28"/>
              </w:rPr>
            </w:pPr>
          </w:p>
        </w:tc>
        <w:tc>
          <w:tcPr>
            <w:tcW w:w="2360" w:type="dxa"/>
            <w:vAlign w:val="center"/>
          </w:tcPr>
          <w:p>
            <w:pPr>
              <w:jc w:val="center"/>
              <w:rPr>
                <w:rFonts w:ascii="仿宋_GB2312" w:hAnsi="仿宋" w:eastAsia="仿宋_GB2312" w:cs="Times New Roman"/>
                <w:b w:val="0"/>
                <w:bCs w:val="0"/>
                <w:kern w:val="0"/>
                <w:sz w:val="28"/>
                <w:szCs w:val="28"/>
              </w:rPr>
            </w:pPr>
          </w:p>
        </w:tc>
        <w:tc>
          <w:tcPr>
            <w:tcW w:w="1014" w:type="dxa"/>
            <w:vAlign w:val="center"/>
          </w:tcPr>
          <w:p>
            <w:pPr>
              <w:jc w:val="center"/>
              <w:rPr>
                <w:rFonts w:ascii="仿宋_GB2312" w:hAnsi="仿宋" w:eastAsia="仿宋_GB2312" w:cs="Times New Roman"/>
                <w:b w:val="0"/>
                <w:bCs w:val="0"/>
                <w:kern w:val="0"/>
                <w:sz w:val="28"/>
                <w:szCs w:val="28"/>
              </w:rPr>
            </w:pPr>
            <w:r>
              <w:rPr>
                <w:rFonts w:hint="eastAsia" w:ascii="仿宋_GB2312" w:hAnsi="仿宋" w:eastAsia="仿宋_GB2312" w:cs="Times New Roman"/>
                <w:b w:val="0"/>
                <w:bCs w:val="0"/>
                <w:kern w:val="0"/>
                <w:sz w:val="28"/>
                <w:szCs w:val="28"/>
              </w:rPr>
              <w:t>100%</w:t>
            </w:r>
          </w:p>
        </w:tc>
        <w:tc>
          <w:tcPr>
            <w:tcW w:w="2777" w:type="dxa"/>
            <w:vAlign w:val="center"/>
          </w:tcPr>
          <w:p>
            <w:pPr>
              <w:jc w:val="center"/>
              <w:rPr>
                <w:rFonts w:ascii="仿宋_GB2312" w:hAnsi="仿宋" w:eastAsia="仿宋_GB2312" w:cs="Times New Roman"/>
                <w:b w:val="0"/>
                <w:bCs w:val="0"/>
                <w:kern w:val="0"/>
                <w:sz w:val="28"/>
                <w:szCs w:val="28"/>
              </w:rPr>
            </w:pPr>
          </w:p>
        </w:tc>
      </w:tr>
    </w:tbl>
    <w:p>
      <w:pPr>
        <w:rPr>
          <w:rFonts w:ascii="仿宋_GB2312" w:hAnsi="等线" w:eastAsia="仿宋_GB2312" w:cs="Times New Roman"/>
        </w:rPr>
      </w:pPr>
    </w:p>
    <w:p>
      <w:pPr>
        <w:widowControl/>
        <w:jc w:val="left"/>
        <w:rPr>
          <w:rFonts w:ascii="仿宋_GB2312" w:hAnsi="等线" w:eastAsia="仿宋_GB2312" w:cs="Times New Roman"/>
        </w:rPr>
      </w:pPr>
      <w:r>
        <w:rPr>
          <w:rFonts w:hint="eastAsia" w:ascii="仿宋_GB2312" w:hAnsi="等线" w:eastAsia="仿宋_GB2312" w:cs="Times New Roman"/>
        </w:rPr>
        <w:br w:type="page"/>
      </w:r>
    </w:p>
    <w:p>
      <w:pPr>
        <w:jc w:val="center"/>
        <w:rPr>
          <w:rFonts w:hint="eastAsia" w:ascii="黑体" w:hAnsi="黑体" w:eastAsia="黑体" w:cs="黑体"/>
          <w:b w:val="0"/>
          <w:bCs w:val="0"/>
          <w:sz w:val="32"/>
          <w:szCs w:val="36"/>
        </w:rPr>
      </w:pPr>
      <w:r>
        <w:rPr>
          <w:rFonts w:hint="eastAsia" w:ascii="黑体" w:hAnsi="黑体" w:eastAsia="黑体" w:cs="黑体"/>
          <w:b w:val="0"/>
          <w:bCs w:val="0"/>
          <w:sz w:val="32"/>
          <w:szCs w:val="36"/>
        </w:rPr>
        <w:t>保险公司资产负债管理能力评估标准</w:t>
      </w:r>
    </w:p>
    <w:p>
      <w:pPr>
        <w:keepNext/>
        <w:keepLines/>
        <w:numPr>
          <w:ilvl w:val="0"/>
          <w:numId w:val="1"/>
        </w:numPr>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治理结构</w:t>
      </w:r>
    </w:p>
    <w:tbl>
      <w:tblPr>
        <w:tblStyle w:val="1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9121"/>
        <w:gridCol w:w="697"/>
        <w:gridCol w:w="643"/>
        <w:gridCol w:w="643"/>
        <w:gridCol w:w="638"/>
        <w:gridCol w:w="640"/>
        <w:gridCol w:w="635"/>
        <w:gridCol w:w="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blHeader/>
        </w:trPr>
        <w:tc>
          <w:tcPr>
            <w:tcW w:w="9649" w:type="dxa"/>
            <w:gridSpan w:val="2"/>
            <w:vMerge w:val="restart"/>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评估标准</w:t>
            </w:r>
          </w:p>
        </w:tc>
        <w:tc>
          <w:tcPr>
            <w:tcW w:w="697" w:type="dxa"/>
            <w:vMerge w:val="restart"/>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kern w:val="0"/>
                <w:sz w:val="20"/>
                <w:szCs w:val="20"/>
              </w:rPr>
              <w:t>标准分值</w:t>
            </w:r>
          </w:p>
        </w:tc>
        <w:tc>
          <w:tcPr>
            <w:tcW w:w="1286" w:type="dxa"/>
            <w:gridSpan w:val="2"/>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制度健全性</w:t>
            </w:r>
          </w:p>
        </w:tc>
        <w:tc>
          <w:tcPr>
            <w:tcW w:w="1278" w:type="dxa"/>
            <w:gridSpan w:val="2"/>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遵循有效性</w:t>
            </w:r>
          </w:p>
        </w:tc>
        <w:tc>
          <w:tcPr>
            <w:tcW w:w="635" w:type="dxa"/>
            <w:vMerge w:val="restart"/>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评分结果</w:t>
            </w:r>
          </w:p>
        </w:tc>
        <w:tc>
          <w:tcPr>
            <w:tcW w:w="629" w:type="dxa"/>
            <w:vMerge w:val="restart"/>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tblHeader/>
        </w:trPr>
        <w:tc>
          <w:tcPr>
            <w:tcW w:w="9649" w:type="dxa"/>
            <w:gridSpan w:val="2"/>
            <w:vMerge w:val="continue"/>
            <w:vAlign w:val="center"/>
          </w:tcPr>
          <w:p>
            <w:pPr>
              <w:widowControl/>
              <w:jc w:val="center"/>
              <w:rPr>
                <w:rFonts w:ascii="仿宋_GB2312" w:hAnsi="仿宋" w:eastAsia="仿宋_GB2312" w:cs="宋体"/>
                <w:b/>
                <w:bCs/>
                <w:kern w:val="0"/>
                <w:sz w:val="20"/>
                <w:szCs w:val="20"/>
              </w:rPr>
            </w:pPr>
          </w:p>
        </w:tc>
        <w:tc>
          <w:tcPr>
            <w:tcW w:w="697" w:type="dxa"/>
            <w:vMerge w:val="continue"/>
            <w:vAlign w:val="center"/>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评分说明</w:t>
            </w:r>
          </w:p>
        </w:tc>
        <w:tc>
          <w:tcPr>
            <w:tcW w:w="643" w:type="dxa"/>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评分依据</w:t>
            </w:r>
          </w:p>
        </w:tc>
        <w:tc>
          <w:tcPr>
            <w:tcW w:w="638" w:type="dxa"/>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评分说明</w:t>
            </w:r>
          </w:p>
        </w:tc>
        <w:tc>
          <w:tcPr>
            <w:tcW w:w="640" w:type="dxa"/>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评分依据</w:t>
            </w:r>
          </w:p>
        </w:tc>
        <w:tc>
          <w:tcPr>
            <w:tcW w:w="635" w:type="dxa"/>
            <w:vMerge w:val="continue"/>
          </w:tcPr>
          <w:p>
            <w:pPr>
              <w:widowControl/>
              <w:jc w:val="center"/>
              <w:rPr>
                <w:rFonts w:ascii="仿宋_GB2312" w:hAnsi="仿宋" w:eastAsia="仿宋_GB2312" w:cs="宋体"/>
                <w:b/>
                <w:bCs/>
                <w:kern w:val="0"/>
                <w:sz w:val="20"/>
                <w:szCs w:val="20"/>
              </w:rPr>
            </w:pPr>
          </w:p>
        </w:tc>
        <w:tc>
          <w:tcPr>
            <w:tcW w:w="629" w:type="dxa"/>
            <w:vMerge w:val="continue"/>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1</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明确规定董事会和高级管理层的资产负债管理职责，建立由董事会负最终责任、高级管理层直接领导、资产负债管理部门统筹协调、职能部门相互协作、内部审计部门检查监督的分工明确、报告路线清晰、高效执行的资产负债管理组织体系。</w:t>
            </w:r>
          </w:p>
          <w:p>
            <w:pPr>
              <w:widowControl/>
              <w:jc w:val="left"/>
              <w:rPr>
                <w:rFonts w:ascii="仿宋_GB2312" w:hAnsi="仿宋" w:eastAsia="仿宋_GB2312" w:cs="宋体"/>
                <w:b/>
                <w:bCs/>
                <w:kern w:val="0"/>
                <w:sz w:val="20"/>
                <w:szCs w:val="20"/>
              </w:rPr>
            </w:pPr>
            <w:bookmarkStart w:id="2" w:name="OLE_LINK6"/>
            <w:r>
              <w:rPr>
                <w:rFonts w:hint="eastAsia" w:ascii="仿宋_GB2312" w:hAnsi="仿宋" w:eastAsia="仿宋_GB2312" w:cs="宋体"/>
                <w:b/>
                <w:bCs/>
                <w:kern w:val="0"/>
                <w:sz w:val="20"/>
                <w:szCs w:val="20"/>
              </w:rPr>
              <w:t>保险集团（控股）公司应当充分考虑集团整体层面资产与负债的适配性，建立健全资产负债管理组织体系，明确董事会、高级管理层和内设部门相应职责，督促集团内保险公司与保险资产管理公司加强资产负债联动管理，有效识别、计量、监测和控制保险集团总体风险状况。</w:t>
            </w:r>
          </w:p>
          <w:bookmarkEnd w:id="2"/>
          <w:p>
            <w:pPr>
              <w:widowControl/>
              <w:jc w:val="left"/>
              <w:rPr>
                <w:rFonts w:ascii="仿宋_GB2312" w:hAnsi="仿宋" w:eastAsia="仿宋_GB2312" w:cs="宋体"/>
                <w:sz w:val="20"/>
                <w:szCs w:val="20"/>
              </w:rPr>
            </w:pPr>
            <w:r>
              <w:rPr>
                <w:rFonts w:hint="eastAsia" w:ascii="仿宋_GB2312" w:hAnsi="仿宋" w:eastAsia="仿宋_GB2312" w:cs="宋体"/>
                <w:sz w:val="20"/>
                <w:szCs w:val="20"/>
              </w:rPr>
              <w:t>1.</w:t>
            </w:r>
            <w:bookmarkStart w:id="3" w:name="OLE_LINK3"/>
            <w:r>
              <w:rPr>
                <w:rFonts w:hint="eastAsia" w:ascii="仿宋_GB2312" w:hAnsi="仿宋" w:eastAsia="仿宋_GB2312" w:cs="宋体"/>
                <w:sz w:val="20"/>
                <w:szCs w:val="20"/>
              </w:rPr>
              <w:t>保险集团（控股）公司</w:t>
            </w:r>
            <w:bookmarkEnd w:id="3"/>
            <w:r>
              <w:rPr>
                <w:rFonts w:hint="eastAsia" w:ascii="仿宋_GB2312" w:hAnsi="仿宋" w:eastAsia="仿宋_GB2312" w:cs="宋体"/>
                <w:sz w:val="20"/>
                <w:szCs w:val="20"/>
              </w:rPr>
              <w:t>要求集团内保险公司定期报告资产负债管理情况，包括但不限于资产负债管理治理结构、制度体系、资产负债匹配情况，计量、监测集团合并层面的关键经营指标及子公司层面的资产负债管理指标，将集团整体管理目标传导分解至子公司，有效控制集团总体风险。集团内的保险公司按照集团要求定期沟通汇报资产负债管理情况，配合提供相关信息和数据。</w:t>
            </w:r>
          </w:p>
          <w:p>
            <w:pPr>
              <w:widowControl/>
              <w:jc w:val="left"/>
              <w:rPr>
                <w:rFonts w:ascii="仿宋_GB2312" w:hAnsi="仿宋" w:eastAsia="仿宋_GB2312" w:cs="宋体"/>
                <w:sz w:val="20"/>
                <w:szCs w:val="20"/>
              </w:rPr>
            </w:pPr>
            <w:r>
              <w:rPr>
                <w:rFonts w:hint="eastAsia" w:ascii="仿宋_GB2312" w:hAnsi="仿宋" w:eastAsia="仿宋_GB2312" w:cs="宋体"/>
                <w:sz w:val="20"/>
                <w:szCs w:val="20"/>
              </w:rPr>
              <w:t>2.鼓励保险集团（控股）公司设立资产负债管理部门，加强集团内保险公司资产负债管理统筹协调。</w:t>
            </w:r>
          </w:p>
        </w:tc>
        <w:tc>
          <w:tcPr>
            <w:tcW w:w="697"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0</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2.1</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保险公司董事会应当履行以下资产负债管理职责：</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（一）审批资产负债管理的总体目标和战略；</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（二）审批或授权审批资产负债管理相关制度；</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（三）审批业务规划以及对公司资产负债匹配状况造成重大影响的产品；</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（四）审批资产配置政策，包括资产战略配置规划和年度资产配置计划，审批或授权审批资产配置政策的调整方案；</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（五）审批年度资产负债管理报告，持续关注资产负债匹配状况，及时了解资产负债错配风险水平、管理状况及其重大变化；</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（六）审批资产负债管理绩效考核体系；</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（七）其他相关职责。</w:t>
            </w:r>
          </w:p>
          <w:p>
            <w:pPr>
              <w:widowControl/>
              <w:jc w:val="left"/>
              <w:rPr>
                <w:rFonts w:ascii="仿宋_GB2312" w:hAnsi="仿宋" w:eastAsia="仿宋_GB2312" w:cs="宋体"/>
                <w:b/>
                <w:bCs/>
                <w:kern w:val="0"/>
                <w:sz w:val="20"/>
                <w:szCs w:val="20"/>
              </w:rPr>
            </w:pPr>
            <w:r>
              <w:rPr>
                <w:rFonts w:hint="eastAsia" w:ascii="仿宋_GB2312" w:hAnsi="仿宋" w:eastAsia="仿宋_GB2312" w:cs="Times New Roman"/>
                <w:sz w:val="20"/>
                <w:szCs w:val="20"/>
              </w:rPr>
              <w:t>重大影响的产品包括但不限于根据金融监督管理总局相关要求须由董事会审批的产品。</w:t>
            </w:r>
          </w:p>
        </w:tc>
        <w:tc>
          <w:tcPr>
            <w:tcW w:w="697" w:type="dxa"/>
            <w:vAlign w:val="center"/>
          </w:tcPr>
          <w:p>
            <w:pPr>
              <w:widowControl/>
              <w:jc w:val="center"/>
              <w:rPr>
                <w:rFonts w:hint="eastAsia" w:ascii="仿宋_GB2312" w:hAnsi="仿宋" w:eastAsia="仿宋_GB2312" w:cs="宋体"/>
                <w:b/>
                <w:bCs/>
                <w:sz w:val="20"/>
                <w:szCs w:val="20"/>
                <w:lang w:val="en-US" w:eastAsia="zh-CN"/>
              </w:rPr>
            </w:pPr>
            <w:r>
              <w:rPr>
                <w:rFonts w:hint="eastAsia" w:ascii="仿宋_GB2312" w:hAnsi="仿宋" w:eastAsia="仿宋_GB2312" w:cs="宋体"/>
                <w:b/>
                <w:bCs/>
                <w:sz w:val="20"/>
                <w:szCs w:val="20"/>
                <w:lang w:val="en-US" w:eastAsia="zh-CN"/>
              </w:rPr>
              <w:t>4</w:t>
            </w:r>
          </w:p>
        </w:tc>
        <w:tc>
          <w:tcPr>
            <w:tcW w:w="643" w:type="dxa"/>
          </w:tcPr>
          <w:p>
            <w:pPr>
              <w:widowControl/>
              <w:jc w:val="center"/>
              <w:rPr>
                <w:rFonts w:ascii="仿宋_GB2312" w:hAnsi="仿宋" w:eastAsia="仿宋_GB2312" w:cs="宋体"/>
                <w:b/>
                <w:bCs/>
                <w:sz w:val="20"/>
                <w:szCs w:val="20"/>
              </w:rPr>
            </w:pPr>
          </w:p>
        </w:tc>
        <w:tc>
          <w:tcPr>
            <w:tcW w:w="643" w:type="dxa"/>
          </w:tcPr>
          <w:p>
            <w:pPr>
              <w:widowControl/>
              <w:jc w:val="center"/>
              <w:rPr>
                <w:rFonts w:ascii="仿宋_GB2312" w:hAnsi="仿宋" w:eastAsia="仿宋_GB2312" w:cs="宋体"/>
                <w:b/>
                <w:bCs/>
                <w:sz w:val="20"/>
                <w:szCs w:val="20"/>
              </w:rPr>
            </w:pPr>
          </w:p>
        </w:tc>
        <w:tc>
          <w:tcPr>
            <w:tcW w:w="638" w:type="dxa"/>
          </w:tcPr>
          <w:p>
            <w:pPr>
              <w:widowControl/>
              <w:jc w:val="center"/>
              <w:rPr>
                <w:rFonts w:ascii="仿宋_GB2312" w:hAnsi="仿宋" w:eastAsia="仿宋_GB2312" w:cs="宋体"/>
                <w:b/>
                <w:bCs/>
                <w:sz w:val="20"/>
                <w:szCs w:val="20"/>
              </w:rPr>
            </w:pPr>
          </w:p>
        </w:tc>
        <w:tc>
          <w:tcPr>
            <w:tcW w:w="640" w:type="dxa"/>
          </w:tcPr>
          <w:p>
            <w:pPr>
              <w:widowControl/>
              <w:jc w:val="center"/>
              <w:rPr>
                <w:rFonts w:ascii="仿宋_GB2312" w:hAnsi="仿宋" w:eastAsia="仿宋_GB2312" w:cs="宋体"/>
                <w:b/>
                <w:bCs/>
                <w:sz w:val="20"/>
                <w:szCs w:val="20"/>
              </w:rPr>
            </w:pPr>
          </w:p>
        </w:tc>
        <w:tc>
          <w:tcPr>
            <w:tcW w:w="635" w:type="dxa"/>
          </w:tcPr>
          <w:p>
            <w:pPr>
              <w:widowControl/>
              <w:jc w:val="center"/>
              <w:rPr>
                <w:rFonts w:ascii="仿宋_GB2312" w:hAnsi="仿宋" w:eastAsia="仿宋_GB2312" w:cs="宋体"/>
                <w:b/>
                <w:bCs/>
                <w:sz w:val="20"/>
                <w:szCs w:val="20"/>
              </w:rPr>
            </w:pPr>
          </w:p>
        </w:tc>
        <w:tc>
          <w:tcPr>
            <w:tcW w:w="629" w:type="dxa"/>
          </w:tcPr>
          <w:p>
            <w:pPr>
              <w:widowControl/>
              <w:jc w:val="center"/>
              <w:rPr>
                <w:rFonts w:ascii="仿宋_GB2312" w:hAnsi="仿宋" w:eastAsia="仿宋_GB2312" w:cs="宋体"/>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2.2</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董事会应当设立资产负债管理委员会（或具有相应职能的委员会）。资产负债管理委员会负责审议或根据授权审批资产负债管理相关议案。资产负债管理委员会应当至少包含三名董事，主任应当由董事长或拥有资产负债管理相关经验的董事担任，成员应当具备履行资产负债管理职责所需要的专业知识、经验和能力。</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专业委员会有明确的工作制度</w:t>
            </w:r>
            <w:r>
              <w:rPr>
                <w:rFonts w:hint="eastAsia" w:ascii="仿宋_GB2312" w:hAnsi="仿宋" w:eastAsia="仿宋_GB2312" w:cs="宋体"/>
                <w:kern w:val="0"/>
                <w:sz w:val="20"/>
                <w:szCs w:val="20"/>
                <w:lang w:eastAsia="zh-CN"/>
              </w:rPr>
              <w:t>，</w:t>
            </w:r>
            <w:r>
              <w:rPr>
                <w:rFonts w:hint="eastAsia" w:ascii="仿宋_GB2312" w:hAnsi="仿宋" w:eastAsia="仿宋_GB2312" w:cs="宋体"/>
                <w:kern w:val="0"/>
                <w:sz w:val="20"/>
                <w:szCs w:val="20"/>
              </w:rPr>
              <w:t>履行以下职责：</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1.专业委员会根据董事会授权审批资产负债管理相关制度，包括组织制度、决策制度；</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2.专业委员会根据董事会授权审批资产配置政策的调整方案；</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3.专业委员会按照相关监管要求充分论证并审定特定情形的分红保险账户分红水平的必要性、合理性和可持续性；</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4.专业委员会审议董事会资产负债管理相关议案。</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资产负债管理相关经验是指资产负债管理、投资、产品、精算、财会、风险管理等工作管理经验，或从事相关领域研究工作。</w:t>
            </w:r>
          </w:p>
        </w:tc>
        <w:tc>
          <w:tcPr>
            <w:tcW w:w="697"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2</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 xml:space="preserve">    3</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保险公司高级管理层根据董事会授权，应当履行以下资产负债管理职责：</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（一）审议或根据授权审定资产负债管理相关制度；</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（二）制定、定期评估和监督执行资产负债管理政策和程序；</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（三）制定并组织实施业务规划和资产配置政策；</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（四）</w:t>
            </w:r>
            <w:bookmarkStart w:id="4" w:name="OLE_LINK1"/>
            <w:r>
              <w:rPr>
                <w:rFonts w:hint="eastAsia" w:ascii="仿宋_GB2312" w:hAnsi="仿宋" w:eastAsia="仿宋_GB2312" w:cs="宋体"/>
                <w:b/>
                <w:bCs/>
                <w:kern w:val="0"/>
                <w:sz w:val="20"/>
                <w:szCs w:val="20"/>
              </w:rPr>
              <w:t>审议或审批保险产品分红和万能结算政策</w:t>
            </w:r>
            <w:bookmarkEnd w:id="4"/>
            <w:r>
              <w:rPr>
                <w:rFonts w:hint="eastAsia" w:ascii="仿宋_GB2312" w:hAnsi="仿宋" w:eastAsia="仿宋_GB2312" w:cs="宋体"/>
                <w:b/>
                <w:bCs/>
                <w:kern w:val="0"/>
                <w:sz w:val="20"/>
                <w:szCs w:val="20"/>
              </w:rPr>
              <w:t>，以及对公司资产负债匹配状况造成重大影响的产品；</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（五）至少每季度听取资产负债管理情况汇报，控制和管理资产负债错配风险；</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（六）建立资产负债管理绩效考核体系；</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（七）其他相关职责。</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高级管理层应当设立资产负债管理执行委员会，并</w:t>
            </w:r>
            <w:r>
              <w:rPr>
                <w:rFonts w:hint="eastAsia" w:ascii="仿宋_GB2312" w:hAnsi="仿宋" w:eastAsia="仿宋_GB2312" w:cs="宋体"/>
                <w:b/>
                <w:sz w:val="20"/>
                <w:szCs w:val="20"/>
              </w:rPr>
              <w:t>明确其</w:t>
            </w:r>
            <w:r>
              <w:rPr>
                <w:rFonts w:hint="eastAsia" w:ascii="仿宋_GB2312" w:hAnsi="仿宋" w:eastAsia="仿宋_GB2312" w:cs="宋体"/>
                <w:b/>
                <w:bCs/>
                <w:kern w:val="0"/>
                <w:sz w:val="20"/>
                <w:szCs w:val="20"/>
              </w:rPr>
              <w:t>授权。资产负债管理执行委员会主任应当由总经理或资产负债管理委员会成员担任，委员至少包含分管产品、精算、主要销售渠道、投资、风险管理、财务等职能部门的公司级负责人。</w:t>
            </w:r>
          </w:p>
          <w:p>
            <w:pPr>
              <w:widowControl/>
              <w:jc w:val="left"/>
              <w:rPr>
                <w:rFonts w:ascii="仿宋_GB2312" w:hAnsi="仿宋" w:eastAsia="仿宋_GB2312" w:cs="宋体"/>
                <w:sz w:val="20"/>
                <w:szCs w:val="20"/>
              </w:rPr>
            </w:pPr>
            <w:r>
              <w:rPr>
                <w:rFonts w:hint="eastAsia" w:ascii="仿宋_GB2312" w:hAnsi="仿宋" w:eastAsia="仿宋_GB2312" w:cs="宋体"/>
                <w:sz w:val="20"/>
                <w:szCs w:val="20"/>
              </w:rPr>
              <w:t>非执行委员会委员的部门负责人可根据需要列席执行委员会的相关会议，执行委员会至少每年向董事会的资产负债管理委员会汇报资产负债管理的相关情况。</w:t>
            </w:r>
          </w:p>
        </w:tc>
        <w:tc>
          <w:tcPr>
            <w:tcW w:w="697" w:type="dxa"/>
            <w:vAlign w:val="center"/>
          </w:tcPr>
          <w:p>
            <w:pPr>
              <w:widowControl/>
              <w:jc w:val="center"/>
              <w:rPr>
                <w:rFonts w:hint="eastAsia" w:ascii="仿宋_GB2312" w:hAnsi="仿宋" w:eastAsia="仿宋_GB2312" w:cs="宋体"/>
                <w:b/>
                <w:bCs/>
                <w:kern w:val="0"/>
                <w:sz w:val="20"/>
                <w:szCs w:val="20"/>
                <w:lang w:val="en-US" w:eastAsia="zh-CN"/>
              </w:rPr>
            </w:pPr>
            <w:r>
              <w:rPr>
                <w:rFonts w:hint="eastAsia" w:ascii="仿宋_GB2312" w:hAnsi="仿宋" w:eastAsia="仿宋_GB2312" w:cs="宋体"/>
                <w:b/>
                <w:bCs/>
                <w:kern w:val="0"/>
                <w:sz w:val="20"/>
                <w:szCs w:val="20"/>
                <w:lang w:val="en-US" w:eastAsia="zh-CN"/>
              </w:rPr>
              <w:t>6</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4.1</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保险公司应当设置或指定资产负债管理部门，配备履行资产负债管理职责所需要的人力、物力资源，履职应当保持独立性，不受保险业务和投资部门干预。</w:t>
            </w:r>
          </w:p>
          <w:p>
            <w:pPr>
              <w:widowControl/>
              <w:jc w:val="left"/>
              <w:rPr>
                <w:rFonts w:ascii="仿宋_GB2312" w:hAnsi="仿宋" w:eastAsia="仿宋_GB2312" w:cs="宋体"/>
                <w:sz w:val="20"/>
                <w:szCs w:val="20"/>
              </w:rPr>
            </w:pPr>
            <w:r>
              <w:rPr>
                <w:rFonts w:hint="eastAsia" w:ascii="仿宋_GB2312" w:hAnsi="仿宋" w:eastAsia="仿宋_GB2312" w:cs="宋体"/>
                <w:sz w:val="20"/>
                <w:szCs w:val="20"/>
              </w:rPr>
              <w:t>上一年度末经审计的总资产超过500亿的财产保险公司和超过1000亿的人身保险公司，设立单独的资产负债管理一级部门，配备五名以上负责资产负债管理的专业人员，且三人以上具有三年以上相关工作经验的，评估结果为标准分值；</w:t>
            </w:r>
            <w:r>
              <w:rPr>
                <w:rFonts w:hint="eastAsia" w:ascii="仿宋_GB2312" w:hAnsi="仿宋" w:eastAsia="仿宋_GB2312" w:cs="宋体"/>
                <w:sz w:val="20"/>
                <w:szCs w:val="20"/>
                <w:lang w:eastAsia="zh-CN"/>
              </w:rPr>
              <w:t>设立单独的资产负债管理一级部门但专业人员未达到要求的，或者</w:t>
            </w:r>
            <w:r>
              <w:rPr>
                <w:rFonts w:hint="eastAsia" w:ascii="仿宋_GB2312" w:hAnsi="仿宋" w:eastAsia="仿宋_GB2312" w:cs="宋体"/>
                <w:sz w:val="20"/>
                <w:szCs w:val="20"/>
              </w:rPr>
              <w:t>由其他职能部门承担资产负债管理职能，部门名称包含“资产负债管理”字样，明确资产负债管理为部门主要职责，</w:t>
            </w:r>
            <w:r>
              <w:rPr>
                <w:rFonts w:hint="eastAsia" w:ascii="仿宋_GB2312" w:hAnsi="仿宋" w:eastAsia="仿宋_GB2312" w:cs="宋体"/>
                <w:sz w:val="20"/>
                <w:szCs w:val="20"/>
                <w:lang w:eastAsia="zh-CN"/>
              </w:rPr>
              <w:t>且专业人员达到要求的，</w:t>
            </w:r>
            <w:r>
              <w:rPr>
                <w:rFonts w:hint="eastAsia" w:ascii="仿宋_GB2312" w:hAnsi="仿宋" w:eastAsia="仿宋_GB2312" w:cs="宋体"/>
                <w:sz w:val="20"/>
                <w:szCs w:val="20"/>
              </w:rPr>
              <w:t>评估结果为标准分值的50%；其他情况本项不得分。</w:t>
            </w:r>
          </w:p>
          <w:p>
            <w:pPr>
              <w:widowControl/>
              <w:jc w:val="left"/>
              <w:rPr>
                <w:rFonts w:ascii="仿宋_GB2312" w:hAnsi="仿宋" w:eastAsia="仿宋_GB2312" w:cs="宋体"/>
                <w:sz w:val="20"/>
                <w:szCs w:val="20"/>
              </w:rPr>
            </w:pPr>
            <w:r>
              <w:rPr>
                <w:rFonts w:hint="eastAsia" w:ascii="仿宋_GB2312" w:hAnsi="仿宋" w:eastAsia="仿宋_GB2312" w:cs="宋体"/>
                <w:sz w:val="20"/>
                <w:szCs w:val="20"/>
              </w:rPr>
              <w:t>其他保险公司，设立单独的资产负债管理一级部门，配备三名以上负责资产负债管理的专业人员，评估结果为标准分值；</w:t>
            </w:r>
            <w:r>
              <w:rPr>
                <w:rFonts w:hint="eastAsia" w:ascii="仿宋_GB2312" w:hAnsi="仿宋" w:eastAsia="仿宋_GB2312" w:cs="宋体"/>
                <w:sz w:val="20"/>
                <w:szCs w:val="20"/>
                <w:lang w:eastAsia="zh-CN"/>
              </w:rPr>
              <w:t>设立单独的资产负债管理一级部门但专业人员未达到要求的，或者</w:t>
            </w:r>
            <w:r>
              <w:rPr>
                <w:rFonts w:hint="eastAsia" w:ascii="仿宋_GB2312" w:hAnsi="仿宋" w:eastAsia="仿宋_GB2312" w:cs="宋体"/>
                <w:sz w:val="20"/>
                <w:szCs w:val="20"/>
              </w:rPr>
              <w:t>由其他职能部门承担资产负债管理职能，部门名称包含“资产负债管理”字样，明确资产负债管理为部门主要职责，</w:t>
            </w:r>
            <w:r>
              <w:rPr>
                <w:rFonts w:hint="eastAsia" w:ascii="仿宋_GB2312" w:hAnsi="仿宋" w:eastAsia="仿宋_GB2312" w:cs="宋体"/>
                <w:sz w:val="20"/>
                <w:szCs w:val="20"/>
                <w:lang w:eastAsia="zh-CN"/>
              </w:rPr>
              <w:t>且专业人员达到要求的，</w:t>
            </w:r>
            <w:r>
              <w:rPr>
                <w:rFonts w:hint="eastAsia" w:ascii="仿宋_GB2312" w:hAnsi="仿宋" w:eastAsia="仿宋_GB2312" w:cs="宋体"/>
                <w:sz w:val="20"/>
                <w:szCs w:val="20"/>
              </w:rPr>
              <w:t>评估结果为标准分值的50%；其他情况本项不得分。</w:t>
            </w:r>
          </w:p>
          <w:p>
            <w:pPr>
              <w:widowControl/>
              <w:jc w:val="left"/>
              <w:rPr>
                <w:rFonts w:ascii="仿宋_GB2312" w:hAnsi="仿宋" w:eastAsia="仿宋_GB2312" w:cs="宋体"/>
                <w:b/>
                <w:bCs/>
                <w:kern w:val="0"/>
                <w:sz w:val="20"/>
                <w:szCs w:val="20"/>
              </w:rPr>
            </w:pPr>
            <w:r>
              <w:rPr>
                <w:rFonts w:hint="eastAsia" w:ascii="仿宋_GB2312" w:hAnsi="仿宋" w:eastAsia="仿宋_GB2312" w:cs="宋体"/>
                <w:sz w:val="20"/>
                <w:szCs w:val="20"/>
              </w:rPr>
              <w:t>保险业务部门是指主要销售渠道部门；投资部门是指具体开展相关品种投资的部门。</w:t>
            </w:r>
          </w:p>
        </w:tc>
        <w:tc>
          <w:tcPr>
            <w:tcW w:w="697"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10</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4.2</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资产负债管理部门应当履行以下职责：</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（一）拟定资产负债管理相关制度；</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（二）拟定并协调实施资产负债管理政策和程序；</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（三）拟定或参与拟定资产负债管理相关风险容忍度和风险限额，跟踪监测资产负债匹配状况，研究资产负债管理工作中的问题与解决方案；</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（四）拟定或参与拟定公司业务规划、资本规划、资产配置政策、流动性风险管理政策，</w:t>
            </w:r>
            <w:r>
              <w:rPr>
                <w:rFonts w:hint="eastAsia" w:ascii="仿宋_GB2312" w:hAnsi="仿宋" w:eastAsia="仿宋_GB2312" w:cs="宋体"/>
                <w:b/>
                <w:bCs/>
                <w:kern w:val="0"/>
                <w:sz w:val="20"/>
                <w:szCs w:val="20"/>
                <w:lang w:val="en-US" w:eastAsia="zh-CN"/>
              </w:rPr>
              <w:t>针对</w:t>
            </w:r>
            <w:r>
              <w:rPr>
                <w:rFonts w:hint="eastAsia" w:ascii="仿宋_GB2312" w:hAnsi="仿宋" w:eastAsia="仿宋_GB2312" w:cs="宋体"/>
                <w:b/>
                <w:bCs/>
                <w:kern w:val="0"/>
                <w:sz w:val="20"/>
                <w:szCs w:val="20"/>
              </w:rPr>
              <w:t>重大投资</w:t>
            </w:r>
            <w:r>
              <w:rPr>
                <w:rFonts w:hint="eastAsia" w:ascii="仿宋_GB2312" w:hAnsi="仿宋" w:eastAsia="仿宋_GB2312" w:cs="宋体"/>
                <w:b/>
                <w:bCs/>
                <w:kern w:val="0"/>
                <w:sz w:val="20"/>
                <w:szCs w:val="20"/>
                <w:lang w:eastAsia="zh-CN"/>
              </w:rPr>
              <w:t>和</w:t>
            </w:r>
            <w:r>
              <w:rPr>
                <w:rFonts w:hint="eastAsia" w:ascii="仿宋_GB2312" w:hAnsi="仿宋" w:eastAsia="仿宋_GB2312" w:cs="宋体"/>
                <w:b/>
                <w:bCs/>
                <w:kern w:val="0"/>
                <w:sz w:val="20"/>
                <w:szCs w:val="20"/>
              </w:rPr>
              <w:t>对资产负债匹配状况造成重大影响的产品</w:t>
            </w:r>
            <w:r>
              <w:rPr>
                <w:rFonts w:hint="eastAsia" w:ascii="仿宋_GB2312" w:hAnsi="仿宋" w:eastAsia="仿宋_GB2312" w:cs="宋体"/>
                <w:b/>
                <w:bCs/>
                <w:kern w:val="0"/>
                <w:sz w:val="20"/>
                <w:szCs w:val="20"/>
                <w:lang w:eastAsia="zh-CN"/>
              </w:rPr>
              <w:t>等</w:t>
            </w:r>
            <w:r>
              <w:rPr>
                <w:rFonts w:hint="eastAsia" w:ascii="仿宋_GB2312" w:hAnsi="仿宋" w:eastAsia="仿宋_GB2312" w:cs="宋体"/>
                <w:b/>
                <w:bCs/>
                <w:kern w:val="0"/>
                <w:sz w:val="20"/>
                <w:szCs w:val="20"/>
              </w:rPr>
              <w:t>出具专业意见</w:t>
            </w:r>
            <w:r>
              <w:rPr>
                <w:rFonts w:hint="eastAsia" w:ascii="仿宋_GB2312" w:hAnsi="仿宋" w:eastAsia="仿宋_GB2312" w:cs="宋体"/>
                <w:b/>
                <w:bCs/>
                <w:kern w:val="0"/>
                <w:sz w:val="20"/>
                <w:szCs w:val="20"/>
                <w:lang w:eastAsia="zh-CN"/>
              </w:rPr>
              <w:t>，</w:t>
            </w:r>
            <w:r>
              <w:rPr>
                <w:rFonts w:hint="eastAsia" w:ascii="仿宋_GB2312" w:hAnsi="仿宋" w:eastAsia="仿宋_GB2312" w:cs="宋体"/>
                <w:b/>
                <w:bCs/>
                <w:kern w:val="0"/>
                <w:sz w:val="20"/>
                <w:szCs w:val="20"/>
              </w:rPr>
              <w:t>为高级管理层提供决策支持；</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（五）统筹开发资产负债管理信息系统（或模型工具）；</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（六）统筹实施资产负债管理绩效考核；</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（七）其他有关职责。</w:t>
            </w:r>
          </w:p>
          <w:p>
            <w:pPr>
              <w:widowControl/>
              <w:jc w:val="left"/>
              <w:rPr>
                <w:rFonts w:ascii="仿宋_GB2312" w:hAnsi="仿宋" w:eastAsia="仿宋_GB2312" w:cs="宋体"/>
                <w:sz w:val="20"/>
                <w:szCs w:val="20"/>
              </w:rPr>
            </w:pPr>
            <w:r>
              <w:rPr>
                <w:rFonts w:hint="eastAsia" w:ascii="仿宋_GB2312" w:hAnsi="仿宋" w:eastAsia="仿宋_GB2312" w:cs="宋体"/>
                <w:sz w:val="20"/>
                <w:szCs w:val="20"/>
              </w:rPr>
              <w:t>1.(人身保险公司适用）公司业务规划主要指产品业务规划及调整方案。公司考虑市场环境、渠道业务需求，评估和分析主要产品类型，结合投资收益及分红万能结算水平的稳定性，以及存量业务现金流、久期和负债成本约束，综合考虑不同产品业务方案</w:t>
            </w:r>
            <w:r>
              <w:rPr>
                <w:rFonts w:hint="eastAsia" w:ascii="仿宋_GB2312" w:hAnsi="仿宋" w:eastAsia="仿宋_GB2312" w:cs="宋体"/>
                <w:sz w:val="20"/>
                <w:szCs w:val="20"/>
                <w:lang w:val="en-US" w:eastAsia="zh-CN"/>
              </w:rPr>
              <w:t>在不同情景</w:t>
            </w:r>
            <w:r>
              <w:rPr>
                <w:rFonts w:hint="eastAsia" w:ascii="仿宋_GB2312" w:hAnsi="仿宋" w:eastAsia="仿宋_GB2312" w:cs="宋体"/>
                <w:sz w:val="20"/>
                <w:szCs w:val="20"/>
              </w:rPr>
              <w:t>下</w:t>
            </w:r>
            <w:r>
              <w:rPr>
                <w:rFonts w:hint="eastAsia" w:ascii="仿宋_GB2312" w:hAnsi="仿宋" w:eastAsia="仿宋_GB2312" w:cs="宋体"/>
                <w:sz w:val="20"/>
                <w:szCs w:val="20"/>
                <w:lang w:eastAsia="zh-CN"/>
              </w:rPr>
              <w:t>，</w:t>
            </w:r>
            <w:r>
              <w:rPr>
                <w:rFonts w:hint="eastAsia" w:ascii="仿宋_GB2312" w:hAnsi="仿宋" w:eastAsia="仿宋_GB2312" w:cs="宋体"/>
                <w:sz w:val="20"/>
                <w:szCs w:val="20"/>
                <w:lang w:val="en-US" w:eastAsia="zh-CN"/>
              </w:rPr>
              <w:t>对</w:t>
            </w:r>
            <w:r>
              <w:rPr>
                <w:rFonts w:hint="eastAsia" w:ascii="仿宋_GB2312" w:hAnsi="仿宋" w:eastAsia="仿宋_GB2312" w:cs="宋体"/>
                <w:sz w:val="20"/>
                <w:szCs w:val="20"/>
              </w:rPr>
              <w:t>净利润、净资产、偿付能力充足率、保险合同服务边际等核心经营指标的影响，最终形成产品组合方案。</w:t>
            </w:r>
          </w:p>
          <w:p>
            <w:pPr>
              <w:widowControl/>
              <w:jc w:val="left"/>
              <w:rPr>
                <w:rFonts w:ascii="仿宋_GB2312" w:hAnsi="仿宋" w:eastAsia="仿宋_GB2312" w:cs="宋体"/>
                <w:kern w:val="0"/>
                <w:sz w:val="20"/>
                <w:szCs w:val="20"/>
              </w:rPr>
            </w:pPr>
            <w:r>
              <w:rPr>
                <w:rFonts w:hint="eastAsia" w:ascii="仿宋_GB2312" w:hAnsi="仿宋" w:eastAsia="仿宋_GB2312" w:cs="宋体"/>
                <w:sz w:val="20"/>
                <w:szCs w:val="20"/>
              </w:rPr>
              <w:t>(财产保险公司适用）公司业务规划主要指产品业务规划及调整方案，公司考虑市场环境、渠道业务需求，评估和分析产品业务线，结合业务现金流和负债成本约束，综合考虑不同产品业务线方案</w:t>
            </w:r>
            <w:r>
              <w:rPr>
                <w:rFonts w:hint="eastAsia" w:ascii="仿宋_GB2312" w:hAnsi="仿宋" w:eastAsia="仿宋_GB2312" w:cs="宋体"/>
                <w:sz w:val="20"/>
                <w:szCs w:val="20"/>
                <w:lang w:val="en-US" w:eastAsia="zh-CN"/>
              </w:rPr>
              <w:t>在不同情景</w:t>
            </w:r>
            <w:r>
              <w:rPr>
                <w:rFonts w:hint="eastAsia" w:ascii="仿宋_GB2312" w:hAnsi="仿宋" w:eastAsia="仿宋_GB2312" w:cs="宋体"/>
                <w:sz w:val="20"/>
                <w:szCs w:val="20"/>
              </w:rPr>
              <w:t>下</w:t>
            </w:r>
            <w:r>
              <w:rPr>
                <w:rFonts w:hint="eastAsia" w:ascii="仿宋_GB2312" w:hAnsi="仿宋" w:eastAsia="仿宋_GB2312" w:cs="宋体"/>
                <w:sz w:val="20"/>
                <w:szCs w:val="20"/>
                <w:lang w:eastAsia="zh-CN"/>
              </w:rPr>
              <w:t>，</w:t>
            </w:r>
            <w:r>
              <w:rPr>
                <w:rFonts w:hint="eastAsia" w:ascii="仿宋_GB2312" w:hAnsi="仿宋" w:eastAsia="仿宋_GB2312" w:cs="宋体"/>
                <w:sz w:val="20"/>
                <w:szCs w:val="20"/>
                <w:lang w:val="en-US" w:eastAsia="zh-CN"/>
              </w:rPr>
              <w:t>对</w:t>
            </w:r>
            <w:r>
              <w:rPr>
                <w:rFonts w:hint="eastAsia" w:ascii="仿宋_GB2312" w:hAnsi="仿宋" w:eastAsia="仿宋_GB2312" w:cs="宋体"/>
                <w:sz w:val="20"/>
                <w:szCs w:val="20"/>
              </w:rPr>
              <w:t>净利润、净资产、偿付能力充足率等核心经营指标的影响，最终形成产品组合方案。</w:t>
            </w:r>
          </w:p>
          <w:p>
            <w:pPr>
              <w:widowControl/>
              <w:jc w:val="left"/>
              <w:rPr>
                <w:rFonts w:ascii="仿宋_GB2312" w:hAnsi="仿宋" w:eastAsia="仿宋_GB2312" w:cs="宋体"/>
                <w:kern w:val="0"/>
                <w:sz w:val="20"/>
                <w:szCs w:val="20"/>
              </w:rPr>
            </w:pPr>
            <w:r>
              <w:rPr>
                <w:rFonts w:hint="eastAsia" w:ascii="仿宋_GB2312" w:hAnsi="仿宋" w:eastAsia="仿宋_GB2312" w:cs="宋体"/>
                <w:sz w:val="20"/>
                <w:szCs w:val="20"/>
              </w:rPr>
              <w:t>2.资本规划，指保险公司基于偿付能力充足率目标，对资本规模、资本结构、资本来源和运用等进行的计划和安排。</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3.资产配置政策，包括公司整体资产战略配置规划、年度资产配置计划及调整方案。</w:t>
            </w:r>
          </w:p>
          <w:p>
            <w:pPr>
              <w:widowControl/>
              <w:jc w:val="left"/>
              <w:rPr>
                <w:rFonts w:ascii="仿宋_GB2312" w:hAnsi="仿宋" w:eastAsia="仿宋_GB2312" w:cs="宋体"/>
                <w:sz w:val="20"/>
                <w:szCs w:val="20"/>
              </w:rPr>
            </w:pPr>
            <w:r>
              <w:rPr>
                <w:rFonts w:hint="eastAsia" w:ascii="仿宋_GB2312" w:hAnsi="仿宋" w:eastAsia="仿宋_GB2312" w:cs="宋体"/>
                <w:sz w:val="20"/>
                <w:szCs w:val="20"/>
              </w:rPr>
              <w:t>4.流动性风险管理政策，按照监管关于流动性风险管理的规则执行。</w:t>
            </w:r>
          </w:p>
          <w:p>
            <w:pPr>
              <w:widowControl/>
              <w:jc w:val="left"/>
              <w:rPr>
                <w:rFonts w:ascii="仿宋_GB2312" w:hAnsi="仿宋" w:eastAsia="仿宋_GB2312" w:cs="宋体"/>
                <w:kern w:val="0"/>
                <w:sz w:val="20"/>
                <w:szCs w:val="20"/>
              </w:rPr>
            </w:pPr>
            <w:r>
              <w:rPr>
                <w:rFonts w:hint="eastAsia" w:ascii="仿宋_GB2312" w:hAnsi="仿宋" w:eastAsia="仿宋_GB2312" w:cs="宋体"/>
                <w:sz w:val="20"/>
                <w:szCs w:val="20"/>
              </w:rPr>
              <w:t>参与拟定是指参与前期讨论、评估测算、规划和政策会签等，相关工作的会议纪要、分析测算底稿、出具的专业意见等留档备查。</w:t>
            </w:r>
          </w:p>
        </w:tc>
        <w:tc>
          <w:tcPr>
            <w:tcW w:w="697"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6</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5</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明确产品、精算、主要销售渠道、投资、风险管理、财务等职能部门在资产负债管理方面的职责分工和报告要求，资产负债管理部门牵头组织跨部门资产负债管理工作小组，至少每季度召开会议，讨论资产负债管理相关事项。</w:t>
            </w:r>
          </w:p>
          <w:p>
            <w:pPr>
              <w:widowControl/>
              <w:jc w:val="left"/>
              <w:rPr>
                <w:rFonts w:ascii="仿宋_GB2312" w:hAnsi="仿宋" w:eastAsia="仿宋_GB2312" w:cs="宋体"/>
                <w:b/>
                <w:bCs/>
                <w:kern w:val="0"/>
                <w:sz w:val="20"/>
                <w:szCs w:val="20"/>
              </w:rPr>
            </w:pPr>
            <w:r>
              <w:rPr>
                <w:rFonts w:hint="eastAsia" w:ascii="仿宋_GB2312" w:hAnsi="仿宋" w:eastAsia="仿宋_GB2312" w:cs="宋体"/>
                <w:sz w:val="20"/>
                <w:szCs w:val="20"/>
              </w:rPr>
              <w:t>资产负债管理工作小组讨论事项包括业务规划与产品开发计划的拟定与跟踪回溯、特定产品定价管理、分红和万能结算水平的拟定或评估、资产配置管理、</w:t>
            </w:r>
            <w:bookmarkStart w:id="5" w:name="OLE_LINK4"/>
            <w:r>
              <w:rPr>
                <w:rFonts w:hint="eastAsia" w:ascii="仿宋_GB2312" w:hAnsi="仿宋" w:eastAsia="仿宋_GB2312" w:cs="宋体"/>
                <w:sz w:val="20"/>
                <w:szCs w:val="20"/>
              </w:rPr>
              <w:t>重大产品和重大投资评估</w:t>
            </w:r>
            <w:bookmarkEnd w:id="5"/>
            <w:r>
              <w:rPr>
                <w:rFonts w:hint="eastAsia" w:ascii="仿宋_GB2312" w:hAnsi="仿宋" w:eastAsia="仿宋_GB2312" w:cs="宋体"/>
                <w:sz w:val="20"/>
                <w:szCs w:val="20"/>
              </w:rPr>
              <w:t>、账户管理、资产负债匹配指标及资产负债管理专题研究等，为执行委员会提供决策支持，相关报告与会议纪要留档备查。</w:t>
            </w:r>
          </w:p>
        </w:tc>
        <w:tc>
          <w:tcPr>
            <w:tcW w:w="697" w:type="dxa"/>
            <w:vAlign w:val="center"/>
          </w:tcPr>
          <w:p>
            <w:pPr>
              <w:widowControl/>
              <w:jc w:val="center"/>
              <w:rPr>
                <w:rFonts w:hint="eastAsia" w:ascii="仿宋_GB2312" w:hAnsi="仿宋" w:eastAsia="仿宋_GB2312" w:cs="宋体"/>
                <w:b/>
                <w:bCs/>
                <w:kern w:val="0"/>
                <w:sz w:val="20"/>
                <w:szCs w:val="20"/>
                <w:lang w:eastAsia="zh-CN"/>
              </w:rPr>
            </w:pPr>
            <w:r>
              <w:rPr>
                <w:rFonts w:hint="eastAsia" w:ascii="仿宋_GB2312" w:hAnsi="仿宋" w:eastAsia="仿宋_GB2312" w:cs="宋体"/>
                <w:b/>
                <w:bCs/>
                <w:kern w:val="0"/>
                <w:sz w:val="20"/>
                <w:szCs w:val="20"/>
                <w:lang w:val="en-US" w:eastAsia="zh-CN"/>
              </w:rPr>
              <w:t>4</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6</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保险公司应当建立资产负债管理绩效考核体系，明确绩效考核方法和标准，规范资产负债匹配指标传导机制与限额管理，实施长周期考核评价，防止因过度追求业务扩张和短期利润而放松资产负债管理。</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保险公司应当将资产负债管理内容纳入年度培训计划，加大培训力度，确保相关人员具备必要的专业知识、经验和能力。</w:t>
            </w:r>
          </w:p>
          <w:p>
            <w:pPr>
              <w:widowControl/>
              <w:contextualSpacing/>
              <w:jc w:val="left"/>
              <w:rPr>
                <w:rFonts w:ascii="仿宋_GB2312" w:hAnsi="仿宋" w:eastAsia="仿宋_GB2312" w:cs="宋体"/>
                <w:sz w:val="20"/>
                <w:szCs w:val="20"/>
              </w:rPr>
            </w:pPr>
            <w:r>
              <w:rPr>
                <w:rFonts w:hint="eastAsia" w:ascii="仿宋_GB2312" w:hAnsi="仿宋" w:eastAsia="仿宋_GB2312" w:cs="宋体"/>
                <w:sz w:val="20"/>
                <w:szCs w:val="20"/>
              </w:rPr>
              <w:t>1.保险公司制定资产负债管理绩效考核制度，明确考核对象、考核方法、考核指标和评价标准。</w:t>
            </w:r>
          </w:p>
          <w:p>
            <w:pPr>
              <w:widowControl/>
              <w:contextualSpacing/>
              <w:jc w:val="left"/>
              <w:rPr>
                <w:rFonts w:ascii="仿宋_GB2312" w:hAnsi="仿宋" w:eastAsia="仿宋_GB2312" w:cs="宋体"/>
                <w:sz w:val="20"/>
                <w:szCs w:val="20"/>
              </w:rPr>
            </w:pPr>
            <w:r>
              <w:rPr>
                <w:rFonts w:hint="eastAsia" w:ascii="仿宋_GB2312" w:hAnsi="仿宋" w:eastAsia="仿宋_GB2312" w:cs="宋体"/>
                <w:sz w:val="20"/>
                <w:szCs w:val="20"/>
              </w:rPr>
              <w:t>2.资产负债匹配指标传导机制与限额管理是指综合考虑净利润、净资产、偿付能力等关键经营指标，选取合理的资产负债匹配指标或将匹配指标进行分解，制定指标限额，用于指导保险业务、资产配置、流动性风险管理以及资本管理等经营行为。</w:t>
            </w:r>
          </w:p>
          <w:p>
            <w:pPr>
              <w:widowControl/>
              <w:jc w:val="left"/>
              <w:rPr>
                <w:rFonts w:ascii="仿宋_GB2312" w:hAnsi="仿宋" w:eastAsia="仿宋_GB2312" w:cs="宋体"/>
                <w:b/>
                <w:bCs/>
                <w:kern w:val="0"/>
                <w:sz w:val="20"/>
                <w:szCs w:val="20"/>
              </w:rPr>
            </w:pPr>
            <w:r>
              <w:rPr>
                <w:rFonts w:hint="eastAsia" w:ascii="仿宋_GB2312" w:hAnsi="仿宋" w:eastAsia="仿宋_GB2312" w:cs="宋体"/>
                <w:sz w:val="20"/>
                <w:szCs w:val="20"/>
              </w:rPr>
              <w:t>3.保险公司采用绝对收益率或相对收益率、新增固收资产到期收益率、新业务负债成本等合理指标，分别对投资端和保险业务端设定业绩比较基准，明确业绩归因，并建立相应考核机制。</w:t>
            </w:r>
          </w:p>
          <w:p>
            <w:pPr>
              <w:widowControl/>
              <w:jc w:val="left"/>
              <w:rPr>
                <w:rFonts w:ascii="仿宋_GB2312" w:hAnsi="仿宋" w:eastAsia="仿宋_GB2312" w:cs="宋体"/>
                <w:b/>
                <w:bCs/>
                <w:kern w:val="0"/>
                <w:sz w:val="20"/>
                <w:szCs w:val="20"/>
              </w:rPr>
            </w:pPr>
            <w:r>
              <w:rPr>
                <w:rFonts w:hint="eastAsia" w:ascii="仿宋_GB2312" w:hAnsi="仿宋" w:eastAsia="仿宋_GB2312" w:cs="宋体"/>
                <w:sz w:val="20"/>
                <w:szCs w:val="20"/>
              </w:rPr>
              <w:t>4.保险公司将资产负债匹配指标或分解指标、能力建设情况，纳入相关高级管理人员、资产负债管理部门和职能部门负责人的考核评价中。</w:t>
            </w:r>
          </w:p>
        </w:tc>
        <w:tc>
          <w:tcPr>
            <w:tcW w:w="697" w:type="dxa"/>
            <w:vAlign w:val="center"/>
          </w:tcPr>
          <w:p>
            <w:pPr>
              <w:widowControl/>
              <w:jc w:val="center"/>
              <w:rPr>
                <w:rFonts w:hint="eastAsia" w:ascii="仿宋_GB2312" w:hAnsi="仿宋" w:eastAsia="仿宋_GB2312" w:cs="宋体"/>
                <w:b/>
                <w:bCs/>
                <w:kern w:val="0"/>
                <w:sz w:val="20"/>
                <w:szCs w:val="20"/>
                <w:lang w:eastAsia="zh-CN"/>
              </w:rPr>
            </w:pPr>
            <w:r>
              <w:rPr>
                <w:rFonts w:hint="eastAsia" w:ascii="仿宋_GB2312" w:hAnsi="仿宋" w:eastAsia="仿宋_GB2312" w:cs="宋体"/>
                <w:b/>
                <w:bCs/>
                <w:kern w:val="0"/>
                <w:sz w:val="20"/>
                <w:szCs w:val="20"/>
                <w:lang w:val="en-US" w:eastAsia="zh-CN"/>
              </w:rPr>
              <w:t>8</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7</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保险公司内部审计部门应当每年</w:t>
            </w:r>
            <w:r>
              <w:rPr>
                <w:rFonts w:hint="eastAsia" w:ascii="仿宋_GB2312" w:hAnsi="仿宋" w:eastAsia="仿宋_GB2312" w:cs="宋体"/>
                <w:b/>
                <w:bCs/>
                <w:kern w:val="0"/>
                <w:sz w:val="20"/>
                <w:szCs w:val="20"/>
                <w:lang w:val="en-US" w:eastAsia="zh-CN"/>
              </w:rPr>
              <w:t>至少</w:t>
            </w:r>
            <w:r>
              <w:rPr>
                <w:rFonts w:hint="eastAsia" w:ascii="仿宋_GB2312" w:hAnsi="仿宋" w:eastAsia="仿宋_GB2312" w:cs="宋体"/>
                <w:b/>
                <w:bCs/>
                <w:kern w:val="0"/>
                <w:sz w:val="20"/>
                <w:szCs w:val="20"/>
              </w:rPr>
              <w:t>审查和评价一次资产负债管理的充分性和有效性。</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资产负债管理内部审计报告应当提交董事会，董事会针对内部审计发现的问题，督促高级管理层及时采取整改措施，内部审计部门应当跟踪检查整改措施的实施情况。</w:t>
            </w:r>
          </w:p>
        </w:tc>
        <w:tc>
          <w:tcPr>
            <w:tcW w:w="697"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lang w:val="en-US" w:eastAsia="zh-CN"/>
              </w:rPr>
              <w:t>4</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52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8</w:t>
            </w:r>
          </w:p>
        </w:tc>
        <w:tc>
          <w:tcPr>
            <w:tcW w:w="9121"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加强信息化建设，建立与业务复杂度相适应的资产负债管理信息系统（或模型工具），健全信息系统管理制度，完善数据管理机制，明确使用和维护信息系统以及相关模型假设的内部控制流程，加强业务授权和信息系统权限管理，至少每年评估信息系统有效性，并具备保障信息系统有效安全运行的技术与措施。</w:t>
            </w:r>
          </w:p>
          <w:p>
            <w:pPr>
              <w:widowControl/>
              <w:jc w:val="left"/>
              <w:rPr>
                <w:rFonts w:ascii="仿宋_GB2312" w:hAnsi="仿宋" w:eastAsia="仿宋_GB2312" w:cs="宋体"/>
                <w:b w:val="0"/>
                <w:bCs w:val="0"/>
                <w:kern w:val="2"/>
                <w:sz w:val="20"/>
                <w:szCs w:val="20"/>
              </w:rPr>
            </w:pPr>
            <w:r>
              <w:rPr>
                <w:rFonts w:ascii="仿宋_GB2312" w:hAnsi="仿宋" w:eastAsia="仿宋_GB2312" w:cs="宋体"/>
                <w:b w:val="0"/>
                <w:bCs w:val="0"/>
                <w:kern w:val="2"/>
                <w:sz w:val="20"/>
                <w:szCs w:val="20"/>
              </w:rPr>
              <w:t>1.资产负债管理信息系统的管理制度中明确信息系统的责任部门、内部控制流程、业务授权和权限管理等内容。</w:t>
            </w:r>
          </w:p>
          <w:p>
            <w:pPr>
              <w:widowControl/>
              <w:jc w:val="left"/>
              <w:rPr>
                <w:rFonts w:ascii="仿宋_GB2312" w:hAnsi="仿宋" w:eastAsia="仿宋_GB2312" w:cs="宋体"/>
                <w:b w:val="0"/>
                <w:bCs w:val="0"/>
                <w:kern w:val="2"/>
                <w:sz w:val="20"/>
                <w:szCs w:val="20"/>
              </w:rPr>
            </w:pPr>
            <w:r>
              <w:rPr>
                <w:rFonts w:ascii="仿宋_GB2312" w:hAnsi="仿宋" w:eastAsia="仿宋_GB2312" w:cs="宋体"/>
                <w:b w:val="0"/>
                <w:bCs w:val="0"/>
                <w:kern w:val="2"/>
                <w:sz w:val="20"/>
                <w:szCs w:val="20"/>
              </w:rPr>
              <w:t>2.使用和维护信息系统的内部控制流程包括对系统建设或升级的业务需求的审核管理，验证模型逻辑准确性和适用性，评估应用效果，对系统变更和退出进行确认等。</w:t>
            </w:r>
          </w:p>
          <w:p>
            <w:pPr>
              <w:widowControl/>
              <w:jc w:val="left"/>
              <w:rPr>
                <w:rFonts w:ascii="仿宋_GB2312" w:hAnsi="仿宋" w:eastAsia="仿宋_GB2312" w:cs="宋体"/>
                <w:b w:val="0"/>
                <w:bCs w:val="0"/>
                <w:kern w:val="2"/>
                <w:sz w:val="20"/>
                <w:szCs w:val="20"/>
              </w:rPr>
            </w:pPr>
            <w:r>
              <w:rPr>
                <w:rFonts w:ascii="仿宋_GB2312" w:hAnsi="仿宋" w:eastAsia="仿宋_GB2312" w:cs="宋体"/>
                <w:b w:val="0"/>
                <w:bCs w:val="0"/>
                <w:kern w:val="2"/>
                <w:sz w:val="20"/>
                <w:szCs w:val="20"/>
              </w:rPr>
              <w:t>3.相关模型假设有明确的设置方法和数据来源，拟定或调整相关假设应经过适当的审批程序。假设的拟定或调整，形成完整的文档记录，包括设置方法、数据来源、方法变更原因、假设变更对关键经营指标和资产负债匹配指标的影响评估、专业部门审核意见及最终审批记录。</w:t>
            </w:r>
          </w:p>
          <w:p>
            <w:pPr>
              <w:widowControl/>
              <w:jc w:val="left"/>
              <w:rPr>
                <w:rFonts w:ascii="仿宋_GB2312" w:hAnsi="仿宋" w:eastAsia="仿宋_GB2312" w:cs="宋体"/>
                <w:b w:val="0"/>
                <w:bCs w:val="0"/>
                <w:kern w:val="2"/>
                <w:sz w:val="20"/>
                <w:szCs w:val="20"/>
              </w:rPr>
            </w:pPr>
            <w:r>
              <w:rPr>
                <w:rFonts w:ascii="仿宋_GB2312" w:hAnsi="仿宋" w:eastAsia="仿宋_GB2312" w:cs="宋体"/>
                <w:b w:val="0"/>
                <w:bCs w:val="0"/>
                <w:kern w:val="2"/>
                <w:sz w:val="20"/>
                <w:szCs w:val="20"/>
              </w:rPr>
              <w:t>4.保险公司使用外购资产负债管理模型，或由第三方供应商提供市场数据、模型假设和参数等，将其纳入模型验证，并完整记录模型的选择、使用、订制性需求等情况，确保其与保险公司业务活动和风险特征相符。</w:t>
            </w:r>
          </w:p>
          <w:p>
            <w:pPr>
              <w:widowControl/>
              <w:jc w:val="left"/>
              <w:rPr>
                <w:rFonts w:ascii="仿宋_GB2312" w:hAnsi="仿宋" w:eastAsia="仿宋_GB2312" w:cs="宋体"/>
                <w:b w:val="0"/>
                <w:bCs w:val="0"/>
                <w:kern w:val="2"/>
                <w:sz w:val="20"/>
                <w:szCs w:val="20"/>
              </w:rPr>
            </w:pPr>
            <w:r>
              <w:rPr>
                <w:rFonts w:ascii="仿宋_GB2312" w:hAnsi="仿宋" w:eastAsia="仿宋_GB2312" w:cs="宋体"/>
                <w:b w:val="0"/>
                <w:bCs w:val="0"/>
                <w:kern w:val="2"/>
                <w:sz w:val="20"/>
                <w:szCs w:val="20"/>
              </w:rPr>
              <w:t>5.保险公司评估资产负债管理信息系统的有效性，及时更新模型假设和参数，确保模型的准确性和完整性，并根据需要对信息系统及时改进和更新。资产负债管理信息系统的有效性包括模型功能完整性、假设参数适应性、数据时效性和系统稳定性，覆盖资产负债管理信息系统的各项功能。</w:t>
            </w:r>
          </w:p>
          <w:p>
            <w:pPr>
              <w:widowControl/>
              <w:jc w:val="left"/>
              <w:rPr>
                <w:rFonts w:ascii="仿宋_GB2312" w:hAnsi="仿宋" w:eastAsia="仿宋_GB2312" w:cs="宋体"/>
                <w:b/>
                <w:bCs/>
                <w:kern w:val="0"/>
                <w:sz w:val="20"/>
                <w:szCs w:val="20"/>
              </w:rPr>
            </w:pPr>
            <w:r>
              <w:rPr>
                <w:rFonts w:ascii="仿宋_GB2312" w:hAnsi="仿宋" w:eastAsia="仿宋_GB2312" w:cs="宋体"/>
                <w:b w:val="0"/>
                <w:bCs w:val="0"/>
                <w:kern w:val="2"/>
                <w:sz w:val="20"/>
                <w:szCs w:val="20"/>
              </w:rPr>
              <w:t>6.建立资产负债管理数据管理机制，明确数据组织管理、质量控制、安全管控和应用标准，覆盖数据产生、存储、使用、传输、交换、销毁等环节，所使用的数据应当符合时效性、准确性、一致性和完整性的要求。数据组织管理包括部门职责、协调机制、数据责任人机制等</w:t>
            </w:r>
            <w:r>
              <w:rPr>
                <w:rFonts w:hint="eastAsia" w:ascii="仿宋_GB2312" w:hAnsi="仿宋" w:eastAsia="仿宋_GB2312" w:cs="宋体"/>
                <w:sz w:val="20"/>
                <w:szCs w:val="20"/>
              </w:rPr>
              <w:t>。</w:t>
            </w:r>
            <w:r>
              <w:rPr>
                <w:rFonts w:ascii="仿宋_GB2312" w:hAnsi="仿宋" w:eastAsia="仿宋_GB2312" w:cs="宋体"/>
                <w:b w:val="0"/>
                <w:bCs w:val="0"/>
                <w:kern w:val="2"/>
                <w:sz w:val="20"/>
                <w:szCs w:val="20"/>
              </w:rPr>
              <w:t>数据质量控制包括数据标准、源头管理、质量监控和检查、整改机制等</w:t>
            </w:r>
            <w:r>
              <w:rPr>
                <w:rFonts w:hint="eastAsia" w:ascii="仿宋_GB2312" w:hAnsi="仿宋" w:eastAsia="仿宋_GB2312" w:cs="宋体"/>
                <w:sz w:val="20"/>
                <w:szCs w:val="20"/>
              </w:rPr>
              <w:t>。</w:t>
            </w:r>
            <w:r>
              <w:rPr>
                <w:rFonts w:ascii="仿宋_GB2312" w:hAnsi="仿宋" w:eastAsia="仿宋_GB2312" w:cs="宋体"/>
                <w:b w:val="0"/>
                <w:bCs w:val="0"/>
                <w:kern w:val="2"/>
                <w:sz w:val="20"/>
                <w:szCs w:val="20"/>
              </w:rPr>
              <w:t>数据安全管控包括权限设置、分类分级、加密管理、备份恢复、应急处置等</w:t>
            </w:r>
            <w:r>
              <w:rPr>
                <w:rFonts w:hint="eastAsia" w:ascii="仿宋_GB2312" w:hAnsi="仿宋" w:eastAsia="仿宋_GB2312" w:cs="宋体"/>
                <w:sz w:val="20"/>
                <w:szCs w:val="20"/>
              </w:rPr>
              <w:t>。</w:t>
            </w:r>
            <w:r>
              <w:rPr>
                <w:rFonts w:ascii="仿宋_GB2312" w:hAnsi="仿宋" w:eastAsia="仿宋_GB2312" w:cs="宋体"/>
                <w:b w:val="0"/>
                <w:bCs w:val="0"/>
                <w:kern w:val="2"/>
                <w:sz w:val="20"/>
                <w:szCs w:val="20"/>
              </w:rPr>
              <w:t>资产负债管理数据管理机制可以纳入公司整体数据管理机制。</w:t>
            </w:r>
          </w:p>
        </w:tc>
        <w:tc>
          <w:tcPr>
            <w:tcW w:w="697"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6</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38" w:type="dxa"/>
          </w:tcPr>
          <w:p>
            <w:pPr>
              <w:widowControl/>
              <w:jc w:val="center"/>
              <w:rPr>
                <w:rFonts w:ascii="仿宋_GB2312" w:hAnsi="仿宋" w:eastAsia="仿宋_GB2312" w:cs="宋体"/>
                <w:b/>
                <w:bCs/>
                <w:kern w:val="0"/>
                <w:sz w:val="20"/>
                <w:szCs w:val="20"/>
              </w:rPr>
            </w:pPr>
          </w:p>
        </w:tc>
        <w:tc>
          <w:tcPr>
            <w:tcW w:w="640" w:type="dxa"/>
          </w:tcPr>
          <w:p>
            <w:pPr>
              <w:widowControl/>
              <w:jc w:val="center"/>
              <w:rPr>
                <w:rFonts w:ascii="仿宋_GB2312" w:hAnsi="仿宋" w:eastAsia="仿宋_GB2312" w:cs="宋体"/>
                <w:b/>
                <w:bCs/>
                <w:kern w:val="0"/>
                <w:sz w:val="20"/>
                <w:szCs w:val="20"/>
              </w:rPr>
            </w:pPr>
          </w:p>
        </w:tc>
        <w:tc>
          <w:tcPr>
            <w:tcW w:w="635" w:type="dxa"/>
          </w:tcPr>
          <w:p>
            <w:pPr>
              <w:widowControl/>
              <w:jc w:val="center"/>
              <w:rPr>
                <w:rFonts w:ascii="仿宋_GB2312" w:hAnsi="仿宋" w:eastAsia="仿宋_GB2312" w:cs="宋体"/>
                <w:b/>
                <w:bCs/>
                <w:kern w:val="0"/>
                <w:sz w:val="20"/>
                <w:szCs w:val="20"/>
              </w:rPr>
            </w:pPr>
          </w:p>
        </w:tc>
        <w:tc>
          <w:tcPr>
            <w:tcW w:w="629" w:type="dxa"/>
          </w:tcPr>
          <w:p>
            <w:pPr>
              <w:widowControl/>
              <w:jc w:val="center"/>
              <w:rPr>
                <w:rFonts w:ascii="仿宋_GB2312" w:hAnsi="仿宋" w:eastAsia="仿宋_GB2312" w:cs="宋体"/>
                <w:b/>
                <w:bCs/>
                <w:kern w:val="0"/>
                <w:sz w:val="20"/>
                <w:szCs w:val="20"/>
              </w:rPr>
            </w:pPr>
          </w:p>
        </w:tc>
      </w:tr>
    </w:tbl>
    <w:p>
      <w:pPr>
        <w:rPr>
          <w:rFonts w:ascii="仿宋_GB2312" w:hAnsi="仿宋" w:eastAsia="仿宋_GB2312" w:cs="Times New Roman"/>
          <w:sz w:val="20"/>
          <w:szCs w:val="20"/>
        </w:rPr>
      </w:pPr>
    </w:p>
    <w:p>
      <w:pPr>
        <w:keepNext/>
        <w:keepLines/>
        <w:numPr>
          <w:ilvl w:val="0"/>
          <w:numId w:val="1"/>
        </w:numPr>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政策和程序</w:t>
      </w:r>
    </w:p>
    <w:tbl>
      <w:tblPr>
        <w:tblStyle w:val="1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009"/>
        <w:gridCol w:w="712"/>
        <w:gridCol w:w="643"/>
        <w:gridCol w:w="643"/>
        <w:gridCol w:w="649"/>
        <w:gridCol w:w="666"/>
        <w:gridCol w:w="720"/>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blHeader/>
        </w:trPr>
        <w:tc>
          <w:tcPr>
            <w:tcW w:w="9647" w:type="dxa"/>
            <w:gridSpan w:val="2"/>
            <w:vMerge w:val="restart"/>
            <w:noWrap/>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评估标准</w:t>
            </w:r>
          </w:p>
        </w:tc>
        <w:tc>
          <w:tcPr>
            <w:tcW w:w="712" w:type="dxa"/>
            <w:vMerge w:val="restart"/>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标准分值</w:t>
            </w:r>
          </w:p>
        </w:tc>
        <w:tc>
          <w:tcPr>
            <w:tcW w:w="1286" w:type="dxa"/>
            <w:gridSpan w:val="2"/>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制度健全性</w:t>
            </w:r>
          </w:p>
        </w:tc>
        <w:tc>
          <w:tcPr>
            <w:tcW w:w="1315" w:type="dxa"/>
            <w:gridSpan w:val="2"/>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遵循有效性</w:t>
            </w:r>
          </w:p>
        </w:tc>
        <w:tc>
          <w:tcPr>
            <w:tcW w:w="720" w:type="dxa"/>
            <w:vMerge w:val="restart"/>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评分结果</w:t>
            </w:r>
          </w:p>
        </w:tc>
        <w:tc>
          <w:tcPr>
            <w:tcW w:w="494" w:type="dxa"/>
            <w:vMerge w:val="restart"/>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blHeader/>
        </w:trPr>
        <w:tc>
          <w:tcPr>
            <w:tcW w:w="9647" w:type="dxa"/>
            <w:gridSpan w:val="2"/>
            <w:vMerge w:val="continue"/>
            <w:noWrap/>
            <w:vAlign w:val="center"/>
          </w:tcPr>
          <w:p>
            <w:pPr>
              <w:widowControl/>
              <w:jc w:val="center"/>
              <w:rPr>
                <w:rFonts w:ascii="仿宋_GB2312" w:hAnsi="仿宋" w:eastAsia="仿宋_GB2312" w:cs="宋体"/>
                <w:b/>
                <w:bCs/>
                <w:kern w:val="0"/>
                <w:sz w:val="20"/>
                <w:szCs w:val="20"/>
              </w:rPr>
            </w:pPr>
          </w:p>
        </w:tc>
        <w:tc>
          <w:tcPr>
            <w:tcW w:w="712" w:type="dxa"/>
            <w:vMerge w:val="continue"/>
            <w:vAlign w:val="center"/>
          </w:tcPr>
          <w:p>
            <w:pPr>
              <w:widowControl/>
              <w:jc w:val="center"/>
              <w:rPr>
                <w:rFonts w:ascii="仿宋_GB2312" w:hAnsi="仿宋" w:eastAsia="仿宋_GB2312" w:cs="宋体"/>
                <w:b/>
                <w:bCs/>
                <w:kern w:val="0"/>
                <w:sz w:val="20"/>
                <w:szCs w:val="20"/>
              </w:rPr>
            </w:pPr>
          </w:p>
        </w:tc>
        <w:tc>
          <w:tcPr>
            <w:tcW w:w="643"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评分说明</w:t>
            </w:r>
          </w:p>
        </w:tc>
        <w:tc>
          <w:tcPr>
            <w:tcW w:w="643"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评分依据</w:t>
            </w:r>
          </w:p>
        </w:tc>
        <w:tc>
          <w:tcPr>
            <w:tcW w:w="649"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评分说明</w:t>
            </w:r>
          </w:p>
        </w:tc>
        <w:tc>
          <w:tcPr>
            <w:tcW w:w="666"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评分依据</w:t>
            </w:r>
          </w:p>
        </w:tc>
        <w:tc>
          <w:tcPr>
            <w:tcW w:w="720" w:type="dxa"/>
            <w:vMerge w:val="continue"/>
            <w:vAlign w:val="center"/>
          </w:tcPr>
          <w:p>
            <w:pPr>
              <w:widowControl/>
              <w:jc w:val="center"/>
              <w:rPr>
                <w:rFonts w:ascii="仿宋_GB2312" w:hAnsi="仿宋" w:eastAsia="仿宋_GB2312" w:cs="宋体"/>
                <w:b/>
                <w:bCs/>
                <w:kern w:val="0"/>
                <w:sz w:val="20"/>
                <w:szCs w:val="20"/>
              </w:rPr>
            </w:pPr>
          </w:p>
        </w:tc>
        <w:tc>
          <w:tcPr>
            <w:tcW w:w="494" w:type="dxa"/>
            <w:vMerge w:val="continue"/>
            <w:vAlign w:val="center"/>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 w:hRule="atLeast"/>
        </w:trPr>
        <w:tc>
          <w:tcPr>
            <w:tcW w:w="63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9</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保险公司应当根据公司的业务性质、规模、复杂程度和风险特征，制定资产负债管理政策和程序，主要内容包括：</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（一）开展资产和负债分析，制定资产负债管理方案；</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（二）协调相关职能部门在业务规划、产品开发和定价、保险业务管理、资产配置政策、重大投资等方面加强资产负债联动管理；</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（三）进行资产负债管理压力测试和回溯分析；</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（四）定期编制和审议资产负债管理报告；</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（五）及时评估和调整资产负债管理方案。</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0</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10</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运用适当方法和模型，对在正常和压力情景下的资产负债期限结构、成本收益、流动性等指标进行测算与分析，结合资产负债管理的总体目标和战略，设置指标预警值和风险限额，制定资产负债管理方案。</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财产保险公司应当采用合理方法预测沉淀资金，建立沉淀资金管理评估机制。</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人身保险公司应当合理确定预测假设，结合业务规划和资产配置政策，分别预测资产现金流和负债现金流。</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3</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11</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保险公司应当根据保险市场需求、资产端形势变化以及资产负债匹配要求，合理制定并及时调整业务规划和产品开发计划，优化产品业务结构。</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保险公司应当加强对公司资产负债匹配状况造成重大影响的产品的管理，明确认定标准，研究分析产品对应的投资策略，以及对公司偿付能力和资产负债匹配状况的影响。</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1.保险公司结合资产负债管理目标设定合理的内部标准，如新业务价值率、久期、新业务最低要求回报率等，考虑产品类型、保障期限、缴费期限、负债成本、销售规模等因素对公司偿付能力和资产负债匹配状况的影响，合理制定并及时调整产品开发计划和销售策略。</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2.保险公司至少按季度追踪业务规划达成情况，当实际业务规模和结构与业务规划产生较大偏差时，公司评估该偏差对公司净</w:t>
            </w:r>
            <w:r>
              <w:rPr>
                <w:rFonts w:hint="eastAsia" w:ascii="仿宋_GB2312" w:hAnsi="仿宋" w:eastAsia="仿宋_GB2312" w:cs="宋体"/>
                <w:sz w:val="20"/>
                <w:szCs w:val="20"/>
              </w:rPr>
              <w:t>利润、净资产、偿付能力充足率等关键经营指标</w:t>
            </w:r>
            <w:r>
              <w:rPr>
                <w:rFonts w:hint="eastAsia" w:ascii="仿宋_GB2312" w:hAnsi="仿宋" w:eastAsia="仿宋_GB2312" w:cs="宋体"/>
                <w:kern w:val="0"/>
                <w:sz w:val="20"/>
                <w:szCs w:val="20"/>
              </w:rPr>
              <w:t>和资产负债匹配指标的影响。当影响重大时，根据最新情况调整业务规划、销售策略或资产配置政策。</w:t>
            </w:r>
          </w:p>
          <w:p>
            <w:pPr>
              <w:widowControl/>
              <w:jc w:val="left"/>
              <w:rPr>
                <w:rFonts w:ascii="仿宋_GB2312" w:hAnsi="仿宋" w:eastAsia="仿宋_GB2312" w:cs="宋体"/>
                <w:b/>
                <w:bCs/>
                <w:kern w:val="0"/>
                <w:sz w:val="20"/>
                <w:szCs w:val="20"/>
              </w:rPr>
            </w:pPr>
            <w:r>
              <w:rPr>
                <w:rFonts w:hint="eastAsia" w:ascii="仿宋_GB2312" w:hAnsi="仿宋" w:eastAsia="仿宋_GB2312" w:cs="宋体"/>
                <w:sz w:val="20"/>
                <w:szCs w:val="20"/>
              </w:rPr>
              <w:t>3.鼓励人身保险公司以合理期限国债到期收益率加溢价为市场利率基准，新增固定收益类资产到期收益率原则上高于市场利率基准，新业务负债最低要求回报率原则上低于市场利率基准，溢价由保险公司根据情况确定并在资产负债管理报告中披露。</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lang w:val="en-US" w:eastAsia="zh-CN"/>
              </w:rPr>
              <w:t>4</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12</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财产保险公司应当优化产品定价模型、方法和工具，加强产品定价管理。</w:t>
            </w:r>
            <w:r>
              <w:rPr>
                <w:rFonts w:hint="eastAsia" w:ascii="仿宋_GB2312" w:hAnsi="仿宋" w:eastAsia="仿宋_GB2312" w:cs="宋体"/>
                <w:kern w:val="0"/>
                <w:sz w:val="20"/>
                <w:szCs w:val="20"/>
              </w:rPr>
              <w:t>针对对公司资产负债匹配状况造成重大影响的产品或业务线，建立费率定期回溯和动态调整机制，当实际经营情况与精算假设偏差过大时，及时调整并重新备案，必要时先行停售相关产品。</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人身保险公司按照行业预定利率与市场利率挂钩及动态调整机制，做好负债成本动态评估和监控，在制定保险产品分红和万能结算政策时，评估其对资产负债匹配状况特别是成本收益匹配的影响。</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lang w:val="en-US" w:eastAsia="zh-CN"/>
              </w:rPr>
              <w:t>3</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13</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保险公司应当管理和评估产品结构、销售渠道、费用政策发生重大变化，以及退保、赔付等与预期发生较大偏差对公司资产负债匹配状况的影响。</w:t>
            </w:r>
            <w:bookmarkStart w:id="6" w:name="OLE_LINK5"/>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保险公司至少每季度管理和评估上述重大变化，以及上述偏差对公司资产负债匹配状况的影响。</w:t>
            </w:r>
          </w:p>
          <w:bookmarkEnd w:id="6"/>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财产保险公司在确定再保险安排时，应当测算巨灾等重大保险事件引发的集中赔付、再保交易对手违约、再保摊回不及时等导致的流动性风险。</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财产保险公司在确定再保安排时，至少每年测算上述巨灾等重大保险事件导致的影响。</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4</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14.1</w:t>
            </w:r>
          </w:p>
        </w:tc>
        <w:tc>
          <w:tcPr>
            <w:tcW w:w="9009" w:type="dxa"/>
            <w:vAlign w:val="center"/>
          </w:tcPr>
          <w:p>
            <w:pPr>
              <w:widowControl/>
              <w:jc w:val="left"/>
              <w:rPr>
                <w:rFonts w:ascii="仿宋_GB2312" w:hAnsi="仿宋" w:eastAsia="仿宋_GB2312" w:cs="宋体"/>
                <w:kern w:val="0"/>
                <w:sz w:val="20"/>
                <w:szCs w:val="20"/>
              </w:rPr>
            </w:pPr>
            <w:r>
              <w:rPr>
                <w:rFonts w:hint="eastAsia" w:ascii="仿宋_GB2312" w:hAnsi="仿宋" w:eastAsia="仿宋_GB2312" w:cs="宋体"/>
                <w:b/>
                <w:bCs/>
                <w:kern w:val="0"/>
                <w:sz w:val="20"/>
                <w:szCs w:val="20"/>
              </w:rPr>
              <w:t>保险公司应当根据保险业务负债特性，综合考虑公司风险偏好和风险限额、资产负债匹配要求、长期预期收益和偿付能力管理等目标，确定各类账户预期收益目标和风险指标，制定、实施和调整资产配置政策。</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1.资产战略配置规划是指中长期资产配置的战略安排，期限至少为三年，每年至少滚动评估一次。主要内容包括：</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1</w:t>
            </w:r>
            <w:r>
              <w:rPr>
                <w:rFonts w:hint="eastAsia" w:ascii="仿宋_GB2312" w:hAnsi="仿宋" w:eastAsia="仿宋_GB2312" w:cs="宋体"/>
                <w:kern w:val="0"/>
                <w:sz w:val="20"/>
                <w:szCs w:val="20"/>
              </w:rPr>
              <w:t>）宏观经济趋势、保险业务和负债特征、各类资产风险收益特征、公司长期发展规划和整体风险承受能力等决策依据；</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2</w:t>
            </w:r>
            <w:r>
              <w:rPr>
                <w:rFonts w:hint="eastAsia" w:ascii="仿宋_GB2312" w:hAnsi="仿宋" w:eastAsia="仿宋_GB2312" w:cs="宋体"/>
                <w:kern w:val="0"/>
                <w:sz w:val="20"/>
                <w:szCs w:val="20"/>
              </w:rPr>
              <w:t>）各普通账户的长期收益目标或长期业绩比较基准；</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3</w:t>
            </w:r>
            <w:r>
              <w:rPr>
                <w:rFonts w:hint="eastAsia" w:ascii="仿宋_GB2312" w:hAnsi="仿宋" w:eastAsia="仿宋_GB2312" w:cs="宋体"/>
                <w:kern w:val="0"/>
                <w:sz w:val="20"/>
                <w:szCs w:val="20"/>
              </w:rPr>
              <w:t>）各普通账户的境内、境外大类资产配置比例；</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4</w:t>
            </w:r>
            <w:r>
              <w:rPr>
                <w:rFonts w:hint="eastAsia" w:ascii="仿宋_GB2312" w:hAnsi="仿宋" w:eastAsia="仿宋_GB2312" w:cs="宋体"/>
                <w:kern w:val="0"/>
                <w:sz w:val="20"/>
                <w:szCs w:val="20"/>
              </w:rPr>
              <w:t>）各普通账户允许、限制及禁止配置资产的标准；</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5</w:t>
            </w:r>
            <w:r>
              <w:rPr>
                <w:rFonts w:hint="eastAsia" w:ascii="仿宋_GB2312" w:hAnsi="仿宋" w:eastAsia="仿宋_GB2312" w:cs="宋体"/>
                <w:kern w:val="0"/>
                <w:sz w:val="20"/>
                <w:szCs w:val="20"/>
              </w:rPr>
              <w:t>）各普通账户的流动性要求、期限结构和再投资计划；</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6</w:t>
            </w:r>
            <w:r>
              <w:rPr>
                <w:rFonts w:hint="eastAsia" w:ascii="仿宋_GB2312" w:hAnsi="仿宋" w:eastAsia="仿宋_GB2312" w:cs="宋体"/>
                <w:kern w:val="0"/>
                <w:sz w:val="20"/>
                <w:szCs w:val="20"/>
              </w:rPr>
              <w:t>）会计分类原则等。</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2.年度资产配置计划是指根据资产战略配置规划，结合保险市场和资本市场状况分析，制定的一年期资产配置策略。主要内容包括：</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1</w:t>
            </w:r>
            <w:r>
              <w:rPr>
                <w:rFonts w:hint="eastAsia" w:ascii="仿宋_GB2312" w:hAnsi="仿宋" w:eastAsia="仿宋_GB2312" w:cs="宋体"/>
                <w:kern w:val="0"/>
                <w:sz w:val="20"/>
                <w:szCs w:val="20"/>
              </w:rPr>
              <w:t>）年度经济形势分析、各市场分析、负债特征变化及各类资产风险收益预期等决策依据；</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2</w:t>
            </w:r>
            <w:r>
              <w:rPr>
                <w:rFonts w:hint="eastAsia" w:ascii="仿宋_GB2312" w:hAnsi="仿宋" w:eastAsia="仿宋_GB2312" w:cs="宋体"/>
                <w:kern w:val="0"/>
                <w:sz w:val="20"/>
                <w:szCs w:val="20"/>
              </w:rPr>
              <w:t>）各普通账户的资产负债情况；</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3</w:t>
            </w:r>
            <w:r>
              <w:rPr>
                <w:rFonts w:hint="eastAsia" w:ascii="仿宋_GB2312" w:hAnsi="仿宋" w:eastAsia="仿宋_GB2312" w:cs="宋体"/>
                <w:kern w:val="0"/>
                <w:sz w:val="20"/>
                <w:szCs w:val="20"/>
              </w:rPr>
              <w:t>）各普通账户的目标资产配置比例及浮动区间；</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4</w:t>
            </w:r>
            <w:r>
              <w:rPr>
                <w:rFonts w:hint="eastAsia" w:ascii="仿宋_GB2312" w:hAnsi="仿宋" w:eastAsia="仿宋_GB2312" w:cs="宋体"/>
                <w:kern w:val="0"/>
                <w:sz w:val="20"/>
                <w:szCs w:val="20"/>
              </w:rPr>
              <w:t>）各普通账户的年度收益目标或业绩比较基准；</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5</w:t>
            </w:r>
            <w:r>
              <w:rPr>
                <w:rFonts w:hint="eastAsia" w:ascii="仿宋_GB2312" w:hAnsi="仿宋" w:eastAsia="仿宋_GB2312" w:cs="宋体"/>
                <w:kern w:val="0"/>
                <w:sz w:val="20"/>
                <w:szCs w:val="20"/>
              </w:rPr>
              <w:t>）各普通账户的资产风险状况、资产负债匹配和财务指标压力测试结果分析。</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3.保险公司基于资产负债管理相关模型工具拟定或调整资产战略配置规划和年度资产配置计划的方案，拟定或调整方案的过程包括定量测算与定性分析。相关测算的约束条件包括：</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1</w:t>
            </w:r>
            <w:r>
              <w:rPr>
                <w:rFonts w:hint="eastAsia" w:ascii="仿宋_GB2312" w:hAnsi="仿宋" w:eastAsia="仿宋_GB2312" w:cs="宋体"/>
                <w:kern w:val="0"/>
                <w:sz w:val="20"/>
                <w:szCs w:val="20"/>
              </w:rPr>
              <w:t>）公司资产负债管理的总体目标与匹配策略；</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2</w:t>
            </w:r>
            <w:r>
              <w:rPr>
                <w:rFonts w:hint="eastAsia" w:ascii="仿宋_GB2312" w:hAnsi="仿宋" w:eastAsia="仿宋_GB2312" w:cs="宋体"/>
                <w:kern w:val="0"/>
                <w:sz w:val="20"/>
                <w:szCs w:val="20"/>
              </w:rPr>
              <w:t>）风险偏好、容忍度与限额；</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3</w:t>
            </w:r>
            <w:r>
              <w:rPr>
                <w:rFonts w:hint="eastAsia" w:ascii="仿宋_GB2312" w:hAnsi="仿宋" w:eastAsia="仿宋_GB2312" w:cs="宋体"/>
                <w:kern w:val="0"/>
                <w:sz w:val="20"/>
                <w:szCs w:val="20"/>
              </w:rPr>
              <w:t>）偿付能力要求；</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4</w:t>
            </w:r>
            <w:r>
              <w:rPr>
                <w:rFonts w:hint="eastAsia" w:ascii="仿宋_GB2312" w:hAnsi="仿宋" w:eastAsia="仿宋_GB2312" w:cs="宋体"/>
                <w:kern w:val="0"/>
                <w:sz w:val="20"/>
                <w:szCs w:val="20"/>
              </w:rPr>
              <w:t>）客户行为与负债成本；</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5</w:t>
            </w:r>
            <w:r>
              <w:rPr>
                <w:rFonts w:hint="eastAsia" w:ascii="仿宋_GB2312" w:hAnsi="仿宋" w:eastAsia="仿宋_GB2312" w:cs="宋体"/>
                <w:kern w:val="0"/>
                <w:sz w:val="20"/>
                <w:szCs w:val="20"/>
              </w:rPr>
              <w:t>）现金流及流动性要求；</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6</w:t>
            </w:r>
            <w:r>
              <w:rPr>
                <w:rFonts w:hint="eastAsia" w:ascii="仿宋_GB2312" w:hAnsi="仿宋" w:eastAsia="仿宋_GB2312" w:cs="宋体"/>
                <w:kern w:val="0"/>
                <w:sz w:val="20"/>
                <w:szCs w:val="20"/>
              </w:rPr>
              <w:t>）会计分类与财务指标要求；</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7</w:t>
            </w:r>
            <w:r>
              <w:rPr>
                <w:rFonts w:hint="eastAsia" w:ascii="仿宋_GB2312" w:hAnsi="仿宋" w:eastAsia="仿宋_GB2312" w:cs="宋体"/>
                <w:kern w:val="0"/>
                <w:sz w:val="20"/>
                <w:szCs w:val="20"/>
              </w:rPr>
              <w:t>）合规性要求。</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4.保险公司至少按季度追踪资产配置实施情况，在资产配置相关制度中明确实际投资活动偏离资产配置计划浮动区间后的管理程序，包括相关决策和授权程序以及相关的管理措施。</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5.保险公司统筹协调各相关部门对拟定或调整资产配置方案进行评估、讨论，形成报告，提交资产负债管理执行委员会研究审议，相关报告与会议纪要留档备查。</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lang w:val="en-US" w:eastAsia="zh-CN"/>
              </w:rPr>
              <w:t>4</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14.2</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保险公司应当确定履行资产配置风险管理与合规职责的专业人员，使之独立于资产配置政策的执行人员。</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履行资产配置风险管理与合规职责的专业人员的职能包括：</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lang w:val="en-US" w:eastAsia="zh-CN"/>
              </w:rPr>
              <w:t>1.</w:t>
            </w:r>
            <w:r>
              <w:rPr>
                <w:rFonts w:hint="eastAsia" w:ascii="仿宋_GB2312" w:hAnsi="仿宋" w:eastAsia="仿宋_GB2312" w:cs="宋体"/>
                <w:kern w:val="0"/>
                <w:sz w:val="20"/>
                <w:szCs w:val="20"/>
              </w:rPr>
              <w:t>监督资产配置政策执行情况；</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lang w:val="en-US" w:eastAsia="zh-CN"/>
              </w:rPr>
              <w:t>2.</w:t>
            </w:r>
            <w:r>
              <w:rPr>
                <w:rFonts w:hint="eastAsia" w:ascii="仿宋_GB2312" w:hAnsi="仿宋" w:eastAsia="仿宋_GB2312" w:cs="宋体"/>
                <w:kern w:val="0"/>
                <w:sz w:val="20"/>
                <w:szCs w:val="20"/>
              </w:rPr>
              <w:t>评估资产配置各项限额的合理性；</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lang w:val="en-US" w:eastAsia="zh-CN"/>
              </w:rPr>
              <w:t>3.</w:t>
            </w:r>
            <w:r>
              <w:rPr>
                <w:rFonts w:hint="eastAsia" w:ascii="仿宋_GB2312" w:hAnsi="仿宋" w:eastAsia="仿宋_GB2312" w:cs="宋体"/>
                <w:kern w:val="0"/>
                <w:sz w:val="20"/>
                <w:szCs w:val="20"/>
              </w:rPr>
              <w:t>定期报告资产配置相关风险指标；</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lang w:val="en-US" w:eastAsia="zh-CN"/>
              </w:rPr>
              <w:t>4.</w:t>
            </w:r>
            <w:r>
              <w:rPr>
                <w:rFonts w:hint="eastAsia" w:ascii="仿宋_GB2312" w:hAnsi="仿宋" w:eastAsia="仿宋_GB2312" w:cs="宋体"/>
                <w:kern w:val="0"/>
                <w:sz w:val="20"/>
                <w:szCs w:val="20"/>
              </w:rPr>
              <w:t>提出风险预警、风险控制处理意见和方案；</w:t>
            </w:r>
            <w:r>
              <w:rPr>
                <w:rFonts w:hint="eastAsia" w:ascii="仿宋_GB2312" w:hAnsi="仿宋" w:eastAsia="仿宋_GB2312" w:cs="宋体"/>
                <w:kern w:val="0"/>
                <w:sz w:val="20"/>
                <w:szCs w:val="20"/>
              </w:rPr>
              <w:br w:type="textWrapping"/>
            </w:r>
            <w:r>
              <w:rPr>
                <w:rFonts w:hint="eastAsia" w:ascii="仿宋_GB2312" w:hAnsi="仿宋" w:eastAsia="仿宋_GB2312" w:cs="宋体"/>
                <w:kern w:val="0"/>
                <w:sz w:val="20"/>
                <w:szCs w:val="20"/>
                <w:lang w:val="en-US" w:eastAsia="zh-CN"/>
              </w:rPr>
              <w:t>5.</w:t>
            </w:r>
            <w:r>
              <w:rPr>
                <w:rFonts w:hint="eastAsia" w:ascii="仿宋_GB2312" w:hAnsi="仿宋" w:eastAsia="仿宋_GB2312" w:cs="宋体"/>
                <w:kern w:val="0"/>
                <w:sz w:val="20"/>
                <w:szCs w:val="20"/>
              </w:rPr>
              <w:t>记录和报告资产配置违规事项。</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lang w:val="en-US" w:eastAsia="zh-CN"/>
              </w:rPr>
              <w:t>2</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15</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保险公司在进行重大投资决策前，应当综合偿付能力约束、风险偏好、市场环境、监管要求等因素，评估分析投资活动对公司以及相应账户资产负债匹配状况的影响。</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本办法所称重大投资包括单一重大股权投资、单一重大股票投资或上市公司收购、以物权或项目公司股权形式持有的单一投资性不动产，或对单一标的资产累计投资金额高于公司上一季度末总资产3%或30亿元人民币（或等值外币）的投资，投资境内中央政府债券、省级政府债券、准政府债券、政策性金融债以及银行存款、现金及流动性管理工具除外。</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3</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63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16</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委托保险资产管理公司作为受托人进行投资的，应当加强与受托人之间的信息共享，向受托人提供可能影响其投资决策的负债信息，包括委托投资账户的久期目标、投资收益率要求、现金流预期变化等，受托人应当向保险公司提供资产配置政策执行情况等信息，并配合保险公司开展资产负债匹配指标测算与分析工作。</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财产保险公司可根据公司实际情况，向受托人提供久期或中长期资产规模等其他期限结构目标。</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3</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63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17.1</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保险公司应当定期开展压力测试，分析潜在风险因素对资产和负债的期限结构、成本收益以及流动性的影响，并采取相应预防措施。压力测试应当符合以下要求：</w:t>
            </w:r>
          </w:p>
          <w:p>
            <w:pPr>
              <w:widowControl/>
              <w:jc w:val="left"/>
              <w:rPr>
                <w:rFonts w:ascii="仿宋_GB2312" w:hAnsi="仿宋" w:eastAsia="仿宋_GB2312" w:cs="宋体"/>
                <w:kern w:val="0"/>
                <w:sz w:val="20"/>
                <w:szCs w:val="20"/>
              </w:rPr>
            </w:pPr>
            <w:r>
              <w:rPr>
                <w:rFonts w:hint="eastAsia" w:ascii="仿宋_GB2312" w:hAnsi="仿宋" w:eastAsia="仿宋_GB2312" w:cs="宋体"/>
                <w:b/>
                <w:bCs/>
                <w:kern w:val="0"/>
                <w:sz w:val="20"/>
                <w:szCs w:val="20"/>
              </w:rPr>
              <w:t>（一）压力测试情景应当结合宏观经济和市场环境变化，涵盖资产端、负债端和资本端的风险因素；</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压力测试情景资产端风险因素包括权益价格下跌、利率曲线波动、固收类资产违约等。负债端风险因素包括保费增长率和业务结构变化、费用率变化；人身保险公司还考虑利率曲线波动、主要损失发生率变化、退保率变化等；财产保险公司还考虑赔付率变化、大额巨灾赔付等。资本端风险因素包括融资成本大幅上升或融资安排发生重大变化等。</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2</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3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17.2</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（二）合理审慎设定压力情景及其测试期限，充分考虑影响保险公司资产和负债的期限结构、成本收益以及流动性的特定冲击、影响整个市场的系统性冲击和两者相结合的情景，以及轻度、重度等不同压力程度；</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（三）考虑各类风险的内在关联性和市场波动性对保险公司风险的影响，结合公司实际情况，实施压力测试和反向压力测试；</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保险公司开展反向压力测试以评估关键经营指标，如净利润、净资产、偿付能力充足率、保险合同服务边际（人身保险公司适用）等对主要风险因素的承受能力，计算一个或多个主要风险因素的变化水平。</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（四）在确定资产负债管理方案以及制定业务规划和资产配置政策时，充分考虑压力测试结果，必要时根据压力测试结果对上述内容进行调整。</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保险公司汇总分析并适当运用压力测试的测算结果，结合资产负债匹配指标、净利润、净资产、偿付能力充足率等的变动情况，及时发现公司资产负债管理面临的风险，提出可行的应对方案，纳入资产负债管理报告，提交资产负债管理执行委员会审议。</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6</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 w:hRule="atLeast"/>
        </w:trPr>
        <w:tc>
          <w:tcPr>
            <w:tcW w:w="63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18</w:t>
            </w:r>
          </w:p>
        </w:tc>
        <w:tc>
          <w:tcPr>
            <w:tcW w:w="9009" w:type="dxa"/>
            <w:vAlign w:val="center"/>
          </w:tcPr>
          <w:p>
            <w:pPr>
              <w:widowControl/>
              <w:jc w:val="left"/>
              <w:rPr>
                <w:rFonts w:ascii="仿宋_GB2312" w:hAnsi="仿宋" w:eastAsia="仿宋_GB2312" w:cs="宋体"/>
                <w:kern w:val="0"/>
                <w:sz w:val="20"/>
                <w:szCs w:val="20"/>
              </w:rPr>
            </w:pPr>
            <w:r>
              <w:rPr>
                <w:rFonts w:hint="eastAsia" w:ascii="仿宋_GB2312" w:hAnsi="仿宋" w:eastAsia="仿宋_GB2312" w:cs="宋体"/>
                <w:b/>
                <w:bCs/>
                <w:kern w:val="0"/>
                <w:sz w:val="20"/>
                <w:szCs w:val="20"/>
              </w:rPr>
              <w:t>保险公司应当建立资产负债管理回溯机制，每年开展回溯分析，并对重大偏差研究采取改进措施。</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回溯分析至少包括以下内容：</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（一）分大类账户的预期保费收入与实际保费收入的偏差；</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（二）大类资产长期收益率假设与实际大类资产长期收益率的偏差，分大类账户的预期投资收益率与实际投资收益率的偏差；</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（三）分大类账户的预期负债资金成本率及负债保证成本率，与实际负债资金成本率及负债保证成本率的偏差；</w:t>
            </w:r>
          </w:p>
          <w:p>
            <w:pPr>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（四）资产负债管理目标与达成情况的比较和归因分析。</w:t>
            </w:r>
          </w:p>
          <w:p>
            <w:pPr>
              <w:jc w:val="left"/>
              <w:rPr>
                <w:rFonts w:ascii="仿宋_GB2312" w:hAnsi="仿宋" w:eastAsia="仿宋_GB2312" w:cs="宋体"/>
                <w:kern w:val="0"/>
                <w:sz w:val="20"/>
                <w:szCs w:val="20"/>
              </w:rPr>
            </w:pPr>
            <w:r>
              <w:rPr>
                <w:rFonts w:hint="eastAsia" w:ascii="仿宋_GB2312" w:hAnsi="仿宋" w:eastAsia="仿宋_GB2312" w:cs="宋体"/>
                <w:kern w:val="0"/>
                <w:sz w:val="20"/>
                <w:szCs w:val="20"/>
              </w:rPr>
              <w:t>1.大类账户是指公司普通账户下的保险业务账户，不包括独立账户和次级债、资本补充债和无固定期限资本债券账户，下同。</w:t>
            </w:r>
          </w:p>
          <w:p>
            <w:pPr>
              <w:jc w:val="left"/>
              <w:rPr>
                <w:rFonts w:ascii="仿宋_GB2312" w:hAnsi="仿宋" w:eastAsia="仿宋_GB2312" w:cs="宋体"/>
                <w:kern w:val="0"/>
                <w:sz w:val="20"/>
                <w:szCs w:val="20"/>
              </w:rPr>
            </w:pPr>
            <w:r>
              <w:rPr>
                <w:rFonts w:hint="eastAsia" w:ascii="仿宋_GB2312" w:hAnsi="仿宋" w:eastAsia="仿宋_GB2312" w:cs="宋体"/>
                <w:kern w:val="0"/>
                <w:sz w:val="20"/>
                <w:szCs w:val="20"/>
              </w:rPr>
              <w:t>2.资产负债管理回溯机制是指保险公司定期对资产负债管理目标及其拆解目标的达成情况进行跟踪和分析，对偏差进行归因分析，对重大偏差研究采取改进措施并制定管理程序。</w:t>
            </w:r>
          </w:p>
          <w:p>
            <w:pPr>
              <w:jc w:val="left"/>
              <w:rPr>
                <w:rFonts w:ascii="仿宋_GB2312" w:hAnsi="仿宋" w:eastAsia="仿宋_GB2312" w:cs="宋体"/>
                <w:kern w:val="0"/>
                <w:sz w:val="20"/>
                <w:szCs w:val="20"/>
              </w:rPr>
            </w:pPr>
            <w:r>
              <w:rPr>
                <w:rFonts w:hint="eastAsia" w:ascii="仿宋_GB2312" w:hAnsi="仿宋" w:eastAsia="仿宋_GB2312" w:cs="宋体"/>
                <w:kern w:val="0"/>
                <w:sz w:val="20"/>
                <w:szCs w:val="20"/>
              </w:rPr>
              <w:t>3.针对第（三）款，财产保险公司仅适用负债资金成本率的偏差回溯分析。</w:t>
            </w:r>
          </w:p>
        </w:tc>
        <w:tc>
          <w:tcPr>
            <w:tcW w:w="712" w:type="dxa"/>
            <w:vAlign w:val="center"/>
          </w:tcPr>
          <w:p>
            <w:pPr>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lang w:val="en-US" w:eastAsia="zh-CN"/>
              </w:rPr>
              <w:t>4</w:t>
            </w:r>
          </w:p>
        </w:tc>
        <w:tc>
          <w:tcPr>
            <w:tcW w:w="643" w:type="dxa"/>
          </w:tcPr>
          <w:p>
            <w:pPr>
              <w:jc w:val="center"/>
              <w:rPr>
                <w:rFonts w:ascii="仿宋_GB2312" w:hAnsi="仿宋" w:eastAsia="仿宋_GB2312" w:cs="宋体"/>
                <w:b/>
                <w:bCs/>
                <w:kern w:val="0"/>
                <w:sz w:val="20"/>
                <w:szCs w:val="20"/>
              </w:rPr>
            </w:pPr>
          </w:p>
        </w:tc>
        <w:tc>
          <w:tcPr>
            <w:tcW w:w="643" w:type="dxa"/>
          </w:tcPr>
          <w:p>
            <w:pPr>
              <w:jc w:val="center"/>
              <w:rPr>
                <w:rFonts w:ascii="仿宋_GB2312" w:hAnsi="仿宋" w:eastAsia="仿宋_GB2312" w:cs="宋体"/>
                <w:b/>
                <w:bCs/>
                <w:kern w:val="0"/>
                <w:sz w:val="20"/>
                <w:szCs w:val="20"/>
              </w:rPr>
            </w:pPr>
          </w:p>
        </w:tc>
        <w:tc>
          <w:tcPr>
            <w:tcW w:w="649" w:type="dxa"/>
          </w:tcPr>
          <w:p>
            <w:pPr>
              <w:jc w:val="center"/>
              <w:rPr>
                <w:rFonts w:ascii="仿宋_GB2312" w:hAnsi="仿宋" w:eastAsia="仿宋_GB2312" w:cs="宋体"/>
                <w:b/>
                <w:bCs/>
                <w:kern w:val="0"/>
                <w:sz w:val="20"/>
                <w:szCs w:val="20"/>
              </w:rPr>
            </w:pPr>
          </w:p>
        </w:tc>
        <w:tc>
          <w:tcPr>
            <w:tcW w:w="666" w:type="dxa"/>
          </w:tcPr>
          <w:p>
            <w:pPr>
              <w:jc w:val="center"/>
              <w:rPr>
                <w:rFonts w:ascii="仿宋_GB2312" w:hAnsi="仿宋" w:eastAsia="仿宋_GB2312" w:cs="宋体"/>
                <w:b/>
                <w:bCs/>
                <w:kern w:val="0"/>
                <w:sz w:val="20"/>
                <w:szCs w:val="20"/>
              </w:rPr>
            </w:pPr>
          </w:p>
        </w:tc>
        <w:tc>
          <w:tcPr>
            <w:tcW w:w="720" w:type="dxa"/>
          </w:tcPr>
          <w:p>
            <w:pPr>
              <w:jc w:val="center"/>
              <w:rPr>
                <w:rFonts w:ascii="仿宋_GB2312" w:hAnsi="仿宋" w:eastAsia="仿宋_GB2312" w:cs="宋体"/>
                <w:b/>
                <w:bCs/>
                <w:kern w:val="0"/>
                <w:sz w:val="20"/>
                <w:szCs w:val="20"/>
              </w:rPr>
            </w:pPr>
          </w:p>
        </w:tc>
        <w:tc>
          <w:tcPr>
            <w:tcW w:w="494" w:type="dxa"/>
          </w:tcPr>
          <w:p>
            <w:pPr>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19</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保险公司应当建立与业务复杂度相适应的资产负债管理信息系统（或模型工具），信息系统应当至少具备以下功能：</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（一）测算资产负债匹配指标；</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（二）支持对资产负债匹配指标传导机制与限额管理的监测和控制；</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（三）测算市场风险、信用风险、退保风险等风险因素对资产负债匹配状况的影响；</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（四）测算业务规划、保险产品分红和万能结算政策、资产配置政策等内部决策及其变化对资产负债匹配状况的影响；</w:t>
            </w:r>
          </w:p>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（五）支持在不同假设情景下实施资产负债管理压力测试。</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1.资产负债管理模型能够基于公司业务规划与资产配置政策，在统一基础数据和统一假设下，对公司关键经营指标进行至少未来3年的测算，测算指标包括：</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1</w:t>
            </w:r>
            <w:r>
              <w:rPr>
                <w:rFonts w:hint="eastAsia" w:ascii="仿宋_GB2312" w:hAnsi="仿宋" w:eastAsia="仿宋_GB2312" w:cs="宋体"/>
                <w:kern w:val="0"/>
                <w:sz w:val="20"/>
                <w:szCs w:val="20"/>
              </w:rPr>
              <w:t>）未来各年各大类账户的保费、赔付、费用情况、大类资产占比情况；</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w:t>
            </w:r>
            <w:r>
              <w:rPr>
                <w:rFonts w:hint="eastAsia" w:ascii="仿宋_GB2312" w:hAnsi="仿宋" w:eastAsia="仿宋_GB2312" w:cs="宋体"/>
                <w:kern w:val="0"/>
                <w:sz w:val="20"/>
                <w:szCs w:val="20"/>
                <w:lang w:val="en-US" w:eastAsia="zh-CN"/>
              </w:rPr>
              <w:t>2</w:t>
            </w:r>
            <w:r>
              <w:rPr>
                <w:rFonts w:hint="eastAsia" w:ascii="仿宋_GB2312" w:hAnsi="仿宋" w:eastAsia="仿宋_GB2312" w:cs="宋体"/>
                <w:kern w:val="0"/>
                <w:sz w:val="20"/>
                <w:szCs w:val="20"/>
              </w:rPr>
              <w:t>）不同利率和市场变化情景下的准备金、净利润、净资产、偿付能力充足率、资产负债管理</w:t>
            </w:r>
            <w:r>
              <w:rPr>
                <w:rFonts w:hint="eastAsia" w:ascii="仿宋_GB2312" w:hAnsi="仿宋" w:eastAsia="仿宋_GB2312" w:cs="宋体"/>
                <w:sz w:val="20"/>
                <w:szCs w:val="20"/>
              </w:rPr>
              <w:t>匹配</w:t>
            </w:r>
            <w:r>
              <w:rPr>
                <w:rFonts w:hint="eastAsia" w:ascii="仿宋_GB2312" w:hAnsi="仿宋" w:eastAsia="仿宋_GB2312" w:cs="宋体"/>
                <w:kern w:val="0"/>
                <w:sz w:val="20"/>
                <w:szCs w:val="20"/>
              </w:rPr>
              <w:t>指标</w:t>
            </w:r>
            <w:r>
              <w:rPr>
                <w:rFonts w:hint="eastAsia" w:ascii="仿宋_GB2312" w:hAnsi="仿宋" w:eastAsia="仿宋_GB2312" w:cs="宋体"/>
                <w:sz w:val="20"/>
                <w:szCs w:val="20"/>
              </w:rPr>
              <w:t>及其拆解</w:t>
            </w:r>
            <w:r>
              <w:rPr>
                <w:rFonts w:hint="eastAsia" w:ascii="仿宋_GB2312" w:hAnsi="仿宋" w:eastAsia="仿宋_GB2312" w:cs="宋体"/>
                <w:kern w:val="0"/>
                <w:sz w:val="20"/>
                <w:szCs w:val="20"/>
              </w:rPr>
              <w:t>指标。</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2.资产负债管理模型资产端的输入信息包括公司的存量资产和新增资产，区分主要资产类别与会计分类；负债端的输入信息涵盖存量和预测期各年新增业务情况，包括公司各大类账户的现金流、准备金或计算准备金的基础信息等。</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3.资产负债管理模型考虑未来保险利益会随对应资产组合投资收益或市场环境变化而变化的情况，体现资产负债的联动效应，支持联动机制下负债端准备金计量结果的调整。</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4.（人身保险公司适用）资产负债管理模型在测算分红保险和万能保险等投保人与保险公司盈利共享机制产品的相关现金流时，综合考虑最低保证利率、预期投资收益、客户合理预期等因素的限制和影响。</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5.鼓励人身保险公司使用资产负债管理模型测算利率情景变化对保险业务各类选择权及保证利益的时间价值（TVOG）、各类资产包括但不限于含权类资产的影响。</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lang w:val="en-US" w:eastAsia="zh-CN"/>
              </w:rPr>
              <w:t>6</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638" w:type="dxa"/>
            <w:vAlign w:val="center"/>
          </w:tcPr>
          <w:p>
            <w:pPr>
              <w:widowControl/>
              <w:jc w:val="center"/>
              <w:rPr>
                <w:rFonts w:ascii="仿宋_GB2312" w:hAnsi="仿宋" w:eastAsia="仿宋_GB2312" w:cs="宋体"/>
                <w:b/>
                <w:bCs/>
                <w:sz w:val="20"/>
                <w:szCs w:val="20"/>
              </w:rPr>
            </w:pPr>
            <w:r>
              <w:rPr>
                <w:rFonts w:hint="eastAsia" w:ascii="仿宋_GB2312" w:hAnsi="仿宋" w:eastAsia="仿宋_GB2312" w:cs="宋体"/>
                <w:b/>
                <w:bCs/>
                <w:sz w:val="20"/>
                <w:szCs w:val="20"/>
              </w:rPr>
              <w:t>20</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保险公司应当建立规范的资产负债管理报告制度，明确报告的内容、形式、频率和报送范围，确保董事会、高级管理层和其他管理人员及时了解资产负债匹配状况及其管理状况。</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1.保险公司编制用于内部管理的资产负债管理季度报告及年度报告，按公司流程提交董事会或高级管理层审批。</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2.季度报告内容涵盖资产负债基本情况，包括资产配置状况、资产信用状况、负债产品信息等；资产负债匹配状况，包括期限结构匹配、成本收益匹配、流动性匹配等，以及</w:t>
            </w:r>
            <w:r>
              <w:rPr>
                <w:rFonts w:hint="eastAsia" w:ascii="仿宋_GB2312" w:hAnsi="仿宋" w:eastAsia="仿宋_GB2312" w:cs="宋体"/>
                <w:sz w:val="20"/>
                <w:szCs w:val="20"/>
              </w:rPr>
              <w:t>资产负债匹配指标传导机制与限额管理情况；</w:t>
            </w:r>
            <w:r>
              <w:rPr>
                <w:rFonts w:hint="eastAsia" w:ascii="仿宋_GB2312" w:hAnsi="仿宋" w:eastAsia="仿宋_GB2312" w:cs="宋体"/>
                <w:kern w:val="0"/>
                <w:sz w:val="20"/>
                <w:szCs w:val="20"/>
              </w:rPr>
              <w:t>识别主要资产负债匹配风险，提出防范化解风险的措施。</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3.年度报告内容除季度报告内容外，还包括资产负债管理的目标、组织架构图、人员及职责安排、回溯分析，以及业务规划、资产配置政策</w:t>
            </w:r>
            <w:r>
              <w:rPr>
                <w:rFonts w:hint="eastAsia" w:ascii="仿宋_GB2312" w:hAnsi="仿宋" w:eastAsia="仿宋_GB2312" w:cs="宋体"/>
                <w:sz w:val="20"/>
                <w:szCs w:val="20"/>
              </w:rPr>
              <w:t>、外部机构意见、资产负债管理能力评估</w:t>
            </w:r>
            <w:r>
              <w:rPr>
                <w:rFonts w:hint="eastAsia" w:ascii="仿宋_GB2312" w:hAnsi="仿宋" w:eastAsia="仿宋_GB2312" w:cs="宋体"/>
                <w:kern w:val="0"/>
                <w:sz w:val="20"/>
                <w:szCs w:val="20"/>
              </w:rPr>
              <w:t>等内容。</w:t>
            </w:r>
          </w:p>
          <w:p>
            <w:pPr>
              <w:widowControl/>
              <w:jc w:val="left"/>
              <w:rPr>
                <w:rFonts w:ascii="仿宋_GB2312" w:hAnsi="仿宋" w:eastAsia="仿宋_GB2312" w:cs="宋体"/>
                <w:b/>
                <w:bCs/>
                <w:kern w:val="0"/>
                <w:sz w:val="20"/>
                <w:szCs w:val="20"/>
              </w:rPr>
            </w:pPr>
            <w:r>
              <w:rPr>
                <w:rFonts w:hint="eastAsia" w:ascii="仿宋_GB2312" w:hAnsi="仿宋" w:eastAsia="仿宋_GB2312" w:cs="宋体"/>
                <w:kern w:val="0"/>
                <w:sz w:val="20"/>
                <w:szCs w:val="20"/>
              </w:rPr>
              <w:t>4.资产负债管理相关报告及相关会议纪要留档备查。</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3</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 w:hRule="atLeast"/>
        </w:trPr>
        <w:tc>
          <w:tcPr>
            <w:tcW w:w="638"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21</w:t>
            </w:r>
          </w:p>
        </w:tc>
        <w:tc>
          <w:tcPr>
            <w:tcW w:w="9009" w:type="dxa"/>
            <w:vAlign w:val="center"/>
          </w:tcPr>
          <w:p>
            <w:pPr>
              <w:widowControl/>
              <w:jc w:val="left"/>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保险公司应当根据宏观经济形势及市场情况变化等因素，结合自身偿付能力状况和风险变化情况，跟踪资产负债匹配指标和主要影响因素变化趋势，及时评估和调整资产负债管理方案，并履行相应的审批程序。</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1.评估资产负债管理的总体目标和战略、指标预警值和风险限额是否需要调整。</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2.评估资产战略配置规划和年度配置计划是否需要调整。</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3.评估业务规划、产品开发计划、销售策略是否需要调整。</w:t>
            </w:r>
          </w:p>
          <w:p>
            <w:pPr>
              <w:widowControl/>
              <w:jc w:val="left"/>
              <w:rPr>
                <w:rFonts w:ascii="仿宋_GB2312" w:hAnsi="仿宋" w:eastAsia="仿宋_GB2312" w:cs="宋体"/>
                <w:kern w:val="0"/>
                <w:sz w:val="20"/>
                <w:szCs w:val="20"/>
              </w:rPr>
            </w:pPr>
            <w:r>
              <w:rPr>
                <w:rFonts w:hint="eastAsia" w:ascii="仿宋_GB2312" w:hAnsi="仿宋" w:eastAsia="仿宋_GB2312" w:cs="宋体"/>
                <w:kern w:val="0"/>
                <w:sz w:val="20"/>
                <w:szCs w:val="20"/>
              </w:rPr>
              <w:t>4.评估资本规划、流动性风险管理政策是否需要调整。</w:t>
            </w:r>
          </w:p>
          <w:p>
            <w:pPr>
              <w:widowControl/>
              <w:jc w:val="left"/>
              <w:rPr>
                <w:rFonts w:ascii="仿宋_GB2312" w:hAnsi="等线" w:eastAsia="仿宋_GB2312" w:cs="Times New Roman"/>
              </w:rPr>
            </w:pPr>
            <w:r>
              <w:rPr>
                <w:rFonts w:hint="eastAsia" w:ascii="仿宋_GB2312" w:hAnsi="仿宋" w:eastAsia="仿宋_GB2312" w:cs="宋体"/>
                <w:kern w:val="0"/>
                <w:sz w:val="20"/>
                <w:szCs w:val="20"/>
              </w:rPr>
              <w:t>5.上述调整更新，履行相应的公司内部审批程序。</w:t>
            </w:r>
          </w:p>
        </w:tc>
        <w:tc>
          <w:tcPr>
            <w:tcW w:w="712" w:type="dxa"/>
            <w:vAlign w:val="center"/>
          </w:tcPr>
          <w:p>
            <w:pPr>
              <w:widowControl/>
              <w:jc w:val="center"/>
              <w:rPr>
                <w:rFonts w:ascii="仿宋_GB2312" w:hAnsi="仿宋" w:eastAsia="仿宋_GB2312" w:cs="宋体"/>
                <w:b/>
                <w:bCs/>
                <w:kern w:val="0"/>
                <w:sz w:val="20"/>
                <w:szCs w:val="20"/>
              </w:rPr>
            </w:pPr>
            <w:r>
              <w:rPr>
                <w:rFonts w:hint="eastAsia" w:ascii="仿宋_GB2312" w:hAnsi="仿宋" w:eastAsia="仿宋_GB2312" w:cs="宋体"/>
                <w:b/>
                <w:bCs/>
                <w:kern w:val="0"/>
                <w:sz w:val="20"/>
                <w:szCs w:val="20"/>
              </w:rPr>
              <w:t>3</w:t>
            </w:r>
          </w:p>
        </w:tc>
        <w:tc>
          <w:tcPr>
            <w:tcW w:w="643" w:type="dxa"/>
          </w:tcPr>
          <w:p>
            <w:pPr>
              <w:widowControl/>
              <w:jc w:val="center"/>
              <w:rPr>
                <w:rFonts w:ascii="仿宋_GB2312" w:hAnsi="仿宋" w:eastAsia="仿宋_GB2312" w:cs="宋体"/>
                <w:b/>
                <w:bCs/>
                <w:kern w:val="0"/>
                <w:sz w:val="20"/>
                <w:szCs w:val="20"/>
              </w:rPr>
            </w:pPr>
          </w:p>
        </w:tc>
        <w:tc>
          <w:tcPr>
            <w:tcW w:w="643" w:type="dxa"/>
          </w:tcPr>
          <w:p>
            <w:pPr>
              <w:widowControl/>
              <w:jc w:val="center"/>
              <w:rPr>
                <w:rFonts w:ascii="仿宋_GB2312" w:hAnsi="仿宋" w:eastAsia="仿宋_GB2312" w:cs="宋体"/>
                <w:b/>
                <w:bCs/>
                <w:kern w:val="0"/>
                <w:sz w:val="20"/>
                <w:szCs w:val="20"/>
              </w:rPr>
            </w:pPr>
          </w:p>
        </w:tc>
        <w:tc>
          <w:tcPr>
            <w:tcW w:w="649" w:type="dxa"/>
          </w:tcPr>
          <w:p>
            <w:pPr>
              <w:widowControl/>
              <w:jc w:val="center"/>
              <w:rPr>
                <w:rFonts w:ascii="仿宋_GB2312" w:hAnsi="仿宋" w:eastAsia="仿宋_GB2312" w:cs="宋体"/>
                <w:b/>
                <w:bCs/>
                <w:kern w:val="0"/>
                <w:sz w:val="20"/>
                <w:szCs w:val="20"/>
              </w:rPr>
            </w:pPr>
          </w:p>
        </w:tc>
        <w:tc>
          <w:tcPr>
            <w:tcW w:w="666" w:type="dxa"/>
          </w:tcPr>
          <w:p>
            <w:pPr>
              <w:widowControl/>
              <w:jc w:val="center"/>
              <w:rPr>
                <w:rFonts w:ascii="仿宋_GB2312" w:hAnsi="仿宋" w:eastAsia="仿宋_GB2312" w:cs="宋体"/>
                <w:b/>
                <w:bCs/>
                <w:kern w:val="0"/>
                <w:sz w:val="20"/>
                <w:szCs w:val="20"/>
              </w:rPr>
            </w:pPr>
          </w:p>
        </w:tc>
        <w:tc>
          <w:tcPr>
            <w:tcW w:w="720" w:type="dxa"/>
          </w:tcPr>
          <w:p>
            <w:pPr>
              <w:widowControl/>
              <w:jc w:val="center"/>
              <w:rPr>
                <w:rFonts w:ascii="仿宋_GB2312" w:hAnsi="仿宋" w:eastAsia="仿宋_GB2312" w:cs="宋体"/>
                <w:b/>
                <w:bCs/>
                <w:kern w:val="0"/>
                <w:sz w:val="20"/>
                <w:szCs w:val="20"/>
              </w:rPr>
            </w:pPr>
          </w:p>
        </w:tc>
        <w:tc>
          <w:tcPr>
            <w:tcW w:w="494" w:type="dxa"/>
          </w:tcPr>
          <w:p>
            <w:pPr>
              <w:widowControl/>
              <w:jc w:val="center"/>
              <w:rPr>
                <w:rFonts w:ascii="仿宋_GB2312" w:hAnsi="仿宋" w:eastAsia="仿宋_GB2312" w:cs="宋体"/>
                <w:b/>
                <w:bCs/>
                <w:kern w:val="0"/>
                <w:sz w:val="20"/>
                <w:szCs w:val="20"/>
              </w:rPr>
            </w:pPr>
          </w:p>
        </w:tc>
      </w:tr>
    </w:tbl>
    <w:p>
      <w:pPr>
        <w:rPr>
          <w:rFonts w:ascii="仿宋_GB2312" w:hAnsi="仿宋" w:eastAsia="仿宋_GB2312" w:cs="Times New Roman"/>
          <w:sz w:val="20"/>
          <w:szCs w:val="20"/>
        </w:rPr>
      </w:pPr>
    </w:p>
    <w:bookmarkEnd w:id="1"/>
    <w:p>
      <w:pPr>
        <w:rPr>
          <w:rFonts w:ascii="仿宋_GB2312" w:eastAsia="仿宋_GB2312"/>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C1EA2D-DAF0-4875-B63F-31F98D26FB7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embedRegular r:id="rId2" w:fontKey="{53449D08-DA87-489C-979F-C9F3A6EF1C0C}"/>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embedRegular r:id="rId3" w:fontKey="{4BDE309A-66F9-48B7-8E68-4D50EA930350}"/>
  </w:font>
  <w:font w:name="仿宋">
    <w:panose1 w:val="02010609060101010101"/>
    <w:charset w:val="86"/>
    <w:family w:val="modern"/>
    <w:pitch w:val="default"/>
    <w:sig w:usb0="800002BF" w:usb1="38CF7CFA" w:usb2="00000016" w:usb3="00000000" w:csb0="00040001" w:csb1="00000000"/>
    <w:embedRegular r:id="rId4" w:fontKey="{422FEA55-2494-4574-B200-E4F396FB0C4E}"/>
  </w:font>
  <w:font w:name="方正小标宋简体">
    <w:altName w:val="黑体"/>
    <w:panose1 w:val="02000000000000000000"/>
    <w:charset w:val="86"/>
    <w:family w:val="auto"/>
    <w:pitch w:val="default"/>
    <w:sig w:usb0="00000000" w:usb1="00000000" w:usb2="00000012" w:usb3="00000000" w:csb0="00040001" w:csb1="00000000"/>
    <w:embedRegular r:id="rId5" w:fontKey="{8188C736-ED4C-48A7-9016-237EF200D8F2}"/>
  </w:font>
  <w:font w:name="方正小标宋_GBK">
    <w:altName w:val="微软雅黑"/>
    <w:panose1 w:val="02000000000000000000"/>
    <w:charset w:val="86"/>
    <w:family w:val="auto"/>
    <w:pitch w:val="default"/>
    <w:sig w:usb0="00000000" w:usb1="00000000" w:usb2="00000000" w:usb3="00000000" w:csb0="00040000" w:csb1="00000000"/>
    <w:embedRegular r:id="rId6" w:fontKey="{22DA2141-2DF2-4A2D-990C-A07D67197C0F}"/>
  </w:font>
  <w:font w:name="楷体">
    <w:panose1 w:val="02010609060101010101"/>
    <w:charset w:val="86"/>
    <w:family w:val="auto"/>
    <w:pitch w:val="default"/>
    <w:sig w:usb0="800002BF" w:usb1="38CF7CFA" w:usb2="00000016" w:usb3="00000000" w:csb0="00040001" w:csb1="00000000"/>
    <w:embedRegular r:id="rId7" w:fontKey="{F06CA3F5-C1B5-4D2E-93FB-47A98C086BB5}"/>
  </w:font>
  <w:font w:name="楷体_GB2312">
    <w:altName w:val="楷体"/>
    <w:panose1 w:val="02010609030101010101"/>
    <w:charset w:val="86"/>
    <w:family w:val="auto"/>
    <w:pitch w:val="default"/>
    <w:sig w:usb0="00000000" w:usb1="00000000" w:usb2="00000000" w:usb3="00000000" w:csb0="00040000" w:csb1="00000000"/>
    <w:embedRegular r:id="rId8" w:fontKey="{87690999-CE60-4466-9338-5C251C8262E2}"/>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cap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rPr>
                              <w:rFonts w:hint="eastAsia" w:ascii="宋体" w:hAnsi="宋体" w:eastAsia="宋体" w:cs="宋体"/>
                              <w:caps/>
                              <w:sz w:val="28"/>
                              <w:szCs w:val="28"/>
                            </w:rPr>
                            <w:fldChar w:fldCharType="begin"/>
                          </w:r>
                          <w:r>
                            <w:rPr>
                              <w:rFonts w:hint="eastAsia" w:ascii="宋体" w:hAnsi="宋体" w:eastAsia="宋体" w:cs="宋体"/>
                              <w:caps/>
                              <w:sz w:val="28"/>
                              <w:szCs w:val="28"/>
                            </w:rPr>
                            <w:instrText xml:space="preserve"> PAGE   \* MERGEFORMAT </w:instrText>
                          </w:r>
                          <w:r>
                            <w:rPr>
                              <w:rFonts w:hint="eastAsia" w:ascii="宋体" w:hAnsi="宋体" w:eastAsia="宋体" w:cs="宋体"/>
                              <w:caps/>
                              <w:sz w:val="28"/>
                              <w:szCs w:val="28"/>
                            </w:rPr>
                            <w:fldChar w:fldCharType="separate"/>
                          </w:r>
                          <w:r>
                            <w:rPr>
                              <w:rFonts w:hint="eastAsia" w:ascii="宋体" w:hAnsi="宋体" w:eastAsia="宋体" w:cs="宋体"/>
                              <w:caps/>
                              <w:sz w:val="28"/>
                              <w:szCs w:val="28"/>
                            </w:rPr>
                            <w:t>2</w:t>
                          </w:r>
                          <w:r>
                            <w:rPr>
                              <w:rFonts w:hint="eastAsia" w:ascii="宋体" w:hAnsi="宋体" w:eastAsia="宋体" w:cs="宋体"/>
                              <w:cap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2"/>
                      <w:jc w:val="center"/>
                    </w:pPr>
                    <w:r>
                      <w:rPr>
                        <w:rFonts w:hint="eastAsia" w:ascii="宋体" w:hAnsi="宋体" w:eastAsia="宋体" w:cs="宋体"/>
                        <w:caps/>
                        <w:sz w:val="28"/>
                        <w:szCs w:val="28"/>
                      </w:rPr>
                      <w:fldChar w:fldCharType="begin"/>
                    </w:r>
                    <w:r>
                      <w:rPr>
                        <w:rFonts w:hint="eastAsia" w:ascii="宋体" w:hAnsi="宋体" w:eastAsia="宋体" w:cs="宋体"/>
                        <w:caps/>
                        <w:sz w:val="28"/>
                        <w:szCs w:val="28"/>
                      </w:rPr>
                      <w:instrText xml:space="preserve"> PAGE   \* MERGEFORMAT </w:instrText>
                    </w:r>
                    <w:r>
                      <w:rPr>
                        <w:rFonts w:hint="eastAsia" w:ascii="宋体" w:hAnsi="宋体" w:eastAsia="宋体" w:cs="宋体"/>
                        <w:caps/>
                        <w:sz w:val="28"/>
                        <w:szCs w:val="28"/>
                      </w:rPr>
                      <w:fldChar w:fldCharType="separate"/>
                    </w:r>
                    <w:r>
                      <w:rPr>
                        <w:rFonts w:hint="eastAsia" w:ascii="宋体" w:hAnsi="宋体" w:eastAsia="宋体" w:cs="宋体"/>
                        <w:caps/>
                        <w:sz w:val="28"/>
                        <w:szCs w:val="28"/>
                      </w:rPr>
                      <w:t>2</w:t>
                    </w:r>
                    <w:r>
                      <w:rPr>
                        <w:rFonts w:hint="eastAsia" w:ascii="宋体" w:hAnsi="宋体" w:eastAsia="宋体" w:cs="宋体"/>
                        <w:caps/>
                        <w:sz w:val="28"/>
                        <w:szCs w:val="28"/>
                      </w:rPr>
                      <w:fldChar w:fldCharType="end"/>
                    </w:r>
                  </w:p>
                </w:txbxContent>
              </v:textbox>
            </v:shape>
          </w:pict>
        </mc:Fallback>
      </mc:AlternateContent>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E1462"/>
    <w:multiLevelType w:val="multilevel"/>
    <w:tmpl w:val="1F5E1462"/>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4F4"/>
    <w:rsid w:val="0001139B"/>
    <w:rsid w:val="00024EFD"/>
    <w:rsid w:val="000642CD"/>
    <w:rsid w:val="00064327"/>
    <w:rsid w:val="000701C6"/>
    <w:rsid w:val="00084B8F"/>
    <w:rsid w:val="000A2CFA"/>
    <w:rsid w:val="000B6F17"/>
    <w:rsid w:val="000E04F4"/>
    <w:rsid w:val="000E70EE"/>
    <w:rsid w:val="00102316"/>
    <w:rsid w:val="00122B90"/>
    <w:rsid w:val="0013499C"/>
    <w:rsid w:val="00140BBB"/>
    <w:rsid w:val="001D7648"/>
    <w:rsid w:val="00205008"/>
    <w:rsid w:val="00214532"/>
    <w:rsid w:val="00225CFA"/>
    <w:rsid w:val="0023761A"/>
    <w:rsid w:val="002573E3"/>
    <w:rsid w:val="002A1B85"/>
    <w:rsid w:val="002A43D1"/>
    <w:rsid w:val="002C7A80"/>
    <w:rsid w:val="003203C0"/>
    <w:rsid w:val="003627B5"/>
    <w:rsid w:val="00363B69"/>
    <w:rsid w:val="0036421E"/>
    <w:rsid w:val="00375F15"/>
    <w:rsid w:val="00386BF2"/>
    <w:rsid w:val="003C27B2"/>
    <w:rsid w:val="003C56B9"/>
    <w:rsid w:val="003D2404"/>
    <w:rsid w:val="003F636A"/>
    <w:rsid w:val="0040041E"/>
    <w:rsid w:val="00412BFB"/>
    <w:rsid w:val="00416947"/>
    <w:rsid w:val="00422094"/>
    <w:rsid w:val="00436CB1"/>
    <w:rsid w:val="00442635"/>
    <w:rsid w:val="004668CB"/>
    <w:rsid w:val="0049309B"/>
    <w:rsid w:val="004B4C97"/>
    <w:rsid w:val="004D22E3"/>
    <w:rsid w:val="004E1ECF"/>
    <w:rsid w:val="004E6E4A"/>
    <w:rsid w:val="004F53F1"/>
    <w:rsid w:val="00506B58"/>
    <w:rsid w:val="005369CC"/>
    <w:rsid w:val="00556660"/>
    <w:rsid w:val="00561D51"/>
    <w:rsid w:val="00574E1E"/>
    <w:rsid w:val="0058001B"/>
    <w:rsid w:val="00591519"/>
    <w:rsid w:val="005A631A"/>
    <w:rsid w:val="005C5F5B"/>
    <w:rsid w:val="005D0054"/>
    <w:rsid w:val="005D0E63"/>
    <w:rsid w:val="005D2490"/>
    <w:rsid w:val="005E1DBE"/>
    <w:rsid w:val="005E331F"/>
    <w:rsid w:val="005F5D54"/>
    <w:rsid w:val="00604599"/>
    <w:rsid w:val="00620B55"/>
    <w:rsid w:val="00623A65"/>
    <w:rsid w:val="00645472"/>
    <w:rsid w:val="0066514C"/>
    <w:rsid w:val="00672AFB"/>
    <w:rsid w:val="00685117"/>
    <w:rsid w:val="0069513C"/>
    <w:rsid w:val="006C5B32"/>
    <w:rsid w:val="00703D50"/>
    <w:rsid w:val="00716970"/>
    <w:rsid w:val="007303E4"/>
    <w:rsid w:val="007410B9"/>
    <w:rsid w:val="00747EA5"/>
    <w:rsid w:val="007D6ABB"/>
    <w:rsid w:val="007E590F"/>
    <w:rsid w:val="00814A77"/>
    <w:rsid w:val="00832A20"/>
    <w:rsid w:val="00843A50"/>
    <w:rsid w:val="008A661B"/>
    <w:rsid w:val="008D1B43"/>
    <w:rsid w:val="008D51DD"/>
    <w:rsid w:val="008E4C9D"/>
    <w:rsid w:val="008F2951"/>
    <w:rsid w:val="00905BF5"/>
    <w:rsid w:val="009206BC"/>
    <w:rsid w:val="00945E0A"/>
    <w:rsid w:val="00966D15"/>
    <w:rsid w:val="009712AD"/>
    <w:rsid w:val="00976CDE"/>
    <w:rsid w:val="009977CE"/>
    <w:rsid w:val="009A0B9C"/>
    <w:rsid w:val="009D631C"/>
    <w:rsid w:val="00A05F73"/>
    <w:rsid w:val="00A6609B"/>
    <w:rsid w:val="00A809D5"/>
    <w:rsid w:val="00AB4205"/>
    <w:rsid w:val="00B25A80"/>
    <w:rsid w:val="00B27309"/>
    <w:rsid w:val="00B27D2F"/>
    <w:rsid w:val="00B400A1"/>
    <w:rsid w:val="00B41F2A"/>
    <w:rsid w:val="00BA67EE"/>
    <w:rsid w:val="00BC000A"/>
    <w:rsid w:val="00BC60A8"/>
    <w:rsid w:val="00C11316"/>
    <w:rsid w:val="00C179F7"/>
    <w:rsid w:val="00C359E4"/>
    <w:rsid w:val="00C72B00"/>
    <w:rsid w:val="00C9154C"/>
    <w:rsid w:val="00CB4A6D"/>
    <w:rsid w:val="00CE68D0"/>
    <w:rsid w:val="00D03CC5"/>
    <w:rsid w:val="00D053C0"/>
    <w:rsid w:val="00D12AD3"/>
    <w:rsid w:val="00D22B44"/>
    <w:rsid w:val="00D46622"/>
    <w:rsid w:val="00D6683D"/>
    <w:rsid w:val="00D95A1D"/>
    <w:rsid w:val="00DD1C7D"/>
    <w:rsid w:val="00E047F2"/>
    <w:rsid w:val="00E21437"/>
    <w:rsid w:val="00E4362E"/>
    <w:rsid w:val="00E507E7"/>
    <w:rsid w:val="00E551D8"/>
    <w:rsid w:val="00E5757A"/>
    <w:rsid w:val="00E700D6"/>
    <w:rsid w:val="00E86FD0"/>
    <w:rsid w:val="00EA4BCC"/>
    <w:rsid w:val="00EB0AB5"/>
    <w:rsid w:val="00EB7F78"/>
    <w:rsid w:val="00EC2620"/>
    <w:rsid w:val="00EE7976"/>
    <w:rsid w:val="00F03BD5"/>
    <w:rsid w:val="00F5789A"/>
    <w:rsid w:val="00FA43AA"/>
    <w:rsid w:val="00FA6A05"/>
    <w:rsid w:val="00FB74BB"/>
    <w:rsid w:val="022B099C"/>
    <w:rsid w:val="16F263F6"/>
    <w:rsid w:val="262833DC"/>
    <w:rsid w:val="272B5527"/>
    <w:rsid w:val="3C4C585D"/>
    <w:rsid w:val="3F07468A"/>
    <w:rsid w:val="3FDDF409"/>
    <w:rsid w:val="3FFFF821"/>
    <w:rsid w:val="424745A0"/>
    <w:rsid w:val="45BD0B24"/>
    <w:rsid w:val="49950B41"/>
    <w:rsid w:val="4FD64998"/>
    <w:rsid w:val="516D42EB"/>
    <w:rsid w:val="530F3718"/>
    <w:rsid w:val="577EB5F2"/>
    <w:rsid w:val="5C071F54"/>
    <w:rsid w:val="5C7B7E49"/>
    <w:rsid w:val="73376DED"/>
    <w:rsid w:val="79B26FC4"/>
    <w:rsid w:val="7AE301E4"/>
    <w:rsid w:val="7EFE7628"/>
    <w:rsid w:val="7FB93A10"/>
    <w:rsid w:val="9FE7F035"/>
    <w:rsid w:val="AE2FAD65"/>
    <w:rsid w:val="BFEA0AF9"/>
    <w:rsid w:val="DFAFD8D3"/>
    <w:rsid w:val="E4FE577C"/>
    <w:rsid w:val="ED7D5AB8"/>
    <w:rsid w:val="EF6FADE6"/>
    <w:rsid w:val="EFFAF9E8"/>
    <w:rsid w:val="F7D67A74"/>
    <w:rsid w:val="FBFDCB19"/>
    <w:rsid w:val="FC5C3F2C"/>
    <w:rsid w:val="FEFFEDEF"/>
    <w:rsid w:val="FF9F2E3A"/>
    <w:rsid w:val="FFBF10C3"/>
    <w:rsid w:val="FFFFB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text"/>
    <w:basedOn w:val="1"/>
    <w:link w:val="42"/>
    <w:unhideWhenUsed/>
    <w:qFormat/>
    <w:uiPriority w:val="99"/>
    <w:pPr>
      <w:jc w:val="left"/>
    </w:pPr>
  </w:style>
  <w:style w:type="paragraph" w:styleId="12">
    <w:name w:val="footer"/>
    <w:basedOn w:val="1"/>
    <w:link w:val="40"/>
    <w:unhideWhenUsed/>
    <w:qFormat/>
    <w:uiPriority w:val="99"/>
    <w:pPr>
      <w:tabs>
        <w:tab w:val="center" w:pos="4153"/>
        <w:tab w:val="right" w:pos="8306"/>
      </w:tabs>
      <w:snapToGrid w:val="0"/>
      <w:jc w:val="left"/>
    </w:pPr>
    <w:rPr>
      <w:sz w:val="18"/>
      <w:szCs w:val="18"/>
    </w:rPr>
  </w:style>
  <w:style w:type="paragraph" w:styleId="13">
    <w:name w:val="header"/>
    <w:basedOn w:val="1"/>
    <w:link w:val="3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3"/>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annotation reference"/>
    <w:basedOn w:val="19"/>
    <w:semiHidden/>
    <w:unhideWhenUsed/>
    <w:qFormat/>
    <w:uiPriority w:val="99"/>
    <w:rPr>
      <w:sz w:val="21"/>
      <w:szCs w:val="21"/>
    </w:rPr>
  </w:style>
  <w:style w:type="character" w:customStyle="1" w:styleId="21">
    <w:name w:val="Heading 1 Char"/>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Heading 2 Char"/>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Heading 3 Char"/>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Heading 4 Char"/>
    <w:basedOn w:val="19"/>
    <w:link w:val="5"/>
    <w:semiHidden/>
    <w:qFormat/>
    <w:uiPriority w:val="9"/>
    <w:rPr>
      <w:rFonts w:cstheme="majorBidi"/>
      <w:color w:val="104862" w:themeColor="accent1" w:themeShade="BF"/>
      <w:sz w:val="28"/>
      <w:szCs w:val="28"/>
    </w:rPr>
  </w:style>
  <w:style w:type="character" w:customStyle="1" w:styleId="25">
    <w:name w:val="Heading 5 Char"/>
    <w:basedOn w:val="19"/>
    <w:link w:val="6"/>
    <w:semiHidden/>
    <w:qFormat/>
    <w:uiPriority w:val="9"/>
    <w:rPr>
      <w:rFonts w:cstheme="majorBidi"/>
      <w:color w:val="104862" w:themeColor="accent1" w:themeShade="BF"/>
      <w:sz w:val="24"/>
      <w:szCs w:val="24"/>
    </w:rPr>
  </w:style>
  <w:style w:type="character" w:customStyle="1" w:styleId="26">
    <w:name w:val="Heading 6 Char"/>
    <w:basedOn w:val="19"/>
    <w:link w:val="7"/>
    <w:semiHidden/>
    <w:qFormat/>
    <w:uiPriority w:val="9"/>
    <w:rPr>
      <w:rFonts w:cstheme="majorBidi"/>
      <w:b/>
      <w:bCs/>
      <w:color w:val="104862" w:themeColor="accent1" w:themeShade="BF"/>
    </w:rPr>
  </w:style>
  <w:style w:type="character" w:customStyle="1" w:styleId="27">
    <w:name w:val="Heading 7 Char"/>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Heading 8 Char"/>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Heading 9 Char"/>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Title Char"/>
    <w:basedOn w:val="19"/>
    <w:link w:val="15"/>
    <w:qFormat/>
    <w:uiPriority w:val="10"/>
    <w:rPr>
      <w:rFonts w:asciiTheme="majorHAnsi" w:hAnsiTheme="majorHAnsi" w:eastAsiaTheme="majorEastAsia" w:cstheme="majorBidi"/>
      <w:spacing w:val="-10"/>
      <w:kern w:val="28"/>
      <w:sz w:val="56"/>
      <w:szCs w:val="56"/>
    </w:rPr>
  </w:style>
  <w:style w:type="character" w:customStyle="1" w:styleId="31">
    <w:name w:val="Subtitle Char"/>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1"/>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Intense Quote Char"/>
    <w:basedOn w:val="19"/>
    <w:link w:val="36"/>
    <w:qFormat/>
    <w:uiPriority w:val="30"/>
    <w:rPr>
      <w:i/>
      <w:iCs/>
      <w:color w:val="104862" w:themeColor="accent1" w:themeShade="BF"/>
    </w:rPr>
  </w:style>
  <w:style w:type="character" w:customStyle="1" w:styleId="38">
    <w:name w:val="Intense Reference1"/>
    <w:basedOn w:val="19"/>
    <w:qFormat/>
    <w:uiPriority w:val="32"/>
    <w:rPr>
      <w:b/>
      <w:bCs/>
      <w:smallCaps/>
      <w:color w:val="104862" w:themeColor="accent1" w:themeShade="BF"/>
      <w:spacing w:val="5"/>
    </w:rPr>
  </w:style>
  <w:style w:type="character" w:customStyle="1" w:styleId="39">
    <w:name w:val="Header Char"/>
    <w:basedOn w:val="19"/>
    <w:link w:val="13"/>
    <w:qFormat/>
    <w:uiPriority w:val="99"/>
    <w:rPr>
      <w:sz w:val="18"/>
      <w:szCs w:val="18"/>
    </w:rPr>
  </w:style>
  <w:style w:type="character" w:customStyle="1" w:styleId="40">
    <w:name w:val="Footer Char"/>
    <w:basedOn w:val="19"/>
    <w:link w:val="12"/>
    <w:qFormat/>
    <w:uiPriority w:val="99"/>
    <w:rPr>
      <w:sz w:val="18"/>
      <w:szCs w:val="18"/>
    </w:rPr>
  </w:style>
  <w:style w:type="paragraph" w:customStyle="1" w:styleId="41">
    <w:name w:val="Revision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2">
    <w:name w:val="Comment Text Char"/>
    <w:basedOn w:val="19"/>
    <w:link w:val="11"/>
    <w:qFormat/>
    <w:uiPriority w:val="99"/>
    <w:rPr>
      <w:kern w:val="2"/>
      <w:sz w:val="21"/>
      <w:szCs w:val="22"/>
    </w:rPr>
  </w:style>
  <w:style w:type="character" w:customStyle="1" w:styleId="43">
    <w:name w:val="Comment Subject Char"/>
    <w:basedOn w:val="42"/>
    <w:link w:val="16"/>
    <w:semiHidden/>
    <w:qFormat/>
    <w:uiPriority w:val="99"/>
    <w:rPr>
      <w:b/>
      <w:bCs/>
      <w:kern w:val="2"/>
      <w:sz w:val="21"/>
      <w:szCs w:val="22"/>
    </w:rPr>
  </w:style>
  <w:style w:type="paragraph" w:customStyle="1" w:styleId="44">
    <w:name w:val="Revision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6573</Words>
  <Characters>6734</Characters>
  <Lines>100</Lines>
  <Paragraphs>28</Paragraphs>
  <TotalTime>21</TotalTime>
  <ScaleCrop>false</ScaleCrop>
  <LinksUpToDate>false</LinksUpToDate>
  <CharactersWithSpaces>6741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2026-04-16T11:02:00Z</dcterms:created>
  <dc:creator>余诚</dc:creator>
  <cp:lastModifiedBy>cbirc</cp:lastModifiedBy>
  <cp:lastPrinted>2026-04-02T09:24:00Z</cp:lastPrinted>
  <dcterms:modified xsi:type="dcterms:W3CDTF">2026-08-21T11:43:25Z</dcterms:modified>
  <dc:title>附件4</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eyJoZGlkIjoiZTFhYTJiYWMyMWE1MGU5M2ZhZDVkM2JjZTFkMTY1MWYiLCJ1c2VySWQiOiIyMTAyMDQ1NzgifQ==</vt:lpwstr>
  </property>
  <property fmtid="{D5CDD505-2E9C-101B-9397-08002B2CF9AE}" pid="3" name="KSOProductBuildVer">
    <vt:lpwstr>2052-11.8.2.8506</vt:lpwstr>
  </property>
  <property fmtid="{D5CDD505-2E9C-101B-9397-08002B2CF9AE}" pid="4" name="ICV">
    <vt:lpwstr>1CC0373DB476A6975F9EFE69052A06C6</vt:lpwstr>
  </property>
</Properties>
</file>