
<file path=[Content_Types].xml><?xml version="1.0" encoding="utf-8"?>
<Types xmlns="http://schemas.openxmlformats.org/package/2006/content-types">
  <Default Extension="wmf" ContentType="image/x-w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24AF51">
      <w:pPr>
        <w:pStyle w:val="30"/>
        <w:tabs>
          <w:tab w:val="left" w:pos="420"/>
          <w:tab w:val="right" w:leader="dot" w:pos="8296"/>
        </w:tabs>
        <w:rPr>
          <w:rFonts w:ascii="仿宋_GB2312" w:hAnsi="仿宋_GB2312" w:eastAsia="仿宋_GB2312"/>
          <w:sz w:val="30"/>
          <w:szCs w:val="30"/>
        </w:rPr>
      </w:pPr>
      <w:bookmarkStart w:id="4069" w:name="_GoBack"/>
      <w:bookmarkEnd w:id="4069"/>
    </w:p>
    <w:p w14:paraId="3CA006FA">
      <w:pPr>
        <w:pStyle w:val="30"/>
        <w:tabs>
          <w:tab w:val="left" w:pos="420"/>
          <w:tab w:val="right" w:leader="dot" w:pos="8296"/>
        </w:tabs>
        <w:jc w:val="center"/>
        <w:rPr>
          <w:rFonts w:ascii="黑体" w:hAnsi="黑体"/>
          <w:sz w:val="56"/>
        </w:rPr>
      </w:pPr>
    </w:p>
    <w:p w14:paraId="162CE4E8">
      <w:pPr>
        <w:pStyle w:val="30"/>
        <w:tabs>
          <w:tab w:val="left" w:pos="420"/>
          <w:tab w:val="right" w:leader="dot" w:pos="8296"/>
        </w:tabs>
        <w:jc w:val="center"/>
        <w:rPr>
          <w:rFonts w:ascii="黑体" w:hAnsi="黑体"/>
          <w:sz w:val="56"/>
        </w:rPr>
      </w:pPr>
    </w:p>
    <w:p w14:paraId="1015B9AE">
      <w:pPr>
        <w:pStyle w:val="30"/>
        <w:tabs>
          <w:tab w:val="left" w:pos="420"/>
          <w:tab w:val="right" w:leader="dot" w:pos="8296"/>
        </w:tabs>
        <w:jc w:val="center"/>
        <w:rPr>
          <w:rFonts w:ascii="黑体" w:hAnsi="黑体"/>
          <w:sz w:val="56"/>
        </w:rPr>
      </w:pPr>
    </w:p>
    <w:p w14:paraId="36DD1620">
      <w:pPr>
        <w:pStyle w:val="30"/>
        <w:tabs>
          <w:tab w:val="left" w:pos="420"/>
          <w:tab w:val="right" w:leader="dot" w:pos="8296"/>
        </w:tabs>
        <w:jc w:val="center"/>
        <w:rPr>
          <w:rFonts w:ascii="黑体" w:hAnsi="黑体" w:eastAsia="黑体" w:cs="黑体"/>
          <w:sz w:val="56"/>
        </w:rPr>
      </w:pPr>
      <w:r>
        <w:rPr>
          <w:rFonts w:hint="eastAsia" w:ascii="黑体" w:hAnsi="黑体" w:eastAsia="黑体" w:cs="黑体"/>
          <w:sz w:val="56"/>
        </w:rPr>
        <w:t>上海证券交易所债券交易业务</w:t>
      </w:r>
    </w:p>
    <w:p w14:paraId="2DA16491">
      <w:pPr>
        <w:pStyle w:val="30"/>
        <w:tabs>
          <w:tab w:val="left" w:pos="420"/>
          <w:tab w:val="right" w:leader="dot" w:pos="8296"/>
        </w:tabs>
        <w:jc w:val="center"/>
        <w:rPr>
          <w:rFonts w:ascii="黑体" w:hAnsi="黑体" w:eastAsia="黑体" w:cs="黑体"/>
          <w:sz w:val="56"/>
        </w:rPr>
      </w:pPr>
      <w:r>
        <w:rPr>
          <w:rFonts w:hint="eastAsia" w:ascii="黑体" w:hAnsi="黑体" w:eastAsia="黑体" w:cs="黑体"/>
          <w:sz w:val="56"/>
        </w:rPr>
        <w:t>指南第1号——交易业务</w:t>
      </w:r>
    </w:p>
    <w:p w14:paraId="5B3C36A2">
      <w:pPr>
        <w:jc w:val="center"/>
        <w:rPr>
          <w:rFonts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（202</w:t>
      </w:r>
      <w:r>
        <w:rPr>
          <w:rFonts w:hint="default" w:ascii="Times New Roman" w:hAnsi="Times New Roman" w:eastAsia="仿宋_GB2312" w:cs="Times New Roman"/>
          <w:b/>
          <w:bCs/>
          <w:sz w:val="32"/>
          <w:szCs w:val="32"/>
          <w:lang w:val="en-US" w:eastAsia="zh-CN"/>
        </w:rPr>
        <w:t>6</w:t>
      </w:r>
      <w:r>
        <w:rPr>
          <w:rFonts w:hint="default" w:ascii="Times New Roman" w:hAnsi="Times New Roman" w:eastAsia="仿宋_GB2312" w:cs="Times New Roman"/>
          <w:b/>
          <w:bCs/>
          <w:sz w:val="32"/>
          <w:szCs w:val="32"/>
        </w:rPr>
        <w:t>年</w:t>
      </w:r>
      <w:r>
        <w:rPr>
          <w:rFonts w:hint="default" w:ascii="Times New Roman" w:hAnsi="Times New Roman" w:eastAsia="仿宋_GB2312" w:cs="Times New Roman"/>
          <w:b/>
          <w:bCs/>
          <w:sz w:val="32"/>
          <w:szCs w:val="32"/>
          <w:lang w:val="en-US" w:eastAsia="zh-CN"/>
        </w:rPr>
        <w:t>5</w:t>
      </w:r>
      <w:r>
        <w:rPr>
          <w:rFonts w:hint="default" w:ascii="Times New Roman" w:hAnsi="Times New Roman" w:eastAsia="仿宋_GB2312" w:cs="Times New Roman"/>
          <w:b/>
          <w:bCs/>
          <w:sz w:val="32"/>
          <w:szCs w:val="32"/>
        </w:rPr>
        <w:t>月修订）</w:t>
      </w:r>
    </w:p>
    <w:p w14:paraId="04EE8E57"/>
    <w:p w14:paraId="4F64F28C"/>
    <w:p w14:paraId="1D6843D7"/>
    <w:p w14:paraId="5E9B6653"/>
    <w:p w14:paraId="0039FE8C"/>
    <w:p w14:paraId="5F8F4BB5"/>
    <w:p w14:paraId="62F3660C"/>
    <w:p w14:paraId="4A34F923"/>
    <w:p w14:paraId="77B61A48"/>
    <w:p w14:paraId="1FF953EC"/>
    <w:p w14:paraId="4241414F">
      <w:pPr>
        <w:jc w:val="center"/>
        <w:rPr>
          <w:rFonts w:ascii="仿宋_GB2312" w:eastAsia="仿宋_GB2312"/>
          <w:sz w:val="30"/>
          <w:szCs w:val="30"/>
        </w:rPr>
      </w:pPr>
    </w:p>
    <w:p w14:paraId="3DA6CC51">
      <w:pPr>
        <w:jc w:val="center"/>
        <w:rPr>
          <w:rFonts w:ascii="Times New Roman" w:hAnsi="Times New Roman" w:eastAsia="仿宋_GB2312" w:cs="Times New Roman"/>
          <w:sz w:val="30"/>
          <w:szCs w:val="30"/>
        </w:rPr>
      </w:pPr>
    </w:p>
    <w:p w14:paraId="7BA74F6A">
      <w:pPr>
        <w:jc w:val="center"/>
        <w:rPr>
          <w:rFonts w:ascii="Times New Roman" w:hAnsi="Times New Roman" w:eastAsia="仿宋_GB2312" w:cs="Times New Roman"/>
          <w:sz w:val="30"/>
          <w:szCs w:val="30"/>
        </w:rPr>
      </w:pPr>
    </w:p>
    <w:p w14:paraId="780AB25D">
      <w:pPr>
        <w:jc w:val="center"/>
        <w:rPr>
          <w:rFonts w:ascii="Times New Roman" w:hAnsi="Times New Roman" w:eastAsia="仿宋_GB2312" w:cs="Times New Roman"/>
          <w:sz w:val="30"/>
          <w:szCs w:val="30"/>
        </w:rPr>
      </w:pPr>
    </w:p>
    <w:p w14:paraId="514BF914">
      <w:pPr>
        <w:jc w:val="center"/>
        <w:rPr>
          <w:rFonts w:ascii="Times New Roman" w:hAnsi="Times New Roman" w:eastAsia="仿宋_GB2312" w:cs="Times New Roman"/>
          <w:b/>
          <w:sz w:val="30"/>
          <w:szCs w:val="30"/>
        </w:rPr>
      </w:pPr>
      <w:r>
        <w:rPr>
          <w:rFonts w:hint="default" w:ascii="Times New Roman" w:hAnsi="Times New Roman" w:eastAsia="仿宋_GB2312" w:cs="Times New Roman"/>
          <w:b/>
          <w:sz w:val="30"/>
          <w:szCs w:val="30"/>
        </w:rPr>
        <w:t>202</w:t>
      </w:r>
      <w:r>
        <w:rPr>
          <w:rFonts w:hint="default" w:ascii="Times New Roman" w:hAnsi="Times New Roman" w:eastAsia="仿宋_GB2312" w:cs="Times New Roman"/>
          <w:b/>
          <w:sz w:val="30"/>
          <w:szCs w:val="30"/>
          <w:lang w:val="en-US" w:eastAsia="zh-CN"/>
        </w:rPr>
        <w:t>6</w:t>
      </w:r>
      <w:r>
        <w:rPr>
          <w:rFonts w:hint="default" w:ascii="Times New Roman" w:hAnsi="Times New Roman" w:eastAsia="仿宋_GB2312" w:cs="Times New Roman"/>
          <w:b/>
          <w:sz w:val="30"/>
          <w:szCs w:val="30"/>
        </w:rPr>
        <w:t>年</w:t>
      </w:r>
      <w:r>
        <w:rPr>
          <w:rFonts w:hint="default" w:ascii="Times New Roman" w:hAnsi="Times New Roman" w:eastAsia="仿宋_GB2312" w:cs="Times New Roman"/>
          <w:b/>
          <w:sz w:val="30"/>
          <w:szCs w:val="30"/>
          <w:lang w:val="en-US" w:eastAsia="zh-CN"/>
        </w:rPr>
        <w:t>5</w:t>
      </w:r>
      <w:r>
        <w:rPr>
          <w:rFonts w:hint="default" w:ascii="Times New Roman" w:hAnsi="Times New Roman" w:eastAsia="仿宋_GB2312" w:cs="Times New Roman"/>
          <w:b/>
          <w:sz w:val="30"/>
          <w:szCs w:val="30"/>
        </w:rPr>
        <w:t>月</w:t>
      </w:r>
    </w:p>
    <w:p w14:paraId="27A2B6C5">
      <w:pPr>
        <w:widowControl/>
        <w:jc w:val="left"/>
        <w:rPr>
          <w:rFonts w:ascii="仿宋_GB2312" w:eastAsia="仿宋_GB2312"/>
          <w:b/>
          <w:sz w:val="30"/>
          <w:szCs w:val="30"/>
        </w:rPr>
      </w:pPr>
      <w:r>
        <w:rPr>
          <w:rFonts w:ascii="仿宋_GB2312" w:eastAsia="仿宋_GB2312"/>
          <w:b/>
          <w:sz w:val="30"/>
          <w:szCs w:val="30"/>
        </w:rPr>
        <w:br w:type="page"/>
      </w:r>
    </w:p>
    <w:p w14:paraId="19BD6247">
      <w:pPr>
        <w:pStyle w:val="39"/>
        <w:spacing w:before="0" w:beforeAutospacing="0" w:after="0" w:afterAutospacing="0" w:line="360" w:lineRule="auto"/>
        <w:jc w:val="center"/>
        <w:outlineLvl w:val="0"/>
        <w:rPr>
          <w:b/>
          <w:sz w:val="32"/>
          <w:szCs w:val="32"/>
        </w:rPr>
      </w:pPr>
      <w:bookmarkStart w:id="0" w:name="_Toc151136875"/>
      <w:bookmarkStart w:id="1" w:name="_Toc1401838971"/>
      <w:bookmarkStart w:id="2" w:name="_Toc1621378860"/>
      <w:bookmarkStart w:id="3" w:name="_Toc1366437701"/>
      <w:bookmarkStart w:id="4" w:name="_Toc31763"/>
      <w:bookmarkStart w:id="5" w:name="_Toc568161688"/>
      <w:bookmarkStart w:id="6" w:name="_Toc105612272"/>
      <w:r>
        <w:rPr>
          <w:rFonts w:hint="eastAsia"/>
          <w:b/>
          <w:sz w:val="32"/>
          <w:szCs w:val="32"/>
        </w:rPr>
        <w:t>版本说明</w:t>
      </w:r>
      <w:bookmarkEnd w:id="0"/>
      <w:bookmarkEnd w:id="1"/>
      <w:bookmarkEnd w:id="2"/>
      <w:bookmarkEnd w:id="3"/>
      <w:bookmarkEnd w:id="4"/>
      <w:bookmarkEnd w:id="5"/>
      <w:bookmarkEnd w:id="6"/>
    </w:p>
    <w:tbl>
      <w:tblPr>
        <w:tblStyle w:val="43"/>
        <w:tblW w:w="83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6"/>
        <w:gridCol w:w="1425"/>
        <w:gridCol w:w="850"/>
        <w:gridCol w:w="1276"/>
        <w:gridCol w:w="3765"/>
        <w:gridCol w:w="113"/>
      </w:tblGrid>
      <w:tr w14:paraId="650FC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6" w:type="dxa"/>
            <w:tcBorders>
              <w:top w:val="single" w:color="auto" w:sz="4" w:space="0"/>
              <w:left w:val="single" w:color="auto" w:sz="4" w:space="0"/>
              <w:bottom w:val="single" w:color="auto" w:sz="4" w:space="0"/>
              <w:right w:val="single" w:color="auto" w:sz="4" w:space="0"/>
            </w:tcBorders>
            <w:shd w:val="clear" w:color="auto" w:fill="E6E6E6"/>
            <w:vAlign w:val="center"/>
          </w:tcPr>
          <w:p w14:paraId="791D6BA1">
            <w:pPr>
              <w:jc w:val="center"/>
              <w:rPr>
                <w:rFonts w:ascii="宋体" w:hAnsi="宋体"/>
                <w:b/>
                <w:sz w:val="18"/>
              </w:rPr>
            </w:pPr>
            <w:r>
              <w:rPr>
                <w:rFonts w:hint="eastAsia" w:ascii="宋体" w:hAnsi="宋体"/>
                <w:b/>
                <w:sz w:val="18"/>
              </w:rPr>
              <w:t>版本号</w:t>
            </w:r>
          </w:p>
        </w:tc>
        <w:tc>
          <w:tcPr>
            <w:tcW w:w="1425" w:type="dxa"/>
            <w:tcBorders>
              <w:top w:val="single" w:color="auto" w:sz="4" w:space="0"/>
              <w:left w:val="single" w:color="auto" w:sz="4" w:space="0"/>
              <w:bottom w:val="single" w:color="auto" w:sz="4" w:space="0"/>
              <w:right w:val="single" w:color="auto" w:sz="4" w:space="0"/>
            </w:tcBorders>
            <w:shd w:val="clear" w:color="auto" w:fill="E6E6E6"/>
          </w:tcPr>
          <w:p w14:paraId="5E442DB6">
            <w:pPr>
              <w:jc w:val="center"/>
              <w:rPr>
                <w:rFonts w:ascii="宋体" w:hAnsi="宋体"/>
                <w:b/>
                <w:sz w:val="18"/>
              </w:rPr>
            </w:pPr>
            <w:r>
              <w:rPr>
                <w:rFonts w:hint="eastAsia" w:ascii="宋体" w:hAnsi="宋体"/>
                <w:b/>
                <w:sz w:val="18"/>
              </w:rPr>
              <w:t>发起部门</w:t>
            </w:r>
          </w:p>
        </w:tc>
        <w:tc>
          <w:tcPr>
            <w:tcW w:w="850" w:type="dxa"/>
            <w:tcBorders>
              <w:top w:val="single" w:color="auto" w:sz="4" w:space="0"/>
              <w:left w:val="single" w:color="auto" w:sz="4" w:space="0"/>
              <w:bottom w:val="single" w:color="auto" w:sz="4" w:space="0"/>
              <w:right w:val="single" w:color="auto" w:sz="4" w:space="0"/>
            </w:tcBorders>
            <w:shd w:val="clear" w:color="auto" w:fill="E6E6E6"/>
            <w:vAlign w:val="center"/>
          </w:tcPr>
          <w:p w14:paraId="003585C4">
            <w:pPr>
              <w:jc w:val="center"/>
              <w:rPr>
                <w:rFonts w:ascii="宋体" w:hAnsi="宋体"/>
                <w:b/>
                <w:sz w:val="18"/>
              </w:rPr>
            </w:pPr>
            <w:r>
              <w:rPr>
                <w:rFonts w:hint="eastAsia" w:ascii="宋体" w:hAnsi="宋体"/>
                <w:b/>
                <w:sz w:val="18"/>
              </w:rPr>
              <w:t>操作</w:t>
            </w:r>
          </w:p>
        </w:tc>
        <w:tc>
          <w:tcPr>
            <w:tcW w:w="1276" w:type="dxa"/>
            <w:tcBorders>
              <w:top w:val="single" w:color="auto" w:sz="4" w:space="0"/>
              <w:left w:val="single" w:color="auto" w:sz="4" w:space="0"/>
              <w:bottom w:val="single" w:color="auto" w:sz="4" w:space="0"/>
              <w:right w:val="single" w:color="auto" w:sz="4" w:space="0"/>
            </w:tcBorders>
            <w:shd w:val="clear" w:color="auto" w:fill="E6E6E6"/>
            <w:vAlign w:val="center"/>
          </w:tcPr>
          <w:p w14:paraId="34EA08C3">
            <w:pPr>
              <w:jc w:val="center"/>
              <w:rPr>
                <w:rFonts w:ascii="宋体" w:hAnsi="宋体"/>
                <w:b/>
                <w:sz w:val="18"/>
              </w:rPr>
            </w:pPr>
            <w:r>
              <w:rPr>
                <w:rFonts w:hint="eastAsia" w:ascii="宋体" w:hAnsi="宋体"/>
                <w:b/>
                <w:sz w:val="18"/>
              </w:rPr>
              <w:t>日期</w:t>
            </w:r>
          </w:p>
        </w:tc>
        <w:tc>
          <w:tcPr>
            <w:tcW w:w="3878" w:type="dxa"/>
            <w:gridSpan w:val="2"/>
            <w:tcBorders>
              <w:top w:val="single" w:color="auto" w:sz="4" w:space="0"/>
              <w:left w:val="single" w:color="auto" w:sz="4" w:space="0"/>
              <w:bottom w:val="single" w:color="auto" w:sz="4" w:space="0"/>
              <w:right w:val="single" w:color="auto" w:sz="4" w:space="0"/>
            </w:tcBorders>
            <w:shd w:val="clear" w:color="auto" w:fill="E6E6E6"/>
            <w:vAlign w:val="center"/>
          </w:tcPr>
          <w:p w14:paraId="26FD9AB2">
            <w:pPr>
              <w:jc w:val="center"/>
              <w:rPr>
                <w:rFonts w:ascii="宋体" w:hAnsi="宋体"/>
                <w:b/>
                <w:sz w:val="18"/>
              </w:rPr>
            </w:pPr>
            <w:r>
              <w:rPr>
                <w:rFonts w:hint="eastAsia" w:ascii="宋体" w:hAnsi="宋体"/>
                <w:b/>
                <w:sz w:val="18"/>
              </w:rPr>
              <w:t>说明</w:t>
            </w:r>
          </w:p>
        </w:tc>
      </w:tr>
      <w:tr w14:paraId="0F3B8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3" w:type="dxa"/>
          <w:jc w:val="center"/>
        </w:trPr>
        <w:tc>
          <w:tcPr>
            <w:tcW w:w="896" w:type="dxa"/>
            <w:tcBorders>
              <w:top w:val="single" w:color="auto" w:sz="4" w:space="0"/>
              <w:left w:val="single" w:color="auto" w:sz="4" w:space="0"/>
              <w:bottom w:val="single" w:color="auto" w:sz="4" w:space="0"/>
              <w:right w:val="single" w:color="auto" w:sz="4" w:space="0"/>
            </w:tcBorders>
          </w:tcPr>
          <w:p w14:paraId="10805E69">
            <w:pPr>
              <w:rPr>
                <w:rFonts w:ascii="宋体" w:hAnsi="宋体"/>
                <w:bCs/>
                <w:sz w:val="18"/>
              </w:rPr>
            </w:pPr>
            <w:r>
              <w:rPr>
                <w:bCs/>
                <w:sz w:val="18"/>
              </w:rPr>
              <w:t>V</w:t>
            </w:r>
            <w:r>
              <w:rPr>
                <w:bCs/>
                <w:iCs/>
                <w:sz w:val="18"/>
              </w:rPr>
              <w:t>1.0</w:t>
            </w:r>
          </w:p>
        </w:tc>
        <w:tc>
          <w:tcPr>
            <w:tcW w:w="1425" w:type="dxa"/>
            <w:tcBorders>
              <w:top w:val="single" w:color="auto" w:sz="4" w:space="0"/>
              <w:left w:val="single" w:color="auto" w:sz="4" w:space="0"/>
              <w:bottom w:val="single" w:color="auto" w:sz="4" w:space="0"/>
              <w:right w:val="single" w:color="auto" w:sz="4" w:space="0"/>
            </w:tcBorders>
          </w:tcPr>
          <w:p w14:paraId="2CC3AECE">
            <w:pPr>
              <w:rPr>
                <w:rFonts w:ascii="宋体" w:hAnsi="宋体"/>
                <w:bCs/>
                <w:iCs/>
                <w:sz w:val="18"/>
              </w:rPr>
            </w:pPr>
            <w:r>
              <w:rPr>
                <w:rFonts w:hint="eastAsia" w:ascii="宋体" w:hAnsi="宋体"/>
                <w:bCs/>
                <w:iCs/>
                <w:sz w:val="18"/>
              </w:rPr>
              <w:t>债券</w:t>
            </w:r>
            <w:r>
              <w:rPr>
                <w:rFonts w:ascii="宋体" w:hAnsi="宋体"/>
                <w:bCs/>
                <w:iCs/>
                <w:sz w:val="18"/>
              </w:rPr>
              <w:t>业务部</w:t>
            </w:r>
          </w:p>
        </w:tc>
        <w:tc>
          <w:tcPr>
            <w:tcW w:w="850" w:type="dxa"/>
            <w:tcBorders>
              <w:top w:val="single" w:color="auto" w:sz="4" w:space="0"/>
              <w:left w:val="single" w:color="auto" w:sz="4" w:space="0"/>
              <w:bottom w:val="single" w:color="auto" w:sz="4" w:space="0"/>
              <w:right w:val="single" w:color="auto" w:sz="4" w:space="0"/>
            </w:tcBorders>
          </w:tcPr>
          <w:p w14:paraId="3929970E">
            <w:pPr>
              <w:rPr>
                <w:rFonts w:ascii="宋体" w:hAnsi="宋体"/>
                <w:bCs/>
                <w:sz w:val="18"/>
              </w:rPr>
            </w:pPr>
            <w:r>
              <w:rPr>
                <w:rFonts w:hint="eastAsia" w:ascii="宋体" w:hAnsi="宋体"/>
                <w:bCs/>
                <w:iCs/>
                <w:sz w:val="18"/>
              </w:rPr>
              <w:t>创建</w:t>
            </w:r>
          </w:p>
        </w:tc>
        <w:tc>
          <w:tcPr>
            <w:tcW w:w="1276" w:type="dxa"/>
            <w:tcBorders>
              <w:top w:val="single" w:color="auto" w:sz="4" w:space="0"/>
              <w:left w:val="single" w:color="auto" w:sz="4" w:space="0"/>
              <w:bottom w:val="single" w:color="auto" w:sz="4" w:space="0"/>
              <w:right w:val="single" w:color="auto" w:sz="4" w:space="0"/>
            </w:tcBorders>
          </w:tcPr>
          <w:p w14:paraId="4BAE027F">
            <w:pPr>
              <w:rPr>
                <w:rFonts w:ascii="宋体" w:hAnsi="宋体"/>
                <w:bCs/>
                <w:sz w:val="18"/>
              </w:rPr>
            </w:pPr>
            <w:r>
              <w:rPr>
                <w:iCs/>
                <w:sz w:val="18"/>
              </w:rPr>
              <w:t>2022</w:t>
            </w:r>
            <w:r>
              <w:rPr>
                <w:rFonts w:hint="eastAsia"/>
                <w:iCs/>
                <w:sz w:val="18"/>
              </w:rPr>
              <w:t>年</w:t>
            </w:r>
            <w:r>
              <w:rPr>
                <w:iCs/>
                <w:sz w:val="18"/>
              </w:rPr>
              <w:t>5</w:t>
            </w:r>
            <w:r>
              <w:rPr>
                <w:rFonts w:hint="eastAsia"/>
                <w:iCs/>
                <w:sz w:val="18"/>
              </w:rPr>
              <w:t>月</w:t>
            </w:r>
          </w:p>
        </w:tc>
        <w:tc>
          <w:tcPr>
            <w:tcW w:w="3765" w:type="dxa"/>
            <w:tcBorders>
              <w:top w:val="single" w:color="auto" w:sz="4" w:space="0"/>
              <w:left w:val="single" w:color="auto" w:sz="4" w:space="0"/>
              <w:bottom w:val="single" w:color="auto" w:sz="4" w:space="0"/>
              <w:right w:val="single" w:color="auto" w:sz="4" w:space="0"/>
            </w:tcBorders>
          </w:tcPr>
          <w:p w14:paraId="6B190A56">
            <w:pPr>
              <w:rPr>
                <w:rFonts w:ascii="宋体" w:hAnsi="宋体"/>
                <w:bCs/>
                <w:sz w:val="18"/>
              </w:rPr>
            </w:pPr>
            <w:r>
              <w:rPr>
                <w:rFonts w:hint="eastAsia" w:ascii="宋体" w:hAnsi="宋体"/>
                <w:bCs/>
                <w:iCs/>
                <w:sz w:val="18"/>
              </w:rPr>
              <w:t>根据债券</w:t>
            </w:r>
            <w:r>
              <w:rPr>
                <w:rFonts w:ascii="宋体" w:hAnsi="宋体"/>
                <w:bCs/>
                <w:iCs/>
                <w:sz w:val="18"/>
              </w:rPr>
              <w:t>交易规则</w:t>
            </w:r>
            <w:r>
              <w:rPr>
                <w:rFonts w:hint="eastAsia" w:ascii="宋体" w:hAnsi="宋体"/>
                <w:bCs/>
                <w:iCs/>
                <w:sz w:val="18"/>
              </w:rPr>
              <w:t>、</w:t>
            </w:r>
            <w:r>
              <w:rPr>
                <w:rFonts w:ascii="宋体" w:hAnsi="宋体"/>
                <w:bCs/>
                <w:iCs/>
                <w:sz w:val="18"/>
              </w:rPr>
              <w:t>指引</w:t>
            </w:r>
            <w:r>
              <w:rPr>
                <w:rFonts w:hint="eastAsia" w:ascii="宋体" w:hAnsi="宋体"/>
                <w:bCs/>
                <w:iCs/>
                <w:sz w:val="18"/>
              </w:rPr>
              <w:t>及</w:t>
            </w:r>
            <w:r>
              <w:rPr>
                <w:rFonts w:ascii="宋体" w:hAnsi="宋体"/>
                <w:bCs/>
                <w:iCs/>
                <w:sz w:val="18"/>
              </w:rPr>
              <w:t>各项创新产品细则</w:t>
            </w:r>
            <w:r>
              <w:rPr>
                <w:rFonts w:hint="eastAsia" w:ascii="宋体" w:hAnsi="宋体"/>
                <w:bCs/>
                <w:iCs/>
                <w:sz w:val="18"/>
              </w:rPr>
              <w:t>，</w:t>
            </w:r>
            <w:r>
              <w:rPr>
                <w:rFonts w:ascii="宋体" w:hAnsi="宋体"/>
                <w:bCs/>
                <w:iCs/>
                <w:sz w:val="18"/>
              </w:rPr>
              <w:t>制定“</w:t>
            </w:r>
            <w:r>
              <w:rPr>
                <w:rFonts w:hint="eastAsia" w:ascii="宋体" w:hAnsi="宋体"/>
                <w:bCs/>
                <w:iCs/>
                <w:sz w:val="18"/>
              </w:rPr>
              <w:t>一本通</w:t>
            </w:r>
            <w:r>
              <w:rPr>
                <w:rFonts w:ascii="宋体" w:hAnsi="宋体"/>
                <w:bCs/>
                <w:iCs/>
                <w:sz w:val="18"/>
              </w:rPr>
              <w:t>”</w:t>
            </w:r>
            <w:r>
              <w:rPr>
                <w:rFonts w:hint="eastAsia" w:ascii="宋体" w:hAnsi="宋体"/>
                <w:bCs/>
                <w:iCs/>
                <w:sz w:val="18"/>
              </w:rPr>
              <w:t>式</w:t>
            </w:r>
            <w:r>
              <w:rPr>
                <w:rFonts w:ascii="宋体" w:hAnsi="宋体"/>
                <w:bCs/>
                <w:iCs/>
                <w:sz w:val="18"/>
              </w:rPr>
              <w:t>债券交易指南</w:t>
            </w:r>
            <w:r>
              <w:rPr>
                <w:rFonts w:hint="eastAsia" w:ascii="宋体" w:hAnsi="宋体"/>
                <w:bCs/>
                <w:iCs/>
                <w:sz w:val="18"/>
              </w:rPr>
              <w:t>。</w:t>
            </w:r>
          </w:p>
        </w:tc>
      </w:tr>
      <w:tr w14:paraId="437C0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3" w:type="dxa"/>
          <w:jc w:val="center"/>
        </w:trPr>
        <w:tc>
          <w:tcPr>
            <w:tcW w:w="896" w:type="dxa"/>
            <w:tcBorders>
              <w:top w:val="single" w:color="auto" w:sz="4" w:space="0"/>
              <w:left w:val="single" w:color="auto" w:sz="4" w:space="0"/>
              <w:bottom w:val="single" w:color="auto" w:sz="4" w:space="0"/>
              <w:right w:val="single" w:color="auto" w:sz="4" w:space="0"/>
            </w:tcBorders>
          </w:tcPr>
          <w:p w14:paraId="4630F09B">
            <w:pPr>
              <w:rPr>
                <w:bCs/>
                <w:sz w:val="18"/>
              </w:rPr>
            </w:pPr>
            <w:r>
              <w:rPr>
                <w:bCs/>
                <w:sz w:val="18"/>
              </w:rPr>
              <w:t>V</w:t>
            </w:r>
            <w:r>
              <w:rPr>
                <w:bCs/>
                <w:iCs/>
                <w:sz w:val="18"/>
              </w:rPr>
              <w:t>1.1</w:t>
            </w:r>
          </w:p>
        </w:tc>
        <w:tc>
          <w:tcPr>
            <w:tcW w:w="1425" w:type="dxa"/>
            <w:tcBorders>
              <w:top w:val="single" w:color="auto" w:sz="4" w:space="0"/>
              <w:left w:val="single" w:color="auto" w:sz="4" w:space="0"/>
              <w:bottom w:val="single" w:color="auto" w:sz="4" w:space="0"/>
              <w:right w:val="single" w:color="auto" w:sz="4" w:space="0"/>
            </w:tcBorders>
          </w:tcPr>
          <w:p w14:paraId="423F65CB">
            <w:pPr>
              <w:rPr>
                <w:rFonts w:ascii="宋体" w:hAnsi="宋体"/>
                <w:bCs/>
                <w:iCs/>
                <w:sz w:val="18"/>
              </w:rPr>
            </w:pPr>
            <w:r>
              <w:rPr>
                <w:rFonts w:hint="eastAsia" w:ascii="宋体" w:hAnsi="宋体"/>
                <w:bCs/>
                <w:iCs/>
                <w:sz w:val="18"/>
              </w:rPr>
              <w:t>债券</w:t>
            </w:r>
            <w:r>
              <w:rPr>
                <w:rFonts w:ascii="宋体" w:hAnsi="宋体"/>
                <w:bCs/>
                <w:iCs/>
                <w:sz w:val="18"/>
              </w:rPr>
              <w:t>业务部</w:t>
            </w:r>
          </w:p>
        </w:tc>
        <w:tc>
          <w:tcPr>
            <w:tcW w:w="850" w:type="dxa"/>
            <w:tcBorders>
              <w:top w:val="single" w:color="auto" w:sz="4" w:space="0"/>
              <w:left w:val="single" w:color="auto" w:sz="4" w:space="0"/>
              <w:bottom w:val="single" w:color="auto" w:sz="4" w:space="0"/>
              <w:right w:val="single" w:color="auto" w:sz="4" w:space="0"/>
            </w:tcBorders>
          </w:tcPr>
          <w:p w14:paraId="450E804E">
            <w:pPr>
              <w:rPr>
                <w:rFonts w:ascii="宋体" w:hAnsi="宋体"/>
                <w:bCs/>
                <w:iCs/>
                <w:sz w:val="18"/>
              </w:rPr>
            </w:pPr>
            <w:r>
              <w:rPr>
                <w:rFonts w:hint="eastAsia" w:ascii="宋体" w:hAnsi="宋体"/>
                <w:bCs/>
                <w:iCs/>
                <w:sz w:val="18"/>
              </w:rPr>
              <w:t>修订</w:t>
            </w:r>
          </w:p>
        </w:tc>
        <w:tc>
          <w:tcPr>
            <w:tcW w:w="1276" w:type="dxa"/>
            <w:tcBorders>
              <w:top w:val="single" w:color="auto" w:sz="4" w:space="0"/>
              <w:left w:val="single" w:color="auto" w:sz="4" w:space="0"/>
              <w:bottom w:val="single" w:color="auto" w:sz="4" w:space="0"/>
              <w:right w:val="single" w:color="auto" w:sz="4" w:space="0"/>
            </w:tcBorders>
          </w:tcPr>
          <w:p w14:paraId="1E93D7BC">
            <w:pPr>
              <w:rPr>
                <w:iCs/>
                <w:sz w:val="18"/>
              </w:rPr>
            </w:pPr>
            <w:r>
              <w:rPr>
                <w:iCs/>
                <w:sz w:val="18"/>
              </w:rPr>
              <w:t>2022</w:t>
            </w:r>
            <w:r>
              <w:rPr>
                <w:rFonts w:hint="eastAsia"/>
                <w:iCs/>
                <w:sz w:val="18"/>
              </w:rPr>
              <w:t>年</w:t>
            </w:r>
            <w:r>
              <w:rPr>
                <w:iCs/>
                <w:sz w:val="18"/>
              </w:rPr>
              <w:t>7</w:t>
            </w:r>
            <w:r>
              <w:rPr>
                <w:rFonts w:hint="eastAsia"/>
                <w:iCs/>
                <w:sz w:val="18"/>
              </w:rPr>
              <w:t>月</w:t>
            </w:r>
          </w:p>
        </w:tc>
        <w:tc>
          <w:tcPr>
            <w:tcW w:w="3765" w:type="dxa"/>
            <w:tcBorders>
              <w:top w:val="single" w:color="auto" w:sz="4" w:space="0"/>
              <w:left w:val="single" w:color="auto" w:sz="4" w:space="0"/>
              <w:bottom w:val="single" w:color="auto" w:sz="4" w:space="0"/>
              <w:right w:val="single" w:color="auto" w:sz="4" w:space="0"/>
            </w:tcBorders>
          </w:tcPr>
          <w:p w14:paraId="0E15E5E0">
            <w:pPr>
              <w:rPr>
                <w:rFonts w:ascii="宋体" w:hAnsi="宋体"/>
                <w:bCs/>
                <w:iCs/>
                <w:sz w:val="18"/>
              </w:rPr>
            </w:pPr>
            <w:r>
              <w:rPr>
                <w:rFonts w:hint="eastAsia" w:ascii="宋体" w:hAnsi="宋体"/>
                <w:bCs/>
                <w:iCs/>
                <w:sz w:val="18"/>
              </w:rPr>
              <w:t>1.根据《上海证券交易所信用保护工具交易业务指引（2022年修订）》实施，对指南信用保护工具内容进行修订，主要修订内容包括：明确试点初期可作为核心交易商参与CDX业务的主体；规定试点初期可采用实物结算的可交付债务范围；新增CDX交易确认书、交易要素等内容便利市场机构和投资者具体参与CDX业务。</w:t>
            </w:r>
          </w:p>
          <w:p w14:paraId="0E2F66EC">
            <w:pPr>
              <w:rPr>
                <w:rFonts w:ascii="宋体" w:hAnsi="宋体"/>
                <w:bCs/>
                <w:iCs/>
                <w:sz w:val="18"/>
              </w:rPr>
            </w:pPr>
            <w:r>
              <w:rPr>
                <w:rFonts w:hint="eastAsia" w:ascii="宋体" w:hAnsi="宋体"/>
                <w:bCs/>
                <w:iCs/>
                <w:sz w:val="18"/>
              </w:rPr>
              <w:t>2.在指南中新增对申请成为债券做市商的债券</w:t>
            </w:r>
            <w:r>
              <w:rPr>
                <w:rFonts w:ascii="宋体" w:hAnsi="宋体"/>
                <w:bCs/>
                <w:iCs/>
                <w:sz w:val="18"/>
              </w:rPr>
              <w:t>交易参与人</w:t>
            </w:r>
            <w:r>
              <w:rPr>
                <w:rFonts w:hint="eastAsia" w:ascii="宋体" w:hAnsi="宋体"/>
                <w:bCs/>
                <w:iCs/>
                <w:sz w:val="18"/>
              </w:rPr>
              <w:t>开展技术验收的流程，明确交易所债券做市技术验收规则依据和操作指南。</w:t>
            </w:r>
          </w:p>
          <w:p w14:paraId="32E263ED">
            <w:pPr>
              <w:rPr>
                <w:rFonts w:ascii="宋体" w:hAnsi="宋体"/>
                <w:bCs/>
                <w:iCs/>
                <w:sz w:val="18"/>
              </w:rPr>
            </w:pPr>
            <w:r>
              <w:rPr>
                <w:rFonts w:hint="eastAsia" w:ascii="宋体" w:hAnsi="宋体"/>
                <w:bCs/>
                <w:iCs/>
                <w:sz w:val="18"/>
              </w:rPr>
              <w:t>3.根据《上海证券交易所 中国证券登记结算有限责任公司境外机构投资者债券交易及登记结算业务实施细则》，增加境外机构投资者信息报送具体内容及要求。</w:t>
            </w:r>
          </w:p>
          <w:p w14:paraId="6F49A92F">
            <w:pPr>
              <w:rPr>
                <w:rFonts w:ascii="宋体" w:hAnsi="宋体"/>
                <w:bCs/>
                <w:iCs/>
                <w:sz w:val="18"/>
              </w:rPr>
            </w:pPr>
            <w:r>
              <w:rPr>
                <w:rFonts w:hint="eastAsia" w:ascii="宋体" w:hAnsi="宋体"/>
                <w:bCs/>
                <w:iCs/>
                <w:sz w:val="18"/>
              </w:rPr>
              <w:t>4.修订</w:t>
            </w:r>
            <w:r>
              <w:rPr>
                <w:rFonts w:ascii="宋体" w:hAnsi="宋体"/>
                <w:bCs/>
                <w:iCs/>
                <w:sz w:val="18"/>
              </w:rPr>
              <w:t>询价成交</w:t>
            </w:r>
            <w:r>
              <w:rPr>
                <w:rFonts w:hint="eastAsia" w:ascii="宋体" w:hAnsi="宋体"/>
                <w:bCs/>
                <w:iCs/>
                <w:sz w:val="18"/>
              </w:rPr>
              <w:t>的</w:t>
            </w:r>
            <w:r>
              <w:rPr>
                <w:rFonts w:ascii="宋体" w:hAnsi="宋体"/>
                <w:bCs/>
                <w:iCs/>
                <w:sz w:val="18"/>
              </w:rPr>
              <w:t>询价对象相关要求。</w:t>
            </w:r>
          </w:p>
          <w:p w14:paraId="557AAF7A">
            <w:pPr>
              <w:rPr>
                <w:rFonts w:ascii="宋体" w:hAnsi="宋体"/>
                <w:bCs/>
                <w:iCs/>
                <w:sz w:val="18"/>
              </w:rPr>
            </w:pPr>
            <w:r>
              <w:rPr>
                <w:rFonts w:ascii="宋体" w:hAnsi="宋体"/>
                <w:bCs/>
                <w:iCs/>
                <w:sz w:val="18"/>
              </w:rPr>
              <w:t>5.</w:t>
            </w:r>
            <w:r>
              <w:rPr>
                <w:rFonts w:hint="eastAsia" w:ascii="宋体" w:hAnsi="宋体"/>
                <w:bCs/>
                <w:iCs/>
                <w:sz w:val="18"/>
              </w:rPr>
              <w:t>修订</w:t>
            </w:r>
            <w:r>
              <w:rPr>
                <w:rFonts w:ascii="宋体" w:hAnsi="宋体"/>
                <w:bCs/>
                <w:iCs/>
                <w:sz w:val="18"/>
              </w:rPr>
              <w:t>转股和换股结算相关</w:t>
            </w:r>
            <w:r>
              <w:rPr>
                <w:rFonts w:hint="eastAsia" w:ascii="宋体" w:hAnsi="宋体"/>
                <w:bCs/>
                <w:iCs/>
                <w:sz w:val="18"/>
              </w:rPr>
              <w:t>安排</w:t>
            </w:r>
            <w:r>
              <w:rPr>
                <w:rFonts w:ascii="宋体" w:hAnsi="宋体"/>
                <w:bCs/>
                <w:iCs/>
                <w:sz w:val="18"/>
              </w:rPr>
              <w:t>。</w:t>
            </w:r>
          </w:p>
          <w:p w14:paraId="1087354C">
            <w:pPr>
              <w:rPr>
                <w:rFonts w:ascii="宋体" w:hAnsi="宋体"/>
                <w:bCs/>
                <w:iCs/>
                <w:sz w:val="18"/>
              </w:rPr>
            </w:pPr>
            <w:r>
              <w:rPr>
                <w:rFonts w:hint="eastAsia" w:ascii="宋体" w:hAnsi="宋体"/>
                <w:bCs/>
                <w:iCs/>
                <w:sz w:val="18"/>
              </w:rPr>
              <w:t>6.进一步明确价格偏离报告的报备流程。</w:t>
            </w:r>
          </w:p>
        </w:tc>
      </w:tr>
      <w:tr w14:paraId="422DE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13" w:type="dxa"/>
          <w:jc w:val="center"/>
        </w:trPr>
        <w:tc>
          <w:tcPr>
            <w:tcW w:w="896" w:type="dxa"/>
            <w:tcBorders>
              <w:top w:val="single" w:color="auto" w:sz="4" w:space="0"/>
              <w:left w:val="single" w:color="auto" w:sz="4" w:space="0"/>
              <w:bottom w:val="single" w:color="auto" w:sz="4" w:space="0"/>
              <w:right w:val="single" w:color="auto" w:sz="4" w:space="0"/>
            </w:tcBorders>
          </w:tcPr>
          <w:p w14:paraId="0A1845CB">
            <w:pPr>
              <w:rPr>
                <w:bCs/>
                <w:sz w:val="18"/>
              </w:rPr>
            </w:pPr>
            <w:r>
              <w:rPr>
                <w:bCs/>
                <w:sz w:val="18"/>
              </w:rPr>
              <w:t>V</w:t>
            </w:r>
            <w:r>
              <w:rPr>
                <w:bCs/>
                <w:iCs/>
                <w:sz w:val="18"/>
              </w:rPr>
              <w:t>1.2</w:t>
            </w:r>
          </w:p>
        </w:tc>
        <w:tc>
          <w:tcPr>
            <w:tcW w:w="1425" w:type="dxa"/>
            <w:tcBorders>
              <w:top w:val="single" w:color="auto" w:sz="4" w:space="0"/>
              <w:left w:val="single" w:color="auto" w:sz="4" w:space="0"/>
              <w:bottom w:val="single" w:color="auto" w:sz="4" w:space="0"/>
              <w:right w:val="single" w:color="auto" w:sz="4" w:space="0"/>
            </w:tcBorders>
          </w:tcPr>
          <w:p w14:paraId="302469BD">
            <w:pPr>
              <w:rPr>
                <w:rFonts w:ascii="宋体" w:hAnsi="宋体"/>
                <w:bCs/>
                <w:iCs/>
                <w:sz w:val="18"/>
              </w:rPr>
            </w:pPr>
            <w:r>
              <w:rPr>
                <w:rFonts w:hint="eastAsia" w:ascii="宋体" w:hAnsi="宋体"/>
                <w:bCs/>
                <w:iCs/>
                <w:sz w:val="18"/>
              </w:rPr>
              <w:t>债券</w:t>
            </w:r>
            <w:r>
              <w:rPr>
                <w:rFonts w:ascii="宋体" w:hAnsi="宋体"/>
                <w:bCs/>
                <w:iCs/>
                <w:sz w:val="18"/>
              </w:rPr>
              <w:t>业务部</w:t>
            </w:r>
          </w:p>
        </w:tc>
        <w:tc>
          <w:tcPr>
            <w:tcW w:w="850" w:type="dxa"/>
            <w:tcBorders>
              <w:top w:val="single" w:color="auto" w:sz="4" w:space="0"/>
              <w:left w:val="single" w:color="auto" w:sz="4" w:space="0"/>
              <w:bottom w:val="single" w:color="auto" w:sz="4" w:space="0"/>
              <w:right w:val="single" w:color="auto" w:sz="4" w:space="0"/>
            </w:tcBorders>
          </w:tcPr>
          <w:p w14:paraId="13C90437">
            <w:pPr>
              <w:rPr>
                <w:rFonts w:ascii="宋体" w:hAnsi="宋体"/>
                <w:bCs/>
                <w:iCs/>
                <w:sz w:val="18"/>
              </w:rPr>
            </w:pPr>
            <w:r>
              <w:rPr>
                <w:rFonts w:hint="eastAsia" w:ascii="宋体" w:hAnsi="宋体"/>
                <w:bCs/>
                <w:iCs/>
                <w:sz w:val="18"/>
              </w:rPr>
              <w:t>修订</w:t>
            </w:r>
          </w:p>
        </w:tc>
        <w:tc>
          <w:tcPr>
            <w:tcW w:w="1276" w:type="dxa"/>
            <w:tcBorders>
              <w:top w:val="single" w:color="auto" w:sz="4" w:space="0"/>
              <w:left w:val="single" w:color="auto" w:sz="4" w:space="0"/>
              <w:bottom w:val="single" w:color="auto" w:sz="4" w:space="0"/>
              <w:right w:val="single" w:color="auto" w:sz="4" w:space="0"/>
            </w:tcBorders>
          </w:tcPr>
          <w:p w14:paraId="5F1567C5">
            <w:pPr>
              <w:rPr>
                <w:iCs/>
                <w:sz w:val="18"/>
              </w:rPr>
            </w:pPr>
            <w:r>
              <w:rPr>
                <w:iCs/>
                <w:sz w:val="18"/>
              </w:rPr>
              <w:t>202</w:t>
            </w:r>
            <w:r>
              <w:rPr>
                <w:rFonts w:hint="eastAsia"/>
                <w:iCs/>
                <w:sz w:val="18"/>
              </w:rPr>
              <w:t>3年</w:t>
            </w:r>
            <w:r>
              <w:rPr>
                <w:iCs/>
                <w:sz w:val="18"/>
              </w:rPr>
              <w:t>1</w:t>
            </w:r>
            <w:r>
              <w:rPr>
                <w:rFonts w:hint="eastAsia"/>
                <w:iCs/>
                <w:sz w:val="18"/>
              </w:rPr>
              <w:t>月</w:t>
            </w:r>
          </w:p>
        </w:tc>
        <w:tc>
          <w:tcPr>
            <w:tcW w:w="3765" w:type="dxa"/>
            <w:tcBorders>
              <w:top w:val="single" w:color="auto" w:sz="4" w:space="0"/>
              <w:left w:val="single" w:color="auto" w:sz="4" w:space="0"/>
              <w:bottom w:val="single" w:color="auto" w:sz="4" w:space="0"/>
              <w:right w:val="single" w:color="auto" w:sz="4" w:space="0"/>
            </w:tcBorders>
          </w:tcPr>
          <w:p w14:paraId="17FCF2ED">
            <w:pPr>
              <w:rPr>
                <w:rFonts w:ascii="宋体" w:hAnsi="宋体"/>
                <w:bCs/>
                <w:iCs/>
                <w:sz w:val="18"/>
              </w:rPr>
            </w:pPr>
            <w:r>
              <w:rPr>
                <w:rFonts w:hint="eastAsia" w:ascii="宋体" w:hAnsi="宋体"/>
                <w:bCs/>
                <w:iCs/>
                <w:sz w:val="18"/>
              </w:rPr>
              <w:t>1.根据指定交易迁移实施情况修订指定交易相关内容（4.1.2指定交易办理）。</w:t>
            </w:r>
          </w:p>
          <w:p w14:paraId="4AF97736">
            <w:pPr>
              <w:rPr>
                <w:rFonts w:ascii="宋体" w:hAnsi="宋体"/>
                <w:bCs/>
                <w:iCs/>
                <w:sz w:val="18"/>
              </w:rPr>
            </w:pPr>
            <w:r>
              <w:rPr>
                <w:rFonts w:hint="eastAsia" w:ascii="宋体" w:hAnsi="宋体"/>
                <w:bCs/>
                <w:iCs/>
                <w:sz w:val="18"/>
              </w:rPr>
              <w:t>2.吸收归并《关于上海证券交易所债券市场机构投资者接受货币经纪公司服务有关事项的通知》相关内容（4.2.2交易对手）。</w:t>
            </w:r>
          </w:p>
          <w:p w14:paraId="35F55E5A">
            <w:pPr>
              <w:rPr>
                <w:rFonts w:ascii="宋体" w:hAnsi="宋体"/>
                <w:bCs/>
                <w:iCs/>
                <w:sz w:val="18"/>
              </w:rPr>
            </w:pPr>
            <w:r>
              <w:rPr>
                <w:rFonts w:hint="eastAsia" w:ascii="宋体" w:hAnsi="宋体"/>
                <w:bCs/>
                <w:iCs/>
                <w:sz w:val="18"/>
              </w:rPr>
              <w:t>3.进一步明确做市商评价周期（6.3.5做市商管理） 。</w:t>
            </w:r>
          </w:p>
          <w:p w14:paraId="02C79FFF">
            <w:pPr>
              <w:rPr>
                <w:rFonts w:ascii="宋体" w:hAnsi="宋体"/>
                <w:bCs/>
                <w:iCs/>
                <w:sz w:val="18"/>
              </w:rPr>
            </w:pPr>
            <w:r>
              <w:rPr>
                <w:rFonts w:hint="eastAsia" w:ascii="宋体" w:hAnsi="宋体"/>
                <w:bCs/>
                <w:iCs/>
                <w:sz w:val="18"/>
              </w:rPr>
              <w:t>4.吸收归并《上海证券交易所债券质押式三方回购交易业务指南》回购双方、经纪客户所在的证券公司、结算参与人及相关人员违反三方回购相关规则的处罚措施等内容（7.4.7异常情况及违约处置） 。</w:t>
            </w:r>
          </w:p>
          <w:p w14:paraId="50E25AA7">
            <w:pPr>
              <w:rPr>
                <w:rFonts w:ascii="宋体" w:hAnsi="宋体"/>
                <w:bCs/>
                <w:iCs/>
                <w:sz w:val="18"/>
              </w:rPr>
            </w:pPr>
            <w:r>
              <w:rPr>
                <w:rFonts w:hint="eastAsia" w:ascii="宋体" w:hAnsi="宋体"/>
                <w:bCs/>
                <w:iCs/>
                <w:sz w:val="18"/>
              </w:rPr>
              <w:t>5.吸收归并《上海证券交易所债券质押式三方回购交易业务指南》三方回购交收结果的查询方式、统计数据所含要素等内容（7.4.8其他事项）。</w:t>
            </w:r>
          </w:p>
          <w:p w14:paraId="55BDFF2F">
            <w:pPr>
              <w:rPr>
                <w:rFonts w:ascii="宋体" w:hAnsi="宋体"/>
                <w:bCs/>
                <w:iCs/>
                <w:sz w:val="18"/>
              </w:rPr>
            </w:pPr>
            <w:r>
              <w:rPr>
                <w:rFonts w:hint="eastAsia" w:ascii="宋体" w:hAnsi="宋体"/>
                <w:bCs/>
                <w:iCs/>
                <w:sz w:val="18"/>
              </w:rPr>
              <w:t>6.吸收归并《关于关键期限国债开展预发行（试点）交易有关事项的通知》各关键期限国债预发行交易的证券代码、各关键期限国债预发行交易的履约保证金比例等内容（8.1.3交易流程）。</w:t>
            </w:r>
          </w:p>
          <w:p w14:paraId="79E1257A">
            <w:pPr>
              <w:rPr>
                <w:rFonts w:ascii="宋体" w:hAnsi="宋体"/>
                <w:bCs/>
                <w:iCs/>
                <w:sz w:val="18"/>
              </w:rPr>
            </w:pPr>
            <w:r>
              <w:rPr>
                <w:rFonts w:hint="eastAsia" w:ascii="宋体" w:hAnsi="宋体"/>
                <w:bCs/>
                <w:iCs/>
                <w:sz w:val="18"/>
              </w:rPr>
              <w:t>7.吸收归并《上海证券交易所债券担保品处置平台业务操作指南》相关内容（8.4担保品处置）。</w:t>
            </w:r>
          </w:p>
          <w:p w14:paraId="1522B812">
            <w:pPr>
              <w:rPr>
                <w:rFonts w:ascii="宋体" w:hAnsi="宋体"/>
                <w:bCs/>
                <w:iCs/>
                <w:sz w:val="18"/>
              </w:rPr>
            </w:pPr>
            <w:r>
              <w:rPr>
                <w:rFonts w:hint="eastAsia" w:ascii="宋体" w:hAnsi="宋体"/>
                <w:bCs/>
                <w:iCs/>
                <w:sz w:val="18"/>
              </w:rPr>
              <w:t>8.补充核心交易系统备用通道相关介绍（9.7核心交易系统备用通道）。</w:t>
            </w:r>
          </w:p>
          <w:p w14:paraId="4524FB17">
            <w:pPr>
              <w:rPr>
                <w:rFonts w:ascii="宋体" w:hAnsi="宋体"/>
                <w:bCs/>
                <w:iCs/>
                <w:sz w:val="18"/>
              </w:rPr>
            </w:pPr>
            <w:r>
              <w:rPr>
                <w:rFonts w:hint="eastAsia" w:ascii="宋体" w:hAnsi="宋体"/>
                <w:bCs/>
                <w:iCs/>
                <w:sz w:val="18"/>
              </w:rPr>
              <w:t>9. 吸收归并《上海证券交易所债券质押式三方回购交易业务指南》三方回购9个类型对应代码、简称等内容（10.3.2成交统计行情）。</w:t>
            </w:r>
          </w:p>
          <w:p w14:paraId="19E3A490">
            <w:pPr>
              <w:rPr>
                <w:rFonts w:ascii="宋体" w:hAnsi="宋体"/>
                <w:bCs/>
                <w:iCs/>
                <w:sz w:val="18"/>
              </w:rPr>
            </w:pPr>
            <w:r>
              <w:rPr>
                <w:rFonts w:hint="eastAsia" w:ascii="宋体" w:hAnsi="宋体"/>
                <w:bCs/>
                <w:iCs/>
                <w:sz w:val="18"/>
              </w:rPr>
              <w:t>10.吸收归并《上海证券交易所债券质押式三方回购交易业务指南》中相关附件，主要包括：《附件18 三方回购投资者适当性备案表》《附件19 投资者适当性备案渠道》；吸收归并《上海证券交易所债券担保品处置平台业务操作指南》中相关附件，主要包括《附件36 上海证券交易所债券担保品处置平台功能简介》《附件37 债券担保品处置平台用户数字证书办理流程》《附件38 拟参与债券担保品处置的指定报价团成员名单》《附件39 处置现场负责人及进入处置场所的人员名单》《附件40 上交所债券担保品处置服务联系人》《附件41 处置结果公告（样张）》（附件） 。</w:t>
            </w:r>
          </w:p>
        </w:tc>
      </w:tr>
      <w:tr w14:paraId="6E7B2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3" w:type="dxa"/>
          <w:jc w:val="center"/>
        </w:trPr>
        <w:tc>
          <w:tcPr>
            <w:tcW w:w="896" w:type="dxa"/>
            <w:tcBorders>
              <w:top w:val="single" w:color="auto" w:sz="4" w:space="0"/>
              <w:left w:val="single" w:color="auto" w:sz="4" w:space="0"/>
              <w:bottom w:val="single" w:color="auto" w:sz="4" w:space="0"/>
              <w:right w:val="single" w:color="auto" w:sz="4" w:space="0"/>
            </w:tcBorders>
          </w:tcPr>
          <w:p w14:paraId="3EE2BF76">
            <w:pPr>
              <w:rPr>
                <w:bCs/>
                <w:sz w:val="18"/>
              </w:rPr>
            </w:pPr>
            <w:r>
              <w:rPr>
                <w:rFonts w:hint="eastAsia"/>
                <w:bCs/>
                <w:sz w:val="18"/>
              </w:rPr>
              <w:t>V1.3</w:t>
            </w:r>
          </w:p>
        </w:tc>
        <w:tc>
          <w:tcPr>
            <w:tcW w:w="1425" w:type="dxa"/>
            <w:tcBorders>
              <w:top w:val="single" w:color="auto" w:sz="4" w:space="0"/>
              <w:left w:val="single" w:color="auto" w:sz="4" w:space="0"/>
              <w:bottom w:val="single" w:color="auto" w:sz="4" w:space="0"/>
              <w:right w:val="single" w:color="auto" w:sz="4" w:space="0"/>
            </w:tcBorders>
          </w:tcPr>
          <w:p w14:paraId="54777518">
            <w:pPr>
              <w:rPr>
                <w:rFonts w:ascii="宋体" w:hAnsi="宋体"/>
                <w:bCs/>
                <w:iCs/>
                <w:sz w:val="18"/>
              </w:rPr>
            </w:pPr>
            <w:r>
              <w:rPr>
                <w:rFonts w:hint="eastAsia" w:ascii="宋体" w:hAnsi="宋体"/>
                <w:bCs/>
                <w:iCs/>
                <w:sz w:val="18"/>
              </w:rPr>
              <w:t>债券</w:t>
            </w:r>
            <w:r>
              <w:rPr>
                <w:rFonts w:ascii="宋体" w:hAnsi="宋体"/>
                <w:bCs/>
                <w:iCs/>
                <w:sz w:val="18"/>
              </w:rPr>
              <w:t>业务部</w:t>
            </w:r>
          </w:p>
        </w:tc>
        <w:tc>
          <w:tcPr>
            <w:tcW w:w="850" w:type="dxa"/>
            <w:tcBorders>
              <w:top w:val="single" w:color="auto" w:sz="4" w:space="0"/>
              <w:left w:val="single" w:color="auto" w:sz="4" w:space="0"/>
              <w:bottom w:val="single" w:color="auto" w:sz="4" w:space="0"/>
              <w:right w:val="single" w:color="auto" w:sz="4" w:space="0"/>
            </w:tcBorders>
          </w:tcPr>
          <w:p w14:paraId="5925F961">
            <w:pPr>
              <w:rPr>
                <w:rFonts w:ascii="宋体" w:hAnsi="宋体"/>
                <w:bCs/>
                <w:iCs/>
                <w:sz w:val="18"/>
              </w:rPr>
            </w:pPr>
            <w:r>
              <w:rPr>
                <w:rFonts w:hint="eastAsia" w:ascii="宋体" w:hAnsi="宋体"/>
                <w:bCs/>
                <w:iCs/>
                <w:sz w:val="18"/>
              </w:rPr>
              <w:t>修订</w:t>
            </w:r>
          </w:p>
        </w:tc>
        <w:tc>
          <w:tcPr>
            <w:tcW w:w="1276" w:type="dxa"/>
            <w:tcBorders>
              <w:top w:val="single" w:color="auto" w:sz="4" w:space="0"/>
              <w:left w:val="single" w:color="auto" w:sz="4" w:space="0"/>
              <w:bottom w:val="single" w:color="auto" w:sz="4" w:space="0"/>
              <w:right w:val="single" w:color="auto" w:sz="4" w:space="0"/>
            </w:tcBorders>
          </w:tcPr>
          <w:p w14:paraId="2CD1C85B">
            <w:pPr>
              <w:rPr>
                <w:iCs/>
                <w:sz w:val="18"/>
              </w:rPr>
            </w:pPr>
            <w:r>
              <w:rPr>
                <w:iCs/>
                <w:sz w:val="18"/>
              </w:rPr>
              <w:t>202</w:t>
            </w:r>
            <w:r>
              <w:rPr>
                <w:rFonts w:hint="eastAsia"/>
                <w:iCs/>
                <w:sz w:val="18"/>
              </w:rPr>
              <w:t>3年</w:t>
            </w:r>
            <w:r>
              <w:rPr>
                <w:iCs/>
                <w:sz w:val="18"/>
              </w:rPr>
              <w:t>10</w:t>
            </w:r>
            <w:r>
              <w:rPr>
                <w:rFonts w:hint="eastAsia"/>
                <w:iCs/>
                <w:sz w:val="18"/>
              </w:rPr>
              <w:t>月</w:t>
            </w:r>
          </w:p>
        </w:tc>
        <w:tc>
          <w:tcPr>
            <w:tcW w:w="3765" w:type="dxa"/>
            <w:tcBorders>
              <w:top w:val="single" w:color="auto" w:sz="4" w:space="0"/>
              <w:left w:val="single" w:color="auto" w:sz="4" w:space="0"/>
              <w:bottom w:val="single" w:color="auto" w:sz="4" w:space="0"/>
              <w:right w:val="single" w:color="auto" w:sz="4" w:space="0"/>
            </w:tcBorders>
          </w:tcPr>
          <w:p w14:paraId="7645A10A">
            <w:pPr>
              <w:rPr>
                <w:rFonts w:ascii="宋体" w:hAnsi="宋体"/>
                <w:bCs/>
                <w:iCs/>
                <w:sz w:val="18"/>
              </w:rPr>
            </w:pPr>
            <w:r>
              <w:rPr>
                <w:rFonts w:hint="eastAsia" w:ascii="宋体" w:hAnsi="宋体"/>
                <w:bCs/>
                <w:iCs/>
                <w:sz w:val="18"/>
              </w:rPr>
              <w:t>1.根据证监会关于</w:t>
            </w:r>
            <w:r>
              <w:rPr>
                <w:rFonts w:ascii="宋体" w:hAnsi="宋体"/>
                <w:bCs/>
                <w:iCs/>
                <w:sz w:val="18"/>
              </w:rPr>
              <w:t>企业债监管职责划转相关安排修改企业债相关条款。</w:t>
            </w:r>
            <w:r>
              <w:rPr>
                <w:rFonts w:hint="eastAsia" w:ascii="宋体" w:hAnsi="宋体"/>
                <w:bCs/>
                <w:iCs/>
                <w:sz w:val="18"/>
              </w:rPr>
              <w:t>如无</w:t>
            </w:r>
            <w:r>
              <w:rPr>
                <w:rFonts w:ascii="宋体" w:hAnsi="宋体"/>
                <w:bCs/>
                <w:iCs/>
                <w:sz w:val="18"/>
              </w:rPr>
              <w:t>特殊说明，本指南所称公司债券包含企业债券。</w:t>
            </w:r>
          </w:p>
          <w:p w14:paraId="0DFF0913">
            <w:pPr>
              <w:rPr>
                <w:rFonts w:ascii="宋体" w:hAnsi="宋体"/>
                <w:bCs/>
                <w:iCs/>
                <w:sz w:val="18"/>
              </w:rPr>
            </w:pPr>
            <w:r>
              <w:rPr>
                <w:rFonts w:ascii="宋体" w:hAnsi="宋体"/>
                <w:bCs/>
                <w:iCs/>
                <w:sz w:val="18"/>
              </w:rPr>
              <w:t>2.</w:t>
            </w:r>
            <w:r>
              <w:rPr>
                <w:rFonts w:hint="eastAsia" w:ascii="宋体" w:hAnsi="宋体"/>
                <w:bCs/>
                <w:iCs/>
                <w:sz w:val="18"/>
              </w:rPr>
              <w:t>根据投资者适当性</w:t>
            </w:r>
            <w:r>
              <w:rPr>
                <w:rFonts w:ascii="宋体" w:hAnsi="宋体"/>
                <w:bCs/>
                <w:iCs/>
                <w:sz w:val="18"/>
              </w:rPr>
              <w:t>规则</w:t>
            </w:r>
            <w:r>
              <w:rPr>
                <w:rFonts w:hint="eastAsia" w:ascii="宋体" w:hAnsi="宋体"/>
                <w:bCs/>
                <w:iCs/>
                <w:sz w:val="18"/>
              </w:rPr>
              <w:t>调整情况对指南</w:t>
            </w:r>
            <w:r>
              <w:rPr>
                <w:rFonts w:ascii="宋体" w:hAnsi="宋体"/>
                <w:bCs/>
                <w:iCs/>
                <w:sz w:val="18"/>
              </w:rPr>
              <w:t>做适应性调整。</w:t>
            </w:r>
          </w:p>
          <w:p w14:paraId="0A6D2B1B">
            <w:pPr>
              <w:tabs>
                <w:tab w:val="left" w:pos="312"/>
              </w:tabs>
              <w:rPr>
                <w:rFonts w:ascii="宋体" w:hAnsi="宋体"/>
                <w:bCs/>
                <w:iCs/>
                <w:sz w:val="18"/>
              </w:rPr>
            </w:pPr>
            <w:r>
              <w:rPr>
                <w:rFonts w:ascii="宋体" w:hAnsi="宋体"/>
                <w:bCs/>
                <w:iCs/>
                <w:sz w:val="18"/>
              </w:rPr>
              <w:t>3.</w:t>
            </w:r>
            <w:r>
              <w:rPr>
                <w:rFonts w:hint="eastAsia" w:ascii="宋体" w:hAnsi="宋体"/>
                <w:bCs/>
                <w:iCs/>
                <w:sz w:val="18"/>
              </w:rPr>
              <w:t>补充优化债券做市技术验收申请的相关要求（6.3.2债券做市商申请、附件8、附件10）。</w:t>
            </w:r>
          </w:p>
          <w:p w14:paraId="209BCEED">
            <w:pPr>
              <w:tabs>
                <w:tab w:val="left" w:pos="312"/>
              </w:tabs>
              <w:rPr>
                <w:rFonts w:ascii="宋体" w:hAnsi="宋体"/>
                <w:bCs/>
                <w:iCs/>
                <w:sz w:val="18"/>
              </w:rPr>
            </w:pPr>
            <w:r>
              <w:rPr>
                <w:rFonts w:hint="eastAsia" w:ascii="宋体" w:hAnsi="宋体"/>
                <w:bCs/>
                <w:iCs/>
                <w:sz w:val="18"/>
              </w:rPr>
              <w:t>4.完善基准做市品种的相关表述（6.3.3做市品种）。</w:t>
            </w:r>
          </w:p>
          <w:p w14:paraId="7FCEBB2F">
            <w:pPr>
              <w:rPr>
                <w:rFonts w:ascii="宋体" w:hAnsi="宋体"/>
                <w:bCs/>
                <w:iCs/>
                <w:sz w:val="18"/>
              </w:rPr>
            </w:pPr>
            <w:r>
              <w:rPr>
                <w:rFonts w:ascii="宋体" w:hAnsi="宋体"/>
                <w:bCs/>
                <w:iCs/>
                <w:sz w:val="18"/>
              </w:rPr>
              <w:t>5</w:t>
            </w:r>
            <w:r>
              <w:rPr>
                <w:rFonts w:hint="eastAsia" w:ascii="宋体" w:hAnsi="宋体"/>
                <w:bCs/>
                <w:iCs/>
                <w:sz w:val="18"/>
              </w:rPr>
              <w:t>.将本所要求做市商在《做市交易业务技术测试和专项检查申请书》中作出的承诺补充在附件中（附件7）。</w:t>
            </w:r>
          </w:p>
        </w:tc>
      </w:tr>
      <w:tr w14:paraId="0D0C1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3" w:type="dxa"/>
          <w:jc w:val="center"/>
        </w:trPr>
        <w:tc>
          <w:tcPr>
            <w:tcW w:w="896" w:type="dxa"/>
            <w:tcBorders>
              <w:top w:val="single" w:color="auto" w:sz="4" w:space="0"/>
              <w:left w:val="single" w:color="auto" w:sz="4" w:space="0"/>
              <w:bottom w:val="single" w:color="auto" w:sz="4" w:space="0"/>
              <w:right w:val="single" w:color="auto" w:sz="4" w:space="0"/>
            </w:tcBorders>
          </w:tcPr>
          <w:p w14:paraId="62013FA5">
            <w:pPr>
              <w:rPr>
                <w:bCs/>
                <w:sz w:val="18"/>
              </w:rPr>
            </w:pPr>
            <w:r>
              <w:rPr>
                <w:bCs/>
                <w:sz w:val="18"/>
              </w:rPr>
              <w:t>V1.3</w:t>
            </w:r>
          </w:p>
        </w:tc>
        <w:tc>
          <w:tcPr>
            <w:tcW w:w="1425" w:type="dxa"/>
            <w:tcBorders>
              <w:top w:val="single" w:color="auto" w:sz="4" w:space="0"/>
              <w:left w:val="single" w:color="auto" w:sz="4" w:space="0"/>
              <w:bottom w:val="single" w:color="auto" w:sz="4" w:space="0"/>
              <w:right w:val="single" w:color="auto" w:sz="4" w:space="0"/>
            </w:tcBorders>
          </w:tcPr>
          <w:p w14:paraId="7C5D647F">
            <w:pPr>
              <w:rPr>
                <w:rFonts w:ascii="宋体" w:hAnsi="宋体"/>
                <w:bCs/>
                <w:iCs/>
                <w:sz w:val="18"/>
              </w:rPr>
            </w:pPr>
            <w:r>
              <w:rPr>
                <w:rFonts w:hint="eastAsia" w:ascii="宋体" w:hAnsi="宋体"/>
                <w:bCs/>
                <w:iCs/>
                <w:sz w:val="18"/>
              </w:rPr>
              <w:t>债券</w:t>
            </w:r>
            <w:r>
              <w:rPr>
                <w:rFonts w:ascii="宋体" w:hAnsi="宋体"/>
                <w:bCs/>
                <w:iCs/>
                <w:sz w:val="18"/>
              </w:rPr>
              <w:t>业务部</w:t>
            </w:r>
          </w:p>
        </w:tc>
        <w:tc>
          <w:tcPr>
            <w:tcW w:w="850" w:type="dxa"/>
            <w:tcBorders>
              <w:top w:val="single" w:color="auto" w:sz="4" w:space="0"/>
              <w:left w:val="single" w:color="auto" w:sz="4" w:space="0"/>
              <w:bottom w:val="single" w:color="auto" w:sz="4" w:space="0"/>
              <w:right w:val="single" w:color="auto" w:sz="4" w:space="0"/>
            </w:tcBorders>
          </w:tcPr>
          <w:p w14:paraId="597A7456">
            <w:pPr>
              <w:rPr>
                <w:rFonts w:ascii="宋体" w:hAnsi="宋体"/>
                <w:bCs/>
                <w:iCs/>
                <w:sz w:val="18"/>
              </w:rPr>
            </w:pPr>
            <w:r>
              <w:rPr>
                <w:rFonts w:hint="eastAsia" w:ascii="宋体" w:hAnsi="宋体"/>
                <w:bCs/>
                <w:iCs/>
                <w:sz w:val="18"/>
              </w:rPr>
              <w:t>修订</w:t>
            </w:r>
          </w:p>
        </w:tc>
        <w:tc>
          <w:tcPr>
            <w:tcW w:w="1276" w:type="dxa"/>
            <w:tcBorders>
              <w:top w:val="single" w:color="auto" w:sz="4" w:space="0"/>
              <w:left w:val="single" w:color="auto" w:sz="4" w:space="0"/>
              <w:bottom w:val="single" w:color="auto" w:sz="4" w:space="0"/>
              <w:right w:val="single" w:color="auto" w:sz="4" w:space="0"/>
            </w:tcBorders>
          </w:tcPr>
          <w:p w14:paraId="1D118271">
            <w:pPr>
              <w:rPr>
                <w:iCs/>
                <w:sz w:val="18"/>
              </w:rPr>
            </w:pPr>
            <w:r>
              <w:rPr>
                <w:iCs/>
                <w:sz w:val="18"/>
              </w:rPr>
              <w:t>202</w:t>
            </w:r>
            <w:r>
              <w:rPr>
                <w:rFonts w:hint="eastAsia"/>
                <w:iCs/>
                <w:sz w:val="18"/>
              </w:rPr>
              <w:t>3年11月</w:t>
            </w:r>
          </w:p>
        </w:tc>
        <w:tc>
          <w:tcPr>
            <w:tcW w:w="3765" w:type="dxa"/>
            <w:tcBorders>
              <w:top w:val="single" w:color="auto" w:sz="4" w:space="0"/>
              <w:left w:val="single" w:color="auto" w:sz="4" w:space="0"/>
              <w:bottom w:val="single" w:color="auto" w:sz="4" w:space="0"/>
              <w:right w:val="single" w:color="auto" w:sz="4" w:space="0"/>
            </w:tcBorders>
          </w:tcPr>
          <w:p w14:paraId="64A7D7FF">
            <w:pPr>
              <w:rPr>
                <w:rFonts w:ascii="宋体" w:hAnsi="宋体"/>
                <w:bCs/>
                <w:iCs/>
                <w:sz w:val="18"/>
              </w:rPr>
            </w:pPr>
            <w:r>
              <w:rPr>
                <w:rFonts w:hint="eastAsia" w:ascii="宋体" w:hAnsi="宋体"/>
                <w:bCs/>
                <w:iCs/>
                <w:sz w:val="18"/>
              </w:rPr>
              <w:t>1.根据</w:t>
            </w:r>
            <w:r>
              <w:rPr>
                <w:rFonts w:ascii="宋体" w:hAnsi="宋体"/>
                <w:bCs/>
                <w:iCs/>
                <w:sz w:val="18"/>
              </w:rPr>
              <w:t>新发布的</w:t>
            </w:r>
            <w:r>
              <w:rPr>
                <w:rFonts w:hint="eastAsia" w:ascii="宋体" w:hAnsi="宋体"/>
                <w:bCs/>
                <w:iCs/>
                <w:sz w:val="18"/>
              </w:rPr>
              <w:t>《上海证券交易所</w:t>
            </w:r>
            <w:r>
              <w:rPr>
                <w:rFonts w:ascii="宋体" w:hAnsi="宋体"/>
                <w:bCs/>
                <w:iCs/>
                <w:sz w:val="18"/>
              </w:rPr>
              <w:t xml:space="preserve"> </w:t>
            </w:r>
            <w:r>
              <w:rPr>
                <w:rFonts w:hint="eastAsia" w:ascii="宋体" w:hAnsi="宋体"/>
                <w:bCs/>
                <w:iCs/>
                <w:sz w:val="18"/>
              </w:rPr>
              <w:t>中国证券登记结算有限责任公司债券借贷业务办法</w:t>
            </w:r>
            <w:r>
              <w:rPr>
                <w:rFonts w:ascii="宋体" w:hAnsi="宋体"/>
                <w:bCs/>
                <w:iCs/>
                <w:sz w:val="18"/>
              </w:rPr>
              <w:t>》</w:t>
            </w:r>
            <w:r>
              <w:rPr>
                <w:rFonts w:hint="eastAsia" w:ascii="宋体" w:hAnsi="宋体"/>
                <w:bCs/>
                <w:iCs/>
                <w:sz w:val="18"/>
              </w:rPr>
              <w:t>修订债券借贷</w:t>
            </w:r>
            <w:r>
              <w:rPr>
                <w:rFonts w:ascii="宋体" w:hAnsi="宋体"/>
                <w:bCs/>
                <w:iCs/>
                <w:sz w:val="18"/>
              </w:rPr>
              <w:t>业务相关内容</w:t>
            </w:r>
            <w:r>
              <w:rPr>
                <w:rFonts w:hint="eastAsia" w:ascii="宋体" w:hAnsi="宋体"/>
                <w:bCs/>
                <w:iCs/>
                <w:sz w:val="18"/>
              </w:rPr>
              <w:t>（8</w:t>
            </w:r>
            <w:r>
              <w:rPr>
                <w:rFonts w:ascii="宋体" w:hAnsi="宋体"/>
                <w:bCs/>
                <w:iCs/>
                <w:sz w:val="18"/>
              </w:rPr>
              <w:t>.2</w:t>
            </w:r>
            <w:r>
              <w:rPr>
                <w:rFonts w:hint="eastAsia" w:ascii="宋体" w:hAnsi="宋体"/>
                <w:bCs/>
                <w:iCs/>
                <w:sz w:val="18"/>
              </w:rPr>
              <w:t>债券</w:t>
            </w:r>
            <w:r>
              <w:rPr>
                <w:rFonts w:ascii="宋体" w:hAnsi="宋体"/>
                <w:bCs/>
                <w:iCs/>
                <w:sz w:val="18"/>
              </w:rPr>
              <w:t>借贷</w:t>
            </w:r>
            <w:r>
              <w:rPr>
                <w:rFonts w:hint="eastAsia" w:ascii="宋体" w:hAnsi="宋体"/>
                <w:bCs/>
                <w:iCs/>
                <w:sz w:val="18"/>
              </w:rPr>
              <w:t>与</w:t>
            </w:r>
            <w:r>
              <w:rPr>
                <w:rFonts w:ascii="宋体" w:hAnsi="宋体"/>
                <w:bCs/>
                <w:iCs/>
                <w:sz w:val="18"/>
              </w:rPr>
              <w:t>附件20、附件21</w:t>
            </w:r>
            <w:r>
              <w:rPr>
                <w:rFonts w:hint="eastAsia" w:ascii="宋体" w:hAnsi="宋体"/>
                <w:bCs/>
                <w:iCs/>
                <w:sz w:val="18"/>
              </w:rPr>
              <w:t>）。</w:t>
            </w:r>
          </w:p>
          <w:p w14:paraId="6FDAE42F">
            <w:pPr>
              <w:rPr>
                <w:rFonts w:ascii="宋体" w:hAnsi="宋体"/>
                <w:bCs/>
                <w:iCs/>
                <w:sz w:val="18"/>
              </w:rPr>
            </w:pPr>
            <w:r>
              <w:rPr>
                <w:rFonts w:ascii="宋体" w:hAnsi="宋体"/>
                <w:bCs/>
                <w:iCs/>
                <w:sz w:val="18"/>
              </w:rPr>
              <w:t>2.</w:t>
            </w:r>
            <w:r>
              <w:rPr>
                <w:rFonts w:hint="eastAsia" w:ascii="宋体" w:hAnsi="宋体"/>
                <w:bCs/>
                <w:iCs/>
                <w:sz w:val="18"/>
              </w:rPr>
              <w:t xml:space="preserve"> 进一步补充交易业务互联网申报通道相关介绍（9.7交易业务互联网申报通道）</w:t>
            </w:r>
          </w:p>
        </w:tc>
      </w:tr>
      <w:tr w14:paraId="35395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3" w:type="dxa"/>
          <w:jc w:val="center"/>
        </w:trPr>
        <w:tc>
          <w:tcPr>
            <w:tcW w:w="896" w:type="dxa"/>
            <w:tcBorders>
              <w:top w:val="single" w:color="auto" w:sz="4" w:space="0"/>
              <w:left w:val="single" w:color="auto" w:sz="4" w:space="0"/>
              <w:bottom w:val="single" w:color="auto" w:sz="4" w:space="0"/>
              <w:right w:val="single" w:color="auto" w:sz="4" w:space="0"/>
            </w:tcBorders>
          </w:tcPr>
          <w:p w14:paraId="7088E350">
            <w:pPr>
              <w:rPr>
                <w:bCs/>
                <w:sz w:val="18"/>
              </w:rPr>
            </w:pPr>
            <w:r>
              <w:rPr>
                <w:bCs/>
                <w:sz w:val="18"/>
              </w:rPr>
              <w:t>V1.4</w:t>
            </w:r>
          </w:p>
        </w:tc>
        <w:tc>
          <w:tcPr>
            <w:tcW w:w="1425" w:type="dxa"/>
            <w:tcBorders>
              <w:top w:val="single" w:color="auto" w:sz="4" w:space="0"/>
              <w:left w:val="single" w:color="auto" w:sz="4" w:space="0"/>
              <w:bottom w:val="single" w:color="auto" w:sz="4" w:space="0"/>
              <w:right w:val="single" w:color="auto" w:sz="4" w:space="0"/>
            </w:tcBorders>
          </w:tcPr>
          <w:p w14:paraId="409690A4">
            <w:pPr>
              <w:rPr>
                <w:rFonts w:ascii="宋体" w:hAnsi="宋体"/>
                <w:bCs/>
                <w:iCs/>
                <w:sz w:val="18"/>
              </w:rPr>
            </w:pPr>
            <w:r>
              <w:rPr>
                <w:rFonts w:hint="eastAsia" w:ascii="宋体" w:hAnsi="宋体"/>
                <w:bCs/>
                <w:iCs/>
                <w:sz w:val="18"/>
              </w:rPr>
              <w:t>债券</w:t>
            </w:r>
            <w:r>
              <w:rPr>
                <w:rFonts w:ascii="宋体" w:hAnsi="宋体"/>
                <w:bCs/>
                <w:iCs/>
                <w:sz w:val="18"/>
              </w:rPr>
              <w:t>业务</w:t>
            </w:r>
            <w:r>
              <w:rPr>
                <w:rFonts w:hint="eastAsia" w:ascii="宋体" w:hAnsi="宋体"/>
                <w:bCs/>
                <w:iCs/>
                <w:sz w:val="18"/>
              </w:rPr>
              <w:t>中心</w:t>
            </w:r>
          </w:p>
        </w:tc>
        <w:tc>
          <w:tcPr>
            <w:tcW w:w="850" w:type="dxa"/>
            <w:tcBorders>
              <w:top w:val="single" w:color="auto" w:sz="4" w:space="0"/>
              <w:left w:val="single" w:color="auto" w:sz="4" w:space="0"/>
              <w:bottom w:val="single" w:color="auto" w:sz="4" w:space="0"/>
              <w:right w:val="single" w:color="auto" w:sz="4" w:space="0"/>
            </w:tcBorders>
          </w:tcPr>
          <w:p w14:paraId="4E91F61B">
            <w:pPr>
              <w:rPr>
                <w:rFonts w:ascii="宋体" w:hAnsi="宋体"/>
                <w:bCs/>
                <w:iCs/>
                <w:sz w:val="18"/>
              </w:rPr>
            </w:pPr>
            <w:r>
              <w:rPr>
                <w:rFonts w:hint="eastAsia" w:ascii="宋体" w:hAnsi="宋体"/>
                <w:bCs/>
                <w:iCs/>
                <w:sz w:val="18"/>
              </w:rPr>
              <w:t>修订</w:t>
            </w:r>
          </w:p>
        </w:tc>
        <w:tc>
          <w:tcPr>
            <w:tcW w:w="1276" w:type="dxa"/>
            <w:tcBorders>
              <w:top w:val="single" w:color="auto" w:sz="4" w:space="0"/>
              <w:left w:val="single" w:color="auto" w:sz="4" w:space="0"/>
              <w:bottom w:val="single" w:color="auto" w:sz="4" w:space="0"/>
              <w:right w:val="single" w:color="auto" w:sz="4" w:space="0"/>
            </w:tcBorders>
          </w:tcPr>
          <w:p w14:paraId="50AE8B36">
            <w:pPr>
              <w:rPr>
                <w:iCs/>
                <w:sz w:val="18"/>
              </w:rPr>
            </w:pPr>
            <w:r>
              <w:rPr>
                <w:iCs/>
                <w:sz w:val="18"/>
              </w:rPr>
              <w:t>202</w:t>
            </w:r>
            <w:r>
              <w:rPr>
                <w:rFonts w:hint="eastAsia"/>
                <w:iCs/>
                <w:sz w:val="18"/>
              </w:rPr>
              <w:t>4年9月</w:t>
            </w:r>
          </w:p>
        </w:tc>
        <w:tc>
          <w:tcPr>
            <w:tcW w:w="3765" w:type="dxa"/>
            <w:tcBorders>
              <w:top w:val="single" w:color="auto" w:sz="4" w:space="0"/>
              <w:left w:val="single" w:color="auto" w:sz="4" w:space="0"/>
              <w:bottom w:val="single" w:color="auto" w:sz="4" w:space="0"/>
              <w:right w:val="single" w:color="auto" w:sz="4" w:space="0"/>
            </w:tcBorders>
          </w:tcPr>
          <w:p w14:paraId="7AA8642C">
            <w:pPr>
              <w:rPr>
                <w:rFonts w:ascii="宋体" w:hAnsi="宋体"/>
                <w:bCs/>
                <w:iCs/>
                <w:sz w:val="18"/>
              </w:rPr>
            </w:pPr>
            <w:r>
              <w:rPr>
                <w:rFonts w:hint="eastAsia" w:ascii="宋体" w:hAnsi="宋体"/>
                <w:bCs/>
                <w:iCs/>
                <w:sz w:val="18"/>
              </w:rPr>
              <w:t>完善基准做市品种的相关表述（6.3.3做市品种）</w:t>
            </w:r>
          </w:p>
        </w:tc>
      </w:tr>
      <w:tr w14:paraId="1C9A4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13" w:type="dxa"/>
          <w:jc w:val="center"/>
        </w:trPr>
        <w:tc>
          <w:tcPr>
            <w:tcW w:w="896" w:type="dxa"/>
            <w:tcBorders>
              <w:top w:val="single" w:color="auto" w:sz="4" w:space="0"/>
              <w:left w:val="single" w:color="auto" w:sz="4" w:space="0"/>
              <w:bottom w:val="single" w:color="auto" w:sz="4" w:space="0"/>
              <w:right w:val="single" w:color="auto" w:sz="4" w:space="0"/>
            </w:tcBorders>
          </w:tcPr>
          <w:p w14:paraId="45E180BA">
            <w:pPr>
              <w:rPr>
                <w:rFonts w:hint="eastAsia" w:eastAsia="宋体"/>
                <w:bCs/>
                <w:sz w:val="18"/>
                <w:lang w:eastAsia="zh-CN"/>
              </w:rPr>
            </w:pPr>
            <w:r>
              <w:rPr>
                <w:bCs/>
                <w:sz w:val="18"/>
              </w:rPr>
              <w:t>V1.</w:t>
            </w:r>
            <w:r>
              <w:rPr>
                <w:rFonts w:hint="eastAsia"/>
                <w:bCs/>
                <w:sz w:val="18"/>
                <w:lang w:val="en-US" w:eastAsia="zh-CN"/>
              </w:rPr>
              <w:t>5</w:t>
            </w:r>
          </w:p>
        </w:tc>
        <w:tc>
          <w:tcPr>
            <w:tcW w:w="1425" w:type="dxa"/>
            <w:tcBorders>
              <w:top w:val="single" w:color="auto" w:sz="4" w:space="0"/>
              <w:left w:val="single" w:color="auto" w:sz="4" w:space="0"/>
              <w:bottom w:val="single" w:color="auto" w:sz="4" w:space="0"/>
              <w:right w:val="single" w:color="auto" w:sz="4" w:space="0"/>
            </w:tcBorders>
          </w:tcPr>
          <w:p w14:paraId="4C2BA8BC">
            <w:pPr>
              <w:rPr>
                <w:rFonts w:hint="eastAsia" w:ascii="宋体" w:hAnsi="宋体"/>
                <w:bCs/>
                <w:iCs/>
                <w:sz w:val="18"/>
              </w:rPr>
            </w:pPr>
            <w:r>
              <w:rPr>
                <w:rFonts w:hint="eastAsia" w:ascii="宋体" w:hAnsi="宋体"/>
                <w:bCs/>
                <w:iCs/>
                <w:sz w:val="18"/>
              </w:rPr>
              <w:t>债券</w:t>
            </w:r>
            <w:r>
              <w:rPr>
                <w:rFonts w:ascii="宋体" w:hAnsi="宋体"/>
                <w:bCs/>
                <w:iCs/>
                <w:sz w:val="18"/>
              </w:rPr>
              <w:t>业务</w:t>
            </w:r>
            <w:r>
              <w:rPr>
                <w:rFonts w:hint="eastAsia" w:ascii="宋体" w:hAnsi="宋体"/>
                <w:bCs/>
                <w:iCs/>
                <w:sz w:val="18"/>
              </w:rPr>
              <w:t>中心</w:t>
            </w:r>
          </w:p>
        </w:tc>
        <w:tc>
          <w:tcPr>
            <w:tcW w:w="850" w:type="dxa"/>
            <w:tcBorders>
              <w:top w:val="single" w:color="auto" w:sz="4" w:space="0"/>
              <w:left w:val="single" w:color="auto" w:sz="4" w:space="0"/>
              <w:bottom w:val="single" w:color="auto" w:sz="4" w:space="0"/>
              <w:right w:val="single" w:color="auto" w:sz="4" w:space="0"/>
            </w:tcBorders>
          </w:tcPr>
          <w:p w14:paraId="5C0150A6">
            <w:pPr>
              <w:rPr>
                <w:rFonts w:hint="eastAsia" w:ascii="宋体" w:hAnsi="宋体"/>
                <w:bCs/>
                <w:iCs/>
                <w:sz w:val="18"/>
              </w:rPr>
            </w:pPr>
            <w:r>
              <w:rPr>
                <w:rFonts w:hint="eastAsia" w:ascii="宋体" w:hAnsi="宋体"/>
                <w:bCs/>
                <w:iCs/>
                <w:sz w:val="18"/>
              </w:rPr>
              <w:t>修订</w:t>
            </w:r>
          </w:p>
        </w:tc>
        <w:tc>
          <w:tcPr>
            <w:tcW w:w="1276" w:type="dxa"/>
            <w:tcBorders>
              <w:top w:val="single" w:color="auto" w:sz="4" w:space="0"/>
              <w:left w:val="single" w:color="auto" w:sz="4" w:space="0"/>
              <w:bottom w:val="single" w:color="auto" w:sz="4" w:space="0"/>
              <w:right w:val="single" w:color="auto" w:sz="4" w:space="0"/>
            </w:tcBorders>
          </w:tcPr>
          <w:p w14:paraId="64F75097">
            <w:pPr>
              <w:rPr>
                <w:iCs/>
                <w:sz w:val="18"/>
              </w:rPr>
            </w:pPr>
            <w:r>
              <w:rPr>
                <w:iCs/>
                <w:sz w:val="18"/>
              </w:rPr>
              <w:t>202</w:t>
            </w:r>
            <w:r>
              <w:rPr>
                <w:rFonts w:hint="eastAsia"/>
                <w:iCs/>
                <w:sz w:val="18"/>
                <w:lang w:val="en-US" w:eastAsia="zh-CN"/>
              </w:rPr>
              <w:t>5</w:t>
            </w:r>
            <w:r>
              <w:rPr>
                <w:rFonts w:hint="eastAsia"/>
                <w:iCs/>
                <w:sz w:val="18"/>
              </w:rPr>
              <w:t>年</w:t>
            </w:r>
            <w:r>
              <w:rPr>
                <w:rFonts w:hint="eastAsia"/>
                <w:iCs/>
                <w:sz w:val="18"/>
                <w:lang w:val="en-US" w:eastAsia="zh-CN"/>
              </w:rPr>
              <w:t>3</w:t>
            </w:r>
            <w:r>
              <w:rPr>
                <w:rFonts w:hint="eastAsia"/>
                <w:iCs/>
                <w:sz w:val="18"/>
              </w:rPr>
              <w:t>月</w:t>
            </w:r>
          </w:p>
        </w:tc>
        <w:tc>
          <w:tcPr>
            <w:tcW w:w="3765" w:type="dxa"/>
            <w:tcBorders>
              <w:top w:val="single" w:color="auto" w:sz="4" w:space="0"/>
              <w:left w:val="single" w:color="auto" w:sz="4" w:space="0"/>
              <w:bottom w:val="single" w:color="auto" w:sz="4" w:space="0"/>
              <w:right w:val="single" w:color="auto" w:sz="4" w:space="0"/>
            </w:tcBorders>
          </w:tcPr>
          <w:p w14:paraId="0A75F3B8">
            <w:pPr>
              <w:rPr>
                <w:rFonts w:hint="eastAsia" w:ascii="宋体" w:hAnsi="宋体"/>
                <w:bCs/>
                <w:iCs/>
                <w:sz w:val="18"/>
              </w:rPr>
            </w:pPr>
            <w:r>
              <w:rPr>
                <w:rFonts w:hint="eastAsia" w:ascii="宋体" w:hAnsi="宋体"/>
                <w:bCs/>
                <w:iCs/>
                <w:sz w:val="18"/>
                <w:lang w:eastAsia="zh-CN"/>
              </w:rPr>
              <w:t>调整</w:t>
            </w:r>
            <w:r>
              <w:rPr>
                <w:rFonts w:hint="eastAsia" w:ascii="宋体" w:hAnsi="宋体"/>
                <w:bCs/>
                <w:iCs/>
                <w:sz w:val="18"/>
              </w:rPr>
              <w:t>基准做市品种相关表述（6.3.3做市品种）</w:t>
            </w:r>
          </w:p>
        </w:tc>
      </w:tr>
      <w:tr w14:paraId="1E5CE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3" w:type="dxa"/>
          <w:jc w:val="center"/>
        </w:trPr>
        <w:tc>
          <w:tcPr>
            <w:tcW w:w="896" w:type="dxa"/>
            <w:tcBorders>
              <w:top w:val="single" w:color="auto" w:sz="4" w:space="0"/>
              <w:left w:val="single" w:color="auto" w:sz="4" w:space="0"/>
              <w:bottom w:val="single" w:color="auto" w:sz="4" w:space="0"/>
              <w:right w:val="single" w:color="auto" w:sz="4" w:space="0"/>
            </w:tcBorders>
          </w:tcPr>
          <w:p w14:paraId="10F02DD8">
            <w:pPr>
              <w:rPr>
                <w:rFonts w:hint="eastAsia" w:eastAsia="宋体"/>
                <w:bCs/>
                <w:sz w:val="18"/>
                <w:lang w:val="en-US" w:eastAsia="zh-CN"/>
              </w:rPr>
            </w:pPr>
            <w:r>
              <w:rPr>
                <w:bCs/>
                <w:sz w:val="18"/>
              </w:rPr>
              <w:t>V1.</w:t>
            </w:r>
            <w:r>
              <w:rPr>
                <w:rFonts w:hint="eastAsia"/>
                <w:bCs/>
                <w:sz w:val="18"/>
                <w:lang w:val="en-US" w:eastAsia="zh-CN"/>
              </w:rPr>
              <w:t>6</w:t>
            </w:r>
          </w:p>
        </w:tc>
        <w:tc>
          <w:tcPr>
            <w:tcW w:w="1425" w:type="dxa"/>
            <w:tcBorders>
              <w:top w:val="single" w:color="auto" w:sz="4" w:space="0"/>
              <w:left w:val="single" w:color="auto" w:sz="4" w:space="0"/>
              <w:bottom w:val="single" w:color="auto" w:sz="4" w:space="0"/>
              <w:right w:val="single" w:color="auto" w:sz="4" w:space="0"/>
            </w:tcBorders>
          </w:tcPr>
          <w:p w14:paraId="4FC99C22">
            <w:pPr>
              <w:rPr>
                <w:rFonts w:hint="eastAsia" w:ascii="宋体" w:hAnsi="宋体"/>
                <w:bCs/>
                <w:iCs/>
                <w:sz w:val="18"/>
              </w:rPr>
            </w:pPr>
            <w:r>
              <w:rPr>
                <w:rFonts w:hint="eastAsia" w:ascii="宋体" w:hAnsi="宋体"/>
                <w:bCs/>
                <w:iCs/>
                <w:sz w:val="18"/>
              </w:rPr>
              <w:t>债券</w:t>
            </w:r>
            <w:r>
              <w:rPr>
                <w:rFonts w:ascii="宋体" w:hAnsi="宋体"/>
                <w:bCs/>
                <w:iCs/>
                <w:sz w:val="18"/>
              </w:rPr>
              <w:t>业务</w:t>
            </w:r>
            <w:r>
              <w:rPr>
                <w:rFonts w:hint="eastAsia" w:ascii="宋体" w:hAnsi="宋体"/>
                <w:bCs/>
                <w:iCs/>
                <w:sz w:val="18"/>
              </w:rPr>
              <w:t>中心</w:t>
            </w:r>
          </w:p>
        </w:tc>
        <w:tc>
          <w:tcPr>
            <w:tcW w:w="850" w:type="dxa"/>
            <w:tcBorders>
              <w:top w:val="single" w:color="auto" w:sz="4" w:space="0"/>
              <w:left w:val="single" w:color="auto" w:sz="4" w:space="0"/>
              <w:bottom w:val="single" w:color="auto" w:sz="4" w:space="0"/>
              <w:right w:val="single" w:color="auto" w:sz="4" w:space="0"/>
            </w:tcBorders>
          </w:tcPr>
          <w:p w14:paraId="7BBF0571">
            <w:pPr>
              <w:rPr>
                <w:rFonts w:hint="eastAsia" w:ascii="宋体" w:hAnsi="宋体"/>
                <w:bCs/>
                <w:iCs/>
                <w:sz w:val="18"/>
              </w:rPr>
            </w:pPr>
            <w:r>
              <w:rPr>
                <w:rFonts w:hint="eastAsia" w:ascii="宋体" w:hAnsi="宋体"/>
                <w:bCs/>
                <w:iCs/>
                <w:sz w:val="18"/>
              </w:rPr>
              <w:t>修订</w:t>
            </w:r>
          </w:p>
        </w:tc>
        <w:tc>
          <w:tcPr>
            <w:tcW w:w="1276" w:type="dxa"/>
            <w:tcBorders>
              <w:top w:val="single" w:color="auto" w:sz="4" w:space="0"/>
              <w:left w:val="single" w:color="auto" w:sz="4" w:space="0"/>
              <w:bottom w:val="single" w:color="auto" w:sz="4" w:space="0"/>
              <w:right w:val="single" w:color="auto" w:sz="4" w:space="0"/>
            </w:tcBorders>
          </w:tcPr>
          <w:p w14:paraId="7B9C7D71">
            <w:pPr>
              <w:rPr>
                <w:iCs/>
                <w:sz w:val="18"/>
              </w:rPr>
            </w:pPr>
            <w:r>
              <w:rPr>
                <w:iCs/>
                <w:sz w:val="18"/>
              </w:rPr>
              <w:t>202</w:t>
            </w:r>
            <w:r>
              <w:rPr>
                <w:rFonts w:hint="eastAsia"/>
                <w:iCs/>
                <w:sz w:val="18"/>
                <w:lang w:val="en-US" w:eastAsia="zh-CN"/>
              </w:rPr>
              <w:t>5</w:t>
            </w:r>
            <w:r>
              <w:rPr>
                <w:rFonts w:hint="eastAsia"/>
                <w:iCs/>
                <w:sz w:val="18"/>
              </w:rPr>
              <w:t>年</w:t>
            </w:r>
            <w:r>
              <w:rPr>
                <w:rFonts w:hint="eastAsia"/>
                <w:iCs/>
                <w:sz w:val="18"/>
                <w:lang w:val="en-US" w:eastAsia="zh-CN"/>
              </w:rPr>
              <w:t>5</w:t>
            </w:r>
            <w:r>
              <w:rPr>
                <w:rFonts w:hint="eastAsia"/>
                <w:iCs/>
                <w:sz w:val="18"/>
              </w:rPr>
              <w:t>月</w:t>
            </w:r>
          </w:p>
        </w:tc>
        <w:tc>
          <w:tcPr>
            <w:tcW w:w="3765" w:type="dxa"/>
            <w:tcBorders>
              <w:top w:val="single" w:color="auto" w:sz="4" w:space="0"/>
              <w:left w:val="single" w:color="auto" w:sz="4" w:space="0"/>
              <w:bottom w:val="single" w:color="auto" w:sz="4" w:space="0"/>
              <w:right w:val="single" w:color="auto" w:sz="4" w:space="0"/>
            </w:tcBorders>
          </w:tcPr>
          <w:p w14:paraId="6CB4F7D5">
            <w:pPr>
              <w:rPr>
                <w:rFonts w:hint="eastAsia" w:ascii="宋体" w:hAnsi="宋体"/>
                <w:bCs/>
                <w:iCs/>
                <w:sz w:val="18"/>
              </w:rPr>
            </w:pPr>
            <w:r>
              <w:rPr>
                <w:rFonts w:hint="eastAsia" w:ascii="宋体" w:hAnsi="宋体"/>
                <w:bCs/>
                <w:iCs/>
                <w:sz w:val="18"/>
                <w:lang w:eastAsia="zh-CN"/>
              </w:rPr>
              <w:t>调整</w:t>
            </w:r>
            <w:r>
              <w:rPr>
                <w:rFonts w:hint="eastAsia" w:ascii="宋体" w:hAnsi="宋体"/>
                <w:bCs/>
                <w:iCs/>
                <w:sz w:val="18"/>
              </w:rPr>
              <w:t>基准做市品种相关表述（6.3.3做市品种）</w:t>
            </w:r>
          </w:p>
        </w:tc>
      </w:tr>
      <w:tr w14:paraId="01FBD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3" w:type="dxa"/>
          <w:jc w:val="center"/>
        </w:trPr>
        <w:tc>
          <w:tcPr>
            <w:tcW w:w="896" w:type="dxa"/>
            <w:tcBorders>
              <w:top w:val="single" w:color="auto" w:sz="4" w:space="0"/>
              <w:left w:val="single" w:color="auto" w:sz="4" w:space="0"/>
              <w:bottom w:val="single" w:color="auto" w:sz="4" w:space="0"/>
              <w:right w:val="single" w:color="auto" w:sz="4" w:space="0"/>
            </w:tcBorders>
            <w:shd w:val="clear" w:color="auto" w:fill="auto"/>
            <w:vAlign w:val="top"/>
          </w:tcPr>
          <w:p w14:paraId="30AF0A94">
            <w:pPr>
              <w:rPr>
                <w:rFonts w:hint="eastAsia" w:ascii="Times New Roman" w:hAnsi="Times New Roman" w:eastAsia="宋体" w:cs="Times New Roman"/>
                <w:bCs/>
                <w:kern w:val="2"/>
                <w:sz w:val="18"/>
                <w:szCs w:val="21"/>
                <w:lang w:val="en-US" w:eastAsia="zh-CN" w:bidi="ar-SA"/>
              </w:rPr>
            </w:pPr>
            <w:r>
              <w:rPr>
                <w:bCs/>
                <w:sz w:val="18"/>
              </w:rPr>
              <w:t>V1.</w:t>
            </w:r>
            <w:r>
              <w:rPr>
                <w:rFonts w:hint="eastAsia"/>
                <w:bCs/>
                <w:sz w:val="18"/>
                <w:lang w:val="en-US" w:eastAsia="zh-CN"/>
              </w:rPr>
              <w:t>7</w:t>
            </w:r>
          </w:p>
        </w:tc>
        <w:tc>
          <w:tcPr>
            <w:tcW w:w="1425" w:type="dxa"/>
            <w:tcBorders>
              <w:top w:val="single" w:color="auto" w:sz="4" w:space="0"/>
              <w:left w:val="single" w:color="auto" w:sz="4" w:space="0"/>
              <w:bottom w:val="single" w:color="auto" w:sz="4" w:space="0"/>
              <w:right w:val="single" w:color="auto" w:sz="4" w:space="0"/>
            </w:tcBorders>
            <w:shd w:val="clear" w:color="auto" w:fill="auto"/>
            <w:vAlign w:val="top"/>
          </w:tcPr>
          <w:p w14:paraId="773022C4">
            <w:pPr>
              <w:rPr>
                <w:rFonts w:hint="eastAsia" w:ascii="宋体" w:hAnsi="宋体" w:eastAsia="宋体" w:cs="Times New Roman"/>
                <w:bCs/>
                <w:iCs/>
                <w:kern w:val="2"/>
                <w:sz w:val="18"/>
                <w:szCs w:val="21"/>
                <w:lang w:val="en-US" w:eastAsia="zh-CN" w:bidi="ar-SA"/>
              </w:rPr>
            </w:pPr>
            <w:r>
              <w:rPr>
                <w:rFonts w:hint="eastAsia" w:ascii="宋体" w:hAnsi="宋体"/>
                <w:bCs/>
                <w:iCs/>
                <w:sz w:val="18"/>
              </w:rPr>
              <w:t>债券</w:t>
            </w:r>
            <w:r>
              <w:rPr>
                <w:rFonts w:ascii="宋体" w:hAnsi="宋体"/>
                <w:bCs/>
                <w:iCs/>
                <w:sz w:val="18"/>
              </w:rPr>
              <w:t>业务</w:t>
            </w:r>
            <w:r>
              <w:rPr>
                <w:rFonts w:hint="eastAsia" w:ascii="宋体" w:hAnsi="宋体"/>
                <w:bCs/>
                <w:iCs/>
                <w:sz w:val="18"/>
              </w:rPr>
              <w:t>中心</w:t>
            </w:r>
          </w:p>
        </w:tc>
        <w:tc>
          <w:tcPr>
            <w:tcW w:w="850" w:type="dxa"/>
            <w:tcBorders>
              <w:top w:val="single" w:color="auto" w:sz="4" w:space="0"/>
              <w:left w:val="single" w:color="auto" w:sz="4" w:space="0"/>
              <w:bottom w:val="single" w:color="auto" w:sz="4" w:space="0"/>
              <w:right w:val="single" w:color="auto" w:sz="4" w:space="0"/>
            </w:tcBorders>
            <w:shd w:val="clear" w:color="auto" w:fill="auto"/>
            <w:vAlign w:val="top"/>
          </w:tcPr>
          <w:p w14:paraId="30C25BDB">
            <w:pPr>
              <w:rPr>
                <w:rFonts w:hint="eastAsia" w:ascii="宋体" w:hAnsi="宋体" w:eastAsia="宋体" w:cs="Times New Roman"/>
                <w:bCs/>
                <w:iCs/>
                <w:kern w:val="2"/>
                <w:sz w:val="18"/>
                <w:szCs w:val="21"/>
                <w:lang w:val="en-US" w:eastAsia="zh-CN" w:bidi="ar-SA"/>
              </w:rPr>
            </w:pPr>
            <w:r>
              <w:rPr>
                <w:rFonts w:hint="eastAsia" w:ascii="宋体" w:hAnsi="宋体"/>
                <w:bCs/>
                <w:iCs/>
                <w:sz w:val="18"/>
              </w:rPr>
              <w:t>修订</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top"/>
          </w:tcPr>
          <w:p w14:paraId="4EAF690A">
            <w:pPr>
              <w:rPr>
                <w:rFonts w:ascii="Times New Roman" w:hAnsi="Times New Roman" w:eastAsia="宋体" w:cs="Times New Roman"/>
                <w:iCs/>
                <w:kern w:val="2"/>
                <w:sz w:val="18"/>
                <w:szCs w:val="21"/>
                <w:lang w:val="en-US" w:eastAsia="zh-CN" w:bidi="ar-SA"/>
              </w:rPr>
            </w:pPr>
            <w:r>
              <w:rPr>
                <w:iCs/>
                <w:sz w:val="18"/>
              </w:rPr>
              <w:t>202</w:t>
            </w:r>
            <w:r>
              <w:rPr>
                <w:rFonts w:hint="eastAsia"/>
                <w:iCs/>
                <w:sz w:val="18"/>
                <w:lang w:val="en-US" w:eastAsia="zh-CN"/>
              </w:rPr>
              <w:t>5</w:t>
            </w:r>
            <w:r>
              <w:rPr>
                <w:rFonts w:hint="eastAsia"/>
                <w:iCs/>
                <w:sz w:val="18"/>
              </w:rPr>
              <w:t>年</w:t>
            </w:r>
            <w:r>
              <w:rPr>
                <w:rFonts w:hint="eastAsia"/>
                <w:iCs/>
                <w:sz w:val="18"/>
                <w:lang w:val="en-US" w:eastAsia="zh-CN"/>
              </w:rPr>
              <w:t>12</w:t>
            </w:r>
            <w:r>
              <w:rPr>
                <w:rFonts w:hint="eastAsia"/>
                <w:iCs/>
                <w:sz w:val="18"/>
              </w:rPr>
              <w:t>月</w:t>
            </w:r>
          </w:p>
        </w:tc>
        <w:tc>
          <w:tcPr>
            <w:tcW w:w="3765" w:type="dxa"/>
            <w:tcBorders>
              <w:top w:val="single" w:color="auto" w:sz="4" w:space="0"/>
              <w:left w:val="single" w:color="auto" w:sz="4" w:space="0"/>
              <w:bottom w:val="single" w:color="auto" w:sz="4" w:space="0"/>
              <w:right w:val="single" w:color="auto" w:sz="4" w:space="0"/>
            </w:tcBorders>
            <w:shd w:val="clear" w:color="auto" w:fill="auto"/>
            <w:vAlign w:val="top"/>
          </w:tcPr>
          <w:p w14:paraId="295433A3">
            <w:pPr>
              <w:rPr>
                <w:rFonts w:hint="eastAsia" w:ascii="宋体" w:hAnsi="宋体"/>
                <w:bCs/>
                <w:iCs/>
                <w:sz w:val="18"/>
                <w:lang w:val="en-US" w:eastAsia="zh-CN"/>
              </w:rPr>
            </w:pPr>
            <w:r>
              <w:rPr>
                <w:rFonts w:hint="eastAsia" w:ascii="宋体" w:hAnsi="宋体"/>
                <w:bCs/>
                <w:iCs/>
                <w:sz w:val="18"/>
                <w:lang w:val="en-US" w:eastAsia="zh-CN"/>
              </w:rPr>
              <w:t>优化交易系统中特定债券要素展示（6.4.4 交易方式）</w:t>
            </w:r>
          </w:p>
          <w:p w14:paraId="437CE708">
            <w:pPr>
              <w:rPr>
                <w:rFonts w:hint="eastAsia" w:ascii="宋体" w:hAnsi="宋体"/>
                <w:bCs/>
                <w:iCs/>
                <w:sz w:val="18"/>
                <w:lang w:val="en-US" w:eastAsia="zh-CN"/>
              </w:rPr>
            </w:pPr>
            <w:r>
              <w:rPr>
                <w:rFonts w:hint="eastAsia" w:ascii="宋体" w:hAnsi="宋体"/>
                <w:bCs/>
                <w:iCs/>
                <w:sz w:val="18"/>
                <w:lang w:val="en-US" w:eastAsia="zh-CN"/>
              </w:rPr>
              <w:t>增加非交易过户业务（9.8 非交易过户）</w:t>
            </w:r>
          </w:p>
          <w:p w14:paraId="01AD36F1">
            <w:pPr>
              <w:rPr>
                <w:rFonts w:hint="eastAsia" w:ascii="宋体" w:hAnsi="宋体" w:eastAsia="宋体" w:cs="Times New Roman"/>
                <w:bCs/>
                <w:iCs/>
                <w:kern w:val="2"/>
                <w:sz w:val="18"/>
                <w:szCs w:val="21"/>
                <w:lang w:val="en-US" w:eastAsia="zh-CN" w:bidi="ar-SA"/>
              </w:rPr>
            </w:pPr>
            <w:r>
              <w:rPr>
                <w:rFonts w:hint="eastAsia" w:ascii="宋体" w:hAnsi="宋体"/>
                <w:bCs/>
                <w:iCs/>
                <w:sz w:val="18"/>
                <w:lang w:val="en-US" w:eastAsia="zh-CN"/>
              </w:rPr>
              <w:t>明确应急成交受理邮箱（12.5应急申报与成交）</w:t>
            </w:r>
          </w:p>
        </w:tc>
      </w:tr>
      <w:tr w14:paraId="59B56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3" w:type="dxa"/>
          <w:jc w:val="center"/>
        </w:trPr>
        <w:tc>
          <w:tcPr>
            <w:tcW w:w="896" w:type="dxa"/>
            <w:tcBorders>
              <w:top w:val="single" w:color="auto" w:sz="4" w:space="0"/>
              <w:left w:val="single" w:color="auto" w:sz="4" w:space="0"/>
              <w:bottom w:val="single" w:color="auto" w:sz="4" w:space="0"/>
              <w:right w:val="single" w:color="auto" w:sz="4" w:space="0"/>
            </w:tcBorders>
            <w:shd w:val="clear" w:color="auto" w:fill="auto"/>
            <w:vAlign w:val="top"/>
          </w:tcPr>
          <w:p w14:paraId="5C110D86">
            <w:pPr>
              <w:rPr>
                <w:bCs/>
                <w:sz w:val="18"/>
              </w:rPr>
            </w:pPr>
            <w:r>
              <w:rPr>
                <w:bCs/>
                <w:sz w:val="18"/>
              </w:rPr>
              <w:t>V1.</w:t>
            </w:r>
            <w:r>
              <w:rPr>
                <w:rFonts w:hint="eastAsia"/>
                <w:bCs/>
                <w:sz w:val="18"/>
                <w:lang w:val="en-US" w:eastAsia="zh-CN"/>
              </w:rPr>
              <w:t>8</w:t>
            </w:r>
          </w:p>
        </w:tc>
        <w:tc>
          <w:tcPr>
            <w:tcW w:w="1425" w:type="dxa"/>
            <w:tcBorders>
              <w:top w:val="single" w:color="auto" w:sz="4" w:space="0"/>
              <w:left w:val="single" w:color="auto" w:sz="4" w:space="0"/>
              <w:bottom w:val="single" w:color="auto" w:sz="4" w:space="0"/>
              <w:right w:val="single" w:color="auto" w:sz="4" w:space="0"/>
            </w:tcBorders>
            <w:shd w:val="clear" w:color="auto" w:fill="auto"/>
            <w:vAlign w:val="top"/>
          </w:tcPr>
          <w:p w14:paraId="0A6601DA">
            <w:pPr>
              <w:rPr>
                <w:rFonts w:hint="eastAsia" w:ascii="宋体" w:hAnsi="宋体"/>
                <w:bCs/>
                <w:iCs/>
                <w:sz w:val="18"/>
              </w:rPr>
            </w:pPr>
            <w:r>
              <w:rPr>
                <w:rFonts w:hint="eastAsia" w:ascii="宋体" w:hAnsi="宋体"/>
                <w:bCs/>
                <w:iCs/>
                <w:sz w:val="18"/>
              </w:rPr>
              <w:t>债券</w:t>
            </w:r>
            <w:r>
              <w:rPr>
                <w:rFonts w:ascii="宋体" w:hAnsi="宋体"/>
                <w:bCs/>
                <w:iCs/>
                <w:sz w:val="18"/>
              </w:rPr>
              <w:t>业务</w:t>
            </w:r>
            <w:r>
              <w:rPr>
                <w:rFonts w:hint="eastAsia" w:ascii="宋体" w:hAnsi="宋体"/>
                <w:bCs/>
                <w:iCs/>
                <w:sz w:val="18"/>
              </w:rPr>
              <w:t>中心</w:t>
            </w:r>
          </w:p>
        </w:tc>
        <w:tc>
          <w:tcPr>
            <w:tcW w:w="850" w:type="dxa"/>
            <w:tcBorders>
              <w:top w:val="single" w:color="auto" w:sz="4" w:space="0"/>
              <w:left w:val="single" w:color="auto" w:sz="4" w:space="0"/>
              <w:bottom w:val="single" w:color="auto" w:sz="4" w:space="0"/>
              <w:right w:val="single" w:color="auto" w:sz="4" w:space="0"/>
            </w:tcBorders>
            <w:shd w:val="clear" w:color="auto" w:fill="auto"/>
            <w:vAlign w:val="top"/>
          </w:tcPr>
          <w:p w14:paraId="32EA5B37">
            <w:pPr>
              <w:rPr>
                <w:rFonts w:hint="eastAsia" w:ascii="宋体" w:hAnsi="宋体"/>
                <w:bCs/>
                <w:iCs/>
                <w:sz w:val="18"/>
              </w:rPr>
            </w:pPr>
            <w:r>
              <w:rPr>
                <w:rFonts w:hint="eastAsia" w:ascii="宋体" w:hAnsi="宋体"/>
                <w:bCs/>
                <w:iCs/>
                <w:sz w:val="18"/>
              </w:rPr>
              <w:t>修订</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top"/>
          </w:tcPr>
          <w:p w14:paraId="22B86B71">
            <w:pPr>
              <w:rPr>
                <w:iCs/>
                <w:sz w:val="18"/>
              </w:rPr>
            </w:pPr>
            <w:r>
              <w:rPr>
                <w:iCs/>
                <w:sz w:val="18"/>
              </w:rPr>
              <w:t>202</w:t>
            </w:r>
            <w:r>
              <w:rPr>
                <w:rFonts w:hint="eastAsia"/>
                <w:iCs/>
                <w:sz w:val="18"/>
                <w:lang w:val="en-US" w:eastAsia="zh-CN"/>
              </w:rPr>
              <w:t>6</w:t>
            </w:r>
            <w:r>
              <w:rPr>
                <w:rFonts w:hint="eastAsia"/>
                <w:iCs/>
                <w:sz w:val="18"/>
              </w:rPr>
              <w:t>年</w:t>
            </w:r>
            <w:r>
              <w:rPr>
                <w:rFonts w:hint="eastAsia"/>
                <w:iCs/>
                <w:sz w:val="18"/>
                <w:lang w:val="en-US" w:eastAsia="zh-CN"/>
              </w:rPr>
              <w:t>2</w:t>
            </w:r>
            <w:r>
              <w:rPr>
                <w:rFonts w:hint="eastAsia"/>
                <w:iCs/>
                <w:sz w:val="18"/>
              </w:rPr>
              <w:t>月</w:t>
            </w:r>
          </w:p>
        </w:tc>
        <w:tc>
          <w:tcPr>
            <w:tcW w:w="3765" w:type="dxa"/>
            <w:tcBorders>
              <w:top w:val="single" w:color="auto" w:sz="4" w:space="0"/>
              <w:left w:val="single" w:color="auto" w:sz="4" w:space="0"/>
              <w:bottom w:val="single" w:color="auto" w:sz="4" w:space="0"/>
              <w:right w:val="single" w:color="auto" w:sz="4" w:space="0"/>
            </w:tcBorders>
            <w:shd w:val="clear" w:color="auto" w:fill="auto"/>
            <w:vAlign w:val="top"/>
          </w:tcPr>
          <w:p w14:paraId="10A3B9D9">
            <w:pPr>
              <w:rPr>
                <w:rFonts w:hint="eastAsia" w:ascii="宋体" w:hAnsi="宋体"/>
                <w:bCs/>
                <w:iCs/>
                <w:sz w:val="18"/>
                <w:lang w:val="en-US" w:eastAsia="zh-CN"/>
              </w:rPr>
            </w:pPr>
            <w:r>
              <w:rPr>
                <w:rFonts w:hint="eastAsia" w:ascii="宋体" w:hAnsi="宋体"/>
                <w:bCs/>
                <w:iCs/>
                <w:sz w:val="18"/>
                <w:lang w:eastAsia="zh-CN"/>
              </w:rPr>
              <w:t>调整</w:t>
            </w:r>
            <w:r>
              <w:rPr>
                <w:rFonts w:hint="eastAsia" w:ascii="宋体" w:hAnsi="宋体"/>
                <w:bCs/>
                <w:iCs/>
                <w:sz w:val="18"/>
              </w:rPr>
              <w:t>基准做市品种相关表述（6.3.3做市品种）</w:t>
            </w:r>
          </w:p>
        </w:tc>
      </w:tr>
      <w:tr w14:paraId="6B507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3" w:type="dxa"/>
          <w:jc w:val="center"/>
        </w:trPr>
        <w:tc>
          <w:tcPr>
            <w:tcW w:w="896" w:type="dxa"/>
            <w:tcBorders>
              <w:top w:val="single" w:color="auto" w:sz="4" w:space="0"/>
              <w:left w:val="single" w:color="auto" w:sz="4" w:space="0"/>
              <w:bottom w:val="single" w:color="auto" w:sz="4" w:space="0"/>
              <w:right w:val="single" w:color="auto" w:sz="4" w:space="0"/>
            </w:tcBorders>
            <w:shd w:val="clear" w:color="auto" w:fill="auto"/>
            <w:vAlign w:val="top"/>
          </w:tcPr>
          <w:p w14:paraId="43BCC04B">
            <w:pPr>
              <w:rPr>
                <w:rFonts w:hint="default"/>
                <w:bCs/>
                <w:sz w:val="18"/>
                <w:lang w:val="en-US" w:eastAsia="zh-CN"/>
              </w:rPr>
            </w:pPr>
            <w:r>
              <w:rPr>
                <w:rFonts w:hint="eastAsia"/>
                <w:bCs/>
                <w:sz w:val="18"/>
                <w:lang w:val="en-US" w:eastAsia="zh-CN"/>
              </w:rPr>
              <w:t>V1.9</w:t>
            </w:r>
          </w:p>
        </w:tc>
        <w:tc>
          <w:tcPr>
            <w:tcW w:w="1425" w:type="dxa"/>
            <w:tcBorders>
              <w:top w:val="single" w:color="auto" w:sz="4" w:space="0"/>
              <w:left w:val="single" w:color="auto" w:sz="4" w:space="0"/>
              <w:bottom w:val="single" w:color="auto" w:sz="4" w:space="0"/>
              <w:right w:val="single" w:color="auto" w:sz="4" w:space="0"/>
            </w:tcBorders>
            <w:shd w:val="clear" w:color="auto" w:fill="auto"/>
            <w:vAlign w:val="top"/>
          </w:tcPr>
          <w:p w14:paraId="355C39F6">
            <w:pPr>
              <w:rPr>
                <w:rFonts w:hint="eastAsia" w:ascii="宋体" w:hAnsi="宋体" w:eastAsia="宋体"/>
                <w:bCs/>
                <w:iCs/>
                <w:sz w:val="18"/>
                <w:lang w:eastAsia="zh-CN"/>
              </w:rPr>
            </w:pPr>
            <w:r>
              <w:rPr>
                <w:rFonts w:hint="eastAsia" w:ascii="宋体" w:hAnsi="宋体"/>
                <w:bCs/>
                <w:iCs/>
                <w:sz w:val="18"/>
                <w:lang w:eastAsia="zh-CN"/>
              </w:rPr>
              <w:t>债券业务中心</w:t>
            </w:r>
          </w:p>
        </w:tc>
        <w:tc>
          <w:tcPr>
            <w:tcW w:w="850" w:type="dxa"/>
            <w:tcBorders>
              <w:top w:val="single" w:color="auto" w:sz="4" w:space="0"/>
              <w:left w:val="single" w:color="auto" w:sz="4" w:space="0"/>
              <w:bottom w:val="single" w:color="auto" w:sz="4" w:space="0"/>
              <w:right w:val="single" w:color="auto" w:sz="4" w:space="0"/>
            </w:tcBorders>
            <w:shd w:val="clear" w:color="auto" w:fill="auto"/>
            <w:vAlign w:val="top"/>
          </w:tcPr>
          <w:p w14:paraId="56BF296F">
            <w:pPr>
              <w:rPr>
                <w:rFonts w:hint="eastAsia" w:ascii="宋体" w:hAnsi="宋体" w:eastAsia="宋体"/>
                <w:bCs/>
                <w:iCs/>
                <w:sz w:val="18"/>
                <w:lang w:eastAsia="zh-CN"/>
              </w:rPr>
            </w:pPr>
            <w:r>
              <w:rPr>
                <w:rFonts w:hint="eastAsia" w:ascii="宋体" w:hAnsi="宋体"/>
                <w:bCs/>
                <w:iCs/>
                <w:sz w:val="18"/>
                <w:lang w:eastAsia="zh-CN"/>
              </w:rPr>
              <w:t>修订</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top"/>
          </w:tcPr>
          <w:p w14:paraId="31531A95">
            <w:pPr>
              <w:rPr>
                <w:rFonts w:hint="default" w:eastAsia="宋体"/>
                <w:iCs/>
                <w:sz w:val="18"/>
                <w:lang w:val="en-US" w:eastAsia="zh-CN"/>
              </w:rPr>
            </w:pPr>
            <w:r>
              <w:rPr>
                <w:rFonts w:hint="eastAsia"/>
                <w:iCs/>
                <w:sz w:val="18"/>
                <w:lang w:val="en-US" w:eastAsia="zh-CN"/>
              </w:rPr>
              <w:t>2026年5月</w:t>
            </w:r>
          </w:p>
        </w:tc>
        <w:tc>
          <w:tcPr>
            <w:tcW w:w="3765" w:type="dxa"/>
            <w:tcBorders>
              <w:top w:val="single" w:color="auto" w:sz="4" w:space="0"/>
              <w:left w:val="single" w:color="auto" w:sz="4" w:space="0"/>
              <w:bottom w:val="single" w:color="auto" w:sz="4" w:space="0"/>
              <w:right w:val="single" w:color="auto" w:sz="4" w:space="0"/>
            </w:tcBorders>
            <w:shd w:val="clear" w:color="auto" w:fill="auto"/>
            <w:vAlign w:val="top"/>
          </w:tcPr>
          <w:p w14:paraId="05657D7E">
            <w:pPr>
              <w:rPr>
                <w:rFonts w:hint="eastAsia" w:ascii="宋体" w:hAnsi="宋体"/>
                <w:bCs/>
                <w:iCs/>
                <w:sz w:val="18"/>
                <w:lang w:val="en-US" w:eastAsia="zh-CN"/>
              </w:rPr>
            </w:pPr>
            <w:r>
              <w:rPr>
                <w:rFonts w:hint="eastAsia" w:ascii="宋体" w:hAnsi="宋体"/>
                <w:bCs/>
                <w:iCs/>
                <w:sz w:val="18"/>
                <w:lang w:val="en-US" w:eastAsia="zh-CN"/>
              </w:rPr>
              <w:t>7.3.5调整协议回购“质押券范围与存续期孳息”内容</w:t>
            </w:r>
          </w:p>
          <w:p w14:paraId="0FD2E519">
            <w:pPr>
              <w:rPr>
                <w:rFonts w:hint="default" w:ascii="宋体" w:hAnsi="宋体"/>
                <w:bCs/>
                <w:iCs/>
                <w:sz w:val="18"/>
                <w:lang w:val="en-US" w:eastAsia="zh-CN"/>
              </w:rPr>
            </w:pPr>
            <w:r>
              <w:rPr>
                <w:rFonts w:hint="eastAsia" w:ascii="宋体" w:hAnsi="宋体"/>
                <w:bCs/>
                <w:iCs/>
                <w:sz w:val="18"/>
                <w:lang w:val="en-US" w:eastAsia="zh-CN"/>
              </w:rPr>
              <w:t>7.3.8增加协议回购场外资金结算相关材料的报送安排</w:t>
            </w:r>
          </w:p>
        </w:tc>
      </w:tr>
    </w:tbl>
    <w:p w14:paraId="7DD56F41">
      <w:pPr>
        <w:jc w:val="center"/>
        <w:rPr>
          <w:rFonts w:ascii="仿宋_GB2312" w:eastAsia="仿宋_GB2312"/>
          <w:b/>
          <w:sz w:val="30"/>
          <w:szCs w:val="30"/>
        </w:rPr>
      </w:pPr>
    </w:p>
    <w:p w14:paraId="61C3E034">
      <w:pPr>
        <w:widowControl/>
        <w:jc w:val="left"/>
        <w:rPr>
          <w:rFonts w:ascii="仿宋_GB2312" w:eastAsia="仿宋_GB2312"/>
          <w:b/>
          <w:sz w:val="30"/>
          <w:szCs w:val="30"/>
        </w:rPr>
      </w:pPr>
      <w:r>
        <w:rPr>
          <w:rFonts w:ascii="仿宋_GB2312" w:eastAsia="仿宋_GB2312"/>
          <w:b/>
          <w:sz w:val="30"/>
          <w:szCs w:val="30"/>
        </w:rPr>
        <w:br w:type="page"/>
      </w:r>
    </w:p>
    <w:p w14:paraId="78548613">
      <w:pPr>
        <w:jc w:val="center"/>
        <w:rPr>
          <w:rFonts w:ascii="黑体" w:hAnsi="黑体"/>
          <w:b/>
          <w:sz w:val="30"/>
          <w:szCs w:val="30"/>
        </w:rPr>
      </w:pPr>
      <w:r>
        <w:rPr>
          <w:rFonts w:hint="eastAsia" w:ascii="黑体" w:hAnsi="黑体"/>
          <w:b/>
          <w:sz w:val="30"/>
          <w:szCs w:val="30"/>
        </w:rPr>
        <w:t>目录</w:t>
      </w:r>
    </w:p>
    <w:p w14:paraId="1BC08241">
      <w:pPr>
        <w:pStyle w:val="30"/>
        <w:tabs>
          <w:tab w:val="right" w:leader="dot" w:pos="8306"/>
        </w:tabs>
      </w:pPr>
      <w:r>
        <w:rPr>
          <w:rFonts w:ascii="黑体" w:hAnsi="黑体"/>
          <w:b w:val="0"/>
          <w:sz w:val="30"/>
          <w:szCs w:val="30"/>
        </w:rPr>
        <w:fldChar w:fldCharType="begin"/>
      </w:r>
      <w:r>
        <w:rPr>
          <w:rFonts w:ascii="黑体" w:hAnsi="黑体"/>
          <w:b w:val="0"/>
          <w:sz w:val="30"/>
          <w:szCs w:val="30"/>
        </w:rPr>
        <w:instrText xml:space="preserve"> TOC \o "1-2" \h \z \u </w:instrText>
      </w:r>
      <w:r>
        <w:rPr>
          <w:rFonts w:ascii="黑体" w:hAnsi="黑体"/>
          <w:b w:val="0"/>
          <w:sz w:val="30"/>
          <w:szCs w:val="30"/>
        </w:rPr>
        <w:fldChar w:fldCharType="separate"/>
      </w:r>
      <w:r>
        <w:rPr>
          <w:rFonts w:ascii="黑体" w:hAnsi="黑体"/>
          <w:szCs w:val="30"/>
        </w:rPr>
        <w:fldChar w:fldCharType="begin"/>
      </w:r>
      <w:r>
        <w:rPr>
          <w:rFonts w:ascii="黑体" w:hAnsi="黑体"/>
          <w:szCs w:val="30"/>
        </w:rPr>
        <w:instrText xml:space="preserve"> HYPERLINK \l _Toc568161688 </w:instrText>
      </w:r>
      <w:r>
        <w:rPr>
          <w:rFonts w:ascii="黑体" w:hAnsi="黑体"/>
          <w:szCs w:val="30"/>
        </w:rPr>
        <w:fldChar w:fldCharType="separate"/>
      </w:r>
      <w:r>
        <w:rPr>
          <w:rFonts w:hint="eastAsia"/>
          <w:szCs w:val="32"/>
        </w:rPr>
        <w:t>版本说明</w:t>
      </w:r>
      <w:r>
        <w:tab/>
      </w:r>
      <w:r>
        <w:fldChar w:fldCharType="begin"/>
      </w:r>
      <w:r>
        <w:instrText xml:space="preserve"> PAGEREF _Toc568161688 \h </w:instrText>
      </w:r>
      <w:r>
        <w:fldChar w:fldCharType="separate"/>
      </w:r>
      <w:r>
        <w:t>2</w:t>
      </w:r>
      <w:r>
        <w:fldChar w:fldCharType="end"/>
      </w:r>
      <w:r>
        <w:rPr>
          <w:rFonts w:ascii="黑体" w:hAnsi="黑体"/>
          <w:szCs w:val="30"/>
        </w:rPr>
        <w:fldChar w:fldCharType="end"/>
      </w:r>
    </w:p>
    <w:p w14:paraId="71AD60BF">
      <w:pPr>
        <w:pStyle w:val="30"/>
        <w:tabs>
          <w:tab w:val="right" w:leader="dot" w:pos="8306"/>
        </w:tabs>
      </w:pPr>
      <w:r>
        <w:rPr>
          <w:rFonts w:ascii="黑体" w:hAnsi="黑体"/>
          <w:szCs w:val="30"/>
        </w:rPr>
        <w:fldChar w:fldCharType="begin"/>
      </w:r>
      <w:r>
        <w:rPr>
          <w:rFonts w:ascii="黑体" w:hAnsi="黑体"/>
          <w:szCs w:val="30"/>
        </w:rPr>
        <w:instrText xml:space="preserve"> HYPERLINK \l _Toc1392977209 </w:instrText>
      </w:r>
      <w:r>
        <w:rPr>
          <w:rFonts w:ascii="黑体" w:hAnsi="黑体"/>
          <w:szCs w:val="30"/>
        </w:rPr>
        <w:fldChar w:fldCharType="separate"/>
      </w:r>
      <w:r>
        <w:rPr>
          <w:rFonts w:hint="eastAsia" w:ascii="黑体" w:hAnsi="黑体" w:eastAsia="黑体" w:cs="黑体"/>
          <w:bCs/>
        </w:rPr>
        <w:t>引言</w:t>
      </w:r>
      <w:r>
        <w:tab/>
      </w:r>
      <w:r>
        <w:fldChar w:fldCharType="begin"/>
      </w:r>
      <w:r>
        <w:instrText xml:space="preserve"> PAGEREF _Toc1392977209 \h </w:instrText>
      </w:r>
      <w:r>
        <w:fldChar w:fldCharType="separate"/>
      </w:r>
      <w:r>
        <w:t>8</w:t>
      </w:r>
      <w:r>
        <w:fldChar w:fldCharType="end"/>
      </w:r>
      <w:r>
        <w:rPr>
          <w:rFonts w:ascii="黑体" w:hAnsi="黑体"/>
          <w:szCs w:val="30"/>
        </w:rPr>
        <w:fldChar w:fldCharType="end"/>
      </w:r>
    </w:p>
    <w:p w14:paraId="687FCA24">
      <w:pPr>
        <w:pStyle w:val="30"/>
        <w:tabs>
          <w:tab w:val="right" w:leader="dot" w:pos="8306"/>
        </w:tabs>
      </w:pPr>
      <w:r>
        <w:rPr>
          <w:rFonts w:ascii="黑体" w:hAnsi="黑体"/>
          <w:szCs w:val="30"/>
        </w:rPr>
        <w:fldChar w:fldCharType="begin"/>
      </w:r>
      <w:r>
        <w:rPr>
          <w:rFonts w:ascii="黑体" w:hAnsi="黑体"/>
          <w:szCs w:val="30"/>
        </w:rPr>
        <w:instrText xml:space="preserve"> HYPERLINK \l _Toc1342327342 </w:instrText>
      </w:r>
      <w:r>
        <w:rPr>
          <w:rFonts w:ascii="黑体" w:hAnsi="黑体"/>
          <w:szCs w:val="30"/>
        </w:rPr>
        <w:fldChar w:fldCharType="separate"/>
      </w:r>
      <w:r>
        <w:rPr>
          <w:rFonts w:hint="eastAsia" w:ascii="黑体" w:hAnsi="黑体" w:eastAsia="黑体" w:cs="黑体"/>
          <w:szCs w:val="36"/>
        </w:rPr>
        <w:t xml:space="preserve">1. </w:t>
      </w:r>
      <w:r>
        <w:rPr>
          <w:rFonts w:hint="eastAsia" w:ascii="黑体" w:hAnsi="黑体" w:eastAsia="黑体" w:cs="黑体"/>
        </w:rPr>
        <w:t>上交所债券交易市场总体介绍</w:t>
      </w:r>
      <w:r>
        <w:tab/>
      </w:r>
      <w:r>
        <w:fldChar w:fldCharType="begin"/>
      </w:r>
      <w:r>
        <w:instrText xml:space="preserve"> PAGEREF _Toc1342327342 \h </w:instrText>
      </w:r>
      <w:r>
        <w:fldChar w:fldCharType="separate"/>
      </w:r>
      <w:r>
        <w:t>9</w:t>
      </w:r>
      <w:r>
        <w:fldChar w:fldCharType="end"/>
      </w:r>
      <w:r>
        <w:rPr>
          <w:rFonts w:ascii="黑体" w:hAnsi="黑体"/>
          <w:szCs w:val="30"/>
        </w:rPr>
        <w:fldChar w:fldCharType="end"/>
      </w:r>
    </w:p>
    <w:p w14:paraId="132D74F3">
      <w:pPr>
        <w:pStyle w:val="36"/>
        <w:tabs>
          <w:tab w:val="right" w:leader="dot" w:pos="8306"/>
        </w:tabs>
      </w:pPr>
      <w:r>
        <w:rPr>
          <w:rFonts w:ascii="黑体" w:hAnsi="黑体"/>
          <w:szCs w:val="30"/>
        </w:rPr>
        <w:fldChar w:fldCharType="begin"/>
      </w:r>
      <w:r>
        <w:rPr>
          <w:rFonts w:ascii="黑体" w:hAnsi="黑体"/>
          <w:szCs w:val="30"/>
        </w:rPr>
        <w:instrText xml:space="preserve"> HYPERLINK \l _Toc1033389517 </w:instrText>
      </w:r>
      <w:r>
        <w:rPr>
          <w:rFonts w:ascii="黑体" w:hAnsi="黑体"/>
          <w:szCs w:val="30"/>
        </w:rPr>
        <w:fldChar w:fldCharType="separate"/>
      </w:r>
      <w:r>
        <w:rPr>
          <w:rFonts w:hint="eastAsia" w:ascii="仿宋_GB2312" w:eastAsia="仿宋_GB2312"/>
          <w:szCs w:val="30"/>
        </w:rPr>
        <w:t>1.1. 概况</w:t>
      </w:r>
      <w:r>
        <w:tab/>
      </w:r>
      <w:r>
        <w:fldChar w:fldCharType="begin"/>
      </w:r>
      <w:r>
        <w:instrText xml:space="preserve"> PAGEREF _Toc1033389517 \h </w:instrText>
      </w:r>
      <w:r>
        <w:fldChar w:fldCharType="separate"/>
      </w:r>
      <w:r>
        <w:t>9</w:t>
      </w:r>
      <w:r>
        <w:fldChar w:fldCharType="end"/>
      </w:r>
      <w:r>
        <w:rPr>
          <w:rFonts w:ascii="黑体" w:hAnsi="黑体"/>
          <w:szCs w:val="30"/>
        </w:rPr>
        <w:fldChar w:fldCharType="end"/>
      </w:r>
    </w:p>
    <w:p w14:paraId="1F074A16">
      <w:pPr>
        <w:pStyle w:val="36"/>
        <w:tabs>
          <w:tab w:val="right" w:leader="dot" w:pos="8306"/>
        </w:tabs>
      </w:pPr>
      <w:r>
        <w:rPr>
          <w:rFonts w:ascii="黑体" w:hAnsi="黑体"/>
          <w:szCs w:val="30"/>
        </w:rPr>
        <w:fldChar w:fldCharType="begin"/>
      </w:r>
      <w:r>
        <w:rPr>
          <w:rFonts w:ascii="黑体" w:hAnsi="黑体"/>
          <w:szCs w:val="30"/>
        </w:rPr>
        <w:instrText xml:space="preserve"> HYPERLINK \l _Toc1545547013 </w:instrText>
      </w:r>
      <w:r>
        <w:rPr>
          <w:rFonts w:ascii="黑体" w:hAnsi="黑体"/>
          <w:szCs w:val="30"/>
        </w:rPr>
        <w:fldChar w:fldCharType="separate"/>
      </w:r>
      <w:r>
        <w:rPr>
          <w:rFonts w:hint="eastAsia" w:ascii="仿宋_GB2312" w:eastAsia="仿宋_GB2312"/>
          <w:szCs w:val="30"/>
        </w:rPr>
        <w:t>1.2. 债券交易业务</w:t>
      </w:r>
      <w:r>
        <w:tab/>
      </w:r>
      <w:r>
        <w:fldChar w:fldCharType="begin"/>
      </w:r>
      <w:r>
        <w:instrText xml:space="preserve"> PAGEREF _Toc1545547013 \h </w:instrText>
      </w:r>
      <w:r>
        <w:fldChar w:fldCharType="separate"/>
      </w:r>
      <w:r>
        <w:t>10</w:t>
      </w:r>
      <w:r>
        <w:fldChar w:fldCharType="end"/>
      </w:r>
      <w:r>
        <w:rPr>
          <w:rFonts w:ascii="黑体" w:hAnsi="黑体"/>
          <w:szCs w:val="30"/>
        </w:rPr>
        <w:fldChar w:fldCharType="end"/>
      </w:r>
    </w:p>
    <w:p w14:paraId="24AC5162">
      <w:pPr>
        <w:pStyle w:val="36"/>
        <w:tabs>
          <w:tab w:val="right" w:leader="dot" w:pos="8306"/>
        </w:tabs>
      </w:pPr>
      <w:r>
        <w:rPr>
          <w:rFonts w:ascii="黑体" w:hAnsi="黑体"/>
          <w:szCs w:val="30"/>
        </w:rPr>
        <w:fldChar w:fldCharType="begin"/>
      </w:r>
      <w:r>
        <w:rPr>
          <w:rFonts w:ascii="黑体" w:hAnsi="黑体"/>
          <w:szCs w:val="30"/>
        </w:rPr>
        <w:instrText xml:space="preserve"> HYPERLINK \l _Toc1354729299 </w:instrText>
      </w:r>
      <w:r>
        <w:rPr>
          <w:rFonts w:ascii="黑体" w:hAnsi="黑体"/>
          <w:szCs w:val="30"/>
        </w:rPr>
        <w:fldChar w:fldCharType="separate"/>
      </w:r>
      <w:r>
        <w:rPr>
          <w:rFonts w:hint="eastAsia" w:ascii="仿宋_GB2312" w:eastAsia="仿宋_GB2312"/>
          <w:szCs w:val="30"/>
        </w:rPr>
        <w:t>1.3. 债券投资者</w:t>
      </w:r>
      <w:r>
        <w:tab/>
      </w:r>
      <w:r>
        <w:fldChar w:fldCharType="begin"/>
      </w:r>
      <w:r>
        <w:instrText xml:space="preserve"> PAGEREF _Toc1354729299 \h </w:instrText>
      </w:r>
      <w:r>
        <w:fldChar w:fldCharType="separate"/>
      </w:r>
      <w:r>
        <w:t>12</w:t>
      </w:r>
      <w:r>
        <w:fldChar w:fldCharType="end"/>
      </w:r>
      <w:r>
        <w:rPr>
          <w:rFonts w:ascii="黑体" w:hAnsi="黑体"/>
          <w:szCs w:val="30"/>
        </w:rPr>
        <w:fldChar w:fldCharType="end"/>
      </w:r>
    </w:p>
    <w:p w14:paraId="1F6A764D">
      <w:pPr>
        <w:pStyle w:val="36"/>
        <w:tabs>
          <w:tab w:val="right" w:leader="dot" w:pos="8306"/>
        </w:tabs>
      </w:pPr>
      <w:r>
        <w:rPr>
          <w:rFonts w:ascii="黑体" w:hAnsi="黑体"/>
          <w:szCs w:val="30"/>
        </w:rPr>
        <w:fldChar w:fldCharType="begin"/>
      </w:r>
      <w:r>
        <w:rPr>
          <w:rFonts w:ascii="黑体" w:hAnsi="黑体"/>
          <w:szCs w:val="30"/>
        </w:rPr>
        <w:instrText xml:space="preserve"> HYPERLINK \l _Toc1056298384 </w:instrText>
      </w:r>
      <w:r>
        <w:rPr>
          <w:rFonts w:ascii="黑体" w:hAnsi="黑体"/>
          <w:szCs w:val="30"/>
        </w:rPr>
        <w:fldChar w:fldCharType="separate"/>
      </w:r>
      <w:r>
        <w:rPr>
          <w:rFonts w:hint="eastAsia" w:ascii="仿宋_GB2312" w:eastAsia="仿宋_GB2312"/>
          <w:szCs w:val="30"/>
        </w:rPr>
        <w:t>1.4. 参与方式</w:t>
      </w:r>
      <w:r>
        <w:tab/>
      </w:r>
      <w:r>
        <w:fldChar w:fldCharType="begin"/>
      </w:r>
      <w:r>
        <w:instrText xml:space="preserve"> PAGEREF _Toc1056298384 \h </w:instrText>
      </w:r>
      <w:r>
        <w:fldChar w:fldCharType="separate"/>
      </w:r>
      <w:r>
        <w:t>12</w:t>
      </w:r>
      <w:r>
        <w:fldChar w:fldCharType="end"/>
      </w:r>
      <w:r>
        <w:rPr>
          <w:rFonts w:ascii="黑体" w:hAnsi="黑体"/>
          <w:szCs w:val="30"/>
        </w:rPr>
        <w:fldChar w:fldCharType="end"/>
      </w:r>
    </w:p>
    <w:p w14:paraId="5ED679C2">
      <w:pPr>
        <w:pStyle w:val="30"/>
        <w:tabs>
          <w:tab w:val="right" w:leader="dot" w:pos="8306"/>
        </w:tabs>
      </w:pPr>
      <w:r>
        <w:rPr>
          <w:rFonts w:ascii="黑体" w:hAnsi="黑体"/>
          <w:szCs w:val="30"/>
        </w:rPr>
        <w:fldChar w:fldCharType="begin"/>
      </w:r>
      <w:r>
        <w:rPr>
          <w:rFonts w:ascii="黑体" w:hAnsi="黑体"/>
          <w:szCs w:val="30"/>
        </w:rPr>
        <w:instrText xml:space="preserve"> HYPERLINK \l _Toc131827246 </w:instrText>
      </w:r>
      <w:r>
        <w:rPr>
          <w:rFonts w:ascii="黑体" w:hAnsi="黑体"/>
          <w:szCs w:val="30"/>
        </w:rPr>
        <w:fldChar w:fldCharType="separate"/>
      </w:r>
      <w:r>
        <w:rPr>
          <w:rFonts w:hint="eastAsia" w:ascii="黑体" w:hAnsi="黑体" w:eastAsia="黑体"/>
          <w:szCs w:val="36"/>
        </w:rPr>
        <w:t xml:space="preserve">2. </w:t>
      </w:r>
      <w:r>
        <w:rPr>
          <w:rFonts w:hint="eastAsia" w:ascii="黑体" w:hAnsi="黑体" w:eastAsia="黑体" w:cs="黑体"/>
        </w:rPr>
        <w:t>债券交易参与人</w:t>
      </w:r>
      <w:r>
        <w:tab/>
      </w:r>
      <w:r>
        <w:fldChar w:fldCharType="begin"/>
      </w:r>
      <w:r>
        <w:instrText xml:space="preserve"> PAGEREF _Toc131827246 \h </w:instrText>
      </w:r>
      <w:r>
        <w:fldChar w:fldCharType="separate"/>
      </w:r>
      <w:r>
        <w:t>16</w:t>
      </w:r>
      <w:r>
        <w:fldChar w:fldCharType="end"/>
      </w:r>
      <w:r>
        <w:rPr>
          <w:rFonts w:ascii="黑体" w:hAnsi="黑体"/>
          <w:szCs w:val="30"/>
        </w:rPr>
        <w:fldChar w:fldCharType="end"/>
      </w:r>
    </w:p>
    <w:p w14:paraId="1C0ECC2A">
      <w:pPr>
        <w:pStyle w:val="36"/>
        <w:tabs>
          <w:tab w:val="right" w:leader="dot" w:pos="8306"/>
        </w:tabs>
      </w:pPr>
      <w:r>
        <w:rPr>
          <w:rFonts w:ascii="黑体" w:hAnsi="黑体"/>
          <w:szCs w:val="30"/>
        </w:rPr>
        <w:fldChar w:fldCharType="begin"/>
      </w:r>
      <w:r>
        <w:rPr>
          <w:rFonts w:ascii="黑体" w:hAnsi="黑体"/>
          <w:szCs w:val="30"/>
        </w:rPr>
        <w:instrText xml:space="preserve"> HYPERLINK \l _Toc1723557014 </w:instrText>
      </w:r>
      <w:r>
        <w:rPr>
          <w:rFonts w:ascii="黑体" w:hAnsi="黑体"/>
          <w:szCs w:val="30"/>
        </w:rPr>
        <w:fldChar w:fldCharType="separate"/>
      </w:r>
      <w:r>
        <w:rPr>
          <w:rFonts w:hint="eastAsia" w:ascii="仿宋_GB2312" w:eastAsia="仿宋_GB2312"/>
          <w:szCs w:val="30"/>
        </w:rPr>
        <w:t xml:space="preserve">2.1. </w:t>
      </w:r>
      <w:r>
        <w:rPr>
          <w:rFonts w:ascii="仿宋_GB2312" w:hAnsi="黑体" w:eastAsia="仿宋_GB2312"/>
          <w:szCs w:val="30"/>
        </w:rPr>
        <w:t>债券交易参与人</w:t>
      </w:r>
      <w:r>
        <w:rPr>
          <w:rFonts w:hint="eastAsia" w:ascii="仿宋_GB2312" w:hAnsi="黑体" w:eastAsia="仿宋_GB2312"/>
          <w:szCs w:val="30"/>
        </w:rPr>
        <w:t>申请</w:t>
      </w:r>
      <w:r>
        <w:tab/>
      </w:r>
      <w:r>
        <w:fldChar w:fldCharType="begin"/>
      </w:r>
      <w:r>
        <w:instrText xml:space="preserve"> PAGEREF _Toc1723557014 \h </w:instrText>
      </w:r>
      <w:r>
        <w:fldChar w:fldCharType="separate"/>
      </w:r>
      <w:r>
        <w:t>16</w:t>
      </w:r>
      <w:r>
        <w:fldChar w:fldCharType="end"/>
      </w:r>
      <w:r>
        <w:rPr>
          <w:rFonts w:ascii="黑体" w:hAnsi="黑体"/>
          <w:szCs w:val="30"/>
        </w:rPr>
        <w:fldChar w:fldCharType="end"/>
      </w:r>
    </w:p>
    <w:p w14:paraId="2FE9486B">
      <w:pPr>
        <w:pStyle w:val="36"/>
        <w:tabs>
          <w:tab w:val="right" w:leader="dot" w:pos="8306"/>
        </w:tabs>
      </w:pPr>
      <w:r>
        <w:rPr>
          <w:rFonts w:ascii="黑体" w:hAnsi="黑体"/>
          <w:szCs w:val="30"/>
        </w:rPr>
        <w:fldChar w:fldCharType="begin"/>
      </w:r>
      <w:r>
        <w:rPr>
          <w:rFonts w:ascii="黑体" w:hAnsi="黑体"/>
          <w:szCs w:val="30"/>
        </w:rPr>
        <w:instrText xml:space="preserve"> HYPERLINK \l _Toc1960311428 </w:instrText>
      </w:r>
      <w:r>
        <w:rPr>
          <w:rFonts w:ascii="黑体" w:hAnsi="黑体"/>
          <w:szCs w:val="30"/>
        </w:rPr>
        <w:fldChar w:fldCharType="separate"/>
      </w:r>
      <w:r>
        <w:rPr>
          <w:rFonts w:hint="eastAsia" w:ascii="仿宋_GB2312" w:hAnsi="黑体" w:eastAsia="仿宋_GB2312"/>
          <w:szCs w:val="30"/>
        </w:rPr>
        <w:t xml:space="preserve">2.2. </w:t>
      </w:r>
      <w:r>
        <w:rPr>
          <w:rFonts w:ascii="仿宋_GB2312" w:hAnsi="黑体" w:eastAsia="仿宋_GB2312"/>
          <w:szCs w:val="30"/>
        </w:rPr>
        <w:t>债券交易参与人变更</w:t>
      </w:r>
      <w:r>
        <w:rPr>
          <w:rFonts w:hint="eastAsia" w:ascii="仿宋_GB2312" w:hAnsi="黑体" w:eastAsia="仿宋_GB2312"/>
          <w:szCs w:val="30"/>
        </w:rPr>
        <w:t>与终止</w:t>
      </w:r>
      <w:r>
        <w:tab/>
      </w:r>
      <w:r>
        <w:fldChar w:fldCharType="begin"/>
      </w:r>
      <w:r>
        <w:instrText xml:space="preserve"> PAGEREF _Toc1960311428 \h </w:instrText>
      </w:r>
      <w:r>
        <w:fldChar w:fldCharType="separate"/>
      </w:r>
      <w:r>
        <w:t>23</w:t>
      </w:r>
      <w:r>
        <w:fldChar w:fldCharType="end"/>
      </w:r>
      <w:r>
        <w:rPr>
          <w:rFonts w:ascii="黑体" w:hAnsi="黑体"/>
          <w:szCs w:val="30"/>
        </w:rPr>
        <w:fldChar w:fldCharType="end"/>
      </w:r>
    </w:p>
    <w:p w14:paraId="34173DE7">
      <w:pPr>
        <w:pStyle w:val="36"/>
        <w:tabs>
          <w:tab w:val="right" w:leader="dot" w:pos="8306"/>
        </w:tabs>
      </w:pPr>
      <w:r>
        <w:rPr>
          <w:rFonts w:ascii="黑体" w:hAnsi="黑体"/>
          <w:szCs w:val="30"/>
        </w:rPr>
        <w:fldChar w:fldCharType="begin"/>
      </w:r>
      <w:r>
        <w:rPr>
          <w:rFonts w:ascii="黑体" w:hAnsi="黑体"/>
          <w:szCs w:val="30"/>
        </w:rPr>
        <w:instrText xml:space="preserve"> HYPERLINK \l _Toc1359687909 </w:instrText>
      </w:r>
      <w:r>
        <w:rPr>
          <w:rFonts w:ascii="黑体" w:hAnsi="黑体"/>
          <w:szCs w:val="30"/>
        </w:rPr>
        <w:fldChar w:fldCharType="separate"/>
      </w:r>
      <w:r>
        <w:rPr>
          <w:rFonts w:hint="eastAsia" w:ascii="仿宋_GB2312" w:eastAsia="仿宋_GB2312"/>
          <w:szCs w:val="30"/>
        </w:rPr>
        <w:t>2.3. 系统接入前准备</w:t>
      </w:r>
      <w:r>
        <w:tab/>
      </w:r>
      <w:r>
        <w:fldChar w:fldCharType="begin"/>
      </w:r>
      <w:r>
        <w:instrText xml:space="preserve"> PAGEREF _Toc1359687909 \h </w:instrText>
      </w:r>
      <w:r>
        <w:fldChar w:fldCharType="separate"/>
      </w:r>
      <w:r>
        <w:t>26</w:t>
      </w:r>
      <w:r>
        <w:fldChar w:fldCharType="end"/>
      </w:r>
      <w:r>
        <w:rPr>
          <w:rFonts w:ascii="黑体" w:hAnsi="黑体"/>
          <w:szCs w:val="30"/>
        </w:rPr>
        <w:fldChar w:fldCharType="end"/>
      </w:r>
    </w:p>
    <w:p w14:paraId="12EA1491">
      <w:pPr>
        <w:pStyle w:val="30"/>
        <w:tabs>
          <w:tab w:val="right" w:leader="dot" w:pos="8306"/>
        </w:tabs>
      </w:pPr>
      <w:r>
        <w:rPr>
          <w:rFonts w:ascii="黑体" w:hAnsi="黑体"/>
          <w:szCs w:val="30"/>
        </w:rPr>
        <w:fldChar w:fldCharType="begin"/>
      </w:r>
      <w:r>
        <w:rPr>
          <w:rFonts w:ascii="黑体" w:hAnsi="黑体"/>
          <w:szCs w:val="30"/>
        </w:rPr>
        <w:instrText xml:space="preserve"> HYPERLINK \l _Toc1161675038 </w:instrText>
      </w:r>
      <w:r>
        <w:rPr>
          <w:rFonts w:ascii="黑体" w:hAnsi="黑体"/>
          <w:szCs w:val="30"/>
        </w:rPr>
        <w:fldChar w:fldCharType="separate"/>
      </w:r>
      <w:r>
        <w:rPr>
          <w:rFonts w:hint="eastAsia" w:ascii="黑体" w:hAnsi="黑体" w:eastAsia="黑体"/>
          <w:szCs w:val="36"/>
        </w:rPr>
        <w:t xml:space="preserve">3. </w:t>
      </w:r>
      <w:r>
        <w:rPr>
          <w:rFonts w:hint="eastAsia" w:ascii="黑体" w:hAnsi="黑体" w:eastAsia="黑体" w:cs="黑体"/>
        </w:rPr>
        <w:t>债券经纪业务</w:t>
      </w:r>
      <w:r>
        <w:tab/>
      </w:r>
      <w:r>
        <w:fldChar w:fldCharType="begin"/>
      </w:r>
      <w:r>
        <w:instrText xml:space="preserve"> PAGEREF _Toc1161675038 \h </w:instrText>
      </w:r>
      <w:r>
        <w:fldChar w:fldCharType="separate"/>
      </w:r>
      <w:r>
        <w:t>31</w:t>
      </w:r>
      <w:r>
        <w:fldChar w:fldCharType="end"/>
      </w:r>
      <w:r>
        <w:rPr>
          <w:rFonts w:ascii="黑体" w:hAnsi="黑体"/>
          <w:szCs w:val="30"/>
        </w:rPr>
        <w:fldChar w:fldCharType="end"/>
      </w:r>
    </w:p>
    <w:p w14:paraId="01CB2CAE">
      <w:pPr>
        <w:pStyle w:val="36"/>
        <w:tabs>
          <w:tab w:val="right" w:leader="dot" w:pos="8306"/>
        </w:tabs>
      </w:pPr>
      <w:r>
        <w:rPr>
          <w:rFonts w:ascii="黑体" w:hAnsi="黑体"/>
          <w:szCs w:val="30"/>
        </w:rPr>
        <w:fldChar w:fldCharType="begin"/>
      </w:r>
      <w:r>
        <w:rPr>
          <w:rFonts w:ascii="黑体" w:hAnsi="黑体"/>
          <w:szCs w:val="30"/>
        </w:rPr>
        <w:instrText xml:space="preserve"> HYPERLINK \l _Toc719111379 </w:instrText>
      </w:r>
      <w:r>
        <w:rPr>
          <w:rFonts w:ascii="黑体" w:hAnsi="黑体"/>
          <w:szCs w:val="30"/>
        </w:rPr>
        <w:fldChar w:fldCharType="separate"/>
      </w:r>
      <w:r>
        <w:rPr>
          <w:rFonts w:hint="eastAsia" w:ascii="仿宋_GB2312" w:eastAsia="仿宋_GB2312"/>
          <w:szCs w:val="30"/>
        </w:rPr>
        <w:t>3.1. 投资者适当性</w:t>
      </w:r>
      <w:r>
        <w:tab/>
      </w:r>
      <w:r>
        <w:fldChar w:fldCharType="begin"/>
      </w:r>
      <w:r>
        <w:instrText xml:space="preserve"> PAGEREF _Toc719111379 \h </w:instrText>
      </w:r>
      <w:r>
        <w:fldChar w:fldCharType="separate"/>
      </w:r>
      <w:r>
        <w:t>31</w:t>
      </w:r>
      <w:r>
        <w:fldChar w:fldCharType="end"/>
      </w:r>
      <w:r>
        <w:rPr>
          <w:rFonts w:ascii="黑体" w:hAnsi="黑体"/>
          <w:szCs w:val="30"/>
        </w:rPr>
        <w:fldChar w:fldCharType="end"/>
      </w:r>
    </w:p>
    <w:p w14:paraId="5F4F9F0F">
      <w:pPr>
        <w:pStyle w:val="36"/>
        <w:tabs>
          <w:tab w:val="right" w:leader="dot" w:pos="8306"/>
        </w:tabs>
      </w:pPr>
      <w:r>
        <w:rPr>
          <w:rFonts w:ascii="黑体" w:hAnsi="黑体"/>
          <w:szCs w:val="30"/>
        </w:rPr>
        <w:fldChar w:fldCharType="begin"/>
      </w:r>
      <w:r>
        <w:rPr>
          <w:rFonts w:ascii="黑体" w:hAnsi="黑体"/>
          <w:szCs w:val="30"/>
        </w:rPr>
        <w:instrText xml:space="preserve"> HYPERLINK \l _Toc394113428 </w:instrText>
      </w:r>
      <w:r>
        <w:rPr>
          <w:rFonts w:ascii="黑体" w:hAnsi="黑体"/>
          <w:szCs w:val="30"/>
        </w:rPr>
        <w:fldChar w:fldCharType="separate"/>
      </w:r>
      <w:r>
        <w:rPr>
          <w:rFonts w:hint="eastAsia" w:ascii="仿宋_GB2312" w:eastAsia="仿宋_GB2312"/>
          <w:szCs w:val="30"/>
        </w:rPr>
        <w:t>3.2. 委托交易</w:t>
      </w:r>
      <w:r>
        <w:tab/>
      </w:r>
      <w:r>
        <w:fldChar w:fldCharType="begin"/>
      </w:r>
      <w:r>
        <w:instrText xml:space="preserve"> PAGEREF _Toc394113428 \h </w:instrText>
      </w:r>
      <w:r>
        <w:fldChar w:fldCharType="separate"/>
      </w:r>
      <w:r>
        <w:t>35</w:t>
      </w:r>
      <w:r>
        <w:fldChar w:fldCharType="end"/>
      </w:r>
      <w:r>
        <w:rPr>
          <w:rFonts w:ascii="黑体" w:hAnsi="黑体"/>
          <w:szCs w:val="30"/>
        </w:rPr>
        <w:fldChar w:fldCharType="end"/>
      </w:r>
    </w:p>
    <w:p w14:paraId="3CB146B0">
      <w:pPr>
        <w:pStyle w:val="36"/>
        <w:tabs>
          <w:tab w:val="right" w:leader="dot" w:pos="8306"/>
        </w:tabs>
      </w:pPr>
      <w:r>
        <w:rPr>
          <w:rFonts w:ascii="黑体" w:hAnsi="黑体"/>
          <w:szCs w:val="30"/>
        </w:rPr>
        <w:fldChar w:fldCharType="begin"/>
      </w:r>
      <w:r>
        <w:rPr>
          <w:rFonts w:ascii="黑体" w:hAnsi="黑体"/>
          <w:szCs w:val="30"/>
        </w:rPr>
        <w:instrText xml:space="preserve"> HYPERLINK \l _Toc107580053 </w:instrText>
      </w:r>
      <w:r>
        <w:rPr>
          <w:rFonts w:ascii="黑体" w:hAnsi="黑体"/>
          <w:szCs w:val="30"/>
        </w:rPr>
        <w:fldChar w:fldCharType="separate"/>
      </w:r>
      <w:r>
        <w:rPr>
          <w:rFonts w:hint="eastAsia" w:ascii="仿宋_GB2312" w:eastAsia="仿宋_GB2312"/>
          <w:szCs w:val="30"/>
        </w:rPr>
        <w:t>3.3. 券商</w:t>
      </w:r>
      <w:r>
        <w:rPr>
          <w:rFonts w:ascii="仿宋_GB2312" w:eastAsia="仿宋_GB2312"/>
          <w:szCs w:val="30"/>
        </w:rPr>
        <w:t>结算</w:t>
      </w:r>
      <w:r>
        <w:tab/>
      </w:r>
      <w:r>
        <w:fldChar w:fldCharType="begin"/>
      </w:r>
      <w:r>
        <w:instrText xml:space="preserve"> PAGEREF _Toc107580053 \h </w:instrText>
      </w:r>
      <w:r>
        <w:fldChar w:fldCharType="separate"/>
      </w:r>
      <w:r>
        <w:t>44</w:t>
      </w:r>
      <w:r>
        <w:fldChar w:fldCharType="end"/>
      </w:r>
      <w:r>
        <w:rPr>
          <w:rFonts w:ascii="黑体" w:hAnsi="黑体"/>
          <w:szCs w:val="30"/>
        </w:rPr>
        <w:fldChar w:fldCharType="end"/>
      </w:r>
    </w:p>
    <w:p w14:paraId="200F6392">
      <w:pPr>
        <w:pStyle w:val="30"/>
        <w:tabs>
          <w:tab w:val="right" w:leader="dot" w:pos="8306"/>
        </w:tabs>
      </w:pPr>
      <w:r>
        <w:rPr>
          <w:rFonts w:ascii="黑体" w:hAnsi="黑体"/>
          <w:szCs w:val="30"/>
        </w:rPr>
        <w:fldChar w:fldCharType="begin"/>
      </w:r>
      <w:r>
        <w:rPr>
          <w:rFonts w:ascii="黑体" w:hAnsi="黑体"/>
          <w:szCs w:val="30"/>
        </w:rPr>
        <w:instrText xml:space="preserve"> HYPERLINK \l _Toc764135581 </w:instrText>
      </w:r>
      <w:r>
        <w:rPr>
          <w:rFonts w:ascii="黑体" w:hAnsi="黑体"/>
          <w:szCs w:val="30"/>
        </w:rPr>
        <w:fldChar w:fldCharType="separate"/>
      </w:r>
      <w:r>
        <w:rPr>
          <w:rFonts w:hint="eastAsia" w:ascii="黑体" w:hAnsi="黑体" w:eastAsia="黑体"/>
          <w:szCs w:val="36"/>
        </w:rPr>
        <w:t xml:space="preserve">4. </w:t>
      </w:r>
      <w:r>
        <w:rPr>
          <w:rFonts w:hint="eastAsia" w:ascii="黑体" w:hAnsi="黑体" w:eastAsia="黑体" w:cs="黑体"/>
        </w:rPr>
        <w:t>债券交易一般要求</w:t>
      </w:r>
      <w:r>
        <w:tab/>
      </w:r>
      <w:r>
        <w:fldChar w:fldCharType="begin"/>
      </w:r>
      <w:r>
        <w:instrText xml:space="preserve"> PAGEREF _Toc764135581 \h </w:instrText>
      </w:r>
      <w:r>
        <w:fldChar w:fldCharType="separate"/>
      </w:r>
      <w:r>
        <w:t>45</w:t>
      </w:r>
      <w:r>
        <w:fldChar w:fldCharType="end"/>
      </w:r>
      <w:r>
        <w:rPr>
          <w:rFonts w:ascii="黑体" w:hAnsi="黑体"/>
          <w:szCs w:val="30"/>
        </w:rPr>
        <w:fldChar w:fldCharType="end"/>
      </w:r>
    </w:p>
    <w:p w14:paraId="260A69DA">
      <w:pPr>
        <w:pStyle w:val="36"/>
        <w:tabs>
          <w:tab w:val="right" w:leader="dot" w:pos="8306"/>
        </w:tabs>
      </w:pPr>
      <w:r>
        <w:rPr>
          <w:rFonts w:ascii="黑体" w:hAnsi="黑体"/>
          <w:szCs w:val="30"/>
        </w:rPr>
        <w:fldChar w:fldCharType="begin"/>
      </w:r>
      <w:r>
        <w:rPr>
          <w:rFonts w:ascii="黑体" w:hAnsi="黑体"/>
          <w:szCs w:val="30"/>
        </w:rPr>
        <w:instrText xml:space="preserve"> HYPERLINK \l _Toc1329587284 </w:instrText>
      </w:r>
      <w:r>
        <w:rPr>
          <w:rFonts w:ascii="黑体" w:hAnsi="黑体"/>
          <w:szCs w:val="30"/>
        </w:rPr>
        <w:fldChar w:fldCharType="separate"/>
      </w:r>
      <w:r>
        <w:rPr>
          <w:rFonts w:hint="eastAsia" w:ascii="仿宋_GB2312" w:eastAsia="仿宋_GB2312"/>
          <w:szCs w:val="30"/>
        </w:rPr>
        <w:t>4.1. 指定交易</w:t>
      </w:r>
      <w:r>
        <w:tab/>
      </w:r>
      <w:r>
        <w:fldChar w:fldCharType="begin"/>
      </w:r>
      <w:r>
        <w:instrText xml:space="preserve"> PAGEREF _Toc1329587284 \h </w:instrText>
      </w:r>
      <w:r>
        <w:fldChar w:fldCharType="separate"/>
      </w:r>
      <w:r>
        <w:t>45</w:t>
      </w:r>
      <w:r>
        <w:fldChar w:fldCharType="end"/>
      </w:r>
      <w:r>
        <w:rPr>
          <w:rFonts w:ascii="黑体" w:hAnsi="黑体"/>
          <w:szCs w:val="30"/>
        </w:rPr>
        <w:fldChar w:fldCharType="end"/>
      </w:r>
    </w:p>
    <w:p w14:paraId="78E568DB">
      <w:pPr>
        <w:pStyle w:val="36"/>
        <w:tabs>
          <w:tab w:val="right" w:leader="dot" w:pos="8306"/>
        </w:tabs>
      </w:pPr>
      <w:r>
        <w:rPr>
          <w:rFonts w:ascii="黑体" w:hAnsi="黑体"/>
          <w:szCs w:val="30"/>
        </w:rPr>
        <w:fldChar w:fldCharType="begin"/>
      </w:r>
      <w:r>
        <w:rPr>
          <w:rFonts w:ascii="黑体" w:hAnsi="黑体"/>
          <w:szCs w:val="30"/>
        </w:rPr>
        <w:instrText xml:space="preserve"> HYPERLINK \l _Toc2075055176 </w:instrText>
      </w:r>
      <w:r>
        <w:rPr>
          <w:rFonts w:ascii="黑体" w:hAnsi="黑体"/>
          <w:szCs w:val="30"/>
        </w:rPr>
        <w:fldChar w:fldCharType="separate"/>
      </w:r>
      <w:r>
        <w:rPr>
          <w:rFonts w:hint="eastAsia" w:ascii="仿宋_GB2312" w:eastAsia="仿宋_GB2312"/>
          <w:szCs w:val="30"/>
        </w:rPr>
        <w:t>4.2. 交易</w:t>
      </w:r>
      <w:r>
        <w:rPr>
          <w:rFonts w:ascii="仿宋_GB2312" w:eastAsia="仿宋_GB2312"/>
          <w:szCs w:val="30"/>
        </w:rPr>
        <w:t>对手</w:t>
      </w:r>
      <w:r>
        <w:tab/>
      </w:r>
      <w:r>
        <w:fldChar w:fldCharType="begin"/>
      </w:r>
      <w:r>
        <w:instrText xml:space="preserve"> PAGEREF _Toc2075055176 \h </w:instrText>
      </w:r>
      <w:r>
        <w:fldChar w:fldCharType="separate"/>
      </w:r>
      <w:r>
        <w:t>48</w:t>
      </w:r>
      <w:r>
        <w:fldChar w:fldCharType="end"/>
      </w:r>
      <w:r>
        <w:rPr>
          <w:rFonts w:ascii="黑体" w:hAnsi="黑体"/>
          <w:szCs w:val="30"/>
        </w:rPr>
        <w:fldChar w:fldCharType="end"/>
      </w:r>
    </w:p>
    <w:p w14:paraId="5AC6B295">
      <w:pPr>
        <w:pStyle w:val="36"/>
        <w:tabs>
          <w:tab w:val="right" w:leader="dot" w:pos="8306"/>
        </w:tabs>
      </w:pPr>
      <w:r>
        <w:rPr>
          <w:rFonts w:ascii="黑体" w:hAnsi="黑体"/>
          <w:szCs w:val="30"/>
        </w:rPr>
        <w:fldChar w:fldCharType="begin"/>
      </w:r>
      <w:r>
        <w:rPr>
          <w:rFonts w:ascii="黑体" w:hAnsi="黑体"/>
          <w:szCs w:val="30"/>
        </w:rPr>
        <w:instrText xml:space="preserve"> HYPERLINK \l _Toc843195678 </w:instrText>
      </w:r>
      <w:r>
        <w:rPr>
          <w:rFonts w:ascii="黑体" w:hAnsi="黑体"/>
          <w:szCs w:val="30"/>
        </w:rPr>
        <w:fldChar w:fldCharType="separate"/>
      </w:r>
      <w:r>
        <w:rPr>
          <w:rFonts w:hint="eastAsia" w:ascii="仿宋_GB2312" w:eastAsia="仿宋_GB2312"/>
          <w:szCs w:val="30"/>
        </w:rPr>
        <w:t>4.3. 交易前端控制</w:t>
      </w:r>
      <w:r>
        <w:tab/>
      </w:r>
      <w:r>
        <w:fldChar w:fldCharType="begin"/>
      </w:r>
      <w:r>
        <w:instrText xml:space="preserve"> PAGEREF _Toc843195678 \h </w:instrText>
      </w:r>
      <w:r>
        <w:fldChar w:fldCharType="separate"/>
      </w:r>
      <w:r>
        <w:t>48</w:t>
      </w:r>
      <w:r>
        <w:fldChar w:fldCharType="end"/>
      </w:r>
      <w:r>
        <w:rPr>
          <w:rFonts w:ascii="黑体" w:hAnsi="黑体"/>
          <w:szCs w:val="30"/>
        </w:rPr>
        <w:fldChar w:fldCharType="end"/>
      </w:r>
    </w:p>
    <w:p w14:paraId="2B5C55A4">
      <w:pPr>
        <w:pStyle w:val="36"/>
        <w:tabs>
          <w:tab w:val="right" w:leader="dot" w:pos="8306"/>
        </w:tabs>
      </w:pPr>
      <w:r>
        <w:rPr>
          <w:rFonts w:ascii="黑体" w:hAnsi="黑体"/>
          <w:szCs w:val="30"/>
        </w:rPr>
        <w:fldChar w:fldCharType="begin"/>
      </w:r>
      <w:r>
        <w:rPr>
          <w:rFonts w:ascii="黑体" w:hAnsi="黑体"/>
          <w:szCs w:val="30"/>
        </w:rPr>
        <w:instrText xml:space="preserve"> HYPERLINK \l _Toc427708822 </w:instrText>
      </w:r>
      <w:r>
        <w:rPr>
          <w:rFonts w:ascii="黑体" w:hAnsi="黑体"/>
          <w:szCs w:val="30"/>
        </w:rPr>
        <w:fldChar w:fldCharType="separate"/>
      </w:r>
      <w:r>
        <w:rPr>
          <w:rFonts w:hint="eastAsia" w:ascii="仿宋_GB2312" w:eastAsia="仿宋_GB2312"/>
          <w:szCs w:val="30"/>
        </w:rPr>
        <w:t>4.4. 交易日和交易时间</w:t>
      </w:r>
      <w:r>
        <w:tab/>
      </w:r>
      <w:r>
        <w:fldChar w:fldCharType="begin"/>
      </w:r>
      <w:r>
        <w:instrText xml:space="preserve"> PAGEREF _Toc427708822 \h </w:instrText>
      </w:r>
      <w:r>
        <w:fldChar w:fldCharType="separate"/>
      </w:r>
      <w:r>
        <w:t>51</w:t>
      </w:r>
      <w:r>
        <w:fldChar w:fldCharType="end"/>
      </w:r>
      <w:r>
        <w:rPr>
          <w:rFonts w:ascii="黑体" w:hAnsi="黑体"/>
          <w:szCs w:val="30"/>
        </w:rPr>
        <w:fldChar w:fldCharType="end"/>
      </w:r>
    </w:p>
    <w:p w14:paraId="2F163A45">
      <w:pPr>
        <w:pStyle w:val="36"/>
        <w:tabs>
          <w:tab w:val="right" w:leader="dot" w:pos="8306"/>
        </w:tabs>
      </w:pPr>
      <w:r>
        <w:rPr>
          <w:rFonts w:ascii="黑体" w:hAnsi="黑体"/>
          <w:szCs w:val="30"/>
        </w:rPr>
        <w:fldChar w:fldCharType="begin"/>
      </w:r>
      <w:r>
        <w:rPr>
          <w:rFonts w:ascii="黑体" w:hAnsi="黑体"/>
          <w:szCs w:val="30"/>
        </w:rPr>
        <w:instrText xml:space="preserve"> HYPERLINK \l _Toc1866096369 </w:instrText>
      </w:r>
      <w:r>
        <w:rPr>
          <w:rFonts w:ascii="黑体" w:hAnsi="黑体"/>
          <w:szCs w:val="30"/>
        </w:rPr>
        <w:fldChar w:fldCharType="separate"/>
      </w:r>
      <w:r>
        <w:rPr>
          <w:rFonts w:hint="eastAsia" w:ascii="仿宋_GB2312" w:eastAsia="仿宋_GB2312"/>
          <w:szCs w:val="30"/>
        </w:rPr>
        <w:t>4.5. 交易方式分类管理</w:t>
      </w:r>
      <w:r>
        <w:tab/>
      </w:r>
      <w:r>
        <w:fldChar w:fldCharType="begin"/>
      </w:r>
      <w:r>
        <w:instrText xml:space="preserve"> PAGEREF _Toc1866096369 \h </w:instrText>
      </w:r>
      <w:r>
        <w:fldChar w:fldCharType="separate"/>
      </w:r>
      <w:r>
        <w:t>52</w:t>
      </w:r>
      <w:r>
        <w:fldChar w:fldCharType="end"/>
      </w:r>
      <w:r>
        <w:rPr>
          <w:rFonts w:ascii="黑体" w:hAnsi="黑体"/>
          <w:szCs w:val="30"/>
        </w:rPr>
        <w:fldChar w:fldCharType="end"/>
      </w:r>
    </w:p>
    <w:p w14:paraId="4657E40A">
      <w:pPr>
        <w:pStyle w:val="36"/>
        <w:tabs>
          <w:tab w:val="right" w:leader="dot" w:pos="8306"/>
        </w:tabs>
      </w:pPr>
      <w:r>
        <w:rPr>
          <w:rFonts w:ascii="黑体" w:hAnsi="黑体"/>
          <w:szCs w:val="30"/>
        </w:rPr>
        <w:fldChar w:fldCharType="begin"/>
      </w:r>
      <w:r>
        <w:rPr>
          <w:rFonts w:ascii="黑体" w:hAnsi="黑体"/>
          <w:szCs w:val="30"/>
        </w:rPr>
        <w:instrText xml:space="preserve"> HYPERLINK \l _Toc1070097079 </w:instrText>
      </w:r>
      <w:r>
        <w:rPr>
          <w:rFonts w:ascii="黑体" w:hAnsi="黑体"/>
          <w:szCs w:val="30"/>
        </w:rPr>
        <w:fldChar w:fldCharType="separate"/>
      </w:r>
      <w:r>
        <w:rPr>
          <w:rFonts w:hint="eastAsia" w:ascii="仿宋_GB2312" w:eastAsia="仿宋_GB2312"/>
          <w:szCs w:val="30"/>
        </w:rPr>
        <w:t>4.6. 交易</w:t>
      </w:r>
      <w:r>
        <w:rPr>
          <w:rFonts w:ascii="仿宋_GB2312" w:eastAsia="仿宋_GB2312"/>
          <w:szCs w:val="30"/>
        </w:rPr>
        <w:t>申报</w:t>
      </w:r>
      <w:r>
        <w:tab/>
      </w:r>
      <w:r>
        <w:fldChar w:fldCharType="begin"/>
      </w:r>
      <w:r>
        <w:instrText xml:space="preserve"> PAGEREF _Toc1070097079 \h </w:instrText>
      </w:r>
      <w:r>
        <w:fldChar w:fldCharType="separate"/>
      </w:r>
      <w:r>
        <w:t>54</w:t>
      </w:r>
      <w:r>
        <w:fldChar w:fldCharType="end"/>
      </w:r>
      <w:r>
        <w:rPr>
          <w:rFonts w:ascii="黑体" w:hAnsi="黑体"/>
          <w:szCs w:val="30"/>
        </w:rPr>
        <w:fldChar w:fldCharType="end"/>
      </w:r>
    </w:p>
    <w:p w14:paraId="17C0F21F">
      <w:pPr>
        <w:pStyle w:val="36"/>
        <w:tabs>
          <w:tab w:val="right" w:leader="dot" w:pos="8306"/>
        </w:tabs>
      </w:pPr>
      <w:r>
        <w:rPr>
          <w:rFonts w:ascii="黑体" w:hAnsi="黑体"/>
          <w:szCs w:val="30"/>
        </w:rPr>
        <w:fldChar w:fldCharType="begin"/>
      </w:r>
      <w:r>
        <w:rPr>
          <w:rFonts w:ascii="黑体" w:hAnsi="黑体"/>
          <w:szCs w:val="30"/>
        </w:rPr>
        <w:instrText xml:space="preserve"> HYPERLINK \l _Toc569171533 </w:instrText>
      </w:r>
      <w:r>
        <w:rPr>
          <w:rFonts w:ascii="黑体" w:hAnsi="黑体"/>
          <w:szCs w:val="30"/>
        </w:rPr>
        <w:fldChar w:fldCharType="separate"/>
      </w:r>
      <w:r>
        <w:rPr>
          <w:rFonts w:hint="eastAsia" w:ascii="仿宋_GB2312" w:eastAsia="仿宋_GB2312"/>
          <w:szCs w:val="30"/>
        </w:rPr>
        <w:t>4.7. 成交</w:t>
      </w:r>
      <w:r>
        <w:tab/>
      </w:r>
      <w:r>
        <w:fldChar w:fldCharType="begin"/>
      </w:r>
      <w:r>
        <w:instrText xml:space="preserve"> PAGEREF _Toc569171533 \h </w:instrText>
      </w:r>
      <w:r>
        <w:fldChar w:fldCharType="separate"/>
      </w:r>
      <w:r>
        <w:t>61</w:t>
      </w:r>
      <w:r>
        <w:fldChar w:fldCharType="end"/>
      </w:r>
      <w:r>
        <w:rPr>
          <w:rFonts w:ascii="黑体" w:hAnsi="黑体"/>
          <w:szCs w:val="30"/>
        </w:rPr>
        <w:fldChar w:fldCharType="end"/>
      </w:r>
    </w:p>
    <w:p w14:paraId="4CDFDF22">
      <w:pPr>
        <w:pStyle w:val="36"/>
        <w:tabs>
          <w:tab w:val="right" w:leader="dot" w:pos="8306"/>
        </w:tabs>
      </w:pPr>
      <w:r>
        <w:rPr>
          <w:rFonts w:ascii="黑体" w:hAnsi="黑体"/>
          <w:szCs w:val="30"/>
        </w:rPr>
        <w:fldChar w:fldCharType="begin"/>
      </w:r>
      <w:r>
        <w:rPr>
          <w:rFonts w:ascii="黑体" w:hAnsi="黑体"/>
          <w:szCs w:val="30"/>
        </w:rPr>
        <w:instrText xml:space="preserve"> HYPERLINK \l _Toc1429148876 </w:instrText>
      </w:r>
      <w:r>
        <w:rPr>
          <w:rFonts w:ascii="黑体" w:hAnsi="黑体"/>
          <w:szCs w:val="30"/>
        </w:rPr>
        <w:fldChar w:fldCharType="separate"/>
      </w:r>
      <w:r>
        <w:rPr>
          <w:rFonts w:hint="eastAsia" w:ascii="仿宋_GB2312" w:eastAsia="仿宋_GB2312"/>
          <w:szCs w:val="30"/>
        </w:rPr>
        <w:t>4.8. 结算</w:t>
      </w:r>
      <w:r>
        <w:tab/>
      </w:r>
      <w:r>
        <w:fldChar w:fldCharType="begin"/>
      </w:r>
      <w:r>
        <w:instrText xml:space="preserve"> PAGEREF _Toc1429148876 \h </w:instrText>
      </w:r>
      <w:r>
        <w:fldChar w:fldCharType="separate"/>
      </w:r>
      <w:r>
        <w:t>62</w:t>
      </w:r>
      <w:r>
        <w:fldChar w:fldCharType="end"/>
      </w:r>
      <w:r>
        <w:rPr>
          <w:rFonts w:ascii="黑体" w:hAnsi="黑体"/>
          <w:szCs w:val="30"/>
        </w:rPr>
        <w:fldChar w:fldCharType="end"/>
      </w:r>
    </w:p>
    <w:p w14:paraId="6C9F33D6">
      <w:pPr>
        <w:pStyle w:val="30"/>
        <w:tabs>
          <w:tab w:val="right" w:leader="dot" w:pos="8306"/>
        </w:tabs>
      </w:pPr>
      <w:r>
        <w:rPr>
          <w:rFonts w:ascii="黑体" w:hAnsi="黑体"/>
          <w:szCs w:val="30"/>
        </w:rPr>
        <w:fldChar w:fldCharType="begin"/>
      </w:r>
      <w:r>
        <w:rPr>
          <w:rFonts w:ascii="黑体" w:hAnsi="黑体"/>
          <w:szCs w:val="30"/>
        </w:rPr>
        <w:instrText xml:space="preserve"> HYPERLINK \l _Toc1235495223 </w:instrText>
      </w:r>
      <w:r>
        <w:rPr>
          <w:rFonts w:ascii="黑体" w:hAnsi="黑体"/>
          <w:szCs w:val="30"/>
        </w:rPr>
        <w:fldChar w:fldCharType="separate"/>
      </w:r>
      <w:r>
        <w:rPr>
          <w:rFonts w:hint="eastAsia" w:ascii="黑体" w:hAnsi="黑体" w:eastAsia="黑体"/>
          <w:szCs w:val="36"/>
        </w:rPr>
        <w:t xml:space="preserve">5. </w:t>
      </w:r>
      <w:r>
        <w:rPr>
          <w:rFonts w:hint="eastAsia" w:ascii="黑体" w:hAnsi="黑体" w:eastAsia="黑体" w:cs="黑体"/>
        </w:rPr>
        <w:t>债券交易方式</w:t>
      </w:r>
      <w:r>
        <w:tab/>
      </w:r>
      <w:r>
        <w:fldChar w:fldCharType="begin"/>
      </w:r>
      <w:r>
        <w:instrText xml:space="preserve"> PAGEREF _Toc1235495223 \h </w:instrText>
      </w:r>
      <w:r>
        <w:fldChar w:fldCharType="separate"/>
      </w:r>
      <w:r>
        <w:t>63</w:t>
      </w:r>
      <w:r>
        <w:fldChar w:fldCharType="end"/>
      </w:r>
      <w:r>
        <w:rPr>
          <w:rFonts w:ascii="黑体" w:hAnsi="黑体"/>
          <w:szCs w:val="30"/>
        </w:rPr>
        <w:fldChar w:fldCharType="end"/>
      </w:r>
    </w:p>
    <w:p w14:paraId="275200A4">
      <w:pPr>
        <w:pStyle w:val="36"/>
        <w:tabs>
          <w:tab w:val="right" w:leader="dot" w:pos="8306"/>
        </w:tabs>
      </w:pPr>
      <w:r>
        <w:rPr>
          <w:rFonts w:ascii="黑体" w:hAnsi="黑体"/>
          <w:szCs w:val="30"/>
        </w:rPr>
        <w:fldChar w:fldCharType="begin"/>
      </w:r>
      <w:r>
        <w:rPr>
          <w:rFonts w:ascii="黑体" w:hAnsi="黑体"/>
          <w:szCs w:val="30"/>
        </w:rPr>
        <w:instrText xml:space="preserve"> HYPERLINK \l _Toc1661944116 </w:instrText>
      </w:r>
      <w:r>
        <w:rPr>
          <w:rFonts w:ascii="黑体" w:hAnsi="黑体"/>
          <w:szCs w:val="30"/>
        </w:rPr>
        <w:fldChar w:fldCharType="separate"/>
      </w:r>
      <w:r>
        <w:rPr>
          <w:rFonts w:hint="eastAsia" w:ascii="仿宋_GB2312" w:eastAsia="仿宋_GB2312"/>
          <w:szCs w:val="30"/>
        </w:rPr>
        <w:t>5.1. 匹配成交</w:t>
      </w:r>
      <w:r>
        <w:tab/>
      </w:r>
      <w:r>
        <w:fldChar w:fldCharType="begin"/>
      </w:r>
      <w:r>
        <w:instrText xml:space="preserve"> PAGEREF _Toc1661944116 \h </w:instrText>
      </w:r>
      <w:r>
        <w:fldChar w:fldCharType="separate"/>
      </w:r>
      <w:r>
        <w:t>63</w:t>
      </w:r>
      <w:r>
        <w:fldChar w:fldCharType="end"/>
      </w:r>
      <w:r>
        <w:rPr>
          <w:rFonts w:ascii="黑体" w:hAnsi="黑体"/>
          <w:szCs w:val="30"/>
        </w:rPr>
        <w:fldChar w:fldCharType="end"/>
      </w:r>
    </w:p>
    <w:p w14:paraId="10BC3C9D">
      <w:pPr>
        <w:pStyle w:val="36"/>
        <w:tabs>
          <w:tab w:val="right" w:leader="dot" w:pos="8306"/>
        </w:tabs>
      </w:pPr>
      <w:r>
        <w:rPr>
          <w:rFonts w:ascii="黑体" w:hAnsi="黑体"/>
          <w:szCs w:val="30"/>
        </w:rPr>
        <w:fldChar w:fldCharType="begin"/>
      </w:r>
      <w:r>
        <w:rPr>
          <w:rFonts w:ascii="黑体" w:hAnsi="黑体"/>
          <w:szCs w:val="30"/>
        </w:rPr>
        <w:instrText xml:space="preserve"> HYPERLINK \l _Toc641308523 </w:instrText>
      </w:r>
      <w:r>
        <w:rPr>
          <w:rFonts w:ascii="黑体" w:hAnsi="黑体"/>
          <w:szCs w:val="30"/>
        </w:rPr>
        <w:fldChar w:fldCharType="separate"/>
      </w:r>
      <w:r>
        <w:rPr>
          <w:rFonts w:hint="eastAsia" w:ascii="仿宋_GB2312" w:eastAsia="仿宋_GB2312"/>
          <w:szCs w:val="30"/>
        </w:rPr>
        <w:t>5.2. 协商成交</w:t>
      </w:r>
      <w:r>
        <w:tab/>
      </w:r>
      <w:r>
        <w:fldChar w:fldCharType="begin"/>
      </w:r>
      <w:r>
        <w:instrText xml:space="preserve"> PAGEREF _Toc641308523 \h </w:instrText>
      </w:r>
      <w:r>
        <w:fldChar w:fldCharType="separate"/>
      </w:r>
      <w:r>
        <w:t>68</w:t>
      </w:r>
      <w:r>
        <w:fldChar w:fldCharType="end"/>
      </w:r>
      <w:r>
        <w:rPr>
          <w:rFonts w:ascii="黑体" w:hAnsi="黑体"/>
          <w:szCs w:val="30"/>
        </w:rPr>
        <w:fldChar w:fldCharType="end"/>
      </w:r>
    </w:p>
    <w:p w14:paraId="64CD2A2E">
      <w:pPr>
        <w:pStyle w:val="36"/>
        <w:tabs>
          <w:tab w:val="right" w:leader="dot" w:pos="8306"/>
        </w:tabs>
      </w:pPr>
      <w:r>
        <w:rPr>
          <w:rFonts w:ascii="黑体" w:hAnsi="黑体"/>
          <w:szCs w:val="30"/>
        </w:rPr>
        <w:fldChar w:fldCharType="begin"/>
      </w:r>
      <w:r>
        <w:rPr>
          <w:rFonts w:ascii="黑体" w:hAnsi="黑体"/>
          <w:szCs w:val="30"/>
        </w:rPr>
        <w:instrText xml:space="preserve"> HYPERLINK \l _Toc585630784 </w:instrText>
      </w:r>
      <w:r>
        <w:rPr>
          <w:rFonts w:ascii="黑体" w:hAnsi="黑体"/>
          <w:szCs w:val="30"/>
        </w:rPr>
        <w:fldChar w:fldCharType="separate"/>
      </w:r>
      <w:r>
        <w:rPr>
          <w:rFonts w:hint="eastAsia" w:ascii="仿宋_GB2312" w:eastAsia="仿宋_GB2312"/>
          <w:szCs w:val="30"/>
        </w:rPr>
        <w:t>5.3. 点击成交</w:t>
      </w:r>
      <w:r>
        <w:tab/>
      </w:r>
      <w:r>
        <w:fldChar w:fldCharType="begin"/>
      </w:r>
      <w:r>
        <w:instrText xml:space="preserve"> PAGEREF _Toc585630784 \h </w:instrText>
      </w:r>
      <w:r>
        <w:fldChar w:fldCharType="separate"/>
      </w:r>
      <w:r>
        <w:t>73</w:t>
      </w:r>
      <w:r>
        <w:fldChar w:fldCharType="end"/>
      </w:r>
      <w:r>
        <w:rPr>
          <w:rFonts w:ascii="黑体" w:hAnsi="黑体"/>
          <w:szCs w:val="30"/>
        </w:rPr>
        <w:fldChar w:fldCharType="end"/>
      </w:r>
    </w:p>
    <w:p w14:paraId="67EB6EEA">
      <w:pPr>
        <w:pStyle w:val="36"/>
        <w:tabs>
          <w:tab w:val="right" w:leader="dot" w:pos="8306"/>
        </w:tabs>
      </w:pPr>
      <w:r>
        <w:rPr>
          <w:rFonts w:ascii="黑体" w:hAnsi="黑体"/>
          <w:szCs w:val="30"/>
        </w:rPr>
        <w:fldChar w:fldCharType="begin"/>
      </w:r>
      <w:r>
        <w:rPr>
          <w:rFonts w:ascii="黑体" w:hAnsi="黑体"/>
          <w:szCs w:val="30"/>
        </w:rPr>
        <w:instrText xml:space="preserve"> HYPERLINK \l _Toc705439383 </w:instrText>
      </w:r>
      <w:r>
        <w:rPr>
          <w:rFonts w:ascii="黑体" w:hAnsi="黑体"/>
          <w:szCs w:val="30"/>
        </w:rPr>
        <w:fldChar w:fldCharType="separate"/>
      </w:r>
      <w:r>
        <w:rPr>
          <w:rFonts w:hint="eastAsia" w:ascii="仿宋_GB2312" w:eastAsia="仿宋_GB2312"/>
          <w:szCs w:val="30"/>
        </w:rPr>
        <w:t>5.4. 询价成交</w:t>
      </w:r>
      <w:r>
        <w:tab/>
      </w:r>
      <w:r>
        <w:fldChar w:fldCharType="begin"/>
      </w:r>
      <w:r>
        <w:instrText xml:space="preserve"> PAGEREF _Toc705439383 \h </w:instrText>
      </w:r>
      <w:r>
        <w:fldChar w:fldCharType="separate"/>
      </w:r>
      <w:r>
        <w:t>81</w:t>
      </w:r>
      <w:r>
        <w:fldChar w:fldCharType="end"/>
      </w:r>
      <w:r>
        <w:rPr>
          <w:rFonts w:ascii="黑体" w:hAnsi="黑体"/>
          <w:szCs w:val="30"/>
        </w:rPr>
        <w:fldChar w:fldCharType="end"/>
      </w:r>
    </w:p>
    <w:p w14:paraId="29F51E0F">
      <w:pPr>
        <w:pStyle w:val="36"/>
        <w:tabs>
          <w:tab w:val="right" w:leader="dot" w:pos="8306"/>
        </w:tabs>
      </w:pPr>
      <w:r>
        <w:rPr>
          <w:rFonts w:ascii="黑体" w:hAnsi="黑体"/>
          <w:szCs w:val="30"/>
        </w:rPr>
        <w:fldChar w:fldCharType="begin"/>
      </w:r>
      <w:r>
        <w:rPr>
          <w:rFonts w:ascii="黑体" w:hAnsi="黑体"/>
          <w:szCs w:val="30"/>
        </w:rPr>
        <w:instrText xml:space="preserve"> HYPERLINK \l _Toc435477563 </w:instrText>
      </w:r>
      <w:r>
        <w:rPr>
          <w:rFonts w:ascii="黑体" w:hAnsi="黑体"/>
          <w:szCs w:val="30"/>
        </w:rPr>
        <w:fldChar w:fldCharType="separate"/>
      </w:r>
      <w:r>
        <w:rPr>
          <w:rFonts w:hint="eastAsia" w:ascii="仿宋_GB2312" w:eastAsia="仿宋_GB2312"/>
          <w:szCs w:val="30"/>
        </w:rPr>
        <w:t>5.5. 竞买成交</w:t>
      </w:r>
      <w:r>
        <w:tab/>
      </w:r>
      <w:r>
        <w:fldChar w:fldCharType="begin"/>
      </w:r>
      <w:r>
        <w:instrText xml:space="preserve"> PAGEREF _Toc435477563 \h </w:instrText>
      </w:r>
      <w:r>
        <w:fldChar w:fldCharType="separate"/>
      </w:r>
      <w:r>
        <w:t>87</w:t>
      </w:r>
      <w:r>
        <w:fldChar w:fldCharType="end"/>
      </w:r>
      <w:r>
        <w:rPr>
          <w:rFonts w:ascii="黑体" w:hAnsi="黑体"/>
          <w:szCs w:val="30"/>
        </w:rPr>
        <w:fldChar w:fldCharType="end"/>
      </w:r>
    </w:p>
    <w:p w14:paraId="4E4AE5F5">
      <w:pPr>
        <w:pStyle w:val="36"/>
        <w:tabs>
          <w:tab w:val="right" w:leader="dot" w:pos="8306"/>
        </w:tabs>
      </w:pPr>
      <w:r>
        <w:rPr>
          <w:rFonts w:ascii="黑体" w:hAnsi="黑体"/>
          <w:szCs w:val="30"/>
        </w:rPr>
        <w:fldChar w:fldCharType="begin"/>
      </w:r>
      <w:r>
        <w:rPr>
          <w:rFonts w:ascii="黑体" w:hAnsi="黑体"/>
          <w:szCs w:val="30"/>
        </w:rPr>
        <w:instrText xml:space="preserve"> HYPERLINK \l _Toc145283012 </w:instrText>
      </w:r>
      <w:r>
        <w:rPr>
          <w:rFonts w:ascii="黑体" w:hAnsi="黑体"/>
          <w:szCs w:val="30"/>
        </w:rPr>
        <w:fldChar w:fldCharType="separate"/>
      </w:r>
      <w:r>
        <w:rPr>
          <w:rFonts w:hint="eastAsia" w:ascii="仿宋_GB2312" w:eastAsia="仿宋_GB2312"/>
          <w:szCs w:val="30"/>
        </w:rPr>
        <w:t>5.6. 意向申报</w:t>
      </w:r>
      <w:r>
        <w:tab/>
      </w:r>
      <w:r>
        <w:fldChar w:fldCharType="begin"/>
      </w:r>
      <w:r>
        <w:instrText xml:space="preserve"> PAGEREF _Toc145283012 \h </w:instrText>
      </w:r>
      <w:r>
        <w:fldChar w:fldCharType="separate"/>
      </w:r>
      <w:r>
        <w:t>96</w:t>
      </w:r>
      <w:r>
        <w:fldChar w:fldCharType="end"/>
      </w:r>
      <w:r>
        <w:rPr>
          <w:rFonts w:ascii="黑体" w:hAnsi="黑体"/>
          <w:szCs w:val="30"/>
        </w:rPr>
        <w:fldChar w:fldCharType="end"/>
      </w:r>
    </w:p>
    <w:p w14:paraId="2D379140">
      <w:pPr>
        <w:pStyle w:val="30"/>
        <w:tabs>
          <w:tab w:val="right" w:leader="dot" w:pos="8306"/>
        </w:tabs>
      </w:pPr>
      <w:r>
        <w:rPr>
          <w:rFonts w:ascii="黑体" w:hAnsi="黑体"/>
          <w:szCs w:val="30"/>
        </w:rPr>
        <w:fldChar w:fldCharType="begin"/>
      </w:r>
      <w:r>
        <w:rPr>
          <w:rFonts w:ascii="黑体" w:hAnsi="黑体"/>
          <w:szCs w:val="30"/>
        </w:rPr>
        <w:instrText xml:space="preserve"> HYPERLINK \l _Toc1273601072 </w:instrText>
      </w:r>
      <w:r>
        <w:rPr>
          <w:rFonts w:ascii="黑体" w:hAnsi="黑体"/>
          <w:szCs w:val="30"/>
        </w:rPr>
        <w:fldChar w:fldCharType="separate"/>
      </w:r>
      <w:r>
        <w:rPr>
          <w:rFonts w:hint="eastAsia" w:ascii="黑体" w:hAnsi="黑体" w:eastAsia="黑体"/>
          <w:szCs w:val="36"/>
        </w:rPr>
        <w:t xml:space="preserve">6. </w:t>
      </w:r>
      <w:r>
        <w:rPr>
          <w:rFonts w:hint="eastAsia" w:ascii="黑体" w:hAnsi="黑体" w:eastAsia="黑体" w:cs="黑体"/>
        </w:rPr>
        <w:t>债券现券交易</w:t>
      </w:r>
      <w:r>
        <w:tab/>
      </w:r>
      <w:r>
        <w:fldChar w:fldCharType="begin"/>
      </w:r>
      <w:r>
        <w:instrText xml:space="preserve"> PAGEREF _Toc1273601072 \h </w:instrText>
      </w:r>
      <w:r>
        <w:fldChar w:fldCharType="separate"/>
      </w:r>
      <w:r>
        <w:t>100</w:t>
      </w:r>
      <w:r>
        <w:fldChar w:fldCharType="end"/>
      </w:r>
      <w:r>
        <w:rPr>
          <w:rFonts w:ascii="黑体" w:hAnsi="黑体"/>
          <w:szCs w:val="30"/>
        </w:rPr>
        <w:fldChar w:fldCharType="end"/>
      </w:r>
    </w:p>
    <w:p w14:paraId="0BC34701">
      <w:pPr>
        <w:pStyle w:val="36"/>
        <w:tabs>
          <w:tab w:val="right" w:leader="dot" w:pos="8306"/>
        </w:tabs>
      </w:pPr>
      <w:r>
        <w:rPr>
          <w:rFonts w:ascii="黑体" w:hAnsi="黑体"/>
          <w:szCs w:val="30"/>
        </w:rPr>
        <w:fldChar w:fldCharType="begin"/>
      </w:r>
      <w:r>
        <w:rPr>
          <w:rFonts w:ascii="黑体" w:hAnsi="黑体"/>
          <w:szCs w:val="30"/>
        </w:rPr>
        <w:instrText xml:space="preserve"> HYPERLINK \l _Toc1828454772 </w:instrText>
      </w:r>
      <w:r>
        <w:rPr>
          <w:rFonts w:ascii="黑体" w:hAnsi="黑体"/>
          <w:szCs w:val="30"/>
        </w:rPr>
        <w:fldChar w:fldCharType="separate"/>
      </w:r>
      <w:r>
        <w:rPr>
          <w:rFonts w:hint="eastAsia" w:ascii="仿宋_GB2312" w:eastAsia="仿宋_GB2312"/>
          <w:szCs w:val="30"/>
        </w:rPr>
        <w:t>6.1. 交易品种</w:t>
      </w:r>
      <w:r>
        <w:tab/>
      </w:r>
      <w:r>
        <w:fldChar w:fldCharType="begin"/>
      </w:r>
      <w:r>
        <w:instrText xml:space="preserve"> PAGEREF _Toc1828454772 \h </w:instrText>
      </w:r>
      <w:r>
        <w:fldChar w:fldCharType="separate"/>
      </w:r>
      <w:r>
        <w:t>100</w:t>
      </w:r>
      <w:r>
        <w:fldChar w:fldCharType="end"/>
      </w:r>
      <w:r>
        <w:rPr>
          <w:rFonts w:ascii="黑体" w:hAnsi="黑体"/>
          <w:szCs w:val="30"/>
        </w:rPr>
        <w:fldChar w:fldCharType="end"/>
      </w:r>
    </w:p>
    <w:p w14:paraId="06308F95">
      <w:pPr>
        <w:pStyle w:val="36"/>
        <w:tabs>
          <w:tab w:val="right" w:leader="dot" w:pos="8306"/>
        </w:tabs>
      </w:pPr>
      <w:r>
        <w:rPr>
          <w:rFonts w:ascii="黑体" w:hAnsi="黑体"/>
          <w:szCs w:val="30"/>
        </w:rPr>
        <w:fldChar w:fldCharType="begin"/>
      </w:r>
      <w:r>
        <w:rPr>
          <w:rFonts w:ascii="黑体" w:hAnsi="黑体"/>
          <w:szCs w:val="30"/>
        </w:rPr>
        <w:instrText xml:space="preserve"> HYPERLINK \l _Toc1487610354 </w:instrText>
      </w:r>
      <w:r>
        <w:rPr>
          <w:rFonts w:ascii="黑体" w:hAnsi="黑体"/>
          <w:szCs w:val="30"/>
        </w:rPr>
        <w:fldChar w:fldCharType="separate"/>
      </w:r>
      <w:r>
        <w:rPr>
          <w:rFonts w:hint="eastAsia" w:ascii="仿宋_GB2312" w:eastAsia="仿宋_GB2312"/>
          <w:szCs w:val="30"/>
        </w:rPr>
        <w:t>6.2. 现券交易申报与成交</w:t>
      </w:r>
      <w:r>
        <w:tab/>
      </w:r>
      <w:r>
        <w:fldChar w:fldCharType="begin"/>
      </w:r>
      <w:r>
        <w:instrText xml:space="preserve"> PAGEREF _Toc1487610354 \h </w:instrText>
      </w:r>
      <w:r>
        <w:fldChar w:fldCharType="separate"/>
      </w:r>
      <w:r>
        <w:t>102</w:t>
      </w:r>
      <w:r>
        <w:fldChar w:fldCharType="end"/>
      </w:r>
      <w:r>
        <w:rPr>
          <w:rFonts w:ascii="黑体" w:hAnsi="黑体"/>
          <w:szCs w:val="30"/>
        </w:rPr>
        <w:fldChar w:fldCharType="end"/>
      </w:r>
    </w:p>
    <w:p w14:paraId="0BBB21BF">
      <w:pPr>
        <w:pStyle w:val="36"/>
        <w:tabs>
          <w:tab w:val="right" w:leader="dot" w:pos="8306"/>
        </w:tabs>
      </w:pPr>
      <w:r>
        <w:rPr>
          <w:rFonts w:ascii="黑体" w:hAnsi="黑体"/>
          <w:szCs w:val="30"/>
        </w:rPr>
        <w:fldChar w:fldCharType="begin"/>
      </w:r>
      <w:r>
        <w:rPr>
          <w:rFonts w:ascii="黑体" w:hAnsi="黑体"/>
          <w:szCs w:val="30"/>
        </w:rPr>
        <w:instrText xml:space="preserve"> HYPERLINK \l _Toc159506941 </w:instrText>
      </w:r>
      <w:r>
        <w:rPr>
          <w:rFonts w:ascii="黑体" w:hAnsi="黑体"/>
          <w:szCs w:val="30"/>
        </w:rPr>
        <w:fldChar w:fldCharType="separate"/>
      </w:r>
      <w:r>
        <w:rPr>
          <w:rFonts w:hint="eastAsia" w:ascii="仿宋_GB2312" w:eastAsia="仿宋_GB2312"/>
          <w:szCs w:val="30"/>
        </w:rPr>
        <w:t>6.3. 债券做市</w:t>
      </w:r>
      <w:r>
        <w:tab/>
      </w:r>
      <w:r>
        <w:fldChar w:fldCharType="begin"/>
      </w:r>
      <w:r>
        <w:instrText xml:space="preserve"> PAGEREF _Toc159506941 \h </w:instrText>
      </w:r>
      <w:r>
        <w:fldChar w:fldCharType="separate"/>
      </w:r>
      <w:r>
        <w:t>102</w:t>
      </w:r>
      <w:r>
        <w:fldChar w:fldCharType="end"/>
      </w:r>
      <w:r>
        <w:rPr>
          <w:rFonts w:ascii="黑体" w:hAnsi="黑体"/>
          <w:szCs w:val="30"/>
        </w:rPr>
        <w:fldChar w:fldCharType="end"/>
      </w:r>
    </w:p>
    <w:p w14:paraId="1B2C10F2">
      <w:pPr>
        <w:pStyle w:val="36"/>
        <w:tabs>
          <w:tab w:val="right" w:leader="dot" w:pos="8306"/>
        </w:tabs>
      </w:pPr>
      <w:r>
        <w:rPr>
          <w:rFonts w:ascii="黑体" w:hAnsi="黑体"/>
          <w:szCs w:val="30"/>
        </w:rPr>
        <w:fldChar w:fldCharType="begin"/>
      </w:r>
      <w:r>
        <w:rPr>
          <w:rFonts w:ascii="黑体" w:hAnsi="黑体"/>
          <w:szCs w:val="30"/>
        </w:rPr>
        <w:instrText xml:space="preserve"> HYPERLINK \l _Toc1226518137 </w:instrText>
      </w:r>
      <w:r>
        <w:rPr>
          <w:rFonts w:ascii="黑体" w:hAnsi="黑体"/>
          <w:szCs w:val="30"/>
        </w:rPr>
        <w:fldChar w:fldCharType="separate"/>
      </w:r>
      <w:r>
        <w:rPr>
          <w:rFonts w:hint="eastAsia" w:ascii="仿宋_GB2312" w:eastAsia="仿宋_GB2312"/>
          <w:szCs w:val="30"/>
        </w:rPr>
        <w:t>6.4. 特定债券转让</w:t>
      </w:r>
      <w:r>
        <w:tab/>
      </w:r>
      <w:r>
        <w:fldChar w:fldCharType="begin"/>
      </w:r>
      <w:r>
        <w:instrText xml:space="preserve"> PAGEREF _Toc1226518137 \h </w:instrText>
      </w:r>
      <w:r>
        <w:fldChar w:fldCharType="separate"/>
      </w:r>
      <w:r>
        <w:t>116</w:t>
      </w:r>
      <w:r>
        <w:fldChar w:fldCharType="end"/>
      </w:r>
      <w:r>
        <w:rPr>
          <w:rFonts w:ascii="黑体" w:hAnsi="黑体"/>
          <w:szCs w:val="30"/>
        </w:rPr>
        <w:fldChar w:fldCharType="end"/>
      </w:r>
    </w:p>
    <w:p w14:paraId="629CB16C">
      <w:pPr>
        <w:pStyle w:val="36"/>
        <w:tabs>
          <w:tab w:val="right" w:leader="dot" w:pos="8306"/>
        </w:tabs>
      </w:pPr>
      <w:r>
        <w:rPr>
          <w:rFonts w:ascii="黑体" w:hAnsi="黑体"/>
          <w:szCs w:val="30"/>
        </w:rPr>
        <w:fldChar w:fldCharType="begin"/>
      </w:r>
      <w:r>
        <w:rPr>
          <w:rFonts w:ascii="黑体" w:hAnsi="黑体"/>
          <w:szCs w:val="30"/>
        </w:rPr>
        <w:instrText xml:space="preserve"> HYPERLINK \l _Toc694856006 </w:instrText>
      </w:r>
      <w:r>
        <w:rPr>
          <w:rFonts w:ascii="黑体" w:hAnsi="黑体"/>
          <w:szCs w:val="30"/>
        </w:rPr>
        <w:fldChar w:fldCharType="separate"/>
      </w:r>
      <w:r>
        <w:rPr>
          <w:rFonts w:hint="eastAsia" w:ascii="仿宋_GB2312" w:eastAsia="仿宋_GB2312"/>
          <w:szCs w:val="30"/>
        </w:rPr>
        <w:t xml:space="preserve">6.5. </w:t>
      </w:r>
      <w:r>
        <w:rPr>
          <w:rFonts w:ascii="仿宋_GB2312" w:eastAsia="仿宋_GB2312"/>
          <w:szCs w:val="30"/>
        </w:rPr>
        <w:t>盘中临时停牌</w:t>
      </w:r>
      <w:r>
        <w:tab/>
      </w:r>
      <w:r>
        <w:fldChar w:fldCharType="begin"/>
      </w:r>
      <w:r>
        <w:instrText xml:space="preserve"> PAGEREF _Toc694856006 \h </w:instrText>
      </w:r>
      <w:r>
        <w:fldChar w:fldCharType="separate"/>
      </w:r>
      <w:r>
        <w:t>118</w:t>
      </w:r>
      <w:r>
        <w:fldChar w:fldCharType="end"/>
      </w:r>
      <w:r>
        <w:rPr>
          <w:rFonts w:ascii="黑体" w:hAnsi="黑体"/>
          <w:szCs w:val="30"/>
        </w:rPr>
        <w:fldChar w:fldCharType="end"/>
      </w:r>
    </w:p>
    <w:p w14:paraId="305AF392">
      <w:pPr>
        <w:pStyle w:val="30"/>
        <w:tabs>
          <w:tab w:val="right" w:leader="dot" w:pos="8306"/>
        </w:tabs>
      </w:pPr>
      <w:r>
        <w:rPr>
          <w:rFonts w:ascii="黑体" w:hAnsi="黑体"/>
          <w:szCs w:val="30"/>
        </w:rPr>
        <w:fldChar w:fldCharType="begin"/>
      </w:r>
      <w:r>
        <w:rPr>
          <w:rFonts w:ascii="黑体" w:hAnsi="黑体"/>
          <w:szCs w:val="30"/>
        </w:rPr>
        <w:instrText xml:space="preserve"> HYPERLINK \l _Toc1215805325 </w:instrText>
      </w:r>
      <w:r>
        <w:rPr>
          <w:rFonts w:ascii="黑体" w:hAnsi="黑体"/>
          <w:szCs w:val="30"/>
        </w:rPr>
        <w:fldChar w:fldCharType="separate"/>
      </w:r>
      <w:r>
        <w:rPr>
          <w:rFonts w:hint="eastAsia" w:ascii="黑体" w:hAnsi="黑体" w:eastAsia="黑体"/>
          <w:szCs w:val="36"/>
        </w:rPr>
        <w:t xml:space="preserve">7. </w:t>
      </w:r>
      <w:r>
        <w:rPr>
          <w:rFonts w:hint="eastAsia" w:ascii="黑体" w:hAnsi="黑体" w:eastAsia="黑体" w:cs="黑体"/>
        </w:rPr>
        <w:t>债券回购交易</w:t>
      </w:r>
      <w:r>
        <w:tab/>
      </w:r>
      <w:r>
        <w:fldChar w:fldCharType="begin"/>
      </w:r>
      <w:r>
        <w:instrText xml:space="preserve"> PAGEREF _Toc1215805325 \h </w:instrText>
      </w:r>
      <w:r>
        <w:fldChar w:fldCharType="separate"/>
      </w:r>
      <w:r>
        <w:t>120</w:t>
      </w:r>
      <w:r>
        <w:fldChar w:fldCharType="end"/>
      </w:r>
      <w:r>
        <w:rPr>
          <w:rFonts w:ascii="黑体" w:hAnsi="黑体"/>
          <w:szCs w:val="30"/>
        </w:rPr>
        <w:fldChar w:fldCharType="end"/>
      </w:r>
    </w:p>
    <w:p w14:paraId="04D756BE">
      <w:pPr>
        <w:pStyle w:val="36"/>
        <w:tabs>
          <w:tab w:val="right" w:leader="dot" w:pos="8306"/>
        </w:tabs>
      </w:pPr>
      <w:r>
        <w:rPr>
          <w:rFonts w:ascii="黑体" w:hAnsi="黑体"/>
          <w:szCs w:val="30"/>
        </w:rPr>
        <w:fldChar w:fldCharType="begin"/>
      </w:r>
      <w:r>
        <w:rPr>
          <w:rFonts w:ascii="黑体" w:hAnsi="黑体"/>
          <w:szCs w:val="30"/>
        </w:rPr>
        <w:instrText xml:space="preserve"> HYPERLINK \l _Toc1358345383 </w:instrText>
      </w:r>
      <w:r>
        <w:rPr>
          <w:rFonts w:ascii="黑体" w:hAnsi="黑体"/>
          <w:szCs w:val="30"/>
        </w:rPr>
        <w:fldChar w:fldCharType="separate"/>
      </w:r>
      <w:r>
        <w:rPr>
          <w:rFonts w:hint="eastAsia" w:ascii="仿宋_GB2312" w:eastAsia="仿宋_GB2312"/>
          <w:szCs w:val="30"/>
        </w:rPr>
        <w:t>7.1. 一般规定</w:t>
      </w:r>
      <w:r>
        <w:tab/>
      </w:r>
      <w:r>
        <w:fldChar w:fldCharType="begin"/>
      </w:r>
      <w:r>
        <w:instrText xml:space="preserve"> PAGEREF _Toc1358345383 \h </w:instrText>
      </w:r>
      <w:r>
        <w:fldChar w:fldCharType="separate"/>
      </w:r>
      <w:r>
        <w:t>120</w:t>
      </w:r>
      <w:r>
        <w:fldChar w:fldCharType="end"/>
      </w:r>
      <w:r>
        <w:rPr>
          <w:rFonts w:ascii="黑体" w:hAnsi="黑体"/>
          <w:szCs w:val="30"/>
        </w:rPr>
        <w:fldChar w:fldCharType="end"/>
      </w:r>
    </w:p>
    <w:p w14:paraId="77A87AF1">
      <w:pPr>
        <w:pStyle w:val="36"/>
        <w:tabs>
          <w:tab w:val="right" w:leader="dot" w:pos="8306"/>
        </w:tabs>
      </w:pPr>
      <w:r>
        <w:rPr>
          <w:rFonts w:ascii="黑体" w:hAnsi="黑体"/>
          <w:szCs w:val="30"/>
        </w:rPr>
        <w:fldChar w:fldCharType="begin"/>
      </w:r>
      <w:r>
        <w:rPr>
          <w:rFonts w:ascii="黑体" w:hAnsi="黑体"/>
          <w:szCs w:val="30"/>
        </w:rPr>
        <w:instrText xml:space="preserve"> HYPERLINK \l _Toc270929372 </w:instrText>
      </w:r>
      <w:r>
        <w:rPr>
          <w:rFonts w:ascii="黑体" w:hAnsi="黑体"/>
          <w:szCs w:val="30"/>
        </w:rPr>
        <w:fldChar w:fldCharType="separate"/>
      </w:r>
      <w:r>
        <w:rPr>
          <w:rFonts w:hint="eastAsia" w:ascii="仿宋_GB2312" w:eastAsia="仿宋_GB2312"/>
          <w:szCs w:val="30"/>
        </w:rPr>
        <w:t>7.2. 债券通用质押式回购</w:t>
      </w:r>
      <w:r>
        <w:tab/>
      </w:r>
      <w:r>
        <w:fldChar w:fldCharType="begin"/>
      </w:r>
      <w:r>
        <w:instrText xml:space="preserve"> PAGEREF _Toc270929372 \h </w:instrText>
      </w:r>
      <w:r>
        <w:fldChar w:fldCharType="separate"/>
      </w:r>
      <w:r>
        <w:t>124</w:t>
      </w:r>
      <w:r>
        <w:fldChar w:fldCharType="end"/>
      </w:r>
      <w:r>
        <w:rPr>
          <w:rFonts w:ascii="黑体" w:hAnsi="黑体"/>
          <w:szCs w:val="30"/>
        </w:rPr>
        <w:fldChar w:fldCharType="end"/>
      </w:r>
    </w:p>
    <w:p w14:paraId="617330FD">
      <w:pPr>
        <w:pStyle w:val="36"/>
        <w:tabs>
          <w:tab w:val="right" w:leader="dot" w:pos="8306"/>
        </w:tabs>
      </w:pPr>
      <w:r>
        <w:rPr>
          <w:rFonts w:ascii="黑体" w:hAnsi="黑体"/>
          <w:szCs w:val="30"/>
        </w:rPr>
        <w:fldChar w:fldCharType="begin"/>
      </w:r>
      <w:r>
        <w:rPr>
          <w:rFonts w:ascii="黑体" w:hAnsi="黑体"/>
          <w:szCs w:val="30"/>
        </w:rPr>
        <w:instrText xml:space="preserve"> HYPERLINK \l _Toc1028633105 </w:instrText>
      </w:r>
      <w:r>
        <w:rPr>
          <w:rFonts w:ascii="黑体" w:hAnsi="黑体"/>
          <w:szCs w:val="30"/>
        </w:rPr>
        <w:fldChar w:fldCharType="separate"/>
      </w:r>
      <w:r>
        <w:rPr>
          <w:rFonts w:hint="eastAsia" w:ascii="仿宋_GB2312" w:eastAsia="仿宋_GB2312"/>
          <w:szCs w:val="30"/>
        </w:rPr>
        <w:t>7.3. 债券质押式协议回购</w:t>
      </w:r>
      <w:r>
        <w:tab/>
      </w:r>
      <w:r>
        <w:fldChar w:fldCharType="begin"/>
      </w:r>
      <w:r>
        <w:instrText xml:space="preserve"> PAGEREF _Toc1028633105 \h </w:instrText>
      </w:r>
      <w:r>
        <w:fldChar w:fldCharType="separate"/>
      </w:r>
      <w:r>
        <w:t>139</w:t>
      </w:r>
      <w:r>
        <w:fldChar w:fldCharType="end"/>
      </w:r>
      <w:r>
        <w:rPr>
          <w:rFonts w:ascii="黑体" w:hAnsi="黑体"/>
          <w:szCs w:val="30"/>
        </w:rPr>
        <w:fldChar w:fldCharType="end"/>
      </w:r>
    </w:p>
    <w:p w14:paraId="56FA8C78">
      <w:pPr>
        <w:pStyle w:val="36"/>
        <w:tabs>
          <w:tab w:val="right" w:leader="dot" w:pos="8306"/>
        </w:tabs>
      </w:pPr>
      <w:r>
        <w:rPr>
          <w:rFonts w:ascii="黑体" w:hAnsi="黑体"/>
          <w:szCs w:val="30"/>
        </w:rPr>
        <w:fldChar w:fldCharType="begin"/>
      </w:r>
      <w:r>
        <w:rPr>
          <w:rFonts w:ascii="黑体" w:hAnsi="黑体"/>
          <w:szCs w:val="30"/>
        </w:rPr>
        <w:instrText xml:space="preserve"> HYPERLINK \l _Toc570549645 </w:instrText>
      </w:r>
      <w:r>
        <w:rPr>
          <w:rFonts w:ascii="黑体" w:hAnsi="黑体"/>
          <w:szCs w:val="30"/>
        </w:rPr>
        <w:fldChar w:fldCharType="separate"/>
      </w:r>
      <w:r>
        <w:rPr>
          <w:rFonts w:hint="eastAsia" w:ascii="仿宋_GB2312" w:eastAsia="仿宋_GB2312"/>
          <w:szCs w:val="30"/>
        </w:rPr>
        <w:t>7.4. 债券质押式三方回购</w:t>
      </w:r>
      <w:r>
        <w:tab/>
      </w:r>
      <w:r>
        <w:fldChar w:fldCharType="begin"/>
      </w:r>
      <w:r>
        <w:instrText xml:space="preserve"> PAGEREF _Toc570549645 \h </w:instrText>
      </w:r>
      <w:r>
        <w:fldChar w:fldCharType="separate"/>
      </w:r>
      <w:r>
        <w:t>152</w:t>
      </w:r>
      <w:r>
        <w:fldChar w:fldCharType="end"/>
      </w:r>
      <w:r>
        <w:rPr>
          <w:rFonts w:ascii="黑体" w:hAnsi="黑体"/>
          <w:szCs w:val="30"/>
        </w:rPr>
        <w:fldChar w:fldCharType="end"/>
      </w:r>
    </w:p>
    <w:p w14:paraId="28422B01">
      <w:pPr>
        <w:pStyle w:val="30"/>
        <w:tabs>
          <w:tab w:val="right" w:leader="dot" w:pos="8306"/>
        </w:tabs>
      </w:pPr>
      <w:r>
        <w:rPr>
          <w:rFonts w:ascii="黑体" w:hAnsi="黑体"/>
          <w:szCs w:val="30"/>
        </w:rPr>
        <w:fldChar w:fldCharType="begin"/>
      </w:r>
      <w:r>
        <w:rPr>
          <w:rFonts w:ascii="黑体" w:hAnsi="黑体"/>
          <w:szCs w:val="30"/>
        </w:rPr>
        <w:instrText xml:space="preserve"> HYPERLINK \l _Toc1432604411 </w:instrText>
      </w:r>
      <w:r>
        <w:rPr>
          <w:rFonts w:ascii="黑体" w:hAnsi="黑体"/>
          <w:szCs w:val="30"/>
        </w:rPr>
        <w:fldChar w:fldCharType="separate"/>
      </w:r>
      <w:r>
        <w:rPr>
          <w:rFonts w:hint="eastAsia" w:ascii="黑体" w:hAnsi="黑体" w:eastAsia="黑体"/>
          <w:szCs w:val="36"/>
        </w:rPr>
        <w:t xml:space="preserve">8. </w:t>
      </w:r>
      <w:r>
        <w:rPr>
          <w:rFonts w:hint="eastAsia" w:ascii="黑体" w:hAnsi="黑体" w:eastAsia="黑体" w:cs="黑体"/>
        </w:rPr>
        <w:t>其他交易类型</w:t>
      </w:r>
      <w:r>
        <w:tab/>
      </w:r>
      <w:r>
        <w:fldChar w:fldCharType="begin"/>
      </w:r>
      <w:r>
        <w:instrText xml:space="preserve"> PAGEREF _Toc1432604411 \h </w:instrText>
      </w:r>
      <w:r>
        <w:fldChar w:fldCharType="separate"/>
      </w:r>
      <w:r>
        <w:t>180</w:t>
      </w:r>
      <w:r>
        <w:fldChar w:fldCharType="end"/>
      </w:r>
      <w:r>
        <w:rPr>
          <w:rFonts w:ascii="黑体" w:hAnsi="黑体"/>
          <w:szCs w:val="30"/>
        </w:rPr>
        <w:fldChar w:fldCharType="end"/>
      </w:r>
    </w:p>
    <w:p w14:paraId="0B55A9B6">
      <w:pPr>
        <w:pStyle w:val="36"/>
        <w:tabs>
          <w:tab w:val="right" w:leader="dot" w:pos="8306"/>
        </w:tabs>
      </w:pPr>
      <w:r>
        <w:rPr>
          <w:rFonts w:ascii="黑体" w:hAnsi="黑体"/>
          <w:szCs w:val="30"/>
        </w:rPr>
        <w:fldChar w:fldCharType="begin"/>
      </w:r>
      <w:r>
        <w:rPr>
          <w:rFonts w:ascii="黑体" w:hAnsi="黑体"/>
          <w:szCs w:val="30"/>
        </w:rPr>
        <w:instrText xml:space="preserve"> HYPERLINK \l _Toc1747744484 </w:instrText>
      </w:r>
      <w:r>
        <w:rPr>
          <w:rFonts w:ascii="黑体" w:hAnsi="黑体"/>
          <w:szCs w:val="30"/>
        </w:rPr>
        <w:fldChar w:fldCharType="separate"/>
      </w:r>
      <w:r>
        <w:rPr>
          <w:rFonts w:hint="eastAsia" w:ascii="仿宋_GB2312" w:eastAsia="仿宋_GB2312"/>
          <w:szCs w:val="30"/>
        </w:rPr>
        <w:t>8.1. 国债预发行</w:t>
      </w:r>
      <w:r>
        <w:tab/>
      </w:r>
      <w:r>
        <w:fldChar w:fldCharType="begin"/>
      </w:r>
      <w:r>
        <w:instrText xml:space="preserve"> PAGEREF _Toc1747744484 \h </w:instrText>
      </w:r>
      <w:r>
        <w:fldChar w:fldCharType="separate"/>
      </w:r>
      <w:r>
        <w:t>180</w:t>
      </w:r>
      <w:r>
        <w:fldChar w:fldCharType="end"/>
      </w:r>
      <w:r>
        <w:rPr>
          <w:rFonts w:ascii="黑体" w:hAnsi="黑体"/>
          <w:szCs w:val="30"/>
        </w:rPr>
        <w:fldChar w:fldCharType="end"/>
      </w:r>
    </w:p>
    <w:p w14:paraId="0DEF68F6">
      <w:pPr>
        <w:pStyle w:val="36"/>
        <w:tabs>
          <w:tab w:val="right" w:leader="dot" w:pos="8306"/>
        </w:tabs>
      </w:pPr>
      <w:r>
        <w:rPr>
          <w:rFonts w:ascii="黑体" w:hAnsi="黑体"/>
          <w:szCs w:val="30"/>
        </w:rPr>
        <w:fldChar w:fldCharType="begin"/>
      </w:r>
      <w:r>
        <w:rPr>
          <w:rFonts w:ascii="黑体" w:hAnsi="黑体"/>
          <w:szCs w:val="30"/>
        </w:rPr>
        <w:instrText xml:space="preserve"> HYPERLINK \l _Toc964663073 </w:instrText>
      </w:r>
      <w:r>
        <w:rPr>
          <w:rFonts w:ascii="黑体" w:hAnsi="黑体"/>
          <w:szCs w:val="30"/>
        </w:rPr>
        <w:fldChar w:fldCharType="separate"/>
      </w:r>
      <w:r>
        <w:rPr>
          <w:rFonts w:hint="eastAsia" w:ascii="仿宋_GB2312" w:eastAsia="仿宋_GB2312"/>
          <w:szCs w:val="30"/>
        </w:rPr>
        <w:t>8.2. 债券借贷</w:t>
      </w:r>
      <w:r>
        <w:tab/>
      </w:r>
      <w:r>
        <w:fldChar w:fldCharType="begin"/>
      </w:r>
      <w:r>
        <w:instrText xml:space="preserve"> PAGEREF _Toc964663073 \h </w:instrText>
      </w:r>
      <w:r>
        <w:fldChar w:fldCharType="separate"/>
      </w:r>
      <w:r>
        <w:t>189</w:t>
      </w:r>
      <w:r>
        <w:fldChar w:fldCharType="end"/>
      </w:r>
      <w:r>
        <w:rPr>
          <w:rFonts w:ascii="黑体" w:hAnsi="黑体"/>
          <w:szCs w:val="30"/>
        </w:rPr>
        <w:fldChar w:fldCharType="end"/>
      </w:r>
    </w:p>
    <w:p w14:paraId="70619BA5">
      <w:pPr>
        <w:pStyle w:val="36"/>
        <w:tabs>
          <w:tab w:val="right" w:leader="dot" w:pos="8306"/>
        </w:tabs>
      </w:pPr>
      <w:r>
        <w:rPr>
          <w:rFonts w:ascii="黑体" w:hAnsi="黑体"/>
          <w:szCs w:val="30"/>
        </w:rPr>
        <w:fldChar w:fldCharType="begin"/>
      </w:r>
      <w:r>
        <w:rPr>
          <w:rFonts w:ascii="黑体" w:hAnsi="黑体"/>
          <w:szCs w:val="30"/>
        </w:rPr>
        <w:instrText xml:space="preserve"> HYPERLINK \l _Toc1540184464 </w:instrText>
      </w:r>
      <w:r>
        <w:rPr>
          <w:rFonts w:ascii="黑体" w:hAnsi="黑体"/>
          <w:szCs w:val="30"/>
        </w:rPr>
        <w:fldChar w:fldCharType="separate"/>
      </w:r>
      <w:r>
        <w:rPr>
          <w:rFonts w:hint="eastAsia" w:ascii="仿宋_GB2312" w:eastAsia="仿宋_GB2312"/>
          <w:szCs w:val="30"/>
        </w:rPr>
        <w:t>8.3. 信用保护工具</w:t>
      </w:r>
      <w:r>
        <w:tab/>
      </w:r>
      <w:r>
        <w:fldChar w:fldCharType="begin"/>
      </w:r>
      <w:r>
        <w:instrText xml:space="preserve"> PAGEREF _Toc1540184464 \h </w:instrText>
      </w:r>
      <w:r>
        <w:fldChar w:fldCharType="separate"/>
      </w:r>
      <w:r>
        <w:t>205</w:t>
      </w:r>
      <w:r>
        <w:fldChar w:fldCharType="end"/>
      </w:r>
      <w:r>
        <w:rPr>
          <w:rFonts w:ascii="黑体" w:hAnsi="黑体"/>
          <w:szCs w:val="30"/>
        </w:rPr>
        <w:fldChar w:fldCharType="end"/>
      </w:r>
    </w:p>
    <w:p w14:paraId="14BB8323">
      <w:pPr>
        <w:pStyle w:val="36"/>
        <w:tabs>
          <w:tab w:val="right" w:leader="dot" w:pos="8306"/>
        </w:tabs>
      </w:pPr>
      <w:r>
        <w:rPr>
          <w:rFonts w:ascii="黑体" w:hAnsi="黑体"/>
          <w:szCs w:val="30"/>
        </w:rPr>
        <w:fldChar w:fldCharType="begin"/>
      </w:r>
      <w:r>
        <w:rPr>
          <w:rFonts w:ascii="黑体" w:hAnsi="黑体"/>
          <w:szCs w:val="30"/>
        </w:rPr>
        <w:instrText xml:space="preserve"> HYPERLINK \l _Toc364396417 </w:instrText>
      </w:r>
      <w:r>
        <w:rPr>
          <w:rFonts w:ascii="黑体" w:hAnsi="黑体"/>
          <w:szCs w:val="30"/>
        </w:rPr>
        <w:fldChar w:fldCharType="separate"/>
      </w:r>
      <w:r>
        <w:rPr>
          <w:rFonts w:hint="eastAsia" w:ascii="仿宋_GB2312" w:eastAsia="仿宋_GB2312" w:cs="宋体"/>
          <w:szCs w:val="30"/>
        </w:rPr>
        <w:t xml:space="preserve">8.4. </w:t>
      </w:r>
      <w:r>
        <w:rPr>
          <w:rFonts w:hint="eastAsia" w:eastAsia="仿宋_GB2312" w:cs="宋体"/>
          <w:szCs w:val="30"/>
        </w:rPr>
        <w:t>担保品处置</w:t>
      </w:r>
      <w:r>
        <w:tab/>
      </w:r>
      <w:r>
        <w:fldChar w:fldCharType="begin"/>
      </w:r>
      <w:r>
        <w:instrText xml:space="preserve"> PAGEREF _Toc364396417 \h </w:instrText>
      </w:r>
      <w:r>
        <w:fldChar w:fldCharType="separate"/>
      </w:r>
      <w:r>
        <w:t>226</w:t>
      </w:r>
      <w:r>
        <w:fldChar w:fldCharType="end"/>
      </w:r>
      <w:r>
        <w:rPr>
          <w:rFonts w:ascii="黑体" w:hAnsi="黑体"/>
          <w:szCs w:val="30"/>
        </w:rPr>
        <w:fldChar w:fldCharType="end"/>
      </w:r>
    </w:p>
    <w:p w14:paraId="5254D65F">
      <w:pPr>
        <w:pStyle w:val="30"/>
        <w:tabs>
          <w:tab w:val="right" w:leader="dot" w:pos="8306"/>
        </w:tabs>
      </w:pPr>
      <w:r>
        <w:rPr>
          <w:rFonts w:ascii="黑体" w:hAnsi="黑体"/>
          <w:szCs w:val="30"/>
        </w:rPr>
        <w:fldChar w:fldCharType="begin"/>
      </w:r>
      <w:r>
        <w:rPr>
          <w:rFonts w:ascii="黑体" w:hAnsi="黑体"/>
          <w:szCs w:val="30"/>
        </w:rPr>
        <w:instrText xml:space="preserve"> HYPERLINK \l _Toc146766709 </w:instrText>
      </w:r>
      <w:r>
        <w:rPr>
          <w:rFonts w:ascii="黑体" w:hAnsi="黑体"/>
          <w:szCs w:val="30"/>
        </w:rPr>
        <w:fldChar w:fldCharType="separate"/>
      </w:r>
      <w:r>
        <w:rPr>
          <w:rFonts w:hint="eastAsia" w:ascii="黑体" w:hAnsi="黑体" w:eastAsia="黑体"/>
          <w:szCs w:val="36"/>
        </w:rPr>
        <w:t xml:space="preserve">9. </w:t>
      </w:r>
      <w:r>
        <w:rPr>
          <w:rFonts w:hint="eastAsia" w:ascii="黑体" w:hAnsi="黑体" w:eastAsia="黑体" w:cs="黑体"/>
        </w:rPr>
        <w:t>非交易类服务</w:t>
      </w:r>
      <w:r>
        <w:tab/>
      </w:r>
      <w:r>
        <w:fldChar w:fldCharType="begin"/>
      </w:r>
      <w:r>
        <w:instrText xml:space="preserve"> PAGEREF _Toc146766709 \h </w:instrText>
      </w:r>
      <w:r>
        <w:fldChar w:fldCharType="separate"/>
      </w:r>
      <w:r>
        <w:t>239</w:t>
      </w:r>
      <w:r>
        <w:fldChar w:fldCharType="end"/>
      </w:r>
      <w:r>
        <w:rPr>
          <w:rFonts w:ascii="黑体" w:hAnsi="黑体"/>
          <w:szCs w:val="30"/>
        </w:rPr>
        <w:fldChar w:fldCharType="end"/>
      </w:r>
    </w:p>
    <w:p w14:paraId="6E8913EF">
      <w:pPr>
        <w:pStyle w:val="36"/>
        <w:tabs>
          <w:tab w:val="right" w:leader="dot" w:pos="8306"/>
        </w:tabs>
      </w:pPr>
      <w:r>
        <w:rPr>
          <w:rFonts w:ascii="黑体" w:hAnsi="黑体"/>
          <w:szCs w:val="30"/>
        </w:rPr>
        <w:fldChar w:fldCharType="begin"/>
      </w:r>
      <w:r>
        <w:rPr>
          <w:rFonts w:ascii="黑体" w:hAnsi="黑体"/>
          <w:szCs w:val="30"/>
        </w:rPr>
        <w:instrText xml:space="preserve"> HYPERLINK \l _Toc1467755992 </w:instrText>
      </w:r>
      <w:r>
        <w:rPr>
          <w:rFonts w:ascii="黑体" w:hAnsi="黑体"/>
          <w:szCs w:val="30"/>
        </w:rPr>
        <w:fldChar w:fldCharType="separate"/>
      </w:r>
      <w:r>
        <w:rPr>
          <w:rFonts w:hint="eastAsia" w:ascii="仿宋_GB2312" w:eastAsia="仿宋_GB2312"/>
          <w:szCs w:val="30"/>
        </w:rPr>
        <w:t>9.1. 分期偿还</w:t>
      </w:r>
      <w:r>
        <w:tab/>
      </w:r>
      <w:r>
        <w:fldChar w:fldCharType="begin"/>
      </w:r>
      <w:r>
        <w:instrText xml:space="preserve"> PAGEREF _Toc1467755992 \h </w:instrText>
      </w:r>
      <w:r>
        <w:fldChar w:fldCharType="separate"/>
      </w:r>
      <w:r>
        <w:t>239</w:t>
      </w:r>
      <w:r>
        <w:fldChar w:fldCharType="end"/>
      </w:r>
      <w:r>
        <w:rPr>
          <w:rFonts w:ascii="黑体" w:hAnsi="黑体"/>
          <w:szCs w:val="30"/>
        </w:rPr>
        <w:fldChar w:fldCharType="end"/>
      </w:r>
    </w:p>
    <w:p w14:paraId="0E557786">
      <w:pPr>
        <w:pStyle w:val="36"/>
        <w:tabs>
          <w:tab w:val="right" w:leader="dot" w:pos="8306"/>
        </w:tabs>
      </w:pPr>
      <w:r>
        <w:rPr>
          <w:rFonts w:ascii="黑体" w:hAnsi="黑体"/>
          <w:szCs w:val="30"/>
        </w:rPr>
        <w:fldChar w:fldCharType="begin"/>
      </w:r>
      <w:r>
        <w:rPr>
          <w:rFonts w:ascii="黑体" w:hAnsi="黑体"/>
          <w:szCs w:val="30"/>
        </w:rPr>
        <w:instrText xml:space="preserve"> HYPERLINK \l _Toc1207592095 </w:instrText>
      </w:r>
      <w:r>
        <w:rPr>
          <w:rFonts w:ascii="黑体" w:hAnsi="黑体"/>
          <w:szCs w:val="30"/>
        </w:rPr>
        <w:fldChar w:fldCharType="separate"/>
      </w:r>
      <w:r>
        <w:rPr>
          <w:rFonts w:hint="eastAsia" w:ascii="仿宋_GB2312" w:eastAsia="仿宋_GB2312"/>
          <w:szCs w:val="30"/>
        </w:rPr>
        <w:t>9.2. 债券回售</w:t>
      </w:r>
      <w:r>
        <w:tab/>
      </w:r>
      <w:r>
        <w:fldChar w:fldCharType="begin"/>
      </w:r>
      <w:r>
        <w:instrText xml:space="preserve"> PAGEREF _Toc1207592095 \h </w:instrText>
      </w:r>
      <w:r>
        <w:fldChar w:fldCharType="separate"/>
      </w:r>
      <w:r>
        <w:t>241</w:t>
      </w:r>
      <w:r>
        <w:fldChar w:fldCharType="end"/>
      </w:r>
      <w:r>
        <w:rPr>
          <w:rFonts w:ascii="黑体" w:hAnsi="黑体"/>
          <w:szCs w:val="30"/>
        </w:rPr>
        <w:fldChar w:fldCharType="end"/>
      </w:r>
    </w:p>
    <w:p w14:paraId="1DAD6CC4">
      <w:pPr>
        <w:pStyle w:val="36"/>
        <w:tabs>
          <w:tab w:val="right" w:leader="dot" w:pos="8306"/>
        </w:tabs>
      </w:pPr>
      <w:r>
        <w:rPr>
          <w:rFonts w:ascii="黑体" w:hAnsi="黑体"/>
          <w:szCs w:val="30"/>
        </w:rPr>
        <w:fldChar w:fldCharType="begin"/>
      </w:r>
      <w:r>
        <w:rPr>
          <w:rFonts w:ascii="黑体" w:hAnsi="黑体"/>
          <w:szCs w:val="30"/>
        </w:rPr>
        <w:instrText xml:space="preserve"> HYPERLINK \l _Toc574475532 </w:instrText>
      </w:r>
      <w:r>
        <w:rPr>
          <w:rFonts w:ascii="黑体" w:hAnsi="黑体"/>
          <w:szCs w:val="30"/>
        </w:rPr>
        <w:fldChar w:fldCharType="separate"/>
      </w:r>
      <w:r>
        <w:rPr>
          <w:rFonts w:hint="eastAsia" w:ascii="仿宋_GB2312" w:eastAsia="仿宋_GB2312"/>
          <w:szCs w:val="30"/>
        </w:rPr>
        <w:t>9.3. 债券回售后转售</w:t>
      </w:r>
      <w:r>
        <w:tab/>
      </w:r>
      <w:r>
        <w:fldChar w:fldCharType="begin"/>
      </w:r>
      <w:r>
        <w:instrText xml:space="preserve"> PAGEREF _Toc574475532 \h </w:instrText>
      </w:r>
      <w:r>
        <w:fldChar w:fldCharType="separate"/>
      </w:r>
      <w:r>
        <w:t>244</w:t>
      </w:r>
      <w:r>
        <w:fldChar w:fldCharType="end"/>
      </w:r>
      <w:r>
        <w:rPr>
          <w:rFonts w:ascii="黑体" w:hAnsi="黑体"/>
          <w:szCs w:val="30"/>
        </w:rPr>
        <w:fldChar w:fldCharType="end"/>
      </w:r>
    </w:p>
    <w:p w14:paraId="580E12D2">
      <w:pPr>
        <w:pStyle w:val="36"/>
        <w:tabs>
          <w:tab w:val="right" w:leader="dot" w:pos="8306"/>
        </w:tabs>
      </w:pPr>
      <w:r>
        <w:rPr>
          <w:rFonts w:ascii="黑体" w:hAnsi="黑体"/>
          <w:szCs w:val="30"/>
        </w:rPr>
        <w:fldChar w:fldCharType="begin"/>
      </w:r>
      <w:r>
        <w:rPr>
          <w:rFonts w:ascii="黑体" w:hAnsi="黑体"/>
          <w:szCs w:val="30"/>
        </w:rPr>
        <w:instrText xml:space="preserve"> HYPERLINK \l _Toc1186368714 </w:instrText>
      </w:r>
      <w:r>
        <w:rPr>
          <w:rFonts w:ascii="黑体" w:hAnsi="黑体"/>
          <w:szCs w:val="30"/>
        </w:rPr>
        <w:fldChar w:fldCharType="separate"/>
      </w:r>
      <w:r>
        <w:rPr>
          <w:rFonts w:hint="eastAsia" w:ascii="仿宋_GB2312" w:eastAsia="仿宋_GB2312"/>
          <w:szCs w:val="30"/>
        </w:rPr>
        <w:t>9.4. 债券转股</w:t>
      </w:r>
      <w:r>
        <w:tab/>
      </w:r>
      <w:r>
        <w:fldChar w:fldCharType="begin"/>
      </w:r>
      <w:r>
        <w:instrText xml:space="preserve"> PAGEREF _Toc1186368714 \h </w:instrText>
      </w:r>
      <w:r>
        <w:fldChar w:fldCharType="separate"/>
      </w:r>
      <w:r>
        <w:t>245</w:t>
      </w:r>
      <w:r>
        <w:fldChar w:fldCharType="end"/>
      </w:r>
      <w:r>
        <w:rPr>
          <w:rFonts w:ascii="黑体" w:hAnsi="黑体"/>
          <w:szCs w:val="30"/>
        </w:rPr>
        <w:fldChar w:fldCharType="end"/>
      </w:r>
    </w:p>
    <w:p w14:paraId="5DB2CA2A">
      <w:pPr>
        <w:pStyle w:val="36"/>
        <w:tabs>
          <w:tab w:val="right" w:leader="dot" w:pos="8306"/>
        </w:tabs>
      </w:pPr>
      <w:r>
        <w:rPr>
          <w:rFonts w:ascii="黑体" w:hAnsi="黑体"/>
          <w:szCs w:val="30"/>
        </w:rPr>
        <w:fldChar w:fldCharType="begin"/>
      </w:r>
      <w:r>
        <w:rPr>
          <w:rFonts w:ascii="黑体" w:hAnsi="黑体"/>
          <w:szCs w:val="30"/>
        </w:rPr>
        <w:instrText xml:space="preserve"> HYPERLINK \l _Toc130205526 </w:instrText>
      </w:r>
      <w:r>
        <w:rPr>
          <w:rFonts w:ascii="黑体" w:hAnsi="黑体"/>
          <w:szCs w:val="30"/>
        </w:rPr>
        <w:fldChar w:fldCharType="separate"/>
      </w:r>
      <w:r>
        <w:rPr>
          <w:rFonts w:hint="eastAsia" w:ascii="仿宋_GB2312" w:eastAsia="仿宋_GB2312"/>
          <w:szCs w:val="30"/>
        </w:rPr>
        <w:t>9.5. 债券换股</w:t>
      </w:r>
      <w:r>
        <w:tab/>
      </w:r>
      <w:r>
        <w:fldChar w:fldCharType="begin"/>
      </w:r>
      <w:r>
        <w:instrText xml:space="preserve"> PAGEREF _Toc130205526 \h </w:instrText>
      </w:r>
      <w:r>
        <w:fldChar w:fldCharType="separate"/>
      </w:r>
      <w:r>
        <w:t>248</w:t>
      </w:r>
      <w:r>
        <w:fldChar w:fldCharType="end"/>
      </w:r>
      <w:r>
        <w:rPr>
          <w:rFonts w:ascii="黑体" w:hAnsi="黑体"/>
          <w:szCs w:val="30"/>
        </w:rPr>
        <w:fldChar w:fldCharType="end"/>
      </w:r>
    </w:p>
    <w:p w14:paraId="1F9666E1">
      <w:pPr>
        <w:pStyle w:val="36"/>
        <w:tabs>
          <w:tab w:val="right" w:leader="dot" w:pos="8306"/>
        </w:tabs>
      </w:pPr>
      <w:r>
        <w:rPr>
          <w:rFonts w:ascii="黑体" w:hAnsi="黑体"/>
          <w:szCs w:val="30"/>
        </w:rPr>
        <w:fldChar w:fldCharType="begin"/>
      </w:r>
      <w:r>
        <w:rPr>
          <w:rFonts w:ascii="黑体" w:hAnsi="黑体"/>
          <w:szCs w:val="30"/>
        </w:rPr>
        <w:instrText xml:space="preserve"> HYPERLINK \l _Toc1143647065 </w:instrText>
      </w:r>
      <w:r>
        <w:rPr>
          <w:rFonts w:ascii="黑体" w:hAnsi="黑体"/>
          <w:szCs w:val="30"/>
        </w:rPr>
        <w:fldChar w:fldCharType="separate"/>
      </w:r>
      <w:r>
        <w:rPr>
          <w:rFonts w:hint="eastAsia" w:ascii="仿宋_GB2312" w:eastAsia="仿宋_GB2312"/>
          <w:szCs w:val="30"/>
        </w:rPr>
        <w:t>9.6. 债券转托管</w:t>
      </w:r>
      <w:r>
        <w:tab/>
      </w:r>
      <w:r>
        <w:fldChar w:fldCharType="begin"/>
      </w:r>
      <w:r>
        <w:instrText xml:space="preserve"> PAGEREF _Toc1143647065 \h </w:instrText>
      </w:r>
      <w:r>
        <w:fldChar w:fldCharType="separate"/>
      </w:r>
      <w:r>
        <w:t>251</w:t>
      </w:r>
      <w:r>
        <w:fldChar w:fldCharType="end"/>
      </w:r>
      <w:r>
        <w:rPr>
          <w:rFonts w:ascii="黑体" w:hAnsi="黑体"/>
          <w:szCs w:val="30"/>
        </w:rPr>
        <w:fldChar w:fldCharType="end"/>
      </w:r>
    </w:p>
    <w:p w14:paraId="1F0EE4E9">
      <w:pPr>
        <w:pStyle w:val="36"/>
        <w:tabs>
          <w:tab w:val="right" w:leader="dot" w:pos="8306"/>
        </w:tabs>
      </w:pPr>
      <w:r>
        <w:rPr>
          <w:rFonts w:ascii="黑体" w:hAnsi="黑体"/>
          <w:szCs w:val="30"/>
        </w:rPr>
        <w:fldChar w:fldCharType="begin"/>
      </w:r>
      <w:r>
        <w:rPr>
          <w:rFonts w:ascii="黑体" w:hAnsi="黑体"/>
          <w:szCs w:val="30"/>
        </w:rPr>
        <w:instrText xml:space="preserve"> HYPERLINK \l _Toc468033942 </w:instrText>
      </w:r>
      <w:r>
        <w:rPr>
          <w:rFonts w:ascii="黑体" w:hAnsi="黑体"/>
          <w:szCs w:val="30"/>
        </w:rPr>
        <w:fldChar w:fldCharType="separate"/>
      </w:r>
      <w:r>
        <w:rPr>
          <w:rFonts w:hint="eastAsia" w:ascii="仿宋_GB2312" w:eastAsia="仿宋_GB2312"/>
          <w:szCs w:val="30"/>
        </w:rPr>
        <w:t>9.7. 核心交易</w:t>
      </w:r>
      <w:r>
        <w:rPr>
          <w:rFonts w:ascii="仿宋_GB2312" w:eastAsia="仿宋_GB2312"/>
          <w:szCs w:val="30"/>
        </w:rPr>
        <w:t>系统备用通道</w:t>
      </w:r>
      <w:r>
        <w:tab/>
      </w:r>
      <w:r>
        <w:fldChar w:fldCharType="begin"/>
      </w:r>
      <w:r>
        <w:instrText xml:space="preserve"> PAGEREF _Toc468033942 \h </w:instrText>
      </w:r>
      <w:r>
        <w:fldChar w:fldCharType="separate"/>
      </w:r>
      <w:r>
        <w:t>253</w:t>
      </w:r>
      <w:r>
        <w:fldChar w:fldCharType="end"/>
      </w:r>
      <w:r>
        <w:rPr>
          <w:rFonts w:ascii="黑体" w:hAnsi="黑体"/>
          <w:szCs w:val="30"/>
        </w:rPr>
        <w:fldChar w:fldCharType="end"/>
      </w:r>
    </w:p>
    <w:p w14:paraId="5B849A23">
      <w:pPr>
        <w:pStyle w:val="36"/>
        <w:tabs>
          <w:tab w:val="right" w:leader="dot" w:pos="8306"/>
        </w:tabs>
      </w:pPr>
      <w:r>
        <w:rPr>
          <w:rFonts w:ascii="黑体" w:hAnsi="黑体"/>
          <w:szCs w:val="30"/>
        </w:rPr>
        <w:fldChar w:fldCharType="begin"/>
      </w:r>
      <w:r>
        <w:rPr>
          <w:rFonts w:ascii="黑体" w:hAnsi="黑体"/>
          <w:szCs w:val="30"/>
        </w:rPr>
        <w:instrText xml:space="preserve"> HYPERLINK \l _Toc1365700749 </w:instrText>
      </w:r>
      <w:r>
        <w:rPr>
          <w:rFonts w:ascii="黑体" w:hAnsi="黑体"/>
          <w:szCs w:val="30"/>
        </w:rPr>
        <w:fldChar w:fldCharType="separate"/>
      </w:r>
      <w:r>
        <w:rPr>
          <w:rFonts w:hint="eastAsia" w:ascii="仿宋_GB2312" w:eastAsia="仿宋_GB2312"/>
          <w:szCs w:val="30"/>
        </w:rPr>
        <w:t xml:space="preserve">9.8. </w:t>
      </w:r>
      <w:r>
        <w:rPr>
          <w:rFonts w:hint="eastAsia" w:ascii="仿宋_GB2312" w:eastAsia="仿宋_GB2312"/>
          <w:szCs w:val="30"/>
          <w:lang w:eastAsia="zh-CN"/>
        </w:rPr>
        <w:t>非</w:t>
      </w:r>
      <w:r>
        <w:rPr>
          <w:rFonts w:hint="eastAsia" w:ascii="仿宋_GB2312" w:eastAsia="仿宋_GB2312"/>
          <w:szCs w:val="30"/>
        </w:rPr>
        <w:t>交易</w:t>
      </w:r>
      <w:r>
        <w:rPr>
          <w:rFonts w:hint="eastAsia" w:ascii="仿宋_GB2312" w:eastAsia="仿宋_GB2312"/>
          <w:szCs w:val="30"/>
          <w:lang w:eastAsia="zh-CN"/>
        </w:rPr>
        <w:t>过户</w:t>
      </w:r>
      <w:r>
        <w:tab/>
      </w:r>
      <w:r>
        <w:fldChar w:fldCharType="begin"/>
      </w:r>
      <w:r>
        <w:instrText xml:space="preserve"> PAGEREF _Toc1365700749 \h </w:instrText>
      </w:r>
      <w:r>
        <w:fldChar w:fldCharType="separate"/>
      </w:r>
      <w:r>
        <w:t>254</w:t>
      </w:r>
      <w:r>
        <w:fldChar w:fldCharType="end"/>
      </w:r>
      <w:r>
        <w:rPr>
          <w:rFonts w:ascii="黑体" w:hAnsi="黑体"/>
          <w:szCs w:val="30"/>
        </w:rPr>
        <w:fldChar w:fldCharType="end"/>
      </w:r>
    </w:p>
    <w:p w14:paraId="542028E6">
      <w:pPr>
        <w:pStyle w:val="30"/>
        <w:tabs>
          <w:tab w:val="right" w:leader="dot" w:pos="8306"/>
        </w:tabs>
      </w:pPr>
      <w:r>
        <w:rPr>
          <w:rFonts w:ascii="黑体" w:hAnsi="黑体"/>
          <w:szCs w:val="30"/>
        </w:rPr>
        <w:fldChar w:fldCharType="begin"/>
      </w:r>
      <w:r>
        <w:rPr>
          <w:rFonts w:ascii="黑体" w:hAnsi="黑体"/>
          <w:szCs w:val="30"/>
        </w:rPr>
        <w:instrText xml:space="preserve"> HYPERLINK \l _Toc658107533 </w:instrText>
      </w:r>
      <w:r>
        <w:rPr>
          <w:rFonts w:ascii="黑体" w:hAnsi="黑体"/>
          <w:szCs w:val="30"/>
        </w:rPr>
        <w:fldChar w:fldCharType="separate"/>
      </w:r>
      <w:r>
        <w:rPr>
          <w:rFonts w:hint="eastAsia" w:ascii="黑体" w:hAnsi="黑体" w:eastAsia="黑体"/>
          <w:szCs w:val="36"/>
        </w:rPr>
        <w:t xml:space="preserve">10. </w:t>
      </w:r>
      <w:r>
        <w:rPr>
          <w:rFonts w:hint="eastAsia" w:ascii="黑体" w:hAnsi="黑体" w:eastAsia="黑体" w:cs="黑体"/>
        </w:rPr>
        <w:t>债券行情展示</w:t>
      </w:r>
      <w:r>
        <w:tab/>
      </w:r>
      <w:r>
        <w:fldChar w:fldCharType="begin"/>
      </w:r>
      <w:r>
        <w:instrText xml:space="preserve"> PAGEREF _Toc658107533 \h </w:instrText>
      </w:r>
      <w:r>
        <w:fldChar w:fldCharType="separate"/>
      </w:r>
      <w:r>
        <w:t>257</w:t>
      </w:r>
      <w:r>
        <w:fldChar w:fldCharType="end"/>
      </w:r>
      <w:r>
        <w:rPr>
          <w:rFonts w:ascii="黑体" w:hAnsi="黑体"/>
          <w:szCs w:val="30"/>
        </w:rPr>
        <w:fldChar w:fldCharType="end"/>
      </w:r>
    </w:p>
    <w:p w14:paraId="507D8AC8">
      <w:pPr>
        <w:pStyle w:val="36"/>
        <w:tabs>
          <w:tab w:val="right" w:leader="dot" w:pos="8306"/>
        </w:tabs>
      </w:pPr>
      <w:r>
        <w:rPr>
          <w:rFonts w:ascii="黑体" w:hAnsi="黑体"/>
          <w:szCs w:val="30"/>
        </w:rPr>
        <w:fldChar w:fldCharType="begin"/>
      </w:r>
      <w:r>
        <w:rPr>
          <w:rFonts w:ascii="黑体" w:hAnsi="黑体"/>
          <w:szCs w:val="30"/>
        </w:rPr>
        <w:instrText xml:space="preserve"> HYPERLINK \l _Toc1109342465 </w:instrText>
      </w:r>
      <w:r>
        <w:rPr>
          <w:rFonts w:ascii="黑体" w:hAnsi="黑体"/>
          <w:szCs w:val="30"/>
        </w:rPr>
        <w:fldChar w:fldCharType="separate"/>
      </w:r>
      <w:r>
        <w:rPr>
          <w:rFonts w:hint="eastAsia" w:ascii="仿宋_GB2312" w:eastAsia="仿宋_GB2312"/>
          <w:szCs w:val="30"/>
        </w:rPr>
        <w:t>10.1. 概述</w:t>
      </w:r>
      <w:r>
        <w:tab/>
      </w:r>
      <w:r>
        <w:fldChar w:fldCharType="begin"/>
      </w:r>
      <w:r>
        <w:instrText xml:space="preserve"> PAGEREF _Toc1109342465 \h </w:instrText>
      </w:r>
      <w:r>
        <w:fldChar w:fldCharType="separate"/>
      </w:r>
      <w:r>
        <w:t>257</w:t>
      </w:r>
      <w:r>
        <w:fldChar w:fldCharType="end"/>
      </w:r>
      <w:r>
        <w:rPr>
          <w:rFonts w:ascii="黑体" w:hAnsi="黑体"/>
          <w:szCs w:val="30"/>
        </w:rPr>
        <w:fldChar w:fldCharType="end"/>
      </w:r>
    </w:p>
    <w:p w14:paraId="1466A054">
      <w:pPr>
        <w:pStyle w:val="36"/>
        <w:tabs>
          <w:tab w:val="right" w:leader="dot" w:pos="8306"/>
        </w:tabs>
      </w:pPr>
      <w:r>
        <w:rPr>
          <w:rFonts w:ascii="黑体" w:hAnsi="黑体"/>
          <w:szCs w:val="30"/>
        </w:rPr>
        <w:fldChar w:fldCharType="begin"/>
      </w:r>
      <w:r>
        <w:rPr>
          <w:rFonts w:ascii="黑体" w:hAnsi="黑体"/>
          <w:szCs w:val="30"/>
        </w:rPr>
        <w:instrText xml:space="preserve"> HYPERLINK \l _Toc1951331534 </w:instrText>
      </w:r>
      <w:r>
        <w:rPr>
          <w:rFonts w:ascii="黑体" w:hAnsi="黑体"/>
          <w:szCs w:val="30"/>
        </w:rPr>
        <w:fldChar w:fldCharType="separate"/>
      </w:r>
      <w:r>
        <w:rPr>
          <w:rFonts w:hint="eastAsia" w:ascii="仿宋_GB2312" w:eastAsia="仿宋_GB2312"/>
          <w:szCs w:val="30"/>
        </w:rPr>
        <w:t>10.2. 实时数据</w:t>
      </w:r>
      <w:r>
        <w:tab/>
      </w:r>
      <w:r>
        <w:fldChar w:fldCharType="begin"/>
      </w:r>
      <w:r>
        <w:instrText xml:space="preserve"> PAGEREF _Toc1951331534 \h </w:instrText>
      </w:r>
      <w:r>
        <w:fldChar w:fldCharType="separate"/>
      </w:r>
      <w:r>
        <w:t>257</w:t>
      </w:r>
      <w:r>
        <w:fldChar w:fldCharType="end"/>
      </w:r>
      <w:r>
        <w:rPr>
          <w:rFonts w:ascii="黑体" w:hAnsi="黑体"/>
          <w:szCs w:val="30"/>
        </w:rPr>
        <w:fldChar w:fldCharType="end"/>
      </w:r>
    </w:p>
    <w:p w14:paraId="781E1574">
      <w:pPr>
        <w:pStyle w:val="36"/>
        <w:tabs>
          <w:tab w:val="right" w:leader="dot" w:pos="8306"/>
        </w:tabs>
      </w:pPr>
      <w:r>
        <w:rPr>
          <w:rFonts w:ascii="黑体" w:hAnsi="黑体"/>
          <w:szCs w:val="30"/>
        </w:rPr>
        <w:fldChar w:fldCharType="begin"/>
      </w:r>
      <w:r>
        <w:rPr>
          <w:rFonts w:ascii="黑体" w:hAnsi="黑体"/>
          <w:szCs w:val="30"/>
        </w:rPr>
        <w:instrText xml:space="preserve"> HYPERLINK \l _Toc1363546917 </w:instrText>
      </w:r>
      <w:r>
        <w:rPr>
          <w:rFonts w:ascii="黑体" w:hAnsi="黑体"/>
          <w:szCs w:val="30"/>
        </w:rPr>
        <w:fldChar w:fldCharType="separate"/>
      </w:r>
      <w:r>
        <w:rPr>
          <w:rFonts w:hint="eastAsia" w:ascii="仿宋_GB2312" w:eastAsia="仿宋_GB2312"/>
          <w:szCs w:val="30"/>
        </w:rPr>
        <w:t>10.3. 统计行情</w:t>
      </w:r>
      <w:r>
        <w:tab/>
      </w:r>
      <w:r>
        <w:fldChar w:fldCharType="begin"/>
      </w:r>
      <w:r>
        <w:instrText xml:space="preserve"> PAGEREF _Toc1363546917 \h </w:instrText>
      </w:r>
      <w:r>
        <w:fldChar w:fldCharType="separate"/>
      </w:r>
      <w:r>
        <w:t>270</w:t>
      </w:r>
      <w:r>
        <w:fldChar w:fldCharType="end"/>
      </w:r>
      <w:r>
        <w:rPr>
          <w:rFonts w:ascii="黑体" w:hAnsi="黑体"/>
          <w:szCs w:val="30"/>
        </w:rPr>
        <w:fldChar w:fldCharType="end"/>
      </w:r>
    </w:p>
    <w:p w14:paraId="46781DAB">
      <w:pPr>
        <w:pStyle w:val="36"/>
        <w:tabs>
          <w:tab w:val="right" w:leader="dot" w:pos="8306"/>
        </w:tabs>
      </w:pPr>
      <w:r>
        <w:rPr>
          <w:rFonts w:ascii="黑体" w:hAnsi="黑体"/>
          <w:szCs w:val="30"/>
        </w:rPr>
        <w:fldChar w:fldCharType="begin"/>
      </w:r>
      <w:r>
        <w:rPr>
          <w:rFonts w:ascii="黑体" w:hAnsi="黑体"/>
          <w:szCs w:val="30"/>
        </w:rPr>
        <w:instrText xml:space="preserve"> HYPERLINK \l _Toc1544820028 </w:instrText>
      </w:r>
      <w:r>
        <w:rPr>
          <w:rFonts w:ascii="黑体" w:hAnsi="黑体"/>
          <w:szCs w:val="30"/>
        </w:rPr>
        <w:fldChar w:fldCharType="separate"/>
      </w:r>
      <w:r>
        <w:rPr>
          <w:rFonts w:hint="eastAsia" w:ascii="仿宋_GB2312" w:eastAsia="仿宋_GB2312"/>
          <w:szCs w:val="30"/>
        </w:rPr>
        <w:t>10.4. 参考数据</w:t>
      </w:r>
      <w:r>
        <w:tab/>
      </w:r>
      <w:r>
        <w:fldChar w:fldCharType="begin"/>
      </w:r>
      <w:r>
        <w:instrText xml:space="preserve"> PAGEREF _Toc1544820028 \h </w:instrText>
      </w:r>
      <w:r>
        <w:fldChar w:fldCharType="separate"/>
      </w:r>
      <w:r>
        <w:t>282</w:t>
      </w:r>
      <w:r>
        <w:fldChar w:fldCharType="end"/>
      </w:r>
      <w:r>
        <w:rPr>
          <w:rFonts w:ascii="黑体" w:hAnsi="黑体"/>
          <w:szCs w:val="30"/>
        </w:rPr>
        <w:fldChar w:fldCharType="end"/>
      </w:r>
    </w:p>
    <w:p w14:paraId="6D134CBD">
      <w:pPr>
        <w:pStyle w:val="36"/>
        <w:tabs>
          <w:tab w:val="right" w:leader="dot" w:pos="8306"/>
        </w:tabs>
      </w:pPr>
      <w:r>
        <w:rPr>
          <w:rFonts w:ascii="黑体" w:hAnsi="黑体"/>
          <w:szCs w:val="30"/>
        </w:rPr>
        <w:fldChar w:fldCharType="begin"/>
      </w:r>
      <w:r>
        <w:rPr>
          <w:rFonts w:ascii="黑体" w:hAnsi="黑体"/>
          <w:szCs w:val="30"/>
        </w:rPr>
        <w:instrText xml:space="preserve"> HYPERLINK \l _Toc2096614546 </w:instrText>
      </w:r>
      <w:r>
        <w:rPr>
          <w:rFonts w:ascii="黑体" w:hAnsi="黑体"/>
          <w:szCs w:val="30"/>
        </w:rPr>
        <w:fldChar w:fldCharType="separate"/>
      </w:r>
      <w:r>
        <w:rPr>
          <w:rFonts w:hint="eastAsia" w:ascii="仿宋_GB2312" w:eastAsia="仿宋_GB2312"/>
          <w:szCs w:val="30"/>
        </w:rPr>
        <w:t>10.5. 交易信息权属</w:t>
      </w:r>
      <w:r>
        <w:tab/>
      </w:r>
      <w:r>
        <w:fldChar w:fldCharType="begin"/>
      </w:r>
      <w:r>
        <w:instrText xml:space="preserve"> PAGEREF _Toc2096614546 \h </w:instrText>
      </w:r>
      <w:r>
        <w:fldChar w:fldCharType="separate"/>
      </w:r>
      <w:r>
        <w:t>284</w:t>
      </w:r>
      <w:r>
        <w:fldChar w:fldCharType="end"/>
      </w:r>
      <w:r>
        <w:rPr>
          <w:rFonts w:ascii="黑体" w:hAnsi="黑体"/>
          <w:szCs w:val="30"/>
        </w:rPr>
        <w:fldChar w:fldCharType="end"/>
      </w:r>
    </w:p>
    <w:p w14:paraId="043E5CD0">
      <w:pPr>
        <w:pStyle w:val="36"/>
        <w:tabs>
          <w:tab w:val="right" w:leader="dot" w:pos="8306"/>
        </w:tabs>
      </w:pPr>
      <w:r>
        <w:rPr>
          <w:rFonts w:ascii="黑体" w:hAnsi="黑体"/>
          <w:szCs w:val="30"/>
        </w:rPr>
        <w:fldChar w:fldCharType="begin"/>
      </w:r>
      <w:r>
        <w:rPr>
          <w:rFonts w:ascii="黑体" w:hAnsi="黑体"/>
          <w:szCs w:val="30"/>
        </w:rPr>
        <w:instrText xml:space="preserve"> HYPERLINK \l _Toc489664341 </w:instrText>
      </w:r>
      <w:r>
        <w:rPr>
          <w:rFonts w:ascii="黑体" w:hAnsi="黑体"/>
          <w:szCs w:val="30"/>
        </w:rPr>
        <w:fldChar w:fldCharType="separate"/>
      </w:r>
      <w:r>
        <w:rPr>
          <w:rFonts w:hint="eastAsia" w:ascii="仿宋_GB2312" w:eastAsia="仿宋_GB2312"/>
          <w:szCs w:val="30"/>
        </w:rPr>
        <w:t>10.6. 债券指数及其他</w:t>
      </w:r>
      <w:r>
        <w:tab/>
      </w:r>
      <w:r>
        <w:fldChar w:fldCharType="begin"/>
      </w:r>
      <w:r>
        <w:instrText xml:space="preserve"> PAGEREF _Toc489664341 \h </w:instrText>
      </w:r>
      <w:r>
        <w:fldChar w:fldCharType="separate"/>
      </w:r>
      <w:r>
        <w:t>284</w:t>
      </w:r>
      <w:r>
        <w:fldChar w:fldCharType="end"/>
      </w:r>
      <w:r>
        <w:rPr>
          <w:rFonts w:ascii="黑体" w:hAnsi="黑体"/>
          <w:szCs w:val="30"/>
        </w:rPr>
        <w:fldChar w:fldCharType="end"/>
      </w:r>
    </w:p>
    <w:p w14:paraId="0094FFE6">
      <w:pPr>
        <w:pStyle w:val="30"/>
        <w:tabs>
          <w:tab w:val="right" w:leader="dot" w:pos="8306"/>
        </w:tabs>
      </w:pPr>
      <w:r>
        <w:rPr>
          <w:rFonts w:ascii="黑体" w:hAnsi="黑体"/>
          <w:szCs w:val="30"/>
        </w:rPr>
        <w:fldChar w:fldCharType="begin"/>
      </w:r>
      <w:r>
        <w:rPr>
          <w:rFonts w:ascii="黑体" w:hAnsi="黑体"/>
          <w:szCs w:val="30"/>
        </w:rPr>
        <w:instrText xml:space="preserve"> HYPERLINK \l _Toc1225791152 </w:instrText>
      </w:r>
      <w:r>
        <w:rPr>
          <w:rFonts w:ascii="黑体" w:hAnsi="黑体"/>
          <w:szCs w:val="30"/>
        </w:rPr>
        <w:fldChar w:fldCharType="separate"/>
      </w:r>
      <w:r>
        <w:rPr>
          <w:rFonts w:hint="eastAsia" w:ascii="黑体" w:hAnsi="黑体" w:eastAsia="黑体"/>
          <w:szCs w:val="36"/>
        </w:rPr>
        <w:t xml:space="preserve">11. </w:t>
      </w:r>
      <w:r>
        <w:rPr>
          <w:rFonts w:hint="eastAsia" w:ascii="黑体" w:hAnsi="黑体" w:eastAsia="黑体" w:cs="黑体"/>
        </w:rPr>
        <w:t>交易行为监督</w:t>
      </w:r>
      <w:r>
        <w:tab/>
      </w:r>
      <w:r>
        <w:fldChar w:fldCharType="begin"/>
      </w:r>
      <w:r>
        <w:instrText xml:space="preserve"> PAGEREF _Toc1225791152 \h </w:instrText>
      </w:r>
      <w:r>
        <w:fldChar w:fldCharType="separate"/>
      </w:r>
      <w:r>
        <w:t>287</w:t>
      </w:r>
      <w:r>
        <w:fldChar w:fldCharType="end"/>
      </w:r>
      <w:r>
        <w:rPr>
          <w:rFonts w:ascii="黑体" w:hAnsi="黑体"/>
          <w:szCs w:val="30"/>
        </w:rPr>
        <w:fldChar w:fldCharType="end"/>
      </w:r>
    </w:p>
    <w:p w14:paraId="0B99BE84">
      <w:pPr>
        <w:pStyle w:val="36"/>
        <w:tabs>
          <w:tab w:val="right" w:leader="dot" w:pos="8306"/>
        </w:tabs>
      </w:pPr>
      <w:r>
        <w:rPr>
          <w:rFonts w:ascii="黑体" w:hAnsi="黑体"/>
          <w:szCs w:val="30"/>
        </w:rPr>
        <w:fldChar w:fldCharType="begin"/>
      </w:r>
      <w:r>
        <w:rPr>
          <w:rFonts w:ascii="黑体" w:hAnsi="黑体"/>
          <w:szCs w:val="30"/>
        </w:rPr>
        <w:instrText xml:space="preserve"> HYPERLINK \l _Toc1436741252 </w:instrText>
      </w:r>
      <w:r>
        <w:rPr>
          <w:rFonts w:ascii="黑体" w:hAnsi="黑体"/>
          <w:szCs w:val="30"/>
        </w:rPr>
        <w:fldChar w:fldCharType="separate"/>
      </w:r>
      <w:r>
        <w:rPr>
          <w:rFonts w:hint="eastAsia" w:ascii="仿宋_GB2312" w:eastAsia="仿宋_GB2312"/>
          <w:szCs w:val="30"/>
        </w:rPr>
        <w:t>11.1. 交易异常行为监督</w:t>
      </w:r>
      <w:r>
        <w:tab/>
      </w:r>
      <w:r>
        <w:fldChar w:fldCharType="begin"/>
      </w:r>
      <w:r>
        <w:instrText xml:space="preserve"> PAGEREF _Toc1436741252 \h </w:instrText>
      </w:r>
      <w:r>
        <w:fldChar w:fldCharType="separate"/>
      </w:r>
      <w:r>
        <w:t>287</w:t>
      </w:r>
      <w:r>
        <w:fldChar w:fldCharType="end"/>
      </w:r>
      <w:r>
        <w:rPr>
          <w:rFonts w:ascii="黑体" w:hAnsi="黑体"/>
          <w:szCs w:val="30"/>
        </w:rPr>
        <w:fldChar w:fldCharType="end"/>
      </w:r>
    </w:p>
    <w:p w14:paraId="3775E48D">
      <w:pPr>
        <w:pStyle w:val="36"/>
        <w:tabs>
          <w:tab w:val="right" w:leader="dot" w:pos="8306"/>
        </w:tabs>
      </w:pPr>
      <w:r>
        <w:rPr>
          <w:rFonts w:ascii="黑体" w:hAnsi="黑体"/>
          <w:szCs w:val="30"/>
        </w:rPr>
        <w:fldChar w:fldCharType="begin"/>
      </w:r>
      <w:r>
        <w:rPr>
          <w:rFonts w:ascii="黑体" w:hAnsi="黑体"/>
          <w:szCs w:val="30"/>
        </w:rPr>
        <w:instrText xml:space="preserve"> HYPERLINK \l _Toc649171282 </w:instrText>
      </w:r>
      <w:r>
        <w:rPr>
          <w:rFonts w:ascii="黑体" w:hAnsi="黑体"/>
          <w:szCs w:val="30"/>
        </w:rPr>
        <w:fldChar w:fldCharType="separate"/>
      </w:r>
      <w:r>
        <w:rPr>
          <w:rFonts w:hint="eastAsia" w:ascii="仿宋_GB2312" w:eastAsia="仿宋_GB2312"/>
          <w:szCs w:val="30"/>
        </w:rPr>
        <w:t>11.2. 价格偏离报告</w:t>
      </w:r>
      <w:r>
        <w:tab/>
      </w:r>
      <w:r>
        <w:fldChar w:fldCharType="begin"/>
      </w:r>
      <w:r>
        <w:instrText xml:space="preserve"> PAGEREF _Toc649171282 \h </w:instrText>
      </w:r>
      <w:r>
        <w:fldChar w:fldCharType="separate"/>
      </w:r>
      <w:r>
        <w:t>288</w:t>
      </w:r>
      <w:r>
        <w:fldChar w:fldCharType="end"/>
      </w:r>
      <w:r>
        <w:rPr>
          <w:rFonts w:ascii="黑体" w:hAnsi="黑体"/>
          <w:szCs w:val="30"/>
        </w:rPr>
        <w:fldChar w:fldCharType="end"/>
      </w:r>
    </w:p>
    <w:p w14:paraId="51F0F790">
      <w:pPr>
        <w:pStyle w:val="36"/>
        <w:tabs>
          <w:tab w:val="right" w:leader="dot" w:pos="8306"/>
        </w:tabs>
      </w:pPr>
      <w:r>
        <w:rPr>
          <w:rFonts w:ascii="黑体" w:hAnsi="黑体"/>
          <w:szCs w:val="30"/>
        </w:rPr>
        <w:fldChar w:fldCharType="begin"/>
      </w:r>
      <w:r>
        <w:rPr>
          <w:rFonts w:ascii="黑体" w:hAnsi="黑体"/>
          <w:szCs w:val="30"/>
        </w:rPr>
        <w:instrText xml:space="preserve"> HYPERLINK \l _Toc304825641 </w:instrText>
      </w:r>
      <w:r>
        <w:rPr>
          <w:rFonts w:ascii="黑体" w:hAnsi="黑体"/>
          <w:szCs w:val="30"/>
        </w:rPr>
        <w:fldChar w:fldCharType="separate"/>
      </w:r>
      <w:r>
        <w:rPr>
          <w:rFonts w:hint="eastAsia" w:ascii="仿宋_GB2312" w:eastAsia="仿宋_GB2312"/>
          <w:szCs w:val="30"/>
        </w:rPr>
        <w:t>11.3. 日常工作措施、监管措施和纪律处分</w:t>
      </w:r>
      <w:r>
        <w:tab/>
      </w:r>
      <w:r>
        <w:fldChar w:fldCharType="begin"/>
      </w:r>
      <w:r>
        <w:instrText xml:space="preserve"> PAGEREF _Toc304825641 \h </w:instrText>
      </w:r>
      <w:r>
        <w:fldChar w:fldCharType="separate"/>
      </w:r>
      <w:r>
        <w:t>290</w:t>
      </w:r>
      <w:r>
        <w:fldChar w:fldCharType="end"/>
      </w:r>
      <w:r>
        <w:rPr>
          <w:rFonts w:ascii="黑体" w:hAnsi="黑体"/>
          <w:szCs w:val="30"/>
        </w:rPr>
        <w:fldChar w:fldCharType="end"/>
      </w:r>
    </w:p>
    <w:p w14:paraId="6EF4362E">
      <w:pPr>
        <w:pStyle w:val="36"/>
        <w:tabs>
          <w:tab w:val="right" w:leader="dot" w:pos="8306"/>
        </w:tabs>
      </w:pPr>
      <w:r>
        <w:rPr>
          <w:rFonts w:ascii="黑体" w:hAnsi="黑体"/>
          <w:szCs w:val="30"/>
        </w:rPr>
        <w:fldChar w:fldCharType="begin"/>
      </w:r>
      <w:r>
        <w:rPr>
          <w:rFonts w:ascii="黑体" w:hAnsi="黑体"/>
          <w:szCs w:val="30"/>
        </w:rPr>
        <w:instrText xml:space="preserve"> HYPERLINK \l _Toc2131597258 </w:instrText>
      </w:r>
      <w:r>
        <w:rPr>
          <w:rFonts w:ascii="黑体" w:hAnsi="黑体"/>
          <w:szCs w:val="30"/>
        </w:rPr>
        <w:fldChar w:fldCharType="separate"/>
      </w:r>
      <w:r>
        <w:rPr>
          <w:rFonts w:hint="eastAsia" w:ascii="仿宋_GB2312" w:eastAsia="仿宋_GB2312"/>
          <w:szCs w:val="30"/>
        </w:rPr>
        <w:t>11.4. 其他</w:t>
      </w:r>
      <w:r>
        <w:tab/>
      </w:r>
      <w:r>
        <w:fldChar w:fldCharType="begin"/>
      </w:r>
      <w:r>
        <w:instrText xml:space="preserve"> PAGEREF _Toc2131597258 \h </w:instrText>
      </w:r>
      <w:r>
        <w:fldChar w:fldCharType="separate"/>
      </w:r>
      <w:r>
        <w:t>293</w:t>
      </w:r>
      <w:r>
        <w:fldChar w:fldCharType="end"/>
      </w:r>
      <w:r>
        <w:rPr>
          <w:rFonts w:ascii="黑体" w:hAnsi="黑体"/>
          <w:szCs w:val="30"/>
        </w:rPr>
        <w:fldChar w:fldCharType="end"/>
      </w:r>
    </w:p>
    <w:p w14:paraId="17108668">
      <w:pPr>
        <w:pStyle w:val="30"/>
        <w:tabs>
          <w:tab w:val="right" w:leader="dot" w:pos="8306"/>
        </w:tabs>
      </w:pPr>
      <w:r>
        <w:rPr>
          <w:rFonts w:ascii="黑体" w:hAnsi="黑体"/>
          <w:szCs w:val="30"/>
        </w:rPr>
        <w:fldChar w:fldCharType="begin"/>
      </w:r>
      <w:r>
        <w:rPr>
          <w:rFonts w:ascii="黑体" w:hAnsi="黑体"/>
          <w:szCs w:val="30"/>
        </w:rPr>
        <w:instrText xml:space="preserve"> HYPERLINK \l _Toc1864976607 </w:instrText>
      </w:r>
      <w:r>
        <w:rPr>
          <w:rFonts w:ascii="黑体" w:hAnsi="黑体"/>
          <w:szCs w:val="30"/>
        </w:rPr>
        <w:fldChar w:fldCharType="separate"/>
      </w:r>
      <w:r>
        <w:rPr>
          <w:rFonts w:hint="eastAsia" w:ascii="黑体" w:hAnsi="黑体" w:eastAsia="黑体"/>
          <w:szCs w:val="36"/>
        </w:rPr>
        <w:t xml:space="preserve">12. </w:t>
      </w:r>
      <w:r>
        <w:rPr>
          <w:rFonts w:hint="eastAsia" w:ascii="黑体" w:hAnsi="黑体" w:eastAsia="黑体" w:cs="黑体"/>
        </w:rPr>
        <w:t>应急交易及交易异常情况处理</w:t>
      </w:r>
      <w:r>
        <w:tab/>
      </w:r>
      <w:r>
        <w:fldChar w:fldCharType="begin"/>
      </w:r>
      <w:r>
        <w:instrText xml:space="preserve"> PAGEREF _Toc1864976607 \h </w:instrText>
      </w:r>
      <w:r>
        <w:fldChar w:fldCharType="separate"/>
      </w:r>
      <w:r>
        <w:t>295</w:t>
      </w:r>
      <w:r>
        <w:fldChar w:fldCharType="end"/>
      </w:r>
      <w:r>
        <w:rPr>
          <w:rFonts w:ascii="黑体" w:hAnsi="黑体"/>
          <w:szCs w:val="30"/>
        </w:rPr>
        <w:fldChar w:fldCharType="end"/>
      </w:r>
    </w:p>
    <w:p w14:paraId="340A1353">
      <w:pPr>
        <w:pStyle w:val="36"/>
        <w:tabs>
          <w:tab w:val="right" w:leader="dot" w:pos="8306"/>
        </w:tabs>
      </w:pPr>
      <w:r>
        <w:rPr>
          <w:rFonts w:ascii="黑体" w:hAnsi="黑体"/>
          <w:szCs w:val="30"/>
        </w:rPr>
        <w:fldChar w:fldCharType="begin"/>
      </w:r>
      <w:r>
        <w:rPr>
          <w:rFonts w:ascii="黑体" w:hAnsi="黑体"/>
          <w:szCs w:val="30"/>
        </w:rPr>
        <w:instrText xml:space="preserve"> HYPERLINK \l _Toc1663171025 </w:instrText>
      </w:r>
      <w:r>
        <w:rPr>
          <w:rFonts w:ascii="黑体" w:hAnsi="黑体"/>
          <w:szCs w:val="30"/>
        </w:rPr>
        <w:fldChar w:fldCharType="separate"/>
      </w:r>
      <w:r>
        <w:rPr>
          <w:rFonts w:hint="eastAsia" w:ascii="仿宋_GB2312" w:eastAsia="仿宋_GB2312"/>
          <w:szCs w:val="30"/>
        </w:rPr>
        <w:t>12.1. 债券交易停复牌管理</w:t>
      </w:r>
      <w:r>
        <w:tab/>
      </w:r>
      <w:r>
        <w:fldChar w:fldCharType="begin"/>
      </w:r>
      <w:r>
        <w:instrText xml:space="preserve"> PAGEREF _Toc1663171025 \h </w:instrText>
      </w:r>
      <w:r>
        <w:fldChar w:fldCharType="separate"/>
      </w:r>
      <w:r>
        <w:t>295</w:t>
      </w:r>
      <w:r>
        <w:fldChar w:fldCharType="end"/>
      </w:r>
      <w:r>
        <w:rPr>
          <w:rFonts w:ascii="黑体" w:hAnsi="黑体"/>
          <w:szCs w:val="30"/>
        </w:rPr>
        <w:fldChar w:fldCharType="end"/>
      </w:r>
    </w:p>
    <w:p w14:paraId="27CECF63">
      <w:pPr>
        <w:pStyle w:val="36"/>
        <w:tabs>
          <w:tab w:val="right" w:leader="dot" w:pos="8306"/>
        </w:tabs>
      </w:pPr>
      <w:r>
        <w:rPr>
          <w:rFonts w:ascii="黑体" w:hAnsi="黑体"/>
          <w:szCs w:val="30"/>
        </w:rPr>
        <w:fldChar w:fldCharType="begin"/>
      </w:r>
      <w:r>
        <w:rPr>
          <w:rFonts w:ascii="黑体" w:hAnsi="黑体"/>
          <w:szCs w:val="30"/>
        </w:rPr>
        <w:instrText xml:space="preserve"> HYPERLINK \l _Toc255042983 </w:instrText>
      </w:r>
      <w:r>
        <w:rPr>
          <w:rFonts w:ascii="黑体" w:hAnsi="黑体"/>
          <w:szCs w:val="30"/>
        </w:rPr>
        <w:fldChar w:fldCharType="separate"/>
      </w:r>
      <w:r>
        <w:rPr>
          <w:rFonts w:hint="eastAsia" w:ascii="仿宋_GB2312" w:eastAsia="仿宋_GB2312"/>
          <w:szCs w:val="30"/>
        </w:rPr>
        <w:t>12.2. 债券交易突发性事件</w:t>
      </w:r>
      <w:r>
        <w:tab/>
      </w:r>
      <w:r>
        <w:fldChar w:fldCharType="begin"/>
      </w:r>
      <w:r>
        <w:instrText xml:space="preserve"> PAGEREF _Toc255042983 \h </w:instrText>
      </w:r>
      <w:r>
        <w:fldChar w:fldCharType="separate"/>
      </w:r>
      <w:r>
        <w:t>295</w:t>
      </w:r>
      <w:r>
        <w:fldChar w:fldCharType="end"/>
      </w:r>
      <w:r>
        <w:rPr>
          <w:rFonts w:ascii="黑体" w:hAnsi="黑体"/>
          <w:szCs w:val="30"/>
        </w:rPr>
        <w:fldChar w:fldCharType="end"/>
      </w:r>
    </w:p>
    <w:p w14:paraId="63D64714">
      <w:pPr>
        <w:pStyle w:val="36"/>
        <w:tabs>
          <w:tab w:val="right" w:leader="dot" w:pos="8306"/>
        </w:tabs>
      </w:pPr>
      <w:r>
        <w:rPr>
          <w:rFonts w:ascii="黑体" w:hAnsi="黑体"/>
          <w:szCs w:val="30"/>
        </w:rPr>
        <w:fldChar w:fldCharType="begin"/>
      </w:r>
      <w:r>
        <w:rPr>
          <w:rFonts w:ascii="黑体" w:hAnsi="黑体"/>
          <w:szCs w:val="30"/>
        </w:rPr>
        <w:instrText xml:space="preserve"> HYPERLINK \l _Toc746126064 </w:instrText>
      </w:r>
      <w:r>
        <w:rPr>
          <w:rFonts w:ascii="黑体" w:hAnsi="黑体"/>
          <w:szCs w:val="30"/>
        </w:rPr>
        <w:fldChar w:fldCharType="separate"/>
      </w:r>
      <w:r>
        <w:rPr>
          <w:rFonts w:hint="eastAsia" w:ascii="仿宋_GB2312" w:eastAsia="仿宋_GB2312"/>
          <w:szCs w:val="30"/>
        </w:rPr>
        <w:t>12.3. 债券交易重大异常波动</w:t>
      </w:r>
      <w:r>
        <w:tab/>
      </w:r>
      <w:r>
        <w:fldChar w:fldCharType="begin"/>
      </w:r>
      <w:r>
        <w:instrText xml:space="preserve"> PAGEREF _Toc746126064 \h </w:instrText>
      </w:r>
      <w:r>
        <w:fldChar w:fldCharType="separate"/>
      </w:r>
      <w:r>
        <w:t>297</w:t>
      </w:r>
      <w:r>
        <w:fldChar w:fldCharType="end"/>
      </w:r>
      <w:r>
        <w:rPr>
          <w:rFonts w:ascii="黑体" w:hAnsi="黑体"/>
          <w:szCs w:val="30"/>
        </w:rPr>
        <w:fldChar w:fldCharType="end"/>
      </w:r>
    </w:p>
    <w:p w14:paraId="0577D417">
      <w:pPr>
        <w:pStyle w:val="36"/>
        <w:tabs>
          <w:tab w:val="right" w:leader="dot" w:pos="8306"/>
        </w:tabs>
      </w:pPr>
      <w:r>
        <w:rPr>
          <w:rFonts w:ascii="黑体" w:hAnsi="黑体"/>
          <w:szCs w:val="30"/>
        </w:rPr>
        <w:fldChar w:fldCharType="begin"/>
      </w:r>
      <w:r>
        <w:rPr>
          <w:rFonts w:ascii="黑体" w:hAnsi="黑体"/>
          <w:szCs w:val="30"/>
        </w:rPr>
        <w:instrText xml:space="preserve"> HYPERLINK \l _Toc86237022 </w:instrText>
      </w:r>
      <w:r>
        <w:rPr>
          <w:rFonts w:ascii="黑体" w:hAnsi="黑体"/>
          <w:szCs w:val="30"/>
        </w:rPr>
        <w:fldChar w:fldCharType="separate"/>
      </w:r>
      <w:r>
        <w:rPr>
          <w:rFonts w:hint="eastAsia" w:ascii="仿宋_GB2312" w:eastAsia="仿宋_GB2312"/>
          <w:szCs w:val="30"/>
        </w:rPr>
        <w:t>12.4. 交易异常处置措施</w:t>
      </w:r>
      <w:r>
        <w:tab/>
      </w:r>
      <w:r>
        <w:fldChar w:fldCharType="begin"/>
      </w:r>
      <w:r>
        <w:instrText xml:space="preserve"> PAGEREF _Toc86237022 \h </w:instrText>
      </w:r>
      <w:r>
        <w:fldChar w:fldCharType="separate"/>
      </w:r>
      <w:r>
        <w:t>297</w:t>
      </w:r>
      <w:r>
        <w:fldChar w:fldCharType="end"/>
      </w:r>
      <w:r>
        <w:rPr>
          <w:rFonts w:ascii="黑体" w:hAnsi="黑体"/>
          <w:szCs w:val="30"/>
        </w:rPr>
        <w:fldChar w:fldCharType="end"/>
      </w:r>
    </w:p>
    <w:p w14:paraId="2FA21533">
      <w:pPr>
        <w:pStyle w:val="36"/>
        <w:tabs>
          <w:tab w:val="right" w:leader="dot" w:pos="8306"/>
        </w:tabs>
      </w:pPr>
      <w:r>
        <w:rPr>
          <w:rFonts w:ascii="黑体" w:hAnsi="黑体"/>
          <w:szCs w:val="30"/>
        </w:rPr>
        <w:fldChar w:fldCharType="begin"/>
      </w:r>
      <w:r>
        <w:rPr>
          <w:rFonts w:ascii="黑体" w:hAnsi="黑体"/>
          <w:szCs w:val="30"/>
        </w:rPr>
        <w:instrText xml:space="preserve"> HYPERLINK \l _Toc1687647394 </w:instrText>
      </w:r>
      <w:r>
        <w:rPr>
          <w:rFonts w:ascii="黑体" w:hAnsi="黑体"/>
          <w:szCs w:val="30"/>
        </w:rPr>
        <w:fldChar w:fldCharType="separate"/>
      </w:r>
      <w:r>
        <w:rPr>
          <w:rFonts w:hint="eastAsia" w:ascii="仿宋_GB2312" w:eastAsia="仿宋_GB2312"/>
          <w:szCs w:val="30"/>
        </w:rPr>
        <w:t>12.5. 应急申报与成交</w:t>
      </w:r>
      <w:r>
        <w:tab/>
      </w:r>
      <w:r>
        <w:fldChar w:fldCharType="begin"/>
      </w:r>
      <w:r>
        <w:instrText xml:space="preserve"> PAGEREF _Toc1687647394 \h </w:instrText>
      </w:r>
      <w:r>
        <w:fldChar w:fldCharType="separate"/>
      </w:r>
      <w:r>
        <w:t>298</w:t>
      </w:r>
      <w:r>
        <w:fldChar w:fldCharType="end"/>
      </w:r>
      <w:r>
        <w:rPr>
          <w:rFonts w:ascii="黑体" w:hAnsi="黑体"/>
          <w:szCs w:val="30"/>
        </w:rPr>
        <w:fldChar w:fldCharType="end"/>
      </w:r>
    </w:p>
    <w:p w14:paraId="5B5DF08F">
      <w:pPr>
        <w:pStyle w:val="36"/>
        <w:tabs>
          <w:tab w:val="right" w:leader="dot" w:pos="8306"/>
        </w:tabs>
      </w:pPr>
      <w:r>
        <w:rPr>
          <w:rFonts w:ascii="黑体" w:hAnsi="黑体"/>
          <w:szCs w:val="30"/>
        </w:rPr>
        <w:fldChar w:fldCharType="begin"/>
      </w:r>
      <w:r>
        <w:rPr>
          <w:rFonts w:ascii="黑体" w:hAnsi="黑体"/>
          <w:szCs w:val="30"/>
        </w:rPr>
        <w:instrText xml:space="preserve"> HYPERLINK \l _Toc346386900 </w:instrText>
      </w:r>
      <w:r>
        <w:rPr>
          <w:rFonts w:ascii="黑体" w:hAnsi="黑体"/>
          <w:szCs w:val="30"/>
        </w:rPr>
        <w:fldChar w:fldCharType="separate"/>
      </w:r>
      <w:r>
        <w:rPr>
          <w:rFonts w:hint="eastAsia" w:ascii="仿宋_GB2312" w:eastAsia="仿宋_GB2312"/>
          <w:szCs w:val="30"/>
        </w:rPr>
        <w:t>12.6. 交易解除</w:t>
      </w:r>
      <w:r>
        <w:tab/>
      </w:r>
      <w:r>
        <w:fldChar w:fldCharType="begin"/>
      </w:r>
      <w:r>
        <w:instrText xml:space="preserve"> PAGEREF _Toc346386900 \h </w:instrText>
      </w:r>
      <w:r>
        <w:fldChar w:fldCharType="separate"/>
      </w:r>
      <w:r>
        <w:t>298</w:t>
      </w:r>
      <w:r>
        <w:fldChar w:fldCharType="end"/>
      </w:r>
      <w:r>
        <w:rPr>
          <w:rFonts w:ascii="黑体" w:hAnsi="黑体"/>
          <w:szCs w:val="30"/>
        </w:rPr>
        <w:fldChar w:fldCharType="end"/>
      </w:r>
    </w:p>
    <w:p w14:paraId="11B1DEA1">
      <w:pPr>
        <w:pStyle w:val="36"/>
        <w:tabs>
          <w:tab w:val="right" w:leader="dot" w:pos="8306"/>
        </w:tabs>
      </w:pPr>
      <w:r>
        <w:rPr>
          <w:rFonts w:ascii="黑体" w:hAnsi="黑体"/>
          <w:szCs w:val="30"/>
        </w:rPr>
        <w:fldChar w:fldCharType="begin"/>
      </w:r>
      <w:r>
        <w:rPr>
          <w:rFonts w:ascii="黑体" w:hAnsi="黑体"/>
          <w:szCs w:val="30"/>
        </w:rPr>
        <w:instrText xml:space="preserve"> HYPERLINK \l _Toc1050900095 </w:instrText>
      </w:r>
      <w:r>
        <w:rPr>
          <w:rFonts w:ascii="黑体" w:hAnsi="黑体"/>
          <w:szCs w:val="30"/>
        </w:rPr>
        <w:fldChar w:fldCharType="separate"/>
      </w:r>
      <w:r>
        <w:rPr>
          <w:rFonts w:hint="eastAsia" w:ascii="仿宋_GB2312" w:hAnsi="黑体" w:eastAsia="仿宋_GB2312"/>
          <w:szCs w:val="30"/>
        </w:rPr>
        <w:t>附件</w:t>
      </w:r>
      <w:r>
        <w:rPr>
          <w:rFonts w:ascii="仿宋_GB2312" w:hAnsi="黑体" w:eastAsia="仿宋_GB2312"/>
          <w:szCs w:val="30"/>
        </w:rPr>
        <w:t xml:space="preserve">1 </w:t>
      </w:r>
      <w:r>
        <w:rPr>
          <w:rFonts w:hint="eastAsia" w:ascii="仿宋_GB2312" w:hAnsi="黑体" w:eastAsia="仿宋_GB2312"/>
          <w:szCs w:val="30"/>
        </w:rPr>
        <w:t>债券交易参与人申请表</w:t>
      </w:r>
      <w:r>
        <w:tab/>
      </w:r>
      <w:r>
        <w:fldChar w:fldCharType="begin"/>
      </w:r>
      <w:r>
        <w:instrText xml:space="preserve"> PAGEREF _Toc1050900095 \h </w:instrText>
      </w:r>
      <w:r>
        <w:fldChar w:fldCharType="separate"/>
      </w:r>
      <w:r>
        <w:t>300</w:t>
      </w:r>
      <w:r>
        <w:fldChar w:fldCharType="end"/>
      </w:r>
      <w:r>
        <w:rPr>
          <w:rFonts w:ascii="黑体" w:hAnsi="黑体"/>
          <w:szCs w:val="30"/>
        </w:rPr>
        <w:fldChar w:fldCharType="end"/>
      </w:r>
    </w:p>
    <w:p w14:paraId="675270B9">
      <w:pPr>
        <w:pStyle w:val="36"/>
        <w:tabs>
          <w:tab w:val="right" w:leader="dot" w:pos="8306"/>
        </w:tabs>
      </w:pPr>
      <w:r>
        <w:rPr>
          <w:rFonts w:ascii="黑体" w:hAnsi="黑体"/>
          <w:szCs w:val="30"/>
        </w:rPr>
        <w:fldChar w:fldCharType="begin"/>
      </w:r>
      <w:r>
        <w:rPr>
          <w:rFonts w:ascii="黑体" w:hAnsi="黑体"/>
          <w:szCs w:val="30"/>
        </w:rPr>
        <w:instrText xml:space="preserve"> HYPERLINK \l _Toc1080348210 </w:instrText>
      </w:r>
      <w:r>
        <w:rPr>
          <w:rFonts w:ascii="黑体" w:hAnsi="黑体"/>
          <w:szCs w:val="30"/>
        </w:rPr>
        <w:fldChar w:fldCharType="separate"/>
      </w:r>
      <w:r>
        <w:rPr>
          <w:rFonts w:hint="eastAsia" w:ascii="仿宋_GB2312" w:hAnsi="黑体" w:eastAsia="仿宋_GB2312"/>
          <w:szCs w:val="30"/>
        </w:rPr>
        <w:t>附件</w:t>
      </w:r>
      <w:r>
        <w:rPr>
          <w:rFonts w:ascii="仿宋_GB2312" w:hAnsi="黑体" w:eastAsia="仿宋_GB2312"/>
          <w:szCs w:val="30"/>
        </w:rPr>
        <w:t xml:space="preserve">2 </w:t>
      </w:r>
      <w:r>
        <w:rPr>
          <w:rFonts w:hint="eastAsia" w:ascii="仿宋_GB2312" w:hAnsi="黑体" w:eastAsia="仿宋_GB2312"/>
          <w:szCs w:val="30"/>
        </w:rPr>
        <w:t>会籍系统资格申请报告</w:t>
      </w:r>
      <w:r>
        <w:tab/>
      </w:r>
      <w:r>
        <w:fldChar w:fldCharType="begin"/>
      </w:r>
      <w:r>
        <w:instrText xml:space="preserve"> PAGEREF _Toc1080348210 \h </w:instrText>
      </w:r>
      <w:r>
        <w:fldChar w:fldCharType="separate"/>
      </w:r>
      <w:r>
        <w:t>302</w:t>
      </w:r>
      <w:r>
        <w:fldChar w:fldCharType="end"/>
      </w:r>
      <w:r>
        <w:rPr>
          <w:rFonts w:ascii="黑体" w:hAnsi="黑体"/>
          <w:szCs w:val="30"/>
        </w:rPr>
        <w:fldChar w:fldCharType="end"/>
      </w:r>
    </w:p>
    <w:p w14:paraId="5E2B161D">
      <w:pPr>
        <w:pStyle w:val="36"/>
        <w:tabs>
          <w:tab w:val="right" w:leader="dot" w:pos="8306"/>
        </w:tabs>
      </w:pPr>
      <w:r>
        <w:rPr>
          <w:rFonts w:ascii="黑体" w:hAnsi="黑体"/>
          <w:szCs w:val="30"/>
        </w:rPr>
        <w:fldChar w:fldCharType="begin"/>
      </w:r>
      <w:r>
        <w:rPr>
          <w:rFonts w:ascii="黑体" w:hAnsi="黑体"/>
          <w:szCs w:val="30"/>
        </w:rPr>
        <w:instrText xml:space="preserve"> HYPERLINK \l _Toc710783317 </w:instrText>
      </w:r>
      <w:r>
        <w:rPr>
          <w:rFonts w:ascii="黑体" w:hAnsi="黑体"/>
          <w:szCs w:val="30"/>
        </w:rPr>
        <w:fldChar w:fldCharType="separate"/>
      </w:r>
      <w:r>
        <w:rPr>
          <w:rFonts w:hint="eastAsia" w:ascii="仿宋_GB2312" w:hAnsi="黑体" w:eastAsia="仿宋_GB2312"/>
          <w:szCs w:val="30"/>
        </w:rPr>
        <w:t>附件3 债券交易参与人业务联络人基本信息表</w:t>
      </w:r>
      <w:r>
        <w:tab/>
      </w:r>
      <w:r>
        <w:fldChar w:fldCharType="begin"/>
      </w:r>
      <w:r>
        <w:instrText xml:space="preserve"> PAGEREF _Toc710783317 \h </w:instrText>
      </w:r>
      <w:r>
        <w:fldChar w:fldCharType="separate"/>
      </w:r>
      <w:r>
        <w:t>303</w:t>
      </w:r>
      <w:r>
        <w:fldChar w:fldCharType="end"/>
      </w:r>
      <w:r>
        <w:rPr>
          <w:rFonts w:ascii="黑体" w:hAnsi="黑体"/>
          <w:szCs w:val="30"/>
        </w:rPr>
        <w:fldChar w:fldCharType="end"/>
      </w:r>
    </w:p>
    <w:p w14:paraId="7629430E">
      <w:pPr>
        <w:pStyle w:val="36"/>
        <w:tabs>
          <w:tab w:val="right" w:leader="dot" w:pos="8306"/>
        </w:tabs>
      </w:pPr>
      <w:r>
        <w:rPr>
          <w:rFonts w:ascii="黑体" w:hAnsi="黑体"/>
          <w:szCs w:val="30"/>
        </w:rPr>
        <w:fldChar w:fldCharType="begin"/>
      </w:r>
      <w:r>
        <w:rPr>
          <w:rFonts w:ascii="黑体" w:hAnsi="黑体"/>
          <w:szCs w:val="30"/>
        </w:rPr>
        <w:instrText xml:space="preserve"> HYPERLINK \l _Toc1197666805 </w:instrText>
      </w:r>
      <w:r>
        <w:rPr>
          <w:rFonts w:ascii="黑体" w:hAnsi="黑体"/>
          <w:szCs w:val="30"/>
        </w:rPr>
        <w:fldChar w:fldCharType="separate"/>
      </w:r>
      <w:r>
        <w:rPr>
          <w:rFonts w:hint="eastAsia" w:ascii="仿宋_GB2312" w:hAnsi="黑体" w:eastAsia="仿宋_GB2312"/>
          <w:szCs w:val="30"/>
        </w:rPr>
        <w:t>附件4 境外机构投资者信息报送表</w:t>
      </w:r>
      <w:r>
        <w:tab/>
      </w:r>
      <w:r>
        <w:fldChar w:fldCharType="begin"/>
      </w:r>
      <w:r>
        <w:instrText xml:space="preserve"> PAGEREF _Toc1197666805 \h </w:instrText>
      </w:r>
      <w:r>
        <w:fldChar w:fldCharType="separate"/>
      </w:r>
      <w:r>
        <w:t>304</w:t>
      </w:r>
      <w:r>
        <w:fldChar w:fldCharType="end"/>
      </w:r>
      <w:r>
        <w:rPr>
          <w:rFonts w:ascii="黑体" w:hAnsi="黑体"/>
          <w:szCs w:val="30"/>
        </w:rPr>
        <w:fldChar w:fldCharType="end"/>
      </w:r>
    </w:p>
    <w:p w14:paraId="64A46ECA">
      <w:pPr>
        <w:pStyle w:val="36"/>
        <w:tabs>
          <w:tab w:val="right" w:leader="dot" w:pos="8306"/>
        </w:tabs>
      </w:pPr>
      <w:r>
        <w:rPr>
          <w:rFonts w:ascii="黑体" w:hAnsi="黑体"/>
          <w:szCs w:val="30"/>
        </w:rPr>
        <w:fldChar w:fldCharType="begin"/>
      </w:r>
      <w:r>
        <w:rPr>
          <w:rFonts w:ascii="黑体" w:hAnsi="黑体"/>
          <w:szCs w:val="30"/>
        </w:rPr>
        <w:instrText xml:space="preserve"> HYPERLINK \l _Toc400620555 </w:instrText>
      </w:r>
      <w:r>
        <w:rPr>
          <w:rFonts w:ascii="黑体" w:hAnsi="黑体"/>
          <w:szCs w:val="30"/>
        </w:rPr>
        <w:fldChar w:fldCharType="separate"/>
      </w:r>
      <w:r>
        <w:rPr>
          <w:rFonts w:hint="eastAsia" w:ascii="仿宋_GB2312" w:hAnsi="黑体" w:eastAsia="仿宋_GB2312"/>
          <w:szCs w:val="30"/>
        </w:rPr>
        <w:t>附件5 资金前端控制设置流程说明</w:t>
      </w:r>
      <w:r>
        <w:tab/>
      </w:r>
      <w:r>
        <w:fldChar w:fldCharType="begin"/>
      </w:r>
      <w:r>
        <w:instrText xml:space="preserve"> PAGEREF _Toc400620555 \h </w:instrText>
      </w:r>
      <w:r>
        <w:fldChar w:fldCharType="separate"/>
      </w:r>
      <w:r>
        <w:t>307</w:t>
      </w:r>
      <w:r>
        <w:fldChar w:fldCharType="end"/>
      </w:r>
      <w:r>
        <w:rPr>
          <w:rFonts w:ascii="黑体" w:hAnsi="黑体"/>
          <w:szCs w:val="30"/>
        </w:rPr>
        <w:fldChar w:fldCharType="end"/>
      </w:r>
    </w:p>
    <w:p w14:paraId="771EAF74">
      <w:pPr>
        <w:pStyle w:val="36"/>
        <w:tabs>
          <w:tab w:val="right" w:leader="dot" w:pos="8306"/>
        </w:tabs>
      </w:pPr>
      <w:r>
        <w:rPr>
          <w:rFonts w:ascii="黑体" w:hAnsi="黑体"/>
          <w:szCs w:val="30"/>
        </w:rPr>
        <w:fldChar w:fldCharType="begin"/>
      </w:r>
      <w:r>
        <w:rPr>
          <w:rFonts w:ascii="黑体" w:hAnsi="黑体"/>
          <w:szCs w:val="30"/>
        </w:rPr>
        <w:instrText xml:space="preserve"> HYPERLINK \l _Toc1918375412 </w:instrText>
      </w:r>
      <w:r>
        <w:rPr>
          <w:rFonts w:ascii="黑体" w:hAnsi="黑体"/>
          <w:szCs w:val="30"/>
        </w:rPr>
        <w:fldChar w:fldCharType="separate"/>
      </w:r>
      <w:r>
        <w:rPr>
          <w:rFonts w:hint="eastAsia" w:ascii="仿宋_GB2312" w:hAnsi="黑体" w:eastAsia="仿宋_GB2312"/>
          <w:szCs w:val="30"/>
        </w:rPr>
        <w:t>附件6-1 竞买预约提示</w:t>
      </w:r>
      <w:r>
        <w:tab/>
      </w:r>
      <w:r>
        <w:fldChar w:fldCharType="begin"/>
      </w:r>
      <w:r>
        <w:instrText xml:space="preserve"> PAGEREF _Toc1918375412 \h </w:instrText>
      </w:r>
      <w:r>
        <w:fldChar w:fldCharType="separate"/>
      </w:r>
      <w:r>
        <w:t>312</w:t>
      </w:r>
      <w:r>
        <w:fldChar w:fldCharType="end"/>
      </w:r>
      <w:r>
        <w:rPr>
          <w:rFonts w:ascii="黑体" w:hAnsi="黑体"/>
          <w:szCs w:val="30"/>
        </w:rPr>
        <w:fldChar w:fldCharType="end"/>
      </w:r>
    </w:p>
    <w:p w14:paraId="0D405A14">
      <w:pPr>
        <w:pStyle w:val="36"/>
        <w:tabs>
          <w:tab w:val="right" w:leader="dot" w:pos="8306"/>
        </w:tabs>
      </w:pPr>
      <w:r>
        <w:rPr>
          <w:rFonts w:ascii="黑体" w:hAnsi="黑体"/>
          <w:szCs w:val="30"/>
        </w:rPr>
        <w:fldChar w:fldCharType="begin"/>
      </w:r>
      <w:r>
        <w:rPr>
          <w:rFonts w:ascii="黑体" w:hAnsi="黑体"/>
          <w:szCs w:val="30"/>
        </w:rPr>
        <w:instrText xml:space="preserve"> HYPERLINK \l _Toc1772142337 </w:instrText>
      </w:r>
      <w:r>
        <w:rPr>
          <w:rFonts w:ascii="黑体" w:hAnsi="黑体"/>
          <w:szCs w:val="30"/>
        </w:rPr>
        <w:fldChar w:fldCharType="separate"/>
      </w:r>
      <w:r>
        <w:rPr>
          <w:rFonts w:hint="eastAsia" w:ascii="仿宋_GB2312" w:eastAsia="仿宋_GB2312"/>
          <w:szCs w:val="30"/>
        </w:rPr>
        <w:t>附件6-2 竞买预约撤销提示</w:t>
      </w:r>
      <w:r>
        <w:tab/>
      </w:r>
      <w:r>
        <w:fldChar w:fldCharType="begin"/>
      </w:r>
      <w:r>
        <w:instrText xml:space="preserve"> PAGEREF _Toc1772142337 \h </w:instrText>
      </w:r>
      <w:r>
        <w:fldChar w:fldCharType="separate"/>
      </w:r>
      <w:r>
        <w:t>312</w:t>
      </w:r>
      <w:r>
        <w:fldChar w:fldCharType="end"/>
      </w:r>
      <w:r>
        <w:rPr>
          <w:rFonts w:ascii="黑体" w:hAnsi="黑体"/>
          <w:szCs w:val="30"/>
        </w:rPr>
        <w:fldChar w:fldCharType="end"/>
      </w:r>
    </w:p>
    <w:p w14:paraId="6034C769">
      <w:pPr>
        <w:pStyle w:val="36"/>
        <w:tabs>
          <w:tab w:val="right" w:leader="dot" w:pos="8306"/>
        </w:tabs>
      </w:pPr>
      <w:r>
        <w:rPr>
          <w:rFonts w:ascii="黑体" w:hAnsi="黑体"/>
          <w:szCs w:val="30"/>
        </w:rPr>
        <w:fldChar w:fldCharType="begin"/>
      </w:r>
      <w:r>
        <w:rPr>
          <w:rFonts w:ascii="黑体" w:hAnsi="黑体"/>
          <w:szCs w:val="30"/>
        </w:rPr>
        <w:instrText xml:space="preserve"> HYPERLINK \l _Toc1586989269 </w:instrText>
      </w:r>
      <w:r>
        <w:rPr>
          <w:rFonts w:ascii="黑体" w:hAnsi="黑体"/>
          <w:szCs w:val="30"/>
        </w:rPr>
        <w:fldChar w:fldCharType="separate"/>
      </w:r>
      <w:r>
        <w:rPr>
          <w:rFonts w:hint="eastAsia" w:ascii="仿宋_GB2312" w:hAnsi="黑体" w:eastAsia="仿宋_GB2312"/>
          <w:szCs w:val="30"/>
        </w:rPr>
        <w:t>附件6-3 竞买取消提示</w:t>
      </w:r>
      <w:r>
        <w:tab/>
      </w:r>
      <w:r>
        <w:fldChar w:fldCharType="begin"/>
      </w:r>
      <w:r>
        <w:instrText xml:space="preserve"> PAGEREF _Toc1586989269 \h </w:instrText>
      </w:r>
      <w:r>
        <w:fldChar w:fldCharType="separate"/>
      </w:r>
      <w:r>
        <w:t>313</w:t>
      </w:r>
      <w:r>
        <w:fldChar w:fldCharType="end"/>
      </w:r>
      <w:r>
        <w:rPr>
          <w:rFonts w:ascii="黑体" w:hAnsi="黑体"/>
          <w:szCs w:val="30"/>
        </w:rPr>
        <w:fldChar w:fldCharType="end"/>
      </w:r>
    </w:p>
    <w:p w14:paraId="31C4E350">
      <w:pPr>
        <w:pStyle w:val="36"/>
        <w:tabs>
          <w:tab w:val="right" w:leader="dot" w:pos="8306"/>
        </w:tabs>
      </w:pPr>
      <w:r>
        <w:rPr>
          <w:rFonts w:ascii="黑体" w:hAnsi="黑体"/>
          <w:szCs w:val="30"/>
        </w:rPr>
        <w:fldChar w:fldCharType="begin"/>
      </w:r>
      <w:r>
        <w:rPr>
          <w:rFonts w:ascii="黑体" w:hAnsi="黑体"/>
          <w:szCs w:val="30"/>
        </w:rPr>
        <w:instrText xml:space="preserve"> HYPERLINK \l _Toc2048580938 </w:instrText>
      </w:r>
      <w:r>
        <w:rPr>
          <w:rFonts w:ascii="黑体" w:hAnsi="黑体"/>
          <w:szCs w:val="30"/>
        </w:rPr>
        <w:fldChar w:fldCharType="separate"/>
      </w:r>
      <w:r>
        <w:rPr>
          <w:rFonts w:hint="eastAsia" w:ascii="仿宋_GB2312" w:hAnsi="黑体" w:eastAsia="仿宋_GB2312"/>
          <w:szCs w:val="30"/>
        </w:rPr>
        <w:t>附件6-4 竞买结果提示</w:t>
      </w:r>
      <w:r>
        <w:tab/>
      </w:r>
      <w:r>
        <w:fldChar w:fldCharType="begin"/>
      </w:r>
      <w:r>
        <w:instrText xml:space="preserve"> PAGEREF _Toc2048580938 \h </w:instrText>
      </w:r>
      <w:r>
        <w:fldChar w:fldCharType="separate"/>
      </w:r>
      <w:r>
        <w:t>314</w:t>
      </w:r>
      <w:r>
        <w:fldChar w:fldCharType="end"/>
      </w:r>
      <w:r>
        <w:rPr>
          <w:rFonts w:ascii="黑体" w:hAnsi="黑体"/>
          <w:szCs w:val="30"/>
        </w:rPr>
        <w:fldChar w:fldCharType="end"/>
      </w:r>
    </w:p>
    <w:p w14:paraId="51EB34DD">
      <w:pPr>
        <w:pStyle w:val="36"/>
        <w:tabs>
          <w:tab w:val="right" w:leader="dot" w:pos="8306"/>
        </w:tabs>
      </w:pPr>
      <w:r>
        <w:rPr>
          <w:rFonts w:ascii="黑体" w:hAnsi="黑体"/>
          <w:szCs w:val="30"/>
        </w:rPr>
        <w:fldChar w:fldCharType="begin"/>
      </w:r>
      <w:r>
        <w:rPr>
          <w:rFonts w:ascii="黑体" w:hAnsi="黑体"/>
          <w:szCs w:val="30"/>
        </w:rPr>
        <w:instrText xml:space="preserve"> HYPERLINK \l _Toc768305754 </w:instrText>
      </w:r>
      <w:r>
        <w:rPr>
          <w:rFonts w:ascii="黑体" w:hAnsi="黑体"/>
          <w:szCs w:val="30"/>
        </w:rPr>
        <w:fldChar w:fldCharType="separate"/>
      </w:r>
      <w:r>
        <w:rPr>
          <w:rFonts w:hint="eastAsia" w:ascii="仿宋_GB2312" w:hAnsi="黑体" w:eastAsia="仿宋_GB2312"/>
          <w:szCs w:val="30"/>
        </w:rPr>
        <w:t>附件7 做市交易业务技术测试和专项检查申请</w:t>
      </w:r>
      <w:r>
        <w:rPr>
          <w:rFonts w:hint="eastAsia" w:ascii="仿宋_GB2312" w:eastAsia="仿宋_GB2312"/>
          <w:szCs w:val="30"/>
        </w:rPr>
        <w:t>书</w:t>
      </w:r>
      <w:r>
        <w:tab/>
      </w:r>
      <w:r>
        <w:fldChar w:fldCharType="begin"/>
      </w:r>
      <w:r>
        <w:instrText xml:space="preserve"> PAGEREF _Toc768305754 \h </w:instrText>
      </w:r>
      <w:r>
        <w:fldChar w:fldCharType="separate"/>
      </w:r>
      <w:r>
        <w:t>315</w:t>
      </w:r>
      <w:r>
        <w:fldChar w:fldCharType="end"/>
      </w:r>
      <w:r>
        <w:rPr>
          <w:rFonts w:ascii="黑体" w:hAnsi="黑体"/>
          <w:szCs w:val="30"/>
        </w:rPr>
        <w:fldChar w:fldCharType="end"/>
      </w:r>
    </w:p>
    <w:p w14:paraId="3A3CE6F2">
      <w:pPr>
        <w:pStyle w:val="36"/>
        <w:tabs>
          <w:tab w:val="right" w:leader="dot" w:pos="8306"/>
        </w:tabs>
      </w:pPr>
      <w:r>
        <w:rPr>
          <w:rFonts w:ascii="黑体" w:hAnsi="黑体"/>
          <w:szCs w:val="30"/>
        </w:rPr>
        <w:fldChar w:fldCharType="begin"/>
      </w:r>
      <w:r>
        <w:rPr>
          <w:rFonts w:ascii="黑体" w:hAnsi="黑体"/>
          <w:szCs w:val="30"/>
        </w:rPr>
        <w:instrText xml:space="preserve"> HYPERLINK \l _Toc2055023211 </w:instrText>
      </w:r>
      <w:r>
        <w:rPr>
          <w:rFonts w:ascii="黑体" w:hAnsi="黑体"/>
          <w:szCs w:val="30"/>
        </w:rPr>
        <w:fldChar w:fldCharType="separate"/>
      </w:r>
      <w:r>
        <w:rPr>
          <w:rFonts w:hint="eastAsia" w:ascii="仿宋_GB2312" w:hAnsi="黑体" w:eastAsia="仿宋_GB2312"/>
          <w:szCs w:val="30"/>
        </w:rPr>
        <w:t>附件8 做市交易业务实施方案与管理制度必备要点</w:t>
      </w:r>
      <w:r>
        <w:tab/>
      </w:r>
      <w:r>
        <w:fldChar w:fldCharType="begin"/>
      </w:r>
      <w:r>
        <w:instrText xml:space="preserve"> PAGEREF _Toc2055023211 \h </w:instrText>
      </w:r>
      <w:r>
        <w:fldChar w:fldCharType="separate"/>
      </w:r>
      <w:r>
        <w:t>316</w:t>
      </w:r>
      <w:r>
        <w:fldChar w:fldCharType="end"/>
      </w:r>
      <w:r>
        <w:rPr>
          <w:rFonts w:ascii="黑体" w:hAnsi="黑体"/>
          <w:szCs w:val="30"/>
        </w:rPr>
        <w:fldChar w:fldCharType="end"/>
      </w:r>
    </w:p>
    <w:p w14:paraId="5FC9BA5F">
      <w:pPr>
        <w:pStyle w:val="36"/>
        <w:tabs>
          <w:tab w:val="right" w:leader="dot" w:pos="8306"/>
        </w:tabs>
      </w:pPr>
      <w:r>
        <w:rPr>
          <w:rFonts w:ascii="黑体" w:hAnsi="黑体"/>
          <w:szCs w:val="30"/>
        </w:rPr>
        <w:fldChar w:fldCharType="begin"/>
      </w:r>
      <w:r>
        <w:rPr>
          <w:rFonts w:ascii="黑体" w:hAnsi="黑体"/>
          <w:szCs w:val="30"/>
        </w:rPr>
        <w:instrText xml:space="preserve"> HYPERLINK \l _Toc1266798039 </w:instrText>
      </w:r>
      <w:r>
        <w:rPr>
          <w:rFonts w:ascii="黑体" w:hAnsi="黑体"/>
          <w:szCs w:val="30"/>
        </w:rPr>
        <w:fldChar w:fldCharType="separate"/>
      </w:r>
      <w:r>
        <w:rPr>
          <w:rFonts w:hint="eastAsia" w:ascii="仿宋_GB2312" w:hAnsi="黑体" w:eastAsia="仿宋_GB2312"/>
          <w:szCs w:val="30"/>
        </w:rPr>
        <w:t>附件9 债券做市交易业务人员情况表</w:t>
      </w:r>
      <w:r>
        <w:tab/>
      </w:r>
      <w:r>
        <w:fldChar w:fldCharType="begin"/>
      </w:r>
      <w:r>
        <w:instrText xml:space="preserve"> PAGEREF _Toc1266798039 \h </w:instrText>
      </w:r>
      <w:r>
        <w:fldChar w:fldCharType="separate"/>
      </w:r>
      <w:r>
        <w:t>318</w:t>
      </w:r>
      <w:r>
        <w:fldChar w:fldCharType="end"/>
      </w:r>
      <w:r>
        <w:rPr>
          <w:rFonts w:ascii="黑体" w:hAnsi="黑体"/>
          <w:szCs w:val="30"/>
        </w:rPr>
        <w:fldChar w:fldCharType="end"/>
      </w:r>
    </w:p>
    <w:p w14:paraId="646FF55E">
      <w:pPr>
        <w:pStyle w:val="36"/>
        <w:tabs>
          <w:tab w:val="right" w:leader="dot" w:pos="8306"/>
        </w:tabs>
      </w:pPr>
      <w:r>
        <w:rPr>
          <w:rFonts w:ascii="黑体" w:hAnsi="黑体"/>
          <w:szCs w:val="30"/>
        </w:rPr>
        <w:fldChar w:fldCharType="begin"/>
      </w:r>
      <w:r>
        <w:rPr>
          <w:rFonts w:ascii="黑体" w:hAnsi="黑体"/>
          <w:szCs w:val="30"/>
        </w:rPr>
        <w:instrText xml:space="preserve"> HYPERLINK \l _Toc1426413288 </w:instrText>
      </w:r>
      <w:r>
        <w:rPr>
          <w:rFonts w:ascii="黑体" w:hAnsi="黑体"/>
          <w:szCs w:val="30"/>
        </w:rPr>
        <w:fldChar w:fldCharType="separate"/>
      </w:r>
      <w:r>
        <w:rPr>
          <w:rFonts w:hint="eastAsia" w:ascii="仿宋_GB2312" w:hAnsi="黑体" w:eastAsia="仿宋_GB2312"/>
          <w:szCs w:val="30"/>
        </w:rPr>
        <w:t>附件10 上海证券交易所债券做市交易业务检查工作底稿</w:t>
      </w:r>
      <w:r>
        <w:tab/>
      </w:r>
      <w:r>
        <w:fldChar w:fldCharType="begin"/>
      </w:r>
      <w:r>
        <w:instrText xml:space="preserve"> PAGEREF _Toc1426413288 \h </w:instrText>
      </w:r>
      <w:r>
        <w:fldChar w:fldCharType="separate"/>
      </w:r>
      <w:r>
        <w:t>320</w:t>
      </w:r>
      <w:r>
        <w:fldChar w:fldCharType="end"/>
      </w:r>
      <w:r>
        <w:rPr>
          <w:rFonts w:ascii="黑体" w:hAnsi="黑体"/>
          <w:szCs w:val="30"/>
        </w:rPr>
        <w:fldChar w:fldCharType="end"/>
      </w:r>
    </w:p>
    <w:p w14:paraId="1369B582">
      <w:pPr>
        <w:pStyle w:val="36"/>
        <w:tabs>
          <w:tab w:val="right" w:leader="dot" w:pos="8306"/>
        </w:tabs>
      </w:pPr>
      <w:r>
        <w:rPr>
          <w:rFonts w:ascii="黑体" w:hAnsi="黑体"/>
          <w:szCs w:val="30"/>
        </w:rPr>
        <w:fldChar w:fldCharType="begin"/>
      </w:r>
      <w:r>
        <w:rPr>
          <w:rFonts w:ascii="黑体" w:hAnsi="黑体"/>
          <w:szCs w:val="30"/>
        </w:rPr>
        <w:instrText xml:space="preserve"> HYPERLINK \l _Toc1016882028 </w:instrText>
      </w:r>
      <w:r>
        <w:rPr>
          <w:rFonts w:ascii="黑体" w:hAnsi="黑体"/>
          <w:szCs w:val="30"/>
        </w:rPr>
        <w:fldChar w:fldCharType="separate"/>
      </w:r>
      <w:r>
        <w:rPr>
          <w:rFonts w:hint="eastAsia" w:ascii="仿宋_GB2312" w:hAnsi="黑体" w:eastAsia="仿宋_GB2312"/>
          <w:szCs w:val="30"/>
        </w:rPr>
        <w:t>附件11 债券基准做市业务方案</w:t>
      </w:r>
      <w:r>
        <w:tab/>
      </w:r>
      <w:r>
        <w:fldChar w:fldCharType="begin"/>
      </w:r>
      <w:r>
        <w:instrText xml:space="preserve"> PAGEREF _Toc1016882028 \h </w:instrText>
      </w:r>
      <w:r>
        <w:fldChar w:fldCharType="separate"/>
      </w:r>
      <w:r>
        <w:t>322</w:t>
      </w:r>
      <w:r>
        <w:fldChar w:fldCharType="end"/>
      </w:r>
      <w:r>
        <w:rPr>
          <w:rFonts w:ascii="黑体" w:hAnsi="黑体"/>
          <w:szCs w:val="30"/>
        </w:rPr>
        <w:fldChar w:fldCharType="end"/>
      </w:r>
    </w:p>
    <w:p w14:paraId="640786BB">
      <w:pPr>
        <w:pStyle w:val="36"/>
        <w:tabs>
          <w:tab w:val="right" w:leader="dot" w:pos="8306"/>
        </w:tabs>
      </w:pPr>
      <w:r>
        <w:rPr>
          <w:rFonts w:ascii="黑体" w:hAnsi="黑体"/>
          <w:szCs w:val="30"/>
        </w:rPr>
        <w:fldChar w:fldCharType="begin"/>
      </w:r>
      <w:r>
        <w:rPr>
          <w:rFonts w:ascii="黑体" w:hAnsi="黑体"/>
          <w:szCs w:val="30"/>
        </w:rPr>
        <w:instrText xml:space="preserve"> HYPERLINK \l _Toc1070645925 </w:instrText>
      </w:r>
      <w:r>
        <w:rPr>
          <w:rFonts w:ascii="黑体" w:hAnsi="黑体"/>
          <w:szCs w:val="30"/>
        </w:rPr>
        <w:fldChar w:fldCharType="separate"/>
      </w:r>
      <w:r>
        <w:rPr>
          <w:rFonts w:hint="eastAsia" w:ascii="仿宋_GB2312" w:hAnsi="黑体" w:eastAsia="仿宋_GB2312"/>
          <w:szCs w:val="30"/>
        </w:rPr>
        <w:t>附件12 债券一般做市商登记表</w:t>
      </w:r>
      <w:r>
        <w:tab/>
      </w:r>
      <w:r>
        <w:fldChar w:fldCharType="begin"/>
      </w:r>
      <w:r>
        <w:instrText xml:space="preserve"> PAGEREF _Toc1070645925 \h </w:instrText>
      </w:r>
      <w:r>
        <w:fldChar w:fldCharType="separate"/>
      </w:r>
      <w:r>
        <w:t>327</w:t>
      </w:r>
      <w:r>
        <w:fldChar w:fldCharType="end"/>
      </w:r>
      <w:r>
        <w:rPr>
          <w:rFonts w:ascii="黑体" w:hAnsi="黑体"/>
          <w:szCs w:val="30"/>
        </w:rPr>
        <w:fldChar w:fldCharType="end"/>
      </w:r>
    </w:p>
    <w:p w14:paraId="2FDDE9DE">
      <w:pPr>
        <w:pStyle w:val="36"/>
        <w:tabs>
          <w:tab w:val="right" w:leader="dot" w:pos="8306"/>
        </w:tabs>
      </w:pPr>
      <w:r>
        <w:rPr>
          <w:rFonts w:ascii="黑体" w:hAnsi="黑体"/>
          <w:szCs w:val="30"/>
        </w:rPr>
        <w:fldChar w:fldCharType="begin"/>
      </w:r>
      <w:r>
        <w:rPr>
          <w:rFonts w:ascii="黑体" w:hAnsi="黑体"/>
          <w:szCs w:val="30"/>
        </w:rPr>
        <w:instrText xml:space="preserve"> HYPERLINK \l _Toc642476557 </w:instrText>
      </w:r>
      <w:r>
        <w:rPr>
          <w:rFonts w:ascii="黑体" w:hAnsi="黑体"/>
          <w:szCs w:val="30"/>
        </w:rPr>
        <w:fldChar w:fldCharType="separate"/>
      </w:r>
      <w:r>
        <w:rPr>
          <w:rFonts w:hint="eastAsia" w:ascii="仿宋_GB2312" w:hAnsi="黑体" w:eastAsia="仿宋_GB2312"/>
          <w:szCs w:val="30"/>
        </w:rPr>
        <w:t>附件13 债券做市账户登记表</w:t>
      </w:r>
      <w:r>
        <w:tab/>
      </w:r>
      <w:r>
        <w:fldChar w:fldCharType="begin"/>
      </w:r>
      <w:r>
        <w:instrText xml:space="preserve"> PAGEREF _Toc642476557 \h </w:instrText>
      </w:r>
      <w:r>
        <w:fldChar w:fldCharType="separate"/>
      </w:r>
      <w:r>
        <w:t>329</w:t>
      </w:r>
      <w:r>
        <w:fldChar w:fldCharType="end"/>
      </w:r>
      <w:r>
        <w:rPr>
          <w:rFonts w:ascii="黑体" w:hAnsi="黑体"/>
          <w:szCs w:val="30"/>
        </w:rPr>
        <w:fldChar w:fldCharType="end"/>
      </w:r>
    </w:p>
    <w:p w14:paraId="5270E2EF">
      <w:pPr>
        <w:pStyle w:val="36"/>
        <w:tabs>
          <w:tab w:val="right" w:leader="dot" w:pos="8306"/>
        </w:tabs>
      </w:pPr>
      <w:r>
        <w:rPr>
          <w:rFonts w:ascii="黑体" w:hAnsi="黑体"/>
          <w:szCs w:val="30"/>
        </w:rPr>
        <w:fldChar w:fldCharType="begin"/>
      </w:r>
      <w:r>
        <w:rPr>
          <w:rFonts w:ascii="黑体" w:hAnsi="黑体"/>
          <w:szCs w:val="30"/>
        </w:rPr>
        <w:instrText xml:space="preserve"> HYPERLINK \l _Toc414218408 </w:instrText>
      </w:r>
      <w:r>
        <w:rPr>
          <w:rFonts w:ascii="黑体" w:hAnsi="黑体"/>
          <w:szCs w:val="30"/>
        </w:rPr>
        <w:fldChar w:fldCharType="separate"/>
      </w:r>
      <w:r>
        <w:rPr>
          <w:rFonts w:hint="eastAsia" w:ascii="仿宋_GB2312" w:hAnsi="黑体" w:eastAsia="仿宋_GB2312"/>
          <w:szCs w:val="30"/>
        </w:rPr>
        <w:t>附件14 债券做市账户变更表</w:t>
      </w:r>
      <w:r>
        <w:tab/>
      </w:r>
      <w:r>
        <w:fldChar w:fldCharType="begin"/>
      </w:r>
      <w:r>
        <w:instrText xml:space="preserve"> PAGEREF _Toc414218408 \h </w:instrText>
      </w:r>
      <w:r>
        <w:fldChar w:fldCharType="separate"/>
      </w:r>
      <w:r>
        <w:t>331</w:t>
      </w:r>
      <w:r>
        <w:fldChar w:fldCharType="end"/>
      </w:r>
      <w:r>
        <w:rPr>
          <w:rFonts w:ascii="黑体" w:hAnsi="黑体"/>
          <w:szCs w:val="30"/>
        </w:rPr>
        <w:fldChar w:fldCharType="end"/>
      </w:r>
    </w:p>
    <w:p w14:paraId="0E4DC885">
      <w:pPr>
        <w:pStyle w:val="36"/>
        <w:tabs>
          <w:tab w:val="right" w:leader="dot" w:pos="8306"/>
        </w:tabs>
      </w:pPr>
      <w:r>
        <w:rPr>
          <w:rFonts w:ascii="黑体" w:hAnsi="黑体"/>
          <w:szCs w:val="30"/>
        </w:rPr>
        <w:fldChar w:fldCharType="begin"/>
      </w:r>
      <w:r>
        <w:rPr>
          <w:rFonts w:ascii="黑体" w:hAnsi="黑体"/>
          <w:szCs w:val="30"/>
        </w:rPr>
        <w:instrText xml:space="preserve"> HYPERLINK \l _Toc1019776823 </w:instrText>
      </w:r>
      <w:r>
        <w:rPr>
          <w:rFonts w:ascii="黑体" w:hAnsi="黑体"/>
          <w:szCs w:val="30"/>
        </w:rPr>
        <w:fldChar w:fldCharType="separate"/>
      </w:r>
      <w:r>
        <w:rPr>
          <w:rFonts w:hint="eastAsia" w:ascii="仿宋_GB2312" w:hAnsi="黑体" w:eastAsia="仿宋_GB2312"/>
          <w:szCs w:val="30"/>
        </w:rPr>
        <w:t>附件15 添加债券做市标的登记表</w:t>
      </w:r>
      <w:r>
        <w:tab/>
      </w:r>
      <w:r>
        <w:fldChar w:fldCharType="begin"/>
      </w:r>
      <w:r>
        <w:instrText xml:space="preserve"> PAGEREF _Toc1019776823 \h </w:instrText>
      </w:r>
      <w:r>
        <w:fldChar w:fldCharType="separate"/>
      </w:r>
      <w:r>
        <w:t>333</w:t>
      </w:r>
      <w:r>
        <w:fldChar w:fldCharType="end"/>
      </w:r>
      <w:r>
        <w:rPr>
          <w:rFonts w:ascii="黑体" w:hAnsi="黑体"/>
          <w:szCs w:val="30"/>
        </w:rPr>
        <w:fldChar w:fldCharType="end"/>
      </w:r>
    </w:p>
    <w:p w14:paraId="4871973C">
      <w:pPr>
        <w:pStyle w:val="36"/>
        <w:tabs>
          <w:tab w:val="right" w:leader="dot" w:pos="8306"/>
        </w:tabs>
      </w:pPr>
      <w:r>
        <w:rPr>
          <w:rFonts w:ascii="黑体" w:hAnsi="黑体"/>
          <w:szCs w:val="30"/>
        </w:rPr>
        <w:fldChar w:fldCharType="begin"/>
      </w:r>
      <w:r>
        <w:rPr>
          <w:rFonts w:ascii="黑体" w:hAnsi="黑体"/>
          <w:szCs w:val="30"/>
        </w:rPr>
        <w:instrText xml:space="preserve"> HYPERLINK \l _Toc1132140898 </w:instrText>
      </w:r>
      <w:r>
        <w:rPr>
          <w:rFonts w:ascii="黑体" w:hAnsi="黑体"/>
          <w:szCs w:val="30"/>
        </w:rPr>
        <w:fldChar w:fldCharType="separate"/>
      </w:r>
      <w:r>
        <w:rPr>
          <w:rFonts w:hint="eastAsia" w:ascii="仿宋_GB2312" w:hAnsi="黑体" w:eastAsia="仿宋_GB2312"/>
          <w:szCs w:val="30"/>
        </w:rPr>
        <w:t>附件16 取消债券做市标的登记表</w:t>
      </w:r>
      <w:r>
        <w:tab/>
      </w:r>
      <w:r>
        <w:fldChar w:fldCharType="begin"/>
      </w:r>
      <w:r>
        <w:instrText xml:space="preserve"> PAGEREF _Toc1132140898 \h </w:instrText>
      </w:r>
      <w:r>
        <w:fldChar w:fldCharType="separate"/>
      </w:r>
      <w:r>
        <w:t>335</w:t>
      </w:r>
      <w:r>
        <w:fldChar w:fldCharType="end"/>
      </w:r>
      <w:r>
        <w:rPr>
          <w:rFonts w:ascii="黑体" w:hAnsi="黑体"/>
          <w:szCs w:val="30"/>
        </w:rPr>
        <w:fldChar w:fldCharType="end"/>
      </w:r>
    </w:p>
    <w:p w14:paraId="30684982">
      <w:pPr>
        <w:pStyle w:val="36"/>
        <w:tabs>
          <w:tab w:val="right" w:leader="dot" w:pos="8306"/>
        </w:tabs>
      </w:pPr>
      <w:r>
        <w:rPr>
          <w:rFonts w:ascii="黑体" w:hAnsi="黑体"/>
          <w:szCs w:val="30"/>
        </w:rPr>
        <w:fldChar w:fldCharType="begin"/>
      </w:r>
      <w:r>
        <w:rPr>
          <w:rFonts w:ascii="黑体" w:hAnsi="黑体"/>
          <w:szCs w:val="30"/>
        </w:rPr>
        <w:instrText xml:space="preserve"> HYPERLINK \l _Toc1640009560 </w:instrText>
      </w:r>
      <w:r>
        <w:rPr>
          <w:rFonts w:ascii="黑体" w:hAnsi="黑体"/>
          <w:szCs w:val="30"/>
        </w:rPr>
        <w:fldChar w:fldCharType="separate"/>
      </w:r>
      <w:r>
        <w:rPr>
          <w:rFonts w:hint="eastAsia" w:ascii="仿宋_GB2312" w:hAnsi="黑体" w:eastAsia="仿宋_GB2312"/>
          <w:szCs w:val="30"/>
        </w:rPr>
        <w:t>附件17 终止债券做市业务申请表</w:t>
      </w:r>
      <w:r>
        <w:tab/>
      </w:r>
      <w:r>
        <w:fldChar w:fldCharType="begin"/>
      </w:r>
      <w:r>
        <w:instrText xml:space="preserve"> PAGEREF _Toc1640009560 \h </w:instrText>
      </w:r>
      <w:r>
        <w:fldChar w:fldCharType="separate"/>
      </w:r>
      <w:r>
        <w:t>337</w:t>
      </w:r>
      <w:r>
        <w:fldChar w:fldCharType="end"/>
      </w:r>
      <w:r>
        <w:rPr>
          <w:rFonts w:ascii="黑体" w:hAnsi="黑体"/>
          <w:szCs w:val="30"/>
        </w:rPr>
        <w:fldChar w:fldCharType="end"/>
      </w:r>
    </w:p>
    <w:p w14:paraId="29EDD1E0">
      <w:pPr>
        <w:pStyle w:val="36"/>
        <w:tabs>
          <w:tab w:val="right" w:leader="dot" w:pos="8306"/>
        </w:tabs>
      </w:pPr>
      <w:r>
        <w:rPr>
          <w:rFonts w:ascii="黑体" w:hAnsi="黑体"/>
          <w:szCs w:val="30"/>
        </w:rPr>
        <w:fldChar w:fldCharType="begin"/>
      </w:r>
      <w:r>
        <w:rPr>
          <w:rFonts w:ascii="黑体" w:hAnsi="黑体"/>
          <w:szCs w:val="30"/>
        </w:rPr>
        <w:instrText xml:space="preserve"> HYPERLINK \l _Toc309034428 </w:instrText>
      </w:r>
      <w:r>
        <w:rPr>
          <w:rFonts w:ascii="黑体" w:hAnsi="黑体"/>
          <w:szCs w:val="30"/>
        </w:rPr>
        <w:fldChar w:fldCharType="separate"/>
      </w:r>
      <w:r>
        <w:rPr>
          <w:rFonts w:hint="eastAsia" w:ascii="仿宋_GB2312" w:hAnsi="黑体" w:eastAsia="仿宋_GB2312"/>
          <w:szCs w:val="30"/>
        </w:rPr>
        <w:t>附件18 三方回购投资者适当性备案表</w:t>
      </w:r>
      <w:r>
        <w:tab/>
      </w:r>
      <w:r>
        <w:fldChar w:fldCharType="begin"/>
      </w:r>
      <w:r>
        <w:instrText xml:space="preserve"> PAGEREF _Toc309034428 \h </w:instrText>
      </w:r>
      <w:r>
        <w:fldChar w:fldCharType="separate"/>
      </w:r>
      <w:r>
        <w:t>338</w:t>
      </w:r>
      <w:r>
        <w:fldChar w:fldCharType="end"/>
      </w:r>
      <w:r>
        <w:rPr>
          <w:rFonts w:ascii="黑体" w:hAnsi="黑体"/>
          <w:szCs w:val="30"/>
        </w:rPr>
        <w:fldChar w:fldCharType="end"/>
      </w:r>
    </w:p>
    <w:p w14:paraId="619720D5">
      <w:pPr>
        <w:pStyle w:val="36"/>
        <w:tabs>
          <w:tab w:val="right" w:leader="dot" w:pos="8306"/>
        </w:tabs>
      </w:pPr>
      <w:r>
        <w:rPr>
          <w:rFonts w:ascii="黑体" w:hAnsi="黑体"/>
          <w:szCs w:val="30"/>
        </w:rPr>
        <w:fldChar w:fldCharType="begin"/>
      </w:r>
      <w:r>
        <w:rPr>
          <w:rFonts w:ascii="黑体" w:hAnsi="黑体"/>
          <w:szCs w:val="30"/>
        </w:rPr>
        <w:instrText xml:space="preserve"> HYPERLINK \l _Toc1781312180 </w:instrText>
      </w:r>
      <w:r>
        <w:rPr>
          <w:rFonts w:ascii="黑体" w:hAnsi="黑体"/>
          <w:szCs w:val="30"/>
        </w:rPr>
        <w:fldChar w:fldCharType="separate"/>
      </w:r>
      <w:r>
        <w:rPr>
          <w:rFonts w:hint="eastAsia" w:ascii="仿宋_GB2312" w:hAnsi="黑体" w:eastAsia="仿宋_GB2312"/>
          <w:szCs w:val="30"/>
        </w:rPr>
        <w:t>附件19 投资者适当性备案渠道</w:t>
      </w:r>
      <w:r>
        <w:tab/>
      </w:r>
      <w:r>
        <w:fldChar w:fldCharType="begin"/>
      </w:r>
      <w:r>
        <w:instrText xml:space="preserve"> PAGEREF _Toc1781312180 \h </w:instrText>
      </w:r>
      <w:r>
        <w:fldChar w:fldCharType="separate"/>
      </w:r>
      <w:r>
        <w:t>343</w:t>
      </w:r>
      <w:r>
        <w:fldChar w:fldCharType="end"/>
      </w:r>
      <w:r>
        <w:rPr>
          <w:rFonts w:ascii="黑体" w:hAnsi="黑体"/>
          <w:szCs w:val="30"/>
        </w:rPr>
        <w:fldChar w:fldCharType="end"/>
      </w:r>
    </w:p>
    <w:p w14:paraId="54E7C000">
      <w:pPr>
        <w:pStyle w:val="36"/>
        <w:tabs>
          <w:tab w:val="right" w:leader="dot" w:pos="8306"/>
        </w:tabs>
      </w:pPr>
      <w:r>
        <w:rPr>
          <w:rFonts w:ascii="黑体" w:hAnsi="黑体"/>
          <w:szCs w:val="30"/>
        </w:rPr>
        <w:fldChar w:fldCharType="begin"/>
      </w:r>
      <w:r>
        <w:rPr>
          <w:rFonts w:ascii="黑体" w:hAnsi="黑体"/>
          <w:szCs w:val="30"/>
        </w:rPr>
        <w:instrText xml:space="preserve"> HYPERLINK \l _Toc1944835201 </w:instrText>
      </w:r>
      <w:r>
        <w:rPr>
          <w:rFonts w:ascii="黑体" w:hAnsi="黑体"/>
          <w:szCs w:val="30"/>
        </w:rPr>
        <w:fldChar w:fldCharType="separate"/>
      </w:r>
      <w:r>
        <w:rPr>
          <w:rFonts w:hint="eastAsia" w:ascii="仿宋_GB2312" w:hAnsi="黑体" w:eastAsia="仿宋_GB2312"/>
          <w:szCs w:val="30"/>
        </w:rPr>
        <w:t>附件20 债券借贷业务用户登记表</w:t>
      </w:r>
      <w:r>
        <w:tab/>
      </w:r>
      <w:r>
        <w:fldChar w:fldCharType="begin"/>
      </w:r>
      <w:r>
        <w:instrText xml:space="preserve"> PAGEREF _Toc1944835201 \h </w:instrText>
      </w:r>
      <w:r>
        <w:fldChar w:fldCharType="separate"/>
      </w:r>
      <w:r>
        <w:t>347</w:t>
      </w:r>
      <w:r>
        <w:fldChar w:fldCharType="end"/>
      </w:r>
      <w:r>
        <w:rPr>
          <w:rFonts w:ascii="黑体" w:hAnsi="黑体"/>
          <w:szCs w:val="30"/>
        </w:rPr>
        <w:fldChar w:fldCharType="end"/>
      </w:r>
    </w:p>
    <w:p w14:paraId="3E0FBE7A">
      <w:pPr>
        <w:pStyle w:val="36"/>
        <w:tabs>
          <w:tab w:val="right" w:leader="dot" w:pos="8306"/>
        </w:tabs>
      </w:pPr>
      <w:r>
        <w:rPr>
          <w:rFonts w:ascii="黑体" w:hAnsi="黑体"/>
          <w:szCs w:val="30"/>
        </w:rPr>
        <w:fldChar w:fldCharType="begin"/>
      </w:r>
      <w:r>
        <w:rPr>
          <w:rFonts w:ascii="黑体" w:hAnsi="黑体"/>
          <w:szCs w:val="30"/>
        </w:rPr>
        <w:instrText xml:space="preserve"> HYPERLINK \l _Toc293148038 </w:instrText>
      </w:r>
      <w:r>
        <w:rPr>
          <w:rFonts w:ascii="黑体" w:hAnsi="黑体"/>
          <w:szCs w:val="30"/>
        </w:rPr>
        <w:fldChar w:fldCharType="separate"/>
      </w:r>
      <w:r>
        <w:rPr>
          <w:rFonts w:hint="eastAsia" w:ascii="仿宋_GB2312" w:hAnsi="黑体" w:eastAsia="仿宋_GB2312"/>
          <w:szCs w:val="30"/>
        </w:rPr>
        <w:t>附件21 债券借贷业务主协议</w:t>
      </w:r>
      <w:r>
        <w:tab/>
      </w:r>
      <w:r>
        <w:fldChar w:fldCharType="begin"/>
      </w:r>
      <w:r>
        <w:instrText xml:space="preserve"> PAGEREF _Toc293148038 \h </w:instrText>
      </w:r>
      <w:r>
        <w:fldChar w:fldCharType="separate"/>
      </w:r>
      <w:r>
        <w:t>348</w:t>
      </w:r>
      <w:r>
        <w:fldChar w:fldCharType="end"/>
      </w:r>
      <w:r>
        <w:rPr>
          <w:rFonts w:ascii="黑体" w:hAnsi="黑体"/>
          <w:szCs w:val="30"/>
        </w:rPr>
        <w:fldChar w:fldCharType="end"/>
      </w:r>
    </w:p>
    <w:p w14:paraId="149C96FE">
      <w:pPr>
        <w:pStyle w:val="36"/>
        <w:tabs>
          <w:tab w:val="right" w:leader="dot" w:pos="8306"/>
        </w:tabs>
      </w:pPr>
      <w:r>
        <w:rPr>
          <w:rFonts w:ascii="黑体" w:hAnsi="黑体"/>
          <w:szCs w:val="30"/>
        </w:rPr>
        <w:fldChar w:fldCharType="begin"/>
      </w:r>
      <w:r>
        <w:rPr>
          <w:rFonts w:ascii="黑体" w:hAnsi="黑体"/>
          <w:szCs w:val="30"/>
        </w:rPr>
        <w:instrText xml:space="preserve"> HYPERLINK \l _Toc1498805139 </w:instrText>
      </w:r>
      <w:r>
        <w:rPr>
          <w:rFonts w:ascii="黑体" w:hAnsi="黑体"/>
          <w:szCs w:val="30"/>
        </w:rPr>
        <w:fldChar w:fldCharType="separate"/>
      </w:r>
      <w:r>
        <w:rPr>
          <w:rFonts w:hint="eastAsia" w:ascii="仿宋_GB2312" w:hAnsi="黑体" w:eastAsia="仿宋_GB2312"/>
          <w:szCs w:val="30"/>
        </w:rPr>
        <w:t>附件22 信用保护合约核心交易商/凭证创设机构资质申请信息表</w:t>
      </w:r>
      <w:r>
        <w:tab/>
      </w:r>
      <w:r>
        <w:fldChar w:fldCharType="begin"/>
      </w:r>
      <w:r>
        <w:instrText xml:space="preserve"> PAGEREF _Toc1498805139 \h </w:instrText>
      </w:r>
      <w:r>
        <w:fldChar w:fldCharType="separate"/>
      </w:r>
      <w:r>
        <w:t>367</w:t>
      </w:r>
      <w:r>
        <w:fldChar w:fldCharType="end"/>
      </w:r>
      <w:r>
        <w:rPr>
          <w:rFonts w:ascii="黑体" w:hAnsi="黑体"/>
          <w:szCs w:val="30"/>
        </w:rPr>
        <w:fldChar w:fldCharType="end"/>
      </w:r>
    </w:p>
    <w:p w14:paraId="238A4CA9">
      <w:pPr>
        <w:pStyle w:val="36"/>
        <w:tabs>
          <w:tab w:val="right" w:leader="dot" w:pos="8306"/>
        </w:tabs>
      </w:pPr>
      <w:r>
        <w:rPr>
          <w:rFonts w:ascii="黑体" w:hAnsi="黑体"/>
          <w:szCs w:val="30"/>
        </w:rPr>
        <w:fldChar w:fldCharType="begin"/>
      </w:r>
      <w:r>
        <w:rPr>
          <w:rFonts w:ascii="黑体" w:hAnsi="黑体"/>
          <w:szCs w:val="30"/>
        </w:rPr>
        <w:instrText xml:space="preserve"> HYPERLINK \l _Toc1460522578 </w:instrText>
      </w:r>
      <w:r>
        <w:rPr>
          <w:rFonts w:ascii="黑体" w:hAnsi="黑体"/>
          <w:szCs w:val="30"/>
        </w:rPr>
        <w:fldChar w:fldCharType="separate"/>
      </w:r>
      <w:r>
        <w:rPr>
          <w:rFonts w:hint="eastAsia" w:ascii="仿宋_GB2312" w:hAnsi="黑体" w:eastAsia="仿宋_GB2312"/>
          <w:szCs w:val="30"/>
        </w:rPr>
        <w:t>附件23 XXXX信用保护合约交易确认书</w:t>
      </w:r>
      <w:r>
        <w:tab/>
      </w:r>
      <w:r>
        <w:fldChar w:fldCharType="begin"/>
      </w:r>
      <w:r>
        <w:instrText xml:space="preserve"> PAGEREF _Toc1460522578 \h </w:instrText>
      </w:r>
      <w:r>
        <w:fldChar w:fldCharType="separate"/>
      </w:r>
      <w:r>
        <w:t>370</w:t>
      </w:r>
      <w:r>
        <w:fldChar w:fldCharType="end"/>
      </w:r>
      <w:r>
        <w:rPr>
          <w:rFonts w:ascii="黑体" w:hAnsi="黑体"/>
          <w:szCs w:val="30"/>
        </w:rPr>
        <w:fldChar w:fldCharType="end"/>
      </w:r>
    </w:p>
    <w:p w14:paraId="5E4068B1">
      <w:pPr>
        <w:pStyle w:val="36"/>
        <w:tabs>
          <w:tab w:val="right" w:leader="dot" w:pos="8306"/>
        </w:tabs>
      </w:pPr>
      <w:r>
        <w:rPr>
          <w:rFonts w:ascii="黑体" w:hAnsi="黑体"/>
          <w:szCs w:val="30"/>
        </w:rPr>
        <w:fldChar w:fldCharType="begin"/>
      </w:r>
      <w:r>
        <w:rPr>
          <w:rFonts w:ascii="黑体" w:hAnsi="黑体"/>
          <w:szCs w:val="30"/>
        </w:rPr>
        <w:instrText xml:space="preserve"> HYPERLINK \l _Toc548191021 </w:instrText>
      </w:r>
      <w:r>
        <w:rPr>
          <w:rFonts w:ascii="黑体" w:hAnsi="黑体"/>
          <w:szCs w:val="30"/>
        </w:rPr>
        <w:fldChar w:fldCharType="separate"/>
      </w:r>
      <w:r>
        <w:rPr>
          <w:rFonts w:hint="eastAsia" w:ascii="仿宋_GB2312" w:hAnsi="黑体" w:eastAsia="仿宋_GB2312"/>
          <w:szCs w:val="30"/>
        </w:rPr>
        <w:t>附件24 组合型信用保护合约要素表</w:t>
      </w:r>
      <w:r>
        <w:tab/>
      </w:r>
      <w:r>
        <w:fldChar w:fldCharType="begin"/>
      </w:r>
      <w:r>
        <w:instrText xml:space="preserve"> PAGEREF _Toc548191021 \h </w:instrText>
      </w:r>
      <w:r>
        <w:fldChar w:fldCharType="separate"/>
      </w:r>
      <w:r>
        <w:t>395</w:t>
      </w:r>
      <w:r>
        <w:fldChar w:fldCharType="end"/>
      </w:r>
      <w:r>
        <w:rPr>
          <w:rFonts w:ascii="黑体" w:hAnsi="黑体"/>
          <w:szCs w:val="30"/>
        </w:rPr>
        <w:fldChar w:fldCharType="end"/>
      </w:r>
    </w:p>
    <w:p w14:paraId="22BC48C6">
      <w:pPr>
        <w:pStyle w:val="36"/>
        <w:tabs>
          <w:tab w:val="right" w:leader="dot" w:pos="8306"/>
        </w:tabs>
      </w:pPr>
      <w:r>
        <w:rPr>
          <w:rFonts w:ascii="黑体" w:hAnsi="黑体"/>
          <w:szCs w:val="30"/>
        </w:rPr>
        <w:fldChar w:fldCharType="begin"/>
      </w:r>
      <w:r>
        <w:rPr>
          <w:rFonts w:ascii="黑体" w:hAnsi="黑体"/>
          <w:szCs w:val="30"/>
        </w:rPr>
        <w:instrText xml:space="preserve"> HYPERLINK \l _Toc97447555 </w:instrText>
      </w:r>
      <w:r>
        <w:rPr>
          <w:rFonts w:ascii="黑体" w:hAnsi="黑体"/>
          <w:szCs w:val="30"/>
        </w:rPr>
        <w:fldChar w:fldCharType="separate"/>
      </w:r>
      <w:r>
        <w:rPr>
          <w:rFonts w:hint="eastAsia" w:ascii="仿宋_GB2312" w:hAnsi="黑体" w:eastAsia="仿宋_GB2312"/>
          <w:szCs w:val="30"/>
        </w:rPr>
        <w:t>附件25 信用保护凭证创设说明书参考格式</w:t>
      </w:r>
      <w:r>
        <w:tab/>
      </w:r>
      <w:r>
        <w:fldChar w:fldCharType="begin"/>
      </w:r>
      <w:r>
        <w:instrText xml:space="preserve"> PAGEREF _Toc97447555 \h </w:instrText>
      </w:r>
      <w:r>
        <w:fldChar w:fldCharType="separate"/>
      </w:r>
      <w:r>
        <w:t>397</w:t>
      </w:r>
      <w:r>
        <w:fldChar w:fldCharType="end"/>
      </w:r>
      <w:r>
        <w:rPr>
          <w:rFonts w:ascii="黑体" w:hAnsi="黑体"/>
          <w:szCs w:val="30"/>
        </w:rPr>
        <w:fldChar w:fldCharType="end"/>
      </w:r>
    </w:p>
    <w:p w14:paraId="24B3AAC5">
      <w:pPr>
        <w:pStyle w:val="36"/>
        <w:tabs>
          <w:tab w:val="right" w:leader="dot" w:pos="8306"/>
        </w:tabs>
      </w:pPr>
      <w:r>
        <w:rPr>
          <w:rFonts w:ascii="黑体" w:hAnsi="黑体"/>
          <w:szCs w:val="30"/>
        </w:rPr>
        <w:fldChar w:fldCharType="begin"/>
      </w:r>
      <w:r>
        <w:rPr>
          <w:rFonts w:ascii="黑体" w:hAnsi="黑体"/>
          <w:szCs w:val="30"/>
        </w:rPr>
        <w:instrText xml:space="preserve"> HYPERLINK \l _Toc1546759600 </w:instrText>
      </w:r>
      <w:r>
        <w:rPr>
          <w:rFonts w:ascii="黑体" w:hAnsi="黑体"/>
          <w:szCs w:val="30"/>
        </w:rPr>
        <w:fldChar w:fldCharType="separate"/>
      </w:r>
      <w:r>
        <w:rPr>
          <w:rFonts w:hint="eastAsia" w:ascii="仿宋_GB2312" w:hAnsi="黑体" w:eastAsia="仿宋_GB2312"/>
          <w:szCs w:val="30"/>
        </w:rPr>
        <w:t>附件26 信用保护凭证创设情况公告</w:t>
      </w:r>
      <w:r>
        <w:tab/>
      </w:r>
      <w:r>
        <w:fldChar w:fldCharType="begin"/>
      </w:r>
      <w:r>
        <w:instrText xml:space="preserve"> PAGEREF _Toc1546759600 \h </w:instrText>
      </w:r>
      <w:r>
        <w:fldChar w:fldCharType="separate"/>
      </w:r>
      <w:r>
        <w:t>404</w:t>
      </w:r>
      <w:r>
        <w:fldChar w:fldCharType="end"/>
      </w:r>
      <w:r>
        <w:rPr>
          <w:rFonts w:ascii="黑体" w:hAnsi="黑体"/>
          <w:szCs w:val="30"/>
        </w:rPr>
        <w:fldChar w:fldCharType="end"/>
      </w:r>
    </w:p>
    <w:p w14:paraId="53E820FD">
      <w:pPr>
        <w:pStyle w:val="36"/>
        <w:tabs>
          <w:tab w:val="right" w:leader="dot" w:pos="8306"/>
        </w:tabs>
      </w:pPr>
      <w:r>
        <w:rPr>
          <w:rFonts w:ascii="黑体" w:hAnsi="黑体"/>
          <w:szCs w:val="30"/>
        </w:rPr>
        <w:fldChar w:fldCharType="begin"/>
      </w:r>
      <w:r>
        <w:rPr>
          <w:rFonts w:ascii="黑体" w:hAnsi="黑体"/>
          <w:szCs w:val="30"/>
        </w:rPr>
        <w:instrText xml:space="preserve"> HYPERLINK \l _Toc88354767 </w:instrText>
      </w:r>
      <w:r>
        <w:rPr>
          <w:rFonts w:ascii="黑体" w:hAnsi="黑体"/>
          <w:szCs w:val="30"/>
        </w:rPr>
        <w:fldChar w:fldCharType="separate"/>
      </w:r>
      <w:r>
        <w:rPr>
          <w:rFonts w:hint="eastAsia" w:ascii="仿宋_GB2312" w:hAnsi="黑体" w:eastAsia="仿宋_GB2312"/>
          <w:szCs w:val="30"/>
        </w:rPr>
        <w:t>附件27 信用保护凭证挂牌转让申请书</w:t>
      </w:r>
      <w:r>
        <w:tab/>
      </w:r>
      <w:r>
        <w:fldChar w:fldCharType="begin"/>
      </w:r>
      <w:r>
        <w:instrText xml:space="preserve"> PAGEREF _Toc88354767 \h </w:instrText>
      </w:r>
      <w:r>
        <w:fldChar w:fldCharType="separate"/>
      </w:r>
      <w:r>
        <w:t>405</w:t>
      </w:r>
      <w:r>
        <w:fldChar w:fldCharType="end"/>
      </w:r>
      <w:r>
        <w:rPr>
          <w:rFonts w:ascii="黑体" w:hAnsi="黑体"/>
          <w:szCs w:val="30"/>
        </w:rPr>
        <w:fldChar w:fldCharType="end"/>
      </w:r>
    </w:p>
    <w:p w14:paraId="4DE0E1AE">
      <w:pPr>
        <w:pStyle w:val="36"/>
        <w:tabs>
          <w:tab w:val="right" w:leader="dot" w:pos="8306"/>
        </w:tabs>
      </w:pPr>
      <w:r>
        <w:rPr>
          <w:rFonts w:ascii="黑体" w:hAnsi="黑体"/>
          <w:szCs w:val="30"/>
        </w:rPr>
        <w:fldChar w:fldCharType="begin"/>
      </w:r>
      <w:r>
        <w:rPr>
          <w:rFonts w:ascii="黑体" w:hAnsi="黑体"/>
          <w:szCs w:val="30"/>
        </w:rPr>
        <w:instrText xml:space="preserve"> HYPERLINK \l _Toc443834455 </w:instrText>
      </w:r>
      <w:r>
        <w:rPr>
          <w:rFonts w:ascii="黑体" w:hAnsi="黑体"/>
          <w:szCs w:val="30"/>
        </w:rPr>
        <w:fldChar w:fldCharType="separate"/>
      </w:r>
      <w:r>
        <w:rPr>
          <w:rFonts w:hint="eastAsia" w:ascii="仿宋_GB2312" w:hAnsi="黑体" w:eastAsia="仿宋_GB2312"/>
          <w:szCs w:val="30"/>
        </w:rPr>
        <w:t>附件28 创设款到账确认书</w:t>
      </w:r>
      <w:r>
        <w:tab/>
      </w:r>
      <w:r>
        <w:fldChar w:fldCharType="begin"/>
      </w:r>
      <w:r>
        <w:instrText xml:space="preserve"> PAGEREF _Toc443834455 \h </w:instrText>
      </w:r>
      <w:r>
        <w:fldChar w:fldCharType="separate"/>
      </w:r>
      <w:r>
        <w:t>406</w:t>
      </w:r>
      <w:r>
        <w:fldChar w:fldCharType="end"/>
      </w:r>
      <w:r>
        <w:rPr>
          <w:rFonts w:ascii="黑体" w:hAnsi="黑体"/>
          <w:szCs w:val="30"/>
        </w:rPr>
        <w:fldChar w:fldCharType="end"/>
      </w:r>
    </w:p>
    <w:p w14:paraId="3B74A5C4">
      <w:pPr>
        <w:pStyle w:val="36"/>
        <w:tabs>
          <w:tab w:val="right" w:leader="dot" w:pos="8306"/>
        </w:tabs>
      </w:pPr>
      <w:r>
        <w:rPr>
          <w:rFonts w:ascii="黑体" w:hAnsi="黑体"/>
          <w:szCs w:val="30"/>
        </w:rPr>
        <w:fldChar w:fldCharType="begin"/>
      </w:r>
      <w:r>
        <w:rPr>
          <w:rFonts w:ascii="黑体" w:hAnsi="黑体"/>
          <w:szCs w:val="30"/>
        </w:rPr>
        <w:instrText xml:space="preserve"> HYPERLINK \l _Toc450176048 </w:instrText>
      </w:r>
      <w:r>
        <w:rPr>
          <w:rFonts w:ascii="黑体" w:hAnsi="黑体"/>
          <w:szCs w:val="30"/>
        </w:rPr>
        <w:fldChar w:fldCharType="separate"/>
      </w:r>
      <w:r>
        <w:rPr>
          <w:rFonts w:hint="eastAsia" w:ascii="仿宋_GB2312" w:hAnsi="黑体" w:eastAsia="仿宋_GB2312"/>
          <w:szCs w:val="30"/>
        </w:rPr>
        <w:t>附件29 信用保护凭证在上海证券交易所挂牌转让的公告</w:t>
      </w:r>
      <w:r>
        <w:tab/>
      </w:r>
      <w:r>
        <w:fldChar w:fldCharType="begin"/>
      </w:r>
      <w:r>
        <w:instrText xml:space="preserve"> PAGEREF _Toc450176048 \h </w:instrText>
      </w:r>
      <w:r>
        <w:fldChar w:fldCharType="separate"/>
      </w:r>
      <w:r>
        <w:t>407</w:t>
      </w:r>
      <w:r>
        <w:fldChar w:fldCharType="end"/>
      </w:r>
      <w:r>
        <w:rPr>
          <w:rFonts w:ascii="黑体" w:hAnsi="黑体"/>
          <w:szCs w:val="30"/>
        </w:rPr>
        <w:fldChar w:fldCharType="end"/>
      </w:r>
    </w:p>
    <w:p w14:paraId="768EA14A">
      <w:pPr>
        <w:pStyle w:val="36"/>
        <w:tabs>
          <w:tab w:val="right" w:leader="dot" w:pos="8306"/>
        </w:tabs>
      </w:pPr>
      <w:r>
        <w:rPr>
          <w:rFonts w:ascii="黑体" w:hAnsi="黑体"/>
          <w:szCs w:val="30"/>
        </w:rPr>
        <w:fldChar w:fldCharType="begin"/>
      </w:r>
      <w:r>
        <w:rPr>
          <w:rFonts w:ascii="黑体" w:hAnsi="黑体"/>
          <w:szCs w:val="30"/>
        </w:rPr>
        <w:instrText xml:space="preserve"> HYPERLINK \l _Toc1168702978 </w:instrText>
      </w:r>
      <w:r>
        <w:rPr>
          <w:rFonts w:ascii="黑体" w:hAnsi="黑体"/>
          <w:szCs w:val="30"/>
        </w:rPr>
        <w:fldChar w:fldCharType="separate"/>
      </w:r>
      <w:r>
        <w:rPr>
          <w:rFonts w:hint="eastAsia" w:ascii="仿宋_GB2312" w:hAnsi="黑体" w:eastAsia="仿宋_GB2312"/>
          <w:szCs w:val="30"/>
        </w:rPr>
        <w:t>附件30 信用保护工具信用事件通知书参考模板</w:t>
      </w:r>
      <w:r>
        <w:tab/>
      </w:r>
      <w:r>
        <w:fldChar w:fldCharType="begin"/>
      </w:r>
      <w:r>
        <w:instrText xml:space="preserve"> PAGEREF _Toc1168702978 \h </w:instrText>
      </w:r>
      <w:r>
        <w:fldChar w:fldCharType="separate"/>
      </w:r>
      <w:r>
        <w:t>408</w:t>
      </w:r>
      <w:r>
        <w:fldChar w:fldCharType="end"/>
      </w:r>
      <w:r>
        <w:rPr>
          <w:rFonts w:ascii="黑体" w:hAnsi="黑体"/>
          <w:szCs w:val="30"/>
        </w:rPr>
        <w:fldChar w:fldCharType="end"/>
      </w:r>
    </w:p>
    <w:p w14:paraId="7F1C0B5C">
      <w:pPr>
        <w:pStyle w:val="36"/>
        <w:tabs>
          <w:tab w:val="right" w:leader="dot" w:pos="8306"/>
        </w:tabs>
      </w:pPr>
      <w:r>
        <w:rPr>
          <w:rFonts w:ascii="黑体" w:hAnsi="黑体"/>
          <w:szCs w:val="30"/>
        </w:rPr>
        <w:fldChar w:fldCharType="begin"/>
      </w:r>
      <w:r>
        <w:rPr>
          <w:rFonts w:ascii="黑体" w:hAnsi="黑体"/>
          <w:szCs w:val="30"/>
        </w:rPr>
        <w:instrText xml:space="preserve"> HYPERLINK \l _Toc1154617772 </w:instrText>
      </w:r>
      <w:r>
        <w:rPr>
          <w:rFonts w:ascii="黑体" w:hAnsi="黑体"/>
          <w:szCs w:val="30"/>
        </w:rPr>
        <w:fldChar w:fldCharType="separate"/>
      </w:r>
      <w:r>
        <w:rPr>
          <w:rFonts w:hint="eastAsia" w:ascii="仿宋_GB2312" w:hAnsi="黑体" w:eastAsia="仿宋_GB2312"/>
          <w:szCs w:val="30"/>
        </w:rPr>
        <w:t>附件31 信用保护工具公共信息通知书参考模板</w:t>
      </w:r>
      <w:r>
        <w:tab/>
      </w:r>
      <w:r>
        <w:fldChar w:fldCharType="begin"/>
      </w:r>
      <w:r>
        <w:instrText xml:space="preserve"> PAGEREF _Toc1154617772 \h </w:instrText>
      </w:r>
      <w:r>
        <w:fldChar w:fldCharType="separate"/>
      </w:r>
      <w:r>
        <w:t>411</w:t>
      </w:r>
      <w:r>
        <w:fldChar w:fldCharType="end"/>
      </w:r>
      <w:r>
        <w:rPr>
          <w:rFonts w:ascii="黑体" w:hAnsi="黑体"/>
          <w:szCs w:val="30"/>
        </w:rPr>
        <w:fldChar w:fldCharType="end"/>
      </w:r>
    </w:p>
    <w:p w14:paraId="68A540E4">
      <w:pPr>
        <w:pStyle w:val="36"/>
        <w:tabs>
          <w:tab w:val="right" w:leader="dot" w:pos="8306"/>
        </w:tabs>
      </w:pPr>
      <w:r>
        <w:rPr>
          <w:rFonts w:ascii="黑体" w:hAnsi="黑体"/>
          <w:szCs w:val="30"/>
        </w:rPr>
        <w:fldChar w:fldCharType="begin"/>
      </w:r>
      <w:r>
        <w:rPr>
          <w:rFonts w:ascii="黑体" w:hAnsi="黑体"/>
          <w:szCs w:val="30"/>
        </w:rPr>
        <w:instrText xml:space="preserve"> HYPERLINK \l _Toc1647842853 </w:instrText>
      </w:r>
      <w:r>
        <w:rPr>
          <w:rFonts w:ascii="黑体" w:hAnsi="黑体"/>
          <w:szCs w:val="30"/>
        </w:rPr>
        <w:fldChar w:fldCharType="separate"/>
      </w:r>
      <w:r>
        <w:rPr>
          <w:rFonts w:hint="eastAsia" w:ascii="仿宋_GB2312" w:hAnsi="黑体" w:eastAsia="仿宋_GB2312"/>
          <w:szCs w:val="30"/>
        </w:rPr>
        <w:t>附件32 信用保护工具结算通知书参考模板</w:t>
      </w:r>
      <w:r>
        <w:tab/>
      </w:r>
      <w:r>
        <w:fldChar w:fldCharType="begin"/>
      </w:r>
      <w:r>
        <w:instrText xml:space="preserve"> PAGEREF _Toc1647842853 \h </w:instrText>
      </w:r>
      <w:r>
        <w:fldChar w:fldCharType="separate"/>
      </w:r>
      <w:r>
        <w:t>413</w:t>
      </w:r>
      <w:r>
        <w:fldChar w:fldCharType="end"/>
      </w:r>
      <w:r>
        <w:rPr>
          <w:rFonts w:ascii="黑体" w:hAnsi="黑体"/>
          <w:szCs w:val="30"/>
        </w:rPr>
        <w:fldChar w:fldCharType="end"/>
      </w:r>
    </w:p>
    <w:p w14:paraId="64066D0E">
      <w:pPr>
        <w:pStyle w:val="36"/>
        <w:tabs>
          <w:tab w:val="right" w:leader="dot" w:pos="8306"/>
        </w:tabs>
      </w:pPr>
      <w:r>
        <w:rPr>
          <w:rFonts w:ascii="黑体" w:hAnsi="黑体"/>
          <w:szCs w:val="30"/>
        </w:rPr>
        <w:fldChar w:fldCharType="begin"/>
      </w:r>
      <w:r>
        <w:rPr>
          <w:rFonts w:ascii="黑体" w:hAnsi="黑体"/>
          <w:szCs w:val="30"/>
        </w:rPr>
        <w:instrText xml:space="preserve"> HYPERLINK \l _Toc1569323533 </w:instrText>
      </w:r>
      <w:r>
        <w:rPr>
          <w:rFonts w:ascii="黑体" w:hAnsi="黑体"/>
          <w:szCs w:val="30"/>
        </w:rPr>
        <w:fldChar w:fldCharType="separate"/>
      </w:r>
      <w:r>
        <w:rPr>
          <w:rFonts w:hint="eastAsia" w:ascii="仿宋_GB2312" w:hAnsi="黑体" w:eastAsia="仿宋_GB2312"/>
          <w:szCs w:val="30"/>
        </w:rPr>
        <w:t>附件33 上海证券交易所债券担保品处置平台功能简介</w:t>
      </w:r>
      <w:r>
        <w:tab/>
      </w:r>
      <w:r>
        <w:fldChar w:fldCharType="begin"/>
      </w:r>
      <w:r>
        <w:instrText xml:space="preserve"> PAGEREF _Toc1569323533 \h </w:instrText>
      </w:r>
      <w:r>
        <w:fldChar w:fldCharType="separate"/>
      </w:r>
      <w:r>
        <w:t>416</w:t>
      </w:r>
      <w:r>
        <w:fldChar w:fldCharType="end"/>
      </w:r>
      <w:r>
        <w:rPr>
          <w:rFonts w:ascii="黑体" w:hAnsi="黑体"/>
          <w:szCs w:val="30"/>
        </w:rPr>
        <w:fldChar w:fldCharType="end"/>
      </w:r>
    </w:p>
    <w:p w14:paraId="579968E6">
      <w:pPr>
        <w:pStyle w:val="36"/>
        <w:tabs>
          <w:tab w:val="right" w:leader="dot" w:pos="8306"/>
        </w:tabs>
      </w:pPr>
      <w:r>
        <w:rPr>
          <w:rFonts w:ascii="黑体" w:hAnsi="黑体"/>
          <w:szCs w:val="30"/>
        </w:rPr>
        <w:fldChar w:fldCharType="begin"/>
      </w:r>
      <w:r>
        <w:rPr>
          <w:rFonts w:ascii="黑体" w:hAnsi="黑体"/>
          <w:szCs w:val="30"/>
        </w:rPr>
        <w:instrText xml:space="preserve"> HYPERLINK \l _Toc925509536 </w:instrText>
      </w:r>
      <w:r>
        <w:rPr>
          <w:rFonts w:ascii="黑体" w:hAnsi="黑体"/>
          <w:szCs w:val="30"/>
        </w:rPr>
        <w:fldChar w:fldCharType="separate"/>
      </w:r>
      <w:r>
        <w:rPr>
          <w:rFonts w:hint="eastAsia" w:ascii="仿宋_GB2312" w:hAnsi="黑体" w:eastAsia="仿宋_GB2312"/>
          <w:szCs w:val="30"/>
        </w:rPr>
        <w:t>附件34 债券担保品处置平台用户数字证书办理流程</w:t>
      </w:r>
      <w:r>
        <w:tab/>
      </w:r>
      <w:r>
        <w:fldChar w:fldCharType="begin"/>
      </w:r>
      <w:r>
        <w:instrText xml:space="preserve"> PAGEREF _Toc925509536 \h </w:instrText>
      </w:r>
      <w:r>
        <w:fldChar w:fldCharType="separate"/>
      </w:r>
      <w:r>
        <w:t>429</w:t>
      </w:r>
      <w:r>
        <w:fldChar w:fldCharType="end"/>
      </w:r>
      <w:r>
        <w:rPr>
          <w:rFonts w:ascii="黑体" w:hAnsi="黑体"/>
          <w:szCs w:val="30"/>
        </w:rPr>
        <w:fldChar w:fldCharType="end"/>
      </w:r>
    </w:p>
    <w:p w14:paraId="1693A840">
      <w:pPr>
        <w:pStyle w:val="36"/>
        <w:tabs>
          <w:tab w:val="right" w:leader="dot" w:pos="8306"/>
        </w:tabs>
      </w:pPr>
      <w:r>
        <w:rPr>
          <w:rFonts w:ascii="黑体" w:hAnsi="黑体"/>
          <w:szCs w:val="30"/>
        </w:rPr>
        <w:fldChar w:fldCharType="begin"/>
      </w:r>
      <w:r>
        <w:rPr>
          <w:rFonts w:ascii="黑体" w:hAnsi="黑体"/>
          <w:szCs w:val="30"/>
        </w:rPr>
        <w:instrText xml:space="preserve"> HYPERLINK \l _Toc1272501542 </w:instrText>
      </w:r>
      <w:r>
        <w:rPr>
          <w:rFonts w:ascii="黑体" w:hAnsi="黑体"/>
          <w:szCs w:val="30"/>
        </w:rPr>
        <w:fldChar w:fldCharType="separate"/>
      </w:r>
      <w:r>
        <w:rPr>
          <w:rFonts w:hint="eastAsia" w:ascii="仿宋_GB2312" w:hAnsi="黑体" w:eastAsia="仿宋_GB2312"/>
          <w:szCs w:val="30"/>
        </w:rPr>
        <w:t>附件35 拟参与债券担保品处置的指定报价团成员名单</w:t>
      </w:r>
      <w:r>
        <w:tab/>
      </w:r>
      <w:r>
        <w:fldChar w:fldCharType="begin"/>
      </w:r>
      <w:r>
        <w:instrText xml:space="preserve"> PAGEREF _Toc1272501542 \h </w:instrText>
      </w:r>
      <w:r>
        <w:fldChar w:fldCharType="separate"/>
      </w:r>
      <w:r>
        <w:t>433</w:t>
      </w:r>
      <w:r>
        <w:fldChar w:fldCharType="end"/>
      </w:r>
      <w:r>
        <w:rPr>
          <w:rFonts w:ascii="黑体" w:hAnsi="黑体"/>
          <w:szCs w:val="30"/>
        </w:rPr>
        <w:fldChar w:fldCharType="end"/>
      </w:r>
    </w:p>
    <w:p w14:paraId="26F3BDDA">
      <w:pPr>
        <w:pStyle w:val="36"/>
        <w:tabs>
          <w:tab w:val="right" w:leader="dot" w:pos="8306"/>
        </w:tabs>
      </w:pPr>
      <w:r>
        <w:rPr>
          <w:rFonts w:ascii="黑体" w:hAnsi="黑体"/>
          <w:szCs w:val="30"/>
        </w:rPr>
        <w:fldChar w:fldCharType="begin"/>
      </w:r>
      <w:r>
        <w:rPr>
          <w:rFonts w:ascii="黑体" w:hAnsi="黑体"/>
          <w:szCs w:val="30"/>
        </w:rPr>
        <w:instrText xml:space="preserve"> HYPERLINK \l _Toc1008829154 </w:instrText>
      </w:r>
      <w:r>
        <w:rPr>
          <w:rFonts w:ascii="黑体" w:hAnsi="黑体"/>
          <w:szCs w:val="30"/>
        </w:rPr>
        <w:fldChar w:fldCharType="separate"/>
      </w:r>
      <w:r>
        <w:rPr>
          <w:rFonts w:hint="eastAsia" w:ascii="仿宋_GB2312" w:hAnsi="黑体" w:eastAsia="仿宋_GB2312"/>
          <w:szCs w:val="30"/>
        </w:rPr>
        <w:t>附件36 处置现场负责人及进入处置场所的人员名单</w:t>
      </w:r>
      <w:r>
        <w:tab/>
      </w:r>
      <w:r>
        <w:fldChar w:fldCharType="begin"/>
      </w:r>
      <w:r>
        <w:instrText xml:space="preserve"> PAGEREF _Toc1008829154 \h </w:instrText>
      </w:r>
      <w:r>
        <w:fldChar w:fldCharType="separate"/>
      </w:r>
      <w:r>
        <w:t>434</w:t>
      </w:r>
      <w:r>
        <w:fldChar w:fldCharType="end"/>
      </w:r>
      <w:r>
        <w:rPr>
          <w:rFonts w:ascii="黑体" w:hAnsi="黑体"/>
          <w:szCs w:val="30"/>
        </w:rPr>
        <w:fldChar w:fldCharType="end"/>
      </w:r>
    </w:p>
    <w:p w14:paraId="16109844">
      <w:pPr>
        <w:pStyle w:val="36"/>
        <w:tabs>
          <w:tab w:val="right" w:leader="dot" w:pos="8306"/>
        </w:tabs>
      </w:pPr>
      <w:r>
        <w:rPr>
          <w:rFonts w:ascii="黑体" w:hAnsi="黑体"/>
          <w:szCs w:val="30"/>
        </w:rPr>
        <w:fldChar w:fldCharType="begin"/>
      </w:r>
      <w:r>
        <w:rPr>
          <w:rFonts w:ascii="黑体" w:hAnsi="黑体"/>
          <w:szCs w:val="30"/>
        </w:rPr>
        <w:instrText xml:space="preserve"> HYPERLINK \l _Toc826606826 </w:instrText>
      </w:r>
      <w:r>
        <w:rPr>
          <w:rFonts w:ascii="黑体" w:hAnsi="黑体"/>
          <w:szCs w:val="30"/>
        </w:rPr>
        <w:fldChar w:fldCharType="separate"/>
      </w:r>
      <w:r>
        <w:rPr>
          <w:rFonts w:hint="eastAsia" w:ascii="仿宋_GB2312" w:hAnsi="黑体" w:eastAsia="仿宋_GB2312"/>
          <w:szCs w:val="30"/>
        </w:rPr>
        <w:t>附件37 上交所债券担保品处置服务联系人</w:t>
      </w:r>
      <w:r>
        <w:tab/>
      </w:r>
      <w:r>
        <w:fldChar w:fldCharType="begin"/>
      </w:r>
      <w:r>
        <w:instrText xml:space="preserve"> PAGEREF _Toc826606826 \h </w:instrText>
      </w:r>
      <w:r>
        <w:fldChar w:fldCharType="separate"/>
      </w:r>
      <w:r>
        <w:t>435</w:t>
      </w:r>
      <w:r>
        <w:fldChar w:fldCharType="end"/>
      </w:r>
      <w:r>
        <w:rPr>
          <w:rFonts w:ascii="黑体" w:hAnsi="黑体"/>
          <w:szCs w:val="30"/>
        </w:rPr>
        <w:fldChar w:fldCharType="end"/>
      </w:r>
    </w:p>
    <w:p w14:paraId="344DD860">
      <w:pPr>
        <w:pStyle w:val="36"/>
        <w:tabs>
          <w:tab w:val="right" w:leader="dot" w:pos="8306"/>
        </w:tabs>
      </w:pPr>
      <w:r>
        <w:rPr>
          <w:rFonts w:ascii="黑体" w:hAnsi="黑体"/>
          <w:szCs w:val="30"/>
        </w:rPr>
        <w:fldChar w:fldCharType="begin"/>
      </w:r>
      <w:r>
        <w:rPr>
          <w:rFonts w:ascii="黑体" w:hAnsi="黑体"/>
          <w:szCs w:val="30"/>
        </w:rPr>
        <w:instrText xml:space="preserve"> HYPERLINK \l _Toc2040807296 </w:instrText>
      </w:r>
      <w:r>
        <w:rPr>
          <w:rFonts w:ascii="黑体" w:hAnsi="黑体"/>
          <w:szCs w:val="30"/>
        </w:rPr>
        <w:fldChar w:fldCharType="separate"/>
      </w:r>
      <w:r>
        <w:rPr>
          <w:rFonts w:hint="eastAsia" w:ascii="仿宋_GB2312" w:hAnsi="黑体" w:eastAsia="仿宋_GB2312"/>
          <w:szCs w:val="30"/>
        </w:rPr>
        <w:t>附件38 处置结果公告（样张）</w:t>
      </w:r>
      <w:r>
        <w:tab/>
      </w:r>
      <w:r>
        <w:fldChar w:fldCharType="begin"/>
      </w:r>
      <w:r>
        <w:instrText xml:space="preserve"> PAGEREF _Toc2040807296 \h </w:instrText>
      </w:r>
      <w:r>
        <w:fldChar w:fldCharType="separate"/>
      </w:r>
      <w:r>
        <w:t>436</w:t>
      </w:r>
      <w:r>
        <w:fldChar w:fldCharType="end"/>
      </w:r>
      <w:r>
        <w:rPr>
          <w:rFonts w:ascii="黑体" w:hAnsi="黑体"/>
          <w:szCs w:val="30"/>
        </w:rPr>
        <w:fldChar w:fldCharType="end"/>
      </w:r>
    </w:p>
    <w:p w14:paraId="6350DFCB">
      <w:pPr>
        <w:pStyle w:val="36"/>
        <w:tabs>
          <w:tab w:val="right" w:leader="dot" w:pos="8306"/>
        </w:tabs>
      </w:pPr>
      <w:r>
        <w:rPr>
          <w:rFonts w:ascii="黑体" w:hAnsi="黑体"/>
          <w:szCs w:val="30"/>
        </w:rPr>
        <w:fldChar w:fldCharType="begin"/>
      </w:r>
      <w:r>
        <w:rPr>
          <w:rFonts w:ascii="黑体" w:hAnsi="黑体"/>
          <w:szCs w:val="30"/>
        </w:rPr>
        <w:instrText xml:space="preserve"> HYPERLINK \l _Toc916368717 </w:instrText>
      </w:r>
      <w:r>
        <w:rPr>
          <w:rFonts w:ascii="黑体" w:hAnsi="黑体"/>
          <w:szCs w:val="30"/>
        </w:rPr>
        <w:fldChar w:fldCharType="separate"/>
      </w:r>
      <w:r>
        <w:rPr>
          <w:rFonts w:hint="eastAsia" w:ascii="仿宋_GB2312" w:hAnsi="黑体" w:eastAsia="仿宋_GB2312"/>
          <w:szCs w:val="30"/>
        </w:rPr>
        <w:t>附件39 债券交易情况说明表</w:t>
      </w:r>
      <w:r>
        <w:tab/>
      </w:r>
      <w:r>
        <w:fldChar w:fldCharType="begin"/>
      </w:r>
      <w:r>
        <w:instrText xml:space="preserve"> PAGEREF _Toc916368717 \h </w:instrText>
      </w:r>
      <w:r>
        <w:fldChar w:fldCharType="separate"/>
      </w:r>
      <w:r>
        <w:t>437</w:t>
      </w:r>
      <w:r>
        <w:fldChar w:fldCharType="end"/>
      </w:r>
      <w:r>
        <w:rPr>
          <w:rFonts w:ascii="黑体" w:hAnsi="黑体"/>
          <w:szCs w:val="30"/>
        </w:rPr>
        <w:fldChar w:fldCharType="end"/>
      </w:r>
    </w:p>
    <w:p w14:paraId="4D399BE2">
      <w:pPr>
        <w:pStyle w:val="36"/>
        <w:tabs>
          <w:tab w:val="right" w:leader="dot" w:pos="8306"/>
        </w:tabs>
      </w:pPr>
      <w:r>
        <w:rPr>
          <w:rFonts w:ascii="黑体" w:hAnsi="黑体"/>
          <w:szCs w:val="30"/>
        </w:rPr>
        <w:fldChar w:fldCharType="begin"/>
      </w:r>
      <w:r>
        <w:rPr>
          <w:rFonts w:ascii="黑体" w:hAnsi="黑体"/>
          <w:szCs w:val="30"/>
        </w:rPr>
        <w:instrText xml:space="preserve"> HYPERLINK \l _Toc2093404865 </w:instrText>
      </w:r>
      <w:r>
        <w:rPr>
          <w:rFonts w:ascii="黑体" w:hAnsi="黑体"/>
          <w:szCs w:val="30"/>
        </w:rPr>
        <w:fldChar w:fldCharType="separate"/>
      </w:r>
      <w:r>
        <w:rPr>
          <w:rFonts w:hint="eastAsia" w:ascii="仿宋_GB2312" w:hAnsi="黑体" w:eastAsia="仿宋_GB2312"/>
          <w:szCs w:val="30"/>
        </w:rPr>
        <w:t>附件</w:t>
      </w:r>
      <w:r>
        <w:rPr>
          <w:rFonts w:hint="eastAsia" w:ascii="仿宋_GB2312" w:hAnsi="黑体" w:eastAsia="仿宋_GB2312"/>
          <w:szCs w:val="30"/>
          <w:lang w:val="en-US" w:eastAsia="zh-CN"/>
        </w:rPr>
        <w:t>40</w:t>
      </w:r>
      <w:r>
        <w:rPr>
          <w:rFonts w:hint="eastAsia" w:ascii="仿宋_GB2312" w:hAnsi="黑体" w:eastAsia="仿宋_GB2312"/>
          <w:szCs w:val="30"/>
        </w:rPr>
        <w:t xml:space="preserve"> 上海证券交易所债券转让确认申请表</w:t>
      </w:r>
      <w:r>
        <w:tab/>
      </w:r>
      <w:r>
        <w:fldChar w:fldCharType="begin"/>
      </w:r>
      <w:r>
        <w:instrText xml:space="preserve"> PAGEREF _Toc2093404865 \h </w:instrText>
      </w:r>
      <w:r>
        <w:fldChar w:fldCharType="separate"/>
      </w:r>
      <w:r>
        <w:t>438</w:t>
      </w:r>
      <w:r>
        <w:fldChar w:fldCharType="end"/>
      </w:r>
      <w:r>
        <w:rPr>
          <w:rFonts w:ascii="黑体" w:hAnsi="黑体"/>
          <w:szCs w:val="30"/>
        </w:rPr>
        <w:fldChar w:fldCharType="end"/>
      </w:r>
    </w:p>
    <w:p w14:paraId="5AA50911">
      <w:pPr>
        <w:pStyle w:val="36"/>
        <w:tabs>
          <w:tab w:val="right" w:leader="dot" w:pos="8306"/>
        </w:tabs>
      </w:pPr>
      <w:r>
        <w:rPr>
          <w:rFonts w:ascii="黑体" w:hAnsi="黑体"/>
          <w:szCs w:val="30"/>
        </w:rPr>
        <w:fldChar w:fldCharType="begin"/>
      </w:r>
      <w:r>
        <w:rPr>
          <w:rFonts w:ascii="黑体" w:hAnsi="黑体"/>
          <w:szCs w:val="30"/>
        </w:rPr>
        <w:instrText xml:space="preserve"> HYPERLINK \l _Toc1319736936 </w:instrText>
      </w:r>
      <w:r>
        <w:rPr>
          <w:rFonts w:ascii="黑体" w:hAnsi="黑体"/>
          <w:szCs w:val="30"/>
        </w:rPr>
        <w:fldChar w:fldCharType="separate"/>
      </w:r>
      <w:r>
        <w:rPr>
          <w:rFonts w:hint="eastAsia" w:ascii="仿宋_GB2312" w:hAnsi="黑体" w:eastAsia="仿宋_GB2312"/>
          <w:szCs w:val="30"/>
        </w:rPr>
        <w:t>附件</w:t>
      </w:r>
      <w:r>
        <w:rPr>
          <w:rFonts w:hint="eastAsia" w:ascii="仿宋_GB2312" w:hAnsi="黑体" w:eastAsia="仿宋_GB2312"/>
          <w:szCs w:val="30"/>
          <w:lang w:val="en-US" w:eastAsia="zh-CN"/>
        </w:rPr>
        <w:t>41</w:t>
      </w:r>
      <w:r>
        <w:rPr>
          <w:rFonts w:hint="eastAsia" w:ascii="仿宋_GB2312" w:hAnsi="黑体" w:eastAsia="仿宋_GB2312"/>
          <w:szCs w:val="30"/>
        </w:rPr>
        <w:t xml:space="preserve"> 关于债券非交易过户的申请</w:t>
      </w:r>
      <w:r>
        <w:tab/>
      </w:r>
      <w:r>
        <w:fldChar w:fldCharType="begin"/>
      </w:r>
      <w:r>
        <w:instrText xml:space="preserve"> PAGEREF _Toc1319736936 \h </w:instrText>
      </w:r>
      <w:r>
        <w:fldChar w:fldCharType="separate"/>
      </w:r>
      <w:r>
        <w:t>440</w:t>
      </w:r>
      <w:r>
        <w:fldChar w:fldCharType="end"/>
      </w:r>
      <w:r>
        <w:rPr>
          <w:rFonts w:ascii="黑体" w:hAnsi="黑体"/>
          <w:szCs w:val="30"/>
        </w:rPr>
        <w:fldChar w:fldCharType="end"/>
      </w:r>
    </w:p>
    <w:p w14:paraId="11F9F606">
      <w:pPr>
        <w:pStyle w:val="36"/>
        <w:tabs>
          <w:tab w:val="right" w:leader="dot" w:pos="8306"/>
        </w:tabs>
      </w:pPr>
      <w:r>
        <w:rPr>
          <w:rFonts w:ascii="黑体" w:hAnsi="黑体"/>
          <w:szCs w:val="30"/>
        </w:rPr>
        <w:fldChar w:fldCharType="begin"/>
      </w:r>
      <w:r>
        <w:rPr>
          <w:rFonts w:ascii="黑体" w:hAnsi="黑体"/>
          <w:szCs w:val="30"/>
        </w:rPr>
        <w:instrText xml:space="preserve"> HYPERLINK \l _Toc1933250745 </w:instrText>
      </w:r>
      <w:r>
        <w:rPr>
          <w:rFonts w:ascii="黑体" w:hAnsi="黑体"/>
          <w:szCs w:val="30"/>
        </w:rPr>
        <w:fldChar w:fldCharType="separate"/>
      </w:r>
      <w:r>
        <w:rPr>
          <w:rFonts w:hint="eastAsia" w:ascii="仿宋_GB2312" w:hAnsi="黑体" w:eastAsia="仿宋_GB2312"/>
          <w:szCs w:val="30"/>
        </w:rPr>
        <w:t>附件</w:t>
      </w:r>
      <w:r>
        <w:rPr>
          <w:rFonts w:hint="eastAsia" w:ascii="仿宋_GB2312" w:hAnsi="黑体" w:eastAsia="仿宋_GB2312"/>
          <w:szCs w:val="30"/>
          <w:lang w:val="en-US" w:eastAsia="zh-CN"/>
        </w:rPr>
        <w:t>42</w:t>
      </w:r>
      <w:r>
        <w:rPr>
          <w:rFonts w:hint="eastAsia" w:ascii="仿宋_GB2312" w:hAnsi="黑体" w:eastAsia="仿宋_GB2312"/>
          <w:szCs w:val="30"/>
        </w:rPr>
        <w:t xml:space="preserve"> 授权委托书</w:t>
      </w:r>
      <w:r>
        <w:tab/>
      </w:r>
      <w:r>
        <w:fldChar w:fldCharType="begin"/>
      </w:r>
      <w:r>
        <w:instrText xml:space="preserve"> PAGEREF _Toc1933250745 \h </w:instrText>
      </w:r>
      <w:r>
        <w:fldChar w:fldCharType="separate"/>
      </w:r>
      <w:r>
        <w:t>441</w:t>
      </w:r>
      <w:r>
        <w:fldChar w:fldCharType="end"/>
      </w:r>
      <w:r>
        <w:rPr>
          <w:rFonts w:ascii="黑体" w:hAnsi="黑体"/>
          <w:szCs w:val="30"/>
        </w:rPr>
        <w:fldChar w:fldCharType="end"/>
      </w:r>
    </w:p>
    <w:p w14:paraId="401A8C32">
      <w:pPr>
        <w:pStyle w:val="36"/>
        <w:tabs>
          <w:tab w:val="right" w:leader="dot" w:pos="8306"/>
        </w:tabs>
      </w:pPr>
      <w:r>
        <w:rPr>
          <w:rFonts w:ascii="黑体" w:hAnsi="黑体"/>
          <w:szCs w:val="30"/>
        </w:rPr>
        <w:fldChar w:fldCharType="begin"/>
      </w:r>
      <w:r>
        <w:rPr>
          <w:rFonts w:ascii="黑体" w:hAnsi="黑体"/>
          <w:szCs w:val="30"/>
        </w:rPr>
        <w:instrText xml:space="preserve"> HYPERLINK \l _Toc1016567143 </w:instrText>
      </w:r>
      <w:r>
        <w:rPr>
          <w:rFonts w:ascii="黑体" w:hAnsi="黑体"/>
          <w:szCs w:val="30"/>
        </w:rPr>
        <w:fldChar w:fldCharType="separate"/>
      </w:r>
      <w:r>
        <w:rPr>
          <w:rFonts w:hint="eastAsia" w:ascii="仿宋_GB2312" w:hAnsi="黑体" w:eastAsia="仿宋_GB2312"/>
          <w:szCs w:val="30"/>
        </w:rPr>
        <w:t>附件</w:t>
      </w:r>
      <w:r>
        <w:rPr>
          <w:rFonts w:hint="eastAsia" w:ascii="仿宋_GB2312" w:hAnsi="黑体" w:eastAsia="仿宋_GB2312"/>
          <w:szCs w:val="30"/>
          <w:lang w:val="en-US" w:eastAsia="zh-CN"/>
        </w:rPr>
        <w:t>43</w:t>
      </w:r>
      <w:r>
        <w:rPr>
          <w:rFonts w:hint="eastAsia" w:ascii="仿宋_GB2312" w:hAnsi="黑体" w:eastAsia="仿宋_GB2312"/>
          <w:szCs w:val="30"/>
        </w:rPr>
        <w:t xml:space="preserve"> 关于转让合规性核查的说明</w:t>
      </w:r>
      <w:r>
        <w:tab/>
      </w:r>
      <w:r>
        <w:fldChar w:fldCharType="begin"/>
      </w:r>
      <w:r>
        <w:instrText xml:space="preserve"> PAGEREF _Toc1016567143 \h </w:instrText>
      </w:r>
      <w:r>
        <w:fldChar w:fldCharType="separate"/>
      </w:r>
      <w:r>
        <w:t>442</w:t>
      </w:r>
      <w:r>
        <w:fldChar w:fldCharType="end"/>
      </w:r>
      <w:r>
        <w:rPr>
          <w:rFonts w:ascii="黑体" w:hAnsi="黑体"/>
          <w:szCs w:val="30"/>
        </w:rPr>
        <w:fldChar w:fldCharType="end"/>
      </w:r>
    </w:p>
    <w:p w14:paraId="5ECC1BAC">
      <w:pPr>
        <w:jc w:val="center"/>
        <w:outlineLvl w:val="0"/>
        <w:rPr>
          <w:rFonts w:ascii="黑体" w:hAnsi="黑体"/>
          <w:b/>
          <w:kern w:val="0"/>
          <w:szCs w:val="32"/>
        </w:rPr>
      </w:pPr>
      <w:r>
        <w:rPr>
          <w:rFonts w:ascii="黑体" w:hAnsi="黑体"/>
          <w:szCs w:val="30"/>
        </w:rPr>
        <w:fldChar w:fldCharType="end"/>
      </w:r>
      <w:bookmarkStart w:id="7" w:name="_Toc1682846496"/>
      <w:bookmarkStart w:id="8" w:name="_Toc1392977209"/>
      <w:bookmarkStart w:id="9" w:name="_Toc990073815"/>
      <w:bookmarkStart w:id="10" w:name="_Toc1101329957"/>
      <w:r>
        <w:rPr>
          <w:rFonts w:ascii="黑体" w:hAnsi="黑体"/>
          <w:b/>
          <w:sz w:val="30"/>
          <w:szCs w:val="30"/>
        </w:rPr>
        <w:br w:type="page"/>
      </w:r>
      <w:bookmarkStart w:id="11" w:name="_Toc151136876"/>
      <w:r>
        <w:rPr>
          <w:rFonts w:hint="eastAsia" w:ascii="黑体" w:hAnsi="黑体" w:eastAsia="黑体" w:cs="黑体"/>
          <w:b/>
          <w:bCs/>
          <w:sz w:val="36"/>
        </w:rPr>
        <w:t>引言</w:t>
      </w:r>
      <w:bookmarkEnd w:id="7"/>
      <w:bookmarkEnd w:id="8"/>
      <w:bookmarkEnd w:id="9"/>
      <w:bookmarkEnd w:id="10"/>
      <w:bookmarkEnd w:id="11"/>
    </w:p>
    <w:p w14:paraId="4D22DF63">
      <w:pPr>
        <w:widowControl/>
        <w:spacing w:line="600" w:lineRule="exact"/>
        <w:ind w:firstLine="600" w:firstLineChars="200"/>
        <w:rPr>
          <w:rFonts w:ascii="仿宋_GB2312" w:eastAsia="仿宋_GB2312"/>
          <w:sz w:val="30"/>
          <w:szCs w:val="30"/>
        </w:rPr>
      </w:pPr>
    </w:p>
    <w:p w14:paraId="7CD95372">
      <w:pPr>
        <w:widowControl/>
        <w:spacing w:line="60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为规范债券市场交易行为，便利债券投资者开展债券交易业务，提升市场服务水平，根据《中华人民共和国证券法》《上海证券交易所债券交易规则》（以下简称《债券交易规则》）《上海证券交易所债券市场投资者适当性管理办法》《上海证券交易所会员管理规则》《上海证券交易所证券异常交易实时监控细则》和其他相关规定，制定《上海证券交易所债券交易业务指南第1号——交易业务》（以下简称本指南）。</w:t>
      </w:r>
    </w:p>
    <w:p w14:paraId="49C83698">
      <w:pPr>
        <w:widowControl/>
        <w:spacing w:line="600" w:lineRule="exact"/>
        <w:ind w:firstLine="600" w:firstLineChars="200"/>
        <w:rPr>
          <w:rFonts w:ascii="仿宋_GB2312" w:eastAsia="仿宋_GB2312"/>
          <w:sz w:val="30"/>
          <w:szCs w:val="30"/>
        </w:rPr>
      </w:pPr>
      <w:r>
        <w:rPr>
          <w:rFonts w:hint="eastAsia" w:ascii="仿宋_GB2312" w:eastAsia="仿宋_GB2312"/>
          <w:color w:val="000000"/>
          <w:sz w:val="30"/>
          <w:szCs w:val="30"/>
        </w:rPr>
        <w:t>在上海证券交易所（以下简称本所</w:t>
      </w:r>
      <w:r>
        <w:rPr>
          <w:rFonts w:hint="eastAsia" w:ascii="仿宋_GB2312" w:eastAsia="仿宋_GB2312"/>
          <w:sz w:val="30"/>
          <w:szCs w:val="30"/>
        </w:rPr>
        <w:t>或上交所</w:t>
      </w:r>
      <w:r>
        <w:rPr>
          <w:rFonts w:hint="eastAsia" w:ascii="仿宋_GB2312" w:eastAsia="仿宋_GB2312"/>
          <w:color w:val="000000"/>
          <w:sz w:val="30"/>
          <w:szCs w:val="30"/>
        </w:rPr>
        <w:t>）开展的债券、资产支持证券和其他具有固定收益特征的产品的交易或者转让（以下简称债券交易）适用本指南。本指南规范的债券业务类型包括债券现券交易、债券回购交易、债券借贷业务、债券预发行交易、信用保护工具以及本所认可的其他交易。</w:t>
      </w:r>
      <w:r>
        <w:rPr>
          <w:rFonts w:hint="eastAsia" w:ascii="仿宋_GB2312" w:eastAsia="仿宋_GB2312"/>
          <w:sz w:val="30"/>
          <w:szCs w:val="30"/>
        </w:rPr>
        <w:t>本所依据法律、行政法规、部门规章、规范性文件（以下合称法律法规）和业务规则，对债券提供回售、回售转售、赎回、分期偿还、换股、转股、转托管等相关服务。</w:t>
      </w:r>
    </w:p>
    <w:p w14:paraId="6D8B14D5">
      <w:pPr>
        <w:widowControl/>
        <w:spacing w:line="600" w:lineRule="exact"/>
        <w:ind w:firstLine="600" w:firstLineChars="200"/>
        <w:rPr>
          <w:rFonts w:ascii="黑体" w:hAnsi="黑体"/>
          <w:b/>
          <w:sz w:val="30"/>
          <w:szCs w:val="30"/>
        </w:rPr>
      </w:pPr>
      <w:r>
        <w:rPr>
          <w:rFonts w:hint="eastAsia" w:ascii="仿宋_GB2312" w:eastAsia="仿宋_GB2312"/>
          <w:sz w:val="30"/>
          <w:szCs w:val="30"/>
        </w:rPr>
        <w:t>本指南为开放性指南，本所将根据实际情况，对本指南进行不定期修订更新并发布更新版本。本所对本指南保留最终解释权。</w:t>
      </w:r>
    </w:p>
    <w:p w14:paraId="41875792">
      <w:pPr>
        <w:numPr>
          <w:ilvl w:val="255"/>
          <w:numId w:val="0"/>
        </w:numPr>
        <w:rPr>
          <w:b/>
          <w:sz w:val="36"/>
        </w:rPr>
      </w:pPr>
      <w:bookmarkStart w:id="12" w:name="_Toc56166251"/>
      <w:bookmarkStart w:id="13" w:name="_Toc56166062"/>
      <w:r>
        <w:rPr>
          <w:rFonts w:hint="eastAsia"/>
          <w:b/>
          <w:sz w:val="36"/>
        </w:rPr>
        <w:br w:type="page"/>
      </w:r>
    </w:p>
    <w:p w14:paraId="784E46C3">
      <w:pPr>
        <w:numPr>
          <w:ilvl w:val="0"/>
          <w:numId w:val="4"/>
        </w:numPr>
        <w:spacing w:line="600" w:lineRule="exact"/>
        <w:outlineLvl w:val="0"/>
        <w:rPr>
          <w:rFonts w:ascii="黑体" w:hAnsi="黑体" w:eastAsia="黑体" w:cs="黑体"/>
          <w:b/>
          <w:sz w:val="36"/>
        </w:rPr>
      </w:pPr>
      <w:bookmarkStart w:id="14" w:name="_Toc825913322"/>
      <w:bookmarkStart w:id="15" w:name="_Toc1811879173"/>
      <w:bookmarkStart w:id="16" w:name="_Toc836723549"/>
      <w:bookmarkStart w:id="17" w:name="_Toc151136877"/>
      <w:bookmarkStart w:id="18" w:name="_Toc1342327342"/>
      <w:r>
        <w:rPr>
          <w:rFonts w:hint="eastAsia" w:ascii="黑体" w:hAnsi="黑体" w:eastAsia="黑体" w:cs="黑体"/>
          <w:b/>
          <w:sz w:val="36"/>
        </w:rPr>
        <w:t>上交所债券交易市场总体介绍</w:t>
      </w:r>
      <w:bookmarkEnd w:id="12"/>
      <w:bookmarkEnd w:id="13"/>
      <w:bookmarkEnd w:id="14"/>
      <w:bookmarkEnd w:id="15"/>
      <w:bookmarkEnd w:id="16"/>
      <w:bookmarkEnd w:id="17"/>
      <w:bookmarkEnd w:id="18"/>
    </w:p>
    <w:p w14:paraId="3C805860">
      <w:pPr>
        <w:spacing w:line="600" w:lineRule="exact"/>
        <w:ind w:left="105" w:leftChars="50" w:firstLine="450" w:firstLineChars="150"/>
        <w:rPr>
          <w:rFonts w:ascii="仿宋_GB2312" w:eastAsia="仿宋_GB2312"/>
          <w:sz w:val="30"/>
          <w:szCs w:val="30"/>
        </w:rPr>
      </w:pPr>
      <w:r>
        <w:rPr>
          <w:rFonts w:hint="eastAsia" w:ascii="仿宋_GB2312" w:eastAsia="仿宋_GB2312"/>
          <w:sz w:val="30"/>
          <w:szCs w:val="30"/>
        </w:rPr>
        <w:t>本章主要对本所债券交易市场的发展概况、交易业务、参与主体、参与方式等总体情况进行介绍。</w:t>
      </w:r>
    </w:p>
    <w:p w14:paraId="32FB46CE">
      <w:pPr>
        <w:numPr>
          <w:ilvl w:val="1"/>
          <w:numId w:val="4"/>
        </w:numPr>
        <w:spacing w:line="600" w:lineRule="exact"/>
        <w:ind w:left="0" w:firstLine="0"/>
        <w:outlineLvl w:val="1"/>
        <w:rPr>
          <w:rFonts w:ascii="仿宋_GB2312" w:eastAsia="仿宋_GB2312"/>
          <w:b/>
          <w:sz w:val="30"/>
          <w:szCs w:val="30"/>
        </w:rPr>
      </w:pPr>
      <w:bookmarkStart w:id="19" w:name="_Toc56166063"/>
      <w:bookmarkStart w:id="20" w:name="_Toc56166252"/>
      <w:bookmarkStart w:id="21" w:name="_Toc1639052365"/>
      <w:bookmarkStart w:id="22" w:name="_Toc1033389517"/>
      <w:bookmarkStart w:id="23" w:name="_Toc51300450"/>
      <w:bookmarkStart w:id="24" w:name="_Toc1347540777"/>
      <w:bookmarkStart w:id="25" w:name="_Toc151136878"/>
      <w:bookmarkStart w:id="26" w:name="_Toc491112922"/>
      <w:bookmarkStart w:id="27" w:name="_Toc434708067"/>
      <w:r>
        <w:rPr>
          <w:rFonts w:hint="eastAsia" w:ascii="仿宋_GB2312" w:eastAsia="仿宋_GB2312"/>
          <w:b/>
          <w:sz w:val="30"/>
          <w:szCs w:val="30"/>
        </w:rPr>
        <w:t>概况</w:t>
      </w:r>
      <w:bookmarkEnd w:id="19"/>
      <w:bookmarkEnd w:id="20"/>
      <w:bookmarkEnd w:id="21"/>
      <w:bookmarkEnd w:id="22"/>
      <w:bookmarkEnd w:id="23"/>
      <w:bookmarkEnd w:id="24"/>
      <w:bookmarkEnd w:id="25"/>
    </w:p>
    <w:p w14:paraId="51957064">
      <w:pPr>
        <w:spacing w:line="600" w:lineRule="exact"/>
        <w:ind w:firstLine="600" w:firstLineChars="200"/>
        <w:rPr>
          <w:rFonts w:ascii="仿宋_GB2312" w:eastAsia="仿宋_GB2312"/>
          <w:sz w:val="30"/>
          <w:szCs w:val="30"/>
        </w:rPr>
      </w:pPr>
      <w:r>
        <w:rPr>
          <w:rFonts w:hint="eastAsia" w:ascii="仿宋_GB2312" w:eastAsia="仿宋_GB2312"/>
          <w:sz w:val="30"/>
          <w:szCs w:val="30"/>
        </w:rPr>
        <w:t>现阶段，本所债券交易相关业务可分为交易类、融资类和风险管理类三种类型。交易类业务包括债券现券交易与债券预发行交易；融资类业务包括债券通用质押式回购（以下简称通用回购）交易、债券质押式协议回购（以下简称协议回购）交易、债券质押式三方回购（以下简称三方回购）交易与债券借贷业务等；风险管理类业务包括信用保护工具等。本所</w:t>
      </w:r>
      <w:r>
        <w:rPr>
          <w:rFonts w:ascii="仿宋_GB2312" w:eastAsia="仿宋_GB2312"/>
          <w:sz w:val="30"/>
          <w:szCs w:val="30"/>
        </w:rPr>
        <w:t>债券交易主要在</w:t>
      </w:r>
      <w:r>
        <w:rPr>
          <w:rFonts w:hint="eastAsia" w:ascii="仿宋_GB2312" w:eastAsia="仿宋_GB2312"/>
          <w:sz w:val="30"/>
          <w:szCs w:val="30"/>
        </w:rPr>
        <w:t>新债券</w:t>
      </w:r>
      <w:r>
        <w:rPr>
          <w:rFonts w:hint="eastAsia" w:ascii="仿宋_GB2312" w:eastAsia="仿宋_GB2312"/>
          <w:kern w:val="0"/>
          <w:sz w:val="30"/>
          <w:szCs w:val="30"/>
        </w:rPr>
        <w:t>交易系统债券集中竞价交易平台（以下简称新</w:t>
      </w:r>
      <w:r>
        <w:rPr>
          <w:rFonts w:hint="eastAsia" w:ascii="仿宋_GB2312" w:eastAsia="仿宋_GB2312"/>
          <w:sz w:val="30"/>
          <w:szCs w:val="30"/>
        </w:rPr>
        <w:t>债券</w:t>
      </w:r>
      <w:r>
        <w:rPr>
          <w:rFonts w:hint="eastAsia" w:ascii="仿宋_GB2312" w:eastAsia="仿宋_GB2312"/>
          <w:kern w:val="0"/>
          <w:sz w:val="30"/>
          <w:szCs w:val="30"/>
        </w:rPr>
        <w:t>交易系统）</w:t>
      </w:r>
      <w:r>
        <w:rPr>
          <w:rFonts w:ascii="仿宋_GB2312" w:eastAsia="仿宋_GB2312"/>
          <w:sz w:val="30"/>
          <w:szCs w:val="30"/>
        </w:rPr>
        <w:t>与</w:t>
      </w:r>
      <w:r>
        <w:rPr>
          <w:rFonts w:hint="eastAsia" w:ascii="仿宋_GB2312" w:eastAsia="仿宋_GB2312"/>
          <w:sz w:val="30"/>
          <w:szCs w:val="30"/>
        </w:rPr>
        <w:t>固定收益证券综合电子平台（以下简称固定收益平台或固收平台）等</w:t>
      </w:r>
      <w:r>
        <w:rPr>
          <w:rFonts w:ascii="仿宋_GB2312" w:eastAsia="仿宋_GB2312"/>
          <w:sz w:val="30"/>
          <w:szCs w:val="30"/>
        </w:rPr>
        <w:t>本所</w:t>
      </w:r>
      <w:r>
        <w:rPr>
          <w:rFonts w:hint="eastAsia" w:ascii="仿宋_GB2312" w:eastAsia="仿宋_GB2312"/>
          <w:sz w:val="30"/>
          <w:szCs w:val="30"/>
        </w:rPr>
        <w:t>核心</w:t>
      </w:r>
      <w:r>
        <w:rPr>
          <w:rFonts w:ascii="仿宋_GB2312" w:eastAsia="仿宋_GB2312"/>
          <w:sz w:val="30"/>
          <w:szCs w:val="30"/>
        </w:rPr>
        <w:t>债券交易</w:t>
      </w:r>
      <w:r>
        <w:rPr>
          <w:rFonts w:hint="eastAsia" w:ascii="仿宋_GB2312" w:eastAsia="仿宋_GB2312"/>
          <w:sz w:val="30"/>
          <w:szCs w:val="30"/>
        </w:rPr>
        <w:t>系统</w:t>
      </w:r>
      <w:r>
        <w:rPr>
          <w:rFonts w:ascii="仿宋_GB2312" w:eastAsia="仿宋_GB2312"/>
          <w:sz w:val="30"/>
          <w:szCs w:val="30"/>
        </w:rPr>
        <w:t>上进行</w:t>
      </w:r>
      <w:r>
        <w:rPr>
          <w:rFonts w:hint="eastAsia" w:ascii="仿宋_GB2312" w:eastAsia="仿宋_GB2312"/>
          <w:sz w:val="30"/>
          <w:szCs w:val="30"/>
        </w:rPr>
        <w:t>，</w:t>
      </w:r>
      <w:r>
        <w:rPr>
          <w:rFonts w:ascii="仿宋_GB2312" w:eastAsia="仿宋_GB2312"/>
          <w:sz w:val="30"/>
          <w:szCs w:val="30"/>
        </w:rPr>
        <w:t>本所另有规定</w:t>
      </w:r>
      <w:r>
        <w:rPr>
          <w:rFonts w:hint="eastAsia" w:ascii="仿宋_GB2312" w:eastAsia="仿宋_GB2312"/>
          <w:sz w:val="30"/>
          <w:szCs w:val="30"/>
        </w:rPr>
        <w:t>的</w:t>
      </w:r>
      <w:r>
        <w:rPr>
          <w:rFonts w:ascii="仿宋_GB2312" w:eastAsia="仿宋_GB2312"/>
          <w:sz w:val="30"/>
          <w:szCs w:val="30"/>
        </w:rPr>
        <w:t>情形除外。</w:t>
      </w:r>
    </w:p>
    <w:p w14:paraId="13756F0E">
      <w:pPr>
        <w:spacing w:line="600" w:lineRule="exact"/>
        <w:ind w:firstLine="600" w:firstLineChars="200"/>
        <w:rPr>
          <w:rFonts w:ascii="仿宋_GB2312" w:hAnsi="仿宋" w:eastAsia="仿宋_GB2312"/>
          <w:sz w:val="30"/>
          <w:szCs w:val="30"/>
        </w:rPr>
      </w:pPr>
      <w:r>
        <w:rPr>
          <w:rFonts w:hint="eastAsia" w:ascii="仿宋_GB2312" w:eastAsia="仿宋_GB2312"/>
          <w:sz w:val="30"/>
          <w:szCs w:val="30"/>
        </w:rPr>
        <w:t>本所债券市场的交易主体包括证券公司、保险、银行、财务公司、银行理财、公募基金、基金专户、企业年金、券商资管、信托、保险资管、私募基金、社会保险基金、期货资管、一般法人/组织、QFII、RQFII、个人等，债券投资者群体相对多元化。</w:t>
      </w:r>
      <w:r>
        <w:rPr>
          <w:rFonts w:hint="eastAsia" w:ascii="仿宋_GB2312" w:hAnsi="仿宋" w:eastAsia="仿宋_GB2312"/>
          <w:sz w:val="30"/>
          <w:szCs w:val="30"/>
        </w:rPr>
        <w:t>现有债券交易方式包括匹配成交、点击成交、询价成交、竞买成交与协商成交；结算方式包括多边净额结算或逐笔全额结算等。</w:t>
      </w:r>
    </w:p>
    <w:p w14:paraId="7A12E91A">
      <w:pPr>
        <w:spacing w:line="600" w:lineRule="exact"/>
        <w:ind w:firstLine="600" w:firstLineChars="200"/>
        <w:rPr>
          <w:rFonts w:ascii="仿宋_GB2312" w:eastAsia="仿宋_GB2312"/>
          <w:sz w:val="30"/>
          <w:szCs w:val="30"/>
        </w:rPr>
      </w:pPr>
      <w:r>
        <w:rPr>
          <w:rFonts w:hint="eastAsia" w:ascii="仿宋_GB2312" w:eastAsia="仿宋_GB2312"/>
          <w:sz w:val="30"/>
          <w:szCs w:val="30"/>
        </w:rPr>
        <w:t>除</w:t>
      </w:r>
      <w:r>
        <w:rPr>
          <w:rFonts w:ascii="仿宋_GB2312" w:eastAsia="仿宋_GB2312"/>
          <w:sz w:val="30"/>
          <w:szCs w:val="30"/>
        </w:rPr>
        <w:t>交易业务外，</w:t>
      </w:r>
      <w:r>
        <w:rPr>
          <w:rFonts w:hint="eastAsia" w:ascii="仿宋_GB2312" w:eastAsia="仿宋_GB2312"/>
          <w:sz w:val="30"/>
          <w:szCs w:val="30"/>
        </w:rPr>
        <w:t>本所根据市场发展情况和债券投资者需求提供相关非交易服务，包括债券分期偿还、回售及其转售、转股、换股、转托管、质押券出入库业务等，相关规定详见本指南第</w:t>
      </w:r>
      <w:r>
        <w:rPr>
          <w:rFonts w:ascii="仿宋_GB2312" w:eastAsia="仿宋_GB2312"/>
          <w:sz w:val="30"/>
          <w:szCs w:val="30"/>
        </w:rPr>
        <w:t>9</w:t>
      </w:r>
      <w:r>
        <w:rPr>
          <w:rFonts w:hint="eastAsia" w:ascii="仿宋_GB2312" w:eastAsia="仿宋_GB2312"/>
          <w:sz w:val="30"/>
          <w:szCs w:val="30"/>
        </w:rPr>
        <w:t>章。前述非交易</w:t>
      </w:r>
      <w:r>
        <w:rPr>
          <w:rFonts w:ascii="仿宋_GB2312" w:eastAsia="仿宋_GB2312"/>
          <w:sz w:val="30"/>
          <w:szCs w:val="30"/>
        </w:rPr>
        <w:t>业务主要在本所综合业务平台</w:t>
      </w:r>
      <w:r>
        <w:rPr>
          <w:rFonts w:hint="eastAsia" w:ascii="仿宋_GB2312" w:eastAsia="仿宋_GB2312"/>
          <w:sz w:val="30"/>
          <w:szCs w:val="30"/>
        </w:rPr>
        <w:t>和固收平台</w:t>
      </w:r>
      <w:r>
        <w:rPr>
          <w:rFonts w:ascii="仿宋_GB2312" w:eastAsia="仿宋_GB2312"/>
          <w:sz w:val="30"/>
          <w:szCs w:val="30"/>
        </w:rPr>
        <w:t>进行</w:t>
      </w:r>
      <w:r>
        <w:rPr>
          <w:rFonts w:hint="eastAsia" w:ascii="仿宋_GB2312" w:eastAsia="仿宋_GB2312"/>
          <w:sz w:val="30"/>
          <w:szCs w:val="30"/>
        </w:rPr>
        <w:t>，</w:t>
      </w:r>
      <w:r>
        <w:rPr>
          <w:rFonts w:ascii="仿宋_GB2312" w:eastAsia="仿宋_GB2312"/>
          <w:sz w:val="30"/>
          <w:szCs w:val="30"/>
        </w:rPr>
        <w:t>本所另有规定</w:t>
      </w:r>
      <w:r>
        <w:rPr>
          <w:rFonts w:hint="eastAsia" w:ascii="仿宋_GB2312" w:eastAsia="仿宋_GB2312"/>
          <w:sz w:val="30"/>
          <w:szCs w:val="30"/>
        </w:rPr>
        <w:t>的</w:t>
      </w:r>
      <w:r>
        <w:rPr>
          <w:rFonts w:ascii="仿宋_GB2312" w:eastAsia="仿宋_GB2312"/>
          <w:sz w:val="30"/>
          <w:szCs w:val="30"/>
        </w:rPr>
        <w:t>除外。</w:t>
      </w:r>
    </w:p>
    <w:bookmarkEnd w:id="26"/>
    <w:bookmarkEnd w:id="27"/>
    <w:p w14:paraId="7D46B913">
      <w:pPr>
        <w:numPr>
          <w:ilvl w:val="1"/>
          <w:numId w:val="4"/>
        </w:numPr>
        <w:spacing w:line="600" w:lineRule="exact"/>
        <w:ind w:left="0" w:firstLine="0"/>
        <w:outlineLvl w:val="1"/>
        <w:rPr>
          <w:rFonts w:ascii="仿宋_GB2312" w:eastAsia="仿宋_GB2312"/>
          <w:b/>
          <w:sz w:val="30"/>
          <w:szCs w:val="30"/>
        </w:rPr>
      </w:pPr>
      <w:bookmarkStart w:id="28" w:name="_Toc60327051"/>
      <w:bookmarkEnd w:id="28"/>
      <w:bookmarkStart w:id="29" w:name="_Toc59181150"/>
      <w:bookmarkEnd w:id="29"/>
      <w:bookmarkStart w:id="30" w:name="_Toc60331810"/>
      <w:bookmarkEnd w:id="30"/>
      <w:bookmarkStart w:id="31" w:name="_Toc59181034"/>
      <w:bookmarkEnd w:id="31"/>
      <w:bookmarkStart w:id="32" w:name="_Toc59181263"/>
      <w:bookmarkEnd w:id="32"/>
      <w:bookmarkStart w:id="33" w:name="_Toc59106936"/>
      <w:bookmarkEnd w:id="33"/>
      <w:bookmarkStart w:id="34" w:name="_Toc59181256"/>
      <w:bookmarkEnd w:id="34"/>
      <w:bookmarkStart w:id="35" w:name="_Toc59106932"/>
      <w:bookmarkEnd w:id="35"/>
      <w:bookmarkStart w:id="36" w:name="_Toc60327052"/>
      <w:bookmarkEnd w:id="36"/>
      <w:bookmarkStart w:id="37" w:name="_Toc59034525"/>
      <w:bookmarkEnd w:id="37"/>
      <w:bookmarkStart w:id="38" w:name="_Toc59034527"/>
      <w:bookmarkEnd w:id="38"/>
      <w:bookmarkStart w:id="39" w:name="_Toc60327056"/>
      <w:bookmarkEnd w:id="39"/>
      <w:bookmarkStart w:id="40" w:name="_Toc60327050"/>
      <w:bookmarkEnd w:id="40"/>
      <w:bookmarkStart w:id="41" w:name="_Toc59181030"/>
      <w:bookmarkEnd w:id="41"/>
      <w:bookmarkStart w:id="42" w:name="_Toc60327054"/>
      <w:bookmarkEnd w:id="42"/>
      <w:bookmarkStart w:id="43" w:name="_Toc59181259"/>
      <w:bookmarkEnd w:id="43"/>
      <w:bookmarkStart w:id="44" w:name="_Toc59106933"/>
      <w:bookmarkEnd w:id="44"/>
      <w:bookmarkStart w:id="45" w:name="_Toc59106930"/>
      <w:bookmarkEnd w:id="45"/>
      <w:bookmarkStart w:id="46" w:name="_Toc60331807"/>
      <w:bookmarkEnd w:id="46"/>
      <w:bookmarkStart w:id="47" w:name="_Toc57908824"/>
      <w:bookmarkEnd w:id="47"/>
      <w:bookmarkStart w:id="48" w:name="_Toc60331809"/>
      <w:bookmarkEnd w:id="48"/>
      <w:bookmarkStart w:id="49" w:name="_Toc59034053"/>
      <w:bookmarkEnd w:id="49"/>
      <w:bookmarkStart w:id="50" w:name="_Toc59034050"/>
      <w:bookmarkEnd w:id="50"/>
      <w:bookmarkStart w:id="51" w:name="_Toc57908819"/>
      <w:bookmarkEnd w:id="51"/>
      <w:bookmarkStart w:id="52" w:name="_Toc59106934"/>
      <w:bookmarkEnd w:id="52"/>
      <w:bookmarkStart w:id="53" w:name="_Toc59181032"/>
      <w:bookmarkEnd w:id="53"/>
      <w:bookmarkStart w:id="54" w:name="_Toc59034532"/>
      <w:bookmarkEnd w:id="54"/>
      <w:bookmarkStart w:id="55" w:name="_Toc59106929"/>
      <w:bookmarkEnd w:id="55"/>
      <w:bookmarkStart w:id="56" w:name="_Toc60331813"/>
      <w:bookmarkEnd w:id="56"/>
      <w:bookmarkStart w:id="57" w:name="_Toc60327055"/>
      <w:bookmarkEnd w:id="57"/>
      <w:bookmarkStart w:id="58" w:name="_Toc59034526"/>
      <w:bookmarkEnd w:id="58"/>
      <w:bookmarkStart w:id="59" w:name="_Toc59106931"/>
      <w:bookmarkEnd w:id="59"/>
      <w:bookmarkStart w:id="60" w:name="_Toc59034052"/>
      <w:bookmarkEnd w:id="60"/>
      <w:bookmarkStart w:id="61" w:name="_Toc59181144"/>
      <w:bookmarkEnd w:id="61"/>
      <w:bookmarkStart w:id="62" w:name="_Toc59181146"/>
      <w:bookmarkEnd w:id="62"/>
      <w:bookmarkStart w:id="63" w:name="_Toc59034531"/>
      <w:bookmarkEnd w:id="63"/>
      <w:bookmarkStart w:id="64" w:name="_Toc60331811"/>
      <w:bookmarkEnd w:id="64"/>
      <w:bookmarkStart w:id="65" w:name="_Toc60331808"/>
      <w:bookmarkEnd w:id="65"/>
      <w:bookmarkStart w:id="66" w:name="_Toc60327057"/>
      <w:bookmarkEnd w:id="66"/>
      <w:bookmarkStart w:id="67" w:name="_Toc59181033"/>
      <w:bookmarkEnd w:id="67"/>
      <w:bookmarkStart w:id="68" w:name="_Toc59181145"/>
      <w:bookmarkEnd w:id="68"/>
      <w:bookmarkStart w:id="69" w:name="_Toc59181257"/>
      <w:bookmarkEnd w:id="69"/>
      <w:bookmarkStart w:id="70" w:name="_Toc60331812"/>
      <w:bookmarkEnd w:id="70"/>
      <w:bookmarkStart w:id="71" w:name="_Toc59181151"/>
      <w:bookmarkEnd w:id="71"/>
      <w:bookmarkStart w:id="72" w:name="_Toc59034051"/>
      <w:bookmarkEnd w:id="72"/>
      <w:bookmarkStart w:id="73" w:name="_Toc59181149"/>
      <w:bookmarkEnd w:id="73"/>
      <w:bookmarkStart w:id="74" w:name="_Toc59181148"/>
      <w:bookmarkEnd w:id="74"/>
      <w:bookmarkStart w:id="75" w:name="_Toc59181261"/>
      <w:bookmarkEnd w:id="75"/>
      <w:bookmarkStart w:id="76" w:name="_Toc59034529"/>
      <w:bookmarkEnd w:id="76"/>
      <w:bookmarkStart w:id="77" w:name="_Toc59034046"/>
      <w:bookmarkEnd w:id="77"/>
      <w:bookmarkStart w:id="78" w:name="_Toc59181147"/>
      <w:bookmarkEnd w:id="78"/>
      <w:bookmarkStart w:id="79" w:name="_Toc59034048"/>
      <w:bookmarkEnd w:id="79"/>
      <w:bookmarkStart w:id="80" w:name="_Toc57908821"/>
      <w:bookmarkEnd w:id="80"/>
      <w:bookmarkStart w:id="81" w:name="_Toc59034530"/>
      <w:bookmarkEnd w:id="81"/>
      <w:bookmarkStart w:id="82" w:name="_Toc57908818"/>
      <w:bookmarkEnd w:id="82"/>
      <w:bookmarkStart w:id="83" w:name="_Toc57908817"/>
      <w:bookmarkEnd w:id="83"/>
      <w:bookmarkStart w:id="84" w:name="_Toc59181031"/>
      <w:bookmarkEnd w:id="84"/>
      <w:bookmarkStart w:id="85" w:name="_Toc57908823"/>
      <w:bookmarkEnd w:id="85"/>
      <w:bookmarkStart w:id="86" w:name="_Toc60327053"/>
      <w:bookmarkEnd w:id="86"/>
      <w:bookmarkStart w:id="87" w:name="_Toc59181260"/>
      <w:bookmarkEnd w:id="87"/>
      <w:bookmarkStart w:id="88" w:name="_Toc59181262"/>
      <w:bookmarkEnd w:id="88"/>
      <w:bookmarkStart w:id="89" w:name="_Toc59106935"/>
      <w:bookmarkEnd w:id="89"/>
      <w:bookmarkStart w:id="90" w:name="_Toc59034049"/>
      <w:bookmarkEnd w:id="90"/>
      <w:bookmarkStart w:id="91" w:name="_Toc59034528"/>
      <w:bookmarkEnd w:id="91"/>
      <w:bookmarkStart w:id="92" w:name="_Toc60331814"/>
      <w:bookmarkEnd w:id="92"/>
      <w:bookmarkStart w:id="93" w:name="_Toc59034047"/>
      <w:bookmarkEnd w:id="93"/>
      <w:bookmarkStart w:id="94" w:name="_Toc59181258"/>
      <w:bookmarkEnd w:id="94"/>
      <w:bookmarkStart w:id="95" w:name="_Toc59181035"/>
      <w:bookmarkEnd w:id="95"/>
      <w:bookmarkStart w:id="96" w:name="_Toc59181036"/>
      <w:bookmarkEnd w:id="96"/>
      <w:bookmarkStart w:id="97" w:name="_Toc57908822"/>
      <w:bookmarkEnd w:id="97"/>
      <w:bookmarkStart w:id="98" w:name="_Toc57908820"/>
      <w:bookmarkEnd w:id="98"/>
      <w:bookmarkStart w:id="99" w:name="_Toc59181037"/>
      <w:bookmarkEnd w:id="99"/>
      <w:bookmarkStart w:id="100" w:name="_Toc56166064"/>
      <w:bookmarkStart w:id="101" w:name="_Toc1545547013"/>
      <w:bookmarkStart w:id="102" w:name="_Toc151136879"/>
      <w:bookmarkStart w:id="103" w:name="_Toc217763486"/>
      <w:bookmarkStart w:id="104" w:name="_Toc219395517"/>
      <w:bookmarkStart w:id="105" w:name="_Toc1499579901"/>
      <w:bookmarkStart w:id="106" w:name="_Toc56166253"/>
      <w:r>
        <w:rPr>
          <w:rFonts w:hint="eastAsia" w:ascii="仿宋_GB2312" w:eastAsia="仿宋_GB2312"/>
          <w:b/>
          <w:sz w:val="30"/>
          <w:szCs w:val="30"/>
        </w:rPr>
        <w:t>债券交易业务</w:t>
      </w:r>
      <w:bookmarkEnd w:id="100"/>
      <w:bookmarkEnd w:id="101"/>
      <w:bookmarkEnd w:id="102"/>
      <w:bookmarkEnd w:id="103"/>
      <w:bookmarkEnd w:id="104"/>
      <w:bookmarkEnd w:id="105"/>
      <w:bookmarkEnd w:id="106"/>
    </w:p>
    <w:p w14:paraId="1D2DB06F">
      <w:pPr>
        <w:spacing w:line="600" w:lineRule="exact"/>
        <w:ind w:firstLine="600" w:firstLineChars="200"/>
        <w:rPr>
          <w:rFonts w:ascii="仿宋_GB2312" w:eastAsia="仿宋_GB2312"/>
          <w:sz w:val="30"/>
          <w:szCs w:val="30"/>
        </w:rPr>
      </w:pPr>
      <w:r>
        <w:rPr>
          <w:rFonts w:hint="eastAsia" w:ascii="仿宋_GB2312" w:eastAsia="仿宋_GB2312"/>
          <w:sz w:val="30"/>
          <w:szCs w:val="30"/>
        </w:rPr>
        <w:t>本所债券交易相关业务可分为交易类、融资类和风险管理类三种类型。</w:t>
      </w:r>
    </w:p>
    <w:p w14:paraId="63BEA097">
      <w:pPr>
        <w:numPr>
          <w:ilvl w:val="2"/>
          <w:numId w:val="4"/>
        </w:numPr>
        <w:spacing w:line="600" w:lineRule="exact"/>
        <w:ind w:left="0" w:firstLine="0"/>
        <w:outlineLvl w:val="2"/>
        <w:rPr>
          <w:rFonts w:ascii="仿宋_GB2312" w:eastAsia="仿宋_GB2312"/>
          <w:b/>
          <w:sz w:val="30"/>
          <w:szCs w:val="30"/>
        </w:rPr>
      </w:pPr>
      <w:bookmarkStart w:id="107" w:name="_Toc57908826"/>
      <w:r>
        <w:rPr>
          <w:rFonts w:hint="eastAsia" w:ascii="仿宋_GB2312" w:eastAsia="仿宋_GB2312"/>
          <w:b/>
          <w:sz w:val="30"/>
          <w:szCs w:val="30"/>
        </w:rPr>
        <w:t>交易类业务</w:t>
      </w:r>
      <w:bookmarkEnd w:id="107"/>
    </w:p>
    <w:p w14:paraId="6B427AE9">
      <w:pPr>
        <w:spacing w:line="600" w:lineRule="exact"/>
        <w:ind w:firstLine="600" w:firstLineChars="200"/>
        <w:rPr>
          <w:rFonts w:ascii="仿宋_GB2312" w:eastAsia="仿宋_GB2312"/>
          <w:sz w:val="30"/>
          <w:szCs w:val="30"/>
        </w:rPr>
      </w:pPr>
      <w:r>
        <w:rPr>
          <w:rFonts w:hint="eastAsia" w:ascii="仿宋_GB2312" w:eastAsia="仿宋_GB2312"/>
          <w:sz w:val="30"/>
          <w:szCs w:val="30"/>
        </w:rPr>
        <w:t>在本所开展的交易类业务包括债券现券交易和债券预发行交易。</w:t>
      </w:r>
    </w:p>
    <w:p w14:paraId="65E7E76B">
      <w:pPr>
        <w:spacing w:line="600" w:lineRule="exact"/>
        <w:ind w:firstLine="600" w:firstLineChars="200"/>
        <w:rPr>
          <w:rFonts w:ascii="仿宋_GB2312" w:eastAsia="仿宋_GB2312"/>
          <w:sz w:val="30"/>
          <w:szCs w:val="30"/>
        </w:rPr>
      </w:pPr>
      <w:r>
        <w:rPr>
          <w:rFonts w:hint="eastAsia" w:ascii="仿宋_GB2312" w:eastAsia="仿宋_GB2312"/>
          <w:sz w:val="30"/>
          <w:szCs w:val="30"/>
        </w:rPr>
        <w:t>现券交易是指交易双方以一定的价格转让债券现券产品所有权的交易行为。现券交易的交易品种包括国债、地方政府债券、政策性银行金融债券（以下简称政策性金融债）、政府支持机构债券（以下简称政府支持债券）、公司债券（如无特别说明，本指南中公司债券含企业债</w:t>
      </w:r>
      <w:r>
        <w:rPr>
          <w:rFonts w:ascii="仿宋_GB2312" w:eastAsia="仿宋_GB2312"/>
          <w:sz w:val="30"/>
          <w:szCs w:val="30"/>
        </w:rPr>
        <w:t>券、</w:t>
      </w:r>
      <w:r>
        <w:rPr>
          <w:rFonts w:hint="eastAsia" w:ascii="仿宋_GB2312" w:eastAsia="仿宋_GB2312"/>
          <w:sz w:val="30"/>
          <w:szCs w:val="30"/>
        </w:rPr>
        <w:t>可交换公司债券、非上市公司非公开发行的可转换公司债券）、资产支持证券等。针对现券交易的相关规定详见本指南第6章。</w:t>
      </w:r>
      <w:r>
        <w:rPr>
          <w:rFonts w:hint="eastAsia" w:ascii="仿宋_GB2312" w:eastAsia="仿宋_GB2312"/>
          <w:color w:val="000000"/>
          <w:sz w:val="30"/>
          <w:szCs w:val="30"/>
        </w:rPr>
        <w:t>本所对上市公司发行的可转换公司债券的交易</w:t>
      </w:r>
      <w:r>
        <w:rPr>
          <w:rFonts w:ascii="仿宋_GB2312" w:eastAsia="仿宋_GB2312"/>
          <w:color w:val="000000"/>
          <w:sz w:val="30"/>
          <w:szCs w:val="30"/>
        </w:rPr>
        <w:t>另有规定的</w:t>
      </w:r>
      <w:r>
        <w:rPr>
          <w:rFonts w:hint="eastAsia" w:ascii="仿宋_GB2312" w:eastAsia="仿宋_GB2312"/>
          <w:color w:val="000000"/>
          <w:sz w:val="30"/>
          <w:szCs w:val="30"/>
        </w:rPr>
        <w:t>，</w:t>
      </w:r>
      <w:r>
        <w:rPr>
          <w:rFonts w:ascii="仿宋_GB2312" w:eastAsia="仿宋_GB2312"/>
          <w:color w:val="000000"/>
          <w:sz w:val="30"/>
          <w:szCs w:val="30"/>
        </w:rPr>
        <w:t>从其规定</w:t>
      </w:r>
      <w:r>
        <w:rPr>
          <w:rFonts w:hint="eastAsia" w:ascii="仿宋_GB2312" w:eastAsia="仿宋_GB2312"/>
          <w:color w:val="000000"/>
          <w:sz w:val="30"/>
          <w:szCs w:val="30"/>
        </w:rPr>
        <w:t>。</w:t>
      </w:r>
    </w:p>
    <w:p w14:paraId="69C248B7">
      <w:pPr>
        <w:spacing w:line="600" w:lineRule="exact"/>
        <w:ind w:firstLine="600" w:firstLineChars="200"/>
        <w:rPr>
          <w:rFonts w:ascii="仿宋_GB2312" w:eastAsia="仿宋_GB2312"/>
          <w:sz w:val="30"/>
          <w:szCs w:val="30"/>
        </w:rPr>
      </w:pPr>
      <w:r>
        <w:rPr>
          <w:rFonts w:hint="eastAsia" w:ascii="仿宋_GB2312" w:eastAsia="仿宋_GB2312"/>
          <w:sz w:val="30"/>
          <w:szCs w:val="30"/>
        </w:rPr>
        <w:t>债券预发行交易是指在债券发行前特定期间进行交易并在债券发行完成后进行交收的债券交易行为。其中，国债预发行交易，是指在关键期限（1、3、5、7、10年期）的记账式国债招标日前特定期间进行交易，并在国债招标完成后进行交收的债券买卖行为。针对国债预发行交易的相关规定详见本指南第8章。</w:t>
      </w:r>
    </w:p>
    <w:p w14:paraId="6B907C03">
      <w:pPr>
        <w:numPr>
          <w:ilvl w:val="2"/>
          <w:numId w:val="4"/>
        </w:numPr>
        <w:spacing w:line="600" w:lineRule="exact"/>
        <w:ind w:left="0" w:firstLine="0"/>
        <w:outlineLvl w:val="2"/>
        <w:rPr>
          <w:rFonts w:ascii="仿宋_GB2312" w:eastAsia="仿宋_GB2312"/>
          <w:b/>
          <w:sz w:val="30"/>
          <w:szCs w:val="30"/>
        </w:rPr>
      </w:pPr>
      <w:bookmarkStart w:id="108" w:name="_Toc57908827"/>
      <w:r>
        <w:rPr>
          <w:rFonts w:hint="eastAsia" w:ascii="仿宋_GB2312" w:eastAsia="仿宋_GB2312"/>
          <w:b/>
          <w:sz w:val="30"/>
          <w:szCs w:val="30"/>
        </w:rPr>
        <w:t>融资类业务</w:t>
      </w:r>
      <w:bookmarkEnd w:id="108"/>
    </w:p>
    <w:p w14:paraId="091BCA45">
      <w:pPr>
        <w:spacing w:line="600" w:lineRule="exact"/>
        <w:ind w:firstLine="600" w:firstLineChars="200"/>
        <w:rPr>
          <w:rFonts w:ascii="仿宋_GB2312" w:eastAsia="仿宋_GB2312"/>
          <w:sz w:val="30"/>
          <w:szCs w:val="30"/>
        </w:rPr>
      </w:pPr>
      <w:r>
        <w:rPr>
          <w:rFonts w:hint="eastAsia" w:ascii="仿宋_GB2312" w:eastAsia="仿宋_GB2312"/>
          <w:sz w:val="30"/>
          <w:szCs w:val="30"/>
        </w:rPr>
        <w:t>在本所开展的融资类业务包括通用回购交易、协议回购交易、三方回购交易、债券借贷业务等。</w:t>
      </w:r>
    </w:p>
    <w:p w14:paraId="3D99384A">
      <w:pPr>
        <w:spacing w:line="60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通用回购交易指资金融入方将符合要求的债券申报质押，以相应折算率计算出的质押券价值为融资额度进行质押融资，交易双方约定在回购期满后返还资金同时解除债券质押的交易。通用</w:t>
      </w:r>
      <w:r>
        <w:rPr>
          <w:rFonts w:ascii="仿宋_GB2312" w:eastAsia="仿宋_GB2312"/>
          <w:color w:val="000000"/>
          <w:sz w:val="30"/>
          <w:szCs w:val="30"/>
        </w:rPr>
        <w:t>回购</w:t>
      </w:r>
      <w:r>
        <w:rPr>
          <w:rFonts w:hint="eastAsia" w:ascii="仿宋_GB2312" w:eastAsia="仿宋_GB2312"/>
          <w:color w:val="000000"/>
          <w:sz w:val="30"/>
          <w:szCs w:val="30"/>
        </w:rPr>
        <w:t>由登记结算机构进行质押券集中管理并作为中央对手方组织集中清算交收。通用回购交易相关规定详见本指南第7章。</w:t>
      </w:r>
    </w:p>
    <w:p w14:paraId="2DBD57C5">
      <w:pPr>
        <w:pStyle w:val="90"/>
        <w:spacing w:line="600" w:lineRule="exact"/>
        <w:ind w:firstLineChars="0"/>
        <w:rPr>
          <w:color w:val="000000"/>
          <w:sz w:val="30"/>
          <w:szCs w:val="30"/>
        </w:rPr>
      </w:pPr>
      <w:r>
        <w:rPr>
          <w:rFonts w:hint="eastAsia"/>
          <w:color w:val="000000"/>
          <w:sz w:val="30"/>
          <w:szCs w:val="30"/>
        </w:rPr>
        <w:t>协议回购交易是指回购双方自主协商约定，由资金融入方将债券出质给资金融出方融入资金，并在未来返还资金和支付回购利息，同时解除债券质押登记的交易。协议回购交易相关规定详见本指南第7章。</w:t>
      </w:r>
    </w:p>
    <w:p w14:paraId="1F63344F">
      <w:pPr>
        <w:spacing w:line="60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三方回购交易是指资金融入方将债券出质给资金融出方以融入资金，约定在未来返还资金和支付回购利息，同时解除债券质押，并由本所、证券登记结算机构等根据相关规定提供相关的担保品管理服务的交易。三方回购交易相关规定详见本指南第7章。</w:t>
      </w:r>
    </w:p>
    <w:p w14:paraId="49378639">
      <w:pPr>
        <w:pStyle w:val="90"/>
        <w:spacing w:line="600" w:lineRule="exact"/>
        <w:ind w:firstLine="600"/>
        <w:rPr>
          <w:color w:val="000000"/>
          <w:sz w:val="30"/>
          <w:szCs w:val="30"/>
        </w:rPr>
      </w:pPr>
      <w:r>
        <w:rPr>
          <w:rFonts w:hint="eastAsia"/>
          <w:color w:val="000000"/>
          <w:sz w:val="30"/>
          <w:szCs w:val="30"/>
        </w:rPr>
        <w:t>债券借贷业务</w:t>
      </w:r>
      <w:r>
        <w:rPr>
          <w:rFonts w:hint="eastAsia"/>
          <w:color w:val="000000"/>
          <w:sz w:val="30"/>
          <w:szCs w:val="30"/>
          <w:shd w:val="clear" w:color="auto" w:fill="FFFFFF"/>
        </w:rPr>
        <w:t>是指债券借贷双方自主协商约定，由债券借入方以一定数量的债券设定质押，从债券借出方借入标的债券，同时约定在未来特定日期归还标的债券和支付债券借贷费用，并解除出质债券质押登记的行为。</w:t>
      </w:r>
      <w:r>
        <w:rPr>
          <w:rFonts w:hint="eastAsia"/>
          <w:color w:val="000000"/>
          <w:sz w:val="30"/>
          <w:szCs w:val="30"/>
        </w:rPr>
        <w:t>债券借贷业务相关规定详见本指南第8章。</w:t>
      </w:r>
    </w:p>
    <w:p w14:paraId="508545C0">
      <w:pPr>
        <w:numPr>
          <w:ilvl w:val="2"/>
          <w:numId w:val="4"/>
        </w:numPr>
        <w:spacing w:line="600" w:lineRule="exact"/>
        <w:ind w:left="0" w:firstLine="0"/>
        <w:outlineLvl w:val="2"/>
        <w:rPr>
          <w:rFonts w:ascii="仿宋_GB2312" w:eastAsia="仿宋_GB2312"/>
          <w:b/>
          <w:sz w:val="30"/>
          <w:szCs w:val="30"/>
        </w:rPr>
      </w:pPr>
      <w:bookmarkStart w:id="109" w:name="_Toc57908828"/>
      <w:r>
        <w:rPr>
          <w:rFonts w:hint="eastAsia" w:ascii="仿宋_GB2312" w:eastAsia="仿宋_GB2312"/>
          <w:b/>
          <w:sz w:val="30"/>
          <w:szCs w:val="30"/>
        </w:rPr>
        <w:t>风险管理类业务</w:t>
      </w:r>
      <w:bookmarkEnd w:id="109"/>
    </w:p>
    <w:p w14:paraId="2D1A9899">
      <w:pPr>
        <w:pStyle w:val="90"/>
        <w:spacing w:line="600" w:lineRule="exact"/>
        <w:ind w:firstLine="600"/>
        <w:rPr>
          <w:color w:val="000000"/>
          <w:sz w:val="30"/>
        </w:rPr>
      </w:pPr>
      <w:r>
        <w:rPr>
          <w:rFonts w:hint="eastAsia"/>
          <w:color w:val="000000"/>
          <w:sz w:val="30"/>
        </w:rPr>
        <w:t>在本所开展的风险管理类业务包括信用保护工具等。信用保护工具是指信用保护卖方和信用保护买方达成的，约定在未来一定期限内，信用保护买方按照约定的标准和方式向信用保护卖方支付信用保护费用，由卖方就约定的一个或多个参考实体或其符合特定债务种类和债务特征的一个或多个、一类或多类债务向买方提供信用风险保护的金融工具。信用保护工具</w:t>
      </w:r>
      <w:r>
        <w:rPr>
          <w:rFonts w:hint="eastAsia"/>
          <w:color w:val="000000"/>
          <w:sz w:val="30"/>
          <w:szCs w:val="30"/>
        </w:rPr>
        <w:t>相关规定详见本指南第8章。</w:t>
      </w:r>
    </w:p>
    <w:p w14:paraId="46593139">
      <w:pPr>
        <w:numPr>
          <w:ilvl w:val="1"/>
          <w:numId w:val="4"/>
        </w:numPr>
        <w:spacing w:line="600" w:lineRule="exact"/>
        <w:ind w:left="0" w:firstLine="0"/>
        <w:outlineLvl w:val="1"/>
        <w:rPr>
          <w:rFonts w:ascii="仿宋_GB2312" w:eastAsia="仿宋_GB2312"/>
          <w:b/>
          <w:sz w:val="30"/>
          <w:szCs w:val="30"/>
        </w:rPr>
      </w:pPr>
      <w:bookmarkStart w:id="110" w:name="_Toc1354729299"/>
      <w:bookmarkStart w:id="111" w:name="_Toc1136521923"/>
      <w:bookmarkStart w:id="112" w:name="_Toc1498934820"/>
      <w:bookmarkStart w:id="113" w:name="_Toc151136880"/>
      <w:bookmarkStart w:id="114" w:name="_Toc610874768"/>
      <w:r>
        <w:rPr>
          <w:rFonts w:hint="eastAsia" w:ascii="仿宋_GB2312" w:eastAsia="仿宋_GB2312"/>
          <w:b/>
          <w:sz w:val="30"/>
          <w:szCs w:val="30"/>
        </w:rPr>
        <w:t>债券投资者</w:t>
      </w:r>
      <w:bookmarkEnd w:id="110"/>
      <w:bookmarkEnd w:id="111"/>
      <w:bookmarkEnd w:id="112"/>
      <w:bookmarkEnd w:id="113"/>
      <w:bookmarkEnd w:id="114"/>
    </w:p>
    <w:p w14:paraId="44093AF1">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债券投资者类别</w:t>
      </w:r>
    </w:p>
    <w:p w14:paraId="59210951">
      <w:pPr>
        <w:pStyle w:val="90"/>
        <w:spacing w:line="600" w:lineRule="exact"/>
        <w:ind w:firstLine="600"/>
        <w:rPr>
          <w:rFonts w:hAnsi="宋体" w:cs="宋体"/>
          <w:sz w:val="30"/>
          <w:szCs w:val="30"/>
          <w:lang w:bidi="en-US"/>
        </w:rPr>
      </w:pPr>
      <w:r>
        <w:rPr>
          <w:rFonts w:hint="eastAsia"/>
          <w:sz w:val="30"/>
          <w:szCs w:val="30"/>
        </w:rPr>
        <w:t>债券投资者包括债券交易参与人与其他债券投资者（即经纪客户）两类。债券交易参与人是指直接参与本所债券市场的债券投资者</w:t>
      </w:r>
      <w:r>
        <w:rPr>
          <w:rFonts w:hint="eastAsia" w:hAnsi="Times New Roman"/>
          <w:color w:val="000000"/>
          <w:sz w:val="30"/>
          <w:szCs w:val="30"/>
        </w:rPr>
        <w:t>。</w:t>
      </w:r>
      <w:r>
        <w:rPr>
          <w:rFonts w:hint="eastAsia" w:hAnsi="宋体" w:cs="宋体"/>
          <w:sz w:val="30"/>
          <w:szCs w:val="30"/>
          <w:lang w:bidi="en-US"/>
        </w:rPr>
        <w:t>经纪客户是指通过</w:t>
      </w:r>
      <w:r>
        <w:rPr>
          <w:rFonts w:hint="eastAsia"/>
          <w:sz w:val="30"/>
          <w:szCs w:val="30"/>
        </w:rPr>
        <w:t>委托本所会员的方式参与本所债券市场的债券投资者</w:t>
      </w:r>
      <w:r>
        <w:rPr>
          <w:rFonts w:hint="eastAsia" w:hAnsi="宋体" w:cs="宋体"/>
          <w:sz w:val="30"/>
          <w:szCs w:val="30"/>
          <w:lang w:bidi="en-US"/>
        </w:rPr>
        <w:t>。</w:t>
      </w:r>
    </w:p>
    <w:p w14:paraId="09C59F11">
      <w:pPr>
        <w:pStyle w:val="90"/>
        <w:spacing w:line="600" w:lineRule="exact"/>
        <w:ind w:firstLine="600"/>
        <w:rPr>
          <w:rFonts w:hAnsi="宋体" w:cs="宋体"/>
          <w:sz w:val="30"/>
          <w:szCs w:val="30"/>
          <w:lang w:bidi="en-US"/>
        </w:rPr>
      </w:pPr>
      <w:r>
        <w:rPr>
          <w:rFonts w:hint="eastAsia" w:hAnsi="宋体" w:cs="宋体"/>
          <w:sz w:val="30"/>
          <w:szCs w:val="30"/>
          <w:lang w:bidi="en-US"/>
        </w:rPr>
        <w:t>债券交易参与人相关规定详见本指南第2章。经纪客户相关规定详见本指南第3章。</w:t>
      </w:r>
    </w:p>
    <w:p w14:paraId="26C13A56">
      <w:pPr>
        <w:numPr>
          <w:ilvl w:val="2"/>
          <w:numId w:val="4"/>
        </w:numPr>
        <w:spacing w:line="600" w:lineRule="exact"/>
        <w:ind w:left="0" w:firstLine="0"/>
        <w:outlineLvl w:val="2"/>
        <w:rPr>
          <w:rFonts w:ascii="仿宋_GB2312" w:eastAsia="仿宋_GB2312"/>
          <w:b/>
          <w:sz w:val="30"/>
          <w:szCs w:val="30"/>
        </w:rPr>
      </w:pPr>
      <w:bookmarkStart w:id="115" w:name="_Toc57908834"/>
      <w:bookmarkEnd w:id="115"/>
      <w:bookmarkStart w:id="116" w:name="_Toc57908835"/>
      <w:bookmarkEnd w:id="116"/>
      <w:bookmarkStart w:id="117" w:name="_Toc57908833"/>
      <w:bookmarkEnd w:id="117"/>
      <w:bookmarkStart w:id="118" w:name="_Toc57908840"/>
      <w:bookmarkEnd w:id="118"/>
      <w:bookmarkStart w:id="119" w:name="_Toc57908847"/>
      <w:bookmarkEnd w:id="119"/>
      <w:bookmarkStart w:id="120" w:name="_Toc57908843"/>
      <w:bookmarkEnd w:id="120"/>
      <w:bookmarkStart w:id="121" w:name="_Toc57908845"/>
      <w:bookmarkEnd w:id="121"/>
      <w:bookmarkStart w:id="122" w:name="_Toc57908846"/>
      <w:bookmarkEnd w:id="122"/>
      <w:bookmarkStart w:id="123" w:name="_Toc57908836"/>
      <w:bookmarkEnd w:id="123"/>
      <w:bookmarkStart w:id="124" w:name="_Toc57908848"/>
      <w:bookmarkEnd w:id="124"/>
      <w:bookmarkStart w:id="125" w:name="_Toc57908849"/>
      <w:bookmarkEnd w:id="125"/>
      <w:bookmarkStart w:id="126" w:name="_Toc57908832"/>
      <w:bookmarkEnd w:id="126"/>
      <w:bookmarkStart w:id="127" w:name="_Toc57908844"/>
      <w:bookmarkEnd w:id="127"/>
      <w:bookmarkStart w:id="128" w:name="_Toc57908850"/>
      <w:bookmarkEnd w:id="128"/>
      <w:bookmarkStart w:id="129" w:name="_Toc57908841"/>
      <w:bookmarkEnd w:id="129"/>
      <w:bookmarkStart w:id="130" w:name="_Toc57908837"/>
      <w:bookmarkEnd w:id="130"/>
      <w:bookmarkStart w:id="131" w:name="_Toc57908838"/>
      <w:bookmarkEnd w:id="131"/>
      <w:bookmarkStart w:id="132" w:name="_Toc57908842"/>
      <w:bookmarkEnd w:id="132"/>
      <w:bookmarkStart w:id="133" w:name="_Toc57908839"/>
      <w:bookmarkEnd w:id="133"/>
      <w:r>
        <w:rPr>
          <w:rFonts w:hint="eastAsia" w:ascii="仿宋_GB2312" w:eastAsia="仿宋_GB2312"/>
          <w:b/>
          <w:sz w:val="30"/>
          <w:szCs w:val="30"/>
        </w:rPr>
        <w:t>投资者适当性</w:t>
      </w:r>
    </w:p>
    <w:p w14:paraId="0F461B1E">
      <w:pPr>
        <w:spacing w:line="600" w:lineRule="exact"/>
        <w:ind w:firstLine="600" w:firstLineChars="200"/>
        <w:rPr>
          <w:rFonts w:ascii="仿宋_GB2312" w:hAnsi="黑体" w:eastAsia="仿宋_GB2312"/>
          <w:sz w:val="30"/>
          <w:szCs w:val="30"/>
        </w:rPr>
      </w:pPr>
      <w:r>
        <w:rPr>
          <w:rFonts w:hint="eastAsia" w:ascii="仿宋_GB2312" w:hAnsi="黑体" w:eastAsia="仿宋_GB2312"/>
          <w:sz w:val="30"/>
          <w:szCs w:val="30"/>
        </w:rPr>
        <w:t>本所债券市场实行投资者适当性管理制度。投资者适当性相关规定和具体要求，详见本指南第3章。</w:t>
      </w:r>
    </w:p>
    <w:p w14:paraId="6271D58A">
      <w:pPr>
        <w:numPr>
          <w:ilvl w:val="1"/>
          <w:numId w:val="4"/>
        </w:numPr>
        <w:spacing w:line="600" w:lineRule="exact"/>
        <w:ind w:left="0" w:firstLine="0"/>
        <w:outlineLvl w:val="1"/>
        <w:rPr>
          <w:rFonts w:ascii="仿宋_GB2312" w:eastAsia="仿宋_GB2312"/>
          <w:b/>
          <w:sz w:val="30"/>
          <w:szCs w:val="30"/>
        </w:rPr>
      </w:pPr>
      <w:bookmarkStart w:id="134" w:name="_Toc59106943"/>
      <w:bookmarkEnd w:id="134"/>
      <w:bookmarkStart w:id="135" w:name="_Toc59181266"/>
      <w:bookmarkEnd w:id="135"/>
      <w:bookmarkStart w:id="136" w:name="_Toc59181155"/>
      <w:bookmarkEnd w:id="136"/>
      <w:bookmarkStart w:id="137" w:name="_Toc60327062"/>
      <w:bookmarkEnd w:id="137"/>
      <w:bookmarkStart w:id="138" w:name="_Toc59034541"/>
      <w:bookmarkEnd w:id="138"/>
      <w:bookmarkStart w:id="139" w:name="_Toc59034056"/>
      <w:bookmarkEnd w:id="139"/>
      <w:bookmarkStart w:id="140" w:name="_Toc59181157"/>
      <w:bookmarkEnd w:id="140"/>
      <w:bookmarkStart w:id="141" w:name="_Toc60331823"/>
      <w:bookmarkEnd w:id="141"/>
      <w:bookmarkStart w:id="142" w:name="_Toc59181271"/>
      <w:bookmarkEnd w:id="142"/>
      <w:bookmarkStart w:id="143" w:name="_Toc60331817"/>
      <w:bookmarkEnd w:id="143"/>
      <w:bookmarkStart w:id="144" w:name="_Toc59034061"/>
      <w:bookmarkEnd w:id="144"/>
      <w:bookmarkStart w:id="145" w:name="_Toc59106945"/>
      <w:bookmarkEnd w:id="145"/>
      <w:bookmarkStart w:id="146" w:name="_Toc59034536"/>
      <w:bookmarkEnd w:id="146"/>
      <w:bookmarkStart w:id="147" w:name="_Toc59181045"/>
      <w:bookmarkEnd w:id="147"/>
      <w:bookmarkStart w:id="148" w:name="_Toc59034535"/>
      <w:bookmarkEnd w:id="148"/>
      <w:bookmarkStart w:id="149" w:name="_Toc59181159"/>
      <w:bookmarkEnd w:id="149"/>
      <w:bookmarkStart w:id="150" w:name="_Toc59181042"/>
      <w:bookmarkEnd w:id="150"/>
      <w:bookmarkStart w:id="151" w:name="_Toc59181268"/>
      <w:bookmarkEnd w:id="151"/>
      <w:bookmarkStart w:id="152" w:name="_Toc59034059"/>
      <w:bookmarkEnd w:id="152"/>
      <w:bookmarkStart w:id="153" w:name="_Toc59181270"/>
      <w:bookmarkEnd w:id="153"/>
      <w:bookmarkStart w:id="154" w:name="_Toc59181040"/>
      <w:bookmarkEnd w:id="154"/>
      <w:bookmarkStart w:id="155" w:name="_Toc59034537"/>
      <w:bookmarkEnd w:id="155"/>
      <w:bookmarkStart w:id="156" w:name="_Toc59034060"/>
      <w:bookmarkEnd w:id="156"/>
      <w:bookmarkStart w:id="157" w:name="_Toc59181041"/>
      <w:bookmarkEnd w:id="157"/>
      <w:bookmarkStart w:id="158" w:name="_Toc59181160"/>
      <w:bookmarkEnd w:id="158"/>
      <w:bookmarkStart w:id="159" w:name="_Toc60331819"/>
      <w:bookmarkEnd w:id="159"/>
      <w:bookmarkStart w:id="160" w:name="_Toc60331818"/>
      <w:bookmarkEnd w:id="160"/>
      <w:bookmarkStart w:id="161" w:name="_Toc59181272"/>
      <w:bookmarkEnd w:id="161"/>
      <w:bookmarkStart w:id="162" w:name="_Toc59181044"/>
      <w:bookmarkEnd w:id="162"/>
      <w:bookmarkStart w:id="163" w:name="_Toc59034058"/>
      <w:bookmarkEnd w:id="163"/>
      <w:bookmarkStart w:id="164" w:name="_Toc59181158"/>
      <w:bookmarkEnd w:id="164"/>
      <w:bookmarkStart w:id="165" w:name="_Toc59034538"/>
      <w:bookmarkEnd w:id="165"/>
      <w:bookmarkStart w:id="166" w:name="_Toc60327061"/>
      <w:bookmarkEnd w:id="166"/>
      <w:bookmarkStart w:id="167" w:name="_Toc59181156"/>
      <w:bookmarkEnd w:id="167"/>
      <w:bookmarkStart w:id="168" w:name="_Toc59034062"/>
      <w:bookmarkEnd w:id="168"/>
      <w:bookmarkStart w:id="169" w:name="_Toc60327064"/>
      <w:bookmarkEnd w:id="169"/>
      <w:bookmarkStart w:id="170" w:name="_Toc59181154"/>
      <w:bookmarkEnd w:id="170"/>
      <w:bookmarkStart w:id="171" w:name="_Toc59106941"/>
      <w:bookmarkEnd w:id="171"/>
      <w:bookmarkStart w:id="172" w:name="_Toc59106942"/>
      <w:bookmarkEnd w:id="172"/>
      <w:bookmarkStart w:id="173" w:name="_Toc59106944"/>
      <w:bookmarkEnd w:id="173"/>
      <w:bookmarkStart w:id="174" w:name="_Toc59034057"/>
      <w:bookmarkEnd w:id="174"/>
      <w:bookmarkStart w:id="175" w:name="_Toc59034539"/>
      <w:bookmarkEnd w:id="175"/>
      <w:bookmarkStart w:id="176" w:name="_Toc59034540"/>
      <w:bookmarkEnd w:id="176"/>
      <w:bookmarkStart w:id="177" w:name="_Toc59181267"/>
      <w:bookmarkEnd w:id="177"/>
      <w:bookmarkStart w:id="178" w:name="_Toc60331820"/>
      <w:bookmarkEnd w:id="178"/>
      <w:bookmarkStart w:id="179" w:name="_Toc59181043"/>
      <w:bookmarkEnd w:id="179"/>
      <w:bookmarkStart w:id="180" w:name="_Toc60327065"/>
      <w:bookmarkEnd w:id="180"/>
      <w:bookmarkStart w:id="181" w:name="_Toc59181269"/>
      <w:bookmarkEnd w:id="181"/>
      <w:bookmarkStart w:id="182" w:name="_Toc59106939"/>
      <w:bookmarkEnd w:id="182"/>
      <w:bookmarkStart w:id="183" w:name="_Toc59106940"/>
      <w:bookmarkEnd w:id="183"/>
      <w:bookmarkStart w:id="184" w:name="_Toc60327063"/>
      <w:bookmarkEnd w:id="184"/>
      <w:bookmarkStart w:id="185" w:name="_Toc60331822"/>
      <w:bookmarkEnd w:id="185"/>
      <w:bookmarkStart w:id="186" w:name="_Toc59181046"/>
      <w:bookmarkEnd w:id="186"/>
      <w:bookmarkStart w:id="187" w:name="_Toc60327060"/>
      <w:bookmarkEnd w:id="187"/>
      <w:bookmarkStart w:id="188" w:name="_Toc60327066"/>
      <w:bookmarkEnd w:id="188"/>
      <w:bookmarkStart w:id="189" w:name="_Toc60331821"/>
      <w:bookmarkEnd w:id="189"/>
      <w:bookmarkStart w:id="190" w:name="_Toc151136881"/>
      <w:bookmarkStart w:id="191" w:name="_Toc1056298384"/>
      <w:bookmarkStart w:id="192" w:name="_Toc1756656732"/>
      <w:bookmarkStart w:id="193" w:name="_Toc1310201848"/>
      <w:bookmarkStart w:id="194" w:name="_Toc341922321"/>
      <w:r>
        <w:rPr>
          <w:rFonts w:hint="eastAsia" w:ascii="仿宋_GB2312" w:eastAsia="仿宋_GB2312"/>
          <w:b/>
          <w:sz w:val="30"/>
          <w:szCs w:val="30"/>
        </w:rPr>
        <w:t>参与方式</w:t>
      </w:r>
      <w:bookmarkEnd w:id="190"/>
      <w:bookmarkEnd w:id="191"/>
      <w:bookmarkEnd w:id="192"/>
      <w:bookmarkEnd w:id="193"/>
      <w:bookmarkEnd w:id="194"/>
    </w:p>
    <w:p w14:paraId="5F1421E3">
      <w:pPr>
        <w:numPr>
          <w:ilvl w:val="2"/>
          <w:numId w:val="4"/>
        </w:numPr>
        <w:spacing w:line="600" w:lineRule="exact"/>
        <w:ind w:left="0" w:firstLine="0"/>
        <w:outlineLvl w:val="2"/>
        <w:rPr>
          <w:rFonts w:ascii="仿宋_GB2312" w:eastAsia="仿宋_GB2312"/>
          <w:b/>
          <w:sz w:val="30"/>
          <w:szCs w:val="30"/>
        </w:rPr>
      </w:pPr>
      <w:bookmarkStart w:id="195" w:name="_Toc57908853"/>
      <w:r>
        <w:rPr>
          <w:rFonts w:hint="eastAsia" w:ascii="仿宋_GB2312" w:eastAsia="仿宋_GB2312"/>
          <w:b/>
          <w:sz w:val="30"/>
          <w:szCs w:val="30"/>
        </w:rPr>
        <w:t>交易参与</w:t>
      </w:r>
      <w:bookmarkEnd w:id="195"/>
    </w:p>
    <w:p w14:paraId="4782D45A">
      <w:pPr>
        <w:spacing w:line="600" w:lineRule="exact"/>
        <w:ind w:firstLine="600"/>
        <w:rPr>
          <w:rFonts w:ascii="仿宋_GB2312" w:eastAsia="仿宋_GB2312"/>
          <w:sz w:val="30"/>
          <w:szCs w:val="30"/>
        </w:rPr>
      </w:pPr>
      <w:r>
        <w:rPr>
          <w:rFonts w:hint="eastAsia" w:ascii="仿宋_GB2312" w:eastAsia="仿宋_GB2312"/>
          <w:sz w:val="30"/>
          <w:szCs w:val="30"/>
        </w:rPr>
        <w:t>本所债券市场交易参与方式分为两种，一是直接入场方式，债券投资者以债券交易参与人身份直接进入本所债券市场进行交易；二是间接入场方式，债券投资者作为经纪客户通过委托具有本所会员资格的证券公司接入本所债券市场进行交易。</w:t>
      </w:r>
    </w:p>
    <w:p w14:paraId="10559052">
      <w:pPr>
        <w:spacing w:line="600" w:lineRule="exact"/>
        <w:ind w:firstLine="600"/>
        <w:rPr>
          <w:rFonts w:ascii="仿宋_GB2312" w:eastAsia="仿宋_GB2312"/>
          <w:sz w:val="30"/>
          <w:szCs w:val="30"/>
        </w:rPr>
      </w:pPr>
      <w:r>
        <w:rPr>
          <w:rFonts w:hint="eastAsia" w:ascii="仿宋_GB2312" w:eastAsia="仿宋_GB2312"/>
          <w:sz w:val="30"/>
          <w:szCs w:val="30"/>
        </w:rPr>
        <w:t>债券交易参与人申请条件及参与流程，详见本指南第2章相关规定。</w:t>
      </w:r>
    </w:p>
    <w:p w14:paraId="1B4BA56E">
      <w:pPr>
        <w:spacing w:line="600" w:lineRule="exact"/>
        <w:ind w:firstLine="600"/>
        <w:rPr>
          <w:rFonts w:ascii="仿宋_GB2312" w:hAnsi="宋体" w:eastAsia="仿宋_GB2312" w:cs="宋体"/>
          <w:kern w:val="0"/>
          <w:sz w:val="30"/>
          <w:szCs w:val="30"/>
          <w:lang w:bidi="en-US"/>
        </w:rPr>
      </w:pPr>
      <w:r>
        <w:rPr>
          <w:rFonts w:hint="eastAsia" w:ascii="仿宋_GB2312" w:hAnsi="宋体" w:eastAsia="仿宋_GB2312" w:cs="宋体"/>
          <w:kern w:val="0"/>
          <w:sz w:val="30"/>
          <w:szCs w:val="30"/>
          <w:lang w:bidi="en-US"/>
        </w:rPr>
        <w:t>经纪客户参与本所债券交易的要求与流程，详见本指南第3章</w:t>
      </w:r>
      <w:r>
        <w:rPr>
          <w:rFonts w:hint="eastAsia" w:ascii="仿宋_GB2312" w:eastAsia="仿宋_GB2312"/>
          <w:sz w:val="30"/>
          <w:szCs w:val="30"/>
        </w:rPr>
        <w:t>相关规定</w:t>
      </w:r>
      <w:r>
        <w:rPr>
          <w:rFonts w:hint="eastAsia" w:ascii="仿宋_GB2312" w:hAnsi="宋体" w:eastAsia="仿宋_GB2312" w:cs="宋体"/>
          <w:kern w:val="0"/>
          <w:sz w:val="30"/>
          <w:szCs w:val="30"/>
          <w:lang w:bidi="en-US"/>
        </w:rPr>
        <w:t>。</w:t>
      </w:r>
    </w:p>
    <w:p w14:paraId="0CCC047A">
      <w:pPr>
        <w:numPr>
          <w:ilvl w:val="2"/>
          <w:numId w:val="4"/>
        </w:numPr>
        <w:spacing w:line="600" w:lineRule="exact"/>
        <w:ind w:left="0" w:firstLine="0"/>
        <w:outlineLvl w:val="2"/>
        <w:rPr>
          <w:rFonts w:ascii="仿宋_GB2312" w:eastAsia="仿宋_GB2312"/>
          <w:b/>
          <w:sz w:val="30"/>
          <w:szCs w:val="30"/>
        </w:rPr>
      </w:pPr>
      <w:bookmarkStart w:id="196" w:name="_Toc57908854"/>
      <w:r>
        <w:rPr>
          <w:rFonts w:ascii="仿宋_GB2312" w:eastAsia="仿宋_GB2312"/>
          <w:b/>
          <w:sz w:val="30"/>
          <w:szCs w:val="30"/>
        </w:rPr>
        <w:t>结算</w:t>
      </w:r>
      <w:r>
        <w:rPr>
          <w:rFonts w:hint="eastAsia" w:ascii="仿宋_GB2312" w:eastAsia="仿宋_GB2312"/>
          <w:b/>
          <w:sz w:val="30"/>
          <w:szCs w:val="30"/>
        </w:rPr>
        <w:t>参与</w:t>
      </w:r>
      <w:bookmarkEnd w:id="196"/>
    </w:p>
    <w:p w14:paraId="141FDFF9">
      <w:pPr>
        <w:spacing w:line="600" w:lineRule="exact"/>
        <w:ind w:firstLine="600"/>
        <w:rPr>
          <w:rFonts w:ascii="仿宋_GB2312" w:eastAsia="仿宋_GB2312"/>
          <w:sz w:val="30"/>
          <w:szCs w:val="30"/>
        </w:rPr>
      </w:pPr>
      <w:r>
        <w:rPr>
          <w:rFonts w:hint="eastAsia" w:ascii="仿宋_GB2312" w:eastAsia="仿宋_GB2312"/>
          <w:sz w:val="30"/>
          <w:szCs w:val="30"/>
        </w:rPr>
        <w:t>债券交易的结算，由登记结算机构按照相关规则办理。债券</w:t>
      </w:r>
      <w:r>
        <w:rPr>
          <w:rFonts w:ascii="仿宋_GB2312" w:eastAsia="仿宋_GB2312"/>
          <w:sz w:val="30"/>
          <w:szCs w:val="30"/>
        </w:rPr>
        <w:t>投资者</w:t>
      </w:r>
      <w:r>
        <w:rPr>
          <w:rFonts w:hint="eastAsia" w:ascii="仿宋_GB2312" w:eastAsia="仿宋_GB2312"/>
          <w:sz w:val="30"/>
          <w:szCs w:val="30"/>
        </w:rPr>
        <w:t>可通过直接结算、托管人结算和券商结算三种方式</w:t>
      </w:r>
      <w:r>
        <w:rPr>
          <w:rFonts w:ascii="仿宋_GB2312" w:eastAsia="仿宋_GB2312"/>
          <w:sz w:val="30"/>
          <w:szCs w:val="30"/>
        </w:rPr>
        <w:t>参与</w:t>
      </w:r>
      <w:r>
        <w:rPr>
          <w:rFonts w:hint="eastAsia" w:ascii="仿宋_GB2312" w:eastAsia="仿宋_GB2312"/>
          <w:sz w:val="30"/>
          <w:szCs w:val="30"/>
        </w:rPr>
        <w:t>结算。</w:t>
      </w:r>
    </w:p>
    <w:p w14:paraId="7187DA82">
      <w:pPr>
        <w:spacing w:line="600" w:lineRule="exact"/>
        <w:ind w:firstLine="600"/>
        <w:rPr>
          <w:rFonts w:ascii="仿宋_GB2312" w:eastAsia="仿宋_GB2312"/>
          <w:sz w:val="30"/>
          <w:szCs w:val="30"/>
        </w:rPr>
      </w:pPr>
      <w:r>
        <w:rPr>
          <w:rFonts w:hint="eastAsia" w:ascii="仿宋_GB2312" w:eastAsia="仿宋_GB2312"/>
          <w:sz w:val="30"/>
          <w:szCs w:val="30"/>
        </w:rPr>
        <w:t>直接结算是指债券投资者与登记结算机构进行清算交收的方式，主要是具备结算参与人资格的债券投资者进行的自营交易的结算。</w:t>
      </w:r>
    </w:p>
    <w:p w14:paraId="7714688C">
      <w:pPr>
        <w:spacing w:line="600" w:lineRule="exact"/>
        <w:ind w:firstLine="600"/>
        <w:rPr>
          <w:rFonts w:ascii="仿宋_GB2312" w:eastAsia="仿宋_GB2312"/>
          <w:sz w:val="30"/>
          <w:szCs w:val="30"/>
        </w:rPr>
      </w:pPr>
      <w:r>
        <w:rPr>
          <w:rFonts w:hint="eastAsia" w:ascii="仿宋_GB2312" w:eastAsia="仿宋_GB2312"/>
          <w:sz w:val="30"/>
          <w:szCs w:val="30"/>
        </w:rPr>
        <w:t>托管人结算是指基金、部分券商资管产品、保险资金、保险产品等在交易所市场达成交易后，由产品托管人与登记结算机构进行清算交收。</w:t>
      </w:r>
    </w:p>
    <w:p w14:paraId="7FDED2C7">
      <w:pPr>
        <w:spacing w:line="600" w:lineRule="exact"/>
        <w:ind w:firstLine="600"/>
        <w:rPr>
          <w:rFonts w:ascii="仿宋_GB2312" w:eastAsia="仿宋_GB2312"/>
          <w:sz w:val="30"/>
          <w:szCs w:val="30"/>
        </w:rPr>
      </w:pPr>
      <w:r>
        <w:rPr>
          <w:rFonts w:hint="eastAsia" w:ascii="仿宋_GB2312" w:eastAsia="仿宋_GB2312"/>
          <w:sz w:val="30"/>
          <w:szCs w:val="30"/>
        </w:rPr>
        <w:t>券商结算是指经纪业务模式下,债券投资者委托证券公司进行交易，并委托证券公司进行清算交收的方式。</w:t>
      </w:r>
    </w:p>
    <w:p w14:paraId="30C7AB80">
      <w:pPr>
        <w:spacing w:line="600" w:lineRule="exact"/>
        <w:ind w:firstLine="600"/>
        <w:rPr>
          <w:rFonts w:ascii="仿宋_GB2312" w:eastAsia="仿宋_GB2312"/>
          <w:sz w:val="30"/>
          <w:szCs w:val="30"/>
        </w:rPr>
      </w:pPr>
      <w:r>
        <w:rPr>
          <w:rFonts w:hint="eastAsia" w:ascii="仿宋_GB2312" w:eastAsia="仿宋_GB2312"/>
          <w:sz w:val="30"/>
          <w:szCs w:val="30"/>
        </w:rPr>
        <w:t>本指南涉及的</w:t>
      </w:r>
      <w:r>
        <w:rPr>
          <w:rFonts w:ascii="仿宋_GB2312" w:eastAsia="仿宋_GB2312"/>
          <w:sz w:val="30"/>
          <w:szCs w:val="30"/>
        </w:rPr>
        <w:t>结算相关内容，以</w:t>
      </w:r>
      <w:r>
        <w:rPr>
          <w:rFonts w:hint="eastAsia" w:ascii="仿宋_GB2312" w:eastAsia="仿宋_GB2312"/>
          <w:sz w:val="30"/>
          <w:szCs w:val="30"/>
        </w:rPr>
        <w:t>登记结算机构</w:t>
      </w:r>
      <w:r>
        <w:rPr>
          <w:rFonts w:ascii="仿宋_GB2312" w:eastAsia="仿宋_GB2312"/>
          <w:sz w:val="30"/>
          <w:szCs w:val="30"/>
        </w:rPr>
        <w:t>相关规定为准。</w:t>
      </w:r>
    </w:p>
    <w:p w14:paraId="4F58E739">
      <w:pPr>
        <w:numPr>
          <w:ilvl w:val="2"/>
          <w:numId w:val="4"/>
        </w:numPr>
        <w:spacing w:line="600" w:lineRule="exact"/>
        <w:ind w:left="0" w:firstLine="0"/>
        <w:outlineLvl w:val="2"/>
        <w:rPr>
          <w:rFonts w:ascii="仿宋_GB2312" w:eastAsia="仿宋_GB2312"/>
          <w:b/>
          <w:sz w:val="30"/>
          <w:szCs w:val="30"/>
        </w:rPr>
      </w:pPr>
      <w:bookmarkStart w:id="197" w:name="_Toc57908855"/>
      <w:r>
        <w:rPr>
          <w:rFonts w:hint="eastAsia" w:ascii="仿宋_GB2312" w:eastAsia="仿宋_GB2312"/>
          <w:b/>
          <w:sz w:val="30"/>
          <w:szCs w:val="30"/>
        </w:rPr>
        <w:t>各类债券投资者可选用的交易结算参与方式</w:t>
      </w:r>
      <w:bookmarkEnd w:id="197"/>
    </w:p>
    <w:p w14:paraId="4E42B73D">
      <w:pPr>
        <w:spacing w:line="600" w:lineRule="exact"/>
        <w:ind w:firstLine="600"/>
        <w:rPr>
          <w:rFonts w:ascii="仿宋_GB2312" w:eastAsia="仿宋_GB2312"/>
          <w:sz w:val="30"/>
          <w:szCs w:val="30"/>
        </w:rPr>
      </w:pPr>
      <w:r>
        <w:rPr>
          <w:rFonts w:hint="eastAsia" w:ascii="仿宋_GB2312" w:eastAsia="仿宋_GB2312"/>
          <w:sz w:val="30"/>
          <w:szCs w:val="30"/>
        </w:rPr>
        <w:t>总体而言，当前债券投资者可在以下四种交易与结算参与方式中</w:t>
      </w:r>
      <w:r>
        <w:rPr>
          <w:rFonts w:ascii="仿宋_GB2312" w:eastAsia="仿宋_GB2312"/>
          <w:sz w:val="30"/>
          <w:szCs w:val="30"/>
        </w:rPr>
        <w:t>选择</w:t>
      </w:r>
      <w:r>
        <w:rPr>
          <w:rFonts w:hint="eastAsia" w:ascii="仿宋_GB2312" w:eastAsia="仿宋_GB2312"/>
          <w:sz w:val="30"/>
          <w:szCs w:val="30"/>
        </w:rPr>
        <w:t>：直接入场交易、直接结算；直接入场交易、托管人结算；间接入场交易、托管人结算；间接入场交易、券商结算。</w:t>
      </w:r>
    </w:p>
    <w:p w14:paraId="6BE3F331">
      <w:pPr>
        <w:spacing w:line="600" w:lineRule="exact"/>
        <w:ind w:firstLine="600"/>
        <w:rPr>
          <w:rFonts w:ascii="仿宋_GB2312" w:eastAsia="仿宋_GB2312"/>
          <w:sz w:val="30"/>
          <w:szCs w:val="30"/>
        </w:rPr>
      </w:pPr>
      <w:r>
        <w:rPr>
          <w:rFonts w:hint="eastAsia" w:ascii="仿宋_GB2312" w:eastAsia="仿宋_GB2312"/>
          <w:sz w:val="30"/>
          <w:szCs w:val="30"/>
        </w:rPr>
        <w:t>以下为根据不同机构类型建议选用的相关交易结算参与方式</w:t>
      </w:r>
      <w:r>
        <w:rPr>
          <w:rStyle w:val="53"/>
          <w:rFonts w:hint="eastAsia" w:ascii="仿宋_GB2312" w:eastAsia="仿宋_GB2312"/>
          <w:sz w:val="30"/>
          <w:szCs w:val="30"/>
        </w:rPr>
        <w:footnoteReference w:id="0"/>
      </w:r>
      <w:r>
        <w:rPr>
          <w:rFonts w:hint="eastAsia" w:ascii="仿宋_GB2312" w:eastAsia="仿宋_GB2312"/>
          <w:sz w:val="30"/>
          <w:szCs w:val="30"/>
        </w:rPr>
        <w:t>：</w:t>
      </w:r>
    </w:p>
    <w:tbl>
      <w:tblPr>
        <w:tblStyle w:val="43"/>
        <w:tblW w:w="5001" w:type="pct"/>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98"/>
        <w:gridCol w:w="1584"/>
        <w:gridCol w:w="1617"/>
        <w:gridCol w:w="1424"/>
        <w:gridCol w:w="1501"/>
      </w:tblGrid>
      <w:tr w14:paraId="6E19F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407" w:type="pct"/>
            <w:vMerge w:val="restart"/>
            <w:vAlign w:val="center"/>
          </w:tcPr>
          <w:p w14:paraId="4F89586A">
            <w:pPr>
              <w:jc w:val="left"/>
              <w:rPr>
                <w:rFonts w:ascii="仿宋_GB2312" w:hAnsi="微软雅黑" w:eastAsia="仿宋_GB2312"/>
                <w:b/>
                <w:sz w:val="24"/>
                <w:szCs w:val="24"/>
              </w:rPr>
            </w:pPr>
            <w:r>
              <w:rPr>
                <w:rFonts w:hint="eastAsia" w:ascii="仿宋_GB2312" w:hAnsi="微软雅黑" w:eastAsia="仿宋_GB2312"/>
                <w:b/>
                <w:sz w:val="24"/>
                <w:szCs w:val="24"/>
              </w:rPr>
              <w:t>债券投资者类型</w:t>
            </w:r>
          </w:p>
        </w:tc>
        <w:tc>
          <w:tcPr>
            <w:tcW w:w="1877" w:type="pct"/>
            <w:gridSpan w:val="2"/>
          </w:tcPr>
          <w:p w14:paraId="4B7FB58F">
            <w:pPr>
              <w:rPr>
                <w:rFonts w:ascii="仿宋_GB2312" w:hAnsi="微软雅黑" w:eastAsia="仿宋_GB2312"/>
                <w:b/>
                <w:sz w:val="24"/>
                <w:szCs w:val="24"/>
              </w:rPr>
            </w:pPr>
            <w:r>
              <w:rPr>
                <w:rFonts w:hint="eastAsia" w:ascii="仿宋_GB2312" w:hAnsi="微软雅黑" w:eastAsia="仿宋_GB2312"/>
                <w:b/>
                <w:sz w:val="24"/>
                <w:szCs w:val="24"/>
              </w:rPr>
              <w:t>直接入场交易</w:t>
            </w:r>
          </w:p>
        </w:tc>
        <w:tc>
          <w:tcPr>
            <w:tcW w:w="1715" w:type="pct"/>
            <w:gridSpan w:val="2"/>
          </w:tcPr>
          <w:p w14:paraId="5F2E05C8">
            <w:pPr>
              <w:rPr>
                <w:rFonts w:ascii="仿宋_GB2312" w:hAnsi="微软雅黑" w:eastAsia="仿宋_GB2312"/>
                <w:b/>
                <w:sz w:val="24"/>
                <w:szCs w:val="24"/>
              </w:rPr>
            </w:pPr>
            <w:r>
              <w:rPr>
                <w:rFonts w:hint="eastAsia" w:ascii="仿宋_GB2312" w:hAnsi="微软雅黑" w:eastAsia="仿宋_GB2312"/>
                <w:b/>
                <w:sz w:val="24"/>
                <w:szCs w:val="24"/>
              </w:rPr>
              <w:t>间接入场交易</w:t>
            </w:r>
          </w:p>
        </w:tc>
      </w:tr>
      <w:tr w14:paraId="2BA77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407" w:type="pct"/>
            <w:vMerge w:val="continue"/>
          </w:tcPr>
          <w:p w14:paraId="3F793B75">
            <w:pPr>
              <w:ind w:firstLine="482"/>
              <w:jc w:val="left"/>
              <w:rPr>
                <w:rFonts w:ascii="仿宋_GB2312" w:hAnsi="微软雅黑" w:eastAsia="仿宋_GB2312"/>
                <w:b/>
                <w:sz w:val="24"/>
                <w:szCs w:val="24"/>
              </w:rPr>
            </w:pPr>
          </w:p>
        </w:tc>
        <w:tc>
          <w:tcPr>
            <w:tcW w:w="929" w:type="pct"/>
          </w:tcPr>
          <w:p w14:paraId="5912671F">
            <w:pPr>
              <w:rPr>
                <w:rFonts w:ascii="仿宋_GB2312" w:hAnsi="微软雅黑" w:eastAsia="仿宋_GB2312"/>
                <w:b/>
                <w:sz w:val="24"/>
                <w:szCs w:val="24"/>
              </w:rPr>
            </w:pPr>
            <w:r>
              <w:rPr>
                <w:rFonts w:hint="eastAsia" w:ascii="仿宋_GB2312" w:hAnsi="微软雅黑" w:eastAsia="仿宋_GB2312"/>
                <w:b/>
                <w:sz w:val="24"/>
                <w:szCs w:val="24"/>
              </w:rPr>
              <w:t>直接结算</w:t>
            </w:r>
          </w:p>
        </w:tc>
        <w:tc>
          <w:tcPr>
            <w:tcW w:w="948" w:type="pct"/>
          </w:tcPr>
          <w:p w14:paraId="7B55387A">
            <w:pPr>
              <w:rPr>
                <w:rFonts w:ascii="仿宋_GB2312" w:hAnsi="微软雅黑" w:eastAsia="仿宋_GB2312"/>
                <w:b/>
                <w:sz w:val="24"/>
                <w:szCs w:val="24"/>
              </w:rPr>
            </w:pPr>
            <w:r>
              <w:rPr>
                <w:rFonts w:hint="eastAsia" w:ascii="仿宋_GB2312" w:hAnsi="微软雅黑" w:eastAsia="仿宋_GB2312"/>
                <w:b/>
                <w:sz w:val="24"/>
                <w:szCs w:val="24"/>
              </w:rPr>
              <w:t>托管人结算</w:t>
            </w:r>
          </w:p>
        </w:tc>
        <w:tc>
          <w:tcPr>
            <w:tcW w:w="835" w:type="pct"/>
          </w:tcPr>
          <w:p w14:paraId="2726DD1F">
            <w:pPr>
              <w:rPr>
                <w:rFonts w:ascii="仿宋_GB2312" w:hAnsi="微软雅黑" w:eastAsia="仿宋_GB2312"/>
                <w:b/>
                <w:sz w:val="24"/>
                <w:szCs w:val="24"/>
              </w:rPr>
            </w:pPr>
            <w:r>
              <w:rPr>
                <w:rFonts w:hint="eastAsia" w:ascii="仿宋_GB2312" w:hAnsi="微软雅黑" w:eastAsia="仿宋_GB2312"/>
                <w:b/>
                <w:sz w:val="24"/>
                <w:szCs w:val="24"/>
              </w:rPr>
              <w:t>托管人结算</w:t>
            </w:r>
          </w:p>
        </w:tc>
        <w:tc>
          <w:tcPr>
            <w:tcW w:w="879" w:type="pct"/>
          </w:tcPr>
          <w:p w14:paraId="42D67422">
            <w:pPr>
              <w:rPr>
                <w:rFonts w:ascii="仿宋_GB2312" w:hAnsi="微软雅黑" w:eastAsia="仿宋_GB2312"/>
                <w:b/>
                <w:sz w:val="24"/>
                <w:szCs w:val="24"/>
              </w:rPr>
            </w:pPr>
            <w:r>
              <w:rPr>
                <w:rFonts w:hint="eastAsia" w:ascii="仿宋_GB2312" w:hAnsi="微软雅黑" w:eastAsia="仿宋_GB2312"/>
                <w:b/>
                <w:sz w:val="24"/>
                <w:szCs w:val="24"/>
              </w:rPr>
              <w:t>券商结算</w:t>
            </w:r>
          </w:p>
        </w:tc>
      </w:tr>
      <w:tr w14:paraId="03CDC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407" w:type="pct"/>
          </w:tcPr>
          <w:p w14:paraId="0C4438C3">
            <w:pPr>
              <w:jc w:val="left"/>
              <w:rPr>
                <w:rFonts w:ascii="仿宋_GB2312" w:hAnsi="微软雅黑" w:eastAsia="仿宋_GB2312"/>
                <w:sz w:val="24"/>
                <w:szCs w:val="24"/>
              </w:rPr>
            </w:pPr>
            <w:r>
              <w:rPr>
                <w:rFonts w:hint="eastAsia" w:ascii="仿宋_GB2312" w:hAnsi="微软雅黑" w:eastAsia="仿宋_GB2312"/>
                <w:sz w:val="24"/>
                <w:szCs w:val="24"/>
              </w:rPr>
              <w:t>证券公司自营</w:t>
            </w:r>
          </w:p>
        </w:tc>
        <w:tc>
          <w:tcPr>
            <w:tcW w:w="929" w:type="pct"/>
          </w:tcPr>
          <w:p w14:paraId="0C3FAF84">
            <w:pPr>
              <w:ind w:firstLine="480"/>
              <w:rPr>
                <w:rFonts w:ascii="仿宋_GB2312" w:hAnsi="微软雅黑" w:eastAsia="仿宋_GB2312"/>
                <w:sz w:val="24"/>
                <w:szCs w:val="24"/>
              </w:rPr>
            </w:pPr>
            <w:r>
              <w:rPr>
                <w:rFonts w:hint="eastAsia" w:ascii="仿宋_GB2312" w:hAnsi="微软雅黑" w:eastAsia="仿宋_GB2312"/>
                <w:sz w:val="24"/>
                <w:szCs w:val="24"/>
              </w:rPr>
              <w:t>√</w:t>
            </w:r>
          </w:p>
        </w:tc>
        <w:tc>
          <w:tcPr>
            <w:tcW w:w="948" w:type="pct"/>
          </w:tcPr>
          <w:p w14:paraId="3FF651C4">
            <w:pPr>
              <w:ind w:firstLine="480"/>
              <w:jc w:val="center"/>
              <w:rPr>
                <w:rFonts w:ascii="仿宋_GB2312" w:hAnsi="微软雅黑" w:eastAsia="仿宋_GB2312"/>
                <w:sz w:val="24"/>
                <w:szCs w:val="24"/>
              </w:rPr>
            </w:pPr>
          </w:p>
        </w:tc>
        <w:tc>
          <w:tcPr>
            <w:tcW w:w="835" w:type="pct"/>
          </w:tcPr>
          <w:p w14:paraId="015CD064">
            <w:pPr>
              <w:ind w:firstLine="480"/>
              <w:jc w:val="center"/>
              <w:rPr>
                <w:rFonts w:ascii="仿宋_GB2312" w:hAnsi="微软雅黑" w:eastAsia="仿宋_GB2312"/>
                <w:sz w:val="24"/>
                <w:szCs w:val="24"/>
              </w:rPr>
            </w:pPr>
          </w:p>
        </w:tc>
        <w:tc>
          <w:tcPr>
            <w:tcW w:w="879" w:type="pct"/>
          </w:tcPr>
          <w:p w14:paraId="2D20B825">
            <w:pPr>
              <w:ind w:firstLine="480"/>
              <w:jc w:val="center"/>
              <w:rPr>
                <w:rFonts w:ascii="仿宋_GB2312" w:hAnsi="微软雅黑" w:eastAsia="仿宋_GB2312"/>
                <w:sz w:val="24"/>
                <w:szCs w:val="24"/>
              </w:rPr>
            </w:pPr>
          </w:p>
        </w:tc>
      </w:tr>
      <w:tr w14:paraId="63F20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407" w:type="pct"/>
          </w:tcPr>
          <w:p w14:paraId="7091D6CB">
            <w:pPr>
              <w:jc w:val="left"/>
              <w:rPr>
                <w:rFonts w:ascii="仿宋_GB2312" w:hAnsi="微软雅黑" w:eastAsia="仿宋_GB2312"/>
                <w:sz w:val="24"/>
                <w:szCs w:val="24"/>
              </w:rPr>
            </w:pPr>
            <w:r>
              <w:rPr>
                <w:rFonts w:hint="eastAsia" w:ascii="仿宋_GB2312" w:hAnsi="微软雅黑" w:eastAsia="仿宋_GB2312"/>
                <w:sz w:val="24"/>
                <w:szCs w:val="24"/>
              </w:rPr>
              <w:t>证券公司资管</w:t>
            </w:r>
          </w:p>
        </w:tc>
        <w:tc>
          <w:tcPr>
            <w:tcW w:w="929" w:type="pct"/>
          </w:tcPr>
          <w:p w14:paraId="477E9AB4">
            <w:pPr>
              <w:ind w:firstLine="480"/>
              <w:rPr>
                <w:rFonts w:ascii="仿宋_GB2312" w:hAnsi="微软雅黑" w:eastAsia="仿宋_GB2312"/>
                <w:sz w:val="24"/>
                <w:szCs w:val="24"/>
              </w:rPr>
            </w:pPr>
          </w:p>
        </w:tc>
        <w:tc>
          <w:tcPr>
            <w:tcW w:w="948" w:type="pct"/>
          </w:tcPr>
          <w:p w14:paraId="5E6D2A3F">
            <w:pPr>
              <w:ind w:firstLine="480"/>
              <w:rPr>
                <w:rFonts w:ascii="仿宋_GB2312" w:hAnsi="微软雅黑" w:eastAsia="仿宋_GB2312"/>
                <w:sz w:val="24"/>
                <w:szCs w:val="24"/>
              </w:rPr>
            </w:pPr>
            <w:r>
              <w:rPr>
                <w:rFonts w:hint="eastAsia" w:ascii="仿宋_GB2312" w:hAnsi="微软雅黑" w:eastAsia="仿宋_GB2312"/>
                <w:sz w:val="24"/>
                <w:szCs w:val="24"/>
              </w:rPr>
              <w:t>√</w:t>
            </w:r>
          </w:p>
        </w:tc>
        <w:tc>
          <w:tcPr>
            <w:tcW w:w="835" w:type="pct"/>
          </w:tcPr>
          <w:p w14:paraId="5B04CBFF">
            <w:pPr>
              <w:ind w:firstLine="480"/>
              <w:rPr>
                <w:rFonts w:ascii="仿宋_GB2312" w:hAnsi="微软雅黑" w:eastAsia="仿宋_GB2312"/>
                <w:sz w:val="24"/>
                <w:szCs w:val="24"/>
              </w:rPr>
            </w:pPr>
          </w:p>
        </w:tc>
        <w:tc>
          <w:tcPr>
            <w:tcW w:w="879" w:type="pct"/>
          </w:tcPr>
          <w:p w14:paraId="6F653A38">
            <w:pPr>
              <w:ind w:firstLine="480"/>
              <w:rPr>
                <w:rFonts w:ascii="仿宋_GB2312" w:hAnsi="微软雅黑" w:eastAsia="仿宋_GB2312"/>
                <w:sz w:val="24"/>
                <w:szCs w:val="24"/>
              </w:rPr>
            </w:pPr>
          </w:p>
        </w:tc>
      </w:tr>
      <w:tr w14:paraId="168A2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407" w:type="pct"/>
          </w:tcPr>
          <w:p w14:paraId="59AA2658">
            <w:pPr>
              <w:jc w:val="left"/>
              <w:rPr>
                <w:rFonts w:ascii="仿宋_GB2312" w:hAnsi="微软雅黑" w:eastAsia="仿宋_GB2312"/>
                <w:sz w:val="24"/>
                <w:szCs w:val="24"/>
              </w:rPr>
            </w:pPr>
            <w:r>
              <w:rPr>
                <w:rFonts w:hint="eastAsia" w:ascii="仿宋_GB2312" w:hAnsi="微软雅黑" w:eastAsia="仿宋_GB2312"/>
                <w:sz w:val="24"/>
                <w:szCs w:val="24"/>
              </w:rPr>
              <w:t>证券投资基金</w:t>
            </w:r>
          </w:p>
        </w:tc>
        <w:tc>
          <w:tcPr>
            <w:tcW w:w="929" w:type="pct"/>
          </w:tcPr>
          <w:p w14:paraId="305989BB">
            <w:pPr>
              <w:ind w:firstLine="480"/>
              <w:rPr>
                <w:rFonts w:ascii="仿宋_GB2312" w:hAnsi="微软雅黑" w:eastAsia="仿宋_GB2312"/>
                <w:sz w:val="24"/>
                <w:szCs w:val="24"/>
              </w:rPr>
            </w:pPr>
          </w:p>
        </w:tc>
        <w:tc>
          <w:tcPr>
            <w:tcW w:w="948" w:type="pct"/>
          </w:tcPr>
          <w:p w14:paraId="08BB27F3">
            <w:pPr>
              <w:ind w:firstLine="480"/>
              <w:rPr>
                <w:rFonts w:ascii="仿宋_GB2312" w:hAnsi="微软雅黑" w:eastAsia="仿宋_GB2312"/>
                <w:sz w:val="24"/>
                <w:szCs w:val="24"/>
              </w:rPr>
            </w:pPr>
            <w:r>
              <w:rPr>
                <w:rFonts w:hint="eastAsia" w:ascii="仿宋_GB2312" w:hAnsi="微软雅黑" w:eastAsia="仿宋_GB2312"/>
                <w:sz w:val="24"/>
                <w:szCs w:val="24"/>
              </w:rPr>
              <w:t>√</w:t>
            </w:r>
          </w:p>
        </w:tc>
        <w:tc>
          <w:tcPr>
            <w:tcW w:w="835" w:type="pct"/>
          </w:tcPr>
          <w:p w14:paraId="77F084B6">
            <w:pPr>
              <w:ind w:firstLine="480"/>
              <w:rPr>
                <w:rFonts w:ascii="仿宋_GB2312" w:hAnsi="微软雅黑" w:eastAsia="仿宋_GB2312"/>
                <w:sz w:val="24"/>
                <w:szCs w:val="24"/>
              </w:rPr>
            </w:pPr>
          </w:p>
        </w:tc>
        <w:tc>
          <w:tcPr>
            <w:tcW w:w="879" w:type="pct"/>
          </w:tcPr>
          <w:p w14:paraId="64AF6976">
            <w:pPr>
              <w:ind w:firstLine="480"/>
              <w:rPr>
                <w:rFonts w:ascii="仿宋_GB2312" w:hAnsi="微软雅黑" w:eastAsia="仿宋_GB2312"/>
                <w:sz w:val="24"/>
                <w:szCs w:val="24"/>
              </w:rPr>
            </w:pPr>
            <w:r>
              <w:rPr>
                <w:rFonts w:hint="eastAsia" w:ascii="仿宋_GB2312" w:hAnsi="微软雅黑" w:eastAsia="仿宋_GB2312"/>
                <w:sz w:val="24"/>
                <w:szCs w:val="24"/>
              </w:rPr>
              <w:t>√</w:t>
            </w:r>
          </w:p>
        </w:tc>
      </w:tr>
      <w:tr w14:paraId="646E5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407" w:type="pct"/>
          </w:tcPr>
          <w:p w14:paraId="5067F874">
            <w:pPr>
              <w:jc w:val="left"/>
              <w:rPr>
                <w:rFonts w:ascii="仿宋_GB2312" w:hAnsi="微软雅黑" w:eastAsia="仿宋_GB2312"/>
                <w:sz w:val="24"/>
                <w:szCs w:val="24"/>
              </w:rPr>
            </w:pPr>
            <w:r>
              <w:rPr>
                <w:rFonts w:hint="eastAsia" w:ascii="仿宋_GB2312" w:hAnsi="微软雅黑" w:eastAsia="仿宋_GB2312"/>
                <w:sz w:val="24"/>
                <w:szCs w:val="24"/>
              </w:rPr>
              <w:t>基金公司专户</w:t>
            </w:r>
          </w:p>
        </w:tc>
        <w:tc>
          <w:tcPr>
            <w:tcW w:w="929" w:type="pct"/>
          </w:tcPr>
          <w:p w14:paraId="3A50AEEC">
            <w:pPr>
              <w:ind w:firstLine="480"/>
              <w:rPr>
                <w:rFonts w:ascii="仿宋_GB2312" w:hAnsi="微软雅黑" w:eastAsia="仿宋_GB2312"/>
                <w:sz w:val="24"/>
                <w:szCs w:val="24"/>
              </w:rPr>
            </w:pPr>
          </w:p>
        </w:tc>
        <w:tc>
          <w:tcPr>
            <w:tcW w:w="948" w:type="pct"/>
          </w:tcPr>
          <w:p w14:paraId="64F79A06">
            <w:pPr>
              <w:ind w:firstLine="480"/>
              <w:rPr>
                <w:rFonts w:ascii="仿宋_GB2312" w:hAnsi="微软雅黑" w:eastAsia="仿宋_GB2312"/>
                <w:sz w:val="24"/>
                <w:szCs w:val="24"/>
              </w:rPr>
            </w:pPr>
            <w:r>
              <w:rPr>
                <w:rFonts w:hint="eastAsia" w:ascii="仿宋_GB2312" w:hAnsi="微软雅黑" w:eastAsia="仿宋_GB2312"/>
                <w:sz w:val="24"/>
                <w:szCs w:val="24"/>
              </w:rPr>
              <w:t>√</w:t>
            </w:r>
          </w:p>
        </w:tc>
        <w:tc>
          <w:tcPr>
            <w:tcW w:w="835" w:type="pct"/>
          </w:tcPr>
          <w:p w14:paraId="7BCBCC9C">
            <w:pPr>
              <w:ind w:firstLine="480"/>
              <w:rPr>
                <w:rFonts w:ascii="仿宋_GB2312" w:hAnsi="微软雅黑" w:eastAsia="仿宋_GB2312"/>
                <w:sz w:val="24"/>
                <w:szCs w:val="24"/>
              </w:rPr>
            </w:pPr>
          </w:p>
        </w:tc>
        <w:tc>
          <w:tcPr>
            <w:tcW w:w="879" w:type="pct"/>
          </w:tcPr>
          <w:p w14:paraId="08550429">
            <w:pPr>
              <w:ind w:firstLine="480"/>
              <w:rPr>
                <w:rFonts w:ascii="仿宋_GB2312" w:hAnsi="微软雅黑" w:eastAsia="仿宋_GB2312"/>
                <w:sz w:val="24"/>
                <w:szCs w:val="24"/>
              </w:rPr>
            </w:pPr>
            <w:r>
              <w:rPr>
                <w:rFonts w:hint="eastAsia" w:ascii="仿宋_GB2312" w:hAnsi="微软雅黑" w:eastAsia="仿宋_GB2312"/>
                <w:sz w:val="24"/>
                <w:szCs w:val="24"/>
              </w:rPr>
              <w:t>√</w:t>
            </w:r>
          </w:p>
        </w:tc>
      </w:tr>
      <w:tr w14:paraId="0551C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407" w:type="pct"/>
          </w:tcPr>
          <w:p w14:paraId="4884E091">
            <w:pPr>
              <w:jc w:val="left"/>
              <w:rPr>
                <w:rFonts w:ascii="仿宋_GB2312" w:hAnsi="微软雅黑" w:eastAsia="仿宋_GB2312"/>
                <w:sz w:val="24"/>
                <w:szCs w:val="24"/>
              </w:rPr>
            </w:pPr>
            <w:r>
              <w:rPr>
                <w:rFonts w:hint="eastAsia" w:ascii="仿宋_GB2312" w:hAnsi="微软雅黑" w:eastAsia="仿宋_GB2312"/>
                <w:sz w:val="24"/>
                <w:szCs w:val="24"/>
              </w:rPr>
              <w:t>基金子</w:t>
            </w:r>
            <w:r>
              <w:rPr>
                <w:rFonts w:ascii="仿宋_GB2312" w:hAnsi="微软雅黑" w:eastAsia="仿宋_GB2312"/>
                <w:sz w:val="24"/>
                <w:szCs w:val="24"/>
              </w:rPr>
              <w:t>公司</w:t>
            </w:r>
            <w:r>
              <w:rPr>
                <w:rFonts w:hint="eastAsia" w:ascii="仿宋_GB2312" w:hAnsi="微软雅黑" w:eastAsia="仿宋_GB2312"/>
                <w:sz w:val="24"/>
                <w:szCs w:val="24"/>
              </w:rPr>
              <w:t>专户</w:t>
            </w:r>
          </w:p>
        </w:tc>
        <w:tc>
          <w:tcPr>
            <w:tcW w:w="929" w:type="pct"/>
          </w:tcPr>
          <w:p w14:paraId="5536C6EA">
            <w:pPr>
              <w:ind w:firstLine="480"/>
              <w:rPr>
                <w:rFonts w:ascii="仿宋_GB2312" w:hAnsi="微软雅黑" w:eastAsia="仿宋_GB2312"/>
                <w:sz w:val="24"/>
                <w:szCs w:val="24"/>
              </w:rPr>
            </w:pPr>
          </w:p>
        </w:tc>
        <w:tc>
          <w:tcPr>
            <w:tcW w:w="948" w:type="pct"/>
          </w:tcPr>
          <w:p w14:paraId="039D6BC5">
            <w:pPr>
              <w:ind w:firstLine="480"/>
              <w:rPr>
                <w:rFonts w:ascii="仿宋_GB2312" w:hAnsi="微软雅黑" w:eastAsia="仿宋_GB2312"/>
                <w:sz w:val="24"/>
                <w:szCs w:val="24"/>
              </w:rPr>
            </w:pPr>
            <w:r>
              <w:rPr>
                <w:rFonts w:hint="eastAsia" w:ascii="仿宋_GB2312" w:hAnsi="微软雅黑" w:eastAsia="仿宋_GB2312"/>
                <w:sz w:val="24"/>
                <w:szCs w:val="24"/>
              </w:rPr>
              <w:t>√</w:t>
            </w:r>
          </w:p>
        </w:tc>
        <w:tc>
          <w:tcPr>
            <w:tcW w:w="835" w:type="pct"/>
          </w:tcPr>
          <w:p w14:paraId="4E0ACD1B">
            <w:pPr>
              <w:ind w:firstLine="480"/>
              <w:rPr>
                <w:rFonts w:ascii="仿宋_GB2312" w:hAnsi="微软雅黑" w:eastAsia="仿宋_GB2312"/>
                <w:sz w:val="24"/>
                <w:szCs w:val="24"/>
              </w:rPr>
            </w:pPr>
          </w:p>
        </w:tc>
        <w:tc>
          <w:tcPr>
            <w:tcW w:w="879" w:type="pct"/>
          </w:tcPr>
          <w:p w14:paraId="2759BFE2">
            <w:pPr>
              <w:ind w:firstLine="480"/>
              <w:rPr>
                <w:rFonts w:ascii="仿宋_GB2312" w:hAnsi="微软雅黑" w:eastAsia="仿宋_GB2312"/>
                <w:sz w:val="24"/>
                <w:szCs w:val="24"/>
              </w:rPr>
            </w:pPr>
            <w:r>
              <w:rPr>
                <w:rFonts w:hint="eastAsia" w:ascii="仿宋_GB2312" w:hAnsi="微软雅黑" w:eastAsia="仿宋_GB2312"/>
                <w:sz w:val="24"/>
                <w:szCs w:val="24"/>
              </w:rPr>
              <w:t>√</w:t>
            </w:r>
          </w:p>
        </w:tc>
      </w:tr>
      <w:tr w14:paraId="64EF3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407" w:type="pct"/>
          </w:tcPr>
          <w:p w14:paraId="325A1B08">
            <w:pPr>
              <w:jc w:val="left"/>
              <w:rPr>
                <w:rFonts w:ascii="仿宋_GB2312" w:hAnsi="微软雅黑" w:eastAsia="仿宋_GB2312"/>
                <w:sz w:val="24"/>
                <w:szCs w:val="24"/>
              </w:rPr>
            </w:pPr>
            <w:r>
              <w:rPr>
                <w:rFonts w:hint="eastAsia" w:ascii="仿宋_GB2312" w:hAnsi="微软雅黑" w:eastAsia="仿宋_GB2312"/>
                <w:sz w:val="24"/>
                <w:szCs w:val="24"/>
              </w:rPr>
              <w:t>保险公司及其产品</w:t>
            </w:r>
          </w:p>
        </w:tc>
        <w:tc>
          <w:tcPr>
            <w:tcW w:w="929" w:type="pct"/>
          </w:tcPr>
          <w:p w14:paraId="128142B3">
            <w:pPr>
              <w:ind w:firstLine="480"/>
              <w:rPr>
                <w:rFonts w:ascii="仿宋_GB2312" w:hAnsi="微软雅黑" w:eastAsia="仿宋_GB2312"/>
                <w:sz w:val="24"/>
                <w:szCs w:val="24"/>
              </w:rPr>
            </w:pPr>
          </w:p>
        </w:tc>
        <w:tc>
          <w:tcPr>
            <w:tcW w:w="948" w:type="pct"/>
          </w:tcPr>
          <w:p w14:paraId="7266880E">
            <w:pPr>
              <w:ind w:firstLine="480"/>
              <w:rPr>
                <w:rFonts w:ascii="仿宋_GB2312" w:hAnsi="微软雅黑" w:eastAsia="仿宋_GB2312"/>
                <w:sz w:val="24"/>
                <w:szCs w:val="24"/>
              </w:rPr>
            </w:pPr>
            <w:r>
              <w:rPr>
                <w:rFonts w:hint="eastAsia" w:ascii="仿宋_GB2312" w:hAnsi="微软雅黑" w:eastAsia="仿宋_GB2312"/>
                <w:sz w:val="24"/>
                <w:szCs w:val="24"/>
              </w:rPr>
              <w:t>√</w:t>
            </w:r>
          </w:p>
        </w:tc>
        <w:tc>
          <w:tcPr>
            <w:tcW w:w="835" w:type="pct"/>
          </w:tcPr>
          <w:p w14:paraId="0FE83480">
            <w:pPr>
              <w:ind w:firstLine="480"/>
              <w:rPr>
                <w:rFonts w:ascii="仿宋_GB2312" w:hAnsi="微软雅黑" w:eastAsia="仿宋_GB2312"/>
                <w:sz w:val="24"/>
                <w:szCs w:val="24"/>
              </w:rPr>
            </w:pPr>
          </w:p>
        </w:tc>
        <w:tc>
          <w:tcPr>
            <w:tcW w:w="879" w:type="pct"/>
          </w:tcPr>
          <w:p w14:paraId="78F655A9">
            <w:pPr>
              <w:ind w:firstLine="480"/>
              <w:rPr>
                <w:rFonts w:ascii="仿宋_GB2312" w:hAnsi="微软雅黑" w:eastAsia="仿宋_GB2312"/>
                <w:sz w:val="24"/>
                <w:szCs w:val="24"/>
              </w:rPr>
            </w:pPr>
            <w:r>
              <w:rPr>
                <w:rFonts w:hint="eastAsia" w:ascii="仿宋_GB2312" w:hAnsi="微软雅黑" w:eastAsia="仿宋_GB2312"/>
                <w:sz w:val="24"/>
                <w:szCs w:val="24"/>
              </w:rPr>
              <w:t>√</w:t>
            </w:r>
          </w:p>
        </w:tc>
      </w:tr>
      <w:tr w14:paraId="7F720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407" w:type="pct"/>
          </w:tcPr>
          <w:p w14:paraId="69CC8266">
            <w:pPr>
              <w:jc w:val="left"/>
              <w:rPr>
                <w:rFonts w:ascii="仿宋_GB2312" w:hAnsi="微软雅黑" w:eastAsia="仿宋_GB2312"/>
                <w:sz w:val="24"/>
                <w:szCs w:val="24"/>
              </w:rPr>
            </w:pPr>
            <w:r>
              <w:rPr>
                <w:rFonts w:hint="eastAsia" w:ascii="仿宋_GB2312" w:hAnsi="微软雅黑" w:eastAsia="仿宋_GB2312"/>
                <w:sz w:val="24"/>
                <w:szCs w:val="24"/>
              </w:rPr>
              <w:t>银行自营</w:t>
            </w:r>
          </w:p>
        </w:tc>
        <w:tc>
          <w:tcPr>
            <w:tcW w:w="929" w:type="pct"/>
          </w:tcPr>
          <w:p w14:paraId="0101D9F1">
            <w:pPr>
              <w:ind w:firstLine="480"/>
              <w:rPr>
                <w:rFonts w:ascii="仿宋_GB2312" w:hAnsi="微软雅黑" w:eastAsia="仿宋_GB2312"/>
                <w:sz w:val="24"/>
                <w:szCs w:val="24"/>
              </w:rPr>
            </w:pPr>
            <w:r>
              <w:rPr>
                <w:rFonts w:hint="eastAsia" w:ascii="仿宋_GB2312" w:hAnsi="微软雅黑" w:eastAsia="仿宋_GB2312"/>
                <w:sz w:val="24"/>
                <w:szCs w:val="24"/>
              </w:rPr>
              <w:t>√</w:t>
            </w:r>
          </w:p>
        </w:tc>
        <w:tc>
          <w:tcPr>
            <w:tcW w:w="948" w:type="pct"/>
          </w:tcPr>
          <w:p w14:paraId="614C64F2">
            <w:pPr>
              <w:ind w:firstLine="480"/>
              <w:rPr>
                <w:rFonts w:ascii="仿宋_GB2312" w:hAnsi="微软雅黑" w:eastAsia="仿宋_GB2312"/>
                <w:sz w:val="24"/>
                <w:szCs w:val="24"/>
              </w:rPr>
            </w:pPr>
          </w:p>
        </w:tc>
        <w:tc>
          <w:tcPr>
            <w:tcW w:w="835" w:type="pct"/>
          </w:tcPr>
          <w:p w14:paraId="021A4658">
            <w:pPr>
              <w:ind w:firstLine="480"/>
              <w:rPr>
                <w:rFonts w:ascii="仿宋_GB2312" w:hAnsi="微软雅黑" w:eastAsia="仿宋_GB2312"/>
                <w:sz w:val="24"/>
                <w:szCs w:val="24"/>
              </w:rPr>
            </w:pPr>
          </w:p>
        </w:tc>
        <w:tc>
          <w:tcPr>
            <w:tcW w:w="879" w:type="pct"/>
          </w:tcPr>
          <w:p w14:paraId="178689EF">
            <w:pPr>
              <w:ind w:firstLine="480"/>
              <w:rPr>
                <w:rFonts w:ascii="仿宋_GB2312" w:hAnsi="微软雅黑" w:eastAsia="仿宋_GB2312"/>
                <w:sz w:val="24"/>
                <w:szCs w:val="24"/>
              </w:rPr>
            </w:pPr>
            <w:r>
              <w:rPr>
                <w:rFonts w:hint="eastAsia" w:ascii="仿宋_GB2312" w:hAnsi="微软雅黑" w:eastAsia="仿宋_GB2312"/>
                <w:sz w:val="24"/>
                <w:szCs w:val="24"/>
              </w:rPr>
              <w:t>√</w:t>
            </w:r>
          </w:p>
        </w:tc>
      </w:tr>
      <w:tr w14:paraId="28DA5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407" w:type="pct"/>
          </w:tcPr>
          <w:p w14:paraId="4DCBF2E8">
            <w:pPr>
              <w:jc w:val="left"/>
              <w:rPr>
                <w:rFonts w:ascii="仿宋_GB2312" w:hAnsi="微软雅黑" w:eastAsia="仿宋_GB2312"/>
                <w:sz w:val="24"/>
                <w:szCs w:val="24"/>
              </w:rPr>
            </w:pPr>
            <w:r>
              <w:rPr>
                <w:rFonts w:hint="eastAsia" w:ascii="仿宋_GB2312" w:hAnsi="微软雅黑" w:eastAsia="仿宋_GB2312"/>
                <w:sz w:val="24"/>
                <w:szCs w:val="24"/>
              </w:rPr>
              <w:t>银行理财产品</w:t>
            </w:r>
          </w:p>
        </w:tc>
        <w:tc>
          <w:tcPr>
            <w:tcW w:w="929" w:type="pct"/>
          </w:tcPr>
          <w:p w14:paraId="79FB9D5E">
            <w:pPr>
              <w:ind w:firstLine="480"/>
              <w:rPr>
                <w:rFonts w:ascii="仿宋_GB2312" w:hAnsi="微软雅黑" w:eastAsia="仿宋_GB2312"/>
                <w:sz w:val="24"/>
                <w:szCs w:val="24"/>
              </w:rPr>
            </w:pPr>
          </w:p>
        </w:tc>
        <w:tc>
          <w:tcPr>
            <w:tcW w:w="948" w:type="pct"/>
          </w:tcPr>
          <w:p w14:paraId="6493B7C5">
            <w:pPr>
              <w:ind w:firstLine="480"/>
              <w:rPr>
                <w:rFonts w:ascii="仿宋_GB2312" w:hAnsi="微软雅黑" w:eastAsia="仿宋_GB2312"/>
                <w:sz w:val="24"/>
                <w:szCs w:val="24"/>
              </w:rPr>
            </w:pPr>
            <w:r>
              <w:rPr>
                <w:rFonts w:hint="eastAsia" w:ascii="仿宋_GB2312" w:hAnsi="微软雅黑" w:eastAsia="仿宋_GB2312"/>
                <w:sz w:val="24"/>
                <w:szCs w:val="24"/>
              </w:rPr>
              <w:t>√</w:t>
            </w:r>
          </w:p>
        </w:tc>
        <w:tc>
          <w:tcPr>
            <w:tcW w:w="835" w:type="pct"/>
          </w:tcPr>
          <w:p w14:paraId="5D8CE0F3">
            <w:pPr>
              <w:ind w:firstLine="480"/>
              <w:rPr>
                <w:rFonts w:ascii="仿宋_GB2312" w:hAnsi="微软雅黑" w:eastAsia="仿宋_GB2312"/>
                <w:sz w:val="24"/>
                <w:szCs w:val="24"/>
              </w:rPr>
            </w:pPr>
          </w:p>
        </w:tc>
        <w:tc>
          <w:tcPr>
            <w:tcW w:w="879" w:type="pct"/>
          </w:tcPr>
          <w:p w14:paraId="190466F9">
            <w:pPr>
              <w:ind w:firstLine="480"/>
              <w:rPr>
                <w:rFonts w:ascii="仿宋_GB2312" w:hAnsi="微软雅黑" w:eastAsia="仿宋_GB2312"/>
                <w:sz w:val="24"/>
                <w:szCs w:val="24"/>
              </w:rPr>
            </w:pPr>
            <w:r>
              <w:rPr>
                <w:rFonts w:hint="eastAsia" w:ascii="仿宋_GB2312" w:hAnsi="微软雅黑" w:eastAsia="仿宋_GB2312"/>
                <w:sz w:val="24"/>
                <w:szCs w:val="24"/>
              </w:rPr>
              <w:t>√</w:t>
            </w:r>
          </w:p>
        </w:tc>
      </w:tr>
      <w:tr w14:paraId="01619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407" w:type="pct"/>
          </w:tcPr>
          <w:p w14:paraId="0AEE9F5F">
            <w:pPr>
              <w:jc w:val="left"/>
              <w:rPr>
                <w:rFonts w:ascii="仿宋_GB2312" w:hAnsi="微软雅黑" w:eastAsia="仿宋_GB2312"/>
                <w:sz w:val="24"/>
                <w:szCs w:val="24"/>
              </w:rPr>
            </w:pPr>
            <w:r>
              <w:rPr>
                <w:rFonts w:hint="eastAsia" w:ascii="仿宋_GB2312" w:hAnsi="微软雅黑" w:eastAsia="仿宋_GB2312"/>
                <w:sz w:val="24"/>
                <w:szCs w:val="24"/>
              </w:rPr>
              <w:t>信托产品</w:t>
            </w:r>
          </w:p>
        </w:tc>
        <w:tc>
          <w:tcPr>
            <w:tcW w:w="929" w:type="pct"/>
          </w:tcPr>
          <w:p w14:paraId="4C045B08">
            <w:pPr>
              <w:ind w:firstLine="480"/>
              <w:rPr>
                <w:rFonts w:ascii="仿宋_GB2312" w:hAnsi="微软雅黑" w:eastAsia="仿宋_GB2312"/>
                <w:sz w:val="24"/>
                <w:szCs w:val="24"/>
              </w:rPr>
            </w:pPr>
          </w:p>
        </w:tc>
        <w:tc>
          <w:tcPr>
            <w:tcW w:w="948" w:type="pct"/>
          </w:tcPr>
          <w:p w14:paraId="2C296211">
            <w:pPr>
              <w:ind w:firstLine="480"/>
              <w:rPr>
                <w:rFonts w:ascii="仿宋_GB2312" w:hAnsi="微软雅黑" w:eastAsia="仿宋_GB2312"/>
                <w:sz w:val="24"/>
                <w:szCs w:val="24"/>
              </w:rPr>
            </w:pPr>
            <w:r>
              <w:rPr>
                <w:rFonts w:hint="eastAsia" w:ascii="仿宋_GB2312" w:hAnsi="微软雅黑" w:eastAsia="仿宋_GB2312"/>
                <w:sz w:val="24"/>
                <w:szCs w:val="24"/>
              </w:rPr>
              <w:t>√</w:t>
            </w:r>
          </w:p>
        </w:tc>
        <w:tc>
          <w:tcPr>
            <w:tcW w:w="835" w:type="pct"/>
          </w:tcPr>
          <w:p w14:paraId="68F5BAB6">
            <w:pPr>
              <w:ind w:firstLine="482"/>
              <w:rPr>
                <w:rFonts w:ascii="仿宋_GB2312" w:hAnsi="微软雅黑" w:eastAsia="仿宋_GB2312"/>
                <w:sz w:val="24"/>
                <w:szCs w:val="24"/>
              </w:rPr>
            </w:pPr>
          </w:p>
        </w:tc>
        <w:tc>
          <w:tcPr>
            <w:tcW w:w="879" w:type="pct"/>
          </w:tcPr>
          <w:p w14:paraId="72F17AEE">
            <w:pPr>
              <w:ind w:firstLine="480"/>
              <w:rPr>
                <w:rFonts w:ascii="仿宋_GB2312" w:hAnsi="微软雅黑" w:eastAsia="仿宋_GB2312"/>
                <w:sz w:val="24"/>
                <w:szCs w:val="24"/>
              </w:rPr>
            </w:pPr>
            <w:r>
              <w:rPr>
                <w:rFonts w:hint="eastAsia" w:ascii="仿宋_GB2312" w:hAnsi="微软雅黑" w:eastAsia="仿宋_GB2312"/>
                <w:sz w:val="24"/>
                <w:szCs w:val="24"/>
              </w:rPr>
              <w:t>√</w:t>
            </w:r>
          </w:p>
        </w:tc>
      </w:tr>
      <w:tr w14:paraId="54ED7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407" w:type="pct"/>
          </w:tcPr>
          <w:p w14:paraId="416CAC82">
            <w:pPr>
              <w:jc w:val="left"/>
              <w:rPr>
                <w:rFonts w:ascii="仿宋_GB2312" w:hAnsi="微软雅黑" w:eastAsia="仿宋_GB2312"/>
                <w:sz w:val="24"/>
                <w:szCs w:val="24"/>
              </w:rPr>
            </w:pPr>
            <w:r>
              <w:rPr>
                <w:rFonts w:hint="eastAsia" w:ascii="仿宋_GB2312" w:hAnsi="微软雅黑" w:eastAsia="仿宋_GB2312"/>
                <w:sz w:val="24"/>
                <w:szCs w:val="24"/>
              </w:rPr>
              <w:t>私募基金</w:t>
            </w:r>
          </w:p>
        </w:tc>
        <w:tc>
          <w:tcPr>
            <w:tcW w:w="929" w:type="pct"/>
          </w:tcPr>
          <w:p w14:paraId="180A31B4">
            <w:pPr>
              <w:ind w:firstLine="480"/>
              <w:rPr>
                <w:rFonts w:ascii="仿宋_GB2312" w:hAnsi="微软雅黑" w:eastAsia="仿宋_GB2312"/>
                <w:sz w:val="24"/>
                <w:szCs w:val="24"/>
              </w:rPr>
            </w:pPr>
          </w:p>
        </w:tc>
        <w:tc>
          <w:tcPr>
            <w:tcW w:w="948" w:type="pct"/>
          </w:tcPr>
          <w:p w14:paraId="733782FB">
            <w:pPr>
              <w:ind w:firstLine="480"/>
              <w:rPr>
                <w:rFonts w:ascii="仿宋_GB2312" w:hAnsi="微软雅黑" w:eastAsia="仿宋_GB2312"/>
                <w:sz w:val="24"/>
                <w:szCs w:val="24"/>
              </w:rPr>
            </w:pPr>
          </w:p>
        </w:tc>
        <w:tc>
          <w:tcPr>
            <w:tcW w:w="835" w:type="pct"/>
          </w:tcPr>
          <w:p w14:paraId="04587641">
            <w:pPr>
              <w:ind w:firstLine="482"/>
              <w:rPr>
                <w:rFonts w:ascii="仿宋_GB2312" w:hAnsi="微软雅黑" w:eastAsia="仿宋_GB2312"/>
                <w:sz w:val="24"/>
                <w:szCs w:val="24"/>
              </w:rPr>
            </w:pPr>
          </w:p>
        </w:tc>
        <w:tc>
          <w:tcPr>
            <w:tcW w:w="879" w:type="pct"/>
          </w:tcPr>
          <w:p w14:paraId="39282FC6">
            <w:pPr>
              <w:ind w:firstLine="480"/>
              <w:rPr>
                <w:rFonts w:ascii="仿宋_GB2312" w:hAnsi="微软雅黑" w:eastAsia="仿宋_GB2312"/>
                <w:sz w:val="24"/>
                <w:szCs w:val="24"/>
              </w:rPr>
            </w:pPr>
            <w:r>
              <w:rPr>
                <w:rFonts w:hint="eastAsia" w:ascii="仿宋_GB2312" w:hAnsi="微软雅黑" w:eastAsia="仿宋_GB2312"/>
                <w:sz w:val="24"/>
                <w:szCs w:val="24"/>
              </w:rPr>
              <w:t>√</w:t>
            </w:r>
          </w:p>
        </w:tc>
      </w:tr>
      <w:tr w14:paraId="328D5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407" w:type="pct"/>
          </w:tcPr>
          <w:p w14:paraId="4684048B">
            <w:pPr>
              <w:jc w:val="left"/>
              <w:rPr>
                <w:rFonts w:ascii="仿宋_GB2312" w:hAnsi="微软雅黑" w:eastAsia="仿宋_GB2312"/>
                <w:sz w:val="24"/>
                <w:szCs w:val="24"/>
              </w:rPr>
            </w:pPr>
            <w:r>
              <w:rPr>
                <w:rFonts w:hint="eastAsia" w:ascii="仿宋_GB2312" w:hAnsi="微软雅黑" w:eastAsia="仿宋_GB2312"/>
                <w:sz w:val="24"/>
                <w:szCs w:val="24"/>
              </w:rPr>
              <w:t>财务公司</w:t>
            </w:r>
          </w:p>
        </w:tc>
        <w:tc>
          <w:tcPr>
            <w:tcW w:w="929" w:type="pct"/>
          </w:tcPr>
          <w:p w14:paraId="5EFB10C7">
            <w:pPr>
              <w:ind w:firstLine="480"/>
              <w:rPr>
                <w:rFonts w:ascii="仿宋_GB2312" w:hAnsi="微软雅黑" w:eastAsia="仿宋_GB2312"/>
                <w:sz w:val="24"/>
                <w:szCs w:val="24"/>
              </w:rPr>
            </w:pPr>
          </w:p>
        </w:tc>
        <w:tc>
          <w:tcPr>
            <w:tcW w:w="948" w:type="pct"/>
          </w:tcPr>
          <w:p w14:paraId="30A13FD9">
            <w:pPr>
              <w:ind w:firstLine="480"/>
              <w:rPr>
                <w:rFonts w:ascii="仿宋_GB2312" w:hAnsi="微软雅黑" w:eastAsia="仿宋_GB2312"/>
                <w:sz w:val="24"/>
                <w:szCs w:val="24"/>
              </w:rPr>
            </w:pPr>
          </w:p>
        </w:tc>
        <w:tc>
          <w:tcPr>
            <w:tcW w:w="835" w:type="pct"/>
          </w:tcPr>
          <w:p w14:paraId="5A4B689B">
            <w:pPr>
              <w:ind w:firstLine="480"/>
              <w:rPr>
                <w:rFonts w:ascii="仿宋_GB2312" w:hAnsi="微软雅黑" w:eastAsia="仿宋_GB2312"/>
                <w:sz w:val="24"/>
                <w:szCs w:val="24"/>
              </w:rPr>
            </w:pPr>
          </w:p>
        </w:tc>
        <w:tc>
          <w:tcPr>
            <w:tcW w:w="879" w:type="pct"/>
          </w:tcPr>
          <w:p w14:paraId="50238B3E">
            <w:pPr>
              <w:ind w:firstLine="480"/>
              <w:rPr>
                <w:rFonts w:ascii="仿宋_GB2312" w:hAnsi="微软雅黑" w:eastAsia="仿宋_GB2312"/>
                <w:sz w:val="24"/>
                <w:szCs w:val="24"/>
              </w:rPr>
            </w:pPr>
            <w:r>
              <w:rPr>
                <w:rFonts w:hint="eastAsia" w:ascii="仿宋_GB2312" w:hAnsi="微软雅黑" w:eastAsia="仿宋_GB2312"/>
                <w:sz w:val="24"/>
                <w:szCs w:val="24"/>
              </w:rPr>
              <w:t>√</w:t>
            </w:r>
          </w:p>
        </w:tc>
      </w:tr>
      <w:tr w14:paraId="337A9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407" w:type="pct"/>
          </w:tcPr>
          <w:p w14:paraId="7FC3A7F0">
            <w:pPr>
              <w:jc w:val="left"/>
              <w:rPr>
                <w:rFonts w:ascii="仿宋_GB2312" w:hAnsi="微软雅黑" w:eastAsia="仿宋_GB2312"/>
                <w:sz w:val="24"/>
                <w:szCs w:val="24"/>
              </w:rPr>
            </w:pPr>
            <w:r>
              <w:rPr>
                <w:rFonts w:ascii="仿宋_GB2312" w:hAnsi="微软雅黑" w:eastAsia="仿宋_GB2312"/>
                <w:sz w:val="24"/>
                <w:szCs w:val="24"/>
              </w:rPr>
              <w:t>QFII/RQFII</w:t>
            </w:r>
          </w:p>
        </w:tc>
        <w:tc>
          <w:tcPr>
            <w:tcW w:w="929" w:type="pct"/>
          </w:tcPr>
          <w:p w14:paraId="66F71A0A">
            <w:pPr>
              <w:ind w:firstLine="480"/>
              <w:rPr>
                <w:rFonts w:ascii="仿宋_GB2312" w:hAnsi="微软雅黑" w:eastAsia="仿宋_GB2312"/>
                <w:sz w:val="24"/>
                <w:szCs w:val="24"/>
              </w:rPr>
            </w:pPr>
          </w:p>
        </w:tc>
        <w:tc>
          <w:tcPr>
            <w:tcW w:w="948" w:type="pct"/>
          </w:tcPr>
          <w:p w14:paraId="18B6D0E3">
            <w:pPr>
              <w:ind w:firstLine="480"/>
              <w:rPr>
                <w:rFonts w:ascii="仿宋_GB2312" w:hAnsi="微软雅黑" w:eastAsia="仿宋_GB2312"/>
                <w:sz w:val="24"/>
                <w:szCs w:val="24"/>
              </w:rPr>
            </w:pPr>
          </w:p>
        </w:tc>
        <w:tc>
          <w:tcPr>
            <w:tcW w:w="835" w:type="pct"/>
          </w:tcPr>
          <w:p w14:paraId="7FA48FD3">
            <w:pPr>
              <w:ind w:firstLine="480"/>
              <w:rPr>
                <w:rFonts w:ascii="仿宋_GB2312" w:hAnsi="微软雅黑" w:eastAsia="仿宋_GB2312"/>
                <w:sz w:val="24"/>
                <w:szCs w:val="24"/>
              </w:rPr>
            </w:pPr>
            <w:r>
              <w:rPr>
                <w:rFonts w:hint="eastAsia" w:ascii="仿宋_GB2312" w:hAnsi="微软雅黑" w:eastAsia="仿宋_GB2312"/>
                <w:sz w:val="24"/>
                <w:szCs w:val="24"/>
              </w:rPr>
              <w:t>√</w:t>
            </w:r>
          </w:p>
        </w:tc>
        <w:tc>
          <w:tcPr>
            <w:tcW w:w="879" w:type="pct"/>
          </w:tcPr>
          <w:p w14:paraId="233E2FF3">
            <w:pPr>
              <w:ind w:firstLine="480"/>
              <w:rPr>
                <w:rFonts w:ascii="仿宋_GB2312" w:hAnsi="微软雅黑" w:eastAsia="仿宋_GB2312"/>
                <w:sz w:val="24"/>
                <w:szCs w:val="24"/>
              </w:rPr>
            </w:pPr>
          </w:p>
        </w:tc>
      </w:tr>
      <w:tr w14:paraId="264BD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407" w:type="pct"/>
          </w:tcPr>
          <w:p w14:paraId="54168FE9">
            <w:pPr>
              <w:jc w:val="left"/>
              <w:rPr>
                <w:rFonts w:ascii="仿宋_GB2312" w:hAnsi="微软雅黑" w:eastAsia="仿宋_GB2312"/>
                <w:sz w:val="24"/>
                <w:szCs w:val="24"/>
              </w:rPr>
            </w:pPr>
            <w:r>
              <w:rPr>
                <w:rFonts w:hint="eastAsia" w:ascii="仿宋_GB2312" w:hAnsi="微软雅黑" w:eastAsia="仿宋_GB2312"/>
                <w:sz w:val="24"/>
                <w:szCs w:val="24"/>
              </w:rPr>
              <w:t>社保</w:t>
            </w:r>
            <w:r>
              <w:rPr>
                <w:rFonts w:ascii="仿宋_GB2312" w:hAnsi="微软雅黑" w:eastAsia="仿宋_GB2312"/>
                <w:sz w:val="24"/>
                <w:szCs w:val="24"/>
              </w:rPr>
              <w:t>/</w:t>
            </w:r>
            <w:r>
              <w:rPr>
                <w:rFonts w:hint="eastAsia" w:ascii="仿宋_GB2312" w:hAnsi="微软雅黑" w:eastAsia="仿宋_GB2312"/>
                <w:sz w:val="24"/>
                <w:szCs w:val="24"/>
              </w:rPr>
              <w:t>企业年金等</w:t>
            </w:r>
          </w:p>
        </w:tc>
        <w:tc>
          <w:tcPr>
            <w:tcW w:w="929" w:type="pct"/>
          </w:tcPr>
          <w:p w14:paraId="671A406B">
            <w:pPr>
              <w:ind w:firstLine="480"/>
              <w:rPr>
                <w:rFonts w:ascii="仿宋_GB2312" w:hAnsi="微软雅黑" w:eastAsia="仿宋_GB2312"/>
                <w:sz w:val="24"/>
                <w:szCs w:val="24"/>
              </w:rPr>
            </w:pPr>
          </w:p>
        </w:tc>
        <w:tc>
          <w:tcPr>
            <w:tcW w:w="948" w:type="pct"/>
          </w:tcPr>
          <w:p w14:paraId="103F5146">
            <w:pPr>
              <w:ind w:firstLine="480"/>
              <w:rPr>
                <w:rFonts w:ascii="仿宋_GB2312" w:hAnsi="微软雅黑" w:eastAsia="仿宋_GB2312"/>
                <w:sz w:val="24"/>
                <w:szCs w:val="24"/>
              </w:rPr>
            </w:pPr>
            <w:r>
              <w:rPr>
                <w:rFonts w:hint="eastAsia" w:ascii="仿宋_GB2312" w:hAnsi="微软雅黑" w:eastAsia="仿宋_GB2312"/>
                <w:sz w:val="24"/>
                <w:szCs w:val="24"/>
              </w:rPr>
              <w:t>√</w:t>
            </w:r>
          </w:p>
        </w:tc>
        <w:tc>
          <w:tcPr>
            <w:tcW w:w="835" w:type="pct"/>
          </w:tcPr>
          <w:p w14:paraId="44A06275">
            <w:pPr>
              <w:ind w:firstLine="480"/>
              <w:rPr>
                <w:rFonts w:ascii="仿宋_GB2312" w:hAnsi="微软雅黑" w:eastAsia="仿宋_GB2312"/>
                <w:sz w:val="24"/>
                <w:szCs w:val="24"/>
              </w:rPr>
            </w:pPr>
          </w:p>
        </w:tc>
        <w:tc>
          <w:tcPr>
            <w:tcW w:w="879" w:type="pct"/>
          </w:tcPr>
          <w:p w14:paraId="349C16F4">
            <w:pPr>
              <w:ind w:firstLine="480"/>
              <w:rPr>
                <w:rFonts w:ascii="仿宋_GB2312" w:hAnsi="微软雅黑" w:eastAsia="仿宋_GB2312"/>
                <w:sz w:val="24"/>
                <w:szCs w:val="24"/>
              </w:rPr>
            </w:pPr>
            <w:r>
              <w:rPr>
                <w:rFonts w:hint="eastAsia" w:ascii="仿宋_GB2312" w:hAnsi="微软雅黑" w:eastAsia="仿宋_GB2312"/>
                <w:sz w:val="24"/>
                <w:szCs w:val="24"/>
              </w:rPr>
              <w:t>√</w:t>
            </w:r>
          </w:p>
        </w:tc>
      </w:tr>
      <w:tr w14:paraId="784B8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407" w:type="pct"/>
          </w:tcPr>
          <w:p w14:paraId="30D142FE">
            <w:pPr>
              <w:jc w:val="left"/>
              <w:rPr>
                <w:rFonts w:ascii="仿宋_GB2312" w:hAnsi="微软雅黑" w:eastAsia="仿宋_GB2312"/>
                <w:sz w:val="24"/>
                <w:szCs w:val="24"/>
              </w:rPr>
            </w:pPr>
            <w:r>
              <w:rPr>
                <w:rFonts w:hint="eastAsia" w:ascii="仿宋_GB2312" w:hAnsi="微软雅黑" w:eastAsia="仿宋_GB2312"/>
                <w:sz w:val="24"/>
                <w:szCs w:val="24"/>
              </w:rPr>
              <w:t>其他金融机构</w:t>
            </w:r>
          </w:p>
        </w:tc>
        <w:tc>
          <w:tcPr>
            <w:tcW w:w="929" w:type="pct"/>
          </w:tcPr>
          <w:p w14:paraId="6557DC25">
            <w:pPr>
              <w:ind w:firstLine="480"/>
              <w:rPr>
                <w:rFonts w:ascii="仿宋_GB2312" w:hAnsi="微软雅黑" w:eastAsia="仿宋_GB2312"/>
                <w:sz w:val="24"/>
                <w:szCs w:val="24"/>
              </w:rPr>
            </w:pPr>
          </w:p>
        </w:tc>
        <w:tc>
          <w:tcPr>
            <w:tcW w:w="948" w:type="pct"/>
          </w:tcPr>
          <w:p w14:paraId="1D389C32">
            <w:pPr>
              <w:ind w:firstLine="480"/>
              <w:rPr>
                <w:rFonts w:ascii="仿宋_GB2312" w:hAnsi="微软雅黑" w:eastAsia="仿宋_GB2312"/>
                <w:sz w:val="24"/>
                <w:szCs w:val="24"/>
              </w:rPr>
            </w:pPr>
          </w:p>
        </w:tc>
        <w:tc>
          <w:tcPr>
            <w:tcW w:w="835" w:type="pct"/>
          </w:tcPr>
          <w:p w14:paraId="653B5AD8">
            <w:pPr>
              <w:ind w:firstLine="480"/>
              <w:rPr>
                <w:rFonts w:ascii="仿宋_GB2312" w:hAnsi="微软雅黑" w:eastAsia="仿宋_GB2312"/>
                <w:sz w:val="24"/>
                <w:szCs w:val="24"/>
              </w:rPr>
            </w:pPr>
          </w:p>
        </w:tc>
        <w:tc>
          <w:tcPr>
            <w:tcW w:w="879" w:type="pct"/>
          </w:tcPr>
          <w:p w14:paraId="12062F7F">
            <w:pPr>
              <w:ind w:firstLine="480"/>
              <w:rPr>
                <w:rFonts w:ascii="仿宋_GB2312" w:hAnsi="微软雅黑" w:eastAsia="仿宋_GB2312"/>
                <w:sz w:val="24"/>
                <w:szCs w:val="24"/>
              </w:rPr>
            </w:pPr>
            <w:r>
              <w:rPr>
                <w:rFonts w:hint="eastAsia" w:ascii="仿宋_GB2312" w:hAnsi="微软雅黑" w:eastAsia="仿宋_GB2312"/>
                <w:sz w:val="24"/>
                <w:szCs w:val="24"/>
              </w:rPr>
              <w:t>√</w:t>
            </w:r>
          </w:p>
        </w:tc>
      </w:tr>
      <w:tr w14:paraId="49C99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407" w:type="pct"/>
          </w:tcPr>
          <w:p w14:paraId="6E48E203">
            <w:pPr>
              <w:jc w:val="left"/>
              <w:rPr>
                <w:rFonts w:ascii="仿宋_GB2312" w:hAnsi="微软雅黑" w:eastAsia="仿宋_GB2312"/>
                <w:sz w:val="24"/>
                <w:szCs w:val="24"/>
              </w:rPr>
            </w:pPr>
            <w:r>
              <w:rPr>
                <w:rFonts w:hint="eastAsia" w:ascii="仿宋_GB2312" w:hAnsi="微软雅黑" w:eastAsia="仿宋_GB2312"/>
                <w:sz w:val="24"/>
                <w:szCs w:val="24"/>
              </w:rPr>
              <w:t>其他金融机构产品</w:t>
            </w:r>
          </w:p>
        </w:tc>
        <w:tc>
          <w:tcPr>
            <w:tcW w:w="929" w:type="pct"/>
          </w:tcPr>
          <w:p w14:paraId="6586671D">
            <w:pPr>
              <w:ind w:firstLine="480"/>
              <w:rPr>
                <w:rFonts w:ascii="仿宋_GB2312" w:hAnsi="微软雅黑" w:eastAsia="仿宋_GB2312"/>
                <w:sz w:val="24"/>
                <w:szCs w:val="24"/>
              </w:rPr>
            </w:pPr>
          </w:p>
        </w:tc>
        <w:tc>
          <w:tcPr>
            <w:tcW w:w="948" w:type="pct"/>
          </w:tcPr>
          <w:p w14:paraId="067E6837">
            <w:pPr>
              <w:ind w:firstLine="480"/>
              <w:rPr>
                <w:rFonts w:ascii="仿宋_GB2312" w:hAnsi="微软雅黑" w:eastAsia="仿宋_GB2312"/>
                <w:sz w:val="24"/>
                <w:szCs w:val="24"/>
              </w:rPr>
            </w:pPr>
          </w:p>
        </w:tc>
        <w:tc>
          <w:tcPr>
            <w:tcW w:w="835" w:type="pct"/>
          </w:tcPr>
          <w:p w14:paraId="20027206">
            <w:pPr>
              <w:ind w:firstLine="482"/>
              <w:rPr>
                <w:rFonts w:ascii="仿宋_GB2312" w:hAnsi="微软雅黑" w:eastAsia="仿宋_GB2312"/>
                <w:sz w:val="24"/>
                <w:szCs w:val="24"/>
              </w:rPr>
            </w:pPr>
          </w:p>
        </w:tc>
        <w:tc>
          <w:tcPr>
            <w:tcW w:w="879" w:type="pct"/>
          </w:tcPr>
          <w:p w14:paraId="0CE6A847">
            <w:pPr>
              <w:ind w:firstLine="480"/>
              <w:rPr>
                <w:rFonts w:ascii="仿宋_GB2312" w:hAnsi="微软雅黑" w:eastAsia="仿宋_GB2312"/>
                <w:sz w:val="24"/>
                <w:szCs w:val="24"/>
              </w:rPr>
            </w:pPr>
            <w:r>
              <w:rPr>
                <w:rFonts w:hint="eastAsia" w:ascii="仿宋_GB2312" w:hAnsi="微软雅黑" w:eastAsia="仿宋_GB2312"/>
                <w:sz w:val="24"/>
                <w:szCs w:val="24"/>
              </w:rPr>
              <w:t>√</w:t>
            </w:r>
          </w:p>
        </w:tc>
      </w:tr>
      <w:tr w14:paraId="2A37F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407" w:type="pct"/>
          </w:tcPr>
          <w:p w14:paraId="54E2CF26">
            <w:pPr>
              <w:jc w:val="left"/>
              <w:rPr>
                <w:rFonts w:ascii="仿宋_GB2312" w:hAnsi="微软雅黑" w:eastAsia="仿宋_GB2312"/>
                <w:sz w:val="24"/>
                <w:szCs w:val="24"/>
              </w:rPr>
            </w:pPr>
            <w:r>
              <w:rPr>
                <w:rFonts w:hint="eastAsia" w:ascii="仿宋_GB2312" w:hAnsi="微软雅黑" w:eastAsia="仿宋_GB2312"/>
                <w:sz w:val="24"/>
                <w:szCs w:val="24"/>
              </w:rPr>
              <w:t>非金融机构</w:t>
            </w:r>
          </w:p>
        </w:tc>
        <w:tc>
          <w:tcPr>
            <w:tcW w:w="929" w:type="pct"/>
          </w:tcPr>
          <w:p w14:paraId="3B33EB2A">
            <w:pPr>
              <w:ind w:firstLine="480"/>
              <w:rPr>
                <w:rFonts w:ascii="仿宋_GB2312" w:hAnsi="微软雅黑" w:eastAsia="仿宋_GB2312"/>
                <w:sz w:val="24"/>
                <w:szCs w:val="24"/>
              </w:rPr>
            </w:pPr>
          </w:p>
        </w:tc>
        <w:tc>
          <w:tcPr>
            <w:tcW w:w="948" w:type="pct"/>
          </w:tcPr>
          <w:p w14:paraId="312ADACD">
            <w:pPr>
              <w:ind w:firstLine="480"/>
              <w:rPr>
                <w:rFonts w:ascii="仿宋_GB2312" w:hAnsi="微软雅黑" w:eastAsia="仿宋_GB2312"/>
                <w:sz w:val="24"/>
                <w:szCs w:val="24"/>
              </w:rPr>
            </w:pPr>
          </w:p>
        </w:tc>
        <w:tc>
          <w:tcPr>
            <w:tcW w:w="835" w:type="pct"/>
          </w:tcPr>
          <w:p w14:paraId="15515F92">
            <w:pPr>
              <w:ind w:firstLine="480"/>
              <w:rPr>
                <w:rFonts w:ascii="仿宋_GB2312" w:hAnsi="微软雅黑" w:eastAsia="仿宋_GB2312"/>
                <w:sz w:val="24"/>
                <w:szCs w:val="24"/>
              </w:rPr>
            </w:pPr>
          </w:p>
        </w:tc>
        <w:tc>
          <w:tcPr>
            <w:tcW w:w="879" w:type="pct"/>
          </w:tcPr>
          <w:p w14:paraId="3F1A65D4">
            <w:pPr>
              <w:ind w:firstLine="480"/>
              <w:rPr>
                <w:rFonts w:ascii="仿宋_GB2312" w:hAnsi="微软雅黑" w:eastAsia="仿宋_GB2312"/>
                <w:sz w:val="24"/>
                <w:szCs w:val="24"/>
              </w:rPr>
            </w:pPr>
            <w:r>
              <w:rPr>
                <w:rFonts w:hint="eastAsia" w:ascii="仿宋_GB2312" w:hAnsi="微软雅黑" w:eastAsia="仿宋_GB2312"/>
                <w:sz w:val="24"/>
                <w:szCs w:val="24"/>
              </w:rPr>
              <w:t>√</w:t>
            </w:r>
          </w:p>
        </w:tc>
      </w:tr>
      <w:tr w14:paraId="602C3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407" w:type="pct"/>
          </w:tcPr>
          <w:p w14:paraId="71C94B1F">
            <w:pPr>
              <w:jc w:val="left"/>
              <w:rPr>
                <w:rFonts w:ascii="仿宋_GB2312" w:hAnsi="微软雅黑" w:eastAsia="仿宋_GB2312"/>
                <w:sz w:val="24"/>
                <w:szCs w:val="24"/>
              </w:rPr>
            </w:pPr>
            <w:r>
              <w:rPr>
                <w:rFonts w:hint="eastAsia" w:ascii="仿宋_GB2312" w:hAnsi="微软雅黑" w:eastAsia="仿宋_GB2312"/>
                <w:sz w:val="24"/>
                <w:szCs w:val="24"/>
              </w:rPr>
              <w:t>个人</w:t>
            </w:r>
          </w:p>
        </w:tc>
        <w:tc>
          <w:tcPr>
            <w:tcW w:w="929" w:type="pct"/>
          </w:tcPr>
          <w:p w14:paraId="3EEA89F6">
            <w:pPr>
              <w:ind w:firstLine="480"/>
              <w:rPr>
                <w:rFonts w:ascii="仿宋_GB2312" w:hAnsi="微软雅黑" w:eastAsia="仿宋_GB2312"/>
                <w:sz w:val="24"/>
                <w:szCs w:val="24"/>
              </w:rPr>
            </w:pPr>
          </w:p>
        </w:tc>
        <w:tc>
          <w:tcPr>
            <w:tcW w:w="948" w:type="pct"/>
          </w:tcPr>
          <w:p w14:paraId="05B534DE">
            <w:pPr>
              <w:ind w:firstLine="480"/>
              <w:rPr>
                <w:rFonts w:ascii="仿宋_GB2312" w:hAnsi="微软雅黑" w:eastAsia="仿宋_GB2312"/>
                <w:sz w:val="24"/>
                <w:szCs w:val="24"/>
              </w:rPr>
            </w:pPr>
          </w:p>
        </w:tc>
        <w:tc>
          <w:tcPr>
            <w:tcW w:w="835" w:type="pct"/>
          </w:tcPr>
          <w:p w14:paraId="348FD340">
            <w:pPr>
              <w:ind w:firstLine="480"/>
              <w:rPr>
                <w:rFonts w:ascii="仿宋_GB2312" w:hAnsi="微软雅黑" w:eastAsia="仿宋_GB2312"/>
                <w:sz w:val="24"/>
                <w:szCs w:val="24"/>
              </w:rPr>
            </w:pPr>
          </w:p>
        </w:tc>
        <w:tc>
          <w:tcPr>
            <w:tcW w:w="879" w:type="pct"/>
          </w:tcPr>
          <w:p w14:paraId="265DCF50">
            <w:pPr>
              <w:ind w:firstLine="480"/>
              <w:rPr>
                <w:rFonts w:ascii="仿宋_GB2312" w:hAnsi="微软雅黑" w:eastAsia="仿宋_GB2312"/>
                <w:sz w:val="24"/>
                <w:szCs w:val="24"/>
              </w:rPr>
            </w:pPr>
            <w:r>
              <w:rPr>
                <w:rFonts w:hint="eastAsia" w:ascii="仿宋_GB2312" w:hAnsi="微软雅黑" w:eastAsia="仿宋_GB2312"/>
                <w:sz w:val="24"/>
                <w:szCs w:val="24"/>
              </w:rPr>
              <w:t>√</w:t>
            </w:r>
          </w:p>
        </w:tc>
      </w:tr>
    </w:tbl>
    <w:p w14:paraId="6F1F536D">
      <w:pPr>
        <w:numPr>
          <w:ilvl w:val="2"/>
          <w:numId w:val="4"/>
        </w:numPr>
        <w:spacing w:line="600" w:lineRule="exact"/>
        <w:ind w:left="0" w:firstLine="0"/>
        <w:outlineLvl w:val="2"/>
        <w:rPr>
          <w:rFonts w:ascii="仿宋_GB2312" w:eastAsia="仿宋_GB2312"/>
          <w:b/>
          <w:sz w:val="30"/>
          <w:szCs w:val="30"/>
        </w:rPr>
      </w:pPr>
      <w:bookmarkStart w:id="198" w:name="_Toc56166254"/>
      <w:bookmarkStart w:id="199" w:name="_Toc56166065"/>
      <w:r>
        <w:rPr>
          <w:rFonts w:hint="eastAsia" w:ascii="仿宋_GB2312" w:eastAsia="仿宋_GB2312"/>
          <w:b/>
          <w:sz w:val="30"/>
          <w:szCs w:val="30"/>
        </w:rPr>
        <w:t>交易结算方式</w:t>
      </w:r>
    </w:p>
    <w:p w14:paraId="66787EF2">
      <w:pPr>
        <w:spacing w:line="600" w:lineRule="exact"/>
        <w:ind w:firstLine="600" w:firstLineChars="200"/>
        <w:rPr>
          <w:rFonts w:ascii="仿宋_GB2312" w:hAnsi="黑体" w:eastAsia="仿宋_GB2312"/>
          <w:b/>
          <w:sz w:val="30"/>
          <w:szCs w:val="30"/>
        </w:rPr>
      </w:pPr>
      <w:r>
        <w:rPr>
          <w:rFonts w:hint="eastAsia" w:ascii="仿宋_GB2312" w:hAnsi="仿宋" w:eastAsia="仿宋_GB2312"/>
          <w:sz w:val="30"/>
          <w:szCs w:val="30"/>
        </w:rPr>
        <w:t>本所现有债券交易方式包括匹配成交、点击成交、询价成交、竞买成交与协商成交；结算方式包括多边净额结算或逐笔全额结算等，</w:t>
      </w:r>
      <w:r>
        <w:rPr>
          <w:rFonts w:hint="eastAsia" w:ascii="仿宋_GB2312" w:eastAsia="仿宋_GB2312"/>
          <w:color w:val="000000"/>
          <w:sz w:val="30"/>
          <w:szCs w:val="30"/>
        </w:rPr>
        <w:t>详见本指</w:t>
      </w:r>
      <w:r>
        <w:rPr>
          <w:rFonts w:hint="eastAsia" w:ascii="仿宋_GB2312" w:eastAsia="仿宋_GB2312"/>
          <w:sz w:val="30"/>
          <w:szCs w:val="30"/>
        </w:rPr>
        <w:t>南第4章、第5章相关规定</w:t>
      </w:r>
      <w:r>
        <w:rPr>
          <w:rFonts w:hint="eastAsia" w:ascii="仿宋_GB2312" w:hAnsi="仿宋" w:eastAsia="仿宋_GB2312"/>
          <w:sz w:val="30"/>
          <w:szCs w:val="30"/>
        </w:rPr>
        <w:t>。</w:t>
      </w:r>
    </w:p>
    <w:p w14:paraId="6C08CAD4">
      <w:pPr>
        <w:numPr>
          <w:ilvl w:val="0"/>
          <w:numId w:val="4"/>
        </w:numPr>
        <w:spacing w:line="600" w:lineRule="exact"/>
        <w:outlineLvl w:val="0"/>
        <w:rPr>
          <w:b/>
          <w:sz w:val="36"/>
        </w:rPr>
      </w:pPr>
      <w:r>
        <w:rPr>
          <w:b/>
          <w:sz w:val="36"/>
        </w:rPr>
        <w:br w:type="page"/>
      </w:r>
      <w:bookmarkStart w:id="200" w:name="_Toc1918121408"/>
      <w:bookmarkStart w:id="201" w:name="_Toc1423461689"/>
      <w:bookmarkStart w:id="202" w:name="_Toc410869742"/>
      <w:bookmarkStart w:id="203" w:name="_Toc131827246"/>
      <w:bookmarkStart w:id="204" w:name="_Toc151136882"/>
      <w:r>
        <w:rPr>
          <w:rFonts w:hint="eastAsia" w:ascii="黑体" w:hAnsi="黑体" w:eastAsia="黑体" w:cs="黑体"/>
          <w:b/>
          <w:sz w:val="36"/>
        </w:rPr>
        <w:t>债券交易参与人</w:t>
      </w:r>
      <w:bookmarkEnd w:id="198"/>
      <w:bookmarkEnd w:id="199"/>
      <w:bookmarkEnd w:id="200"/>
      <w:bookmarkEnd w:id="201"/>
      <w:bookmarkEnd w:id="202"/>
      <w:bookmarkEnd w:id="203"/>
      <w:bookmarkEnd w:id="204"/>
    </w:p>
    <w:p w14:paraId="629B6C40">
      <w:pPr>
        <w:spacing w:line="600" w:lineRule="exact"/>
        <w:ind w:firstLine="600"/>
        <w:rPr>
          <w:rFonts w:ascii="仿宋_GB2312" w:eastAsia="仿宋_GB2312"/>
          <w:sz w:val="30"/>
          <w:szCs w:val="30"/>
        </w:rPr>
      </w:pPr>
      <w:r>
        <w:rPr>
          <w:rFonts w:hint="eastAsia" w:ascii="仿宋_GB2312" w:eastAsia="仿宋_GB2312"/>
          <w:sz w:val="30"/>
          <w:szCs w:val="30"/>
        </w:rPr>
        <w:t>本所会员及本所认可的其他机构可以申请成为本所债券交易参与人，直接参与本所债券交易。债券交易参与人直接入场参与本所债券交易的，可以通过开设或者租用参与者交易业务单元（以下简称交易单元或PBU）或者本所认可的其他方式，通过本所认可的接入服务系统接入本所债券交易系统进行交易。</w:t>
      </w:r>
    </w:p>
    <w:p w14:paraId="17F2170D">
      <w:pPr>
        <w:spacing w:line="600" w:lineRule="exact"/>
        <w:ind w:firstLine="600"/>
        <w:rPr>
          <w:rFonts w:ascii="仿宋_GB2312" w:eastAsia="仿宋_GB2312"/>
          <w:sz w:val="30"/>
          <w:szCs w:val="30"/>
        </w:rPr>
      </w:pPr>
      <w:r>
        <w:rPr>
          <w:rFonts w:hint="eastAsia" w:ascii="仿宋_GB2312" w:eastAsia="仿宋_GB2312"/>
          <w:sz w:val="30"/>
          <w:szCs w:val="30"/>
        </w:rPr>
        <w:t>债券交易参与人从事本所债券交易及相关业务，应当遵守法律法规和本所业务规则，诚实守信、规范运作，接受本所的自律监管。</w:t>
      </w:r>
    </w:p>
    <w:p w14:paraId="060AF313">
      <w:pPr>
        <w:numPr>
          <w:ilvl w:val="1"/>
          <w:numId w:val="4"/>
        </w:numPr>
        <w:spacing w:line="600" w:lineRule="exact"/>
        <w:ind w:left="0" w:firstLine="0"/>
        <w:outlineLvl w:val="1"/>
        <w:rPr>
          <w:rFonts w:ascii="仿宋_GB2312" w:eastAsia="仿宋_GB2312"/>
          <w:b/>
          <w:sz w:val="30"/>
          <w:szCs w:val="30"/>
        </w:rPr>
      </w:pPr>
      <w:bookmarkStart w:id="205" w:name="_Toc59034544"/>
      <w:bookmarkEnd w:id="205"/>
      <w:bookmarkStart w:id="206" w:name="_Toc59106948"/>
      <w:bookmarkEnd w:id="206"/>
      <w:bookmarkStart w:id="207" w:name="_Toc59181275"/>
      <w:bookmarkEnd w:id="207"/>
      <w:bookmarkStart w:id="208" w:name="_Toc59034065"/>
      <w:bookmarkEnd w:id="208"/>
      <w:bookmarkStart w:id="209" w:name="_Toc59181163"/>
      <w:bookmarkEnd w:id="209"/>
      <w:bookmarkStart w:id="210" w:name="_Toc59181049"/>
      <w:bookmarkEnd w:id="210"/>
      <w:bookmarkStart w:id="211" w:name="_Toc60331826"/>
      <w:bookmarkEnd w:id="211"/>
      <w:bookmarkStart w:id="212" w:name="_Toc57908857"/>
      <w:bookmarkEnd w:id="212"/>
      <w:bookmarkStart w:id="213" w:name="_Toc60327069"/>
      <w:bookmarkEnd w:id="213"/>
      <w:bookmarkStart w:id="214" w:name="_Toc56166066"/>
      <w:bookmarkStart w:id="215" w:name="_Toc1723557014"/>
      <w:bookmarkStart w:id="216" w:name="_Toc1890447083"/>
      <w:bookmarkStart w:id="217" w:name="_Toc1079726836"/>
      <w:bookmarkStart w:id="218" w:name="_Toc1805078823"/>
      <w:bookmarkStart w:id="219" w:name="_Toc56166255"/>
      <w:bookmarkStart w:id="220" w:name="_Toc151136883"/>
      <w:r>
        <w:rPr>
          <w:rFonts w:ascii="仿宋_GB2312" w:hAnsi="黑体" w:eastAsia="仿宋_GB2312"/>
          <w:b/>
          <w:sz w:val="30"/>
          <w:szCs w:val="30"/>
        </w:rPr>
        <w:t>债券交易参与人</w:t>
      </w:r>
      <w:r>
        <w:rPr>
          <w:rFonts w:hint="eastAsia" w:ascii="仿宋_GB2312" w:hAnsi="黑体" w:eastAsia="仿宋_GB2312"/>
          <w:b/>
          <w:sz w:val="30"/>
          <w:szCs w:val="30"/>
        </w:rPr>
        <w:t>申请</w:t>
      </w:r>
      <w:bookmarkEnd w:id="214"/>
      <w:bookmarkEnd w:id="215"/>
      <w:bookmarkEnd w:id="216"/>
      <w:bookmarkEnd w:id="217"/>
      <w:bookmarkEnd w:id="218"/>
      <w:bookmarkEnd w:id="219"/>
      <w:bookmarkEnd w:id="220"/>
    </w:p>
    <w:p w14:paraId="1673FCAC">
      <w:pPr>
        <w:numPr>
          <w:ilvl w:val="2"/>
          <w:numId w:val="4"/>
        </w:numPr>
        <w:spacing w:line="600" w:lineRule="exact"/>
        <w:ind w:left="0" w:firstLine="0"/>
        <w:outlineLvl w:val="2"/>
        <w:rPr>
          <w:rFonts w:ascii="仿宋_GB2312" w:eastAsia="仿宋_GB2312"/>
          <w:b/>
          <w:sz w:val="30"/>
          <w:szCs w:val="30"/>
        </w:rPr>
      </w:pPr>
      <w:bookmarkStart w:id="221" w:name="_Toc57908859"/>
      <w:r>
        <w:rPr>
          <w:rFonts w:hint="eastAsia" w:ascii="仿宋_GB2312" w:eastAsia="仿宋_GB2312"/>
          <w:b/>
          <w:sz w:val="30"/>
          <w:szCs w:val="30"/>
        </w:rPr>
        <w:t>申请条件</w:t>
      </w:r>
      <w:bookmarkEnd w:id="221"/>
    </w:p>
    <w:p w14:paraId="7F8F49E7">
      <w:pPr>
        <w:spacing w:line="600" w:lineRule="exact"/>
        <w:ind w:firstLine="600"/>
        <w:rPr>
          <w:rFonts w:ascii="仿宋_GB2312" w:eastAsia="仿宋_GB2312"/>
          <w:sz w:val="30"/>
          <w:szCs w:val="30"/>
        </w:rPr>
      </w:pPr>
      <w:r>
        <w:rPr>
          <w:rFonts w:hint="eastAsia" w:ascii="仿宋_GB2312" w:eastAsia="仿宋_GB2312"/>
          <w:sz w:val="30"/>
          <w:szCs w:val="30"/>
        </w:rPr>
        <w:t>【会员类机构】</w:t>
      </w:r>
    </w:p>
    <w:p w14:paraId="44EA6CF6">
      <w:pPr>
        <w:spacing w:line="600" w:lineRule="exact"/>
        <w:ind w:firstLine="600"/>
        <w:rPr>
          <w:rFonts w:ascii="仿宋_GB2312" w:eastAsia="仿宋_GB2312"/>
          <w:sz w:val="30"/>
          <w:szCs w:val="30"/>
        </w:rPr>
      </w:pPr>
      <w:r>
        <w:rPr>
          <w:rFonts w:hint="eastAsia" w:ascii="仿宋_GB2312" w:eastAsia="仿宋_GB2312"/>
          <w:sz w:val="30"/>
          <w:szCs w:val="30"/>
        </w:rPr>
        <w:t>证券公司按照《上海证券交易所会员管理规则》等本所会员管理规则申请成为本所会员的，直接成为债券交易参与人。</w:t>
      </w:r>
    </w:p>
    <w:p w14:paraId="1C6391C1">
      <w:pPr>
        <w:spacing w:line="600" w:lineRule="exact"/>
        <w:ind w:firstLine="600"/>
        <w:rPr>
          <w:rFonts w:ascii="仿宋_GB2312" w:eastAsia="仿宋_GB2312"/>
          <w:sz w:val="30"/>
          <w:szCs w:val="30"/>
        </w:rPr>
      </w:pPr>
      <w:r>
        <w:rPr>
          <w:rFonts w:hint="eastAsia" w:ascii="仿宋_GB2312" w:eastAsia="仿宋_GB2312"/>
          <w:sz w:val="30"/>
          <w:szCs w:val="30"/>
        </w:rPr>
        <w:t>本所会员资格申请，按照《上海证券交易所会员管理规则（2019年修订）》相关业务流程办理。</w:t>
      </w:r>
    </w:p>
    <w:p w14:paraId="65E4B594">
      <w:pPr>
        <w:spacing w:line="600" w:lineRule="exact"/>
        <w:ind w:firstLine="600"/>
        <w:rPr>
          <w:rFonts w:ascii="仿宋_GB2312" w:eastAsia="仿宋_GB2312"/>
          <w:sz w:val="30"/>
          <w:szCs w:val="30"/>
        </w:rPr>
      </w:pPr>
      <w:r>
        <w:rPr>
          <w:rFonts w:hint="eastAsia" w:ascii="仿宋_GB2312" w:eastAsia="仿宋_GB2312"/>
          <w:sz w:val="30"/>
          <w:szCs w:val="30"/>
        </w:rPr>
        <w:t>【非会员机构申请条件】</w:t>
      </w:r>
    </w:p>
    <w:p w14:paraId="07ADF58C">
      <w:pPr>
        <w:spacing w:line="600" w:lineRule="exact"/>
        <w:ind w:firstLine="600"/>
        <w:rPr>
          <w:rFonts w:ascii="仿宋_GB2312" w:eastAsia="仿宋_GB2312"/>
          <w:sz w:val="30"/>
          <w:szCs w:val="30"/>
        </w:rPr>
      </w:pPr>
      <w:r>
        <w:rPr>
          <w:rFonts w:hint="eastAsia" w:ascii="仿宋_GB2312" w:eastAsia="仿宋_GB2312"/>
          <w:sz w:val="30"/>
          <w:szCs w:val="30"/>
        </w:rPr>
        <w:t>固定收益平台交易商（含一级交易商）及已在本所开立或租用交易单元的非会员机构，可直接成为本所债券交易参与人，</w:t>
      </w:r>
      <w:r>
        <w:rPr>
          <w:rFonts w:ascii="仿宋_GB2312" w:eastAsia="仿宋_GB2312"/>
          <w:sz w:val="30"/>
          <w:szCs w:val="30"/>
        </w:rPr>
        <w:t>无需另行申请</w:t>
      </w:r>
      <w:r>
        <w:rPr>
          <w:rFonts w:hint="eastAsia" w:ascii="仿宋_GB2312" w:eastAsia="仿宋_GB2312"/>
          <w:sz w:val="30"/>
          <w:szCs w:val="30"/>
        </w:rPr>
        <w:t>。</w:t>
      </w:r>
    </w:p>
    <w:p w14:paraId="324EBEEA">
      <w:pPr>
        <w:spacing w:line="600" w:lineRule="exact"/>
        <w:ind w:firstLine="600"/>
        <w:rPr>
          <w:rFonts w:ascii="仿宋_GB2312" w:eastAsia="仿宋_GB2312"/>
          <w:sz w:val="30"/>
          <w:szCs w:val="30"/>
        </w:rPr>
      </w:pPr>
      <w:r>
        <w:rPr>
          <w:rFonts w:hint="eastAsia" w:ascii="仿宋_GB2312" w:eastAsia="仿宋_GB2312"/>
          <w:sz w:val="30"/>
          <w:szCs w:val="30"/>
        </w:rPr>
        <w:t>符合下列条件的金融机构和本所认可的其他机构可以申请成为本所债券交易参与人：</w:t>
      </w:r>
    </w:p>
    <w:p w14:paraId="504E7A4E">
      <w:pPr>
        <w:spacing w:line="600" w:lineRule="exact"/>
        <w:ind w:firstLine="600"/>
        <w:rPr>
          <w:rFonts w:ascii="仿宋_GB2312" w:eastAsia="仿宋_GB2312"/>
          <w:sz w:val="30"/>
          <w:szCs w:val="30"/>
        </w:rPr>
      </w:pPr>
      <w:r>
        <w:rPr>
          <w:rFonts w:hint="eastAsia" w:ascii="仿宋_GB2312" w:eastAsia="仿宋_GB2312"/>
          <w:sz w:val="30"/>
          <w:szCs w:val="30"/>
        </w:rPr>
        <w:t>（1）具有较强的资本、资金实力与持续经营能力，或者具有参与本所债券交易的相应功能；</w:t>
      </w:r>
    </w:p>
    <w:p w14:paraId="63A961BC">
      <w:pPr>
        <w:spacing w:line="600" w:lineRule="exact"/>
        <w:ind w:firstLine="600"/>
        <w:rPr>
          <w:rFonts w:ascii="仿宋_GB2312" w:eastAsia="仿宋_GB2312"/>
          <w:sz w:val="30"/>
          <w:szCs w:val="30"/>
        </w:rPr>
      </w:pPr>
      <w:r>
        <w:rPr>
          <w:rFonts w:hint="eastAsia" w:ascii="仿宋_GB2312" w:eastAsia="仿宋_GB2312"/>
          <w:sz w:val="30"/>
          <w:szCs w:val="30"/>
        </w:rPr>
        <w:t xml:space="preserve">（2）具有独立的债券交易团队； </w:t>
      </w:r>
    </w:p>
    <w:p w14:paraId="3C7717A7">
      <w:pPr>
        <w:spacing w:line="600" w:lineRule="exact"/>
        <w:ind w:firstLine="600"/>
        <w:rPr>
          <w:rFonts w:ascii="仿宋_GB2312" w:eastAsia="仿宋_GB2312"/>
          <w:sz w:val="30"/>
          <w:szCs w:val="30"/>
        </w:rPr>
      </w:pPr>
      <w:r>
        <w:rPr>
          <w:rFonts w:hint="eastAsia" w:ascii="仿宋_GB2312" w:eastAsia="仿宋_GB2312"/>
          <w:sz w:val="30"/>
          <w:szCs w:val="30"/>
        </w:rPr>
        <w:t>（3）具有完善的交易业务管理制度和风险控制制度；</w:t>
      </w:r>
    </w:p>
    <w:p w14:paraId="65DB9811">
      <w:pPr>
        <w:spacing w:line="600" w:lineRule="exact"/>
        <w:ind w:firstLine="600"/>
        <w:rPr>
          <w:rFonts w:ascii="仿宋_GB2312" w:eastAsia="仿宋_GB2312"/>
          <w:sz w:val="30"/>
          <w:szCs w:val="30"/>
        </w:rPr>
      </w:pPr>
      <w:r>
        <w:rPr>
          <w:rFonts w:hint="eastAsia" w:ascii="仿宋_GB2312" w:eastAsia="仿宋_GB2312"/>
          <w:sz w:val="30"/>
          <w:szCs w:val="30"/>
        </w:rPr>
        <w:t>（4）具有能够支持开展债券交易的相关技术系统；</w:t>
      </w:r>
    </w:p>
    <w:p w14:paraId="6915ACD5">
      <w:pPr>
        <w:spacing w:line="600" w:lineRule="exact"/>
        <w:ind w:firstLine="600"/>
        <w:rPr>
          <w:rFonts w:ascii="仿宋_GB2312" w:eastAsia="仿宋_GB2312"/>
          <w:sz w:val="30"/>
          <w:szCs w:val="30"/>
        </w:rPr>
      </w:pPr>
      <w:r>
        <w:rPr>
          <w:rFonts w:hint="eastAsia" w:ascii="仿宋_GB2312" w:eastAsia="仿宋_GB2312"/>
          <w:sz w:val="30"/>
          <w:szCs w:val="30"/>
        </w:rPr>
        <w:t>（5）债券投资交易量较大，具有较强的债券交易需求；</w:t>
      </w:r>
    </w:p>
    <w:p w14:paraId="4CA3F569">
      <w:pPr>
        <w:spacing w:line="600" w:lineRule="exact"/>
        <w:ind w:firstLine="600"/>
        <w:rPr>
          <w:rFonts w:ascii="仿宋_GB2312" w:eastAsia="仿宋_GB2312"/>
          <w:sz w:val="30"/>
          <w:szCs w:val="30"/>
        </w:rPr>
      </w:pPr>
      <w:r>
        <w:rPr>
          <w:rFonts w:hint="eastAsia" w:ascii="仿宋_GB2312" w:eastAsia="仿宋_GB2312"/>
          <w:sz w:val="30"/>
          <w:szCs w:val="30"/>
        </w:rPr>
        <w:t>（6）近2年无债券交易结算重大违法违规行为；</w:t>
      </w:r>
    </w:p>
    <w:p w14:paraId="42D1C855">
      <w:pPr>
        <w:spacing w:line="600" w:lineRule="exact"/>
        <w:ind w:firstLine="600"/>
        <w:rPr>
          <w:rFonts w:ascii="仿宋_GB2312" w:eastAsia="仿宋_GB2312"/>
          <w:sz w:val="30"/>
          <w:szCs w:val="30"/>
        </w:rPr>
      </w:pPr>
      <w:r>
        <w:rPr>
          <w:rFonts w:hint="eastAsia" w:ascii="仿宋_GB2312" w:eastAsia="仿宋_GB2312"/>
          <w:sz w:val="30"/>
          <w:szCs w:val="30"/>
        </w:rPr>
        <w:t>（7）本所规定的其他条件。</w:t>
      </w:r>
    </w:p>
    <w:p w14:paraId="1739D12D">
      <w:pPr>
        <w:spacing w:line="600" w:lineRule="exact"/>
        <w:ind w:firstLine="600"/>
        <w:rPr>
          <w:rFonts w:ascii="仿宋_GB2312" w:eastAsia="仿宋_GB2312"/>
          <w:sz w:val="30"/>
          <w:szCs w:val="30"/>
        </w:rPr>
      </w:pPr>
      <w:r>
        <w:rPr>
          <w:rFonts w:hint="eastAsia" w:ascii="仿宋_GB2312" w:eastAsia="仿宋_GB2312"/>
          <w:sz w:val="30"/>
          <w:szCs w:val="30"/>
        </w:rPr>
        <w:t>第（1）项所称的资本、资金实力，是指非会员单位达到下列标准：</w:t>
      </w:r>
    </w:p>
    <w:p w14:paraId="057C8615">
      <w:pPr>
        <w:pStyle w:val="92"/>
        <w:numPr>
          <w:ilvl w:val="0"/>
          <w:numId w:val="5"/>
        </w:numPr>
        <w:spacing w:line="600" w:lineRule="exact"/>
        <w:ind w:left="0" w:firstLine="600"/>
        <w:rPr>
          <w:rFonts w:ascii="仿宋_GB2312" w:eastAsia="仿宋_GB2312"/>
          <w:sz w:val="30"/>
          <w:szCs w:val="30"/>
          <w:lang w:eastAsia="zh-CN"/>
        </w:rPr>
      </w:pPr>
      <w:r>
        <w:rPr>
          <w:rFonts w:hint="eastAsia" w:ascii="仿宋_GB2312" w:eastAsia="仿宋_GB2312"/>
          <w:sz w:val="30"/>
          <w:szCs w:val="30"/>
          <w:lang w:eastAsia="zh-CN"/>
        </w:rPr>
        <w:t>银行最近一个会计年度年末净资产不低于100亿元人民币。上文所指银行包括政策性银行和国家开发银行、国有大型商业银行、股份制商业银行、城市商业银行、在华外资银行、境内上市的其他银行等；</w:t>
      </w:r>
    </w:p>
    <w:p w14:paraId="1CD6FA5E">
      <w:pPr>
        <w:pStyle w:val="92"/>
        <w:numPr>
          <w:ilvl w:val="0"/>
          <w:numId w:val="5"/>
        </w:numPr>
        <w:spacing w:line="600" w:lineRule="exact"/>
        <w:ind w:left="0" w:firstLine="600"/>
        <w:rPr>
          <w:rFonts w:ascii="仿宋_GB2312" w:eastAsia="仿宋_GB2312"/>
          <w:sz w:val="30"/>
          <w:szCs w:val="30"/>
          <w:lang w:eastAsia="zh-CN"/>
        </w:rPr>
      </w:pPr>
      <w:r>
        <w:rPr>
          <w:rFonts w:hint="eastAsia" w:ascii="仿宋_GB2312" w:eastAsia="仿宋_GB2312"/>
          <w:sz w:val="30"/>
          <w:szCs w:val="30"/>
          <w:lang w:eastAsia="zh-CN"/>
        </w:rPr>
        <w:t>资产管理机构应当具有发行公募资产管理产品资格，或者最近一个会计年度年末管理资产规模不低于500亿元人民币；上文所指资产管理机构，包括但不限于银行理财子公司、基金管理公司及其子公司、证券公司及其资产管理子公司、保险及保险资产管理公司、信托公司、期货公司及其子公司、金融资产投资公司等金融机构；</w:t>
      </w:r>
    </w:p>
    <w:p w14:paraId="3167D16B">
      <w:pPr>
        <w:pStyle w:val="92"/>
        <w:numPr>
          <w:ilvl w:val="0"/>
          <w:numId w:val="5"/>
        </w:numPr>
        <w:spacing w:line="600" w:lineRule="exact"/>
        <w:ind w:left="0" w:firstLine="600"/>
        <w:rPr>
          <w:rFonts w:ascii="仿宋_GB2312" w:eastAsia="仿宋_GB2312"/>
          <w:sz w:val="30"/>
          <w:szCs w:val="30"/>
          <w:lang w:eastAsia="zh-CN"/>
        </w:rPr>
      </w:pPr>
      <w:r>
        <w:rPr>
          <w:rFonts w:hint="eastAsia" w:ascii="仿宋_GB2312" w:eastAsia="仿宋_GB2312"/>
          <w:sz w:val="30"/>
          <w:szCs w:val="30"/>
          <w:lang w:eastAsia="zh-CN"/>
        </w:rPr>
        <w:t>银行、资产管理机构以外的其他机构，包括但不限于保险公司、财务公司、消费金融公司、金融资产管理公司及本所认可的其他机构、法人，最近一个会计年度年末净资产不低于50亿元人民币。</w:t>
      </w:r>
    </w:p>
    <w:p w14:paraId="20D10E3F">
      <w:pPr>
        <w:spacing w:line="600" w:lineRule="exact"/>
        <w:ind w:firstLine="600"/>
        <w:rPr>
          <w:rFonts w:ascii="仿宋_GB2312" w:eastAsia="仿宋_GB2312"/>
          <w:sz w:val="30"/>
          <w:szCs w:val="30"/>
        </w:rPr>
      </w:pPr>
      <w:r>
        <w:rPr>
          <w:rFonts w:hint="eastAsia" w:ascii="仿宋_GB2312" w:eastAsia="仿宋_GB2312"/>
          <w:sz w:val="30"/>
          <w:szCs w:val="30"/>
        </w:rPr>
        <w:t>第（4）项所指技术系统标准指申请人的交易及相关系统与本所接口部分的建设、运行、维护，应当符合本所或者本所授权机构的规定或者认可的技术管理规范。申请人的交易及相关系统通过了本所相关测试，系统的性能、容量及扩展能力应当与其业务发展及市场需求相适应，能够保障交易及相关业务的持续开展。</w:t>
      </w:r>
    </w:p>
    <w:p w14:paraId="11D451E4">
      <w:pPr>
        <w:spacing w:line="600" w:lineRule="exact"/>
        <w:ind w:firstLine="600"/>
        <w:rPr>
          <w:rFonts w:ascii="仿宋_GB2312" w:eastAsia="仿宋_GB2312"/>
          <w:sz w:val="30"/>
          <w:szCs w:val="30"/>
        </w:rPr>
      </w:pPr>
      <w:r>
        <w:rPr>
          <w:rFonts w:hint="eastAsia" w:ascii="仿宋_GB2312" w:eastAsia="仿宋_GB2312"/>
          <w:sz w:val="30"/>
          <w:szCs w:val="30"/>
        </w:rPr>
        <w:t>第（5）项所指的债券投资交易量的统计范围包括交易所市场及银行间市场的债券现券交易、债券回购交易、债券借贷业务等各类债券交易，最近一个年度各类债券投资交易量合计不低于</w:t>
      </w:r>
      <w:r>
        <w:rPr>
          <w:rFonts w:ascii="仿宋_GB2312" w:eastAsia="仿宋_GB2312"/>
          <w:sz w:val="30"/>
          <w:szCs w:val="30"/>
        </w:rPr>
        <w:t>1000</w:t>
      </w:r>
      <w:r>
        <w:rPr>
          <w:rFonts w:hint="eastAsia" w:ascii="仿宋_GB2312" w:eastAsia="仿宋_GB2312"/>
          <w:sz w:val="30"/>
          <w:szCs w:val="30"/>
        </w:rPr>
        <w:t>亿元。对于因承接原机构业务分设成立的新机构，按原机构债券投资交易量统计。</w:t>
      </w:r>
    </w:p>
    <w:p w14:paraId="2F4414D4">
      <w:pPr>
        <w:spacing w:line="600" w:lineRule="exact"/>
        <w:ind w:firstLine="600"/>
        <w:rPr>
          <w:rFonts w:ascii="仿宋_GB2312" w:eastAsia="仿宋_GB2312"/>
          <w:sz w:val="30"/>
          <w:szCs w:val="30"/>
        </w:rPr>
      </w:pPr>
      <w:r>
        <w:rPr>
          <w:rFonts w:hint="eastAsia" w:ascii="仿宋_GB2312" w:eastAsia="仿宋_GB2312"/>
          <w:sz w:val="30"/>
          <w:szCs w:val="30"/>
        </w:rPr>
        <w:t>根据市场发展情况，本所可以调整非会员机构申请成为债券交易参与人的标准。</w:t>
      </w:r>
    </w:p>
    <w:p w14:paraId="5FE1249A">
      <w:pPr>
        <w:numPr>
          <w:ilvl w:val="2"/>
          <w:numId w:val="4"/>
        </w:numPr>
        <w:spacing w:line="600" w:lineRule="exact"/>
        <w:ind w:left="0" w:firstLine="0"/>
        <w:outlineLvl w:val="2"/>
        <w:rPr>
          <w:rFonts w:ascii="仿宋_GB2312" w:eastAsia="仿宋_GB2312"/>
          <w:b/>
          <w:sz w:val="30"/>
          <w:szCs w:val="30"/>
        </w:rPr>
      </w:pPr>
      <w:bookmarkStart w:id="222" w:name="_Toc57908860"/>
      <w:r>
        <w:rPr>
          <w:rFonts w:hint="eastAsia" w:ascii="仿宋_GB2312" w:eastAsia="仿宋_GB2312"/>
          <w:b/>
          <w:sz w:val="30"/>
          <w:szCs w:val="30"/>
        </w:rPr>
        <w:t>申请材料</w:t>
      </w:r>
      <w:bookmarkEnd w:id="222"/>
    </w:p>
    <w:p w14:paraId="5CDA6FC4">
      <w:pPr>
        <w:spacing w:line="600" w:lineRule="exact"/>
        <w:ind w:firstLine="600"/>
        <w:rPr>
          <w:rFonts w:ascii="仿宋_GB2312" w:eastAsia="仿宋_GB2312"/>
          <w:sz w:val="30"/>
          <w:szCs w:val="30"/>
        </w:rPr>
      </w:pPr>
      <w:r>
        <w:rPr>
          <w:rFonts w:hint="eastAsia" w:ascii="仿宋_GB2312" w:eastAsia="仿宋_GB2312"/>
          <w:sz w:val="30"/>
          <w:szCs w:val="30"/>
        </w:rPr>
        <w:t>【非会员机构申请材料】</w:t>
      </w:r>
    </w:p>
    <w:p w14:paraId="082AD5D4">
      <w:pPr>
        <w:spacing w:line="600" w:lineRule="exact"/>
        <w:ind w:firstLine="600"/>
        <w:rPr>
          <w:rFonts w:ascii="仿宋_GB2312" w:eastAsia="仿宋_GB2312"/>
          <w:sz w:val="30"/>
          <w:szCs w:val="30"/>
        </w:rPr>
      </w:pPr>
      <w:r>
        <w:rPr>
          <w:rFonts w:hint="eastAsia" w:ascii="仿宋_GB2312" w:eastAsia="仿宋_GB2312"/>
          <w:sz w:val="30"/>
          <w:szCs w:val="30"/>
        </w:rPr>
        <w:t>非会员机构申请成为债券交易参与人,应向本所提交以下材料，申请材料均应加盖机构公章：</w:t>
      </w:r>
    </w:p>
    <w:p w14:paraId="00E66ADC">
      <w:pPr>
        <w:spacing w:line="600" w:lineRule="exact"/>
        <w:ind w:firstLine="600"/>
        <w:rPr>
          <w:rFonts w:ascii="仿宋_GB2312" w:eastAsia="仿宋_GB2312"/>
          <w:sz w:val="30"/>
          <w:szCs w:val="30"/>
        </w:rPr>
      </w:pPr>
      <w:r>
        <w:rPr>
          <w:rFonts w:hint="eastAsia" w:ascii="仿宋_GB2312" w:eastAsia="仿宋_GB2312"/>
          <w:sz w:val="30"/>
          <w:szCs w:val="30"/>
        </w:rPr>
        <w:t>（1）《债券交易参与人申请表》（附件1）；</w:t>
      </w:r>
    </w:p>
    <w:p w14:paraId="19402D48">
      <w:pPr>
        <w:spacing w:line="600" w:lineRule="exact"/>
        <w:ind w:firstLine="600"/>
        <w:rPr>
          <w:rFonts w:ascii="仿宋_GB2312" w:eastAsia="仿宋_GB2312"/>
          <w:sz w:val="30"/>
          <w:szCs w:val="30"/>
        </w:rPr>
      </w:pPr>
      <w:r>
        <w:rPr>
          <w:rFonts w:hint="eastAsia" w:ascii="仿宋_GB2312" w:eastAsia="仿宋_GB2312"/>
          <w:sz w:val="30"/>
          <w:szCs w:val="30"/>
        </w:rPr>
        <w:t>（2）营业执照复印件；</w:t>
      </w:r>
    </w:p>
    <w:p w14:paraId="69ABA909">
      <w:pPr>
        <w:spacing w:line="600" w:lineRule="exact"/>
        <w:ind w:firstLine="600"/>
        <w:rPr>
          <w:rFonts w:ascii="仿宋_GB2312" w:eastAsia="仿宋_GB2312"/>
          <w:sz w:val="30"/>
          <w:szCs w:val="30"/>
        </w:rPr>
      </w:pPr>
      <w:r>
        <w:rPr>
          <w:rFonts w:hint="eastAsia" w:ascii="仿宋_GB2312" w:eastAsia="仿宋_GB2312"/>
          <w:sz w:val="30"/>
          <w:szCs w:val="30"/>
        </w:rPr>
        <w:t>（3）金融机构营业许可证复印件（如有）；</w:t>
      </w:r>
    </w:p>
    <w:p w14:paraId="06E5E1D7">
      <w:pPr>
        <w:spacing w:line="600" w:lineRule="exact"/>
        <w:ind w:firstLine="600"/>
        <w:rPr>
          <w:rFonts w:ascii="仿宋_GB2312" w:eastAsia="仿宋_GB2312"/>
          <w:sz w:val="30"/>
          <w:szCs w:val="30"/>
        </w:rPr>
      </w:pPr>
      <w:r>
        <w:rPr>
          <w:rFonts w:hint="eastAsia" w:ascii="仿宋_GB2312" w:eastAsia="仿宋_GB2312"/>
          <w:sz w:val="30"/>
          <w:szCs w:val="30"/>
        </w:rPr>
        <w:t>（4）关于以下情况的说明：注册资本、净资产或者管理资产情况，债券交易业务及风险管理制度，债券交易部门设置及业务人员配备情况，债券交易相关技术系统建设情况，关于近2年来债券投资交易情况（包括交易所市场及银行间市场投资交易情况）等；</w:t>
      </w:r>
    </w:p>
    <w:p w14:paraId="0A322F1D">
      <w:pPr>
        <w:spacing w:line="600" w:lineRule="exact"/>
        <w:ind w:firstLine="600"/>
        <w:rPr>
          <w:rFonts w:ascii="仿宋_GB2312" w:eastAsia="仿宋_GB2312"/>
          <w:sz w:val="30"/>
          <w:szCs w:val="30"/>
        </w:rPr>
      </w:pPr>
      <w:r>
        <w:rPr>
          <w:rFonts w:hint="eastAsia" w:ascii="仿宋_GB2312" w:eastAsia="仿宋_GB2312"/>
          <w:sz w:val="30"/>
          <w:szCs w:val="30"/>
        </w:rPr>
        <w:t>（5）本所要求的其他材料。</w:t>
      </w:r>
    </w:p>
    <w:p w14:paraId="6BAFAB32">
      <w:pPr>
        <w:numPr>
          <w:ilvl w:val="2"/>
          <w:numId w:val="4"/>
        </w:numPr>
        <w:spacing w:line="600" w:lineRule="exact"/>
        <w:ind w:left="0" w:firstLine="0"/>
        <w:outlineLvl w:val="2"/>
        <w:rPr>
          <w:rFonts w:ascii="仿宋_GB2312" w:eastAsia="仿宋_GB2312"/>
          <w:b/>
          <w:sz w:val="30"/>
          <w:szCs w:val="30"/>
        </w:rPr>
      </w:pPr>
      <w:bookmarkStart w:id="223" w:name="_Toc57908861"/>
      <w:r>
        <w:rPr>
          <w:rFonts w:hint="eastAsia" w:ascii="仿宋_GB2312" w:eastAsia="仿宋_GB2312"/>
          <w:b/>
          <w:sz w:val="30"/>
          <w:szCs w:val="30"/>
        </w:rPr>
        <w:t>申请流程</w:t>
      </w:r>
      <w:bookmarkEnd w:id="223"/>
    </w:p>
    <w:p w14:paraId="1C3C874C">
      <w:pPr>
        <w:spacing w:line="600" w:lineRule="exact"/>
        <w:ind w:firstLine="600"/>
        <w:rPr>
          <w:rFonts w:ascii="仿宋_GB2312" w:eastAsia="仿宋_GB2312"/>
          <w:sz w:val="30"/>
          <w:szCs w:val="30"/>
        </w:rPr>
      </w:pPr>
      <w:r>
        <w:rPr>
          <w:rFonts w:hint="eastAsia" w:ascii="仿宋_GB2312" w:eastAsia="仿宋_GB2312"/>
          <w:sz w:val="30"/>
          <w:szCs w:val="30"/>
        </w:rPr>
        <w:t>非会员机构申请受理流程:</w:t>
      </w:r>
    </w:p>
    <w:p w14:paraId="5EB95CE9">
      <w:pPr>
        <w:spacing w:line="600" w:lineRule="exact"/>
        <w:ind w:firstLine="600"/>
        <w:rPr>
          <w:rFonts w:ascii="仿宋_GB2312" w:eastAsia="仿宋_GB2312"/>
          <w:sz w:val="30"/>
          <w:szCs w:val="30"/>
        </w:rPr>
      </w:pPr>
      <w:r>
        <w:rPr>
          <w:rFonts w:ascii="仿宋_GB2312" w:eastAsia="仿宋_GB2312"/>
          <w:sz w:val="30"/>
          <w:szCs w:val="30"/>
        </w:rPr>
        <w:fldChar w:fldCharType="begin"/>
      </w:r>
      <w:r>
        <w:rPr>
          <w:rFonts w:ascii="仿宋_GB2312" w:eastAsia="仿宋_GB2312"/>
          <w:sz w:val="30"/>
          <w:szCs w:val="30"/>
        </w:rPr>
        <w:instrText xml:space="preserve"> </w:instrText>
      </w:r>
      <w:r>
        <w:rPr>
          <w:rFonts w:hint="eastAsia" w:ascii="仿宋_GB2312" w:eastAsia="仿宋_GB2312"/>
          <w:sz w:val="30"/>
          <w:szCs w:val="30"/>
        </w:rPr>
        <w:instrText xml:space="preserve">= 1 \* GB3</w:instrText>
      </w:r>
      <w:r>
        <w:rPr>
          <w:rFonts w:ascii="仿宋_GB2312" w:eastAsia="仿宋_GB2312"/>
          <w:sz w:val="30"/>
          <w:szCs w:val="30"/>
        </w:rPr>
        <w:instrText xml:space="preserve"> </w:instrText>
      </w:r>
      <w:r>
        <w:rPr>
          <w:rFonts w:ascii="仿宋_GB2312" w:eastAsia="仿宋_GB2312"/>
          <w:sz w:val="30"/>
          <w:szCs w:val="30"/>
        </w:rPr>
        <w:fldChar w:fldCharType="separate"/>
      </w:r>
      <w:r>
        <w:rPr>
          <w:rFonts w:hint="eastAsia" w:ascii="仿宋_GB2312" w:eastAsia="仿宋_GB2312"/>
          <w:sz w:val="30"/>
          <w:szCs w:val="30"/>
        </w:rPr>
        <w:t>①</w:t>
      </w:r>
      <w:r>
        <w:rPr>
          <w:rFonts w:ascii="仿宋_GB2312" w:eastAsia="仿宋_GB2312"/>
          <w:sz w:val="30"/>
          <w:szCs w:val="30"/>
        </w:rPr>
        <w:fldChar w:fldCharType="end"/>
      </w:r>
      <w:r>
        <w:rPr>
          <w:rFonts w:hint="eastAsia" w:ascii="仿宋_GB2312" w:eastAsia="仿宋_GB2312"/>
          <w:sz w:val="30"/>
          <w:szCs w:val="30"/>
        </w:rPr>
        <w:t>【邮件发送申请材料及数字证书申请】</w:t>
      </w:r>
      <w:r>
        <w:rPr>
          <w:rFonts w:ascii="仿宋_GB2312" w:eastAsia="仿宋_GB2312"/>
          <w:sz w:val="30"/>
          <w:szCs w:val="30"/>
        </w:rPr>
        <w:sym w:font="Wingdings" w:char="F0E0"/>
      </w:r>
      <w:r>
        <w:rPr>
          <w:rFonts w:ascii="仿宋_GB2312" w:eastAsia="仿宋_GB2312"/>
          <w:sz w:val="30"/>
          <w:szCs w:val="30"/>
        </w:rPr>
        <w:fldChar w:fldCharType="begin"/>
      </w:r>
      <w:r>
        <w:rPr>
          <w:rFonts w:ascii="仿宋_GB2312" w:eastAsia="仿宋_GB2312"/>
          <w:sz w:val="30"/>
          <w:szCs w:val="30"/>
        </w:rPr>
        <w:instrText xml:space="preserve"> </w:instrText>
      </w:r>
      <w:r>
        <w:rPr>
          <w:rFonts w:hint="eastAsia" w:ascii="仿宋_GB2312" w:eastAsia="仿宋_GB2312"/>
          <w:sz w:val="30"/>
          <w:szCs w:val="30"/>
        </w:rPr>
        <w:instrText xml:space="preserve">= 2 \* GB3</w:instrText>
      </w:r>
      <w:r>
        <w:rPr>
          <w:rFonts w:ascii="仿宋_GB2312" w:eastAsia="仿宋_GB2312"/>
          <w:sz w:val="30"/>
          <w:szCs w:val="30"/>
        </w:rPr>
        <w:instrText xml:space="preserve"> </w:instrText>
      </w:r>
      <w:r>
        <w:rPr>
          <w:rFonts w:ascii="仿宋_GB2312" w:eastAsia="仿宋_GB2312"/>
          <w:sz w:val="30"/>
          <w:szCs w:val="30"/>
        </w:rPr>
        <w:fldChar w:fldCharType="separate"/>
      </w:r>
      <w:r>
        <w:rPr>
          <w:rFonts w:hint="eastAsia" w:ascii="仿宋_GB2312" w:eastAsia="仿宋_GB2312"/>
          <w:sz w:val="30"/>
          <w:szCs w:val="30"/>
        </w:rPr>
        <w:t>②</w:t>
      </w:r>
      <w:r>
        <w:rPr>
          <w:rFonts w:ascii="仿宋_GB2312" w:eastAsia="仿宋_GB2312"/>
          <w:sz w:val="30"/>
          <w:szCs w:val="30"/>
        </w:rPr>
        <w:fldChar w:fldCharType="end"/>
      </w:r>
      <w:r>
        <w:rPr>
          <w:rFonts w:hint="eastAsia" w:ascii="仿宋_GB2312" w:eastAsia="仿宋_GB2312"/>
          <w:sz w:val="30"/>
          <w:szCs w:val="30"/>
        </w:rPr>
        <w:t>【非会员机构办理机构新设】</w:t>
      </w:r>
      <w:r>
        <w:rPr>
          <w:rFonts w:ascii="仿宋_GB2312" w:eastAsia="仿宋_GB2312"/>
          <w:sz w:val="30"/>
          <w:szCs w:val="30"/>
        </w:rPr>
        <w:sym w:font="Wingdings" w:char="F0E0"/>
      </w:r>
      <w:r>
        <w:rPr>
          <w:rFonts w:ascii="仿宋_GB2312" w:eastAsia="仿宋_GB2312"/>
          <w:sz w:val="30"/>
          <w:szCs w:val="30"/>
        </w:rPr>
        <w:fldChar w:fldCharType="begin"/>
      </w:r>
      <w:r>
        <w:rPr>
          <w:rFonts w:ascii="仿宋_GB2312" w:eastAsia="仿宋_GB2312"/>
          <w:sz w:val="30"/>
          <w:szCs w:val="30"/>
        </w:rPr>
        <w:instrText xml:space="preserve"> </w:instrText>
      </w:r>
      <w:r>
        <w:rPr>
          <w:rFonts w:hint="eastAsia" w:ascii="仿宋_GB2312" w:eastAsia="仿宋_GB2312"/>
          <w:sz w:val="30"/>
          <w:szCs w:val="30"/>
        </w:rPr>
        <w:instrText xml:space="preserve">= 3 \* GB3</w:instrText>
      </w:r>
      <w:r>
        <w:rPr>
          <w:rFonts w:ascii="仿宋_GB2312" w:eastAsia="仿宋_GB2312"/>
          <w:sz w:val="30"/>
          <w:szCs w:val="30"/>
        </w:rPr>
        <w:instrText xml:space="preserve"> </w:instrText>
      </w:r>
      <w:r>
        <w:rPr>
          <w:rFonts w:ascii="仿宋_GB2312" w:eastAsia="仿宋_GB2312"/>
          <w:sz w:val="30"/>
          <w:szCs w:val="30"/>
        </w:rPr>
        <w:fldChar w:fldCharType="separate"/>
      </w:r>
      <w:r>
        <w:rPr>
          <w:rFonts w:hint="eastAsia" w:ascii="仿宋_GB2312" w:eastAsia="仿宋_GB2312"/>
          <w:sz w:val="30"/>
          <w:szCs w:val="30"/>
        </w:rPr>
        <w:t>③</w:t>
      </w:r>
      <w:r>
        <w:rPr>
          <w:rFonts w:ascii="仿宋_GB2312" w:eastAsia="仿宋_GB2312"/>
          <w:sz w:val="30"/>
          <w:szCs w:val="30"/>
        </w:rPr>
        <w:fldChar w:fldCharType="end"/>
      </w:r>
      <w:r>
        <w:rPr>
          <w:rFonts w:hint="eastAsia" w:ascii="仿宋_GB2312" w:eastAsia="仿宋_GB2312"/>
          <w:sz w:val="30"/>
          <w:szCs w:val="30"/>
        </w:rPr>
        <w:t>【确定结算路径】</w:t>
      </w:r>
      <w:r>
        <w:rPr>
          <w:rFonts w:ascii="仿宋_GB2312" w:eastAsia="仿宋_GB2312"/>
          <w:sz w:val="30"/>
          <w:szCs w:val="30"/>
        </w:rPr>
        <w:sym w:font="Wingdings" w:char="F0E0"/>
      </w:r>
      <w:r>
        <w:rPr>
          <w:rFonts w:ascii="仿宋_GB2312" w:eastAsia="仿宋_GB2312"/>
          <w:sz w:val="30"/>
          <w:szCs w:val="30"/>
        </w:rPr>
        <w:fldChar w:fldCharType="begin"/>
      </w:r>
      <w:r>
        <w:rPr>
          <w:rFonts w:ascii="仿宋_GB2312" w:eastAsia="仿宋_GB2312"/>
          <w:sz w:val="30"/>
          <w:szCs w:val="30"/>
        </w:rPr>
        <w:instrText xml:space="preserve"> </w:instrText>
      </w:r>
      <w:r>
        <w:rPr>
          <w:rFonts w:hint="eastAsia" w:ascii="仿宋_GB2312" w:eastAsia="仿宋_GB2312"/>
          <w:sz w:val="30"/>
          <w:szCs w:val="30"/>
        </w:rPr>
        <w:instrText xml:space="preserve">= 4 \* GB3</w:instrText>
      </w:r>
      <w:r>
        <w:rPr>
          <w:rFonts w:ascii="仿宋_GB2312" w:eastAsia="仿宋_GB2312"/>
          <w:sz w:val="30"/>
          <w:szCs w:val="30"/>
        </w:rPr>
        <w:instrText xml:space="preserve"> </w:instrText>
      </w:r>
      <w:r>
        <w:rPr>
          <w:rFonts w:ascii="仿宋_GB2312" w:eastAsia="仿宋_GB2312"/>
          <w:sz w:val="30"/>
          <w:szCs w:val="30"/>
        </w:rPr>
        <w:fldChar w:fldCharType="separate"/>
      </w:r>
      <w:r>
        <w:rPr>
          <w:rFonts w:hint="eastAsia" w:ascii="仿宋_GB2312" w:eastAsia="仿宋_GB2312"/>
          <w:sz w:val="30"/>
          <w:szCs w:val="30"/>
        </w:rPr>
        <w:t>④</w:t>
      </w:r>
      <w:r>
        <w:rPr>
          <w:rFonts w:ascii="仿宋_GB2312" w:eastAsia="仿宋_GB2312"/>
          <w:sz w:val="30"/>
          <w:szCs w:val="30"/>
        </w:rPr>
        <w:fldChar w:fldCharType="end"/>
      </w:r>
      <w:r>
        <w:rPr>
          <w:rFonts w:hint="eastAsia" w:ascii="仿宋_GB2312" w:eastAsia="仿宋_GB2312"/>
          <w:sz w:val="30"/>
          <w:szCs w:val="30"/>
        </w:rPr>
        <w:t>【非会员机构新设交易单元】</w:t>
      </w:r>
      <w:r>
        <w:rPr>
          <w:rFonts w:ascii="仿宋_GB2312" w:eastAsia="仿宋_GB2312"/>
          <w:sz w:val="30"/>
          <w:szCs w:val="30"/>
        </w:rPr>
        <w:sym w:font="Wingdings" w:char="F0E0"/>
      </w:r>
      <w:r>
        <w:rPr>
          <w:rFonts w:ascii="仿宋_GB2312" w:eastAsia="仿宋_GB2312"/>
          <w:sz w:val="30"/>
          <w:szCs w:val="30"/>
        </w:rPr>
        <w:fldChar w:fldCharType="begin"/>
      </w:r>
      <w:r>
        <w:rPr>
          <w:rFonts w:ascii="仿宋_GB2312" w:eastAsia="仿宋_GB2312"/>
          <w:sz w:val="30"/>
          <w:szCs w:val="30"/>
        </w:rPr>
        <w:instrText xml:space="preserve"> </w:instrText>
      </w:r>
      <w:r>
        <w:rPr>
          <w:rFonts w:hint="eastAsia" w:ascii="仿宋_GB2312" w:eastAsia="仿宋_GB2312"/>
          <w:sz w:val="30"/>
          <w:szCs w:val="30"/>
        </w:rPr>
        <w:instrText xml:space="preserve">= 5 \* GB3</w:instrText>
      </w:r>
      <w:r>
        <w:rPr>
          <w:rFonts w:ascii="仿宋_GB2312" w:eastAsia="仿宋_GB2312"/>
          <w:sz w:val="30"/>
          <w:szCs w:val="30"/>
        </w:rPr>
        <w:instrText xml:space="preserve"> </w:instrText>
      </w:r>
      <w:r>
        <w:rPr>
          <w:rFonts w:ascii="仿宋_GB2312" w:eastAsia="仿宋_GB2312"/>
          <w:sz w:val="30"/>
          <w:szCs w:val="30"/>
        </w:rPr>
        <w:fldChar w:fldCharType="separate"/>
      </w:r>
      <w:r>
        <w:rPr>
          <w:rFonts w:hint="eastAsia" w:ascii="仿宋_GB2312" w:eastAsia="仿宋_GB2312"/>
          <w:sz w:val="30"/>
          <w:szCs w:val="30"/>
        </w:rPr>
        <w:t>⑤</w:t>
      </w:r>
      <w:r>
        <w:rPr>
          <w:rFonts w:ascii="仿宋_GB2312" w:eastAsia="仿宋_GB2312"/>
          <w:sz w:val="30"/>
          <w:szCs w:val="30"/>
        </w:rPr>
        <w:fldChar w:fldCharType="end"/>
      </w:r>
      <w:r>
        <w:rPr>
          <w:rFonts w:hint="eastAsia" w:ascii="仿宋_GB2312" w:eastAsia="仿宋_GB2312"/>
          <w:sz w:val="30"/>
          <w:szCs w:val="30"/>
        </w:rPr>
        <w:t>【固定收益平台权限开通】</w:t>
      </w:r>
    </w:p>
    <w:p w14:paraId="2FC68910">
      <w:pPr>
        <w:spacing w:line="600" w:lineRule="exact"/>
        <w:ind w:firstLine="601"/>
        <w:rPr>
          <w:rFonts w:ascii="仿宋_GB2312" w:eastAsia="仿宋_GB2312"/>
          <w:sz w:val="30"/>
          <w:szCs w:val="30"/>
        </w:rPr>
      </w:pPr>
      <w:r>
        <w:rPr>
          <w:rFonts w:ascii="仿宋_GB2312" w:eastAsia="仿宋_GB2312"/>
          <w:sz w:val="30"/>
          <w:szCs w:val="30"/>
        </w:rPr>
        <w:fldChar w:fldCharType="begin"/>
      </w:r>
      <w:r>
        <w:rPr>
          <w:rFonts w:ascii="仿宋_GB2312" w:eastAsia="仿宋_GB2312"/>
          <w:sz w:val="30"/>
          <w:szCs w:val="30"/>
        </w:rPr>
        <w:instrText xml:space="preserve"> </w:instrText>
      </w:r>
      <w:r>
        <w:rPr>
          <w:rFonts w:hint="eastAsia" w:ascii="仿宋_GB2312" w:eastAsia="仿宋_GB2312"/>
          <w:sz w:val="30"/>
          <w:szCs w:val="30"/>
        </w:rPr>
        <w:instrText xml:space="preserve">= 1 \* GB3</w:instrText>
      </w:r>
      <w:r>
        <w:rPr>
          <w:rFonts w:ascii="仿宋_GB2312" w:eastAsia="仿宋_GB2312"/>
          <w:sz w:val="30"/>
          <w:szCs w:val="30"/>
        </w:rPr>
        <w:instrText xml:space="preserve"> </w:instrText>
      </w:r>
      <w:r>
        <w:rPr>
          <w:rFonts w:ascii="仿宋_GB2312" w:eastAsia="仿宋_GB2312"/>
          <w:sz w:val="30"/>
          <w:szCs w:val="30"/>
        </w:rPr>
        <w:fldChar w:fldCharType="separate"/>
      </w:r>
      <w:r>
        <w:rPr>
          <w:rFonts w:hint="eastAsia" w:ascii="仿宋_GB2312" w:eastAsia="仿宋_GB2312"/>
          <w:sz w:val="30"/>
          <w:szCs w:val="30"/>
        </w:rPr>
        <w:t>①</w:t>
      </w:r>
      <w:r>
        <w:rPr>
          <w:rFonts w:ascii="仿宋_GB2312" w:eastAsia="仿宋_GB2312"/>
          <w:sz w:val="30"/>
          <w:szCs w:val="30"/>
        </w:rPr>
        <w:fldChar w:fldCharType="end"/>
      </w:r>
      <w:r>
        <w:rPr>
          <w:rFonts w:hint="eastAsia" w:ascii="仿宋_GB2312" w:eastAsia="仿宋_GB2312"/>
          <w:sz w:val="30"/>
          <w:szCs w:val="30"/>
        </w:rPr>
        <w:t>【邮件发送申请材料及数字证书申请】</w:t>
      </w:r>
    </w:p>
    <w:p w14:paraId="6EBBFC5E">
      <w:pPr>
        <w:spacing w:line="600" w:lineRule="exact"/>
        <w:ind w:firstLine="600"/>
        <w:rPr>
          <w:rFonts w:ascii="仿宋_GB2312" w:eastAsia="仿宋_GB2312"/>
          <w:sz w:val="30"/>
          <w:szCs w:val="30"/>
        </w:rPr>
      </w:pPr>
      <w:r>
        <w:rPr>
          <w:rFonts w:hint="eastAsia" w:ascii="仿宋_GB2312" w:eastAsia="仿宋_GB2312"/>
          <w:sz w:val="30"/>
          <w:szCs w:val="30"/>
        </w:rPr>
        <w:t>非会员机构符合债券交易参与人申请条件且申请材料齐备的，可通过本所邮箱bondtrading@sse.com.cn进行提交。</w:t>
      </w:r>
    </w:p>
    <w:p w14:paraId="36E04744">
      <w:pPr>
        <w:spacing w:line="600" w:lineRule="exact"/>
        <w:ind w:firstLine="600"/>
        <w:rPr>
          <w:rFonts w:ascii="仿宋_GB2312" w:eastAsia="仿宋_GB2312"/>
          <w:sz w:val="30"/>
          <w:szCs w:val="30"/>
        </w:rPr>
      </w:pPr>
      <w:r>
        <w:rPr>
          <w:rFonts w:hint="eastAsia" w:ascii="仿宋_GB2312" w:eastAsia="仿宋_GB2312"/>
          <w:sz w:val="30"/>
          <w:szCs w:val="30"/>
        </w:rPr>
        <w:t>申请人符合规定条件的，本所自</w:t>
      </w:r>
      <w:r>
        <w:rPr>
          <w:rFonts w:hint="eastAsia" w:ascii="仿宋_GB2312" w:eastAsia="仿宋_GB2312"/>
          <w:color w:val="000000"/>
          <w:sz w:val="30"/>
          <w:szCs w:val="30"/>
        </w:rPr>
        <w:t>申请文件齐备并</w:t>
      </w:r>
      <w:r>
        <w:rPr>
          <w:rFonts w:ascii="仿宋_GB2312" w:eastAsia="仿宋_GB2312"/>
          <w:color w:val="000000"/>
          <w:sz w:val="30"/>
          <w:szCs w:val="30"/>
        </w:rPr>
        <w:t>予以受理</w:t>
      </w:r>
      <w:r>
        <w:rPr>
          <w:rFonts w:hint="eastAsia" w:ascii="仿宋_GB2312" w:eastAsia="仿宋_GB2312"/>
          <w:sz w:val="30"/>
          <w:szCs w:val="30"/>
        </w:rPr>
        <w:t>之日起10个交易日以内接受其成为债券交易参与人。本所及时向市场公告债券交易参与人名单及其变更情况。</w:t>
      </w:r>
    </w:p>
    <w:p w14:paraId="560BF480">
      <w:pPr>
        <w:spacing w:line="600" w:lineRule="exact"/>
        <w:ind w:firstLine="600"/>
        <w:rPr>
          <w:rFonts w:ascii="仿宋_GB2312" w:eastAsia="仿宋_GB2312"/>
          <w:sz w:val="30"/>
          <w:szCs w:val="30"/>
        </w:rPr>
      </w:pPr>
      <w:r>
        <w:rPr>
          <w:rFonts w:hint="eastAsia" w:ascii="仿宋_GB2312" w:eastAsia="仿宋_GB2312"/>
          <w:sz w:val="30"/>
          <w:szCs w:val="30"/>
        </w:rPr>
        <w:t>申请</w:t>
      </w:r>
      <w:r>
        <w:rPr>
          <w:rFonts w:ascii="仿宋_GB2312" w:eastAsia="仿宋_GB2312"/>
          <w:sz w:val="30"/>
          <w:szCs w:val="30"/>
        </w:rPr>
        <w:t>人</w:t>
      </w:r>
      <w:r>
        <w:rPr>
          <w:rFonts w:hint="eastAsia" w:ascii="仿宋_GB2312" w:eastAsia="仿宋_GB2312"/>
          <w:sz w:val="30"/>
          <w:szCs w:val="30"/>
        </w:rPr>
        <w:t>通过登录“CnSCA在线业务系统”（</w:t>
      </w:r>
      <w:r>
        <w:rPr>
          <w:rFonts w:ascii="仿宋_GB2312" w:eastAsia="仿宋_GB2312"/>
          <w:sz w:val="30"/>
          <w:szCs w:val="30"/>
        </w:rPr>
        <w:t>https://cnsca.sse.com.cn/</w:t>
      </w:r>
      <w:r>
        <w:rPr>
          <w:rFonts w:hint="eastAsia" w:ascii="仿宋_GB2312" w:eastAsia="仿宋_GB2312"/>
          <w:sz w:val="30"/>
          <w:szCs w:val="30"/>
        </w:rPr>
        <w:t>）进行“业务管理系统平台-会籍</w:t>
      </w:r>
      <w:r>
        <w:rPr>
          <w:rFonts w:ascii="仿宋_GB2312" w:eastAsia="仿宋_GB2312"/>
          <w:sz w:val="30"/>
          <w:szCs w:val="30"/>
        </w:rPr>
        <w:t>业务</w:t>
      </w:r>
      <w:r>
        <w:rPr>
          <w:rFonts w:hint="eastAsia" w:ascii="仿宋_GB2312" w:eastAsia="仿宋_GB2312"/>
          <w:sz w:val="30"/>
          <w:szCs w:val="30"/>
        </w:rPr>
        <w:t>”模块的数字</w:t>
      </w:r>
      <w:r>
        <w:rPr>
          <w:rFonts w:ascii="仿宋_GB2312" w:eastAsia="仿宋_GB2312"/>
          <w:sz w:val="30"/>
          <w:szCs w:val="30"/>
        </w:rPr>
        <w:t>证书申请，</w:t>
      </w:r>
      <w:r>
        <w:rPr>
          <w:rFonts w:hint="eastAsia" w:ascii="仿宋_GB2312" w:eastAsia="仿宋_GB2312"/>
          <w:sz w:val="30"/>
          <w:szCs w:val="30"/>
        </w:rPr>
        <w:t>并获取相应的</w:t>
      </w:r>
      <w:r>
        <w:rPr>
          <w:rFonts w:ascii="仿宋_GB2312" w:eastAsia="仿宋_GB2312"/>
          <w:sz w:val="30"/>
          <w:szCs w:val="30"/>
        </w:rPr>
        <w:t>用户名和密码，</w:t>
      </w:r>
      <w:r>
        <w:rPr>
          <w:rFonts w:hint="eastAsia" w:ascii="仿宋_GB2312" w:eastAsia="仿宋_GB2312"/>
          <w:sz w:val="30"/>
          <w:szCs w:val="30"/>
        </w:rPr>
        <w:t>C</w:t>
      </w:r>
      <w:r>
        <w:rPr>
          <w:rFonts w:ascii="仿宋_GB2312" w:eastAsia="仿宋_GB2312"/>
          <w:sz w:val="30"/>
          <w:szCs w:val="30"/>
        </w:rPr>
        <w:t>A</w:t>
      </w:r>
      <w:r>
        <w:rPr>
          <w:rFonts w:hint="eastAsia" w:ascii="仿宋_GB2312" w:eastAsia="仿宋_GB2312"/>
          <w:sz w:val="30"/>
          <w:szCs w:val="30"/>
        </w:rPr>
        <w:t>中心一般在收到业务审核通过后的3-5个工作日内发放数字证书。</w:t>
      </w:r>
    </w:p>
    <w:p w14:paraId="31C7DC9C">
      <w:pPr>
        <w:spacing w:line="600" w:lineRule="exact"/>
        <w:ind w:firstLine="600"/>
        <w:rPr>
          <w:rFonts w:ascii="仿宋_GB2312" w:eastAsia="仿宋_GB2312"/>
          <w:sz w:val="30"/>
          <w:szCs w:val="30"/>
        </w:rPr>
      </w:pPr>
      <w:r>
        <w:rPr>
          <w:rFonts w:hint="eastAsia" w:ascii="仿宋_GB2312" w:eastAsia="仿宋_GB2312"/>
          <w:sz w:val="30"/>
          <w:szCs w:val="30"/>
        </w:rPr>
        <w:t>数字证书在线申请流程</w:t>
      </w:r>
      <w:r>
        <w:rPr>
          <w:rFonts w:ascii="仿宋_GB2312" w:eastAsia="仿宋_GB2312"/>
          <w:sz w:val="30"/>
          <w:szCs w:val="30"/>
        </w:rPr>
        <w:t>：</w:t>
      </w:r>
    </w:p>
    <w:p w14:paraId="3C126588">
      <w:pPr>
        <w:spacing w:line="600" w:lineRule="exact"/>
        <w:ind w:firstLine="600"/>
        <w:rPr>
          <w:rFonts w:ascii="仿宋_GB2312" w:eastAsia="仿宋_GB2312"/>
          <w:sz w:val="30"/>
          <w:szCs w:val="30"/>
        </w:rPr>
      </w:pPr>
      <w:r>
        <w:rPr>
          <w:rFonts w:hint="eastAsia" w:ascii="仿宋_GB2312" w:eastAsia="仿宋_GB2312"/>
          <w:sz w:val="30"/>
          <w:szCs w:val="30"/>
        </w:rPr>
        <w:t xml:space="preserve">http://www.sse.com.cn/home/biz/cnsca/process/operation/ </w:t>
      </w:r>
    </w:p>
    <w:p w14:paraId="2B8AD72F">
      <w:pPr>
        <w:spacing w:line="600" w:lineRule="exact"/>
        <w:ind w:firstLine="600"/>
        <w:rPr>
          <w:rFonts w:ascii="仿宋_GB2312" w:eastAsia="仿宋_GB2312"/>
          <w:sz w:val="30"/>
          <w:szCs w:val="30"/>
        </w:rPr>
      </w:pPr>
      <w:r>
        <w:rPr>
          <w:rFonts w:hint="eastAsia" w:ascii="仿宋_GB2312" w:eastAsia="仿宋_GB2312"/>
          <w:sz w:val="30"/>
          <w:szCs w:val="30"/>
        </w:rPr>
        <w:t>数字证书业务</w:t>
      </w:r>
      <w:r>
        <w:rPr>
          <w:rFonts w:ascii="仿宋_GB2312" w:eastAsia="仿宋_GB2312"/>
          <w:sz w:val="30"/>
          <w:szCs w:val="30"/>
        </w:rPr>
        <w:t>支持电话</w:t>
      </w:r>
      <w:r>
        <w:rPr>
          <w:rFonts w:hint="eastAsia" w:ascii="仿宋_GB2312" w:eastAsia="仿宋_GB2312"/>
          <w:sz w:val="30"/>
          <w:szCs w:val="30"/>
        </w:rPr>
        <w:t>：021-68814725</w:t>
      </w:r>
    </w:p>
    <w:p w14:paraId="7E814B7C">
      <w:pPr>
        <w:spacing w:line="600" w:lineRule="exact"/>
        <w:ind w:firstLine="600"/>
        <w:rPr>
          <w:rFonts w:ascii="仿宋_GB2312" w:eastAsia="仿宋_GB2312"/>
          <w:sz w:val="30"/>
          <w:szCs w:val="30"/>
        </w:rPr>
      </w:pPr>
      <w:r>
        <w:rPr>
          <w:rFonts w:hint="eastAsia" w:ascii="仿宋_GB2312" w:eastAsia="仿宋_GB2312"/>
          <w:sz w:val="30"/>
          <w:szCs w:val="30"/>
        </w:rPr>
        <w:t>数字证书技术</w:t>
      </w:r>
      <w:r>
        <w:rPr>
          <w:rFonts w:ascii="仿宋_GB2312" w:eastAsia="仿宋_GB2312"/>
          <w:sz w:val="30"/>
          <w:szCs w:val="30"/>
        </w:rPr>
        <w:t>支持电话</w:t>
      </w:r>
      <w:r>
        <w:rPr>
          <w:rFonts w:hint="eastAsia" w:ascii="仿宋_GB2312" w:eastAsia="仿宋_GB2312"/>
          <w:sz w:val="30"/>
          <w:szCs w:val="30"/>
        </w:rPr>
        <w:t>：021-58654194</w:t>
      </w:r>
    </w:p>
    <w:p w14:paraId="14227F4E">
      <w:pPr>
        <w:spacing w:line="600" w:lineRule="exact"/>
        <w:ind w:firstLine="601"/>
        <w:rPr>
          <w:rFonts w:ascii="仿宋_GB2312" w:eastAsia="仿宋_GB2312"/>
          <w:sz w:val="30"/>
          <w:szCs w:val="30"/>
        </w:rPr>
      </w:pPr>
      <w:r>
        <w:rPr>
          <w:rFonts w:ascii="仿宋_GB2312" w:eastAsia="仿宋_GB2312"/>
          <w:sz w:val="30"/>
          <w:szCs w:val="30"/>
        </w:rPr>
        <w:fldChar w:fldCharType="begin"/>
      </w:r>
      <w:r>
        <w:rPr>
          <w:rFonts w:ascii="仿宋_GB2312" w:eastAsia="仿宋_GB2312"/>
          <w:sz w:val="30"/>
          <w:szCs w:val="30"/>
        </w:rPr>
        <w:instrText xml:space="preserve"> </w:instrText>
      </w:r>
      <w:r>
        <w:rPr>
          <w:rFonts w:hint="eastAsia" w:ascii="仿宋_GB2312" w:eastAsia="仿宋_GB2312"/>
          <w:sz w:val="30"/>
          <w:szCs w:val="30"/>
        </w:rPr>
        <w:instrText xml:space="preserve">= 2 \* GB3</w:instrText>
      </w:r>
      <w:r>
        <w:rPr>
          <w:rFonts w:ascii="仿宋_GB2312" w:eastAsia="仿宋_GB2312"/>
          <w:sz w:val="30"/>
          <w:szCs w:val="30"/>
        </w:rPr>
        <w:instrText xml:space="preserve"> </w:instrText>
      </w:r>
      <w:r>
        <w:rPr>
          <w:rFonts w:ascii="仿宋_GB2312" w:eastAsia="仿宋_GB2312"/>
          <w:sz w:val="30"/>
          <w:szCs w:val="30"/>
        </w:rPr>
        <w:fldChar w:fldCharType="separate"/>
      </w:r>
      <w:r>
        <w:rPr>
          <w:rFonts w:hint="eastAsia" w:ascii="仿宋_GB2312" w:eastAsia="仿宋_GB2312"/>
          <w:sz w:val="30"/>
          <w:szCs w:val="30"/>
        </w:rPr>
        <w:t>②</w:t>
      </w:r>
      <w:r>
        <w:rPr>
          <w:rFonts w:ascii="仿宋_GB2312" w:eastAsia="仿宋_GB2312"/>
          <w:sz w:val="30"/>
          <w:szCs w:val="30"/>
        </w:rPr>
        <w:fldChar w:fldCharType="end"/>
      </w:r>
      <w:r>
        <w:rPr>
          <w:rFonts w:hint="eastAsia" w:ascii="仿宋_GB2312" w:eastAsia="仿宋_GB2312"/>
          <w:sz w:val="30"/>
          <w:szCs w:val="30"/>
        </w:rPr>
        <w:t>【非会员机构办理机构新设】</w:t>
      </w:r>
    </w:p>
    <w:p w14:paraId="1F4D2368">
      <w:pPr>
        <w:spacing w:line="600" w:lineRule="exact"/>
        <w:ind w:firstLine="600"/>
        <w:jc w:val="left"/>
        <w:rPr>
          <w:rFonts w:ascii="仿宋_GB2312" w:eastAsia="仿宋_GB2312"/>
          <w:sz w:val="30"/>
          <w:szCs w:val="30"/>
        </w:rPr>
      </w:pPr>
      <w:r>
        <w:rPr>
          <w:rFonts w:hint="eastAsia" w:ascii="仿宋_GB2312" w:eastAsia="仿宋_GB2312"/>
          <w:sz w:val="30"/>
          <w:szCs w:val="30"/>
        </w:rPr>
        <w:t>（1）访问上交所</w:t>
      </w:r>
      <w:r>
        <w:rPr>
          <w:rFonts w:ascii="仿宋_GB2312" w:eastAsia="仿宋_GB2312"/>
          <w:sz w:val="30"/>
          <w:szCs w:val="30"/>
        </w:rPr>
        <w:t>会员业务一站式服务平台</w:t>
      </w:r>
      <w:r>
        <w:rPr>
          <w:rFonts w:hint="eastAsia" w:ascii="仿宋_GB2312" w:eastAsia="仿宋_GB2312"/>
          <w:sz w:val="30"/>
          <w:szCs w:val="30"/>
        </w:rPr>
        <w:t>（</w:t>
      </w:r>
      <w:r>
        <w:rPr>
          <w:rFonts w:ascii="仿宋_GB2312" w:eastAsia="仿宋_GB2312"/>
          <w:sz w:val="30"/>
          <w:szCs w:val="30"/>
        </w:rPr>
        <w:t>http://biz.sse.com.cn/member/</w:t>
      </w:r>
      <w:r>
        <w:rPr>
          <w:rFonts w:hint="eastAsia" w:ascii="仿宋_GB2312" w:eastAsia="仿宋_GB2312"/>
          <w:sz w:val="30"/>
          <w:szCs w:val="30"/>
        </w:rPr>
        <w:t>），使用上交所信息公司颁发的数字证书，输入证书密码，登录上交所“业务管理系统平台-会籍</w:t>
      </w:r>
      <w:r>
        <w:rPr>
          <w:rFonts w:ascii="仿宋_GB2312" w:eastAsia="仿宋_GB2312"/>
          <w:sz w:val="30"/>
          <w:szCs w:val="30"/>
        </w:rPr>
        <w:t>业务</w:t>
      </w:r>
      <w:r>
        <w:rPr>
          <w:rFonts w:hint="eastAsia" w:ascii="仿宋_GB2312" w:eastAsia="仿宋_GB2312"/>
          <w:sz w:val="30"/>
          <w:szCs w:val="30"/>
        </w:rPr>
        <w:t>”模块（</w:t>
      </w:r>
      <w:r>
        <w:fldChar w:fldCharType="begin"/>
      </w:r>
      <w:r>
        <w:instrText xml:space="preserve"> HYPERLINK "https://bmsp.uap.sse.com.cn" </w:instrText>
      </w:r>
      <w:r>
        <w:fldChar w:fldCharType="separate"/>
      </w:r>
      <w:r>
        <w:rPr>
          <w:rFonts w:hint="eastAsia" w:ascii="仿宋_GB2312" w:eastAsia="仿宋_GB2312"/>
          <w:sz w:val="30"/>
          <w:szCs w:val="30"/>
        </w:rPr>
        <w:t>h</w:t>
      </w:r>
      <w:r>
        <w:rPr>
          <w:rFonts w:ascii="仿宋_GB2312" w:eastAsia="仿宋_GB2312"/>
          <w:sz w:val="30"/>
          <w:szCs w:val="30"/>
        </w:rPr>
        <w:t>ttps://bmsp.</w:t>
      </w:r>
      <w:r>
        <w:rPr>
          <w:rFonts w:hint="eastAsia" w:ascii="仿宋_GB2312" w:eastAsia="仿宋_GB2312"/>
          <w:sz w:val="30"/>
          <w:szCs w:val="30"/>
        </w:rPr>
        <w:t>uap.sse</w:t>
      </w:r>
      <w:r>
        <w:rPr>
          <w:rFonts w:ascii="仿宋_GB2312" w:eastAsia="仿宋_GB2312"/>
          <w:sz w:val="30"/>
          <w:szCs w:val="30"/>
        </w:rPr>
        <w:t>.com.cn</w:t>
      </w:r>
      <w:r>
        <w:rPr>
          <w:rFonts w:ascii="仿宋_GB2312" w:eastAsia="仿宋_GB2312"/>
          <w:sz w:val="30"/>
          <w:szCs w:val="30"/>
        </w:rPr>
        <w:fldChar w:fldCharType="end"/>
      </w:r>
      <w:r>
        <w:rPr>
          <w:rFonts w:hint="eastAsia" w:ascii="仿宋_GB2312" w:eastAsia="仿宋_GB2312"/>
          <w:sz w:val="30"/>
          <w:szCs w:val="30"/>
        </w:rPr>
        <w:t>，</w:t>
      </w:r>
      <w:r>
        <w:rPr>
          <w:rFonts w:ascii="仿宋_GB2312" w:eastAsia="仿宋_GB2312"/>
          <w:sz w:val="30"/>
          <w:szCs w:val="30"/>
        </w:rPr>
        <w:t>以下简称会籍业务平台</w:t>
      </w:r>
      <w:r>
        <w:rPr>
          <w:rFonts w:hint="eastAsia" w:ascii="仿宋_GB2312" w:eastAsia="仿宋_GB2312"/>
          <w:sz w:val="30"/>
          <w:szCs w:val="30"/>
        </w:rPr>
        <w:t>）。</w:t>
      </w:r>
    </w:p>
    <w:p w14:paraId="06659C26">
      <w:pPr>
        <w:spacing w:line="600" w:lineRule="exact"/>
        <w:ind w:firstLine="600"/>
        <w:jc w:val="left"/>
        <w:rPr>
          <w:rFonts w:ascii="仿宋_GB2312" w:eastAsia="仿宋_GB2312"/>
          <w:sz w:val="30"/>
          <w:szCs w:val="30"/>
        </w:rPr>
      </w:pPr>
      <w:r>
        <w:rPr>
          <w:rFonts w:hint="eastAsia" w:ascii="仿宋_GB2312" w:eastAsia="仿宋_GB2312"/>
          <w:sz w:val="30"/>
          <w:szCs w:val="30"/>
        </w:rPr>
        <w:t xml:space="preserve"> （2）进入系统登录页面，使用非会员机构用户进行登录，非会员机构用户类型，用户名插入数字证书后自动跳出，密码</w:t>
      </w:r>
      <w:r>
        <w:rPr>
          <w:rFonts w:ascii="仿宋_GB2312" w:eastAsia="仿宋_GB2312"/>
          <w:sz w:val="30"/>
          <w:szCs w:val="30"/>
        </w:rPr>
        <w:t>“xxxxx</w:t>
      </w:r>
      <w:r>
        <w:rPr>
          <w:rFonts w:hint="eastAsia" w:ascii="仿宋_GB2312" w:eastAsia="仿宋_GB2312"/>
          <w:sz w:val="30"/>
          <w:szCs w:val="30"/>
        </w:rPr>
        <w:t>”为阿拉伯数字。</w:t>
      </w:r>
    </w:p>
    <w:p w14:paraId="7C79611A">
      <w:pPr>
        <w:spacing w:line="600" w:lineRule="exact"/>
        <w:ind w:firstLine="600"/>
        <w:rPr>
          <w:rFonts w:ascii="仿宋_GB2312" w:eastAsia="仿宋_GB2312"/>
          <w:sz w:val="30"/>
          <w:szCs w:val="30"/>
        </w:rPr>
      </w:pPr>
      <w:r>
        <w:rPr>
          <w:rFonts w:hint="eastAsia" w:ascii="仿宋_GB2312" w:eastAsia="仿宋_GB2312"/>
          <w:sz w:val="30"/>
          <w:szCs w:val="30"/>
        </w:rPr>
        <w:t>（3）登录后，选择“会员管理业务二期”，“机构业务操作岗”进入“机构新设”。</w:t>
      </w:r>
    </w:p>
    <w:p w14:paraId="0BF26C25">
      <w:pPr>
        <w:spacing w:line="600" w:lineRule="exact"/>
        <w:ind w:firstLine="600"/>
        <w:rPr>
          <w:rFonts w:ascii="仿宋_GB2312" w:eastAsia="仿宋_GB2312"/>
          <w:sz w:val="30"/>
          <w:szCs w:val="30"/>
        </w:rPr>
      </w:pPr>
      <w:r>
        <w:rPr>
          <w:rFonts w:hint="eastAsia" w:ascii="仿宋_GB2312" w:eastAsia="仿宋_GB2312"/>
          <w:sz w:val="30"/>
          <w:szCs w:val="30"/>
        </w:rPr>
        <w:t>（4）进入非会员机构登记首页，上传如下材料：</w:t>
      </w:r>
    </w:p>
    <w:p w14:paraId="6BBF18C0">
      <w:pPr>
        <w:spacing w:line="600" w:lineRule="exact"/>
        <w:ind w:firstLine="600"/>
        <w:rPr>
          <w:rFonts w:ascii="仿宋_GB2312" w:eastAsia="仿宋_GB2312"/>
          <w:sz w:val="30"/>
          <w:szCs w:val="30"/>
        </w:rPr>
      </w:pPr>
      <w:r>
        <w:rPr>
          <w:rFonts w:hint="eastAsia" w:ascii="仿宋_GB2312" w:eastAsia="仿宋_GB2312"/>
          <w:sz w:val="30"/>
          <w:szCs w:val="30"/>
        </w:rPr>
        <w:t>1）主管机关同意公司设立的批复</w:t>
      </w:r>
    </w:p>
    <w:p w14:paraId="61FCFCE9">
      <w:pPr>
        <w:spacing w:line="600" w:lineRule="exact"/>
        <w:ind w:firstLine="600"/>
        <w:rPr>
          <w:rFonts w:ascii="仿宋_GB2312" w:eastAsia="仿宋_GB2312"/>
          <w:sz w:val="30"/>
          <w:szCs w:val="30"/>
        </w:rPr>
      </w:pPr>
      <w:r>
        <w:rPr>
          <w:rFonts w:hint="eastAsia" w:ascii="仿宋_GB2312" w:eastAsia="仿宋_GB2312"/>
          <w:sz w:val="30"/>
          <w:szCs w:val="30"/>
        </w:rPr>
        <w:t>2）公司金融许可证</w:t>
      </w:r>
    </w:p>
    <w:p w14:paraId="77AAE831">
      <w:pPr>
        <w:spacing w:line="600" w:lineRule="exact"/>
        <w:ind w:firstLine="600"/>
        <w:rPr>
          <w:rFonts w:ascii="仿宋_GB2312" w:eastAsia="仿宋_GB2312"/>
          <w:sz w:val="30"/>
          <w:szCs w:val="30"/>
        </w:rPr>
      </w:pPr>
      <w:r>
        <w:rPr>
          <w:rFonts w:hint="eastAsia" w:ascii="仿宋_GB2312" w:eastAsia="仿宋_GB2312"/>
          <w:sz w:val="30"/>
          <w:szCs w:val="30"/>
        </w:rPr>
        <w:t>3）营业执照</w:t>
      </w:r>
    </w:p>
    <w:p w14:paraId="7903EC0F">
      <w:pPr>
        <w:spacing w:line="600" w:lineRule="exact"/>
        <w:ind w:firstLine="600"/>
        <w:rPr>
          <w:rFonts w:ascii="仿宋_GB2312" w:eastAsia="仿宋_GB2312"/>
          <w:sz w:val="30"/>
          <w:szCs w:val="30"/>
        </w:rPr>
      </w:pPr>
      <w:r>
        <w:rPr>
          <w:rFonts w:hint="eastAsia" w:ascii="仿宋_GB2312" w:eastAsia="仿宋_GB2312"/>
          <w:sz w:val="30"/>
          <w:szCs w:val="30"/>
        </w:rPr>
        <w:t>4）会籍系统资格申请报告（模板参见附件2）</w:t>
      </w:r>
    </w:p>
    <w:p w14:paraId="2B7A4784">
      <w:pPr>
        <w:spacing w:line="600" w:lineRule="exact"/>
        <w:ind w:firstLine="600"/>
        <w:rPr>
          <w:rFonts w:ascii="仿宋_GB2312" w:eastAsia="仿宋_GB2312"/>
          <w:sz w:val="30"/>
          <w:szCs w:val="30"/>
        </w:rPr>
      </w:pPr>
      <w:r>
        <w:rPr>
          <w:rFonts w:hint="eastAsia" w:ascii="仿宋_GB2312" w:eastAsia="仿宋_GB2312"/>
          <w:sz w:val="30"/>
          <w:szCs w:val="30"/>
        </w:rPr>
        <w:t>5）专职部门及主要管理人员概况</w:t>
      </w:r>
    </w:p>
    <w:p w14:paraId="12B25BE9">
      <w:pPr>
        <w:spacing w:line="600" w:lineRule="exact"/>
        <w:ind w:firstLine="600"/>
        <w:rPr>
          <w:rFonts w:ascii="仿宋_GB2312" w:eastAsia="仿宋_GB2312"/>
          <w:sz w:val="30"/>
          <w:szCs w:val="30"/>
        </w:rPr>
      </w:pPr>
      <w:r>
        <w:rPr>
          <w:rFonts w:hint="eastAsia" w:ascii="仿宋_GB2312" w:eastAsia="仿宋_GB2312"/>
          <w:sz w:val="30"/>
          <w:szCs w:val="30"/>
        </w:rPr>
        <w:t>6）公司章程及内控制度</w:t>
      </w:r>
    </w:p>
    <w:p w14:paraId="5593CA48">
      <w:pPr>
        <w:spacing w:line="600" w:lineRule="exact"/>
        <w:ind w:firstLine="600"/>
        <w:rPr>
          <w:rFonts w:ascii="仿宋_GB2312" w:eastAsia="仿宋_GB2312"/>
          <w:sz w:val="30"/>
          <w:szCs w:val="30"/>
        </w:rPr>
      </w:pPr>
      <w:r>
        <w:rPr>
          <w:rFonts w:hint="eastAsia" w:ascii="仿宋_GB2312" w:eastAsia="仿宋_GB2312"/>
          <w:sz w:val="30"/>
          <w:szCs w:val="30"/>
        </w:rPr>
        <w:t>7）承诺书</w:t>
      </w:r>
    </w:p>
    <w:p w14:paraId="1F7BFD96">
      <w:pPr>
        <w:spacing w:line="600" w:lineRule="exact"/>
        <w:ind w:firstLine="600"/>
        <w:rPr>
          <w:rFonts w:ascii="仿宋_GB2312" w:eastAsia="仿宋_GB2312"/>
          <w:sz w:val="30"/>
          <w:szCs w:val="30"/>
        </w:rPr>
      </w:pPr>
      <w:r>
        <w:rPr>
          <w:rFonts w:hint="eastAsia" w:ascii="仿宋_GB2312" w:eastAsia="仿宋_GB2312"/>
          <w:sz w:val="30"/>
          <w:szCs w:val="30"/>
        </w:rPr>
        <w:t>8）非会员机构基本情况登记表</w:t>
      </w:r>
    </w:p>
    <w:p w14:paraId="72B4A756">
      <w:pPr>
        <w:spacing w:line="600" w:lineRule="exact"/>
        <w:ind w:firstLine="600"/>
        <w:rPr>
          <w:rFonts w:ascii="仿宋_GB2312" w:eastAsia="仿宋_GB2312"/>
          <w:sz w:val="30"/>
          <w:szCs w:val="30"/>
        </w:rPr>
      </w:pPr>
      <w:r>
        <w:rPr>
          <w:rFonts w:hint="eastAsia" w:ascii="仿宋_GB2312" w:eastAsia="仿宋_GB2312"/>
          <w:sz w:val="30"/>
          <w:szCs w:val="30"/>
        </w:rPr>
        <w:t>9）公司主要职能部门登记表</w:t>
      </w:r>
    </w:p>
    <w:p w14:paraId="600DE6BD">
      <w:pPr>
        <w:spacing w:line="600" w:lineRule="exact"/>
        <w:ind w:firstLine="600"/>
        <w:rPr>
          <w:rFonts w:ascii="仿宋_GB2312" w:eastAsia="仿宋_GB2312"/>
          <w:sz w:val="30"/>
          <w:szCs w:val="30"/>
        </w:rPr>
      </w:pPr>
      <w:r>
        <w:rPr>
          <w:rFonts w:hint="eastAsia" w:ascii="仿宋_GB2312" w:eastAsia="仿宋_GB2312"/>
          <w:sz w:val="30"/>
          <w:szCs w:val="30"/>
        </w:rPr>
        <w:t>其中，材料2）公司金融许可证、材料3）营业执照、材料</w:t>
      </w:r>
      <w:r>
        <w:rPr>
          <w:rFonts w:ascii="仿宋_GB2312" w:eastAsia="仿宋_GB2312"/>
          <w:sz w:val="30"/>
          <w:szCs w:val="30"/>
        </w:rPr>
        <w:t>5</w:t>
      </w:r>
      <w:r>
        <w:rPr>
          <w:rFonts w:hint="eastAsia" w:ascii="仿宋_GB2312" w:eastAsia="仿宋_GB2312"/>
          <w:sz w:val="30"/>
          <w:szCs w:val="30"/>
        </w:rPr>
        <w:t>）专职部门及主要管理人员概况、材料6）公司章程及内控制度等，如在债券交易参与人申请环节已提供的，可复用。</w:t>
      </w:r>
    </w:p>
    <w:p w14:paraId="0112DB0B">
      <w:pPr>
        <w:spacing w:line="600" w:lineRule="exact"/>
        <w:ind w:firstLine="600"/>
        <w:rPr>
          <w:rFonts w:ascii="仿宋_GB2312" w:eastAsia="仿宋_GB2312"/>
          <w:sz w:val="30"/>
          <w:szCs w:val="30"/>
        </w:rPr>
      </w:pPr>
      <w:r>
        <w:rPr>
          <w:rFonts w:hint="eastAsia" w:ascii="仿宋_GB2312" w:eastAsia="仿宋_GB2312"/>
          <w:sz w:val="30"/>
          <w:szCs w:val="30"/>
        </w:rPr>
        <w:t>（9）点击“现在申请”后进入机构登记业务流程，*为必填或必传项。点击下一步进入“非会员机构基本情况登记表”。非会员类型根据机构类型进行选择，如商业银行，*为必填项。点击下一步进入“非会员公司主要职能登记表”。</w:t>
      </w:r>
    </w:p>
    <w:p w14:paraId="0DB8D7C0">
      <w:pPr>
        <w:spacing w:line="600" w:lineRule="exact"/>
        <w:ind w:firstLine="600"/>
        <w:rPr>
          <w:rFonts w:ascii="仿宋_GB2312" w:eastAsia="仿宋_GB2312"/>
          <w:sz w:val="30"/>
          <w:szCs w:val="30"/>
        </w:rPr>
      </w:pPr>
      <w:r>
        <w:rPr>
          <w:rFonts w:hint="eastAsia" w:ascii="仿宋_GB2312" w:eastAsia="仿宋_GB2312"/>
          <w:sz w:val="30"/>
          <w:szCs w:val="30"/>
        </w:rPr>
        <w:t>股东情况可以最近一个年度公司财务报表中的数据为准填写前十位股东。点击下一步进入“非会员机构基本情况登记表”。非会员类*为必填项。</w:t>
      </w:r>
    </w:p>
    <w:p w14:paraId="02DD4C12">
      <w:pPr>
        <w:spacing w:line="600" w:lineRule="exact"/>
        <w:ind w:firstLine="601"/>
        <w:rPr>
          <w:rFonts w:ascii="仿宋_GB2312" w:eastAsia="仿宋_GB2312"/>
          <w:sz w:val="30"/>
          <w:szCs w:val="30"/>
        </w:rPr>
      </w:pPr>
      <w:r>
        <w:rPr>
          <w:rFonts w:ascii="仿宋_GB2312" w:eastAsia="仿宋_GB2312"/>
          <w:sz w:val="30"/>
          <w:szCs w:val="30"/>
        </w:rPr>
        <w:fldChar w:fldCharType="begin"/>
      </w:r>
      <w:r>
        <w:rPr>
          <w:rFonts w:ascii="仿宋_GB2312" w:eastAsia="仿宋_GB2312"/>
          <w:sz w:val="30"/>
          <w:szCs w:val="30"/>
        </w:rPr>
        <w:instrText xml:space="preserve"> = 3 \* GB3 </w:instrText>
      </w:r>
      <w:r>
        <w:rPr>
          <w:rFonts w:ascii="仿宋_GB2312" w:eastAsia="仿宋_GB2312"/>
          <w:sz w:val="30"/>
          <w:szCs w:val="30"/>
        </w:rPr>
        <w:fldChar w:fldCharType="separate"/>
      </w:r>
      <w:r>
        <w:rPr>
          <w:rFonts w:hint="eastAsia" w:ascii="仿宋_GB2312" w:eastAsia="仿宋_GB2312"/>
          <w:sz w:val="30"/>
          <w:szCs w:val="30"/>
        </w:rPr>
        <w:t>③</w:t>
      </w:r>
      <w:r>
        <w:rPr>
          <w:rFonts w:ascii="仿宋_GB2312" w:eastAsia="仿宋_GB2312"/>
          <w:sz w:val="30"/>
          <w:szCs w:val="30"/>
        </w:rPr>
        <w:fldChar w:fldCharType="end"/>
      </w:r>
      <w:r>
        <w:rPr>
          <w:rFonts w:hint="eastAsia" w:ascii="仿宋_GB2312" w:eastAsia="仿宋_GB2312"/>
          <w:sz w:val="30"/>
          <w:szCs w:val="30"/>
        </w:rPr>
        <w:t>【确定结算路径】</w:t>
      </w:r>
    </w:p>
    <w:p w14:paraId="01CD5632">
      <w:pPr>
        <w:spacing w:line="600" w:lineRule="exact"/>
        <w:ind w:firstLine="600"/>
        <w:rPr>
          <w:rFonts w:ascii="仿宋_GB2312" w:eastAsia="仿宋_GB2312"/>
          <w:sz w:val="30"/>
          <w:szCs w:val="30"/>
        </w:rPr>
      </w:pPr>
      <w:r>
        <w:rPr>
          <w:rFonts w:hint="eastAsia" w:ascii="仿宋_GB2312" w:eastAsia="仿宋_GB2312"/>
          <w:sz w:val="30"/>
          <w:szCs w:val="30"/>
        </w:rPr>
        <w:t>债券交易参与人在参与债券交易前应当按照登记结算机构相关规定建立结算路径，以履行相应的交收义务。</w:t>
      </w:r>
    </w:p>
    <w:p w14:paraId="4AFB750D">
      <w:pPr>
        <w:spacing w:line="600" w:lineRule="exact"/>
        <w:ind w:firstLine="600"/>
        <w:rPr>
          <w:rFonts w:ascii="仿宋_GB2312" w:eastAsia="仿宋_GB2312"/>
          <w:sz w:val="30"/>
          <w:szCs w:val="30"/>
        </w:rPr>
      </w:pPr>
      <w:r>
        <w:rPr>
          <w:rFonts w:hint="eastAsia" w:ascii="仿宋_GB2312" w:eastAsia="仿宋_GB2312"/>
          <w:sz w:val="30"/>
          <w:szCs w:val="30"/>
        </w:rPr>
        <w:t>取得登记结算机构结算参与人资格的债券交易参与人，可自行办理结算业务；未取得结算参与人资格的债券交易参与人，应当委托其他结算参与人办理结算业务。</w:t>
      </w:r>
    </w:p>
    <w:p w14:paraId="74482E65">
      <w:pPr>
        <w:spacing w:line="600" w:lineRule="exact"/>
        <w:ind w:firstLine="600"/>
        <w:rPr>
          <w:rFonts w:ascii="仿宋_GB2312" w:eastAsia="仿宋_GB2312"/>
          <w:sz w:val="30"/>
          <w:szCs w:val="30"/>
        </w:rPr>
      </w:pPr>
      <w:r>
        <w:rPr>
          <w:rFonts w:hint="eastAsia" w:ascii="仿宋_GB2312" w:eastAsia="仿宋_GB2312"/>
          <w:sz w:val="30"/>
          <w:szCs w:val="30"/>
        </w:rPr>
        <w:t>以下情形视作结算路径已经确定：</w:t>
      </w:r>
    </w:p>
    <w:p w14:paraId="3FDB244A">
      <w:pPr>
        <w:pStyle w:val="92"/>
        <w:numPr>
          <w:ilvl w:val="0"/>
          <w:numId w:val="6"/>
        </w:numPr>
        <w:spacing w:line="600" w:lineRule="exact"/>
        <w:ind w:left="0" w:firstLine="600" w:firstLineChars="200"/>
        <w:jc w:val="both"/>
        <w:rPr>
          <w:rFonts w:ascii="仿宋_GB2312" w:eastAsia="仿宋_GB2312"/>
          <w:sz w:val="30"/>
          <w:szCs w:val="30"/>
          <w:lang w:eastAsia="zh-CN"/>
        </w:rPr>
      </w:pPr>
      <w:r>
        <w:rPr>
          <w:rFonts w:hint="eastAsia" w:ascii="仿宋_GB2312" w:eastAsia="仿宋_GB2312"/>
          <w:sz w:val="30"/>
          <w:szCs w:val="30"/>
          <w:lang w:eastAsia="zh-CN"/>
        </w:rPr>
        <w:t>债券交易参与人已经取得登记结算机构的结算资格，在登记结算机构开通了结算业务，开立了各类结算备付金账户，获得了结算编号。</w:t>
      </w:r>
    </w:p>
    <w:p w14:paraId="29575A10">
      <w:pPr>
        <w:pStyle w:val="92"/>
        <w:numPr>
          <w:ilvl w:val="0"/>
          <w:numId w:val="6"/>
        </w:numPr>
        <w:spacing w:line="600" w:lineRule="exact"/>
        <w:ind w:left="0" w:firstLine="600" w:firstLineChars="200"/>
        <w:jc w:val="both"/>
        <w:rPr>
          <w:rFonts w:ascii="仿宋_GB2312" w:eastAsia="仿宋_GB2312"/>
          <w:sz w:val="30"/>
          <w:szCs w:val="30"/>
          <w:lang w:eastAsia="zh-CN"/>
        </w:rPr>
      </w:pPr>
      <w:r>
        <w:rPr>
          <w:rFonts w:hint="eastAsia" w:ascii="仿宋_GB2312" w:eastAsia="仿宋_GB2312"/>
          <w:sz w:val="30"/>
          <w:szCs w:val="30"/>
          <w:lang w:eastAsia="zh-CN"/>
        </w:rPr>
        <w:t>产品的托管人已经取得登记结算机构的结算资格，在登记结算机构开通了结算业务，开立了各类结算备付金账户，获得了结算编号。</w:t>
      </w:r>
    </w:p>
    <w:p w14:paraId="06BF9F1B">
      <w:pPr>
        <w:spacing w:line="600" w:lineRule="exact"/>
        <w:ind w:firstLine="601"/>
        <w:rPr>
          <w:rFonts w:ascii="仿宋_GB2312" w:eastAsia="仿宋_GB2312"/>
          <w:sz w:val="30"/>
          <w:szCs w:val="30"/>
        </w:rPr>
      </w:pPr>
      <w:r>
        <w:rPr>
          <w:rFonts w:ascii="仿宋_GB2312" w:eastAsia="仿宋_GB2312"/>
          <w:sz w:val="30"/>
          <w:szCs w:val="30"/>
        </w:rPr>
        <w:fldChar w:fldCharType="begin"/>
      </w:r>
      <w:r>
        <w:rPr>
          <w:rFonts w:ascii="仿宋_GB2312" w:eastAsia="仿宋_GB2312"/>
          <w:sz w:val="30"/>
          <w:szCs w:val="30"/>
        </w:rPr>
        <w:instrText xml:space="preserve"> </w:instrText>
      </w:r>
      <w:r>
        <w:rPr>
          <w:rFonts w:hint="eastAsia" w:ascii="仿宋_GB2312" w:eastAsia="仿宋_GB2312"/>
          <w:sz w:val="30"/>
          <w:szCs w:val="30"/>
        </w:rPr>
        <w:instrText xml:space="preserve">= 4 \* GB3</w:instrText>
      </w:r>
      <w:r>
        <w:rPr>
          <w:rFonts w:ascii="仿宋_GB2312" w:eastAsia="仿宋_GB2312"/>
          <w:sz w:val="30"/>
          <w:szCs w:val="30"/>
        </w:rPr>
        <w:instrText xml:space="preserve"> </w:instrText>
      </w:r>
      <w:r>
        <w:rPr>
          <w:rFonts w:ascii="仿宋_GB2312" w:eastAsia="仿宋_GB2312"/>
          <w:sz w:val="30"/>
          <w:szCs w:val="30"/>
        </w:rPr>
        <w:fldChar w:fldCharType="separate"/>
      </w:r>
      <w:r>
        <w:rPr>
          <w:rFonts w:hint="eastAsia" w:ascii="仿宋_GB2312" w:eastAsia="仿宋_GB2312"/>
          <w:sz w:val="30"/>
          <w:szCs w:val="30"/>
        </w:rPr>
        <w:t>④</w:t>
      </w:r>
      <w:r>
        <w:rPr>
          <w:rFonts w:ascii="仿宋_GB2312" w:eastAsia="仿宋_GB2312"/>
          <w:sz w:val="30"/>
          <w:szCs w:val="30"/>
        </w:rPr>
        <w:fldChar w:fldCharType="end"/>
      </w:r>
      <w:r>
        <w:rPr>
          <w:rFonts w:hint="eastAsia" w:ascii="仿宋_GB2312" w:eastAsia="仿宋_GB2312"/>
          <w:sz w:val="30"/>
          <w:szCs w:val="30"/>
        </w:rPr>
        <w:t>【非会员机构新设交易单元】</w:t>
      </w:r>
    </w:p>
    <w:p w14:paraId="4EE23C00">
      <w:pPr>
        <w:spacing w:line="600" w:lineRule="exact"/>
        <w:ind w:firstLine="600"/>
        <w:rPr>
          <w:rFonts w:ascii="仿宋_GB2312" w:eastAsia="仿宋_GB2312"/>
          <w:sz w:val="30"/>
          <w:szCs w:val="30"/>
        </w:rPr>
      </w:pPr>
      <w:r>
        <w:rPr>
          <w:rFonts w:hint="eastAsia" w:ascii="仿宋_GB2312" w:eastAsia="仿宋_GB2312"/>
          <w:sz w:val="30"/>
          <w:szCs w:val="30"/>
        </w:rPr>
        <w:t>（1）交易单元种类</w:t>
      </w:r>
    </w:p>
    <w:p w14:paraId="53E16CFE">
      <w:pPr>
        <w:spacing w:line="600" w:lineRule="exact"/>
        <w:ind w:firstLine="600"/>
        <w:rPr>
          <w:rFonts w:ascii="仿宋_GB2312" w:eastAsia="仿宋_GB2312"/>
          <w:sz w:val="30"/>
          <w:szCs w:val="30"/>
        </w:rPr>
      </w:pPr>
      <w:r>
        <w:rPr>
          <w:rFonts w:hint="eastAsia" w:ascii="仿宋_GB2312" w:eastAsia="仿宋_GB2312"/>
          <w:sz w:val="30"/>
          <w:szCs w:val="30"/>
        </w:rPr>
        <w:t>按照交易单元的获取方式不同，债券交易相关的交易单元分为三类：</w:t>
      </w:r>
    </w:p>
    <w:p w14:paraId="3934CE33">
      <w:pPr>
        <w:pStyle w:val="92"/>
        <w:numPr>
          <w:ilvl w:val="0"/>
          <w:numId w:val="7"/>
        </w:numPr>
        <w:spacing w:line="600" w:lineRule="exact"/>
        <w:ind w:left="0" w:firstLine="600"/>
        <w:rPr>
          <w:rFonts w:ascii="仿宋_GB2312" w:eastAsia="仿宋_GB2312"/>
          <w:sz w:val="30"/>
          <w:szCs w:val="30"/>
          <w:lang w:eastAsia="zh-CN"/>
        </w:rPr>
      </w:pPr>
      <w:r>
        <w:rPr>
          <w:rFonts w:hint="eastAsia" w:ascii="仿宋_GB2312" w:eastAsia="仿宋_GB2312"/>
          <w:sz w:val="30"/>
          <w:szCs w:val="30"/>
          <w:lang w:eastAsia="zh-CN"/>
        </w:rPr>
        <w:t>会员开设的交易单元；</w:t>
      </w:r>
    </w:p>
    <w:p w14:paraId="429A04A7">
      <w:pPr>
        <w:pStyle w:val="92"/>
        <w:numPr>
          <w:ilvl w:val="0"/>
          <w:numId w:val="7"/>
        </w:numPr>
        <w:spacing w:line="600" w:lineRule="exact"/>
        <w:ind w:left="0" w:firstLine="600"/>
        <w:rPr>
          <w:rFonts w:ascii="仿宋_GB2312" w:eastAsia="仿宋_GB2312"/>
          <w:sz w:val="30"/>
          <w:szCs w:val="30"/>
          <w:lang w:eastAsia="zh-CN"/>
        </w:rPr>
      </w:pPr>
      <w:r>
        <w:rPr>
          <w:rFonts w:hint="eastAsia" w:ascii="仿宋_GB2312" w:eastAsia="仿宋_GB2312"/>
          <w:sz w:val="30"/>
          <w:szCs w:val="30"/>
          <w:lang w:eastAsia="zh-CN"/>
        </w:rPr>
        <w:t>从会员租用的交易单元，租用方包括银行、基金公司、保险公司等；</w:t>
      </w:r>
    </w:p>
    <w:p w14:paraId="00AA81C9">
      <w:pPr>
        <w:pStyle w:val="92"/>
        <w:numPr>
          <w:ilvl w:val="0"/>
          <w:numId w:val="7"/>
        </w:numPr>
        <w:spacing w:line="600" w:lineRule="exact"/>
        <w:ind w:left="0" w:firstLine="600"/>
        <w:rPr>
          <w:rFonts w:ascii="仿宋_GB2312" w:eastAsia="仿宋_GB2312"/>
          <w:sz w:val="30"/>
          <w:szCs w:val="30"/>
          <w:lang w:eastAsia="zh-CN"/>
        </w:rPr>
      </w:pPr>
      <w:r>
        <w:rPr>
          <w:rFonts w:hint="eastAsia" w:ascii="仿宋_GB2312" w:eastAsia="仿宋_GB2312"/>
          <w:sz w:val="30"/>
          <w:szCs w:val="30"/>
          <w:lang w:eastAsia="zh-CN"/>
        </w:rPr>
        <w:t>非会员债券交易参与人开设的交易单元。</w:t>
      </w:r>
    </w:p>
    <w:p w14:paraId="05706BDC">
      <w:pPr>
        <w:spacing w:line="600" w:lineRule="exact"/>
        <w:ind w:firstLine="600"/>
        <w:rPr>
          <w:rFonts w:ascii="仿宋_GB2312" w:eastAsia="仿宋_GB2312"/>
          <w:sz w:val="30"/>
          <w:szCs w:val="30"/>
        </w:rPr>
      </w:pPr>
      <w:r>
        <w:rPr>
          <w:rFonts w:hint="eastAsia" w:ascii="仿宋_GB2312" w:eastAsia="仿宋_GB2312"/>
          <w:sz w:val="30"/>
          <w:szCs w:val="30"/>
        </w:rPr>
        <w:t>交易单元的开设、使用与管理，按照《上海证券交易所参与者交易业务单元实施细则》及本所其他有关规定执行。</w:t>
      </w:r>
    </w:p>
    <w:p w14:paraId="4ABBBBDE">
      <w:pPr>
        <w:spacing w:line="600" w:lineRule="exact"/>
        <w:ind w:firstLine="600"/>
        <w:rPr>
          <w:rFonts w:ascii="仿宋_GB2312" w:eastAsia="仿宋_GB2312"/>
          <w:sz w:val="30"/>
          <w:szCs w:val="30"/>
        </w:rPr>
      </w:pPr>
      <w:r>
        <w:rPr>
          <w:rFonts w:hint="eastAsia" w:ascii="仿宋_GB2312" w:eastAsia="仿宋_GB2312"/>
          <w:sz w:val="30"/>
          <w:szCs w:val="30"/>
        </w:rPr>
        <w:t>非会员机构租用交易单元的要求和流程，按照《</w:t>
      </w:r>
      <w:r>
        <w:rPr>
          <w:rFonts w:hint="eastAsia" w:ascii="仿宋_GB2312" w:hAnsi="Calibri" w:eastAsia="仿宋_GB2312"/>
          <w:sz w:val="30"/>
          <w:szCs w:val="30"/>
        </w:rPr>
        <w:t>上海证券交易所会籍业务网上办理指引</w:t>
      </w:r>
      <w:r>
        <w:rPr>
          <w:rFonts w:hint="eastAsia" w:ascii="仿宋_GB2312" w:eastAsia="仿宋_GB2312"/>
          <w:sz w:val="30"/>
          <w:szCs w:val="30"/>
        </w:rPr>
        <w:t>》等相关规定办理。</w:t>
      </w:r>
    </w:p>
    <w:p w14:paraId="52768309">
      <w:pPr>
        <w:spacing w:line="600" w:lineRule="exact"/>
        <w:ind w:firstLine="600"/>
        <w:rPr>
          <w:rFonts w:ascii="仿宋_GB2312" w:eastAsia="仿宋_GB2312"/>
          <w:sz w:val="30"/>
          <w:szCs w:val="30"/>
        </w:rPr>
      </w:pPr>
      <w:r>
        <w:rPr>
          <w:rFonts w:hint="eastAsia" w:ascii="仿宋_GB2312" w:eastAsia="仿宋_GB2312"/>
          <w:sz w:val="30"/>
          <w:szCs w:val="30"/>
        </w:rPr>
        <w:t>（2）新设交易单元流程</w:t>
      </w:r>
    </w:p>
    <w:p w14:paraId="3A3886A5">
      <w:pPr>
        <w:spacing w:line="600" w:lineRule="exact"/>
        <w:ind w:firstLine="600"/>
        <w:rPr>
          <w:rFonts w:ascii="仿宋_GB2312" w:eastAsia="仿宋_GB2312"/>
          <w:sz w:val="30"/>
          <w:szCs w:val="30"/>
        </w:rPr>
      </w:pPr>
      <w:r>
        <w:rPr>
          <w:rFonts w:hint="eastAsia" w:ascii="仿宋_GB2312" w:eastAsia="仿宋_GB2312"/>
          <w:sz w:val="30"/>
          <w:szCs w:val="30"/>
        </w:rPr>
        <w:t>新设交易单元流程在</w:t>
      </w:r>
      <w:r>
        <w:rPr>
          <w:rFonts w:ascii="仿宋_GB2312" w:eastAsia="仿宋_GB2312"/>
          <w:sz w:val="30"/>
          <w:szCs w:val="30"/>
        </w:rPr>
        <w:t>会籍业务平台</w:t>
      </w:r>
      <w:r>
        <w:rPr>
          <w:rFonts w:hint="eastAsia" w:ascii="仿宋_GB2312" w:eastAsia="仿宋_GB2312"/>
          <w:sz w:val="30"/>
          <w:szCs w:val="30"/>
        </w:rPr>
        <w:t>登录办理。非会员登录后，选择“新设交易单元”开始业务办理，进入业务说明页。非会员机构新设债券交易单元申请材料如下：</w:t>
      </w:r>
    </w:p>
    <w:p w14:paraId="76609593">
      <w:pPr>
        <w:pStyle w:val="92"/>
        <w:numPr>
          <w:ilvl w:val="0"/>
          <w:numId w:val="8"/>
        </w:numPr>
        <w:spacing w:line="600" w:lineRule="exact"/>
        <w:ind w:left="0" w:firstLine="601"/>
        <w:rPr>
          <w:rFonts w:ascii="仿宋_GB2312" w:eastAsia="仿宋_GB2312"/>
          <w:sz w:val="30"/>
          <w:szCs w:val="30"/>
          <w:lang w:eastAsia="zh-CN"/>
        </w:rPr>
      </w:pPr>
      <w:r>
        <w:rPr>
          <w:rFonts w:hint="eastAsia" w:ascii="仿宋_GB2312" w:eastAsia="仿宋_GB2312"/>
          <w:sz w:val="30"/>
          <w:szCs w:val="30"/>
          <w:lang w:eastAsia="zh-CN"/>
        </w:rPr>
        <w:t>新设交易单元申请信息</w:t>
      </w:r>
    </w:p>
    <w:p w14:paraId="4ED5527E">
      <w:pPr>
        <w:pStyle w:val="92"/>
        <w:numPr>
          <w:ilvl w:val="0"/>
          <w:numId w:val="8"/>
        </w:numPr>
        <w:spacing w:line="600" w:lineRule="exact"/>
        <w:ind w:left="0" w:firstLine="601"/>
        <w:rPr>
          <w:rFonts w:ascii="仿宋_GB2312" w:eastAsia="仿宋_GB2312"/>
          <w:sz w:val="30"/>
          <w:szCs w:val="30"/>
          <w:lang w:eastAsia="zh-CN"/>
        </w:rPr>
      </w:pPr>
      <w:r>
        <w:rPr>
          <w:rFonts w:hint="eastAsia" w:ascii="仿宋_GB2312" w:eastAsia="仿宋_GB2312"/>
          <w:sz w:val="30"/>
          <w:szCs w:val="30"/>
          <w:lang w:eastAsia="zh-CN"/>
        </w:rPr>
        <w:t>非会员机构交易单元联通申请表</w:t>
      </w:r>
    </w:p>
    <w:p w14:paraId="16EBEAC7">
      <w:pPr>
        <w:spacing w:line="600" w:lineRule="exact"/>
        <w:ind w:firstLine="600"/>
        <w:rPr>
          <w:rFonts w:ascii="仿宋_GB2312" w:eastAsia="仿宋_GB2312"/>
          <w:sz w:val="30"/>
          <w:szCs w:val="30"/>
        </w:rPr>
      </w:pPr>
      <w:r>
        <w:rPr>
          <w:rFonts w:hint="eastAsia" w:ascii="仿宋_GB2312" w:eastAsia="仿宋_GB2312"/>
          <w:sz w:val="30"/>
          <w:szCs w:val="30"/>
        </w:rPr>
        <w:t>办理完成后可通过本平台</w:t>
      </w:r>
      <w:r>
        <w:rPr>
          <w:rFonts w:ascii="仿宋_GB2312" w:eastAsia="仿宋_GB2312"/>
          <w:sz w:val="30"/>
          <w:szCs w:val="30"/>
        </w:rPr>
        <w:t>会员业务模块</w:t>
      </w:r>
      <w:r>
        <w:rPr>
          <w:rFonts w:hint="eastAsia" w:ascii="仿宋_GB2312" w:eastAsia="仿宋_GB2312"/>
          <w:sz w:val="30"/>
          <w:szCs w:val="30"/>
        </w:rPr>
        <w:t>查询业务办理结果。</w:t>
      </w:r>
    </w:p>
    <w:p w14:paraId="1402FA85">
      <w:pPr>
        <w:spacing w:line="600" w:lineRule="exact"/>
        <w:ind w:firstLine="601"/>
        <w:rPr>
          <w:rFonts w:ascii="仿宋_GB2312" w:eastAsia="仿宋_GB2312"/>
          <w:sz w:val="30"/>
          <w:szCs w:val="30"/>
        </w:rPr>
      </w:pPr>
      <w:r>
        <w:rPr>
          <w:rFonts w:ascii="仿宋_GB2312" w:eastAsia="仿宋_GB2312"/>
          <w:sz w:val="30"/>
          <w:szCs w:val="30"/>
        </w:rPr>
        <w:fldChar w:fldCharType="begin"/>
      </w:r>
      <w:r>
        <w:rPr>
          <w:rFonts w:ascii="仿宋_GB2312" w:eastAsia="仿宋_GB2312"/>
          <w:sz w:val="30"/>
          <w:szCs w:val="30"/>
        </w:rPr>
        <w:instrText xml:space="preserve"> </w:instrText>
      </w:r>
      <w:r>
        <w:rPr>
          <w:rFonts w:hint="eastAsia" w:ascii="仿宋_GB2312" w:eastAsia="仿宋_GB2312"/>
          <w:sz w:val="30"/>
          <w:szCs w:val="30"/>
        </w:rPr>
        <w:instrText xml:space="preserve">= 5 \* GB3</w:instrText>
      </w:r>
      <w:r>
        <w:rPr>
          <w:rFonts w:ascii="仿宋_GB2312" w:eastAsia="仿宋_GB2312"/>
          <w:sz w:val="30"/>
          <w:szCs w:val="30"/>
        </w:rPr>
        <w:instrText xml:space="preserve"> </w:instrText>
      </w:r>
      <w:r>
        <w:rPr>
          <w:rFonts w:ascii="仿宋_GB2312" w:eastAsia="仿宋_GB2312"/>
          <w:sz w:val="30"/>
          <w:szCs w:val="30"/>
        </w:rPr>
        <w:fldChar w:fldCharType="separate"/>
      </w:r>
      <w:r>
        <w:rPr>
          <w:rFonts w:hint="eastAsia" w:ascii="仿宋_GB2312" w:eastAsia="仿宋_GB2312"/>
          <w:sz w:val="30"/>
          <w:szCs w:val="30"/>
        </w:rPr>
        <w:t>⑤</w:t>
      </w:r>
      <w:r>
        <w:rPr>
          <w:rFonts w:ascii="仿宋_GB2312" w:eastAsia="仿宋_GB2312"/>
          <w:sz w:val="30"/>
          <w:szCs w:val="30"/>
        </w:rPr>
        <w:fldChar w:fldCharType="end"/>
      </w:r>
      <w:r>
        <w:rPr>
          <w:rFonts w:hint="eastAsia" w:ascii="仿宋_GB2312" w:eastAsia="仿宋_GB2312"/>
          <w:sz w:val="30"/>
          <w:szCs w:val="30"/>
        </w:rPr>
        <w:t>【固定收益平台权限开通】</w:t>
      </w:r>
    </w:p>
    <w:p w14:paraId="4DCE3827">
      <w:pPr>
        <w:spacing w:line="600" w:lineRule="exact"/>
        <w:ind w:firstLine="600"/>
        <w:rPr>
          <w:rFonts w:ascii="仿宋_GB2312" w:eastAsia="仿宋_GB2312"/>
          <w:sz w:val="30"/>
          <w:szCs w:val="30"/>
        </w:rPr>
      </w:pPr>
      <w:r>
        <w:rPr>
          <w:rFonts w:hint="eastAsia" w:ascii="仿宋_GB2312" w:eastAsia="仿宋_GB2312"/>
          <w:sz w:val="30"/>
          <w:szCs w:val="30"/>
        </w:rPr>
        <w:t>申请债券交易参与人时已经提供固定收益平台的申请材料，无需重复提交。</w:t>
      </w:r>
    </w:p>
    <w:p w14:paraId="32E369A0">
      <w:pPr>
        <w:spacing w:line="600" w:lineRule="exact"/>
        <w:ind w:firstLine="600"/>
        <w:rPr>
          <w:rFonts w:ascii="仿宋_GB2312" w:eastAsia="仿宋_GB2312"/>
          <w:sz w:val="30"/>
          <w:szCs w:val="30"/>
        </w:rPr>
      </w:pPr>
      <w:r>
        <w:rPr>
          <w:rFonts w:hint="eastAsia" w:ascii="仿宋_GB2312" w:eastAsia="仿宋_GB2312"/>
          <w:sz w:val="30"/>
          <w:szCs w:val="30"/>
        </w:rPr>
        <w:t>债券</w:t>
      </w:r>
      <w:r>
        <w:rPr>
          <w:rFonts w:ascii="仿宋_GB2312" w:eastAsia="仿宋_GB2312"/>
          <w:sz w:val="30"/>
          <w:szCs w:val="30"/>
        </w:rPr>
        <w:t>交易参与人</w:t>
      </w:r>
      <w:r>
        <w:rPr>
          <w:rFonts w:hint="eastAsia" w:ascii="仿宋_GB2312" w:eastAsia="仿宋_GB2312"/>
          <w:sz w:val="30"/>
          <w:szCs w:val="30"/>
        </w:rPr>
        <w:t>在开展固定</w:t>
      </w:r>
      <w:r>
        <w:rPr>
          <w:rFonts w:ascii="仿宋_GB2312" w:eastAsia="仿宋_GB2312"/>
          <w:sz w:val="30"/>
          <w:szCs w:val="30"/>
        </w:rPr>
        <w:t>收益平台业务前，需先</w:t>
      </w:r>
      <w:r>
        <w:rPr>
          <w:rFonts w:hint="eastAsia" w:ascii="仿宋_GB2312" w:eastAsia="仿宋_GB2312"/>
          <w:sz w:val="30"/>
          <w:szCs w:val="30"/>
        </w:rPr>
        <w:t>向本所</w:t>
      </w:r>
      <w:r>
        <w:rPr>
          <w:rFonts w:ascii="仿宋_GB2312" w:eastAsia="仿宋_GB2312"/>
          <w:sz w:val="30"/>
          <w:szCs w:val="30"/>
        </w:rPr>
        <w:t>申请</w:t>
      </w:r>
      <w:r>
        <w:rPr>
          <w:rFonts w:hint="eastAsia" w:ascii="仿宋_GB2312" w:eastAsia="仿宋_GB2312"/>
          <w:sz w:val="30"/>
          <w:szCs w:val="30"/>
        </w:rPr>
        <w:t>固定</w:t>
      </w:r>
      <w:r>
        <w:rPr>
          <w:rFonts w:ascii="仿宋_GB2312" w:eastAsia="仿宋_GB2312"/>
          <w:sz w:val="30"/>
          <w:szCs w:val="30"/>
        </w:rPr>
        <w:t>收益平台的交易商资格，</w:t>
      </w:r>
      <w:r>
        <w:rPr>
          <w:rFonts w:hint="eastAsia" w:ascii="仿宋_GB2312" w:eastAsia="仿宋_GB2312"/>
          <w:sz w:val="30"/>
          <w:szCs w:val="30"/>
        </w:rPr>
        <w:t>随后通过</w:t>
      </w:r>
      <w:r>
        <w:rPr>
          <w:rFonts w:ascii="仿宋_GB2312" w:eastAsia="仿宋_GB2312"/>
          <w:sz w:val="30"/>
          <w:szCs w:val="30"/>
        </w:rPr>
        <w:t>办理数字证书申请或</w:t>
      </w:r>
      <w:r>
        <w:rPr>
          <w:rFonts w:hint="eastAsia" w:ascii="仿宋_GB2312" w:eastAsia="仿宋_GB2312"/>
          <w:sz w:val="30"/>
          <w:szCs w:val="30"/>
        </w:rPr>
        <w:t>EZ</w:t>
      </w:r>
      <w:r>
        <w:rPr>
          <w:rFonts w:ascii="仿宋_GB2312" w:eastAsia="仿宋_GB2312"/>
          <w:sz w:val="30"/>
          <w:szCs w:val="30"/>
        </w:rPr>
        <w:t>DA</w:t>
      </w:r>
      <w:r>
        <w:rPr>
          <w:rFonts w:hint="eastAsia" w:ascii="仿宋_GB2312" w:eastAsia="仿宋_GB2312"/>
          <w:sz w:val="30"/>
          <w:szCs w:val="30"/>
        </w:rPr>
        <w:t>电子</w:t>
      </w:r>
      <w:r>
        <w:rPr>
          <w:rFonts w:ascii="仿宋_GB2312" w:eastAsia="仿宋_GB2312"/>
          <w:sz w:val="30"/>
          <w:szCs w:val="30"/>
        </w:rPr>
        <w:t>接口</w:t>
      </w:r>
      <w:r>
        <w:rPr>
          <w:rFonts w:hint="eastAsia" w:ascii="仿宋_GB2312" w:eastAsia="仿宋_GB2312"/>
          <w:sz w:val="30"/>
          <w:szCs w:val="30"/>
        </w:rPr>
        <w:t>两种</w:t>
      </w:r>
      <w:r>
        <w:rPr>
          <w:rFonts w:ascii="仿宋_GB2312" w:eastAsia="仿宋_GB2312"/>
          <w:sz w:val="30"/>
          <w:szCs w:val="30"/>
        </w:rPr>
        <w:t>方式新增</w:t>
      </w:r>
      <w:r>
        <w:rPr>
          <w:rFonts w:hint="eastAsia" w:ascii="仿宋_GB2312" w:eastAsia="仿宋_GB2312"/>
          <w:sz w:val="30"/>
          <w:szCs w:val="30"/>
        </w:rPr>
        <w:t>交易员</w:t>
      </w:r>
      <w:r>
        <w:rPr>
          <w:rFonts w:ascii="仿宋_GB2312" w:eastAsia="仿宋_GB2312"/>
          <w:sz w:val="30"/>
          <w:szCs w:val="30"/>
        </w:rPr>
        <w:t>，</w:t>
      </w:r>
      <w:r>
        <w:rPr>
          <w:rFonts w:hint="eastAsia" w:ascii="仿宋_GB2312" w:eastAsia="仿宋_GB2312"/>
          <w:sz w:val="30"/>
          <w:szCs w:val="30"/>
        </w:rPr>
        <w:t>从而开通固定收益平台权限。本所为债券交易参与人开通固定收益平台权限后，</w:t>
      </w:r>
      <w:r>
        <w:rPr>
          <w:rFonts w:ascii="仿宋_GB2312" w:eastAsia="仿宋_GB2312"/>
          <w:sz w:val="30"/>
          <w:szCs w:val="30"/>
        </w:rPr>
        <w:t>本所</w:t>
      </w:r>
      <w:r>
        <w:rPr>
          <w:rFonts w:hint="eastAsia" w:ascii="仿宋_GB2312" w:eastAsia="仿宋_GB2312"/>
          <w:sz w:val="30"/>
          <w:szCs w:val="30"/>
        </w:rPr>
        <w:t>将向该申请人发送固定收益平台的用户名和密码，并寄送“固定收益平台”EKey数字证书。具体</w:t>
      </w:r>
      <w:r>
        <w:rPr>
          <w:rFonts w:ascii="仿宋_GB2312" w:eastAsia="仿宋_GB2312"/>
          <w:sz w:val="30"/>
          <w:szCs w:val="30"/>
        </w:rPr>
        <w:t>流程</w:t>
      </w:r>
      <w:r>
        <w:rPr>
          <w:rFonts w:hint="eastAsia" w:ascii="仿宋_GB2312" w:eastAsia="仿宋_GB2312"/>
          <w:sz w:val="30"/>
          <w:szCs w:val="30"/>
        </w:rPr>
        <w:t>包括</w:t>
      </w:r>
      <w:r>
        <w:rPr>
          <w:rFonts w:ascii="仿宋_GB2312" w:eastAsia="仿宋_GB2312"/>
          <w:sz w:val="30"/>
          <w:szCs w:val="30"/>
        </w:rPr>
        <w:t>：</w:t>
      </w:r>
    </w:p>
    <w:p w14:paraId="27F6BD9E">
      <w:pPr>
        <w:spacing w:line="600" w:lineRule="exact"/>
        <w:ind w:firstLine="600"/>
        <w:rPr>
          <w:rFonts w:ascii="仿宋_GB2312" w:eastAsia="仿宋_GB2312"/>
          <w:sz w:val="30"/>
          <w:szCs w:val="30"/>
        </w:rPr>
      </w:pPr>
      <w:r>
        <w:rPr>
          <w:rFonts w:hint="eastAsia" w:ascii="仿宋_GB2312" w:eastAsia="仿宋_GB2312"/>
          <w:sz w:val="30"/>
          <w:szCs w:val="30"/>
        </w:rPr>
        <w:t>交易商</w:t>
      </w:r>
      <w:r>
        <w:rPr>
          <w:rFonts w:ascii="仿宋_GB2312" w:eastAsia="仿宋_GB2312"/>
          <w:sz w:val="30"/>
          <w:szCs w:val="30"/>
        </w:rPr>
        <w:t>资格申请：</w:t>
      </w:r>
    </w:p>
    <w:p w14:paraId="3800C1C1">
      <w:pPr>
        <w:spacing w:line="600" w:lineRule="exact"/>
        <w:ind w:firstLine="600"/>
        <w:rPr>
          <w:rFonts w:ascii="仿宋_GB2312" w:eastAsia="仿宋_GB2312"/>
          <w:sz w:val="30"/>
          <w:szCs w:val="30"/>
        </w:rPr>
      </w:pPr>
      <w:r>
        <w:fldChar w:fldCharType="begin"/>
      </w:r>
      <w:r>
        <w:instrText xml:space="preserve"> HYPERLINK "http://bond.sse.com.cn/business/dealerb/dealerapp/" </w:instrText>
      </w:r>
      <w:r>
        <w:fldChar w:fldCharType="separate"/>
      </w:r>
      <w:r>
        <w:rPr>
          <w:rFonts w:ascii="仿宋_GB2312" w:eastAsia="仿宋_GB2312"/>
          <w:sz w:val="30"/>
          <w:szCs w:val="30"/>
        </w:rPr>
        <w:t>http://bond.sse.com.cn/business/dealerb/dealerapp/</w:t>
      </w:r>
      <w:r>
        <w:rPr>
          <w:rFonts w:ascii="仿宋_GB2312" w:eastAsia="仿宋_GB2312"/>
          <w:sz w:val="30"/>
          <w:szCs w:val="30"/>
        </w:rPr>
        <w:fldChar w:fldCharType="end"/>
      </w:r>
    </w:p>
    <w:p w14:paraId="5F033506">
      <w:pPr>
        <w:spacing w:line="600" w:lineRule="exact"/>
        <w:ind w:firstLine="600"/>
        <w:rPr>
          <w:rFonts w:ascii="仿宋_GB2312" w:eastAsia="仿宋_GB2312"/>
          <w:sz w:val="30"/>
          <w:szCs w:val="30"/>
        </w:rPr>
      </w:pPr>
      <w:r>
        <w:rPr>
          <w:rFonts w:hint="eastAsia" w:ascii="仿宋_GB2312" w:eastAsia="仿宋_GB2312"/>
          <w:sz w:val="30"/>
          <w:szCs w:val="30"/>
        </w:rPr>
        <w:t>新增交易员</w:t>
      </w:r>
      <w:r>
        <w:rPr>
          <w:rFonts w:ascii="仿宋_GB2312" w:eastAsia="仿宋_GB2312"/>
          <w:sz w:val="30"/>
          <w:szCs w:val="30"/>
        </w:rPr>
        <w:t>申请：</w:t>
      </w:r>
    </w:p>
    <w:p w14:paraId="39DEFDB8">
      <w:pPr>
        <w:spacing w:line="600" w:lineRule="exact"/>
        <w:ind w:firstLine="600"/>
        <w:rPr>
          <w:rFonts w:ascii="仿宋_GB2312" w:eastAsia="仿宋_GB2312"/>
          <w:sz w:val="30"/>
          <w:szCs w:val="30"/>
        </w:rPr>
      </w:pPr>
      <w:r>
        <w:rPr>
          <w:rFonts w:ascii="仿宋_GB2312" w:eastAsia="仿宋_GB2312"/>
          <w:sz w:val="30"/>
          <w:szCs w:val="30"/>
        </w:rPr>
        <w:t>http://bond.sse.com.cn/business/dealerb/traderadd/</w:t>
      </w:r>
    </w:p>
    <w:p w14:paraId="16535B87">
      <w:pPr>
        <w:spacing w:line="600" w:lineRule="exact"/>
        <w:ind w:firstLine="600"/>
        <w:rPr>
          <w:rFonts w:ascii="仿宋_GB2312" w:eastAsia="仿宋_GB2312"/>
          <w:sz w:val="30"/>
          <w:szCs w:val="30"/>
        </w:rPr>
      </w:pPr>
      <w:r>
        <w:rPr>
          <w:rFonts w:hint="eastAsia" w:ascii="仿宋_GB2312" w:eastAsia="仿宋_GB2312"/>
          <w:sz w:val="30"/>
          <w:szCs w:val="30"/>
        </w:rPr>
        <w:t>数字证书在线申请：申请</w:t>
      </w:r>
      <w:r>
        <w:rPr>
          <w:rFonts w:ascii="仿宋_GB2312" w:eastAsia="仿宋_GB2312"/>
          <w:sz w:val="30"/>
          <w:szCs w:val="30"/>
        </w:rPr>
        <w:t>人</w:t>
      </w:r>
      <w:r>
        <w:rPr>
          <w:rFonts w:hint="eastAsia" w:ascii="仿宋_GB2312" w:eastAsia="仿宋_GB2312"/>
          <w:sz w:val="30"/>
          <w:szCs w:val="30"/>
        </w:rPr>
        <w:t>访问通过登录“CnSCA在线业务系统”（</w:t>
      </w:r>
      <w:r>
        <w:rPr>
          <w:rFonts w:ascii="仿宋_GB2312" w:eastAsia="仿宋_GB2312"/>
          <w:sz w:val="30"/>
          <w:szCs w:val="30"/>
        </w:rPr>
        <w:t>https://cnsca.sse.com.cn/</w:t>
      </w:r>
      <w:r>
        <w:rPr>
          <w:rFonts w:hint="eastAsia" w:ascii="仿宋_GB2312" w:eastAsia="仿宋_GB2312"/>
          <w:sz w:val="30"/>
          <w:szCs w:val="30"/>
        </w:rPr>
        <w:t>）进行“固定收益平台”数字</w:t>
      </w:r>
      <w:r>
        <w:rPr>
          <w:rFonts w:ascii="仿宋_GB2312" w:eastAsia="仿宋_GB2312"/>
          <w:sz w:val="30"/>
          <w:szCs w:val="30"/>
        </w:rPr>
        <w:t>证书申请，</w:t>
      </w:r>
      <w:r>
        <w:rPr>
          <w:rFonts w:hint="eastAsia" w:ascii="仿宋_GB2312" w:eastAsia="仿宋_GB2312"/>
          <w:sz w:val="30"/>
          <w:szCs w:val="30"/>
        </w:rPr>
        <w:t>并获取相应的</w:t>
      </w:r>
      <w:r>
        <w:rPr>
          <w:rFonts w:ascii="仿宋_GB2312" w:eastAsia="仿宋_GB2312"/>
          <w:sz w:val="30"/>
          <w:szCs w:val="30"/>
        </w:rPr>
        <w:t>用户名和密码，</w:t>
      </w:r>
      <w:r>
        <w:rPr>
          <w:rFonts w:hint="eastAsia" w:ascii="仿宋_GB2312" w:eastAsia="仿宋_GB2312"/>
          <w:sz w:val="30"/>
          <w:szCs w:val="30"/>
        </w:rPr>
        <w:t>C</w:t>
      </w:r>
      <w:r>
        <w:rPr>
          <w:rFonts w:ascii="仿宋_GB2312" w:eastAsia="仿宋_GB2312"/>
          <w:sz w:val="30"/>
          <w:szCs w:val="30"/>
        </w:rPr>
        <w:t>A</w:t>
      </w:r>
      <w:r>
        <w:rPr>
          <w:rFonts w:hint="eastAsia" w:ascii="仿宋_GB2312" w:eastAsia="仿宋_GB2312"/>
          <w:sz w:val="30"/>
          <w:szCs w:val="30"/>
        </w:rPr>
        <w:t>中心一般在收到业务审核通过后的3-5个工作日内发放数字证书。</w:t>
      </w:r>
    </w:p>
    <w:p w14:paraId="5B9D2FA7">
      <w:pPr>
        <w:numPr>
          <w:ilvl w:val="1"/>
          <w:numId w:val="4"/>
        </w:numPr>
        <w:spacing w:line="600" w:lineRule="exact"/>
        <w:ind w:left="0" w:firstLine="0"/>
        <w:outlineLvl w:val="1"/>
        <w:rPr>
          <w:rFonts w:ascii="仿宋_GB2312" w:hAnsi="黑体" w:eastAsia="仿宋_GB2312"/>
          <w:b/>
          <w:sz w:val="30"/>
          <w:szCs w:val="30"/>
        </w:rPr>
      </w:pPr>
      <w:bookmarkStart w:id="224" w:name="_Toc147147695"/>
      <w:bookmarkStart w:id="225" w:name="_Toc824730005"/>
      <w:bookmarkStart w:id="226" w:name="_Toc1145043106"/>
      <w:bookmarkStart w:id="227" w:name="_Toc1960311428"/>
      <w:bookmarkStart w:id="228" w:name="_Toc151136884"/>
      <w:r>
        <w:rPr>
          <w:rFonts w:ascii="仿宋_GB2312" w:hAnsi="黑体" w:eastAsia="仿宋_GB2312"/>
          <w:b/>
          <w:sz w:val="30"/>
          <w:szCs w:val="30"/>
        </w:rPr>
        <w:t>债券交易参与人变更</w:t>
      </w:r>
      <w:r>
        <w:rPr>
          <w:rFonts w:hint="eastAsia" w:ascii="仿宋_GB2312" w:hAnsi="黑体" w:eastAsia="仿宋_GB2312"/>
          <w:b/>
          <w:sz w:val="30"/>
          <w:szCs w:val="30"/>
        </w:rPr>
        <w:t>与终止</w:t>
      </w:r>
      <w:bookmarkEnd w:id="224"/>
      <w:bookmarkEnd w:id="225"/>
      <w:bookmarkEnd w:id="226"/>
      <w:bookmarkEnd w:id="227"/>
      <w:bookmarkEnd w:id="228"/>
    </w:p>
    <w:p w14:paraId="28CF7956">
      <w:pPr>
        <w:numPr>
          <w:ilvl w:val="2"/>
          <w:numId w:val="4"/>
        </w:numPr>
        <w:spacing w:line="600" w:lineRule="exact"/>
        <w:ind w:left="0" w:firstLine="0"/>
        <w:outlineLvl w:val="2"/>
        <w:rPr>
          <w:rFonts w:ascii="仿宋_GB2312" w:eastAsia="仿宋_GB2312"/>
          <w:b/>
          <w:sz w:val="30"/>
          <w:szCs w:val="30"/>
        </w:rPr>
      </w:pPr>
      <w:bookmarkStart w:id="229" w:name="_Toc57908863"/>
      <w:r>
        <w:rPr>
          <w:rFonts w:ascii="仿宋_GB2312" w:eastAsia="仿宋_GB2312"/>
          <w:b/>
          <w:sz w:val="30"/>
          <w:szCs w:val="30"/>
        </w:rPr>
        <w:t>债券交易参与人变更</w:t>
      </w:r>
      <w:bookmarkEnd w:id="229"/>
    </w:p>
    <w:p w14:paraId="7D6F342C">
      <w:pPr>
        <w:spacing w:line="600" w:lineRule="exact"/>
        <w:ind w:firstLine="600"/>
        <w:rPr>
          <w:rFonts w:ascii="仿宋_GB2312" w:eastAsia="仿宋_GB2312"/>
          <w:sz w:val="30"/>
          <w:szCs w:val="30"/>
        </w:rPr>
      </w:pPr>
      <w:r>
        <w:rPr>
          <w:rFonts w:hint="eastAsia" w:ascii="仿宋_GB2312" w:eastAsia="仿宋_GB2312"/>
          <w:sz w:val="30"/>
          <w:szCs w:val="30"/>
        </w:rPr>
        <w:t>会员类债券交易参与人变更名称的，按照本所会员管理规则的规定办理名称变更登记。</w:t>
      </w:r>
    </w:p>
    <w:p w14:paraId="02047C24">
      <w:pPr>
        <w:spacing w:line="600" w:lineRule="exact"/>
        <w:ind w:firstLine="600"/>
        <w:rPr>
          <w:rFonts w:ascii="仿宋_GB2312" w:eastAsia="仿宋_GB2312"/>
          <w:sz w:val="30"/>
          <w:szCs w:val="30"/>
        </w:rPr>
      </w:pPr>
      <w:r>
        <w:rPr>
          <w:rFonts w:hint="eastAsia" w:ascii="仿宋_GB2312" w:eastAsia="仿宋_GB2312"/>
          <w:sz w:val="30"/>
          <w:szCs w:val="30"/>
        </w:rPr>
        <w:t>非会员类债券交易参与人变更名称的，应当向本所邮箱bondtr</w:t>
      </w:r>
      <w:r>
        <w:rPr>
          <w:rFonts w:ascii="仿宋_GB2312" w:eastAsia="仿宋_GB2312"/>
          <w:sz w:val="30"/>
          <w:szCs w:val="30"/>
        </w:rPr>
        <w:t>ading@sse.com.cn</w:t>
      </w:r>
      <w:r>
        <w:rPr>
          <w:rFonts w:hint="eastAsia" w:ascii="仿宋_GB2312" w:eastAsia="仿宋_GB2312"/>
          <w:sz w:val="30"/>
          <w:szCs w:val="30"/>
        </w:rPr>
        <w:t>提交名称变更登记申请及相关证明文件。本所自受理申请文件之日起10个交易日以内办理名称变更登记，并予以公告。申请材料如下：</w:t>
      </w:r>
    </w:p>
    <w:p w14:paraId="1BB088E5">
      <w:pPr>
        <w:spacing w:line="600" w:lineRule="exact"/>
        <w:ind w:firstLine="600"/>
        <w:rPr>
          <w:rFonts w:ascii="仿宋_GB2312" w:eastAsia="仿宋_GB2312"/>
          <w:sz w:val="30"/>
          <w:szCs w:val="30"/>
        </w:rPr>
      </w:pPr>
      <w:r>
        <w:rPr>
          <w:rFonts w:hint="eastAsia" w:ascii="仿宋_GB2312" w:eastAsia="仿宋_GB2312"/>
          <w:sz w:val="30"/>
          <w:szCs w:val="30"/>
        </w:rPr>
        <w:t>（1）主管机关同意公司变更的批复；</w:t>
      </w:r>
    </w:p>
    <w:p w14:paraId="708F21DE">
      <w:pPr>
        <w:spacing w:line="600" w:lineRule="exact"/>
        <w:ind w:firstLine="600"/>
        <w:rPr>
          <w:rFonts w:ascii="仿宋_GB2312" w:eastAsia="仿宋_GB2312"/>
          <w:sz w:val="30"/>
          <w:szCs w:val="30"/>
        </w:rPr>
      </w:pPr>
      <w:r>
        <w:rPr>
          <w:rFonts w:hint="eastAsia" w:ascii="仿宋_GB2312" w:eastAsia="仿宋_GB2312"/>
          <w:sz w:val="30"/>
          <w:szCs w:val="30"/>
        </w:rPr>
        <w:t>（2）变更后的金融许可证；</w:t>
      </w:r>
    </w:p>
    <w:p w14:paraId="0424BB0D">
      <w:pPr>
        <w:spacing w:line="600" w:lineRule="exact"/>
        <w:ind w:firstLine="600"/>
        <w:rPr>
          <w:rFonts w:ascii="仿宋_GB2312" w:eastAsia="仿宋_GB2312"/>
          <w:sz w:val="30"/>
          <w:szCs w:val="30"/>
        </w:rPr>
      </w:pPr>
      <w:r>
        <w:rPr>
          <w:rFonts w:hint="eastAsia" w:ascii="仿宋_GB2312" w:eastAsia="仿宋_GB2312"/>
          <w:sz w:val="30"/>
          <w:szCs w:val="30"/>
        </w:rPr>
        <w:t>（3）变更后的营业执照；</w:t>
      </w:r>
    </w:p>
    <w:p w14:paraId="7CB5A5DF">
      <w:pPr>
        <w:spacing w:line="600" w:lineRule="exact"/>
        <w:ind w:firstLine="600"/>
        <w:rPr>
          <w:rFonts w:ascii="仿宋_GB2312" w:eastAsia="仿宋_GB2312"/>
          <w:sz w:val="30"/>
          <w:szCs w:val="30"/>
        </w:rPr>
      </w:pPr>
      <w:r>
        <w:rPr>
          <w:rFonts w:hint="eastAsia" w:ascii="仿宋_GB2312" w:eastAsia="仿宋_GB2312"/>
          <w:sz w:val="30"/>
          <w:szCs w:val="30"/>
        </w:rPr>
        <w:t>（4）公司更名申请报告（承诺遵守本所业务规则并接受本所监督）；</w:t>
      </w:r>
    </w:p>
    <w:p w14:paraId="41D19A5F">
      <w:pPr>
        <w:spacing w:line="600" w:lineRule="exact"/>
        <w:ind w:firstLine="600"/>
        <w:rPr>
          <w:rFonts w:ascii="仿宋_GB2312" w:eastAsia="仿宋_GB2312"/>
          <w:sz w:val="30"/>
          <w:szCs w:val="30"/>
        </w:rPr>
      </w:pPr>
      <w:r>
        <w:rPr>
          <w:rFonts w:hint="eastAsia" w:ascii="仿宋_GB2312" w:eastAsia="仿宋_GB2312"/>
          <w:sz w:val="30"/>
          <w:szCs w:val="30"/>
        </w:rPr>
        <w:t>（5）原交易单元所属关系变更批复；</w:t>
      </w:r>
    </w:p>
    <w:p w14:paraId="04C00B64">
      <w:pPr>
        <w:spacing w:line="600" w:lineRule="exact"/>
        <w:ind w:firstLine="600"/>
        <w:rPr>
          <w:rFonts w:ascii="仿宋_GB2312" w:eastAsia="仿宋_GB2312"/>
          <w:sz w:val="30"/>
          <w:szCs w:val="30"/>
        </w:rPr>
      </w:pPr>
      <w:r>
        <w:rPr>
          <w:rFonts w:hint="eastAsia" w:ascii="仿宋_GB2312" w:eastAsia="仿宋_GB2312"/>
          <w:sz w:val="30"/>
          <w:szCs w:val="30"/>
        </w:rPr>
        <w:t>（6）专职部门及主要管理人员概况；</w:t>
      </w:r>
    </w:p>
    <w:p w14:paraId="56F9C41B">
      <w:pPr>
        <w:spacing w:line="600" w:lineRule="exact"/>
        <w:ind w:firstLine="600"/>
        <w:rPr>
          <w:rFonts w:ascii="仿宋_GB2312" w:eastAsia="仿宋_GB2312"/>
          <w:sz w:val="30"/>
          <w:szCs w:val="30"/>
        </w:rPr>
      </w:pPr>
      <w:r>
        <w:rPr>
          <w:rFonts w:hint="eastAsia" w:ascii="仿宋_GB2312" w:eastAsia="仿宋_GB2312"/>
          <w:sz w:val="30"/>
          <w:szCs w:val="30"/>
        </w:rPr>
        <w:t>（7）变更后的公司章程及内控制度；</w:t>
      </w:r>
    </w:p>
    <w:p w14:paraId="06DBC849">
      <w:pPr>
        <w:spacing w:line="600" w:lineRule="exact"/>
        <w:ind w:firstLine="600"/>
        <w:rPr>
          <w:rFonts w:ascii="仿宋_GB2312" w:eastAsia="仿宋_GB2312"/>
          <w:sz w:val="30"/>
          <w:szCs w:val="30"/>
        </w:rPr>
      </w:pPr>
      <w:r>
        <w:rPr>
          <w:rFonts w:hint="eastAsia" w:ascii="仿宋_GB2312" w:eastAsia="仿宋_GB2312"/>
          <w:sz w:val="30"/>
          <w:szCs w:val="30"/>
        </w:rPr>
        <w:t>（8）非会员机构基本情况登记表；</w:t>
      </w:r>
    </w:p>
    <w:p w14:paraId="65F8D0C9">
      <w:pPr>
        <w:spacing w:line="600" w:lineRule="exact"/>
        <w:ind w:firstLine="600"/>
        <w:rPr>
          <w:rFonts w:ascii="仿宋_GB2312" w:eastAsia="仿宋_GB2312"/>
          <w:sz w:val="30"/>
          <w:szCs w:val="30"/>
        </w:rPr>
      </w:pPr>
      <w:r>
        <w:rPr>
          <w:rFonts w:hint="eastAsia" w:ascii="仿宋_GB2312" w:eastAsia="仿宋_GB2312"/>
          <w:sz w:val="30"/>
          <w:szCs w:val="30"/>
        </w:rPr>
        <w:t>（9）公司主要职能部门登记表。</w:t>
      </w:r>
    </w:p>
    <w:p w14:paraId="22A10CDD">
      <w:pPr>
        <w:numPr>
          <w:ilvl w:val="2"/>
          <w:numId w:val="4"/>
        </w:numPr>
        <w:spacing w:line="600" w:lineRule="exact"/>
        <w:ind w:left="0" w:firstLine="0"/>
        <w:outlineLvl w:val="2"/>
        <w:rPr>
          <w:rFonts w:ascii="仿宋_GB2312" w:hAnsi="黑体" w:eastAsia="仿宋_GB2312"/>
          <w:b/>
          <w:sz w:val="30"/>
          <w:szCs w:val="30"/>
        </w:rPr>
      </w:pPr>
      <w:r>
        <w:rPr>
          <w:rFonts w:ascii="仿宋_GB2312" w:hAnsi="黑体" w:eastAsia="仿宋_GB2312"/>
          <w:b/>
          <w:sz w:val="30"/>
          <w:szCs w:val="30"/>
        </w:rPr>
        <w:t>债券交易参与人</w:t>
      </w:r>
      <w:r>
        <w:rPr>
          <w:rFonts w:hint="eastAsia" w:ascii="仿宋_GB2312" w:hAnsi="黑体" w:eastAsia="仿宋_GB2312"/>
          <w:b/>
          <w:sz w:val="30"/>
          <w:szCs w:val="30"/>
        </w:rPr>
        <w:t>终止</w:t>
      </w:r>
    </w:p>
    <w:p w14:paraId="26F015C3">
      <w:pPr>
        <w:spacing w:line="600" w:lineRule="exact"/>
        <w:ind w:firstLine="600"/>
        <w:rPr>
          <w:rFonts w:ascii="仿宋_GB2312" w:eastAsia="仿宋_GB2312" w:cs="宋体"/>
          <w:color w:val="000000"/>
          <w:sz w:val="30"/>
          <w:szCs w:val="30"/>
        </w:rPr>
      </w:pPr>
      <w:r>
        <w:rPr>
          <w:rFonts w:hint="eastAsia" w:ascii="仿宋_GB2312" w:eastAsia="仿宋_GB2312" w:cs="宋体"/>
          <w:color w:val="000000"/>
          <w:sz w:val="30"/>
          <w:szCs w:val="30"/>
        </w:rPr>
        <w:t>债券交易参与人存在以下情形的，本所可以终止其作为债券交易参与人：</w:t>
      </w:r>
    </w:p>
    <w:p w14:paraId="4F5315CC">
      <w:pPr>
        <w:spacing w:line="600" w:lineRule="exact"/>
        <w:ind w:firstLine="600"/>
        <w:rPr>
          <w:rFonts w:ascii="仿宋_GB2312" w:eastAsia="仿宋_GB2312"/>
          <w:sz w:val="30"/>
          <w:szCs w:val="30"/>
        </w:rPr>
      </w:pPr>
      <w:r>
        <w:rPr>
          <w:rFonts w:hint="eastAsia" w:ascii="仿宋_GB2312" w:eastAsia="仿宋_GB2312"/>
          <w:sz w:val="30"/>
          <w:szCs w:val="30"/>
        </w:rPr>
        <w:t>（1）不再符合本所规定的债券交易参与人条件的；</w:t>
      </w:r>
    </w:p>
    <w:p w14:paraId="2B7A6C8C">
      <w:pPr>
        <w:spacing w:line="600" w:lineRule="exact"/>
        <w:ind w:firstLine="600"/>
        <w:rPr>
          <w:rFonts w:ascii="仿宋_GB2312" w:eastAsia="仿宋_GB2312"/>
          <w:sz w:val="30"/>
          <w:szCs w:val="30"/>
        </w:rPr>
      </w:pPr>
      <w:r>
        <w:rPr>
          <w:rFonts w:hint="eastAsia" w:ascii="仿宋_GB2312" w:eastAsia="仿宋_GB2312"/>
          <w:sz w:val="30"/>
          <w:szCs w:val="30"/>
        </w:rPr>
        <w:t>（2）主动申请不再作为债券交易参与人的；</w:t>
      </w:r>
    </w:p>
    <w:p w14:paraId="40A5B702">
      <w:pPr>
        <w:spacing w:line="600" w:lineRule="exact"/>
        <w:ind w:firstLine="600"/>
        <w:rPr>
          <w:rFonts w:ascii="仿宋_GB2312" w:eastAsia="仿宋_GB2312"/>
          <w:sz w:val="30"/>
          <w:szCs w:val="30"/>
        </w:rPr>
      </w:pPr>
      <w:r>
        <w:rPr>
          <w:rFonts w:hint="eastAsia" w:ascii="仿宋_GB2312" w:eastAsia="仿宋_GB2312"/>
          <w:sz w:val="30"/>
          <w:szCs w:val="30"/>
        </w:rPr>
        <w:t>（3）超过12个月不参与本所债券交易且无合理理由的；</w:t>
      </w:r>
    </w:p>
    <w:p w14:paraId="23A4F823">
      <w:pPr>
        <w:spacing w:line="600" w:lineRule="exact"/>
        <w:ind w:firstLine="600"/>
        <w:rPr>
          <w:rFonts w:ascii="仿宋_GB2312" w:eastAsia="仿宋_GB2312"/>
          <w:sz w:val="30"/>
          <w:szCs w:val="30"/>
        </w:rPr>
      </w:pPr>
      <w:r>
        <w:rPr>
          <w:rFonts w:hint="eastAsia" w:ascii="仿宋_GB2312" w:eastAsia="仿宋_GB2312"/>
          <w:sz w:val="30"/>
          <w:szCs w:val="30"/>
        </w:rPr>
        <w:t>（4）本所规定的其他情形。</w:t>
      </w:r>
    </w:p>
    <w:p w14:paraId="5A99BD65">
      <w:pPr>
        <w:spacing w:line="600" w:lineRule="exact"/>
        <w:ind w:firstLine="600"/>
        <w:rPr>
          <w:rFonts w:ascii="仿宋_GB2312" w:eastAsia="仿宋_GB2312"/>
          <w:sz w:val="30"/>
          <w:szCs w:val="30"/>
        </w:rPr>
      </w:pPr>
      <w:r>
        <w:rPr>
          <w:rFonts w:hint="eastAsia" w:ascii="仿宋_GB2312" w:eastAsia="仿宋_GB2312"/>
          <w:sz w:val="30"/>
          <w:szCs w:val="30"/>
        </w:rPr>
        <w:t>债券交易参与人不再符合本所规定条件的，应当及时向本所报告，债券交易参与人可将具体情况说明及“债券交易参与人注销登记表”发送至本所邮箱bondtrading@sse.com.cn。本所于材料齐备后5个工作日内完成债券交易参与人的注销工作。</w:t>
      </w:r>
    </w:p>
    <w:p w14:paraId="796EE774">
      <w:pPr>
        <w:spacing w:line="600" w:lineRule="exact"/>
        <w:ind w:firstLine="600"/>
        <w:rPr>
          <w:rFonts w:ascii="仿宋_GB2312" w:eastAsia="仿宋_GB2312"/>
          <w:sz w:val="30"/>
          <w:szCs w:val="30"/>
        </w:rPr>
      </w:pPr>
      <w:r>
        <w:rPr>
          <w:rFonts w:hint="eastAsia" w:ascii="仿宋_GB2312" w:eastAsia="仿宋_GB2312"/>
          <w:sz w:val="30"/>
          <w:szCs w:val="30"/>
        </w:rPr>
        <w:t>债券交易参与人主动申请不再作为债券交易参与人的，可通过</w:t>
      </w:r>
      <w:r>
        <w:rPr>
          <w:rFonts w:ascii="仿宋_GB2312" w:eastAsia="仿宋_GB2312"/>
          <w:sz w:val="30"/>
          <w:szCs w:val="30"/>
        </w:rPr>
        <w:t>会籍业务平台</w:t>
      </w:r>
      <w:r>
        <w:rPr>
          <w:rFonts w:hint="eastAsia" w:ascii="仿宋_GB2312" w:eastAsia="仿宋_GB2312"/>
          <w:sz w:val="30"/>
          <w:szCs w:val="30"/>
        </w:rPr>
        <w:t>进行办理。债券交易参与人应通过</w:t>
      </w:r>
      <w:r>
        <w:rPr>
          <w:rFonts w:ascii="仿宋_GB2312" w:eastAsia="仿宋_GB2312"/>
          <w:sz w:val="30"/>
          <w:szCs w:val="30"/>
        </w:rPr>
        <w:t>会籍业务平台</w:t>
      </w:r>
      <w:r>
        <w:rPr>
          <w:rFonts w:hint="eastAsia" w:ascii="仿宋_GB2312" w:eastAsia="仿宋_GB2312"/>
          <w:sz w:val="30"/>
          <w:szCs w:val="30"/>
        </w:rPr>
        <w:t>发起相关申请，并及时解除名下证券账户与交易单元的指定交易关系。该债券交易参与人其名下的所有交易单元将同步进行注销。债券交易系统根据会员</w:t>
      </w:r>
      <w:r>
        <w:rPr>
          <w:rFonts w:ascii="仿宋_GB2312" w:eastAsia="仿宋_GB2312"/>
          <w:sz w:val="30"/>
          <w:szCs w:val="30"/>
        </w:rPr>
        <w:t>业务</w:t>
      </w:r>
      <w:r>
        <w:rPr>
          <w:rFonts w:hint="eastAsia" w:ascii="仿宋_GB2312" w:eastAsia="仿宋_GB2312"/>
          <w:sz w:val="30"/>
          <w:szCs w:val="30"/>
        </w:rPr>
        <w:t>的交易单元数据同步更新。</w:t>
      </w:r>
    </w:p>
    <w:p w14:paraId="04160DC9">
      <w:pPr>
        <w:numPr>
          <w:ilvl w:val="2"/>
          <w:numId w:val="4"/>
        </w:numPr>
        <w:spacing w:line="600" w:lineRule="exact"/>
        <w:ind w:left="0" w:firstLine="0"/>
        <w:outlineLvl w:val="2"/>
        <w:rPr>
          <w:rFonts w:ascii="仿宋_GB2312" w:hAnsi="黑体" w:eastAsia="仿宋_GB2312"/>
          <w:b/>
          <w:sz w:val="30"/>
          <w:szCs w:val="30"/>
        </w:rPr>
      </w:pPr>
      <w:r>
        <w:rPr>
          <w:rFonts w:ascii="仿宋_GB2312" w:hAnsi="黑体" w:eastAsia="仿宋_GB2312"/>
          <w:b/>
          <w:sz w:val="30"/>
          <w:szCs w:val="30"/>
        </w:rPr>
        <w:t>债券交易业务联络人</w:t>
      </w:r>
    </w:p>
    <w:p w14:paraId="1372D1C2">
      <w:pPr>
        <w:spacing w:line="600" w:lineRule="exact"/>
        <w:ind w:firstLine="600"/>
        <w:rPr>
          <w:rFonts w:ascii="仿宋_GB2312" w:eastAsia="仿宋_GB2312"/>
          <w:sz w:val="30"/>
          <w:szCs w:val="30"/>
        </w:rPr>
      </w:pPr>
      <w:r>
        <w:rPr>
          <w:rFonts w:hint="eastAsia" w:ascii="仿宋_GB2312" w:eastAsia="仿宋_GB2312"/>
          <w:sz w:val="30"/>
          <w:szCs w:val="30"/>
        </w:rPr>
        <w:t>债券交易参与人应当设债券交易业务联络人一至四名，负责组织、协调债券交易参与人在本所开展的各项债券交易业务，并向本所提交债券交易业务联络人任职情况及联络方式等信息。</w:t>
      </w:r>
    </w:p>
    <w:p w14:paraId="010C9CC1">
      <w:pPr>
        <w:spacing w:line="600" w:lineRule="exact"/>
        <w:ind w:firstLine="600"/>
        <w:rPr>
          <w:rFonts w:ascii="仿宋_GB2312" w:eastAsia="仿宋_GB2312"/>
          <w:sz w:val="30"/>
          <w:szCs w:val="30"/>
        </w:rPr>
      </w:pPr>
      <w:r>
        <w:rPr>
          <w:rFonts w:hint="eastAsia" w:ascii="仿宋_GB2312" w:eastAsia="仿宋_GB2312"/>
          <w:sz w:val="30"/>
          <w:szCs w:val="30"/>
        </w:rPr>
        <w:t>本所会员及本所认可的其他债券交易参与人设置债券交易业务联络人时，应当将盖章后（可为部门章）的《债券交易参与人业务联络人基本信息表》（</w:t>
      </w:r>
      <w:r>
        <w:fldChar w:fldCharType="begin"/>
      </w:r>
      <w:r>
        <w:instrText xml:space="preserve"> HYPERLINK \l "_债券交易参与人业务联络人基本信息表" </w:instrText>
      </w:r>
      <w:r>
        <w:fldChar w:fldCharType="separate"/>
      </w:r>
      <w:r>
        <w:rPr>
          <w:rFonts w:hint="eastAsia" w:ascii="仿宋_GB2312" w:eastAsia="仿宋_GB2312"/>
          <w:sz w:val="30"/>
          <w:szCs w:val="30"/>
        </w:rPr>
        <w:t>附件</w:t>
      </w:r>
      <w:r>
        <w:rPr>
          <w:rFonts w:hint="eastAsia" w:ascii="仿宋_GB2312" w:eastAsia="仿宋_GB2312"/>
          <w:sz w:val="30"/>
          <w:szCs w:val="30"/>
        </w:rPr>
        <w:fldChar w:fldCharType="end"/>
      </w:r>
      <w:r>
        <w:rPr>
          <w:rFonts w:hint="eastAsia" w:ascii="仿宋_GB2312" w:eastAsia="仿宋_GB2312"/>
          <w:sz w:val="30"/>
          <w:szCs w:val="30"/>
        </w:rPr>
        <w:t>3），发送至本所邮箱bondtrading@sse.com.cn。债券交易业务联络人基本信息齐备的，本所予以确认，并根据需要安排培训。</w:t>
      </w:r>
    </w:p>
    <w:p w14:paraId="20592239">
      <w:pPr>
        <w:spacing w:line="600" w:lineRule="exact"/>
        <w:ind w:firstLine="600"/>
        <w:rPr>
          <w:rFonts w:ascii="仿宋_GB2312" w:eastAsia="仿宋_GB2312"/>
          <w:sz w:val="30"/>
          <w:szCs w:val="30"/>
        </w:rPr>
      </w:pPr>
      <w:r>
        <w:rPr>
          <w:rFonts w:hint="eastAsia" w:ascii="仿宋_GB2312" w:eastAsia="仿宋_GB2312"/>
          <w:sz w:val="30"/>
          <w:szCs w:val="30"/>
        </w:rPr>
        <w:t>债券交易业务联络人应当根据债券交易参与人授权，履行下列职责：</w:t>
      </w:r>
    </w:p>
    <w:p w14:paraId="02A95B66">
      <w:pPr>
        <w:spacing w:line="600" w:lineRule="exact"/>
        <w:ind w:firstLine="600"/>
        <w:rPr>
          <w:rFonts w:ascii="仿宋_GB2312" w:eastAsia="仿宋_GB2312"/>
          <w:sz w:val="30"/>
          <w:szCs w:val="30"/>
        </w:rPr>
      </w:pPr>
      <w:r>
        <w:rPr>
          <w:rFonts w:hint="eastAsia" w:ascii="仿宋_GB2312" w:eastAsia="仿宋_GB2312"/>
          <w:sz w:val="30"/>
          <w:szCs w:val="30"/>
        </w:rPr>
        <w:t>（1）办理本所债券交易参与人申请及变更、交易权限申请等相关业务；</w:t>
      </w:r>
    </w:p>
    <w:p w14:paraId="27F92C8C">
      <w:pPr>
        <w:spacing w:line="600" w:lineRule="exact"/>
        <w:ind w:firstLine="600"/>
        <w:rPr>
          <w:rFonts w:ascii="仿宋_GB2312" w:eastAsia="仿宋_GB2312"/>
          <w:sz w:val="30"/>
          <w:szCs w:val="30"/>
        </w:rPr>
      </w:pPr>
      <w:r>
        <w:rPr>
          <w:rFonts w:hint="eastAsia" w:ascii="仿宋_GB2312" w:eastAsia="仿宋_GB2312"/>
          <w:sz w:val="30"/>
          <w:szCs w:val="30"/>
        </w:rPr>
        <w:t>（2）办理债券交易相关数据、材料和情况的报送；</w:t>
      </w:r>
    </w:p>
    <w:p w14:paraId="5ACF4333">
      <w:pPr>
        <w:spacing w:line="600" w:lineRule="exact"/>
        <w:ind w:firstLine="600"/>
        <w:rPr>
          <w:rFonts w:ascii="仿宋_GB2312" w:eastAsia="仿宋_GB2312"/>
          <w:sz w:val="30"/>
          <w:szCs w:val="30"/>
        </w:rPr>
      </w:pPr>
      <w:r>
        <w:rPr>
          <w:rFonts w:hint="eastAsia" w:ascii="仿宋_GB2312" w:eastAsia="仿宋_GB2312"/>
          <w:sz w:val="30"/>
          <w:szCs w:val="30"/>
        </w:rPr>
        <w:t>（3）及时、准确、完整地接收本所发布的各类通知和信息；</w:t>
      </w:r>
    </w:p>
    <w:p w14:paraId="045961D8">
      <w:pPr>
        <w:spacing w:line="600" w:lineRule="exact"/>
        <w:ind w:firstLine="600"/>
        <w:rPr>
          <w:rFonts w:ascii="仿宋_GB2312" w:eastAsia="仿宋_GB2312"/>
          <w:sz w:val="30"/>
          <w:szCs w:val="30"/>
        </w:rPr>
      </w:pPr>
      <w:r>
        <w:rPr>
          <w:rFonts w:hint="eastAsia" w:ascii="仿宋_GB2312" w:eastAsia="仿宋_GB2312"/>
          <w:sz w:val="30"/>
          <w:szCs w:val="30"/>
        </w:rPr>
        <w:t>（4）组织本机构相关业务人员参加本所债券业务培训；</w:t>
      </w:r>
    </w:p>
    <w:p w14:paraId="5B0C42C4">
      <w:pPr>
        <w:spacing w:line="600" w:lineRule="exact"/>
        <w:ind w:firstLine="600"/>
        <w:rPr>
          <w:rFonts w:ascii="仿宋_GB2312" w:eastAsia="仿宋_GB2312"/>
          <w:sz w:val="30"/>
          <w:szCs w:val="30"/>
        </w:rPr>
      </w:pPr>
      <w:r>
        <w:rPr>
          <w:rFonts w:hint="eastAsia" w:ascii="仿宋_GB2312" w:eastAsia="仿宋_GB2312"/>
          <w:sz w:val="30"/>
          <w:szCs w:val="30"/>
        </w:rPr>
        <w:t>（5）协调债券交易相关系统建设、改造、测试等；</w:t>
      </w:r>
    </w:p>
    <w:p w14:paraId="2B6600D6">
      <w:pPr>
        <w:spacing w:line="600" w:lineRule="exact"/>
        <w:ind w:firstLine="600"/>
        <w:rPr>
          <w:rFonts w:ascii="仿宋_GB2312" w:eastAsia="仿宋_GB2312"/>
          <w:sz w:val="30"/>
          <w:szCs w:val="30"/>
        </w:rPr>
      </w:pPr>
      <w:r>
        <w:rPr>
          <w:rFonts w:hint="eastAsia" w:ascii="仿宋_GB2312" w:eastAsia="仿宋_GB2312"/>
          <w:sz w:val="30"/>
          <w:szCs w:val="30"/>
        </w:rPr>
        <w:t>（6）督促本机构及时更新在本所债券交易系统注册的交易人员信息、证券账户信息等；</w:t>
      </w:r>
    </w:p>
    <w:p w14:paraId="50E12658">
      <w:pPr>
        <w:spacing w:line="600" w:lineRule="exact"/>
        <w:ind w:firstLine="600"/>
        <w:rPr>
          <w:rFonts w:ascii="仿宋_GB2312" w:eastAsia="仿宋_GB2312"/>
          <w:sz w:val="30"/>
          <w:szCs w:val="30"/>
        </w:rPr>
      </w:pPr>
      <w:r>
        <w:rPr>
          <w:rFonts w:hint="eastAsia" w:ascii="仿宋_GB2312" w:eastAsia="仿宋_GB2312"/>
          <w:sz w:val="30"/>
          <w:szCs w:val="30"/>
        </w:rPr>
        <w:t>（7）本所要求履行的其他职责。</w:t>
      </w:r>
    </w:p>
    <w:p w14:paraId="2A430E61">
      <w:pPr>
        <w:spacing w:line="600" w:lineRule="exact"/>
        <w:ind w:firstLine="600"/>
        <w:rPr>
          <w:rFonts w:ascii="仿宋_GB2312" w:eastAsia="仿宋_GB2312"/>
          <w:sz w:val="30"/>
          <w:szCs w:val="30"/>
        </w:rPr>
      </w:pPr>
      <w:r>
        <w:rPr>
          <w:rFonts w:hint="eastAsia" w:ascii="仿宋_GB2312" w:eastAsia="仿宋_GB2312"/>
          <w:sz w:val="30"/>
          <w:szCs w:val="30"/>
        </w:rPr>
        <w:t>债券交易业务联络人发生无法履行职责或者履行职责时出现重大过错并产生严重后果等情形的，本所可以要求债券交易参与人更换联络人。债券交易参与人向本所申请更换债券交易业务联络人或债券交易业务联络人信息变更的，应通过前述邮箱，向本所重新提交《债券交易参与人业务联络人基本信息表》，材料均应盖章（可为部门章）。</w:t>
      </w:r>
    </w:p>
    <w:p w14:paraId="21891AEE">
      <w:pPr>
        <w:numPr>
          <w:ilvl w:val="1"/>
          <w:numId w:val="4"/>
        </w:numPr>
        <w:spacing w:line="600" w:lineRule="exact"/>
        <w:ind w:left="0" w:firstLine="0"/>
        <w:outlineLvl w:val="1"/>
        <w:rPr>
          <w:rFonts w:ascii="仿宋_GB2312" w:eastAsia="仿宋_GB2312"/>
          <w:b/>
          <w:sz w:val="30"/>
          <w:szCs w:val="30"/>
        </w:rPr>
      </w:pPr>
      <w:bookmarkStart w:id="230" w:name="_Toc1359687909"/>
      <w:bookmarkStart w:id="231" w:name="_Toc151136885"/>
      <w:bookmarkStart w:id="232" w:name="_Toc953612424"/>
      <w:bookmarkStart w:id="233" w:name="_Toc56166256"/>
      <w:bookmarkStart w:id="234" w:name="_Toc1494439896"/>
      <w:bookmarkStart w:id="235" w:name="_Toc56166067"/>
      <w:bookmarkStart w:id="236" w:name="_Toc867628966"/>
      <w:r>
        <w:rPr>
          <w:rFonts w:hint="eastAsia" w:ascii="仿宋_GB2312" w:eastAsia="仿宋_GB2312"/>
          <w:b/>
          <w:sz w:val="30"/>
          <w:szCs w:val="30"/>
        </w:rPr>
        <w:t>系统接入前准备</w:t>
      </w:r>
      <w:bookmarkEnd w:id="230"/>
      <w:bookmarkEnd w:id="231"/>
      <w:bookmarkEnd w:id="232"/>
      <w:bookmarkEnd w:id="233"/>
      <w:bookmarkEnd w:id="234"/>
      <w:bookmarkEnd w:id="235"/>
      <w:bookmarkEnd w:id="236"/>
    </w:p>
    <w:p w14:paraId="32786D6C">
      <w:pPr>
        <w:numPr>
          <w:ilvl w:val="2"/>
          <w:numId w:val="4"/>
        </w:numPr>
        <w:spacing w:line="600" w:lineRule="exact"/>
        <w:ind w:left="0" w:firstLine="0"/>
        <w:outlineLvl w:val="2"/>
        <w:rPr>
          <w:rFonts w:ascii="仿宋_GB2312" w:hAnsi="黑体" w:eastAsia="仿宋_GB2312"/>
          <w:b/>
          <w:sz w:val="30"/>
          <w:szCs w:val="30"/>
        </w:rPr>
      </w:pPr>
      <w:r>
        <w:rPr>
          <w:rFonts w:ascii="仿宋_GB2312" w:hAnsi="黑体" w:eastAsia="仿宋_GB2312"/>
          <w:b/>
          <w:sz w:val="30"/>
          <w:szCs w:val="30"/>
        </w:rPr>
        <w:t>账户开立</w:t>
      </w:r>
    </w:p>
    <w:p w14:paraId="27F0107D">
      <w:pPr>
        <w:spacing w:line="600" w:lineRule="exact"/>
        <w:ind w:firstLine="600"/>
        <w:rPr>
          <w:rFonts w:ascii="仿宋_GB2312" w:eastAsia="仿宋_GB2312"/>
          <w:sz w:val="30"/>
          <w:szCs w:val="30"/>
        </w:rPr>
      </w:pPr>
      <w:r>
        <w:rPr>
          <w:rFonts w:hint="eastAsia" w:ascii="仿宋_GB2312" w:eastAsia="仿宋_GB2312"/>
          <w:sz w:val="30"/>
          <w:szCs w:val="30"/>
        </w:rPr>
        <w:t>开展交易所市场债券交易前，债券投资者应办理证券账户开立手续。债券投资者应当按照《中国证券登记结算有限责任公司证券账户业务指南》或《中国证券登记结算有限责任公司特殊机构及产品证券账户业务指南》等规则规定的流程办理证券账户开立。</w:t>
      </w:r>
    </w:p>
    <w:p w14:paraId="30D8749C">
      <w:pPr>
        <w:numPr>
          <w:ilvl w:val="2"/>
          <w:numId w:val="4"/>
        </w:numPr>
        <w:spacing w:line="600" w:lineRule="exact"/>
        <w:ind w:left="0" w:firstLine="0"/>
        <w:outlineLvl w:val="2"/>
        <w:rPr>
          <w:rFonts w:ascii="仿宋_GB2312" w:hAnsi="黑体" w:eastAsia="仿宋_GB2312"/>
          <w:b/>
          <w:sz w:val="30"/>
          <w:szCs w:val="30"/>
        </w:rPr>
      </w:pPr>
      <w:r>
        <w:rPr>
          <w:rFonts w:ascii="仿宋_GB2312" w:hAnsi="黑体" w:eastAsia="仿宋_GB2312"/>
          <w:b/>
          <w:sz w:val="30"/>
          <w:szCs w:val="30"/>
        </w:rPr>
        <w:t>系统联网</w:t>
      </w:r>
    </w:p>
    <w:p w14:paraId="5B8317C0">
      <w:pPr>
        <w:spacing w:line="600" w:lineRule="exact"/>
        <w:ind w:firstLine="600"/>
        <w:rPr>
          <w:rFonts w:ascii="仿宋_GB2312" w:eastAsia="仿宋_GB2312"/>
          <w:sz w:val="30"/>
          <w:szCs w:val="30"/>
        </w:rPr>
      </w:pPr>
      <w:r>
        <w:rPr>
          <w:rFonts w:hint="eastAsia" w:ascii="仿宋_GB2312" w:eastAsia="仿宋_GB2312"/>
          <w:sz w:val="30"/>
          <w:szCs w:val="30"/>
        </w:rPr>
        <w:t>债券交易采用匹配成交方式的，债券交易参与人需与本所新债券交易系统联网。采用点击成交、询价成交、协商成交、竞买成交等方式的，需与本所固定收益平台联网。</w:t>
      </w:r>
    </w:p>
    <w:p w14:paraId="1B043ECC">
      <w:pPr>
        <w:spacing w:line="600" w:lineRule="exact"/>
        <w:ind w:firstLine="602" w:firstLineChars="200"/>
        <w:outlineLvl w:val="3"/>
        <w:rPr>
          <w:rFonts w:ascii="仿宋_GB2312" w:hAnsi="黑体" w:eastAsia="仿宋_GB2312"/>
          <w:b/>
          <w:sz w:val="30"/>
          <w:szCs w:val="30"/>
        </w:rPr>
      </w:pPr>
      <w:r>
        <w:rPr>
          <w:rFonts w:hint="eastAsia" w:ascii="仿宋_GB2312" w:hAnsi="黑体" w:eastAsia="仿宋_GB2312"/>
          <w:b/>
          <w:sz w:val="30"/>
          <w:szCs w:val="30"/>
        </w:rPr>
        <w:t>（1）新债券交易系统</w:t>
      </w:r>
    </w:p>
    <w:p w14:paraId="6D33DDD4">
      <w:pPr>
        <w:spacing w:line="600" w:lineRule="exact"/>
        <w:ind w:firstLine="600"/>
        <w:rPr>
          <w:rFonts w:ascii="仿宋_GB2312" w:eastAsia="仿宋_GB2312"/>
          <w:sz w:val="30"/>
          <w:szCs w:val="30"/>
        </w:rPr>
      </w:pPr>
      <w:r>
        <w:rPr>
          <w:rFonts w:hint="eastAsia" w:ascii="仿宋_GB2312" w:eastAsia="仿宋_GB2312"/>
          <w:sz w:val="30"/>
          <w:szCs w:val="30"/>
        </w:rPr>
        <w:t>1）开通通信线路</w:t>
      </w:r>
    </w:p>
    <w:p w14:paraId="453D8060">
      <w:pPr>
        <w:spacing w:line="600" w:lineRule="exact"/>
        <w:ind w:firstLine="600"/>
        <w:rPr>
          <w:rFonts w:ascii="仿宋_GB2312" w:eastAsia="仿宋_GB2312"/>
          <w:sz w:val="30"/>
          <w:szCs w:val="30"/>
        </w:rPr>
      </w:pPr>
      <w:r>
        <w:rPr>
          <w:rFonts w:hint="eastAsia" w:ascii="仿宋_GB2312" w:eastAsia="仿宋_GB2312"/>
          <w:sz w:val="30"/>
          <w:szCs w:val="30"/>
        </w:rPr>
        <w:t>本所新债券交易系统运行在证券交易专网上，市场机构与本所新债券交易系统联网前，应先接入证券交易专网。</w:t>
      </w:r>
    </w:p>
    <w:p w14:paraId="122E35A1">
      <w:pPr>
        <w:spacing w:line="600" w:lineRule="exact"/>
        <w:ind w:firstLine="600"/>
        <w:rPr>
          <w:rFonts w:ascii="仿宋_GB2312" w:eastAsia="仿宋_GB2312"/>
          <w:sz w:val="30"/>
          <w:szCs w:val="30"/>
        </w:rPr>
      </w:pPr>
      <w:r>
        <w:rPr>
          <w:rFonts w:hint="eastAsia" w:ascii="仿宋_GB2312" w:eastAsia="仿宋_GB2312"/>
          <w:sz w:val="30"/>
          <w:szCs w:val="30"/>
        </w:rPr>
        <w:t>证券交易专网的通信线路开通由上交所技术有限责任公司（以下简称上交所技术公司）负责，联系方式：</w:t>
      </w:r>
    </w:p>
    <w:p w14:paraId="413205CC">
      <w:pPr>
        <w:spacing w:line="600" w:lineRule="exact"/>
        <w:ind w:firstLine="600"/>
        <w:rPr>
          <w:rFonts w:ascii="仿宋_GB2312" w:eastAsia="仿宋_GB2312"/>
          <w:sz w:val="30"/>
          <w:szCs w:val="30"/>
        </w:rPr>
      </w:pPr>
      <w:r>
        <w:rPr>
          <w:rFonts w:hint="eastAsia" w:ascii="仿宋_GB2312" w:eastAsia="仿宋_GB2312"/>
          <w:sz w:val="30"/>
          <w:szCs w:val="30"/>
        </w:rPr>
        <w:t>客户服务部（热线电话）：021-58656238</w:t>
      </w:r>
    </w:p>
    <w:p w14:paraId="1D59109E">
      <w:pPr>
        <w:spacing w:line="600" w:lineRule="exact"/>
        <w:ind w:firstLine="600"/>
        <w:rPr>
          <w:rFonts w:ascii="仿宋_GB2312" w:eastAsia="仿宋_GB2312"/>
          <w:sz w:val="30"/>
          <w:szCs w:val="30"/>
        </w:rPr>
      </w:pPr>
      <w:r>
        <w:rPr>
          <w:rFonts w:hint="eastAsia" w:ascii="仿宋_GB2312" w:eastAsia="仿宋_GB2312"/>
          <w:sz w:val="30"/>
          <w:szCs w:val="30"/>
        </w:rPr>
        <w:t>技术服务热线：4009003600-3</w:t>
      </w:r>
    </w:p>
    <w:p w14:paraId="5ADF5FA8">
      <w:pPr>
        <w:wordWrap w:val="0"/>
        <w:spacing w:line="600" w:lineRule="exact"/>
        <w:ind w:firstLine="601"/>
        <w:rPr>
          <w:rFonts w:ascii="仿宋_GB2312" w:eastAsia="仿宋_GB2312"/>
          <w:sz w:val="30"/>
          <w:szCs w:val="30"/>
        </w:rPr>
      </w:pPr>
      <w:r>
        <w:rPr>
          <w:rFonts w:hint="eastAsia" w:ascii="仿宋_GB2312" w:eastAsia="仿宋_GB2312"/>
          <w:sz w:val="30"/>
          <w:szCs w:val="30"/>
        </w:rPr>
        <w:t>选用联网服务时，请选用“数据中心交易行情接入服务”，通过该服务可以实现委托报单、接收成交回报、清算数据及接入中登PROP系统，接收债券行情数据。</w:t>
      </w:r>
    </w:p>
    <w:p w14:paraId="772B45AF">
      <w:pPr>
        <w:wordWrap w:val="0"/>
        <w:spacing w:line="600" w:lineRule="exact"/>
        <w:ind w:firstLine="601"/>
        <w:rPr>
          <w:rFonts w:ascii="仿宋_GB2312" w:eastAsia="仿宋_GB2312"/>
          <w:sz w:val="30"/>
          <w:szCs w:val="30"/>
        </w:rPr>
      </w:pPr>
      <w:r>
        <w:rPr>
          <w:rFonts w:hint="eastAsia" w:ascii="仿宋_GB2312" w:eastAsia="仿宋_GB2312"/>
          <w:sz w:val="30"/>
          <w:szCs w:val="30"/>
        </w:rPr>
        <w:t>数据中心交易行情接入服务的开通申请指引和</w:t>
      </w:r>
      <w:r>
        <w:rPr>
          <w:rFonts w:ascii="仿宋_GB2312" w:eastAsia="仿宋_GB2312"/>
          <w:sz w:val="30"/>
          <w:szCs w:val="30"/>
        </w:rPr>
        <w:t>撤销</w:t>
      </w:r>
      <w:r>
        <w:rPr>
          <w:rFonts w:hint="eastAsia" w:ascii="仿宋_GB2312" w:eastAsia="仿宋_GB2312"/>
          <w:sz w:val="30"/>
          <w:szCs w:val="30"/>
        </w:rPr>
        <w:t>申请</w:t>
      </w:r>
      <w:r>
        <w:rPr>
          <w:rFonts w:ascii="仿宋_GB2312" w:eastAsia="仿宋_GB2312"/>
          <w:sz w:val="30"/>
          <w:szCs w:val="30"/>
        </w:rPr>
        <w:t>指引</w:t>
      </w:r>
      <w:r>
        <w:rPr>
          <w:rFonts w:hint="eastAsia" w:ascii="仿宋_GB2312" w:eastAsia="仿宋_GB2312"/>
          <w:sz w:val="30"/>
          <w:szCs w:val="30"/>
        </w:rPr>
        <w:t>请见上交所</w:t>
      </w:r>
      <w:r>
        <w:rPr>
          <w:rFonts w:ascii="仿宋_GB2312" w:eastAsia="仿宋_GB2312"/>
          <w:sz w:val="30"/>
          <w:szCs w:val="30"/>
        </w:rPr>
        <w:t>技术公司官网</w:t>
      </w:r>
      <w:r>
        <w:rPr>
          <w:rFonts w:hint="eastAsia" w:ascii="仿宋_GB2312" w:eastAsia="仿宋_GB2312"/>
          <w:sz w:val="30"/>
          <w:szCs w:val="30"/>
        </w:rPr>
        <w:t>，链接</w:t>
      </w:r>
      <w:r>
        <w:rPr>
          <w:rFonts w:ascii="仿宋_GB2312" w:eastAsia="仿宋_GB2312"/>
          <w:sz w:val="30"/>
          <w:szCs w:val="30"/>
        </w:rPr>
        <w:t>：</w:t>
      </w:r>
      <w:r>
        <w:fldChar w:fldCharType="begin"/>
      </w:r>
      <w:r>
        <w:instrText xml:space="preserve"> HYPERLINK "https://www.ssetech.com.cn/statics/businessGuide/index.html" </w:instrText>
      </w:r>
      <w:r>
        <w:fldChar w:fldCharType="separate"/>
      </w:r>
      <w:r>
        <w:rPr>
          <w:rStyle w:val="51"/>
          <w:rFonts w:ascii="仿宋_GB2312" w:eastAsia="仿宋_GB2312"/>
          <w:sz w:val="30"/>
          <w:szCs w:val="30"/>
        </w:rPr>
        <w:t>https://www.ssetech.com.cn/statics/businessGuide/index.html</w:t>
      </w:r>
      <w:r>
        <w:rPr>
          <w:rStyle w:val="51"/>
          <w:rFonts w:ascii="仿宋_GB2312" w:eastAsia="仿宋_GB2312"/>
          <w:sz w:val="30"/>
          <w:szCs w:val="30"/>
        </w:rPr>
        <w:fldChar w:fldCharType="end"/>
      </w:r>
      <w:r>
        <w:rPr>
          <w:rFonts w:hint="eastAsia" w:ascii="仿宋_GB2312" w:eastAsia="仿宋_GB2312"/>
          <w:sz w:val="30"/>
          <w:szCs w:val="30"/>
        </w:rPr>
        <w:t>。</w:t>
      </w:r>
    </w:p>
    <w:p w14:paraId="1D137821">
      <w:pPr>
        <w:wordWrap w:val="0"/>
        <w:spacing w:line="600" w:lineRule="exact"/>
        <w:ind w:firstLine="601"/>
        <w:rPr>
          <w:rFonts w:ascii="仿宋_GB2312" w:eastAsia="仿宋_GB2312"/>
          <w:sz w:val="30"/>
          <w:szCs w:val="30"/>
        </w:rPr>
      </w:pPr>
      <w:r>
        <w:rPr>
          <w:rFonts w:hint="eastAsia" w:ascii="仿宋_GB2312" w:eastAsia="仿宋_GB2312"/>
          <w:sz w:val="30"/>
          <w:szCs w:val="30"/>
        </w:rPr>
        <w:t>交易行情接入服务的收费标准以上交所技术公司公布的</w:t>
      </w:r>
      <w:r>
        <w:rPr>
          <w:rFonts w:ascii="仿宋_GB2312" w:eastAsia="仿宋_GB2312"/>
          <w:sz w:val="30"/>
          <w:szCs w:val="30"/>
        </w:rPr>
        <w:t>收费标准</w:t>
      </w:r>
      <w:r>
        <w:rPr>
          <w:rFonts w:hint="eastAsia" w:ascii="仿宋_GB2312" w:eastAsia="仿宋_GB2312"/>
          <w:sz w:val="30"/>
          <w:szCs w:val="30"/>
        </w:rPr>
        <w:t>为准，链接：</w:t>
      </w:r>
      <w:r>
        <w:fldChar w:fldCharType="begin"/>
      </w:r>
      <w:r>
        <w:instrText xml:space="preserve"> HYPERLINK "https://www.ssetech.com.cn/statics/exchangecharges/index.html" </w:instrText>
      </w:r>
      <w:r>
        <w:fldChar w:fldCharType="separate"/>
      </w:r>
      <w:r>
        <w:rPr>
          <w:rStyle w:val="51"/>
          <w:rFonts w:ascii="仿宋_GB2312" w:eastAsia="仿宋_GB2312"/>
          <w:sz w:val="30"/>
          <w:szCs w:val="30"/>
        </w:rPr>
        <w:t>https://www.ssetech.com.cn/statics/exchangecharges/index.html</w:t>
      </w:r>
      <w:r>
        <w:rPr>
          <w:rStyle w:val="51"/>
          <w:rFonts w:ascii="仿宋_GB2312" w:eastAsia="仿宋_GB2312"/>
          <w:sz w:val="30"/>
          <w:szCs w:val="30"/>
        </w:rPr>
        <w:fldChar w:fldCharType="end"/>
      </w:r>
      <w:r>
        <w:rPr>
          <w:rFonts w:hint="eastAsia" w:ascii="仿宋_GB2312" w:eastAsia="仿宋_GB2312"/>
          <w:sz w:val="30"/>
          <w:szCs w:val="30"/>
        </w:rPr>
        <w:t>。</w:t>
      </w:r>
    </w:p>
    <w:p w14:paraId="397075FD">
      <w:pPr>
        <w:ind w:firstLine="600" w:firstLineChars="200"/>
        <w:rPr>
          <w:rFonts w:ascii="仿宋_GB2312" w:eastAsia="仿宋_GB2312"/>
          <w:sz w:val="30"/>
          <w:szCs w:val="30"/>
        </w:rPr>
      </w:pPr>
      <w:r>
        <w:rPr>
          <w:rFonts w:hint="eastAsia" w:ascii="仿宋_GB2312" w:eastAsia="仿宋_GB2312"/>
          <w:sz w:val="30"/>
          <w:szCs w:val="30"/>
        </w:rPr>
        <w:t>2）通过上下行电子接口方式接入</w:t>
      </w:r>
    </w:p>
    <w:p w14:paraId="1625982C">
      <w:pPr>
        <w:ind w:firstLine="600" w:firstLineChars="200"/>
        <w:rPr>
          <w:rFonts w:ascii="仿宋_GB2312" w:eastAsia="仿宋_GB2312"/>
          <w:sz w:val="30"/>
          <w:szCs w:val="30"/>
        </w:rPr>
      </w:pPr>
      <w:r>
        <w:rPr>
          <w:rFonts w:hint="eastAsia" w:ascii="仿宋_GB2312" w:eastAsia="仿宋_GB2312"/>
          <w:sz w:val="30"/>
          <w:szCs w:val="30"/>
        </w:rPr>
        <w:t>本所新债券交易系统目前仅支持通过上下行电子接口方式接入，尚未提供交易客户端。债券交易参与人可通过采购市场金融科技机构提供的集中交易系统进行接入。建议联系主流集中交易系统提供商，购买并安装集中交易系统，完成与本所新债券交易系统的联网。</w:t>
      </w:r>
    </w:p>
    <w:p w14:paraId="6D3E7303">
      <w:pPr>
        <w:spacing w:line="600" w:lineRule="exact"/>
        <w:ind w:firstLine="600" w:firstLineChars="200"/>
        <w:rPr>
          <w:rFonts w:ascii="仿宋_GB2312" w:eastAsia="仿宋_GB2312"/>
          <w:sz w:val="30"/>
          <w:szCs w:val="30"/>
        </w:rPr>
      </w:pPr>
      <w:r>
        <w:rPr>
          <w:rFonts w:hint="eastAsia" w:ascii="仿宋_GB2312" w:eastAsia="仿宋_GB2312"/>
          <w:sz w:val="30"/>
          <w:szCs w:val="30"/>
        </w:rPr>
        <w:t>3）</w:t>
      </w:r>
      <w:r>
        <w:rPr>
          <w:rFonts w:ascii="仿宋_GB2312" w:eastAsia="仿宋_GB2312"/>
          <w:sz w:val="30"/>
          <w:szCs w:val="30"/>
        </w:rPr>
        <w:t>开通交易网关及行情网关</w:t>
      </w:r>
    </w:p>
    <w:p w14:paraId="6B5D4061">
      <w:pPr>
        <w:ind w:firstLine="600" w:firstLineChars="200"/>
        <w:rPr>
          <w:rFonts w:ascii="仿宋_GB2312" w:eastAsia="仿宋_GB2312"/>
          <w:sz w:val="30"/>
          <w:szCs w:val="30"/>
        </w:rPr>
      </w:pPr>
      <w:r>
        <w:rPr>
          <w:rFonts w:hint="eastAsia" w:ascii="仿宋_GB2312" w:eastAsia="仿宋_GB2312"/>
          <w:sz w:val="30"/>
          <w:szCs w:val="30"/>
        </w:rPr>
        <w:t>交易网关</w:t>
      </w:r>
      <w:r>
        <w:rPr>
          <w:rFonts w:ascii="仿宋_GB2312" w:eastAsia="仿宋_GB2312"/>
          <w:sz w:val="30"/>
          <w:szCs w:val="30"/>
        </w:rPr>
        <w:t>和行情网关的开通</w:t>
      </w:r>
      <w:r>
        <w:rPr>
          <w:rFonts w:hint="eastAsia" w:ascii="仿宋_GB2312" w:eastAsia="仿宋_GB2312"/>
          <w:sz w:val="30"/>
          <w:szCs w:val="30"/>
        </w:rPr>
        <w:t>申请流程以上交所技术公司公布</w:t>
      </w:r>
      <w:r>
        <w:rPr>
          <w:rFonts w:ascii="仿宋_GB2312" w:eastAsia="仿宋_GB2312"/>
          <w:sz w:val="30"/>
          <w:szCs w:val="30"/>
        </w:rPr>
        <w:t>的指南为准</w:t>
      </w:r>
      <w:r>
        <w:rPr>
          <w:rFonts w:hint="eastAsia" w:ascii="仿宋_GB2312" w:eastAsia="仿宋_GB2312"/>
          <w:sz w:val="30"/>
          <w:szCs w:val="30"/>
        </w:rPr>
        <w:t>，链接：</w:t>
      </w:r>
    </w:p>
    <w:p w14:paraId="09001F68">
      <w:pPr>
        <w:ind w:firstLine="420" w:firstLineChars="200"/>
        <w:rPr>
          <w:rFonts w:ascii="仿宋_GB2312" w:eastAsia="仿宋_GB2312"/>
          <w:sz w:val="30"/>
          <w:szCs w:val="30"/>
        </w:rPr>
      </w:pPr>
      <w:r>
        <w:fldChar w:fldCharType="begin"/>
      </w:r>
      <w:r>
        <w:instrText xml:space="preserve"> HYPERLINK "http://www.sse.com.cn/services/tradingtech/services/c/SSE_KEY_TechnicalGuide_CV1.0_20211216.pdf" </w:instrText>
      </w:r>
      <w:r>
        <w:fldChar w:fldCharType="separate"/>
      </w:r>
      <w:r>
        <w:rPr>
          <w:rStyle w:val="51"/>
          <w:rFonts w:ascii="仿宋_GB2312" w:eastAsia="仿宋_GB2312"/>
          <w:sz w:val="30"/>
          <w:szCs w:val="30"/>
        </w:rPr>
        <w:t>http://www.sse.com.cn/services/tradingtech/services/c/SSE_KEY_TechnicalGuide_CV1.0_20211216.pdf</w:t>
      </w:r>
      <w:r>
        <w:rPr>
          <w:rStyle w:val="51"/>
          <w:rFonts w:ascii="仿宋_GB2312" w:eastAsia="仿宋_GB2312"/>
          <w:sz w:val="30"/>
          <w:szCs w:val="30"/>
        </w:rPr>
        <w:fldChar w:fldCharType="end"/>
      </w:r>
    </w:p>
    <w:p w14:paraId="118E112F">
      <w:pPr>
        <w:spacing w:line="600" w:lineRule="exact"/>
        <w:ind w:left="567"/>
        <w:outlineLvl w:val="3"/>
        <w:rPr>
          <w:rFonts w:ascii="仿宋_GB2312" w:hAnsi="黑体" w:eastAsia="仿宋_GB2312"/>
          <w:b/>
          <w:sz w:val="30"/>
          <w:szCs w:val="30"/>
        </w:rPr>
      </w:pPr>
      <w:r>
        <w:rPr>
          <w:rFonts w:hint="eastAsia" w:ascii="仿宋_GB2312" w:hAnsi="黑体" w:eastAsia="仿宋_GB2312"/>
          <w:b/>
          <w:sz w:val="30"/>
          <w:szCs w:val="30"/>
        </w:rPr>
        <w:t>（2）固定收益平台联网</w:t>
      </w:r>
    </w:p>
    <w:p w14:paraId="7086CB20">
      <w:pPr>
        <w:spacing w:line="600" w:lineRule="exact"/>
        <w:ind w:firstLine="600"/>
        <w:rPr>
          <w:rFonts w:ascii="仿宋_GB2312" w:eastAsia="仿宋_GB2312"/>
          <w:sz w:val="30"/>
          <w:szCs w:val="30"/>
        </w:rPr>
      </w:pPr>
      <w:r>
        <w:rPr>
          <w:rFonts w:hint="eastAsia" w:ascii="仿宋_GB2312" w:eastAsia="仿宋_GB2312"/>
          <w:sz w:val="30"/>
          <w:szCs w:val="30"/>
        </w:rPr>
        <w:t>固定收益平台可以通过互联网或专网方式进行接入，具体联网接入方式包括两种：</w:t>
      </w:r>
    </w:p>
    <w:p w14:paraId="4A5EF6E7">
      <w:pPr>
        <w:spacing w:line="600" w:lineRule="exact"/>
        <w:ind w:firstLine="600"/>
        <w:rPr>
          <w:rFonts w:ascii="仿宋_GB2312" w:eastAsia="仿宋_GB2312"/>
          <w:sz w:val="30"/>
          <w:szCs w:val="30"/>
        </w:rPr>
      </w:pPr>
      <w:r>
        <w:rPr>
          <w:rFonts w:hint="eastAsia" w:ascii="仿宋_GB2312" w:eastAsia="仿宋_GB2312"/>
          <w:sz w:val="30"/>
          <w:szCs w:val="30"/>
        </w:rPr>
        <w:t>一是通过固定收益平台客户端方式接入。首先需要安装EKey驱动程序，然后登录本所网站下载固定收益平台客户端。</w:t>
      </w:r>
    </w:p>
    <w:p w14:paraId="67288733">
      <w:pPr>
        <w:spacing w:line="600" w:lineRule="exact"/>
        <w:ind w:firstLine="600"/>
        <w:rPr>
          <w:rFonts w:ascii="仿宋_GB2312" w:eastAsia="仿宋_GB2312"/>
          <w:sz w:val="30"/>
          <w:szCs w:val="30"/>
        </w:rPr>
      </w:pPr>
      <w:r>
        <w:rPr>
          <w:rFonts w:hint="eastAsia" w:ascii="仿宋_GB2312" w:eastAsia="仿宋_GB2312"/>
          <w:sz w:val="30"/>
          <w:szCs w:val="30"/>
        </w:rPr>
        <w:t>固定收益平台客户端下载地址：</w:t>
      </w:r>
      <w:r>
        <w:rPr>
          <w:rFonts w:ascii="仿宋_GB2312" w:eastAsia="仿宋_GB2312"/>
          <w:sz w:val="30"/>
          <w:szCs w:val="30"/>
        </w:rPr>
        <w:t>https://120.204.69.12/</w:t>
      </w:r>
    </w:p>
    <w:p w14:paraId="77A6FB99">
      <w:pPr>
        <w:spacing w:line="600" w:lineRule="exact"/>
        <w:ind w:firstLine="600" w:firstLineChars="200"/>
        <w:rPr>
          <w:rFonts w:ascii="仿宋_GB2312" w:eastAsia="仿宋_GB2312"/>
          <w:sz w:val="30"/>
          <w:szCs w:val="30"/>
        </w:rPr>
      </w:pPr>
      <w:r>
        <w:rPr>
          <w:rFonts w:hint="eastAsia" w:ascii="仿宋_GB2312" w:eastAsia="仿宋_GB2312"/>
          <w:sz w:val="30"/>
          <w:szCs w:val="30"/>
        </w:rPr>
        <w:t>安装完成后凭固定收益平台的用户名、密码及EKey数字证书登录本所固定收益平台。</w:t>
      </w:r>
    </w:p>
    <w:p w14:paraId="052A6305">
      <w:pPr>
        <w:spacing w:line="600" w:lineRule="exact"/>
        <w:ind w:firstLine="600"/>
        <w:rPr>
          <w:rFonts w:ascii="仿宋_GB2312" w:eastAsia="仿宋_GB2312"/>
          <w:sz w:val="30"/>
          <w:szCs w:val="30"/>
        </w:rPr>
      </w:pPr>
      <w:r>
        <w:rPr>
          <w:rFonts w:hint="eastAsia" w:ascii="仿宋_GB2312" w:eastAsia="仿宋_GB2312"/>
          <w:sz w:val="30"/>
          <w:szCs w:val="30"/>
        </w:rPr>
        <w:t>二是通过上下行电子接口方式接入。按照固定收益平台的外部数据接口规范以及本所技术部门的相关安排，做好事前技术系统的接入测试，符合相关规范，通过验证测试后方可联网接入交易。</w:t>
      </w:r>
    </w:p>
    <w:p w14:paraId="58D0268F">
      <w:pPr>
        <w:spacing w:line="600" w:lineRule="exact"/>
        <w:ind w:firstLine="600"/>
        <w:rPr>
          <w:rFonts w:ascii="仿宋_GB2312" w:eastAsia="仿宋_GB2312"/>
          <w:sz w:val="30"/>
          <w:szCs w:val="30"/>
        </w:rPr>
      </w:pPr>
      <w:r>
        <w:rPr>
          <w:rFonts w:hint="eastAsia" w:ascii="仿宋_GB2312" w:eastAsia="仿宋_GB2312"/>
          <w:sz w:val="30"/>
          <w:szCs w:val="30"/>
        </w:rPr>
        <w:t>本所</w:t>
      </w:r>
      <w:r>
        <w:rPr>
          <w:rFonts w:ascii="仿宋_GB2312" w:eastAsia="仿宋_GB2312"/>
          <w:sz w:val="30"/>
          <w:szCs w:val="30"/>
        </w:rPr>
        <w:t>将根据系统的升级情况</w:t>
      </w:r>
      <w:r>
        <w:rPr>
          <w:rFonts w:hint="eastAsia" w:ascii="仿宋_GB2312" w:eastAsia="仿宋_GB2312"/>
          <w:sz w:val="30"/>
          <w:szCs w:val="30"/>
        </w:rPr>
        <w:t>及时更新</w:t>
      </w:r>
      <w:r>
        <w:rPr>
          <w:rFonts w:ascii="仿宋_GB2312" w:eastAsia="仿宋_GB2312"/>
          <w:sz w:val="30"/>
          <w:szCs w:val="30"/>
        </w:rPr>
        <w:t>接口规范，最新接口</w:t>
      </w:r>
      <w:r>
        <w:rPr>
          <w:rFonts w:hint="eastAsia" w:ascii="仿宋_GB2312" w:eastAsia="仿宋_GB2312"/>
          <w:sz w:val="30"/>
          <w:szCs w:val="30"/>
        </w:rPr>
        <w:t>规范</w:t>
      </w:r>
      <w:r>
        <w:rPr>
          <w:rFonts w:ascii="仿宋_GB2312" w:eastAsia="仿宋_GB2312"/>
          <w:sz w:val="30"/>
          <w:szCs w:val="30"/>
        </w:rPr>
        <w:t>的查询路径为：本所官网-服务-交易技术支持专区</w:t>
      </w:r>
      <w:r>
        <w:rPr>
          <w:rFonts w:hint="eastAsia" w:ascii="仿宋_GB2312" w:eastAsia="仿宋_GB2312"/>
          <w:sz w:val="30"/>
          <w:szCs w:val="30"/>
        </w:rPr>
        <w:t>-</w:t>
      </w:r>
      <w:r>
        <w:rPr>
          <w:rFonts w:ascii="仿宋_GB2312" w:eastAsia="仿宋_GB2312"/>
          <w:sz w:val="30"/>
          <w:szCs w:val="30"/>
        </w:rPr>
        <w:t>技术</w:t>
      </w:r>
      <w:r>
        <w:rPr>
          <w:rFonts w:hint="eastAsia" w:ascii="仿宋_GB2312" w:eastAsia="仿宋_GB2312"/>
          <w:sz w:val="30"/>
          <w:szCs w:val="30"/>
        </w:rPr>
        <w:t>接口</w:t>
      </w:r>
      <w:r>
        <w:rPr>
          <w:rFonts w:ascii="仿宋_GB2312" w:eastAsia="仿宋_GB2312"/>
          <w:sz w:val="30"/>
          <w:szCs w:val="30"/>
        </w:rPr>
        <w:t>。</w:t>
      </w:r>
    </w:p>
    <w:p w14:paraId="1DB56783">
      <w:pPr>
        <w:spacing w:line="600" w:lineRule="exact"/>
        <w:ind w:firstLine="600"/>
        <w:rPr>
          <w:rFonts w:ascii="仿宋_GB2312" w:eastAsia="仿宋_GB2312"/>
          <w:sz w:val="30"/>
          <w:szCs w:val="30"/>
        </w:rPr>
      </w:pPr>
      <w:r>
        <w:rPr>
          <w:rFonts w:hint="eastAsia" w:ascii="仿宋_GB2312" w:eastAsia="仿宋_GB2312"/>
          <w:sz w:val="30"/>
          <w:szCs w:val="30"/>
        </w:rPr>
        <w:t>联网接入过程中需要技术支持的，请按以下方式联系：</w:t>
      </w:r>
    </w:p>
    <w:p w14:paraId="591018EF">
      <w:pPr>
        <w:spacing w:line="600" w:lineRule="exact"/>
        <w:ind w:firstLine="600"/>
        <w:rPr>
          <w:rFonts w:ascii="仿宋_GB2312" w:eastAsia="仿宋_GB2312"/>
          <w:sz w:val="30"/>
          <w:szCs w:val="30"/>
        </w:rPr>
      </w:pPr>
      <w:r>
        <w:rPr>
          <w:rFonts w:hint="eastAsia" w:ascii="仿宋_GB2312" w:eastAsia="仿宋_GB2312"/>
          <w:sz w:val="30"/>
          <w:szCs w:val="30"/>
        </w:rPr>
        <w:t>技术服务热线:</w:t>
      </w:r>
      <w:r>
        <w:rPr>
          <w:rFonts w:ascii="仿宋_GB2312" w:eastAsia="仿宋_GB2312"/>
          <w:sz w:val="30"/>
          <w:szCs w:val="30"/>
        </w:rPr>
        <w:t> </w:t>
      </w:r>
      <w:r>
        <w:rPr>
          <w:rFonts w:hint="eastAsia" w:ascii="仿宋_GB2312" w:eastAsia="仿宋_GB2312"/>
          <w:sz w:val="30"/>
          <w:szCs w:val="30"/>
        </w:rPr>
        <w:t>　 4009003600（8:00-20:00）</w:t>
      </w:r>
    </w:p>
    <w:p w14:paraId="4D16C755">
      <w:pPr>
        <w:spacing w:line="600" w:lineRule="exact"/>
        <w:ind w:firstLine="600"/>
        <w:rPr>
          <w:rFonts w:ascii="仿宋_GB2312" w:eastAsia="仿宋_GB2312"/>
          <w:sz w:val="30"/>
          <w:szCs w:val="30"/>
        </w:rPr>
      </w:pPr>
      <w:r>
        <w:rPr>
          <w:rFonts w:hint="eastAsia" w:ascii="仿宋_GB2312" w:eastAsia="仿宋_GB2312"/>
          <w:sz w:val="30"/>
          <w:szCs w:val="30"/>
        </w:rPr>
        <w:t>技术服务QQ群：  298643611</w:t>
      </w:r>
    </w:p>
    <w:p w14:paraId="7972F161">
      <w:pPr>
        <w:spacing w:line="600" w:lineRule="exact"/>
        <w:ind w:left="567"/>
        <w:outlineLvl w:val="3"/>
        <w:rPr>
          <w:rFonts w:ascii="仿宋_GB2312" w:hAnsi="黑体" w:eastAsia="仿宋_GB2312"/>
          <w:b/>
          <w:sz w:val="30"/>
          <w:szCs w:val="30"/>
        </w:rPr>
      </w:pPr>
      <w:r>
        <w:rPr>
          <w:rFonts w:hint="eastAsia" w:ascii="仿宋_GB2312" w:hAnsi="黑体" w:eastAsia="仿宋_GB2312"/>
          <w:b/>
          <w:sz w:val="30"/>
          <w:szCs w:val="30"/>
        </w:rPr>
        <w:t>（3）互联网交易平台</w:t>
      </w:r>
    </w:p>
    <w:p w14:paraId="177DE2F7">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本所</w:t>
      </w:r>
      <w:r>
        <w:rPr>
          <w:rFonts w:ascii="仿宋_GB2312" w:hAnsi="宋体" w:eastAsia="仿宋_GB2312"/>
          <w:sz w:val="30"/>
          <w:szCs w:val="30"/>
        </w:rPr>
        <w:t>会员和其他</w:t>
      </w:r>
      <w:r>
        <w:rPr>
          <w:rFonts w:hint="eastAsia" w:ascii="仿宋_GB2312" w:hAnsi="宋体" w:eastAsia="仿宋_GB2312"/>
          <w:sz w:val="30"/>
          <w:szCs w:val="30"/>
        </w:rPr>
        <w:t>自有</w:t>
      </w:r>
      <w:r>
        <w:rPr>
          <w:rFonts w:ascii="仿宋_GB2312" w:hAnsi="宋体" w:eastAsia="仿宋_GB2312"/>
          <w:sz w:val="30"/>
          <w:szCs w:val="30"/>
        </w:rPr>
        <w:t>或者租用交易单元的债券交易参与人</w:t>
      </w:r>
      <w:r>
        <w:rPr>
          <w:rFonts w:hint="eastAsia" w:ascii="仿宋_GB2312" w:hAnsi="宋体" w:eastAsia="仿宋_GB2312"/>
          <w:sz w:val="30"/>
          <w:szCs w:val="30"/>
        </w:rPr>
        <w:t>可通过互联网和交易专网进行接入。</w:t>
      </w:r>
    </w:p>
    <w:p w14:paraId="25004377">
      <w:pPr>
        <w:pStyle w:val="15"/>
        <w:ind w:firstLine="600" w:firstLineChars="200"/>
      </w:pPr>
      <w:r>
        <w:rPr>
          <w:rFonts w:hint="eastAsia" w:ascii="仿宋_GB2312" w:eastAsia="仿宋_GB2312"/>
          <w:sz w:val="30"/>
          <w:szCs w:val="30"/>
        </w:rPr>
        <w:t>互</w:t>
      </w:r>
      <w:r>
        <w:rPr>
          <w:rFonts w:hint="eastAsia"/>
        </w:rPr>
        <w:t>联网地址：</w:t>
      </w:r>
      <w:r>
        <w:rPr>
          <w:rFonts w:hint="eastAsia"/>
          <w:lang w:eastAsia="zh-CN"/>
        </w:rPr>
        <w:t>https://iitp.uap.sse.com.cn/</w:t>
      </w:r>
    </w:p>
    <w:p w14:paraId="3165127B">
      <w:pPr>
        <w:pStyle w:val="22"/>
        <w:ind w:firstLine="600" w:firstLineChars="200"/>
        <w:rPr>
          <w:rFonts w:ascii="仿宋_GB2312" w:eastAsia="仿宋_GB2312"/>
          <w:sz w:val="30"/>
          <w:szCs w:val="30"/>
        </w:rPr>
      </w:pPr>
      <w:r>
        <w:rPr>
          <w:rFonts w:hint="eastAsia" w:ascii="仿宋_GB2312" w:eastAsia="仿宋_GB2312"/>
          <w:sz w:val="30"/>
          <w:szCs w:val="30"/>
        </w:rPr>
        <w:t>专网地址：http://180.7.37.3/（金桥站点）</w:t>
      </w:r>
    </w:p>
    <w:p w14:paraId="5C7B035C">
      <w:pPr>
        <w:pStyle w:val="22"/>
        <w:ind w:firstLine="2100" w:firstLineChars="700"/>
        <w:rPr>
          <w:rFonts w:ascii="仿宋_GB2312" w:eastAsia="仿宋_GB2312"/>
          <w:sz w:val="30"/>
          <w:szCs w:val="30"/>
        </w:rPr>
      </w:pPr>
      <w:r>
        <w:rPr>
          <w:rFonts w:hint="eastAsia" w:ascii="仿宋_GB2312" w:eastAsia="仿宋_GB2312"/>
          <w:sz w:val="30"/>
          <w:szCs w:val="30"/>
        </w:rPr>
        <w:t>http://180.7.167.3/（外高桥站点）</w:t>
      </w:r>
    </w:p>
    <w:p w14:paraId="1E34DFD7">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债券</w:t>
      </w:r>
      <w:r>
        <w:rPr>
          <w:rFonts w:ascii="仿宋_GB2312" w:hAnsi="宋体" w:eastAsia="仿宋_GB2312"/>
          <w:sz w:val="30"/>
          <w:szCs w:val="30"/>
        </w:rPr>
        <w:t>交易参与人</w:t>
      </w:r>
      <w:r>
        <w:rPr>
          <w:rFonts w:hint="eastAsia" w:ascii="仿宋_GB2312" w:hAnsi="宋体" w:eastAsia="仿宋_GB2312"/>
          <w:sz w:val="30"/>
          <w:szCs w:val="30"/>
        </w:rPr>
        <w:t>若需要通过互联网访问本平台，应提前</w:t>
      </w:r>
      <w:r>
        <w:rPr>
          <w:rFonts w:ascii="仿宋_GB2312" w:hAnsi="宋体" w:eastAsia="仿宋_GB2312"/>
          <w:sz w:val="30"/>
          <w:szCs w:val="30"/>
        </w:rPr>
        <w:t>通过本所CnCSA中心</w:t>
      </w:r>
      <w:r>
        <w:rPr>
          <w:rFonts w:hint="eastAsia" w:ascii="仿宋_GB2312" w:hAnsi="宋体" w:eastAsia="仿宋_GB2312"/>
          <w:sz w:val="30"/>
          <w:szCs w:val="30"/>
        </w:rPr>
        <w:t>（http://www.sse.com.cn/home/biz/cnsca/</w:t>
      </w:r>
      <w:r>
        <w:rPr>
          <w:rFonts w:ascii="仿宋_GB2312" w:hAnsi="宋体" w:eastAsia="仿宋_GB2312"/>
          <w:sz w:val="30"/>
          <w:szCs w:val="30"/>
        </w:rPr>
        <w:t>）</w:t>
      </w:r>
      <w:r>
        <w:rPr>
          <w:rFonts w:hint="eastAsia" w:ascii="仿宋_GB2312" w:hAnsi="宋体" w:eastAsia="仿宋_GB2312"/>
          <w:sz w:val="30"/>
          <w:szCs w:val="30"/>
        </w:rPr>
        <w:t>办理好互联网交易平台数字证书并确保能正常登陆。</w:t>
      </w:r>
    </w:p>
    <w:p w14:paraId="62B6311B">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技术服务热线：4009003600</w:t>
      </w:r>
    </w:p>
    <w:p w14:paraId="070F88EE">
      <w:pPr>
        <w:spacing w:line="600" w:lineRule="exact"/>
        <w:ind w:firstLine="600"/>
        <w:rPr>
          <w:rFonts w:ascii="仿宋_GB2312" w:eastAsia="仿宋_GB2312"/>
          <w:sz w:val="30"/>
          <w:szCs w:val="30"/>
        </w:rPr>
      </w:pPr>
      <w:r>
        <w:rPr>
          <w:rFonts w:hint="eastAsia" w:ascii="仿宋_GB2312" w:eastAsia="仿宋_GB2312"/>
          <w:sz w:val="30"/>
          <w:szCs w:val="30"/>
        </w:rPr>
        <w:t>另外，访问前请务必先安装好对应的驱动及证书管理工具，目前下载入口为：</w:t>
      </w:r>
    </w:p>
    <w:p w14:paraId="38B13464">
      <w:pPr>
        <w:spacing w:line="600" w:lineRule="exact"/>
        <w:ind w:firstLine="600"/>
        <w:rPr>
          <w:rFonts w:ascii="仿宋_GB2312" w:eastAsia="仿宋_GB2312"/>
          <w:sz w:val="30"/>
          <w:szCs w:val="30"/>
        </w:rPr>
      </w:pPr>
      <w:r>
        <w:rPr>
          <w:rFonts w:hint="eastAsia" w:ascii="仿宋_GB2312" w:eastAsia="仿宋_GB2312"/>
          <w:sz w:val="30"/>
          <w:szCs w:val="30"/>
        </w:rPr>
        <w:t>上交所网站</w:t>
      </w:r>
      <w:r>
        <w:rPr>
          <w:rFonts w:ascii="仿宋_GB2312" w:eastAsia="仿宋_GB2312"/>
          <w:sz w:val="30"/>
          <w:szCs w:val="30"/>
        </w:rPr>
        <w:t xml:space="preserve"> -&gt;</w:t>
      </w:r>
      <w:r>
        <w:rPr>
          <w:rFonts w:hint="eastAsia" w:ascii="仿宋_GB2312" w:eastAsia="仿宋_GB2312"/>
          <w:sz w:val="30"/>
          <w:szCs w:val="30"/>
        </w:rPr>
        <w:t>业务办理专区-</w:t>
      </w:r>
      <w:r>
        <w:rPr>
          <w:rFonts w:ascii="仿宋_GB2312" w:eastAsia="仿宋_GB2312"/>
          <w:sz w:val="30"/>
          <w:szCs w:val="30"/>
        </w:rPr>
        <w:t>&gt;</w:t>
      </w:r>
      <w:r>
        <w:rPr>
          <w:rFonts w:hint="eastAsia" w:ascii="仿宋_GB2312" w:eastAsia="仿宋_GB2312"/>
          <w:sz w:val="30"/>
          <w:szCs w:val="30"/>
        </w:rPr>
        <w:t>CA服务专区-</w:t>
      </w:r>
      <w:r>
        <w:rPr>
          <w:rFonts w:ascii="仿宋_GB2312" w:eastAsia="仿宋_GB2312"/>
          <w:sz w:val="30"/>
          <w:szCs w:val="30"/>
        </w:rPr>
        <w:t>&gt;</w:t>
      </w:r>
      <w:r>
        <w:rPr>
          <w:rFonts w:hint="eastAsia" w:ascii="仿宋_GB2312" w:eastAsia="仿宋_GB2312"/>
          <w:sz w:val="30"/>
          <w:szCs w:val="30"/>
        </w:rPr>
        <w:t>驱动程序及工具，按</w:t>
      </w:r>
      <w:r>
        <w:rPr>
          <w:rFonts w:ascii="仿宋_GB2312" w:eastAsia="仿宋_GB2312"/>
          <w:sz w:val="30"/>
          <w:szCs w:val="30"/>
        </w:rPr>
        <w:t xml:space="preserve"> EKey </w:t>
      </w:r>
      <w:r>
        <w:rPr>
          <w:rFonts w:hint="eastAsia" w:ascii="仿宋_GB2312" w:eastAsia="仿宋_GB2312"/>
          <w:sz w:val="30"/>
          <w:szCs w:val="30"/>
        </w:rPr>
        <w:t>型号下载。</w:t>
      </w:r>
    </w:p>
    <w:p w14:paraId="147B66FA">
      <w:pPr>
        <w:spacing w:line="600" w:lineRule="exact"/>
        <w:ind w:firstLine="600"/>
        <w:rPr>
          <w:rFonts w:ascii="仿宋_GB2312" w:eastAsia="仿宋_GB2312"/>
          <w:sz w:val="30"/>
          <w:szCs w:val="30"/>
        </w:rPr>
      </w:pPr>
      <w:r>
        <w:rPr>
          <w:rFonts w:hint="eastAsia" w:ascii="仿宋_GB2312" w:eastAsia="仿宋_GB2312"/>
          <w:sz w:val="30"/>
          <w:szCs w:val="30"/>
        </w:rPr>
        <w:t>访问时先在弹出的窗口确认证书，然后在弹出的框中输入证书密码（证书密码初始值在密码信封里）。</w:t>
      </w:r>
    </w:p>
    <w:p w14:paraId="5CF217F1">
      <w:pPr>
        <w:numPr>
          <w:ilvl w:val="2"/>
          <w:numId w:val="4"/>
        </w:numPr>
        <w:spacing w:line="600" w:lineRule="exact"/>
        <w:ind w:left="0" w:firstLine="0"/>
        <w:outlineLvl w:val="2"/>
        <w:rPr>
          <w:rFonts w:ascii="仿宋_GB2312" w:hAnsi="黑体" w:eastAsia="仿宋_GB2312"/>
          <w:b/>
          <w:sz w:val="30"/>
          <w:szCs w:val="30"/>
        </w:rPr>
      </w:pPr>
      <w:r>
        <w:rPr>
          <w:rFonts w:hint="eastAsia" w:ascii="仿宋_GB2312" w:hAnsi="黑体" w:eastAsia="仿宋_GB2312"/>
          <w:b/>
          <w:sz w:val="30"/>
          <w:szCs w:val="30"/>
        </w:rPr>
        <w:t>固定收益平台相关设置准备</w:t>
      </w:r>
    </w:p>
    <w:p w14:paraId="3A7A9566">
      <w:pPr>
        <w:spacing w:line="600" w:lineRule="exact"/>
        <w:ind w:firstLine="600"/>
        <w:rPr>
          <w:rFonts w:ascii="仿宋_GB2312" w:eastAsia="仿宋_GB2312"/>
          <w:sz w:val="30"/>
          <w:szCs w:val="30"/>
        </w:rPr>
      </w:pPr>
      <w:r>
        <w:rPr>
          <w:rFonts w:hint="eastAsia" w:ascii="仿宋_GB2312" w:eastAsia="仿宋_GB2312"/>
          <w:sz w:val="30"/>
          <w:szCs w:val="30"/>
        </w:rPr>
        <w:t>固定收益平台上开展债券交易前，债券交易参与人应登录本所固定收益平台进行相关设置，做好业务开展准备。设置内容包括证券账户的指定交易、债券交易参与人账户信息维护、交易员信息维护、群组维护等。</w:t>
      </w:r>
      <w:bookmarkStart w:id="237" w:name="_Toc35006206"/>
    </w:p>
    <w:p w14:paraId="240429BD">
      <w:pPr>
        <w:spacing w:line="600" w:lineRule="exact"/>
        <w:ind w:firstLine="602" w:firstLineChars="200"/>
        <w:outlineLvl w:val="3"/>
        <w:rPr>
          <w:rFonts w:ascii="仿宋_GB2312" w:hAnsi="黑体" w:eastAsia="仿宋_GB2312"/>
          <w:b/>
          <w:sz w:val="30"/>
          <w:szCs w:val="30"/>
        </w:rPr>
      </w:pPr>
      <w:r>
        <w:rPr>
          <w:rFonts w:hint="eastAsia" w:ascii="仿宋_GB2312" w:hAnsi="黑体" w:eastAsia="仿宋_GB2312"/>
          <w:b/>
          <w:sz w:val="30"/>
          <w:szCs w:val="30"/>
        </w:rPr>
        <w:t>（1）</w:t>
      </w:r>
      <w:r>
        <w:rPr>
          <w:rFonts w:hint="eastAsia" w:ascii="仿宋_GB2312" w:eastAsia="仿宋_GB2312"/>
          <w:b/>
          <w:sz w:val="30"/>
          <w:szCs w:val="30"/>
        </w:rPr>
        <w:t>债券交易参与人</w:t>
      </w:r>
      <w:r>
        <w:rPr>
          <w:rFonts w:hint="eastAsia" w:ascii="仿宋_GB2312" w:hAnsi="黑体" w:eastAsia="仿宋_GB2312"/>
          <w:b/>
          <w:sz w:val="30"/>
          <w:szCs w:val="30"/>
        </w:rPr>
        <w:t>账户信息</w:t>
      </w:r>
      <w:r>
        <w:rPr>
          <w:rFonts w:ascii="仿宋_GB2312" w:hAnsi="黑体" w:eastAsia="仿宋_GB2312"/>
          <w:b/>
          <w:sz w:val="30"/>
          <w:szCs w:val="30"/>
        </w:rPr>
        <w:t>维护</w:t>
      </w:r>
      <w:bookmarkEnd w:id="237"/>
    </w:p>
    <w:p w14:paraId="21F2B009">
      <w:pPr>
        <w:spacing w:line="600" w:lineRule="exact"/>
        <w:ind w:firstLine="600"/>
        <w:rPr>
          <w:rFonts w:ascii="仿宋_GB2312" w:eastAsia="仿宋_GB2312"/>
          <w:sz w:val="30"/>
          <w:szCs w:val="30"/>
        </w:rPr>
      </w:pPr>
      <w:r>
        <w:rPr>
          <w:rFonts w:hint="eastAsia" w:ascii="仿宋_GB2312" w:eastAsia="仿宋_GB2312"/>
          <w:sz w:val="30"/>
          <w:szCs w:val="30"/>
        </w:rPr>
        <w:t>债券交易参与人凭首席交易员用户名、密码信息以及数字证书登录本所固定收益平台后，需要在“系统管理-交易商账户管理”界面上将本债券交易参与人可用的证券账户信息进行录入。</w:t>
      </w:r>
      <w:bookmarkStart w:id="238" w:name="_Toc35006207"/>
      <w:r>
        <w:rPr>
          <w:rFonts w:hint="eastAsia" w:ascii="仿宋_GB2312" w:eastAsia="仿宋_GB2312"/>
          <w:sz w:val="30"/>
          <w:szCs w:val="30"/>
        </w:rPr>
        <w:t>证券账户信息经录入后才可使用。</w:t>
      </w:r>
    </w:p>
    <w:p w14:paraId="4003AAE6">
      <w:pPr>
        <w:spacing w:line="600" w:lineRule="exact"/>
        <w:ind w:firstLine="600"/>
        <w:rPr>
          <w:rFonts w:ascii="仿宋_GB2312" w:eastAsia="仿宋_GB2312"/>
          <w:sz w:val="30"/>
          <w:szCs w:val="30"/>
        </w:rPr>
      </w:pPr>
      <w:r>
        <w:rPr>
          <w:rFonts w:hint="eastAsia" w:ascii="仿宋_GB2312" w:eastAsia="仿宋_GB2312"/>
          <w:sz w:val="30"/>
          <w:szCs w:val="30"/>
        </w:rPr>
        <w:t>录入时，应填写证券账户号码以及办理指定交易手续时所对应的交易单元。</w:t>
      </w:r>
    </w:p>
    <w:p w14:paraId="01802BF2">
      <w:pPr>
        <w:spacing w:line="600" w:lineRule="exact"/>
        <w:ind w:firstLine="600"/>
        <w:rPr>
          <w:rFonts w:ascii="仿宋_GB2312" w:eastAsia="仿宋_GB2312"/>
          <w:sz w:val="30"/>
          <w:szCs w:val="30"/>
        </w:rPr>
      </w:pPr>
      <w:r>
        <w:rPr>
          <w:rFonts w:hint="eastAsia" w:ascii="仿宋_GB2312" w:eastAsia="仿宋_GB2312"/>
          <w:sz w:val="30"/>
          <w:szCs w:val="30"/>
        </w:rPr>
        <w:t>本所将向每个债券交易参与人分配首席交易员用于登录固定收益平台。对于固定收益平台中的系统管理功能，只能由首席交易员用户做设置，普通交易员用户无法做修改。</w:t>
      </w:r>
    </w:p>
    <w:p w14:paraId="2B29AB46">
      <w:pPr>
        <w:spacing w:line="600" w:lineRule="exact"/>
        <w:ind w:firstLine="602" w:firstLineChars="200"/>
        <w:outlineLvl w:val="3"/>
        <w:rPr>
          <w:rFonts w:ascii="仿宋_GB2312" w:hAnsi="黑体" w:eastAsia="仿宋_GB2312"/>
          <w:b/>
          <w:sz w:val="30"/>
          <w:szCs w:val="30"/>
        </w:rPr>
      </w:pPr>
      <w:r>
        <w:rPr>
          <w:rFonts w:hint="eastAsia" w:ascii="仿宋_GB2312" w:hAnsi="黑体" w:eastAsia="仿宋_GB2312"/>
          <w:b/>
          <w:sz w:val="30"/>
          <w:szCs w:val="30"/>
        </w:rPr>
        <w:t>（2）</w:t>
      </w:r>
      <w:r>
        <w:rPr>
          <w:rFonts w:ascii="仿宋_GB2312" w:hAnsi="黑体" w:eastAsia="仿宋_GB2312"/>
          <w:b/>
          <w:sz w:val="30"/>
          <w:szCs w:val="30"/>
        </w:rPr>
        <w:t>群组维护</w:t>
      </w:r>
      <w:bookmarkEnd w:id="238"/>
    </w:p>
    <w:p w14:paraId="4C2207BE">
      <w:pPr>
        <w:spacing w:line="600" w:lineRule="exact"/>
        <w:ind w:firstLine="600"/>
        <w:rPr>
          <w:rFonts w:ascii="仿宋_GB2312" w:eastAsia="仿宋_GB2312"/>
          <w:sz w:val="30"/>
          <w:szCs w:val="30"/>
        </w:rPr>
      </w:pPr>
      <w:r>
        <w:rPr>
          <w:rFonts w:hint="eastAsia" w:ascii="仿宋_GB2312" w:eastAsia="仿宋_GB2312"/>
          <w:sz w:val="30"/>
          <w:szCs w:val="30"/>
        </w:rPr>
        <w:t>为辅助实现公司内部不同业务条线、不同交易团队的业务隔离，债券交易参与人可凭首席交易员用户名、密码以及数字证书登录固定收益平台，在“系统管理-</w:t>
      </w:r>
      <w:r>
        <w:rPr>
          <w:rFonts w:ascii="仿宋_GB2312" w:eastAsia="仿宋_GB2312"/>
          <w:sz w:val="30"/>
          <w:szCs w:val="30"/>
        </w:rPr>
        <w:t>&gt;</w:t>
      </w:r>
      <w:r>
        <w:rPr>
          <w:rFonts w:hint="eastAsia" w:ascii="仿宋_GB2312" w:eastAsia="仿宋_GB2312"/>
          <w:sz w:val="30"/>
          <w:szCs w:val="30"/>
        </w:rPr>
        <w:t>群组管理”对本债券交易参与人名下普通交易员实行划分群组管理（可选）。</w:t>
      </w:r>
    </w:p>
    <w:p w14:paraId="1B54ADEC">
      <w:pPr>
        <w:spacing w:line="600" w:lineRule="exact"/>
        <w:ind w:firstLine="600" w:firstLineChars="200"/>
        <w:rPr>
          <w:rFonts w:ascii="仿宋_GB2312" w:eastAsia="仿宋_GB2312"/>
          <w:sz w:val="30"/>
          <w:szCs w:val="30"/>
        </w:rPr>
      </w:pPr>
      <w:r>
        <w:rPr>
          <w:rFonts w:hint="eastAsia" w:ascii="仿宋_GB2312" w:eastAsia="仿宋_GB2312"/>
          <w:sz w:val="30"/>
          <w:szCs w:val="30"/>
        </w:rPr>
        <w:t>同一个债券交易参与人下的交易员用户可组成若干群组。群组主要用于信息隔离，群组和群组之间相互看不到对方交易记录（含申报、成交等）、持仓信息；同一个群组内部，交易员用户之间可查看对方的交易、持仓信息。</w:t>
      </w:r>
      <w:bookmarkStart w:id="239" w:name="_Toc35006209"/>
    </w:p>
    <w:bookmarkEnd w:id="239"/>
    <w:p w14:paraId="4E988364">
      <w:pPr>
        <w:numPr>
          <w:ilvl w:val="0"/>
          <w:numId w:val="4"/>
        </w:numPr>
        <w:spacing w:line="600" w:lineRule="exact"/>
        <w:outlineLvl w:val="0"/>
        <w:rPr>
          <w:b/>
          <w:sz w:val="36"/>
        </w:rPr>
      </w:pPr>
      <w:bookmarkStart w:id="240" w:name="_Toc56166068"/>
      <w:bookmarkStart w:id="241" w:name="_Toc56166257"/>
      <w:r>
        <w:rPr>
          <w:b/>
          <w:sz w:val="36"/>
        </w:rPr>
        <w:br w:type="page"/>
      </w:r>
      <w:bookmarkStart w:id="242" w:name="_Toc471218644"/>
      <w:bookmarkStart w:id="243" w:name="_Toc1161675038"/>
      <w:bookmarkStart w:id="244" w:name="_Toc151136886"/>
      <w:bookmarkStart w:id="245" w:name="_Toc2133438093"/>
      <w:bookmarkStart w:id="246" w:name="_Toc1546222833"/>
      <w:r>
        <w:rPr>
          <w:rFonts w:hint="eastAsia" w:ascii="黑体" w:hAnsi="黑体" w:eastAsia="黑体" w:cs="黑体"/>
          <w:b/>
          <w:sz w:val="36"/>
        </w:rPr>
        <w:t>债券经纪业务</w:t>
      </w:r>
      <w:bookmarkEnd w:id="240"/>
      <w:bookmarkEnd w:id="241"/>
      <w:bookmarkEnd w:id="242"/>
      <w:bookmarkEnd w:id="243"/>
      <w:bookmarkEnd w:id="244"/>
      <w:bookmarkEnd w:id="245"/>
      <w:bookmarkEnd w:id="246"/>
    </w:p>
    <w:p w14:paraId="5CB6BB82">
      <w:pPr>
        <w:spacing w:line="600" w:lineRule="exact"/>
        <w:ind w:firstLine="600"/>
        <w:rPr>
          <w:b/>
          <w:sz w:val="36"/>
        </w:rPr>
      </w:pPr>
      <w:r>
        <w:rPr>
          <w:rFonts w:hint="eastAsia" w:ascii="仿宋_GB2312" w:eastAsia="仿宋_GB2312"/>
          <w:sz w:val="30"/>
          <w:szCs w:val="30"/>
        </w:rPr>
        <w:t>债券经纪业务，是指债券交易参与人以外的债券投资者</w:t>
      </w:r>
      <w:r>
        <w:rPr>
          <w:rFonts w:hint="eastAsia" w:ascii="仿宋_GB2312" w:eastAsia="仿宋_GB2312"/>
          <w:color w:val="000000"/>
          <w:sz w:val="30"/>
          <w:szCs w:val="30"/>
        </w:rPr>
        <w:t>可以</w:t>
      </w:r>
      <w:r>
        <w:rPr>
          <w:rFonts w:hint="eastAsia" w:ascii="仿宋_GB2312" w:eastAsia="仿宋_GB2312"/>
          <w:sz w:val="30"/>
          <w:szCs w:val="30"/>
        </w:rPr>
        <w:t>作为经纪客户委托具有本所会员资格的证券公司参与本所债券交易；证券公司按照债券投资者的要求，接受其委托代理进行债券交易，并代理其办理交易结算。</w:t>
      </w:r>
    </w:p>
    <w:p w14:paraId="0DC080E4">
      <w:pPr>
        <w:numPr>
          <w:ilvl w:val="1"/>
          <w:numId w:val="4"/>
        </w:numPr>
        <w:spacing w:line="600" w:lineRule="exact"/>
        <w:ind w:left="0" w:firstLine="0"/>
        <w:outlineLvl w:val="1"/>
        <w:rPr>
          <w:rFonts w:ascii="仿宋_GB2312" w:eastAsia="仿宋_GB2312"/>
          <w:b/>
          <w:sz w:val="30"/>
          <w:szCs w:val="30"/>
        </w:rPr>
      </w:pPr>
      <w:bookmarkStart w:id="247" w:name="_Toc151136887"/>
      <w:bookmarkStart w:id="248" w:name="_Toc719111379"/>
      <w:bookmarkStart w:id="249" w:name="_Toc1222572090"/>
      <w:bookmarkStart w:id="250" w:name="_Toc1828260638"/>
      <w:bookmarkStart w:id="251" w:name="_Toc1109498046"/>
      <w:r>
        <w:rPr>
          <w:rFonts w:hint="eastAsia" w:ascii="仿宋_GB2312" w:eastAsia="仿宋_GB2312"/>
          <w:b/>
          <w:sz w:val="30"/>
          <w:szCs w:val="30"/>
        </w:rPr>
        <w:t>投资者适当性</w:t>
      </w:r>
      <w:bookmarkEnd w:id="247"/>
      <w:bookmarkEnd w:id="248"/>
      <w:bookmarkEnd w:id="249"/>
      <w:bookmarkEnd w:id="250"/>
      <w:bookmarkEnd w:id="251"/>
    </w:p>
    <w:p w14:paraId="3120AF37">
      <w:pPr>
        <w:spacing w:line="600" w:lineRule="exact"/>
        <w:rPr>
          <w:rFonts w:ascii="仿宋_GB2312" w:eastAsia="仿宋_GB2312"/>
          <w:b/>
          <w:sz w:val="30"/>
          <w:szCs w:val="30"/>
        </w:rPr>
      </w:pPr>
      <w:r>
        <w:rPr>
          <w:rFonts w:hint="eastAsia" w:ascii="仿宋_GB2312" w:eastAsia="仿宋_GB2312"/>
          <w:b/>
          <w:sz w:val="30"/>
          <w:szCs w:val="30"/>
        </w:rPr>
        <w:t xml:space="preserve">   </w:t>
      </w:r>
      <w:r>
        <w:rPr>
          <w:rFonts w:hint="eastAsia" w:ascii="仿宋_GB2312" w:eastAsia="仿宋_GB2312"/>
          <w:sz w:val="30"/>
          <w:szCs w:val="30"/>
        </w:rPr>
        <w:t xml:space="preserve"> 本所债券市场实行投资者适当性管理制度。经纪客户需符合本所投资者适当性的相关规定。</w:t>
      </w:r>
    </w:p>
    <w:p w14:paraId="2575692E">
      <w:pPr>
        <w:numPr>
          <w:ilvl w:val="2"/>
          <w:numId w:val="4"/>
        </w:numPr>
        <w:spacing w:line="600" w:lineRule="exact"/>
        <w:ind w:left="0" w:firstLine="0"/>
        <w:outlineLvl w:val="2"/>
        <w:rPr>
          <w:rFonts w:ascii="仿宋_GB2312" w:hAnsi="黑体" w:eastAsia="仿宋_GB2312"/>
          <w:b/>
          <w:sz w:val="30"/>
          <w:szCs w:val="30"/>
        </w:rPr>
      </w:pPr>
      <w:r>
        <w:rPr>
          <w:rFonts w:hint="eastAsia" w:ascii="仿宋_GB2312" w:hAnsi="黑体" w:eastAsia="仿宋_GB2312"/>
          <w:b/>
          <w:sz w:val="30"/>
          <w:szCs w:val="30"/>
        </w:rPr>
        <w:t>债券投资者分类</w:t>
      </w:r>
    </w:p>
    <w:p w14:paraId="4DEE5185">
      <w:pPr>
        <w:pStyle w:val="90"/>
        <w:spacing w:line="600" w:lineRule="exact"/>
        <w:ind w:firstLine="600"/>
        <w:rPr>
          <w:sz w:val="30"/>
          <w:szCs w:val="30"/>
        </w:rPr>
      </w:pPr>
      <w:r>
        <w:rPr>
          <w:rFonts w:hint="eastAsia"/>
          <w:sz w:val="30"/>
          <w:szCs w:val="30"/>
        </w:rPr>
        <w:t>债券市场债券投资者按照财产状况、金融资产状况、投资知识和经验、专业能力等因素，分为专业投资者和普通投资者。专业投资者之外的债券投资者为普通投资者。</w:t>
      </w:r>
    </w:p>
    <w:p w14:paraId="1B503BBB">
      <w:pPr>
        <w:spacing w:line="600" w:lineRule="exact"/>
        <w:ind w:firstLine="600"/>
        <w:rPr>
          <w:rFonts w:ascii="仿宋_GB2312" w:eastAsia="仿宋_GB2312"/>
          <w:sz w:val="30"/>
          <w:szCs w:val="30"/>
        </w:rPr>
      </w:pPr>
      <w:r>
        <w:rPr>
          <w:rFonts w:hint="eastAsia" w:ascii="仿宋_GB2312" w:eastAsia="仿宋_GB2312"/>
          <w:sz w:val="30"/>
          <w:szCs w:val="30"/>
        </w:rPr>
        <w:t>专业投资者应当符合下列条件：</w:t>
      </w:r>
    </w:p>
    <w:p w14:paraId="7EC3BF58">
      <w:pPr>
        <w:spacing w:line="600" w:lineRule="exact"/>
        <w:ind w:firstLine="600"/>
        <w:rPr>
          <w:rFonts w:ascii="仿宋_GB2312" w:eastAsia="仿宋_GB2312"/>
          <w:sz w:val="30"/>
          <w:szCs w:val="30"/>
        </w:rPr>
      </w:pPr>
      <w:r>
        <w:rPr>
          <w:rFonts w:hint="eastAsia" w:ascii="仿宋_GB2312" w:eastAsia="仿宋_GB2312"/>
          <w:sz w:val="30"/>
          <w:szCs w:val="30"/>
        </w:rPr>
        <w:t>（1）经有关金融监管部门批准设立的金融机构，包括证券公司、期货公司、基金管理公司及其子公司、银行及其理财子公司、保险公司、信托公司、财务公司等；经行业协会备案或者登记的证券公司子公司、期货公司子公司、私募基金管理人。</w:t>
      </w:r>
    </w:p>
    <w:p w14:paraId="7CAC7356">
      <w:pPr>
        <w:spacing w:line="600" w:lineRule="exact"/>
        <w:ind w:firstLine="600"/>
        <w:rPr>
          <w:rFonts w:ascii="仿宋_GB2312" w:eastAsia="仿宋_GB2312"/>
          <w:sz w:val="30"/>
          <w:szCs w:val="30"/>
        </w:rPr>
      </w:pPr>
      <w:r>
        <w:rPr>
          <w:rFonts w:hint="eastAsia" w:ascii="仿宋_GB2312" w:eastAsia="仿宋_GB2312"/>
          <w:sz w:val="30"/>
          <w:szCs w:val="30"/>
        </w:rPr>
        <w:t>（2）上述机构面向投资者发行的理财产品，包括但不限于证券公司资产管理产品、基金管理公司及其子公司产品、期货公司资产管理产品、银行理财产品、保险产品、信托产品、经行业协会备案的私募基金。</w:t>
      </w:r>
    </w:p>
    <w:p w14:paraId="4B578836">
      <w:pPr>
        <w:spacing w:line="600" w:lineRule="exact"/>
        <w:ind w:firstLine="600"/>
        <w:rPr>
          <w:rFonts w:ascii="仿宋_GB2312" w:eastAsia="仿宋_GB2312"/>
          <w:sz w:val="30"/>
          <w:szCs w:val="30"/>
        </w:rPr>
      </w:pPr>
      <w:r>
        <w:rPr>
          <w:rFonts w:hint="eastAsia" w:ascii="仿宋_GB2312" w:eastAsia="仿宋_GB2312"/>
          <w:sz w:val="30"/>
          <w:szCs w:val="30"/>
        </w:rPr>
        <w:t>（3）社会保障基金、企业年金等养老基金，慈善基金等社会公益基金，合格境外机构投资者（QFII）、人民币合格境外机构投资者（RQFII）。</w:t>
      </w:r>
    </w:p>
    <w:p w14:paraId="74C4088C">
      <w:pPr>
        <w:spacing w:line="600" w:lineRule="exact"/>
        <w:ind w:firstLine="600"/>
        <w:rPr>
          <w:rFonts w:ascii="仿宋_GB2312" w:eastAsia="仿宋_GB2312"/>
          <w:sz w:val="30"/>
          <w:szCs w:val="30"/>
        </w:rPr>
      </w:pPr>
      <w:r>
        <w:rPr>
          <w:rFonts w:hint="eastAsia" w:ascii="仿宋_GB2312" w:eastAsia="仿宋_GB2312"/>
          <w:sz w:val="30"/>
          <w:szCs w:val="30"/>
        </w:rPr>
        <w:t>（4）同时符合下列条件的法人或者其他组织：</w:t>
      </w:r>
    </w:p>
    <w:p w14:paraId="5B2A9741">
      <w:pPr>
        <w:pStyle w:val="92"/>
        <w:numPr>
          <w:ilvl w:val="0"/>
          <w:numId w:val="9"/>
        </w:numPr>
        <w:spacing w:line="600" w:lineRule="exact"/>
        <w:ind w:left="0" w:firstLine="600"/>
        <w:rPr>
          <w:rFonts w:ascii="仿宋_GB2312" w:eastAsia="仿宋_GB2312"/>
          <w:sz w:val="30"/>
          <w:szCs w:val="30"/>
          <w:lang w:eastAsia="zh-CN"/>
        </w:rPr>
      </w:pPr>
      <w:r>
        <w:rPr>
          <w:rFonts w:hint="eastAsia" w:ascii="仿宋_GB2312" w:eastAsia="仿宋_GB2312"/>
          <w:sz w:val="30"/>
          <w:szCs w:val="30"/>
          <w:lang w:eastAsia="zh-CN"/>
        </w:rPr>
        <w:t>最近1年末净资产不低于2000万元；</w:t>
      </w:r>
    </w:p>
    <w:p w14:paraId="409C81E3">
      <w:pPr>
        <w:pStyle w:val="92"/>
        <w:numPr>
          <w:ilvl w:val="0"/>
          <w:numId w:val="9"/>
        </w:numPr>
        <w:spacing w:line="600" w:lineRule="exact"/>
        <w:ind w:left="0" w:firstLine="600"/>
        <w:rPr>
          <w:rFonts w:ascii="仿宋_GB2312" w:eastAsia="仿宋_GB2312"/>
          <w:sz w:val="30"/>
          <w:szCs w:val="30"/>
          <w:lang w:eastAsia="zh-CN"/>
        </w:rPr>
      </w:pPr>
      <w:r>
        <w:rPr>
          <w:rFonts w:hint="eastAsia" w:ascii="仿宋_GB2312" w:eastAsia="仿宋_GB2312"/>
          <w:sz w:val="30"/>
          <w:szCs w:val="30"/>
          <w:lang w:eastAsia="zh-CN"/>
        </w:rPr>
        <w:t>最近1年末金融资产不低于1000万元；</w:t>
      </w:r>
    </w:p>
    <w:p w14:paraId="02C7E579">
      <w:pPr>
        <w:pStyle w:val="92"/>
        <w:numPr>
          <w:ilvl w:val="0"/>
          <w:numId w:val="9"/>
        </w:numPr>
        <w:spacing w:line="600" w:lineRule="exact"/>
        <w:ind w:left="0" w:firstLine="600"/>
        <w:rPr>
          <w:rFonts w:ascii="仿宋_GB2312" w:eastAsia="仿宋_GB2312"/>
          <w:sz w:val="30"/>
          <w:szCs w:val="30"/>
          <w:lang w:eastAsia="zh-CN"/>
        </w:rPr>
      </w:pPr>
      <w:r>
        <w:rPr>
          <w:rFonts w:hint="eastAsia" w:ascii="仿宋_GB2312" w:eastAsia="仿宋_GB2312"/>
          <w:sz w:val="30"/>
          <w:szCs w:val="30"/>
          <w:lang w:eastAsia="zh-CN"/>
        </w:rPr>
        <w:t>具有2年以上证券、基金、期货、黄金、外汇等投资经历。</w:t>
      </w:r>
    </w:p>
    <w:p w14:paraId="4AC3B3DD">
      <w:pPr>
        <w:spacing w:line="600" w:lineRule="exact"/>
        <w:ind w:firstLine="600"/>
        <w:rPr>
          <w:rFonts w:ascii="仿宋_GB2312" w:eastAsia="仿宋_GB2312"/>
          <w:sz w:val="30"/>
          <w:szCs w:val="30"/>
        </w:rPr>
      </w:pPr>
      <w:r>
        <w:rPr>
          <w:rFonts w:hint="eastAsia" w:ascii="仿宋_GB2312" w:eastAsia="仿宋_GB2312"/>
          <w:sz w:val="30"/>
          <w:szCs w:val="30"/>
        </w:rPr>
        <w:t>（5）同时符合下列条件的个人：</w:t>
      </w:r>
    </w:p>
    <w:p w14:paraId="1FB0EEBC">
      <w:pPr>
        <w:pStyle w:val="92"/>
        <w:numPr>
          <w:ilvl w:val="0"/>
          <w:numId w:val="10"/>
        </w:numPr>
        <w:spacing w:line="600" w:lineRule="exact"/>
        <w:ind w:left="0" w:firstLine="600"/>
        <w:rPr>
          <w:rFonts w:ascii="仿宋_GB2312" w:eastAsia="仿宋_GB2312"/>
          <w:sz w:val="30"/>
          <w:szCs w:val="30"/>
          <w:lang w:eastAsia="zh-CN"/>
        </w:rPr>
      </w:pPr>
      <w:r>
        <w:rPr>
          <w:rFonts w:hint="eastAsia" w:ascii="仿宋_GB2312" w:eastAsia="仿宋_GB2312"/>
          <w:sz w:val="30"/>
          <w:szCs w:val="30"/>
          <w:lang w:eastAsia="zh-CN"/>
        </w:rPr>
        <w:t>申请资格认定前20个交易日名下金融资产日均不低于500万元，或者最近3年个人年均收入不低于50万元；</w:t>
      </w:r>
    </w:p>
    <w:p w14:paraId="60AFA2D4">
      <w:pPr>
        <w:pStyle w:val="92"/>
        <w:numPr>
          <w:ilvl w:val="0"/>
          <w:numId w:val="10"/>
        </w:numPr>
        <w:spacing w:line="600" w:lineRule="exact"/>
        <w:ind w:left="0" w:firstLine="600"/>
        <w:rPr>
          <w:rFonts w:ascii="仿宋_GB2312" w:eastAsia="仿宋_GB2312"/>
          <w:sz w:val="30"/>
          <w:szCs w:val="30"/>
          <w:lang w:eastAsia="zh-CN"/>
        </w:rPr>
      </w:pPr>
      <w:r>
        <w:rPr>
          <w:rFonts w:hint="eastAsia" w:ascii="仿宋_GB2312" w:eastAsia="仿宋_GB2312"/>
          <w:sz w:val="30"/>
          <w:szCs w:val="30"/>
          <w:lang w:eastAsia="zh-CN"/>
        </w:rPr>
        <w:t>具有2年以上证券、基金、期货、黄金、外汇等投资经历，或者具有2年以上金融产品设计、投资、风险管理及相关工作经历，或者属于本条第（1）项规定的专业投资者的高级管理人员、获得职业资格认证的从事金融相关业务的注册会计师和律师。</w:t>
      </w:r>
    </w:p>
    <w:p w14:paraId="0E5D29D7">
      <w:pPr>
        <w:spacing w:line="600" w:lineRule="exact"/>
        <w:ind w:firstLine="600"/>
        <w:rPr>
          <w:rFonts w:ascii="仿宋_GB2312" w:eastAsia="仿宋_GB2312"/>
          <w:sz w:val="30"/>
          <w:szCs w:val="30"/>
        </w:rPr>
      </w:pPr>
      <w:r>
        <w:rPr>
          <w:rFonts w:hint="eastAsia" w:ascii="仿宋_GB2312" w:eastAsia="仿宋_GB2312"/>
          <w:sz w:val="30"/>
          <w:szCs w:val="30"/>
        </w:rPr>
        <w:t>前款所称金融资产，是指银行存款、股票、债券、基金份额、资产管理计划、银行理财产品、信托计划、保险产品、期货及其他衍生产品等。</w:t>
      </w:r>
    </w:p>
    <w:p w14:paraId="58CC1980">
      <w:pPr>
        <w:numPr>
          <w:ilvl w:val="0"/>
          <w:numId w:val="11"/>
        </w:numPr>
        <w:spacing w:line="600" w:lineRule="exact"/>
        <w:ind w:firstLine="600"/>
        <w:rPr>
          <w:rFonts w:ascii="仿宋_GB2312" w:eastAsia="仿宋_GB2312"/>
          <w:sz w:val="30"/>
          <w:szCs w:val="30"/>
        </w:rPr>
      </w:pPr>
      <w:r>
        <w:rPr>
          <w:rFonts w:hint="eastAsia" w:ascii="仿宋_GB2312" w:eastAsia="仿宋_GB2312"/>
          <w:sz w:val="30"/>
          <w:szCs w:val="30"/>
        </w:rPr>
        <w:t>中国证监会和本所认可的其他投资者。</w:t>
      </w:r>
    </w:p>
    <w:p w14:paraId="43B5AB88">
      <w:pPr>
        <w:numPr>
          <w:ilvl w:val="2"/>
          <w:numId w:val="4"/>
        </w:numPr>
        <w:spacing w:line="600" w:lineRule="exact"/>
        <w:ind w:left="0" w:firstLine="0"/>
        <w:outlineLvl w:val="2"/>
        <w:rPr>
          <w:rFonts w:ascii="仿宋_GB2312" w:eastAsia="仿宋_GB2312"/>
          <w:sz w:val="30"/>
          <w:szCs w:val="30"/>
        </w:rPr>
      </w:pPr>
      <w:r>
        <w:rPr>
          <w:rFonts w:hint="eastAsia" w:ascii="仿宋_GB2312" w:eastAsia="仿宋_GB2312"/>
          <w:b/>
          <w:sz w:val="30"/>
          <w:szCs w:val="30"/>
          <w:lang w:bidi="en-US"/>
        </w:rPr>
        <w:t>债券现券交易投资品种范围</w:t>
      </w:r>
    </w:p>
    <w:p w14:paraId="4F73660C">
      <w:pPr>
        <w:pStyle w:val="90"/>
        <w:spacing w:line="600" w:lineRule="exact"/>
        <w:ind w:firstLine="600"/>
        <w:rPr>
          <w:rFonts w:hAnsi="黑体"/>
          <w:sz w:val="30"/>
          <w:szCs w:val="30"/>
        </w:rPr>
      </w:pPr>
      <w:r>
        <w:rPr>
          <w:rFonts w:hint="eastAsia" w:hAnsi="黑体"/>
          <w:sz w:val="30"/>
          <w:szCs w:val="30"/>
        </w:rPr>
        <w:t>（1）专业投资者投资品种范围</w:t>
      </w:r>
    </w:p>
    <w:p w14:paraId="1694F112">
      <w:pPr>
        <w:spacing w:line="600" w:lineRule="exact"/>
        <w:ind w:firstLine="600"/>
        <w:rPr>
          <w:rFonts w:ascii="仿宋_GB2312" w:eastAsia="仿宋_GB2312"/>
          <w:sz w:val="30"/>
          <w:szCs w:val="30"/>
        </w:rPr>
      </w:pPr>
      <w:r>
        <w:rPr>
          <w:rFonts w:hint="eastAsia" w:ascii="仿宋_GB2312" w:eastAsia="仿宋_GB2312"/>
          <w:sz w:val="30"/>
          <w:szCs w:val="30"/>
        </w:rPr>
        <w:t>专业投资者可以认购及交易在本所上市交易或者挂牌转让的全部债券，但下列债券仅限专业投资者中的机构投资者认购及交易：依据《公司债券发行</w:t>
      </w:r>
      <w:r>
        <w:rPr>
          <w:rFonts w:ascii="仿宋_GB2312" w:eastAsia="仿宋_GB2312"/>
          <w:sz w:val="30"/>
          <w:szCs w:val="30"/>
        </w:rPr>
        <w:t>与</w:t>
      </w:r>
      <w:r>
        <w:rPr>
          <w:rFonts w:hint="eastAsia" w:ascii="仿宋_GB2312" w:eastAsia="仿宋_GB2312"/>
          <w:sz w:val="30"/>
          <w:szCs w:val="30"/>
        </w:rPr>
        <w:t>交易管理办法》第十六条面向普通投资者公开发行的公司债券以外的其他公司债券、资产支持证券、特定债券、本所认可的其他仅限专业投资者中的机构投资者认购及交易的债券。</w:t>
      </w:r>
    </w:p>
    <w:p w14:paraId="7D23632A">
      <w:pPr>
        <w:pStyle w:val="90"/>
        <w:spacing w:line="600" w:lineRule="exact"/>
        <w:ind w:firstLine="600"/>
        <w:rPr>
          <w:rFonts w:hAnsi="黑体"/>
          <w:sz w:val="30"/>
          <w:szCs w:val="30"/>
        </w:rPr>
      </w:pPr>
      <w:r>
        <w:rPr>
          <w:rFonts w:hint="eastAsia" w:hAnsi="黑体"/>
          <w:sz w:val="30"/>
          <w:szCs w:val="30"/>
        </w:rPr>
        <w:t>（2）普通投资者投资品种范围</w:t>
      </w:r>
    </w:p>
    <w:p w14:paraId="07F52BB2">
      <w:pPr>
        <w:spacing w:line="600" w:lineRule="exact"/>
        <w:ind w:firstLine="600"/>
        <w:rPr>
          <w:rFonts w:ascii="仿宋_GB2312" w:eastAsia="仿宋_GB2312"/>
          <w:sz w:val="30"/>
          <w:szCs w:val="30"/>
        </w:rPr>
      </w:pPr>
      <w:r>
        <w:rPr>
          <w:rFonts w:hint="eastAsia" w:ascii="仿宋_GB2312" w:eastAsia="仿宋_GB2312"/>
          <w:sz w:val="30"/>
          <w:szCs w:val="30"/>
        </w:rPr>
        <w:t>普通投资者可以认购及交易在本所上市交易或者挂牌转让的国债、地方政府债券、政策性金融债、中国铁路建设债券等政府支持债券、政府支持机构债券、资信状况符合《公司债券发行与交易管理办法》第十六条规定标准的面向普通投资者公开发行的公司债券及本所认可的其他债券品种。</w:t>
      </w:r>
    </w:p>
    <w:p w14:paraId="425DA038">
      <w:pPr>
        <w:spacing w:line="600" w:lineRule="exact"/>
        <w:ind w:firstLine="600"/>
        <w:rPr>
          <w:rFonts w:ascii="仿宋_GB2312" w:eastAsia="仿宋_GB2312"/>
          <w:sz w:val="30"/>
          <w:szCs w:val="30"/>
        </w:rPr>
      </w:pPr>
      <w:r>
        <w:rPr>
          <w:rFonts w:hint="eastAsia" w:ascii="仿宋_GB2312" w:eastAsia="仿宋_GB2312"/>
          <w:sz w:val="30"/>
          <w:szCs w:val="30"/>
        </w:rPr>
        <w:t>其中</w:t>
      </w:r>
      <w:r>
        <w:rPr>
          <w:rFonts w:ascii="仿宋_GB2312" w:eastAsia="仿宋_GB2312"/>
          <w:sz w:val="30"/>
          <w:szCs w:val="30"/>
        </w:rPr>
        <w:t>，《</w:t>
      </w:r>
      <w:r>
        <w:rPr>
          <w:rFonts w:hint="eastAsia" w:ascii="仿宋_GB2312" w:eastAsia="仿宋_GB2312"/>
          <w:sz w:val="30"/>
          <w:szCs w:val="30"/>
        </w:rPr>
        <w:t>公司债券发行</w:t>
      </w:r>
      <w:r>
        <w:rPr>
          <w:rFonts w:ascii="仿宋_GB2312" w:eastAsia="仿宋_GB2312"/>
          <w:sz w:val="30"/>
          <w:szCs w:val="30"/>
        </w:rPr>
        <w:t>与</w:t>
      </w:r>
      <w:r>
        <w:rPr>
          <w:rFonts w:hint="eastAsia" w:ascii="仿宋_GB2312" w:eastAsia="仿宋_GB2312"/>
          <w:sz w:val="30"/>
          <w:szCs w:val="30"/>
        </w:rPr>
        <w:t>交易管理办法</w:t>
      </w:r>
      <w:r>
        <w:rPr>
          <w:rFonts w:ascii="仿宋_GB2312" w:eastAsia="仿宋_GB2312"/>
          <w:sz w:val="30"/>
          <w:szCs w:val="30"/>
        </w:rPr>
        <w:t>》</w:t>
      </w:r>
      <w:r>
        <w:rPr>
          <w:rFonts w:hint="eastAsia" w:ascii="仿宋_GB2312" w:eastAsia="仿宋_GB2312"/>
          <w:sz w:val="30"/>
          <w:szCs w:val="30"/>
        </w:rPr>
        <w:t>第</w:t>
      </w:r>
      <w:r>
        <w:rPr>
          <w:rFonts w:ascii="仿宋_GB2312" w:eastAsia="仿宋_GB2312"/>
          <w:sz w:val="30"/>
          <w:szCs w:val="30"/>
        </w:rPr>
        <w:t>十</w:t>
      </w:r>
      <w:r>
        <w:rPr>
          <w:rFonts w:hint="eastAsia" w:ascii="仿宋_GB2312" w:eastAsia="仿宋_GB2312"/>
          <w:sz w:val="30"/>
          <w:szCs w:val="30"/>
        </w:rPr>
        <w:t>六</w:t>
      </w:r>
      <w:r>
        <w:rPr>
          <w:rFonts w:ascii="仿宋_GB2312" w:eastAsia="仿宋_GB2312"/>
          <w:sz w:val="30"/>
          <w:szCs w:val="30"/>
        </w:rPr>
        <w:t>条</w:t>
      </w:r>
      <w:r>
        <w:rPr>
          <w:rFonts w:hint="eastAsia" w:ascii="仿宋_GB2312" w:eastAsia="仿宋_GB2312"/>
          <w:sz w:val="30"/>
          <w:szCs w:val="30"/>
        </w:rPr>
        <w:t>规定</w:t>
      </w:r>
      <w:r>
        <w:rPr>
          <w:rFonts w:ascii="仿宋_GB2312" w:eastAsia="仿宋_GB2312"/>
          <w:sz w:val="30"/>
          <w:szCs w:val="30"/>
        </w:rPr>
        <w:t>的标准是指：</w:t>
      </w:r>
    </w:p>
    <w:p w14:paraId="58920134">
      <w:pPr>
        <w:spacing w:line="600" w:lineRule="exact"/>
        <w:ind w:firstLine="600" w:firstLineChars="200"/>
        <w:rPr>
          <w:rFonts w:ascii="仿宋_GB2312" w:eastAsia="仿宋_GB2312"/>
          <w:sz w:val="30"/>
          <w:szCs w:val="30"/>
        </w:rPr>
      </w:pPr>
      <w:r>
        <w:rPr>
          <w:rFonts w:hint="eastAsia" w:ascii="仿宋_GB2312" w:eastAsia="仿宋_GB2312"/>
          <w:sz w:val="30"/>
          <w:szCs w:val="30"/>
        </w:rPr>
        <w:t>1）发行人最近三年无债务违约或者延迟支付本息的事实；</w:t>
      </w:r>
    </w:p>
    <w:p w14:paraId="4CACB43C">
      <w:pPr>
        <w:spacing w:line="600" w:lineRule="exact"/>
        <w:ind w:firstLine="600"/>
        <w:rPr>
          <w:rFonts w:ascii="仿宋_GB2312" w:eastAsia="仿宋_GB2312"/>
          <w:sz w:val="30"/>
          <w:szCs w:val="30"/>
        </w:rPr>
      </w:pPr>
      <w:r>
        <w:rPr>
          <w:rFonts w:hint="eastAsia" w:ascii="仿宋_GB2312" w:eastAsia="仿宋_GB2312"/>
          <w:sz w:val="30"/>
          <w:szCs w:val="30"/>
        </w:rPr>
        <w:t>2）发行人最近三年平均可分配利润不少于债券一年利息的1.5 倍；</w:t>
      </w:r>
    </w:p>
    <w:p w14:paraId="3A8A543C">
      <w:pPr>
        <w:spacing w:line="600" w:lineRule="exact"/>
        <w:ind w:firstLine="600"/>
        <w:rPr>
          <w:rFonts w:ascii="仿宋_GB2312" w:eastAsia="仿宋_GB2312"/>
          <w:sz w:val="30"/>
          <w:szCs w:val="30"/>
        </w:rPr>
      </w:pPr>
      <w:r>
        <w:rPr>
          <w:rFonts w:hint="eastAsia" w:ascii="仿宋_GB2312" w:eastAsia="仿宋_GB2312"/>
          <w:sz w:val="30"/>
          <w:szCs w:val="30"/>
        </w:rPr>
        <w:t>3）发行人最近一期末净资产规模不少于250 亿元；</w:t>
      </w:r>
    </w:p>
    <w:p w14:paraId="3C59A081">
      <w:pPr>
        <w:spacing w:line="600" w:lineRule="exact"/>
        <w:ind w:firstLine="600"/>
        <w:rPr>
          <w:rFonts w:ascii="仿宋_GB2312" w:eastAsia="仿宋_GB2312"/>
          <w:sz w:val="30"/>
          <w:szCs w:val="30"/>
        </w:rPr>
      </w:pPr>
      <w:r>
        <w:rPr>
          <w:rFonts w:hint="eastAsia" w:ascii="仿宋_GB2312" w:eastAsia="仿宋_GB2312"/>
          <w:sz w:val="30"/>
          <w:szCs w:val="30"/>
        </w:rPr>
        <w:t>4）发行人最近36 个月内累计公开发行债券不少于3期，发行规模不少于100 亿元；</w:t>
      </w:r>
    </w:p>
    <w:p w14:paraId="10C7F174">
      <w:pPr>
        <w:spacing w:line="600" w:lineRule="exact"/>
        <w:ind w:firstLine="600"/>
        <w:rPr>
          <w:rFonts w:ascii="仿宋_GB2312" w:eastAsia="仿宋_GB2312"/>
          <w:sz w:val="30"/>
          <w:szCs w:val="30"/>
        </w:rPr>
      </w:pPr>
      <w:r>
        <w:rPr>
          <w:rFonts w:hint="eastAsia" w:ascii="仿宋_GB2312" w:eastAsia="仿宋_GB2312"/>
          <w:sz w:val="30"/>
          <w:szCs w:val="30"/>
        </w:rPr>
        <w:t>5）中国证监会根据投资者保护的需要规定的其他条件。</w:t>
      </w:r>
    </w:p>
    <w:p w14:paraId="37EE980B">
      <w:pPr>
        <w:widowControl/>
        <w:jc w:val="left"/>
        <w:rPr>
          <w:rFonts w:ascii="仿宋_GB2312" w:hAnsi="黑体" w:eastAsia="仿宋_GB2312"/>
          <w:kern w:val="0"/>
          <w:sz w:val="30"/>
          <w:szCs w:val="30"/>
        </w:rPr>
      </w:pPr>
      <w:r>
        <w:rPr>
          <w:rFonts w:hAnsi="黑体"/>
          <w:sz w:val="30"/>
          <w:szCs w:val="30"/>
        </w:rPr>
        <w:br w:type="page"/>
      </w:r>
    </w:p>
    <w:p w14:paraId="4F82417D">
      <w:pPr>
        <w:pStyle w:val="90"/>
        <w:spacing w:line="600" w:lineRule="exact"/>
        <w:ind w:firstLine="600" w:firstLineChars="0"/>
      </w:pPr>
      <w:r>
        <w:rPr>
          <w:rFonts w:hint="eastAsia" w:hAnsi="黑体"/>
          <w:sz w:val="30"/>
          <w:szCs w:val="30"/>
        </w:rPr>
        <w:t>（3）投资品种范围细化表</w:t>
      </w:r>
    </w:p>
    <w:tbl>
      <w:tblPr>
        <w:tblStyle w:val="43"/>
        <w:tblW w:w="5356" w:type="pct"/>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9"/>
        <w:gridCol w:w="2980"/>
        <w:gridCol w:w="1413"/>
        <w:gridCol w:w="1832"/>
        <w:gridCol w:w="1775"/>
      </w:tblGrid>
      <w:tr w14:paraId="3086A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0" w:type="pct"/>
            <w:gridSpan w:val="2"/>
            <w:vAlign w:val="center"/>
          </w:tcPr>
          <w:p w14:paraId="5E828DE2">
            <w:pPr>
              <w:rPr>
                <w:rFonts w:ascii="仿宋_GB2312" w:eastAsia="仿宋_GB2312"/>
                <w:b/>
                <w:sz w:val="24"/>
                <w:szCs w:val="30"/>
              </w:rPr>
            </w:pPr>
            <w:r>
              <w:rPr>
                <w:rFonts w:hint="eastAsia" w:ascii="仿宋_GB2312" w:eastAsia="仿宋_GB2312"/>
                <w:b/>
                <w:sz w:val="24"/>
                <w:szCs w:val="30"/>
              </w:rPr>
              <w:t>债券品种</w:t>
            </w:r>
          </w:p>
        </w:tc>
        <w:tc>
          <w:tcPr>
            <w:tcW w:w="774" w:type="pct"/>
            <w:vAlign w:val="center"/>
          </w:tcPr>
          <w:p w14:paraId="38985486">
            <w:pPr>
              <w:rPr>
                <w:rFonts w:ascii="仿宋_GB2312" w:eastAsia="仿宋_GB2312"/>
                <w:b/>
                <w:szCs w:val="30"/>
              </w:rPr>
            </w:pPr>
            <w:r>
              <w:rPr>
                <w:rFonts w:hint="eastAsia" w:ascii="仿宋_GB2312" w:eastAsia="仿宋_GB2312"/>
                <w:b/>
                <w:szCs w:val="30"/>
              </w:rPr>
              <w:t>普通投资者</w:t>
            </w:r>
          </w:p>
        </w:tc>
        <w:tc>
          <w:tcPr>
            <w:tcW w:w="1003" w:type="pct"/>
            <w:vAlign w:val="center"/>
          </w:tcPr>
          <w:p w14:paraId="482B1CEC">
            <w:pPr>
              <w:rPr>
                <w:rFonts w:ascii="仿宋_GB2312" w:eastAsia="仿宋_GB2312"/>
                <w:b/>
                <w:szCs w:val="30"/>
              </w:rPr>
            </w:pPr>
            <w:r>
              <w:rPr>
                <w:rFonts w:hint="eastAsia" w:ascii="仿宋_GB2312" w:eastAsia="仿宋_GB2312"/>
                <w:b/>
                <w:szCs w:val="30"/>
              </w:rPr>
              <w:t>专业个人投资者</w:t>
            </w:r>
          </w:p>
        </w:tc>
        <w:tc>
          <w:tcPr>
            <w:tcW w:w="972" w:type="pct"/>
            <w:vAlign w:val="center"/>
          </w:tcPr>
          <w:p w14:paraId="3F9EF4FB">
            <w:pPr>
              <w:rPr>
                <w:rFonts w:ascii="仿宋_GB2312" w:eastAsia="仿宋_GB2312"/>
                <w:b/>
                <w:szCs w:val="30"/>
              </w:rPr>
            </w:pPr>
            <w:r>
              <w:rPr>
                <w:rFonts w:hint="eastAsia" w:ascii="仿宋_GB2312" w:eastAsia="仿宋_GB2312"/>
                <w:b/>
                <w:szCs w:val="30"/>
              </w:rPr>
              <w:t>专业机构投资者</w:t>
            </w:r>
          </w:p>
        </w:tc>
      </w:tr>
      <w:tr w14:paraId="2F54C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0" w:type="pct"/>
            <w:gridSpan w:val="2"/>
            <w:vAlign w:val="center"/>
          </w:tcPr>
          <w:p w14:paraId="7C4CA851">
            <w:pPr>
              <w:rPr>
                <w:rFonts w:ascii="仿宋_GB2312" w:eastAsia="仿宋_GB2312"/>
                <w:sz w:val="24"/>
                <w:szCs w:val="30"/>
              </w:rPr>
            </w:pPr>
            <w:r>
              <w:rPr>
                <w:rFonts w:hint="eastAsia" w:ascii="仿宋_GB2312" w:eastAsia="仿宋_GB2312"/>
                <w:sz w:val="24"/>
                <w:szCs w:val="30"/>
              </w:rPr>
              <w:t>国债</w:t>
            </w:r>
          </w:p>
        </w:tc>
        <w:tc>
          <w:tcPr>
            <w:tcW w:w="774" w:type="pct"/>
            <w:vAlign w:val="center"/>
          </w:tcPr>
          <w:p w14:paraId="3D0BEC6B">
            <w:pPr>
              <w:ind w:firstLine="480"/>
              <w:rPr>
                <w:rFonts w:ascii="仿宋_GB2312" w:eastAsia="仿宋_GB2312"/>
                <w:sz w:val="24"/>
                <w:szCs w:val="30"/>
              </w:rPr>
            </w:pPr>
            <w:r>
              <w:rPr>
                <w:rFonts w:hint="eastAsia" w:ascii="仿宋_GB2312" w:eastAsia="仿宋_GB2312"/>
                <w:sz w:val="24"/>
                <w:szCs w:val="30"/>
              </w:rPr>
              <w:t>√</w:t>
            </w:r>
          </w:p>
        </w:tc>
        <w:tc>
          <w:tcPr>
            <w:tcW w:w="1003" w:type="pct"/>
            <w:vAlign w:val="center"/>
          </w:tcPr>
          <w:p w14:paraId="1CDED241">
            <w:pPr>
              <w:ind w:firstLine="480"/>
              <w:rPr>
                <w:rFonts w:ascii="仿宋_GB2312" w:eastAsia="仿宋_GB2312"/>
                <w:sz w:val="24"/>
                <w:szCs w:val="30"/>
              </w:rPr>
            </w:pPr>
            <w:r>
              <w:rPr>
                <w:rFonts w:hint="eastAsia" w:ascii="仿宋_GB2312" w:eastAsia="仿宋_GB2312"/>
                <w:sz w:val="24"/>
                <w:szCs w:val="30"/>
              </w:rPr>
              <w:t>√</w:t>
            </w:r>
          </w:p>
        </w:tc>
        <w:tc>
          <w:tcPr>
            <w:tcW w:w="972" w:type="pct"/>
            <w:vAlign w:val="center"/>
          </w:tcPr>
          <w:p w14:paraId="23C9D3A2">
            <w:pPr>
              <w:ind w:firstLine="480"/>
              <w:rPr>
                <w:rFonts w:ascii="仿宋_GB2312" w:eastAsia="仿宋_GB2312"/>
                <w:sz w:val="24"/>
                <w:szCs w:val="30"/>
              </w:rPr>
            </w:pPr>
            <w:r>
              <w:rPr>
                <w:rFonts w:hint="eastAsia" w:ascii="仿宋_GB2312" w:eastAsia="仿宋_GB2312"/>
                <w:sz w:val="24"/>
                <w:szCs w:val="30"/>
              </w:rPr>
              <w:t>√</w:t>
            </w:r>
          </w:p>
        </w:tc>
      </w:tr>
      <w:tr w14:paraId="10C7C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0" w:type="pct"/>
            <w:gridSpan w:val="2"/>
            <w:vAlign w:val="center"/>
          </w:tcPr>
          <w:p w14:paraId="76BD2628">
            <w:pPr>
              <w:rPr>
                <w:rFonts w:ascii="仿宋_GB2312" w:eastAsia="仿宋_GB2312"/>
                <w:sz w:val="24"/>
                <w:szCs w:val="30"/>
              </w:rPr>
            </w:pPr>
            <w:r>
              <w:rPr>
                <w:rFonts w:hint="eastAsia" w:ascii="仿宋_GB2312" w:eastAsia="仿宋_GB2312"/>
                <w:sz w:val="24"/>
                <w:szCs w:val="30"/>
              </w:rPr>
              <w:t>地方政府债券</w:t>
            </w:r>
          </w:p>
        </w:tc>
        <w:tc>
          <w:tcPr>
            <w:tcW w:w="774" w:type="pct"/>
            <w:vAlign w:val="center"/>
          </w:tcPr>
          <w:p w14:paraId="6836CAF9">
            <w:pPr>
              <w:ind w:firstLine="480"/>
              <w:rPr>
                <w:rFonts w:ascii="仿宋_GB2312" w:eastAsia="仿宋_GB2312"/>
                <w:sz w:val="24"/>
                <w:szCs w:val="30"/>
              </w:rPr>
            </w:pPr>
            <w:r>
              <w:rPr>
                <w:rFonts w:hint="eastAsia" w:ascii="仿宋_GB2312" w:eastAsia="仿宋_GB2312"/>
                <w:sz w:val="24"/>
                <w:szCs w:val="30"/>
              </w:rPr>
              <w:t>√</w:t>
            </w:r>
          </w:p>
        </w:tc>
        <w:tc>
          <w:tcPr>
            <w:tcW w:w="1003" w:type="pct"/>
            <w:vAlign w:val="center"/>
          </w:tcPr>
          <w:p w14:paraId="74743818">
            <w:pPr>
              <w:ind w:firstLine="480"/>
              <w:rPr>
                <w:rFonts w:ascii="仿宋_GB2312" w:eastAsia="仿宋_GB2312"/>
                <w:sz w:val="24"/>
                <w:szCs w:val="30"/>
              </w:rPr>
            </w:pPr>
            <w:r>
              <w:rPr>
                <w:rFonts w:hint="eastAsia" w:ascii="仿宋_GB2312" w:eastAsia="仿宋_GB2312"/>
                <w:sz w:val="24"/>
                <w:szCs w:val="30"/>
              </w:rPr>
              <w:t>√</w:t>
            </w:r>
          </w:p>
        </w:tc>
        <w:tc>
          <w:tcPr>
            <w:tcW w:w="972" w:type="pct"/>
            <w:vAlign w:val="center"/>
          </w:tcPr>
          <w:p w14:paraId="027A64E5">
            <w:pPr>
              <w:ind w:firstLine="480"/>
              <w:rPr>
                <w:rFonts w:ascii="仿宋_GB2312" w:eastAsia="仿宋_GB2312"/>
                <w:sz w:val="24"/>
                <w:szCs w:val="30"/>
              </w:rPr>
            </w:pPr>
            <w:r>
              <w:rPr>
                <w:rFonts w:hint="eastAsia" w:ascii="仿宋_GB2312" w:eastAsia="仿宋_GB2312"/>
                <w:sz w:val="24"/>
                <w:szCs w:val="30"/>
              </w:rPr>
              <w:t>√</w:t>
            </w:r>
          </w:p>
        </w:tc>
      </w:tr>
      <w:tr w14:paraId="345EC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250" w:type="pct"/>
            <w:gridSpan w:val="2"/>
            <w:vAlign w:val="center"/>
          </w:tcPr>
          <w:p w14:paraId="05CE53B0">
            <w:pPr>
              <w:rPr>
                <w:rFonts w:ascii="仿宋_GB2312" w:eastAsia="仿宋_GB2312"/>
                <w:sz w:val="24"/>
                <w:szCs w:val="30"/>
              </w:rPr>
            </w:pPr>
            <w:r>
              <w:rPr>
                <w:rFonts w:hint="eastAsia" w:ascii="仿宋_GB2312" w:eastAsia="仿宋_GB2312"/>
                <w:sz w:val="24"/>
                <w:szCs w:val="30"/>
              </w:rPr>
              <w:t>政策性金融债</w:t>
            </w:r>
          </w:p>
        </w:tc>
        <w:tc>
          <w:tcPr>
            <w:tcW w:w="774" w:type="pct"/>
            <w:vAlign w:val="center"/>
          </w:tcPr>
          <w:p w14:paraId="12F9A971">
            <w:pPr>
              <w:ind w:firstLine="480"/>
              <w:rPr>
                <w:rFonts w:ascii="仿宋_GB2312" w:eastAsia="仿宋_GB2312"/>
                <w:sz w:val="24"/>
                <w:szCs w:val="30"/>
              </w:rPr>
            </w:pPr>
            <w:r>
              <w:rPr>
                <w:rFonts w:hint="eastAsia" w:ascii="仿宋_GB2312" w:eastAsia="仿宋_GB2312"/>
                <w:sz w:val="24"/>
                <w:szCs w:val="30"/>
              </w:rPr>
              <w:t>√</w:t>
            </w:r>
          </w:p>
        </w:tc>
        <w:tc>
          <w:tcPr>
            <w:tcW w:w="1003" w:type="pct"/>
            <w:vAlign w:val="center"/>
          </w:tcPr>
          <w:p w14:paraId="51A24BD2">
            <w:pPr>
              <w:ind w:firstLine="480"/>
              <w:rPr>
                <w:rFonts w:ascii="仿宋_GB2312" w:eastAsia="仿宋_GB2312"/>
                <w:sz w:val="24"/>
                <w:szCs w:val="30"/>
              </w:rPr>
            </w:pPr>
            <w:r>
              <w:rPr>
                <w:rFonts w:hint="eastAsia" w:ascii="仿宋_GB2312" w:eastAsia="仿宋_GB2312"/>
                <w:sz w:val="24"/>
                <w:szCs w:val="30"/>
              </w:rPr>
              <w:t>√</w:t>
            </w:r>
          </w:p>
        </w:tc>
        <w:tc>
          <w:tcPr>
            <w:tcW w:w="972" w:type="pct"/>
            <w:vAlign w:val="center"/>
          </w:tcPr>
          <w:p w14:paraId="5D287435">
            <w:pPr>
              <w:ind w:firstLine="480"/>
              <w:rPr>
                <w:rFonts w:ascii="仿宋_GB2312" w:eastAsia="仿宋_GB2312"/>
                <w:sz w:val="24"/>
                <w:szCs w:val="30"/>
              </w:rPr>
            </w:pPr>
            <w:r>
              <w:rPr>
                <w:rFonts w:hint="eastAsia" w:ascii="仿宋_GB2312" w:eastAsia="仿宋_GB2312"/>
                <w:sz w:val="24"/>
                <w:szCs w:val="30"/>
              </w:rPr>
              <w:t>√</w:t>
            </w:r>
          </w:p>
        </w:tc>
      </w:tr>
      <w:tr w14:paraId="03FBE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0" w:type="pct"/>
            <w:gridSpan w:val="2"/>
            <w:vAlign w:val="center"/>
          </w:tcPr>
          <w:p w14:paraId="4FD864C2">
            <w:pPr>
              <w:rPr>
                <w:rFonts w:ascii="仿宋_GB2312" w:eastAsia="仿宋_GB2312"/>
                <w:sz w:val="24"/>
                <w:szCs w:val="30"/>
              </w:rPr>
            </w:pPr>
            <w:r>
              <w:rPr>
                <w:rFonts w:hint="eastAsia" w:ascii="仿宋_GB2312" w:eastAsia="仿宋_GB2312"/>
                <w:sz w:val="24"/>
                <w:szCs w:val="30"/>
              </w:rPr>
              <w:t>中国铁路建设债券等政府支持债券</w:t>
            </w:r>
          </w:p>
        </w:tc>
        <w:tc>
          <w:tcPr>
            <w:tcW w:w="774" w:type="pct"/>
            <w:vAlign w:val="center"/>
          </w:tcPr>
          <w:p w14:paraId="6029C735">
            <w:pPr>
              <w:ind w:firstLine="480"/>
              <w:rPr>
                <w:rFonts w:ascii="仿宋_GB2312" w:eastAsia="仿宋_GB2312"/>
                <w:sz w:val="24"/>
                <w:szCs w:val="30"/>
              </w:rPr>
            </w:pPr>
            <w:r>
              <w:rPr>
                <w:rFonts w:hint="eastAsia" w:ascii="仿宋_GB2312" w:eastAsia="仿宋_GB2312"/>
                <w:sz w:val="24"/>
                <w:szCs w:val="30"/>
              </w:rPr>
              <w:t>√</w:t>
            </w:r>
          </w:p>
        </w:tc>
        <w:tc>
          <w:tcPr>
            <w:tcW w:w="1003" w:type="pct"/>
            <w:vAlign w:val="center"/>
          </w:tcPr>
          <w:p w14:paraId="48DACF9F">
            <w:pPr>
              <w:ind w:firstLine="480"/>
              <w:rPr>
                <w:rFonts w:ascii="仿宋_GB2312" w:eastAsia="仿宋_GB2312"/>
                <w:sz w:val="24"/>
                <w:szCs w:val="30"/>
              </w:rPr>
            </w:pPr>
            <w:r>
              <w:rPr>
                <w:rFonts w:hint="eastAsia" w:ascii="仿宋_GB2312" w:eastAsia="仿宋_GB2312"/>
                <w:sz w:val="24"/>
                <w:szCs w:val="30"/>
              </w:rPr>
              <w:t>√</w:t>
            </w:r>
          </w:p>
        </w:tc>
        <w:tc>
          <w:tcPr>
            <w:tcW w:w="972" w:type="pct"/>
            <w:vAlign w:val="center"/>
          </w:tcPr>
          <w:p w14:paraId="310FD754">
            <w:pPr>
              <w:ind w:firstLine="480"/>
              <w:rPr>
                <w:rFonts w:ascii="仿宋_GB2312" w:eastAsia="仿宋_GB2312"/>
                <w:sz w:val="24"/>
                <w:szCs w:val="30"/>
              </w:rPr>
            </w:pPr>
            <w:r>
              <w:rPr>
                <w:rFonts w:hint="eastAsia" w:ascii="仿宋_GB2312" w:eastAsia="仿宋_GB2312"/>
                <w:sz w:val="24"/>
                <w:szCs w:val="30"/>
              </w:rPr>
              <w:t>√</w:t>
            </w:r>
          </w:p>
        </w:tc>
      </w:tr>
      <w:tr w14:paraId="5E26C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0" w:type="pct"/>
            <w:gridSpan w:val="2"/>
            <w:vAlign w:val="center"/>
          </w:tcPr>
          <w:p w14:paraId="19EC4B80">
            <w:pPr>
              <w:rPr>
                <w:rFonts w:ascii="仿宋_GB2312" w:eastAsia="仿宋_GB2312"/>
                <w:sz w:val="24"/>
                <w:szCs w:val="30"/>
              </w:rPr>
            </w:pPr>
            <w:r>
              <w:rPr>
                <w:rFonts w:hint="eastAsia" w:ascii="仿宋_GB2312" w:eastAsia="仿宋_GB2312"/>
                <w:sz w:val="24"/>
                <w:szCs w:val="30"/>
              </w:rPr>
              <w:t>政府支持机构债券</w:t>
            </w:r>
          </w:p>
        </w:tc>
        <w:tc>
          <w:tcPr>
            <w:tcW w:w="774" w:type="pct"/>
            <w:vAlign w:val="center"/>
          </w:tcPr>
          <w:p w14:paraId="710DB13C">
            <w:pPr>
              <w:ind w:firstLine="480"/>
              <w:rPr>
                <w:rFonts w:ascii="仿宋_GB2312" w:eastAsia="仿宋_GB2312"/>
                <w:sz w:val="24"/>
                <w:szCs w:val="30"/>
              </w:rPr>
            </w:pPr>
            <w:r>
              <w:rPr>
                <w:rFonts w:hint="eastAsia" w:ascii="仿宋_GB2312" w:eastAsia="仿宋_GB2312"/>
                <w:sz w:val="24"/>
                <w:szCs w:val="30"/>
              </w:rPr>
              <w:t>√</w:t>
            </w:r>
          </w:p>
        </w:tc>
        <w:tc>
          <w:tcPr>
            <w:tcW w:w="1003" w:type="pct"/>
            <w:vAlign w:val="center"/>
          </w:tcPr>
          <w:p w14:paraId="4C4ADA1B">
            <w:pPr>
              <w:ind w:firstLine="480"/>
              <w:rPr>
                <w:rFonts w:ascii="仿宋_GB2312" w:eastAsia="仿宋_GB2312"/>
                <w:sz w:val="24"/>
                <w:szCs w:val="30"/>
              </w:rPr>
            </w:pPr>
            <w:r>
              <w:rPr>
                <w:rFonts w:hint="eastAsia" w:ascii="仿宋_GB2312" w:eastAsia="仿宋_GB2312"/>
                <w:sz w:val="24"/>
                <w:szCs w:val="30"/>
              </w:rPr>
              <w:t>√</w:t>
            </w:r>
          </w:p>
        </w:tc>
        <w:tc>
          <w:tcPr>
            <w:tcW w:w="972" w:type="pct"/>
            <w:vAlign w:val="center"/>
          </w:tcPr>
          <w:p w14:paraId="50D04619">
            <w:pPr>
              <w:ind w:firstLine="480"/>
              <w:rPr>
                <w:rFonts w:ascii="仿宋_GB2312" w:eastAsia="仿宋_GB2312"/>
                <w:sz w:val="24"/>
                <w:szCs w:val="30"/>
              </w:rPr>
            </w:pPr>
            <w:r>
              <w:rPr>
                <w:rFonts w:hint="eastAsia" w:ascii="仿宋_GB2312" w:eastAsia="仿宋_GB2312"/>
                <w:sz w:val="24"/>
                <w:szCs w:val="30"/>
              </w:rPr>
              <w:t>√</w:t>
            </w:r>
          </w:p>
        </w:tc>
      </w:tr>
      <w:tr w14:paraId="2A4C4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618" w:type="pct"/>
            <w:vMerge w:val="restart"/>
            <w:vAlign w:val="center"/>
          </w:tcPr>
          <w:p w14:paraId="50CE7F53">
            <w:pPr>
              <w:rPr>
                <w:rFonts w:ascii="仿宋_GB2312" w:eastAsia="仿宋_GB2312"/>
                <w:sz w:val="24"/>
                <w:szCs w:val="30"/>
              </w:rPr>
            </w:pPr>
            <w:r>
              <w:rPr>
                <w:rFonts w:hint="eastAsia" w:ascii="仿宋_GB2312" w:eastAsia="仿宋_GB2312"/>
                <w:sz w:val="24"/>
                <w:szCs w:val="30"/>
              </w:rPr>
              <w:t>公开发行公司债</w:t>
            </w:r>
          </w:p>
        </w:tc>
        <w:tc>
          <w:tcPr>
            <w:tcW w:w="1632" w:type="pct"/>
            <w:vAlign w:val="center"/>
          </w:tcPr>
          <w:p w14:paraId="785BECAA">
            <w:pPr>
              <w:rPr>
                <w:rFonts w:ascii="仿宋_GB2312" w:eastAsia="仿宋_GB2312"/>
                <w:sz w:val="24"/>
                <w:szCs w:val="30"/>
              </w:rPr>
            </w:pPr>
            <w:r>
              <w:rPr>
                <w:rFonts w:hint="eastAsia" w:ascii="仿宋_GB2312" w:eastAsia="仿宋_GB2312"/>
                <w:sz w:val="24"/>
                <w:szCs w:val="30"/>
              </w:rPr>
              <w:t>资信状况符合《公司债券管理办法》第十六条规定标准的面向普通投资者公开发行的公司债券</w:t>
            </w:r>
          </w:p>
        </w:tc>
        <w:tc>
          <w:tcPr>
            <w:tcW w:w="774" w:type="pct"/>
            <w:vAlign w:val="center"/>
          </w:tcPr>
          <w:p w14:paraId="1FD459A6">
            <w:pPr>
              <w:ind w:firstLine="480"/>
              <w:rPr>
                <w:rFonts w:ascii="仿宋_GB2312" w:eastAsia="仿宋_GB2312"/>
                <w:sz w:val="24"/>
                <w:szCs w:val="30"/>
              </w:rPr>
            </w:pPr>
            <w:r>
              <w:rPr>
                <w:rFonts w:hint="eastAsia" w:ascii="仿宋_GB2312" w:eastAsia="仿宋_GB2312"/>
                <w:sz w:val="24"/>
                <w:szCs w:val="30"/>
              </w:rPr>
              <w:t>√</w:t>
            </w:r>
          </w:p>
        </w:tc>
        <w:tc>
          <w:tcPr>
            <w:tcW w:w="1003" w:type="pct"/>
            <w:vAlign w:val="center"/>
          </w:tcPr>
          <w:p w14:paraId="5E5A1111">
            <w:pPr>
              <w:ind w:firstLine="480"/>
              <w:rPr>
                <w:rFonts w:ascii="仿宋_GB2312" w:eastAsia="仿宋_GB2312"/>
                <w:sz w:val="24"/>
                <w:szCs w:val="30"/>
              </w:rPr>
            </w:pPr>
            <w:r>
              <w:rPr>
                <w:rFonts w:hint="eastAsia" w:ascii="仿宋_GB2312" w:eastAsia="仿宋_GB2312"/>
                <w:sz w:val="24"/>
                <w:szCs w:val="30"/>
              </w:rPr>
              <w:t>√</w:t>
            </w:r>
          </w:p>
        </w:tc>
        <w:tc>
          <w:tcPr>
            <w:tcW w:w="972" w:type="pct"/>
            <w:vAlign w:val="center"/>
          </w:tcPr>
          <w:p w14:paraId="051125E2">
            <w:pPr>
              <w:ind w:firstLine="480"/>
              <w:rPr>
                <w:rFonts w:ascii="仿宋_GB2312" w:eastAsia="仿宋_GB2312"/>
                <w:sz w:val="24"/>
                <w:szCs w:val="30"/>
              </w:rPr>
            </w:pPr>
            <w:r>
              <w:rPr>
                <w:rFonts w:hint="eastAsia" w:ascii="仿宋_GB2312" w:eastAsia="仿宋_GB2312"/>
                <w:sz w:val="24"/>
                <w:szCs w:val="30"/>
              </w:rPr>
              <w:t>√</w:t>
            </w:r>
          </w:p>
        </w:tc>
      </w:tr>
      <w:tr w14:paraId="70C81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618" w:type="pct"/>
            <w:vMerge w:val="continue"/>
            <w:vAlign w:val="center"/>
          </w:tcPr>
          <w:p w14:paraId="228D9EAD">
            <w:pPr>
              <w:ind w:firstLine="480"/>
              <w:rPr>
                <w:rFonts w:ascii="仿宋_GB2312" w:eastAsia="仿宋_GB2312"/>
                <w:sz w:val="24"/>
                <w:szCs w:val="30"/>
              </w:rPr>
            </w:pPr>
          </w:p>
        </w:tc>
        <w:tc>
          <w:tcPr>
            <w:tcW w:w="1632" w:type="pct"/>
            <w:vAlign w:val="center"/>
          </w:tcPr>
          <w:p w14:paraId="1B1B7431">
            <w:pPr>
              <w:rPr>
                <w:rFonts w:ascii="仿宋_GB2312" w:eastAsia="仿宋_GB2312"/>
                <w:sz w:val="24"/>
                <w:szCs w:val="30"/>
              </w:rPr>
            </w:pPr>
            <w:r>
              <w:rPr>
                <w:rFonts w:hint="eastAsia" w:ascii="仿宋_GB2312" w:eastAsia="仿宋_GB2312"/>
                <w:sz w:val="24"/>
                <w:szCs w:val="30"/>
              </w:rPr>
              <w:t>依据《公司债券管理办法》第十六条面向普通投资者公开发行的公司债券以外的其他公司债券</w:t>
            </w:r>
          </w:p>
        </w:tc>
        <w:tc>
          <w:tcPr>
            <w:tcW w:w="774" w:type="pct"/>
            <w:vAlign w:val="center"/>
          </w:tcPr>
          <w:p w14:paraId="28644B04">
            <w:pPr>
              <w:ind w:firstLine="480"/>
              <w:rPr>
                <w:rFonts w:ascii="仿宋_GB2312" w:eastAsia="仿宋_GB2312"/>
                <w:sz w:val="24"/>
                <w:szCs w:val="30"/>
              </w:rPr>
            </w:pPr>
          </w:p>
        </w:tc>
        <w:tc>
          <w:tcPr>
            <w:tcW w:w="1003" w:type="pct"/>
            <w:vAlign w:val="center"/>
          </w:tcPr>
          <w:p w14:paraId="7FC1F70E">
            <w:pPr>
              <w:ind w:firstLine="480"/>
              <w:rPr>
                <w:rFonts w:ascii="仿宋_GB2312" w:eastAsia="仿宋_GB2312"/>
                <w:sz w:val="24"/>
                <w:szCs w:val="30"/>
              </w:rPr>
            </w:pPr>
          </w:p>
        </w:tc>
        <w:tc>
          <w:tcPr>
            <w:tcW w:w="972" w:type="pct"/>
            <w:vAlign w:val="center"/>
          </w:tcPr>
          <w:p w14:paraId="78A85AF2">
            <w:pPr>
              <w:ind w:firstLine="480"/>
              <w:rPr>
                <w:rFonts w:ascii="仿宋_GB2312" w:eastAsia="仿宋_GB2312"/>
                <w:sz w:val="24"/>
                <w:szCs w:val="30"/>
              </w:rPr>
            </w:pPr>
            <w:r>
              <w:rPr>
                <w:rFonts w:hint="eastAsia" w:ascii="仿宋_GB2312" w:eastAsia="仿宋_GB2312"/>
                <w:sz w:val="24"/>
                <w:szCs w:val="30"/>
              </w:rPr>
              <w:t>√</w:t>
            </w:r>
          </w:p>
        </w:tc>
      </w:tr>
      <w:tr w14:paraId="0F150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2250" w:type="pct"/>
            <w:gridSpan w:val="2"/>
            <w:vAlign w:val="center"/>
          </w:tcPr>
          <w:p w14:paraId="7DFE2C59">
            <w:pPr>
              <w:rPr>
                <w:rFonts w:ascii="仿宋_GB2312" w:eastAsia="仿宋_GB2312"/>
                <w:sz w:val="24"/>
                <w:szCs w:val="30"/>
              </w:rPr>
            </w:pPr>
            <w:r>
              <w:rPr>
                <w:rFonts w:hint="eastAsia" w:ascii="仿宋_GB2312" w:eastAsia="仿宋_GB2312"/>
                <w:sz w:val="24"/>
                <w:szCs w:val="30"/>
              </w:rPr>
              <w:t>非公开发行公司债（含私募可转换</w:t>
            </w:r>
            <w:r>
              <w:rPr>
                <w:rFonts w:ascii="仿宋_GB2312" w:eastAsia="仿宋_GB2312"/>
                <w:sz w:val="24"/>
                <w:szCs w:val="30"/>
              </w:rPr>
              <w:t>公司</w:t>
            </w:r>
            <w:r>
              <w:rPr>
                <w:rFonts w:hint="eastAsia" w:ascii="仿宋_GB2312" w:eastAsia="仿宋_GB2312"/>
                <w:sz w:val="24"/>
                <w:szCs w:val="30"/>
              </w:rPr>
              <w:t>债券、私募可交换公司债券）</w:t>
            </w:r>
          </w:p>
        </w:tc>
        <w:tc>
          <w:tcPr>
            <w:tcW w:w="774" w:type="pct"/>
            <w:vAlign w:val="center"/>
          </w:tcPr>
          <w:p w14:paraId="277F8609">
            <w:pPr>
              <w:ind w:firstLine="480"/>
              <w:rPr>
                <w:rFonts w:ascii="仿宋_GB2312" w:eastAsia="仿宋_GB2312"/>
                <w:sz w:val="24"/>
                <w:szCs w:val="30"/>
              </w:rPr>
            </w:pPr>
          </w:p>
        </w:tc>
        <w:tc>
          <w:tcPr>
            <w:tcW w:w="1003" w:type="pct"/>
            <w:vAlign w:val="center"/>
          </w:tcPr>
          <w:p w14:paraId="5C486F4B">
            <w:pPr>
              <w:ind w:firstLine="480"/>
              <w:rPr>
                <w:rFonts w:ascii="仿宋_GB2312" w:eastAsia="仿宋_GB2312"/>
                <w:sz w:val="24"/>
                <w:szCs w:val="30"/>
              </w:rPr>
            </w:pPr>
          </w:p>
        </w:tc>
        <w:tc>
          <w:tcPr>
            <w:tcW w:w="972" w:type="pct"/>
            <w:vAlign w:val="center"/>
          </w:tcPr>
          <w:p w14:paraId="0D1A4C31">
            <w:pPr>
              <w:ind w:firstLine="480"/>
              <w:rPr>
                <w:rFonts w:ascii="仿宋_GB2312" w:eastAsia="仿宋_GB2312"/>
                <w:sz w:val="24"/>
                <w:szCs w:val="30"/>
              </w:rPr>
            </w:pPr>
            <w:r>
              <w:rPr>
                <w:rFonts w:hint="eastAsia" w:ascii="仿宋_GB2312" w:eastAsia="仿宋_GB2312"/>
                <w:sz w:val="24"/>
                <w:szCs w:val="30"/>
              </w:rPr>
              <w:t>√</w:t>
            </w:r>
          </w:p>
        </w:tc>
      </w:tr>
      <w:tr w14:paraId="093B7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2250" w:type="pct"/>
            <w:gridSpan w:val="2"/>
            <w:vAlign w:val="center"/>
          </w:tcPr>
          <w:p w14:paraId="21EA82C8">
            <w:pPr>
              <w:rPr>
                <w:rFonts w:ascii="仿宋_GB2312" w:eastAsia="仿宋_GB2312"/>
                <w:sz w:val="24"/>
                <w:szCs w:val="30"/>
              </w:rPr>
            </w:pPr>
            <w:r>
              <w:rPr>
                <w:rFonts w:hint="eastAsia" w:ascii="仿宋_GB2312" w:eastAsia="仿宋_GB2312"/>
                <w:sz w:val="24"/>
                <w:szCs w:val="30"/>
              </w:rPr>
              <w:t>资产支持证券</w:t>
            </w:r>
          </w:p>
        </w:tc>
        <w:tc>
          <w:tcPr>
            <w:tcW w:w="774" w:type="pct"/>
            <w:vAlign w:val="center"/>
          </w:tcPr>
          <w:p w14:paraId="44293C13">
            <w:pPr>
              <w:ind w:firstLine="480"/>
              <w:rPr>
                <w:rFonts w:ascii="仿宋_GB2312" w:eastAsia="仿宋_GB2312"/>
                <w:sz w:val="24"/>
                <w:szCs w:val="30"/>
              </w:rPr>
            </w:pPr>
          </w:p>
        </w:tc>
        <w:tc>
          <w:tcPr>
            <w:tcW w:w="1003" w:type="pct"/>
            <w:vAlign w:val="center"/>
          </w:tcPr>
          <w:p w14:paraId="3F0A0F7A">
            <w:pPr>
              <w:ind w:firstLine="480"/>
              <w:jc w:val="center"/>
              <w:rPr>
                <w:rFonts w:ascii="仿宋_GB2312" w:eastAsia="仿宋_GB2312"/>
                <w:sz w:val="24"/>
                <w:szCs w:val="30"/>
              </w:rPr>
            </w:pPr>
          </w:p>
        </w:tc>
        <w:tc>
          <w:tcPr>
            <w:tcW w:w="972" w:type="pct"/>
            <w:vAlign w:val="center"/>
          </w:tcPr>
          <w:p w14:paraId="0AE8F046">
            <w:pPr>
              <w:ind w:firstLine="480"/>
              <w:rPr>
                <w:rFonts w:ascii="仿宋_GB2312" w:eastAsia="仿宋_GB2312"/>
                <w:sz w:val="24"/>
                <w:szCs w:val="30"/>
              </w:rPr>
            </w:pPr>
            <w:r>
              <w:rPr>
                <w:rFonts w:hint="eastAsia" w:ascii="仿宋_GB2312" w:eastAsia="仿宋_GB2312"/>
                <w:sz w:val="24"/>
                <w:szCs w:val="30"/>
              </w:rPr>
              <w:t>√</w:t>
            </w:r>
          </w:p>
        </w:tc>
      </w:tr>
      <w:tr w14:paraId="49616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2250" w:type="pct"/>
            <w:gridSpan w:val="2"/>
            <w:vAlign w:val="center"/>
          </w:tcPr>
          <w:p w14:paraId="7AEAC462">
            <w:pPr>
              <w:rPr>
                <w:rFonts w:ascii="仿宋_GB2312" w:eastAsia="仿宋_GB2312"/>
                <w:sz w:val="24"/>
                <w:szCs w:val="30"/>
              </w:rPr>
            </w:pPr>
            <w:r>
              <w:rPr>
                <w:rFonts w:hint="eastAsia" w:ascii="仿宋_GB2312" w:eastAsia="仿宋_GB2312"/>
                <w:sz w:val="24"/>
                <w:szCs w:val="30"/>
              </w:rPr>
              <w:t>特定债券</w:t>
            </w:r>
          </w:p>
        </w:tc>
        <w:tc>
          <w:tcPr>
            <w:tcW w:w="774" w:type="pct"/>
            <w:vAlign w:val="center"/>
          </w:tcPr>
          <w:p w14:paraId="2F6F376F">
            <w:pPr>
              <w:ind w:firstLine="480"/>
              <w:rPr>
                <w:rFonts w:ascii="仿宋_GB2312" w:eastAsia="仿宋_GB2312"/>
                <w:sz w:val="24"/>
                <w:szCs w:val="30"/>
              </w:rPr>
            </w:pPr>
          </w:p>
        </w:tc>
        <w:tc>
          <w:tcPr>
            <w:tcW w:w="1003" w:type="pct"/>
            <w:vAlign w:val="center"/>
          </w:tcPr>
          <w:p w14:paraId="79665855">
            <w:pPr>
              <w:ind w:firstLine="480"/>
              <w:jc w:val="center"/>
              <w:rPr>
                <w:rFonts w:ascii="仿宋_GB2312" w:eastAsia="仿宋_GB2312"/>
                <w:sz w:val="24"/>
                <w:szCs w:val="30"/>
              </w:rPr>
            </w:pPr>
          </w:p>
        </w:tc>
        <w:tc>
          <w:tcPr>
            <w:tcW w:w="972" w:type="pct"/>
            <w:vAlign w:val="center"/>
          </w:tcPr>
          <w:p w14:paraId="44E17D28">
            <w:pPr>
              <w:ind w:firstLine="480"/>
              <w:rPr>
                <w:rFonts w:ascii="仿宋_GB2312" w:eastAsia="仿宋_GB2312"/>
                <w:sz w:val="24"/>
                <w:szCs w:val="30"/>
              </w:rPr>
            </w:pPr>
            <w:r>
              <w:rPr>
                <w:rFonts w:hint="eastAsia" w:ascii="仿宋_GB2312" w:eastAsia="仿宋_GB2312"/>
                <w:sz w:val="24"/>
                <w:szCs w:val="30"/>
              </w:rPr>
              <w:t>√</w:t>
            </w:r>
          </w:p>
        </w:tc>
      </w:tr>
    </w:tbl>
    <w:p w14:paraId="6ABCF485">
      <w:pPr>
        <w:numPr>
          <w:ilvl w:val="2"/>
          <w:numId w:val="4"/>
        </w:numPr>
        <w:spacing w:line="600" w:lineRule="exact"/>
        <w:ind w:left="0" w:firstLine="0"/>
        <w:outlineLvl w:val="2"/>
        <w:rPr>
          <w:rFonts w:ascii="仿宋_GB2312" w:eastAsia="仿宋_GB2312"/>
          <w:b/>
          <w:sz w:val="30"/>
          <w:szCs w:val="30"/>
        </w:rPr>
      </w:pPr>
      <w:r>
        <w:rPr>
          <w:rFonts w:ascii="仿宋_GB2312" w:eastAsia="仿宋_GB2312"/>
          <w:b/>
          <w:sz w:val="30"/>
          <w:szCs w:val="30"/>
        </w:rPr>
        <w:t>投资者适当性备案</w:t>
      </w:r>
    </w:p>
    <w:p w14:paraId="58346C68">
      <w:pPr>
        <w:spacing w:line="600" w:lineRule="exact"/>
        <w:ind w:firstLine="600" w:firstLineChars="200"/>
        <w:rPr>
          <w:rFonts w:ascii="仿宋_GB2312" w:eastAsia="仿宋_GB2312"/>
          <w:sz w:val="30"/>
          <w:szCs w:val="30"/>
        </w:rPr>
      </w:pPr>
      <w:r>
        <w:rPr>
          <w:rFonts w:hint="eastAsia" w:ascii="仿宋_GB2312" w:eastAsia="仿宋_GB2312"/>
          <w:sz w:val="30"/>
          <w:szCs w:val="30"/>
        </w:rPr>
        <w:t>债券交易参与人参与本所债券现券交易，无需进行备案，但本所另有规定的情形除外。</w:t>
      </w:r>
    </w:p>
    <w:p w14:paraId="120CDF03">
      <w:pPr>
        <w:spacing w:line="600" w:lineRule="exact"/>
        <w:ind w:firstLine="600" w:firstLineChars="200"/>
        <w:rPr>
          <w:rFonts w:ascii="仿宋_GB2312" w:hAnsi="黑体" w:eastAsia="仿宋_GB2312"/>
          <w:sz w:val="30"/>
          <w:szCs w:val="30"/>
        </w:rPr>
      </w:pPr>
      <w:r>
        <w:rPr>
          <w:rFonts w:hint="eastAsia" w:ascii="仿宋_GB2312" w:eastAsia="仿宋_GB2312"/>
          <w:sz w:val="30"/>
          <w:szCs w:val="30"/>
        </w:rPr>
        <w:t>协议回购、三方回购及债券借贷等业务的投资者适当性备案要求，详见本指南第7章和第8章。</w:t>
      </w:r>
      <w:r>
        <w:rPr>
          <w:rFonts w:hint="eastAsia" w:ascii="仿宋_GB2312" w:hAnsi="黑体" w:eastAsia="仿宋_GB2312"/>
          <w:sz w:val="30"/>
          <w:szCs w:val="30"/>
        </w:rPr>
        <w:t>本所对其他交易类型的投资者适当性另有规定的，从其规定。</w:t>
      </w:r>
    </w:p>
    <w:p w14:paraId="38DD8776">
      <w:pPr>
        <w:numPr>
          <w:ilvl w:val="2"/>
          <w:numId w:val="4"/>
        </w:numPr>
        <w:spacing w:line="600" w:lineRule="exact"/>
        <w:ind w:left="0" w:firstLine="0"/>
        <w:outlineLvl w:val="2"/>
        <w:rPr>
          <w:rFonts w:ascii="仿宋_GB2312" w:eastAsia="仿宋_GB2312"/>
          <w:sz w:val="30"/>
          <w:szCs w:val="30"/>
        </w:rPr>
      </w:pPr>
      <w:r>
        <w:rPr>
          <w:rFonts w:ascii="仿宋_GB2312" w:hAnsi="黑体" w:eastAsia="仿宋_GB2312"/>
          <w:b/>
          <w:sz w:val="30"/>
          <w:szCs w:val="30"/>
        </w:rPr>
        <w:t>投资者适当性</w:t>
      </w:r>
      <w:r>
        <w:rPr>
          <w:rFonts w:hint="eastAsia" w:ascii="仿宋_GB2312" w:hAnsi="黑体" w:eastAsia="仿宋_GB2312"/>
          <w:b/>
          <w:sz w:val="30"/>
          <w:szCs w:val="30"/>
        </w:rPr>
        <w:t>管理</w:t>
      </w:r>
    </w:p>
    <w:p w14:paraId="5CBABCD0">
      <w:pPr>
        <w:spacing w:line="600" w:lineRule="exact"/>
        <w:ind w:firstLine="600" w:firstLineChars="200"/>
        <w:rPr>
          <w:rFonts w:ascii="仿宋_GB2312" w:eastAsia="仿宋_GB2312"/>
          <w:sz w:val="30"/>
          <w:szCs w:val="30"/>
        </w:rPr>
      </w:pPr>
      <w:r>
        <w:rPr>
          <w:rFonts w:hint="eastAsia" w:ascii="仿宋_GB2312" w:eastAsia="仿宋_GB2312"/>
          <w:sz w:val="30"/>
          <w:szCs w:val="30"/>
        </w:rPr>
        <w:t>证券公司应当建立完善的投资者适当性管理制度。经纪客户需由证券公司根据债券市场投资者适当性管理制度，明确债券投资者是否满足专业投资者条件，为专业投资者开通相关的认购和交易权限，并于当日通过本所业务管理系统平台提交更新的专业投资者账户名单。</w:t>
      </w:r>
    </w:p>
    <w:p w14:paraId="393060E4">
      <w:pPr>
        <w:spacing w:line="600" w:lineRule="exact"/>
        <w:ind w:firstLine="600" w:firstLineChars="200"/>
        <w:rPr>
          <w:rFonts w:ascii="仿宋_GB2312" w:eastAsia="仿宋_GB2312"/>
          <w:sz w:val="30"/>
          <w:szCs w:val="30"/>
        </w:rPr>
      </w:pPr>
      <w:r>
        <w:rPr>
          <w:rFonts w:hint="eastAsia" w:ascii="仿宋_GB2312" w:eastAsia="仿宋_GB2312"/>
          <w:sz w:val="30"/>
          <w:szCs w:val="30"/>
        </w:rPr>
        <w:t>证券公司接受经纪客户委托前，应当按照规定充分了解经纪客户的基本情况、财产状况、金融资产状况、投资知识和经验、专业能力等相关信息，向经纪客户如实说明相关债券交易品种性质、特征等，充分揭示投资风险，确保经纪客户符合相关的投资者适当性管理规定。</w:t>
      </w:r>
    </w:p>
    <w:p w14:paraId="54BE4477">
      <w:pPr>
        <w:spacing w:line="600" w:lineRule="exact"/>
        <w:ind w:firstLine="600" w:firstLineChars="200"/>
        <w:rPr>
          <w:rFonts w:ascii="仿宋_GB2312" w:eastAsia="仿宋_GB2312"/>
          <w:sz w:val="30"/>
          <w:szCs w:val="30"/>
        </w:rPr>
      </w:pPr>
      <w:r>
        <w:rPr>
          <w:rFonts w:hint="eastAsia" w:ascii="仿宋_GB2312" w:eastAsia="仿宋_GB2312"/>
          <w:sz w:val="30"/>
          <w:szCs w:val="30"/>
        </w:rPr>
        <w:t>经纪客户应当按照证券公司明示的要求提供前款所列真实信息。拒绝提供或者未按照要求提供信息的，证券公司应当告知其后果，并按照规定拒绝接受委托。</w:t>
      </w:r>
    </w:p>
    <w:p w14:paraId="7E50AD0E">
      <w:pPr>
        <w:spacing w:line="600" w:lineRule="exact"/>
        <w:ind w:firstLine="600"/>
        <w:rPr>
          <w:rFonts w:ascii="仿宋_GB2312" w:eastAsia="仿宋_GB2312"/>
          <w:sz w:val="30"/>
          <w:szCs w:val="30"/>
        </w:rPr>
      </w:pPr>
      <w:r>
        <w:rPr>
          <w:rFonts w:hint="eastAsia" w:ascii="仿宋_GB2312" w:eastAsia="仿宋_GB2312"/>
          <w:sz w:val="30"/>
          <w:szCs w:val="30"/>
        </w:rPr>
        <w:t>通过经纪业务模式接入本所债券交易的，证券公司应当动态跟踪和持续了解专业投资者条件，至少每两年对债券投资者进行一次后续资格评估，根据评估情况更新专业投资者名单，并于当日通过本所业务管理系统平台提交更新的专业投资者账户名单。</w:t>
      </w:r>
    </w:p>
    <w:p w14:paraId="32334623">
      <w:pPr>
        <w:numPr>
          <w:ilvl w:val="1"/>
          <w:numId w:val="4"/>
        </w:numPr>
        <w:spacing w:line="600" w:lineRule="exact"/>
        <w:ind w:left="0" w:firstLine="0"/>
        <w:outlineLvl w:val="1"/>
        <w:rPr>
          <w:rFonts w:ascii="仿宋_GB2312" w:eastAsia="仿宋_GB2312"/>
          <w:b/>
          <w:sz w:val="30"/>
          <w:szCs w:val="30"/>
        </w:rPr>
      </w:pPr>
      <w:bookmarkStart w:id="252" w:name="_Toc394113428"/>
      <w:bookmarkStart w:id="253" w:name="_Toc385638861"/>
      <w:bookmarkStart w:id="254" w:name="_Toc56166069"/>
      <w:bookmarkStart w:id="255" w:name="_Toc151136888"/>
      <w:bookmarkStart w:id="256" w:name="_Toc56166258"/>
      <w:bookmarkStart w:id="257" w:name="_Toc1653436242"/>
      <w:bookmarkStart w:id="258" w:name="_Toc449113197"/>
      <w:r>
        <w:rPr>
          <w:rFonts w:hint="eastAsia" w:ascii="仿宋_GB2312" w:eastAsia="仿宋_GB2312"/>
          <w:b/>
          <w:sz w:val="30"/>
          <w:szCs w:val="30"/>
        </w:rPr>
        <w:t>委托交易</w:t>
      </w:r>
      <w:bookmarkEnd w:id="252"/>
      <w:bookmarkEnd w:id="253"/>
      <w:bookmarkEnd w:id="254"/>
      <w:bookmarkEnd w:id="255"/>
      <w:bookmarkEnd w:id="256"/>
      <w:bookmarkEnd w:id="257"/>
      <w:bookmarkEnd w:id="258"/>
    </w:p>
    <w:p w14:paraId="2D1D65B6">
      <w:pPr>
        <w:numPr>
          <w:ilvl w:val="2"/>
          <w:numId w:val="4"/>
        </w:numPr>
        <w:spacing w:line="600" w:lineRule="exact"/>
        <w:ind w:left="0" w:firstLine="0"/>
        <w:outlineLvl w:val="2"/>
        <w:rPr>
          <w:rFonts w:ascii="仿宋_GB2312" w:hAnsi="黑体" w:eastAsia="仿宋_GB2312" w:cs="仿宋_GB2312"/>
          <w:b/>
          <w:sz w:val="30"/>
          <w:szCs w:val="30"/>
        </w:rPr>
      </w:pPr>
      <w:r>
        <w:rPr>
          <w:rFonts w:hint="eastAsia" w:ascii="仿宋_GB2312" w:hAnsi="黑体" w:eastAsia="仿宋_GB2312" w:cs="仿宋_GB2312"/>
          <w:b/>
          <w:sz w:val="30"/>
          <w:szCs w:val="30"/>
        </w:rPr>
        <w:t>交易前准备</w:t>
      </w:r>
    </w:p>
    <w:p w14:paraId="22BBEB55">
      <w:pPr>
        <w:spacing w:line="600" w:lineRule="exact"/>
        <w:ind w:firstLine="600" w:firstLineChars="200"/>
        <w:rPr>
          <w:rFonts w:ascii="仿宋_GB2312" w:eastAsia="仿宋_GB2312"/>
          <w:sz w:val="30"/>
          <w:szCs w:val="30"/>
        </w:rPr>
      </w:pPr>
      <w:r>
        <w:rPr>
          <w:rFonts w:hint="eastAsia" w:ascii="仿宋_GB2312" w:eastAsia="仿宋_GB2312"/>
          <w:sz w:val="30"/>
          <w:szCs w:val="30"/>
        </w:rPr>
        <w:t>债券投资者通过债券经纪业务模式参与交易所债券市场投资交易的，应当提前完成以下工作：</w:t>
      </w:r>
    </w:p>
    <w:p w14:paraId="76C531DC">
      <w:pPr>
        <w:spacing w:line="600" w:lineRule="exact"/>
        <w:ind w:firstLine="600" w:firstLineChars="200"/>
        <w:rPr>
          <w:rFonts w:ascii="仿宋_GB2312" w:eastAsia="仿宋_GB2312"/>
          <w:sz w:val="30"/>
          <w:szCs w:val="30"/>
        </w:rPr>
      </w:pPr>
      <w:r>
        <w:rPr>
          <w:rFonts w:hint="eastAsia" w:ascii="仿宋_GB2312" w:eastAsia="仿宋_GB2312"/>
          <w:sz w:val="30"/>
          <w:szCs w:val="30"/>
        </w:rPr>
        <w:t>（1）在登记结算机构开立证券账户；</w:t>
      </w:r>
    </w:p>
    <w:p w14:paraId="744332BD">
      <w:pPr>
        <w:spacing w:line="600" w:lineRule="exact"/>
        <w:ind w:firstLine="600" w:firstLineChars="200"/>
        <w:rPr>
          <w:rFonts w:ascii="仿宋_GB2312" w:eastAsia="仿宋_GB2312"/>
          <w:sz w:val="30"/>
          <w:szCs w:val="30"/>
        </w:rPr>
      </w:pPr>
      <w:r>
        <w:rPr>
          <w:rFonts w:hint="eastAsia" w:ascii="仿宋_GB2312" w:eastAsia="仿宋_GB2312"/>
          <w:sz w:val="30"/>
          <w:szCs w:val="30"/>
        </w:rPr>
        <w:t>（2）与证券公司签署证券交易委托协议；</w:t>
      </w:r>
    </w:p>
    <w:p w14:paraId="05F64D0E">
      <w:pPr>
        <w:spacing w:line="600" w:lineRule="exact"/>
        <w:ind w:firstLine="600" w:firstLineChars="200"/>
        <w:rPr>
          <w:rFonts w:ascii="仿宋_GB2312" w:eastAsia="仿宋_GB2312"/>
          <w:sz w:val="30"/>
          <w:szCs w:val="30"/>
        </w:rPr>
      </w:pPr>
      <w:r>
        <w:rPr>
          <w:rFonts w:hint="eastAsia" w:ascii="仿宋_GB2312" w:eastAsia="仿宋_GB2312"/>
          <w:sz w:val="30"/>
          <w:szCs w:val="30"/>
        </w:rPr>
        <w:t>（3）在证券公司开立资金账户，用于证券资金结算；</w:t>
      </w:r>
      <w:r>
        <w:rPr>
          <w:rFonts w:ascii="仿宋_GB2312" w:eastAsia="仿宋_GB2312"/>
          <w:sz w:val="30"/>
          <w:szCs w:val="30"/>
        </w:rPr>
        <w:t xml:space="preserve"> </w:t>
      </w:r>
    </w:p>
    <w:p w14:paraId="3AB5EBD6">
      <w:pPr>
        <w:spacing w:line="600" w:lineRule="exact"/>
        <w:ind w:firstLine="600" w:firstLineChars="200"/>
        <w:rPr>
          <w:rFonts w:ascii="仿宋_GB2312" w:eastAsia="仿宋_GB2312"/>
          <w:sz w:val="30"/>
          <w:szCs w:val="30"/>
        </w:rPr>
      </w:pPr>
      <w:r>
        <w:rPr>
          <w:rFonts w:hint="eastAsia" w:ascii="仿宋_GB2312" w:eastAsia="仿宋_GB2312"/>
          <w:sz w:val="30"/>
          <w:szCs w:val="30"/>
        </w:rPr>
        <w:t>（4）签署三方存管协议，建立三方存管关系；</w:t>
      </w:r>
    </w:p>
    <w:p w14:paraId="44D66C30">
      <w:pPr>
        <w:spacing w:line="600" w:lineRule="exact"/>
        <w:ind w:firstLine="600" w:firstLineChars="200"/>
        <w:rPr>
          <w:rFonts w:ascii="仿宋_GB2312" w:eastAsia="仿宋_GB2312"/>
          <w:sz w:val="30"/>
          <w:szCs w:val="30"/>
        </w:rPr>
      </w:pPr>
      <w:r>
        <w:rPr>
          <w:rFonts w:hint="eastAsia" w:ascii="仿宋_GB2312" w:eastAsia="仿宋_GB2312"/>
          <w:sz w:val="30"/>
          <w:szCs w:val="30"/>
        </w:rPr>
        <w:t>（5）完成证券账户指定交易；</w:t>
      </w:r>
    </w:p>
    <w:p w14:paraId="6249162C">
      <w:pPr>
        <w:spacing w:line="600" w:lineRule="exact"/>
        <w:ind w:firstLine="600" w:firstLineChars="200"/>
        <w:rPr>
          <w:rFonts w:ascii="仿宋_GB2312" w:eastAsia="仿宋_GB2312"/>
          <w:sz w:val="30"/>
          <w:szCs w:val="30"/>
        </w:rPr>
      </w:pPr>
      <w:r>
        <w:rPr>
          <w:rFonts w:hint="eastAsia" w:ascii="仿宋_GB2312" w:eastAsia="仿宋_GB2312"/>
          <w:sz w:val="30"/>
          <w:szCs w:val="30"/>
        </w:rPr>
        <w:t>（6）开通由证券公司提供的主经纪商系统（以下简称“PB系统”）权限（可选）。</w:t>
      </w:r>
    </w:p>
    <w:p w14:paraId="420E9D98">
      <w:pPr>
        <w:numPr>
          <w:ilvl w:val="2"/>
          <w:numId w:val="4"/>
        </w:numPr>
        <w:spacing w:line="600" w:lineRule="exact"/>
        <w:ind w:left="0" w:firstLine="0"/>
        <w:outlineLvl w:val="2"/>
        <w:rPr>
          <w:rFonts w:ascii="仿宋_GB2312" w:eastAsia="仿宋_GB2312"/>
          <w:b/>
          <w:sz w:val="30"/>
          <w:szCs w:val="30"/>
        </w:rPr>
      </w:pPr>
      <w:bookmarkStart w:id="259" w:name="_Toc57908872"/>
      <w:r>
        <w:rPr>
          <w:rFonts w:hint="eastAsia" w:ascii="仿宋_GB2312" w:hAnsi="黑体" w:eastAsia="仿宋_GB2312" w:cs="仿宋_GB2312"/>
          <w:b/>
          <w:sz w:val="30"/>
          <w:szCs w:val="30"/>
        </w:rPr>
        <w:t>证券账户开立</w:t>
      </w:r>
      <w:bookmarkEnd w:id="259"/>
    </w:p>
    <w:p w14:paraId="590E3E1B">
      <w:pPr>
        <w:spacing w:line="600" w:lineRule="exact"/>
        <w:ind w:firstLine="600" w:firstLineChars="200"/>
        <w:rPr>
          <w:rFonts w:ascii="仿宋_GB2312" w:eastAsia="仿宋_GB2312"/>
          <w:sz w:val="30"/>
          <w:szCs w:val="30"/>
        </w:rPr>
      </w:pPr>
      <w:r>
        <w:rPr>
          <w:rFonts w:hint="eastAsia" w:ascii="仿宋_GB2312" w:eastAsia="仿宋_GB2312"/>
          <w:sz w:val="30"/>
          <w:szCs w:val="30"/>
        </w:rPr>
        <w:t>（1）特殊机构及产品证券账户开立</w:t>
      </w:r>
    </w:p>
    <w:p w14:paraId="0150FE43">
      <w:pPr>
        <w:spacing w:line="600" w:lineRule="exact"/>
        <w:ind w:firstLine="600" w:firstLineChars="200"/>
        <w:rPr>
          <w:rFonts w:ascii="仿宋_GB2312" w:eastAsia="仿宋_GB2312"/>
          <w:sz w:val="30"/>
          <w:szCs w:val="30"/>
        </w:rPr>
      </w:pPr>
      <w:r>
        <w:rPr>
          <w:rFonts w:hint="eastAsia" w:ascii="仿宋_GB2312" w:eastAsia="仿宋_GB2312"/>
          <w:sz w:val="30"/>
          <w:szCs w:val="30"/>
        </w:rPr>
        <w:t>特殊机构或产品开立证券账户，可根据</w:t>
      </w:r>
      <w:r>
        <w:rPr>
          <w:rFonts w:hint="eastAsia" w:ascii="仿宋_GB2312" w:hAnsi="微软雅黑" w:eastAsia="仿宋_GB2312"/>
          <w:color w:val="000000"/>
          <w:sz w:val="30"/>
          <w:szCs w:val="30"/>
        </w:rPr>
        <w:t>中国证券登记结算有限责任公司</w:t>
      </w:r>
      <w:r>
        <w:rPr>
          <w:rFonts w:hint="eastAsia" w:ascii="仿宋_GB2312" w:eastAsia="仿宋_GB2312"/>
          <w:sz w:val="30"/>
          <w:szCs w:val="30"/>
        </w:rPr>
        <w:t>《特殊机构及产品证券账户业务指南》，视不同特殊机构和产品类型进行申请及提交材料。</w:t>
      </w:r>
    </w:p>
    <w:p w14:paraId="642E653C">
      <w:pPr>
        <w:spacing w:line="600" w:lineRule="exact"/>
        <w:ind w:firstLine="600" w:firstLineChars="200"/>
        <w:rPr>
          <w:rFonts w:ascii="仿宋_GB2312" w:eastAsia="仿宋_GB2312"/>
          <w:sz w:val="30"/>
          <w:szCs w:val="30"/>
        </w:rPr>
      </w:pPr>
      <w:r>
        <w:rPr>
          <w:rFonts w:hint="eastAsia" w:ascii="仿宋_GB2312" w:eastAsia="仿宋_GB2312"/>
          <w:sz w:val="30"/>
          <w:szCs w:val="30"/>
        </w:rPr>
        <w:t>上述指南所称特殊机构，是指证券公司及其资管子公司、基金管理公司及其子公司、保险公司、信托公司、银行及银行理财子公司、及外国战略投资者、境外机构投资者等特殊市场参与主体。</w:t>
      </w:r>
    </w:p>
    <w:p w14:paraId="7DCACE8F">
      <w:pPr>
        <w:spacing w:line="600" w:lineRule="exact"/>
        <w:ind w:firstLine="600" w:firstLineChars="200"/>
        <w:rPr>
          <w:rFonts w:ascii="仿宋_GB2312" w:eastAsia="仿宋_GB2312"/>
          <w:sz w:val="30"/>
          <w:szCs w:val="30"/>
        </w:rPr>
      </w:pPr>
      <w:r>
        <w:rPr>
          <w:rFonts w:hint="eastAsia" w:ascii="仿宋_GB2312" w:eastAsia="仿宋_GB2312"/>
          <w:sz w:val="30"/>
          <w:szCs w:val="30"/>
        </w:rPr>
        <w:t>上述指南所称产品，是指证券公司单一资产管理计划及集合资产管理计划、基金管理公司单一资产管理计划及集合资产管理计划、期货公司单一资产管理计划及集合资产管理计划、保险资产管理公司特定客户资产管理计划及集合资产管理计划、证券投资基金、信托产品、保险产品、银行理财产品（含银行理财子公司发行的理财产品）、企业年金计划、职业年金计划、养老金产品、全国社会保障基金投资组合、全国及地方社保基金、私募基金、合格境外机构投资者和人民币合格境外机构投资者等依法设立的证券投资产品。</w:t>
      </w:r>
    </w:p>
    <w:p w14:paraId="72EEBF4B">
      <w:pPr>
        <w:spacing w:line="600" w:lineRule="exact"/>
        <w:ind w:firstLine="600" w:firstLineChars="200"/>
        <w:rPr>
          <w:rFonts w:ascii="仿宋_GB2312" w:eastAsia="仿宋_GB2312"/>
          <w:sz w:val="30"/>
          <w:szCs w:val="30"/>
        </w:rPr>
      </w:pPr>
      <w:r>
        <w:rPr>
          <w:rFonts w:hint="eastAsia" w:ascii="仿宋_GB2312" w:eastAsia="仿宋_GB2312"/>
          <w:sz w:val="30"/>
          <w:szCs w:val="30"/>
        </w:rPr>
        <w:t>特殊机构或产品的具体开户流程与要求，依据</w:t>
      </w:r>
      <w:r>
        <w:rPr>
          <w:rFonts w:hint="eastAsia" w:ascii="仿宋_GB2312" w:hAnsi="微软雅黑" w:eastAsia="仿宋_GB2312"/>
          <w:color w:val="000000"/>
          <w:sz w:val="30"/>
          <w:szCs w:val="30"/>
        </w:rPr>
        <w:t>中国证券登记结算有限责任公司</w:t>
      </w:r>
      <w:r>
        <w:rPr>
          <w:rFonts w:hint="eastAsia" w:ascii="仿宋_GB2312" w:eastAsia="仿宋_GB2312"/>
          <w:sz w:val="30"/>
          <w:szCs w:val="30"/>
        </w:rPr>
        <w:t>《特殊机构及产品证券账户业务指南》相关规定办理。</w:t>
      </w:r>
    </w:p>
    <w:p w14:paraId="47825229">
      <w:pPr>
        <w:spacing w:line="600" w:lineRule="exact"/>
        <w:ind w:firstLine="600" w:firstLineChars="200"/>
        <w:rPr>
          <w:rFonts w:ascii="仿宋_GB2312" w:eastAsia="仿宋_GB2312"/>
          <w:sz w:val="30"/>
          <w:szCs w:val="30"/>
        </w:rPr>
      </w:pPr>
      <w:r>
        <w:rPr>
          <w:rFonts w:hint="eastAsia" w:ascii="仿宋_GB2312" w:eastAsia="仿宋_GB2312"/>
          <w:sz w:val="30"/>
          <w:szCs w:val="30"/>
        </w:rPr>
        <w:t>（2）一般机构投资者证券账户开立</w:t>
      </w:r>
    </w:p>
    <w:p w14:paraId="4E52D05D">
      <w:pPr>
        <w:spacing w:line="600" w:lineRule="exact"/>
        <w:ind w:firstLine="600" w:firstLineChars="200"/>
        <w:rPr>
          <w:rFonts w:ascii="仿宋_GB2312" w:eastAsia="仿宋_GB2312"/>
          <w:sz w:val="30"/>
          <w:szCs w:val="30"/>
        </w:rPr>
      </w:pPr>
      <w:r>
        <w:rPr>
          <w:rFonts w:hint="eastAsia" w:ascii="仿宋_GB2312" w:eastAsia="仿宋_GB2312"/>
          <w:sz w:val="30"/>
          <w:szCs w:val="30"/>
        </w:rPr>
        <w:t>上述特殊机构和产品以外的债券投资者开立证券账户，依据</w:t>
      </w:r>
      <w:r>
        <w:rPr>
          <w:rFonts w:hint="eastAsia" w:ascii="仿宋_GB2312" w:hAnsi="微软雅黑" w:eastAsia="仿宋_GB2312"/>
          <w:color w:val="000000"/>
          <w:sz w:val="30"/>
          <w:szCs w:val="30"/>
        </w:rPr>
        <w:t>中国证券登记结算有限责任公司</w:t>
      </w:r>
      <w:r>
        <w:rPr>
          <w:rFonts w:hint="eastAsia" w:ascii="仿宋_GB2312" w:eastAsia="仿宋_GB2312"/>
          <w:sz w:val="30"/>
          <w:szCs w:val="30"/>
        </w:rPr>
        <w:t>《证券账户业务指南》相关规定办理。</w:t>
      </w:r>
    </w:p>
    <w:p w14:paraId="10C60F6B">
      <w:pPr>
        <w:numPr>
          <w:ilvl w:val="2"/>
          <w:numId w:val="4"/>
        </w:numPr>
        <w:spacing w:line="600" w:lineRule="exact"/>
        <w:ind w:left="0" w:firstLine="0"/>
        <w:outlineLvl w:val="2"/>
        <w:rPr>
          <w:rFonts w:ascii="仿宋_GB2312" w:hAnsi="黑体" w:eastAsia="仿宋_GB2312" w:cs="仿宋_GB2312"/>
          <w:b/>
          <w:sz w:val="30"/>
          <w:szCs w:val="30"/>
        </w:rPr>
      </w:pPr>
      <w:bookmarkStart w:id="260" w:name="_Toc57908873"/>
      <w:r>
        <w:rPr>
          <w:rFonts w:hint="eastAsia" w:ascii="仿宋_GB2312" w:hAnsi="黑体" w:eastAsia="仿宋_GB2312" w:cs="仿宋_GB2312"/>
          <w:b/>
          <w:sz w:val="30"/>
          <w:szCs w:val="30"/>
        </w:rPr>
        <w:t>证券交易委托协议签署</w:t>
      </w:r>
      <w:bookmarkEnd w:id="260"/>
    </w:p>
    <w:p w14:paraId="5389D0A7">
      <w:pPr>
        <w:spacing w:line="600" w:lineRule="exact"/>
        <w:ind w:firstLine="600" w:firstLineChars="200"/>
        <w:rPr>
          <w:rFonts w:ascii="仿宋_GB2312" w:eastAsia="仿宋_GB2312"/>
          <w:sz w:val="30"/>
          <w:szCs w:val="30"/>
        </w:rPr>
      </w:pPr>
      <w:r>
        <w:rPr>
          <w:rFonts w:hint="eastAsia" w:ascii="仿宋_GB2312" w:eastAsia="仿宋_GB2312"/>
          <w:sz w:val="30"/>
          <w:szCs w:val="30"/>
        </w:rPr>
        <w:t>证券交易委托协议是经纪客户与证券公司签订的证券买卖代理协议。经纪客户通过债券经纪业务模式开展债券交易，应当与证券公司签订证券交易委托协议。</w:t>
      </w:r>
    </w:p>
    <w:p w14:paraId="77FF70DC">
      <w:pPr>
        <w:spacing w:line="600" w:lineRule="exact"/>
        <w:ind w:firstLine="600" w:firstLineChars="200"/>
        <w:rPr>
          <w:rFonts w:ascii="仿宋_GB2312" w:eastAsia="仿宋_GB2312"/>
          <w:sz w:val="30"/>
          <w:szCs w:val="30"/>
        </w:rPr>
      </w:pPr>
      <w:r>
        <w:rPr>
          <w:rFonts w:hint="eastAsia" w:ascii="仿宋_GB2312" w:eastAsia="仿宋_GB2312"/>
          <w:sz w:val="30"/>
          <w:szCs w:val="30"/>
        </w:rPr>
        <w:t>证券公司应当在证券交易委托协议中与经纪客户明确双方的权利与义务，并对经纪客户资料提供、账户交易权限管理、资金存管、委托交易指令核查、异常交易行为处理、拒绝经纪客户委托以及委托关系解除等事项作出约定。</w:t>
      </w:r>
    </w:p>
    <w:p w14:paraId="7F3B37C7">
      <w:pPr>
        <w:spacing w:line="600" w:lineRule="exact"/>
        <w:ind w:firstLine="600" w:firstLineChars="200"/>
        <w:rPr>
          <w:rFonts w:ascii="仿宋_GB2312" w:eastAsia="仿宋_GB2312"/>
          <w:sz w:val="30"/>
          <w:szCs w:val="30"/>
        </w:rPr>
      </w:pPr>
      <w:r>
        <w:rPr>
          <w:rFonts w:hint="eastAsia" w:ascii="仿宋_GB2312" w:eastAsia="仿宋_GB2312"/>
          <w:sz w:val="30"/>
          <w:szCs w:val="30"/>
        </w:rPr>
        <w:t>除本指南与其他相关文件规定的必备条款外，证券交易委托协议的格式及具体内容可由各证券公司根据自身业务需求与内控要求自行规定。</w:t>
      </w:r>
    </w:p>
    <w:p w14:paraId="7D4302B2">
      <w:pPr>
        <w:spacing w:line="600" w:lineRule="exact"/>
        <w:ind w:firstLine="600" w:firstLineChars="200"/>
        <w:rPr>
          <w:rFonts w:ascii="仿宋_GB2312" w:eastAsia="仿宋_GB2312"/>
          <w:sz w:val="30"/>
          <w:szCs w:val="30"/>
        </w:rPr>
      </w:pPr>
      <w:r>
        <w:rPr>
          <w:rFonts w:hint="eastAsia" w:ascii="仿宋_GB2312" w:eastAsia="仿宋_GB2312"/>
          <w:sz w:val="30"/>
          <w:szCs w:val="30"/>
        </w:rPr>
        <w:t>经纪客户若有多个证券账户，可选择一家或多家证券公司进行委托。单个证券账户仅允许指定一家证券公司作为其债券交易的委托人。</w:t>
      </w:r>
    </w:p>
    <w:p w14:paraId="53BDA4BD">
      <w:pPr>
        <w:numPr>
          <w:ilvl w:val="2"/>
          <w:numId w:val="4"/>
        </w:numPr>
        <w:spacing w:line="600" w:lineRule="exact"/>
        <w:ind w:left="0" w:firstLine="0"/>
        <w:outlineLvl w:val="2"/>
        <w:rPr>
          <w:rFonts w:ascii="仿宋_GB2312" w:hAnsi="黑体" w:eastAsia="仿宋_GB2312" w:cs="仿宋_GB2312"/>
          <w:b/>
          <w:sz w:val="30"/>
          <w:szCs w:val="30"/>
        </w:rPr>
      </w:pPr>
      <w:bookmarkStart w:id="261" w:name="_Toc57908874"/>
      <w:r>
        <w:rPr>
          <w:rFonts w:ascii="仿宋_GB2312" w:hAnsi="黑体" w:eastAsia="仿宋_GB2312" w:cs="仿宋_GB2312"/>
          <w:b/>
          <w:sz w:val="30"/>
          <w:szCs w:val="30"/>
        </w:rPr>
        <w:t>资金账户开立及三方存管建立</w:t>
      </w:r>
      <w:bookmarkEnd w:id="261"/>
    </w:p>
    <w:p w14:paraId="249EF2E2">
      <w:pPr>
        <w:spacing w:line="600" w:lineRule="exact"/>
        <w:ind w:firstLine="600" w:firstLineChars="200"/>
        <w:rPr>
          <w:rFonts w:ascii="仿宋_GB2312" w:eastAsia="仿宋_GB2312"/>
          <w:sz w:val="30"/>
          <w:szCs w:val="30"/>
        </w:rPr>
      </w:pPr>
      <w:r>
        <w:rPr>
          <w:rFonts w:hint="eastAsia" w:ascii="仿宋_GB2312" w:eastAsia="仿宋_GB2312"/>
          <w:sz w:val="30"/>
          <w:szCs w:val="30"/>
        </w:rPr>
        <w:t>三方存管是指经纪客户的证券交易结算资金交由银行统一存管。经纪客户开立证券账户的同时，应当同步在证券公司开立资金账户，在具备三方存管资质的银行指定或开立三方存管账户，并由证券公司建立三方存管账户与资金账户的对应关系，形成经纪客户在场内交易结算资金的划转通道。经纪客户需与存管银行、受托证券公司签署三方存管协议，并将资金账户、三方存管账户及证券账户进行一一对应的关联绑定。开立资金账户所需材料、三方存管具体办理流程可咨询证券公司。</w:t>
      </w:r>
    </w:p>
    <w:p w14:paraId="0A32ECBB">
      <w:pPr>
        <w:numPr>
          <w:ilvl w:val="2"/>
          <w:numId w:val="4"/>
        </w:numPr>
        <w:spacing w:line="600" w:lineRule="exact"/>
        <w:ind w:left="0" w:firstLine="0"/>
        <w:outlineLvl w:val="2"/>
        <w:rPr>
          <w:rFonts w:ascii="仿宋_GB2312" w:hAnsi="黑体" w:eastAsia="仿宋_GB2312" w:cs="仿宋_GB2312"/>
          <w:b/>
          <w:sz w:val="30"/>
          <w:szCs w:val="30"/>
        </w:rPr>
      </w:pPr>
      <w:bookmarkStart w:id="262" w:name="_Toc57908875"/>
      <w:r>
        <w:rPr>
          <w:rFonts w:ascii="仿宋_GB2312" w:hAnsi="黑体" w:eastAsia="仿宋_GB2312" w:cs="仿宋_GB2312"/>
          <w:b/>
          <w:sz w:val="30"/>
          <w:szCs w:val="30"/>
        </w:rPr>
        <w:t>证券账户指定交易</w:t>
      </w:r>
      <w:bookmarkEnd w:id="262"/>
    </w:p>
    <w:p w14:paraId="5D4B5554">
      <w:pPr>
        <w:spacing w:line="600" w:lineRule="exact"/>
        <w:ind w:firstLine="600" w:firstLineChars="200"/>
        <w:rPr>
          <w:rFonts w:ascii="仿宋_GB2312" w:eastAsia="仿宋_GB2312"/>
          <w:sz w:val="30"/>
          <w:szCs w:val="30"/>
        </w:rPr>
      </w:pPr>
      <w:r>
        <w:rPr>
          <w:rFonts w:hint="eastAsia" w:ascii="仿宋_GB2312" w:eastAsia="仿宋_GB2312"/>
          <w:sz w:val="30"/>
          <w:szCs w:val="30"/>
        </w:rPr>
        <w:t>本所债券交易实行指定交易制度。指定交易制度，在经纪业务模式下，是指经纪客户应当事先指定一家本所会员作为其债券交易的受托人，通过该会员参与本所债券交易。证券账户的指定交易是指经纪客户的证券账户需要指定到其委托的证券公司的交易单元上，每一个证券账户仅能指定一个交易单元。</w:t>
      </w:r>
    </w:p>
    <w:p w14:paraId="243AD531">
      <w:pPr>
        <w:spacing w:line="600" w:lineRule="exact"/>
        <w:ind w:firstLine="600" w:firstLineChars="200"/>
        <w:rPr>
          <w:rFonts w:ascii="仿宋_GB2312" w:eastAsia="仿宋_GB2312"/>
          <w:sz w:val="30"/>
          <w:szCs w:val="30"/>
        </w:rPr>
      </w:pPr>
      <w:r>
        <w:rPr>
          <w:rFonts w:hint="eastAsia" w:ascii="仿宋_GB2312" w:eastAsia="仿宋_GB2312"/>
          <w:sz w:val="30"/>
          <w:szCs w:val="30"/>
        </w:rPr>
        <w:t>证券公司为经纪客户办理指定交易业务，需经过签订指定交易协议、办理指定交易两步。</w:t>
      </w:r>
    </w:p>
    <w:p w14:paraId="4F7596F3">
      <w:pPr>
        <w:pStyle w:val="92"/>
        <w:widowControl w:val="0"/>
        <w:numPr>
          <w:ilvl w:val="0"/>
          <w:numId w:val="12"/>
        </w:numPr>
        <w:spacing w:line="600" w:lineRule="exact"/>
        <w:ind w:left="0" w:firstLine="600"/>
        <w:jc w:val="both"/>
        <w:rPr>
          <w:rFonts w:ascii="仿宋_GB2312" w:eastAsia="仿宋_GB2312"/>
          <w:sz w:val="30"/>
          <w:szCs w:val="30"/>
        </w:rPr>
      </w:pPr>
      <w:r>
        <w:rPr>
          <w:rFonts w:hint="eastAsia" w:ascii="仿宋_GB2312" w:eastAsia="仿宋_GB2312"/>
          <w:sz w:val="30"/>
          <w:szCs w:val="30"/>
        </w:rPr>
        <w:t>签订指定交易协议</w:t>
      </w:r>
    </w:p>
    <w:p w14:paraId="1E9B4409">
      <w:pPr>
        <w:spacing w:line="600" w:lineRule="exact"/>
        <w:ind w:firstLine="600" w:firstLineChars="200"/>
        <w:rPr>
          <w:rFonts w:ascii="仿宋_GB2312" w:eastAsia="仿宋_GB2312"/>
          <w:sz w:val="30"/>
          <w:szCs w:val="30"/>
        </w:rPr>
      </w:pPr>
      <w:r>
        <w:rPr>
          <w:rFonts w:hint="eastAsia" w:ascii="仿宋_GB2312" w:eastAsia="仿宋_GB2312"/>
          <w:sz w:val="30"/>
          <w:szCs w:val="30"/>
        </w:rPr>
        <w:t>经纪客户应当与其委托的证券公司签订指定交易协议，明确双方的权利、义务和责任。证券交易委托协议若已包含指定交易协议内容，可不再重复签订。指定交易协议书参考范例及具体的业务流程可参见本所发布的《上海证券交易所指定交易业务办理指南（试行）》。</w:t>
      </w:r>
    </w:p>
    <w:p w14:paraId="4ADAFC37">
      <w:pPr>
        <w:pStyle w:val="92"/>
        <w:widowControl w:val="0"/>
        <w:numPr>
          <w:ilvl w:val="0"/>
          <w:numId w:val="12"/>
        </w:numPr>
        <w:spacing w:line="600" w:lineRule="exact"/>
        <w:ind w:left="0" w:firstLine="600"/>
        <w:jc w:val="both"/>
        <w:rPr>
          <w:rFonts w:ascii="仿宋_GB2312" w:eastAsia="仿宋_GB2312"/>
          <w:sz w:val="30"/>
          <w:szCs w:val="30"/>
          <w:lang w:eastAsia="zh-CN"/>
        </w:rPr>
      </w:pPr>
      <w:r>
        <w:rPr>
          <w:rFonts w:hint="eastAsia" w:ascii="仿宋_GB2312" w:eastAsia="仿宋_GB2312"/>
          <w:sz w:val="30"/>
          <w:szCs w:val="30"/>
          <w:lang w:eastAsia="zh-CN"/>
        </w:rPr>
        <w:t>经纪客户指定交易申报、变更与撤销</w:t>
      </w:r>
    </w:p>
    <w:p w14:paraId="7D3DA9E5">
      <w:pPr>
        <w:spacing w:line="600" w:lineRule="exact"/>
        <w:ind w:firstLine="600" w:firstLineChars="200"/>
        <w:rPr>
          <w:rFonts w:ascii="仿宋_GB2312" w:eastAsia="仿宋_GB2312"/>
          <w:sz w:val="30"/>
          <w:szCs w:val="30"/>
        </w:rPr>
      </w:pPr>
      <w:r>
        <w:rPr>
          <w:rFonts w:hint="eastAsia" w:ascii="仿宋_GB2312" w:eastAsia="仿宋_GB2312"/>
          <w:sz w:val="30"/>
          <w:szCs w:val="30"/>
        </w:rPr>
        <w:t>指定交易协议一经签订，证券公司即可根据经纪客户的申请，按照本所规定的申报要素，向本所进行指定交易申报。</w:t>
      </w:r>
    </w:p>
    <w:p w14:paraId="7CC439DE">
      <w:pPr>
        <w:spacing w:line="600" w:lineRule="exact"/>
        <w:ind w:firstLine="600" w:firstLineChars="200"/>
        <w:rPr>
          <w:rFonts w:ascii="仿宋_GB2312" w:eastAsia="仿宋_GB2312"/>
          <w:sz w:val="30"/>
          <w:szCs w:val="30"/>
        </w:rPr>
      </w:pPr>
      <w:r>
        <w:rPr>
          <w:rFonts w:hint="eastAsia" w:ascii="仿宋_GB2312" w:eastAsia="仿宋_GB2312"/>
          <w:sz w:val="30"/>
          <w:szCs w:val="30"/>
        </w:rPr>
        <w:t>经纪客户变更指定交易的，应当向已指定的证券公司提出撤销指定申请，由该证券公司申报撤销指令。对于符合撤销指定条件的，证券公司不得限制、阻挠或者拖延其办理撤销指定手续。撤销指定交易的指令申报一经确认，其撤销即刻生效。指定交易撤销成功后须另行选择一个交易单元重新申报指定交易，方可进行交易。</w:t>
      </w:r>
    </w:p>
    <w:p w14:paraId="100D9AAE">
      <w:pPr>
        <w:spacing w:line="600" w:lineRule="exact"/>
        <w:ind w:firstLine="600" w:firstLineChars="200"/>
        <w:rPr>
          <w:rFonts w:ascii="仿宋_GB2312" w:eastAsia="仿宋_GB2312"/>
          <w:sz w:val="30"/>
          <w:szCs w:val="30"/>
        </w:rPr>
      </w:pPr>
      <w:r>
        <w:rPr>
          <w:rFonts w:hint="eastAsia" w:ascii="仿宋_GB2312" w:eastAsia="仿宋_GB2312"/>
          <w:sz w:val="30"/>
          <w:szCs w:val="30"/>
        </w:rPr>
        <w:t>指定交易申报、变更与撤销具体规定，详见本指南第4章的相关规定。</w:t>
      </w:r>
    </w:p>
    <w:p w14:paraId="6CC6E090">
      <w:pPr>
        <w:numPr>
          <w:ilvl w:val="2"/>
          <w:numId w:val="4"/>
        </w:numPr>
        <w:spacing w:line="600" w:lineRule="exact"/>
        <w:ind w:left="0" w:firstLine="0"/>
        <w:outlineLvl w:val="2"/>
        <w:rPr>
          <w:rFonts w:ascii="仿宋_GB2312" w:hAnsi="黑体" w:eastAsia="仿宋_GB2312" w:cs="仿宋_GB2312"/>
          <w:b/>
          <w:sz w:val="30"/>
          <w:szCs w:val="30"/>
        </w:rPr>
      </w:pPr>
      <w:r>
        <w:rPr>
          <w:rFonts w:ascii="仿宋_GB2312" w:hAnsi="黑体" w:eastAsia="仿宋_GB2312" w:cs="仿宋_GB2312"/>
          <w:b/>
          <w:sz w:val="30"/>
          <w:szCs w:val="30"/>
        </w:rPr>
        <w:t>委托方式</w:t>
      </w:r>
    </w:p>
    <w:p w14:paraId="5BA8302D">
      <w:pPr>
        <w:spacing w:line="600" w:lineRule="exact"/>
        <w:ind w:firstLine="600" w:firstLineChars="200"/>
        <w:rPr>
          <w:rFonts w:ascii="仿宋_GB2312" w:eastAsia="仿宋_GB2312"/>
          <w:sz w:val="30"/>
          <w:szCs w:val="30"/>
        </w:rPr>
      </w:pPr>
      <w:r>
        <w:rPr>
          <w:rFonts w:hint="eastAsia" w:ascii="仿宋_GB2312" w:eastAsia="仿宋_GB2312"/>
          <w:sz w:val="30"/>
          <w:szCs w:val="30"/>
        </w:rPr>
        <w:t>经纪客户按照与证券公司的协定，可通过</w:t>
      </w:r>
      <w:r>
        <w:rPr>
          <w:rFonts w:hint="eastAsia" w:ascii="仿宋_GB2312" w:eastAsia="仿宋_GB2312"/>
          <w:color w:val="000000"/>
          <w:sz w:val="30"/>
          <w:szCs w:val="30"/>
        </w:rPr>
        <w:t>书面、电话、自助终端、网络等自助委托方式委托会员参与债券交易</w:t>
      </w:r>
      <w:r>
        <w:rPr>
          <w:rFonts w:hint="eastAsia" w:ascii="仿宋_GB2312" w:eastAsia="仿宋_GB2312"/>
          <w:sz w:val="30"/>
          <w:szCs w:val="30"/>
        </w:rPr>
        <w:t>。证券公司对经纪客户的交易委托进行资券足额验证。</w:t>
      </w:r>
    </w:p>
    <w:p w14:paraId="5090791E">
      <w:pPr>
        <w:spacing w:line="600" w:lineRule="exact"/>
        <w:ind w:firstLine="600" w:firstLineChars="200"/>
        <w:rPr>
          <w:rFonts w:ascii="仿宋_GB2312" w:eastAsia="仿宋_GB2312"/>
          <w:sz w:val="30"/>
          <w:szCs w:val="30"/>
        </w:rPr>
      </w:pPr>
      <w:r>
        <w:rPr>
          <w:rFonts w:hint="eastAsia" w:ascii="仿宋_GB2312" w:eastAsia="仿宋_GB2312"/>
          <w:sz w:val="30"/>
          <w:szCs w:val="30"/>
        </w:rPr>
        <w:t>实时完成验资验券后，证券公司根据经纪客户的委托交易指令及时向本所相关交易系统发送各种交易方式的申报指令。证券公司应当对其向交易系统发送的债券交易申报指令的合法性、真实性、准确性及完整性承担相应的法律责任。</w:t>
      </w:r>
    </w:p>
    <w:p w14:paraId="116FBE29">
      <w:pPr>
        <w:numPr>
          <w:ilvl w:val="2"/>
          <w:numId w:val="4"/>
        </w:numPr>
        <w:spacing w:line="600" w:lineRule="exact"/>
        <w:ind w:left="0" w:firstLine="0"/>
        <w:outlineLvl w:val="2"/>
        <w:rPr>
          <w:rFonts w:ascii="仿宋_GB2312" w:hAnsi="仿宋_GB2312" w:eastAsia="仿宋_GB2312" w:cs="仿宋_GB2312"/>
          <w:b/>
          <w:sz w:val="30"/>
          <w:szCs w:val="30"/>
        </w:rPr>
      </w:pPr>
      <w:r>
        <w:rPr>
          <w:rFonts w:hint="eastAsia" w:ascii="仿宋_GB2312" w:hAnsi="仿宋_GB2312" w:eastAsia="仿宋_GB2312" w:cs="仿宋_GB2312"/>
          <w:b/>
          <w:sz w:val="30"/>
          <w:szCs w:val="30"/>
        </w:rPr>
        <w:t>交易服务提供与交易系统接入</w:t>
      </w:r>
    </w:p>
    <w:p w14:paraId="20062985">
      <w:pPr>
        <w:spacing w:line="600" w:lineRule="exact"/>
        <w:ind w:firstLine="600" w:firstLineChars="200"/>
        <w:rPr>
          <w:rFonts w:ascii="仿宋_GB2312" w:eastAsia="仿宋_GB2312"/>
          <w:sz w:val="30"/>
          <w:szCs w:val="30"/>
        </w:rPr>
      </w:pPr>
      <w:r>
        <w:rPr>
          <w:rFonts w:hint="eastAsia" w:ascii="仿宋_GB2312" w:eastAsia="仿宋_GB2312"/>
          <w:sz w:val="30"/>
          <w:szCs w:val="30"/>
        </w:rPr>
        <w:t>经纪客户参与场内交易，原则上应当使用证券公司提供的交易终端进行证券交易业务，通常需联系证券公司安装其提供的交易</w:t>
      </w:r>
      <w:r>
        <w:rPr>
          <w:rFonts w:ascii="仿宋_GB2312" w:eastAsia="仿宋_GB2312"/>
          <w:sz w:val="30"/>
          <w:szCs w:val="30"/>
        </w:rPr>
        <w:t>终端或</w:t>
      </w:r>
      <w:r>
        <w:rPr>
          <w:rFonts w:hint="eastAsia" w:ascii="仿宋_GB2312" w:eastAsia="仿宋_GB2312"/>
          <w:sz w:val="30"/>
          <w:szCs w:val="30"/>
        </w:rPr>
        <w:t>主经纪商系统（即“PB系统”）客户端，部分投资机构也可视实际情况，经证券公司评估同意其使用自身投资管理系统接入交易。</w:t>
      </w:r>
    </w:p>
    <w:p w14:paraId="06050F31">
      <w:pPr>
        <w:spacing w:line="600" w:lineRule="exact"/>
        <w:ind w:firstLine="600" w:firstLineChars="200"/>
        <w:rPr>
          <w:rFonts w:ascii="仿宋_GB2312" w:eastAsia="仿宋_GB2312"/>
          <w:sz w:val="30"/>
          <w:szCs w:val="30"/>
        </w:rPr>
      </w:pPr>
      <w:r>
        <w:rPr>
          <w:rFonts w:hint="eastAsia" w:ascii="仿宋_GB2312" w:eastAsia="仿宋_GB2312"/>
          <w:sz w:val="30"/>
          <w:szCs w:val="30"/>
        </w:rPr>
        <w:t>（1）使用交易终端、PB系统参与</w:t>
      </w:r>
      <w:r>
        <w:rPr>
          <w:rFonts w:ascii="仿宋_GB2312" w:eastAsia="仿宋_GB2312"/>
          <w:sz w:val="30"/>
          <w:szCs w:val="30"/>
        </w:rPr>
        <w:t>交易</w:t>
      </w:r>
    </w:p>
    <w:p w14:paraId="778692CD">
      <w:pPr>
        <w:spacing w:line="600" w:lineRule="exact"/>
        <w:ind w:firstLine="600" w:firstLineChars="200"/>
        <w:rPr>
          <w:rFonts w:ascii="仿宋_GB2312" w:eastAsia="仿宋_GB2312"/>
          <w:sz w:val="30"/>
          <w:szCs w:val="30"/>
        </w:rPr>
      </w:pPr>
      <w:r>
        <w:rPr>
          <w:rFonts w:hint="eastAsia" w:ascii="仿宋_GB2312" w:eastAsia="仿宋_GB2312"/>
          <w:sz w:val="30"/>
          <w:szCs w:val="30"/>
        </w:rPr>
        <w:t>交易终端是指会员传统证券集中交易平台的申报通道，包括但不限于</w:t>
      </w:r>
      <w:r>
        <w:rPr>
          <w:rFonts w:ascii="仿宋_GB2312" w:eastAsia="仿宋_GB2312"/>
          <w:sz w:val="30"/>
          <w:szCs w:val="30"/>
        </w:rPr>
        <w:t>网上交易、移动端交易等，</w:t>
      </w:r>
      <w:r>
        <w:rPr>
          <w:rFonts w:hint="eastAsia" w:ascii="仿宋_GB2312" w:eastAsia="仿宋_GB2312"/>
          <w:sz w:val="30"/>
          <w:szCs w:val="30"/>
        </w:rPr>
        <w:t>可</w:t>
      </w:r>
      <w:r>
        <w:rPr>
          <w:rFonts w:ascii="仿宋_GB2312" w:eastAsia="仿宋_GB2312"/>
          <w:sz w:val="30"/>
          <w:szCs w:val="30"/>
        </w:rPr>
        <w:t>有效支持交易所债券市场的现券匹配成交、</w:t>
      </w:r>
      <w:r>
        <w:rPr>
          <w:rFonts w:hint="eastAsia" w:ascii="仿宋_GB2312" w:eastAsia="仿宋_GB2312"/>
          <w:sz w:val="30"/>
          <w:szCs w:val="30"/>
        </w:rPr>
        <w:t>通用</w:t>
      </w:r>
      <w:r>
        <w:rPr>
          <w:rFonts w:ascii="仿宋_GB2312" w:eastAsia="仿宋_GB2312"/>
          <w:sz w:val="30"/>
          <w:szCs w:val="30"/>
        </w:rPr>
        <w:t>回购</w:t>
      </w:r>
      <w:r>
        <w:rPr>
          <w:rFonts w:hint="eastAsia" w:ascii="仿宋_GB2312" w:eastAsia="仿宋_GB2312"/>
          <w:sz w:val="30"/>
          <w:szCs w:val="30"/>
        </w:rPr>
        <w:t>等业务</w:t>
      </w:r>
      <w:r>
        <w:rPr>
          <w:rFonts w:ascii="仿宋_GB2312" w:eastAsia="仿宋_GB2312"/>
          <w:sz w:val="30"/>
          <w:szCs w:val="30"/>
        </w:rPr>
        <w:t>。</w:t>
      </w:r>
    </w:p>
    <w:p w14:paraId="048E5008">
      <w:pPr>
        <w:spacing w:line="600" w:lineRule="exact"/>
        <w:ind w:firstLine="600" w:firstLineChars="200"/>
        <w:rPr>
          <w:rFonts w:ascii="仿宋_GB2312" w:eastAsia="仿宋_GB2312"/>
          <w:sz w:val="30"/>
          <w:szCs w:val="30"/>
        </w:rPr>
      </w:pPr>
      <w:r>
        <w:rPr>
          <w:rFonts w:hint="eastAsia" w:ascii="仿宋_GB2312" w:eastAsia="仿宋_GB2312"/>
          <w:sz w:val="30"/>
          <w:szCs w:val="30"/>
        </w:rPr>
        <w:t>PB系统是指证券公司为机构客户提供的，集合了投资决策、交易下单、流程审批、风险监控、成交确认、资金处理、投资清算、数据统计等功能的综合金融交易服务系统。目前市场上使用较为普遍的PB系统主要由相关软件供应商开发，也有少部分证券公司的PB系统为自主研发。债券投资者通过PB系统可实现各类债券业务功能，包括：现券交易、回购交易、质押券出入库、债券回售、债券转股/换股、转托管等。</w:t>
      </w:r>
    </w:p>
    <w:p w14:paraId="7DA9EECF">
      <w:pPr>
        <w:spacing w:line="600" w:lineRule="exact"/>
        <w:ind w:firstLine="600" w:firstLineChars="200"/>
        <w:rPr>
          <w:rFonts w:ascii="仿宋_GB2312" w:eastAsia="仿宋_GB2312"/>
          <w:sz w:val="30"/>
          <w:szCs w:val="30"/>
        </w:rPr>
      </w:pPr>
      <w:r>
        <w:rPr>
          <w:rFonts w:hint="eastAsia" w:ascii="仿宋_GB2312" w:eastAsia="仿宋_GB2312"/>
          <w:sz w:val="30"/>
          <w:szCs w:val="30"/>
        </w:rPr>
        <w:t>（2）使用自身投资管理系统接入交易</w:t>
      </w:r>
    </w:p>
    <w:p w14:paraId="3A612361">
      <w:pPr>
        <w:spacing w:line="600" w:lineRule="exact"/>
        <w:ind w:firstLine="600" w:firstLineChars="200"/>
        <w:rPr>
          <w:rFonts w:ascii="仿宋_GB2312" w:eastAsia="仿宋_GB2312"/>
          <w:sz w:val="30"/>
          <w:szCs w:val="30"/>
        </w:rPr>
      </w:pPr>
      <w:r>
        <w:rPr>
          <w:rFonts w:hint="eastAsia" w:ascii="仿宋_GB2312" w:eastAsia="仿宋_GB2312"/>
          <w:sz w:val="30"/>
          <w:szCs w:val="30"/>
        </w:rPr>
        <w:t>公募基金、保险公司及保险资产管理公司、商业银行及商业银行理财机构、期货公司资产管理子公司等金融机构及其管理的各类产品，若证券公司交易终端、</w:t>
      </w:r>
      <w:r>
        <w:rPr>
          <w:rFonts w:ascii="仿宋_GB2312" w:eastAsia="仿宋_GB2312"/>
          <w:sz w:val="30"/>
          <w:szCs w:val="30"/>
        </w:rPr>
        <w:t>PB系统</w:t>
      </w:r>
      <w:r>
        <w:rPr>
          <w:rFonts w:hint="eastAsia" w:ascii="仿宋_GB2312" w:eastAsia="仿宋_GB2312"/>
          <w:sz w:val="30"/>
          <w:szCs w:val="30"/>
        </w:rPr>
        <w:t>无法满足其正常交易需求的，证券公司可在确保合规与风险可控的前提下允许前述债券投资者的相关系统接入。</w:t>
      </w:r>
    </w:p>
    <w:p w14:paraId="08FF81A5">
      <w:pPr>
        <w:spacing w:line="600" w:lineRule="exact"/>
        <w:ind w:firstLine="600" w:firstLineChars="200"/>
        <w:rPr>
          <w:rFonts w:ascii="仿宋_GB2312" w:eastAsia="仿宋_GB2312"/>
          <w:sz w:val="30"/>
          <w:szCs w:val="30"/>
        </w:rPr>
      </w:pPr>
      <w:r>
        <w:rPr>
          <w:rFonts w:hint="eastAsia" w:ascii="仿宋_GB2312" w:eastAsia="仿宋_GB2312"/>
          <w:sz w:val="30"/>
          <w:szCs w:val="30"/>
        </w:rPr>
        <w:t>在前述情况下，相关债券投资者不得将相关系统转让、出借给第三方使用或为第三方提供接入服务，不得借助证券公司提供的接入服务违规出借账户或者违法从事相关业务活动。</w:t>
      </w:r>
    </w:p>
    <w:p w14:paraId="414D0625">
      <w:pPr>
        <w:numPr>
          <w:ilvl w:val="2"/>
          <w:numId w:val="4"/>
        </w:numPr>
        <w:spacing w:line="600" w:lineRule="exact"/>
        <w:ind w:left="0" w:firstLine="0"/>
        <w:outlineLvl w:val="2"/>
        <w:rPr>
          <w:rFonts w:ascii="仿宋_GB2312" w:hAnsi="黑体" w:eastAsia="仿宋_GB2312" w:cs="仿宋_GB2312"/>
          <w:b/>
          <w:sz w:val="30"/>
          <w:szCs w:val="30"/>
        </w:rPr>
      </w:pPr>
      <w:r>
        <w:rPr>
          <w:rFonts w:ascii="仿宋_GB2312" w:hAnsi="黑体" w:eastAsia="仿宋_GB2312" w:cs="仿宋_GB2312"/>
          <w:b/>
          <w:sz w:val="30"/>
          <w:szCs w:val="30"/>
        </w:rPr>
        <w:t>委托指令</w:t>
      </w:r>
    </w:p>
    <w:p w14:paraId="2CE35EBA">
      <w:pPr>
        <w:spacing w:line="600" w:lineRule="exact"/>
        <w:ind w:firstLine="600" w:firstLineChars="200"/>
        <w:rPr>
          <w:rFonts w:ascii="仿宋_GB2312" w:eastAsia="仿宋_GB2312"/>
          <w:sz w:val="30"/>
          <w:szCs w:val="30"/>
        </w:rPr>
      </w:pPr>
      <w:r>
        <w:rPr>
          <w:rFonts w:hint="eastAsia" w:ascii="仿宋_GB2312" w:eastAsia="仿宋_GB2312"/>
          <w:sz w:val="30"/>
          <w:szCs w:val="30"/>
        </w:rPr>
        <w:t>经纪客户要确保本方发出的交易指令所载明的相关内容真实、完整、准确，采用匹配成交方式的委托指令应当包括下列内容：</w:t>
      </w:r>
    </w:p>
    <w:p w14:paraId="3254EC3A">
      <w:pPr>
        <w:spacing w:line="600" w:lineRule="exact"/>
        <w:ind w:firstLine="600" w:firstLineChars="200"/>
        <w:rPr>
          <w:rFonts w:ascii="仿宋_GB2312" w:eastAsia="仿宋_GB2312"/>
          <w:sz w:val="30"/>
          <w:szCs w:val="30"/>
        </w:rPr>
      </w:pPr>
      <w:r>
        <w:rPr>
          <w:rFonts w:hint="eastAsia" w:ascii="仿宋_GB2312" w:eastAsia="仿宋_GB2312"/>
          <w:sz w:val="30"/>
          <w:szCs w:val="30"/>
        </w:rPr>
        <w:t>（1）证券账户号码；</w:t>
      </w:r>
    </w:p>
    <w:p w14:paraId="419C06BF">
      <w:pPr>
        <w:spacing w:line="600" w:lineRule="exact"/>
        <w:ind w:firstLine="600" w:firstLineChars="200"/>
        <w:rPr>
          <w:rFonts w:ascii="仿宋_GB2312" w:eastAsia="仿宋_GB2312"/>
          <w:sz w:val="30"/>
          <w:szCs w:val="30"/>
        </w:rPr>
      </w:pPr>
      <w:r>
        <w:rPr>
          <w:rFonts w:hint="eastAsia" w:ascii="仿宋_GB2312" w:eastAsia="仿宋_GB2312"/>
          <w:sz w:val="30"/>
          <w:szCs w:val="30"/>
        </w:rPr>
        <w:t>（2）证券代码；</w:t>
      </w:r>
    </w:p>
    <w:p w14:paraId="4AFB65C6">
      <w:pPr>
        <w:spacing w:line="600" w:lineRule="exact"/>
        <w:ind w:firstLine="600" w:firstLineChars="200"/>
        <w:rPr>
          <w:rFonts w:ascii="仿宋_GB2312" w:eastAsia="仿宋_GB2312"/>
          <w:sz w:val="30"/>
          <w:szCs w:val="30"/>
        </w:rPr>
      </w:pPr>
      <w:r>
        <w:rPr>
          <w:rFonts w:hint="eastAsia" w:ascii="仿宋_GB2312" w:eastAsia="仿宋_GB2312"/>
          <w:sz w:val="30"/>
          <w:szCs w:val="30"/>
        </w:rPr>
        <w:t>（3）交易方向；</w:t>
      </w:r>
    </w:p>
    <w:p w14:paraId="72362296">
      <w:pPr>
        <w:spacing w:line="600" w:lineRule="exact"/>
        <w:ind w:firstLine="600" w:firstLineChars="200"/>
        <w:rPr>
          <w:rFonts w:ascii="仿宋_GB2312" w:eastAsia="仿宋_GB2312"/>
          <w:sz w:val="30"/>
          <w:szCs w:val="30"/>
        </w:rPr>
      </w:pPr>
      <w:r>
        <w:rPr>
          <w:rFonts w:hint="eastAsia" w:ascii="仿宋_GB2312" w:eastAsia="仿宋_GB2312"/>
          <w:sz w:val="30"/>
          <w:szCs w:val="30"/>
        </w:rPr>
        <w:t>（4）委托数量；</w:t>
      </w:r>
    </w:p>
    <w:p w14:paraId="6473C988">
      <w:pPr>
        <w:spacing w:line="600" w:lineRule="exact"/>
        <w:ind w:firstLine="600" w:firstLineChars="200"/>
        <w:rPr>
          <w:rFonts w:ascii="仿宋_GB2312" w:eastAsia="仿宋_GB2312"/>
          <w:sz w:val="30"/>
          <w:szCs w:val="30"/>
        </w:rPr>
      </w:pPr>
      <w:r>
        <w:rPr>
          <w:rFonts w:hint="eastAsia" w:ascii="仿宋_GB2312" w:eastAsia="仿宋_GB2312"/>
          <w:sz w:val="30"/>
          <w:szCs w:val="30"/>
        </w:rPr>
        <w:t>（5）委托价格；</w:t>
      </w:r>
    </w:p>
    <w:p w14:paraId="14D92A81">
      <w:pPr>
        <w:spacing w:line="600" w:lineRule="exact"/>
        <w:ind w:firstLine="600" w:firstLineChars="200"/>
        <w:rPr>
          <w:rFonts w:ascii="仿宋_GB2312" w:eastAsia="仿宋_GB2312"/>
          <w:sz w:val="30"/>
          <w:szCs w:val="30"/>
        </w:rPr>
      </w:pPr>
      <w:r>
        <w:rPr>
          <w:rFonts w:hint="eastAsia" w:ascii="仿宋_GB2312" w:eastAsia="仿宋_GB2312"/>
          <w:sz w:val="30"/>
          <w:szCs w:val="30"/>
        </w:rPr>
        <w:t>（6）本所及会员要求的其他内容</w:t>
      </w:r>
    </w:p>
    <w:p w14:paraId="3E33D262">
      <w:pPr>
        <w:spacing w:line="600" w:lineRule="exact"/>
        <w:ind w:firstLine="600" w:firstLineChars="200"/>
        <w:rPr>
          <w:rFonts w:ascii="仿宋_GB2312" w:eastAsia="仿宋_GB2312"/>
          <w:sz w:val="30"/>
          <w:szCs w:val="30"/>
        </w:rPr>
      </w:pPr>
      <w:r>
        <w:rPr>
          <w:rFonts w:hint="eastAsia" w:ascii="仿宋_GB2312" w:eastAsia="仿宋_GB2312"/>
          <w:sz w:val="30"/>
          <w:szCs w:val="30"/>
        </w:rPr>
        <w:t>采用匹配成交方式的，经纪客户仅允许采用限价委托的方式委托证券公司下达委托指令。</w:t>
      </w:r>
    </w:p>
    <w:p w14:paraId="64DD271F">
      <w:pPr>
        <w:spacing w:line="600" w:lineRule="exact"/>
        <w:ind w:firstLine="600" w:firstLineChars="200"/>
        <w:rPr>
          <w:rFonts w:ascii="仿宋_GB2312" w:eastAsia="仿宋_GB2312"/>
          <w:sz w:val="30"/>
          <w:szCs w:val="30"/>
        </w:rPr>
      </w:pPr>
      <w:r>
        <w:rPr>
          <w:rFonts w:hint="eastAsia" w:ascii="仿宋_GB2312" w:eastAsia="仿宋_GB2312"/>
          <w:sz w:val="30"/>
          <w:szCs w:val="30"/>
        </w:rPr>
        <w:t>经纪客户采用点击成交、询价成交、竞买成交、协商成交等交易方式的委托指令内容，应当包含本指南第</w:t>
      </w:r>
      <w:r>
        <w:rPr>
          <w:rFonts w:ascii="仿宋_GB2312" w:eastAsia="仿宋_GB2312"/>
          <w:sz w:val="30"/>
          <w:szCs w:val="30"/>
        </w:rPr>
        <w:t>5</w:t>
      </w:r>
      <w:r>
        <w:rPr>
          <w:rFonts w:hint="eastAsia" w:ascii="仿宋_GB2312" w:eastAsia="仿宋_GB2312"/>
          <w:sz w:val="30"/>
          <w:szCs w:val="30"/>
        </w:rPr>
        <w:t>章中各交易方式所对应的申报要素。</w:t>
      </w:r>
    </w:p>
    <w:p w14:paraId="4CB7CEA1">
      <w:pPr>
        <w:spacing w:line="600" w:lineRule="exact"/>
        <w:ind w:firstLine="600" w:firstLineChars="200"/>
        <w:rPr>
          <w:rFonts w:ascii="仿宋_GB2312" w:eastAsia="仿宋_GB2312"/>
          <w:sz w:val="30"/>
          <w:szCs w:val="30"/>
        </w:rPr>
      </w:pPr>
      <w:r>
        <w:rPr>
          <w:rFonts w:hint="eastAsia" w:ascii="仿宋_GB2312" w:eastAsia="仿宋_GB2312"/>
          <w:sz w:val="30"/>
          <w:szCs w:val="30"/>
        </w:rPr>
        <w:t>经纪客户可通过交易终端、证券公司PB系统客户端或向证券公司书面报单等方式下达债券交易委托。经纪客户委托证券公司申报并达成债券交易的，应当及时向证券公司交付相应的债券或者资金。</w:t>
      </w:r>
    </w:p>
    <w:p w14:paraId="7A3E9CA4">
      <w:pPr>
        <w:spacing w:line="600" w:lineRule="exact"/>
        <w:ind w:firstLine="600" w:firstLineChars="200"/>
        <w:rPr>
          <w:rFonts w:ascii="仿宋_GB2312" w:eastAsia="仿宋_GB2312"/>
          <w:sz w:val="30"/>
          <w:szCs w:val="30"/>
        </w:rPr>
      </w:pPr>
      <w:r>
        <w:rPr>
          <w:rFonts w:hint="eastAsia" w:ascii="仿宋_GB2312" w:eastAsia="仿宋_GB2312"/>
          <w:sz w:val="30"/>
          <w:szCs w:val="30"/>
        </w:rPr>
        <w:t>证券公司应当建立完善的投资者适当性管理制度和债券交易监测监控系统，按照本所会员管理相关规则，对其经纪客户的债券交易委托指令进行核查，完成验资或验券操作后，冻结该客户账户资金或相应的债券。对不符合相关规定或可能严重影响正常交易秩序的委托指令应当拒绝接受。</w:t>
      </w:r>
    </w:p>
    <w:p w14:paraId="5FC52635">
      <w:pPr>
        <w:numPr>
          <w:ilvl w:val="2"/>
          <w:numId w:val="4"/>
        </w:numPr>
        <w:spacing w:line="600" w:lineRule="exact"/>
        <w:ind w:left="0" w:firstLine="0"/>
        <w:outlineLvl w:val="2"/>
        <w:rPr>
          <w:rFonts w:ascii="仿宋_GB2312" w:hAnsi="黑体" w:eastAsia="仿宋_GB2312" w:cs="仿宋_GB2312"/>
          <w:b/>
          <w:sz w:val="30"/>
          <w:szCs w:val="30"/>
        </w:rPr>
      </w:pPr>
      <w:r>
        <w:rPr>
          <w:rFonts w:ascii="仿宋_GB2312" w:hAnsi="黑体" w:eastAsia="仿宋_GB2312" w:cs="仿宋_GB2312"/>
          <w:b/>
          <w:sz w:val="30"/>
          <w:szCs w:val="30"/>
        </w:rPr>
        <w:t>委托撤销</w:t>
      </w:r>
      <w:r>
        <w:rPr>
          <w:rFonts w:hint="eastAsia" w:ascii="仿宋_GB2312" w:hAnsi="黑体" w:eastAsia="仿宋_GB2312" w:cs="仿宋_GB2312"/>
          <w:b/>
          <w:sz w:val="30"/>
          <w:szCs w:val="30"/>
        </w:rPr>
        <w:t>和交易解除</w:t>
      </w:r>
    </w:p>
    <w:p w14:paraId="507BF4B5">
      <w:pPr>
        <w:pStyle w:val="90"/>
        <w:adjustRightInd w:val="0"/>
        <w:snapToGrid w:val="0"/>
        <w:spacing w:line="600" w:lineRule="exact"/>
        <w:ind w:firstLine="600"/>
        <w:rPr>
          <w:rFonts w:hAnsi="Times New Roman"/>
          <w:sz w:val="30"/>
          <w:szCs w:val="30"/>
        </w:rPr>
      </w:pPr>
      <w:r>
        <w:rPr>
          <w:rFonts w:hint="eastAsia" w:hAnsi="Times New Roman"/>
          <w:sz w:val="30"/>
          <w:szCs w:val="30"/>
        </w:rPr>
        <w:t>经纪客户按照与证券公司的协定，可通过交易终端、证券公司PB系统客户端或向证券公司书面报单等方式撤销委托指令的未成交部分。</w:t>
      </w:r>
    </w:p>
    <w:p w14:paraId="5225FF51">
      <w:pPr>
        <w:pStyle w:val="90"/>
        <w:adjustRightInd w:val="0"/>
        <w:snapToGrid w:val="0"/>
        <w:spacing w:line="600" w:lineRule="exact"/>
        <w:ind w:firstLine="600"/>
        <w:rPr>
          <w:rFonts w:hAnsi="Times New Roman"/>
          <w:sz w:val="30"/>
          <w:szCs w:val="30"/>
        </w:rPr>
      </w:pPr>
      <w:r>
        <w:rPr>
          <w:rFonts w:hint="eastAsia" w:hAnsi="Times New Roman"/>
          <w:sz w:val="30"/>
          <w:szCs w:val="30"/>
        </w:rPr>
        <w:t>经纪客户若通过交易终端、证券公司PB系统客户端下达债券交易委托的，对于未成交部分，客户可通过</w:t>
      </w:r>
      <w:r>
        <w:rPr>
          <w:rFonts w:hAnsi="Times New Roman"/>
          <w:sz w:val="30"/>
          <w:szCs w:val="30"/>
        </w:rPr>
        <w:t>原方式</w:t>
      </w:r>
      <w:r>
        <w:rPr>
          <w:rFonts w:hint="eastAsia" w:hAnsi="Times New Roman"/>
          <w:sz w:val="30"/>
          <w:szCs w:val="30"/>
        </w:rPr>
        <w:t>下达撤销原委托的指令；经纪客户若以书面方式向证券公司进行债券交易委托的，对于未成交部分，同样以书面方式向证券公司下达撤销原委托的指令。证券公司在收到经纪客户撤销委托后，应准确及时地执行撤销委托指令的提交。</w:t>
      </w:r>
    </w:p>
    <w:p w14:paraId="64F7700B">
      <w:pPr>
        <w:pStyle w:val="90"/>
        <w:adjustRightInd w:val="0"/>
        <w:snapToGrid w:val="0"/>
        <w:spacing w:line="600" w:lineRule="exact"/>
        <w:ind w:firstLine="600"/>
        <w:rPr>
          <w:rFonts w:hAnsi="Times New Roman"/>
          <w:sz w:val="30"/>
          <w:szCs w:val="30"/>
        </w:rPr>
      </w:pPr>
      <w:r>
        <w:rPr>
          <w:rFonts w:hint="eastAsia" w:hAnsi="Times New Roman"/>
          <w:sz w:val="30"/>
          <w:szCs w:val="30"/>
        </w:rPr>
        <w:t>被撤销和失效的委托，证券公司应当在确认后及时向经纪客户返还相应的资金或者债券。</w:t>
      </w:r>
    </w:p>
    <w:p w14:paraId="2314F968">
      <w:pPr>
        <w:numPr>
          <w:ilvl w:val="2"/>
          <w:numId w:val="4"/>
        </w:numPr>
        <w:spacing w:line="600" w:lineRule="exact"/>
        <w:ind w:left="0" w:firstLine="0"/>
        <w:outlineLvl w:val="2"/>
        <w:rPr>
          <w:rFonts w:ascii="仿宋_GB2312" w:eastAsia="仿宋_GB2312"/>
          <w:b/>
          <w:sz w:val="30"/>
          <w:szCs w:val="30"/>
        </w:rPr>
      </w:pPr>
      <w:r>
        <w:rPr>
          <w:rFonts w:ascii="仿宋_GB2312" w:eastAsia="仿宋_GB2312"/>
          <w:b/>
          <w:sz w:val="30"/>
          <w:szCs w:val="30"/>
        </w:rPr>
        <w:t>交易数据传输</w:t>
      </w:r>
    </w:p>
    <w:p w14:paraId="40F2199F">
      <w:pPr>
        <w:pStyle w:val="90"/>
        <w:adjustRightInd w:val="0"/>
        <w:snapToGrid w:val="0"/>
        <w:spacing w:line="600" w:lineRule="exact"/>
        <w:ind w:firstLine="600"/>
        <w:rPr>
          <w:rFonts w:hAnsi="Times New Roman"/>
          <w:sz w:val="30"/>
          <w:szCs w:val="30"/>
        </w:rPr>
      </w:pPr>
      <w:r>
        <w:rPr>
          <w:rFonts w:hint="eastAsia" w:hAnsi="Times New Roman"/>
          <w:sz w:val="30"/>
          <w:szCs w:val="30"/>
        </w:rPr>
        <w:t>经纪客户如采用证券公司PB系统客户终端或自有系统接入证券公司柜台系统提交委托指令时，可在日间实时或日终获取导出委托记录、成交回报、交易流水、资金头寸等数据。</w:t>
      </w:r>
    </w:p>
    <w:p w14:paraId="69B14C42">
      <w:pPr>
        <w:pStyle w:val="90"/>
        <w:adjustRightInd w:val="0"/>
        <w:snapToGrid w:val="0"/>
        <w:spacing w:line="600" w:lineRule="exact"/>
        <w:ind w:firstLine="600"/>
        <w:rPr>
          <w:rFonts w:hAnsi="Times New Roman"/>
          <w:sz w:val="30"/>
          <w:szCs w:val="30"/>
        </w:rPr>
      </w:pPr>
      <w:r>
        <w:rPr>
          <w:rFonts w:hint="eastAsia" w:hAnsi="Times New Roman"/>
          <w:sz w:val="30"/>
          <w:szCs w:val="30"/>
        </w:rPr>
        <w:t>经纪客户可与证券公司约定交易结算数据的接收方式及接收时点，证券公司应当保证如实向其经纪客户转发指定交易单元上的交易结算数据（可根据实际情况一次或多次转发交易结算数据）。证券公司还需按照约定时间，在其交易系统清算后，及时将资金账户电子对账单按约定方式发送给经纪客户，若经纪客户对电子对账单数据有疑义，证券公司应当协助排查问题原因，错误方应及时修正。</w:t>
      </w:r>
    </w:p>
    <w:p w14:paraId="7BF1CC93">
      <w:pPr>
        <w:numPr>
          <w:ilvl w:val="2"/>
          <w:numId w:val="4"/>
        </w:numPr>
        <w:spacing w:line="600" w:lineRule="exact"/>
        <w:ind w:left="0" w:firstLine="0"/>
        <w:outlineLvl w:val="2"/>
        <w:rPr>
          <w:sz w:val="30"/>
          <w:szCs w:val="30"/>
        </w:rPr>
      </w:pPr>
      <w:r>
        <w:rPr>
          <w:rFonts w:hint="eastAsia" w:ascii="仿宋_GB2312" w:eastAsia="仿宋_GB2312"/>
          <w:b/>
          <w:sz w:val="30"/>
          <w:szCs w:val="30"/>
        </w:rPr>
        <w:t>境外机构投资者信息报送</w:t>
      </w:r>
    </w:p>
    <w:p w14:paraId="4D6DBC07">
      <w:pPr>
        <w:autoSpaceDE w:val="0"/>
        <w:autoSpaceDN w:val="0"/>
        <w:adjustRightInd w:val="0"/>
        <w:snapToGrid w:val="0"/>
        <w:spacing w:line="600" w:lineRule="exact"/>
        <w:ind w:firstLine="600" w:firstLineChars="200"/>
        <w:rPr>
          <w:rFonts w:ascii="仿宋_GB2312" w:hAnsi="华文细黑" w:eastAsia="仿宋_GB2312" w:cs="华文细黑"/>
          <w:color w:val="000000"/>
          <w:sz w:val="30"/>
          <w:szCs w:val="30"/>
        </w:rPr>
      </w:pPr>
      <w:r>
        <w:rPr>
          <w:rFonts w:hint="eastAsia" w:ascii="仿宋_GB2312" w:hAnsi="华文细黑" w:eastAsia="仿宋_GB2312" w:cs="华文细黑"/>
          <w:color w:val="000000"/>
          <w:sz w:val="30"/>
          <w:szCs w:val="30"/>
        </w:rPr>
        <w:t>境外机构投资者应当与境内托管人签署信息报送相关委托书。托管人应在境外投资者账户开立之日起5个交易日内，向本所报送境外机构投资者基本信息、托管人基本信息及交易参与人基本信息。报送材料均应加盖机构公章或由主要负责人签字：</w:t>
      </w:r>
    </w:p>
    <w:p w14:paraId="440E5E8A">
      <w:pPr>
        <w:autoSpaceDE w:val="0"/>
        <w:autoSpaceDN w:val="0"/>
        <w:adjustRightInd w:val="0"/>
        <w:snapToGrid w:val="0"/>
        <w:spacing w:line="600" w:lineRule="exact"/>
        <w:ind w:firstLine="600" w:firstLineChars="200"/>
        <w:rPr>
          <w:rFonts w:ascii="仿宋_GB2312" w:hAnsi="华文细黑" w:eastAsia="仿宋_GB2312" w:cs="华文细黑"/>
          <w:color w:val="000000"/>
          <w:sz w:val="30"/>
          <w:szCs w:val="30"/>
        </w:rPr>
      </w:pPr>
      <w:r>
        <w:rPr>
          <w:rFonts w:hint="eastAsia" w:ascii="仿宋_GB2312" w:hAnsi="宋体" w:eastAsia="仿宋_GB2312" w:cs="宋体"/>
          <w:kern w:val="0"/>
          <w:sz w:val="30"/>
          <w:szCs w:val="30"/>
        </w:rPr>
        <w:t>（1）境外机构投资者信息报送表（附件4，</w:t>
      </w:r>
      <w:r>
        <w:rPr>
          <w:rFonts w:hint="eastAsia" w:ascii="仿宋_GB2312" w:hAnsi="华文细黑" w:eastAsia="仿宋_GB2312" w:cs="华文细黑"/>
          <w:color w:val="000000"/>
          <w:sz w:val="30"/>
          <w:szCs w:val="30"/>
        </w:rPr>
        <w:t>需加盖境外机构投资者印鉴或由主要负责人签字）；</w:t>
      </w:r>
    </w:p>
    <w:p w14:paraId="752C1181">
      <w:pPr>
        <w:autoSpaceDE w:val="0"/>
        <w:autoSpaceDN w:val="0"/>
        <w:adjustRightInd w:val="0"/>
        <w:snapToGrid w:val="0"/>
        <w:spacing w:line="600" w:lineRule="exact"/>
        <w:ind w:firstLine="600" w:firstLineChars="200"/>
        <w:rPr>
          <w:rFonts w:ascii="仿宋_GB2312" w:hAnsi="华文细黑" w:eastAsia="仿宋_GB2312" w:cs="华文细黑"/>
          <w:color w:val="000000"/>
          <w:sz w:val="30"/>
          <w:szCs w:val="30"/>
        </w:rPr>
      </w:pPr>
      <w:r>
        <w:rPr>
          <w:rFonts w:hint="eastAsia" w:ascii="仿宋_GB2312" w:hAnsi="华文细黑" w:eastAsia="仿宋_GB2312" w:cs="华文细黑"/>
          <w:color w:val="000000"/>
          <w:sz w:val="30"/>
          <w:szCs w:val="30"/>
        </w:rPr>
        <w:t>（2）中国人民银行或中国人民银行上海总部向境外机构投资者出具的备案证明文件复印件（需加盖境外机构投资者印鉴或由主要负责人签字）；</w:t>
      </w:r>
    </w:p>
    <w:p w14:paraId="78246C88">
      <w:pPr>
        <w:autoSpaceDE w:val="0"/>
        <w:autoSpaceDN w:val="0"/>
        <w:adjustRightInd w:val="0"/>
        <w:snapToGrid w:val="0"/>
        <w:spacing w:line="600" w:lineRule="exact"/>
        <w:ind w:firstLine="600" w:firstLineChars="200"/>
        <w:rPr>
          <w:rFonts w:ascii="仿宋_GB2312" w:hAnsi="华文细黑" w:eastAsia="仿宋_GB2312" w:cs="华文细黑"/>
          <w:color w:val="000000"/>
          <w:sz w:val="30"/>
          <w:szCs w:val="30"/>
        </w:rPr>
      </w:pPr>
      <w:r>
        <w:rPr>
          <w:rFonts w:hint="eastAsia" w:ascii="仿宋_GB2312" w:hAnsi="华文细黑" w:eastAsia="仿宋_GB2312" w:cs="华文细黑"/>
          <w:color w:val="000000"/>
          <w:sz w:val="30"/>
          <w:szCs w:val="30"/>
        </w:rPr>
        <w:t>（3）上交所要求的其他材料。</w:t>
      </w:r>
    </w:p>
    <w:p w14:paraId="539A9A75">
      <w:pPr>
        <w:spacing w:line="600" w:lineRule="exact"/>
        <w:ind w:firstLine="600" w:firstLineChars="200"/>
        <w:textAlignment w:val="center"/>
        <w:rPr>
          <w:rFonts w:ascii="仿宋_GB2312" w:hAnsi="华文细黑" w:eastAsia="仿宋_GB2312" w:cs="华文细黑"/>
          <w:color w:val="000000"/>
          <w:sz w:val="30"/>
          <w:szCs w:val="30"/>
        </w:rPr>
      </w:pPr>
      <w:r>
        <w:rPr>
          <w:rFonts w:hint="eastAsia" w:ascii="仿宋_GB2312" w:hAnsi="华文细黑" w:eastAsia="仿宋_GB2312" w:cs="华文细黑"/>
          <w:color w:val="000000"/>
          <w:sz w:val="30"/>
          <w:szCs w:val="30"/>
        </w:rPr>
        <w:t>境外机构投资者存在下列情形之一的，其托管人应当在该事实发生之日或客户通知之日起</w:t>
      </w:r>
      <w:r>
        <w:rPr>
          <w:rFonts w:ascii="仿宋_GB2312" w:hAnsi="华文细黑" w:eastAsia="仿宋_GB2312" w:cs="华文细黑"/>
          <w:color w:val="000000"/>
          <w:sz w:val="30"/>
          <w:szCs w:val="30"/>
        </w:rPr>
        <w:t>5个</w:t>
      </w:r>
      <w:r>
        <w:rPr>
          <w:rFonts w:hint="eastAsia" w:ascii="仿宋_GB2312" w:hAnsi="华文细黑" w:eastAsia="仿宋_GB2312" w:cs="华文细黑"/>
          <w:color w:val="000000"/>
          <w:sz w:val="30"/>
          <w:szCs w:val="30"/>
        </w:rPr>
        <w:t>交易日内将有关情况报送上交所：</w:t>
      </w:r>
    </w:p>
    <w:p w14:paraId="74439C4F">
      <w:pPr>
        <w:spacing w:line="600" w:lineRule="exact"/>
        <w:ind w:firstLine="600" w:firstLineChars="200"/>
        <w:textAlignment w:val="center"/>
        <w:rPr>
          <w:rFonts w:ascii="仿宋_GB2312" w:hAnsi="华文细黑" w:eastAsia="仿宋_GB2312" w:cs="华文细黑"/>
          <w:color w:val="000000"/>
          <w:sz w:val="30"/>
          <w:szCs w:val="30"/>
        </w:rPr>
      </w:pPr>
      <w:r>
        <w:rPr>
          <w:rFonts w:hint="eastAsia" w:ascii="仿宋_GB2312" w:hAnsi="华文细黑" w:eastAsia="仿宋_GB2312" w:cs="华文细黑"/>
          <w:color w:val="000000"/>
          <w:sz w:val="30"/>
          <w:szCs w:val="30"/>
        </w:rPr>
        <w:t>（1）指定或变更托管人；</w:t>
      </w:r>
      <w:r>
        <w:rPr>
          <w:rFonts w:ascii="仿宋_GB2312" w:hAnsi="华文细黑" w:eastAsia="仿宋_GB2312" w:cs="华文细黑"/>
          <w:color w:val="000000"/>
          <w:sz w:val="30"/>
          <w:szCs w:val="30"/>
        </w:rPr>
        <w:t xml:space="preserve">  </w:t>
      </w:r>
    </w:p>
    <w:p w14:paraId="4B785470">
      <w:pPr>
        <w:spacing w:line="600" w:lineRule="exact"/>
        <w:ind w:left="150" w:firstLine="450" w:firstLineChars="150"/>
        <w:textAlignment w:val="center"/>
        <w:rPr>
          <w:rFonts w:ascii="仿宋_GB2312" w:hAnsi="华文细黑" w:eastAsia="仿宋_GB2312" w:cs="华文细黑"/>
          <w:color w:val="000000"/>
          <w:sz w:val="30"/>
          <w:szCs w:val="30"/>
        </w:rPr>
      </w:pPr>
      <w:r>
        <w:rPr>
          <w:rFonts w:hint="eastAsia" w:ascii="仿宋_GB2312" w:hAnsi="华文细黑" w:eastAsia="仿宋_GB2312" w:cs="华文细黑"/>
          <w:color w:val="000000"/>
          <w:sz w:val="30"/>
          <w:szCs w:val="30"/>
        </w:rPr>
        <w:t>（2）开立、注销证券账户，指定或变更交易参与人、结算参与人；</w:t>
      </w:r>
    </w:p>
    <w:p w14:paraId="225F8476">
      <w:pPr>
        <w:spacing w:line="600" w:lineRule="exact"/>
        <w:ind w:firstLine="600" w:firstLineChars="200"/>
        <w:textAlignment w:val="center"/>
        <w:rPr>
          <w:rFonts w:ascii="仿宋_GB2312" w:hAnsi="华文细黑" w:eastAsia="仿宋_GB2312" w:cs="华文细黑"/>
          <w:color w:val="000000"/>
          <w:sz w:val="30"/>
          <w:szCs w:val="30"/>
        </w:rPr>
      </w:pPr>
      <w:r>
        <w:rPr>
          <w:rFonts w:hint="eastAsia" w:ascii="仿宋_GB2312" w:hAnsi="华文细黑" w:eastAsia="仿宋_GB2312" w:cs="华文细黑"/>
          <w:color w:val="000000"/>
          <w:sz w:val="30"/>
          <w:szCs w:val="30"/>
        </w:rPr>
        <w:t>（3）变更机构名称、注册地、业务联系人等基本信息；</w:t>
      </w:r>
    </w:p>
    <w:p w14:paraId="193604CE">
      <w:pPr>
        <w:spacing w:line="600" w:lineRule="exact"/>
        <w:ind w:firstLine="600" w:firstLineChars="200"/>
        <w:textAlignment w:val="center"/>
        <w:rPr>
          <w:rFonts w:ascii="仿宋_GB2312" w:hAnsi="华文细黑" w:eastAsia="仿宋_GB2312" w:cs="华文细黑"/>
          <w:color w:val="000000"/>
          <w:sz w:val="30"/>
          <w:szCs w:val="30"/>
        </w:rPr>
      </w:pPr>
      <w:r>
        <w:rPr>
          <w:rFonts w:hint="eastAsia" w:ascii="仿宋_GB2312" w:hAnsi="华文细黑" w:eastAsia="仿宋_GB2312" w:cs="华文细黑"/>
          <w:color w:val="000000"/>
          <w:sz w:val="30"/>
          <w:szCs w:val="30"/>
        </w:rPr>
        <w:t>（4）解散、宣告破产或者被其他机构合并；</w:t>
      </w:r>
    </w:p>
    <w:p w14:paraId="414D9C32">
      <w:pPr>
        <w:spacing w:line="600" w:lineRule="exact"/>
        <w:ind w:firstLine="600" w:firstLineChars="200"/>
        <w:textAlignment w:val="center"/>
        <w:rPr>
          <w:rFonts w:ascii="仿宋_GB2312" w:hAnsi="华文细黑" w:eastAsia="仿宋_GB2312" w:cs="华文细黑"/>
          <w:color w:val="000000"/>
          <w:sz w:val="30"/>
          <w:szCs w:val="30"/>
        </w:rPr>
      </w:pPr>
      <w:r>
        <w:rPr>
          <w:rFonts w:hint="eastAsia" w:ascii="仿宋_GB2312" w:hAnsi="华文细黑" w:eastAsia="仿宋_GB2312" w:cs="华文细黑"/>
          <w:color w:val="000000"/>
          <w:sz w:val="30"/>
          <w:szCs w:val="30"/>
        </w:rPr>
        <w:t>（5）涉及境内外重大诉讼或其他重大事件；</w:t>
      </w:r>
    </w:p>
    <w:p w14:paraId="6D776D9B">
      <w:pPr>
        <w:spacing w:line="600" w:lineRule="exact"/>
        <w:ind w:firstLine="600" w:firstLineChars="200"/>
        <w:textAlignment w:val="center"/>
        <w:rPr>
          <w:rFonts w:ascii="仿宋_GB2312" w:hAnsi="华文细黑" w:eastAsia="仿宋_GB2312" w:cs="华文细黑"/>
          <w:color w:val="000000"/>
          <w:sz w:val="30"/>
          <w:szCs w:val="30"/>
        </w:rPr>
      </w:pPr>
      <w:r>
        <w:rPr>
          <w:rFonts w:hint="eastAsia" w:ascii="仿宋_GB2312" w:hAnsi="华文细黑" w:eastAsia="仿宋_GB2312" w:cs="华文细黑"/>
          <w:color w:val="000000"/>
          <w:sz w:val="30"/>
          <w:szCs w:val="30"/>
        </w:rPr>
        <w:t>（6）在境内外受到重大处罚；</w:t>
      </w:r>
    </w:p>
    <w:p w14:paraId="1F4AF775">
      <w:pPr>
        <w:spacing w:line="600" w:lineRule="exact"/>
        <w:ind w:firstLine="600" w:firstLineChars="200"/>
        <w:textAlignment w:val="center"/>
        <w:rPr>
          <w:rFonts w:ascii="仿宋_GB2312" w:hAnsi="华文细黑" w:eastAsia="仿宋_GB2312" w:cs="华文细黑"/>
          <w:color w:val="000000"/>
          <w:sz w:val="30"/>
          <w:szCs w:val="30"/>
        </w:rPr>
      </w:pPr>
      <w:r>
        <w:rPr>
          <w:rFonts w:hint="eastAsia" w:ascii="仿宋_GB2312" w:hAnsi="华文细黑" w:eastAsia="仿宋_GB2312" w:cs="华文细黑"/>
          <w:color w:val="000000"/>
          <w:sz w:val="30"/>
          <w:szCs w:val="30"/>
        </w:rPr>
        <w:t>（7）受到自律管理措施；</w:t>
      </w:r>
    </w:p>
    <w:p w14:paraId="12A807F6">
      <w:pPr>
        <w:spacing w:line="600" w:lineRule="exact"/>
        <w:ind w:firstLine="600" w:firstLineChars="200"/>
        <w:textAlignment w:val="center"/>
        <w:rPr>
          <w:rFonts w:ascii="仿宋_GB2312" w:hAnsi="华文细黑" w:eastAsia="仿宋_GB2312" w:cs="华文细黑"/>
          <w:color w:val="000000"/>
          <w:sz w:val="30"/>
          <w:szCs w:val="30"/>
        </w:rPr>
      </w:pPr>
      <w:r>
        <w:rPr>
          <w:rFonts w:hint="eastAsia" w:ascii="仿宋_GB2312" w:hAnsi="华文细黑" w:eastAsia="仿宋_GB2312" w:cs="华文细黑"/>
          <w:color w:val="000000"/>
          <w:sz w:val="30"/>
          <w:szCs w:val="30"/>
        </w:rPr>
        <w:t>（8）受到中国证监会、中国人民银行或国家外汇管理局处罚；</w:t>
      </w:r>
    </w:p>
    <w:p w14:paraId="15E44B0A">
      <w:pPr>
        <w:spacing w:line="600" w:lineRule="exact"/>
        <w:ind w:firstLine="600" w:firstLineChars="200"/>
        <w:rPr>
          <w:rFonts w:ascii="仿宋_GB2312" w:eastAsia="仿宋_GB2312"/>
          <w:sz w:val="30"/>
          <w:szCs w:val="30"/>
        </w:rPr>
      </w:pPr>
      <w:r>
        <w:rPr>
          <w:rFonts w:hint="eastAsia" w:ascii="仿宋_GB2312" w:hAnsi="华文细黑" w:eastAsia="仿宋_GB2312" w:cs="华文细黑"/>
          <w:color w:val="000000"/>
          <w:sz w:val="30"/>
          <w:szCs w:val="30"/>
        </w:rPr>
        <w:t>（9）有关监管机构以及上交所、中国结算规定的其他情形。</w:t>
      </w:r>
    </w:p>
    <w:p w14:paraId="23E3D154">
      <w:pPr>
        <w:spacing w:line="600" w:lineRule="exact"/>
        <w:ind w:firstLine="600" w:firstLineChars="200"/>
        <w:rPr>
          <w:rFonts w:ascii="仿宋_GB2312" w:hAnsi="华文细黑" w:eastAsia="仿宋_GB2312" w:cs="华文细黑"/>
          <w:color w:val="000000"/>
          <w:sz w:val="30"/>
          <w:szCs w:val="30"/>
        </w:rPr>
      </w:pPr>
      <w:r>
        <w:rPr>
          <w:rFonts w:hint="eastAsia" w:ascii="仿宋_GB2312" w:hAnsi="华文细黑" w:eastAsia="仿宋_GB2312" w:cs="华文细黑"/>
          <w:color w:val="000000"/>
          <w:sz w:val="30"/>
          <w:szCs w:val="30"/>
        </w:rPr>
        <w:t>业务初期，托管人可将相关材料扫描件通过电子邮件发送至本所邮箱bondtrading@sse.com.cn，邮件标题注明“境外机构投资者信息报送”。电子报送实施时间另行通知。</w:t>
      </w:r>
    </w:p>
    <w:p w14:paraId="5E10C842">
      <w:pPr>
        <w:pStyle w:val="90"/>
        <w:adjustRightInd w:val="0"/>
        <w:snapToGrid w:val="0"/>
        <w:spacing w:line="600" w:lineRule="exact"/>
        <w:ind w:firstLine="600"/>
        <w:rPr>
          <w:rFonts w:hAnsi="Times New Roman"/>
          <w:sz w:val="30"/>
          <w:szCs w:val="30"/>
        </w:rPr>
      </w:pPr>
      <w:r>
        <w:rPr>
          <w:rFonts w:hint="eastAsia" w:hAnsi="华文细黑" w:cs="华文细黑"/>
          <w:color w:val="000000"/>
          <w:sz w:val="30"/>
          <w:szCs w:val="30"/>
        </w:rPr>
        <w:t>境外机构投资者参与上交所债券投资业务的具体要求，参见《上海证券交易所 中国证券登记结算有限责任公司境外机构投资者债券交易及登记结算业务实施细则》（</w:t>
      </w:r>
      <w:r>
        <w:rPr>
          <w:rFonts w:hint="eastAsia" w:hAnsi="华文细黑" w:cs="华文细黑"/>
          <w:color w:val="000000"/>
          <w:sz w:val="30"/>
          <w:szCs w:val="30"/>
        </w:rPr>
        <w:tab/>
      </w:r>
      <w:r>
        <w:fldChar w:fldCharType="begin"/>
      </w:r>
      <w:r>
        <w:instrText xml:space="preserve"> HYPERLINK "http://www.sse.com.cn/lawandrules/sselawsrules/bond/trading/currency/c/c_20220628_5704754.shtml" </w:instrText>
      </w:r>
      <w:r>
        <w:fldChar w:fldCharType="separate"/>
      </w:r>
      <w:r>
        <w:rPr>
          <w:rStyle w:val="51"/>
          <w:rFonts w:hAnsi="华文细黑" w:cs="华文细黑"/>
          <w:sz w:val="30"/>
          <w:szCs w:val="30"/>
        </w:rPr>
        <w:t>http://www.sse.com.cn/lawandrules/sselawsrules/bond/trading/currency/c/c_20220628_5704754.shtml</w:t>
      </w:r>
      <w:r>
        <w:rPr>
          <w:rStyle w:val="51"/>
          <w:rFonts w:hAnsi="华文细黑" w:cs="华文细黑"/>
          <w:sz w:val="30"/>
          <w:szCs w:val="30"/>
        </w:rPr>
        <w:fldChar w:fldCharType="end"/>
      </w:r>
      <w:r>
        <w:rPr>
          <w:rFonts w:hint="eastAsia" w:hAnsi="华文细黑" w:cs="华文细黑"/>
          <w:color w:val="000000"/>
          <w:sz w:val="30"/>
          <w:szCs w:val="30"/>
        </w:rPr>
        <w:t>）。</w:t>
      </w:r>
    </w:p>
    <w:p w14:paraId="0A0AA21F">
      <w:pPr>
        <w:numPr>
          <w:ilvl w:val="1"/>
          <w:numId w:val="4"/>
        </w:numPr>
        <w:spacing w:line="600" w:lineRule="exact"/>
        <w:ind w:left="0" w:firstLine="0"/>
        <w:outlineLvl w:val="1"/>
        <w:rPr>
          <w:rFonts w:ascii="仿宋_GB2312" w:eastAsia="仿宋_GB2312"/>
          <w:b/>
          <w:sz w:val="30"/>
          <w:szCs w:val="30"/>
        </w:rPr>
      </w:pPr>
      <w:bookmarkStart w:id="263" w:name="_Toc59034073"/>
      <w:bookmarkEnd w:id="263"/>
      <w:bookmarkStart w:id="264" w:name="_Toc60327076"/>
      <w:bookmarkEnd w:id="264"/>
      <w:bookmarkStart w:id="265" w:name="_Toc59181170"/>
      <w:bookmarkEnd w:id="265"/>
      <w:bookmarkStart w:id="266" w:name="_Toc59034552"/>
      <w:bookmarkEnd w:id="266"/>
      <w:bookmarkStart w:id="267" w:name="_Toc59106956"/>
      <w:bookmarkEnd w:id="267"/>
      <w:bookmarkStart w:id="268" w:name="_Toc59181282"/>
      <w:bookmarkEnd w:id="268"/>
      <w:bookmarkStart w:id="269" w:name="_Toc57908876"/>
      <w:bookmarkEnd w:id="269"/>
      <w:bookmarkStart w:id="270" w:name="_Toc59181058"/>
      <w:bookmarkEnd w:id="270"/>
      <w:bookmarkStart w:id="271" w:name="_Toc60331833"/>
      <w:bookmarkEnd w:id="271"/>
      <w:bookmarkStart w:id="272" w:name="_Toc151136889"/>
      <w:bookmarkStart w:id="273" w:name="_Toc1625253757"/>
      <w:bookmarkStart w:id="274" w:name="_Toc1344098302"/>
      <w:bookmarkStart w:id="275" w:name="_Toc1740875688"/>
      <w:bookmarkStart w:id="276" w:name="_Toc56166070"/>
      <w:bookmarkStart w:id="277" w:name="_Toc56166259"/>
      <w:bookmarkStart w:id="278" w:name="_Toc107580053"/>
      <w:r>
        <w:rPr>
          <w:rFonts w:hint="eastAsia" w:ascii="仿宋_GB2312" w:eastAsia="仿宋_GB2312"/>
          <w:b/>
          <w:sz w:val="30"/>
          <w:szCs w:val="30"/>
        </w:rPr>
        <w:t>券商</w:t>
      </w:r>
      <w:r>
        <w:rPr>
          <w:rFonts w:ascii="仿宋_GB2312" w:eastAsia="仿宋_GB2312"/>
          <w:b/>
          <w:sz w:val="30"/>
          <w:szCs w:val="30"/>
        </w:rPr>
        <w:t>结算</w:t>
      </w:r>
      <w:bookmarkEnd w:id="272"/>
      <w:bookmarkEnd w:id="273"/>
      <w:bookmarkEnd w:id="274"/>
      <w:bookmarkEnd w:id="275"/>
      <w:bookmarkEnd w:id="276"/>
      <w:bookmarkEnd w:id="277"/>
      <w:bookmarkEnd w:id="278"/>
    </w:p>
    <w:p w14:paraId="2267AF06">
      <w:pPr>
        <w:pStyle w:val="90"/>
        <w:adjustRightInd w:val="0"/>
        <w:snapToGrid w:val="0"/>
        <w:spacing w:line="600" w:lineRule="exact"/>
        <w:ind w:firstLine="600"/>
        <w:rPr>
          <w:rFonts w:hAnsi="Times New Roman"/>
          <w:sz w:val="30"/>
          <w:szCs w:val="30"/>
        </w:rPr>
      </w:pPr>
      <w:r>
        <w:rPr>
          <w:rFonts w:hint="eastAsia" w:hAnsi="Times New Roman"/>
          <w:sz w:val="30"/>
          <w:szCs w:val="30"/>
        </w:rPr>
        <w:t>证券公司接受经纪客户的债券交易委托后，应当按照委托的内容向本所申报，并承担相应的交易、结算责任。</w:t>
      </w:r>
    </w:p>
    <w:p w14:paraId="797EEF55">
      <w:pPr>
        <w:pStyle w:val="90"/>
        <w:adjustRightInd w:val="0"/>
        <w:snapToGrid w:val="0"/>
        <w:spacing w:line="600" w:lineRule="exact"/>
        <w:ind w:firstLine="600"/>
        <w:rPr>
          <w:rFonts w:hAnsi="Times New Roman"/>
          <w:sz w:val="30"/>
          <w:szCs w:val="30"/>
        </w:rPr>
      </w:pPr>
      <w:r>
        <w:rPr>
          <w:rFonts w:hint="eastAsia" w:hAnsi="Times New Roman"/>
          <w:sz w:val="30"/>
          <w:szCs w:val="30"/>
        </w:rPr>
        <w:t>证券公司接受经纪客户买卖委托达成交易的，经纪客户应当向证券公司交付其委托证券公司卖出的债券或其委托证券公司买入债券的款项，证券公司应当向经纪客户交付卖出债券所得款项或买入的债券。</w:t>
      </w:r>
    </w:p>
    <w:p w14:paraId="3E09EDEC">
      <w:pPr>
        <w:pStyle w:val="90"/>
        <w:adjustRightInd w:val="0"/>
        <w:snapToGrid w:val="0"/>
        <w:spacing w:line="600" w:lineRule="exact"/>
        <w:ind w:firstLine="600"/>
        <w:rPr>
          <w:rFonts w:hAnsi="Times New Roman"/>
          <w:sz w:val="30"/>
          <w:szCs w:val="30"/>
        </w:rPr>
      </w:pPr>
      <w:r>
        <w:rPr>
          <w:rFonts w:hint="eastAsia" w:hAnsi="Times New Roman"/>
          <w:sz w:val="30"/>
          <w:szCs w:val="30"/>
        </w:rPr>
        <w:t>通过证券公司结算的经纪客户的证券和资金适用分级结算原则，即登记结算机构负责办理登记结算机构与证券公司之间的集中清算交收，证券公司负责按照登记结算机构的结算规则与证券交易委托协议约定，办理其与经纪客户之间的清算交收。</w:t>
      </w:r>
    </w:p>
    <w:p w14:paraId="3D09BF1D">
      <w:pPr>
        <w:numPr>
          <w:ilvl w:val="0"/>
          <w:numId w:val="4"/>
        </w:numPr>
        <w:spacing w:line="600" w:lineRule="exact"/>
        <w:outlineLvl w:val="0"/>
        <w:rPr>
          <w:b/>
          <w:sz w:val="36"/>
        </w:rPr>
      </w:pPr>
      <w:bookmarkStart w:id="279" w:name="_Toc97819614"/>
      <w:bookmarkEnd w:id="279"/>
      <w:bookmarkStart w:id="280" w:name="_Toc97819615"/>
      <w:bookmarkEnd w:id="280"/>
      <w:bookmarkStart w:id="281" w:name="_Toc97819612"/>
      <w:bookmarkEnd w:id="281"/>
      <w:bookmarkStart w:id="282" w:name="_Toc97819613"/>
      <w:bookmarkEnd w:id="282"/>
      <w:bookmarkStart w:id="283" w:name="_Toc56166072"/>
      <w:bookmarkStart w:id="284" w:name="_Toc56166261"/>
      <w:r>
        <w:rPr>
          <w:b/>
          <w:sz w:val="36"/>
        </w:rPr>
        <w:br w:type="page"/>
      </w:r>
      <w:bookmarkStart w:id="285" w:name="_Toc303693010"/>
      <w:bookmarkStart w:id="286" w:name="_Toc151136890"/>
      <w:bookmarkStart w:id="287" w:name="_Toc519943356"/>
      <w:bookmarkStart w:id="288" w:name="_Toc175428584"/>
      <w:bookmarkStart w:id="289" w:name="_Toc764135581"/>
      <w:r>
        <w:rPr>
          <w:rFonts w:hint="eastAsia" w:ascii="黑体" w:hAnsi="黑体" w:eastAsia="黑体" w:cs="黑体"/>
          <w:b/>
          <w:sz w:val="36"/>
        </w:rPr>
        <w:t>债券交易一般要求</w:t>
      </w:r>
      <w:bookmarkEnd w:id="283"/>
      <w:bookmarkEnd w:id="284"/>
      <w:bookmarkEnd w:id="285"/>
      <w:bookmarkEnd w:id="286"/>
      <w:bookmarkEnd w:id="287"/>
      <w:bookmarkEnd w:id="288"/>
      <w:bookmarkEnd w:id="289"/>
      <w:r>
        <w:rPr>
          <w:rFonts w:hint="eastAsia"/>
          <w:b/>
          <w:sz w:val="36"/>
        </w:rPr>
        <w:t xml:space="preserve"> </w:t>
      </w:r>
    </w:p>
    <w:p w14:paraId="11E16BE4">
      <w:pPr>
        <w:pStyle w:val="90"/>
        <w:spacing w:line="600" w:lineRule="exact"/>
        <w:ind w:firstLine="600"/>
        <w:rPr>
          <w:rFonts w:hAnsi="Times New Roman"/>
          <w:sz w:val="30"/>
          <w:szCs w:val="30"/>
        </w:rPr>
      </w:pPr>
      <w:r>
        <w:rPr>
          <w:rFonts w:hint="eastAsia" w:hAnsi="Times New Roman"/>
          <w:sz w:val="30"/>
          <w:szCs w:val="30"/>
        </w:rPr>
        <w:t>本所为债券交易提供设施和相关服务，并依据《债券交易规则》和本所其他相关业务规则对债券交易相关的业务活动进行自律管理。债券交易应当遵循公开、公平、公正以及自愿、有偿、诚实信用等原则。</w:t>
      </w:r>
    </w:p>
    <w:p w14:paraId="73C8EE6C">
      <w:pPr>
        <w:pStyle w:val="90"/>
        <w:spacing w:line="600" w:lineRule="exact"/>
        <w:ind w:firstLine="600"/>
        <w:rPr>
          <w:rFonts w:hAnsi="Times New Roman"/>
          <w:sz w:val="30"/>
          <w:szCs w:val="30"/>
        </w:rPr>
      </w:pPr>
      <w:r>
        <w:rPr>
          <w:rFonts w:hint="eastAsia" w:hAnsi="Times New Roman"/>
          <w:sz w:val="30"/>
          <w:szCs w:val="30"/>
        </w:rPr>
        <w:t>本章主要明确指定交易、交易前端控制、交易时间、交易方式、申报与成交等债券交易一般性规定与要求。</w:t>
      </w:r>
    </w:p>
    <w:p w14:paraId="1F5B9579">
      <w:pPr>
        <w:numPr>
          <w:ilvl w:val="1"/>
          <w:numId w:val="4"/>
        </w:numPr>
        <w:spacing w:line="600" w:lineRule="exact"/>
        <w:ind w:left="0" w:firstLine="0"/>
        <w:outlineLvl w:val="1"/>
        <w:rPr>
          <w:rFonts w:ascii="仿宋_GB2312" w:eastAsia="仿宋_GB2312"/>
          <w:b/>
          <w:sz w:val="30"/>
          <w:szCs w:val="30"/>
        </w:rPr>
      </w:pPr>
      <w:bookmarkStart w:id="290" w:name="_Toc1528940222"/>
      <w:bookmarkStart w:id="291" w:name="_Toc56166073"/>
      <w:bookmarkStart w:id="292" w:name="_Toc1028404805"/>
      <w:bookmarkStart w:id="293" w:name="_Toc56166262"/>
      <w:bookmarkStart w:id="294" w:name="_Toc151136891"/>
      <w:bookmarkStart w:id="295" w:name="_Toc1505621844"/>
      <w:bookmarkStart w:id="296" w:name="_Toc1329587284"/>
      <w:r>
        <w:rPr>
          <w:rFonts w:hint="eastAsia" w:ascii="仿宋_GB2312" w:eastAsia="仿宋_GB2312"/>
          <w:b/>
          <w:sz w:val="30"/>
          <w:szCs w:val="30"/>
        </w:rPr>
        <w:t>指定交易</w:t>
      </w:r>
      <w:bookmarkEnd w:id="290"/>
      <w:bookmarkEnd w:id="291"/>
      <w:bookmarkEnd w:id="292"/>
      <w:bookmarkEnd w:id="293"/>
      <w:bookmarkEnd w:id="294"/>
      <w:bookmarkEnd w:id="295"/>
      <w:bookmarkEnd w:id="296"/>
    </w:p>
    <w:p w14:paraId="0F6FA78D">
      <w:pPr>
        <w:pStyle w:val="90"/>
        <w:spacing w:line="600" w:lineRule="exact"/>
        <w:ind w:firstLine="600"/>
        <w:rPr>
          <w:rFonts w:hAnsi="Times New Roman"/>
          <w:sz w:val="30"/>
          <w:szCs w:val="30"/>
        </w:rPr>
      </w:pPr>
      <w:r>
        <w:rPr>
          <w:rFonts w:hint="eastAsia" w:hAnsi="Times New Roman"/>
          <w:sz w:val="30"/>
          <w:szCs w:val="30"/>
        </w:rPr>
        <w:t>本所债券交易实行指定交易制度或者本所规定的其他委托交易制度。本节对指定交易办理、变更与撤销进行规定。</w:t>
      </w:r>
    </w:p>
    <w:p w14:paraId="23D54A55">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指定交易定义</w:t>
      </w:r>
    </w:p>
    <w:p w14:paraId="65B99268">
      <w:pPr>
        <w:pStyle w:val="90"/>
        <w:spacing w:line="600" w:lineRule="exact"/>
        <w:ind w:firstLine="600"/>
        <w:rPr>
          <w:rFonts w:hAnsi="Times New Roman"/>
          <w:sz w:val="30"/>
          <w:szCs w:val="30"/>
        </w:rPr>
      </w:pPr>
      <w:r>
        <w:rPr>
          <w:rFonts w:hint="eastAsia" w:hAnsi="Times New Roman"/>
          <w:sz w:val="30"/>
          <w:szCs w:val="30"/>
        </w:rPr>
        <w:t>指定交易是指凡在本所市场进行债券交易的债券投资者，必须事先指定特定的交易单元参与本所市场债券交易。</w:t>
      </w:r>
    </w:p>
    <w:p w14:paraId="20AE9934">
      <w:pPr>
        <w:pStyle w:val="90"/>
        <w:spacing w:line="600" w:lineRule="exact"/>
        <w:ind w:firstLine="600"/>
        <w:rPr>
          <w:rFonts w:hAnsi="Times New Roman"/>
          <w:sz w:val="30"/>
          <w:szCs w:val="30"/>
        </w:rPr>
      </w:pPr>
      <w:r>
        <w:rPr>
          <w:rFonts w:hint="eastAsia" w:hAnsi="Times New Roman"/>
          <w:sz w:val="30"/>
          <w:szCs w:val="30"/>
        </w:rPr>
        <w:t>新开设的证券账户在交易前，应事先办理指定交易手续，指定到具体的交易单元上。证券账户在发起指定交易时应当尚未与任何交易单元建立指定交易关系。已经办理完成指定交易手续的无需重复提交指定交易申报。</w:t>
      </w:r>
    </w:p>
    <w:p w14:paraId="127E8B35">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指定交易办理</w:t>
      </w:r>
    </w:p>
    <w:p w14:paraId="05751573">
      <w:pPr>
        <w:pStyle w:val="90"/>
        <w:adjustRightInd w:val="0"/>
        <w:snapToGrid w:val="0"/>
        <w:spacing w:line="600" w:lineRule="exact"/>
        <w:ind w:firstLine="600"/>
        <w:rPr>
          <w:rFonts w:hAnsi="Times New Roman"/>
          <w:sz w:val="30"/>
          <w:szCs w:val="30"/>
        </w:rPr>
      </w:pPr>
      <w:r>
        <w:rPr>
          <w:rFonts w:hint="eastAsia" w:hAnsi="Times New Roman"/>
          <w:sz w:val="30"/>
          <w:szCs w:val="30"/>
        </w:rPr>
        <w:t>指定交易申报通过本所综合业务平台、互联网交易平台或</w:t>
      </w:r>
      <w:r>
        <w:rPr>
          <w:rFonts w:hAnsi="Times New Roman"/>
          <w:sz w:val="30"/>
          <w:szCs w:val="30"/>
        </w:rPr>
        <w:t>本所认可</w:t>
      </w:r>
      <w:r>
        <w:rPr>
          <w:rFonts w:hint="eastAsia" w:hAnsi="Times New Roman"/>
          <w:sz w:val="30"/>
          <w:szCs w:val="30"/>
        </w:rPr>
        <w:t>的</w:t>
      </w:r>
      <w:r>
        <w:rPr>
          <w:rFonts w:hAnsi="Times New Roman"/>
          <w:sz w:val="30"/>
          <w:szCs w:val="30"/>
        </w:rPr>
        <w:t>其他渠道</w:t>
      </w:r>
      <w:r>
        <w:rPr>
          <w:rFonts w:hint="eastAsia" w:hAnsi="Times New Roman"/>
          <w:sz w:val="30"/>
          <w:szCs w:val="30"/>
        </w:rPr>
        <w:t>办理。</w:t>
      </w:r>
    </w:p>
    <w:p w14:paraId="27D3E3CA">
      <w:pPr>
        <w:pStyle w:val="90"/>
        <w:spacing w:line="600" w:lineRule="exact"/>
        <w:ind w:firstLine="600"/>
        <w:rPr>
          <w:rFonts w:hAnsi="Times New Roman"/>
          <w:sz w:val="30"/>
          <w:szCs w:val="30"/>
        </w:rPr>
      </w:pPr>
      <w:r>
        <w:rPr>
          <w:rFonts w:hint="eastAsia" w:hAnsi="Times New Roman"/>
          <w:sz w:val="30"/>
          <w:szCs w:val="30"/>
        </w:rPr>
        <w:t>指定交易申报时，债券交易参与人应当选择一个证券账户，并选择一个交易单元作为债券交易参与人用于该账户的交易单元。会员类债券交易参与人可以为其自营账户、资管产品账户及经纪客户账户办理指定交易，非会员类债券交易参与人可以为其自营账户和资管产品账户办理指定交易。</w:t>
      </w:r>
    </w:p>
    <w:p w14:paraId="3CFFBBD2">
      <w:pPr>
        <w:pStyle w:val="90"/>
        <w:spacing w:line="600" w:lineRule="exact"/>
        <w:ind w:firstLine="600"/>
        <w:rPr>
          <w:rFonts w:hAnsi="Times New Roman"/>
          <w:sz w:val="30"/>
          <w:szCs w:val="30"/>
        </w:rPr>
      </w:pPr>
      <w:r>
        <w:rPr>
          <w:rFonts w:hint="eastAsia" w:hAnsi="Times New Roman"/>
          <w:sz w:val="30"/>
          <w:szCs w:val="30"/>
        </w:rPr>
        <w:t>指定交易办理应遵守本所发布的《上海证券交易所指定交易实施细则》及《上海证券交易所指定交易业务办理指南（试行）》。</w:t>
      </w:r>
    </w:p>
    <w:tbl>
      <w:tblPr>
        <w:tblStyle w:val="43"/>
        <w:tblW w:w="0" w:type="auto"/>
        <w:tblInd w:w="0" w:type="dxa"/>
        <w:tblBorders>
          <w:top w:val="dashed" w:color="auto" w:sz="4" w:space="0"/>
          <w:left w:val="dashed" w:color="auto" w:sz="4" w:space="0"/>
          <w:bottom w:val="dashed" w:color="auto" w:sz="4" w:space="0"/>
          <w:right w:val="dashed" w:color="auto" w:sz="4" w:space="0"/>
          <w:insideH w:val="none" w:color="auto" w:sz="0" w:space="0"/>
          <w:insideV w:val="dashed" w:color="auto" w:sz="4" w:space="0"/>
        </w:tblBorders>
        <w:tblLayout w:type="autofit"/>
        <w:tblCellMar>
          <w:top w:w="0" w:type="dxa"/>
          <w:left w:w="108" w:type="dxa"/>
          <w:bottom w:w="0" w:type="dxa"/>
          <w:right w:w="108" w:type="dxa"/>
        </w:tblCellMar>
      </w:tblPr>
      <w:tblGrid>
        <w:gridCol w:w="8522"/>
      </w:tblGrid>
      <w:tr w14:paraId="3622E6D5">
        <w:tblPrEx>
          <w:tblBorders>
            <w:top w:val="dashed" w:color="auto" w:sz="4" w:space="0"/>
            <w:left w:val="dashed" w:color="auto" w:sz="4" w:space="0"/>
            <w:bottom w:val="dashed" w:color="auto" w:sz="4" w:space="0"/>
            <w:right w:val="dashed" w:color="auto" w:sz="4" w:space="0"/>
            <w:insideH w:val="none" w:color="auto" w:sz="0" w:space="0"/>
            <w:insideV w:val="dashed" w:color="auto" w:sz="4" w:space="0"/>
          </w:tblBorders>
          <w:tblCellMar>
            <w:top w:w="0" w:type="dxa"/>
            <w:left w:w="108" w:type="dxa"/>
            <w:bottom w:w="0" w:type="dxa"/>
            <w:right w:w="108" w:type="dxa"/>
          </w:tblCellMar>
        </w:tblPrEx>
        <w:trPr>
          <w:trHeight w:val="1061" w:hRule="atLeast"/>
        </w:trPr>
        <w:tc>
          <w:tcPr>
            <w:tcW w:w="8393" w:type="dxa"/>
          </w:tcPr>
          <w:p w14:paraId="0C2F290A">
            <w:pPr>
              <w:pStyle w:val="90"/>
              <w:spacing w:line="240" w:lineRule="auto"/>
              <w:ind w:firstLine="480"/>
              <w:rPr>
                <w:rFonts w:hAnsi="Times New Roman"/>
                <w:sz w:val="24"/>
                <w:szCs w:val="24"/>
              </w:rPr>
            </w:pPr>
            <w:r>
              <w:rPr>
                <w:rFonts w:hint="eastAsia" w:hAnsi="Times New Roman"/>
                <w:sz w:val="24"/>
                <w:szCs w:val="24"/>
              </w:rPr>
              <w:t>《上海证券交易所指定交易实施细则》网址为：</w:t>
            </w:r>
          </w:p>
          <w:p w14:paraId="2807A193">
            <w:pPr>
              <w:pStyle w:val="90"/>
              <w:spacing w:line="240" w:lineRule="auto"/>
              <w:rPr>
                <w:rFonts w:hAnsi="Times New Roman"/>
                <w:sz w:val="24"/>
                <w:szCs w:val="24"/>
              </w:rPr>
            </w:pPr>
            <w:r>
              <w:fldChar w:fldCharType="begin"/>
            </w:r>
            <w:r>
              <w:instrText xml:space="preserve"> HYPERLINK "http://www.sse.com.cn/lawandrules/sserules/trading/universal/a/20150906/c1a52b7d67c6f63f3e1ef4d21c8ad40b.doc" </w:instrText>
            </w:r>
            <w:r>
              <w:fldChar w:fldCharType="separate"/>
            </w:r>
            <w:r>
              <w:rPr>
                <w:rStyle w:val="51"/>
                <w:rFonts w:hAnsi="Times New Roman"/>
                <w:sz w:val="24"/>
                <w:szCs w:val="24"/>
              </w:rPr>
              <w:t>http://www.sse.com.cn/lawandrules/sserules/trading/universal/a/20150906/c1a52b7d67c6f63f3e1ef4d21c8ad40b.doc</w:t>
            </w:r>
            <w:r>
              <w:rPr>
                <w:rStyle w:val="51"/>
                <w:rFonts w:hAnsi="Times New Roman"/>
                <w:sz w:val="24"/>
                <w:szCs w:val="24"/>
              </w:rPr>
              <w:fldChar w:fldCharType="end"/>
            </w:r>
          </w:p>
        </w:tc>
      </w:tr>
      <w:tr w14:paraId="3BE5272E">
        <w:tblPrEx>
          <w:tblBorders>
            <w:top w:val="dashed" w:color="auto" w:sz="4" w:space="0"/>
            <w:left w:val="dashed" w:color="auto" w:sz="4" w:space="0"/>
            <w:bottom w:val="dashed" w:color="auto" w:sz="4" w:space="0"/>
            <w:right w:val="dashed" w:color="auto" w:sz="4" w:space="0"/>
            <w:insideH w:val="none" w:color="auto" w:sz="0" w:space="0"/>
            <w:insideV w:val="dashed" w:color="auto" w:sz="4" w:space="0"/>
          </w:tblBorders>
          <w:tblCellMar>
            <w:top w:w="0" w:type="dxa"/>
            <w:left w:w="108" w:type="dxa"/>
            <w:bottom w:w="0" w:type="dxa"/>
            <w:right w:w="108" w:type="dxa"/>
          </w:tblCellMar>
        </w:tblPrEx>
        <w:trPr>
          <w:trHeight w:val="706" w:hRule="atLeast"/>
        </w:trPr>
        <w:tc>
          <w:tcPr>
            <w:tcW w:w="8393" w:type="dxa"/>
          </w:tcPr>
          <w:p w14:paraId="355E6ED1">
            <w:pPr>
              <w:pStyle w:val="90"/>
              <w:spacing w:line="240" w:lineRule="auto"/>
              <w:ind w:firstLine="480"/>
              <w:rPr>
                <w:rFonts w:hAnsi="Times New Roman"/>
                <w:sz w:val="24"/>
                <w:szCs w:val="24"/>
              </w:rPr>
            </w:pPr>
            <w:r>
              <w:rPr>
                <w:rFonts w:hint="eastAsia" w:hAnsi="Times New Roman"/>
                <w:sz w:val="24"/>
                <w:szCs w:val="24"/>
              </w:rPr>
              <w:t>《上海证券交易所指定交易业务办理指南（试行）》网址为：</w:t>
            </w:r>
          </w:p>
          <w:p w14:paraId="19C17FD7">
            <w:pPr>
              <w:pStyle w:val="90"/>
              <w:spacing w:line="240" w:lineRule="auto"/>
              <w:rPr>
                <w:rFonts w:hAnsi="Times New Roman"/>
                <w:sz w:val="24"/>
                <w:szCs w:val="24"/>
              </w:rPr>
            </w:pPr>
            <w:r>
              <w:fldChar w:fldCharType="begin"/>
            </w:r>
            <w:r>
              <w:instrText xml:space="preserve"> HYPERLINK "http://www.sse.com.cn/lawandrules/guide/jyznlc/jyzn/c/3986065.pdf" </w:instrText>
            </w:r>
            <w:r>
              <w:fldChar w:fldCharType="separate"/>
            </w:r>
            <w:r>
              <w:rPr>
                <w:rStyle w:val="51"/>
                <w:rFonts w:hAnsi="Times New Roman"/>
                <w:sz w:val="24"/>
                <w:szCs w:val="24"/>
              </w:rPr>
              <w:t>http:/</w:t>
            </w:r>
            <w:bookmarkStart w:id="297" w:name="_Hlt57734819"/>
            <w:bookmarkStart w:id="298" w:name="_Hlt57734820"/>
            <w:r>
              <w:rPr>
                <w:rStyle w:val="51"/>
                <w:rFonts w:hAnsi="Times New Roman"/>
                <w:sz w:val="24"/>
                <w:szCs w:val="24"/>
              </w:rPr>
              <w:t>/</w:t>
            </w:r>
            <w:bookmarkEnd w:id="297"/>
            <w:bookmarkEnd w:id="298"/>
            <w:r>
              <w:rPr>
                <w:rStyle w:val="51"/>
                <w:rFonts w:hAnsi="Times New Roman"/>
                <w:sz w:val="24"/>
                <w:szCs w:val="24"/>
              </w:rPr>
              <w:t>www.sse.com.cn/lawandrules/guide/jyznlc/jyzn/c/3986065.pdf</w:t>
            </w:r>
            <w:r>
              <w:rPr>
                <w:rStyle w:val="51"/>
                <w:rFonts w:hAnsi="Times New Roman"/>
                <w:sz w:val="24"/>
                <w:szCs w:val="24"/>
              </w:rPr>
              <w:fldChar w:fldCharType="end"/>
            </w:r>
          </w:p>
        </w:tc>
      </w:tr>
    </w:tbl>
    <w:p w14:paraId="13B4D2FB">
      <w:pPr>
        <w:spacing w:line="600" w:lineRule="exact"/>
        <w:ind w:left="567"/>
        <w:outlineLvl w:val="3"/>
        <w:rPr>
          <w:rFonts w:ascii="仿宋_GB2312" w:eastAsia="仿宋_GB2312"/>
          <w:b/>
          <w:sz w:val="30"/>
          <w:szCs w:val="30"/>
        </w:rPr>
      </w:pPr>
      <w:r>
        <w:rPr>
          <w:rFonts w:hint="eastAsia" w:ascii="仿宋_GB2312" w:eastAsia="仿宋_GB2312"/>
          <w:b/>
          <w:sz w:val="30"/>
          <w:szCs w:val="30"/>
        </w:rPr>
        <w:t>（1） 指定交易申报</w:t>
      </w:r>
    </w:p>
    <w:p w14:paraId="142206E9">
      <w:pPr>
        <w:pStyle w:val="90"/>
        <w:spacing w:line="600" w:lineRule="exact"/>
        <w:ind w:firstLine="600"/>
        <w:rPr>
          <w:rFonts w:hAnsi="Times New Roman"/>
          <w:sz w:val="30"/>
          <w:szCs w:val="30"/>
        </w:rPr>
      </w:pPr>
      <w:r>
        <w:rPr>
          <w:rFonts w:hint="eastAsia" w:hAnsi="Times New Roman"/>
          <w:sz w:val="30"/>
          <w:szCs w:val="30"/>
        </w:rPr>
        <w:t>综合</w:t>
      </w:r>
      <w:r>
        <w:rPr>
          <w:rFonts w:hAnsi="Times New Roman"/>
          <w:sz w:val="30"/>
          <w:szCs w:val="30"/>
        </w:rPr>
        <w:t>业务平台</w:t>
      </w:r>
      <w:r>
        <w:rPr>
          <w:rFonts w:hint="eastAsia" w:hAnsi="Times New Roman"/>
          <w:sz w:val="30"/>
          <w:szCs w:val="30"/>
        </w:rPr>
        <w:t>指定交易及撤销指定交易的申报时间为每个交易日的9:15-9:25, 9:30-11:30，13:00-15:00。</w:t>
      </w:r>
    </w:p>
    <w:p w14:paraId="1FA41805">
      <w:pPr>
        <w:pStyle w:val="90"/>
        <w:spacing w:line="600" w:lineRule="exact"/>
        <w:ind w:firstLine="600"/>
        <w:rPr>
          <w:rFonts w:hAnsi="Times New Roman"/>
          <w:sz w:val="30"/>
          <w:szCs w:val="30"/>
        </w:rPr>
      </w:pPr>
      <w:r>
        <w:rPr>
          <w:rFonts w:hint="eastAsia" w:hAnsi="Times New Roman"/>
          <w:sz w:val="30"/>
          <w:szCs w:val="30"/>
        </w:rPr>
        <w:t>指定交易/撤销指定交易的申报要素如下：</w:t>
      </w:r>
    </w:p>
    <w:tbl>
      <w:tblPr>
        <w:tblStyle w:val="4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31"/>
        <w:gridCol w:w="5291"/>
      </w:tblGrid>
      <w:tr w14:paraId="18EEA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1" w:type="dxa"/>
          </w:tcPr>
          <w:p w14:paraId="70EE8EF4">
            <w:pPr>
              <w:pStyle w:val="90"/>
              <w:adjustRightInd w:val="0"/>
              <w:snapToGrid w:val="0"/>
              <w:spacing w:line="240" w:lineRule="auto"/>
              <w:ind w:firstLine="0" w:firstLineChars="0"/>
              <w:rPr>
                <w:rFonts w:hAnsi="Times New Roman"/>
                <w:b/>
                <w:sz w:val="24"/>
                <w:szCs w:val="24"/>
              </w:rPr>
            </w:pPr>
            <w:r>
              <w:rPr>
                <w:rFonts w:hint="eastAsia" w:hAnsi="Times New Roman"/>
                <w:b/>
                <w:sz w:val="24"/>
                <w:szCs w:val="24"/>
              </w:rPr>
              <w:t>申报要素</w:t>
            </w:r>
          </w:p>
        </w:tc>
        <w:tc>
          <w:tcPr>
            <w:tcW w:w="5291" w:type="dxa"/>
          </w:tcPr>
          <w:p w14:paraId="410FE72F">
            <w:pPr>
              <w:pStyle w:val="90"/>
              <w:adjustRightInd w:val="0"/>
              <w:snapToGrid w:val="0"/>
              <w:spacing w:line="240" w:lineRule="auto"/>
              <w:ind w:firstLine="0" w:firstLineChars="0"/>
              <w:rPr>
                <w:rFonts w:hAnsi="Times New Roman"/>
                <w:b/>
                <w:sz w:val="24"/>
                <w:szCs w:val="24"/>
              </w:rPr>
            </w:pPr>
            <w:r>
              <w:rPr>
                <w:rFonts w:hint="eastAsia" w:hAnsi="Times New Roman"/>
                <w:b/>
                <w:sz w:val="24"/>
                <w:szCs w:val="24"/>
              </w:rPr>
              <w:t>要素说明</w:t>
            </w:r>
          </w:p>
        </w:tc>
      </w:tr>
      <w:tr w14:paraId="43A3C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1" w:type="dxa"/>
          </w:tcPr>
          <w:p w14:paraId="2BD4B88C">
            <w:pPr>
              <w:pStyle w:val="90"/>
              <w:adjustRightInd w:val="0"/>
              <w:snapToGrid w:val="0"/>
              <w:spacing w:line="240" w:lineRule="auto"/>
              <w:ind w:firstLine="0" w:firstLineChars="0"/>
              <w:rPr>
                <w:rFonts w:hAnsi="Times New Roman"/>
                <w:sz w:val="24"/>
                <w:szCs w:val="24"/>
              </w:rPr>
            </w:pPr>
            <w:r>
              <w:rPr>
                <w:rFonts w:hint="eastAsia" w:hAnsi="Times New Roman"/>
                <w:sz w:val="24"/>
                <w:szCs w:val="24"/>
              </w:rPr>
              <w:t>申报类型</w:t>
            </w:r>
          </w:p>
        </w:tc>
        <w:tc>
          <w:tcPr>
            <w:tcW w:w="5291" w:type="dxa"/>
          </w:tcPr>
          <w:p w14:paraId="5C43693B">
            <w:pPr>
              <w:pStyle w:val="90"/>
              <w:adjustRightInd w:val="0"/>
              <w:snapToGrid w:val="0"/>
              <w:spacing w:line="240" w:lineRule="auto"/>
              <w:ind w:firstLine="0" w:firstLineChars="0"/>
              <w:rPr>
                <w:rFonts w:hAnsi="Times New Roman"/>
                <w:sz w:val="24"/>
                <w:szCs w:val="24"/>
              </w:rPr>
            </w:pPr>
            <w:r>
              <w:rPr>
                <w:rFonts w:hint="eastAsia" w:hAnsi="Times New Roman"/>
                <w:sz w:val="24"/>
                <w:szCs w:val="24"/>
              </w:rPr>
              <w:t>指定交易申报</w:t>
            </w:r>
            <w:r>
              <w:rPr>
                <w:rFonts w:hAnsi="Times New Roman"/>
                <w:sz w:val="24"/>
                <w:szCs w:val="24"/>
              </w:rPr>
              <w:t>/撤销指定交易申报</w:t>
            </w:r>
          </w:p>
        </w:tc>
      </w:tr>
      <w:tr w14:paraId="65F80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1" w:type="dxa"/>
          </w:tcPr>
          <w:p w14:paraId="07AA2C9B">
            <w:pPr>
              <w:pStyle w:val="90"/>
              <w:adjustRightInd w:val="0"/>
              <w:snapToGrid w:val="0"/>
              <w:spacing w:line="240" w:lineRule="auto"/>
              <w:ind w:firstLine="0" w:firstLineChars="0"/>
              <w:rPr>
                <w:rFonts w:hAnsi="Times New Roman"/>
                <w:sz w:val="24"/>
                <w:szCs w:val="24"/>
              </w:rPr>
            </w:pPr>
            <w:r>
              <w:rPr>
                <w:rFonts w:hint="eastAsia" w:hAnsi="Times New Roman"/>
                <w:sz w:val="24"/>
                <w:szCs w:val="24"/>
              </w:rPr>
              <w:t>申报代码</w:t>
            </w:r>
          </w:p>
        </w:tc>
        <w:tc>
          <w:tcPr>
            <w:tcW w:w="5291" w:type="dxa"/>
          </w:tcPr>
          <w:p w14:paraId="35E133F3">
            <w:pPr>
              <w:pStyle w:val="90"/>
              <w:adjustRightInd w:val="0"/>
              <w:snapToGrid w:val="0"/>
              <w:spacing w:line="240" w:lineRule="auto"/>
              <w:ind w:firstLine="0" w:firstLineChars="0"/>
              <w:rPr>
                <w:rFonts w:hAnsi="Times New Roman"/>
                <w:sz w:val="24"/>
                <w:szCs w:val="24"/>
              </w:rPr>
            </w:pPr>
            <w:r>
              <w:rPr>
                <w:rFonts w:hAnsi="Times New Roman"/>
                <w:sz w:val="24"/>
                <w:szCs w:val="24"/>
              </w:rPr>
              <w:t>799999</w:t>
            </w:r>
            <w:r>
              <w:rPr>
                <w:rFonts w:hint="eastAsia" w:hAnsi="Times New Roman"/>
                <w:sz w:val="24"/>
                <w:szCs w:val="24"/>
              </w:rPr>
              <w:t>（指定交易申报）</w:t>
            </w:r>
            <w:r>
              <w:rPr>
                <w:rFonts w:hAnsi="Times New Roman"/>
                <w:sz w:val="24"/>
                <w:szCs w:val="24"/>
              </w:rPr>
              <w:t>/799998</w:t>
            </w:r>
            <w:r>
              <w:rPr>
                <w:rFonts w:hint="eastAsia" w:hAnsi="Times New Roman"/>
                <w:sz w:val="24"/>
                <w:szCs w:val="24"/>
              </w:rPr>
              <w:t>（撤销指定交易申报）</w:t>
            </w:r>
          </w:p>
        </w:tc>
      </w:tr>
      <w:tr w14:paraId="3E9CC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231" w:type="dxa"/>
          </w:tcPr>
          <w:p w14:paraId="7C9A7917">
            <w:pPr>
              <w:pStyle w:val="90"/>
              <w:adjustRightInd w:val="0"/>
              <w:snapToGrid w:val="0"/>
              <w:spacing w:line="240" w:lineRule="auto"/>
              <w:ind w:firstLine="0" w:firstLineChars="0"/>
              <w:rPr>
                <w:rFonts w:hAnsi="Times New Roman"/>
                <w:sz w:val="24"/>
                <w:szCs w:val="24"/>
              </w:rPr>
            </w:pPr>
            <w:r>
              <w:rPr>
                <w:rFonts w:hint="eastAsia" w:hAnsi="Times New Roman"/>
                <w:sz w:val="24"/>
                <w:szCs w:val="24"/>
              </w:rPr>
              <w:t>证券账户</w:t>
            </w:r>
          </w:p>
        </w:tc>
        <w:tc>
          <w:tcPr>
            <w:tcW w:w="5291" w:type="dxa"/>
          </w:tcPr>
          <w:p w14:paraId="3486621A">
            <w:pPr>
              <w:pStyle w:val="90"/>
              <w:adjustRightInd w:val="0"/>
              <w:snapToGrid w:val="0"/>
              <w:spacing w:line="240" w:lineRule="auto"/>
              <w:ind w:firstLine="0" w:firstLineChars="0"/>
              <w:rPr>
                <w:rFonts w:hAnsi="Times New Roman"/>
                <w:sz w:val="24"/>
                <w:szCs w:val="24"/>
              </w:rPr>
            </w:pPr>
            <w:r>
              <w:rPr>
                <w:rFonts w:hint="eastAsia" w:hAnsi="Times New Roman"/>
                <w:sz w:val="24"/>
                <w:szCs w:val="24"/>
              </w:rPr>
              <w:t>办理指定交易手续的证券账户号码</w:t>
            </w:r>
          </w:p>
        </w:tc>
      </w:tr>
      <w:tr w14:paraId="3D480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1" w:type="dxa"/>
          </w:tcPr>
          <w:p w14:paraId="6E488421">
            <w:pPr>
              <w:pStyle w:val="90"/>
              <w:adjustRightInd w:val="0"/>
              <w:snapToGrid w:val="0"/>
              <w:spacing w:line="240" w:lineRule="auto"/>
              <w:ind w:firstLine="0" w:firstLineChars="0"/>
              <w:rPr>
                <w:rFonts w:hAnsi="Times New Roman"/>
                <w:sz w:val="24"/>
                <w:szCs w:val="24"/>
              </w:rPr>
            </w:pPr>
            <w:r>
              <w:rPr>
                <w:rFonts w:hint="eastAsia" w:hAnsi="Times New Roman"/>
                <w:sz w:val="24"/>
                <w:szCs w:val="24"/>
              </w:rPr>
              <w:t>交易单元（</w:t>
            </w:r>
            <w:r>
              <w:rPr>
                <w:rFonts w:hAnsi="Times New Roman"/>
                <w:sz w:val="24"/>
                <w:szCs w:val="24"/>
              </w:rPr>
              <w:t>PBU</w:t>
            </w:r>
            <w:r>
              <w:rPr>
                <w:rFonts w:hint="eastAsia" w:hAnsi="Times New Roman"/>
                <w:sz w:val="24"/>
                <w:szCs w:val="24"/>
              </w:rPr>
              <w:t>）</w:t>
            </w:r>
          </w:p>
        </w:tc>
        <w:tc>
          <w:tcPr>
            <w:tcW w:w="5291" w:type="dxa"/>
          </w:tcPr>
          <w:p w14:paraId="2D2DBB36">
            <w:pPr>
              <w:pStyle w:val="90"/>
              <w:adjustRightInd w:val="0"/>
              <w:snapToGrid w:val="0"/>
              <w:spacing w:line="240" w:lineRule="auto"/>
              <w:ind w:firstLine="0" w:firstLineChars="0"/>
              <w:rPr>
                <w:rFonts w:hAnsi="Times New Roman"/>
                <w:sz w:val="24"/>
                <w:szCs w:val="24"/>
              </w:rPr>
            </w:pPr>
            <w:r>
              <w:rPr>
                <w:rFonts w:hint="eastAsia" w:hAnsi="Times New Roman"/>
                <w:sz w:val="24"/>
                <w:szCs w:val="24"/>
              </w:rPr>
              <w:t>债券交易参与人的交易业务单元</w:t>
            </w:r>
          </w:p>
        </w:tc>
      </w:tr>
    </w:tbl>
    <w:p w14:paraId="46CDD4BB">
      <w:pPr>
        <w:pStyle w:val="90"/>
        <w:adjustRightInd w:val="0"/>
        <w:snapToGrid w:val="0"/>
        <w:spacing w:line="600" w:lineRule="exact"/>
        <w:ind w:firstLine="600"/>
        <w:rPr>
          <w:rFonts w:hAnsi="Times New Roman"/>
          <w:sz w:val="30"/>
          <w:szCs w:val="30"/>
        </w:rPr>
      </w:pPr>
      <w:r>
        <w:rPr>
          <w:rFonts w:hint="eastAsia" w:hAnsi="Times New Roman"/>
          <w:sz w:val="30"/>
          <w:szCs w:val="30"/>
        </w:rPr>
        <w:t>证券账户开立成功后次一交易日可进行指定交易申报。</w:t>
      </w:r>
    </w:p>
    <w:p w14:paraId="312E7568">
      <w:pPr>
        <w:pStyle w:val="90"/>
        <w:adjustRightInd w:val="0"/>
        <w:snapToGrid w:val="0"/>
        <w:spacing w:line="600" w:lineRule="exact"/>
        <w:ind w:firstLine="600"/>
        <w:rPr>
          <w:rFonts w:hAnsi="Times New Roman"/>
          <w:sz w:val="30"/>
          <w:szCs w:val="30"/>
        </w:rPr>
      </w:pPr>
      <w:r>
        <w:rPr>
          <w:rFonts w:hint="eastAsia" w:hAnsi="Times New Roman"/>
          <w:sz w:val="30"/>
          <w:szCs w:val="30"/>
        </w:rPr>
        <w:t>通过互联网交易平台申报指定登记、指定撤销业务生效时间与综业平台申报一致，市场参与者可以根据自身业务需要，选择使用（互联网交易平台</w:t>
      </w:r>
      <w:r>
        <w:rPr>
          <w:rFonts w:hAnsi="Times New Roman"/>
          <w:sz w:val="30"/>
          <w:szCs w:val="30"/>
        </w:rPr>
        <w:t>的</w:t>
      </w:r>
      <w:r>
        <w:rPr>
          <w:rFonts w:hint="eastAsia" w:hAnsi="Times New Roman"/>
          <w:sz w:val="30"/>
          <w:szCs w:val="30"/>
        </w:rPr>
        <w:t>申请</w:t>
      </w:r>
      <w:r>
        <w:rPr>
          <w:rFonts w:hAnsi="Times New Roman"/>
          <w:sz w:val="30"/>
          <w:szCs w:val="30"/>
        </w:rPr>
        <w:t>详见本指南</w:t>
      </w:r>
      <w:r>
        <w:rPr>
          <w:rFonts w:hint="eastAsia" w:hAnsi="Times New Roman"/>
          <w:sz w:val="30"/>
          <w:szCs w:val="30"/>
        </w:rPr>
        <w:t>9.7章节）</w:t>
      </w:r>
    </w:p>
    <w:p w14:paraId="51B36CD8">
      <w:pPr>
        <w:spacing w:line="600" w:lineRule="exact"/>
        <w:ind w:left="567"/>
        <w:outlineLvl w:val="3"/>
        <w:rPr>
          <w:rFonts w:ascii="仿宋_GB2312" w:eastAsia="仿宋_GB2312"/>
          <w:b/>
          <w:sz w:val="30"/>
          <w:szCs w:val="30"/>
        </w:rPr>
      </w:pPr>
      <w:r>
        <w:rPr>
          <w:rFonts w:hint="eastAsia" w:ascii="仿宋_GB2312" w:eastAsia="仿宋_GB2312"/>
          <w:b/>
          <w:sz w:val="30"/>
          <w:szCs w:val="30"/>
        </w:rPr>
        <w:t>（2）指定交易的变更和撤销</w:t>
      </w:r>
    </w:p>
    <w:p w14:paraId="0B92890A">
      <w:pPr>
        <w:pStyle w:val="90"/>
        <w:spacing w:line="600" w:lineRule="exact"/>
        <w:ind w:firstLine="600"/>
        <w:rPr>
          <w:rFonts w:hAnsi="Times New Roman"/>
          <w:sz w:val="30"/>
          <w:szCs w:val="30"/>
        </w:rPr>
      </w:pPr>
      <w:r>
        <w:rPr>
          <w:rFonts w:hint="eastAsia" w:hAnsi="Times New Roman"/>
          <w:sz w:val="30"/>
          <w:szCs w:val="30"/>
        </w:rPr>
        <w:t>已办理指定交易的证券账户，根据需要可以变更指定交易关系。</w:t>
      </w:r>
    </w:p>
    <w:p w14:paraId="6E7E3149">
      <w:pPr>
        <w:pStyle w:val="90"/>
        <w:spacing w:line="600" w:lineRule="exact"/>
        <w:ind w:firstLine="600"/>
        <w:rPr>
          <w:rFonts w:hAnsi="Times New Roman"/>
          <w:sz w:val="30"/>
          <w:szCs w:val="30"/>
        </w:rPr>
      </w:pPr>
      <w:r>
        <w:rPr>
          <w:rFonts w:hint="eastAsia" w:hAnsi="Times New Roman"/>
          <w:sz w:val="30"/>
          <w:szCs w:val="30"/>
        </w:rPr>
        <w:t>证券账户办理指定交易变更手续时，由原指定交易的债券交易参与人完成向本所提出撤销指定交易的申报。申报一经确认，其撤销即刻生效。</w:t>
      </w:r>
    </w:p>
    <w:p w14:paraId="1367F980">
      <w:pPr>
        <w:pStyle w:val="90"/>
        <w:spacing w:line="600" w:lineRule="exact"/>
        <w:ind w:firstLine="600"/>
        <w:rPr>
          <w:rFonts w:hAnsi="Times New Roman"/>
          <w:sz w:val="30"/>
          <w:szCs w:val="30"/>
        </w:rPr>
      </w:pPr>
      <w:r>
        <w:rPr>
          <w:rFonts w:hint="eastAsia" w:hAnsi="Times New Roman"/>
          <w:sz w:val="30"/>
          <w:szCs w:val="30"/>
        </w:rPr>
        <w:t>债券</w:t>
      </w:r>
      <w:r>
        <w:rPr>
          <w:rFonts w:hAnsi="Times New Roman"/>
          <w:sz w:val="30"/>
          <w:szCs w:val="30"/>
        </w:rPr>
        <w:t>交易参与人应当严格落实</w:t>
      </w:r>
      <w:r>
        <w:rPr>
          <w:sz w:val="30"/>
          <w:szCs w:val="30"/>
        </w:rPr>
        <w:t>《</w:t>
      </w:r>
      <w:r>
        <w:rPr>
          <w:rFonts w:hint="eastAsia"/>
          <w:sz w:val="30"/>
          <w:szCs w:val="30"/>
        </w:rPr>
        <w:t>上海证券交易所指定交易实施细则</w:t>
      </w:r>
      <w:r>
        <w:rPr>
          <w:sz w:val="30"/>
          <w:szCs w:val="30"/>
        </w:rPr>
        <w:t>》</w:t>
      </w:r>
      <w:r>
        <w:rPr>
          <w:rFonts w:hint="eastAsia"/>
          <w:sz w:val="30"/>
          <w:szCs w:val="30"/>
        </w:rPr>
        <w:t>的</w:t>
      </w:r>
      <w:r>
        <w:rPr>
          <w:sz w:val="30"/>
          <w:szCs w:val="30"/>
        </w:rPr>
        <w:t>要求</w:t>
      </w:r>
      <w:r>
        <w:rPr>
          <w:rFonts w:hint="eastAsia"/>
          <w:sz w:val="30"/>
          <w:szCs w:val="30"/>
        </w:rPr>
        <w:t>，</w:t>
      </w:r>
      <w:r>
        <w:rPr>
          <w:rFonts w:hint="eastAsia" w:hAnsi="Times New Roman"/>
          <w:sz w:val="30"/>
          <w:szCs w:val="30"/>
        </w:rPr>
        <w:t>证券账户具有下列情形之一的，债券交易参与人不得为其申报撤销指定交易：</w:t>
      </w:r>
    </w:p>
    <w:p w14:paraId="28373B19">
      <w:pPr>
        <w:pStyle w:val="90"/>
        <w:spacing w:line="600" w:lineRule="exact"/>
        <w:ind w:firstLine="600"/>
        <w:rPr>
          <w:rFonts w:hAnsi="Times New Roman"/>
          <w:sz w:val="30"/>
          <w:szCs w:val="30"/>
        </w:rPr>
      </w:pPr>
      <w:r>
        <w:rPr>
          <w:rFonts w:hint="eastAsia" w:hAnsi="Times New Roman"/>
          <w:sz w:val="30"/>
          <w:szCs w:val="30"/>
        </w:rPr>
        <w:t>1）撤销当日有交易行为的；</w:t>
      </w:r>
    </w:p>
    <w:p w14:paraId="25345AD3">
      <w:pPr>
        <w:pStyle w:val="90"/>
        <w:spacing w:line="600" w:lineRule="exact"/>
        <w:ind w:firstLine="600"/>
        <w:rPr>
          <w:rFonts w:hAnsi="Times New Roman"/>
          <w:sz w:val="30"/>
          <w:szCs w:val="30"/>
        </w:rPr>
      </w:pPr>
      <w:r>
        <w:rPr>
          <w:rFonts w:hint="eastAsia" w:hAnsi="Times New Roman"/>
          <w:sz w:val="30"/>
          <w:szCs w:val="30"/>
        </w:rPr>
        <w:t>2）撤销当日有申报的；</w:t>
      </w:r>
    </w:p>
    <w:p w14:paraId="062216FF">
      <w:pPr>
        <w:pStyle w:val="90"/>
        <w:spacing w:line="600" w:lineRule="exact"/>
        <w:ind w:firstLine="600"/>
        <w:rPr>
          <w:rFonts w:hAnsi="Times New Roman"/>
          <w:sz w:val="30"/>
          <w:szCs w:val="30"/>
        </w:rPr>
      </w:pPr>
      <w:r>
        <w:rPr>
          <w:rFonts w:hint="eastAsia" w:hAnsi="Times New Roman"/>
          <w:sz w:val="30"/>
          <w:szCs w:val="30"/>
        </w:rPr>
        <w:t>3）新股申购未到期的；</w:t>
      </w:r>
    </w:p>
    <w:p w14:paraId="3AD2614B">
      <w:pPr>
        <w:pStyle w:val="90"/>
        <w:spacing w:line="600" w:lineRule="exact"/>
        <w:ind w:firstLine="600"/>
        <w:rPr>
          <w:rFonts w:hAnsi="Times New Roman"/>
          <w:sz w:val="30"/>
          <w:szCs w:val="30"/>
        </w:rPr>
      </w:pPr>
      <w:r>
        <w:rPr>
          <w:rFonts w:hint="eastAsia" w:hAnsi="Times New Roman"/>
          <w:sz w:val="30"/>
          <w:szCs w:val="30"/>
        </w:rPr>
        <w:t>4）因回购、借贷或其他事项未了结的；</w:t>
      </w:r>
    </w:p>
    <w:p w14:paraId="25DE1C41">
      <w:pPr>
        <w:pStyle w:val="90"/>
        <w:spacing w:line="600" w:lineRule="exact"/>
        <w:ind w:firstLine="600"/>
        <w:rPr>
          <w:rFonts w:hAnsi="Times New Roman"/>
          <w:sz w:val="30"/>
          <w:szCs w:val="30"/>
        </w:rPr>
      </w:pPr>
      <w:r>
        <w:rPr>
          <w:rFonts w:hint="eastAsia" w:hAnsi="Times New Roman"/>
          <w:sz w:val="30"/>
          <w:szCs w:val="30"/>
        </w:rPr>
        <w:t>5）相关机构未允许撤销的。</w:t>
      </w:r>
    </w:p>
    <w:p w14:paraId="390911AB">
      <w:pPr>
        <w:pStyle w:val="90"/>
        <w:spacing w:line="600" w:lineRule="exact"/>
        <w:ind w:firstLine="600"/>
        <w:rPr>
          <w:rFonts w:hAnsi="Times New Roman"/>
          <w:sz w:val="30"/>
          <w:szCs w:val="30"/>
        </w:rPr>
      </w:pPr>
      <w:r>
        <w:rPr>
          <w:rFonts w:hint="eastAsia" w:hAnsi="Times New Roman"/>
          <w:sz w:val="30"/>
          <w:szCs w:val="30"/>
        </w:rPr>
        <w:t>撤销指定交易的证券账户，在撤销指定交易的手续办妥后，须另行选择一个交易单元重新办理指定交易申请后，方可进行交易。</w:t>
      </w:r>
    </w:p>
    <w:p w14:paraId="5BCE01C9">
      <w:pPr>
        <w:pStyle w:val="90"/>
        <w:spacing w:line="600" w:lineRule="exact"/>
        <w:ind w:firstLine="602"/>
        <w:rPr>
          <w:rFonts w:hAnsi="Times New Roman"/>
          <w:sz w:val="30"/>
          <w:szCs w:val="30"/>
        </w:rPr>
      </w:pPr>
      <w:r>
        <w:rPr>
          <w:rFonts w:hint="eastAsia"/>
          <w:b/>
          <w:sz w:val="30"/>
          <w:szCs w:val="30"/>
        </w:rPr>
        <w:t>（</w:t>
      </w:r>
      <w:r>
        <w:rPr>
          <w:b/>
          <w:sz w:val="30"/>
          <w:szCs w:val="30"/>
        </w:rPr>
        <w:t>3</w:t>
      </w:r>
      <w:r>
        <w:rPr>
          <w:rFonts w:hint="eastAsia"/>
          <w:b/>
          <w:sz w:val="30"/>
          <w:szCs w:val="30"/>
        </w:rPr>
        <w:t>）</w:t>
      </w:r>
      <w:r>
        <w:rPr>
          <w:rFonts w:hint="eastAsia" w:hAnsi="Times New Roman"/>
          <w:b/>
          <w:sz w:val="30"/>
          <w:szCs w:val="30"/>
        </w:rPr>
        <w:t>指定交易生效</w:t>
      </w:r>
    </w:p>
    <w:p w14:paraId="14A3254F">
      <w:pPr>
        <w:pStyle w:val="90"/>
        <w:adjustRightInd w:val="0"/>
        <w:snapToGrid w:val="0"/>
        <w:spacing w:line="600" w:lineRule="exact"/>
        <w:ind w:firstLine="600"/>
        <w:rPr>
          <w:rFonts w:hAnsi="Times New Roman"/>
          <w:sz w:val="30"/>
          <w:szCs w:val="30"/>
        </w:rPr>
      </w:pPr>
      <w:r>
        <w:rPr>
          <w:rFonts w:hint="eastAsia" w:hAnsi="Times New Roman"/>
          <w:sz w:val="30"/>
          <w:szCs w:val="30"/>
        </w:rPr>
        <w:t>新债券交易</w:t>
      </w:r>
      <w:r>
        <w:rPr>
          <w:rFonts w:hAnsi="Times New Roman"/>
          <w:sz w:val="30"/>
          <w:szCs w:val="30"/>
        </w:rPr>
        <w:t>系统</w:t>
      </w:r>
      <w:r>
        <w:rPr>
          <w:rFonts w:hint="eastAsia" w:hAnsi="Times New Roman"/>
          <w:sz w:val="30"/>
          <w:szCs w:val="30"/>
        </w:rPr>
        <w:t>的</w:t>
      </w:r>
      <w:r>
        <w:rPr>
          <w:rFonts w:hAnsi="Times New Roman"/>
          <w:sz w:val="30"/>
          <w:szCs w:val="30"/>
        </w:rPr>
        <w:t>债券交易业务</w:t>
      </w:r>
      <w:r>
        <w:rPr>
          <w:rFonts w:hint="eastAsia" w:hAnsi="Times New Roman"/>
          <w:sz w:val="30"/>
          <w:szCs w:val="30"/>
        </w:rPr>
        <w:t>和综合</w:t>
      </w:r>
      <w:r>
        <w:rPr>
          <w:rFonts w:hAnsi="Times New Roman"/>
          <w:sz w:val="30"/>
          <w:szCs w:val="30"/>
        </w:rPr>
        <w:t>业务平台</w:t>
      </w:r>
      <w:r>
        <w:rPr>
          <w:rFonts w:hint="eastAsia" w:hAnsi="Times New Roman"/>
          <w:sz w:val="30"/>
          <w:szCs w:val="30"/>
        </w:rPr>
        <w:t>的</w:t>
      </w:r>
      <w:r>
        <w:rPr>
          <w:rFonts w:hAnsi="Times New Roman"/>
          <w:sz w:val="30"/>
          <w:szCs w:val="30"/>
        </w:rPr>
        <w:t>债券非交易业务</w:t>
      </w:r>
      <w:r>
        <w:rPr>
          <w:rFonts w:hint="eastAsia" w:hAnsi="Times New Roman"/>
          <w:sz w:val="30"/>
          <w:szCs w:val="30"/>
        </w:rPr>
        <w:t>均采用实时指定关系</w:t>
      </w:r>
      <w:r>
        <w:rPr>
          <w:rFonts w:hAnsi="Times New Roman"/>
          <w:sz w:val="30"/>
          <w:szCs w:val="30"/>
        </w:rPr>
        <w:t>，</w:t>
      </w:r>
      <w:r>
        <w:rPr>
          <w:rFonts w:hint="eastAsia" w:hAnsi="Times New Roman"/>
          <w:sz w:val="30"/>
          <w:szCs w:val="30"/>
        </w:rPr>
        <w:t>新指定及变更指定交易关系</w:t>
      </w:r>
      <w:r>
        <w:rPr>
          <w:rFonts w:hAnsi="Times New Roman"/>
          <w:sz w:val="30"/>
          <w:szCs w:val="30"/>
        </w:rPr>
        <w:t>后实时可以申报</w:t>
      </w:r>
      <w:r>
        <w:rPr>
          <w:rFonts w:hint="eastAsia" w:hAnsi="Times New Roman"/>
          <w:sz w:val="30"/>
          <w:szCs w:val="30"/>
        </w:rPr>
        <w:t>业务</w:t>
      </w:r>
      <w:r>
        <w:rPr>
          <w:rFonts w:hAnsi="Times New Roman"/>
          <w:sz w:val="30"/>
          <w:szCs w:val="30"/>
        </w:rPr>
        <w:t>。</w:t>
      </w:r>
    </w:p>
    <w:p w14:paraId="5641D16E">
      <w:pPr>
        <w:pStyle w:val="90"/>
        <w:adjustRightInd w:val="0"/>
        <w:snapToGrid w:val="0"/>
        <w:spacing w:line="600" w:lineRule="exact"/>
        <w:ind w:firstLine="600"/>
        <w:rPr>
          <w:rFonts w:hAnsi="Times New Roman"/>
          <w:sz w:val="30"/>
          <w:szCs w:val="30"/>
        </w:rPr>
      </w:pPr>
      <w:r>
        <w:rPr>
          <w:rFonts w:hAnsi="Times New Roman"/>
          <w:sz w:val="30"/>
          <w:szCs w:val="30"/>
        </w:rPr>
        <w:t>固定收益平台</w:t>
      </w:r>
      <w:r>
        <w:rPr>
          <w:rFonts w:hint="eastAsia" w:hAnsi="Times New Roman"/>
          <w:sz w:val="30"/>
          <w:szCs w:val="30"/>
        </w:rPr>
        <w:t>、互联网交易平台的债券</w:t>
      </w:r>
      <w:r>
        <w:rPr>
          <w:rFonts w:hAnsi="Times New Roman"/>
          <w:sz w:val="30"/>
          <w:szCs w:val="30"/>
        </w:rPr>
        <w:t>交易业务</w:t>
      </w:r>
      <w:r>
        <w:rPr>
          <w:rFonts w:hint="eastAsia" w:hAnsi="Times New Roman"/>
          <w:sz w:val="30"/>
          <w:szCs w:val="30"/>
        </w:rPr>
        <w:t>及非交易业务</w:t>
      </w:r>
      <w:r>
        <w:rPr>
          <w:rFonts w:hAnsi="Times New Roman"/>
          <w:sz w:val="30"/>
          <w:szCs w:val="30"/>
        </w:rPr>
        <w:t>采用</w:t>
      </w:r>
      <w:r>
        <w:rPr>
          <w:rFonts w:hint="eastAsia" w:hAnsi="Times New Roman"/>
          <w:sz w:val="30"/>
          <w:szCs w:val="30"/>
        </w:rPr>
        <w:t>上一个</w:t>
      </w:r>
      <w:r>
        <w:rPr>
          <w:rFonts w:hAnsi="Times New Roman"/>
          <w:sz w:val="30"/>
          <w:szCs w:val="30"/>
        </w:rPr>
        <w:t>交易日</w:t>
      </w:r>
      <w:r>
        <w:rPr>
          <w:rFonts w:hint="eastAsia" w:hAnsi="Times New Roman"/>
          <w:sz w:val="30"/>
          <w:szCs w:val="30"/>
        </w:rPr>
        <w:t>（</w:t>
      </w:r>
      <w:r>
        <w:rPr>
          <w:rFonts w:hAnsi="Times New Roman"/>
          <w:sz w:val="30"/>
          <w:szCs w:val="30"/>
        </w:rPr>
        <w:t>T-1</w:t>
      </w:r>
      <w:r>
        <w:rPr>
          <w:rFonts w:hint="eastAsia" w:hAnsi="Times New Roman"/>
          <w:sz w:val="30"/>
          <w:szCs w:val="30"/>
        </w:rPr>
        <w:t>日）</w:t>
      </w:r>
      <w:r>
        <w:rPr>
          <w:rFonts w:hAnsi="Times New Roman"/>
          <w:sz w:val="30"/>
          <w:szCs w:val="30"/>
        </w:rPr>
        <w:t>的</w:t>
      </w:r>
      <w:r>
        <w:rPr>
          <w:rFonts w:hint="eastAsia" w:hAnsi="Times New Roman"/>
          <w:sz w:val="30"/>
          <w:szCs w:val="30"/>
        </w:rPr>
        <w:t>指定交易关系，新开立及变更指定交易的证券账户在</w:t>
      </w:r>
      <w:r>
        <w:rPr>
          <w:rFonts w:hAnsi="Times New Roman"/>
          <w:sz w:val="30"/>
          <w:szCs w:val="30"/>
        </w:rPr>
        <w:t>办理</w:t>
      </w:r>
      <w:r>
        <w:rPr>
          <w:rFonts w:hint="eastAsia" w:hAnsi="Times New Roman"/>
          <w:sz w:val="30"/>
          <w:szCs w:val="30"/>
        </w:rPr>
        <w:t>或变更</w:t>
      </w:r>
      <w:r>
        <w:rPr>
          <w:rFonts w:hAnsi="Times New Roman"/>
          <w:sz w:val="30"/>
          <w:szCs w:val="30"/>
        </w:rPr>
        <w:t>指定交易后</w:t>
      </w:r>
      <w:r>
        <w:rPr>
          <w:rFonts w:hint="eastAsia" w:hAnsi="Times New Roman"/>
          <w:sz w:val="30"/>
          <w:szCs w:val="30"/>
        </w:rPr>
        <w:t>的</w:t>
      </w:r>
      <w:r>
        <w:rPr>
          <w:rFonts w:hAnsi="Times New Roman"/>
          <w:sz w:val="30"/>
          <w:szCs w:val="30"/>
        </w:rPr>
        <w:t>次一</w:t>
      </w:r>
      <w:r>
        <w:rPr>
          <w:rFonts w:hint="eastAsia" w:hAnsi="Times New Roman"/>
          <w:sz w:val="30"/>
          <w:szCs w:val="30"/>
        </w:rPr>
        <w:t>交易</w:t>
      </w:r>
      <w:r>
        <w:rPr>
          <w:rFonts w:hAnsi="Times New Roman"/>
          <w:sz w:val="30"/>
          <w:szCs w:val="30"/>
        </w:rPr>
        <w:t>日</w:t>
      </w:r>
      <w:r>
        <w:rPr>
          <w:rFonts w:hint="eastAsia" w:hAnsi="Times New Roman"/>
          <w:sz w:val="30"/>
          <w:szCs w:val="30"/>
        </w:rPr>
        <w:t>生效</w:t>
      </w:r>
      <w:r>
        <w:rPr>
          <w:rFonts w:hAnsi="Times New Roman"/>
          <w:sz w:val="30"/>
          <w:szCs w:val="30"/>
        </w:rPr>
        <w:t>。</w:t>
      </w:r>
      <w:r>
        <w:rPr>
          <w:rFonts w:hint="eastAsia" w:hAnsi="Times New Roman"/>
          <w:sz w:val="30"/>
          <w:szCs w:val="30"/>
        </w:rPr>
        <w:t>当日新开设的证券账户以及撤销或变更指定交易的证券账户，当日不得在固定收益平台、互联网交易平台开展债券交易申报及</w:t>
      </w:r>
      <w:r>
        <w:rPr>
          <w:rFonts w:hAnsi="Times New Roman"/>
          <w:sz w:val="30"/>
          <w:szCs w:val="30"/>
        </w:rPr>
        <w:t>非交易申报</w:t>
      </w:r>
      <w:r>
        <w:rPr>
          <w:rFonts w:hint="eastAsia" w:hAnsi="Times New Roman"/>
          <w:sz w:val="30"/>
          <w:szCs w:val="30"/>
        </w:rPr>
        <w:t>，指定交易生效后方可申报</w:t>
      </w:r>
      <w:r>
        <w:rPr>
          <w:rFonts w:hAnsi="Times New Roman"/>
          <w:sz w:val="30"/>
          <w:szCs w:val="30"/>
        </w:rPr>
        <w:t>。</w:t>
      </w:r>
    </w:p>
    <w:p w14:paraId="5B1C349E">
      <w:pPr>
        <w:numPr>
          <w:ilvl w:val="1"/>
          <w:numId w:val="4"/>
        </w:numPr>
        <w:spacing w:line="600" w:lineRule="exact"/>
        <w:ind w:left="0" w:firstLine="0"/>
        <w:outlineLvl w:val="1"/>
        <w:rPr>
          <w:rFonts w:ascii="仿宋_GB2312" w:eastAsia="仿宋_GB2312"/>
          <w:b/>
          <w:sz w:val="30"/>
          <w:szCs w:val="30"/>
        </w:rPr>
      </w:pPr>
      <w:bookmarkStart w:id="299" w:name="_Toc60327080"/>
      <w:bookmarkEnd w:id="299"/>
      <w:bookmarkStart w:id="300" w:name="_Toc59034078"/>
      <w:bookmarkEnd w:id="300"/>
      <w:bookmarkStart w:id="301" w:name="_Toc59181287"/>
      <w:bookmarkEnd w:id="301"/>
      <w:bookmarkStart w:id="302" w:name="_Toc57908881"/>
      <w:bookmarkEnd w:id="302"/>
      <w:bookmarkStart w:id="303" w:name="_Toc59181175"/>
      <w:bookmarkEnd w:id="303"/>
      <w:bookmarkStart w:id="304" w:name="_Toc59181063"/>
      <w:bookmarkEnd w:id="304"/>
      <w:bookmarkStart w:id="305" w:name="_Toc59106960"/>
      <w:bookmarkEnd w:id="305"/>
      <w:bookmarkStart w:id="306" w:name="_Toc60327081"/>
      <w:bookmarkEnd w:id="306"/>
      <w:bookmarkStart w:id="307" w:name="_Toc59106961"/>
      <w:bookmarkEnd w:id="307"/>
      <w:bookmarkStart w:id="308" w:name="_Toc59034556"/>
      <w:bookmarkEnd w:id="308"/>
      <w:bookmarkStart w:id="309" w:name="_Toc60331837"/>
      <w:bookmarkEnd w:id="309"/>
      <w:bookmarkStart w:id="310" w:name="_Toc59034077"/>
      <w:bookmarkEnd w:id="310"/>
      <w:bookmarkStart w:id="311" w:name="_Toc60331838"/>
      <w:bookmarkEnd w:id="311"/>
      <w:bookmarkStart w:id="312" w:name="_Toc59181174"/>
      <w:bookmarkEnd w:id="312"/>
      <w:bookmarkStart w:id="313" w:name="_Toc59034557"/>
      <w:bookmarkEnd w:id="313"/>
      <w:bookmarkStart w:id="314" w:name="_Toc59181286"/>
      <w:bookmarkEnd w:id="314"/>
      <w:bookmarkStart w:id="315" w:name="_Toc59181062"/>
      <w:bookmarkEnd w:id="315"/>
      <w:bookmarkStart w:id="316" w:name="_Toc57908880"/>
      <w:bookmarkEnd w:id="316"/>
      <w:bookmarkStart w:id="317" w:name="_Toc1441962581"/>
      <w:bookmarkStart w:id="318" w:name="_Toc426031118"/>
      <w:bookmarkStart w:id="319" w:name="_Toc151136892"/>
      <w:bookmarkStart w:id="320" w:name="_Toc2065576763"/>
      <w:bookmarkStart w:id="321" w:name="_Toc2075055176"/>
      <w:bookmarkStart w:id="322" w:name="_Toc56166263"/>
      <w:bookmarkStart w:id="323" w:name="_Toc56166074"/>
      <w:r>
        <w:rPr>
          <w:rFonts w:hint="eastAsia" w:ascii="仿宋_GB2312" w:eastAsia="仿宋_GB2312"/>
          <w:b/>
          <w:sz w:val="30"/>
          <w:szCs w:val="30"/>
        </w:rPr>
        <w:t>交易</w:t>
      </w:r>
      <w:r>
        <w:rPr>
          <w:rFonts w:ascii="仿宋_GB2312" w:eastAsia="仿宋_GB2312"/>
          <w:b/>
          <w:sz w:val="30"/>
          <w:szCs w:val="30"/>
        </w:rPr>
        <w:t>对手</w:t>
      </w:r>
      <w:bookmarkEnd w:id="317"/>
      <w:bookmarkEnd w:id="318"/>
      <w:bookmarkEnd w:id="319"/>
      <w:bookmarkEnd w:id="320"/>
      <w:bookmarkEnd w:id="321"/>
    </w:p>
    <w:p w14:paraId="549EC16C">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交易对手范围</w:t>
      </w:r>
    </w:p>
    <w:p w14:paraId="368057B9">
      <w:pPr>
        <w:pStyle w:val="90"/>
        <w:spacing w:line="600" w:lineRule="exact"/>
        <w:ind w:firstLine="600"/>
        <w:rPr>
          <w:rFonts w:hAnsi="Times New Roman"/>
          <w:sz w:val="30"/>
          <w:szCs w:val="30"/>
        </w:rPr>
      </w:pPr>
      <w:r>
        <w:rPr>
          <w:rFonts w:hint="eastAsia" w:hAnsi="Times New Roman"/>
          <w:sz w:val="30"/>
          <w:szCs w:val="30"/>
        </w:rPr>
        <w:t>采用逐笔全额结算方式的债券交易，债券投资者可以通过固定收益平台以“黑名单”</w:t>
      </w:r>
      <w:r>
        <w:rPr>
          <w:rFonts w:hAnsi="Times New Roman"/>
          <w:sz w:val="30"/>
          <w:szCs w:val="30"/>
        </w:rPr>
        <w:t>形式</w:t>
      </w:r>
      <w:r>
        <w:rPr>
          <w:rFonts w:hint="eastAsia" w:hAnsi="Times New Roman"/>
          <w:sz w:val="30"/>
          <w:szCs w:val="30"/>
        </w:rPr>
        <w:t>设置交易对手范围，即授信</w:t>
      </w:r>
      <w:r>
        <w:rPr>
          <w:rFonts w:hAnsi="Times New Roman"/>
          <w:sz w:val="30"/>
          <w:szCs w:val="30"/>
        </w:rPr>
        <w:t>关注名单</w:t>
      </w:r>
      <w:r>
        <w:rPr>
          <w:rFonts w:hint="eastAsia" w:hAnsi="Times New Roman"/>
          <w:sz w:val="30"/>
          <w:szCs w:val="30"/>
        </w:rPr>
        <w:t>。交易一方被列入授信</w:t>
      </w:r>
      <w:r>
        <w:rPr>
          <w:rFonts w:hAnsi="Times New Roman"/>
          <w:sz w:val="30"/>
          <w:szCs w:val="30"/>
        </w:rPr>
        <w:t>关注名单的</w:t>
      </w:r>
      <w:r>
        <w:rPr>
          <w:rFonts w:hint="eastAsia" w:hAnsi="Times New Roman"/>
          <w:sz w:val="30"/>
          <w:szCs w:val="30"/>
        </w:rPr>
        <w:t>，本所不予确认成交。</w:t>
      </w:r>
    </w:p>
    <w:p w14:paraId="00988FBA">
      <w:pPr>
        <w:pStyle w:val="90"/>
        <w:spacing w:line="600" w:lineRule="exact"/>
        <w:ind w:firstLine="600"/>
        <w:rPr>
          <w:rFonts w:hAnsi="Times New Roman"/>
          <w:sz w:val="30"/>
          <w:szCs w:val="30"/>
        </w:rPr>
      </w:pPr>
      <w:r>
        <w:rPr>
          <w:rFonts w:hint="eastAsia" w:hAnsi="Times New Roman"/>
          <w:sz w:val="30"/>
          <w:szCs w:val="30"/>
        </w:rPr>
        <w:t>初始</w:t>
      </w:r>
      <w:r>
        <w:rPr>
          <w:rFonts w:hAnsi="Times New Roman"/>
          <w:sz w:val="30"/>
          <w:szCs w:val="30"/>
        </w:rPr>
        <w:t>状态下</w:t>
      </w:r>
      <w:r>
        <w:rPr>
          <w:rFonts w:hint="eastAsia" w:hAnsi="Times New Roman"/>
          <w:sz w:val="30"/>
          <w:szCs w:val="30"/>
        </w:rPr>
        <w:t>，授信关注名单为空。授信关注名单仅能由债券交易参与人的首席交易员进行维护。</w:t>
      </w:r>
    </w:p>
    <w:p w14:paraId="47BB7C33">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交易对手寻找</w:t>
      </w:r>
    </w:p>
    <w:p w14:paraId="62E0EAEC">
      <w:pPr>
        <w:pStyle w:val="90"/>
        <w:spacing w:line="600" w:lineRule="exact"/>
        <w:ind w:firstLine="600"/>
        <w:rPr>
          <w:rFonts w:hAnsi="Times New Roman"/>
          <w:sz w:val="30"/>
          <w:szCs w:val="30"/>
        </w:rPr>
      </w:pPr>
      <w:r>
        <w:rPr>
          <w:rFonts w:hint="eastAsia" w:hAnsi="Times New Roman"/>
          <w:sz w:val="30"/>
          <w:szCs w:val="30"/>
        </w:rPr>
        <w:t>本所债券市场的机构投资者可以自行</w:t>
      </w:r>
      <w:r>
        <w:rPr>
          <w:rFonts w:hAnsi="Times New Roman"/>
          <w:sz w:val="30"/>
          <w:szCs w:val="30"/>
        </w:rPr>
        <w:t>寻找交易对手</w:t>
      </w:r>
      <w:r>
        <w:rPr>
          <w:rFonts w:hint="eastAsia" w:hAnsi="Times New Roman"/>
          <w:sz w:val="30"/>
          <w:szCs w:val="30"/>
        </w:rPr>
        <w:t>；或者委托经银行业监督管理部门批准成立的货币经纪公司，为其交易或转让在本所上市或挂牌的债券（含资产支持证券）、债券回购、债券衍生品以及其他相关品种提供居间服务。</w:t>
      </w:r>
    </w:p>
    <w:p w14:paraId="706C4972">
      <w:pPr>
        <w:pStyle w:val="90"/>
        <w:spacing w:line="600" w:lineRule="exact"/>
        <w:ind w:firstLine="600"/>
        <w:rPr>
          <w:rFonts w:hAnsi="Times New Roman"/>
          <w:sz w:val="30"/>
          <w:szCs w:val="30"/>
        </w:rPr>
      </w:pPr>
      <w:r>
        <w:rPr>
          <w:rFonts w:hint="eastAsia" w:hAnsi="Times New Roman"/>
          <w:sz w:val="30"/>
          <w:szCs w:val="30"/>
        </w:rPr>
        <w:t>债券投资者通过货币经纪公司达成交易意向后，应当由交易双方通过本所系统进行成交申报，经本所确认后成交。货币经纪公司不得从事或变相从事代理买卖或交易资金结算业务。</w:t>
      </w:r>
    </w:p>
    <w:p w14:paraId="64F0A2CE">
      <w:pPr>
        <w:pStyle w:val="90"/>
        <w:spacing w:line="600" w:lineRule="exact"/>
        <w:ind w:firstLine="600"/>
        <w:rPr>
          <w:rFonts w:hAnsi="Times New Roman"/>
          <w:sz w:val="30"/>
          <w:szCs w:val="30"/>
        </w:rPr>
      </w:pPr>
      <w:r>
        <w:rPr>
          <w:rFonts w:hint="eastAsia" w:hAnsi="Times New Roman"/>
          <w:sz w:val="30"/>
          <w:szCs w:val="30"/>
        </w:rPr>
        <w:t>货币经纪公司应当严格管理居间服务信息，妥善保存委托记录和交易记录，定期向本所提交相关统计信息。</w:t>
      </w:r>
    </w:p>
    <w:p w14:paraId="3951CCE7">
      <w:pPr>
        <w:pStyle w:val="90"/>
        <w:spacing w:line="600" w:lineRule="exact"/>
        <w:ind w:firstLineChars="0"/>
        <w:rPr>
          <w:rFonts w:hAnsi="Times New Roman"/>
          <w:sz w:val="30"/>
          <w:szCs w:val="30"/>
        </w:rPr>
      </w:pPr>
      <w:r>
        <w:rPr>
          <w:rFonts w:hint="eastAsia" w:hAnsi="Times New Roman"/>
          <w:sz w:val="30"/>
          <w:szCs w:val="30"/>
        </w:rPr>
        <w:t>货币经纪公司提供居间服务应当遵循公正、公平、诚实守信、为客户保密的原则，遵守相关法律、法规、规章和本所债券市场业务规则，建立有效的内部风险控制制度和技术系统。</w:t>
      </w:r>
    </w:p>
    <w:p w14:paraId="73A04430">
      <w:pPr>
        <w:numPr>
          <w:ilvl w:val="1"/>
          <w:numId w:val="4"/>
        </w:numPr>
        <w:spacing w:line="600" w:lineRule="exact"/>
        <w:ind w:left="0" w:firstLine="0"/>
        <w:outlineLvl w:val="1"/>
        <w:rPr>
          <w:rFonts w:ascii="仿宋_GB2312" w:eastAsia="仿宋_GB2312"/>
          <w:b/>
          <w:sz w:val="30"/>
          <w:szCs w:val="30"/>
        </w:rPr>
      </w:pPr>
      <w:bookmarkStart w:id="324" w:name="_Toc151136893"/>
      <w:bookmarkStart w:id="325" w:name="_Toc787553196"/>
      <w:bookmarkStart w:id="326" w:name="_Toc1719973597"/>
      <w:bookmarkStart w:id="327" w:name="_Toc2068315962"/>
      <w:bookmarkStart w:id="328" w:name="_Toc843195678"/>
      <w:r>
        <w:rPr>
          <w:rFonts w:hint="eastAsia" w:ascii="仿宋_GB2312" w:eastAsia="仿宋_GB2312"/>
          <w:b/>
          <w:sz w:val="30"/>
          <w:szCs w:val="30"/>
        </w:rPr>
        <w:t>交易前端控制</w:t>
      </w:r>
      <w:bookmarkEnd w:id="322"/>
      <w:bookmarkEnd w:id="323"/>
      <w:bookmarkEnd w:id="324"/>
      <w:bookmarkEnd w:id="325"/>
      <w:bookmarkEnd w:id="326"/>
      <w:bookmarkEnd w:id="327"/>
      <w:bookmarkEnd w:id="328"/>
    </w:p>
    <w:p w14:paraId="5CD773D8">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资金前端控制</w:t>
      </w:r>
    </w:p>
    <w:p w14:paraId="61B13ECC">
      <w:pPr>
        <w:spacing w:line="600" w:lineRule="exact"/>
        <w:ind w:left="567"/>
        <w:outlineLvl w:val="3"/>
        <w:rPr>
          <w:rFonts w:ascii="仿宋_GB2312" w:eastAsia="仿宋_GB2312"/>
          <w:b/>
          <w:sz w:val="30"/>
          <w:szCs w:val="30"/>
        </w:rPr>
      </w:pPr>
      <w:r>
        <w:rPr>
          <w:rFonts w:hint="eastAsia" w:ascii="仿宋_GB2312" w:eastAsia="仿宋_GB2312"/>
          <w:b/>
          <w:sz w:val="30"/>
          <w:szCs w:val="30"/>
        </w:rPr>
        <w:t>（1）资金前端控制定义</w:t>
      </w:r>
    </w:p>
    <w:p w14:paraId="03AC3E9B">
      <w:pPr>
        <w:pStyle w:val="90"/>
        <w:spacing w:line="600" w:lineRule="exact"/>
        <w:ind w:firstLine="600"/>
        <w:rPr>
          <w:rFonts w:hAnsi="Times New Roman"/>
          <w:sz w:val="30"/>
          <w:szCs w:val="30"/>
        </w:rPr>
      </w:pPr>
      <w:r>
        <w:rPr>
          <w:rFonts w:hint="eastAsia" w:hAnsi="Times New Roman"/>
          <w:sz w:val="30"/>
          <w:szCs w:val="30"/>
        </w:rPr>
        <w:t>本指南所称资金前端控制，是指本所、结算登记机构对债券交易参与人交易单元全天净买入申报金额总量实施额度管理，并通过本所对债券交易参与人实施前端控制的制度。</w:t>
      </w:r>
    </w:p>
    <w:p w14:paraId="30235248">
      <w:pPr>
        <w:pStyle w:val="90"/>
        <w:spacing w:line="600" w:lineRule="exact"/>
        <w:ind w:firstLine="600"/>
        <w:rPr>
          <w:rFonts w:hAnsi="Times New Roman"/>
          <w:sz w:val="30"/>
          <w:szCs w:val="30"/>
        </w:rPr>
      </w:pPr>
      <w:r>
        <w:rPr>
          <w:rFonts w:hint="eastAsia" w:hAnsi="Times New Roman"/>
          <w:sz w:val="30"/>
          <w:szCs w:val="30"/>
        </w:rPr>
        <w:t>资金前端控制的意义在于在</w:t>
      </w:r>
      <w:r>
        <w:rPr>
          <w:rFonts w:hAnsi="Times New Roman"/>
          <w:sz w:val="30"/>
          <w:szCs w:val="30"/>
        </w:rPr>
        <w:t>净额担保交收制度安排下，</w:t>
      </w:r>
      <w:r>
        <w:rPr>
          <w:rFonts w:hint="eastAsia" w:hAnsi="Times New Roman"/>
          <w:sz w:val="30"/>
          <w:szCs w:val="30"/>
        </w:rPr>
        <w:t>通过事前申报拟用资金额度的方式来预防风险，一定程度上避免重大人为差错、参与人</w:t>
      </w:r>
      <w:r>
        <w:rPr>
          <w:rFonts w:hAnsi="Times New Roman"/>
          <w:sz w:val="30"/>
          <w:szCs w:val="30"/>
        </w:rPr>
        <w:t>技术系统故障</w:t>
      </w:r>
      <w:r>
        <w:rPr>
          <w:rFonts w:hint="eastAsia" w:hAnsi="Times New Roman"/>
          <w:sz w:val="30"/>
          <w:szCs w:val="30"/>
        </w:rPr>
        <w:t>等突发性事件给市场带来的极端冲击。</w:t>
      </w:r>
    </w:p>
    <w:p w14:paraId="3F69F3B8">
      <w:pPr>
        <w:spacing w:line="600" w:lineRule="exact"/>
        <w:ind w:left="567"/>
        <w:outlineLvl w:val="3"/>
        <w:rPr>
          <w:rFonts w:ascii="仿宋_GB2312" w:eastAsia="仿宋_GB2312"/>
          <w:b/>
          <w:sz w:val="30"/>
          <w:szCs w:val="30"/>
        </w:rPr>
      </w:pPr>
      <w:r>
        <w:rPr>
          <w:rFonts w:hint="eastAsia" w:ascii="仿宋_GB2312" w:eastAsia="仿宋_GB2312"/>
          <w:b/>
          <w:sz w:val="30"/>
          <w:szCs w:val="30"/>
        </w:rPr>
        <w:t>（2）资金前端控制范围</w:t>
      </w:r>
    </w:p>
    <w:p w14:paraId="43EC765C">
      <w:pPr>
        <w:pStyle w:val="90"/>
        <w:spacing w:line="600" w:lineRule="exact"/>
        <w:ind w:firstLine="600"/>
        <w:rPr>
          <w:rFonts w:hAnsi="Times New Roman"/>
          <w:sz w:val="30"/>
          <w:szCs w:val="30"/>
        </w:rPr>
      </w:pPr>
      <w:r>
        <w:rPr>
          <w:rFonts w:hint="eastAsia" w:hAnsi="Times New Roman"/>
          <w:sz w:val="30"/>
          <w:szCs w:val="30"/>
        </w:rPr>
        <w:t>本所将实施匹配成交且采用多边净额结算方式的现券交易及通用回购交易纳入资金前端控制实施范围。</w:t>
      </w:r>
    </w:p>
    <w:p w14:paraId="2BAFCD1A">
      <w:pPr>
        <w:pStyle w:val="90"/>
        <w:adjustRightInd w:val="0"/>
        <w:snapToGrid w:val="0"/>
        <w:spacing w:line="600" w:lineRule="exact"/>
        <w:ind w:firstLine="600"/>
        <w:rPr>
          <w:rFonts w:hAnsi="Times New Roman"/>
          <w:sz w:val="30"/>
          <w:szCs w:val="30"/>
        </w:rPr>
      </w:pPr>
      <w:r>
        <w:rPr>
          <w:rFonts w:hint="eastAsia" w:hAnsi="Times New Roman"/>
          <w:sz w:val="30"/>
          <w:szCs w:val="30"/>
        </w:rPr>
        <w:t>1）最高额度</w:t>
      </w:r>
    </w:p>
    <w:p w14:paraId="37E82C5B">
      <w:pPr>
        <w:pStyle w:val="90"/>
        <w:adjustRightInd w:val="0"/>
        <w:snapToGrid w:val="0"/>
        <w:spacing w:line="600" w:lineRule="exact"/>
        <w:ind w:firstLine="600"/>
        <w:rPr>
          <w:rFonts w:hAnsi="Times New Roman"/>
          <w:sz w:val="30"/>
          <w:szCs w:val="30"/>
        </w:rPr>
      </w:pPr>
      <w:r>
        <w:rPr>
          <w:rFonts w:hint="eastAsia" w:hAnsi="Times New Roman"/>
          <w:sz w:val="30"/>
          <w:szCs w:val="30"/>
        </w:rPr>
        <w:t>债券交易参与人通过其结算参与人向登记结算机构申报最高额度，最高额度是关联交易单元全天净买入申报金额的最高上限。登记结算机构于当日日终将最高额度信息发送本所，本所技术系统根据登记结算机构发送的最高额度等信息，对关联交易单元设置最高额度。</w:t>
      </w:r>
    </w:p>
    <w:p w14:paraId="290E7666">
      <w:pPr>
        <w:pStyle w:val="90"/>
        <w:spacing w:line="600" w:lineRule="exact"/>
        <w:ind w:firstLine="600"/>
        <w:rPr>
          <w:rFonts w:hAnsi="Times New Roman"/>
          <w:sz w:val="30"/>
          <w:szCs w:val="30"/>
        </w:rPr>
      </w:pPr>
      <w:r>
        <w:rPr>
          <w:rFonts w:hint="eastAsia" w:hAnsi="Times New Roman"/>
          <w:sz w:val="30"/>
          <w:szCs w:val="30"/>
        </w:rPr>
        <w:t>2）自设额度</w:t>
      </w:r>
    </w:p>
    <w:p w14:paraId="4AC10385">
      <w:pPr>
        <w:pStyle w:val="90"/>
        <w:spacing w:line="600" w:lineRule="exact"/>
        <w:ind w:firstLine="600"/>
        <w:rPr>
          <w:rFonts w:hAnsi="Times New Roman"/>
          <w:sz w:val="30"/>
          <w:szCs w:val="30"/>
        </w:rPr>
      </w:pPr>
      <w:r>
        <w:rPr>
          <w:rFonts w:hint="eastAsia" w:hAnsi="Times New Roman"/>
          <w:sz w:val="30"/>
          <w:szCs w:val="30"/>
        </w:rPr>
        <w:t>债券交易参与人可登录本所网站会员专区向本所申报设定关联交易单元的自设额度。债券交易参与人申报的自设额度不得超过该关联交易单元的最高额度，超出最高额度的，申报无效；未申报的，默认为该关联交易单元的最高额度。</w:t>
      </w:r>
    </w:p>
    <w:p w14:paraId="33D5D239">
      <w:pPr>
        <w:pStyle w:val="90"/>
        <w:spacing w:line="600" w:lineRule="exact"/>
        <w:ind w:firstLine="600"/>
        <w:rPr>
          <w:rFonts w:hAnsi="Times New Roman"/>
          <w:sz w:val="30"/>
          <w:szCs w:val="30"/>
        </w:rPr>
      </w:pPr>
      <w:r>
        <w:rPr>
          <w:rFonts w:hint="eastAsia" w:hAnsi="Times New Roman"/>
          <w:sz w:val="30"/>
          <w:szCs w:val="30"/>
        </w:rPr>
        <w:t>本所根据债券交易参与人申报的自设额度，对关联交易单元的全天净买入申报金额总量实施额度控制。对于资金前端控制适用的交易品种，当债券交易参与人的关联交易单元全天净买入申报金额达到或超过自设额度时，本所不接受关联交易单元下的所有交易单元的匹配成交交易买入申报。</w:t>
      </w:r>
    </w:p>
    <w:p w14:paraId="78EADE14">
      <w:pPr>
        <w:spacing w:line="600" w:lineRule="exact"/>
        <w:ind w:left="567"/>
        <w:outlineLvl w:val="3"/>
        <w:rPr>
          <w:rFonts w:ascii="仿宋_GB2312" w:eastAsia="仿宋_GB2312"/>
          <w:b/>
          <w:sz w:val="30"/>
          <w:szCs w:val="30"/>
        </w:rPr>
      </w:pPr>
      <w:r>
        <w:rPr>
          <w:rFonts w:hint="eastAsia" w:ascii="仿宋_GB2312" w:eastAsia="仿宋_GB2312"/>
          <w:b/>
          <w:sz w:val="30"/>
          <w:szCs w:val="30"/>
        </w:rPr>
        <w:t>（3）资金前端控制额度设置流程</w:t>
      </w:r>
    </w:p>
    <w:p w14:paraId="767125D3">
      <w:pPr>
        <w:pStyle w:val="90"/>
        <w:spacing w:line="600" w:lineRule="exact"/>
        <w:ind w:firstLine="600"/>
        <w:rPr>
          <w:rFonts w:hAnsi="Times New Roman"/>
          <w:sz w:val="30"/>
          <w:szCs w:val="30"/>
        </w:rPr>
      </w:pPr>
      <w:r>
        <w:rPr>
          <w:rFonts w:hint="eastAsia" w:hAnsi="Times New Roman"/>
          <w:sz w:val="30"/>
          <w:szCs w:val="30"/>
        </w:rPr>
        <w:t>债券交易参与人的资金前端控制额度设置流程，适用本所</w:t>
      </w:r>
      <w:r>
        <w:rPr>
          <w:rFonts w:hint="eastAsia"/>
          <w:sz w:val="30"/>
          <w:szCs w:val="30"/>
        </w:rPr>
        <w:t>《上海证券交易所 深圳证券交易所 中国证券登记结算有限责任公司证券交易资金前端风险控制业务规则》《上海证券交易所 中国证券登记结算有限责任公司证券交易资金前端风险控制业务实施细则》</w:t>
      </w:r>
      <w:r>
        <w:rPr>
          <w:rFonts w:hint="eastAsia" w:hAnsi="Times New Roman"/>
          <w:sz w:val="30"/>
          <w:szCs w:val="30"/>
        </w:rPr>
        <w:t>《</w:t>
      </w:r>
      <w:r>
        <w:rPr>
          <w:rFonts w:hint="eastAsia" w:hAnsi="微软雅黑" w:cs="宋体"/>
          <w:color w:val="050505"/>
          <w:sz w:val="30"/>
          <w:szCs w:val="30"/>
        </w:rPr>
        <w:t>上海证券交易所证券交易业务指南第5号——证券交易资金前端风险控制业务</w:t>
      </w:r>
      <w:r>
        <w:rPr>
          <w:rFonts w:hint="eastAsia" w:hAnsi="Times New Roman"/>
          <w:sz w:val="30"/>
          <w:szCs w:val="30"/>
        </w:rPr>
        <w:t>》等相关规定（详见附件5资金前端控制设置流程说明）。</w:t>
      </w:r>
    </w:p>
    <w:p w14:paraId="28F24874">
      <w:pPr>
        <w:spacing w:line="600" w:lineRule="exact"/>
        <w:ind w:left="567"/>
        <w:outlineLvl w:val="3"/>
        <w:rPr>
          <w:rFonts w:ascii="仿宋_GB2312" w:eastAsia="仿宋_GB2312"/>
          <w:b/>
          <w:sz w:val="30"/>
          <w:szCs w:val="30"/>
        </w:rPr>
      </w:pPr>
      <w:r>
        <w:rPr>
          <w:rFonts w:hint="eastAsia" w:ascii="仿宋_GB2312" w:eastAsia="仿宋_GB2312"/>
          <w:b/>
          <w:sz w:val="30"/>
          <w:szCs w:val="30"/>
        </w:rPr>
        <w:t>（4）资金前端控制信息检查</w:t>
      </w:r>
    </w:p>
    <w:p w14:paraId="1AB60958">
      <w:pPr>
        <w:pStyle w:val="90"/>
        <w:spacing w:line="600" w:lineRule="exact"/>
        <w:ind w:firstLine="600"/>
        <w:rPr>
          <w:rFonts w:hAnsi="Times New Roman"/>
          <w:sz w:val="30"/>
          <w:szCs w:val="30"/>
        </w:rPr>
      </w:pPr>
      <w:r>
        <w:rPr>
          <w:rFonts w:hint="eastAsia" w:hAnsi="Times New Roman"/>
          <w:sz w:val="30"/>
          <w:szCs w:val="30"/>
        </w:rPr>
        <w:t>资金前端控制信息检查是指本所交易系统在交易单元事前报备的额度内对于每笔申报进行可用资金额度检查。</w:t>
      </w:r>
    </w:p>
    <w:p w14:paraId="681FF8ED">
      <w:pPr>
        <w:pStyle w:val="90"/>
        <w:spacing w:line="600" w:lineRule="exact"/>
        <w:ind w:firstLine="600"/>
        <w:rPr>
          <w:rFonts w:hAnsi="Times New Roman"/>
          <w:sz w:val="30"/>
          <w:szCs w:val="30"/>
        </w:rPr>
      </w:pPr>
      <w:r>
        <w:rPr>
          <w:rFonts w:hint="eastAsia" w:hAnsi="Times New Roman"/>
          <w:sz w:val="30"/>
          <w:szCs w:val="30"/>
        </w:rPr>
        <w:t>本所通过虚拟资金额度进行资金前端控制。买入方交易单元应有足额虚拟资金额度（根据申报数量、申报价格计算），对纳入</w:t>
      </w:r>
      <w:r>
        <w:rPr>
          <w:rFonts w:hint="eastAsia" w:hAnsi="Times New Roman"/>
          <w:sz w:val="30"/>
          <w:szCs w:val="30"/>
          <w:lang w:bidi="en-US"/>
        </w:rPr>
        <w:t>资金前端控制范围内的</w:t>
      </w:r>
      <w:r>
        <w:rPr>
          <w:rFonts w:hint="eastAsia" w:hAnsi="Times New Roman"/>
          <w:sz w:val="30"/>
          <w:szCs w:val="30"/>
        </w:rPr>
        <w:t>每笔申报，扣减买入方交易单元虚拟可用资金额度（对通用回购扣减资金融出方交易单元虚拟可用资金额度），并与交易单元资金前端控制信息联动互通。</w:t>
      </w:r>
    </w:p>
    <w:p w14:paraId="25C321A7">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持仓前端控制</w:t>
      </w:r>
    </w:p>
    <w:p w14:paraId="745E984E">
      <w:pPr>
        <w:spacing w:line="600" w:lineRule="exact"/>
        <w:ind w:left="567"/>
        <w:outlineLvl w:val="3"/>
        <w:rPr>
          <w:rFonts w:ascii="仿宋_GB2312" w:eastAsia="仿宋_GB2312"/>
          <w:b/>
          <w:sz w:val="30"/>
          <w:szCs w:val="30"/>
        </w:rPr>
      </w:pPr>
      <w:r>
        <w:rPr>
          <w:rFonts w:hint="eastAsia" w:ascii="仿宋_GB2312" w:eastAsia="仿宋_GB2312"/>
          <w:b/>
          <w:sz w:val="30"/>
          <w:szCs w:val="30"/>
        </w:rPr>
        <w:t>（1）持仓前端控制定义</w:t>
      </w:r>
    </w:p>
    <w:p w14:paraId="23EC8361">
      <w:pPr>
        <w:pStyle w:val="90"/>
        <w:spacing w:line="600" w:lineRule="exact"/>
        <w:ind w:firstLine="600"/>
        <w:rPr>
          <w:rFonts w:hAnsi="Times New Roman"/>
          <w:sz w:val="30"/>
          <w:szCs w:val="30"/>
        </w:rPr>
      </w:pPr>
      <w:r>
        <w:rPr>
          <w:rFonts w:hint="eastAsia" w:hAnsi="Times New Roman"/>
          <w:sz w:val="30"/>
          <w:szCs w:val="30"/>
        </w:rPr>
        <w:t>本指南所称持仓前端控制，是指本所对债券交易参与人证券账户卖出（或出质）债券持仓进行检查，并对债券交易参与人所提交的申报实施前端控制的制度。</w:t>
      </w:r>
    </w:p>
    <w:p w14:paraId="245CBD75">
      <w:pPr>
        <w:spacing w:line="600" w:lineRule="exact"/>
        <w:ind w:left="567"/>
        <w:outlineLvl w:val="3"/>
        <w:rPr>
          <w:rFonts w:ascii="仿宋_GB2312" w:eastAsia="仿宋_GB2312"/>
          <w:b/>
          <w:sz w:val="30"/>
          <w:szCs w:val="30"/>
        </w:rPr>
      </w:pPr>
      <w:r>
        <w:rPr>
          <w:rFonts w:hint="eastAsia" w:ascii="仿宋_GB2312" w:eastAsia="仿宋_GB2312"/>
          <w:b/>
          <w:sz w:val="30"/>
          <w:szCs w:val="30"/>
        </w:rPr>
        <w:t>（2）持仓前端控制范围</w:t>
      </w:r>
    </w:p>
    <w:p w14:paraId="3B16E053">
      <w:pPr>
        <w:pStyle w:val="90"/>
        <w:spacing w:line="600" w:lineRule="exact"/>
        <w:ind w:firstLine="600"/>
        <w:rPr>
          <w:rFonts w:hAnsi="Times New Roman"/>
          <w:sz w:val="30"/>
          <w:szCs w:val="30"/>
        </w:rPr>
      </w:pPr>
      <w:r>
        <w:rPr>
          <w:rFonts w:hint="eastAsia" w:hAnsi="Times New Roman"/>
          <w:sz w:val="30"/>
          <w:szCs w:val="30"/>
        </w:rPr>
        <w:t>本所对可以采用多边净额结算方式的债券实施持仓前端控制。</w:t>
      </w:r>
    </w:p>
    <w:p w14:paraId="50F04204">
      <w:pPr>
        <w:spacing w:line="600" w:lineRule="exact"/>
        <w:ind w:left="567"/>
        <w:outlineLvl w:val="3"/>
        <w:rPr>
          <w:rFonts w:ascii="仿宋_GB2312" w:eastAsia="仿宋_GB2312"/>
          <w:b/>
          <w:sz w:val="30"/>
          <w:szCs w:val="30"/>
        </w:rPr>
      </w:pPr>
      <w:r>
        <w:rPr>
          <w:rFonts w:hint="eastAsia" w:ascii="仿宋_GB2312" w:eastAsia="仿宋_GB2312"/>
          <w:b/>
          <w:sz w:val="30"/>
          <w:szCs w:val="30"/>
        </w:rPr>
        <w:t>（3）持仓前端控制实施方式</w:t>
      </w:r>
    </w:p>
    <w:p w14:paraId="24F095C1">
      <w:pPr>
        <w:pStyle w:val="90"/>
        <w:spacing w:line="600" w:lineRule="exact"/>
        <w:ind w:firstLine="600"/>
        <w:rPr>
          <w:rFonts w:hAnsi="Times New Roman"/>
          <w:sz w:val="30"/>
          <w:szCs w:val="30"/>
        </w:rPr>
      </w:pPr>
      <w:r>
        <w:rPr>
          <w:rFonts w:hint="eastAsia"/>
          <w:sz w:val="30"/>
          <w:szCs w:val="30"/>
        </w:rPr>
        <w:t>一是利率债、符合净额结算标准的公募公司债等</w:t>
      </w:r>
      <w:r>
        <w:rPr>
          <w:rFonts w:hint="eastAsia"/>
          <w:color w:val="000000"/>
          <w:sz w:val="30"/>
          <w:szCs w:val="30"/>
          <w:shd w:val="clear" w:color="auto" w:fill="FFFFFF"/>
        </w:rPr>
        <w:t>符合净额结算标准</w:t>
      </w:r>
      <w:r>
        <w:rPr>
          <w:rFonts w:hint="eastAsia" w:hAnsi="Times New Roman"/>
          <w:sz w:val="30"/>
          <w:szCs w:val="30"/>
        </w:rPr>
        <w:t>的债券。上述债券申报卖出或者通用回购入库时，本所对卖出方（或出质方）证券账户进行持仓检查，并预冻结其申报数量（申报撤销后予以解冻）。交易达成后，交易双方选择多边净额结算方式的，本所对卖出方证券账户实时扣减持仓，买入方所在证券账户实时增加持仓；交易双方选择实时逐笔全额结算（RTGS）方式的，本所对卖出方证券账户实时扣减持仓，买入方证券账户不立即增加持仓，待交收完成后次日增加持仓。</w:t>
      </w:r>
      <w:r>
        <w:rPr>
          <w:rFonts w:hint="eastAsia"/>
          <w:sz w:val="30"/>
          <w:szCs w:val="30"/>
        </w:rPr>
        <w:t>为避免“净额结算</w:t>
      </w:r>
      <w:r>
        <w:rPr>
          <w:sz w:val="30"/>
          <w:szCs w:val="30"/>
        </w:rPr>
        <w:t>方式买入</w:t>
      </w:r>
      <w:r>
        <w:rPr>
          <w:rFonts w:hint="eastAsia"/>
          <w:sz w:val="30"/>
          <w:szCs w:val="30"/>
        </w:rPr>
        <w:t>，</w:t>
      </w:r>
      <w:r>
        <w:rPr>
          <w:sz w:val="30"/>
          <w:szCs w:val="30"/>
        </w:rPr>
        <w:t>当日RTGS方式卖出</w:t>
      </w:r>
      <w:r>
        <w:rPr>
          <w:rFonts w:hint="eastAsia"/>
          <w:sz w:val="30"/>
          <w:szCs w:val="30"/>
        </w:rPr>
        <w:t>”</w:t>
      </w:r>
      <w:r>
        <w:rPr>
          <w:sz w:val="30"/>
          <w:szCs w:val="30"/>
        </w:rPr>
        <w:t>造成的</w:t>
      </w:r>
      <w:r>
        <w:rPr>
          <w:rFonts w:hint="eastAsia"/>
          <w:sz w:val="30"/>
          <w:szCs w:val="30"/>
        </w:rPr>
        <w:t>结算</w:t>
      </w:r>
      <w:r>
        <w:rPr>
          <w:sz w:val="30"/>
          <w:szCs w:val="30"/>
        </w:rPr>
        <w:t>风险</w:t>
      </w:r>
      <w:r>
        <w:rPr>
          <w:rFonts w:hint="eastAsia"/>
          <w:sz w:val="30"/>
          <w:szCs w:val="30"/>
        </w:rPr>
        <w:t>，</w:t>
      </w:r>
      <w:r>
        <w:rPr>
          <w:rFonts w:hint="eastAsia" w:hAnsi="Times New Roman"/>
          <w:sz w:val="30"/>
          <w:szCs w:val="30"/>
        </w:rPr>
        <w:t>对</w:t>
      </w:r>
      <w:r>
        <w:rPr>
          <w:rFonts w:hAnsi="Times New Roman"/>
          <w:sz w:val="30"/>
          <w:szCs w:val="30"/>
        </w:rPr>
        <w:t>选用</w:t>
      </w:r>
      <w:r>
        <w:rPr>
          <w:rFonts w:hint="eastAsia" w:hAnsi="Times New Roman"/>
          <w:sz w:val="30"/>
          <w:szCs w:val="30"/>
        </w:rPr>
        <w:t>RTGS结算方式的债券</w:t>
      </w:r>
      <w:r>
        <w:rPr>
          <w:rFonts w:hAnsi="Times New Roman"/>
          <w:sz w:val="30"/>
          <w:szCs w:val="30"/>
        </w:rPr>
        <w:t>交易</w:t>
      </w:r>
      <w:r>
        <w:rPr>
          <w:rFonts w:hint="eastAsia" w:hAnsi="Times New Roman"/>
          <w:sz w:val="30"/>
          <w:szCs w:val="30"/>
        </w:rPr>
        <w:t>，</w:t>
      </w:r>
      <w:r>
        <w:rPr>
          <w:rFonts w:hAnsi="Times New Roman"/>
          <w:sz w:val="30"/>
          <w:szCs w:val="30"/>
        </w:rPr>
        <w:t>要求</w:t>
      </w:r>
      <w:r>
        <w:rPr>
          <w:rFonts w:hint="eastAsia" w:hAnsi="Times New Roman"/>
          <w:sz w:val="30"/>
          <w:szCs w:val="30"/>
        </w:rPr>
        <w:t>当日</w:t>
      </w:r>
      <w:r>
        <w:rPr>
          <w:sz w:val="30"/>
          <w:szCs w:val="30"/>
        </w:rPr>
        <w:t>卖出</w:t>
      </w:r>
      <w:r>
        <w:rPr>
          <w:rFonts w:hint="eastAsia"/>
          <w:sz w:val="30"/>
          <w:szCs w:val="30"/>
        </w:rPr>
        <w:t>（或</w:t>
      </w:r>
      <w:r>
        <w:rPr>
          <w:sz w:val="30"/>
          <w:szCs w:val="30"/>
        </w:rPr>
        <w:t>出质</w:t>
      </w:r>
      <w:r>
        <w:rPr>
          <w:rFonts w:hint="eastAsia"/>
          <w:sz w:val="30"/>
          <w:szCs w:val="30"/>
        </w:rPr>
        <w:t>）的债券申报总</w:t>
      </w:r>
      <w:r>
        <w:rPr>
          <w:sz w:val="30"/>
          <w:szCs w:val="30"/>
        </w:rPr>
        <w:t>量不得超过日初债券持仓</w:t>
      </w:r>
      <w:r>
        <w:rPr>
          <w:rFonts w:hint="eastAsia"/>
          <w:sz w:val="30"/>
          <w:szCs w:val="30"/>
        </w:rPr>
        <w:t>。</w:t>
      </w:r>
    </w:p>
    <w:p w14:paraId="7172CB62">
      <w:pPr>
        <w:pStyle w:val="90"/>
        <w:spacing w:line="600" w:lineRule="exact"/>
        <w:ind w:firstLine="600"/>
        <w:rPr>
          <w:rFonts w:hAnsi="Times New Roman"/>
          <w:sz w:val="30"/>
          <w:szCs w:val="30"/>
        </w:rPr>
      </w:pPr>
      <w:r>
        <w:rPr>
          <w:rFonts w:hint="eastAsia"/>
          <w:color w:val="000000"/>
          <w:sz w:val="30"/>
          <w:szCs w:val="30"/>
          <w:shd w:val="clear" w:color="auto" w:fill="FFFFFF"/>
        </w:rPr>
        <w:t>二是不符合净额结算标准的公募公司债、私募债、资产支持证券、特定债券等。上述</w:t>
      </w:r>
      <w:r>
        <w:rPr>
          <w:color w:val="000000"/>
          <w:sz w:val="30"/>
          <w:szCs w:val="30"/>
          <w:shd w:val="clear" w:color="auto" w:fill="FFFFFF"/>
        </w:rPr>
        <w:t>债券</w:t>
      </w:r>
      <w:r>
        <w:rPr>
          <w:rFonts w:hint="eastAsia"/>
          <w:color w:val="000000"/>
          <w:sz w:val="30"/>
          <w:szCs w:val="30"/>
          <w:shd w:val="clear" w:color="auto" w:fill="FFFFFF"/>
        </w:rPr>
        <w:t>的交易申报，交易系统不对持仓进行前端检查。</w:t>
      </w:r>
    </w:p>
    <w:p w14:paraId="33ACE1E3">
      <w:pPr>
        <w:numPr>
          <w:ilvl w:val="1"/>
          <w:numId w:val="4"/>
        </w:numPr>
        <w:spacing w:line="600" w:lineRule="exact"/>
        <w:ind w:left="0" w:firstLine="0"/>
        <w:outlineLvl w:val="1"/>
        <w:rPr>
          <w:rFonts w:ascii="仿宋_GB2312" w:eastAsia="仿宋_GB2312"/>
          <w:b/>
          <w:sz w:val="30"/>
          <w:szCs w:val="30"/>
        </w:rPr>
      </w:pPr>
      <w:r>
        <w:rPr>
          <w:rFonts w:ascii="仿宋_GB2312" w:eastAsia="仿宋_GB2312"/>
          <w:b/>
          <w:sz w:val="30"/>
          <w:szCs w:val="30"/>
        </w:rPr>
        <w:t xml:space="preserve"> </w:t>
      </w:r>
      <w:bookmarkStart w:id="329" w:name="_Toc151136894"/>
      <w:bookmarkStart w:id="330" w:name="_Toc733281579"/>
      <w:bookmarkStart w:id="331" w:name="_Toc56166075"/>
      <w:bookmarkStart w:id="332" w:name="_Toc427708822"/>
      <w:bookmarkStart w:id="333" w:name="_Toc56166264"/>
      <w:bookmarkStart w:id="334" w:name="_Toc771447167"/>
      <w:bookmarkStart w:id="335" w:name="_Toc1189545001"/>
      <w:r>
        <w:rPr>
          <w:rFonts w:hint="eastAsia" w:ascii="仿宋_GB2312" w:eastAsia="仿宋_GB2312"/>
          <w:b/>
          <w:sz w:val="30"/>
          <w:szCs w:val="30"/>
        </w:rPr>
        <w:t>交易日和交易时间</w:t>
      </w:r>
      <w:bookmarkEnd w:id="329"/>
      <w:bookmarkEnd w:id="330"/>
      <w:bookmarkEnd w:id="331"/>
      <w:bookmarkEnd w:id="332"/>
      <w:bookmarkEnd w:id="333"/>
      <w:bookmarkEnd w:id="334"/>
      <w:bookmarkEnd w:id="335"/>
    </w:p>
    <w:p w14:paraId="0CD8E456">
      <w:pPr>
        <w:pStyle w:val="90"/>
        <w:spacing w:line="600" w:lineRule="exact"/>
        <w:ind w:firstLine="600"/>
        <w:rPr>
          <w:rFonts w:hAnsi="Times New Roman"/>
          <w:sz w:val="30"/>
          <w:szCs w:val="30"/>
        </w:rPr>
      </w:pPr>
      <w:r>
        <w:rPr>
          <w:rFonts w:hint="eastAsia" w:hAnsi="Times New Roman"/>
          <w:sz w:val="30"/>
          <w:szCs w:val="30"/>
        </w:rPr>
        <w:t>本所债券交易日为每周一至周五。国家法定假日和本所公告的休市日，本所债券市场休市。本所另有规定的除外。</w:t>
      </w:r>
    </w:p>
    <w:p w14:paraId="01488905">
      <w:pPr>
        <w:pStyle w:val="90"/>
        <w:adjustRightInd w:val="0"/>
        <w:snapToGrid w:val="0"/>
        <w:spacing w:line="600" w:lineRule="exact"/>
        <w:ind w:firstLine="600"/>
        <w:rPr>
          <w:rFonts w:hAnsi="Times New Roman"/>
          <w:sz w:val="30"/>
          <w:szCs w:val="30"/>
        </w:rPr>
      </w:pPr>
      <w:r>
        <w:rPr>
          <w:rFonts w:hint="eastAsia" w:hAnsi="Times New Roman"/>
          <w:sz w:val="30"/>
          <w:szCs w:val="30"/>
        </w:rPr>
        <w:t>现券交易采用匹配成交方式的，每个交易日的9:15至9:25为集合匹配时间，9:30至11:30、13:00至15:</w:t>
      </w:r>
      <w:r>
        <w:rPr>
          <w:rFonts w:hAnsi="Times New Roman"/>
          <w:sz w:val="30"/>
          <w:szCs w:val="30"/>
        </w:rPr>
        <w:t>3</w:t>
      </w:r>
      <w:r>
        <w:rPr>
          <w:rFonts w:hint="eastAsia" w:hAnsi="Times New Roman"/>
          <w:sz w:val="30"/>
          <w:szCs w:val="30"/>
        </w:rPr>
        <w:t>0为连续匹配时间；通用回购交易采用匹配成交方式的，每个交易日的9:15至9:25为开盘集合匹配时间，9:30至11:30、13:00至15:30为连续匹配时间。本所另有规定的除外。</w:t>
      </w:r>
    </w:p>
    <w:p w14:paraId="4D04CBC7">
      <w:pPr>
        <w:pStyle w:val="90"/>
        <w:spacing w:line="600" w:lineRule="exact"/>
        <w:ind w:firstLine="600"/>
        <w:rPr>
          <w:rFonts w:hAnsi="Times New Roman"/>
          <w:sz w:val="30"/>
          <w:szCs w:val="30"/>
        </w:rPr>
      </w:pPr>
      <w:r>
        <w:rPr>
          <w:rFonts w:hint="eastAsia" w:hAnsi="Times New Roman"/>
          <w:sz w:val="30"/>
          <w:szCs w:val="30"/>
        </w:rPr>
        <w:t>采用点击成交、询价成交、协商成交方式的，每个交易日的9:00至11:30、13:00至15:30为交易时间，本所另有规定的除外。（《债券</w:t>
      </w:r>
      <w:r>
        <w:rPr>
          <w:rFonts w:hAnsi="Times New Roman"/>
          <w:sz w:val="30"/>
          <w:szCs w:val="30"/>
        </w:rPr>
        <w:t>交易规则</w:t>
      </w:r>
      <w:r>
        <w:rPr>
          <w:rFonts w:hint="eastAsia" w:hAnsi="Times New Roman"/>
          <w:sz w:val="30"/>
          <w:szCs w:val="30"/>
        </w:rPr>
        <w:t>》</w:t>
      </w:r>
      <w:r>
        <w:rPr>
          <w:rFonts w:hAnsi="Times New Roman"/>
          <w:sz w:val="30"/>
          <w:szCs w:val="30"/>
        </w:rPr>
        <w:t>中有关</w:t>
      </w:r>
      <w:r>
        <w:rPr>
          <w:rFonts w:hint="eastAsia" w:hAnsi="Times New Roman"/>
          <w:sz w:val="30"/>
          <w:szCs w:val="30"/>
        </w:rPr>
        <w:t>15:30</w:t>
      </w:r>
      <w:r>
        <w:rPr>
          <w:rFonts w:hAnsi="Times New Roman"/>
          <w:sz w:val="30"/>
          <w:szCs w:val="30"/>
        </w:rPr>
        <w:t>-20</w:t>
      </w:r>
      <w:r>
        <w:rPr>
          <w:rFonts w:hint="eastAsia" w:hAnsi="Times New Roman"/>
          <w:sz w:val="30"/>
          <w:szCs w:val="30"/>
        </w:rPr>
        <w:t>:00夜盘交易</w:t>
      </w:r>
      <w:r>
        <w:rPr>
          <w:rFonts w:hAnsi="Times New Roman"/>
          <w:sz w:val="30"/>
          <w:szCs w:val="30"/>
        </w:rPr>
        <w:t>相关规定暂缓实施</w:t>
      </w:r>
      <w:r>
        <w:rPr>
          <w:rFonts w:hint="eastAsia" w:hAnsi="Times New Roman"/>
          <w:sz w:val="30"/>
          <w:szCs w:val="30"/>
        </w:rPr>
        <w:t>）</w:t>
      </w:r>
    </w:p>
    <w:p w14:paraId="4C48F2EA">
      <w:pPr>
        <w:pStyle w:val="90"/>
        <w:spacing w:line="600" w:lineRule="exact"/>
        <w:ind w:firstLine="600"/>
        <w:rPr>
          <w:rFonts w:hAnsi="Times New Roman"/>
          <w:sz w:val="30"/>
          <w:szCs w:val="30"/>
        </w:rPr>
      </w:pPr>
      <w:r>
        <w:rPr>
          <w:rFonts w:hint="eastAsia" w:hAnsi="Times New Roman"/>
          <w:sz w:val="30"/>
          <w:szCs w:val="30"/>
        </w:rPr>
        <w:t>采用竞买成交方式的，每个交易日的9:00至10:00为卖方提交竞买发起申报时间，10:00至11:30为应价方提交应价申报时间。</w:t>
      </w:r>
    </w:p>
    <w:p w14:paraId="054F912D">
      <w:pPr>
        <w:pStyle w:val="90"/>
        <w:spacing w:line="600" w:lineRule="exact"/>
        <w:ind w:firstLine="600"/>
        <w:rPr>
          <w:rFonts w:hAnsi="Times New Roman"/>
          <w:sz w:val="30"/>
          <w:szCs w:val="30"/>
        </w:rPr>
      </w:pPr>
      <w:r>
        <w:rPr>
          <w:rFonts w:hint="eastAsia" w:hAnsi="Times New Roman"/>
          <w:sz w:val="30"/>
          <w:szCs w:val="30"/>
        </w:rPr>
        <w:t>交易时间内因故停市，交易时间不作顺延。根据市场发展需要，本所可以调整债券交易时间。</w:t>
      </w:r>
      <w:bookmarkStart w:id="336" w:name="_Toc22572930"/>
      <w:bookmarkEnd w:id="336"/>
      <w:bookmarkStart w:id="337" w:name="_Toc24638115"/>
      <w:bookmarkEnd w:id="337"/>
      <w:bookmarkStart w:id="338" w:name="_Toc17465718"/>
      <w:bookmarkEnd w:id="338"/>
      <w:bookmarkStart w:id="339" w:name="_Toc22662840"/>
      <w:bookmarkEnd w:id="339"/>
      <w:bookmarkStart w:id="340" w:name="_Toc22573184"/>
      <w:bookmarkEnd w:id="340"/>
      <w:bookmarkStart w:id="341" w:name="_Toc12545548"/>
      <w:bookmarkEnd w:id="341"/>
      <w:bookmarkStart w:id="342" w:name="_Toc17799389"/>
      <w:bookmarkEnd w:id="342"/>
      <w:bookmarkStart w:id="343" w:name="_Toc12360743"/>
      <w:bookmarkEnd w:id="343"/>
      <w:bookmarkStart w:id="344" w:name="_Toc18410654"/>
      <w:bookmarkEnd w:id="344"/>
      <w:bookmarkStart w:id="345" w:name="_Toc22662841"/>
      <w:bookmarkEnd w:id="345"/>
      <w:bookmarkStart w:id="346" w:name="_Toc22573186"/>
      <w:bookmarkEnd w:id="346"/>
      <w:bookmarkStart w:id="347" w:name="_Toc17993016"/>
      <w:bookmarkEnd w:id="347"/>
      <w:bookmarkStart w:id="348" w:name="_Toc22572928"/>
      <w:bookmarkEnd w:id="348"/>
      <w:bookmarkStart w:id="349" w:name="_Toc22662839"/>
      <w:bookmarkEnd w:id="349"/>
      <w:bookmarkStart w:id="350" w:name="_Toc12360833"/>
      <w:bookmarkEnd w:id="350"/>
      <w:bookmarkStart w:id="351" w:name="_Toc22573012"/>
      <w:bookmarkEnd w:id="351"/>
      <w:bookmarkStart w:id="352" w:name="_Toc17799360"/>
      <w:bookmarkEnd w:id="352"/>
      <w:bookmarkStart w:id="353" w:name="_Toc22573014"/>
      <w:bookmarkEnd w:id="353"/>
      <w:bookmarkStart w:id="354" w:name="_Toc22662837"/>
      <w:bookmarkEnd w:id="354"/>
      <w:bookmarkStart w:id="355" w:name="_Toc12545677"/>
      <w:bookmarkEnd w:id="355"/>
      <w:bookmarkStart w:id="356" w:name="_Toc17791434"/>
      <w:bookmarkEnd w:id="356"/>
      <w:bookmarkStart w:id="357" w:name="_Toc22572929"/>
      <w:bookmarkEnd w:id="357"/>
      <w:bookmarkStart w:id="358" w:name="_Toc18410651"/>
      <w:bookmarkEnd w:id="358"/>
      <w:bookmarkStart w:id="359" w:name="_Toc22573013"/>
      <w:bookmarkEnd w:id="359"/>
      <w:bookmarkStart w:id="360" w:name="_Toc22573185"/>
      <w:bookmarkEnd w:id="360"/>
      <w:bookmarkStart w:id="361" w:name="_Toc41585521"/>
    </w:p>
    <w:p w14:paraId="5A88EA62">
      <w:pPr>
        <w:pStyle w:val="90"/>
        <w:spacing w:line="600" w:lineRule="exact"/>
        <w:ind w:firstLine="600"/>
        <w:rPr>
          <w:rFonts w:hAnsi="Times New Roman"/>
          <w:sz w:val="30"/>
          <w:szCs w:val="30"/>
        </w:rPr>
      </w:pPr>
      <w:r>
        <w:rPr>
          <w:rFonts w:hint="eastAsia" w:hAnsi="Times New Roman"/>
          <w:sz w:val="30"/>
          <w:szCs w:val="30"/>
        </w:rPr>
        <w:t>债券质押式协议回购、债券质押式三方回购、债券借贷业务、信用保护工具的交易时间，详见本指南第7、8章。相关规定中关于交易时间的规定与本指南不一致的，适用本指南相关规定。</w:t>
      </w:r>
    </w:p>
    <w:bookmarkEnd w:id="361"/>
    <w:p w14:paraId="6B2978A6">
      <w:pPr>
        <w:numPr>
          <w:ilvl w:val="1"/>
          <w:numId w:val="4"/>
        </w:numPr>
        <w:spacing w:line="600" w:lineRule="exact"/>
        <w:ind w:left="0" w:firstLine="0"/>
        <w:outlineLvl w:val="1"/>
        <w:rPr>
          <w:rFonts w:ascii="仿宋_GB2312" w:eastAsia="仿宋_GB2312"/>
          <w:b/>
          <w:sz w:val="30"/>
          <w:szCs w:val="30"/>
        </w:rPr>
      </w:pPr>
      <w:bookmarkStart w:id="362" w:name="_Toc56166265"/>
      <w:bookmarkStart w:id="363" w:name="_Toc1639790443"/>
      <w:bookmarkStart w:id="364" w:name="_Toc747687201"/>
      <w:bookmarkStart w:id="365" w:name="_Toc151136895"/>
      <w:bookmarkStart w:id="366" w:name="_Toc2076905212"/>
      <w:bookmarkStart w:id="367" w:name="_Toc1866096369"/>
      <w:bookmarkStart w:id="368" w:name="_Toc56166076"/>
      <w:bookmarkStart w:id="369" w:name="_Toc41585522"/>
      <w:r>
        <w:rPr>
          <w:rFonts w:hint="eastAsia" w:ascii="仿宋_GB2312" w:eastAsia="仿宋_GB2312"/>
          <w:b/>
          <w:sz w:val="30"/>
          <w:szCs w:val="30"/>
        </w:rPr>
        <w:t>交易方式分类管理</w:t>
      </w:r>
      <w:bookmarkEnd w:id="362"/>
      <w:bookmarkEnd w:id="363"/>
      <w:bookmarkEnd w:id="364"/>
      <w:bookmarkEnd w:id="365"/>
      <w:bookmarkEnd w:id="366"/>
      <w:bookmarkEnd w:id="367"/>
      <w:bookmarkEnd w:id="368"/>
    </w:p>
    <w:p w14:paraId="2092DC50">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分类管理</w:t>
      </w:r>
      <w:bookmarkEnd w:id="369"/>
    </w:p>
    <w:p w14:paraId="16E0942B">
      <w:pPr>
        <w:pStyle w:val="90"/>
        <w:spacing w:line="600" w:lineRule="exact"/>
        <w:ind w:firstLine="600"/>
        <w:rPr>
          <w:rFonts w:hAnsi="Times New Roman"/>
          <w:sz w:val="30"/>
          <w:szCs w:val="30"/>
        </w:rPr>
      </w:pPr>
      <w:r>
        <w:rPr>
          <w:rFonts w:hint="eastAsia" w:hAnsi="Times New Roman"/>
          <w:sz w:val="30"/>
          <w:szCs w:val="30"/>
        </w:rPr>
        <w:t>本所根据债券的信用资质、发行方式和投资者适当性等不同特点安排差异化的交易方式，并对债券上市后的交易方式实施动态调整，并向市场及时公布。</w:t>
      </w: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0"/>
        <w:gridCol w:w="4447"/>
        <w:gridCol w:w="2835"/>
      </w:tblGrid>
      <w:tr w14:paraId="4F7AA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0" w:type="dxa"/>
          </w:tcPr>
          <w:p w14:paraId="583D8FCF">
            <w:pPr>
              <w:pStyle w:val="90"/>
              <w:spacing w:line="240" w:lineRule="auto"/>
              <w:ind w:firstLine="0" w:firstLineChars="0"/>
              <w:rPr>
                <w:rFonts w:hAnsi="Times New Roman"/>
                <w:b/>
                <w:sz w:val="24"/>
                <w:szCs w:val="24"/>
              </w:rPr>
            </w:pPr>
            <w:r>
              <w:rPr>
                <w:rFonts w:hint="eastAsia" w:hAnsi="Times New Roman"/>
                <w:b/>
                <w:sz w:val="24"/>
                <w:szCs w:val="24"/>
              </w:rPr>
              <w:t>债券品种</w:t>
            </w:r>
          </w:p>
        </w:tc>
        <w:tc>
          <w:tcPr>
            <w:tcW w:w="4447" w:type="dxa"/>
          </w:tcPr>
          <w:p w14:paraId="6A00A667">
            <w:pPr>
              <w:pStyle w:val="90"/>
              <w:ind w:firstLine="480"/>
              <w:rPr>
                <w:rFonts w:hAnsi="Times New Roman"/>
                <w:sz w:val="24"/>
                <w:szCs w:val="24"/>
              </w:rPr>
            </w:pPr>
            <w:r>
              <w:rPr>
                <w:rFonts w:hint="eastAsia" w:hAnsi="Times New Roman"/>
                <w:sz w:val="24"/>
                <w:szCs w:val="24"/>
              </w:rPr>
              <w:t>国债、地方债、政策性金融债、政府支持债券、公开发行公司债券</w:t>
            </w:r>
          </w:p>
        </w:tc>
        <w:tc>
          <w:tcPr>
            <w:tcW w:w="2835" w:type="dxa"/>
          </w:tcPr>
          <w:p w14:paraId="6C7A1FD1">
            <w:pPr>
              <w:pStyle w:val="90"/>
              <w:spacing w:line="240" w:lineRule="auto"/>
              <w:ind w:firstLine="0" w:firstLineChars="0"/>
              <w:rPr>
                <w:rFonts w:hAnsi="Times New Roman"/>
                <w:sz w:val="24"/>
                <w:szCs w:val="24"/>
              </w:rPr>
            </w:pPr>
            <w:r>
              <w:rPr>
                <w:rFonts w:hAnsi="Times New Roman"/>
                <w:sz w:val="24"/>
                <w:szCs w:val="24"/>
              </w:rPr>
              <w:t>政策性金融债以外的</w:t>
            </w:r>
            <w:r>
              <w:rPr>
                <w:rFonts w:hint="eastAsia" w:hAnsi="Times New Roman"/>
                <w:sz w:val="24"/>
                <w:szCs w:val="24"/>
              </w:rPr>
              <w:t>债券现券、资产支持证券</w:t>
            </w:r>
          </w:p>
        </w:tc>
      </w:tr>
      <w:tr w14:paraId="0985A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0" w:type="dxa"/>
          </w:tcPr>
          <w:p w14:paraId="2C131FA9">
            <w:pPr>
              <w:pStyle w:val="90"/>
              <w:spacing w:line="240" w:lineRule="auto"/>
              <w:ind w:firstLine="0" w:firstLineChars="0"/>
              <w:rPr>
                <w:rFonts w:hAnsi="Times New Roman"/>
                <w:b/>
                <w:sz w:val="24"/>
                <w:szCs w:val="24"/>
              </w:rPr>
            </w:pPr>
            <w:r>
              <w:rPr>
                <w:rFonts w:hint="eastAsia" w:hAnsi="Times New Roman"/>
                <w:b/>
                <w:sz w:val="24"/>
                <w:szCs w:val="24"/>
              </w:rPr>
              <w:t>交易方式</w:t>
            </w:r>
          </w:p>
        </w:tc>
        <w:tc>
          <w:tcPr>
            <w:tcW w:w="4447" w:type="dxa"/>
          </w:tcPr>
          <w:p w14:paraId="21F838E4">
            <w:pPr>
              <w:pStyle w:val="90"/>
              <w:spacing w:line="240" w:lineRule="auto"/>
              <w:ind w:firstLine="0" w:firstLineChars="0"/>
              <w:rPr>
                <w:rFonts w:hAnsi="Times New Roman"/>
                <w:sz w:val="24"/>
                <w:szCs w:val="24"/>
              </w:rPr>
            </w:pPr>
            <w:r>
              <w:rPr>
                <w:rFonts w:hint="eastAsia" w:hAnsi="Times New Roman"/>
                <w:sz w:val="24"/>
                <w:szCs w:val="24"/>
              </w:rPr>
              <w:t>5类：匹配成交、询价成交、点击成交、竞买成交、协商成交</w:t>
            </w:r>
          </w:p>
        </w:tc>
        <w:tc>
          <w:tcPr>
            <w:tcW w:w="2835" w:type="dxa"/>
          </w:tcPr>
          <w:p w14:paraId="0614F67D">
            <w:pPr>
              <w:pStyle w:val="90"/>
              <w:spacing w:line="240" w:lineRule="auto"/>
              <w:ind w:firstLine="0" w:firstLineChars="0"/>
              <w:rPr>
                <w:rFonts w:hAnsi="Times New Roman"/>
                <w:sz w:val="24"/>
                <w:szCs w:val="24"/>
              </w:rPr>
            </w:pPr>
            <w:r>
              <w:rPr>
                <w:rFonts w:hint="eastAsia" w:hAnsi="Times New Roman"/>
                <w:sz w:val="24"/>
                <w:szCs w:val="24"/>
              </w:rPr>
              <w:t>4类：询价成交、点击成交、竞买成交、协商成交</w:t>
            </w:r>
          </w:p>
        </w:tc>
      </w:tr>
    </w:tbl>
    <w:p w14:paraId="4D4A6B1E">
      <w:pPr>
        <w:numPr>
          <w:ilvl w:val="2"/>
          <w:numId w:val="4"/>
        </w:numPr>
        <w:spacing w:line="600" w:lineRule="exact"/>
        <w:ind w:left="0" w:firstLine="0"/>
        <w:outlineLvl w:val="2"/>
        <w:rPr>
          <w:rFonts w:ascii="仿宋_GB2312" w:eastAsia="仿宋_GB2312"/>
          <w:b/>
          <w:sz w:val="30"/>
          <w:szCs w:val="30"/>
        </w:rPr>
      </w:pPr>
      <w:r>
        <w:rPr>
          <w:rFonts w:ascii="仿宋_GB2312" w:eastAsia="仿宋_GB2312"/>
          <w:b/>
          <w:sz w:val="30"/>
          <w:szCs w:val="30"/>
        </w:rPr>
        <w:t>交易方式动态调整</w:t>
      </w:r>
    </w:p>
    <w:p w14:paraId="7305E2F1">
      <w:pPr>
        <w:pStyle w:val="90"/>
        <w:spacing w:line="600" w:lineRule="exact"/>
        <w:ind w:firstLine="600"/>
        <w:rPr>
          <w:rFonts w:hAnsi="Times New Roman"/>
          <w:sz w:val="30"/>
          <w:szCs w:val="30"/>
        </w:rPr>
      </w:pPr>
      <w:r>
        <w:rPr>
          <w:rFonts w:hint="eastAsia" w:hAnsi="Times New Roman"/>
          <w:sz w:val="30"/>
          <w:szCs w:val="30"/>
        </w:rPr>
        <w:t>本所对债券上市交易实行分类管理，采取差异化的交易机制，并实行投资者适当性制度。</w:t>
      </w:r>
    </w:p>
    <w:p w14:paraId="67507688">
      <w:pPr>
        <w:pStyle w:val="90"/>
        <w:spacing w:line="600" w:lineRule="exact"/>
        <w:ind w:firstLine="600"/>
        <w:rPr>
          <w:rFonts w:hAnsi="Times New Roman"/>
          <w:sz w:val="30"/>
          <w:szCs w:val="30"/>
        </w:rPr>
      </w:pPr>
      <w:r>
        <w:rPr>
          <w:rFonts w:hint="eastAsia" w:hAnsi="Times New Roman"/>
          <w:sz w:val="30"/>
          <w:szCs w:val="30"/>
        </w:rPr>
        <w:t>本所可根据市场情况和债券资信状况的变化，在债券上市交易期间动态调整债券交易机制、投资者适当性及信息披露安排。债券交易方式调整</w:t>
      </w:r>
      <w:r>
        <w:rPr>
          <w:rFonts w:hAnsi="Times New Roman"/>
          <w:sz w:val="30"/>
          <w:szCs w:val="30"/>
        </w:rPr>
        <w:t>T+1</w:t>
      </w:r>
      <w:r>
        <w:rPr>
          <w:rFonts w:hint="eastAsia" w:hAnsi="Times New Roman"/>
          <w:sz w:val="30"/>
          <w:szCs w:val="30"/>
        </w:rPr>
        <w:t>日</w:t>
      </w:r>
      <w:r>
        <w:rPr>
          <w:rFonts w:hAnsi="Times New Roman"/>
          <w:sz w:val="30"/>
          <w:szCs w:val="30"/>
        </w:rPr>
        <w:t>生效。</w:t>
      </w:r>
      <w:bookmarkStart w:id="370" w:name="_Toc41580850"/>
      <w:bookmarkEnd w:id="370"/>
      <w:bookmarkStart w:id="371" w:name="_Toc41581109"/>
      <w:bookmarkEnd w:id="371"/>
      <w:bookmarkStart w:id="372" w:name="_Toc41580993"/>
      <w:bookmarkEnd w:id="372"/>
      <w:bookmarkStart w:id="373" w:name="_Toc41581052"/>
      <w:bookmarkEnd w:id="373"/>
      <w:bookmarkStart w:id="374" w:name="_Toc41578205"/>
      <w:bookmarkEnd w:id="374"/>
      <w:bookmarkStart w:id="375" w:name="_Toc39759412"/>
      <w:bookmarkEnd w:id="375"/>
      <w:bookmarkStart w:id="376" w:name="_Toc41581081"/>
      <w:bookmarkEnd w:id="376"/>
      <w:bookmarkStart w:id="377" w:name="_Toc41581080"/>
      <w:bookmarkEnd w:id="377"/>
      <w:bookmarkStart w:id="378" w:name="_Toc40108216"/>
      <w:bookmarkEnd w:id="378"/>
      <w:bookmarkStart w:id="379" w:name="_Toc41581051"/>
      <w:bookmarkEnd w:id="379"/>
      <w:bookmarkStart w:id="380" w:name="_Toc41580962"/>
      <w:bookmarkEnd w:id="380"/>
      <w:bookmarkStart w:id="381" w:name="_Toc39759411"/>
      <w:bookmarkEnd w:id="381"/>
      <w:bookmarkStart w:id="382" w:name="_Toc41575868"/>
      <w:bookmarkEnd w:id="382"/>
      <w:bookmarkStart w:id="383" w:name="_Toc40108215"/>
      <w:bookmarkEnd w:id="383"/>
      <w:bookmarkStart w:id="384" w:name="_Toc41580961"/>
      <w:bookmarkEnd w:id="384"/>
      <w:bookmarkStart w:id="385" w:name="_Toc40343386"/>
      <w:bookmarkEnd w:id="385"/>
      <w:bookmarkStart w:id="386" w:name="_Toc41581108"/>
      <w:bookmarkEnd w:id="386"/>
      <w:bookmarkStart w:id="387" w:name="_Toc41580849"/>
      <w:bookmarkEnd w:id="387"/>
      <w:bookmarkStart w:id="388" w:name="_Toc41575869"/>
      <w:bookmarkEnd w:id="388"/>
      <w:bookmarkStart w:id="389" w:name="_Toc41581023"/>
      <w:bookmarkEnd w:id="389"/>
      <w:bookmarkStart w:id="390" w:name="_Toc41578204"/>
      <w:bookmarkEnd w:id="390"/>
      <w:bookmarkStart w:id="391" w:name="_Toc40343387"/>
      <w:bookmarkEnd w:id="391"/>
      <w:bookmarkStart w:id="392" w:name="_Toc41581022"/>
      <w:bookmarkEnd w:id="392"/>
      <w:bookmarkStart w:id="393" w:name="_Toc41580994"/>
      <w:bookmarkEnd w:id="393"/>
      <w:bookmarkStart w:id="394" w:name="_Toc41585524"/>
    </w:p>
    <w:p w14:paraId="59388B3A">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交易方式分类管理实施安排</w:t>
      </w:r>
    </w:p>
    <w:tbl>
      <w:tblPr>
        <w:tblStyle w:val="43"/>
        <w:tblW w:w="104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7"/>
        <w:gridCol w:w="926"/>
        <w:gridCol w:w="1298"/>
        <w:gridCol w:w="851"/>
        <w:gridCol w:w="2126"/>
        <w:gridCol w:w="992"/>
        <w:gridCol w:w="1560"/>
        <w:gridCol w:w="1134"/>
        <w:gridCol w:w="1031"/>
      </w:tblGrid>
      <w:tr w14:paraId="5E962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14:paraId="0666E79B">
            <w:pPr>
              <w:pStyle w:val="90"/>
              <w:spacing w:line="240" w:lineRule="auto"/>
              <w:ind w:firstLine="0" w:firstLineChars="0"/>
              <w:rPr>
                <w:rFonts w:hAnsi="Times New Roman"/>
                <w:b/>
                <w:sz w:val="24"/>
                <w:szCs w:val="24"/>
              </w:rPr>
            </w:pPr>
            <w:r>
              <w:rPr>
                <w:rFonts w:hint="eastAsia" w:hAnsi="Times New Roman"/>
                <w:b/>
                <w:sz w:val="24"/>
                <w:szCs w:val="24"/>
              </w:rPr>
              <w:t>平台</w:t>
            </w:r>
          </w:p>
        </w:tc>
        <w:tc>
          <w:tcPr>
            <w:tcW w:w="3075" w:type="dxa"/>
            <w:gridSpan w:val="3"/>
            <w:vAlign w:val="center"/>
          </w:tcPr>
          <w:p w14:paraId="7C7C1444">
            <w:pPr>
              <w:pStyle w:val="90"/>
              <w:spacing w:line="240" w:lineRule="auto"/>
              <w:ind w:firstLine="482"/>
              <w:rPr>
                <w:rFonts w:hAnsi="Times New Roman"/>
                <w:b/>
                <w:sz w:val="24"/>
                <w:szCs w:val="24"/>
              </w:rPr>
            </w:pPr>
            <w:r>
              <w:rPr>
                <w:rFonts w:hint="eastAsia" w:hAnsi="Times New Roman"/>
                <w:b/>
                <w:sz w:val="24"/>
                <w:szCs w:val="24"/>
              </w:rPr>
              <w:t>新债券交易系统</w:t>
            </w:r>
          </w:p>
        </w:tc>
        <w:tc>
          <w:tcPr>
            <w:tcW w:w="4678" w:type="dxa"/>
            <w:gridSpan w:val="3"/>
            <w:vAlign w:val="center"/>
          </w:tcPr>
          <w:p w14:paraId="7349BEAF">
            <w:pPr>
              <w:pStyle w:val="90"/>
              <w:spacing w:line="240" w:lineRule="auto"/>
              <w:ind w:firstLine="0" w:firstLineChars="0"/>
              <w:jc w:val="center"/>
              <w:rPr>
                <w:rFonts w:hAnsi="Times New Roman"/>
                <w:b/>
                <w:sz w:val="24"/>
                <w:szCs w:val="24"/>
              </w:rPr>
            </w:pPr>
            <w:r>
              <w:rPr>
                <w:rFonts w:hint="eastAsia" w:hAnsi="Times New Roman"/>
                <w:b/>
                <w:sz w:val="24"/>
                <w:szCs w:val="24"/>
              </w:rPr>
              <w:t>固定收益平台</w:t>
            </w:r>
          </w:p>
        </w:tc>
        <w:tc>
          <w:tcPr>
            <w:tcW w:w="1134" w:type="dxa"/>
            <w:vAlign w:val="center"/>
          </w:tcPr>
          <w:p w14:paraId="0649D29A">
            <w:pPr>
              <w:pStyle w:val="90"/>
              <w:spacing w:line="240" w:lineRule="auto"/>
              <w:ind w:firstLine="0" w:firstLineChars="0"/>
              <w:jc w:val="center"/>
              <w:rPr>
                <w:rFonts w:hAnsi="Times New Roman"/>
                <w:b/>
                <w:sz w:val="24"/>
                <w:szCs w:val="24"/>
              </w:rPr>
            </w:pPr>
            <w:r>
              <w:rPr>
                <w:rFonts w:hint="eastAsia" w:hAnsi="Times New Roman"/>
                <w:b/>
                <w:sz w:val="24"/>
                <w:szCs w:val="24"/>
              </w:rPr>
              <w:t>综合业务平台</w:t>
            </w:r>
          </w:p>
        </w:tc>
        <w:tc>
          <w:tcPr>
            <w:tcW w:w="1031" w:type="dxa"/>
            <w:vAlign w:val="center"/>
          </w:tcPr>
          <w:p w14:paraId="7E608BC9">
            <w:pPr>
              <w:pStyle w:val="90"/>
              <w:spacing w:line="240" w:lineRule="auto"/>
              <w:ind w:firstLine="0" w:firstLineChars="0"/>
              <w:jc w:val="center"/>
              <w:rPr>
                <w:rFonts w:hAnsi="Times New Roman"/>
                <w:b/>
                <w:sz w:val="24"/>
                <w:szCs w:val="24"/>
              </w:rPr>
            </w:pPr>
            <w:r>
              <w:rPr>
                <w:rFonts w:hint="eastAsia" w:hAnsi="Times New Roman"/>
                <w:b/>
                <w:sz w:val="24"/>
                <w:szCs w:val="24"/>
              </w:rPr>
              <w:t>互联网交易平台</w:t>
            </w:r>
          </w:p>
        </w:tc>
      </w:tr>
      <w:tr w14:paraId="5CD02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14:paraId="599C6D5C">
            <w:pPr>
              <w:pStyle w:val="90"/>
              <w:spacing w:line="240" w:lineRule="auto"/>
              <w:ind w:firstLine="0" w:firstLineChars="0"/>
              <w:rPr>
                <w:rFonts w:hAnsi="Times New Roman"/>
                <w:b/>
                <w:sz w:val="24"/>
                <w:szCs w:val="24"/>
              </w:rPr>
            </w:pPr>
            <w:r>
              <w:rPr>
                <w:rFonts w:hint="eastAsia" w:hAnsi="Times New Roman"/>
                <w:b/>
                <w:sz w:val="24"/>
                <w:szCs w:val="24"/>
              </w:rPr>
              <w:t>交易品种</w:t>
            </w:r>
          </w:p>
        </w:tc>
        <w:tc>
          <w:tcPr>
            <w:tcW w:w="926" w:type="dxa"/>
            <w:vAlign w:val="center"/>
          </w:tcPr>
          <w:p w14:paraId="213BD8E5">
            <w:pPr>
              <w:pStyle w:val="90"/>
              <w:spacing w:line="240" w:lineRule="auto"/>
              <w:ind w:firstLine="0" w:firstLineChars="0"/>
              <w:rPr>
                <w:rFonts w:hAnsi="Times New Roman"/>
                <w:sz w:val="24"/>
                <w:szCs w:val="24"/>
              </w:rPr>
            </w:pPr>
            <w:r>
              <w:rPr>
                <w:rFonts w:hint="eastAsia" w:hAnsi="Times New Roman"/>
                <w:sz w:val="24"/>
                <w:szCs w:val="24"/>
              </w:rPr>
              <w:t>国债、地方债、政策性金融债、政府支持债券</w:t>
            </w:r>
          </w:p>
        </w:tc>
        <w:tc>
          <w:tcPr>
            <w:tcW w:w="1298" w:type="dxa"/>
            <w:vAlign w:val="center"/>
          </w:tcPr>
          <w:p w14:paraId="773C652E">
            <w:pPr>
              <w:pStyle w:val="90"/>
              <w:ind w:firstLine="0" w:firstLineChars="0"/>
              <w:rPr>
                <w:rFonts w:hAnsi="Times New Roman"/>
                <w:sz w:val="24"/>
                <w:szCs w:val="24"/>
              </w:rPr>
            </w:pPr>
            <w:r>
              <w:rPr>
                <w:rFonts w:hint="eastAsia" w:hAnsi="Times New Roman"/>
                <w:sz w:val="24"/>
                <w:szCs w:val="24"/>
              </w:rPr>
              <w:t>公开发行公司债券、向不特定</w:t>
            </w:r>
            <w:r>
              <w:rPr>
                <w:rFonts w:hAnsi="Times New Roman"/>
                <w:sz w:val="24"/>
                <w:szCs w:val="24"/>
              </w:rPr>
              <w:t>对象发行的可转换公司债券（以下简称公</w:t>
            </w:r>
            <w:r>
              <w:rPr>
                <w:rFonts w:hint="eastAsia" w:hAnsi="Times New Roman"/>
                <w:sz w:val="24"/>
                <w:szCs w:val="24"/>
              </w:rPr>
              <w:t>募</w:t>
            </w:r>
            <w:r>
              <w:rPr>
                <w:rFonts w:hAnsi="Times New Roman"/>
                <w:sz w:val="24"/>
                <w:szCs w:val="24"/>
              </w:rPr>
              <w:t>可转债）</w:t>
            </w:r>
          </w:p>
        </w:tc>
        <w:tc>
          <w:tcPr>
            <w:tcW w:w="851" w:type="dxa"/>
            <w:vAlign w:val="center"/>
          </w:tcPr>
          <w:p w14:paraId="25244BF3">
            <w:pPr>
              <w:pStyle w:val="90"/>
              <w:spacing w:line="240" w:lineRule="auto"/>
              <w:ind w:firstLine="0" w:firstLineChars="0"/>
              <w:rPr>
                <w:rFonts w:hAnsi="Times New Roman"/>
                <w:sz w:val="24"/>
                <w:szCs w:val="24"/>
              </w:rPr>
            </w:pPr>
          </w:p>
          <w:p w14:paraId="4FFE668F">
            <w:pPr>
              <w:pStyle w:val="90"/>
              <w:spacing w:line="240" w:lineRule="auto"/>
              <w:ind w:firstLine="0" w:firstLineChars="0"/>
              <w:rPr>
                <w:rFonts w:hAnsi="Times New Roman"/>
                <w:sz w:val="24"/>
                <w:szCs w:val="24"/>
              </w:rPr>
            </w:pPr>
            <w:r>
              <w:rPr>
                <w:rFonts w:hint="eastAsia" w:hAnsi="Times New Roman"/>
                <w:sz w:val="24"/>
                <w:szCs w:val="24"/>
              </w:rPr>
              <w:t>债券通用质押式回购</w:t>
            </w:r>
          </w:p>
        </w:tc>
        <w:tc>
          <w:tcPr>
            <w:tcW w:w="2126" w:type="dxa"/>
            <w:vAlign w:val="center"/>
          </w:tcPr>
          <w:p w14:paraId="3F83BDE3">
            <w:pPr>
              <w:pStyle w:val="90"/>
              <w:spacing w:line="240" w:lineRule="auto"/>
              <w:ind w:firstLine="0" w:firstLineChars="0"/>
              <w:rPr>
                <w:rFonts w:hAnsi="Times New Roman"/>
                <w:sz w:val="24"/>
                <w:szCs w:val="24"/>
              </w:rPr>
            </w:pPr>
            <w:r>
              <w:rPr>
                <w:rFonts w:hAnsi="Times New Roman"/>
                <w:sz w:val="24"/>
                <w:szCs w:val="24"/>
              </w:rPr>
              <w:t>政策性金融债以外的</w:t>
            </w:r>
            <w:r>
              <w:rPr>
                <w:rFonts w:hint="eastAsia" w:hAnsi="Times New Roman"/>
                <w:sz w:val="24"/>
                <w:szCs w:val="24"/>
              </w:rPr>
              <w:t>债券现券、资产支持证券（《上海证券交易所债券交易规则适用指引第2号——债券通用质押式回购交易》中关于通用回购交易可以采用点击成交、询价成交、竞买成交、协商成交的规定暂缓实施）</w:t>
            </w:r>
          </w:p>
        </w:tc>
        <w:tc>
          <w:tcPr>
            <w:tcW w:w="992" w:type="dxa"/>
            <w:vAlign w:val="center"/>
          </w:tcPr>
          <w:p w14:paraId="55836065">
            <w:pPr>
              <w:pStyle w:val="90"/>
              <w:spacing w:line="240" w:lineRule="auto"/>
              <w:ind w:firstLine="0" w:firstLineChars="0"/>
              <w:rPr>
                <w:rFonts w:hAnsi="Times New Roman"/>
                <w:b/>
                <w:sz w:val="24"/>
                <w:szCs w:val="24"/>
              </w:rPr>
            </w:pPr>
            <w:r>
              <w:rPr>
                <w:rFonts w:hint="eastAsia" w:hAnsi="Times New Roman"/>
                <w:sz w:val="24"/>
                <w:szCs w:val="24"/>
              </w:rPr>
              <w:t>公募</w:t>
            </w:r>
            <w:r>
              <w:rPr>
                <w:rFonts w:hAnsi="Times New Roman"/>
                <w:sz w:val="24"/>
                <w:szCs w:val="24"/>
              </w:rPr>
              <w:t>可转债</w:t>
            </w:r>
            <w:r>
              <w:rPr>
                <w:rFonts w:hint="eastAsia" w:hAnsi="Times New Roman"/>
                <w:sz w:val="24"/>
                <w:szCs w:val="24"/>
              </w:rPr>
              <w:t>、R</w:t>
            </w:r>
            <w:r>
              <w:rPr>
                <w:rFonts w:hAnsi="Times New Roman"/>
                <w:sz w:val="24"/>
                <w:szCs w:val="24"/>
              </w:rPr>
              <w:t>EITs</w:t>
            </w:r>
          </w:p>
        </w:tc>
        <w:tc>
          <w:tcPr>
            <w:tcW w:w="1560" w:type="dxa"/>
            <w:vAlign w:val="center"/>
          </w:tcPr>
          <w:p w14:paraId="70F96E09">
            <w:pPr>
              <w:pStyle w:val="90"/>
              <w:spacing w:line="240" w:lineRule="auto"/>
              <w:ind w:firstLine="0" w:firstLineChars="0"/>
              <w:rPr>
                <w:rFonts w:hAnsi="Times New Roman"/>
                <w:b/>
                <w:sz w:val="24"/>
                <w:szCs w:val="24"/>
              </w:rPr>
            </w:pPr>
            <w:r>
              <w:rPr>
                <w:rFonts w:hint="eastAsia" w:hAnsi="Times New Roman"/>
                <w:sz w:val="24"/>
                <w:szCs w:val="24"/>
              </w:rPr>
              <w:t>协议回购、三方回购、信用保护工具</w:t>
            </w:r>
            <w:r>
              <w:rPr>
                <w:rFonts w:hAnsi="Times New Roman"/>
                <w:sz w:val="24"/>
                <w:szCs w:val="24"/>
              </w:rPr>
              <w:t>等</w:t>
            </w:r>
          </w:p>
        </w:tc>
        <w:tc>
          <w:tcPr>
            <w:tcW w:w="1134" w:type="dxa"/>
            <w:vAlign w:val="center"/>
          </w:tcPr>
          <w:p w14:paraId="4B904BFA">
            <w:pPr>
              <w:pStyle w:val="90"/>
              <w:spacing w:line="240" w:lineRule="auto"/>
              <w:ind w:firstLine="0" w:firstLineChars="0"/>
              <w:rPr>
                <w:rFonts w:hAnsi="Times New Roman"/>
                <w:sz w:val="24"/>
                <w:szCs w:val="24"/>
              </w:rPr>
            </w:pPr>
            <w:r>
              <w:rPr>
                <w:rFonts w:hint="eastAsia" w:hAnsi="Times New Roman"/>
                <w:sz w:val="24"/>
                <w:szCs w:val="24"/>
              </w:rPr>
              <w:t>债券预发行</w:t>
            </w:r>
          </w:p>
        </w:tc>
        <w:tc>
          <w:tcPr>
            <w:tcW w:w="1031" w:type="dxa"/>
            <w:vAlign w:val="center"/>
          </w:tcPr>
          <w:p w14:paraId="14EAB72E">
            <w:pPr>
              <w:pStyle w:val="90"/>
              <w:spacing w:line="240" w:lineRule="auto"/>
              <w:ind w:firstLine="0" w:firstLineChars="0"/>
              <w:rPr>
                <w:rFonts w:hAnsi="Times New Roman"/>
                <w:sz w:val="24"/>
                <w:szCs w:val="24"/>
              </w:rPr>
            </w:pPr>
            <w:r>
              <w:rPr>
                <w:rFonts w:hint="eastAsia" w:hAnsi="Times New Roman"/>
                <w:sz w:val="24"/>
                <w:szCs w:val="24"/>
              </w:rPr>
              <w:t>债券借贷</w:t>
            </w:r>
          </w:p>
        </w:tc>
      </w:tr>
      <w:tr w14:paraId="40695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14:paraId="431686F7">
            <w:pPr>
              <w:pStyle w:val="90"/>
              <w:spacing w:line="240" w:lineRule="auto"/>
              <w:ind w:firstLine="0" w:firstLineChars="0"/>
              <w:rPr>
                <w:rFonts w:hAnsi="Times New Roman"/>
                <w:b/>
                <w:sz w:val="24"/>
                <w:szCs w:val="24"/>
              </w:rPr>
            </w:pPr>
            <w:r>
              <w:rPr>
                <w:rFonts w:hint="eastAsia" w:hAnsi="Times New Roman"/>
                <w:b/>
                <w:sz w:val="24"/>
                <w:szCs w:val="24"/>
              </w:rPr>
              <w:t>交易方式</w:t>
            </w:r>
          </w:p>
        </w:tc>
        <w:tc>
          <w:tcPr>
            <w:tcW w:w="3075" w:type="dxa"/>
            <w:gridSpan w:val="3"/>
            <w:vAlign w:val="center"/>
          </w:tcPr>
          <w:p w14:paraId="2CA28A0C">
            <w:pPr>
              <w:pStyle w:val="90"/>
              <w:spacing w:line="240" w:lineRule="auto"/>
              <w:ind w:firstLine="480"/>
              <w:rPr>
                <w:rFonts w:hAnsi="Times New Roman"/>
                <w:sz w:val="24"/>
                <w:szCs w:val="24"/>
              </w:rPr>
            </w:pPr>
            <w:r>
              <w:rPr>
                <w:rFonts w:hint="eastAsia" w:hAnsi="Times New Roman"/>
                <w:sz w:val="24"/>
                <w:szCs w:val="24"/>
              </w:rPr>
              <w:t>匹配成交</w:t>
            </w:r>
          </w:p>
        </w:tc>
        <w:tc>
          <w:tcPr>
            <w:tcW w:w="2126" w:type="dxa"/>
            <w:vAlign w:val="center"/>
          </w:tcPr>
          <w:p w14:paraId="6745B43E">
            <w:pPr>
              <w:pStyle w:val="90"/>
              <w:spacing w:line="240" w:lineRule="auto"/>
              <w:ind w:firstLine="0" w:firstLineChars="0"/>
              <w:rPr>
                <w:rFonts w:hAnsi="Times New Roman"/>
                <w:sz w:val="24"/>
                <w:szCs w:val="24"/>
              </w:rPr>
            </w:pPr>
            <w:r>
              <w:rPr>
                <w:rFonts w:hint="eastAsia" w:hAnsi="Times New Roman"/>
                <w:sz w:val="24"/>
                <w:szCs w:val="24"/>
              </w:rPr>
              <w:t>询价成交、点击成交、竞买成交、协商成交</w:t>
            </w:r>
          </w:p>
        </w:tc>
        <w:tc>
          <w:tcPr>
            <w:tcW w:w="992" w:type="dxa"/>
            <w:vAlign w:val="center"/>
          </w:tcPr>
          <w:p w14:paraId="24E87DBE">
            <w:pPr>
              <w:pStyle w:val="90"/>
              <w:spacing w:line="240" w:lineRule="auto"/>
              <w:ind w:firstLine="0" w:firstLineChars="0"/>
              <w:rPr>
                <w:rFonts w:hAnsi="Times New Roman"/>
                <w:sz w:val="24"/>
                <w:szCs w:val="24"/>
              </w:rPr>
            </w:pPr>
            <w:r>
              <w:rPr>
                <w:rFonts w:hint="eastAsia" w:hAnsi="Times New Roman"/>
                <w:sz w:val="24"/>
                <w:szCs w:val="24"/>
              </w:rPr>
              <w:t>协商成交</w:t>
            </w:r>
          </w:p>
        </w:tc>
        <w:tc>
          <w:tcPr>
            <w:tcW w:w="1560" w:type="dxa"/>
            <w:vAlign w:val="center"/>
          </w:tcPr>
          <w:p w14:paraId="62527ADD">
            <w:pPr>
              <w:pStyle w:val="90"/>
              <w:spacing w:line="240" w:lineRule="auto"/>
              <w:ind w:firstLine="0" w:firstLineChars="0"/>
              <w:rPr>
                <w:rFonts w:hAnsi="Times New Roman"/>
                <w:b/>
                <w:sz w:val="24"/>
                <w:szCs w:val="24"/>
              </w:rPr>
            </w:pPr>
            <w:r>
              <w:rPr>
                <w:rFonts w:hint="eastAsia" w:hAnsi="Times New Roman"/>
                <w:sz w:val="24"/>
                <w:szCs w:val="24"/>
              </w:rPr>
              <w:t>协商成交（其他交易方式开通时间由本所另行通知）</w:t>
            </w:r>
          </w:p>
        </w:tc>
        <w:tc>
          <w:tcPr>
            <w:tcW w:w="1134" w:type="dxa"/>
            <w:vAlign w:val="center"/>
          </w:tcPr>
          <w:p w14:paraId="71B51DCA">
            <w:pPr>
              <w:pStyle w:val="90"/>
              <w:spacing w:line="240" w:lineRule="auto"/>
              <w:ind w:firstLine="0" w:firstLineChars="0"/>
              <w:rPr>
                <w:rFonts w:hAnsi="Times New Roman"/>
                <w:sz w:val="24"/>
                <w:szCs w:val="24"/>
              </w:rPr>
            </w:pPr>
            <w:r>
              <w:rPr>
                <w:rFonts w:hint="eastAsia" w:hAnsi="Times New Roman"/>
                <w:sz w:val="24"/>
                <w:szCs w:val="24"/>
              </w:rPr>
              <w:t>匹配成交</w:t>
            </w:r>
          </w:p>
        </w:tc>
        <w:tc>
          <w:tcPr>
            <w:tcW w:w="1031" w:type="dxa"/>
            <w:vAlign w:val="center"/>
          </w:tcPr>
          <w:p w14:paraId="53AC2FAB">
            <w:pPr>
              <w:pStyle w:val="90"/>
              <w:spacing w:line="240" w:lineRule="auto"/>
              <w:ind w:firstLine="0" w:firstLineChars="0"/>
              <w:rPr>
                <w:rFonts w:hAnsi="Times New Roman"/>
                <w:sz w:val="24"/>
                <w:szCs w:val="24"/>
              </w:rPr>
            </w:pPr>
            <w:r>
              <w:rPr>
                <w:rFonts w:hint="eastAsia" w:hAnsi="Times New Roman"/>
                <w:sz w:val="24"/>
                <w:szCs w:val="24"/>
              </w:rPr>
              <w:t>协商成交</w:t>
            </w:r>
          </w:p>
        </w:tc>
      </w:tr>
    </w:tbl>
    <w:p w14:paraId="4BE6E768">
      <w:pPr>
        <w:numPr>
          <w:ilvl w:val="1"/>
          <w:numId w:val="4"/>
        </w:numPr>
        <w:spacing w:line="600" w:lineRule="exact"/>
        <w:ind w:left="0" w:firstLine="0"/>
        <w:outlineLvl w:val="1"/>
        <w:rPr>
          <w:rFonts w:ascii="仿宋_GB2312" w:eastAsia="仿宋_GB2312"/>
          <w:b/>
          <w:sz w:val="30"/>
          <w:szCs w:val="30"/>
        </w:rPr>
      </w:pPr>
      <w:bookmarkStart w:id="395" w:name="_Toc1070097079"/>
      <w:bookmarkStart w:id="396" w:name="_Toc56166266"/>
      <w:bookmarkStart w:id="397" w:name="_Toc151136896"/>
      <w:bookmarkStart w:id="398" w:name="_Toc4883877"/>
      <w:bookmarkStart w:id="399" w:name="_Toc569877081"/>
      <w:bookmarkStart w:id="400" w:name="_Toc871466"/>
      <w:bookmarkStart w:id="401" w:name="_Toc56166077"/>
      <w:r>
        <w:rPr>
          <w:rFonts w:hint="eastAsia" w:ascii="仿宋_GB2312" w:eastAsia="仿宋_GB2312"/>
          <w:b/>
          <w:sz w:val="30"/>
          <w:szCs w:val="30"/>
        </w:rPr>
        <w:t>交易</w:t>
      </w:r>
      <w:r>
        <w:rPr>
          <w:rFonts w:ascii="仿宋_GB2312" w:eastAsia="仿宋_GB2312"/>
          <w:b/>
          <w:sz w:val="30"/>
          <w:szCs w:val="30"/>
        </w:rPr>
        <w:t>申报</w:t>
      </w:r>
      <w:bookmarkEnd w:id="394"/>
      <w:bookmarkEnd w:id="395"/>
      <w:bookmarkEnd w:id="396"/>
      <w:bookmarkEnd w:id="397"/>
      <w:bookmarkEnd w:id="398"/>
      <w:bookmarkEnd w:id="399"/>
      <w:bookmarkEnd w:id="400"/>
      <w:bookmarkEnd w:id="401"/>
    </w:p>
    <w:p w14:paraId="652102A5">
      <w:pPr>
        <w:numPr>
          <w:ilvl w:val="2"/>
          <w:numId w:val="4"/>
        </w:numPr>
        <w:spacing w:line="600" w:lineRule="exact"/>
        <w:ind w:left="0" w:firstLine="0"/>
        <w:outlineLvl w:val="2"/>
        <w:rPr>
          <w:rFonts w:ascii="仿宋_GB2312" w:eastAsia="仿宋_GB2312"/>
          <w:b/>
          <w:kern w:val="0"/>
          <w:sz w:val="30"/>
          <w:szCs w:val="30"/>
        </w:rPr>
      </w:pPr>
      <w:bookmarkStart w:id="402" w:name="_Toc57908886"/>
      <w:r>
        <w:rPr>
          <w:rFonts w:hint="eastAsia" w:ascii="仿宋_GB2312" w:eastAsia="仿宋_GB2312"/>
          <w:b/>
          <w:kern w:val="0"/>
          <w:sz w:val="30"/>
          <w:szCs w:val="30"/>
        </w:rPr>
        <w:t>申报数量要求</w:t>
      </w:r>
      <w:bookmarkEnd w:id="402"/>
    </w:p>
    <w:p w14:paraId="1E4E91F2">
      <w:pPr>
        <w:spacing w:line="600" w:lineRule="exact"/>
        <w:ind w:left="567"/>
        <w:outlineLvl w:val="3"/>
        <w:rPr>
          <w:rFonts w:ascii="仿宋_GB2312" w:eastAsia="仿宋_GB2312"/>
          <w:kern w:val="0"/>
          <w:sz w:val="30"/>
          <w:szCs w:val="30"/>
        </w:rPr>
      </w:pPr>
      <w:r>
        <w:rPr>
          <w:rFonts w:hint="eastAsia" w:ascii="仿宋_GB2312" w:eastAsia="仿宋_GB2312"/>
          <w:kern w:val="0"/>
          <w:sz w:val="30"/>
          <w:szCs w:val="30"/>
        </w:rPr>
        <w:t>（</w:t>
      </w:r>
      <w:r>
        <w:rPr>
          <w:rFonts w:ascii="仿宋_GB2312" w:eastAsia="仿宋_GB2312"/>
          <w:kern w:val="0"/>
          <w:sz w:val="30"/>
          <w:szCs w:val="30"/>
        </w:rPr>
        <w:t>1</w:t>
      </w:r>
      <w:r>
        <w:rPr>
          <w:rFonts w:hint="eastAsia" w:ascii="仿宋_GB2312" w:eastAsia="仿宋_GB2312"/>
          <w:kern w:val="0"/>
          <w:sz w:val="30"/>
          <w:szCs w:val="30"/>
        </w:rPr>
        <w:t>）最小申报数量与申报数量最小变动单位</w:t>
      </w:r>
    </w:p>
    <w:p w14:paraId="3413A6A2">
      <w:pPr>
        <w:pStyle w:val="90"/>
        <w:spacing w:line="600" w:lineRule="exact"/>
        <w:ind w:firstLine="600"/>
        <w:rPr>
          <w:rFonts w:hAnsi="Times New Roman"/>
          <w:sz w:val="30"/>
          <w:szCs w:val="30"/>
        </w:rPr>
      </w:pPr>
      <w:r>
        <w:rPr>
          <w:rFonts w:hint="eastAsia" w:hAnsi="Times New Roman"/>
          <w:sz w:val="30"/>
          <w:szCs w:val="30"/>
        </w:rPr>
        <w:t>本所对不同债券在不同交易方式下的最小申报数量与申报数量最小变动单位有不同要求（详见下表），</w:t>
      </w:r>
      <w:r>
        <w:rPr>
          <w:rFonts w:hAnsi="Times New Roman"/>
          <w:sz w:val="30"/>
          <w:szCs w:val="30"/>
        </w:rPr>
        <w:t>本所可以根据市场情况调整</w:t>
      </w:r>
      <w:r>
        <w:rPr>
          <w:rFonts w:hint="eastAsia" w:hAnsi="Times New Roman"/>
          <w:sz w:val="30"/>
          <w:szCs w:val="30"/>
        </w:rPr>
        <w:t>相关</w:t>
      </w:r>
      <w:r>
        <w:rPr>
          <w:rFonts w:hAnsi="Times New Roman"/>
          <w:sz w:val="30"/>
          <w:szCs w:val="30"/>
        </w:rPr>
        <w:t>申报数量</w:t>
      </w:r>
      <w:r>
        <w:rPr>
          <w:rFonts w:hint="eastAsia" w:hAnsi="Times New Roman"/>
          <w:sz w:val="30"/>
          <w:szCs w:val="30"/>
        </w:rPr>
        <w:t>要求</w:t>
      </w:r>
      <w:r>
        <w:rPr>
          <w:rFonts w:hAnsi="Times New Roman"/>
          <w:sz w:val="30"/>
          <w:szCs w:val="30"/>
        </w:rPr>
        <w:t>。</w:t>
      </w:r>
    </w:p>
    <w:tbl>
      <w:tblPr>
        <w:tblStyle w:val="43"/>
        <w:tblW w:w="11057" w:type="dxa"/>
        <w:tblInd w:w="-13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5"/>
        <w:gridCol w:w="1352"/>
        <w:gridCol w:w="2268"/>
        <w:gridCol w:w="1843"/>
        <w:gridCol w:w="1417"/>
        <w:gridCol w:w="2127"/>
        <w:gridCol w:w="1275"/>
      </w:tblGrid>
      <w:tr w14:paraId="2159C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75" w:type="dxa"/>
            <w:vAlign w:val="center"/>
          </w:tcPr>
          <w:p w14:paraId="5E48EA32">
            <w:pPr>
              <w:pStyle w:val="90"/>
              <w:spacing w:line="240" w:lineRule="auto"/>
              <w:ind w:firstLine="0" w:firstLineChars="0"/>
              <w:rPr>
                <w:rFonts w:hAnsi="Times New Roman"/>
                <w:b/>
                <w:sz w:val="24"/>
                <w:szCs w:val="24"/>
              </w:rPr>
            </w:pPr>
            <w:r>
              <w:rPr>
                <w:rFonts w:hint="eastAsia" w:hAnsi="Times New Roman"/>
                <w:b/>
                <w:sz w:val="24"/>
                <w:szCs w:val="24"/>
              </w:rPr>
              <w:t>子市场</w:t>
            </w:r>
          </w:p>
        </w:tc>
        <w:tc>
          <w:tcPr>
            <w:tcW w:w="1352" w:type="dxa"/>
            <w:vAlign w:val="center"/>
          </w:tcPr>
          <w:p w14:paraId="720F4651">
            <w:pPr>
              <w:pStyle w:val="90"/>
              <w:spacing w:line="240" w:lineRule="auto"/>
              <w:ind w:firstLine="0" w:firstLineChars="0"/>
              <w:rPr>
                <w:rFonts w:hAnsi="Times New Roman"/>
                <w:b/>
                <w:sz w:val="24"/>
                <w:szCs w:val="24"/>
              </w:rPr>
            </w:pPr>
            <w:r>
              <w:rPr>
                <w:rFonts w:hint="eastAsia" w:hAnsi="Times New Roman"/>
                <w:b/>
                <w:sz w:val="24"/>
                <w:szCs w:val="24"/>
              </w:rPr>
              <w:t>产品类型</w:t>
            </w:r>
          </w:p>
        </w:tc>
        <w:tc>
          <w:tcPr>
            <w:tcW w:w="2268" w:type="dxa"/>
            <w:vAlign w:val="center"/>
          </w:tcPr>
          <w:p w14:paraId="1E77080A">
            <w:pPr>
              <w:pStyle w:val="90"/>
              <w:spacing w:line="240" w:lineRule="auto"/>
              <w:ind w:firstLine="482"/>
              <w:rPr>
                <w:rFonts w:hAnsi="Times New Roman"/>
                <w:b/>
                <w:sz w:val="24"/>
                <w:szCs w:val="24"/>
              </w:rPr>
            </w:pPr>
            <w:r>
              <w:rPr>
                <w:rFonts w:hint="eastAsia" w:hAnsi="Times New Roman"/>
                <w:b/>
                <w:sz w:val="24"/>
                <w:szCs w:val="24"/>
              </w:rPr>
              <w:t>匹配成交</w:t>
            </w:r>
          </w:p>
        </w:tc>
        <w:tc>
          <w:tcPr>
            <w:tcW w:w="1843" w:type="dxa"/>
            <w:vAlign w:val="center"/>
          </w:tcPr>
          <w:p w14:paraId="6D8A63C3">
            <w:pPr>
              <w:pStyle w:val="90"/>
              <w:spacing w:line="240" w:lineRule="auto"/>
              <w:ind w:firstLine="0" w:firstLineChars="0"/>
              <w:rPr>
                <w:rFonts w:hAnsi="Times New Roman"/>
                <w:b/>
                <w:sz w:val="24"/>
                <w:szCs w:val="24"/>
              </w:rPr>
            </w:pPr>
            <w:r>
              <w:rPr>
                <w:rFonts w:hint="eastAsia" w:hAnsi="Times New Roman"/>
                <w:b/>
                <w:sz w:val="24"/>
                <w:szCs w:val="24"/>
              </w:rPr>
              <w:t>点击成交</w:t>
            </w:r>
          </w:p>
        </w:tc>
        <w:tc>
          <w:tcPr>
            <w:tcW w:w="1417" w:type="dxa"/>
            <w:vAlign w:val="center"/>
          </w:tcPr>
          <w:p w14:paraId="0ADA20D8">
            <w:pPr>
              <w:pStyle w:val="90"/>
              <w:spacing w:line="240" w:lineRule="auto"/>
              <w:ind w:firstLine="0" w:firstLineChars="0"/>
              <w:rPr>
                <w:rFonts w:hAnsi="Times New Roman"/>
                <w:b/>
                <w:sz w:val="24"/>
                <w:szCs w:val="24"/>
              </w:rPr>
            </w:pPr>
            <w:r>
              <w:rPr>
                <w:rFonts w:hint="eastAsia" w:hAnsi="Times New Roman"/>
                <w:b/>
                <w:sz w:val="24"/>
                <w:szCs w:val="24"/>
              </w:rPr>
              <w:t>询价成交</w:t>
            </w:r>
          </w:p>
        </w:tc>
        <w:tc>
          <w:tcPr>
            <w:tcW w:w="2127" w:type="dxa"/>
            <w:vAlign w:val="center"/>
          </w:tcPr>
          <w:p w14:paraId="3AE34641">
            <w:pPr>
              <w:pStyle w:val="90"/>
              <w:spacing w:line="240" w:lineRule="auto"/>
              <w:ind w:firstLine="0" w:firstLineChars="0"/>
              <w:rPr>
                <w:rFonts w:hAnsi="Times New Roman"/>
                <w:b/>
                <w:sz w:val="24"/>
                <w:szCs w:val="24"/>
              </w:rPr>
            </w:pPr>
            <w:r>
              <w:rPr>
                <w:rFonts w:hint="eastAsia" w:hAnsi="Times New Roman"/>
                <w:b/>
                <w:sz w:val="24"/>
                <w:szCs w:val="24"/>
              </w:rPr>
              <w:t>协商成交</w:t>
            </w:r>
          </w:p>
        </w:tc>
        <w:tc>
          <w:tcPr>
            <w:tcW w:w="1275" w:type="dxa"/>
            <w:vAlign w:val="center"/>
          </w:tcPr>
          <w:p w14:paraId="5B701CEE">
            <w:pPr>
              <w:pStyle w:val="90"/>
              <w:spacing w:line="240" w:lineRule="auto"/>
              <w:ind w:firstLine="0" w:firstLineChars="0"/>
              <w:rPr>
                <w:rFonts w:hAnsi="Times New Roman"/>
                <w:b/>
                <w:sz w:val="24"/>
                <w:szCs w:val="24"/>
              </w:rPr>
            </w:pPr>
            <w:r>
              <w:rPr>
                <w:rFonts w:hint="eastAsia" w:hAnsi="Times New Roman"/>
                <w:b/>
                <w:sz w:val="24"/>
                <w:szCs w:val="24"/>
              </w:rPr>
              <w:t>竞买成交</w:t>
            </w:r>
          </w:p>
        </w:tc>
      </w:tr>
      <w:tr w14:paraId="2C379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2" w:hRule="atLeast"/>
        </w:trPr>
        <w:tc>
          <w:tcPr>
            <w:tcW w:w="775" w:type="dxa"/>
            <w:vMerge w:val="restart"/>
            <w:vAlign w:val="center"/>
          </w:tcPr>
          <w:p w14:paraId="2D3EF174">
            <w:pPr>
              <w:pStyle w:val="90"/>
              <w:spacing w:line="240" w:lineRule="auto"/>
              <w:ind w:firstLine="0" w:firstLineChars="0"/>
              <w:rPr>
                <w:rFonts w:hAnsi="Times New Roman"/>
                <w:sz w:val="24"/>
                <w:szCs w:val="24"/>
              </w:rPr>
            </w:pPr>
            <w:r>
              <w:rPr>
                <w:rFonts w:hint="eastAsia" w:hAnsi="Times New Roman"/>
                <w:sz w:val="24"/>
                <w:szCs w:val="24"/>
              </w:rPr>
              <w:t>现券</w:t>
            </w:r>
          </w:p>
          <w:p w14:paraId="12E04584">
            <w:pPr>
              <w:pStyle w:val="90"/>
              <w:spacing w:line="240" w:lineRule="auto"/>
              <w:ind w:firstLine="480"/>
              <w:rPr>
                <w:rFonts w:hAnsi="Times New Roman"/>
                <w:sz w:val="24"/>
                <w:szCs w:val="24"/>
              </w:rPr>
            </w:pPr>
          </w:p>
        </w:tc>
        <w:tc>
          <w:tcPr>
            <w:tcW w:w="1352" w:type="dxa"/>
            <w:vAlign w:val="center"/>
          </w:tcPr>
          <w:p w14:paraId="35D2BE04">
            <w:pPr>
              <w:pStyle w:val="90"/>
              <w:spacing w:line="240" w:lineRule="auto"/>
              <w:ind w:firstLine="0" w:firstLineChars="0"/>
              <w:rPr>
                <w:rFonts w:hAnsi="Times New Roman"/>
                <w:sz w:val="24"/>
                <w:szCs w:val="24"/>
              </w:rPr>
            </w:pPr>
            <w:r>
              <w:rPr>
                <w:rFonts w:hint="eastAsia" w:hAnsi="Times New Roman"/>
                <w:sz w:val="24"/>
                <w:szCs w:val="24"/>
              </w:rPr>
              <w:t>国债、地方债、政策性金融债、政府支持债券、公司债</w:t>
            </w:r>
          </w:p>
          <w:p w14:paraId="3332050C">
            <w:pPr>
              <w:pStyle w:val="90"/>
              <w:spacing w:line="240" w:lineRule="auto"/>
              <w:ind w:firstLine="0" w:firstLineChars="0"/>
              <w:rPr>
                <w:rFonts w:hAnsi="Times New Roman"/>
                <w:sz w:val="24"/>
                <w:szCs w:val="24"/>
              </w:rPr>
            </w:pPr>
          </w:p>
        </w:tc>
        <w:tc>
          <w:tcPr>
            <w:tcW w:w="2268" w:type="dxa"/>
            <w:vAlign w:val="center"/>
          </w:tcPr>
          <w:p w14:paraId="72EA5F69">
            <w:pPr>
              <w:pStyle w:val="90"/>
              <w:spacing w:line="240" w:lineRule="auto"/>
              <w:ind w:firstLine="0" w:firstLineChars="0"/>
              <w:rPr>
                <w:rFonts w:hAnsi="Times New Roman"/>
                <w:sz w:val="24"/>
                <w:szCs w:val="24"/>
              </w:rPr>
            </w:pPr>
            <w:r>
              <w:rPr>
                <w:rFonts w:hint="eastAsia" w:hAnsi="Times New Roman"/>
                <w:sz w:val="24"/>
                <w:szCs w:val="24"/>
              </w:rPr>
              <w:t>最小申报数量为</w:t>
            </w:r>
            <w:r>
              <w:rPr>
                <w:rFonts w:hAnsi="Times New Roman"/>
                <w:sz w:val="24"/>
                <w:szCs w:val="24"/>
              </w:rPr>
              <w:t>10</w:t>
            </w:r>
            <w:r>
              <w:rPr>
                <w:rFonts w:hint="eastAsia" w:hAnsi="Times New Roman"/>
                <w:sz w:val="24"/>
                <w:szCs w:val="24"/>
              </w:rPr>
              <w:t>万元面额；数量最小变动单位为</w:t>
            </w:r>
            <w:r>
              <w:rPr>
                <w:rFonts w:hAnsi="Times New Roman"/>
                <w:sz w:val="24"/>
                <w:szCs w:val="24"/>
              </w:rPr>
              <w:t>10</w:t>
            </w:r>
            <w:r>
              <w:rPr>
                <w:rFonts w:hint="eastAsia" w:hAnsi="Times New Roman"/>
                <w:sz w:val="24"/>
                <w:szCs w:val="24"/>
              </w:rPr>
              <w:t>万元面额，卖出时不足</w:t>
            </w:r>
            <w:r>
              <w:rPr>
                <w:rFonts w:hAnsi="Times New Roman"/>
                <w:sz w:val="24"/>
                <w:szCs w:val="24"/>
              </w:rPr>
              <w:t>10</w:t>
            </w:r>
            <w:r>
              <w:rPr>
                <w:rFonts w:hint="eastAsia" w:hAnsi="Times New Roman"/>
                <w:sz w:val="24"/>
                <w:szCs w:val="24"/>
              </w:rPr>
              <w:t>万元面额的部分，应当一次性申报；</w:t>
            </w:r>
          </w:p>
          <w:p w14:paraId="6218754F">
            <w:pPr>
              <w:pStyle w:val="90"/>
              <w:spacing w:line="240" w:lineRule="auto"/>
              <w:ind w:firstLine="480"/>
              <w:rPr>
                <w:rFonts w:hAnsi="Times New Roman"/>
                <w:sz w:val="24"/>
                <w:szCs w:val="24"/>
              </w:rPr>
            </w:pPr>
          </w:p>
        </w:tc>
        <w:tc>
          <w:tcPr>
            <w:tcW w:w="1843" w:type="dxa"/>
            <w:vAlign w:val="center"/>
          </w:tcPr>
          <w:p w14:paraId="336BD85D">
            <w:pPr>
              <w:pStyle w:val="90"/>
              <w:spacing w:line="240" w:lineRule="auto"/>
              <w:ind w:firstLine="0" w:firstLineChars="0"/>
              <w:rPr>
                <w:rFonts w:hAnsi="Times New Roman"/>
                <w:sz w:val="24"/>
                <w:szCs w:val="24"/>
              </w:rPr>
            </w:pPr>
            <w:r>
              <w:rPr>
                <w:rFonts w:hint="eastAsia" w:hAnsi="Times New Roman"/>
                <w:sz w:val="24"/>
                <w:szCs w:val="24"/>
              </w:rPr>
              <w:t>最小申报数量为</w:t>
            </w:r>
            <w:r>
              <w:rPr>
                <w:rFonts w:hAnsi="Times New Roman"/>
                <w:sz w:val="24"/>
                <w:szCs w:val="24"/>
              </w:rPr>
              <w:t>10</w:t>
            </w:r>
            <w:r>
              <w:rPr>
                <w:rFonts w:hint="eastAsia" w:hAnsi="Times New Roman"/>
                <w:sz w:val="24"/>
                <w:szCs w:val="24"/>
              </w:rPr>
              <w:t>万元面额；数量最小变动单位为</w:t>
            </w:r>
            <w:r>
              <w:rPr>
                <w:rFonts w:hAnsi="Times New Roman"/>
                <w:sz w:val="24"/>
                <w:szCs w:val="24"/>
              </w:rPr>
              <w:t>10</w:t>
            </w:r>
            <w:r>
              <w:rPr>
                <w:rFonts w:hint="eastAsia" w:hAnsi="Times New Roman"/>
                <w:sz w:val="24"/>
                <w:szCs w:val="24"/>
              </w:rPr>
              <w:t>万元面额</w:t>
            </w:r>
          </w:p>
        </w:tc>
        <w:tc>
          <w:tcPr>
            <w:tcW w:w="1417" w:type="dxa"/>
            <w:vAlign w:val="center"/>
          </w:tcPr>
          <w:p w14:paraId="1C66093B">
            <w:pPr>
              <w:pStyle w:val="90"/>
              <w:spacing w:line="240" w:lineRule="auto"/>
              <w:ind w:firstLine="0" w:firstLineChars="0"/>
              <w:rPr>
                <w:rFonts w:hAnsi="Times New Roman"/>
                <w:sz w:val="24"/>
                <w:szCs w:val="24"/>
              </w:rPr>
            </w:pPr>
            <w:r>
              <w:rPr>
                <w:rFonts w:hint="eastAsia" w:hAnsi="Times New Roman"/>
                <w:sz w:val="24"/>
                <w:szCs w:val="24"/>
              </w:rPr>
              <w:t>最小申报数量为</w:t>
            </w:r>
            <w:r>
              <w:rPr>
                <w:rFonts w:hAnsi="Times New Roman"/>
                <w:sz w:val="24"/>
                <w:szCs w:val="24"/>
              </w:rPr>
              <w:t>10</w:t>
            </w:r>
            <w:r>
              <w:rPr>
                <w:rFonts w:hint="eastAsia" w:hAnsi="Times New Roman"/>
                <w:sz w:val="24"/>
                <w:szCs w:val="24"/>
              </w:rPr>
              <w:t>万元面额；数量最小变动单位为</w:t>
            </w:r>
            <w:r>
              <w:rPr>
                <w:rFonts w:hAnsi="Times New Roman"/>
                <w:sz w:val="24"/>
                <w:szCs w:val="24"/>
              </w:rPr>
              <w:t>1000</w:t>
            </w:r>
            <w:r>
              <w:rPr>
                <w:rFonts w:hint="eastAsia" w:hAnsi="Times New Roman"/>
                <w:sz w:val="24"/>
                <w:szCs w:val="24"/>
              </w:rPr>
              <w:t>元面额</w:t>
            </w:r>
          </w:p>
        </w:tc>
        <w:tc>
          <w:tcPr>
            <w:tcW w:w="2127" w:type="dxa"/>
            <w:vAlign w:val="center"/>
          </w:tcPr>
          <w:p w14:paraId="1728ED87">
            <w:pPr>
              <w:pStyle w:val="90"/>
              <w:spacing w:line="240" w:lineRule="auto"/>
              <w:ind w:firstLine="0" w:firstLineChars="0"/>
              <w:rPr>
                <w:rFonts w:hAnsi="Times New Roman"/>
                <w:sz w:val="24"/>
                <w:szCs w:val="24"/>
              </w:rPr>
            </w:pPr>
            <w:r>
              <w:rPr>
                <w:rFonts w:hint="eastAsia" w:hAnsi="Times New Roman"/>
                <w:sz w:val="24"/>
                <w:szCs w:val="24"/>
              </w:rPr>
              <w:t>最小申报数量为</w:t>
            </w:r>
            <w:r>
              <w:rPr>
                <w:rFonts w:hAnsi="Times New Roman"/>
                <w:sz w:val="24"/>
                <w:szCs w:val="24"/>
              </w:rPr>
              <w:t>1000</w:t>
            </w:r>
            <w:r>
              <w:rPr>
                <w:rFonts w:hint="eastAsia" w:hAnsi="Times New Roman"/>
                <w:sz w:val="24"/>
                <w:szCs w:val="24"/>
              </w:rPr>
              <w:t>元面额；数量最小变动单位为</w:t>
            </w:r>
            <w:r>
              <w:rPr>
                <w:rFonts w:hAnsi="Times New Roman"/>
                <w:sz w:val="24"/>
                <w:szCs w:val="24"/>
              </w:rPr>
              <w:t>1000</w:t>
            </w:r>
            <w:r>
              <w:rPr>
                <w:rFonts w:hint="eastAsia" w:hAnsi="Times New Roman"/>
                <w:sz w:val="24"/>
                <w:szCs w:val="24"/>
              </w:rPr>
              <w:t>元面额</w:t>
            </w:r>
          </w:p>
          <w:p w14:paraId="6E100643">
            <w:pPr>
              <w:pStyle w:val="90"/>
              <w:spacing w:line="240" w:lineRule="auto"/>
              <w:ind w:firstLine="0" w:firstLineChars="0"/>
              <w:rPr>
                <w:rFonts w:hAnsi="Times New Roman"/>
                <w:sz w:val="24"/>
                <w:szCs w:val="24"/>
              </w:rPr>
            </w:pPr>
            <w:r>
              <w:rPr>
                <w:rFonts w:hint="eastAsia" w:hAnsi="Times New Roman"/>
                <w:sz w:val="24"/>
                <w:szCs w:val="24"/>
              </w:rPr>
              <w:t>（《债券交易规则》关于“采用协商成交方式的，债券现券申报数量应当不低于</w:t>
            </w:r>
            <w:r>
              <w:rPr>
                <w:rFonts w:hAnsi="Times New Roman"/>
                <w:sz w:val="24"/>
                <w:szCs w:val="24"/>
              </w:rPr>
              <w:t>1000</w:t>
            </w:r>
            <w:r>
              <w:rPr>
                <w:rFonts w:hint="eastAsia" w:hAnsi="Times New Roman"/>
                <w:sz w:val="24"/>
                <w:szCs w:val="24"/>
              </w:rPr>
              <w:t>元面额，且为</w:t>
            </w:r>
            <w:r>
              <w:rPr>
                <w:rFonts w:hAnsi="Times New Roman"/>
                <w:sz w:val="24"/>
                <w:szCs w:val="24"/>
              </w:rPr>
              <w:t>100</w:t>
            </w:r>
            <w:r>
              <w:rPr>
                <w:rFonts w:hint="eastAsia" w:hAnsi="Times New Roman"/>
                <w:sz w:val="24"/>
                <w:szCs w:val="24"/>
              </w:rPr>
              <w:t>元面额整数倍”的规定暂缓施行。）</w:t>
            </w:r>
          </w:p>
        </w:tc>
        <w:tc>
          <w:tcPr>
            <w:tcW w:w="1275" w:type="dxa"/>
            <w:vAlign w:val="center"/>
          </w:tcPr>
          <w:p w14:paraId="090B5D99">
            <w:pPr>
              <w:pStyle w:val="90"/>
              <w:spacing w:line="240" w:lineRule="auto"/>
              <w:ind w:firstLine="0" w:firstLineChars="0"/>
              <w:rPr>
                <w:rFonts w:hAnsi="Times New Roman"/>
                <w:sz w:val="24"/>
                <w:szCs w:val="24"/>
              </w:rPr>
            </w:pPr>
            <w:r>
              <w:rPr>
                <w:rFonts w:hint="eastAsia" w:hAnsi="Times New Roman"/>
                <w:sz w:val="24"/>
                <w:szCs w:val="24"/>
              </w:rPr>
              <w:t>最小申报数量为</w:t>
            </w:r>
            <w:r>
              <w:rPr>
                <w:rFonts w:hAnsi="Times New Roman"/>
                <w:sz w:val="24"/>
                <w:szCs w:val="24"/>
              </w:rPr>
              <w:t>10</w:t>
            </w:r>
            <w:r>
              <w:rPr>
                <w:rFonts w:hint="eastAsia" w:hAnsi="Times New Roman"/>
                <w:sz w:val="24"/>
                <w:szCs w:val="24"/>
              </w:rPr>
              <w:t>万元面额；数量最小变动单位为</w:t>
            </w:r>
            <w:r>
              <w:rPr>
                <w:rFonts w:hAnsi="Times New Roman"/>
                <w:sz w:val="24"/>
                <w:szCs w:val="24"/>
              </w:rPr>
              <w:t>1000</w:t>
            </w:r>
            <w:r>
              <w:rPr>
                <w:rFonts w:hint="eastAsia" w:hAnsi="Times New Roman"/>
                <w:sz w:val="24"/>
                <w:szCs w:val="24"/>
              </w:rPr>
              <w:t>元面额</w:t>
            </w:r>
          </w:p>
        </w:tc>
      </w:tr>
      <w:tr w14:paraId="6EFB7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75" w:type="dxa"/>
            <w:vMerge w:val="continue"/>
            <w:vAlign w:val="center"/>
          </w:tcPr>
          <w:p w14:paraId="640B93BB">
            <w:pPr>
              <w:pStyle w:val="90"/>
              <w:spacing w:line="240" w:lineRule="auto"/>
              <w:ind w:firstLine="0" w:firstLineChars="0"/>
              <w:rPr>
                <w:rFonts w:hAnsi="Times New Roman"/>
                <w:sz w:val="24"/>
                <w:szCs w:val="24"/>
              </w:rPr>
            </w:pPr>
          </w:p>
        </w:tc>
        <w:tc>
          <w:tcPr>
            <w:tcW w:w="1352" w:type="dxa"/>
            <w:vAlign w:val="center"/>
          </w:tcPr>
          <w:p w14:paraId="1760CCF1">
            <w:pPr>
              <w:pStyle w:val="90"/>
              <w:spacing w:line="240" w:lineRule="auto"/>
              <w:ind w:firstLine="0" w:firstLineChars="0"/>
              <w:rPr>
                <w:rFonts w:hAnsi="Times New Roman"/>
                <w:sz w:val="24"/>
                <w:szCs w:val="24"/>
              </w:rPr>
            </w:pPr>
            <w:r>
              <w:rPr>
                <w:rFonts w:hAnsi="Times New Roman"/>
                <w:sz w:val="24"/>
                <w:szCs w:val="24"/>
              </w:rPr>
              <w:t>ABS</w:t>
            </w:r>
          </w:p>
        </w:tc>
        <w:tc>
          <w:tcPr>
            <w:tcW w:w="2268" w:type="dxa"/>
            <w:vAlign w:val="center"/>
          </w:tcPr>
          <w:p w14:paraId="07BC3635">
            <w:pPr>
              <w:pStyle w:val="90"/>
              <w:spacing w:line="240" w:lineRule="auto"/>
              <w:ind w:firstLine="0" w:firstLineChars="0"/>
              <w:jc w:val="center"/>
              <w:rPr>
                <w:rFonts w:hAnsi="Times New Roman"/>
                <w:sz w:val="24"/>
                <w:szCs w:val="24"/>
              </w:rPr>
            </w:pPr>
            <w:r>
              <w:rPr>
                <w:rFonts w:hAnsi="Times New Roman"/>
                <w:sz w:val="24"/>
                <w:szCs w:val="24"/>
              </w:rPr>
              <w:t>--</w:t>
            </w:r>
          </w:p>
        </w:tc>
        <w:tc>
          <w:tcPr>
            <w:tcW w:w="6662" w:type="dxa"/>
            <w:gridSpan w:val="4"/>
            <w:vAlign w:val="center"/>
          </w:tcPr>
          <w:p w14:paraId="589821C0">
            <w:pPr>
              <w:pStyle w:val="90"/>
              <w:spacing w:line="240" w:lineRule="auto"/>
              <w:ind w:firstLine="0" w:firstLineChars="0"/>
              <w:rPr>
                <w:rFonts w:hAnsi="Times New Roman"/>
                <w:sz w:val="24"/>
                <w:szCs w:val="24"/>
              </w:rPr>
            </w:pPr>
            <w:r>
              <w:rPr>
                <w:rFonts w:hint="eastAsia" w:hAnsi="Times New Roman"/>
                <w:sz w:val="24"/>
                <w:szCs w:val="24"/>
              </w:rPr>
              <w:t>单笔最小申报数量为</w:t>
            </w:r>
            <w:r>
              <w:rPr>
                <w:rFonts w:hAnsi="Times New Roman"/>
                <w:sz w:val="24"/>
                <w:szCs w:val="24"/>
              </w:rPr>
              <w:t>10</w:t>
            </w:r>
            <w:r>
              <w:rPr>
                <w:rFonts w:hint="eastAsia" w:hAnsi="Times New Roman"/>
                <w:sz w:val="24"/>
                <w:szCs w:val="24"/>
              </w:rPr>
              <w:t>0万元面额</w:t>
            </w:r>
          </w:p>
        </w:tc>
      </w:tr>
      <w:tr w14:paraId="72C19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75" w:type="dxa"/>
            <w:vMerge w:val="restart"/>
            <w:vAlign w:val="center"/>
          </w:tcPr>
          <w:p w14:paraId="4F833489">
            <w:pPr>
              <w:pStyle w:val="90"/>
              <w:spacing w:line="240" w:lineRule="auto"/>
              <w:ind w:firstLine="0" w:firstLineChars="0"/>
              <w:rPr>
                <w:rFonts w:hAnsi="Times New Roman"/>
                <w:sz w:val="24"/>
                <w:szCs w:val="24"/>
              </w:rPr>
            </w:pPr>
            <w:r>
              <w:rPr>
                <w:rFonts w:hint="eastAsia" w:hAnsi="Times New Roman"/>
                <w:sz w:val="24"/>
                <w:szCs w:val="24"/>
              </w:rPr>
              <w:t>回购</w:t>
            </w:r>
          </w:p>
        </w:tc>
        <w:tc>
          <w:tcPr>
            <w:tcW w:w="1352" w:type="dxa"/>
            <w:vAlign w:val="center"/>
          </w:tcPr>
          <w:p w14:paraId="65D0B369">
            <w:pPr>
              <w:pStyle w:val="90"/>
              <w:spacing w:line="240" w:lineRule="auto"/>
              <w:ind w:firstLine="0" w:firstLineChars="0"/>
              <w:rPr>
                <w:rFonts w:hAnsi="Times New Roman"/>
                <w:sz w:val="24"/>
                <w:szCs w:val="24"/>
              </w:rPr>
            </w:pPr>
            <w:r>
              <w:rPr>
                <w:rFonts w:hint="eastAsia" w:hAnsi="Times New Roman"/>
                <w:sz w:val="24"/>
                <w:szCs w:val="24"/>
              </w:rPr>
              <w:t>通用回购</w:t>
            </w:r>
          </w:p>
        </w:tc>
        <w:tc>
          <w:tcPr>
            <w:tcW w:w="2268" w:type="dxa"/>
            <w:vAlign w:val="center"/>
          </w:tcPr>
          <w:p w14:paraId="4B25CE9E">
            <w:pPr>
              <w:pStyle w:val="90"/>
              <w:spacing w:line="240" w:lineRule="auto"/>
              <w:ind w:firstLine="0" w:firstLineChars="0"/>
              <w:rPr>
                <w:rFonts w:hAnsi="Times New Roman"/>
                <w:sz w:val="24"/>
                <w:szCs w:val="24"/>
              </w:rPr>
            </w:pPr>
            <w:r>
              <w:rPr>
                <w:rFonts w:hint="eastAsia" w:hAnsi="Times New Roman"/>
                <w:sz w:val="24"/>
                <w:szCs w:val="24"/>
              </w:rPr>
              <w:t>最小申报数量</w:t>
            </w:r>
            <w:r>
              <w:rPr>
                <w:rFonts w:hAnsi="Times New Roman"/>
                <w:sz w:val="24"/>
                <w:szCs w:val="24"/>
              </w:rPr>
              <w:t>1000</w:t>
            </w:r>
            <w:r>
              <w:rPr>
                <w:rFonts w:hint="eastAsia" w:hAnsi="Times New Roman"/>
                <w:sz w:val="24"/>
                <w:szCs w:val="24"/>
              </w:rPr>
              <w:t>元面额；数量最小变动单位</w:t>
            </w:r>
            <w:r>
              <w:rPr>
                <w:rFonts w:hAnsi="Times New Roman"/>
                <w:sz w:val="24"/>
                <w:szCs w:val="24"/>
              </w:rPr>
              <w:t>1000</w:t>
            </w:r>
            <w:r>
              <w:rPr>
                <w:rFonts w:hint="eastAsia" w:hAnsi="Times New Roman"/>
                <w:sz w:val="24"/>
                <w:szCs w:val="24"/>
              </w:rPr>
              <w:t>元面额</w:t>
            </w:r>
          </w:p>
        </w:tc>
        <w:tc>
          <w:tcPr>
            <w:tcW w:w="6662" w:type="dxa"/>
            <w:gridSpan w:val="4"/>
            <w:vAlign w:val="center"/>
          </w:tcPr>
          <w:p w14:paraId="7506CBC1">
            <w:pPr>
              <w:pStyle w:val="90"/>
              <w:spacing w:line="240" w:lineRule="auto"/>
              <w:ind w:firstLine="0" w:firstLineChars="0"/>
              <w:rPr>
                <w:rFonts w:hAnsi="Times New Roman"/>
                <w:sz w:val="24"/>
                <w:szCs w:val="24"/>
              </w:rPr>
            </w:pPr>
            <w:r>
              <w:rPr>
                <w:rFonts w:hint="eastAsia" w:hAnsi="Times New Roman"/>
                <w:sz w:val="24"/>
                <w:szCs w:val="24"/>
              </w:rPr>
              <w:t>（《上海证券交易所债券交易规则适用指引第2号——债券通用质押式回购交易》关于“通用回购交易采用点击成交、询价成交、竞买成交、协商成交等其他交易方式达成”的规定暂缓施行。）</w:t>
            </w:r>
          </w:p>
        </w:tc>
      </w:tr>
      <w:tr w14:paraId="26F18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75" w:type="dxa"/>
            <w:vMerge w:val="continue"/>
            <w:vAlign w:val="center"/>
          </w:tcPr>
          <w:p w14:paraId="5E950660">
            <w:pPr>
              <w:pStyle w:val="90"/>
              <w:spacing w:line="240" w:lineRule="auto"/>
              <w:ind w:firstLine="480"/>
              <w:rPr>
                <w:rFonts w:hAnsi="Times New Roman"/>
                <w:sz w:val="24"/>
                <w:szCs w:val="24"/>
              </w:rPr>
            </w:pPr>
          </w:p>
        </w:tc>
        <w:tc>
          <w:tcPr>
            <w:tcW w:w="1352" w:type="dxa"/>
            <w:vAlign w:val="center"/>
          </w:tcPr>
          <w:p w14:paraId="08D18459">
            <w:pPr>
              <w:pStyle w:val="90"/>
              <w:spacing w:line="240" w:lineRule="auto"/>
              <w:ind w:firstLine="0" w:firstLineChars="0"/>
              <w:rPr>
                <w:rFonts w:hAnsi="Times New Roman"/>
                <w:sz w:val="24"/>
                <w:szCs w:val="24"/>
              </w:rPr>
            </w:pPr>
            <w:r>
              <w:rPr>
                <w:rFonts w:hint="eastAsia" w:hAnsi="Times New Roman"/>
                <w:sz w:val="24"/>
                <w:szCs w:val="24"/>
              </w:rPr>
              <w:t>协议回购</w:t>
            </w:r>
          </w:p>
        </w:tc>
        <w:tc>
          <w:tcPr>
            <w:tcW w:w="2268" w:type="dxa"/>
            <w:vAlign w:val="center"/>
          </w:tcPr>
          <w:p w14:paraId="2BD84C2A">
            <w:pPr>
              <w:pStyle w:val="90"/>
              <w:spacing w:line="240" w:lineRule="auto"/>
              <w:ind w:firstLine="480"/>
              <w:rPr>
                <w:rFonts w:hAnsi="Times New Roman"/>
                <w:sz w:val="24"/>
                <w:szCs w:val="24"/>
              </w:rPr>
            </w:pPr>
            <w:r>
              <w:rPr>
                <w:rFonts w:hAnsi="Times New Roman"/>
                <w:sz w:val="24"/>
                <w:szCs w:val="24"/>
              </w:rPr>
              <w:t>--</w:t>
            </w:r>
          </w:p>
        </w:tc>
        <w:tc>
          <w:tcPr>
            <w:tcW w:w="1843" w:type="dxa"/>
            <w:vAlign w:val="center"/>
          </w:tcPr>
          <w:p w14:paraId="6106EFEF">
            <w:pPr>
              <w:pStyle w:val="90"/>
              <w:spacing w:line="240" w:lineRule="auto"/>
              <w:ind w:firstLine="480"/>
              <w:rPr>
                <w:rFonts w:hAnsi="Times New Roman"/>
                <w:sz w:val="24"/>
                <w:szCs w:val="24"/>
              </w:rPr>
            </w:pPr>
            <w:r>
              <w:rPr>
                <w:rFonts w:hAnsi="Times New Roman"/>
                <w:sz w:val="24"/>
                <w:szCs w:val="24"/>
              </w:rPr>
              <w:t>--</w:t>
            </w:r>
          </w:p>
        </w:tc>
        <w:tc>
          <w:tcPr>
            <w:tcW w:w="1417" w:type="dxa"/>
            <w:vAlign w:val="center"/>
          </w:tcPr>
          <w:p w14:paraId="3CBB4D33">
            <w:pPr>
              <w:pStyle w:val="90"/>
              <w:spacing w:line="240" w:lineRule="auto"/>
              <w:ind w:firstLine="480"/>
              <w:rPr>
                <w:rFonts w:hAnsi="Times New Roman"/>
                <w:sz w:val="24"/>
                <w:szCs w:val="24"/>
              </w:rPr>
            </w:pPr>
            <w:r>
              <w:rPr>
                <w:rFonts w:hAnsi="Times New Roman"/>
                <w:sz w:val="24"/>
                <w:szCs w:val="24"/>
              </w:rPr>
              <w:t>--</w:t>
            </w:r>
          </w:p>
        </w:tc>
        <w:tc>
          <w:tcPr>
            <w:tcW w:w="2127" w:type="dxa"/>
            <w:vAlign w:val="center"/>
          </w:tcPr>
          <w:p w14:paraId="41C42AD5">
            <w:pPr>
              <w:pStyle w:val="90"/>
              <w:spacing w:line="240" w:lineRule="auto"/>
              <w:ind w:firstLine="0" w:firstLineChars="0"/>
              <w:rPr>
                <w:rFonts w:hAnsi="Times New Roman"/>
                <w:sz w:val="24"/>
                <w:szCs w:val="24"/>
              </w:rPr>
            </w:pPr>
            <w:r>
              <w:rPr>
                <w:rFonts w:hint="eastAsia" w:hAnsi="Times New Roman"/>
                <w:sz w:val="24"/>
                <w:szCs w:val="24"/>
              </w:rPr>
              <w:t>最小申报数量为</w:t>
            </w:r>
            <w:r>
              <w:rPr>
                <w:rFonts w:hAnsi="Times New Roman"/>
                <w:sz w:val="24"/>
                <w:szCs w:val="24"/>
              </w:rPr>
              <w:t>1000</w:t>
            </w:r>
            <w:r>
              <w:rPr>
                <w:rFonts w:hint="eastAsia" w:hAnsi="Times New Roman"/>
                <w:sz w:val="24"/>
                <w:szCs w:val="24"/>
              </w:rPr>
              <w:t>元面额；数量最小变动单位为</w:t>
            </w:r>
            <w:r>
              <w:rPr>
                <w:rFonts w:hAnsi="Times New Roman"/>
                <w:sz w:val="24"/>
                <w:szCs w:val="24"/>
              </w:rPr>
              <w:t>1000</w:t>
            </w:r>
            <w:r>
              <w:rPr>
                <w:rFonts w:hint="eastAsia" w:hAnsi="Times New Roman"/>
                <w:sz w:val="24"/>
                <w:szCs w:val="24"/>
              </w:rPr>
              <w:t>元面额</w:t>
            </w:r>
          </w:p>
        </w:tc>
        <w:tc>
          <w:tcPr>
            <w:tcW w:w="1275" w:type="dxa"/>
            <w:vAlign w:val="center"/>
          </w:tcPr>
          <w:p w14:paraId="7FA19B19">
            <w:pPr>
              <w:pStyle w:val="90"/>
              <w:spacing w:line="240" w:lineRule="auto"/>
              <w:ind w:firstLine="480"/>
              <w:rPr>
                <w:rFonts w:hAnsi="Times New Roman"/>
                <w:sz w:val="24"/>
                <w:szCs w:val="24"/>
              </w:rPr>
            </w:pPr>
            <w:r>
              <w:rPr>
                <w:rFonts w:hAnsi="Times New Roman"/>
                <w:sz w:val="24"/>
                <w:szCs w:val="24"/>
              </w:rPr>
              <w:t>--</w:t>
            </w:r>
          </w:p>
        </w:tc>
      </w:tr>
      <w:tr w14:paraId="2BB40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75" w:type="dxa"/>
            <w:vMerge w:val="continue"/>
            <w:vAlign w:val="center"/>
          </w:tcPr>
          <w:p w14:paraId="2FF389CE">
            <w:pPr>
              <w:pStyle w:val="90"/>
              <w:spacing w:line="240" w:lineRule="auto"/>
              <w:ind w:firstLine="480"/>
              <w:rPr>
                <w:rFonts w:hAnsi="Times New Roman"/>
                <w:sz w:val="24"/>
                <w:szCs w:val="24"/>
              </w:rPr>
            </w:pPr>
          </w:p>
        </w:tc>
        <w:tc>
          <w:tcPr>
            <w:tcW w:w="1352" w:type="dxa"/>
            <w:vAlign w:val="center"/>
          </w:tcPr>
          <w:p w14:paraId="038E7F5F">
            <w:pPr>
              <w:pStyle w:val="90"/>
              <w:spacing w:line="240" w:lineRule="auto"/>
              <w:ind w:firstLine="0" w:firstLineChars="0"/>
              <w:rPr>
                <w:rFonts w:hAnsi="Times New Roman"/>
                <w:sz w:val="24"/>
                <w:szCs w:val="24"/>
              </w:rPr>
            </w:pPr>
            <w:r>
              <w:rPr>
                <w:rFonts w:hint="eastAsia" w:hAnsi="Times New Roman"/>
                <w:sz w:val="24"/>
                <w:szCs w:val="24"/>
              </w:rPr>
              <w:t>三方回购</w:t>
            </w:r>
          </w:p>
        </w:tc>
        <w:tc>
          <w:tcPr>
            <w:tcW w:w="2268" w:type="dxa"/>
            <w:vAlign w:val="center"/>
          </w:tcPr>
          <w:p w14:paraId="2687BF48">
            <w:pPr>
              <w:pStyle w:val="90"/>
              <w:spacing w:line="240" w:lineRule="auto"/>
              <w:ind w:firstLine="480"/>
              <w:rPr>
                <w:rFonts w:hAnsi="Times New Roman"/>
                <w:sz w:val="24"/>
                <w:szCs w:val="24"/>
              </w:rPr>
            </w:pPr>
            <w:r>
              <w:rPr>
                <w:rFonts w:hAnsi="Times New Roman"/>
                <w:sz w:val="24"/>
                <w:szCs w:val="24"/>
              </w:rPr>
              <w:t>--</w:t>
            </w:r>
          </w:p>
        </w:tc>
        <w:tc>
          <w:tcPr>
            <w:tcW w:w="1843" w:type="dxa"/>
            <w:vAlign w:val="center"/>
          </w:tcPr>
          <w:p w14:paraId="27B0EA56">
            <w:pPr>
              <w:pStyle w:val="90"/>
              <w:spacing w:line="240" w:lineRule="auto"/>
              <w:ind w:firstLine="480"/>
              <w:rPr>
                <w:rFonts w:hAnsi="Times New Roman"/>
                <w:sz w:val="24"/>
                <w:szCs w:val="24"/>
              </w:rPr>
            </w:pPr>
            <w:r>
              <w:rPr>
                <w:rFonts w:hAnsi="Times New Roman"/>
                <w:sz w:val="24"/>
                <w:szCs w:val="24"/>
              </w:rPr>
              <w:t>--</w:t>
            </w:r>
          </w:p>
        </w:tc>
        <w:tc>
          <w:tcPr>
            <w:tcW w:w="1417" w:type="dxa"/>
            <w:vAlign w:val="center"/>
          </w:tcPr>
          <w:p w14:paraId="5EF43911">
            <w:pPr>
              <w:pStyle w:val="90"/>
              <w:spacing w:line="240" w:lineRule="auto"/>
              <w:ind w:firstLine="480"/>
              <w:rPr>
                <w:rFonts w:hAnsi="Times New Roman"/>
                <w:sz w:val="24"/>
                <w:szCs w:val="24"/>
              </w:rPr>
            </w:pPr>
            <w:r>
              <w:rPr>
                <w:rFonts w:hAnsi="Times New Roman"/>
                <w:sz w:val="24"/>
                <w:szCs w:val="24"/>
              </w:rPr>
              <w:t>--</w:t>
            </w:r>
          </w:p>
        </w:tc>
        <w:tc>
          <w:tcPr>
            <w:tcW w:w="2127" w:type="dxa"/>
            <w:vAlign w:val="center"/>
          </w:tcPr>
          <w:p w14:paraId="054C7692">
            <w:pPr>
              <w:pStyle w:val="90"/>
              <w:spacing w:line="240" w:lineRule="auto"/>
              <w:ind w:firstLine="0" w:firstLineChars="0"/>
              <w:rPr>
                <w:rFonts w:hAnsi="Times New Roman"/>
                <w:sz w:val="24"/>
                <w:szCs w:val="24"/>
              </w:rPr>
            </w:pPr>
            <w:r>
              <w:rPr>
                <w:rFonts w:hint="eastAsia" w:hAnsi="Times New Roman"/>
                <w:sz w:val="24"/>
                <w:szCs w:val="24"/>
              </w:rPr>
              <w:t>回购金额为</w:t>
            </w:r>
            <w:r>
              <w:rPr>
                <w:rFonts w:hAnsi="Times New Roman"/>
                <w:sz w:val="24"/>
                <w:szCs w:val="24"/>
              </w:rPr>
              <w:t>100</w:t>
            </w:r>
            <w:r>
              <w:rPr>
                <w:rFonts w:hint="eastAsia" w:hAnsi="Times New Roman"/>
                <w:sz w:val="24"/>
                <w:szCs w:val="24"/>
              </w:rPr>
              <w:t>万元及整数倍</w:t>
            </w:r>
          </w:p>
        </w:tc>
        <w:tc>
          <w:tcPr>
            <w:tcW w:w="1275" w:type="dxa"/>
            <w:vAlign w:val="center"/>
          </w:tcPr>
          <w:p w14:paraId="70B335E3">
            <w:pPr>
              <w:pStyle w:val="90"/>
              <w:spacing w:line="240" w:lineRule="auto"/>
              <w:ind w:firstLine="480"/>
              <w:rPr>
                <w:rFonts w:hAnsi="Times New Roman"/>
                <w:sz w:val="24"/>
                <w:szCs w:val="24"/>
              </w:rPr>
            </w:pPr>
            <w:r>
              <w:rPr>
                <w:rFonts w:hAnsi="Times New Roman"/>
                <w:sz w:val="24"/>
                <w:szCs w:val="24"/>
              </w:rPr>
              <w:t>--</w:t>
            </w:r>
          </w:p>
        </w:tc>
      </w:tr>
      <w:tr w14:paraId="69BFD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75" w:type="dxa"/>
            <w:vMerge w:val="restart"/>
            <w:vAlign w:val="center"/>
          </w:tcPr>
          <w:p w14:paraId="1F826056">
            <w:pPr>
              <w:pStyle w:val="90"/>
              <w:spacing w:line="240" w:lineRule="auto"/>
              <w:ind w:firstLine="0" w:firstLineChars="0"/>
              <w:rPr>
                <w:rFonts w:hAnsi="Times New Roman"/>
                <w:sz w:val="24"/>
                <w:szCs w:val="24"/>
              </w:rPr>
            </w:pPr>
            <w:r>
              <w:rPr>
                <w:rFonts w:hint="eastAsia" w:hAnsi="Times New Roman"/>
                <w:sz w:val="24"/>
                <w:szCs w:val="24"/>
              </w:rPr>
              <w:t>其他</w:t>
            </w:r>
          </w:p>
        </w:tc>
        <w:tc>
          <w:tcPr>
            <w:tcW w:w="1352" w:type="dxa"/>
            <w:vAlign w:val="center"/>
          </w:tcPr>
          <w:p w14:paraId="547DE611">
            <w:pPr>
              <w:pStyle w:val="90"/>
              <w:spacing w:line="240" w:lineRule="auto"/>
              <w:ind w:firstLine="0" w:firstLineChars="0"/>
              <w:rPr>
                <w:rFonts w:hAnsi="Times New Roman"/>
                <w:sz w:val="24"/>
                <w:szCs w:val="24"/>
              </w:rPr>
            </w:pPr>
            <w:r>
              <w:rPr>
                <w:rFonts w:hint="eastAsia" w:hAnsi="Times New Roman"/>
                <w:sz w:val="24"/>
                <w:szCs w:val="24"/>
              </w:rPr>
              <w:t>债券借贷</w:t>
            </w:r>
          </w:p>
        </w:tc>
        <w:tc>
          <w:tcPr>
            <w:tcW w:w="2268" w:type="dxa"/>
            <w:vAlign w:val="center"/>
          </w:tcPr>
          <w:p w14:paraId="22435D37">
            <w:pPr>
              <w:pStyle w:val="90"/>
              <w:spacing w:line="240" w:lineRule="auto"/>
              <w:ind w:firstLine="480"/>
              <w:rPr>
                <w:rFonts w:hAnsi="Times New Roman"/>
                <w:sz w:val="24"/>
                <w:szCs w:val="24"/>
              </w:rPr>
            </w:pPr>
            <w:r>
              <w:rPr>
                <w:rFonts w:hAnsi="Times New Roman"/>
                <w:sz w:val="24"/>
                <w:szCs w:val="24"/>
              </w:rPr>
              <w:t>--</w:t>
            </w:r>
          </w:p>
        </w:tc>
        <w:tc>
          <w:tcPr>
            <w:tcW w:w="1843" w:type="dxa"/>
            <w:vAlign w:val="center"/>
          </w:tcPr>
          <w:p w14:paraId="013D0C10">
            <w:pPr>
              <w:pStyle w:val="90"/>
              <w:spacing w:line="240" w:lineRule="auto"/>
              <w:ind w:firstLine="480"/>
              <w:rPr>
                <w:rFonts w:hAnsi="Times New Roman"/>
                <w:sz w:val="24"/>
                <w:szCs w:val="24"/>
              </w:rPr>
            </w:pPr>
            <w:r>
              <w:rPr>
                <w:rFonts w:hAnsi="Times New Roman"/>
                <w:sz w:val="24"/>
                <w:szCs w:val="24"/>
              </w:rPr>
              <w:t>--</w:t>
            </w:r>
          </w:p>
        </w:tc>
        <w:tc>
          <w:tcPr>
            <w:tcW w:w="1417" w:type="dxa"/>
            <w:vAlign w:val="center"/>
          </w:tcPr>
          <w:p w14:paraId="4EBAA29C">
            <w:pPr>
              <w:pStyle w:val="90"/>
              <w:spacing w:line="240" w:lineRule="auto"/>
              <w:ind w:firstLine="480"/>
              <w:rPr>
                <w:rFonts w:hAnsi="Times New Roman"/>
                <w:sz w:val="24"/>
                <w:szCs w:val="24"/>
              </w:rPr>
            </w:pPr>
            <w:r>
              <w:rPr>
                <w:rFonts w:hAnsi="Times New Roman"/>
                <w:sz w:val="24"/>
                <w:szCs w:val="24"/>
              </w:rPr>
              <w:t>--</w:t>
            </w:r>
          </w:p>
        </w:tc>
        <w:tc>
          <w:tcPr>
            <w:tcW w:w="2127" w:type="dxa"/>
            <w:vAlign w:val="center"/>
          </w:tcPr>
          <w:p w14:paraId="75E620DC">
            <w:pPr>
              <w:pStyle w:val="90"/>
              <w:spacing w:line="240" w:lineRule="auto"/>
              <w:ind w:firstLine="0" w:firstLineChars="0"/>
              <w:rPr>
                <w:rFonts w:hAnsi="Times New Roman"/>
                <w:sz w:val="24"/>
                <w:szCs w:val="24"/>
              </w:rPr>
            </w:pPr>
            <w:r>
              <w:rPr>
                <w:rFonts w:hint="eastAsia" w:hAnsi="Times New Roman"/>
                <w:sz w:val="24"/>
                <w:szCs w:val="24"/>
              </w:rPr>
              <w:t>最小申报数量为</w:t>
            </w:r>
            <w:r>
              <w:rPr>
                <w:rFonts w:hAnsi="Times New Roman"/>
                <w:sz w:val="24"/>
                <w:szCs w:val="24"/>
              </w:rPr>
              <w:t>1000</w:t>
            </w:r>
            <w:r>
              <w:rPr>
                <w:rFonts w:hint="eastAsia" w:hAnsi="Times New Roman"/>
                <w:sz w:val="24"/>
                <w:szCs w:val="24"/>
              </w:rPr>
              <w:t>元面额；数量最小变动单位为</w:t>
            </w:r>
            <w:r>
              <w:rPr>
                <w:rFonts w:hAnsi="Times New Roman"/>
                <w:sz w:val="24"/>
                <w:szCs w:val="24"/>
              </w:rPr>
              <w:t>1000</w:t>
            </w:r>
            <w:r>
              <w:rPr>
                <w:rFonts w:hint="eastAsia" w:hAnsi="Times New Roman"/>
                <w:sz w:val="24"/>
                <w:szCs w:val="24"/>
              </w:rPr>
              <w:t>元面额</w:t>
            </w:r>
          </w:p>
        </w:tc>
        <w:tc>
          <w:tcPr>
            <w:tcW w:w="1275" w:type="dxa"/>
            <w:vAlign w:val="center"/>
          </w:tcPr>
          <w:p w14:paraId="409F3724">
            <w:pPr>
              <w:pStyle w:val="90"/>
              <w:spacing w:line="240" w:lineRule="auto"/>
              <w:ind w:firstLine="480"/>
              <w:rPr>
                <w:rFonts w:hAnsi="Times New Roman"/>
                <w:sz w:val="24"/>
                <w:szCs w:val="24"/>
              </w:rPr>
            </w:pPr>
            <w:r>
              <w:rPr>
                <w:rFonts w:hAnsi="Times New Roman"/>
                <w:sz w:val="24"/>
                <w:szCs w:val="24"/>
              </w:rPr>
              <w:t>--</w:t>
            </w:r>
          </w:p>
        </w:tc>
      </w:tr>
      <w:tr w14:paraId="6276C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75" w:type="dxa"/>
            <w:vMerge w:val="continue"/>
            <w:vAlign w:val="center"/>
          </w:tcPr>
          <w:p w14:paraId="009A0790">
            <w:pPr>
              <w:pStyle w:val="90"/>
              <w:spacing w:line="240" w:lineRule="auto"/>
              <w:ind w:firstLine="480"/>
              <w:rPr>
                <w:rFonts w:hAnsi="Times New Roman"/>
                <w:sz w:val="24"/>
                <w:szCs w:val="24"/>
              </w:rPr>
            </w:pPr>
          </w:p>
        </w:tc>
        <w:tc>
          <w:tcPr>
            <w:tcW w:w="1352" w:type="dxa"/>
            <w:vAlign w:val="center"/>
          </w:tcPr>
          <w:p w14:paraId="75880F50">
            <w:pPr>
              <w:pStyle w:val="90"/>
              <w:spacing w:line="240" w:lineRule="auto"/>
              <w:ind w:firstLine="0" w:firstLineChars="0"/>
              <w:rPr>
                <w:rFonts w:hAnsi="Times New Roman"/>
                <w:sz w:val="24"/>
                <w:szCs w:val="24"/>
              </w:rPr>
            </w:pPr>
            <w:r>
              <w:rPr>
                <w:rFonts w:hint="eastAsia" w:hAnsi="Times New Roman"/>
                <w:sz w:val="24"/>
                <w:szCs w:val="24"/>
              </w:rPr>
              <w:t>债券预发行</w:t>
            </w:r>
          </w:p>
        </w:tc>
        <w:tc>
          <w:tcPr>
            <w:tcW w:w="2268" w:type="dxa"/>
            <w:vAlign w:val="center"/>
          </w:tcPr>
          <w:p w14:paraId="35DE3ABE">
            <w:pPr>
              <w:pStyle w:val="90"/>
              <w:spacing w:line="240" w:lineRule="auto"/>
              <w:ind w:firstLine="0" w:firstLineChars="0"/>
              <w:rPr>
                <w:rFonts w:hAnsi="Times New Roman"/>
                <w:sz w:val="24"/>
                <w:szCs w:val="24"/>
              </w:rPr>
            </w:pPr>
            <w:r>
              <w:rPr>
                <w:rFonts w:hint="eastAsia" w:hAnsi="Times New Roman"/>
                <w:sz w:val="24"/>
                <w:szCs w:val="24"/>
              </w:rPr>
              <w:t>最小申报数量为</w:t>
            </w:r>
            <w:r>
              <w:rPr>
                <w:rFonts w:hAnsi="Times New Roman"/>
                <w:sz w:val="24"/>
                <w:szCs w:val="24"/>
              </w:rPr>
              <w:t>100</w:t>
            </w:r>
            <w:r>
              <w:rPr>
                <w:rFonts w:hint="eastAsia" w:hAnsi="Times New Roman"/>
                <w:sz w:val="24"/>
                <w:szCs w:val="24"/>
              </w:rPr>
              <w:t>万元面额；数量最小变动单位为</w:t>
            </w:r>
            <w:r>
              <w:rPr>
                <w:rFonts w:hAnsi="Times New Roman"/>
                <w:sz w:val="24"/>
                <w:szCs w:val="24"/>
              </w:rPr>
              <w:t>100</w:t>
            </w:r>
            <w:r>
              <w:rPr>
                <w:rFonts w:hint="eastAsia" w:hAnsi="Times New Roman"/>
                <w:sz w:val="24"/>
                <w:szCs w:val="24"/>
              </w:rPr>
              <w:t>万元面额</w:t>
            </w:r>
          </w:p>
        </w:tc>
        <w:tc>
          <w:tcPr>
            <w:tcW w:w="1843" w:type="dxa"/>
            <w:vAlign w:val="center"/>
          </w:tcPr>
          <w:p w14:paraId="0FA32C92">
            <w:pPr>
              <w:pStyle w:val="90"/>
              <w:spacing w:line="240" w:lineRule="auto"/>
              <w:ind w:firstLine="480"/>
              <w:rPr>
                <w:rFonts w:hAnsi="Times New Roman"/>
                <w:sz w:val="24"/>
                <w:szCs w:val="24"/>
              </w:rPr>
            </w:pPr>
            <w:r>
              <w:rPr>
                <w:rFonts w:hAnsi="Times New Roman"/>
                <w:sz w:val="24"/>
                <w:szCs w:val="24"/>
              </w:rPr>
              <w:t>--</w:t>
            </w:r>
          </w:p>
        </w:tc>
        <w:tc>
          <w:tcPr>
            <w:tcW w:w="1417" w:type="dxa"/>
            <w:vAlign w:val="center"/>
          </w:tcPr>
          <w:p w14:paraId="363CBA69">
            <w:pPr>
              <w:pStyle w:val="90"/>
              <w:spacing w:line="240" w:lineRule="auto"/>
              <w:ind w:firstLine="480"/>
              <w:rPr>
                <w:rFonts w:hAnsi="Times New Roman"/>
                <w:sz w:val="24"/>
                <w:szCs w:val="24"/>
              </w:rPr>
            </w:pPr>
            <w:r>
              <w:rPr>
                <w:rFonts w:hAnsi="Times New Roman"/>
                <w:sz w:val="24"/>
                <w:szCs w:val="24"/>
              </w:rPr>
              <w:t>--</w:t>
            </w:r>
          </w:p>
        </w:tc>
        <w:tc>
          <w:tcPr>
            <w:tcW w:w="2127" w:type="dxa"/>
            <w:vAlign w:val="center"/>
          </w:tcPr>
          <w:p w14:paraId="6B5C8B28">
            <w:pPr>
              <w:pStyle w:val="90"/>
              <w:spacing w:line="240" w:lineRule="auto"/>
              <w:ind w:firstLine="480"/>
              <w:rPr>
                <w:rFonts w:hAnsi="Times New Roman"/>
                <w:sz w:val="24"/>
                <w:szCs w:val="24"/>
              </w:rPr>
            </w:pPr>
            <w:r>
              <w:rPr>
                <w:rFonts w:hAnsi="Times New Roman"/>
                <w:sz w:val="24"/>
                <w:szCs w:val="24"/>
              </w:rPr>
              <w:t>--</w:t>
            </w:r>
          </w:p>
        </w:tc>
        <w:tc>
          <w:tcPr>
            <w:tcW w:w="1275" w:type="dxa"/>
            <w:vAlign w:val="center"/>
          </w:tcPr>
          <w:p w14:paraId="645CE04E">
            <w:pPr>
              <w:pStyle w:val="90"/>
              <w:spacing w:line="240" w:lineRule="auto"/>
              <w:ind w:firstLine="480"/>
              <w:rPr>
                <w:rFonts w:hAnsi="Times New Roman"/>
                <w:sz w:val="24"/>
                <w:szCs w:val="24"/>
              </w:rPr>
            </w:pPr>
            <w:r>
              <w:rPr>
                <w:rFonts w:hAnsi="Times New Roman"/>
                <w:sz w:val="24"/>
                <w:szCs w:val="24"/>
              </w:rPr>
              <w:t>--</w:t>
            </w:r>
          </w:p>
        </w:tc>
      </w:tr>
      <w:tr w14:paraId="43F58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75" w:type="dxa"/>
            <w:vMerge w:val="continue"/>
            <w:vAlign w:val="center"/>
          </w:tcPr>
          <w:p w14:paraId="639AE84E">
            <w:pPr>
              <w:pStyle w:val="90"/>
              <w:spacing w:line="240" w:lineRule="auto"/>
              <w:ind w:firstLine="480"/>
              <w:rPr>
                <w:rFonts w:hAnsi="Times New Roman"/>
                <w:sz w:val="24"/>
                <w:szCs w:val="24"/>
              </w:rPr>
            </w:pPr>
          </w:p>
        </w:tc>
        <w:tc>
          <w:tcPr>
            <w:tcW w:w="1352" w:type="dxa"/>
            <w:vAlign w:val="center"/>
          </w:tcPr>
          <w:p w14:paraId="59CF182F">
            <w:pPr>
              <w:pStyle w:val="90"/>
              <w:spacing w:line="240" w:lineRule="auto"/>
              <w:ind w:firstLine="0" w:firstLineChars="0"/>
              <w:rPr>
                <w:rFonts w:hAnsi="Times New Roman"/>
                <w:sz w:val="24"/>
                <w:szCs w:val="24"/>
              </w:rPr>
            </w:pPr>
            <w:r>
              <w:rPr>
                <w:rFonts w:hint="eastAsia" w:hAnsi="Times New Roman"/>
                <w:sz w:val="24"/>
                <w:szCs w:val="24"/>
              </w:rPr>
              <w:t>信用保护工具（</w:t>
            </w:r>
            <w:r>
              <w:rPr>
                <w:rFonts w:hAnsi="Times New Roman"/>
                <w:sz w:val="24"/>
                <w:szCs w:val="24"/>
              </w:rPr>
              <w:t>CDS</w:t>
            </w:r>
            <w:r>
              <w:rPr>
                <w:rFonts w:hint="eastAsia" w:hAnsi="Times New Roman"/>
                <w:sz w:val="24"/>
                <w:szCs w:val="24"/>
              </w:rPr>
              <w:t>）</w:t>
            </w:r>
          </w:p>
        </w:tc>
        <w:tc>
          <w:tcPr>
            <w:tcW w:w="2268" w:type="dxa"/>
            <w:vAlign w:val="center"/>
          </w:tcPr>
          <w:p w14:paraId="3B69AC2F">
            <w:pPr>
              <w:pStyle w:val="90"/>
              <w:spacing w:line="240" w:lineRule="auto"/>
              <w:ind w:firstLine="480"/>
              <w:rPr>
                <w:rFonts w:hAnsi="Times New Roman"/>
                <w:sz w:val="24"/>
                <w:szCs w:val="24"/>
              </w:rPr>
            </w:pPr>
            <w:r>
              <w:rPr>
                <w:rFonts w:hAnsi="Times New Roman"/>
                <w:sz w:val="24"/>
                <w:szCs w:val="24"/>
              </w:rPr>
              <w:t>--</w:t>
            </w:r>
          </w:p>
        </w:tc>
        <w:tc>
          <w:tcPr>
            <w:tcW w:w="1843" w:type="dxa"/>
            <w:vAlign w:val="center"/>
          </w:tcPr>
          <w:p w14:paraId="21D5EA50">
            <w:pPr>
              <w:pStyle w:val="90"/>
              <w:spacing w:line="240" w:lineRule="auto"/>
              <w:ind w:firstLine="480"/>
              <w:rPr>
                <w:rFonts w:hAnsi="Times New Roman"/>
                <w:sz w:val="24"/>
                <w:szCs w:val="24"/>
              </w:rPr>
            </w:pPr>
            <w:r>
              <w:rPr>
                <w:rFonts w:hAnsi="Times New Roman"/>
                <w:sz w:val="24"/>
                <w:szCs w:val="24"/>
              </w:rPr>
              <w:t>--</w:t>
            </w:r>
          </w:p>
        </w:tc>
        <w:tc>
          <w:tcPr>
            <w:tcW w:w="1417" w:type="dxa"/>
            <w:vAlign w:val="center"/>
          </w:tcPr>
          <w:p w14:paraId="1E183C30">
            <w:pPr>
              <w:pStyle w:val="90"/>
              <w:spacing w:line="240" w:lineRule="auto"/>
              <w:ind w:firstLine="480"/>
              <w:rPr>
                <w:rFonts w:hAnsi="Times New Roman"/>
                <w:sz w:val="24"/>
                <w:szCs w:val="24"/>
              </w:rPr>
            </w:pPr>
            <w:r>
              <w:rPr>
                <w:rFonts w:hAnsi="Times New Roman"/>
                <w:sz w:val="24"/>
                <w:szCs w:val="24"/>
              </w:rPr>
              <w:t>--</w:t>
            </w:r>
          </w:p>
        </w:tc>
        <w:tc>
          <w:tcPr>
            <w:tcW w:w="2127" w:type="dxa"/>
            <w:vAlign w:val="center"/>
          </w:tcPr>
          <w:p w14:paraId="62DAAF8C">
            <w:pPr>
              <w:pStyle w:val="90"/>
              <w:spacing w:line="240" w:lineRule="auto"/>
              <w:ind w:firstLine="0" w:firstLineChars="0"/>
              <w:rPr>
                <w:rFonts w:hAnsi="Times New Roman"/>
                <w:sz w:val="24"/>
                <w:szCs w:val="24"/>
              </w:rPr>
            </w:pPr>
            <w:r>
              <w:rPr>
                <w:rFonts w:hint="eastAsia" w:hAnsi="Times New Roman"/>
                <w:sz w:val="24"/>
                <w:szCs w:val="24"/>
              </w:rPr>
              <w:t>名义本金不低于</w:t>
            </w:r>
            <w:r>
              <w:rPr>
                <w:rFonts w:hAnsi="Times New Roman"/>
                <w:sz w:val="24"/>
                <w:szCs w:val="24"/>
              </w:rPr>
              <w:t>50</w:t>
            </w:r>
            <w:r>
              <w:rPr>
                <w:rFonts w:hint="eastAsia" w:hAnsi="Times New Roman"/>
                <w:sz w:val="24"/>
                <w:szCs w:val="24"/>
              </w:rPr>
              <w:t>万元，且为</w:t>
            </w:r>
            <w:r>
              <w:rPr>
                <w:rFonts w:hAnsi="Times New Roman"/>
                <w:sz w:val="24"/>
                <w:szCs w:val="24"/>
              </w:rPr>
              <w:t>1000</w:t>
            </w:r>
            <w:r>
              <w:rPr>
                <w:rFonts w:hint="eastAsia" w:hAnsi="Times New Roman"/>
                <w:sz w:val="24"/>
                <w:szCs w:val="24"/>
              </w:rPr>
              <w:t>元的整数倍</w:t>
            </w:r>
          </w:p>
        </w:tc>
        <w:tc>
          <w:tcPr>
            <w:tcW w:w="1275" w:type="dxa"/>
            <w:vAlign w:val="center"/>
          </w:tcPr>
          <w:p w14:paraId="6CC64313">
            <w:pPr>
              <w:pStyle w:val="90"/>
              <w:spacing w:line="240" w:lineRule="auto"/>
              <w:ind w:firstLine="480"/>
              <w:rPr>
                <w:rFonts w:hAnsi="Times New Roman"/>
                <w:sz w:val="24"/>
                <w:szCs w:val="24"/>
              </w:rPr>
            </w:pPr>
            <w:r>
              <w:rPr>
                <w:rFonts w:hAnsi="Times New Roman"/>
                <w:sz w:val="24"/>
                <w:szCs w:val="24"/>
              </w:rPr>
              <w:t>--</w:t>
            </w:r>
          </w:p>
        </w:tc>
      </w:tr>
    </w:tbl>
    <w:p w14:paraId="3DFBF908">
      <w:pPr>
        <w:pStyle w:val="90"/>
        <w:spacing w:line="600" w:lineRule="exact"/>
        <w:ind w:firstLine="600"/>
        <w:rPr>
          <w:rFonts w:hAnsi="Times New Roman"/>
          <w:sz w:val="30"/>
          <w:szCs w:val="30"/>
        </w:rPr>
      </w:pPr>
      <w:bookmarkStart w:id="403" w:name="_Toc57908887"/>
      <w:bookmarkStart w:id="404" w:name="_Toc57908888"/>
      <w:bookmarkStart w:id="405" w:name="_Toc56166267"/>
      <w:bookmarkStart w:id="406" w:name="_Toc56166078"/>
      <w:r>
        <w:rPr>
          <w:rFonts w:hint="eastAsia" w:hAnsi="Times New Roman"/>
          <w:sz w:val="30"/>
          <w:szCs w:val="30"/>
        </w:rPr>
        <w:t>（</w:t>
      </w:r>
      <w:r>
        <w:rPr>
          <w:rFonts w:hAnsi="Times New Roman"/>
          <w:sz w:val="30"/>
          <w:szCs w:val="30"/>
        </w:rPr>
        <w:t>2</w:t>
      </w:r>
      <w:r>
        <w:rPr>
          <w:rFonts w:hint="eastAsia" w:hAnsi="Times New Roman"/>
          <w:sz w:val="30"/>
          <w:szCs w:val="30"/>
        </w:rPr>
        <w:t>）单笔申报最大数量</w:t>
      </w:r>
      <w:bookmarkEnd w:id="403"/>
    </w:p>
    <w:p w14:paraId="6419BACB">
      <w:pPr>
        <w:pStyle w:val="90"/>
        <w:spacing w:line="600" w:lineRule="exact"/>
        <w:ind w:firstLine="600"/>
        <w:rPr>
          <w:rFonts w:hAnsi="Times New Roman"/>
          <w:sz w:val="30"/>
          <w:szCs w:val="30"/>
        </w:rPr>
      </w:pPr>
      <w:r>
        <w:rPr>
          <w:rFonts w:hint="eastAsia" w:hAnsi="Times New Roman"/>
          <w:sz w:val="30"/>
          <w:szCs w:val="30"/>
        </w:rPr>
        <w:tab/>
      </w:r>
      <w:r>
        <w:rPr>
          <w:rFonts w:hint="eastAsia" w:hAnsi="Times New Roman"/>
          <w:sz w:val="30"/>
          <w:szCs w:val="30"/>
        </w:rPr>
        <w:t>债券现券交易与通用回购单笔申报最大数量不超过1</w:t>
      </w:r>
      <w:r>
        <w:rPr>
          <w:rFonts w:hAnsi="Times New Roman"/>
          <w:sz w:val="30"/>
          <w:szCs w:val="30"/>
        </w:rPr>
        <w:t>00</w:t>
      </w:r>
      <w:r>
        <w:rPr>
          <w:rFonts w:hint="eastAsia" w:hAnsi="Times New Roman"/>
          <w:sz w:val="30"/>
          <w:szCs w:val="30"/>
        </w:rPr>
        <w:t>亿元面额；国债预发行交易单笔申报最大数量不超过10亿元面额。</w:t>
      </w:r>
    </w:p>
    <w:p w14:paraId="70D01DE7">
      <w:pPr>
        <w:numPr>
          <w:ilvl w:val="2"/>
          <w:numId w:val="4"/>
        </w:numPr>
        <w:spacing w:line="600" w:lineRule="exact"/>
        <w:ind w:left="0" w:firstLine="0"/>
        <w:outlineLvl w:val="2"/>
        <w:rPr>
          <w:rFonts w:ascii="仿宋_GB2312" w:eastAsia="仿宋_GB2312"/>
          <w:b/>
          <w:sz w:val="30"/>
          <w:szCs w:val="30"/>
        </w:rPr>
      </w:pPr>
      <w:r>
        <w:rPr>
          <w:rFonts w:ascii="仿宋_GB2312" w:eastAsia="仿宋_GB2312"/>
          <w:b/>
          <w:sz w:val="30"/>
          <w:szCs w:val="30"/>
        </w:rPr>
        <w:t>申报价格最小变动单位及价格限制</w:t>
      </w:r>
      <w:bookmarkEnd w:id="404"/>
      <w:bookmarkEnd w:id="405"/>
      <w:bookmarkEnd w:id="406"/>
    </w:p>
    <w:p w14:paraId="435A0D0B">
      <w:pPr>
        <w:pStyle w:val="90"/>
        <w:spacing w:line="600" w:lineRule="exact"/>
        <w:ind w:firstLine="600"/>
        <w:rPr>
          <w:rFonts w:hAnsi="Times New Roman"/>
          <w:sz w:val="30"/>
          <w:szCs w:val="30"/>
        </w:rPr>
      </w:pPr>
      <w:r>
        <w:rPr>
          <w:rFonts w:hint="eastAsia" w:hAnsi="Times New Roman"/>
          <w:sz w:val="30"/>
          <w:szCs w:val="30"/>
        </w:rPr>
        <w:t>债券现券交易申报的价格单位为“每百元面额债券的价格”，通用回购的价格单位为“每百元资金到期年收益”。本所另有规定的除外。</w:t>
      </w:r>
    </w:p>
    <w:p w14:paraId="2A75ACEB">
      <w:pPr>
        <w:pStyle w:val="90"/>
        <w:spacing w:line="600" w:lineRule="exact"/>
        <w:ind w:firstLine="600"/>
        <w:rPr>
          <w:rFonts w:hAnsi="Times New Roman"/>
          <w:sz w:val="30"/>
          <w:szCs w:val="30"/>
        </w:rPr>
      </w:pPr>
      <w:r>
        <w:rPr>
          <w:rFonts w:hint="eastAsia" w:hAnsi="Times New Roman"/>
          <w:sz w:val="30"/>
          <w:szCs w:val="30"/>
        </w:rPr>
        <w:t>债券交易设置申报价格最小变动单位及价格限制。</w:t>
      </w:r>
    </w:p>
    <w:p w14:paraId="6234B62F">
      <w:pPr>
        <w:spacing w:line="600" w:lineRule="exact"/>
        <w:ind w:left="567"/>
        <w:outlineLvl w:val="3"/>
        <w:rPr>
          <w:rFonts w:ascii="仿宋_GB2312" w:eastAsia="仿宋_GB2312"/>
          <w:b/>
          <w:sz w:val="30"/>
          <w:szCs w:val="30"/>
        </w:rPr>
      </w:pPr>
      <w:r>
        <w:rPr>
          <w:rFonts w:hint="eastAsia" w:ascii="仿宋_GB2312" w:eastAsia="仿宋_GB2312"/>
          <w:b/>
          <w:sz w:val="30"/>
          <w:szCs w:val="30"/>
        </w:rPr>
        <w:t>（1）价格最小变动单位</w:t>
      </w:r>
    </w:p>
    <w:p w14:paraId="0DB98F56">
      <w:pPr>
        <w:pStyle w:val="90"/>
        <w:spacing w:line="600" w:lineRule="exact"/>
        <w:ind w:firstLine="600"/>
        <w:rPr>
          <w:rFonts w:hAnsi="Times New Roman"/>
          <w:sz w:val="30"/>
          <w:szCs w:val="30"/>
        </w:rPr>
      </w:pPr>
      <w:r>
        <w:rPr>
          <w:rFonts w:hint="eastAsia" w:hAnsi="Times New Roman"/>
          <w:sz w:val="30"/>
          <w:szCs w:val="30"/>
        </w:rPr>
        <w:t>采用匹配成交方式的，债券现券的申报价格最小变动单位为0.0</w:t>
      </w:r>
      <w:r>
        <w:rPr>
          <w:rFonts w:hAnsi="Times New Roman"/>
          <w:sz w:val="30"/>
          <w:szCs w:val="30"/>
        </w:rPr>
        <w:t>0</w:t>
      </w:r>
      <w:r>
        <w:rPr>
          <w:rFonts w:hint="eastAsia" w:hAnsi="Times New Roman"/>
          <w:sz w:val="30"/>
          <w:szCs w:val="30"/>
        </w:rPr>
        <w:t>1元，通用回购的申报价格最小变动单位为0.005元；采用其他交易方式的，债券交易的申报价格最小变动单位为0.001元（《债券交易规则》关于申报价格最小变动单位为</w:t>
      </w:r>
      <w:r>
        <w:rPr>
          <w:rFonts w:hAnsi="Times New Roman"/>
          <w:sz w:val="30"/>
          <w:szCs w:val="30"/>
        </w:rPr>
        <w:t>0.0001</w:t>
      </w:r>
      <w:r>
        <w:rPr>
          <w:rFonts w:hint="eastAsia" w:hAnsi="Times New Roman"/>
          <w:sz w:val="30"/>
          <w:szCs w:val="30"/>
        </w:rPr>
        <w:t>元的规定暂缓施行）。本所另有规定的除外。本所可以根据市场发展需要，调整申报价格最小变动单位。</w:t>
      </w:r>
    </w:p>
    <w:tbl>
      <w:tblPr>
        <w:tblStyle w:val="43"/>
        <w:tblW w:w="9639"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3"/>
        <w:gridCol w:w="1758"/>
        <w:gridCol w:w="1360"/>
        <w:gridCol w:w="1276"/>
        <w:gridCol w:w="1276"/>
        <w:gridCol w:w="1701"/>
        <w:gridCol w:w="1275"/>
      </w:tblGrid>
      <w:tr w14:paraId="74B17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14:paraId="47F6F24E">
            <w:pPr>
              <w:pStyle w:val="90"/>
              <w:spacing w:line="240" w:lineRule="auto"/>
              <w:ind w:firstLine="0" w:firstLineChars="0"/>
              <w:rPr>
                <w:rFonts w:hAnsi="Times New Roman"/>
                <w:b/>
                <w:sz w:val="24"/>
                <w:szCs w:val="24"/>
              </w:rPr>
            </w:pPr>
            <w:r>
              <w:rPr>
                <w:rFonts w:hint="eastAsia" w:hAnsi="Times New Roman"/>
                <w:b/>
                <w:sz w:val="24"/>
                <w:szCs w:val="24"/>
              </w:rPr>
              <w:t>子市场</w:t>
            </w:r>
          </w:p>
        </w:tc>
        <w:tc>
          <w:tcPr>
            <w:tcW w:w="1758" w:type="dxa"/>
            <w:vAlign w:val="center"/>
          </w:tcPr>
          <w:p w14:paraId="0B5D4EA0">
            <w:pPr>
              <w:pStyle w:val="90"/>
              <w:spacing w:line="240" w:lineRule="auto"/>
              <w:ind w:firstLine="0" w:firstLineChars="0"/>
              <w:rPr>
                <w:rFonts w:hAnsi="Times New Roman"/>
                <w:b/>
                <w:sz w:val="24"/>
                <w:szCs w:val="24"/>
              </w:rPr>
            </w:pPr>
            <w:r>
              <w:rPr>
                <w:rFonts w:hint="eastAsia" w:hAnsi="Times New Roman"/>
                <w:b/>
                <w:sz w:val="24"/>
                <w:szCs w:val="24"/>
              </w:rPr>
              <w:t>产品类型</w:t>
            </w:r>
          </w:p>
        </w:tc>
        <w:tc>
          <w:tcPr>
            <w:tcW w:w="1360" w:type="dxa"/>
            <w:vAlign w:val="center"/>
          </w:tcPr>
          <w:p w14:paraId="3D2C6580">
            <w:pPr>
              <w:pStyle w:val="90"/>
              <w:spacing w:line="240" w:lineRule="auto"/>
              <w:ind w:firstLine="0" w:firstLineChars="0"/>
              <w:rPr>
                <w:rFonts w:hAnsi="Times New Roman"/>
                <w:b/>
                <w:sz w:val="24"/>
                <w:szCs w:val="24"/>
              </w:rPr>
            </w:pPr>
            <w:r>
              <w:rPr>
                <w:rFonts w:hint="eastAsia" w:hAnsi="Times New Roman"/>
                <w:b/>
                <w:sz w:val="24"/>
                <w:szCs w:val="24"/>
              </w:rPr>
              <w:t>匹配成交</w:t>
            </w:r>
          </w:p>
        </w:tc>
        <w:tc>
          <w:tcPr>
            <w:tcW w:w="1276" w:type="dxa"/>
            <w:vAlign w:val="center"/>
          </w:tcPr>
          <w:p w14:paraId="543B9EB9">
            <w:pPr>
              <w:pStyle w:val="90"/>
              <w:spacing w:line="240" w:lineRule="auto"/>
              <w:ind w:firstLine="0" w:firstLineChars="0"/>
              <w:rPr>
                <w:rFonts w:hAnsi="Times New Roman"/>
                <w:b/>
                <w:sz w:val="24"/>
                <w:szCs w:val="24"/>
              </w:rPr>
            </w:pPr>
            <w:r>
              <w:rPr>
                <w:rFonts w:hint="eastAsia" w:hAnsi="Times New Roman"/>
                <w:b/>
                <w:sz w:val="24"/>
                <w:szCs w:val="24"/>
              </w:rPr>
              <w:t>点击成交</w:t>
            </w:r>
          </w:p>
        </w:tc>
        <w:tc>
          <w:tcPr>
            <w:tcW w:w="1276" w:type="dxa"/>
            <w:vAlign w:val="center"/>
          </w:tcPr>
          <w:p w14:paraId="3FF648B3">
            <w:pPr>
              <w:pStyle w:val="90"/>
              <w:spacing w:line="240" w:lineRule="auto"/>
              <w:ind w:firstLine="0" w:firstLineChars="0"/>
              <w:rPr>
                <w:rFonts w:hAnsi="Times New Roman"/>
                <w:b/>
                <w:sz w:val="24"/>
                <w:szCs w:val="24"/>
              </w:rPr>
            </w:pPr>
            <w:r>
              <w:rPr>
                <w:rFonts w:hint="eastAsia" w:hAnsi="Times New Roman"/>
                <w:b/>
                <w:sz w:val="24"/>
                <w:szCs w:val="24"/>
              </w:rPr>
              <w:t>询价成交</w:t>
            </w:r>
          </w:p>
        </w:tc>
        <w:tc>
          <w:tcPr>
            <w:tcW w:w="1701" w:type="dxa"/>
            <w:vAlign w:val="center"/>
          </w:tcPr>
          <w:p w14:paraId="186A7472">
            <w:pPr>
              <w:pStyle w:val="90"/>
              <w:spacing w:line="240" w:lineRule="auto"/>
              <w:ind w:firstLine="0" w:firstLineChars="0"/>
              <w:rPr>
                <w:rFonts w:hAnsi="Times New Roman"/>
                <w:b/>
                <w:sz w:val="24"/>
                <w:szCs w:val="24"/>
              </w:rPr>
            </w:pPr>
            <w:r>
              <w:rPr>
                <w:rFonts w:hint="eastAsia" w:hAnsi="Times New Roman"/>
                <w:b/>
                <w:sz w:val="24"/>
                <w:szCs w:val="24"/>
              </w:rPr>
              <w:t>协商成交</w:t>
            </w:r>
          </w:p>
        </w:tc>
        <w:tc>
          <w:tcPr>
            <w:tcW w:w="1275" w:type="dxa"/>
            <w:vAlign w:val="center"/>
          </w:tcPr>
          <w:p w14:paraId="7F25C70A">
            <w:pPr>
              <w:pStyle w:val="90"/>
              <w:spacing w:line="240" w:lineRule="auto"/>
              <w:ind w:firstLine="0" w:firstLineChars="0"/>
              <w:rPr>
                <w:rFonts w:hAnsi="Times New Roman"/>
                <w:b/>
                <w:sz w:val="24"/>
                <w:szCs w:val="24"/>
              </w:rPr>
            </w:pPr>
            <w:r>
              <w:rPr>
                <w:rFonts w:hint="eastAsia" w:hAnsi="Times New Roman"/>
                <w:b/>
                <w:sz w:val="24"/>
                <w:szCs w:val="24"/>
              </w:rPr>
              <w:t>竞买成交</w:t>
            </w:r>
          </w:p>
        </w:tc>
      </w:tr>
      <w:tr w14:paraId="4C92D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Merge w:val="restart"/>
            <w:vAlign w:val="center"/>
          </w:tcPr>
          <w:p w14:paraId="23020CF3">
            <w:pPr>
              <w:pStyle w:val="90"/>
              <w:spacing w:line="240" w:lineRule="auto"/>
              <w:ind w:firstLine="0" w:firstLineChars="0"/>
              <w:rPr>
                <w:rFonts w:hAnsi="Times New Roman"/>
                <w:sz w:val="24"/>
                <w:szCs w:val="24"/>
              </w:rPr>
            </w:pPr>
            <w:r>
              <w:rPr>
                <w:rFonts w:hint="eastAsia" w:hAnsi="Times New Roman"/>
                <w:sz w:val="24"/>
                <w:szCs w:val="24"/>
              </w:rPr>
              <w:t>现券</w:t>
            </w:r>
          </w:p>
        </w:tc>
        <w:tc>
          <w:tcPr>
            <w:tcW w:w="1758" w:type="dxa"/>
            <w:vAlign w:val="center"/>
          </w:tcPr>
          <w:p w14:paraId="199A58C9">
            <w:pPr>
              <w:pStyle w:val="90"/>
              <w:spacing w:line="240" w:lineRule="auto"/>
              <w:ind w:firstLine="0" w:firstLineChars="0"/>
              <w:rPr>
                <w:rFonts w:hAnsi="Times New Roman"/>
                <w:sz w:val="24"/>
                <w:szCs w:val="24"/>
              </w:rPr>
            </w:pPr>
            <w:r>
              <w:rPr>
                <w:rFonts w:hint="eastAsia" w:hAnsi="Times New Roman"/>
                <w:sz w:val="24"/>
                <w:szCs w:val="24"/>
              </w:rPr>
              <w:t>国债</w:t>
            </w:r>
          </w:p>
        </w:tc>
        <w:tc>
          <w:tcPr>
            <w:tcW w:w="1360" w:type="dxa"/>
            <w:vMerge w:val="restart"/>
            <w:vAlign w:val="center"/>
          </w:tcPr>
          <w:p w14:paraId="702182C4">
            <w:pPr>
              <w:pStyle w:val="90"/>
              <w:spacing w:line="240" w:lineRule="auto"/>
              <w:ind w:firstLine="0" w:firstLineChars="0"/>
              <w:rPr>
                <w:rFonts w:hAnsi="Times New Roman"/>
                <w:sz w:val="24"/>
                <w:szCs w:val="24"/>
              </w:rPr>
            </w:pPr>
            <w:r>
              <w:rPr>
                <w:rFonts w:hint="eastAsia" w:hAnsi="Times New Roman"/>
                <w:sz w:val="24"/>
                <w:szCs w:val="24"/>
              </w:rPr>
              <w:t>申报价格最小变动单位为</w:t>
            </w:r>
            <w:r>
              <w:rPr>
                <w:rFonts w:hAnsi="Times New Roman"/>
                <w:sz w:val="24"/>
                <w:szCs w:val="24"/>
              </w:rPr>
              <w:t>0.001</w:t>
            </w:r>
            <w:r>
              <w:rPr>
                <w:rFonts w:hint="eastAsia" w:hAnsi="Times New Roman"/>
                <w:sz w:val="24"/>
                <w:szCs w:val="24"/>
              </w:rPr>
              <w:t>元</w:t>
            </w:r>
          </w:p>
        </w:tc>
        <w:tc>
          <w:tcPr>
            <w:tcW w:w="5528" w:type="dxa"/>
            <w:gridSpan w:val="4"/>
            <w:vMerge w:val="restart"/>
            <w:vAlign w:val="center"/>
          </w:tcPr>
          <w:p w14:paraId="384ECF18">
            <w:pPr>
              <w:pStyle w:val="90"/>
              <w:spacing w:line="240" w:lineRule="auto"/>
              <w:ind w:firstLine="480"/>
              <w:rPr>
                <w:rFonts w:hAnsi="Times New Roman"/>
                <w:sz w:val="24"/>
                <w:szCs w:val="24"/>
              </w:rPr>
            </w:pPr>
            <w:r>
              <w:rPr>
                <w:rFonts w:hint="eastAsia" w:hAnsi="Times New Roman"/>
                <w:sz w:val="24"/>
                <w:szCs w:val="24"/>
              </w:rPr>
              <w:t>申报价格最小变动单位为</w:t>
            </w:r>
            <w:r>
              <w:rPr>
                <w:rFonts w:hAnsi="Times New Roman"/>
                <w:sz w:val="24"/>
                <w:szCs w:val="24"/>
              </w:rPr>
              <w:t>0.001</w:t>
            </w:r>
            <w:r>
              <w:rPr>
                <w:rFonts w:hint="eastAsia" w:hAnsi="Times New Roman"/>
                <w:sz w:val="24"/>
                <w:szCs w:val="24"/>
              </w:rPr>
              <w:t>元</w:t>
            </w:r>
          </w:p>
        </w:tc>
      </w:tr>
      <w:tr w14:paraId="0F61D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Merge w:val="continue"/>
            <w:vAlign w:val="center"/>
          </w:tcPr>
          <w:p w14:paraId="5864D4E7">
            <w:pPr>
              <w:pStyle w:val="90"/>
              <w:spacing w:line="240" w:lineRule="auto"/>
              <w:ind w:firstLine="480"/>
              <w:rPr>
                <w:rFonts w:hAnsi="Times New Roman"/>
                <w:sz w:val="24"/>
                <w:szCs w:val="24"/>
              </w:rPr>
            </w:pPr>
          </w:p>
        </w:tc>
        <w:tc>
          <w:tcPr>
            <w:tcW w:w="1758" w:type="dxa"/>
            <w:vAlign w:val="center"/>
          </w:tcPr>
          <w:p w14:paraId="076268BA">
            <w:pPr>
              <w:pStyle w:val="90"/>
              <w:spacing w:line="240" w:lineRule="auto"/>
              <w:ind w:firstLine="0" w:firstLineChars="0"/>
              <w:rPr>
                <w:rFonts w:hAnsi="Times New Roman"/>
                <w:sz w:val="24"/>
                <w:szCs w:val="24"/>
              </w:rPr>
            </w:pPr>
            <w:r>
              <w:rPr>
                <w:rFonts w:hint="eastAsia" w:hAnsi="Times New Roman"/>
                <w:sz w:val="24"/>
                <w:szCs w:val="24"/>
              </w:rPr>
              <w:t>地方债</w:t>
            </w:r>
          </w:p>
        </w:tc>
        <w:tc>
          <w:tcPr>
            <w:tcW w:w="1360" w:type="dxa"/>
            <w:vMerge w:val="continue"/>
            <w:vAlign w:val="center"/>
          </w:tcPr>
          <w:p w14:paraId="306522CB">
            <w:pPr>
              <w:pStyle w:val="90"/>
              <w:spacing w:line="240" w:lineRule="auto"/>
              <w:ind w:firstLine="480"/>
              <w:rPr>
                <w:rFonts w:hAnsi="Times New Roman"/>
                <w:sz w:val="24"/>
                <w:szCs w:val="24"/>
              </w:rPr>
            </w:pPr>
          </w:p>
        </w:tc>
        <w:tc>
          <w:tcPr>
            <w:tcW w:w="5528" w:type="dxa"/>
            <w:gridSpan w:val="4"/>
            <w:vMerge w:val="continue"/>
            <w:vAlign w:val="center"/>
          </w:tcPr>
          <w:p w14:paraId="7CC19B3B">
            <w:pPr>
              <w:pStyle w:val="90"/>
              <w:spacing w:line="240" w:lineRule="auto"/>
              <w:ind w:firstLine="480"/>
              <w:rPr>
                <w:rFonts w:hAnsi="Times New Roman"/>
                <w:sz w:val="24"/>
                <w:szCs w:val="24"/>
              </w:rPr>
            </w:pPr>
          </w:p>
        </w:tc>
      </w:tr>
      <w:tr w14:paraId="28F6C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93" w:type="dxa"/>
            <w:vMerge w:val="continue"/>
            <w:vAlign w:val="center"/>
          </w:tcPr>
          <w:p w14:paraId="1B68F8A1">
            <w:pPr>
              <w:pStyle w:val="90"/>
              <w:spacing w:line="240" w:lineRule="auto"/>
              <w:ind w:firstLine="480"/>
              <w:rPr>
                <w:rFonts w:hAnsi="Times New Roman"/>
                <w:sz w:val="24"/>
                <w:szCs w:val="24"/>
              </w:rPr>
            </w:pPr>
          </w:p>
        </w:tc>
        <w:tc>
          <w:tcPr>
            <w:tcW w:w="1758" w:type="dxa"/>
            <w:vAlign w:val="center"/>
          </w:tcPr>
          <w:p w14:paraId="7F23900F">
            <w:pPr>
              <w:pStyle w:val="90"/>
              <w:spacing w:line="240" w:lineRule="auto"/>
              <w:ind w:firstLine="0" w:firstLineChars="0"/>
              <w:rPr>
                <w:rFonts w:hAnsi="Times New Roman"/>
                <w:sz w:val="24"/>
                <w:szCs w:val="24"/>
              </w:rPr>
            </w:pPr>
            <w:r>
              <w:rPr>
                <w:rFonts w:hint="eastAsia" w:hAnsi="Times New Roman"/>
                <w:sz w:val="24"/>
                <w:szCs w:val="24"/>
              </w:rPr>
              <w:t>政策性金融债</w:t>
            </w:r>
          </w:p>
        </w:tc>
        <w:tc>
          <w:tcPr>
            <w:tcW w:w="1360" w:type="dxa"/>
            <w:vMerge w:val="continue"/>
            <w:vAlign w:val="center"/>
          </w:tcPr>
          <w:p w14:paraId="2C3A9881">
            <w:pPr>
              <w:pStyle w:val="90"/>
              <w:spacing w:line="240" w:lineRule="auto"/>
              <w:ind w:firstLine="480"/>
              <w:rPr>
                <w:rFonts w:hAnsi="Times New Roman"/>
                <w:sz w:val="24"/>
                <w:szCs w:val="24"/>
              </w:rPr>
            </w:pPr>
          </w:p>
        </w:tc>
        <w:tc>
          <w:tcPr>
            <w:tcW w:w="5528" w:type="dxa"/>
            <w:gridSpan w:val="4"/>
            <w:vMerge w:val="continue"/>
            <w:vAlign w:val="center"/>
          </w:tcPr>
          <w:p w14:paraId="0CDF2156">
            <w:pPr>
              <w:pStyle w:val="90"/>
              <w:spacing w:line="240" w:lineRule="auto"/>
              <w:ind w:firstLine="480"/>
              <w:rPr>
                <w:rFonts w:hAnsi="Times New Roman"/>
                <w:sz w:val="24"/>
                <w:szCs w:val="24"/>
              </w:rPr>
            </w:pPr>
          </w:p>
        </w:tc>
      </w:tr>
      <w:tr w14:paraId="05597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Merge w:val="continue"/>
            <w:vAlign w:val="center"/>
          </w:tcPr>
          <w:p w14:paraId="19EE48D3">
            <w:pPr>
              <w:pStyle w:val="90"/>
              <w:spacing w:line="240" w:lineRule="auto"/>
              <w:ind w:firstLine="480"/>
              <w:rPr>
                <w:rFonts w:hAnsi="Times New Roman"/>
                <w:sz w:val="24"/>
                <w:szCs w:val="24"/>
              </w:rPr>
            </w:pPr>
          </w:p>
        </w:tc>
        <w:tc>
          <w:tcPr>
            <w:tcW w:w="1758" w:type="dxa"/>
            <w:vAlign w:val="center"/>
          </w:tcPr>
          <w:p w14:paraId="77123923">
            <w:pPr>
              <w:pStyle w:val="90"/>
              <w:spacing w:line="240" w:lineRule="auto"/>
              <w:ind w:firstLine="0" w:firstLineChars="0"/>
              <w:rPr>
                <w:rFonts w:hAnsi="Times New Roman"/>
                <w:sz w:val="24"/>
                <w:szCs w:val="24"/>
              </w:rPr>
            </w:pPr>
            <w:r>
              <w:rPr>
                <w:rFonts w:hint="eastAsia" w:hAnsi="Times New Roman"/>
                <w:sz w:val="24"/>
                <w:szCs w:val="24"/>
              </w:rPr>
              <w:t>政府支持债券</w:t>
            </w:r>
          </w:p>
        </w:tc>
        <w:tc>
          <w:tcPr>
            <w:tcW w:w="1360" w:type="dxa"/>
            <w:vMerge w:val="continue"/>
            <w:vAlign w:val="center"/>
          </w:tcPr>
          <w:p w14:paraId="621F2691">
            <w:pPr>
              <w:pStyle w:val="90"/>
              <w:spacing w:line="240" w:lineRule="auto"/>
              <w:ind w:firstLine="480"/>
              <w:rPr>
                <w:rFonts w:hAnsi="Times New Roman"/>
                <w:sz w:val="24"/>
                <w:szCs w:val="24"/>
              </w:rPr>
            </w:pPr>
          </w:p>
        </w:tc>
        <w:tc>
          <w:tcPr>
            <w:tcW w:w="5528" w:type="dxa"/>
            <w:gridSpan w:val="4"/>
            <w:vMerge w:val="continue"/>
            <w:vAlign w:val="center"/>
          </w:tcPr>
          <w:p w14:paraId="0249CC48">
            <w:pPr>
              <w:pStyle w:val="90"/>
              <w:spacing w:line="240" w:lineRule="auto"/>
              <w:ind w:firstLine="480"/>
              <w:rPr>
                <w:rFonts w:hAnsi="Times New Roman"/>
                <w:sz w:val="24"/>
                <w:szCs w:val="24"/>
              </w:rPr>
            </w:pPr>
          </w:p>
        </w:tc>
      </w:tr>
      <w:tr w14:paraId="276EE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Merge w:val="continue"/>
            <w:vAlign w:val="center"/>
          </w:tcPr>
          <w:p w14:paraId="657D69A7">
            <w:pPr>
              <w:pStyle w:val="90"/>
              <w:spacing w:line="240" w:lineRule="auto"/>
              <w:ind w:firstLine="480"/>
              <w:rPr>
                <w:rFonts w:hAnsi="Times New Roman"/>
                <w:sz w:val="24"/>
                <w:szCs w:val="24"/>
              </w:rPr>
            </w:pPr>
          </w:p>
        </w:tc>
        <w:tc>
          <w:tcPr>
            <w:tcW w:w="1758" w:type="dxa"/>
            <w:vAlign w:val="center"/>
          </w:tcPr>
          <w:p w14:paraId="71312414">
            <w:pPr>
              <w:pStyle w:val="90"/>
              <w:spacing w:line="240" w:lineRule="auto"/>
              <w:ind w:firstLine="0" w:firstLineChars="0"/>
              <w:rPr>
                <w:rFonts w:hAnsi="Times New Roman"/>
                <w:sz w:val="24"/>
                <w:szCs w:val="24"/>
              </w:rPr>
            </w:pPr>
            <w:r>
              <w:rPr>
                <w:rFonts w:hint="eastAsia" w:hAnsi="Times New Roman"/>
                <w:sz w:val="24"/>
                <w:szCs w:val="24"/>
              </w:rPr>
              <w:t>公司债</w:t>
            </w:r>
          </w:p>
        </w:tc>
        <w:tc>
          <w:tcPr>
            <w:tcW w:w="1360" w:type="dxa"/>
            <w:vMerge w:val="continue"/>
            <w:vAlign w:val="center"/>
          </w:tcPr>
          <w:p w14:paraId="70CBCCFC">
            <w:pPr>
              <w:pStyle w:val="90"/>
              <w:spacing w:line="240" w:lineRule="auto"/>
              <w:ind w:firstLine="480"/>
              <w:rPr>
                <w:rFonts w:hAnsi="Times New Roman"/>
                <w:sz w:val="24"/>
                <w:szCs w:val="24"/>
              </w:rPr>
            </w:pPr>
          </w:p>
        </w:tc>
        <w:tc>
          <w:tcPr>
            <w:tcW w:w="5528" w:type="dxa"/>
            <w:gridSpan w:val="4"/>
            <w:vMerge w:val="continue"/>
            <w:vAlign w:val="center"/>
          </w:tcPr>
          <w:p w14:paraId="7C44D26D">
            <w:pPr>
              <w:pStyle w:val="90"/>
              <w:spacing w:line="240" w:lineRule="auto"/>
              <w:ind w:firstLine="480"/>
              <w:rPr>
                <w:rFonts w:hAnsi="Times New Roman"/>
                <w:sz w:val="24"/>
                <w:szCs w:val="24"/>
              </w:rPr>
            </w:pPr>
          </w:p>
        </w:tc>
      </w:tr>
      <w:tr w14:paraId="6175B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Merge w:val="continue"/>
            <w:vAlign w:val="center"/>
          </w:tcPr>
          <w:p w14:paraId="6226AD59">
            <w:pPr>
              <w:pStyle w:val="90"/>
              <w:spacing w:line="240" w:lineRule="auto"/>
              <w:ind w:firstLine="480"/>
              <w:rPr>
                <w:rFonts w:hAnsi="Times New Roman"/>
                <w:sz w:val="24"/>
                <w:szCs w:val="24"/>
              </w:rPr>
            </w:pPr>
          </w:p>
        </w:tc>
        <w:tc>
          <w:tcPr>
            <w:tcW w:w="1758" w:type="dxa"/>
            <w:vAlign w:val="center"/>
          </w:tcPr>
          <w:p w14:paraId="20B7E4DD">
            <w:pPr>
              <w:pStyle w:val="90"/>
              <w:spacing w:line="240" w:lineRule="auto"/>
              <w:ind w:firstLine="0" w:firstLineChars="0"/>
              <w:rPr>
                <w:rFonts w:hAnsi="Times New Roman"/>
                <w:sz w:val="24"/>
                <w:szCs w:val="24"/>
              </w:rPr>
            </w:pPr>
            <w:r>
              <w:rPr>
                <w:rFonts w:hAnsi="Times New Roman"/>
                <w:sz w:val="24"/>
                <w:szCs w:val="24"/>
              </w:rPr>
              <w:t>ABS</w:t>
            </w:r>
          </w:p>
        </w:tc>
        <w:tc>
          <w:tcPr>
            <w:tcW w:w="1360" w:type="dxa"/>
            <w:vAlign w:val="center"/>
          </w:tcPr>
          <w:p w14:paraId="666D0F16">
            <w:pPr>
              <w:pStyle w:val="90"/>
              <w:spacing w:line="240" w:lineRule="auto"/>
              <w:ind w:firstLine="480"/>
              <w:rPr>
                <w:rFonts w:hAnsi="Times New Roman"/>
                <w:sz w:val="24"/>
                <w:szCs w:val="24"/>
              </w:rPr>
            </w:pPr>
            <w:r>
              <w:rPr>
                <w:rFonts w:hAnsi="Times New Roman"/>
                <w:sz w:val="24"/>
                <w:szCs w:val="24"/>
              </w:rPr>
              <w:t>--</w:t>
            </w:r>
          </w:p>
        </w:tc>
        <w:tc>
          <w:tcPr>
            <w:tcW w:w="5528" w:type="dxa"/>
            <w:gridSpan w:val="4"/>
            <w:vMerge w:val="continue"/>
            <w:vAlign w:val="center"/>
          </w:tcPr>
          <w:p w14:paraId="23E8D76A">
            <w:pPr>
              <w:pStyle w:val="90"/>
              <w:spacing w:line="240" w:lineRule="auto"/>
              <w:ind w:firstLine="480"/>
              <w:rPr>
                <w:rFonts w:hAnsi="Times New Roman"/>
                <w:sz w:val="24"/>
                <w:szCs w:val="24"/>
              </w:rPr>
            </w:pPr>
          </w:p>
        </w:tc>
      </w:tr>
      <w:tr w14:paraId="19279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4" w:hRule="atLeast"/>
        </w:trPr>
        <w:tc>
          <w:tcPr>
            <w:tcW w:w="993" w:type="dxa"/>
            <w:vMerge w:val="restart"/>
            <w:vAlign w:val="center"/>
          </w:tcPr>
          <w:p w14:paraId="00452CAB">
            <w:pPr>
              <w:pStyle w:val="90"/>
              <w:spacing w:line="240" w:lineRule="auto"/>
              <w:ind w:firstLine="0" w:firstLineChars="0"/>
              <w:rPr>
                <w:rFonts w:hAnsi="Times New Roman"/>
                <w:sz w:val="24"/>
                <w:szCs w:val="24"/>
              </w:rPr>
            </w:pPr>
            <w:r>
              <w:rPr>
                <w:rFonts w:hint="eastAsia" w:hAnsi="Times New Roman"/>
                <w:sz w:val="24"/>
                <w:szCs w:val="24"/>
              </w:rPr>
              <w:t>回购</w:t>
            </w:r>
          </w:p>
        </w:tc>
        <w:tc>
          <w:tcPr>
            <w:tcW w:w="1758" w:type="dxa"/>
            <w:vAlign w:val="center"/>
          </w:tcPr>
          <w:p w14:paraId="04DDD97B">
            <w:pPr>
              <w:pStyle w:val="90"/>
              <w:spacing w:line="240" w:lineRule="auto"/>
              <w:ind w:firstLine="0" w:firstLineChars="0"/>
              <w:rPr>
                <w:rFonts w:hAnsi="Times New Roman"/>
                <w:sz w:val="24"/>
                <w:szCs w:val="24"/>
              </w:rPr>
            </w:pPr>
            <w:r>
              <w:rPr>
                <w:rFonts w:hint="eastAsia" w:hAnsi="Times New Roman"/>
                <w:sz w:val="24"/>
                <w:szCs w:val="24"/>
              </w:rPr>
              <w:t>通用回购</w:t>
            </w:r>
          </w:p>
        </w:tc>
        <w:tc>
          <w:tcPr>
            <w:tcW w:w="1360" w:type="dxa"/>
            <w:vAlign w:val="center"/>
          </w:tcPr>
          <w:p w14:paraId="2D0C08DC">
            <w:pPr>
              <w:pStyle w:val="90"/>
              <w:spacing w:line="240" w:lineRule="auto"/>
              <w:ind w:firstLine="0" w:firstLineChars="0"/>
              <w:rPr>
                <w:rFonts w:hAnsi="Times New Roman"/>
                <w:sz w:val="24"/>
                <w:szCs w:val="24"/>
              </w:rPr>
            </w:pPr>
            <w:r>
              <w:rPr>
                <w:rFonts w:hint="eastAsia" w:hAnsi="Times New Roman"/>
                <w:sz w:val="24"/>
                <w:szCs w:val="24"/>
              </w:rPr>
              <w:t>申报价格最小变动单位为</w:t>
            </w:r>
            <w:r>
              <w:rPr>
                <w:rFonts w:hAnsi="Times New Roman"/>
                <w:sz w:val="24"/>
                <w:szCs w:val="24"/>
              </w:rPr>
              <w:t>0.005</w:t>
            </w:r>
            <w:r>
              <w:rPr>
                <w:rFonts w:hint="eastAsia" w:hAnsi="Times New Roman"/>
                <w:sz w:val="24"/>
                <w:szCs w:val="24"/>
              </w:rPr>
              <w:t>元</w:t>
            </w:r>
          </w:p>
        </w:tc>
        <w:tc>
          <w:tcPr>
            <w:tcW w:w="5528" w:type="dxa"/>
            <w:gridSpan w:val="4"/>
            <w:vAlign w:val="center"/>
          </w:tcPr>
          <w:p w14:paraId="1737B583">
            <w:pPr>
              <w:pStyle w:val="90"/>
              <w:spacing w:line="240" w:lineRule="auto"/>
              <w:ind w:firstLine="0" w:firstLineChars="0"/>
              <w:rPr>
                <w:rFonts w:hAnsi="Times New Roman"/>
                <w:sz w:val="24"/>
                <w:szCs w:val="24"/>
              </w:rPr>
            </w:pPr>
            <w:r>
              <w:rPr>
                <w:rFonts w:hint="eastAsia" w:hAnsi="Times New Roman"/>
                <w:sz w:val="24"/>
                <w:szCs w:val="24"/>
              </w:rPr>
              <w:t>（《上海证券交易所债券交易规则适用指引第2号——债券通用质押式回购交易》关于“通用回购交易采用点击成交、询价成交、竞买成交、协商成交等其他交易方式达成”以及“采用其他成交方式的，申报价格最小变动单位为</w:t>
            </w:r>
            <w:r>
              <w:rPr>
                <w:rFonts w:hAnsi="Times New Roman"/>
                <w:sz w:val="24"/>
                <w:szCs w:val="24"/>
              </w:rPr>
              <w:t>0.0001</w:t>
            </w:r>
            <w:r>
              <w:rPr>
                <w:rFonts w:hint="eastAsia" w:hAnsi="Times New Roman"/>
                <w:sz w:val="24"/>
                <w:szCs w:val="24"/>
              </w:rPr>
              <w:t>元”的相关规定暂缓实施）</w:t>
            </w:r>
          </w:p>
        </w:tc>
      </w:tr>
      <w:tr w14:paraId="5FDE2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Merge w:val="continue"/>
            <w:vAlign w:val="center"/>
          </w:tcPr>
          <w:p w14:paraId="0087D86E">
            <w:pPr>
              <w:pStyle w:val="90"/>
              <w:spacing w:line="240" w:lineRule="auto"/>
              <w:ind w:firstLine="480"/>
              <w:rPr>
                <w:rFonts w:hAnsi="Times New Roman"/>
                <w:sz w:val="24"/>
                <w:szCs w:val="24"/>
              </w:rPr>
            </w:pPr>
          </w:p>
        </w:tc>
        <w:tc>
          <w:tcPr>
            <w:tcW w:w="1758" w:type="dxa"/>
            <w:vAlign w:val="center"/>
          </w:tcPr>
          <w:p w14:paraId="091542BB">
            <w:pPr>
              <w:pStyle w:val="90"/>
              <w:spacing w:line="240" w:lineRule="auto"/>
              <w:ind w:firstLine="0" w:firstLineChars="0"/>
              <w:rPr>
                <w:rFonts w:hAnsi="Times New Roman"/>
                <w:sz w:val="24"/>
                <w:szCs w:val="24"/>
              </w:rPr>
            </w:pPr>
            <w:r>
              <w:rPr>
                <w:rFonts w:hint="eastAsia" w:hAnsi="Times New Roman"/>
                <w:sz w:val="24"/>
                <w:szCs w:val="24"/>
              </w:rPr>
              <w:t>协议回购</w:t>
            </w:r>
          </w:p>
        </w:tc>
        <w:tc>
          <w:tcPr>
            <w:tcW w:w="1360" w:type="dxa"/>
            <w:vAlign w:val="center"/>
          </w:tcPr>
          <w:p w14:paraId="78856D71">
            <w:pPr>
              <w:pStyle w:val="90"/>
              <w:spacing w:line="240" w:lineRule="auto"/>
              <w:ind w:firstLine="480"/>
              <w:rPr>
                <w:rFonts w:hAnsi="Times New Roman"/>
                <w:sz w:val="24"/>
                <w:szCs w:val="24"/>
              </w:rPr>
            </w:pPr>
            <w:r>
              <w:rPr>
                <w:rFonts w:hAnsi="Times New Roman"/>
                <w:sz w:val="24"/>
                <w:szCs w:val="24"/>
              </w:rPr>
              <w:t>--</w:t>
            </w:r>
          </w:p>
        </w:tc>
        <w:tc>
          <w:tcPr>
            <w:tcW w:w="1276" w:type="dxa"/>
            <w:vAlign w:val="center"/>
          </w:tcPr>
          <w:p w14:paraId="36881A21">
            <w:pPr>
              <w:pStyle w:val="90"/>
              <w:spacing w:line="240" w:lineRule="auto"/>
              <w:ind w:firstLine="480"/>
              <w:rPr>
                <w:rFonts w:hAnsi="Times New Roman"/>
                <w:sz w:val="24"/>
                <w:szCs w:val="24"/>
              </w:rPr>
            </w:pPr>
            <w:r>
              <w:rPr>
                <w:rFonts w:hAnsi="Times New Roman"/>
                <w:sz w:val="24"/>
                <w:szCs w:val="24"/>
              </w:rPr>
              <w:t>--</w:t>
            </w:r>
          </w:p>
        </w:tc>
        <w:tc>
          <w:tcPr>
            <w:tcW w:w="1276" w:type="dxa"/>
            <w:vAlign w:val="center"/>
          </w:tcPr>
          <w:p w14:paraId="4D2BCDA1">
            <w:pPr>
              <w:pStyle w:val="90"/>
              <w:spacing w:line="240" w:lineRule="auto"/>
              <w:ind w:firstLine="480"/>
              <w:rPr>
                <w:rFonts w:hAnsi="Times New Roman"/>
                <w:sz w:val="24"/>
                <w:szCs w:val="24"/>
              </w:rPr>
            </w:pPr>
            <w:r>
              <w:rPr>
                <w:rFonts w:hAnsi="Times New Roman"/>
                <w:sz w:val="24"/>
                <w:szCs w:val="24"/>
              </w:rPr>
              <w:t>--</w:t>
            </w:r>
          </w:p>
        </w:tc>
        <w:tc>
          <w:tcPr>
            <w:tcW w:w="1701" w:type="dxa"/>
            <w:vAlign w:val="center"/>
          </w:tcPr>
          <w:p w14:paraId="33ED18A6">
            <w:pPr>
              <w:pStyle w:val="90"/>
              <w:spacing w:line="240" w:lineRule="auto"/>
              <w:ind w:firstLine="0" w:firstLineChars="0"/>
              <w:rPr>
                <w:rFonts w:hAnsi="Times New Roman"/>
                <w:sz w:val="24"/>
                <w:szCs w:val="24"/>
              </w:rPr>
            </w:pPr>
            <w:r>
              <w:rPr>
                <w:rFonts w:hint="eastAsia" w:hAnsi="Times New Roman"/>
                <w:sz w:val="24"/>
                <w:szCs w:val="24"/>
              </w:rPr>
              <w:t>利率最小变动单位</w:t>
            </w:r>
            <w:r>
              <w:rPr>
                <w:rFonts w:hAnsi="Times New Roman"/>
                <w:sz w:val="24"/>
                <w:szCs w:val="24"/>
              </w:rPr>
              <w:t>0.001%</w:t>
            </w:r>
          </w:p>
        </w:tc>
        <w:tc>
          <w:tcPr>
            <w:tcW w:w="1275" w:type="dxa"/>
            <w:vAlign w:val="center"/>
          </w:tcPr>
          <w:p w14:paraId="16F02C2F">
            <w:pPr>
              <w:pStyle w:val="90"/>
              <w:spacing w:line="240" w:lineRule="auto"/>
              <w:ind w:firstLine="480"/>
              <w:rPr>
                <w:rFonts w:hAnsi="Times New Roman"/>
                <w:sz w:val="24"/>
                <w:szCs w:val="24"/>
              </w:rPr>
            </w:pPr>
            <w:r>
              <w:rPr>
                <w:rFonts w:hAnsi="Times New Roman"/>
                <w:sz w:val="24"/>
                <w:szCs w:val="24"/>
              </w:rPr>
              <w:t>--</w:t>
            </w:r>
          </w:p>
        </w:tc>
      </w:tr>
      <w:tr w14:paraId="6D583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Merge w:val="continue"/>
            <w:vAlign w:val="center"/>
          </w:tcPr>
          <w:p w14:paraId="5DE5FAD9">
            <w:pPr>
              <w:pStyle w:val="90"/>
              <w:spacing w:line="240" w:lineRule="auto"/>
              <w:ind w:firstLine="480"/>
              <w:rPr>
                <w:rFonts w:hAnsi="Times New Roman"/>
                <w:sz w:val="24"/>
                <w:szCs w:val="24"/>
              </w:rPr>
            </w:pPr>
          </w:p>
        </w:tc>
        <w:tc>
          <w:tcPr>
            <w:tcW w:w="1758" w:type="dxa"/>
            <w:vAlign w:val="center"/>
          </w:tcPr>
          <w:p w14:paraId="78AB1BFD">
            <w:pPr>
              <w:pStyle w:val="90"/>
              <w:spacing w:line="240" w:lineRule="auto"/>
              <w:ind w:firstLine="0" w:firstLineChars="0"/>
              <w:rPr>
                <w:rFonts w:hAnsi="Times New Roman"/>
                <w:sz w:val="24"/>
                <w:szCs w:val="24"/>
              </w:rPr>
            </w:pPr>
            <w:r>
              <w:rPr>
                <w:rFonts w:hint="eastAsia" w:hAnsi="Times New Roman"/>
                <w:sz w:val="24"/>
                <w:szCs w:val="24"/>
              </w:rPr>
              <w:t>三方回购</w:t>
            </w:r>
          </w:p>
        </w:tc>
        <w:tc>
          <w:tcPr>
            <w:tcW w:w="1360" w:type="dxa"/>
            <w:vAlign w:val="center"/>
          </w:tcPr>
          <w:p w14:paraId="4730299A">
            <w:pPr>
              <w:pStyle w:val="90"/>
              <w:spacing w:line="240" w:lineRule="auto"/>
              <w:ind w:firstLine="480"/>
              <w:rPr>
                <w:rFonts w:hAnsi="Times New Roman"/>
                <w:sz w:val="24"/>
                <w:szCs w:val="24"/>
              </w:rPr>
            </w:pPr>
            <w:r>
              <w:rPr>
                <w:rFonts w:hAnsi="Times New Roman"/>
                <w:sz w:val="24"/>
                <w:szCs w:val="24"/>
              </w:rPr>
              <w:t>--</w:t>
            </w:r>
          </w:p>
        </w:tc>
        <w:tc>
          <w:tcPr>
            <w:tcW w:w="1276" w:type="dxa"/>
            <w:vAlign w:val="center"/>
          </w:tcPr>
          <w:p w14:paraId="30C42F91">
            <w:pPr>
              <w:pStyle w:val="90"/>
              <w:spacing w:line="240" w:lineRule="auto"/>
              <w:ind w:firstLine="480"/>
              <w:rPr>
                <w:rFonts w:hAnsi="Times New Roman"/>
                <w:sz w:val="24"/>
                <w:szCs w:val="24"/>
              </w:rPr>
            </w:pPr>
            <w:r>
              <w:rPr>
                <w:rFonts w:hAnsi="Times New Roman"/>
                <w:sz w:val="24"/>
                <w:szCs w:val="24"/>
              </w:rPr>
              <w:t>--</w:t>
            </w:r>
          </w:p>
        </w:tc>
        <w:tc>
          <w:tcPr>
            <w:tcW w:w="1276" w:type="dxa"/>
            <w:vAlign w:val="center"/>
          </w:tcPr>
          <w:p w14:paraId="53B4D281">
            <w:pPr>
              <w:pStyle w:val="90"/>
              <w:spacing w:line="240" w:lineRule="auto"/>
              <w:ind w:firstLine="480"/>
              <w:rPr>
                <w:rFonts w:hAnsi="Times New Roman"/>
                <w:sz w:val="24"/>
                <w:szCs w:val="24"/>
              </w:rPr>
            </w:pPr>
            <w:r>
              <w:rPr>
                <w:rFonts w:hAnsi="Times New Roman"/>
                <w:sz w:val="24"/>
                <w:szCs w:val="24"/>
              </w:rPr>
              <w:t>--</w:t>
            </w:r>
          </w:p>
        </w:tc>
        <w:tc>
          <w:tcPr>
            <w:tcW w:w="1701" w:type="dxa"/>
            <w:vAlign w:val="center"/>
          </w:tcPr>
          <w:p w14:paraId="01EFFC24">
            <w:pPr>
              <w:pStyle w:val="90"/>
              <w:spacing w:line="240" w:lineRule="auto"/>
              <w:ind w:firstLine="0" w:firstLineChars="0"/>
              <w:rPr>
                <w:rFonts w:hAnsi="Times New Roman"/>
                <w:sz w:val="24"/>
                <w:szCs w:val="24"/>
              </w:rPr>
            </w:pPr>
            <w:r>
              <w:rPr>
                <w:rFonts w:hint="eastAsia" w:hAnsi="Times New Roman"/>
                <w:sz w:val="24"/>
                <w:szCs w:val="24"/>
              </w:rPr>
              <w:t>利率最小变动单位</w:t>
            </w:r>
            <w:r>
              <w:rPr>
                <w:rFonts w:hAnsi="Times New Roman"/>
                <w:sz w:val="24"/>
                <w:szCs w:val="24"/>
              </w:rPr>
              <w:t>0.001%</w:t>
            </w:r>
          </w:p>
        </w:tc>
        <w:tc>
          <w:tcPr>
            <w:tcW w:w="1275" w:type="dxa"/>
            <w:vAlign w:val="center"/>
          </w:tcPr>
          <w:p w14:paraId="0F79D07E">
            <w:pPr>
              <w:pStyle w:val="90"/>
              <w:spacing w:line="240" w:lineRule="auto"/>
              <w:ind w:firstLine="480"/>
              <w:rPr>
                <w:rFonts w:hAnsi="Times New Roman"/>
                <w:sz w:val="24"/>
                <w:szCs w:val="24"/>
              </w:rPr>
            </w:pPr>
            <w:r>
              <w:rPr>
                <w:rFonts w:hAnsi="Times New Roman"/>
                <w:sz w:val="24"/>
                <w:szCs w:val="24"/>
              </w:rPr>
              <w:t>--</w:t>
            </w:r>
          </w:p>
        </w:tc>
      </w:tr>
      <w:tr w14:paraId="405E8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Merge w:val="restart"/>
            <w:vAlign w:val="center"/>
          </w:tcPr>
          <w:p w14:paraId="34FF28E1">
            <w:pPr>
              <w:pStyle w:val="90"/>
              <w:spacing w:line="240" w:lineRule="auto"/>
              <w:ind w:firstLine="0" w:firstLineChars="0"/>
              <w:rPr>
                <w:rFonts w:hAnsi="Times New Roman"/>
                <w:sz w:val="24"/>
                <w:szCs w:val="24"/>
              </w:rPr>
            </w:pPr>
            <w:r>
              <w:rPr>
                <w:rFonts w:hint="eastAsia" w:hAnsi="Times New Roman"/>
                <w:sz w:val="24"/>
                <w:szCs w:val="24"/>
              </w:rPr>
              <w:t>其他</w:t>
            </w:r>
          </w:p>
          <w:p w14:paraId="25F0FE1F">
            <w:pPr>
              <w:pStyle w:val="90"/>
              <w:spacing w:line="240" w:lineRule="auto"/>
              <w:ind w:firstLine="480"/>
              <w:rPr>
                <w:rFonts w:hAnsi="Times New Roman"/>
                <w:sz w:val="24"/>
                <w:szCs w:val="24"/>
              </w:rPr>
            </w:pPr>
          </w:p>
        </w:tc>
        <w:tc>
          <w:tcPr>
            <w:tcW w:w="1758" w:type="dxa"/>
            <w:vAlign w:val="center"/>
          </w:tcPr>
          <w:p w14:paraId="5DF144A9">
            <w:pPr>
              <w:pStyle w:val="90"/>
              <w:spacing w:line="240" w:lineRule="auto"/>
              <w:ind w:firstLine="0" w:firstLineChars="0"/>
              <w:rPr>
                <w:rFonts w:hAnsi="Times New Roman"/>
                <w:sz w:val="24"/>
                <w:szCs w:val="24"/>
              </w:rPr>
            </w:pPr>
            <w:r>
              <w:rPr>
                <w:rFonts w:hint="eastAsia" w:hAnsi="Times New Roman"/>
                <w:sz w:val="24"/>
                <w:szCs w:val="24"/>
              </w:rPr>
              <w:t>债券借贷</w:t>
            </w:r>
          </w:p>
        </w:tc>
        <w:tc>
          <w:tcPr>
            <w:tcW w:w="1360" w:type="dxa"/>
            <w:vAlign w:val="center"/>
          </w:tcPr>
          <w:p w14:paraId="56C542C3">
            <w:pPr>
              <w:pStyle w:val="90"/>
              <w:spacing w:line="240" w:lineRule="auto"/>
              <w:ind w:firstLine="480"/>
              <w:rPr>
                <w:rFonts w:hAnsi="Times New Roman"/>
                <w:sz w:val="24"/>
                <w:szCs w:val="24"/>
              </w:rPr>
            </w:pPr>
            <w:r>
              <w:rPr>
                <w:rFonts w:hAnsi="Times New Roman"/>
                <w:sz w:val="24"/>
                <w:szCs w:val="24"/>
              </w:rPr>
              <w:t>--</w:t>
            </w:r>
          </w:p>
        </w:tc>
        <w:tc>
          <w:tcPr>
            <w:tcW w:w="1276" w:type="dxa"/>
            <w:vAlign w:val="center"/>
          </w:tcPr>
          <w:p w14:paraId="24B3E3F4">
            <w:pPr>
              <w:pStyle w:val="90"/>
              <w:spacing w:line="240" w:lineRule="auto"/>
              <w:ind w:firstLine="480"/>
              <w:rPr>
                <w:rFonts w:hAnsi="Times New Roman"/>
                <w:sz w:val="24"/>
                <w:szCs w:val="24"/>
              </w:rPr>
            </w:pPr>
            <w:r>
              <w:rPr>
                <w:rFonts w:hAnsi="Times New Roman"/>
                <w:sz w:val="24"/>
                <w:szCs w:val="24"/>
              </w:rPr>
              <w:t>--</w:t>
            </w:r>
          </w:p>
        </w:tc>
        <w:tc>
          <w:tcPr>
            <w:tcW w:w="1276" w:type="dxa"/>
            <w:vAlign w:val="center"/>
          </w:tcPr>
          <w:p w14:paraId="5AF8C6F9">
            <w:pPr>
              <w:pStyle w:val="90"/>
              <w:spacing w:line="240" w:lineRule="auto"/>
              <w:ind w:firstLine="480"/>
              <w:rPr>
                <w:rFonts w:hAnsi="Times New Roman"/>
                <w:sz w:val="24"/>
                <w:szCs w:val="24"/>
              </w:rPr>
            </w:pPr>
            <w:r>
              <w:rPr>
                <w:rFonts w:hAnsi="Times New Roman"/>
                <w:sz w:val="24"/>
                <w:szCs w:val="24"/>
              </w:rPr>
              <w:t>--</w:t>
            </w:r>
          </w:p>
        </w:tc>
        <w:tc>
          <w:tcPr>
            <w:tcW w:w="1701" w:type="dxa"/>
            <w:vAlign w:val="center"/>
          </w:tcPr>
          <w:p w14:paraId="31E9EFE8">
            <w:pPr>
              <w:pStyle w:val="90"/>
              <w:spacing w:line="240" w:lineRule="auto"/>
              <w:ind w:firstLine="0" w:firstLineChars="0"/>
              <w:rPr>
                <w:rFonts w:hAnsi="Times New Roman"/>
                <w:sz w:val="24"/>
                <w:szCs w:val="24"/>
              </w:rPr>
            </w:pPr>
            <w:r>
              <w:rPr>
                <w:rFonts w:hint="eastAsia" w:hAnsi="Times New Roman"/>
                <w:sz w:val="24"/>
                <w:szCs w:val="24"/>
              </w:rPr>
              <w:t>申报费率最小变动单位为</w:t>
            </w:r>
            <w:r>
              <w:rPr>
                <w:rFonts w:hAnsi="Times New Roman"/>
                <w:sz w:val="24"/>
                <w:szCs w:val="24"/>
              </w:rPr>
              <w:t>0.0</w:t>
            </w:r>
            <w:r>
              <w:rPr>
                <w:rFonts w:hint="eastAsia" w:hAnsi="Times New Roman"/>
                <w:sz w:val="24"/>
                <w:szCs w:val="24"/>
              </w:rPr>
              <w:t>0</w:t>
            </w:r>
            <w:r>
              <w:rPr>
                <w:rFonts w:hAnsi="Times New Roman"/>
                <w:sz w:val="24"/>
                <w:szCs w:val="24"/>
              </w:rPr>
              <w:t>1%</w:t>
            </w:r>
            <w:r>
              <w:rPr>
                <w:rFonts w:hint="eastAsia" w:hAnsi="Times New Roman"/>
                <w:sz w:val="24"/>
                <w:szCs w:val="24"/>
              </w:rPr>
              <w:t>。</w:t>
            </w:r>
          </w:p>
        </w:tc>
        <w:tc>
          <w:tcPr>
            <w:tcW w:w="1275" w:type="dxa"/>
            <w:vAlign w:val="center"/>
          </w:tcPr>
          <w:p w14:paraId="761683F1">
            <w:pPr>
              <w:pStyle w:val="90"/>
              <w:spacing w:line="240" w:lineRule="auto"/>
              <w:ind w:firstLine="480"/>
              <w:rPr>
                <w:rFonts w:hAnsi="Times New Roman"/>
                <w:sz w:val="24"/>
                <w:szCs w:val="24"/>
              </w:rPr>
            </w:pPr>
            <w:r>
              <w:rPr>
                <w:rFonts w:hAnsi="Times New Roman"/>
                <w:sz w:val="24"/>
                <w:szCs w:val="24"/>
              </w:rPr>
              <w:t>--</w:t>
            </w:r>
          </w:p>
        </w:tc>
      </w:tr>
      <w:tr w14:paraId="73E60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Merge w:val="continue"/>
            <w:vAlign w:val="center"/>
          </w:tcPr>
          <w:p w14:paraId="4953E28D">
            <w:pPr>
              <w:pStyle w:val="90"/>
              <w:spacing w:line="240" w:lineRule="auto"/>
              <w:ind w:firstLine="480"/>
              <w:rPr>
                <w:rFonts w:hAnsi="Times New Roman"/>
                <w:sz w:val="24"/>
                <w:szCs w:val="24"/>
              </w:rPr>
            </w:pPr>
          </w:p>
        </w:tc>
        <w:tc>
          <w:tcPr>
            <w:tcW w:w="1758" w:type="dxa"/>
            <w:vAlign w:val="center"/>
          </w:tcPr>
          <w:p w14:paraId="77172390">
            <w:pPr>
              <w:pStyle w:val="90"/>
              <w:spacing w:line="240" w:lineRule="auto"/>
              <w:ind w:firstLine="0" w:firstLineChars="0"/>
              <w:rPr>
                <w:rFonts w:hAnsi="Times New Roman"/>
                <w:sz w:val="24"/>
                <w:szCs w:val="24"/>
              </w:rPr>
            </w:pPr>
            <w:r>
              <w:rPr>
                <w:rFonts w:hint="eastAsia" w:hAnsi="Times New Roman"/>
                <w:sz w:val="24"/>
                <w:szCs w:val="24"/>
              </w:rPr>
              <w:t>信用保护合约</w:t>
            </w:r>
          </w:p>
        </w:tc>
        <w:tc>
          <w:tcPr>
            <w:tcW w:w="1360" w:type="dxa"/>
            <w:vAlign w:val="center"/>
          </w:tcPr>
          <w:p w14:paraId="2A3CECCB">
            <w:pPr>
              <w:pStyle w:val="90"/>
              <w:spacing w:line="240" w:lineRule="auto"/>
              <w:ind w:firstLine="480"/>
              <w:rPr>
                <w:rFonts w:hAnsi="Times New Roman"/>
                <w:sz w:val="24"/>
                <w:szCs w:val="24"/>
              </w:rPr>
            </w:pPr>
          </w:p>
        </w:tc>
        <w:tc>
          <w:tcPr>
            <w:tcW w:w="1276" w:type="dxa"/>
            <w:vAlign w:val="center"/>
          </w:tcPr>
          <w:p w14:paraId="64BD1F7F">
            <w:pPr>
              <w:pStyle w:val="90"/>
              <w:spacing w:line="240" w:lineRule="auto"/>
              <w:ind w:firstLine="480"/>
              <w:rPr>
                <w:rFonts w:hAnsi="Times New Roman"/>
                <w:sz w:val="24"/>
                <w:szCs w:val="24"/>
              </w:rPr>
            </w:pPr>
          </w:p>
        </w:tc>
        <w:tc>
          <w:tcPr>
            <w:tcW w:w="1276" w:type="dxa"/>
            <w:vAlign w:val="center"/>
          </w:tcPr>
          <w:p w14:paraId="759CBFEF">
            <w:pPr>
              <w:pStyle w:val="90"/>
              <w:spacing w:line="240" w:lineRule="auto"/>
              <w:ind w:firstLine="480"/>
              <w:rPr>
                <w:rFonts w:hAnsi="Times New Roman"/>
                <w:sz w:val="24"/>
                <w:szCs w:val="24"/>
              </w:rPr>
            </w:pPr>
          </w:p>
        </w:tc>
        <w:tc>
          <w:tcPr>
            <w:tcW w:w="1701" w:type="dxa"/>
            <w:vAlign w:val="center"/>
          </w:tcPr>
          <w:p w14:paraId="151E4AAF">
            <w:pPr>
              <w:pStyle w:val="90"/>
              <w:spacing w:line="240" w:lineRule="auto"/>
              <w:ind w:firstLine="0" w:firstLineChars="0"/>
              <w:rPr>
                <w:rFonts w:hAnsi="Times New Roman"/>
                <w:sz w:val="24"/>
                <w:szCs w:val="24"/>
              </w:rPr>
            </w:pPr>
            <w:r>
              <w:rPr>
                <w:rFonts w:hint="eastAsia" w:hAnsi="Times New Roman"/>
                <w:sz w:val="24"/>
                <w:szCs w:val="24"/>
              </w:rPr>
              <w:t>依据相关规定，保护费率最小变动单位1bp。但实践中，前端费用、保护费支付金额最小变动单位</w:t>
            </w:r>
            <w:r>
              <w:rPr>
                <w:rFonts w:hAnsi="Times New Roman"/>
                <w:sz w:val="24"/>
                <w:szCs w:val="24"/>
              </w:rPr>
              <w:t>0.001</w:t>
            </w:r>
            <w:r>
              <w:rPr>
                <w:rFonts w:hint="eastAsia" w:hAnsi="Times New Roman"/>
                <w:sz w:val="24"/>
                <w:szCs w:val="24"/>
              </w:rPr>
              <w:t>元，系统显示保护费率最小变动单位</w:t>
            </w:r>
            <w:r>
              <w:rPr>
                <w:rFonts w:hAnsi="Times New Roman"/>
                <w:sz w:val="24"/>
                <w:szCs w:val="24"/>
              </w:rPr>
              <w:t>0.001bp</w:t>
            </w:r>
          </w:p>
        </w:tc>
        <w:tc>
          <w:tcPr>
            <w:tcW w:w="1275" w:type="dxa"/>
            <w:vAlign w:val="center"/>
          </w:tcPr>
          <w:p w14:paraId="7C2025FC">
            <w:pPr>
              <w:pStyle w:val="90"/>
              <w:spacing w:line="240" w:lineRule="auto"/>
              <w:ind w:firstLine="480"/>
              <w:rPr>
                <w:rFonts w:hAnsi="Times New Roman"/>
                <w:sz w:val="24"/>
                <w:szCs w:val="24"/>
              </w:rPr>
            </w:pPr>
          </w:p>
        </w:tc>
      </w:tr>
      <w:tr w14:paraId="7799A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Merge w:val="continue"/>
            <w:vAlign w:val="center"/>
          </w:tcPr>
          <w:p w14:paraId="3B45A48C">
            <w:pPr>
              <w:pStyle w:val="90"/>
              <w:spacing w:line="240" w:lineRule="auto"/>
              <w:ind w:firstLine="480"/>
              <w:rPr>
                <w:rFonts w:hAnsi="Times New Roman"/>
                <w:sz w:val="24"/>
                <w:szCs w:val="24"/>
              </w:rPr>
            </w:pPr>
          </w:p>
        </w:tc>
        <w:tc>
          <w:tcPr>
            <w:tcW w:w="1758" w:type="dxa"/>
            <w:vAlign w:val="center"/>
          </w:tcPr>
          <w:p w14:paraId="5188752A">
            <w:pPr>
              <w:pStyle w:val="90"/>
              <w:spacing w:line="240" w:lineRule="auto"/>
              <w:ind w:firstLine="0" w:firstLineChars="0"/>
              <w:rPr>
                <w:rFonts w:hAnsi="Times New Roman"/>
                <w:sz w:val="24"/>
                <w:szCs w:val="24"/>
              </w:rPr>
            </w:pPr>
            <w:r>
              <w:rPr>
                <w:rFonts w:hint="eastAsia" w:hAnsi="Times New Roman"/>
                <w:sz w:val="24"/>
                <w:szCs w:val="24"/>
              </w:rPr>
              <w:t>信用保护凭证</w:t>
            </w:r>
          </w:p>
        </w:tc>
        <w:tc>
          <w:tcPr>
            <w:tcW w:w="1360" w:type="dxa"/>
            <w:vAlign w:val="center"/>
          </w:tcPr>
          <w:p w14:paraId="0DCC8D38">
            <w:pPr>
              <w:pStyle w:val="90"/>
              <w:spacing w:line="240" w:lineRule="auto"/>
              <w:ind w:firstLine="480"/>
              <w:rPr>
                <w:rFonts w:hAnsi="Times New Roman"/>
                <w:sz w:val="24"/>
                <w:szCs w:val="24"/>
              </w:rPr>
            </w:pPr>
            <w:r>
              <w:rPr>
                <w:rFonts w:hAnsi="Times New Roman"/>
                <w:sz w:val="24"/>
                <w:szCs w:val="24"/>
              </w:rPr>
              <w:t>--</w:t>
            </w:r>
          </w:p>
        </w:tc>
        <w:tc>
          <w:tcPr>
            <w:tcW w:w="1276" w:type="dxa"/>
            <w:vAlign w:val="center"/>
          </w:tcPr>
          <w:p w14:paraId="0F1423AC">
            <w:pPr>
              <w:pStyle w:val="90"/>
              <w:spacing w:line="240" w:lineRule="auto"/>
              <w:ind w:firstLine="480"/>
              <w:rPr>
                <w:rFonts w:hAnsi="Times New Roman"/>
                <w:sz w:val="24"/>
                <w:szCs w:val="24"/>
              </w:rPr>
            </w:pPr>
            <w:r>
              <w:rPr>
                <w:rFonts w:hAnsi="Times New Roman"/>
                <w:sz w:val="24"/>
                <w:szCs w:val="24"/>
              </w:rPr>
              <w:t>--</w:t>
            </w:r>
          </w:p>
        </w:tc>
        <w:tc>
          <w:tcPr>
            <w:tcW w:w="1276" w:type="dxa"/>
            <w:vAlign w:val="center"/>
          </w:tcPr>
          <w:p w14:paraId="6EDCFA1E">
            <w:pPr>
              <w:pStyle w:val="90"/>
              <w:spacing w:line="240" w:lineRule="auto"/>
              <w:ind w:firstLine="480"/>
              <w:rPr>
                <w:rFonts w:hAnsi="Times New Roman"/>
                <w:sz w:val="24"/>
                <w:szCs w:val="24"/>
              </w:rPr>
            </w:pPr>
            <w:r>
              <w:rPr>
                <w:rFonts w:hAnsi="Times New Roman"/>
                <w:sz w:val="24"/>
                <w:szCs w:val="24"/>
              </w:rPr>
              <w:t>--</w:t>
            </w:r>
          </w:p>
        </w:tc>
        <w:tc>
          <w:tcPr>
            <w:tcW w:w="1701" w:type="dxa"/>
            <w:vAlign w:val="center"/>
          </w:tcPr>
          <w:p w14:paraId="1FB4C325">
            <w:pPr>
              <w:pStyle w:val="90"/>
              <w:spacing w:line="240" w:lineRule="auto"/>
              <w:ind w:firstLine="0" w:firstLineChars="0"/>
              <w:rPr>
                <w:rFonts w:hAnsi="Times New Roman"/>
                <w:sz w:val="24"/>
                <w:szCs w:val="24"/>
              </w:rPr>
            </w:pPr>
            <w:r>
              <w:rPr>
                <w:rFonts w:hint="eastAsia" w:hAnsi="Times New Roman"/>
                <w:sz w:val="24"/>
                <w:szCs w:val="24"/>
              </w:rPr>
              <w:t>申报价格最小变动单位为</w:t>
            </w:r>
            <w:r>
              <w:rPr>
                <w:rFonts w:hAnsi="Times New Roman"/>
                <w:sz w:val="24"/>
                <w:szCs w:val="24"/>
              </w:rPr>
              <w:t>0.001</w:t>
            </w:r>
            <w:r>
              <w:rPr>
                <w:rFonts w:hint="eastAsia" w:hAnsi="Times New Roman"/>
                <w:sz w:val="24"/>
                <w:szCs w:val="24"/>
              </w:rPr>
              <w:t>元</w:t>
            </w:r>
          </w:p>
        </w:tc>
        <w:tc>
          <w:tcPr>
            <w:tcW w:w="1275" w:type="dxa"/>
            <w:vAlign w:val="center"/>
          </w:tcPr>
          <w:p w14:paraId="33209069">
            <w:pPr>
              <w:pStyle w:val="90"/>
              <w:spacing w:line="240" w:lineRule="auto"/>
              <w:ind w:firstLine="480"/>
              <w:rPr>
                <w:rFonts w:hAnsi="Times New Roman"/>
                <w:sz w:val="24"/>
                <w:szCs w:val="24"/>
              </w:rPr>
            </w:pPr>
            <w:r>
              <w:rPr>
                <w:rFonts w:hAnsi="Times New Roman"/>
                <w:sz w:val="24"/>
                <w:szCs w:val="24"/>
              </w:rPr>
              <w:t>--</w:t>
            </w:r>
          </w:p>
        </w:tc>
      </w:tr>
      <w:tr w14:paraId="19CB8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Merge w:val="continue"/>
            <w:vAlign w:val="center"/>
          </w:tcPr>
          <w:p w14:paraId="3C31B5ED">
            <w:pPr>
              <w:pStyle w:val="90"/>
              <w:spacing w:line="240" w:lineRule="auto"/>
              <w:ind w:firstLine="480"/>
              <w:rPr>
                <w:rFonts w:hAnsi="Times New Roman"/>
                <w:sz w:val="24"/>
                <w:szCs w:val="24"/>
              </w:rPr>
            </w:pPr>
          </w:p>
        </w:tc>
        <w:tc>
          <w:tcPr>
            <w:tcW w:w="1758" w:type="dxa"/>
            <w:vAlign w:val="center"/>
          </w:tcPr>
          <w:p w14:paraId="6DE8A116">
            <w:pPr>
              <w:pStyle w:val="90"/>
              <w:spacing w:line="240" w:lineRule="auto"/>
              <w:ind w:firstLine="0" w:firstLineChars="0"/>
              <w:rPr>
                <w:rFonts w:hAnsi="Times New Roman"/>
                <w:sz w:val="24"/>
                <w:szCs w:val="24"/>
              </w:rPr>
            </w:pPr>
            <w:r>
              <w:rPr>
                <w:rFonts w:hint="eastAsia" w:hAnsi="Times New Roman"/>
                <w:sz w:val="24"/>
                <w:szCs w:val="24"/>
              </w:rPr>
              <w:t>债券预发行</w:t>
            </w:r>
          </w:p>
        </w:tc>
        <w:tc>
          <w:tcPr>
            <w:tcW w:w="1360" w:type="dxa"/>
            <w:vAlign w:val="center"/>
          </w:tcPr>
          <w:p w14:paraId="757A8B8B">
            <w:pPr>
              <w:pStyle w:val="90"/>
              <w:spacing w:line="240" w:lineRule="auto"/>
              <w:ind w:firstLine="0" w:firstLineChars="0"/>
              <w:rPr>
                <w:rFonts w:hAnsi="Times New Roman"/>
                <w:sz w:val="24"/>
                <w:szCs w:val="24"/>
              </w:rPr>
            </w:pPr>
            <w:r>
              <w:rPr>
                <w:rFonts w:hint="eastAsia" w:hAnsi="Times New Roman"/>
                <w:sz w:val="24"/>
                <w:szCs w:val="24"/>
              </w:rPr>
              <w:t>价格招标：</w:t>
            </w:r>
            <w:r>
              <w:rPr>
                <w:rFonts w:hAnsi="Times New Roman"/>
                <w:sz w:val="24"/>
                <w:szCs w:val="24"/>
              </w:rPr>
              <w:t>0.001</w:t>
            </w:r>
            <w:r>
              <w:rPr>
                <w:rFonts w:hint="eastAsia" w:hAnsi="Times New Roman"/>
                <w:sz w:val="24"/>
                <w:szCs w:val="24"/>
              </w:rPr>
              <w:t>元；收益率招标：</w:t>
            </w:r>
            <w:r>
              <w:rPr>
                <w:rFonts w:hAnsi="Times New Roman"/>
                <w:sz w:val="24"/>
                <w:szCs w:val="24"/>
              </w:rPr>
              <w:t>0.001%</w:t>
            </w:r>
          </w:p>
        </w:tc>
        <w:tc>
          <w:tcPr>
            <w:tcW w:w="1276" w:type="dxa"/>
            <w:vAlign w:val="center"/>
          </w:tcPr>
          <w:p w14:paraId="1378756E">
            <w:pPr>
              <w:pStyle w:val="90"/>
              <w:spacing w:line="240" w:lineRule="auto"/>
              <w:ind w:firstLine="480"/>
              <w:rPr>
                <w:rFonts w:hAnsi="Times New Roman"/>
                <w:sz w:val="24"/>
                <w:szCs w:val="24"/>
              </w:rPr>
            </w:pPr>
            <w:r>
              <w:rPr>
                <w:rFonts w:hAnsi="Times New Roman"/>
                <w:sz w:val="24"/>
                <w:szCs w:val="24"/>
              </w:rPr>
              <w:t>--</w:t>
            </w:r>
          </w:p>
        </w:tc>
        <w:tc>
          <w:tcPr>
            <w:tcW w:w="1276" w:type="dxa"/>
            <w:vAlign w:val="center"/>
          </w:tcPr>
          <w:p w14:paraId="7B1739AD">
            <w:pPr>
              <w:pStyle w:val="90"/>
              <w:spacing w:line="240" w:lineRule="auto"/>
              <w:ind w:firstLine="480"/>
              <w:rPr>
                <w:rFonts w:hAnsi="Times New Roman"/>
                <w:sz w:val="24"/>
                <w:szCs w:val="24"/>
              </w:rPr>
            </w:pPr>
            <w:r>
              <w:rPr>
                <w:rFonts w:hAnsi="Times New Roman"/>
                <w:sz w:val="24"/>
                <w:szCs w:val="24"/>
              </w:rPr>
              <w:t>--</w:t>
            </w:r>
          </w:p>
        </w:tc>
        <w:tc>
          <w:tcPr>
            <w:tcW w:w="1701" w:type="dxa"/>
            <w:vAlign w:val="center"/>
          </w:tcPr>
          <w:p w14:paraId="54CA66D1">
            <w:pPr>
              <w:pStyle w:val="90"/>
              <w:spacing w:line="240" w:lineRule="auto"/>
              <w:ind w:firstLine="0" w:firstLineChars="0"/>
              <w:jc w:val="center"/>
              <w:rPr>
                <w:rFonts w:hAnsi="Times New Roman"/>
                <w:sz w:val="24"/>
                <w:szCs w:val="24"/>
              </w:rPr>
            </w:pPr>
            <w:r>
              <w:rPr>
                <w:rFonts w:hAnsi="Times New Roman"/>
                <w:sz w:val="24"/>
                <w:szCs w:val="24"/>
              </w:rPr>
              <w:t>--</w:t>
            </w:r>
          </w:p>
        </w:tc>
        <w:tc>
          <w:tcPr>
            <w:tcW w:w="1275" w:type="dxa"/>
            <w:vAlign w:val="center"/>
          </w:tcPr>
          <w:p w14:paraId="0F183A7E">
            <w:pPr>
              <w:pStyle w:val="90"/>
              <w:spacing w:line="240" w:lineRule="auto"/>
              <w:ind w:firstLine="480"/>
              <w:rPr>
                <w:rFonts w:hAnsi="Times New Roman"/>
                <w:sz w:val="24"/>
                <w:szCs w:val="24"/>
              </w:rPr>
            </w:pPr>
            <w:r>
              <w:rPr>
                <w:rFonts w:hAnsi="Times New Roman"/>
                <w:sz w:val="24"/>
                <w:szCs w:val="24"/>
              </w:rPr>
              <w:t>--</w:t>
            </w:r>
          </w:p>
        </w:tc>
      </w:tr>
    </w:tbl>
    <w:p w14:paraId="7B55EDAF">
      <w:pPr>
        <w:spacing w:line="600" w:lineRule="exact"/>
        <w:ind w:left="567"/>
        <w:outlineLvl w:val="3"/>
        <w:rPr>
          <w:rFonts w:ascii="仿宋_GB2312" w:eastAsia="仿宋_GB2312"/>
          <w:b/>
          <w:sz w:val="30"/>
          <w:szCs w:val="30"/>
        </w:rPr>
      </w:pPr>
      <w:r>
        <w:rPr>
          <w:rFonts w:hint="eastAsia" w:ascii="仿宋_GB2312" w:eastAsia="仿宋_GB2312"/>
          <w:b/>
          <w:sz w:val="30"/>
          <w:szCs w:val="30"/>
        </w:rPr>
        <w:t>（2）</w:t>
      </w:r>
      <w:r>
        <w:rPr>
          <w:rFonts w:ascii="仿宋_GB2312" w:eastAsia="仿宋_GB2312"/>
          <w:b/>
          <w:sz w:val="30"/>
          <w:szCs w:val="30"/>
        </w:rPr>
        <w:t>价格限制</w:t>
      </w:r>
    </w:p>
    <w:p w14:paraId="0465CC88">
      <w:pPr>
        <w:pStyle w:val="90"/>
        <w:spacing w:line="600" w:lineRule="exact"/>
        <w:ind w:firstLine="600"/>
        <w:rPr>
          <w:rFonts w:hAnsi="Times New Roman"/>
          <w:sz w:val="30"/>
          <w:szCs w:val="30"/>
        </w:rPr>
      </w:pPr>
      <w:r>
        <w:rPr>
          <w:rFonts w:hint="eastAsia" w:hAnsi="Times New Roman"/>
          <w:sz w:val="30"/>
          <w:szCs w:val="30"/>
        </w:rPr>
        <w:t>债券现券交易及通用回购交易申报中，申报价格应符合一定的要求。不符合申报价格范围要求的，交易系统不接受相关申报。各产品类型的价格控制基准如下表：</w:t>
      </w:r>
    </w:p>
    <w:tbl>
      <w:tblPr>
        <w:tblStyle w:val="43"/>
        <w:tblW w:w="5739" w:type="pct"/>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1417"/>
        <w:gridCol w:w="1135"/>
        <w:gridCol w:w="1276"/>
        <w:gridCol w:w="5246"/>
      </w:tblGrid>
      <w:tr w14:paraId="5246E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62" w:type="pct"/>
            <w:vAlign w:val="center"/>
          </w:tcPr>
          <w:p w14:paraId="17FD0C4F">
            <w:pPr>
              <w:pStyle w:val="90"/>
              <w:spacing w:line="240" w:lineRule="auto"/>
              <w:ind w:firstLine="0" w:firstLineChars="0"/>
              <w:rPr>
                <w:rFonts w:hAnsi="Times New Roman"/>
                <w:b/>
                <w:sz w:val="24"/>
                <w:szCs w:val="24"/>
              </w:rPr>
            </w:pPr>
          </w:p>
        </w:tc>
        <w:tc>
          <w:tcPr>
            <w:tcW w:w="724" w:type="pct"/>
            <w:vAlign w:val="center"/>
          </w:tcPr>
          <w:p w14:paraId="4BA80E74">
            <w:pPr>
              <w:pStyle w:val="90"/>
              <w:spacing w:line="240" w:lineRule="auto"/>
              <w:ind w:firstLine="0" w:firstLineChars="0"/>
              <w:rPr>
                <w:rFonts w:hAnsi="Times New Roman"/>
                <w:b/>
                <w:sz w:val="24"/>
                <w:szCs w:val="24"/>
              </w:rPr>
            </w:pPr>
            <w:r>
              <w:rPr>
                <w:rFonts w:hint="eastAsia" w:hAnsi="Times New Roman"/>
                <w:b/>
                <w:sz w:val="24"/>
                <w:szCs w:val="24"/>
              </w:rPr>
              <w:t>产品类型</w:t>
            </w:r>
          </w:p>
        </w:tc>
        <w:tc>
          <w:tcPr>
            <w:tcW w:w="580" w:type="pct"/>
            <w:vAlign w:val="center"/>
          </w:tcPr>
          <w:p w14:paraId="38CAD7EB">
            <w:pPr>
              <w:pStyle w:val="90"/>
              <w:spacing w:line="240" w:lineRule="auto"/>
              <w:ind w:firstLine="0" w:firstLineChars="0"/>
              <w:rPr>
                <w:rFonts w:hAnsi="Times New Roman"/>
                <w:b/>
                <w:sz w:val="24"/>
                <w:szCs w:val="24"/>
              </w:rPr>
            </w:pPr>
            <w:r>
              <w:rPr>
                <w:rFonts w:hint="eastAsia" w:hAnsi="Times New Roman"/>
                <w:b/>
                <w:sz w:val="24"/>
                <w:szCs w:val="24"/>
              </w:rPr>
              <w:t>控制方式</w:t>
            </w:r>
          </w:p>
        </w:tc>
        <w:tc>
          <w:tcPr>
            <w:tcW w:w="652" w:type="pct"/>
            <w:vAlign w:val="center"/>
          </w:tcPr>
          <w:p w14:paraId="7D50E111">
            <w:pPr>
              <w:pStyle w:val="90"/>
              <w:spacing w:line="240" w:lineRule="auto"/>
              <w:ind w:firstLine="0" w:firstLineChars="0"/>
              <w:rPr>
                <w:rFonts w:hAnsi="Times New Roman"/>
                <w:b/>
                <w:sz w:val="24"/>
                <w:szCs w:val="24"/>
              </w:rPr>
            </w:pPr>
            <w:r>
              <w:rPr>
                <w:rFonts w:hint="eastAsia" w:hAnsi="Times New Roman"/>
                <w:b/>
                <w:sz w:val="24"/>
                <w:szCs w:val="24"/>
              </w:rPr>
              <w:t>适用的交易方式</w:t>
            </w:r>
          </w:p>
        </w:tc>
        <w:tc>
          <w:tcPr>
            <w:tcW w:w="2681" w:type="pct"/>
            <w:vAlign w:val="center"/>
          </w:tcPr>
          <w:p w14:paraId="32C284A9">
            <w:pPr>
              <w:pStyle w:val="90"/>
              <w:spacing w:line="240" w:lineRule="auto"/>
              <w:ind w:firstLine="0" w:firstLineChars="0"/>
              <w:rPr>
                <w:rFonts w:hAnsi="Times New Roman"/>
                <w:b/>
                <w:sz w:val="24"/>
                <w:szCs w:val="24"/>
              </w:rPr>
            </w:pPr>
            <w:r>
              <w:rPr>
                <w:rFonts w:hint="eastAsia" w:hAnsi="Times New Roman"/>
                <w:b/>
                <w:sz w:val="24"/>
                <w:szCs w:val="24"/>
              </w:rPr>
              <w:t>有效申报价格范围</w:t>
            </w:r>
          </w:p>
        </w:tc>
      </w:tr>
      <w:tr w14:paraId="01639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2" w:hRule="atLeast"/>
        </w:trPr>
        <w:tc>
          <w:tcPr>
            <w:tcW w:w="362" w:type="pct"/>
            <w:vMerge w:val="restart"/>
            <w:vAlign w:val="center"/>
          </w:tcPr>
          <w:p w14:paraId="317208EE">
            <w:pPr>
              <w:pStyle w:val="90"/>
              <w:spacing w:line="240" w:lineRule="auto"/>
              <w:ind w:firstLine="0" w:firstLineChars="0"/>
              <w:rPr>
                <w:rFonts w:hAnsi="Times New Roman"/>
                <w:sz w:val="24"/>
                <w:szCs w:val="24"/>
              </w:rPr>
            </w:pPr>
            <w:r>
              <w:rPr>
                <w:rFonts w:hint="eastAsia" w:hAnsi="Times New Roman"/>
                <w:sz w:val="24"/>
                <w:szCs w:val="24"/>
              </w:rPr>
              <w:t>现券</w:t>
            </w:r>
          </w:p>
        </w:tc>
        <w:tc>
          <w:tcPr>
            <w:tcW w:w="724" w:type="pct"/>
            <w:vAlign w:val="center"/>
          </w:tcPr>
          <w:p w14:paraId="30945449">
            <w:pPr>
              <w:pStyle w:val="90"/>
              <w:adjustRightInd w:val="0"/>
              <w:snapToGrid w:val="0"/>
              <w:spacing w:line="240" w:lineRule="auto"/>
              <w:ind w:firstLine="0" w:firstLineChars="0"/>
              <w:rPr>
                <w:rFonts w:hAnsi="Times New Roman"/>
                <w:sz w:val="24"/>
                <w:szCs w:val="24"/>
              </w:rPr>
            </w:pPr>
            <w:r>
              <w:rPr>
                <w:rFonts w:hint="eastAsia" w:hAnsi="Times New Roman"/>
                <w:sz w:val="24"/>
                <w:szCs w:val="24"/>
              </w:rPr>
              <w:t>国债、地方债、政府支持债券、政策性金融债</w:t>
            </w:r>
          </w:p>
        </w:tc>
        <w:tc>
          <w:tcPr>
            <w:tcW w:w="580" w:type="pct"/>
            <w:vMerge w:val="restart"/>
            <w:vAlign w:val="center"/>
          </w:tcPr>
          <w:p w14:paraId="18B6E89F">
            <w:pPr>
              <w:pStyle w:val="90"/>
              <w:spacing w:line="240" w:lineRule="auto"/>
              <w:ind w:firstLine="0" w:firstLineChars="0"/>
              <w:rPr>
                <w:rFonts w:hAnsi="Times New Roman"/>
                <w:sz w:val="24"/>
                <w:szCs w:val="24"/>
              </w:rPr>
            </w:pPr>
            <w:r>
              <w:rPr>
                <w:rFonts w:hint="eastAsia" w:hAnsi="Times New Roman"/>
                <w:sz w:val="24"/>
                <w:szCs w:val="24"/>
              </w:rPr>
              <w:t>有效申报价格范围</w:t>
            </w:r>
          </w:p>
        </w:tc>
        <w:tc>
          <w:tcPr>
            <w:tcW w:w="652" w:type="pct"/>
            <w:vMerge w:val="restart"/>
            <w:vAlign w:val="center"/>
          </w:tcPr>
          <w:p w14:paraId="372AD31A">
            <w:pPr>
              <w:pStyle w:val="90"/>
              <w:spacing w:line="240" w:lineRule="auto"/>
              <w:ind w:firstLine="0" w:firstLineChars="0"/>
              <w:rPr>
                <w:rFonts w:hAnsi="Times New Roman"/>
                <w:sz w:val="24"/>
                <w:szCs w:val="24"/>
              </w:rPr>
            </w:pPr>
            <w:r>
              <w:rPr>
                <w:rFonts w:hint="eastAsia" w:hAnsi="Times New Roman"/>
                <w:sz w:val="24"/>
                <w:szCs w:val="24"/>
              </w:rPr>
              <w:t>匹配成交</w:t>
            </w:r>
          </w:p>
        </w:tc>
        <w:tc>
          <w:tcPr>
            <w:tcW w:w="2681" w:type="pct"/>
            <w:vMerge w:val="restart"/>
            <w:vAlign w:val="center"/>
          </w:tcPr>
          <w:p w14:paraId="793AC4B9">
            <w:pPr>
              <w:pStyle w:val="90"/>
              <w:spacing w:line="240" w:lineRule="auto"/>
              <w:ind w:firstLine="0" w:firstLineChars="0"/>
              <w:rPr>
                <w:rFonts w:hAnsi="Times New Roman"/>
                <w:sz w:val="24"/>
                <w:szCs w:val="24"/>
              </w:rPr>
            </w:pPr>
            <w:r>
              <w:rPr>
                <w:rFonts w:hint="eastAsia" w:hAnsi="Times New Roman"/>
                <w:b/>
                <w:sz w:val="24"/>
                <w:szCs w:val="24"/>
              </w:rPr>
              <w:t>集合匹配价格限制：</w:t>
            </w:r>
            <w:r>
              <w:rPr>
                <w:rFonts w:hint="eastAsia" w:hAnsi="Times New Roman"/>
                <w:sz w:val="24"/>
                <w:szCs w:val="24"/>
              </w:rPr>
              <w:t>债券的有效申报价格范围为前收盘价的上下30%</w:t>
            </w:r>
          </w:p>
          <w:p w14:paraId="7710CEA5">
            <w:pPr>
              <w:pStyle w:val="90"/>
              <w:spacing w:line="240" w:lineRule="auto"/>
              <w:ind w:firstLine="0" w:firstLineChars="0"/>
              <w:rPr>
                <w:rFonts w:hAnsi="Times New Roman"/>
                <w:sz w:val="24"/>
                <w:szCs w:val="24"/>
              </w:rPr>
            </w:pPr>
            <w:r>
              <w:rPr>
                <w:rFonts w:hint="eastAsia" w:hAnsi="Times New Roman"/>
                <w:b/>
                <w:sz w:val="24"/>
                <w:szCs w:val="24"/>
              </w:rPr>
              <w:t>连续匹配价格限制：</w:t>
            </w:r>
            <w:r>
              <w:rPr>
                <w:rFonts w:hint="eastAsia" w:hAnsi="Times New Roman"/>
                <w:sz w:val="24"/>
                <w:szCs w:val="24"/>
              </w:rPr>
              <w:t>政府债券、政府支持债券、政策性金融债等的有效申报价格范围为匹配成交最新成交价格的上下10%，其他债券的有效申报价格范围为匹配成交最新成交价格的上下20%</w:t>
            </w:r>
          </w:p>
        </w:tc>
      </w:tr>
      <w:tr w14:paraId="5727D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362" w:type="pct"/>
            <w:vMerge w:val="continue"/>
            <w:vAlign w:val="center"/>
          </w:tcPr>
          <w:p w14:paraId="1C89AC36">
            <w:pPr>
              <w:pStyle w:val="90"/>
              <w:spacing w:line="240" w:lineRule="auto"/>
              <w:ind w:firstLine="480"/>
              <w:rPr>
                <w:rFonts w:hAnsi="Times New Roman"/>
                <w:sz w:val="24"/>
                <w:szCs w:val="24"/>
              </w:rPr>
            </w:pPr>
          </w:p>
        </w:tc>
        <w:tc>
          <w:tcPr>
            <w:tcW w:w="724" w:type="pct"/>
            <w:vAlign w:val="center"/>
          </w:tcPr>
          <w:p w14:paraId="6AE7FE54">
            <w:pPr>
              <w:pStyle w:val="90"/>
              <w:spacing w:line="240" w:lineRule="auto"/>
              <w:ind w:firstLine="0" w:firstLineChars="0"/>
              <w:rPr>
                <w:rFonts w:hAnsi="Times New Roman"/>
                <w:sz w:val="24"/>
                <w:szCs w:val="24"/>
              </w:rPr>
            </w:pPr>
            <w:r>
              <w:rPr>
                <w:rFonts w:hint="eastAsia" w:hAnsi="Times New Roman"/>
                <w:sz w:val="24"/>
                <w:szCs w:val="24"/>
              </w:rPr>
              <w:t>公司债</w:t>
            </w:r>
          </w:p>
        </w:tc>
        <w:tc>
          <w:tcPr>
            <w:tcW w:w="580" w:type="pct"/>
            <w:vMerge w:val="continue"/>
            <w:vAlign w:val="center"/>
          </w:tcPr>
          <w:p w14:paraId="2973D1F9">
            <w:pPr>
              <w:pStyle w:val="90"/>
              <w:spacing w:line="240" w:lineRule="auto"/>
              <w:ind w:firstLine="480"/>
              <w:rPr>
                <w:rFonts w:hAnsi="Times New Roman"/>
                <w:sz w:val="24"/>
                <w:szCs w:val="24"/>
              </w:rPr>
            </w:pPr>
          </w:p>
        </w:tc>
        <w:tc>
          <w:tcPr>
            <w:tcW w:w="652" w:type="pct"/>
            <w:vMerge w:val="continue"/>
            <w:vAlign w:val="center"/>
          </w:tcPr>
          <w:p w14:paraId="3E3C742A">
            <w:pPr>
              <w:pStyle w:val="90"/>
              <w:spacing w:line="240" w:lineRule="auto"/>
              <w:ind w:firstLine="480"/>
              <w:rPr>
                <w:rFonts w:hAnsi="Times New Roman"/>
                <w:sz w:val="24"/>
                <w:szCs w:val="24"/>
              </w:rPr>
            </w:pPr>
          </w:p>
        </w:tc>
        <w:tc>
          <w:tcPr>
            <w:tcW w:w="2681" w:type="pct"/>
            <w:vMerge w:val="continue"/>
            <w:vAlign w:val="center"/>
          </w:tcPr>
          <w:p w14:paraId="2F6AFF25">
            <w:pPr>
              <w:pStyle w:val="90"/>
              <w:spacing w:line="240" w:lineRule="auto"/>
              <w:ind w:firstLine="480"/>
              <w:rPr>
                <w:rFonts w:hAnsi="Times New Roman"/>
                <w:sz w:val="24"/>
                <w:szCs w:val="24"/>
              </w:rPr>
            </w:pPr>
          </w:p>
        </w:tc>
      </w:tr>
      <w:tr w14:paraId="63375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362" w:type="pct"/>
            <w:vMerge w:val="continue"/>
            <w:vAlign w:val="center"/>
          </w:tcPr>
          <w:p w14:paraId="3C7E1C3B">
            <w:pPr>
              <w:pStyle w:val="90"/>
              <w:spacing w:line="240" w:lineRule="auto"/>
              <w:ind w:firstLine="480"/>
              <w:rPr>
                <w:rFonts w:hAnsi="Times New Roman"/>
                <w:sz w:val="24"/>
                <w:szCs w:val="24"/>
              </w:rPr>
            </w:pPr>
          </w:p>
        </w:tc>
        <w:tc>
          <w:tcPr>
            <w:tcW w:w="724" w:type="pct"/>
            <w:vAlign w:val="center"/>
          </w:tcPr>
          <w:p w14:paraId="35277503">
            <w:pPr>
              <w:pStyle w:val="90"/>
              <w:spacing w:line="240" w:lineRule="auto"/>
              <w:ind w:firstLine="0" w:firstLineChars="0"/>
              <w:rPr>
                <w:rFonts w:hAnsi="Times New Roman"/>
                <w:sz w:val="24"/>
                <w:szCs w:val="24"/>
              </w:rPr>
            </w:pPr>
            <w:r>
              <w:rPr>
                <w:rFonts w:hint="eastAsia" w:hAnsi="Times New Roman"/>
                <w:sz w:val="24"/>
                <w:szCs w:val="24"/>
              </w:rPr>
              <w:t>可交换债</w:t>
            </w:r>
          </w:p>
        </w:tc>
        <w:tc>
          <w:tcPr>
            <w:tcW w:w="580" w:type="pct"/>
            <w:vMerge w:val="continue"/>
            <w:vAlign w:val="center"/>
          </w:tcPr>
          <w:p w14:paraId="57BC814B">
            <w:pPr>
              <w:pStyle w:val="90"/>
              <w:spacing w:line="240" w:lineRule="auto"/>
              <w:ind w:firstLine="480"/>
              <w:rPr>
                <w:rFonts w:hAnsi="Times New Roman"/>
                <w:sz w:val="24"/>
                <w:szCs w:val="24"/>
              </w:rPr>
            </w:pPr>
          </w:p>
        </w:tc>
        <w:tc>
          <w:tcPr>
            <w:tcW w:w="652" w:type="pct"/>
            <w:vMerge w:val="continue"/>
            <w:vAlign w:val="center"/>
          </w:tcPr>
          <w:p w14:paraId="6C451DBD">
            <w:pPr>
              <w:pStyle w:val="90"/>
              <w:spacing w:line="240" w:lineRule="auto"/>
              <w:ind w:firstLine="480"/>
              <w:rPr>
                <w:rFonts w:hAnsi="Times New Roman"/>
                <w:sz w:val="24"/>
                <w:szCs w:val="24"/>
              </w:rPr>
            </w:pPr>
          </w:p>
        </w:tc>
        <w:tc>
          <w:tcPr>
            <w:tcW w:w="2681" w:type="pct"/>
            <w:vMerge w:val="continue"/>
            <w:vAlign w:val="center"/>
          </w:tcPr>
          <w:p w14:paraId="1067936B">
            <w:pPr>
              <w:pStyle w:val="90"/>
              <w:spacing w:line="240" w:lineRule="auto"/>
              <w:ind w:firstLine="480"/>
              <w:rPr>
                <w:rFonts w:hAnsi="Times New Roman"/>
                <w:sz w:val="24"/>
                <w:szCs w:val="24"/>
              </w:rPr>
            </w:pPr>
          </w:p>
        </w:tc>
      </w:tr>
      <w:tr w14:paraId="7E16E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362" w:type="pct"/>
            <w:vMerge w:val="restart"/>
            <w:vAlign w:val="center"/>
          </w:tcPr>
          <w:p w14:paraId="39D5570B">
            <w:pPr>
              <w:pStyle w:val="90"/>
              <w:spacing w:line="240" w:lineRule="auto"/>
              <w:ind w:firstLine="0" w:firstLineChars="0"/>
              <w:rPr>
                <w:rFonts w:hAnsi="Times New Roman"/>
                <w:sz w:val="24"/>
                <w:szCs w:val="24"/>
              </w:rPr>
            </w:pPr>
            <w:r>
              <w:rPr>
                <w:rFonts w:hint="eastAsia" w:hAnsi="Times New Roman"/>
                <w:sz w:val="24"/>
                <w:szCs w:val="24"/>
              </w:rPr>
              <w:t>回购</w:t>
            </w:r>
          </w:p>
        </w:tc>
        <w:tc>
          <w:tcPr>
            <w:tcW w:w="724" w:type="pct"/>
            <w:vAlign w:val="center"/>
          </w:tcPr>
          <w:p w14:paraId="6E12C6E7">
            <w:pPr>
              <w:pStyle w:val="90"/>
              <w:spacing w:line="240" w:lineRule="auto"/>
              <w:ind w:firstLine="0" w:firstLineChars="0"/>
              <w:rPr>
                <w:rFonts w:hAnsi="Times New Roman"/>
                <w:sz w:val="24"/>
                <w:szCs w:val="24"/>
              </w:rPr>
            </w:pPr>
            <w:r>
              <w:rPr>
                <w:rFonts w:hint="eastAsia" w:hAnsi="Times New Roman"/>
                <w:sz w:val="24"/>
                <w:szCs w:val="24"/>
              </w:rPr>
              <w:t>通用回购</w:t>
            </w:r>
          </w:p>
        </w:tc>
        <w:tc>
          <w:tcPr>
            <w:tcW w:w="580" w:type="pct"/>
            <w:vAlign w:val="center"/>
          </w:tcPr>
          <w:p w14:paraId="2AB2E0DA">
            <w:pPr>
              <w:pStyle w:val="90"/>
              <w:spacing w:line="240" w:lineRule="auto"/>
              <w:ind w:firstLine="0" w:firstLineChars="0"/>
              <w:rPr>
                <w:rFonts w:hAnsi="Times New Roman"/>
                <w:sz w:val="24"/>
                <w:szCs w:val="24"/>
              </w:rPr>
            </w:pPr>
            <w:r>
              <w:rPr>
                <w:rFonts w:hint="eastAsia" w:hAnsi="Times New Roman"/>
                <w:sz w:val="24"/>
                <w:szCs w:val="24"/>
              </w:rPr>
              <w:t>有效申报价格范围（“价格笼子”）</w:t>
            </w:r>
          </w:p>
        </w:tc>
        <w:tc>
          <w:tcPr>
            <w:tcW w:w="652" w:type="pct"/>
            <w:vAlign w:val="center"/>
          </w:tcPr>
          <w:p w14:paraId="0688919D">
            <w:pPr>
              <w:pStyle w:val="90"/>
              <w:spacing w:line="240" w:lineRule="auto"/>
              <w:ind w:firstLine="0" w:firstLineChars="0"/>
              <w:rPr>
                <w:rFonts w:hAnsi="Times New Roman"/>
                <w:sz w:val="24"/>
                <w:szCs w:val="24"/>
              </w:rPr>
            </w:pPr>
            <w:r>
              <w:rPr>
                <w:rFonts w:hint="eastAsia" w:hAnsi="Times New Roman"/>
                <w:sz w:val="24"/>
                <w:szCs w:val="24"/>
              </w:rPr>
              <w:t>匹配成交</w:t>
            </w:r>
          </w:p>
        </w:tc>
        <w:tc>
          <w:tcPr>
            <w:tcW w:w="2681" w:type="pct"/>
            <w:vAlign w:val="center"/>
          </w:tcPr>
          <w:p w14:paraId="0F6481DE">
            <w:pPr>
              <w:pStyle w:val="90"/>
              <w:spacing w:line="240" w:lineRule="auto"/>
              <w:ind w:firstLine="0" w:firstLineChars="0"/>
              <w:rPr>
                <w:rFonts w:hAnsi="Times New Roman"/>
                <w:sz w:val="24"/>
                <w:szCs w:val="24"/>
              </w:rPr>
            </w:pPr>
            <w:r>
              <w:rPr>
                <w:rFonts w:hint="eastAsia" w:hAnsi="Times New Roman"/>
                <w:sz w:val="24"/>
                <w:szCs w:val="24"/>
              </w:rPr>
              <w:t>在集合匹配阶段，有效申报价格范围为前收盘价的上下</w:t>
            </w:r>
            <w:r>
              <w:rPr>
                <w:rFonts w:hAnsi="Times New Roman"/>
                <w:sz w:val="24"/>
                <w:szCs w:val="24"/>
              </w:rPr>
              <w:t>100%</w:t>
            </w:r>
            <w:r>
              <w:rPr>
                <w:rFonts w:hint="eastAsia" w:hAnsi="Times New Roman"/>
                <w:sz w:val="24"/>
                <w:szCs w:val="24"/>
              </w:rPr>
              <w:t>；连续匹配阶段，有效申报价格不得高于匹配成交最新成交价格</w:t>
            </w:r>
            <w:r>
              <w:rPr>
                <w:rFonts w:hAnsi="Times New Roman"/>
                <w:sz w:val="24"/>
                <w:szCs w:val="24"/>
              </w:rPr>
              <w:t>100个基点</w:t>
            </w:r>
          </w:p>
        </w:tc>
      </w:tr>
      <w:tr w14:paraId="03A9C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362" w:type="pct"/>
            <w:vMerge w:val="continue"/>
            <w:vAlign w:val="center"/>
          </w:tcPr>
          <w:p w14:paraId="320C174F">
            <w:pPr>
              <w:pStyle w:val="90"/>
              <w:spacing w:line="240" w:lineRule="auto"/>
              <w:ind w:firstLine="480"/>
              <w:rPr>
                <w:rFonts w:hAnsi="Times New Roman"/>
                <w:sz w:val="24"/>
                <w:szCs w:val="24"/>
              </w:rPr>
            </w:pPr>
          </w:p>
        </w:tc>
        <w:tc>
          <w:tcPr>
            <w:tcW w:w="724" w:type="pct"/>
            <w:vAlign w:val="center"/>
          </w:tcPr>
          <w:p w14:paraId="37E5991D">
            <w:pPr>
              <w:pStyle w:val="90"/>
              <w:spacing w:line="240" w:lineRule="auto"/>
              <w:ind w:firstLine="0" w:firstLineChars="0"/>
              <w:rPr>
                <w:rFonts w:hAnsi="Times New Roman"/>
                <w:sz w:val="24"/>
                <w:szCs w:val="24"/>
              </w:rPr>
            </w:pPr>
            <w:r>
              <w:rPr>
                <w:rFonts w:hint="eastAsia" w:hAnsi="Times New Roman"/>
                <w:sz w:val="24"/>
                <w:szCs w:val="24"/>
              </w:rPr>
              <w:t>协议回购</w:t>
            </w:r>
          </w:p>
        </w:tc>
        <w:tc>
          <w:tcPr>
            <w:tcW w:w="580" w:type="pct"/>
            <w:vMerge w:val="restart"/>
            <w:vAlign w:val="center"/>
          </w:tcPr>
          <w:p w14:paraId="12E9C224">
            <w:pPr>
              <w:pStyle w:val="90"/>
              <w:spacing w:line="240" w:lineRule="auto"/>
              <w:ind w:firstLine="0" w:firstLineChars="0"/>
              <w:rPr>
                <w:rFonts w:hAnsi="Times New Roman"/>
                <w:sz w:val="24"/>
                <w:szCs w:val="24"/>
              </w:rPr>
            </w:pPr>
            <w:r>
              <w:rPr>
                <w:rFonts w:hint="eastAsia" w:hAnsi="Times New Roman"/>
                <w:sz w:val="24"/>
                <w:szCs w:val="24"/>
              </w:rPr>
              <w:t>价格上下限</w:t>
            </w:r>
          </w:p>
        </w:tc>
        <w:tc>
          <w:tcPr>
            <w:tcW w:w="652" w:type="pct"/>
            <w:vAlign w:val="center"/>
          </w:tcPr>
          <w:p w14:paraId="0CE51D87">
            <w:pPr>
              <w:pStyle w:val="90"/>
              <w:spacing w:line="240" w:lineRule="auto"/>
              <w:ind w:firstLine="0" w:firstLineChars="0"/>
              <w:rPr>
                <w:rFonts w:hAnsi="Times New Roman"/>
                <w:sz w:val="24"/>
                <w:szCs w:val="24"/>
              </w:rPr>
            </w:pPr>
            <w:r>
              <w:rPr>
                <w:rFonts w:hint="eastAsia" w:hAnsi="Times New Roman"/>
                <w:sz w:val="24"/>
                <w:szCs w:val="24"/>
              </w:rPr>
              <w:t>协商成交</w:t>
            </w:r>
          </w:p>
        </w:tc>
        <w:tc>
          <w:tcPr>
            <w:tcW w:w="2681" w:type="pct"/>
            <w:vAlign w:val="center"/>
          </w:tcPr>
          <w:p w14:paraId="0C1FF2D9">
            <w:pPr>
              <w:pStyle w:val="90"/>
              <w:spacing w:line="240" w:lineRule="auto"/>
              <w:ind w:firstLine="0" w:firstLineChars="0"/>
              <w:rPr>
                <w:rFonts w:hAnsi="Times New Roman"/>
                <w:sz w:val="24"/>
                <w:szCs w:val="24"/>
              </w:rPr>
            </w:pPr>
            <w:r>
              <w:rPr>
                <w:rFonts w:hint="eastAsia" w:hAnsi="Times New Roman"/>
                <w:sz w:val="24"/>
                <w:szCs w:val="24"/>
              </w:rPr>
              <w:t>利率不得超过100%。</w:t>
            </w:r>
          </w:p>
        </w:tc>
      </w:tr>
      <w:tr w14:paraId="495CD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362" w:type="pct"/>
            <w:vMerge w:val="continue"/>
            <w:vAlign w:val="center"/>
          </w:tcPr>
          <w:p w14:paraId="3E1AA919">
            <w:pPr>
              <w:pStyle w:val="90"/>
              <w:spacing w:line="240" w:lineRule="auto"/>
              <w:ind w:firstLine="480"/>
              <w:rPr>
                <w:rFonts w:hAnsi="Times New Roman"/>
                <w:sz w:val="24"/>
                <w:szCs w:val="24"/>
              </w:rPr>
            </w:pPr>
          </w:p>
        </w:tc>
        <w:tc>
          <w:tcPr>
            <w:tcW w:w="724" w:type="pct"/>
            <w:vAlign w:val="center"/>
          </w:tcPr>
          <w:p w14:paraId="359E1789">
            <w:pPr>
              <w:pStyle w:val="90"/>
              <w:spacing w:line="240" w:lineRule="auto"/>
              <w:ind w:firstLine="0" w:firstLineChars="0"/>
              <w:rPr>
                <w:rFonts w:hAnsi="Times New Roman"/>
                <w:sz w:val="24"/>
                <w:szCs w:val="24"/>
              </w:rPr>
            </w:pPr>
            <w:r>
              <w:rPr>
                <w:rFonts w:hint="eastAsia" w:hAnsi="Times New Roman"/>
                <w:sz w:val="24"/>
                <w:szCs w:val="24"/>
              </w:rPr>
              <w:t>三方回购</w:t>
            </w:r>
          </w:p>
        </w:tc>
        <w:tc>
          <w:tcPr>
            <w:tcW w:w="580" w:type="pct"/>
            <w:vMerge w:val="continue"/>
            <w:vAlign w:val="center"/>
          </w:tcPr>
          <w:p w14:paraId="792E26C3">
            <w:pPr>
              <w:pStyle w:val="90"/>
              <w:spacing w:line="240" w:lineRule="auto"/>
              <w:ind w:firstLine="480"/>
              <w:rPr>
                <w:rFonts w:hAnsi="Times New Roman"/>
                <w:sz w:val="24"/>
                <w:szCs w:val="24"/>
              </w:rPr>
            </w:pPr>
          </w:p>
        </w:tc>
        <w:tc>
          <w:tcPr>
            <w:tcW w:w="652" w:type="pct"/>
            <w:vAlign w:val="center"/>
          </w:tcPr>
          <w:p w14:paraId="1CC574DA">
            <w:pPr>
              <w:pStyle w:val="90"/>
              <w:spacing w:line="240" w:lineRule="auto"/>
              <w:ind w:firstLine="0" w:firstLineChars="0"/>
              <w:rPr>
                <w:rFonts w:hAnsi="Times New Roman"/>
                <w:sz w:val="24"/>
                <w:szCs w:val="24"/>
              </w:rPr>
            </w:pPr>
            <w:r>
              <w:rPr>
                <w:rFonts w:hint="eastAsia" w:hAnsi="Times New Roman"/>
                <w:sz w:val="24"/>
                <w:szCs w:val="24"/>
              </w:rPr>
              <w:t>协商成交</w:t>
            </w:r>
          </w:p>
        </w:tc>
        <w:tc>
          <w:tcPr>
            <w:tcW w:w="2681" w:type="pct"/>
            <w:vAlign w:val="center"/>
          </w:tcPr>
          <w:p w14:paraId="478AAADB">
            <w:pPr>
              <w:pStyle w:val="90"/>
              <w:spacing w:line="240" w:lineRule="auto"/>
              <w:ind w:firstLine="0" w:firstLineChars="0"/>
              <w:rPr>
                <w:rFonts w:hAnsi="Times New Roman"/>
                <w:sz w:val="24"/>
                <w:szCs w:val="24"/>
              </w:rPr>
            </w:pPr>
            <w:r>
              <w:rPr>
                <w:rFonts w:hint="eastAsia" w:hAnsi="Times New Roman"/>
                <w:sz w:val="24"/>
                <w:szCs w:val="24"/>
              </w:rPr>
              <w:t>回购利率不能超过法律法规及司法解释允许的利率范围</w:t>
            </w:r>
          </w:p>
        </w:tc>
      </w:tr>
    </w:tbl>
    <w:p w14:paraId="1693E247">
      <w:pPr>
        <w:pStyle w:val="90"/>
        <w:spacing w:line="600" w:lineRule="exact"/>
        <w:ind w:firstLine="600"/>
        <w:rPr>
          <w:rFonts w:hAnsi="Times New Roman"/>
          <w:sz w:val="30"/>
          <w:szCs w:val="30"/>
        </w:rPr>
      </w:pPr>
      <w:r>
        <w:rPr>
          <w:rFonts w:hint="eastAsia" w:hAnsi="Times New Roman"/>
          <w:sz w:val="30"/>
          <w:szCs w:val="30"/>
        </w:rPr>
        <w:t>有效申报价格范围的确定，</w:t>
      </w:r>
      <w:r>
        <w:rPr>
          <w:rFonts w:hAnsi="Times New Roman"/>
          <w:sz w:val="30"/>
          <w:szCs w:val="30"/>
        </w:rPr>
        <w:t>详见</w:t>
      </w:r>
      <w:r>
        <w:rPr>
          <w:rFonts w:hint="eastAsia" w:hAnsi="Times New Roman"/>
          <w:sz w:val="30"/>
          <w:szCs w:val="30"/>
        </w:rPr>
        <w:t>本指南</w:t>
      </w:r>
      <w:r>
        <w:rPr>
          <w:rFonts w:hAnsi="Times New Roman"/>
          <w:sz w:val="30"/>
          <w:szCs w:val="30"/>
        </w:rPr>
        <w:t>第</w:t>
      </w:r>
      <w:r>
        <w:rPr>
          <w:rFonts w:hint="eastAsia" w:hAnsi="Times New Roman"/>
          <w:sz w:val="30"/>
          <w:szCs w:val="30"/>
        </w:rPr>
        <w:t>5</w:t>
      </w:r>
      <w:r>
        <w:rPr>
          <w:rFonts w:hAnsi="Times New Roman"/>
          <w:sz w:val="30"/>
          <w:szCs w:val="30"/>
        </w:rPr>
        <w:t>章</w:t>
      </w:r>
      <w:r>
        <w:rPr>
          <w:rFonts w:hint="eastAsia" w:hAnsi="Times New Roman"/>
          <w:sz w:val="30"/>
          <w:szCs w:val="30"/>
        </w:rPr>
        <w:t>相关内容。</w:t>
      </w:r>
    </w:p>
    <w:p w14:paraId="01C8D93C">
      <w:pPr>
        <w:pStyle w:val="90"/>
        <w:spacing w:line="600" w:lineRule="exact"/>
        <w:ind w:firstLine="600"/>
        <w:rPr>
          <w:rFonts w:hAnsi="Times New Roman"/>
          <w:sz w:val="30"/>
          <w:szCs w:val="30"/>
        </w:rPr>
      </w:pPr>
      <w:r>
        <w:rPr>
          <w:rFonts w:hint="eastAsia" w:hAnsi="Times New Roman"/>
          <w:sz w:val="30"/>
          <w:szCs w:val="30"/>
        </w:rPr>
        <w:t>有效申报价格范围或者按照成交原则达成的价格不在价格最小变动单位范围内的，按照四舍五入原则取至相应的价格最小变动单位。</w:t>
      </w:r>
    </w:p>
    <w:p w14:paraId="771F5CC3">
      <w:pPr>
        <w:numPr>
          <w:ilvl w:val="2"/>
          <w:numId w:val="4"/>
        </w:numPr>
        <w:spacing w:line="600" w:lineRule="exact"/>
        <w:ind w:left="0" w:firstLine="0"/>
        <w:outlineLvl w:val="2"/>
        <w:rPr>
          <w:rFonts w:ascii="仿宋_GB2312" w:eastAsia="仿宋_GB2312"/>
          <w:b/>
          <w:sz w:val="30"/>
          <w:szCs w:val="30"/>
        </w:rPr>
      </w:pPr>
      <w:bookmarkStart w:id="407" w:name="_Toc57908889"/>
      <w:r>
        <w:rPr>
          <w:rFonts w:hint="eastAsia" w:ascii="仿宋_GB2312" w:eastAsia="仿宋_GB2312"/>
          <w:b/>
          <w:sz w:val="30"/>
          <w:szCs w:val="30"/>
        </w:rPr>
        <w:t>涨跌幅限制</w:t>
      </w:r>
      <w:bookmarkEnd w:id="407"/>
    </w:p>
    <w:p w14:paraId="23F30A61">
      <w:pPr>
        <w:pStyle w:val="90"/>
        <w:spacing w:line="600" w:lineRule="exact"/>
        <w:ind w:firstLine="600"/>
        <w:rPr>
          <w:rFonts w:hAnsi="Times New Roman"/>
          <w:sz w:val="30"/>
          <w:szCs w:val="30"/>
        </w:rPr>
      </w:pPr>
      <w:r>
        <w:rPr>
          <w:rFonts w:hint="eastAsia" w:hAnsi="Times New Roman"/>
          <w:sz w:val="30"/>
          <w:szCs w:val="30"/>
        </w:rPr>
        <w:t>债券交易不设价格涨跌幅限制，本所另有规定的除外。</w:t>
      </w:r>
    </w:p>
    <w:p w14:paraId="7E26EA2E">
      <w:pPr>
        <w:numPr>
          <w:ilvl w:val="2"/>
          <w:numId w:val="4"/>
        </w:numPr>
        <w:spacing w:line="600" w:lineRule="exact"/>
        <w:ind w:left="0" w:firstLine="0"/>
        <w:outlineLvl w:val="2"/>
        <w:rPr>
          <w:rFonts w:ascii="仿宋_GB2312" w:eastAsia="仿宋_GB2312"/>
          <w:b/>
          <w:sz w:val="30"/>
          <w:szCs w:val="30"/>
        </w:rPr>
      </w:pPr>
      <w:bookmarkStart w:id="408" w:name="_Toc57908890"/>
      <w:bookmarkStart w:id="409" w:name="_Toc56166079"/>
      <w:bookmarkStart w:id="410" w:name="_Toc56166268"/>
      <w:r>
        <w:rPr>
          <w:rFonts w:hint="eastAsia" w:ascii="仿宋_GB2312" w:eastAsia="仿宋_GB2312"/>
          <w:b/>
          <w:sz w:val="30"/>
          <w:szCs w:val="30"/>
        </w:rPr>
        <w:t>价格类型</w:t>
      </w:r>
      <w:bookmarkEnd w:id="408"/>
      <w:bookmarkEnd w:id="409"/>
      <w:bookmarkEnd w:id="410"/>
    </w:p>
    <w:p w14:paraId="4C23146E">
      <w:pPr>
        <w:pStyle w:val="90"/>
        <w:spacing w:line="600" w:lineRule="exact"/>
        <w:ind w:firstLine="600"/>
        <w:rPr>
          <w:rFonts w:hAnsi="Times New Roman"/>
          <w:sz w:val="30"/>
          <w:szCs w:val="30"/>
        </w:rPr>
      </w:pPr>
      <w:r>
        <w:rPr>
          <w:rFonts w:hint="eastAsia" w:hAnsi="Times New Roman"/>
          <w:sz w:val="30"/>
          <w:szCs w:val="30"/>
        </w:rPr>
        <w:t>除可转债、</w:t>
      </w:r>
      <w:r>
        <w:rPr>
          <w:rFonts w:hAnsi="Times New Roman"/>
          <w:sz w:val="30"/>
          <w:szCs w:val="30"/>
        </w:rPr>
        <w:t>ABS中的次级档和</w:t>
      </w:r>
      <w:r>
        <w:rPr>
          <w:rFonts w:hint="eastAsia" w:hAnsi="Times New Roman"/>
          <w:sz w:val="30"/>
          <w:szCs w:val="30"/>
        </w:rPr>
        <w:t>特定</w:t>
      </w:r>
      <w:r>
        <w:rPr>
          <w:rFonts w:hAnsi="Times New Roman"/>
          <w:sz w:val="30"/>
          <w:szCs w:val="30"/>
        </w:rPr>
        <w:t>债券采用全价交易外，其余债券现券实行净价交易。</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9"/>
        <w:gridCol w:w="2136"/>
        <w:gridCol w:w="3096"/>
      </w:tblGrid>
      <w:tr w14:paraId="649ED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32D2BAA9">
            <w:pPr>
              <w:pStyle w:val="90"/>
              <w:spacing w:line="240" w:lineRule="auto"/>
              <w:ind w:firstLine="0" w:firstLineChars="0"/>
              <w:rPr>
                <w:rFonts w:hAnsi="Times New Roman"/>
                <w:b/>
                <w:sz w:val="24"/>
                <w:szCs w:val="24"/>
              </w:rPr>
            </w:pPr>
            <w:r>
              <w:rPr>
                <w:rFonts w:hint="eastAsia" w:hAnsi="Times New Roman"/>
                <w:b/>
                <w:sz w:val="24"/>
                <w:szCs w:val="24"/>
              </w:rPr>
              <w:t>子市场</w:t>
            </w:r>
          </w:p>
        </w:tc>
        <w:tc>
          <w:tcPr>
            <w:tcW w:w="0" w:type="auto"/>
          </w:tcPr>
          <w:p w14:paraId="2197BBBA">
            <w:pPr>
              <w:pStyle w:val="90"/>
              <w:spacing w:line="240" w:lineRule="auto"/>
              <w:ind w:firstLine="0" w:firstLineChars="0"/>
              <w:rPr>
                <w:rFonts w:hAnsi="Times New Roman"/>
                <w:b/>
                <w:sz w:val="24"/>
                <w:szCs w:val="24"/>
              </w:rPr>
            </w:pPr>
            <w:r>
              <w:rPr>
                <w:rFonts w:hint="eastAsia" w:hAnsi="Times New Roman"/>
                <w:b/>
                <w:sz w:val="24"/>
                <w:szCs w:val="24"/>
              </w:rPr>
              <w:t>产品类型</w:t>
            </w:r>
          </w:p>
        </w:tc>
        <w:tc>
          <w:tcPr>
            <w:tcW w:w="0" w:type="auto"/>
          </w:tcPr>
          <w:p w14:paraId="4DB41A59">
            <w:pPr>
              <w:pStyle w:val="90"/>
              <w:spacing w:line="240" w:lineRule="auto"/>
              <w:ind w:firstLine="0" w:firstLineChars="0"/>
              <w:rPr>
                <w:rFonts w:hAnsi="Times New Roman"/>
                <w:b/>
                <w:sz w:val="24"/>
                <w:szCs w:val="24"/>
              </w:rPr>
            </w:pPr>
            <w:r>
              <w:rPr>
                <w:rFonts w:hint="eastAsia" w:hAnsi="Times New Roman"/>
                <w:b/>
                <w:sz w:val="24"/>
                <w:szCs w:val="24"/>
              </w:rPr>
              <w:t>价格类型</w:t>
            </w:r>
          </w:p>
        </w:tc>
      </w:tr>
      <w:tr w14:paraId="75369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tcPr>
          <w:p w14:paraId="3A134F82">
            <w:pPr>
              <w:pStyle w:val="90"/>
              <w:spacing w:line="240" w:lineRule="auto"/>
              <w:ind w:firstLine="0" w:firstLineChars="0"/>
              <w:rPr>
                <w:rFonts w:hAnsi="Times New Roman"/>
                <w:sz w:val="24"/>
                <w:szCs w:val="24"/>
              </w:rPr>
            </w:pPr>
            <w:r>
              <w:rPr>
                <w:rFonts w:hint="eastAsia" w:hAnsi="Times New Roman"/>
                <w:sz w:val="24"/>
                <w:szCs w:val="24"/>
              </w:rPr>
              <w:t>现券</w:t>
            </w:r>
          </w:p>
        </w:tc>
        <w:tc>
          <w:tcPr>
            <w:tcW w:w="0" w:type="auto"/>
          </w:tcPr>
          <w:p w14:paraId="749CEA59">
            <w:pPr>
              <w:pStyle w:val="90"/>
              <w:spacing w:line="240" w:lineRule="auto"/>
              <w:ind w:firstLine="0" w:firstLineChars="0"/>
              <w:rPr>
                <w:rFonts w:hAnsi="Times New Roman"/>
                <w:sz w:val="24"/>
                <w:szCs w:val="24"/>
              </w:rPr>
            </w:pPr>
            <w:r>
              <w:rPr>
                <w:rFonts w:hint="eastAsia" w:hAnsi="Times New Roman"/>
                <w:sz w:val="24"/>
                <w:szCs w:val="24"/>
              </w:rPr>
              <w:t>国债</w:t>
            </w:r>
          </w:p>
        </w:tc>
        <w:tc>
          <w:tcPr>
            <w:tcW w:w="0" w:type="auto"/>
          </w:tcPr>
          <w:p w14:paraId="00AD4E69">
            <w:pPr>
              <w:pStyle w:val="90"/>
              <w:spacing w:line="240" w:lineRule="auto"/>
              <w:ind w:firstLine="0" w:firstLineChars="0"/>
              <w:rPr>
                <w:rFonts w:hAnsi="Times New Roman"/>
                <w:sz w:val="24"/>
                <w:szCs w:val="24"/>
              </w:rPr>
            </w:pPr>
            <w:r>
              <w:rPr>
                <w:rFonts w:hint="eastAsia" w:hAnsi="Times New Roman"/>
                <w:sz w:val="24"/>
                <w:szCs w:val="24"/>
              </w:rPr>
              <w:t>净价</w:t>
            </w:r>
          </w:p>
        </w:tc>
      </w:tr>
      <w:tr w14:paraId="1A45F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Pr>
          <w:p w14:paraId="239A74A4">
            <w:pPr>
              <w:pStyle w:val="90"/>
              <w:spacing w:line="240" w:lineRule="auto"/>
              <w:ind w:firstLine="480"/>
              <w:rPr>
                <w:rFonts w:hAnsi="Times New Roman"/>
                <w:sz w:val="24"/>
                <w:szCs w:val="24"/>
              </w:rPr>
            </w:pPr>
          </w:p>
        </w:tc>
        <w:tc>
          <w:tcPr>
            <w:tcW w:w="0" w:type="auto"/>
          </w:tcPr>
          <w:p w14:paraId="1921A9DB">
            <w:pPr>
              <w:pStyle w:val="90"/>
              <w:spacing w:line="240" w:lineRule="auto"/>
              <w:ind w:firstLine="0" w:firstLineChars="0"/>
              <w:rPr>
                <w:rFonts w:hAnsi="Times New Roman"/>
                <w:sz w:val="24"/>
                <w:szCs w:val="24"/>
              </w:rPr>
            </w:pPr>
            <w:r>
              <w:rPr>
                <w:rFonts w:hint="eastAsia" w:hAnsi="Times New Roman"/>
                <w:sz w:val="24"/>
                <w:szCs w:val="24"/>
              </w:rPr>
              <w:t>地方债</w:t>
            </w:r>
          </w:p>
        </w:tc>
        <w:tc>
          <w:tcPr>
            <w:tcW w:w="0" w:type="auto"/>
          </w:tcPr>
          <w:p w14:paraId="7A6CE994">
            <w:pPr>
              <w:pStyle w:val="90"/>
              <w:spacing w:line="240" w:lineRule="auto"/>
              <w:ind w:firstLine="0" w:firstLineChars="0"/>
              <w:rPr>
                <w:rFonts w:hAnsi="Times New Roman"/>
                <w:sz w:val="24"/>
                <w:szCs w:val="24"/>
              </w:rPr>
            </w:pPr>
            <w:r>
              <w:rPr>
                <w:rFonts w:hint="eastAsia" w:hAnsi="Times New Roman"/>
                <w:sz w:val="24"/>
                <w:szCs w:val="24"/>
              </w:rPr>
              <w:t>净价</w:t>
            </w:r>
          </w:p>
        </w:tc>
      </w:tr>
      <w:tr w14:paraId="59320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0" w:type="auto"/>
            <w:vMerge w:val="continue"/>
          </w:tcPr>
          <w:p w14:paraId="4007F04F">
            <w:pPr>
              <w:pStyle w:val="90"/>
              <w:spacing w:line="240" w:lineRule="auto"/>
              <w:ind w:firstLine="480"/>
              <w:rPr>
                <w:rFonts w:hAnsi="Times New Roman"/>
                <w:sz w:val="24"/>
                <w:szCs w:val="24"/>
              </w:rPr>
            </w:pPr>
          </w:p>
        </w:tc>
        <w:tc>
          <w:tcPr>
            <w:tcW w:w="0" w:type="auto"/>
          </w:tcPr>
          <w:p w14:paraId="4B2BEB4F">
            <w:pPr>
              <w:pStyle w:val="90"/>
              <w:spacing w:line="240" w:lineRule="auto"/>
              <w:ind w:firstLine="0" w:firstLineChars="0"/>
              <w:rPr>
                <w:rFonts w:hAnsi="Times New Roman"/>
                <w:sz w:val="24"/>
                <w:szCs w:val="24"/>
              </w:rPr>
            </w:pPr>
            <w:r>
              <w:rPr>
                <w:rFonts w:hint="eastAsia" w:hAnsi="Times New Roman"/>
                <w:sz w:val="24"/>
                <w:szCs w:val="24"/>
              </w:rPr>
              <w:t>政策性金融债</w:t>
            </w:r>
          </w:p>
        </w:tc>
        <w:tc>
          <w:tcPr>
            <w:tcW w:w="0" w:type="auto"/>
          </w:tcPr>
          <w:p w14:paraId="5CD3A40A">
            <w:pPr>
              <w:pStyle w:val="90"/>
              <w:spacing w:line="240" w:lineRule="auto"/>
              <w:ind w:firstLine="0" w:firstLineChars="0"/>
              <w:rPr>
                <w:rFonts w:hAnsi="Times New Roman"/>
                <w:sz w:val="24"/>
                <w:szCs w:val="24"/>
              </w:rPr>
            </w:pPr>
            <w:r>
              <w:rPr>
                <w:rFonts w:hint="eastAsia" w:hAnsi="Times New Roman"/>
                <w:sz w:val="24"/>
                <w:szCs w:val="24"/>
              </w:rPr>
              <w:t>净价</w:t>
            </w:r>
          </w:p>
        </w:tc>
      </w:tr>
      <w:tr w14:paraId="76B35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Pr>
          <w:p w14:paraId="23A9E7E2">
            <w:pPr>
              <w:pStyle w:val="90"/>
              <w:spacing w:line="240" w:lineRule="auto"/>
              <w:ind w:firstLine="480"/>
              <w:rPr>
                <w:rFonts w:hAnsi="Times New Roman"/>
                <w:sz w:val="24"/>
                <w:szCs w:val="24"/>
              </w:rPr>
            </w:pPr>
          </w:p>
        </w:tc>
        <w:tc>
          <w:tcPr>
            <w:tcW w:w="0" w:type="auto"/>
          </w:tcPr>
          <w:p w14:paraId="6D694505">
            <w:pPr>
              <w:pStyle w:val="90"/>
              <w:spacing w:line="240" w:lineRule="auto"/>
              <w:ind w:firstLine="0" w:firstLineChars="0"/>
              <w:rPr>
                <w:rFonts w:hAnsi="Times New Roman"/>
                <w:sz w:val="24"/>
                <w:szCs w:val="24"/>
              </w:rPr>
            </w:pPr>
            <w:r>
              <w:rPr>
                <w:rFonts w:hint="eastAsia" w:hAnsi="Times New Roman"/>
                <w:sz w:val="24"/>
                <w:szCs w:val="24"/>
              </w:rPr>
              <w:t>政府支持债券</w:t>
            </w:r>
          </w:p>
        </w:tc>
        <w:tc>
          <w:tcPr>
            <w:tcW w:w="0" w:type="auto"/>
          </w:tcPr>
          <w:p w14:paraId="4F7E97BD">
            <w:pPr>
              <w:pStyle w:val="90"/>
              <w:spacing w:line="240" w:lineRule="auto"/>
              <w:ind w:firstLine="0" w:firstLineChars="0"/>
              <w:rPr>
                <w:rFonts w:hAnsi="Times New Roman"/>
                <w:sz w:val="24"/>
                <w:szCs w:val="24"/>
              </w:rPr>
            </w:pPr>
            <w:r>
              <w:rPr>
                <w:rFonts w:hint="eastAsia" w:hAnsi="Times New Roman"/>
                <w:sz w:val="24"/>
                <w:szCs w:val="24"/>
              </w:rPr>
              <w:t>净价</w:t>
            </w:r>
          </w:p>
        </w:tc>
      </w:tr>
      <w:tr w14:paraId="2A398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Pr>
          <w:p w14:paraId="4F56B759">
            <w:pPr>
              <w:pStyle w:val="90"/>
              <w:spacing w:line="240" w:lineRule="auto"/>
              <w:ind w:firstLine="480"/>
              <w:rPr>
                <w:rFonts w:hAnsi="Times New Roman"/>
                <w:sz w:val="24"/>
                <w:szCs w:val="24"/>
              </w:rPr>
            </w:pPr>
          </w:p>
        </w:tc>
        <w:tc>
          <w:tcPr>
            <w:tcW w:w="0" w:type="auto"/>
          </w:tcPr>
          <w:p w14:paraId="23ED0BA3">
            <w:pPr>
              <w:pStyle w:val="90"/>
              <w:spacing w:line="240" w:lineRule="auto"/>
              <w:ind w:firstLine="0" w:firstLineChars="0"/>
              <w:rPr>
                <w:rFonts w:hAnsi="Times New Roman"/>
                <w:sz w:val="24"/>
                <w:szCs w:val="24"/>
              </w:rPr>
            </w:pPr>
            <w:r>
              <w:rPr>
                <w:rFonts w:hint="eastAsia" w:hAnsi="Times New Roman"/>
                <w:sz w:val="24"/>
                <w:szCs w:val="24"/>
              </w:rPr>
              <w:t>公司债</w:t>
            </w:r>
          </w:p>
        </w:tc>
        <w:tc>
          <w:tcPr>
            <w:tcW w:w="0" w:type="auto"/>
          </w:tcPr>
          <w:p w14:paraId="6698A225">
            <w:pPr>
              <w:pStyle w:val="90"/>
              <w:spacing w:line="240" w:lineRule="auto"/>
              <w:ind w:firstLine="0" w:firstLineChars="0"/>
              <w:rPr>
                <w:rFonts w:hAnsi="Times New Roman"/>
                <w:sz w:val="24"/>
                <w:szCs w:val="24"/>
              </w:rPr>
            </w:pPr>
            <w:r>
              <w:rPr>
                <w:rFonts w:hint="eastAsia" w:hAnsi="Times New Roman"/>
                <w:sz w:val="24"/>
                <w:szCs w:val="24"/>
              </w:rPr>
              <w:t>净价</w:t>
            </w:r>
          </w:p>
        </w:tc>
      </w:tr>
      <w:tr w14:paraId="3CF29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Pr>
          <w:p w14:paraId="4B00420A">
            <w:pPr>
              <w:pStyle w:val="90"/>
              <w:spacing w:line="240" w:lineRule="auto"/>
              <w:ind w:firstLine="480"/>
              <w:rPr>
                <w:rFonts w:hAnsi="Times New Roman"/>
                <w:sz w:val="24"/>
                <w:szCs w:val="24"/>
              </w:rPr>
            </w:pPr>
          </w:p>
        </w:tc>
        <w:tc>
          <w:tcPr>
            <w:tcW w:w="0" w:type="auto"/>
          </w:tcPr>
          <w:p w14:paraId="472968B8">
            <w:pPr>
              <w:pStyle w:val="90"/>
              <w:spacing w:line="240" w:lineRule="auto"/>
              <w:ind w:firstLine="0" w:firstLineChars="0"/>
              <w:rPr>
                <w:rFonts w:hAnsi="Times New Roman"/>
                <w:sz w:val="24"/>
                <w:szCs w:val="24"/>
              </w:rPr>
            </w:pPr>
            <w:r>
              <w:rPr>
                <w:rFonts w:hAnsi="Times New Roman"/>
                <w:sz w:val="24"/>
                <w:szCs w:val="24"/>
              </w:rPr>
              <w:t>ABS</w:t>
            </w:r>
          </w:p>
        </w:tc>
        <w:tc>
          <w:tcPr>
            <w:tcW w:w="0" w:type="auto"/>
          </w:tcPr>
          <w:p w14:paraId="64B1ADF1">
            <w:pPr>
              <w:pStyle w:val="90"/>
              <w:spacing w:line="240" w:lineRule="auto"/>
              <w:ind w:firstLine="0" w:firstLineChars="0"/>
              <w:rPr>
                <w:rFonts w:hAnsi="Times New Roman"/>
                <w:sz w:val="24"/>
                <w:szCs w:val="24"/>
              </w:rPr>
            </w:pPr>
            <w:r>
              <w:rPr>
                <w:rFonts w:hint="eastAsia" w:hAnsi="Times New Roman"/>
                <w:sz w:val="24"/>
                <w:szCs w:val="24"/>
              </w:rPr>
              <w:t>净价，其中次级档采用全价</w:t>
            </w:r>
          </w:p>
        </w:tc>
      </w:tr>
      <w:tr w14:paraId="02A29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0" w:type="auto"/>
            <w:vMerge w:val="continue"/>
          </w:tcPr>
          <w:p w14:paraId="28C2FB61">
            <w:pPr>
              <w:pStyle w:val="90"/>
              <w:spacing w:line="240" w:lineRule="auto"/>
              <w:ind w:firstLine="480"/>
              <w:rPr>
                <w:rFonts w:hAnsi="Times New Roman"/>
                <w:sz w:val="24"/>
                <w:szCs w:val="24"/>
              </w:rPr>
            </w:pPr>
          </w:p>
        </w:tc>
        <w:tc>
          <w:tcPr>
            <w:tcW w:w="0" w:type="auto"/>
          </w:tcPr>
          <w:p w14:paraId="4334CC1C">
            <w:pPr>
              <w:pStyle w:val="90"/>
              <w:spacing w:line="240" w:lineRule="auto"/>
              <w:ind w:firstLine="0" w:firstLineChars="0"/>
              <w:rPr>
                <w:rFonts w:hAnsi="Times New Roman"/>
                <w:sz w:val="24"/>
                <w:szCs w:val="24"/>
              </w:rPr>
            </w:pPr>
            <w:r>
              <w:rPr>
                <w:rFonts w:hint="eastAsia" w:hAnsi="Times New Roman"/>
                <w:sz w:val="24"/>
                <w:szCs w:val="24"/>
              </w:rPr>
              <w:t>特定债券</w:t>
            </w:r>
          </w:p>
        </w:tc>
        <w:tc>
          <w:tcPr>
            <w:tcW w:w="0" w:type="auto"/>
          </w:tcPr>
          <w:p w14:paraId="4965F48B">
            <w:pPr>
              <w:pStyle w:val="90"/>
              <w:spacing w:line="240" w:lineRule="auto"/>
              <w:ind w:firstLine="0" w:firstLineChars="0"/>
              <w:rPr>
                <w:rFonts w:hAnsi="Times New Roman"/>
                <w:sz w:val="24"/>
                <w:szCs w:val="24"/>
              </w:rPr>
            </w:pPr>
            <w:r>
              <w:rPr>
                <w:rFonts w:hint="eastAsia" w:hAnsi="Times New Roman"/>
                <w:sz w:val="24"/>
                <w:szCs w:val="24"/>
              </w:rPr>
              <w:t>全价</w:t>
            </w:r>
          </w:p>
        </w:tc>
      </w:tr>
      <w:tr w14:paraId="32353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Pr>
          <w:p w14:paraId="6567B0AC">
            <w:pPr>
              <w:pStyle w:val="90"/>
              <w:spacing w:line="240" w:lineRule="auto"/>
              <w:ind w:firstLine="0" w:firstLineChars="0"/>
              <w:rPr>
                <w:rFonts w:hAnsi="Times New Roman"/>
                <w:sz w:val="24"/>
                <w:szCs w:val="24"/>
              </w:rPr>
            </w:pPr>
          </w:p>
        </w:tc>
        <w:tc>
          <w:tcPr>
            <w:tcW w:w="0" w:type="auto"/>
          </w:tcPr>
          <w:p w14:paraId="5A4B8268">
            <w:pPr>
              <w:pStyle w:val="90"/>
              <w:spacing w:line="240" w:lineRule="auto"/>
              <w:ind w:firstLine="0" w:firstLineChars="0"/>
              <w:rPr>
                <w:rFonts w:hAnsi="Times New Roman"/>
                <w:sz w:val="24"/>
                <w:szCs w:val="24"/>
              </w:rPr>
            </w:pPr>
            <w:r>
              <w:rPr>
                <w:rFonts w:hint="eastAsia" w:hAnsi="Times New Roman"/>
                <w:sz w:val="24"/>
                <w:szCs w:val="24"/>
              </w:rPr>
              <w:t>公开发行</w:t>
            </w:r>
            <w:r>
              <w:rPr>
                <w:rFonts w:hAnsi="Times New Roman"/>
                <w:sz w:val="24"/>
                <w:szCs w:val="24"/>
              </w:rPr>
              <w:t>的</w:t>
            </w:r>
            <w:r>
              <w:rPr>
                <w:rFonts w:hint="eastAsia" w:hAnsi="Times New Roman"/>
                <w:sz w:val="24"/>
                <w:szCs w:val="24"/>
              </w:rPr>
              <w:t>可转债</w:t>
            </w:r>
          </w:p>
        </w:tc>
        <w:tc>
          <w:tcPr>
            <w:tcW w:w="0" w:type="auto"/>
          </w:tcPr>
          <w:p w14:paraId="5FE65173">
            <w:pPr>
              <w:pStyle w:val="90"/>
              <w:spacing w:line="240" w:lineRule="auto"/>
              <w:ind w:firstLine="0" w:firstLineChars="0"/>
              <w:rPr>
                <w:rFonts w:hAnsi="Times New Roman"/>
                <w:sz w:val="24"/>
                <w:szCs w:val="24"/>
              </w:rPr>
            </w:pPr>
            <w:r>
              <w:rPr>
                <w:rFonts w:hint="eastAsia" w:hAnsi="Times New Roman"/>
                <w:sz w:val="24"/>
                <w:szCs w:val="24"/>
              </w:rPr>
              <w:t>全价</w:t>
            </w:r>
          </w:p>
        </w:tc>
      </w:tr>
    </w:tbl>
    <w:p w14:paraId="13FA6712">
      <w:pPr>
        <w:numPr>
          <w:ilvl w:val="2"/>
          <w:numId w:val="4"/>
        </w:numPr>
        <w:spacing w:line="600" w:lineRule="exact"/>
        <w:ind w:left="0" w:firstLine="0"/>
        <w:outlineLvl w:val="2"/>
        <w:rPr>
          <w:rFonts w:ascii="仿宋_GB2312" w:eastAsia="仿宋_GB2312"/>
          <w:b/>
          <w:sz w:val="30"/>
          <w:szCs w:val="30"/>
        </w:rPr>
      </w:pPr>
      <w:bookmarkStart w:id="411" w:name="_Toc41580999"/>
      <w:bookmarkEnd w:id="411"/>
      <w:bookmarkStart w:id="412" w:name="_Toc41575874"/>
      <w:bookmarkEnd w:id="412"/>
      <w:bookmarkStart w:id="413" w:name="_Toc41581028"/>
      <w:bookmarkEnd w:id="413"/>
      <w:bookmarkStart w:id="414" w:name="_Toc41580967"/>
      <w:bookmarkEnd w:id="414"/>
      <w:bookmarkStart w:id="415" w:name="_Toc41581086"/>
      <w:bookmarkEnd w:id="415"/>
      <w:bookmarkStart w:id="416" w:name="_Toc40108221"/>
      <w:bookmarkEnd w:id="416"/>
      <w:bookmarkStart w:id="417" w:name="_Toc41581114"/>
      <w:bookmarkEnd w:id="417"/>
      <w:bookmarkStart w:id="418" w:name="_Toc41578210"/>
      <w:bookmarkEnd w:id="418"/>
      <w:bookmarkStart w:id="419" w:name="_Toc39759417"/>
      <w:bookmarkEnd w:id="419"/>
      <w:bookmarkStart w:id="420" w:name="_Toc40343392"/>
      <w:bookmarkEnd w:id="420"/>
      <w:bookmarkStart w:id="421" w:name="_Toc41580855"/>
      <w:bookmarkEnd w:id="421"/>
      <w:bookmarkStart w:id="422" w:name="_Toc41581057"/>
      <w:bookmarkEnd w:id="422"/>
      <w:bookmarkStart w:id="423" w:name="_Toc57908891"/>
      <w:bookmarkStart w:id="424" w:name="_Toc56166269"/>
      <w:bookmarkStart w:id="425" w:name="_Toc56166080"/>
      <w:r>
        <w:rPr>
          <w:rFonts w:hint="eastAsia" w:ascii="仿宋_GB2312" w:eastAsia="仿宋_GB2312"/>
          <w:b/>
          <w:sz w:val="30"/>
          <w:szCs w:val="30"/>
        </w:rPr>
        <w:t>申报有效期及申报撤销</w:t>
      </w:r>
      <w:bookmarkEnd w:id="423"/>
      <w:bookmarkEnd w:id="424"/>
      <w:bookmarkEnd w:id="425"/>
    </w:p>
    <w:p w14:paraId="3ED99AD6">
      <w:pPr>
        <w:spacing w:line="600" w:lineRule="exact"/>
        <w:ind w:left="567"/>
        <w:outlineLvl w:val="3"/>
        <w:rPr>
          <w:rFonts w:ascii="仿宋_GB2312" w:eastAsia="仿宋_GB2312"/>
          <w:b/>
          <w:sz w:val="30"/>
          <w:szCs w:val="30"/>
        </w:rPr>
      </w:pPr>
      <w:r>
        <w:rPr>
          <w:rFonts w:hint="eastAsia" w:ascii="仿宋_GB2312" w:eastAsia="仿宋_GB2312"/>
          <w:b/>
          <w:sz w:val="30"/>
          <w:szCs w:val="30"/>
        </w:rPr>
        <w:t>（1）申报撤销</w:t>
      </w:r>
    </w:p>
    <w:p w14:paraId="79688151">
      <w:pPr>
        <w:pStyle w:val="90"/>
        <w:spacing w:line="600" w:lineRule="exact"/>
        <w:ind w:firstLine="600"/>
        <w:rPr>
          <w:rFonts w:hAnsi="Times New Roman"/>
          <w:sz w:val="30"/>
          <w:szCs w:val="30"/>
        </w:rPr>
      </w:pPr>
      <w:r>
        <w:rPr>
          <w:rFonts w:hint="eastAsia" w:hAnsi="Times New Roman"/>
          <w:sz w:val="30"/>
          <w:szCs w:val="30"/>
        </w:rPr>
        <w:t>当日提交的债券交易申报当日有效，未成交的申报可以撤销，本所另有规定的情形除外。每个交易日9:20至9:25的开盘集合匹配阶段，交易系统不接受匹配成交的撤销申报；采用竞买成交下单一主体中标方式的，应价申报不可撤销。</w:t>
      </w:r>
    </w:p>
    <w:p w14:paraId="0ADAC4C6">
      <w:pPr>
        <w:pStyle w:val="90"/>
        <w:spacing w:line="600" w:lineRule="exact"/>
        <w:ind w:firstLine="600"/>
        <w:rPr>
          <w:rFonts w:hAnsi="Times New Roman"/>
          <w:sz w:val="30"/>
          <w:szCs w:val="30"/>
        </w:rPr>
      </w:pPr>
      <w:r>
        <w:rPr>
          <w:rFonts w:hint="eastAsia" w:hAnsi="Times New Roman"/>
          <w:sz w:val="30"/>
          <w:szCs w:val="30"/>
        </w:rPr>
        <w:t>若原申报订单已部分成交，则未成交的部分可以撤销；若原申报订单已经撤销成功，则撤销申报作废。若原申报订单也是撤销申报，则撤销申报作废。</w:t>
      </w:r>
    </w:p>
    <w:p w14:paraId="0AC31E4F">
      <w:pPr>
        <w:pStyle w:val="90"/>
        <w:spacing w:line="600" w:lineRule="exact"/>
        <w:ind w:firstLine="600"/>
        <w:rPr>
          <w:rFonts w:hAnsi="Times New Roman"/>
          <w:sz w:val="30"/>
          <w:szCs w:val="30"/>
        </w:rPr>
      </w:pPr>
      <w:r>
        <w:rPr>
          <w:rFonts w:hint="eastAsia" w:hAnsi="Times New Roman"/>
          <w:sz w:val="30"/>
          <w:szCs w:val="30"/>
        </w:rPr>
        <w:t>撤销指令经本所确认方为有效。债券停牌期间，本所接受符合要求的撤销申报。</w:t>
      </w:r>
    </w:p>
    <w:p w14:paraId="519E3630">
      <w:pPr>
        <w:spacing w:line="600" w:lineRule="exact"/>
        <w:ind w:left="567"/>
        <w:outlineLvl w:val="3"/>
        <w:rPr>
          <w:rFonts w:ascii="仿宋_GB2312" w:eastAsia="仿宋_GB2312"/>
          <w:b/>
          <w:sz w:val="30"/>
          <w:szCs w:val="30"/>
        </w:rPr>
      </w:pPr>
      <w:r>
        <w:rPr>
          <w:rFonts w:hint="eastAsia" w:ascii="仿宋_GB2312" w:eastAsia="仿宋_GB2312"/>
          <w:b/>
          <w:sz w:val="30"/>
          <w:szCs w:val="30"/>
        </w:rPr>
        <w:t>（2）撤销申报的要素及要求</w:t>
      </w:r>
    </w:p>
    <w:p w14:paraId="646089C1">
      <w:pPr>
        <w:pStyle w:val="90"/>
        <w:spacing w:line="600" w:lineRule="exact"/>
        <w:ind w:firstLine="600"/>
        <w:rPr>
          <w:rFonts w:hAnsi="Times New Roman"/>
          <w:sz w:val="30"/>
          <w:szCs w:val="30"/>
        </w:rPr>
      </w:pPr>
      <w:r>
        <w:rPr>
          <w:rFonts w:hint="eastAsia" w:hAnsi="Times New Roman"/>
          <w:sz w:val="30"/>
          <w:szCs w:val="30"/>
        </w:rPr>
        <w:t>撤销申报要素包括证券代码、交易方向、申报价格、申报数量、申报账号、原申报编号，相关要素应与原交易申报匹配，以免撤销失败。</w:t>
      </w:r>
    </w:p>
    <w:p w14:paraId="27282CBA">
      <w:pPr>
        <w:pStyle w:val="90"/>
        <w:spacing w:line="600" w:lineRule="exact"/>
        <w:ind w:firstLine="600"/>
        <w:rPr>
          <w:rFonts w:hAnsi="Times New Roman"/>
          <w:sz w:val="30"/>
          <w:szCs w:val="30"/>
        </w:rPr>
      </w:pPr>
      <w:r>
        <w:rPr>
          <w:rFonts w:hint="eastAsia" w:hAnsi="Times New Roman"/>
          <w:sz w:val="30"/>
          <w:szCs w:val="30"/>
        </w:rPr>
        <w:t>对买入方向的纳入资金前端控制范围内的申报撤销后，原先资金前端控制中交易单元虚拟资金额度应计增。</w:t>
      </w:r>
    </w:p>
    <w:p w14:paraId="43C3F4F8">
      <w:pPr>
        <w:numPr>
          <w:ilvl w:val="1"/>
          <w:numId w:val="4"/>
        </w:numPr>
        <w:spacing w:line="600" w:lineRule="exact"/>
        <w:ind w:left="0" w:firstLine="0"/>
        <w:outlineLvl w:val="1"/>
        <w:rPr>
          <w:rFonts w:ascii="仿宋_GB2312" w:eastAsia="仿宋_GB2312"/>
          <w:b/>
          <w:sz w:val="30"/>
          <w:szCs w:val="30"/>
        </w:rPr>
      </w:pPr>
      <w:bookmarkStart w:id="426" w:name="_Toc56166270"/>
      <w:bookmarkStart w:id="427" w:name="_Toc569171533"/>
      <w:bookmarkStart w:id="428" w:name="_Toc860874731"/>
      <w:bookmarkStart w:id="429" w:name="_Toc1435260293"/>
      <w:bookmarkStart w:id="430" w:name="_Toc56166081"/>
      <w:bookmarkStart w:id="431" w:name="_Toc151136897"/>
      <w:bookmarkStart w:id="432" w:name="_Toc1482930858"/>
      <w:r>
        <w:rPr>
          <w:rFonts w:hint="eastAsia" w:ascii="仿宋_GB2312" w:eastAsia="仿宋_GB2312"/>
          <w:b/>
          <w:sz w:val="30"/>
          <w:szCs w:val="30"/>
        </w:rPr>
        <w:t>成交</w:t>
      </w:r>
      <w:bookmarkEnd w:id="426"/>
      <w:bookmarkEnd w:id="427"/>
      <w:bookmarkEnd w:id="428"/>
      <w:bookmarkEnd w:id="429"/>
      <w:bookmarkEnd w:id="430"/>
      <w:bookmarkEnd w:id="431"/>
      <w:bookmarkEnd w:id="432"/>
    </w:p>
    <w:p w14:paraId="246ADE48">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成交原则</w:t>
      </w:r>
    </w:p>
    <w:p w14:paraId="24749646">
      <w:pPr>
        <w:pStyle w:val="90"/>
        <w:spacing w:line="600" w:lineRule="exact"/>
        <w:ind w:firstLine="600"/>
        <w:rPr>
          <w:rFonts w:hAnsi="Times New Roman"/>
          <w:sz w:val="30"/>
          <w:szCs w:val="30"/>
        </w:rPr>
      </w:pPr>
      <w:r>
        <w:rPr>
          <w:rFonts w:hint="eastAsia" w:hAnsi="Times New Roman"/>
          <w:sz w:val="30"/>
          <w:szCs w:val="30"/>
        </w:rPr>
        <w:t>债券交易申报依据法律法规和本所业务规则的相关规定以及债券投资者的风险控制要求和交易需求，按照价格竞争性、数量匹配性、时间优先性等原则达成交易。</w:t>
      </w:r>
    </w:p>
    <w:p w14:paraId="6BD25101">
      <w:pPr>
        <w:pStyle w:val="90"/>
        <w:spacing w:line="600" w:lineRule="exact"/>
        <w:ind w:firstLine="600"/>
        <w:rPr>
          <w:rFonts w:hAnsi="Times New Roman"/>
          <w:sz w:val="30"/>
          <w:szCs w:val="30"/>
        </w:rPr>
      </w:pPr>
      <w:r>
        <w:rPr>
          <w:rFonts w:hint="eastAsia" w:hAnsi="Times New Roman"/>
          <w:sz w:val="30"/>
          <w:szCs w:val="30"/>
        </w:rPr>
        <w:t>价格竞争性：较高价格买入申报优先于较低价格买入申报，较低价格卖出申报优先于较高价格卖出申报。</w:t>
      </w:r>
    </w:p>
    <w:p w14:paraId="0C2212F8">
      <w:pPr>
        <w:pStyle w:val="90"/>
        <w:spacing w:line="600" w:lineRule="exact"/>
        <w:ind w:firstLine="600"/>
        <w:rPr>
          <w:rFonts w:hAnsi="Times New Roman"/>
          <w:sz w:val="30"/>
          <w:szCs w:val="30"/>
        </w:rPr>
      </w:pPr>
      <w:r>
        <w:rPr>
          <w:rFonts w:hint="eastAsia" w:hAnsi="Times New Roman"/>
          <w:sz w:val="30"/>
          <w:szCs w:val="30"/>
        </w:rPr>
        <w:t>数量匹配性：在买卖双方确认的数量范围内达成交易。</w:t>
      </w:r>
    </w:p>
    <w:p w14:paraId="1A0AA642">
      <w:pPr>
        <w:pStyle w:val="90"/>
        <w:spacing w:line="600" w:lineRule="exact"/>
        <w:ind w:firstLine="600"/>
        <w:rPr>
          <w:rFonts w:hAnsi="Times New Roman"/>
          <w:sz w:val="30"/>
          <w:szCs w:val="30"/>
        </w:rPr>
      </w:pPr>
      <w:r>
        <w:rPr>
          <w:rFonts w:hint="eastAsia" w:hAnsi="Times New Roman"/>
          <w:sz w:val="30"/>
          <w:szCs w:val="30"/>
        </w:rPr>
        <w:t>时间优先性：买卖方向、价格相同的，先申报者优先于后申报者。先后顺序按本所接受申报的时间确定。</w:t>
      </w:r>
    </w:p>
    <w:p w14:paraId="6FC73B67">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回转交易</w:t>
      </w:r>
    </w:p>
    <w:p w14:paraId="7C661482">
      <w:pPr>
        <w:pStyle w:val="90"/>
        <w:spacing w:line="600" w:lineRule="exact"/>
        <w:ind w:firstLine="600"/>
        <w:rPr>
          <w:rFonts w:hAnsi="Times New Roman"/>
          <w:sz w:val="30"/>
          <w:szCs w:val="30"/>
        </w:rPr>
      </w:pPr>
      <w:r>
        <w:rPr>
          <w:rFonts w:hint="eastAsia" w:hAnsi="Times New Roman"/>
          <w:sz w:val="30"/>
          <w:szCs w:val="30"/>
        </w:rPr>
        <w:t>债券现券交易实行当日回转交易，债券投资者当日买入的债券可以在当日卖出。本所另有规定的除外。</w:t>
      </w:r>
    </w:p>
    <w:p w14:paraId="22EDCF61">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私募债持有人数量上限</w:t>
      </w:r>
    </w:p>
    <w:p w14:paraId="4574800A">
      <w:pPr>
        <w:pStyle w:val="90"/>
        <w:spacing w:line="600" w:lineRule="exact"/>
        <w:ind w:firstLine="600"/>
        <w:rPr>
          <w:rFonts w:hAnsi="Times New Roman"/>
          <w:sz w:val="30"/>
          <w:szCs w:val="30"/>
        </w:rPr>
      </w:pPr>
      <w:r>
        <w:rPr>
          <w:rFonts w:hint="eastAsia" w:hAnsi="Times New Roman"/>
          <w:sz w:val="30"/>
          <w:szCs w:val="30"/>
        </w:rPr>
        <w:t>非公开发行债券的转让，导致债券持有人数量超过法律法规或者本所业务规则规定人数上限的，本所不予确认成交。</w:t>
      </w:r>
    </w:p>
    <w:p w14:paraId="4743F23B">
      <w:pPr>
        <w:pStyle w:val="90"/>
        <w:spacing w:line="600" w:lineRule="exact"/>
        <w:ind w:firstLine="600"/>
        <w:rPr>
          <w:rFonts w:hAnsi="Times New Roman"/>
          <w:sz w:val="30"/>
          <w:szCs w:val="30"/>
        </w:rPr>
      </w:pPr>
      <w:r>
        <w:rPr>
          <w:rFonts w:hint="eastAsia" w:hAnsi="Times New Roman"/>
          <w:sz w:val="30"/>
          <w:szCs w:val="30"/>
        </w:rPr>
        <w:t>债券交易导致非公开发行债券的持有人数量超过200人的，本所按照交易时间顺序从先到后确认至200人，后续交易不予确认。</w:t>
      </w:r>
    </w:p>
    <w:p w14:paraId="7C89910E">
      <w:pPr>
        <w:numPr>
          <w:ilvl w:val="1"/>
          <w:numId w:val="4"/>
        </w:numPr>
        <w:spacing w:line="600" w:lineRule="exact"/>
        <w:ind w:left="0" w:firstLine="0"/>
        <w:outlineLvl w:val="1"/>
        <w:rPr>
          <w:rFonts w:ascii="仿宋_GB2312" w:eastAsia="仿宋_GB2312"/>
          <w:b/>
          <w:sz w:val="30"/>
          <w:szCs w:val="30"/>
        </w:rPr>
      </w:pPr>
      <w:bookmarkStart w:id="433" w:name="_Toc120286346"/>
      <w:bookmarkEnd w:id="433"/>
      <w:bookmarkStart w:id="434" w:name="_Toc909343473"/>
      <w:bookmarkStart w:id="435" w:name="_Toc1282383086"/>
      <w:bookmarkStart w:id="436" w:name="_Toc1429148876"/>
      <w:bookmarkStart w:id="437" w:name="_Toc1910208567"/>
      <w:bookmarkStart w:id="438" w:name="_Toc151136898"/>
      <w:r>
        <w:rPr>
          <w:rFonts w:hint="eastAsia" w:ascii="仿宋_GB2312" w:eastAsia="仿宋_GB2312"/>
          <w:b/>
          <w:sz w:val="30"/>
          <w:szCs w:val="30"/>
        </w:rPr>
        <w:t>结算</w:t>
      </w:r>
      <w:bookmarkEnd w:id="434"/>
      <w:bookmarkEnd w:id="435"/>
      <w:bookmarkEnd w:id="436"/>
      <w:bookmarkEnd w:id="437"/>
      <w:bookmarkEnd w:id="438"/>
    </w:p>
    <w:p w14:paraId="353C958E">
      <w:pPr>
        <w:pStyle w:val="90"/>
        <w:spacing w:line="600" w:lineRule="exact"/>
        <w:ind w:firstLine="600"/>
        <w:rPr>
          <w:rFonts w:hAnsi="Times New Roman"/>
          <w:sz w:val="30"/>
          <w:szCs w:val="30"/>
        </w:rPr>
      </w:pPr>
      <w:r>
        <w:rPr>
          <w:rFonts w:hint="eastAsia" w:hAnsi="Times New Roman"/>
          <w:sz w:val="30"/>
          <w:szCs w:val="30"/>
        </w:rPr>
        <w:t>债券交易的结算业务，由登记结算机构按照相关规则办理。债券交易的结算方式包括多边净额结算和逐笔全额结算等。债券投资者选择结算方式的，应当符合本所和登记结算机构的规定及要求。</w:t>
      </w:r>
    </w:p>
    <w:p w14:paraId="703BF341">
      <w:pPr>
        <w:pStyle w:val="90"/>
        <w:spacing w:line="600" w:lineRule="exact"/>
        <w:ind w:firstLine="600"/>
        <w:rPr>
          <w:rFonts w:hAnsi="Times New Roman"/>
          <w:sz w:val="30"/>
          <w:szCs w:val="30"/>
        </w:rPr>
      </w:pPr>
      <w:r>
        <w:rPr>
          <w:rFonts w:hint="eastAsia" w:hAnsi="Times New Roman"/>
          <w:sz w:val="30"/>
          <w:szCs w:val="30"/>
        </w:rPr>
        <w:t>匹配成交</w:t>
      </w:r>
      <w:r>
        <w:rPr>
          <w:rFonts w:hAnsi="Times New Roman"/>
          <w:sz w:val="30"/>
          <w:szCs w:val="30"/>
        </w:rPr>
        <w:t>交易方式下，</w:t>
      </w:r>
      <w:r>
        <w:rPr>
          <w:rFonts w:hint="eastAsia" w:hAnsi="Times New Roman"/>
          <w:sz w:val="30"/>
          <w:szCs w:val="30"/>
        </w:rPr>
        <w:t>仅可采用多边</w:t>
      </w:r>
      <w:r>
        <w:rPr>
          <w:rFonts w:hAnsi="Times New Roman"/>
          <w:sz w:val="30"/>
          <w:szCs w:val="30"/>
        </w:rPr>
        <w:t>净额结算方式。</w:t>
      </w:r>
    </w:p>
    <w:p w14:paraId="03064411">
      <w:pPr>
        <w:pStyle w:val="90"/>
        <w:spacing w:line="600" w:lineRule="exact"/>
        <w:ind w:firstLine="600"/>
        <w:rPr>
          <w:rFonts w:hAnsi="Times New Roman"/>
          <w:sz w:val="30"/>
          <w:szCs w:val="30"/>
        </w:rPr>
      </w:pPr>
      <w:r>
        <w:rPr>
          <w:rFonts w:hint="eastAsia" w:hAnsi="Times New Roman"/>
          <w:sz w:val="30"/>
          <w:szCs w:val="30"/>
        </w:rPr>
        <w:t>点击</w:t>
      </w:r>
      <w:r>
        <w:rPr>
          <w:rFonts w:hAnsi="Times New Roman"/>
          <w:sz w:val="30"/>
          <w:szCs w:val="30"/>
        </w:rPr>
        <w:t>成交、询价成交、</w:t>
      </w:r>
      <w:r>
        <w:rPr>
          <w:rFonts w:hint="eastAsia" w:hAnsi="Times New Roman"/>
          <w:sz w:val="30"/>
          <w:szCs w:val="30"/>
        </w:rPr>
        <w:t>竞买</w:t>
      </w:r>
      <w:r>
        <w:rPr>
          <w:rFonts w:hAnsi="Times New Roman"/>
          <w:sz w:val="30"/>
          <w:szCs w:val="30"/>
        </w:rPr>
        <w:t>成交和协商成交交易方式下，</w:t>
      </w:r>
      <w:r>
        <w:rPr>
          <w:rFonts w:hint="eastAsia" w:hAnsi="Times New Roman"/>
          <w:sz w:val="30"/>
          <w:szCs w:val="30"/>
        </w:rPr>
        <w:t>对于</w:t>
      </w:r>
      <w:r>
        <w:rPr>
          <w:rFonts w:hAnsi="Times New Roman"/>
          <w:sz w:val="30"/>
          <w:szCs w:val="30"/>
        </w:rPr>
        <w:t>符合</w:t>
      </w:r>
      <w:r>
        <w:rPr>
          <w:rFonts w:hint="eastAsia" w:hAnsi="Times New Roman"/>
          <w:sz w:val="30"/>
          <w:szCs w:val="30"/>
        </w:rPr>
        <w:t>多边</w:t>
      </w:r>
      <w:r>
        <w:rPr>
          <w:rFonts w:hAnsi="Times New Roman"/>
          <w:sz w:val="30"/>
          <w:szCs w:val="30"/>
        </w:rPr>
        <w:t>净额结算条件的债券</w:t>
      </w:r>
      <w:r>
        <w:rPr>
          <w:rFonts w:hint="eastAsia" w:hAnsi="Times New Roman"/>
          <w:sz w:val="30"/>
          <w:szCs w:val="30"/>
        </w:rPr>
        <w:t>，</w:t>
      </w:r>
      <w:r>
        <w:rPr>
          <w:rFonts w:hAnsi="Times New Roman"/>
          <w:sz w:val="30"/>
          <w:szCs w:val="30"/>
        </w:rPr>
        <w:t>债券投资者</w:t>
      </w:r>
      <w:r>
        <w:rPr>
          <w:rFonts w:hint="eastAsia" w:hAnsi="Times New Roman"/>
          <w:sz w:val="30"/>
          <w:szCs w:val="30"/>
        </w:rPr>
        <w:t>可以</w:t>
      </w:r>
      <w:r>
        <w:rPr>
          <w:rFonts w:hAnsi="Times New Roman"/>
          <w:sz w:val="30"/>
          <w:szCs w:val="30"/>
        </w:rPr>
        <w:t>自行选择采用</w:t>
      </w:r>
      <w:r>
        <w:rPr>
          <w:rFonts w:hint="eastAsia" w:hAnsi="Times New Roman"/>
          <w:sz w:val="30"/>
          <w:szCs w:val="30"/>
        </w:rPr>
        <w:t>T</w:t>
      </w:r>
      <w:r>
        <w:rPr>
          <w:rFonts w:hAnsi="Times New Roman"/>
          <w:sz w:val="30"/>
          <w:szCs w:val="30"/>
        </w:rPr>
        <w:t>+1</w:t>
      </w:r>
      <w:r>
        <w:rPr>
          <w:rFonts w:hint="eastAsia" w:hAnsi="Times New Roman"/>
          <w:sz w:val="30"/>
          <w:szCs w:val="30"/>
        </w:rPr>
        <w:t>多边净额结算或T</w:t>
      </w:r>
      <w:r>
        <w:rPr>
          <w:rFonts w:hAnsi="Times New Roman"/>
          <w:sz w:val="30"/>
          <w:szCs w:val="30"/>
        </w:rPr>
        <w:t>+0</w:t>
      </w:r>
      <w:r>
        <w:rPr>
          <w:rFonts w:hint="eastAsia" w:hAnsi="Times New Roman"/>
          <w:sz w:val="30"/>
          <w:szCs w:val="30"/>
        </w:rPr>
        <w:t>逐笔全额结算；对于不</w:t>
      </w:r>
      <w:r>
        <w:rPr>
          <w:rFonts w:hAnsi="Times New Roman"/>
          <w:sz w:val="30"/>
          <w:szCs w:val="30"/>
        </w:rPr>
        <w:t>符合</w:t>
      </w:r>
      <w:r>
        <w:rPr>
          <w:rFonts w:hint="eastAsia" w:hAnsi="Times New Roman"/>
          <w:sz w:val="30"/>
          <w:szCs w:val="30"/>
        </w:rPr>
        <w:t>多边</w:t>
      </w:r>
      <w:r>
        <w:rPr>
          <w:rFonts w:hAnsi="Times New Roman"/>
          <w:sz w:val="30"/>
          <w:szCs w:val="30"/>
        </w:rPr>
        <w:t>净额结算条件的债券</w:t>
      </w:r>
      <w:r>
        <w:rPr>
          <w:rFonts w:hint="eastAsia" w:hAnsi="Times New Roman"/>
          <w:sz w:val="30"/>
          <w:szCs w:val="30"/>
        </w:rPr>
        <w:t>，仅可采用T</w:t>
      </w:r>
      <w:r>
        <w:rPr>
          <w:rFonts w:hAnsi="Times New Roman"/>
          <w:sz w:val="30"/>
          <w:szCs w:val="30"/>
        </w:rPr>
        <w:t>+0逐笔全额结算</w:t>
      </w:r>
      <w:r>
        <w:rPr>
          <w:rFonts w:hint="eastAsia" w:hAnsi="Times New Roman"/>
          <w:sz w:val="30"/>
          <w:szCs w:val="30"/>
        </w:rPr>
        <w:t>。</w:t>
      </w:r>
    </w:p>
    <w:p w14:paraId="40130790">
      <w:pPr>
        <w:pStyle w:val="90"/>
        <w:spacing w:line="600" w:lineRule="exact"/>
        <w:ind w:firstLine="600"/>
        <w:rPr>
          <w:rFonts w:hAnsi="Times New Roman"/>
          <w:sz w:val="30"/>
          <w:szCs w:val="30"/>
        </w:rPr>
      </w:pPr>
      <w:r>
        <w:rPr>
          <w:rFonts w:hint="eastAsia" w:hAnsi="Times New Roman"/>
          <w:sz w:val="30"/>
          <w:szCs w:val="30"/>
        </w:rPr>
        <w:t>《债券</w:t>
      </w:r>
      <w:r>
        <w:rPr>
          <w:rFonts w:hAnsi="Times New Roman"/>
          <w:sz w:val="30"/>
          <w:szCs w:val="30"/>
        </w:rPr>
        <w:t>交易规则</w:t>
      </w:r>
      <w:r>
        <w:rPr>
          <w:rFonts w:hint="eastAsia" w:hAnsi="Times New Roman"/>
          <w:sz w:val="30"/>
          <w:szCs w:val="30"/>
        </w:rPr>
        <w:t>》</w:t>
      </w:r>
      <w:r>
        <w:rPr>
          <w:rFonts w:hAnsi="Times New Roman"/>
          <w:sz w:val="30"/>
          <w:szCs w:val="30"/>
        </w:rPr>
        <w:t>中</w:t>
      </w:r>
      <w:r>
        <w:rPr>
          <w:rFonts w:hint="eastAsia" w:hAnsi="Times New Roman"/>
          <w:sz w:val="30"/>
          <w:szCs w:val="30"/>
        </w:rPr>
        <w:t>债券</w:t>
      </w:r>
      <w:r>
        <w:rPr>
          <w:rFonts w:hAnsi="Times New Roman"/>
          <w:sz w:val="30"/>
          <w:szCs w:val="30"/>
        </w:rPr>
        <w:t>交易自选结算</w:t>
      </w:r>
      <w:r>
        <w:rPr>
          <w:rFonts w:hint="eastAsia" w:hAnsi="Times New Roman"/>
          <w:sz w:val="30"/>
          <w:szCs w:val="30"/>
        </w:rPr>
        <w:t>周期</w:t>
      </w:r>
      <w:r>
        <w:rPr>
          <w:rFonts w:hAnsi="Times New Roman"/>
          <w:sz w:val="30"/>
          <w:szCs w:val="30"/>
        </w:rPr>
        <w:t>的相关规定</w:t>
      </w:r>
      <w:r>
        <w:rPr>
          <w:rFonts w:hint="eastAsia" w:hAnsi="Times New Roman"/>
          <w:sz w:val="30"/>
          <w:szCs w:val="30"/>
        </w:rPr>
        <w:t>暂缓实施</w:t>
      </w:r>
      <w:r>
        <w:rPr>
          <w:rFonts w:hAnsi="Times New Roman"/>
          <w:sz w:val="30"/>
          <w:szCs w:val="30"/>
        </w:rPr>
        <w:t>。</w:t>
      </w:r>
    </w:p>
    <w:p w14:paraId="514316FC">
      <w:pPr>
        <w:spacing w:line="600" w:lineRule="exact"/>
        <w:ind w:firstLine="600"/>
        <w:rPr>
          <w:sz w:val="30"/>
          <w:szCs w:val="30"/>
        </w:rPr>
      </w:pPr>
      <w:r>
        <w:rPr>
          <w:sz w:val="30"/>
          <w:szCs w:val="30"/>
        </w:rPr>
        <w:br w:type="page"/>
      </w:r>
    </w:p>
    <w:p w14:paraId="39CA19AA">
      <w:pPr>
        <w:numPr>
          <w:ilvl w:val="0"/>
          <w:numId w:val="4"/>
        </w:numPr>
        <w:spacing w:line="600" w:lineRule="exact"/>
        <w:outlineLvl w:val="0"/>
        <w:rPr>
          <w:b/>
          <w:sz w:val="36"/>
        </w:rPr>
      </w:pPr>
      <w:bookmarkStart w:id="439" w:name="_Toc1235495223"/>
      <w:bookmarkStart w:id="440" w:name="_Toc937775594"/>
      <w:bookmarkStart w:id="441" w:name="_Toc304100213"/>
      <w:bookmarkStart w:id="442" w:name="_Toc151136899"/>
      <w:bookmarkStart w:id="443" w:name="_Toc56166271"/>
      <w:bookmarkStart w:id="444" w:name="_Toc1764857375"/>
      <w:bookmarkStart w:id="445" w:name="_Toc56166082"/>
      <w:r>
        <w:rPr>
          <w:rFonts w:hint="eastAsia" w:ascii="黑体" w:hAnsi="黑体" w:eastAsia="黑体" w:cs="黑体"/>
          <w:b/>
          <w:sz w:val="36"/>
        </w:rPr>
        <w:t>债券交易方式</w:t>
      </w:r>
      <w:bookmarkEnd w:id="439"/>
      <w:bookmarkEnd w:id="440"/>
      <w:bookmarkEnd w:id="441"/>
      <w:bookmarkEnd w:id="442"/>
      <w:bookmarkEnd w:id="443"/>
      <w:bookmarkEnd w:id="444"/>
      <w:bookmarkEnd w:id="445"/>
    </w:p>
    <w:p w14:paraId="5AD38317">
      <w:pPr>
        <w:spacing w:line="600" w:lineRule="exact"/>
        <w:ind w:firstLine="600" w:firstLineChars="200"/>
        <w:rPr>
          <w:rFonts w:ascii="黑体" w:hAnsi="黑体"/>
          <w:b/>
          <w:sz w:val="30"/>
          <w:szCs w:val="30"/>
        </w:rPr>
      </w:pPr>
      <w:r>
        <w:rPr>
          <w:rFonts w:hint="eastAsia" w:ascii="仿宋_GB2312" w:eastAsia="仿宋_GB2312"/>
          <w:color w:val="000000"/>
          <w:sz w:val="30"/>
          <w:szCs w:val="30"/>
        </w:rPr>
        <w:t>在本所开展的债券交易可以采用匹配成交、点击成交、询价成交、竞买成交、协商成交以及本所认可的其他交易方式。</w:t>
      </w:r>
    </w:p>
    <w:p w14:paraId="50EF3463">
      <w:pPr>
        <w:numPr>
          <w:ilvl w:val="1"/>
          <w:numId w:val="4"/>
        </w:numPr>
        <w:spacing w:line="600" w:lineRule="exact"/>
        <w:ind w:left="0" w:firstLine="0"/>
        <w:outlineLvl w:val="1"/>
        <w:rPr>
          <w:rFonts w:ascii="仿宋_GB2312" w:eastAsia="仿宋_GB2312"/>
          <w:b/>
          <w:sz w:val="30"/>
          <w:szCs w:val="30"/>
        </w:rPr>
      </w:pPr>
      <w:bookmarkStart w:id="446" w:name="_Toc56166272"/>
      <w:bookmarkStart w:id="447" w:name="_Toc151136900"/>
      <w:bookmarkStart w:id="448" w:name="_Toc1676432067"/>
      <w:bookmarkStart w:id="449" w:name="_Toc2096978018"/>
      <w:bookmarkStart w:id="450" w:name="_Toc56166083"/>
      <w:bookmarkStart w:id="451" w:name="_Toc1571002749"/>
      <w:bookmarkStart w:id="452" w:name="_Toc1661944116"/>
      <w:r>
        <w:rPr>
          <w:rFonts w:hint="eastAsia" w:ascii="仿宋_GB2312" w:eastAsia="仿宋_GB2312"/>
          <w:b/>
          <w:sz w:val="30"/>
          <w:szCs w:val="30"/>
        </w:rPr>
        <w:t>匹配成交</w:t>
      </w:r>
      <w:bookmarkEnd w:id="446"/>
      <w:bookmarkEnd w:id="447"/>
      <w:bookmarkEnd w:id="448"/>
      <w:bookmarkEnd w:id="449"/>
      <w:bookmarkEnd w:id="450"/>
      <w:bookmarkEnd w:id="451"/>
      <w:bookmarkEnd w:id="452"/>
    </w:p>
    <w:p w14:paraId="35F607DF">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定义</w:t>
      </w:r>
    </w:p>
    <w:p w14:paraId="5BA02A7F">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匹配成交是指新债券交易系统按价格优先、时间优先的原则和本规则相关规定，对债券交易申报自动匹配成交并实行多边净额结算的交易方式。</w:t>
      </w:r>
    </w:p>
    <w:p w14:paraId="4479DEE3">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申报要求</w:t>
      </w:r>
    </w:p>
    <w:p w14:paraId="77460F1A">
      <w:pPr>
        <w:pStyle w:val="92"/>
        <w:widowControl w:val="0"/>
        <w:numPr>
          <w:ilvl w:val="1"/>
          <w:numId w:val="13"/>
        </w:numPr>
        <w:spacing w:line="600" w:lineRule="exact"/>
        <w:ind w:left="0" w:firstLine="600" w:firstLineChars="200"/>
        <w:outlineLvl w:val="3"/>
        <w:rPr>
          <w:rFonts w:ascii="仿宋_GB2312" w:hAnsi="仿宋" w:eastAsia="仿宋_GB2312"/>
          <w:sz w:val="30"/>
          <w:szCs w:val="30"/>
        </w:rPr>
      </w:pPr>
      <w:r>
        <w:rPr>
          <w:rFonts w:hint="eastAsia" w:ascii="仿宋_GB2312" w:hAnsi="仿宋" w:eastAsia="仿宋_GB2312"/>
          <w:sz w:val="30"/>
          <w:szCs w:val="30"/>
        </w:rPr>
        <w:t>集合匹配与连续匹配</w:t>
      </w:r>
    </w:p>
    <w:p w14:paraId="29CA4B4E">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匹配成交采用集合匹配和连续匹配两种方式。集合匹配是对规定时间内接受的交易申报一次性集中匹配的成交方式。连续匹配是对接受的交易申报逐笔连续匹配的成交方式。</w:t>
      </w:r>
    </w:p>
    <w:p w14:paraId="75B5F851">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集合匹配期间未成交的交易申报，自动进入连续匹配。</w:t>
      </w:r>
    </w:p>
    <w:p w14:paraId="674F2FE8">
      <w:pPr>
        <w:pStyle w:val="92"/>
        <w:widowControl w:val="0"/>
        <w:numPr>
          <w:ilvl w:val="1"/>
          <w:numId w:val="13"/>
        </w:numPr>
        <w:spacing w:line="600" w:lineRule="exact"/>
        <w:ind w:left="0" w:firstLine="600" w:firstLineChars="200"/>
        <w:outlineLvl w:val="3"/>
        <w:rPr>
          <w:rFonts w:ascii="仿宋_GB2312" w:hAnsi="仿宋" w:eastAsia="仿宋_GB2312"/>
          <w:sz w:val="30"/>
          <w:szCs w:val="30"/>
        </w:rPr>
      </w:pPr>
      <w:r>
        <w:rPr>
          <w:rFonts w:hint="eastAsia" w:ascii="仿宋_GB2312" w:hAnsi="仿宋" w:eastAsia="仿宋_GB2312"/>
          <w:sz w:val="30"/>
          <w:szCs w:val="30"/>
        </w:rPr>
        <w:t>申报类型</w:t>
      </w:r>
    </w:p>
    <w:p w14:paraId="34A3989F">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采用匹配成交方式的，采用限价申报。</w:t>
      </w:r>
    </w:p>
    <w:p w14:paraId="6C258476">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限价申报按照优于或者等于限定的价格进行债券交易。即按限定的价格或低于限定的价格申报买入证券，按限定的价格或高于限定的价格申报卖出证券。</w:t>
      </w:r>
    </w:p>
    <w:p w14:paraId="0ED01941">
      <w:pPr>
        <w:pStyle w:val="92"/>
        <w:widowControl w:val="0"/>
        <w:numPr>
          <w:ilvl w:val="1"/>
          <w:numId w:val="13"/>
        </w:numPr>
        <w:spacing w:line="600" w:lineRule="exact"/>
        <w:ind w:left="0" w:firstLine="600" w:firstLineChars="200"/>
        <w:outlineLvl w:val="3"/>
        <w:rPr>
          <w:rFonts w:ascii="仿宋_GB2312" w:hAnsi="仿宋" w:eastAsia="仿宋_GB2312"/>
          <w:sz w:val="30"/>
          <w:szCs w:val="30"/>
        </w:rPr>
      </w:pPr>
      <w:r>
        <w:rPr>
          <w:rFonts w:hint="eastAsia" w:ascii="仿宋_GB2312" w:hAnsi="仿宋" w:eastAsia="仿宋_GB2312"/>
          <w:sz w:val="30"/>
          <w:szCs w:val="30"/>
        </w:rPr>
        <w:t>申报要素</w:t>
      </w:r>
    </w:p>
    <w:p w14:paraId="7AEEF9B0">
      <w:pPr>
        <w:spacing w:line="600" w:lineRule="exact"/>
        <w:ind w:firstLine="600" w:firstLineChars="200"/>
        <w:rPr>
          <w:rFonts w:ascii="仿宋_GB2312" w:hAnsi="黑体" w:eastAsia="仿宋_GB2312"/>
        </w:rPr>
      </w:pPr>
      <w:r>
        <w:rPr>
          <w:rFonts w:hint="eastAsia" w:ascii="仿宋_GB2312" w:hAnsi="仿宋" w:eastAsia="仿宋_GB2312"/>
          <w:sz w:val="30"/>
          <w:szCs w:val="30"/>
        </w:rPr>
        <w:t>限价申报要素应当包括证券代码、交易方向、价格、数量、证券账户等内容。具体如下：</w:t>
      </w: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6713"/>
      </w:tblGrid>
      <w:tr w14:paraId="729EF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64711BD6">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要素名称</w:t>
            </w:r>
          </w:p>
        </w:tc>
        <w:tc>
          <w:tcPr>
            <w:tcW w:w="6713" w:type="dxa"/>
          </w:tcPr>
          <w:p w14:paraId="50638EAC">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要素说明</w:t>
            </w:r>
          </w:p>
        </w:tc>
      </w:tr>
      <w:tr w14:paraId="3BB37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05AE26ED">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申报类型</w:t>
            </w:r>
          </w:p>
        </w:tc>
        <w:tc>
          <w:tcPr>
            <w:tcW w:w="6713" w:type="dxa"/>
          </w:tcPr>
          <w:p w14:paraId="2F697C29">
            <w:pPr>
              <w:pStyle w:val="12"/>
              <w:ind w:firstLine="0" w:firstLineChars="0"/>
              <w:rPr>
                <w:rFonts w:ascii="仿宋_GB2312" w:eastAsia="仿宋_GB2312"/>
                <w:kern w:val="0"/>
                <w:lang w:bidi="en-US"/>
              </w:rPr>
            </w:pPr>
            <w:r>
              <w:rPr>
                <w:rFonts w:hint="eastAsia" w:ascii="仿宋_GB2312" w:eastAsia="仿宋_GB2312"/>
                <w:kern w:val="0"/>
                <w:lang w:bidi="en-US"/>
              </w:rPr>
              <w:t>交易订单的申报类型，初期只支持限价申报</w:t>
            </w:r>
          </w:p>
        </w:tc>
      </w:tr>
      <w:tr w14:paraId="4E63E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30D57681">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证券代码</w:t>
            </w:r>
          </w:p>
        </w:tc>
        <w:tc>
          <w:tcPr>
            <w:tcW w:w="6713" w:type="dxa"/>
          </w:tcPr>
          <w:p w14:paraId="3B3DE266">
            <w:pPr>
              <w:pStyle w:val="12"/>
              <w:ind w:firstLine="0" w:firstLineChars="0"/>
              <w:rPr>
                <w:rFonts w:ascii="仿宋_GB2312" w:eastAsia="仿宋_GB2312"/>
                <w:kern w:val="0"/>
                <w:lang w:bidi="en-US"/>
              </w:rPr>
            </w:pPr>
            <w:r>
              <w:rPr>
                <w:rFonts w:hint="eastAsia" w:ascii="仿宋_GB2312" w:hAnsi="宋体" w:eastAsia="仿宋_GB2312"/>
                <w:kern w:val="0"/>
                <w:lang w:bidi="en-US"/>
              </w:rPr>
              <w:t>交易品种的证券代码，6位数字，唯一标识该证券</w:t>
            </w:r>
          </w:p>
        </w:tc>
      </w:tr>
      <w:tr w14:paraId="1CB64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09" w:type="dxa"/>
          </w:tcPr>
          <w:p w14:paraId="6548A8B4">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交易方向</w:t>
            </w:r>
          </w:p>
        </w:tc>
        <w:tc>
          <w:tcPr>
            <w:tcW w:w="6713" w:type="dxa"/>
          </w:tcPr>
          <w:p w14:paraId="1199740C">
            <w:pPr>
              <w:pStyle w:val="12"/>
              <w:ind w:firstLine="0" w:firstLineChars="0"/>
              <w:rPr>
                <w:rFonts w:ascii="仿宋_GB2312" w:eastAsia="仿宋_GB2312"/>
                <w:kern w:val="0"/>
                <w:lang w:bidi="en-US"/>
              </w:rPr>
            </w:pPr>
            <w:r>
              <w:rPr>
                <w:rFonts w:hint="eastAsia" w:ascii="仿宋_GB2312" w:eastAsia="仿宋_GB2312"/>
                <w:kern w:val="0"/>
                <w:lang w:bidi="en-US"/>
              </w:rPr>
              <w:t>交易的买卖方向，即买入/卖出</w:t>
            </w:r>
          </w:p>
        </w:tc>
      </w:tr>
      <w:tr w14:paraId="2F1E1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473C620D">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申报价格</w:t>
            </w:r>
          </w:p>
        </w:tc>
        <w:tc>
          <w:tcPr>
            <w:tcW w:w="6713" w:type="dxa"/>
          </w:tcPr>
          <w:p w14:paraId="1CEA5822">
            <w:pPr>
              <w:pStyle w:val="12"/>
              <w:ind w:firstLine="0" w:firstLineChars="0"/>
              <w:rPr>
                <w:rFonts w:ascii="仿宋_GB2312" w:eastAsia="仿宋_GB2312"/>
                <w:kern w:val="0"/>
                <w:lang w:bidi="en-US"/>
              </w:rPr>
            </w:pPr>
            <w:r>
              <w:rPr>
                <w:rFonts w:hint="eastAsia" w:ascii="仿宋_GB2312" w:eastAsia="仿宋_GB2312"/>
                <w:kern w:val="0"/>
                <w:lang w:bidi="en-US"/>
              </w:rPr>
              <w:t>交易的价格，单位：元</w:t>
            </w:r>
          </w:p>
        </w:tc>
      </w:tr>
      <w:tr w14:paraId="74638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3D2433BE">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申报数量</w:t>
            </w:r>
          </w:p>
        </w:tc>
        <w:tc>
          <w:tcPr>
            <w:tcW w:w="6713" w:type="dxa"/>
          </w:tcPr>
          <w:p w14:paraId="0D4A3242">
            <w:pPr>
              <w:pStyle w:val="12"/>
              <w:ind w:firstLine="0" w:firstLineChars="0"/>
              <w:rPr>
                <w:rFonts w:ascii="仿宋_GB2312" w:eastAsia="仿宋_GB2312"/>
                <w:kern w:val="0"/>
                <w:lang w:bidi="en-US"/>
              </w:rPr>
            </w:pPr>
            <w:r>
              <w:rPr>
                <w:rFonts w:hint="eastAsia" w:ascii="仿宋_GB2312" w:eastAsia="仿宋_GB2312"/>
                <w:kern w:val="0"/>
                <w:lang w:bidi="en-US"/>
              </w:rPr>
              <w:t>交易的数量，单位：千元面额。</w:t>
            </w:r>
          </w:p>
        </w:tc>
      </w:tr>
      <w:tr w14:paraId="60DC5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7E387DD5">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申报账号</w:t>
            </w:r>
          </w:p>
        </w:tc>
        <w:tc>
          <w:tcPr>
            <w:tcW w:w="6713" w:type="dxa"/>
          </w:tcPr>
          <w:p w14:paraId="331EA1D1">
            <w:pPr>
              <w:pStyle w:val="12"/>
              <w:ind w:firstLine="0" w:firstLineChars="0"/>
              <w:rPr>
                <w:rFonts w:ascii="仿宋_GB2312" w:eastAsia="仿宋_GB2312"/>
                <w:kern w:val="0"/>
                <w:lang w:eastAsia="en-US" w:bidi="en-US"/>
              </w:rPr>
            </w:pPr>
            <w:r>
              <w:rPr>
                <w:rFonts w:hint="eastAsia" w:ascii="仿宋_GB2312" w:eastAsia="仿宋_GB2312"/>
                <w:kern w:val="0"/>
                <w:lang w:eastAsia="en-US" w:bidi="en-US"/>
              </w:rPr>
              <w:t>交易的证券账户号码</w:t>
            </w:r>
          </w:p>
        </w:tc>
      </w:tr>
      <w:tr w14:paraId="08002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09" w:type="dxa"/>
          </w:tcPr>
          <w:p w14:paraId="7973C888">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证券简称</w:t>
            </w:r>
          </w:p>
        </w:tc>
        <w:tc>
          <w:tcPr>
            <w:tcW w:w="6713" w:type="dxa"/>
          </w:tcPr>
          <w:p w14:paraId="4DA0DD1C">
            <w:pPr>
              <w:pStyle w:val="12"/>
              <w:ind w:firstLine="0" w:firstLineChars="0"/>
              <w:rPr>
                <w:rFonts w:ascii="仿宋_GB2312" w:eastAsia="仿宋_GB2312"/>
                <w:kern w:val="0"/>
                <w:lang w:bidi="en-US"/>
              </w:rPr>
            </w:pPr>
            <w:r>
              <w:rPr>
                <w:rFonts w:hint="eastAsia" w:ascii="仿宋_GB2312" w:eastAsia="仿宋_GB2312"/>
                <w:kern w:val="0"/>
                <w:lang w:bidi="en-US"/>
              </w:rPr>
              <w:t>上交所证券简称，有证券代码的交易品种，简称根据证券代码自动显示</w:t>
            </w:r>
          </w:p>
        </w:tc>
      </w:tr>
      <w:tr w14:paraId="219AB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3784B3DB">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申报日期时间</w:t>
            </w:r>
          </w:p>
        </w:tc>
        <w:tc>
          <w:tcPr>
            <w:tcW w:w="6713" w:type="dxa"/>
          </w:tcPr>
          <w:p w14:paraId="38003153">
            <w:pPr>
              <w:pStyle w:val="12"/>
              <w:ind w:firstLine="0" w:firstLineChars="0"/>
              <w:rPr>
                <w:rFonts w:ascii="仿宋_GB2312" w:eastAsia="仿宋_GB2312"/>
                <w:kern w:val="0"/>
                <w:lang w:bidi="en-US"/>
              </w:rPr>
            </w:pPr>
            <w:r>
              <w:rPr>
                <w:rFonts w:hint="eastAsia" w:ascii="仿宋_GB2312" w:eastAsia="仿宋_GB2312"/>
                <w:kern w:val="0"/>
                <w:lang w:bidi="en-US"/>
              </w:rPr>
              <w:t>交易申报日期（年月日）及时间（时分秒），自动显示</w:t>
            </w:r>
          </w:p>
        </w:tc>
      </w:tr>
      <w:tr w14:paraId="7980B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384BE378">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申报PBU</w:t>
            </w:r>
          </w:p>
        </w:tc>
        <w:tc>
          <w:tcPr>
            <w:tcW w:w="6713" w:type="dxa"/>
          </w:tcPr>
          <w:p w14:paraId="320B34D7">
            <w:pPr>
              <w:pStyle w:val="12"/>
              <w:ind w:firstLine="0" w:firstLineChars="0"/>
              <w:rPr>
                <w:rFonts w:ascii="仿宋_GB2312" w:eastAsia="仿宋_GB2312"/>
                <w:kern w:val="0"/>
                <w:lang w:bidi="en-US"/>
              </w:rPr>
            </w:pPr>
            <w:r>
              <w:rPr>
                <w:rFonts w:hint="eastAsia" w:ascii="仿宋_GB2312" w:eastAsia="仿宋_GB2312"/>
                <w:kern w:val="0"/>
                <w:lang w:bidi="en-US"/>
              </w:rPr>
              <w:t>交易参与人的交易单元号码，自动显示</w:t>
            </w:r>
          </w:p>
        </w:tc>
      </w:tr>
      <w:tr w14:paraId="315AE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7AA91954">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申报编号</w:t>
            </w:r>
          </w:p>
        </w:tc>
        <w:tc>
          <w:tcPr>
            <w:tcW w:w="6713" w:type="dxa"/>
          </w:tcPr>
          <w:p w14:paraId="24296A53">
            <w:pPr>
              <w:pStyle w:val="12"/>
              <w:ind w:firstLine="0" w:firstLineChars="0"/>
              <w:rPr>
                <w:rFonts w:ascii="仿宋_GB2312" w:eastAsia="仿宋_GB2312"/>
                <w:kern w:val="0"/>
                <w:lang w:bidi="en-US"/>
              </w:rPr>
            </w:pPr>
            <w:r>
              <w:rPr>
                <w:rFonts w:hint="eastAsia" w:ascii="仿宋_GB2312" w:eastAsia="仿宋_GB2312"/>
                <w:kern w:val="0"/>
                <w:lang w:bidi="en-US"/>
              </w:rPr>
              <w:t>交易参与人为申报订单编制的序号，供交易参与人使用，自动显示</w:t>
            </w:r>
          </w:p>
        </w:tc>
      </w:tr>
      <w:tr w14:paraId="1B4A8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09" w:type="dxa"/>
          </w:tcPr>
          <w:p w14:paraId="2DC102B5">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营业部代码</w:t>
            </w:r>
          </w:p>
        </w:tc>
        <w:tc>
          <w:tcPr>
            <w:tcW w:w="6713" w:type="dxa"/>
          </w:tcPr>
          <w:p w14:paraId="604C90F4">
            <w:pPr>
              <w:pStyle w:val="12"/>
              <w:ind w:firstLine="0" w:firstLineChars="0"/>
              <w:rPr>
                <w:rFonts w:ascii="仿宋_GB2312" w:eastAsia="仿宋_GB2312"/>
                <w:kern w:val="0"/>
                <w:lang w:bidi="en-US"/>
              </w:rPr>
            </w:pPr>
            <w:r>
              <w:rPr>
                <w:rFonts w:hint="eastAsia" w:ascii="仿宋_GB2312" w:eastAsia="仿宋_GB2312"/>
                <w:kern w:val="0"/>
                <w:lang w:bidi="en-US"/>
              </w:rPr>
              <w:t>营业部代码，自动显示</w:t>
            </w:r>
          </w:p>
        </w:tc>
      </w:tr>
      <w:tr w14:paraId="3F924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32E02592">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交易方式</w:t>
            </w:r>
          </w:p>
        </w:tc>
        <w:tc>
          <w:tcPr>
            <w:tcW w:w="6713" w:type="dxa"/>
          </w:tcPr>
          <w:p w14:paraId="75F45BC8">
            <w:pPr>
              <w:pStyle w:val="12"/>
              <w:ind w:firstLine="0" w:firstLineChars="0"/>
              <w:rPr>
                <w:rFonts w:ascii="仿宋_GB2312" w:eastAsia="仿宋_GB2312"/>
                <w:kern w:val="0"/>
                <w:lang w:bidi="en-US"/>
              </w:rPr>
            </w:pPr>
            <w:r>
              <w:rPr>
                <w:rFonts w:hint="eastAsia" w:ascii="仿宋_GB2312" w:eastAsia="仿宋_GB2312"/>
                <w:kern w:val="0"/>
                <w:lang w:bidi="en-US"/>
              </w:rPr>
              <w:t>交易方式，预留，初期固定为“匹配成交”</w:t>
            </w:r>
          </w:p>
        </w:tc>
      </w:tr>
    </w:tbl>
    <w:p w14:paraId="54CC11AE">
      <w:pPr>
        <w:pStyle w:val="92"/>
        <w:widowControl w:val="0"/>
        <w:numPr>
          <w:ilvl w:val="1"/>
          <w:numId w:val="13"/>
        </w:numPr>
        <w:spacing w:line="600" w:lineRule="exact"/>
        <w:ind w:left="0" w:firstLine="600" w:firstLineChars="200"/>
        <w:outlineLvl w:val="3"/>
        <w:rPr>
          <w:rFonts w:ascii="仿宋_GB2312" w:hAnsi="仿宋" w:eastAsia="仿宋_GB2312"/>
          <w:sz w:val="30"/>
          <w:szCs w:val="30"/>
          <w:lang w:eastAsia="zh-CN"/>
        </w:rPr>
      </w:pPr>
      <w:r>
        <w:rPr>
          <w:rFonts w:hint="eastAsia" w:ascii="仿宋_GB2312" w:hAnsi="仿宋" w:eastAsia="仿宋_GB2312"/>
          <w:sz w:val="30"/>
          <w:szCs w:val="30"/>
          <w:lang w:eastAsia="zh-CN"/>
        </w:rPr>
        <w:t>集合匹配有效申报价格范围</w:t>
      </w:r>
    </w:p>
    <w:p w14:paraId="101BF9CF">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集合匹配阶段，</w:t>
      </w:r>
      <w:r>
        <w:rPr>
          <w:rFonts w:hint="eastAsia" w:ascii="仿宋_GB2312" w:eastAsia="仿宋_GB2312"/>
          <w:color w:val="000000"/>
          <w:sz w:val="30"/>
          <w:szCs w:val="30"/>
        </w:rPr>
        <w:t>债券的有效申报价格范围为前收盘价的上下30%，通用回购的有效申报价格范围为前收盘价的上下</w:t>
      </w:r>
      <w:r>
        <w:rPr>
          <w:rFonts w:ascii="仿宋_GB2312" w:eastAsia="仿宋_GB2312"/>
          <w:sz w:val="30"/>
          <w:szCs w:val="30"/>
        </w:rPr>
        <w:t>100%</w:t>
      </w:r>
      <w:r>
        <w:rPr>
          <w:rFonts w:hint="eastAsia" w:ascii="仿宋_GB2312" w:eastAsia="仿宋_GB2312"/>
          <w:sz w:val="30"/>
          <w:szCs w:val="30"/>
        </w:rPr>
        <w:t>。本所另有规定的除外。</w:t>
      </w:r>
    </w:p>
    <w:p w14:paraId="6D822FE5">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债券上市首日，以该债券的发行价格作为前收盘价。</w:t>
      </w:r>
    </w:p>
    <w:p w14:paraId="16CBF681">
      <w:pPr>
        <w:pStyle w:val="92"/>
        <w:widowControl w:val="0"/>
        <w:numPr>
          <w:ilvl w:val="1"/>
          <w:numId w:val="13"/>
        </w:numPr>
        <w:spacing w:line="600" w:lineRule="exact"/>
        <w:ind w:left="0" w:firstLine="600" w:firstLineChars="200"/>
        <w:outlineLvl w:val="3"/>
        <w:rPr>
          <w:rFonts w:ascii="仿宋_GB2312" w:hAnsi="仿宋" w:eastAsia="仿宋_GB2312"/>
          <w:sz w:val="30"/>
          <w:szCs w:val="30"/>
          <w:lang w:eastAsia="zh-CN"/>
        </w:rPr>
      </w:pPr>
      <w:r>
        <w:rPr>
          <w:rFonts w:hint="eastAsia" w:ascii="仿宋_GB2312" w:hAnsi="仿宋" w:eastAsia="仿宋_GB2312"/>
          <w:sz w:val="30"/>
          <w:szCs w:val="30"/>
          <w:lang w:eastAsia="zh-CN"/>
        </w:rPr>
        <w:t>连续匹配有效申报价格范围</w:t>
      </w:r>
    </w:p>
    <w:p w14:paraId="0EE9458C">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连续匹配阶段，政府债券、政府支持债券、政策性金融债等的有效申报价格范围为匹配成交最新成交价格的上下10%，其他债券的有效申报价格范围为匹配成交最新成交价格的上下20%，通用回购的有效申报价格不得高于匹配成交最新成交价格100个基点。本所另有规定的除外。</w:t>
      </w:r>
    </w:p>
    <w:p w14:paraId="3BB365EF">
      <w:pPr>
        <w:spacing w:line="560" w:lineRule="exact"/>
        <w:ind w:firstLine="600" w:firstLineChars="200"/>
        <w:rPr>
          <w:rFonts w:ascii="仿宋_GB2312" w:eastAsia="仿宋_GB2312" w:cs="宋体"/>
          <w:color w:val="000000"/>
          <w:kern w:val="0"/>
          <w:sz w:val="30"/>
          <w:szCs w:val="30"/>
        </w:rPr>
      </w:pPr>
      <w:r>
        <w:rPr>
          <w:rFonts w:hint="eastAsia" w:ascii="仿宋_GB2312" w:eastAsia="仿宋_GB2312" w:cs="宋体"/>
          <w:color w:val="000000"/>
          <w:kern w:val="0"/>
          <w:sz w:val="30"/>
          <w:szCs w:val="30"/>
        </w:rPr>
        <w:t>债券在集合匹配阶段、连续匹配阶段没有达成交易的，连续匹配阶段按照下列方式调整有效申报价格范围：最高买入申报价格高于前收盘价的，以最高买入申报价格为基准调整有效申报价格范围；最低卖出申报价格低于前收盘价的，以最低卖出申报价格为基准调整有效申报价格范围。</w:t>
      </w:r>
    </w:p>
    <w:p w14:paraId="21FC3962">
      <w:pPr>
        <w:spacing w:line="560" w:lineRule="exact"/>
        <w:ind w:firstLine="600" w:firstLineChars="200"/>
        <w:rPr>
          <w:rFonts w:ascii="仿宋_GB2312" w:eastAsia="仿宋_GB2312" w:cs="宋体"/>
          <w:color w:val="000000"/>
          <w:kern w:val="0"/>
          <w:sz w:val="30"/>
          <w:szCs w:val="30"/>
        </w:rPr>
      </w:pPr>
      <w:r>
        <w:rPr>
          <w:rFonts w:hint="eastAsia" w:ascii="仿宋_GB2312" w:eastAsia="仿宋_GB2312" w:cs="宋体"/>
          <w:color w:val="000000"/>
          <w:kern w:val="0"/>
          <w:sz w:val="30"/>
          <w:szCs w:val="30"/>
        </w:rPr>
        <w:t>当日无交易的，前收盘价视为最新成交价格。</w:t>
      </w:r>
    </w:p>
    <w:p w14:paraId="27A90965">
      <w:pPr>
        <w:spacing w:line="600" w:lineRule="exact"/>
        <w:ind w:firstLine="600" w:firstLineChars="200"/>
        <w:rPr>
          <w:rFonts w:ascii="仿宋_GB2312" w:hAnsi="仿宋" w:eastAsia="仿宋_GB2312"/>
          <w:sz w:val="30"/>
          <w:szCs w:val="30"/>
        </w:rPr>
      </w:pPr>
      <w:r>
        <w:rPr>
          <w:rFonts w:hint="eastAsia" w:ascii="仿宋_GB2312" w:eastAsia="仿宋_GB2312"/>
          <w:sz w:val="30"/>
          <w:szCs w:val="30"/>
        </w:rPr>
        <w:t>根据市场发展需要，本所可以调整有效申报价格范围。</w:t>
      </w:r>
    </w:p>
    <w:p w14:paraId="2BF860A9">
      <w:pPr>
        <w:pStyle w:val="92"/>
        <w:widowControl w:val="0"/>
        <w:numPr>
          <w:ilvl w:val="1"/>
          <w:numId w:val="13"/>
        </w:numPr>
        <w:spacing w:line="600" w:lineRule="exact"/>
        <w:ind w:left="0" w:firstLine="600" w:firstLineChars="200"/>
        <w:outlineLvl w:val="3"/>
        <w:rPr>
          <w:rFonts w:ascii="仿宋_GB2312" w:eastAsia="仿宋_GB2312"/>
          <w:sz w:val="30"/>
          <w:szCs w:val="30"/>
        </w:rPr>
      </w:pPr>
      <w:r>
        <w:rPr>
          <w:rFonts w:hint="eastAsia" w:ascii="仿宋_GB2312" w:hAnsi="仿宋" w:eastAsia="仿宋_GB2312"/>
          <w:sz w:val="30"/>
          <w:szCs w:val="30"/>
        </w:rPr>
        <w:t>申报方式</w:t>
      </w:r>
      <w:r>
        <w:rPr>
          <w:rFonts w:hint="eastAsia" w:ascii="仿宋_GB2312" w:eastAsia="仿宋_GB2312"/>
          <w:sz w:val="30"/>
          <w:szCs w:val="30"/>
        </w:rPr>
        <w:t xml:space="preserve"> </w:t>
      </w:r>
    </w:p>
    <w:p w14:paraId="76912CBA">
      <w:pPr>
        <w:spacing w:line="600" w:lineRule="exact"/>
        <w:ind w:firstLine="600" w:firstLineChars="200"/>
        <w:rPr>
          <w:rFonts w:ascii="仿宋_GB2312" w:eastAsia="仿宋_GB2312"/>
          <w:color w:val="000000"/>
          <w:sz w:val="30"/>
          <w:szCs w:val="30"/>
        </w:rPr>
      </w:pPr>
      <w:r>
        <w:rPr>
          <w:rFonts w:hint="eastAsia" w:ascii="仿宋_GB2312" w:hAnsi="仿宋" w:eastAsia="仿宋_GB2312"/>
          <w:sz w:val="30"/>
          <w:szCs w:val="30"/>
        </w:rPr>
        <w:t>本所新债券交易系统为匹配成交提供电子化接口，债券投资者可通过电子化接口接入本所新债券交易系统，并提交匹配成交的交易申报。</w:t>
      </w:r>
    </w:p>
    <w:p w14:paraId="7DD07232">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申报撤销</w:t>
      </w:r>
    </w:p>
    <w:p w14:paraId="486B4DF3">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申报未成交时，债券投资者可提交撤销申报。每个交易日9:20至9:25的开盘集合匹配阶段，新债券交易系统不接受撤销申报。其他接受申报的时间内，未成交的申报可以撤销；若原申报订单已部分成交，则未成交的部分可以撤销；若原申报订单已经成功撤销，则此撤销申报作废；若原申报订单也是撤销申报，则此撤销申报作废。债券停牌期间，新债券交易系统接受符合要求的撤销申报。</w:t>
      </w:r>
    </w:p>
    <w:p w14:paraId="180A25E5">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撤销申报</w:t>
      </w:r>
      <w:r>
        <w:rPr>
          <w:rFonts w:hint="eastAsia" w:ascii="仿宋_GB2312" w:eastAsia="仿宋_GB2312"/>
          <w:color w:val="000000"/>
          <w:sz w:val="30"/>
          <w:szCs w:val="30"/>
        </w:rPr>
        <w:t>具体要素及要素说明</w:t>
      </w:r>
      <w:r>
        <w:rPr>
          <w:rFonts w:hint="eastAsia" w:ascii="仿宋_GB2312" w:hAnsi="仿宋" w:eastAsia="仿宋_GB2312"/>
          <w:sz w:val="30"/>
          <w:szCs w:val="30"/>
        </w:rPr>
        <w:t>如下：</w:t>
      </w: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1"/>
        <w:gridCol w:w="6571"/>
      </w:tblGrid>
      <w:tr w14:paraId="12FD5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6BE4E3A5">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要素名称</w:t>
            </w:r>
          </w:p>
        </w:tc>
        <w:tc>
          <w:tcPr>
            <w:tcW w:w="6571" w:type="dxa"/>
          </w:tcPr>
          <w:p w14:paraId="7ED94451">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要素说明</w:t>
            </w:r>
          </w:p>
        </w:tc>
      </w:tr>
      <w:tr w14:paraId="4EB98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32D4A15F">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申报类型</w:t>
            </w:r>
          </w:p>
        </w:tc>
        <w:tc>
          <w:tcPr>
            <w:tcW w:w="6571" w:type="dxa"/>
          </w:tcPr>
          <w:p w14:paraId="0A9E8B65">
            <w:pPr>
              <w:pStyle w:val="12"/>
              <w:ind w:firstLine="0" w:firstLineChars="0"/>
              <w:rPr>
                <w:rFonts w:ascii="仿宋_GB2312" w:eastAsia="仿宋_GB2312"/>
                <w:kern w:val="0"/>
                <w:lang w:bidi="en-US"/>
              </w:rPr>
            </w:pPr>
            <w:r>
              <w:rPr>
                <w:rFonts w:hint="eastAsia" w:ascii="仿宋_GB2312" w:eastAsia="仿宋_GB2312"/>
                <w:kern w:val="0"/>
                <w:lang w:bidi="en-US"/>
              </w:rPr>
              <w:t>撤单的申报类型，对应为：现券限价申报撤单</w:t>
            </w:r>
          </w:p>
        </w:tc>
      </w:tr>
      <w:tr w14:paraId="77E02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3A2A5CA5">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对应原申报编号</w:t>
            </w:r>
          </w:p>
        </w:tc>
        <w:tc>
          <w:tcPr>
            <w:tcW w:w="6571" w:type="dxa"/>
          </w:tcPr>
          <w:p w14:paraId="186E9C31">
            <w:pPr>
              <w:pStyle w:val="12"/>
              <w:ind w:firstLine="0" w:firstLineChars="0"/>
              <w:rPr>
                <w:rFonts w:ascii="仿宋_GB2312" w:eastAsia="仿宋_GB2312"/>
                <w:kern w:val="0"/>
                <w:lang w:bidi="en-US"/>
              </w:rPr>
            </w:pPr>
            <w:r>
              <w:rPr>
                <w:rFonts w:hint="eastAsia" w:ascii="仿宋_GB2312" w:eastAsia="仿宋_GB2312"/>
                <w:kern w:val="0"/>
                <w:lang w:bidi="en-US"/>
              </w:rPr>
              <w:t>原交易申报订单的申报编号</w:t>
            </w:r>
          </w:p>
        </w:tc>
      </w:tr>
      <w:tr w14:paraId="0C182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51" w:type="dxa"/>
          </w:tcPr>
          <w:p w14:paraId="59D4B826">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证券代码</w:t>
            </w:r>
          </w:p>
        </w:tc>
        <w:tc>
          <w:tcPr>
            <w:tcW w:w="6571" w:type="dxa"/>
          </w:tcPr>
          <w:p w14:paraId="39A59028">
            <w:pPr>
              <w:pStyle w:val="12"/>
              <w:ind w:firstLine="0" w:firstLineChars="0"/>
              <w:rPr>
                <w:rFonts w:ascii="仿宋_GB2312" w:eastAsia="仿宋_GB2312"/>
                <w:kern w:val="0"/>
                <w:lang w:bidi="en-US"/>
              </w:rPr>
            </w:pPr>
            <w:r>
              <w:rPr>
                <w:rFonts w:hint="eastAsia" w:ascii="仿宋_GB2312" w:eastAsia="仿宋_GB2312"/>
                <w:kern w:val="0"/>
                <w:lang w:bidi="en-US"/>
              </w:rPr>
              <w:t>原</w:t>
            </w:r>
            <w:r>
              <w:rPr>
                <w:rFonts w:hint="eastAsia" w:ascii="仿宋_GB2312" w:hAnsi="宋体" w:eastAsia="仿宋_GB2312"/>
                <w:kern w:val="0"/>
                <w:lang w:bidi="en-US"/>
              </w:rPr>
              <w:t>交易品种的证券代码</w:t>
            </w:r>
            <w:r>
              <w:rPr>
                <w:rFonts w:hint="eastAsia" w:ascii="仿宋_GB2312" w:eastAsia="仿宋_GB2312"/>
                <w:kern w:val="0"/>
                <w:lang w:bidi="en-US"/>
              </w:rPr>
              <w:t>，自动显示</w:t>
            </w:r>
          </w:p>
        </w:tc>
      </w:tr>
      <w:tr w14:paraId="02334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2A02BF2A">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交易方向</w:t>
            </w:r>
          </w:p>
        </w:tc>
        <w:tc>
          <w:tcPr>
            <w:tcW w:w="6571" w:type="dxa"/>
          </w:tcPr>
          <w:p w14:paraId="34D51C5C">
            <w:pPr>
              <w:pStyle w:val="12"/>
              <w:ind w:firstLine="0" w:firstLineChars="0"/>
              <w:rPr>
                <w:rFonts w:ascii="仿宋_GB2312" w:eastAsia="仿宋_GB2312"/>
                <w:kern w:val="0"/>
                <w:lang w:bidi="en-US"/>
              </w:rPr>
            </w:pPr>
            <w:r>
              <w:rPr>
                <w:rFonts w:hint="eastAsia" w:ascii="仿宋_GB2312" w:eastAsia="仿宋_GB2312"/>
                <w:kern w:val="0"/>
                <w:lang w:bidi="en-US"/>
              </w:rPr>
              <w:t>原交易的买卖方向，即买入/卖出，自动显示</w:t>
            </w:r>
          </w:p>
        </w:tc>
      </w:tr>
      <w:tr w14:paraId="0AF7C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24634B7E">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申报价格</w:t>
            </w:r>
          </w:p>
        </w:tc>
        <w:tc>
          <w:tcPr>
            <w:tcW w:w="6571" w:type="dxa"/>
          </w:tcPr>
          <w:p w14:paraId="3A2D95B1">
            <w:pPr>
              <w:pStyle w:val="12"/>
              <w:ind w:firstLine="0" w:firstLineChars="0"/>
              <w:rPr>
                <w:rFonts w:ascii="仿宋_GB2312" w:eastAsia="仿宋_GB2312"/>
                <w:kern w:val="0"/>
                <w:lang w:bidi="en-US"/>
              </w:rPr>
            </w:pPr>
            <w:r>
              <w:rPr>
                <w:rFonts w:hint="eastAsia" w:ascii="仿宋_GB2312" w:eastAsia="仿宋_GB2312"/>
                <w:kern w:val="0"/>
                <w:lang w:bidi="en-US"/>
              </w:rPr>
              <w:t>原交易的价格，单位：元，自动显示</w:t>
            </w:r>
          </w:p>
        </w:tc>
      </w:tr>
      <w:tr w14:paraId="7C5E9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25E03AC0">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申报数量</w:t>
            </w:r>
          </w:p>
        </w:tc>
        <w:tc>
          <w:tcPr>
            <w:tcW w:w="6571" w:type="dxa"/>
          </w:tcPr>
          <w:p w14:paraId="3FDB9B01">
            <w:pPr>
              <w:pStyle w:val="12"/>
              <w:ind w:firstLine="0" w:firstLineChars="0"/>
              <w:rPr>
                <w:rFonts w:ascii="仿宋_GB2312" w:eastAsia="仿宋_GB2312"/>
                <w:kern w:val="0"/>
                <w:lang w:bidi="en-US"/>
              </w:rPr>
            </w:pPr>
            <w:r>
              <w:rPr>
                <w:rFonts w:hint="eastAsia" w:ascii="仿宋_GB2312" w:eastAsia="仿宋_GB2312"/>
                <w:kern w:val="0"/>
                <w:lang w:bidi="en-US"/>
              </w:rPr>
              <w:t>原交易的数量，单位：千元面额，自动显示</w:t>
            </w:r>
          </w:p>
        </w:tc>
      </w:tr>
      <w:tr w14:paraId="06085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51" w:type="dxa"/>
          </w:tcPr>
          <w:p w14:paraId="7B5F606A">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申报账号</w:t>
            </w:r>
          </w:p>
        </w:tc>
        <w:tc>
          <w:tcPr>
            <w:tcW w:w="6571" w:type="dxa"/>
          </w:tcPr>
          <w:p w14:paraId="3494CD9A">
            <w:pPr>
              <w:pStyle w:val="12"/>
              <w:ind w:firstLine="0" w:firstLineChars="0"/>
              <w:rPr>
                <w:rFonts w:ascii="仿宋_GB2312" w:eastAsia="仿宋_GB2312"/>
                <w:kern w:val="0"/>
                <w:lang w:bidi="en-US"/>
              </w:rPr>
            </w:pPr>
            <w:r>
              <w:rPr>
                <w:rFonts w:hint="eastAsia" w:ascii="仿宋_GB2312" w:eastAsia="仿宋_GB2312"/>
                <w:kern w:val="0"/>
                <w:lang w:bidi="en-US"/>
              </w:rPr>
              <w:t>原交易的证券账户号码，自动显示</w:t>
            </w:r>
          </w:p>
        </w:tc>
      </w:tr>
      <w:tr w14:paraId="43ACA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7121EDFD">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证券简称</w:t>
            </w:r>
          </w:p>
        </w:tc>
        <w:tc>
          <w:tcPr>
            <w:tcW w:w="6571" w:type="dxa"/>
          </w:tcPr>
          <w:p w14:paraId="7CED4FCF">
            <w:pPr>
              <w:pStyle w:val="12"/>
              <w:ind w:firstLine="0" w:firstLineChars="0"/>
              <w:rPr>
                <w:rFonts w:ascii="仿宋_GB2312" w:eastAsia="仿宋_GB2312"/>
                <w:kern w:val="0"/>
                <w:lang w:bidi="en-US"/>
              </w:rPr>
            </w:pPr>
            <w:r>
              <w:rPr>
                <w:rFonts w:hint="eastAsia" w:ascii="仿宋_GB2312" w:eastAsia="仿宋_GB2312"/>
                <w:kern w:val="0"/>
                <w:lang w:bidi="en-US"/>
              </w:rPr>
              <w:t>上交所证券简称，有证券代码的交易品种，简称根据证券代码自动显示</w:t>
            </w:r>
          </w:p>
        </w:tc>
      </w:tr>
      <w:tr w14:paraId="2DC63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21E0171E">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申报日期时间</w:t>
            </w:r>
          </w:p>
        </w:tc>
        <w:tc>
          <w:tcPr>
            <w:tcW w:w="6571" w:type="dxa"/>
          </w:tcPr>
          <w:p w14:paraId="34F7B281">
            <w:pPr>
              <w:pStyle w:val="12"/>
              <w:ind w:firstLine="0" w:firstLineChars="0"/>
              <w:rPr>
                <w:rFonts w:ascii="仿宋_GB2312" w:eastAsia="仿宋_GB2312"/>
                <w:kern w:val="0"/>
                <w:lang w:bidi="en-US"/>
              </w:rPr>
            </w:pPr>
            <w:r>
              <w:rPr>
                <w:rFonts w:hint="eastAsia" w:ascii="仿宋_GB2312" w:eastAsia="仿宋_GB2312"/>
                <w:kern w:val="0"/>
                <w:lang w:bidi="en-US"/>
              </w:rPr>
              <w:t>撤单生成的申报日期（年月日）及时间（时分秒），自动显示</w:t>
            </w:r>
          </w:p>
        </w:tc>
      </w:tr>
      <w:tr w14:paraId="2A353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12648C5D">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申报PBU</w:t>
            </w:r>
          </w:p>
        </w:tc>
        <w:tc>
          <w:tcPr>
            <w:tcW w:w="6571" w:type="dxa"/>
          </w:tcPr>
          <w:p w14:paraId="115C0AF9">
            <w:pPr>
              <w:pStyle w:val="12"/>
              <w:ind w:firstLine="0" w:firstLineChars="0"/>
              <w:rPr>
                <w:rFonts w:ascii="仿宋_GB2312" w:eastAsia="仿宋_GB2312"/>
                <w:kern w:val="0"/>
                <w:lang w:bidi="en-US"/>
              </w:rPr>
            </w:pPr>
            <w:r>
              <w:rPr>
                <w:rFonts w:hint="eastAsia" w:ascii="仿宋_GB2312" w:eastAsia="仿宋_GB2312"/>
                <w:kern w:val="0"/>
                <w:lang w:bidi="en-US"/>
              </w:rPr>
              <w:t>交易参与人的交易单元号码，自动显示</w:t>
            </w:r>
          </w:p>
        </w:tc>
      </w:tr>
      <w:tr w14:paraId="08914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51" w:type="dxa"/>
          </w:tcPr>
          <w:p w14:paraId="2197CF91">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申报编号</w:t>
            </w:r>
          </w:p>
        </w:tc>
        <w:tc>
          <w:tcPr>
            <w:tcW w:w="6571" w:type="dxa"/>
          </w:tcPr>
          <w:p w14:paraId="29381BE5">
            <w:pPr>
              <w:pStyle w:val="12"/>
              <w:ind w:firstLine="0" w:firstLineChars="0"/>
              <w:rPr>
                <w:rFonts w:ascii="仿宋_GB2312" w:eastAsia="仿宋_GB2312"/>
                <w:kern w:val="0"/>
                <w:lang w:bidi="en-US"/>
              </w:rPr>
            </w:pPr>
            <w:r>
              <w:rPr>
                <w:rFonts w:hint="eastAsia" w:ascii="仿宋_GB2312" w:eastAsia="仿宋_GB2312"/>
                <w:kern w:val="0"/>
                <w:lang w:bidi="en-US"/>
              </w:rPr>
              <w:t>交易参与人为撤销申报订单编制的序号，自动显示</w:t>
            </w:r>
          </w:p>
        </w:tc>
      </w:tr>
      <w:tr w14:paraId="6ECC6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6D4E8F02">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交易方式</w:t>
            </w:r>
          </w:p>
        </w:tc>
        <w:tc>
          <w:tcPr>
            <w:tcW w:w="6571" w:type="dxa"/>
          </w:tcPr>
          <w:p w14:paraId="60839396">
            <w:pPr>
              <w:pStyle w:val="12"/>
              <w:ind w:firstLine="0" w:firstLineChars="0"/>
              <w:rPr>
                <w:rFonts w:ascii="仿宋_GB2312" w:eastAsia="仿宋_GB2312"/>
                <w:kern w:val="0"/>
                <w:lang w:bidi="en-US"/>
              </w:rPr>
            </w:pPr>
            <w:r>
              <w:rPr>
                <w:rFonts w:hint="eastAsia" w:ascii="仿宋_GB2312" w:eastAsia="仿宋_GB2312"/>
                <w:kern w:val="0"/>
                <w:lang w:bidi="en-US"/>
              </w:rPr>
              <w:t>交易方式，预留，初期固定为“匹配成交”</w:t>
            </w:r>
          </w:p>
        </w:tc>
      </w:tr>
    </w:tbl>
    <w:p w14:paraId="3DA3BEE5">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撤销指令经本所新债券交易系统确认后实时生效。</w:t>
      </w:r>
    </w:p>
    <w:p w14:paraId="7B91F877">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成交规则</w:t>
      </w:r>
    </w:p>
    <w:p w14:paraId="663A7BCC">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成交时价格优先的原则为：较高价格买入申报优先于较低价格买入申报，较低价格卖出申报优先于较高价格卖出申报。</w:t>
      </w:r>
    </w:p>
    <w:p w14:paraId="596B30E8">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成交时时间优先的原则为：交易方向、价格相同的，先申报者优先于后申报者。先后顺序按新债券交易系统接受申报的时间确定。</w:t>
      </w:r>
    </w:p>
    <w:p w14:paraId="159A1534">
      <w:pPr>
        <w:spacing w:line="600" w:lineRule="exact"/>
        <w:ind w:firstLine="600" w:firstLineChars="200"/>
        <w:outlineLvl w:val="3"/>
        <w:rPr>
          <w:rFonts w:ascii="仿宋_GB2312" w:hAnsi="仿宋" w:eastAsia="仿宋_GB2312"/>
          <w:sz w:val="30"/>
          <w:szCs w:val="30"/>
        </w:rPr>
      </w:pPr>
      <w:r>
        <w:rPr>
          <w:rFonts w:hint="eastAsia" w:ascii="仿宋_GB2312" w:eastAsia="仿宋_GB2312"/>
          <w:sz w:val="30"/>
          <w:szCs w:val="30"/>
        </w:rPr>
        <w:t>（1）</w:t>
      </w:r>
      <w:r>
        <w:rPr>
          <w:rFonts w:hint="eastAsia" w:ascii="仿宋_GB2312" w:hAnsi="仿宋" w:eastAsia="仿宋_GB2312"/>
          <w:sz w:val="30"/>
          <w:szCs w:val="30"/>
        </w:rPr>
        <w:t>集合匹配成交价格确定原则</w:t>
      </w:r>
    </w:p>
    <w:p w14:paraId="671F3D0F">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集合匹配时，成交价格的确定原则为：</w:t>
      </w:r>
    </w:p>
    <w:p w14:paraId="4C0DB3AC">
      <w:pPr>
        <w:pStyle w:val="92"/>
        <w:widowControl w:val="0"/>
        <w:numPr>
          <w:ilvl w:val="0"/>
          <w:numId w:val="14"/>
        </w:numPr>
        <w:spacing w:line="600" w:lineRule="exact"/>
        <w:ind w:left="0" w:firstLine="600" w:firstLineChars="200"/>
        <w:rPr>
          <w:rFonts w:ascii="仿宋_GB2312" w:hAnsi="仿宋" w:eastAsia="仿宋_GB2312"/>
          <w:sz w:val="30"/>
          <w:szCs w:val="30"/>
          <w:lang w:eastAsia="zh-CN"/>
        </w:rPr>
      </w:pPr>
      <w:r>
        <w:rPr>
          <w:rFonts w:hint="eastAsia" w:ascii="仿宋_GB2312" w:hAnsi="仿宋" w:eastAsia="仿宋_GB2312"/>
          <w:sz w:val="30"/>
          <w:szCs w:val="30"/>
          <w:lang w:eastAsia="zh-CN"/>
        </w:rPr>
        <w:t>可实现最大成交量的价格；</w:t>
      </w:r>
    </w:p>
    <w:p w14:paraId="320B9C4F">
      <w:pPr>
        <w:pStyle w:val="92"/>
        <w:widowControl w:val="0"/>
        <w:numPr>
          <w:ilvl w:val="0"/>
          <w:numId w:val="14"/>
        </w:numPr>
        <w:spacing w:line="600" w:lineRule="exact"/>
        <w:ind w:left="0" w:firstLine="600" w:firstLineChars="200"/>
        <w:rPr>
          <w:rFonts w:ascii="仿宋_GB2312" w:hAnsi="仿宋" w:eastAsia="仿宋_GB2312"/>
          <w:sz w:val="30"/>
          <w:szCs w:val="30"/>
          <w:lang w:eastAsia="zh-CN"/>
        </w:rPr>
      </w:pPr>
      <w:r>
        <w:rPr>
          <w:rFonts w:hint="eastAsia" w:ascii="仿宋_GB2312" w:hAnsi="仿宋" w:eastAsia="仿宋_GB2312"/>
          <w:sz w:val="30"/>
          <w:szCs w:val="30"/>
          <w:lang w:eastAsia="zh-CN"/>
        </w:rPr>
        <w:t>高于该价格的买入申报与低于该价格的卖出申报全部成交的价格；</w:t>
      </w:r>
    </w:p>
    <w:p w14:paraId="3BE1E889">
      <w:pPr>
        <w:pStyle w:val="92"/>
        <w:widowControl w:val="0"/>
        <w:numPr>
          <w:ilvl w:val="0"/>
          <w:numId w:val="14"/>
        </w:numPr>
        <w:spacing w:line="600" w:lineRule="exact"/>
        <w:ind w:left="0" w:firstLine="600" w:firstLineChars="200"/>
        <w:rPr>
          <w:rFonts w:ascii="仿宋_GB2312" w:hAnsi="仿宋" w:eastAsia="仿宋_GB2312"/>
          <w:sz w:val="30"/>
          <w:szCs w:val="30"/>
          <w:lang w:eastAsia="zh-CN"/>
        </w:rPr>
      </w:pPr>
      <w:r>
        <w:rPr>
          <w:rFonts w:hint="eastAsia" w:ascii="仿宋_GB2312" w:hAnsi="仿宋" w:eastAsia="仿宋_GB2312"/>
          <w:sz w:val="30"/>
          <w:szCs w:val="30"/>
          <w:lang w:eastAsia="zh-CN"/>
        </w:rPr>
        <w:t>与该价格相同的买方或者卖方至少有一方全部成交的价格。</w:t>
      </w:r>
    </w:p>
    <w:p w14:paraId="7A56C20F">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两个以上申报价格符合上述条件的，使未成交量最小的申报价格为成交价格；仍有两个以上使未成交量最小的申报价格符合上述条件的，其中间价为成交价格。</w:t>
      </w:r>
    </w:p>
    <w:p w14:paraId="2F5E6ADE">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集合匹配阶段的所有交易以同一价格成交。</w:t>
      </w:r>
    </w:p>
    <w:p w14:paraId="316DAA14">
      <w:pPr>
        <w:spacing w:line="600" w:lineRule="exact"/>
        <w:ind w:firstLine="600" w:firstLineChars="200"/>
        <w:outlineLvl w:val="3"/>
        <w:rPr>
          <w:rFonts w:ascii="仿宋_GB2312" w:eastAsia="仿宋_GB2312"/>
          <w:sz w:val="30"/>
          <w:szCs w:val="30"/>
        </w:rPr>
      </w:pPr>
      <w:r>
        <w:rPr>
          <w:rFonts w:hint="eastAsia" w:ascii="仿宋_GB2312" w:eastAsia="仿宋_GB2312"/>
          <w:sz w:val="30"/>
          <w:szCs w:val="30"/>
        </w:rPr>
        <w:t>（2）</w:t>
      </w:r>
      <w:r>
        <w:rPr>
          <w:rFonts w:hint="eastAsia" w:ascii="仿宋_GB2312" w:hAnsi="仿宋" w:eastAsia="仿宋_GB2312"/>
          <w:sz w:val="30"/>
          <w:szCs w:val="30"/>
        </w:rPr>
        <w:t>连续匹配成交价格确定原则</w:t>
      </w:r>
    </w:p>
    <w:p w14:paraId="04239A0A">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连续匹配时，成交价格的确定原则为：</w:t>
      </w:r>
    </w:p>
    <w:p w14:paraId="56E7B81B">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1</w:t>
      </w:r>
      <w:r>
        <w:rPr>
          <w:rFonts w:ascii="仿宋_GB2312" w:hAnsi="仿宋" w:eastAsia="仿宋_GB2312"/>
          <w:sz w:val="30"/>
          <w:szCs w:val="30"/>
        </w:rPr>
        <w:t>）</w:t>
      </w:r>
      <w:r>
        <w:rPr>
          <w:rFonts w:hint="eastAsia" w:ascii="仿宋_GB2312" w:hAnsi="仿宋" w:eastAsia="仿宋_GB2312"/>
          <w:sz w:val="30"/>
          <w:szCs w:val="30"/>
        </w:rPr>
        <w:t>最高买入申报价格与最低卖出申报价格相同，以该价格为成交价格；</w:t>
      </w:r>
    </w:p>
    <w:p w14:paraId="48A3D0AC">
      <w:pPr>
        <w:spacing w:line="600" w:lineRule="exact"/>
        <w:ind w:firstLine="600" w:firstLineChars="200"/>
        <w:rPr>
          <w:rFonts w:ascii="仿宋_GB2312" w:hAnsi="仿宋" w:eastAsia="仿宋_GB2312"/>
          <w:sz w:val="30"/>
          <w:szCs w:val="30"/>
        </w:rPr>
      </w:pPr>
      <w:r>
        <w:rPr>
          <w:rFonts w:ascii="仿宋_GB2312" w:hAnsi="仿宋" w:eastAsia="仿宋_GB2312"/>
          <w:sz w:val="30"/>
          <w:szCs w:val="30"/>
        </w:rPr>
        <w:t>2）</w:t>
      </w:r>
      <w:r>
        <w:rPr>
          <w:rFonts w:hint="eastAsia" w:ascii="仿宋_GB2312" w:hAnsi="仿宋" w:eastAsia="仿宋_GB2312"/>
          <w:sz w:val="30"/>
          <w:szCs w:val="30"/>
        </w:rPr>
        <w:t>买入申报价格高于即时揭示的最低卖出申报价格的，以即时揭示的最低卖出申报价格为成交价格；</w:t>
      </w:r>
    </w:p>
    <w:p w14:paraId="57C70169">
      <w:pPr>
        <w:spacing w:line="600" w:lineRule="exact"/>
        <w:ind w:firstLine="600" w:firstLineChars="200"/>
        <w:rPr>
          <w:rFonts w:ascii="仿宋_GB2312" w:hAnsi="仿宋" w:eastAsia="仿宋_GB2312"/>
          <w:sz w:val="30"/>
          <w:szCs w:val="30"/>
        </w:rPr>
      </w:pPr>
      <w:r>
        <w:rPr>
          <w:rFonts w:ascii="仿宋_GB2312" w:hAnsi="仿宋" w:eastAsia="仿宋_GB2312"/>
          <w:sz w:val="30"/>
          <w:szCs w:val="30"/>
        </w:rPr>
        <w:t>3）</w:t>
      </w:r>
      <w:r>
        <w:rPr>
          <w:rFonts w:hint="eastAsia" w:ascii="仿宋_GB2312" w:hAnsi="仿宋" w:eastAsia="仿宋_GB2312"/>
          <w:sz w:val="30"/>
          <w:szCs w:val="30"/>
        </w:rPr>
        <w:t>卖出申报价格低于即时揭示的最高买入申报价格的，以即时揭示的最高买入申报价格为成交价格。</w:t>
      </w:r>
    </w:p>
    <w:p w14:paraId="7BB28D20">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连续匹配的申报可以部分成交。</w:t>
      </w:r>
    </w:p>
    <w:p w14:paraId="6BD9C0F5">
      <w:pPr>
        <w:numPr>
          <w:ilvl w:val="2"/>
          <w:numId w:val="4"/>
        </w:numPr>
        <w:spacing w:line="600" w:lineRule="exact"/>
        <w:ind w:left="0" w:firstLine="0"/>
        <w:outlineLvl w:val="2"/>
        <w:rPr>
          <w:rFonts w:ascii="仿宋_GB2312" w:eastAsia="仿宋_GB2312"/>
          <w:b/>
          <w:sz w:val="30"/>
          <w:szCs w:val="30"/>
        </w:rPr>
      </w:pPr>
      <w:bookmarkStart w:id="453" w:name="_Toc37254252"/>
      <w:r>
        <w:rPr>
          <w:rFonts w:hint="eastAsia" w:ascii="仿宋_GB2312" w:eastAsia="仿宋_GB2312"/>
          <w:b/>
          <w:sz w:val="30"/>
          <w:szCs w:val="30"/>
        </w:rPr>
        <w:t xml:space="preserve"> 成交数据发送</w:t>
      </w:r>
      <w:bookmarkEnd w:id="453"/>
    </w:p>
    <w:p w14:paraId="7BA10DFB">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成交后，新债券交易系统</w:t>
      </w:r>
      <w:r>
        <w:rPr>
          <w:rFonts w:ascii="仿宋_GB2312" w:hAnsi="仿宋" w:eastAsia="仿宋_GB2312"/>
          <w:sz w:val="30"/>
          <w:szCs w:val="30"/>
        </w:rPr>
        <w:t>将</w:t>
      </w:r>
      <w:r>
        <w:rPr>
          <w:rFonts w:hint="eastAsia" w:ascii="仿宋_GB2312" w:hAnsi="仿宋" w:eastAsia="仿宋_GB2312"/>
          <w:sz w:val="30"/>
          <w:szCs w:val="30"/>
        </w:rPr>
        <w:t>逐笔成交数据</w:t>
      </w:r>
      <w:r>
        <w:rPr>
          <w:rFonts w:ascii="仿宋_GB2312" w:hAnsi="仿宋" w:eastAsia="仿宋_GB2312"/>
          <w:sz w:val="30"/>
          <w:szCs w:val="30"/>
        </w:rPr>
        <w:t>分别发送给交易</w:t>
      </w:r>
      <w:r>
        <w:rPr>
          <w:rFonts w:hint="eastAsia" w:ascii="仿宋_GB2312" w:hAnsi="仿宋" w:eastAsia="仿宋_GB2312"/>
          <w:sz w:val="30"/>
          <w:szCs w:val="30"/>
        </w:rPr>
        <w:t>对应的</w:t>
      </w:r>
      <w:r>
        <w:rPr>
          <w:rFonts w:ascii="仿宋_GB2312" w:hAnsi="仿宋" w:eastAsia="仿宋_GB2312"/>
          <w:sz w:val="30"/>
          <w:szCs w:val="30"/>
        </w:rPr>
        <w:t>买卖双方</w:t>
      </w:r>
      <w:r>
        <w:rPr>
          <w:rFonts w:hint="eastAsia" w:ascii="仿宋_GB2312" w:hAnsi="仿宋" w:eastAsia="仿宋_GB2312"/>
          <w:sz w:val="30"/>
          <w:szCs w:val="30"/>
        </w:rPr>
        <w:t>，债券投资者</w:t>
      </w:r>
      <w:r>
        <w:rPr>
          <w:rFonts w:ascii="仿宋_GB2312" w:hAnsi="仿宋" w:eastAsia="仿宋_GB2312"/>
          <w:sz w:val="30"/>
          <w:szCs w:val="30"/>
        </w:rPr>
        <w:t>仅能收到与自己相关的成交数据。</w:t>
      </w:r>
    </w:p>
    <w:p w14:paraId="1003351D">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成交数据</w:t>
      </w:r>
      <w:r>
        <w:rPr>
          <w:rFonts w:hint="eastAsia" w:ascii="仿宋_GB2312" w:eastAsia="仿宋_GB2312"/>
          <w:color w:val="000000"/>
          <w:sz w:val="30"/>
          <w:szCs w:val="30"/>
        </w:rPr>
        <w:t>具体要素及要素说明</w:t>
      </w:r>
      <w:r>
        <w:rPr>
          <w:rFonts w:hint="eastAsia" w:ascii="仿宋_GB2312" w:hAnsi="仿宋" w:eastAsia="仿宋_GB2312"/>
          <w:sz w:val="30"/>
          <w:szCs w:val="30"/>
        </w:rPr>
        <w:t>如下：</w:t>
      </w:r>
    </w:p>
    <w:tbl>
      <w:tblPr>
        <w:tblStyle w:val="43"/>
        <w:tblW w:w="0" w:type="auto"/>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2"/>
        <w:gridCol w:w="6996"/>
      </w:tblGrid>
      <w:tr w14:paraId="16D6A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005C2B35">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要素名称</w:t>
            </w:r>
          </w:p>
        </w:tc>
        <w:tc>
          <w:tcPr>
            <w:tcW w:w="6996" w:type="dxa"/>
          </w:tcPr>
          <w:p w14:paraId="0F966485">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要素说明</w:t>
            </w:r>
          </w:p>
        </w:tc>
      </w:tr>
      <w:tr w14:paraId="64B77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1CE14AD8">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成交编号</w:t>
            </w:r>
          </w:p>
        </w:tc>
        <w:tc>
          <w:tcPr>
            <w:tcW w:w="6996" w:type="dxa"/>
          </w:tcPr>
          <w:p w14:paraId="7B54C0F9">
            <w:pPr>
              <w:pStyle w:val="12"/>
              <w:ind w:firstLine="0" w:firstLineChars="0"/>
              <w:rPr>
                <w:rFonts w:ascii="仿宋_GB2312" w:eastAsia="仿宋_GB2312"/>
                <w:kern w:val="0"/>
                <w:lang w:bidi="en-US"/>
              </w:rPr>
            </w:pPr>
            <w:r>
              <w:rPr>
                <w:rFonts w:hint="eastAsia" w:ascii="仿宋_GB2312" w:eastAsia="仿宋_GB2312"/>
                <w:kern w:val="0"/>
                <w:lang w:bidi="en-US"/>
              </w:rPr>
              <w:t>新债券交易系统给成交单分配的唯一标识</w:t>
            </w:r>
          </w:p>
        </w:tc>
      </w:tr>
      <w:tr w14:paraId="6A81F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4D28298E">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业务类型</w:t>
            </w:r>
          </w:p>
        </w:tc>
        <w:tc>
          <w:tcPr>
            <w:tcW w:w="6996" w:type="dxa"/>
          </w:tcPr>
          <w:p w14:paraId="3DD2EA0E">
            <w:pPr>
              <w:pStyle w:val="12"/>
              <w:ind w:firstLine="0" w:firstLineChars="0"/>
              <w:rPr>
                <w:rFonts w:ascii="仿宋_GB2312" w:eastAsia="仿宋_GB2312"/>
                <w:kern w:val="0"/>
                <w:lang w:bidi="en-US"/>
              </w:rPr>
            </w:pPr>
            <w:r>
              <w:rPr>
                <w:rFonts w:hint="eastAsia" w:ascii="仿宋_GB2312" w:eastAsia="仿宋_GB2312"/>
                <w:kern w:val="0"/>
                <w:lang w:bidi="en-US"/>
              </w:rPr>
              <w:t>对应交易订单的申报类型，第一阶段为现券限价申报</w:t>
            </w:r>
          </w:p>
        </w:tc>
      </w:tr>
      <w:tr w14:paraId="4BDF3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2" w:type="dxa"/>
          </w:tcPr>
          <w:p w14:paraId="29B5BCF2">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证券代码</w:t>
            </w:r>
          </w:p>
        </w:tc>
        <w:tc>
          <w:tcPr>
            <w:tcW w:w="6996" w:type="dxa"/>
          </w:tcPr>
          <w:p w14:paraId="3BE28D8C">
            <w:pPr>
              <w:pStyle w:val="12"/>
              <w:ind w:firstLine="0" w:firstLineChars="0"/>
              <w:rPr>
                <w:rFonts w:ascii="仿宋_GB2312" w:eastAsia="仿宋_GB2312"/>
                <w:kern w:val="0"/>
                <w:lang w:bidi="en-US"/>
              </w:rPr>
            </w:pPr>
            <w:r>
              <w:rPr>
                <w:rFonts w:hint="eastAsia" w:ascii="仿宋_GB2312" w:hAnsi="宋体" w:eastAsia="仿宋_GB2312"/>
                <w:kern w:val="0"/>
                <w:lang w:bidi="en-US"/>
              </w:rPr>
              <w:t>交易品种的证券代码，同申报订单</w:t>
            </w:r>
          </w:p>
        </w:tc>
      </w:tr>
      <w:tr w14:paraId="4FB84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09DBE18F">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证券简称</w:t>
            </w:r>
          </w:p>
        </w:tc>
        <w:tc>
          <w:tcPr>
            <w:tcW w:w="6996" w:type="dxa"/>
          </w:tcPr>
          <w:p w14:paraId="19B3DB95">
            <w:pPr>
              <w:pStyle w:val="12"/>
              <w:ind w:firstLine="0" w:firstLineChars="0"/>
              <w:rPr>
                <w:rFonts w:ascii="仿宋_GB2312" w:hAnsi="宋体" w:eastAsia="仿宋_GB2312"/>
                <w:kern w:val="0"/>
                <w:lang w:bidi="en-US"/>
              </w:rPr>
            </w:pPr>
            <w:r>
              <w:rPr>
                <w:rFonts w:hint="eastAsia" w:ascii="仿宋_GB2312" w:eastAsia="仿宋_GB2312"/>
                <w:kern w:val="0"/>
                <w:lang w:bidi="en-US"/>
              </w:rPr>
              <w:t>上交所证券简称，有证券代码的交易品种，简称根据证券代码自动显示</w:t>
            </w:r>
          </w:p>
        </w:tc>
      </w:tr>
      <w:tr w14:paraId="3E0FF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188B8A81">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成交日期时间</w:t>
            </w:r>
          </w:p>
        </w:tc>
        <w:tc>
          <w:tcPr>
            <w:tcW w:w="6996" w:type="dxa"/>
          </w:tcPr>
          <w:p w14:paraId="32BDC92C">
            <w:pPr>
              <w:pStyle w:val="12"/>
              <w:ind w:firstLine="0" w:firstLineChars="0"/>
              <w:rPr>
                <w:rFonts w:ascii="仿宋_GB2312" w:eastAsia="仿宋_GB2312"/>
                <w:kern w:val="0"/>
                <w:lang w:bidi="en-US"/>
              </w:rPr>
            </w:pPr>
            <w:r>
              <w:rPr>
                <w:rFonts w:hint="eastAsia" w:ascii="仿宋_GB2312" w:eastAsia="仿宋_GB2312"/>
                <w:kern w:val="0"/>
                <w:lang w:bidi="en-US"/>
              </w:rPr>
              <w:t>交易成交的日期（年月日）及时间（时分秒）</w:t>
            </w:r>
          </w:p>
        </w:tc>
      </w:tr>
      <w:tr w14:paraId="633A1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6847F1D8">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交易方向</w:t>
            </w:r>
          </w:p>
        </w:tc>
        <w:tc>
          <w:tcPr>
            <w:tcW w:w="6996" w:type="dxa"/>
          </w:tcPr>
          <w:p w14:paraId="6D2BE14F">
            <w:pPr>
              <w:pStyle w:val="12"/>
              <w:ind w:firstLine="0" w:firstLineChars="0"/>
              <w:rPr>
                <w:rFonts w:ascii="仿宋_GB2312" w:eastAsia="仿宋_GB2312"/>
                <w:kern w:val="0"/>
                <w:lang w:bidi="en-US"/>
              </w:rPr>
            </w:pPr>
            <w:r>
              <w:rPr>
                <w:rFonts w:hint="eastAsia" w:ascii="仿宋_GB2312" w:eastAsia="仿宋_GB2312"/>
                <w:kern w:val="0"/>
                <w:lang w:bidi="en-US"/>
              </w:rPr>
              <w:t>交易的买卖方向，即买入/卖出</w:t>
            </w:r>
            <w:r>
              <w:rPr>
                <w:rFonts w:hint="eastAsia" w:ascii="仿宋_GB2312" w:hAnsi="宋体" w:eastAsia="仿宋_GB2312"/>
                <w:kern w:val="0"/>
                <w:lang w:bidi="en-US"/>
              </w:rPr>
              <w:t>，同申报订单</w:t>
            </w:r>
          </w:p>
        </w:tc>
      </w:tr>
      <w:tr w14:paraId="5512B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2" w:type="dxa"/>
          </w:tcPr>
          <w:p w14:paraId="1C257D71">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成交价格</w:t>
            </w:r>
          </w:p>
        </w:tc>
        <w:tc>
          <w:tcPr>
            <w:tcW w:w="6996" w:type="dxa"/>
          </w:tcPr>
          <w:p w14:paraId="7346F9AD">
            <w:pPr>
              <w:pStyle w:val="12"/>
              <w:ind w:firstLine="0" w:firstLineChars="0"/>
              <w:rPr>
                <w:rFonts w:ascii="仿宋_GB2312" w:eastAsia="仿宋_GB2312"/>
                <w:kern w:val="0"/>
                <w:lang w:bidi="en-US"/>
              </w:rPr>
            </w:pPr>
            <w:r>
              <w:rPr>
                <w:rFonts w:hint="eastAsia" w:ascii="仿宋_GB2312" w:eastAsia="仿宋_GB2312"/>
                <w:kern w:val="0"/>
                <w:lang w:bidi="en-US"/>
              </w:rPr>
              <w:t>成交的价格，单位：元</w:t>
            </w:r>
          </w:p>
        </w:tc>
      </w:tr>
      <w:tr w14:paraId="17680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7D206E11">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成交数量</w:t>
            </w:r>
          </w:p>
        </w:tc>
        <w:tc>
          <w:tcPr>
            <w:tcW w:w="6996" w:type="dxa"/>
          </w:tcPr>
          <w:p w14:paraId="0D632462">
            <w:pPr>
              <w:pStyle w:val="12"/>
              <w:ind w:firstLine="0" w:firstLineChars="0"/>
              <w:rPr>
                <w:rFonts w:ascii="仿宋_GB2312" w:eastAsia="仿宋_GB2312"/>
                <w:kern w:val="0"/>
                <w:lang w:bidi="en-US"/>
              </w:rPr>
            </w:pPr>
            <w:r>
              <w:rPr>
                <w:rFonts w:hint="eastAsia" w:ascii="仿宋_GB2312" w:eastAsia="仿宋_GB2312"/>
                <w:kern w:val="0"/>
                <w:lang w:bidi="en-US"/>
              </w:rPr>
              <w:t>成交的数量，单位：千元面额，</w:t>
            </w:r>
          </w:p>
        </w:tc>
      </w:tr>
      <w:tr w14:paraId="02A52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0CE713DC">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成交金额</w:t>
            </w:r>
          </w:p>
        </w:tc>
        <w:tc>
          <w:tcPr>
            <w:tcW w:w="6996" w:type="dxa"/>
          </w:tcPr>
          <w:p w14:paraId="1B40DE33">
            <w:pPr>
              <w:pStyle w:val="12"/>
              <w:ind w:firstLine="0" w:firstLineChars="0"/>
              <w:rPr>
                <w:rFonts w:ascii="仿宋_GB2312" w:eastAsia="仿宋_GB2312"/>
                <w:kern w:val="0"/>
                <w:lang w:bidi="en-US"/>
              </w:rPr>
            </w:pPr>
            <w:r>
              <w:rPr>
                <w:rFonts w:hint="eastAsia" w:ascii="仿宋_GB2312" w:eastAsia="仿宋_GB2312"/>
                <w:kern w:val="0"/>
                <w:lang w:bidi="en-US"/>
              </w:rPr>
              <w:t>根据成交数量、成交价格计算：</w:t>
            </w:r>
          </w:p>
          <w:p w14:paraId="6CCEE1E9">
            <w:pPr>
              <w:pStyle w:val="12"/>
              <w:ind w:firstLine="0" w:firstLineChars="0"/>
              <w:rPr>
                <w:rFonts w:ascii="仿宋_GB2312" w:eastAsia="仿宋_GB2312"/>
                <w:kern w:val="0"/>
                <w:lang w:bidi="en-US"/>
              </w:rPr>
            </w:pPr>
            <w:r>
              <w:rPr>
                <w:rFonts w:ascii="仿宋_GB2312" w:hAnsi="宋体" w:eastAsia="仿宋_GB2312"/>
                <w:kern w:val="0"/>
                <w:szCs w:val="21"/>
                <w:lang w:bidi="en-US"/>
              </w:rPr>
              <w:t>成交数量</w:t>
            </w:r>
            <w:r>
              <w:rPr>
                <w:rFonts w:hint="eastAsia" w:ascii="仿宋_GB2312" w:hAnsi="宋体" w:eastAsia="仿宋_GB2312"/>
                <w:kern w:val="0"/>
                <w:szCs w:val="21"/>
                <w:lang w:bidi="en-US"/>
              </w:rPr>
              <w:t>（千</w:t>
            </w:r>
            <w:r>
              <w:rPr>
                <w:rFonts w:ascii="仿宋_GB2312" w:hAnsi="宋体" w:eastAsia="仿宋_GB2312"/>
                <w:kern w:val="0"/>
                <w:szCs w:val="21"/>
                <w:lang w:bidi="en-US"/>
              </w:rPr>
              <w:t>元面额</w:t>
            </w:r>
            <w:r>
              <w:rPr>
                <w:rFonts w:hint="eastAsia" w:ascii="仿宋_GB2312" w:hAnsi="宋体" w:eastAsia="仿宋_GB2312"/>
                <w:kern w:val="0"/>
                <w:szCs w:val="21"/>
                <w:lang w:bidi="en-US"/>
              </w:rPr>
              <w:t>）</w:t>
            </w:r>
            <w:r>
              <w:rPr>
                <w:rFonts w:ascii="仿宋_GB2312" w:hAnsi="宋体" w:eastAsia="仿宋_GB2312"/>
                <w:kern w:val="0"/>
                <w:szCs w:val="21"/>
                <w:lang w:bidi="en-US"/>
              </w:rPr>
              <w:t>/100*成交价格</w:t>
            </w:r>
          </w:p>
        </w:tc>
      </w:tr>
      <w:tr w14:paraId="7B14C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4F6E8C04">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交易账号</w:t>
            </w:r>
          </w:p>
        </w:tc>
        <w:tc>
          <w:tcPr>
            <w:tcW w:w="6996" w:type="dxa"/>
          </w:tcPr>
          <w:p w14:paraId="5E9AC734">
            <w:pPr>
              <w:pStyle w:val="12"/>
              <w:ind w:firstLine="0" w:firstLineChars="0"/>
              <w:rPr>
                <w:rFonts w:ascii="仿宋_GB2312" w:eastAsia="仿宋_GB2312"/>
                <w:kern w:val="0"/>
                <w:lang w:bidi="en-US"/>
              </w:rPr>
            </w:pPr>
            <w:r>
              <w:rPr>
                <w:rFonts w:hint="eastAsia" w:ascii="仿宋_GB2312" w:eastAsia="仿宋_GB2312"/>
                <w:kern w:val="0"/>
                <w:lang w:bidi="en-US"/>
              </w:rPr>
              <w:t>交易的证券账户号码</w:t>
            </w:r>
            <w:r>
              <w:rPr>
                <w:rFonts w:hint="eastAsia" w:ascii="仿宋_GB2312" w:hAnsi="宋体" w:eastAsia="仿宋_GB2312"/>
                <w:kern w:val="0"/>
                <w:lang w:bidi="en-US"/>
              </w:rPr>
              <w:t>，同申报订单</w:t>
            </w:r>
          </w:p>
        </w:tc>
      </w:tr>
      <w:tr w14:paraId="24D03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2" w:type="dxa"/>
          </w:tcPr>
          <w:p w14:paraId="44C8A813">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交易PBU</w:t>
            </w:r>
          </w:p>
        </w:tc>
        <w:tc>
          <w:tcPr>
            <w:tcW w:w="6996" w:type="dxa"/>
          </w:tcPr>
          <w:p w14:paraId="062CBAB1">
            <w:pPr>
              <w:pStyle w:val="12"/>
              <w:ind w:firstLine="0" w:firstLineChars="0"/>
              <w:rPr>
                <w:rFonts w:ascii="仿宋_GB2312" w:eastAsia="仿宋_GB2312"/>
                <w:kern w:val="0"/>
                <w:lang w:bidi="en-US"/>
              </w:rPr>
            </w:pPr>
            <w:r>
              <w:rPr>
                <w:rFonts w:hint="eastAsia" w:ascii="仿宋_GB2312" w:eastAsia="仿宋_GB2312"/>
                <w:kern w:val="0"/>
                <w:lang w:bidi="en-US"/>
              </w:rPr>
              <w:t>交易参与人的交易单元号码</w:t>
            </w:r>
            <w:r>
              <w:rPr>
                <w:rFonts w:hint="eastAsia" w:ascii="仿宋_GB2312" w:hAnsi="宋体" w:eastAsia="仿宋_GB2312"/>
                <w:kern w:val="0"/>
                <w:lang w:bidi="en-US"/>
              </w:rPr>
              <w:t>，同申报订单</w:t>
            </w:r>
          </w:p>
        </w:tc>
      </w:tr>
      <w:tr w14:paraId="1C958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2C6FFA25">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申报编号</w:t>
            </w:r>
          </w:p>
        </w:tc>
        <w:tc>
          <w:tcPr>
            <w:tcW w:w="6996" w:type="dxa"/>
          </w:tcPr>
          <w:p w14:paraId="08F4CD05">
            <w:pPr>
              <w:pStyle w:val="12"/>
              <w:ind w:firstLine="0" w:firstLineChars="0"/>
              <w:rPr>
                <w:rFonts w:ascii="仿宋_GB2312" w:eastAsia="仿宋_GB2312"/>
                <w:kern w:val="0"/>
                <w:lang w:bidi="en-US"/>
              </w:rPr>
            </w:pPr>
            <w:r>
              <w:rPr>
                <w:rFonts w:hint="eastAsia" w:ascii="仿宋_GB2312" w:eastAsia="仿宋_GB2312"/>
                <w:kern w:val="0"/>
                <w:lang w:bidi="en-US"/>
              </w:rPr>
              <w:t>交易参与人内部为申报订单编制的序号</w:t>
            </w:r>
            <w:r>
              <w:rPr>
                <w:rFonts w:hint="eastAsia" w:ascii="仿宋_GB2312" w:hAnsi="宋体" w:eastAsia="仿宋_GB2312"/>
                <w:kern w:val="0"/>
                <w:lang w:bidi="en-US"/>
              </w:rPr>
              <w:t>，同申报订单</w:t>
            </w:r>
          </w:p>
        </w:tc>
      </w:tr>
      <w:tr w14:paraId="278F0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69DC6226">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交易方式</w:t>
            </w:r>
          </w:p>
        </w:tc>
        <w:tc>
          <w:tcPr>
            <w:tcW w:w="6996" w:type="dxa"/>
          </w:tcPr>
          <w:p w14:paraId="222A38D6">
            <w:pPr>
              <w:pStyle w:val="12"/>
              <w:ind w:firstLine="0" w:firstLineChars="0"/>
              <w:rPr>
                <w:rFonts w:ascii="仿宋_GB2312" w:eastAsia="仿宋_GB2312"/>
                <w:kern w:val="0"/>
                <w:lang w:eastAsia="en-US" w:bidi="en-US"/>
              </w:rPr>
            </w:pPr>
            <w:r>
              <w:rPr>
                <w:rFonts w:hint="eastAsia" w:ascii="仿宋_GB2312" w:eastAsia="仿宋_GB2312"/>
                <w:kern w:val="0"/>
                <w:lang w:eastAsia="en-US" w:bidi="en-US"/>
              </w:rPr>
              <w:t>匹配成交</w:t>
            </w:r>
          </w:p>
        </w:tc>
      </w:tr>
    </w:tbl>
    <w:p w14:paraId="3DA7B25E">
      <w:pPr>
        <w:numPr>
          <w:ilvl w:val="1"/>
          <w:numId w:val="4"/>
        </w:numPr>
        <w:spacing w:line="600" w:lineRule="exact"/>
        <w:ind w:left="0" w:firstLine="0"/>
        <w:outlineLvl w:val="1"/>
        <w:rPr>
          <w:rFonts w:ascii="仿宋_GB2312" w:eastAsia="仿宋_GB2312"/>
          <w:b/>
          <w:sz w:val="30"/>
          <w:szCs w:val="30"/>
        </w:rPr>
      </w:pPr>
      <w:bookmarkStart w:id="454" w:name="_Toc1000064878"/>
      <w:bookmarkStart w:id="455" w:name="_Toc641308523"/>
      <w:bookmarkStart w:id="456" w:name="_Toc1020657527"/>
      <w:bookmarkStart w:id="457" w:name="_Toc1605254333"/>
      <w:bookmarkStart w:id="458" w:name="_Toc151136901"/>
      <w:r>
        <w:rPr>
          <w:rFonts w:hint="eastAsia" w:ascii="仿宋_GB2312" w:eastAsia="仿宋_GB2312"/>
          <w:b/>
          <w:sz w:val="30"/>
          <w:szCs w:val="30"/>
        </w:rPr>
        <w:t>协商成交</w:t>
      </w:r>
      <w:bookmarkEnd w:id="454"/>
      <w:bookmarkEnd w:id="455"/>
      <w:bookmarkEnd w:id="456"/>
      <w:bookmarkEnd w:id="457"/>
      <w:bookmarkEnd w:id="458"/>
    </w:p>
    <w:p w14:paraId="16E28135">
      <w:pPr>
        <w:numPr>
          <w:ilvl w:val="2"/>
          <w:numId w:val="4"/>
        </w:numPr>
        <w:spacing w:line="600" w:lineRule="exact"/>
        <w:ind w:left="0" w:firstLine="0"/>
        <w:outlineLvl w:val="2"/>
        <w:rPr>
          <w:rFonts w:ascii="仿宋_GB2312" w:eastAsia="仿宋_GB2312"/>
          <w:b/>
          <w:sz w:val="30"/>
          <w:szCs w:val="30"/>
        </w:rPr>
      </w:pPr>
      <w:bookmarkStart w:id="459" w:name="_Toc57908913"/>
      <w:r>
        <w:rPr>
          <w:rFonts w:hint="eastAsia" w:ascii="仿宋_GB2312" w:eastAsia="仿宋_GB2312"/>
          <w:b/>
          <w:sz w:val="30"/>
          <w:szCs w:val="30"/>
        </w:rPr>
        <w:t>定义</w:t>
      </w:r>
      <w:bookmarkEnd w:id="459"/>
    </w:p>
    <w:p w14:paraId="59F6C0CB">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协商成交是指债券投资者之间通过协商等方式达成债券交易意向，并向固定收益平台申报，经固定收益平台确认成交的交易方式。</w:t>
      </w:r>
    </w:p>
    <w:p w14:paraId="0AF7CD3B">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本所固定收益平台为</w:t>
      </w:r>
      <w:r>
        <w:rPr>
          <w:rFonts w:hint="eastAsia" w:ascii="仿宋_GB2312" w:eastAsia="仿宋_GB2312"/>
          <w:sz w:val="30"/>
          <w:szCs w:val="30"/>
        </w:rPr>
        <w:t>协商成交申报提交</w:t>
      </w:r>
      <w:r>
        <w:rPr>
          <w:rFonts w:hint="eastAsia" w:ascii="仿宋_GB2312" w:hAnsi="仿宋" w:eastAsia="仿宋_GB2312"/>
          <w:sz w:val="30"/>
          <w:szCs w:val="30"/>
        </w:rPr>
        <w:t>提供客户端和电子化接口，债券交易参与人可通过客户端与电子化接口接入本所系统，并提交</w:t>
      </w:r>
      <w:r>
        <w:rPr>
          <w:rFonts w:hint="eastAsia" w:ascii="仿宋_GB2312" w:eastAsia="仿宋_GB2312"/>
          <w:sz w:val="30"/>
          <w:szCs w:val="30"/>
        </w:rPr>
        <w:t>协商成交申报信息</w:t>
      </w:r>
      <w:r>
        <w:rPr>
          <w:rFonts w:hint="eastAsia" w:ascii="仿宋_GB2312" w:hAnsi="仿宋" w:eastAsia="仿宋_GB2312"/>
          <w:sz w:val="30"/>
          <w:szCs w:val="30"/>
        </w:rPr>
        <w:t>。</w:t>
      </w:r>
    </w:p>
    <w:p w14:paraId="12CE7676">
      <w:pPr>
        <w:numPr>
          <w:ilvl w:val="2"/>
          <w:numId w:val="4"/>
        </w:numPr>
        <w:spacing w:line="600" w:lineRule="exact"/>
        <w:ind w:left="0" w:firstLine="0"/>
        <w:outlineLvl w:val="2"/>
        <w:rPr>
          <w:rFonts w:ascii="仿宋_GB2312" w:eastAsia="仿宋_GB2312"/>
          <w:b/>
          <w:sz w:val="30"/>
          <w:szCs w:val="30"/>
        </w:rPr>
      </w:pPr>
      <w:bookmarkStart w:id="460" w:name="_Toc57908914"/>
      <w:r>
        <w:rPr>
          <w:rFonts w:hint="eastAsia" w:ascii="仿宋_GB2312" w:eastAsia="仿宋_GB2312"/>
          <w:b/>
          <w:sz w:val="30"/>
          <w:szCs w:val="30"/>
        </w:rPr>
        <w:t>协商方式与流程</w:t>
      </w:r>
      <w:bookmarkEnd w:id="460"/>
    </w:p>
    <w:p w14:paraId="71680157">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债券投资者可以按照相关规则、本指南规定及内部风险控制要求，委托居间服务机构或者自行寻找交易对手，按照债券交易成交原则就债券交易要素协商达成一致。债券投资者可以通过多种方式寻找交易对手方并协商确定价格。</w:t>
      </w:r>
    </w:p>
    <w:p w14:paraId="5CD90D42">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交易</w:t>
      </w:r>
      <w:r>
        <w:rPr>
          <w:rFonts w:ascii="仿宋_GB2312" w:hAnsi="仿宋" w:eastAsia="仿宋_GB2312"/>
          <w:sz w:val="30"/>
          <w:szCs w:val="30"/>
        </w:rPr>
        <w:t>要素协商确定之后，</w:t>
      </w:r>
      <w:r>
        <w:rPr>
          <w:rFonts w:hint="eastAsia" w:ascii="仿宋_GB2312" w:hAnsi="仿宋" w:eastAsia="仿宋_GB2312"/>
          <w:sz w:val="30"/>
          <w:szCs w:val="30"/>
        </w:rPr>
        <w:t>双方可</w:t>
      </w:r>
      <w:r>
        <w:rPr>
          <w:rFonts w:ascii="仿宋_GB2312" w:hAnsi="仿宋" w:eastAsia="仿宋_GB2312"/>
          <w:sz w:val="30"/>
          <w:szCs w:val="30"/>
        </w:rPr>
        <w:t>分别</w:t>
      </w:r>
      <w:r>
        <w:rPr>
          <w:rFonts w:hint="eastAsia" w:ascii="仿宋_GB2312" w:hAnsi="仿宋" w:eastAsia="仿宋_GB2312"/>
          <w:sz w:val="30"/>
          <w:szCs w:val="30"/>
        </w:rPr>
        <w:t>提交协商</w:t>
      </w:r>
      <w:r>
        <w:rPr>
          <w:rFonts w:ascii="仿宋_GB2312" w:hAnsi="仿宋" w:eastAsia="仿宋_GB2312"/>
          <w:sz w:val="30"/>
          <w:szCs w:val="30"/>
        </w:rPr>
        <w:t>成交的</w:t>
      </w:r>
      <w:r>
        <w:rPr>
          <w:rFonts w:hint="eastAsia" w:ascii="仿宋_GB2312" w:hAnsi="仿宋" w:eastAsia="仿宋_GB2312"/>
          <w:sz w:val="30"/>
          <w:szCs w:val="30"/>
        </w:rPr>
        <w:t>申报，要素</w:t>
      </w:r>
      <w:r>
        <w:rPr>
          <w:rFonts w:ascii="仿宋_GB2312" w:hAnsi="仿宋" w:eastAsia="仿宋_GB2312"/>
          <w:sz w:val="30"/>
          <w:szCs w:val="30"/>
        </w:rPr>
        <w:t>相互匹配的，交易</w:t>
      </w:r>
      <w:r>
        <w:rPr>
          <w:rFonts w:hint="eastAsia" w:ascii="仿宋_GB2312" w:hAnsi="仿宋" w:eastAsia="仿宋_GB2312"/>
          <w:sz w:val="30"/>
          <w:szCs w:val="30"/>
        </w:rPr>
        <w:t>系统</w:t>
      </w:r>
      <w:r>
        <w:rPr>
          <w:rFonts w:ascii="仿宋_GB2312" w:hAnsi="仿宋" w:eastAsia="仿宋_GB2312"/>
          <w:sz w:val="30"/>
          <w:szCs w:val="30"/>
        </w:rPr>
        <w:t>予以</w:t>
      </w:r>
      <w:r>
        <w:rPr>
          <w:rFonts w:hint="eastAsia" w:ascii="仿宋_GB2312" w:hAnsi="仿宋" w:eastAsia="仿宋_GB2312"/>
          <w:sz w:val="30"/>
          <w:szCs w:val="30"/>
        </w:rPr>
        <w:t>确认。</w:t>
      </w:r>
    </w:p>
    <w:p w14:paraId="1B23D24D">
      <w:pPr>
        <w:numPr>
          <w:ilvl w:val="2"/>
          <w:numId w:val="4"/>
        </w:numPr>
        <w:spacing w:line="600" w:lineRule="exact"/>
        <w:ind w:left="0" w:firstLine="0"/>
        <w:outlineLvl w:val="2"/>
        <w:rPr>
          <w:rFonts w:ascii="仿宋_GB2312" w:eastAsia="仿宋_GB2312"/>
          <w:b/>
          <w:sz w:val="30"/>
          <w:szCs w:val="30"/>
        </w:rPr>
      </w:pPr>
      <w:bookmarkStart w:id="461" w:name="_Toc57908915"/>
      <w:r>
        <w:rPr>
          <w:rFonts w:hint="eastAsia" w:ascii="仿宋_GB2312" w:eastAsia="仿宋_GB2312"/>
          <w:b/>
          <w:sz w:val="30"/>
          <w:szCs w:val="30"/>
        </w:rPr>
        <w:t>申报要求</w:t>
      </w:r>
      <w:bookmarkEnd w:id="461"/>
    </w:p>
    <w:p w14:paraId="25A8B321">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协商成交的申报要素应当包括交易品种、交易方向、价格、数量、证券账号、</w:t>
      </w:r>
      <w:r>
        <w:rPr>
          <w:rFonts w:hint="eastAsia" w:ascii="仿宋_GB2312" w:eastAsia="仿宋_GB2312"/>
          <w:color w:val="000000"/>
          <w:sz w:val="30"/>
          <w:szCs w:val="30"/>
        </w:rPr>
        <w:t>交易双方名称、</w:t>
      </w:r>
      <w:r>
        <w:rPr>
          <w:rFonts w:hint="eastAsia" w:ascii="仿宋_GB2312" w:hAnsi="仿宋" w:eastAsia="仿宋_GB2312"/>
          <w:sz w:val="30"/>
          <w:szCs w:val="30"/>
        </w:rPr>
        <w:t>对手方交易员、结算方式、约定号、结算周期等内容。协商成交由交易双方分别填妥申报要素后各自提交申报。</w:t>
      </w:r>
    </w:p>
    <w:p w14:paraId="0A205B5D">
      <w:pPr>
        <w:widowControl/>
        <w:snapToGrid w:val="0"/>
        <w:spacing w:line="600" w:lineRule="exact"/>
        <w:ind w:firstLine="600" w:firstLineChars="200"/>
        <w:rPr>
          <w:kern w:val="0"/>
          <w:sz w:val="24"/>
          <w:szCs w:val="24"/>
        </w:rPr>
      </w:pPr>
      <w:r>
        <w:rPr>
          <w:rFonts w:hint="eastAsia" w:ascii="仿宋_GB2312" w:hAnsi="仿宋" w:eastAsia="仿宋_GB2312"/>
          <w:sz w:val="30"/>
          <w:szCs w:val="30"/>
        </w:rPr>
        <w:t>协商成交申报</w:t>
      </w:r>
      <w:r>
        <w:rPr>
          <w:rFonts w:hint="eastAsia" w:ascii="仿宋_GB2312" w:eastAsia="仿宋_GB2312"/>
          <w:sz w:val="30"/>
          <w:szCs w:val="30"/>
        </w:rPr>
        <w:t>具体要素及要素说明如下</w:t>
      </w:r>
      <w:r>
        <w:rPr>
          <w:rFonts w:hint="eastAsia" w:ascii="仿宋_GB2312" w:hAnsi="仿宋" w:eastAsia="仿宋_GB2312"/>
          <w:sz w:val="30"/>
          <w:szCs w:val="30"/>
        </w:rPr>
        <w:t>：</w:t>
      </w:r>
    </w:p>
    <w:tbl>
      <w:tblPr>
        <w:tblStyle w:val="43"/>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10"/>
        <w:gridCol w:w="6146"/>
      </w:tblGrid>
      <w:tr w14:paraId="1B75D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Pr>
          <w:p w14:paraId="19ECC066">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要素名称</w:t>
            </w:r>
          </w:p>
        </w:tc>
        <w:tc>
          <w:tcPr>
            <w:tcW w:w="6146" w:type="dxa"/>
          </w:tcPr>
          <w:p w14:paraId="2126FDFD">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要素说明</w:t>
            </w:r>
          </w:p>
        </w:tc>
      </w:tr>
      <w:tr w14:paraId="625E5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Pr>
          <w:p w14:paraId="7ADABAA5">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申报类型</w:t>
            </w:r>
          </w:p>
        </w:tc>
        <w:tc>
          <w:tcPr>
            <w:tcW w:w="6146" w:type="dxa"/>
          </w:tcPr>
          <w:p w14:paraId="6518CC55">
            <w:pPr>
              <w:pStyle w:val="12"/>
              <w:ind w:firstLine="0" w:firstLineChars="0"/>
              <w:rPr>
                <w:rFonts w:ascii="仿宋_GB2312" w:hAnsi="宋体" w:eastAsia="仿宋_GB2312"/>
                <w:kern w:val="0"/>
                <w:lang w:eastAsia="en-US" w:bidi="en-US"/>
              </w:rPr>
            </w:pPr>
            <w:r>
              <w:rPr>
                <w:rFonts w:hint="eastAsia" w:ascii="仿宋_GB2312" w:hAnsi="宋体" w:eastAsia="仿宋_GB2312"/>
                <w:kern w:val="0"/>
                <w:lang w:eastAsia="en-US" w:bidi="en-US"/>
              </w:rPr>
              <w:t>协商成交申报</w:t>
            </w:r>
          </w:p>
        </w:tc>
      </w:tr>
      <w:tr w14:paraId="6386F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Pr>
          <w:p w14:paraId="42150D21">
            <w:pPr>
              <w:pStyle w:val="12"/>
              <w:ind w:firstLine="0" w:firstLineChars="0"/>
              <w:rPr>
                <w:rFonts w:ascii="仿宋_GB2312" w:eastAsia="仿宋_GB2312"/>
                <w:b/>
                <w:kern w:val="0"/>
                <w:lang w:bidi="en-US"/>
              </w:rPr>
            </w:pPr>
            <w:r>
              <w:rPr>
                <w:rFonts w:hint="eastAsia" w:ascii="仿宋_GB2312" w:eastAsia="仿宋_GB2312"/>
                <w:b/>
                <w:kern w:val="0"/>
                <w:lang w:bidi="en-US"/>
              </w:rPr>
              <w:t>交易品种</w:t>
            </w:r>
          </w:p>
        </w:tc>
        <w:tc>
          <w:tcPr>
            <w:tcW w:w="6146" w:type="dxa"/>
          </w:tcPr>
          <w:p w14:paraId="5193B8CC">
            <w:pPr>
              <w:pStyle w:val="12"/>
              <w:ind w:firstLine="0" w:firstLineChars="0"/>
              <w:rPr>
                <w:rFonts w:ascii="仿宋_GB2312" w:eastAsia="仿宋_GB2312"/>
                <w:kern w:val="0"/>
                <w:lang w:bidi="en-US"/>
              </w:rPr>
            </w:pPr>
            <w:r>
              <w:rPr>
                <w:rFonts w:hint="eastAsia" w:ascii="仿宋_GB2312" w:hAnsi="宋体" w:eastAsia="仿宋_GB2312"/>
                <w:kern w:val="0"/>
                <w:lang w:bidi="en-US"/>
              </w:rPr>
              <w:t>交易品种的名称或证券代码</w:t>
            </w:r>
          </w:p>
        </w:tc>
      </w:tr>
      <w:tr w14:paraId="3BFD9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10" w:type="dxa"/>
          </w:tcPr>
          <w:p w14:paraId="03EB2C83">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交易方向</w:t>
            </w:r>
          </w:p>
        </w:tc>
        <w:tc>
          <w:tcPr>
            <w:tcW w:w="6146" w:type="dxa"/>
          </w:tcPr>
          <w:p w14:paraId="56ABCEB4">
            <w:pPr>
              <w:pStyle w:val="12"/>
              <w:ind w:firstLine="0" w:firstLineChars="0"/>
              <w:rPr>
                <w:rFonts w:ascii="仿宋_GB2312" w:eastAsia="仿宋_GB2312"/>
                <w:kern w:val="0"/>
                <w:lang w:bidi="en-US"/>
              </w:rPr>
            </w:pPr>
            <w:r>
              <w:rPr>
                <w:rFonts w:hint="eastAsia" w:ascii="仿宋_GB2312" w:eastAsia="仿宋_GB2312"/>
                <w:kern w:val="0"/>
                <w:lang w:bidi="en-US"/>
              </w:rPr>
              <w:t>交易的买卖方向，即买入/卖出</w:t>
            </w:r>
          </w:p>
        </w:tc>
      </w:tr>
      <w:tr w14:paraId="1A213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Pr>
          <w:p w14:paraId="0127F592">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价格类型</w:t>
            </w:r>
          </w:p>
        </w:tc>
        <w:tc>
          <w:tcPr>
            <w:tcW w:w="6146" w:type="dxa"/>
          </w:tcPr>
          <w:p w14:paraId="50050B17">
            <w:pPr>
              <w:pStyle w:val="12"/>
              <w:ind w:firstLine="0" w:firstLineChars="0"/>
              <w:rPr>
                <w:rFonts w:ascii="仿宋_GB2312" w:eastAsia="仿宋_GB2312"/>
                <w:kern w:val="0"/>
                <w:lang w:bidi="en-US"/>
              </w:rPr>
            </w:pPr>
            <w:r>
              <w:rPr>
                <w:rFonts w:hint="eastAsia" w:ascii="仿宋_GB2312" w:eastAsia="仿宋_GB2312"/>
                <w:kern w:val="0"/>
                <w:lang w:bidi="en-US"/>
              </w:rPr>
              <w:t>净价或全价，自动显示</w:t>
            </w:r>
          </w:p>
        </w:tc>
      </w:tr>
      <w:tr w14:paraId="43223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Pr>
          <w:p w14:paraId="7647A828">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申报价格</w:t>
            </w:r>
          </w:p>
        </w:tc>
        <w:tc>
          <w:tcPr>
            <w:tcW w:w="6146" w:type="dxa"/>
          </w:tcPr>
          <w:p w14:paraId="7FD18C6E">
            <w:pPr>
              <w:pStyle w:val="12"/>
              <w:ind w:firstLine="0" w:firstLineChars="0"/>
              <w:rPr>
                <w:rFonts w:ascii="仿宋_GB2312" w:eastAsia="仿宋_GB2312"/>
                <w:kern w:val="0"/>
                <w:lang w:eastAsia="en-US" w:bidi="en-US"/>
              </w:rPr>
            </w:pPr>
            <w:r>
              <w:rPr>
                <w:rFonts w:hint="eastAsia" w:ascii="仿宋_GB2312" w:eastAsia="仿宋_GB2312"/>
                <w:kern w:val="0"/>
                <w:lang w:eastAsia="en-US" w:bidi="en-US"/>
              </w:rPr>
              <w:t>单位：元</w:t>
            </w:r>
          </w:p>
        </w:tc>
      </w:tr>
      <w:tr w14:paraId="2985A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Pr>
          <w:p w14:paraId="0C7040B9">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申报数量</w:t>
            </w:r>
          </w:p>
        </w:tc>
        <w:tc>
          <w:tcPr>
            <w:tcW w:w="6146" w:type="dxa"/>
          </w:tcPr>
          <w:p w14:paraId="34BD55B3">
            <w:pPr>
              <w:pStyle w:val="12"/>
              <w:ind w:firstLine="0" w:firstLineChars="0"/>
              <w:rPr>
                <w:rFonts w:ascii="仿宋_GB2312" w:eastAsia="仿宋_GB2312"/>
                <w:kern w:val="0"/>
                <w:lang w:eastAsia="en-US" w:bidi="en-US"/>
              </w:rPr>
            </w:pPr>
            <w:r>
              <w:rPr>
                <w:rFonts w:hint="eastAsia" w:ascii="仿宋_GB2312" w:eastAsia="仿宋_GB2312"/>
                <w:kern w:val="0"/>
                <w:lang w:eastAsia="en-US" w:bidi="en-US"/>
              </w:rPr>
              <w:t>单位：</w:t>
            </w:r>
            <w:r>
              <w:rPr>
                <w:rFonts w:hint="eastAsia" w:ascii="仿宋_GB2312" w:eastAsia="仿宋_GB2312"/>
                <w:kern w:val="0"/>
                <w:lang w:bidi="en-US"/>
              </w:rPr>
              <w:t>千</w:t>
            </w:r>
            <w:r>
              <w:rPr>
                <w:rFonts w:hint="eastAsia" w:ascii="仿宋_GB2312" w:eastAsia="仿宋_GB2312"/>
                <w:kern w:val="0"/>
                <w:lang w:eastAsia="en-US" w:bidi="en-US"/>
              </w:rPr>
              <w:t>元面额</w:t>
            </w:r>
          </w:p>
        </w:tc>
      </w:tr>
      <w:tr w14:paraId="03432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10" w:type="dxa"/>
          </w:tcPr>
          <w:p w14:paraId="195F3C17">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约定号</w:t>
            </w:r>
          </w:p>
        </w:tc>
        <w:tc>
          <w:tcPr>
            <w:tcW w:w="6146" w:type="dxa"/>
          </w:tcPr>
          <w:p w14:paraId="0F19FA2E">
            <w:pPr>
              <w:pStyle w:val="12"/>
              <w:ind w:firstLine="0" w:firstLineChars="0"/>
              <w:rPr>
                <w:rFonts w:ascii="仿宋_GB2312" w:eastAsia="仿宋_GB2312"/>
                <w:kern w:val="0"/>
                <w:lang w:bidi="en-US"/>
              </w:rPr>
            </w:pPr>
            <w:r>
              <w:rPr>
                <w:rFonts w:hint="eastAsia" w:ascii="仿宋_GB2312" w:eastAsia="仿宋_GB2312"/>
                <w:kern w:val="0"/>
                <w:lang w:bidi="en-US"/>
              </w:rPr>
              <w:t>双方线下协商约定的三位数字</w:t>
            </w:r>
          </w:p>
        </w:tc>
      </w:tr>
      <w:tr w14:paraId="56CA9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Pr>
          <w:p w14:paraId="069625EA">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证券账号</w:t>
            </w:r>
          </w:p>
        </w:tc>
        <w:tc>
          <w:tcPr>
            <w:tcW w:w="6146" w:type="dxa"/>
          </w:tcPr>
          <w:p w14:paraId="29635F26">
            <w:pPr>
              <w:pStyle w:val="12"/>
              <w:ind w:firstLine="0" w:firstLineChars="0"/>
              <w:rPr>
                <w:rFonts w:ascii="仿宋_GB2312" w:eastAsia="仿宋_GB2312"/>
                <w:kern w:val="0"/>
                <w:lang w:bidi="en-US"/>
              </w:rPr>
            </w:pPr>
            <w:r>
              <w:rPr>
                <w:rFonts w:hint="eastAsia" w:ascii="仿宋_GB2312" w:eastAsia="仿宋_GB2312"/>
                <w:kern w:val="0"/>
                <w:lang w:bidi="en-US"/>
              </w:rPr>
              <w:t>交易参与人的证券账户号码</w:t>
            </w:r>
          </w:p>
        </w:tc>
      </w:tr>
      <w:tr w14:paraId="32703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Pr>
          <w:p w14:paraId="1B9FE33D">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证券账户名称</w:t>
            </w:r>
          </w:p>
        </w:tc>
        <w:tc>
          <w:tcPr>
            <w:tcW w:w="6146" w:type="dxa"/>
          </w:tcPr>
          <w:p w14:paraId="4CE3B4E1">
            <w:pPr>
              <w:pStyle w:val="12"/>
              <w:ind w:firstLine="0" w:firstLineChars="0"/>
              <w:rPr>
                <w:rFonts w:ascii="仿宋_GB2312" w:eastAsia="仿宋_GB2312"/>
                <w:kern w:val="0"/>
                <w:lang w:bidi="en-US"/>
              </w:rPr>
            </w:pPr>
            <w:r>
              <w:rPr>
                <w:rFonts w:hint="eastAsia" w:ascii="仿宋_GB2312" w:eastAsia="仿宋_GB2312"/>
                <w:kern w:val="0"/>
                <w:lang w:bidi="en-US"/>
              </w:rPr>
              <w:t>交易参与人的证券账户名称</w:t>
            </w:r>
          </w:p>
        </w:tc>
      </w:tr>
      <w:tr w14:paraId="2A0CF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Pr>
          <w:p w14:paraId="44059C77">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交易参与人</w:t>
            </w:r>
          </w:p>
        </w:tc>
        <w:tc>
          <w:tcPr>
            <w:tcW w:w="6146" w:type="dxa"/>
          </w:tcPr>
          <w:p w14:paraId="3CFFA070">
            <w:pPr>
              <w:pStyle w:val="12"/>
              <w:ind w:firstLine="0" w:firstLineChars="0"/>
              <w:rPr>
                <w:rFonts w:ascii="仿宋_GB2312" w:eastAsia="仿宋_GB2312"/>
                <w:kern w:val="0"/>
                <w:lang w:eastAsia="en-US" w:bidi="en-US"/>
              </w:rPr>
            </w:pPr>
            <w:r>
              <w:rPr>
                <w:rFonts w:hint="eastAsia" w:ascii="仿宋_GB2312" w:eastAsia="仿宋_GB2312"/>
                <w:kern w:val="0"/>
                <w:lang w:eastAsia="en-US" w:bidi="en-US"/>
              </w:rPr>
              <w:t>交易参与人简称</w:t>
            </w:r>
          </w:p>
        </w:tc>
      </w:tr>
      <w:tr w14:paraId="49097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10" w:type="dxa"/>
          </w:tcPr>
          <w:p w14:paraId="4DE0B7D9">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交易员代码</w:t>
            </w:r>
          </w:p>
        </w:tc>
        <w:tc>
          <w:tcPr>
            <w:tcW w:w="6146" w:type="dxa"/>
          </w:tcPr>
          <w:p w14:paraId="1442ABB8">
            <w:pPr>
              <w:pStyle w:val="12"/>
              <w:ind w:firstLine="0" w:firstLineChars="0"/>
              <w:rPr>
                <w:rFonts w:ascii="仿宋_GB2312" w:eastAsia="仿宋_GB2312"/>
                <w:kern w:val="0"/>
                <w:lang w:eastAsia="en-US" w:bidi="en-US"/>
              </w:rPr>
            </w:pPr>
            <w:r>
              <w:rPr>
                <w:rFonts w:hint="eastAsia" w:ascii="仿宋_GB2312" w:eastAsia="仿宋_GB2312"/>
                <w:kern w:val="0"/>
                <w:lang w:eastAsia="en-US" w:bidi="en-US"/>
              </w:rPr>
              <w:t>交易员代码</w:t>
            </w:r>
          </w:p>
        </w:tc>
      </w:tr>
      <w:tr w14:paraId="2CB6B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Pr>
          <w:p w14:paraId="01FC1C66">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交易员名称</w:t>
            </w:r>
          </w:p>
        </w:tc>
        <w:tc>
          <w:tcPr>
            <w:tcW w:w="6146" w:type="dxa"/>
          </w:tcPr>
          <w:p w14:paraId="4123CA9D">
            <w:pPr>
              <w:pStyle w:val="12"/>
              <w:ind w:firstLine="0" w:firstLineChars="0"/>
              <w:rPr>
                <w:rFonts w:ascii="仿宋_GB2312" w:eastAsia="仿宋_GB2312"/>
                <w:kern w:val="0"/>
                <w:lang w:eastAsia="en-US" w:bidi="en-US"/>
              </w:rPr>
            </w:pPr>
            <w:r>
              <w:rPr>
                <w:rFonts w:hint="eastAsia" w:ascii="仿宋_GB2312" w:eastAsia="仿宋_GB2312"/>
                <w:kern w:val="0"/>
                <w:lang w:eastAsia="en-US" w:bidi="en-US"/>
              </w:rPr>
              <w:t>交易员名称</w:t>
            </w:r>
          </w:p>
        </w:tc>
      </w:tr>
      <w:tr w14:paraId="5EDAA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Pr>
          <w:p w14:paraId="28D9000B">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对手方交易参与人</w:t>
            </w:r>
          </w:p>
        </w:tc>
        <w:tc>
          <w:tcPr>
            <w:tcW w:w="6146" w:type="dxa"/>
          </w:tcPr>
          <w:p w14:paraId="00C81BAA">
            <w:pPr>
              <w:pStyle w:val="12"/>
              <w:ind w:firstLine="0" w:firstLineChars="0"/>
              <w:rPr>
                <w:rFonts w:ascii="仿宋_GB2312" w:eastAsia="仿宋_GB2312"/>
                <w:kern w:val="0"/>
                <w:lang w:bidi="en-US"/>
              </w:rPr>
            </w:pPr>
            <w:r>
              <w:rPr>
                <w:rFonts w:hint="eastAsia" w:ascii="仿宋_GB2312" w:eastAsia="仿宋_GB2312"/>
                <w:kern w:val="0"/>
                <w:lang w:bidi="en-US"/>
              </w:rPr>
              <w:t>对手方交易参与人简称</w:t>
            </w:r>
          </w:p>
        </w:tc>
      </w:tr>
      <w:tr w14:paraId="3C4CF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Pr>
          <w:p w14:paraId="7000930F">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对手方交易员代码</w:t>
            </w:r>
          </w:p>
        </w:tc>
        <w:tc>
          <w:tcPr>
            <w:tcW w:w="6146" w:type="dxa"/>
          </w:tcPr>
          <w:p w14:paraId="2C4B24E1">
            <w:pPr>
              <w:pStyle w:val="12"/>
              <w:ind w:firstLine="0" w:firstLineChars="0"/>
              <w:rPr>
                <w:rFonts w:ascii="仿宋_GB2312" w:eastAsia="仿宋_GB2312"/>
                <w:kern w:val="0"/>
                <w:lang w:bidi="en-US"/>
              </w:rPr>
            </w:pPr>
            <w:r>
              <w:rPr>
                <w:rFonts w:hint="eastAsia" w:ascii="仿宋_GB2312" w:eastAsia="仿宋_GB2312"/>
                <w:kern w:val="0"/>
                <w:lang w:bidi="en-US"/>
              </w:rPr>
              <w:t>对手方交易员代码</w:t>
            </w:r>
          </w:p>
          <w:p w14:paraId="00B2F4B6">
            <w:pPr>
              <w:pStyle w:val="12"/>
              <w:ind w:firstLine="0" w:firstLineChars="0"/>
              <w:rPr>
                <w:rFonts w:ascii="仿宋_GB2312" w:eastAsia="仿宋_GB2312"/>
                <w:kern w:val="0"/>
                <w:lang w:bidi="en-US"/>
              </w:rPr>
            </w:pPr>
            <w:r>
              <w:rPr>
                <w:rFonts w:hint="eastAsia" w:ascii="仿宋_GB2312" w:eastAsia="仿宋_GB2312"/>
                <w:kern w:val="0"/>
                <w:lang w:bidi="en-US"/>
              </w:rPr>
              <w:t>对手方交易员包括对手方交易员（自营适用）、代理申报债券交易参与人的交易员（经纪业务适用）</w:t>
            </w:r>
          </w:p>
        </w:tc>
      </w:tr>
      <w:tr w14:paraId="3845F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10" w:type="dxa"/>
          </w:tcPr>
          <w:p w14:paraId="65D00070">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对手方交易员名称</w:t>
            </w:r>
          </w:p>
        </w:tc>
        <w:tc>
          <w:tcPr>
            <w:tcW w:w="6146" w:type="dxa"/>
          </w:tcPr>
          <w:p w14:paraId="614BCB3A">
            <w:pPr>
              <w:pStyle w:val="12"/>
              <w:ind w:firstLine="0" w:firstLineChars="0"/>
              <w:rPr>
                <w:rFonts w:ascii="仿宋_GB2312" w:eastAsia="仿宋_GB2312"/>
                <w:kern w:val="0"/>
                <w:lang w:bidi="en-US"/>
              </w:rPr>
            </w:pPr>
            <w:r>
              <w:rPr>
                <w:rFonts w:hint="eastAsia" w:ascii="仿宋_GB2312" w:eastAsia="仿宋_GB2312"/>
                <w:kern w:val="0"/>
                <w:lang w:bidi="en-US"/>
              </w:rPr>
              <w:t>对手方交易员名称</w:t>
            </w:r>
          </w:p>
          <w:p w14:paraId="359E69A7">
            <w:pPr>
              <w:pStyle w:val="12"/>
              <w:ind w:firstLine="0" w:firstLineChars="0"/>
              <w:rPr>
                <w:rFonts w:ascii="仿宋_GB2312" w:eastAsia="仿宋_GB2312"/>
                <w:kern w:val="0"/>
                <w:lang w:bidi="en-US"/>
              </w:rPr>
            </w:pPr>
            <w:r>
              <w:rPr>
                <w:rFonts w:hint="eastAsia" w:ascii="仿宋_GB2312" w:eastAsia="仿宋_GB2312"/>
                <w:kern w:val="0"/>
                <w:lang w:bidi="en-US"/>
              </w:rPr>
              <w:t>对手方交易员包括对手方交易员（自营适用）、代理申报债券交易参与人的交易员（经纪业务适用）</w:t>
            </w:r>
          </w:p>
        </w:tc>
      </w:tr>
      <w:tr w14:paraId="5ABEA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Pr>
          <w:p w14:paraId="24D67379">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结算方式</w:t>
            </w:r>
          </w:p>
        </w:tc>
        <w:tc>
          <w:tcPr>
            <w:tcW w:w="6146" w:type="dxa"/>
          </w:tcPr>
          <w:p w14:paraId="43BF363E">
            <w:pPr>
              <w:pStyle w:val="12"/>
              <w:ind w:firstLine="0" w:firstLineChars="0"/>
              <w:rPr>
                <w:rFonts w:ascii="仿宋_GB2312" w:eastAsia="仿宋_GB2312"/>
                <w:kern w:val="0"/>
                <w:lang w:bidi="en-US"/>
              </w:rPr>
            </w:pPr>
            <w:r>
              <w:rPr>
                <w:rFonts w:hint="eastAsia" w:ascii="仿宋_GB2312" w:eastAsia="仿宋_GB2312"/>
                <w:kern w:val="0"/>
                <w:lang w:bidi="en-US"/>
              </w:rPr>
              <w:t>根据</w:t>
            </w:r>
            <w:r>
              <w:rPr>
                <w:rFonts w:ascii="仿宋_GB2312" w:eastAsia="仿宋_GB2312"/>
                <w:kern w:val="0"/>
                <w:lang w:bidi="en-US"/>
              </w:rPr>
              <w:t>交易</w:t>
            </w:r>
            <w:r>
              <w:rPr>
                <w:rFonts w:hint="eastAsia" w:ascii="仿宋_GB2312" w:eastAsia="仿宋_GB2312"/>
                <w:kern w:val="0"/>
                <w:lang w:bidi="en-US"/>
              </w:rPr>
              <w:t>品种</w:t>
            </w:r>
            <w:r>
              <w:rPr>
                <w:rFonts w:ascii="仿宋_GB2312" w:eastAsia="仿宋_GB2312"/>
                <w:kern w:val="0"/>
                <w:lang w:bidi="en-US"/>
              </w:rPr>
              <w:t>，可选</w:t>
            </w:r>
            <w:r>
              <w:rPr>
                <w:rFonts w:hint="eastAsia" w:ascii="仿宋_GB2312" w:eastAsia="仿宋_GB2312"/>
                <w:kern w:val="0"/>
                <w:lang w:bidi="en-US"/>
              </w:rPr>
              <w:t>“逐笔全额结算”或“多边净额结算”。</w:t>
            </w:r>
          </w:p>
        </w:tc>
      </w:tr>
      <w:tr w14:paraId="7394F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Pr>
          <w:p w14:paraId="25E8A888">
            <w:pPr>
              <w:pStyle w:val="12"/>
              <w:ind w:firstLine="0" w:firstLineChars="0"/>
              <w:rPr>
                <w:rFonts w:ascii="仿宋_GB2312" w:eastAsia="仿宋_GB2312"/>
                <w:b/>
                <w:kern w:val="0"/>
                <w:lang w:bidi="en-US"/>
              </w:rPr>
            </w:pPr>
            <w:r>
              <w:rPr>
                <w:rFonts w:hint="eastAsia" w:ascii="仿宋_GB2312" w:eastAsia="仿宋_GB2312"/>
                <w:b/>
                <w:kern w:val="0"/>
                <w:lang w:eastAsia="en-US" w:bidi="en-US"/>
              </w:rPr>
              <w:t>结算</w:t>
            </w:r>
            <w:r>
              <w:rPr>
                <w:rFonts w:hint="eastAsia" w:ascii="仿宋_GB2312" w:eastAsia="仿宋_GB2312"/>
                <w:b/>
                <w:kern w:val="0"/>
                <w:lang w:bidi="en-US"/>
              </w:rPr>
              <w:t>周期</w:t>
            </w:r>
          </w:p>
        </w:tc>
        <w:tc>
          <w:tcPr>
            <w:tcW w:w="6146" w:type="dxa"/>
          </w:tcPr>
          <w:p w14:paraId="70E5CD1F">
            <w:pPr>
              <w:pStyle w:val="12"/>
              <w:ind w:firstLine="0" w:firstLineChars="0"/>
              <w:rPr>
                <w:rFonts w:ascii="仿宋_GB2312" w:eastAsia="仿宋_GB2312"/>
                <w:kern w:val="0"/>
                <w:lang w:bidi="en-US"/>
              </w:rPr>
            </w:pPr>
            <w:r>
              <w:rPr>
                <w:rFonts w:hint="eastAsia" w:ascii="仿宋_GB2312" w:eastAsia="仿宋_GB2312"/>
                <w:kern w:val="0"/>
                <w:lang w:bidi="en-US"/>
              </w:rPr>
              <w:t>根据</w:t>
            </w:r>
            <w:r>
              <w:rPr>
                <w:rFonts w:ascii="仿宋_GB2312" w:eastAsia="仿宋_GB2312"/>
                <w:kern w:val="0"/>
                <w:lang w:bidi="en-US"/>
              </w:rPr>
              <w:t>结算</w:t>
            </w:r>
            <w:r>
              <w:rPr>
                <w:rFonts w:hint="eastAsia" w:ascii="仿宋_GB2312" w:eastAsia="仿宋_GB2312"/>
                <w:kern w:val="0"/>
                <w:lang w:bidi="en-US"/>
              </w:rPr>
              <w:t>方式</w:t>
            </w:r>
            <w:r>
              <w:rPr>
                <w:rFonts w:ascii="仿宋_GB2312" w:eastAsia="仿宋_GB2312"/>
                <w:kern w:val="0"/>
                <w:lang w:bidi="en-US"/>
              </w:rPr>
              <w:t>自动带出</w:t>
            </w:r>
          </w:p>
        </w:tc>
      </w:tr>
      <w:tr w14:paraId="76076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Pr>
          <w:p w14:paraId="427FBC81">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证券简称</w:t>
            </w:r>
          </w:p>
        </w:tc>
        <w:tc>
          <w:tcPr>
            <w:tcW w:w="6146" w:type="dxa"/>
          </w:tcPr>
          <w:p w14:paraId="353DEFE8">
            <w:pPr>
              <w:pStyle w:val="12"/>
              <w:ind w:firstLine="0" w:firstLineChars="0"/>
              <w:rPr>
                <w:rFonts w:ascii="仿宋_GB2312" w:eastAsia="仿宋_GB2312"/>
                <w:kern w:val="0"/>
                <w:lang w:bidi="en-US"/>
              </w:rPr>
            </w:pPr>
            <w:r>
              <w:rPr>
                <w:rFonts w:hint="eastAsia" w:ascii="仿宋_GB2312" w:hAnsi="宋体" w:eastAsia="仿宋_GB2312"/>
                <w:kern w:val="0"/>
                <w:lang w:bidi="en-US"/>
              </w:rPr>
              <w:t>即上交所证券简称，有证券代码的交易品种，简称根据证券代码自动显示</w:t>
            </w:r>
          </w:p>
        </w:tc>
      </w:tr>
      <w:tr w14:paraId="1C597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10" w:type="dxa"/>
          </w:tcPr>
          <w:p w14:paraId="4F287707">
            <w:pPr>
              <w:pStyle w:val="12"/>
              <w:ind w:firstLine="0" w:firstLineChars="0"/>
              <w:rPr>
                <w:rFonts w:ascii="仿宋_GB2312" w:eastAsia="仿宋_GB2312"/>
                <w:b/>
                <w:kern w:val="0"/>
                <w:lang w:bidi="en-US"/>
              </w:rPr>
            </w:pPr>
            <w:r>
              <w:rPr>
                <w:rFonts w:hint="eastAsia" w:ascii="仿宋_GB2312" w:eastAsia="仿宋_GB2312"/>
                <w:b/>
                <w:kern w:val="0"/>
                <w:lang w:bidi="en-US"/>
              </w:rPr>
              <w:t>参考</w:t>
            </w:r>
            <w:r>
              <w:rPr>
                <w:rFonts w:ascii="仿宋_GB2312" w:eastAsia="仿宋_GB2312"/>
                <w:b/>
                <w:kern w:val="0"/>
                <w:lang w:bidi="en-US"/>
              </w:rPr>
              <w:t>结算金额</w:t>
            </w:r>
          </w:p>
        </w:tc>
        <w:tc>
          <w:tcPr>
            <w:tcW w:w="6146" w:type="dxa"/>
          </w:tcPr>
          <w:p w14:paraId="4B925D62">
            <w:pPr>
              <w:pStyle w:val="12"/>
              <w:ind w:firstLine="0" w:firstLineChars="0"/>
              <w:rPr>
                <w:rFonts w:ascii="仿宋_GB2312" w:hAnsi="宋体" w:eastAsia="仿宋_GB2312"/>
                <w:kern w:val="0"/>
                <w:lang w:bidi="en-US"/>
              </w:rPr>
            </w:pPr>
            <w:r>
              <w:rPr>
                <w:rFonts w:hint="eastAsia" w:ascii="仿宋_GB2312" w:hAnsi="宋体" w:eastAsia="仿宋_GB2312"/>
                <w:kern w:val="0"/>
                <w:lang w:bidi="en-US"/>
              </w:rPr>
              <w:t>单位</w:t>
            </w:r>
            <w:r>
              <w:rPr>
                <w:rFonts w:ascii="仿宋_GB2312" w:hAnsi="宋体" w:eastAsia="仿宋_GB2312"/>
                <w:kern w:val="0"/>
                <w:lang w:bidi="en-US"/>
              </w:rPr>
              <w:t>：万元</w:t>
            </w:r>
            <w:r>
              <w:rPr>
                <w:rFonts w:hint="eastAsia" w:ascii="仿宋_GB2312" w:hAnsi="宋体" w:eastAsia="仿宋_GB2312"/>
                <w:kern w:val="0"/>
                <w:lang w:bidi="en-US"/>
              </w:rPr>
              <w:t>，</w:t>
            </w:r>
            <w:r>
              <w:rPr>
                <w:rFonts w:ascii="仿宋_GB2312" w:hAnsi="宋体" w:eastAsia="仿宋_GB2312"/>
                <w:kern w:val="0"/>
                <w:lang w:bidi="en-US"/>
              </w:rPr>
              <w:t>系统计算</w:t>
            </w:r>
            <w:r>
              <w:rPr>
                <w:rFonts w:hint="eastAsia" w:ascii="仿宋_GB2312" w:hAnsi="宋体" w:eastAsia="仿宋_GB2312"/>
                <w:kern w:val="0"/>
                <w:lang w:bidi="en-US"/>
              </w:rPr>
              <w:t>：</w:t>
            </w:r>
            <w:r>
              <w:rPr>
                <w:rFonts w:hint="eastAsia" w:ascii="仿宋_GB2312" w:hAnsi="宋体" w:eastAsia="仿宋_GB2312"/>
                <w:kern w:val="0"/>
                <w:szCs w:val="21"/>
                <w:lang w:bidi="en-US"/>
              </w:rPr>
              <w:t>申报</w:t>
            </w:r>
            <w:r>
              <w:rPr>
                <w:rFonts w:ascii="仿宋_GB2312" w:hAnsi="宋体" w:eastAsia="仿宋_GB2312"/>
                <w:kern w:val="0"/>
                <w:szCs w:val="21"/>
                <w:lang w:bidi="en-US"/>
              </w:rPr>
              <w:t>数量</w:t>
            </w:r>
            <w:r>
              <w:rPr>
                <w:rFonts w:hint="eastAsia" w:ascii="仿宋_GB2312" w:hAnsi="宋体" w:eastAsia="仿宋_GB2312"/>
                <w:kern w:val="0"/>
                <w:szCs w:val="21"/>
                <w:lang w:bidi="en-US"/>
              </w:rPr>
              <w:t>（千</w:t>
            </w:r>
            <w:r>
              <w:rPr>
                <w:rFonts w:ascii="仿宋_GB2312" w:hAnsi="宋体" w:eastAsia="仿宋_GB2312"/>
                <w:kern w:val="0"/>
                <w:szCs w:val="21"/>
                <w:lang w:bidi="en-US"/>
              </w:rPr>
              <w:t>元面额</w:t>
            </w:r>
            <w:r>
              <w:rPr>
                <w:rFonts w:hint="eastAsia" w:ascii="仿宋_GB2312" w:hAnsi="宋体" w:eastAsia="仿宋_GB2312"/>
                <w:kern w:val="0"/>
                <w:szCs w:val="21"/>
                <w:lang w:bidi="en-US"/>
              </w:rPr>
              <w:t>）</w:t>
            </w:r>
            <w:r>
              <w:rPr>
                <w:rFonts w:ascii="仿宋_GB2312" w:hAnsi="宋体" w:eastAsia="仿宋_GB2312"/>
                <w:kern w:val="0"/>
                <w:szCs w:val="21"/>
                <w:lang w:bidi="en-US"/>
              </w:rPr>
              <w:t>*</w:t>
            </w:r>
            <w:r>
              <w:rPr>
                <w:rFonts w:hint="eastAsia" w:ascii="仿宋_GB2312" w:hAnsi="宋体" w:eastAsia="仿宋_GB2312"/>
                <w:kern w:val="0"/>
                <w:szCs w:val="21"/>
                <w:lang w:bidi="en-US"/>
              </w:rPr>
              <w:t>申报全价（元）</w:t>
            </w:r>
            <w:r>
              <w:rPr>
                <w:rFonts w:ascii="仿宋_GB2312" w:hAnsi="宋体" w:eastAsia="仿宋_GB2312"/>
                <w:kern w:val="0"/>
                <w:szCs w:val="21"/>
                <w:lang w:bidi="en-US"/>
              </w:rPr>
              <w:t>/1000</w:t>
            </w:r>
          </w:p>
        </w:tc>
      </w:tr>
      <w:tr w14:paraId="16AC0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Pr>
          <w:p w14:paraId="2EB5927F">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交易PBU</w:t>
            </w:r>
          </w:p>
        </w:tc>
        <w:tc>
          <w:tcPr>
            <w:tcW w:w="6146" w:type="dxa"/>
          </w:tcPr>
          <w:p w14:paraId="0AB366EC">
            <w:pPr>
              <w:pStyle w:val="12"/>
              <w:ind w:firstLine="0" w:firstLineChars="0"/>
              <w:rPr>
                <w:rFonts w:ascii="仿宋_GB2312" w:eastAsia="仿宋_GB2312"/>
                <w:kern w:val="0"/>
                <w:lang w:bidi="en-US"/>
              </w:rPr>
            </w:pPr>
            <w:r>
              <w:rPr>
                <w:rFonts w:hint="eastAsia" w:ascii="仿宋_GB2312" w:eastAsia="仿宋_GB2312"/>
                <w:kern w:val="0"/>
                <w:lang w:bidi="en-US"/>
              </w:rPr>
              <w:t>交易参与人的交易单元号码</w:t>
            </w:r>
            <w:r>
              <w:rPr>
                <w:rFonts w:hint="eastAsia" w:ascii="仿宋_GB2312" w:hAnsi="宋体" w:eastAsia="仿宋_GB2312"/>
                <w:kern w:val="0"/>
                <w:lang w:bidi="en-US"/>
              </w:rPr>
              <w:t>，</w:t>
            </w:r>
            <w:r>
              <w:rPr>
                <w:rFonts w:hint="eastAsia" w:ascii="仿宋_GB2312" w:eastAsia="仿宋_GB2312"/>
                <w:kern w:val="0"/>
                <w:lang w:bidi="en-US"/>
              </w:rPr>
              <w:t>自动显示</w:t>
            </w:r>
          </w:p>
        </w:tc>
      </w:tr>
      <w:tr w14:paraId="53DE4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Pr>
          <w:p w14:paraId="300C96C1">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申报编号</w:t>
            </w:r>
          </w:p>
        </w:tc>
        <w:tc>
          <w:tcPr>
            <w:tcW w:w="6146" w:type="dxa"/>
          </w:tcPr>
          <w:p w14:paraId="1BDDD9C4">
            <w:pPr>
              <w:pStyle w:val="12"/>
              <w:ind w:firstLine="0" w:firstLineChars="0"/>
              <w:rPr>
                <w:rFonts w:ascii="仿宋_GB2312" w:eastAsia="仿宋_GB2312"/>
                <w:kern w:val="0"/>
                <w:lang w:bidi="en-US"/>
              </w:rPr>
            </w:pPr>
            <w:r>
              <w:rPr>
                <w:rFonts w:hint="eastAsia" w:ascii="仿宋_GB2312" w:eastAsia="仿宋_GB2312"/>
                <w:kern w:val="0"/>
                <w:lang w:bidi="en-US"/>
              </w:rPr>
              <w:t>交易参与人内部为申报订单编制的序号</w:t>
            </w:r>
            <w:r>
              <w:rPr>
                <w:rFonts w:hint="eastAsia" w:ascii="仿宋_GB2312" w:hAnsi="宋体" w:eastAsia="仿宋_GB2312"/>
                <w:kern w:val="0"/>
                <w:lang w:bidi="en-US"/>
              </w:rPr>
              <w:t>，</w:t>
            </w:r>
            <w:r>
              <w:rPr>
                <w:rFonts w:hint="eastAsia" w:ascii="仿宋_GB2312" w:eastAsia="仿宋_GB2312"/>
                <w:kern w:val="0"/>
                <w:lang w:bidi="en-US"/>
              </w:rPr>
              <w:t>自动显示</w:t>
            </w:r>
          </w:p>
        </w:tc>
      </w:tr>
      <w:tr w14:paraId="56545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Pr>
          <w:p w14:paraId="3132B65B">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申报日期时间</w:t>
            </w:r>
          </w:p>
        </w:tc>
        <w:tc>
          <w:tcPr>
            <w:tcW w:w="6146" w:type="dxa"/>
          </w:tcPr>
          <w:p w14:paraId="4EB36BD9">
            <w:pPr>
              <w:pStyle w:val="12"/>
              <w:ind w:firstLine="0" w:firstLineChars="0"/>
              <w:rPr>
                <w:rFonts w:ascii="仿宋_GB2312" w:eastAsia="仿宋_GB2312"/>
                <w:kern w:val="0"/>
                <w:lang w:bidi="en-US"/>
              </w:rPr>
            </w:pPr>
            <w:r>
              <w:rPr>
                <w:rFonts w:hint="eastAsia" w:ascii="仿宋_GB2312" w:eastAsia="仿宋_GB2312"/>
                <w:kern w:val="0"/>
                <w:lang w:bidi="en-US"/>
              </w:rPr>
              <w:t>交易申报日期（年月日）及时间（时分秒），自动显示</w:t>
            </w:r>
          </w:p>
        </w:tc>
      </w:tr>
      <w:tr w14:paraId="094AF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10" w:type="dxa"/>
          </w:tcPr>
          <w:p w14:paraId="45B82DBF">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结算</w:t>
            </w:r>
            <w:r>
              <w:rPr>
                <w:rFonts w:hint="eastAsia" w:ascii="仿宋_GB2312" w:eastAsia="仿宋_GB2312"/>
                <w:b/>
                <w:kern w:val="0"/>
                <w:lang w:bidi="en-US"/>
              </w:rPr>
              <w:t>日</w:t>
            </w:r>
            <w:r>
              <w:rPr>
                <w:rFonts w:hint="eastAsia" w:ascii="仿宋_GB2312" w:eastAsia="仿宋_GB2312"/>
                <w:b/>
                <w:kern w:val="0"/>
                <w:lang w:eastAsia="en-US" w:bidi="en-US"/>
              </w:rPr>
              <w:t>期</w:t>
            </w:r>
          </w:p>
        </w:tc>
        <w:tc>
          <w:tcPr>
            <w:tcW w:w="6146" w:type="dxa"/>
          </w:tcPr>
          <w:p w14:paraId="0900B8CA">
            <w:pPr>
              <w:pStyle w:val="12"/>
              <w:ind w:firstLine="0" w:firstLineChars="0"/>
              <w:rPr>
                <w:rFonts w:ascii="仿宋_GB2312" w:eastAsia="仿宋_GB2312"/>
                <w:kern w:val="0"/>
                <w:lang w:bidi="en-US"/>
              </w:rPr>
            </w:pPr>
            <w:r>
              <w:rPr>
                <w:rFonts w:hint="eastAsia" w:ascii="仿宋_GB2312" w:eastAsia="仿宋_GB2312"/>
                <w:kern w:val="0"/>
                <w:lang w:bidi="en-US"/>
              </w:rPr>
              <w:t>根据当前交易日期、结算周期，自动显示</w:t>
            </w:r>
          </w:p>
        </w:tc>
      </w:tr>
    </w:tbl>
    <w:p w14:paraId="0E3B57E5">
      <w:pPr>
        <w:numPr>
          <w:ilvl w:val="2"/>
          <w:numId w:val="4"/>
        </w:numPr>
        <w:spacing w:line="600" w:lineRule="exact"/>
        <w:ind w:left="0" w:firstLine="0"/>
        <w:outlineLvl w:val="2"/>
        <w:rPr>
          <w:rFonts w:ascii="仿宋_GB2312" w:eastAsia="仿宋_GB2312"/>
          <w:b/>
          <w:sz w:val="30"/>
          <w:szCs w:val="30"/>
        </w:rPr>
      </w:pPr>
      <w:bookmarkStart w:id="462" w:name="_Toc969477"/>
      <w:bookmarkEnd w:id="462"/>
      <w:bookmarkStart w:id="463" w:name="_Toc1655697"/>
      <w:bookmarkEnd w:id="463"/>
      <w:bookmarkStart w:id="464" w:name="_Toc1657013"/>
      <w:bookmarkEnd w:id="464"/>
      <w:bookmarkStart w:id="465" w:name="_Toc969387"/>
      <w:bookmarkEnd w:id="465"/>
      <w:bookmarkStart w:id="466" w:name="_Toc969297"/>
      <w:bookmarkEnd w:id="466"/>
      <w:bookmarkStart w:id="467" w:name="_Toc1488569"/>
      <w:bookmarkEnd w:id="467"/>
      <w:bookmarkStart w:id="468" w:name="_Toc1045266"/>
      <w:bookmarkEnd w:id="468"/>
      <w:bookmarkStart w:id="469" w:name="_Toc1038835"/>
      <w:bookmarkEnd w:id="469"/>
      <w:r>
        <w:rPr>
          <w:rFonts w:hint="eastAsia" w:ascii="仿宋_GB2312" w:eastAsia="仿宋_GB2312"/>
          <w:b/>
          <w:sz w:val="30"/>
          <w:szCs w:val="30"/>
        </w:rPr>
        <w:t xml:space="preserve"> </w:t>
      </w:r>
      <w:bookmarkStart w:id="470" w:name="_Toc57908916"/>
      <w:r>
        <w:rPr>
          <w:rFonts w:hint="eastAsia" w:ascii="仿宋_GB2312" w:eastAsia="仿宋_GB2312"/>
          <w:b/>
          <w:sz w:val="30"/>
          <w:szCs w:val="30"/>
        </w:rPr>
        <w:t>成交</w:t>
      </w:r>
      <w:bookmarkEnd w:id="470"/>
    </w:p>
    <w:p w14:paraId="57A32EE4">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协商成交交易按双方协商一致的价格、数量、结算方式、结算周期等要素成交。</w:t>
      </w:r>
    </w:p>
    <w:p w14:paraId="261756F0">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交易双方填写的约定号一致，固定收益平台可确认成交。</w:t>
      </w:r>
    </w:p>
    <w:p w14:paraId="33C56684">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 xml:space="preserve"> </w:t>
      </w:r>
      <w:bookmarkStart w:id="471" w:name="_Toc57908917"/>
      <w:r>
        <w:rPr>
          <w:rFonts w:hint="eastAsia" w:ascii="仿宋_GB2312" w:eastAsia="仿宋_GB2312"/>
          <w:b/>
          <w:sz w:val="30"/>
          <w:szCs w:val="30"/>
        </w:rPr>
        <w:t>合并申报</w:t>
      </w:r>
      <w:bookmarkEnd w:id="471"/>
    </w:p>
    <w:p w14:paraId="2142860E">
      <w:pPr>
        <w:spacing w:line="600" w:lineRule="exact"/>
        <w:ind w:firstLine="600" w:firstLineChars="200"/>
        <w:outlineLvl w:val="3"/>
        <w:rPr>
          <w:rFonts w:ascii="仿宋_GB2312" w:hAnsi="仿宋" w:eastAsia="仿宋_GB2312"/>
          <w:sz w:val="30"/>
          <w:szCs w:val="30"/>
        </w:rPr>
      </w:pPr>
      <w:r>
        <w:rPr>
          <w:rFonts w:hint="eastAsia" w:ascii="仿宋_GB2312" w:hAnsi="仿宋" w:eastAsia="仿宋_GB2312"/>
          <w:sz w:val="30"/>
          <w:szCs w:val="30"/>
        </w:rPr>
        <w:t>（1）定义</w:t>
      </w:r>
    </w:p>
    <w:p w14:paraId="6F558E1E">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合并申报是指主做市商</w:t>
      </w:r>
      <w:r>
        <w:rPr>
          <w:rFonts w:hint="eastAsia" w:ascii="仿宋_GB2312" w:eastAsia="仿宋_GB2312"/>
          <w:color w:val="000000"/>
          <w:sz w:val="30"/>
          <w:szCs w:val="30"/>
        </w:rPr>
        <w:t>或者本所认可的其他机构</w:t>
      </w:r>
      <w:r>
        <w:rPr>
          <w:rFonts w:hint="eastAsia" w:ascii="仿宋_GB2312" w:hAnsi="仿宋" w:eastAsia="仿宋_GB2312"/>
          <w:sz w:val="30"/>
          <w:szCs w:val="30"/>
        </w:rPr>
        <w:t>（以下简称中间方）与不同对手方针对同一交易品种达成两笔数量、结算方式、结算周期相同但方向相反的交易意向，可以作为中间方将两笔交易合并向系统申报。</w:t>
      </w:r>
    </w:p>
    <w:p w14:paraId="301D7B8F">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中间方在场外以人工撮合买卖双方方式达成成交的，三方可以采用合并申报的方式。引入中间方不改变交易的权利义务关系</w:t>
      </w:r>
      <w:r>
        <w:rPr>
          <w:rFonts w:ascii="仿宋_GB2312" w:hAnsi="仿宋" w:eastAsia="仿宋_GB2312"/>
          <w:sz w:val="30"/>
          <w:szCs w:val="30"/>
        </w:rPr>
        <w:t>,合并申报</w:t>
      </w:r>
      <w:r>
        <w:rPr>
          <w:rFonts w:hint="eastAsia" w:ascii="仿宋_GB2312" w:hAnsi="仿宋" w:eastAsia="仿宋_GB2312"/>
          <w:sz w:val="30"/>
          <w:szCs w:val="30"/>
        </w:rPr>
        <w:t>实质为</w:t>
      </w:r>
      <w:r>
        <w:rPr>
          <w:rFonts w:ascii="仿宋_GB2312" w:hAnsi="仿宋" w:eastAsia="仿宋_GB2312"/>
          <w:sz w:val="30"/>
          <w:szCs w:val="30"/>
        </w:rPr>
        <w:t>两笔交易，分别是中间方</w:t>
      </w:r>
      <w:r>
        <w:rPr>
          <w:rFonts w:hint="eastAsia" w:ascii="仿宋_GB2312" w:hAnsi="仿宋" w:eastAsia="仿宋_GB2312"/>
          <w:sz w:val="30"/>
          <w:szCs w:val="30"/>
        </w:rPr>
        <w:t>从卖</w:t>
      </w:r>
      <w:r>
        <w:rPr>
          <w:rFonts w:ascii="仿宋_GB2312" w:hAnsi="仿宋" w:eastAsia="仿宋_GB2312"/>
          <w:sz w:val="30"/>
          <w:szCs w:val="30"/>
        </w:rPr>
        <w:t>方买入，中间方向</w:t>
      </w:r>
      <w:r>
        <w:rPr>
          <w:rFonts w:hint="eastAsia" w:ascii="仿宋_GB2312" w:hAnsi="仿宋" w:eastAsia="仿宋_GB2312"/>
          <w:sz w:val="30"/>
          <w:szCs w:val="30"/>
        </w:rPr>
        <w:t>买</w:t>
      </w:r>
      <w:r>
        <w:rPr>
          <w:rFonts w:ascii="仿宋_GB2312" w:hAnsi="仿宋" w:eastAsia="仿宋_GB2312"/>
          <w:sz w:val="30"/>
          <w:szCs w:val="30"/>
        </w:rPr>
        <w:t>方卖出。</w:t>
      </w:r>
    </w:p>
    <w:p w14:paraId="03F833AD">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合并申报涉及买方、卖方和中间方，合并申报只能由中间方发起，买方、卖方分别进行确认。</w:t>
      </w:r>
    </w:p>
    <w:p w14:paraId="5F587FDF">
      <w:pPr>
        <w:spacing w:line="600" w:lineRule="exact"/>
        <w:ind w:firstLine="600" w:firstLineChars="200"/>
        <w:outlineLvl w:val="3"/>
        <w:rPr>
          <w:rFonts w:ascii="仿宋_GB2312" w:hAnsi="仿宋" w:eastAsia="仿宋_GB2312"/>
          <w:sz w:val="30"/>
          <w:szCs w:val="30"/>
        </w:rPr>
      </w:pPr>
      <w:r>
        <w:rPr>
          <w:rFonts w:hint="eastAsia" w:ascii="仿宋_GB2312" w:hAnsi="仿宋" w:eastAsia="仿宋_GB2312"/>
          <w:sz w:val="30"/>
          <w:szCs w:val="30"/>
        </w:rPr>
        <w:t>（2）申报与成交</w:t>
      </w:r>
    </w:p>
    <w:p w14:paraId="261C659E">
      <w:pPr>
        <w:spacing w:line="600" w:lineRule="exact"/>
        <w:ind w:firstLine="600" w:firstLineChars="200"/>
        <w:rPr>
          <w:rFonts w:ascii="仿宋_GB2312" w:eastAsia="仿宋_GB2312"/>
          <w:color w:val="000000"/>
          <w:sz w:val="30"/>
          <w:szCs w:val="30"/>
        </w:rPr>
      </w:pPr>
      <w:r>
        <w:rPr>
          <w:rFonts w:hint="eastAsia" w:ascii="仿宋_GB2312" w:hAnsi="仿宋" w:eastAsia="仿宋_GB2312"/>
          <w:sz w:val="30"/>
          <w:szCs w:val="30"/>
        </w:rPr>
        <w:t>本所固定收益平台为</w:t>
      </w:r>
      <w:r>
        <w:rPr>
          <w:rFonts w:hint="eastAsia" w:ascii="仿宋_GB2312" w:eastAsia="仿宋_GB2312"/>
          <w:sz w:val="30"/>
          <w:szCs w:val="30"/>
        </w:rPr>
        <w:t>合并申报提交</w:t>
      </w:r>
      <w:r>
        <w:rPr>
          <w:rFonts w:hint="eastAsia" w:ascii="仿宋_GB2312" w:hAnsi="仿宋" w:eastAsia="仿宋_GB2312"/>
          <w:sz w:val="30"/>
          <w:szCs w:val="30"/>
        </w:rPr>
        <w:t>提供客户端，中间方可通过客户端接入本所系统，并提交</w:t>
      </w:r>
      <w:r>
        <w:rPr>
          <w:rFonts w:hint="eastAsia" w:ascii="仿宋_GB2312" w:eastAsia="仿宋_GB2312"/>
          <w:sz w:val="30"/>
          <w:szCs w:val="30"/>
        </w:rPr>
        <w:t>合并申报信息</w:t>
      </w:r>
      <w:r>
        <w:rPr>
          <w:rFonts w:hint="eastAsia" w:ascii="仿宋_GB2312" w:hAnsi="仿宋" w:eastAsia="仿宋_GB2312"/>
          <w:sz w:val="30"/>
          <w:szCs w:val="30"/>
        </w:rPr>
        <w:t>。</w:t>
      </w:r>
    </w:p>
    <w:p w14:paraId="42F287AA">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中间方发起的合并申报要素应包括交易品种、买入价格、卖出价格、数量、买方交易参与人、买方交易员、卖方交易参与人、卖方交易员、结算方式、结算周期、中间方交易参与人、中间方证券账户等。</w:t>
      </w:r>
    </w:p>
    <w:p w14:paraId="3AF2DA0F">
      <w:pPr>
        <w:spacing w:line="600" w:lineRule="exact"/>
        <w:ind w:firstLine="600" w:firstLineChars="200"/>
      </w:pPr>
      <w:r>
        <w:rPr>
          <w:rFonts w:hint="eastAsia" w:ascii="仿宋_GB2312" w:hAnsi="仿宋" w:eastAsia="仿宋_GB2312"/>
          <w:sz w:val="30"/>
          <w:szCs w:val="30"/>
        </w:rPr>
        <w:t>中间方合并申报</w:t>
      </w:r>
      <w:r>
        <w:rPr>
          <w:rFonts w:hint="eastAsia" w:ascii="仿宋_GB2312" w:eastAsia="仿宋_GB2312"/>
          <w:sz w:val="30"/>
          <w:szCs w:val="30"/>
        </w:rPr>
        <w:t>具体要素及要素说明如下</w:t>
      </w:r>
      <w:r>
        <w:rPr>
          <w:rFonts w:hint="eastAsia"/>
        </w:rPr>
        <w:t>：</w:t>
      </w:r>
    </w:p>
    <w:tbl>
      <w:tblPr>
        <w:tblStyle w:val="4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3"/>
        <w:gridCol w:w="6571"/>
      </w:tblGrid>
      <w:tr w14:paraId="2CEAA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tcPr>
          <w:p w14:paraId="12F0B397">
            <w:pPr>
              <w:pStyle w:val="12"/>
              <w:ind w:firstLine="0" w:firstLineChars="0"/>
              <w:jc w:val="left"/>
              <w:rPr>
                <w:rFonts w:ascii="宋体" w:hAnsi="宋体"/>
                <w:b/>
                <w:color w:val="000000"/>
                <w:kern w:val="0"/>
                <w:lang w:eastAsia="en-US" w:bidi="en-US"/>
              </w:rPr>
            </w:pPr>
            <w:r>
              <w:rPr>
                <w:rFonts w:hint="eastAsia" w:ascii="仿宋_GB2312" w:hAnsi="宋体" w:eastAsia="仿宋_GB2312"/>
                <w:b/>
                <w:color w:val="000000"/>
                <w:kern w:val="0"/>
                <w:lang w:eastAsia="en-US" w:bidi="en-US"/>
              </w:rPr>
              <w:t>要素</w:t>
            </w:r>
          </w:p>
        </w:tc>
        <w:tc>
          <w:tcPr>
            <w:tcW w:w="6571" w:type="dxa"/>
          </w:tcPr>
          <w:p w14:paraId="72A484B7">
            <w:pPr>
              <w:pStyle w:val="12"/>
              <w:ind w:firstLine="0" w:firstLineChars="0"/>
              <w:jc w:val="left"/>
              <w:rPr>
                <w:rFonts w:ascii="宋体" w:hAnsi="宋体"/>
                <w:b/>
                <w:color w:val="000000"/>
                <w:kern w:val="0"/>
                <w:lang w:eastAsia="en-US" w:bidi="en-US"/>
              </w:rPr>
            </w:pPr>
            <w:r>
              <w:rPr>
                <w:rFonts w:hint="eastAsia" w:ascii="仿宋_GB2312" w:hAnsi="宋体" w:eastAsia="仿宋_GB2312"/>
                <w:b/>
                <w:color w:val="000000"/>
                <w:kern w:val="0"/>
                <w:lang w:eastAsia="en-US" w:bidi="en-US"/>
              </w:rPr>
              <w:t>要素说明</w:t>
            </w:r>
          </w:p>
        </w:tc>
      </w:tr>
      <w:tr w14:paraId="62885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tcPr>
          <w:p w14:paraId="24298509">
            <w:pPr>
              <w:pStyle w:val="12"/>
              <w:ind w:firstLine="0" w:firstLineChars="0"/>
              <w:rPr>
                <w:rFonts w:ascii="宋体" w:hAnsi="宋体"/>
                <w:color w:val="000000"/>
                <w:kern w:val="0"/>
                <w:lang w:eastAsia="en-US" w:bidi="en-US"/>
              </w:rPr>
            </w:pPr>
            <w:r>
              <w:rPr>
                <w:rFonts w:hint="eastAsia" w:ascii="仿宋_GB2312" w:eastAsia="仿宋_GB2312"/>
                <w:b/>
                <w:kern w:val="0"/>
                <w:lang w:eastAsia="en-US" w:bidi="en-US"/>
              </w:rPr>
              <w:t>申报类型</w:t>
            </w:r>
          </w:p>
        </w:tc>
        <w:tc>
          <w:tcPr>
            <w:tcW w:w="6571" w:type="dxa"/>
          </w:tcPr>
          <w:p w14:paraId="7B04D3ED">
            <w:pPr>
              <w:pStyle w:val="12"/>
              <w:ind w:firstLine="0" w:firstLineChars="0"/>
              <w:rPr>
                <w:rFonts w:ascii="仿宋_GB2312" w:eastAsia="仿宋_GB2312"/>
                <w:kern w:val="0"/>
                <w:lang w:bidi="en-US"/>
              </w:rPr>
            </w:pPr>
            <w:r>
              <w:rPr>
                <w:rFonts w:hint="eastAsia" w:ascii="仿宋_GB2312" w:eastAsia="仿宋_GB2312"/>
                <w:kern w:val="0"/>
                <w:lang w:bidi="en-US"/>
              </w:rPr>
              <w:t>协商交易（合并申报）</w:t>
            </w:r>
          </w:p>
        </w:tc>
      </w:tr>
      <w:tr w14:paraId="639FC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tcPr>
          <w:p w14:paraId="5FAA7418">
            <w:pPr>
              <w:pStyle w:val="12"/>
              <w:ind w:firstLine="0" w:firstLineChars="0"/>
              <w:rPr>
                <w:rFonts w:ascii="宋体" w:hAnsi="宋体"/>
                <w:color w:val="000000"/>
                <w:kern w:val="0"/>
                <w:lang w:bidi="en-US"/>
              </w:rPr>
            </w:pPr>
            <w:r>
              <w:rPr>
                <w:rFonts w:hint="eastAsia" w:ascii="仿宋_GB2312" w:eastAsia="仿宋_GB2312"/>
                <w:b/>
                <w:kern w:val="0"/>
                <w:lang w:bidi="en-US"/>
              </w:rPr>
              <w:t>交易品种</w:t>
            </w:r>
          </w:p>
        </w:tc>
        <w:tc>
          <w:tcPr>
            <w:tcW w:w="6571" w:type="dxa"/>
          </w:tcPr>
          <w:p w14:paraId="5BA8B458">
            <w:pPr>
              <w:pStyle w:val="12"/>
              <w:ind w:firstLine="0" w:firstLineChars="0"/>
              <w:rPr>
                <w:rFonts w:ascii="仿宋_GB2312" w:eastAsia="仿宋_GB2312"/>
                <w:kern w:val="0"/>
                <w:lang w:bidi="en-US"/>
              </w:rPr>
            </w:pPr>
            <w:r>
              <w:rPr>
                <w:rFonts w:hint="eastAsia" w:ascii="仿宋_GB2312" w:eastAsia="仿宋_GB2312"/>
                <w:kern w:val="0"/>
                <w:lang w:bidi="en-US"/>
              </w:rPr>
              <w:t>交易品种的名称或证券代码</w:t>
            </w:r>
          </w:p>
        </w:tc>
      </w:tr>
      <w:tr w14:paraId="35506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43" w:type="dxa"/>
          </w:tcPr>
          <w:p w14:paraId="50F19325">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数量</w:t>
            </w:r>
          </w:p>
        </w:tc>
        <w:tc>
          <w:tcPr>
            <w:tcW w:w="6571" w:type="dxa"/>
          </w:tcPr>
          <w:p w14:paraId="0CF97568">
            <w:pPr>
              <w:pStyle w:val="12"/>
              <w:ind w:firstLine="0" w:firstLineChars="0"/>
              <w:rPr>
                <w:rFonts w:ascii="仿宋_GB2312" w:eastAsia="仿宋_GB2312"/>
                <w:kern w:val="0"/>
                <w:lang w:eastAsia="en-US" w:bidi="en-US"/>
              </w:rPr>
            </w:pPr>
            <w:r>
              <w:rPr>
                <w:rFonts w:hint="eastAsia" w:ascii="仿宋_GB2312" w:eastAsia="仿宋_GB2312"/>
                <w:kern w:val="0"/>
                <w:lang w:eastAsia="en-US" w:bidi="en-US"/>
              </w:rPr>
              <w:t>单位：</w:t>
            </w:r>
            <w:r>
              <w:rPr>
                <w:rFonts w:hint="eastAsia" w:ascii="仿宋_GB2312" w:eastAsia="仿宋_GB2312"/>
                <w:kern w:val="0"/>
                <w:lang w:bidi="en-US"/>
              </w:rPr>
              <w:t>千</w:t>
            </w:r>
            <w:r>
              <w:rPr>
                <w:rFonts w:hint="eastAsia" w:ascii="仿宋_GB2312" w:eastAsia="仿宋_GB2312"/>
                <w:kern w:val="0"/>
                <w:lang w:eastAsia="en-US" w:bidi="en-US"/>
              </w:rPr>
              <w:t>元面额</w:t>
            </w:r>
          </w:p>
        </w:tc>
      </w:tr>
      <w:tr w14:paraId="67162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tcPr>
          <w:p w14:paraId="7599D1F1">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买入方</w:t>
            </w:r>
          </w:p>
        </w:tc>
        <w:tc>
          <w:tcPr>
            <w:tcW w:w="6571" w:type="dxa"/>
          </w:tcPr>
          <w:p w14:paraId="2282530F">
            <w:pPr>
              <w:pStyle w:val="12"/>
              <w:ind w:firstLine="0" w:firstLineChars="0"/>
              <w:rPr>
                <w:rFonts w:ascii="仿宋_GB2312" w:eastAsia="仿宋_GB2312"/>
                <w:kern w:val="0"/>
                <w:lang w:eastAsia="en-US" w:bidi="en-US"/>
              </w:rPr>
            </w:pPr>
            <w:r>
              <w:rPr>
                <w:rFonts w:hint="eastAsia" w:ascii="仿宋_GB2312" w:eastAsia="仿宋_GB2312"/>
                <w:kern w:val="0"/>
                <w:lang w:eastAsia="en-US" w:bidi="en-US"/>
              </w:rPr>
              <w:t>买入方简称</w:t>
            </w:r>
          </w:p>
        </w:tc>
      </w:tr>
      <w:tr w14:paraId="11F1C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tcPr>
          <w:p w14:paraId="1550C3A7">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买入方交易员</w:t>
            </w:r>
          </w:p>
        </w:tc>
        <w:tc>
          <w:tcPr>
            <w:tcW w:w="6571" w:type="dxa"/>
          </w:tcPr>
          <w:p w14:paraId="649FFD57">
            <w:pPr>
              <w:pStyle w:val="12"/>
              <w:ind w:firstLine="0" w:firstLineChars="0"/>
              <w:rPr>
                <w:rFonts w:ascii="仿宋_GB2312" w:eastAsia="仿宋_GB2312"/>
                <w:kern w:val="0"/>
                <w:lang w:eastAsia="en-US" w:bidi="en-US"/>
              </w:rPr>
            </w:pPr>
            <w:r>
              <w:rPr>
                <w:rFonts w:hint="eastAsia" w:ascii="仿宋_GB2312" w:eastAsia="仿宋_GB2312"/>
                <w:kern w:val="0"/>
                <w:lang w:eastAsia="en-US" w:bidi="en-US"/>
              </w:rPr>
              <w:t>买入方交易员标识</w:t>
            </w:r>
          </w:p>
        </w:tc>
      </w:tr>
      <w:tr w14:paraId="4CA95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tcPr>
          <w:p w14:paraId="1978273B">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本方卖出价格</w:t>
            </w:r>
          </w:p>
        </w:tc>
        <w:tc>
          <w:tcPr>
            <w:tcW w:w="6571" w:type="dxa"/>
          </w:tcPr>
          <w:p w14:paraId="3FB3F98D">
            <w:pPr>
              <w:pStyle w:val="12"/>
              <w:ind w:firstLine="0" w:firstLineChars="0"/>
              <w:rPr>
                <w:rFonts w:ascii="仿宋_GB2312" w:eastAsia="仿宋_GB2312"/>
                <w:kern w:val="0"/>
                <w:lang w:eastAsia="en-US" w:bidi="en-US"/>
              </w:rPr>
            </w:pPr>
            <w:r>
              <w:rPr>
                <w:rFonts w:hint="eastAsia" w:ascii="仿宋_GB2312" w:eastAsia="仿宋_GB2312"/>
                <w:kern w:val="0"/>
                <w:lang w:eastAsia="en-US" w:bidi="en-US"/>
              </w:rPr>
              <w:t>单位：元</w:t>
            </w:r>
          </w:p>
        </w:tc>
      </w:tr>
      <w:tr w14:paraId="45ABA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43" w:type="dxa"/>
          </w:tcPr>
          <w:p w14:paraId="1751A3DB">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卖出方</w:t>
            </w:r>
          </w:p>
        </w:tc>
        <w:tc>
          <w:tcPr>
            <w:tcW w:w="6571" w:type="dxa"/>
          </w:tcPr>
          <w:p w14:paraId="5F122EB1">
            <w:pPr>
              <w:pStyle w:val="12"/>
              <w:ind w:firstLine="0" w:firstLineChars="0"/>
              <w:rPr>
                <w:rFonts w:ascii="仿宋_GB2312" w:eastAsia="仿宋_GB2312"/>
                <w:kern w:val="0"/>
                <w:lang w:eastAsia="en-US" w:bidi="en-US"/>
              </w:rPr>
            </w:pPr>
            <w:r>
              <w:rPr>
                <w:rFonts w:hint="eastAsia" w:ascii="仿宋_GB2312" w:eastAsia="仿宋_GB2312"/>
                <w:kern w:val="0"/>
                <w:lang w:eastAsia="en-US" w:bidi="en-US"/>
              </w:rPr>
              <w:t>卖出方简称</w:t>
            </w:r>
          </w:p>
        </w:tc>
      </w:tr>
      <w:tr w14:paraId="15028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tcPr>
          <w:p w14:paraId="053AD97E">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卖出方交易员</w:t>
            </w:r>
          </w:p>
        </w:tc>
        <w:tc>
          <w:tcPr>
            <w:tcW w:w="6571" w:type="dxa"/>
          </w:tcPr>
          <w:p w14:paraId="0BDEC212">
            <w:pPr>
              <w:pStyle w:val="12"/>
              <w:ind w:firstLine="0" w:firstLineChars="0"/>
              <w:rPr>
                <w:rFonts w:ascii="仿宋_GB2312" w:eastAsia="仿宋_GB2312"/>
                <w:kern w:val="0"/>
                <w:lang w:eastAsia="en-US" w:bidi="en-US"/>
              </w:rPr>
            </w:pPr>
            <w:r>
              <w:rPr>
                <w:rFonts w:hint="eastAsia" w:ascii="仿宋_GB2312" w:eastAsia="仿宋_GB2312"/>
                <w:kern w:val="0"/>
                <w:lang w:eastAsia="en-US" w:bidi="en-US"/>
              </w:rPr>
              <w:t>卖出方交易员标识</w:t>
            </w:r>
          </w:p>
        </w:tc>
      </w:tr>
      <w:tr w14:paraId="0F824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tcPr>
          <w:p w14:paraId="7B566F80">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本方买入价格</w:t>
            </w:r>
          </w:p>
        </w:tc>
        <w:tc>
          <w:tcPr>
            <w:tcW w:w="6571" w:type="dxa"/>
          </w:tcPr>
          <w:p w14:paraId="136CA9BF">
            <w:pPr>
              <w:pStyle w:val="12"/>
              <w:ind w:firstLine="0" w:firstLineChars="0"/>
              <w:rPr>
                <w:rFonts w:ascii="仿宋_GB2312" w:eastAsia="仿宋_GB2312"/>
                <w:kern w:val="0"/>
                <w:lang w:eastAsia="en-US" w:bidi="en-US"/>
              </w:rPr>
            </w:pPr>
            <w:r>
              <w:rPr>
                <w:rFonts w:hint="eastAsia" w:ascii="仿宋_GB2312" w:eastAsia="仿宋_GB2312"/>
                <w:kern w:val="0"/>
                <w:lang w:eastAsia="en-US" w:bidi="en-US"/>
              </w:rPr>
              <w:t>单位：元</w:t>
            </w:r>
          </w:p>
        </w:tc>
      </w:tr>
      <w:tr w14:paraId="20B1B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tcPr>
          <w:p w14:paraId="0544CFEB">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证券账号</w:t>
            </w:r>
          </w:p>
        </w:tc>
        <w:tc>
          <w:tcPr>
            <w:tcW w:w="6571" w:type="dxa"/>
          </w:tcPr>
          <w:p w14:paraId="740DB219">
            <w:pPr>
              <w:pStyle w:val="12"/>
              <w:ind w:firstLine="0" w:firstLineChars="0"/>
              <w:rPr>
                <w:rFonts w:ascii="仿宋_GB2312" w:eastAsia="仿宋_GB2312"/>
                <w:kern w:val="0"/>
                <w:lang w:bidi="en-US"/>
              </w:rPr>
            </w:pPr>
            <w:r>
              <w:rPr>
                <w:rFonts w:hint="eastAsia" w:ascii="仿宋_GB2312" w:eastAsia="仿宋_GB2312"/>
                <w:kern w:val="0"/>
                <w:lang w:bidi="en-US"/>
              </w:rPr>
              <w:t>交易参与人的证券账户号码</w:t>
            </w:r>
          </w:p>
        </w:tc>
      </w:tr>
      <w:tr w14:paraId="291C0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43" w:type="dxa"/>
          </w:tcPr>
          <w:p w14:paraId="12B43FB6">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证券账户名称</w:t>
            </w:r>
          </w:p>
        </w:tc>
        <w:tc>
          <w:tcPr>
            <w:tcW w:w="6571" w:type="dxa"/>
          </w:tcPr>
          <w:p w14:paraId="196B72E6">
            <w:pPr>
              <w:pStyle w:val="12"/>
              <w:ind w:firstLine="0" w:firstLineChars="0"/>
              <w:rPr>
                <w:rFonts w:ascii="仿宋_GB2312" w:eastAsia="仿宋_GB2312"/>
                <w:kern w:val="0"/>
                <w:lang w:bidi="en-US"/>
              </w:rPr>
            </w:pPr>
            <w:r>
              <w:rPr>
                <w:rFonts w:hint="eastAsia" w:ascii="仿宋_GB2312" w:eastAsia="仿宋_GB2312"/>
                <w:kern w:val="0"/>
                <w:lang w:bidi="en-US"/>
              </w:rPr>
              <w:t>交易参与人的证券账户名称</w:t>
            </w:r>
          </w:p>
        </w:tc>
      </w:tr>
      <w:tr w14:paraId="13451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tcPr>
          <w:p w14:paraId="38A45C0E">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结算方式</w:t>
            </w:r>
          </w:p>
        </w:tc>
        <w:tc>
          <w:tcPr>
            <w:tcW w:w="6571" w:type="dxa"/>
          </w:tcPr>
          <w:p w14:paraId="04F021CB">
            <w:pPr>
              <w:pStyle w:val="12"/>
              <w:ind w:firstLine="0" w:firstLineChars="0"/>
              <w:rPr>
                <w:rFonts w:ascii="仿宋_GB2312" w:eastAsia="仿宋_GB2312"/>
                <w:kern w:val="0"/>
                <w:lang w:bidi="en-US"/>
              </w:rPr>
            </w:pPr>
            <w:r>
              <w:rPr>
                <w:rFonts w:hint="eastAsia" w:ascii="仿宋_GB2312" w:eastAsia="仿宋_GB2312"/>
                <w:kern w:val="0"/>
                <w:lang w:bidi="en-US"/>
              </w:rPr>
              <w:t>根据交易</w:t>
            </w:r>
            <w:r>
              <w:rPr>
                <w:rFonts w:ascii="仿宋_GB2312" w:eastAsia="仿宋_GB2312"/>
                <w:kern w:val="0"/>
                <w:lang w:bidi="en-US"/>
              </w:rPr>
              <w:t>品种，</w:t>
            </w:r>
            <w:r>
              <w:rPr>
                <w:rFonts w:hint="eastAsia" w:ascii="仿宋_GB2312" w:eastAsia="仿宋_GB2312"/>
                <w:kern w:val="0"/>
                <w:lang w:bidi="en-US"/>
              </w:rPr>
              <w:t>可选“逐笔全额结算”或“多边净额结算”。</w:t>
            </w:r>
          </w:p>
        </w:tc>
      </w:tr>
      <w:tr w14:paraId="48FA1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tcPr>
          <w:p w14:paraId="47B84D11">
            <w:pPr>
              <w:pStyle w:val="12"/>
              <w:ind w:firstLine="0" w:firstLineChars="0"/>
              <w:rPr>
                <w:rFonts w:ascii="仿宋_GB2312" w:eastAsia="仿宋_GB2312"/>
                <w:b/>
                <w:kern w:val="0"/>
                <w:lang w:bidi="en-US"/>
              </w:rPr>
            </w:pPr>
            <w:r>
              <w:rPr>
                <w:rFonts w:hint="eastAsia" w:ascii="仿宋_GB2312" w:eastAsia="仿宋_GB2312"/>
                <w:b/>
                <w:kern w:val="0"/>
                <w:lang w:eastAsia="en-US" w:bidi="en-US"/>
              </w:rPr>
              <w:t>结算</w:t>
            </w:r>
            <w:r>
              <w:rPr>
                <w:rFonts w:hint="eastAsia" w:ascii="仿宋_GB2312" w:eastAsia="仿宋_GB2312"/>
                <w:b/>
                <w:kern w:val="0"/>
                <w:lang w:bidi="en-US"/>
              </w:rPr>
              <w:t>周期</w:t>
            </w:r>
          </w:p>
        </w:tc>
        <w:tc>
          <w:tcPr>
            <w:tcW w:w="6571" w:type="dxa"/>
          </w:tcPr>
          <w:p w14:paraId="1347B0DF">
            <w:pPr>
              <w:pStyle w:val="12"/>
              <w:ind w:firstLine="0" w:firstLineChars="0"/>
              <w:rPr>
                <w:rFonts w:ascii="仿宋_GB2312" w:eastAsia="仿宋_GB2312"/>
                <w:kern w:val="0"/>
                <w:lang w:bidi="en-US"/>
              </w:rPr>
            </w:pPr>
            <w:r>
              <w:rPr>
                <w:rFonts w:hint="eastAsia" w:ascii="仿宋_GB2312" w:eastAsia="仿宋_GB2312"/>
                <w:kern w:val="0"/>
                <w:lang w:bidi="en-US"/>
              </w:rPr>
              <w:t>根据结算方式</w:t>
            </w:r>
            <w:r>
              <w:rPr>
                <w:rFonts w:ascii="仿宋_GB2312" w:eastAsia="仿宋_GB2312"/>
                <w:kern w:val="0"/>
                <w:lang w:bidi="en-US"/>
              </w:rPr>
              <w:t>自动带出</w:t>
            </w:r>
          </w:p>
        </w:tc>
      </w:tr>
      <w:tr w14:paraId="253A8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tcPr>
          <w:p w14:paraId="1C91717F">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证券简称</w:t>
            </w:r>
          </w:p>
        </w:tc>
        <w:tc>
          <w:tcPr>
            <w:tcW w:w="6571" w:type="dxa"/>
          </w:tcPr>
          <w:p w14:paraId="4E703C58">
            <w:pPr>
              <w:pStyle w:val="12"/>
              <w:ind w:firstLine="0" w:firstLineChars="0"/>
              <w:rPr>
                <w:rFonts w:ascii="仿宋_GB2312" w:eastAsia="仿宋_GB2312"/>
                <w:kern w:val="0"/>
                <w:lang w:bidi="en-US"/>
              </w:rPr>
            </w:pPr>
            <w:r>
              <w:rPr>
                <w:rFonts w:hint="eastAsia" w:ascii="仿宋_GB2312" w:hAnsi="宋体" w:eastAsia="仿宋_GB2312"/>
                <w:kern w:val="0"/>
                <w:lang w:bidi="en-US"/>
              </w:rPr>
              <w:t>即上交所证券简称，有证券代码的交易品种，简称根据证券代码自动显示</w:t>
            </w:r>
          </w:p>
        </w:tc>
      </w:tr>
      <w:tr w14:paraId="27555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43" w:type="dxa"/>
          </w:tcPr>
          <w:p w14:paraId="08B3AA5A">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申报日期时间</w:t>
            </w:r>
          </w:p>
        </w:tc>
        <w:tc>
          <w:tcPr>
            <w:tcW w:w="6571" w:type="dxa"/>
          </w:tcPr>
          <w:p w14:paraId="3F4112AD">
            <w:pPr>
              <w:pStyle w:val="12"/>
              <w:ind w:firstLine="0" w:firstLineChars="0"/>
              <w:rPr>
                <w:rFonts w:ascii="仿宋_GB2312" w:eastAsia="仿宋_GB2312"/>
                <w:kern w:val="0"/>
                <w:lang w:bidi="en-US"/>
              </w:rPr>
            </w:pPr>
            <w:r>
              <w:rPr>
                <w:rFonts w:hint="eastAsia" w:ascii="仿宋_GB2312" w:eastAsia="仿宋_GB2312"/>
                <w:kern w:val="0"/>
                <w:lang w:bidi="en-US"/>
              </w:rPr>
              <w:t>交易申报日期（年月日）及时间（时分秒），自动显示</w:t>
            </w:r>
          </w:p>
        </w:tc>
      </w:tr>
      <w:tr w14:paraId="568A7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tcPr>
          <w:p w14:paraId="5FA50A3D">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结算</w:t>
            </w:r>
            <w:r>
              <w:rPr>
                <w:rFonts w:hint="eastAsia" w:ascii="仿宋_GB2312" w:eastAsia="仿宋_GB2312"/>
                <w:b/>
                <w:kern w:val="0"/>
                <w:lang w:bidi="en-US"/>
              </w:rPr>
              <w:t>日</w:t>
            </w:r>
            <w:r>
              <w:rPr>
                <w:rFonts w:hint="eastAsia" w:ascii="仿宋_GB2312" w:eastAsia="仿宋_GB2312"/>
                <w:b/>
                <w:kern w:val="0"/>
                <w:lang w:eastAsia="en-US" w:bidi="en-US"/>
              </w:rPr>
              <w:t>期</w:t>
            </w:r>
          </w:p>
        </w:tc>
        <w:tc>
          <w:tcPr>
            <w:tcW w:w="6571" w:type="dxa"/>
          </w:tcPr>
          <w:p w14:paraId="5336FBED">
            <w:pPr>
              <w:pStyle w:val="12"/>
              <w:ind w:firstLine="0" w:firstLineChars="0"/>
              <w:rPr>
                <w:rFonts w:ascii="宋体" w:hAnsi="宋体"/>
                <w:color w:val="000000"/>
                <w:kern w:val="0"/>
                <w:lang w:bidi="en-US"/>
              </w:rPr>
            </w:pPr>
            <w:r>
              <w:rPr>
                <w:rFonts w:hint="eastAsia" w:ascii="仿宋_GB2312" w:eastAsia="仿宋_GB2312"/>
                <w:kern w:val="0"/>
                <w:lang w:bidi="en-US"/>
              </w:rPr>
              <w:t>根据当前交易日期、结算周期，自动显示</w:t>
            </w:r>
          </w:p>
        </w:tc>
      </w:tr>
      <w:tr w14:paraId="278DC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tcPr>
          <w:p w14:paraId="304FB6BD">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交易PBU</w:t>
            </w:r>
          </w:p>
        </w:tc>
        <w:tc>
          <w:tcPr>
            <w:tcW w:w="6571" w:type="dxa"/>
          </w:tcPr>
          <w:p w14:paraId="2D008D28">
            <w:pPr>
              <w:pStyle w:val="12"/>
              <w:ind w:firstLine="0" w:firstLineChars="0"/>
              <w:rPr>
                <w:rFonts w:ascii="宋体" w:hAnsi="宋体"/>
                <w:color w:val="000000"/>
                <w:kern w:val="0"/>
                <w:lang w:bidi="en-US"/>
              </w:rPr>
            </w:pPr>
            <w:r>
              <w:rPr>
                <w:rFonts w:hint="eastAsia" w:ascii="仿宋_GB2312" w:eastAsia="仿宋_GB2312"/>
                <w:kern w:val="0"/>
                <w:lang w:bidi="en-US"/>
              </w:rPr>
              <w:t>交易参与人的交易单元号码，自动显示</w:t>
            </w:r>
          </w:p>
        </w:tc>
      </w:tr>
    </w:tbl>
    <w:p w14:paraId="45E16337">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中间方发起合并申报，合并申报经前述两笔交易的对手方（买方、卖方）分别确认后，由固定收益平台确认成交，同时生成两笔成交记录。单方确认的交易，固定收益平台不生成成交记录。双方确认时，仅需提交本方证券账户，且不显示实际对手方的价格信息。对买方和卖方而言，对手方都是中间方。</w:t>
      </w:r>
    </w:p>
    <w:p w14:paraId="492748B5">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在买卖双方全部确认之前，中间方可以撤销合并申报。</w:t>
      </w:r>
    </w:p>
    <w:p w14:paraId="5D7F8503">
      <w:pPr>
        <w:spacing w:line="600" w:lineRule="exact"/>
        <w:ind w:firstLine="600" w:firstLineChars="200"/>
        <w:outlineLvl w:val="3"/>
        <w:rPr>
          <w:rFonts w:ascii="仿宋_GB2312" w:hAnsi="仿宋" w:eastAsia="仿宋_GB2312"/>
          <w:sz w:val="30"/>
          <w:szCs w:val="30"/>
        </w:rPr>
      </w:pPr>
      <w:r>
        <w:rPr>
          <w:rFonts w:hint="eastAsia" w:ascii="仿宋_GB2312" w:hAnsi="仿宋" w:eastAsia="仿宋_GB2312"/>
          <w:sz w:val="30"/>
          <w:szCs w:val="30"/>
        </w:rPr>
        <w:t>（3）结算</w:t>
      </w:r>
    </w:p>
    <w:p w14:paraId="456E110E">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合并申报在结算指令确认环节由实际买方勾单。合并申报的协商交易的中间方如有应付资金需求，需要勾单，</w:t>
      </w:r>
      <w:r>
        <w:rPr>
          <w:rFonts w:ascii="仿宋_GB2312" w:hAnsi="仿宋" w:eastAsia="仿宋_GB2312"/>
          <w:sz w:val="30"/>
          <w:szCs w:val="30"/>
        </w:rPr>
        <w:t>如无应付资金需求，则不需要勾单</w:t>
      </w:r>
      <w:r>
        <w:rPr>
          <w:rFonts w:hint="eastAsia" w:ascii="仿宋_GB2312" w:hAnsi="仿宋" w:eastAsia="仿宋_GB2312"/>
          <w:sz w:val="30"/>
          <w:szCs w:val="30"/>
        </w:rPr>
        <w:t>。</w:t>
      </w:r>
    </w:p>
    <w:p w14:paraId="5F2639EB">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合并申报结算方式包括“多边净额结算”和“逐笔全额结算</w:t>
      </w:r>
      <w:r>
        <w:rPr>
          <w:rFonts w:ascii="仿宋_GB2312" w:hAnsi="仿宋" w:eastAsia="仿宋_GB2312"/>
          <w:sz w:val="30"/>
          <w:szCs w:val="30"/>
        </w:rPr>
        <w:t>”</w:t>
      </w:r>
      <w:r>
        <w:rPr>
          <w:rFonts w:hint="eastAsia" w:ascii="仿宋_GB2312" w:hAnsi="仿宋" w:eastAsia="仿宋_GB2312"/>
          <w:sz w:val="30"/>
          <w:szCs w:val="30"/>
        </w:rPr>
        <w:t>。本所另有规定的除外</w:t>
      </w:r>
      <w:r>
        <w:rPr>
          <w:rFonts w:ascii="仿宋_GB2312" w:hAnsi="仿宋" w:eastAsia="仿宋_GB2312"/>
          <w:sz w:val="30"/>
          <w:szCs w:val="30"/>
        </w:rPr>
        <w:t>。</w:t>
      </w:r>
    </w:p>
    <w:p w14:paraId="4B1ADFAC">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若合并申报采用净额结算方式，中间方担保交收账户轧差结算，无需发生实际的债券交收，资金仅需交收轧差后的差额部分。</w:t>
      </w:r>
    </w:p>
    <w:p w14:paraId="7B607F9F">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若合并申报采用逐笔全额结算</w:t>
      </w:r>
      <w:r>
        <w:rPr>
          <w:rFonts w:ascii="仿宋_GB2312" w:hAnsi="仿宋" w:eastAsia="仿宋_GB2312"/>
          <w:sz w:val="30"/>
          <w:szCs w:val="30"/>
        </w:rPr>
        <w:t>方式，则</w:t>
      </w:r>
      <w:r>
        <w:rPr>
          <w:rFonts w:hint="eastAsia" w:ascii="仿宋_GB2312" w:hAnsi="仿宋" w:eastAsia="仿宋_GB2312"/>
          <w:sz w:val="30"/>
          <w:szCs w:val="30"/>
        </w:rPr>
        <w:t>登记结算机构</w:t>
      </w:r>
      <w:r>
        <w:rPr>
          <w:rFonts w:ascii="仿宋_GB2312" w:hAnsi="仿宋" w:eastAsia="仿宋_GB2312"/>
          <w:sz w:val="30"/>
          <w:szCs w:val="30"/>
        </w:rPr>
        <w:t>对合并申报拆分后的两笔交易</w:t>
      </w:r>
      <w:r>
        <w:rPr>
          <w:rFonts w:hint="eastAsia" w:ascii="仿宋_GB2312" w:hAnsi="仿宋" w:eastAsia="仿宋_GB2312"/>
          <w:sz w:val="30"/>
          <w:szCs w:val="30"/>
        </w:rPr>
        <w:t>通过交收顺序安排实现类似轧差效果，勾单完成后，两笔交易的交收要么一起成功，要么一起失败，中间方无需发生实际债券交收。</w:t>
      </w:r>
    </w:p>
    <w:p w14:paraId="4B303DBD">
      <w:pPr>
        <w:numPr>
          <w:ilvl w:val="1"/>
          <w:numId w:val="4"/>
        </w:numPr>
        <w:spacing w:line="600" w:lineRule="exact"/>
        <w:ind w:left="0" w:firstLine="0"/>
        <w:outlineLvl w:val="1"/>
        <w:rPr>
          <w:rFonts w:ascii="仿宋_GB2312" w:eastAsia="仿宋_GB2312"/>
          <w:b/>
          <w:sz w:val="30"/>
          <w:szCs w:val="30"/>
        </w:rPr>
      </w:pPr>
      <w:bookmarkStart w:id="472" w:name="_Toc151136902"/>
      <w:bookmarkStart w:id="473" w:name="_Toc1596831103"/>
      <w:bookmarkStart w:id="474" w:name="_Toc1279648246"/>
      <w:bookmarkStart w:id="475" w:name="_Toc169476618"/>
      <w:bookmarkStart w:id="476" w:name="_Toc585630784"/>
      <w:r>
        <w:rPr>
          <w:rFonts w:hint="eastAsia" w:ascii="仿宋_GB2312" w:eastAsia="仿宋_GB2312"/>
          <w:b/>
          <w:sz w:val="30"/>
          <w:szCs w:val="30"/>
        </w:rPr>
        <w:t>点击成交</w:t>
      </w:r>
      <w:bookmarkEnd w:id="472"/>
      <w:bookmarkEnd w:id="473"/>
      <w:bookmarkEnd w:id="474"/>
      <w:bookmarkEnd w:id="475"/>
      <w:bookmarkEnd w:id="476"/>
    </w:p>
    <w:p w14:paraId="67667DEB">
      <w:pPr>
        <w:numPr>
          <w:ilvl w:val="2"/>
          <w:numId w:val="4"/>
        </w:numPr>
        <w:spacing w:line="600" w:lineRule="exact"/>
        <w:ind w:left="0" w:firstLine="0"/>
        <w:outlineLvl w:val="2"/>
        <w:rPr>
          <w:rFonts w:ascii="仿宋_GB2312" w:eastAsia="仿宋_GB2312"/>
          <w:b/>
          <w:sz w:val="30"/>
          <w:szCs w:val="30"/>
        </w:rPr>
      </w:pPr>
      <w:bookmarkStart w:id="477" w:name="_Toc57908896"/>
      <w:r>
        <w:rPr>
          <w:rFonts w:hint="eastAsia" w:ascii="仿宋_GB2312" w:eastAsia="仿宋_GB2312"/>
          <w:b/>
          <w:sz w:val="30"/>
          <w:szCs w:val="30"/>
        </w:rPr>
        <w:t>定义</w:t>
      </w:r>
      <w:bookmarkEnd w:id="477"/>
    </w:p>
    <w:p w14:paraId="2397B00A">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点击成交是指报价方发出报价，相关报价经其他债券投资者点击后由固定收益平台确认成交的，或者依据本所相关规定通过交易系统自动匹配成交的交易方式（《债券交易规则》第八十三条关于“报价方可以选择在本所连续匹配阶段的整时点按照连续匹配的相关规定参与限价申报的匹配成交”的规定暂缓实施）。</w:t>
      </w:r>
    </w:p>
    <w:p w14:paraId="7C4CAF08">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本所固定收益平台为点击成交申报提供电子化接口及客户端，债券交易参与人可通过电子化接口及客户端接入本所系统，并提交报价申报。</w:t>
      </w:r>
    </w:p>
    <w:p w14:paraId="2DE1FC0F">
      <w:pPr>
        <w:numPr>
          <w:ilvl w:val="2"/>
          <w:numId w:val="4"/>
        </w:numPr>
        <w:spacing w:line="600" w:lineRule="exact"/>
        <w:ind w:left="0" w:firstLine="0"/>
        <w:outlineLvl w:val="2"/>
        <w:rPr>
          <w:rFonts w:ascii="仿宋_GB2312" w:eastAsia="仿宋_GB2312"/>
          <w:b/>
          <w:sz w:val="30"/>
          <w:szCs w:val="30"/>
        </w:rPr>
      </w:pPr>
      <w:bookmarkStart w:id="478" w:name="_Toc57908897"/>
      <w:r>
        <w:rPr>
          <w:rFonts w:hint="eastAsia" w:ascii="仿宋_GB2312" w:eastAsia="仿宋_GB2312"/>
          <w:b/>
          <w:sz w:val="30"/>
          <w:szCs w:val="30"/>
        </w:rPr>
        <w:t>报价类型</w:t>
      </w:r>
      <w:bookmarkEnd w:id="478"/>
    </w:p>
    <w:p w14:paraId="7A0539C5">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报价方发出的报价可分为单边报价和双边报价两种类型。单边报价是报价方向其他部分或所有债券交易参与人提交的列明了单个方向价格和数量等要素的报价；双边报价是报价方向其他部分或所有债券交易参与人提交的列明了买卖两个方向价格和数量等要素的报价。</w:t>
      </w:r>
    </w:p>
    <w:p w14:paraId="3B447E2A">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报价方发布报价后，其他债券投资者可作为点击方对报价进行点击成交，若是双边报价，则可选择一个方向进行点击成交。</w:t>
      </w:r>
    </w:p>
    <w:p w14:paraId="6F4613C8">
      <w:pPr>
        <w:numPr>
          <w:ilvl w:val="2"/>
          <w:numId w:val="4"/>
        </w:numPr>
        <w:spacing w:line="600" w:lineRule="exact"/>
        <w:ind w:left="0" w:firstLine="0"/>
        <w:outlineLvl w:val="2"/>
        <w:rPr>
          <w:rFonts w:ascii="仿宋_GB2312" w:eastAsia="仿宋_GB2312"/>
          <w:b/>
          <w:sz w:val="30"/>
          <w:szCs w:val="30"/>
        </w:rPr>
      </w:pPr>
      <w:bookmarkStart w:id="479" w:name="_Toc57908898"/>
      <w:r>
        <w:rPr>
          <w:rFonts w:hint="eastAsia" w:ascii="仿宋_GB2312" w:eastAsia="仿宋_GB2312"/>
          <w:b/>
          <w:sz w:val="30"/>
          <w:szCs w:val="30"/>
        </w:rPr>
        <w:t>申报要求</w:t>
      </w:r>
      <w:bookmarkEnd w:id="479"/>
    </w:p>
    <w:p w14:paraId="65B2ABC6">
      <w:pPr>
        <w:spacing w:line="600" w:lineRule="exact"/>
        <w:ind w:firstLine="600" w:firstLineChars="200"/>
        <w:outlineLvl w:val="3"/>
        <w:rPr>
          <w:rFonts w:ascii="仿宋_GB2312" w:hAnsi="仿宋" w:eastAsia="仿宋_GB2312"/>
          <w:sz w:val="30"/>
          <w:szCs w:val="30"/>
        </w:rPr>
      </w:pPr>
      <w:r>
        <w:rPr>
          <w:rFonts w:hint="eastAsia" w:ascii="仿宋_GB2312" w:hAnsi="仿宋" w:eastAsia="仿宋_GB2312"/>
          <w:sz w:val="30"/>
          <w:szCs w:val="30"/>
        </w:rPr>
        <w:t>（1）报价范围</w:t>
      </w:r>
    </w:p>
    <w:p w14:paraId="5ABC1263">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采用点击成交方式的，报价方可以向全市场发出报价，也可以向报价方自行选定的部分债券投资者发出报价。</w:t>
      </w:r>
    </w:p>
    <w:p w14:paraId="57BC3C43">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在报价录入界面中，报价的发布对象除了全市场外，可以自行选择,仅被选中的对象可以查看到该报价信息。报价方可在“发送范围”中选择“全市场”或“指定交易参与人”。</w:t>
      </w:r>
    </w:p>
    <w:p w14:paraId="137527D1">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其中，选择“指定交易参与人”的，可在显示的“交易参与人列表”中选择不超过</w:t>
      </w:r>
      <w:r>
        <w:rPr>
          <w:rFonts w:ascii="仿宋_GB2312" w:hAnsi="仿宋" w:eastAsia="仿宋_GB2312"/>
          <w:sz w:val="30"/>
          <w:szCs w:val="30"/>
        </w:rPr>
        <w:t>5</w:t>
      </w:r>
      <w:r>
        <w:rPr>
          <w:rFonts w:hint="eastAsia" w:ascii="仿宋_GB2312" w:hAnsi="仿宋" w:eastAsia="仿宋_GB2312"/>
          <w:sz w:val="30"/>
          <w:szCs w:val="30"/>
        </w:rPr>
        <w:t>个交易参与人进行报价发送。</w:t>
      </w:r>
    </w:p>
    <w:p w14:paraId="0523E588">
      <w:pPr>
        <w:spacing w:line="600" w:lineRule="exact"/>
        <w:ind w:firstLine="600" w:firstLineChars="200"/>
        <w:outlineLvl w:val="3"/>
        <w:rPr>
          <w:rFonts w:ascii="仿宋_GB2312" w:eastAsia="仿宋_GB2312"/>
          <w:sz w:val="30"/>
          <w:szCs w:val="30"/>
        </w:rPr>
      </w:pPr>
      <w:r>
        <w:rPr>
          <w:rFonts w:hint="eastAsia" w:ascii="仿宋_GB2312" w:eastAsia="仿宋_GB2312"/>
          <w:sz w:val="30"/>
          <w:szCs w:val="30"/>
        </w:rPr>
        <w:t>（2）报价要素</w:t>
      </w:r>
    </w:p>
    <w:p w14:paraId="719C0E97">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报价方发出的报价要素应当包括交易品种、交易方向、价格、申报数量、发送范围、报价方证券账号、结算方式、结算周期、结算日期、是否匿名等内容。</w:t>
      </w:r>
    </w:p>
    <w:p w14:paraId="19A1D25F">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1）单边报价</w:t>
      </w:r>
    </w:p>
    <w:p w14:paraId="3C7BEEB2">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单边报价具体要素及要素说明如下：</w:t>
      </w: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6713"/>
      </w:tblGrid>
      <w:tr w14:paraId="5C098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558FA7B0">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要素名称</w:t>
            </w:r>
          </w:p>
        </w:tc>
        <w:tc>
          <w:tcPr>
            <w:tcW w:w="6713" w:type="dxa"/>
          </w:tcPr>
          <w:p w14:paraId="74446BD9">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要素说明</w:t>
            </w:r>
          </w:p>
        </w:tc>
      </w:tr>
      <w:tr w14:paraId="505A3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1226CB82">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申报类型</w:t>
            </w:r>
          </w:p>
        </w:tc>
        <w:tc>
          <w:tcPr>
            <w:tcW w:w="6713" w:type="dxa"/>
          </w:tcPr>
          <w:p w14:paraId="5765970D">
            <w:pPr>
              <w:pStyle w:val="12"/>
              <w:ind w:firstLine="0" w:firstLineChars="0"/>
              <w:rPr>
                <w:rFonts w:ascii="仿宋_GB2312" w:hAnsi="宋体" w:eastAsia="仿宋_GB2312"/>
                <w:kern w:val="0"/>
                <w:lang w:eastAsia="en-US" w:bidi="en-US"/>
              </w:rPr>
            </w:pPr>
            <w:r>
              <w:rPr>
                <w:rFonts w:hint="eastAsia" w:ascii="仿宋_GB2312" w:hAnsi="宋体" w:eastAsia="仿宋_GB2312"/>
                <w:kern w:val="0"/>
                <w:lang w:eastAsia="en-US" w:bidi="en-US"/>
              </w:rPr>
              <w:t>单边报价申报</w:t>
            </w:r>
          </w:p>
        </w:tc>
      </w:tr>
      <w:tr w14:paraId="1F9AF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5CB05669">
            <w:pPr>
              <w:pStyle w:val="12"/>
              <w:ind w:firstLine="0" w:firstLineChars="0"/>
              <w:rPr>
                <w:rFonts w:ascii="仿宋_GB2312" w:eastAsia="仿宋_GB2312"/>
                <w:b/>
                <w:kern w:val="0"/>
                <w:lang w:bidi="en-US"/>
              </w:rPr>
            </w:pPr>
            <w:r>
              <w:rPr>
                <w:rFonts w:hint="eastAsia" w:ascii="仿宋_GB2312" w:eastAsia="仿宋_GB2312"/>
                <w:b/>
                <w:kern w:val="0"/>
                <w:lang w:bidi="en-US"/>
              </w:rPr>
              <w:t>交易品种</w:t>
            </w:r>
          </w:p>
        </w:tc>
        <w:tc>
          <w:tcPr>
            <w:tcW w:w="6713" w:type="dxa"/>
          </w:tcPr>
          <w:p w14:paraId="44056417">
            <w:pPr>
              <w:pStyle w:val="12"/>
              <w:ind w:firstLine="0" w:firstLineChars="0"/>
              <w:rPr>
                <w:rFonts w:ascii="仿宋_GB2312" w:eastAsia="仿宋_GB2312"/>
                <w:kern w:val="0"/>
                <w:lang w:bidi="en-US"/>
              </w:rPr>
            </w:pPr>
            <w:r>
              <w:rPr>
                <w:rFonts w:hint="eastAsia" w:ascii="仿宋_GB2312" w:hAnsi="宋体" w:eastAsia="仿宋_GB2312"/>
                <w:kern w:val="0"/>
                <w:lang w:bidi="en-US"/>
              </w:rPr>
              <w:t>交易品种名称或证券代码</w:t>
            </w:r>
          </w:p>
        </w:tc>
      </w:tr>
      <w:tr w14:paraId="25B82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09" w:type="dxa"/>
          </w:tcPr>
          <w:p w14:paraId="6380323F">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交易方向</w:t>
            </w:r>
          </w:p>
        </w:tc>
        <w:tc>
          <w:tcPr>
            <w:tcW w:w="6713" w:type="dxa"/>
          </w:tcPr>
          <w:p w14:paraId="7E35C8A6">
            <w:pPr>
              <w:pStyle w:val="12"/>
              <w:ind w:firstLine="0" w:firstLineChars="0"/>
              <w:rPr>
                <w:rFonts w:ascii="仿宋_GB2312" w:eastAsia="仿宋_GB2312"/>
                <w:kern w:val="0"/>
                <w:lang w:bidi="en-US"/>
              </w:rPr>
            </w:pPr>
            <w:r>
              <w:rPr>
                <w:rFonts w:hint="eastAsia" w:ascii="仿宋_GB2312" w:eastAsia="仿宋_GB2312"/>
                <w:kern w:val="0"/>
                <w:lang w:bidi="en-US"/>
              </w:rPr>
              <w:t>交易的买卖方向，即买入/卖出</w:t>
            </w:r>
          </w:p>
        </w:tc>
      </w:tr>
      <w:tr w14:paraId="44C08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16FE3BB3">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申报价格</w:t>
            </w:r>
          </w:p>
        </w:tc>
        <w:tc>
          <w:tcPr>
            <w:tcW w:w="6713" w:type="dxa"/>
          </w:tcPr>
          <w:p w14:paraId="09045666">
            <w:pPr>
              <w:pStyle w:val="12"/>
              <w:ind w:firstLine="0" w:firstLineChars="0"/>
              <w:rPr>
                <w:rFonts w:ascii="仿宋_GB2312" w:eastAsia="仿宋_GB2312"/>
                <w:kern w:val="0"/>
                <w:lang w:bidi="en-US"/>
              </w:rPr>
            </w:pPr>
            <w:r>
              <w:rPr>
                <w:rFonts w:hint="eastAsia" w:ascii="仿宋_GB2312" w:eastAsia="仿宋_GB2312"/>
                <w:kern w:val="0"/>
                <w:lang w:bidi="en-US"/>
              </w:rPr>
              <w:t>报价价格，单位：元（在价格输入框下相应位置会在输入价格后自动算出该价格的到期收益率，方便用户查看）</w:t>
            </w:r>
          </w:p>
        </w:tc>
      </w:tr>
      <w:tr w14:paraId="053C3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33F449E9">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申报数量</w:t>
            </w:r>
          </w:p>
        </w:tc>
        <w:tc>
          <w:tcPr>
            <w:tcW w:w="6713" w:type="dxa"/>
          </w:tcPr>
          <w:p w14:paraId="26367C75">
            <w:pPr>
              <w:pStyle w:val="12"/>
              <w:ind w:firstLine="0" w:firstLineChars="0"/>
              <w:rPr>
                <w:rFonts w:ascii="仿宋_GB2312" w:eastAsia="仿宋_GB2312"/>
                <w:kern w:val="0"/>
                <w:lang w:bidi="en-US"/>
              </w:rPr>
            </w:pPr>
            <w:r>
              <w:rPr>
                <w:rFonts w:hint="eastAsia" w:ascii="仿宋_GB2312" w:eastAsia="仿宋_GB2312"/>
                <w:kern w:val="0"/>
                <w:lang w:bidi="en-US"/>
              </w:rPr>
              <w:t>报价数量，单位：千元面额。</w:t>
            </w:r>
          </w:p>
        </w:tc>
      </w:tr>
      <w:tr w14:paraId="44210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546AA25A">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申报账号</w:t>
            </w:r>
          </w:p>
        </w:tc>
        <w:tc>
          <w:tcPr>
            <w:tcW w:w="6713" w:type="dxa"/>
          </w:tcPr>
          <w:p w14:paraId="66E3E032">
            <w:pPr>
              <w:pStyle w:val="12"/>
              <w:ind w:firstLine="0" w:firstLineChars="0"/>
              <w:rPr>
                <w:rFonts w:ascii="仿宋_GB2312" w:eastAsia="仿宋_GB2312"/>
                <w:kern w:val="0"/>
                <w:lang w:bidi="en-US"/>
              </w:rPr>
            </w:pPr>
            <w:r>
              <w:rPr>
                <w:rFonts w:hint="eastAsia" w:ascii="仿宋_GB2312" w:eastAsia="仿宋_GB2312"/>
                <w:kern w:val="0"/>
                <w:lang w:bidi="en-US"/>
              </w:rPr>
              <w:t>报价方的证券账户号码。</w:t>
            </w:r>
          </w:p>
        </w:tc>
      </w:tr>
      <w:tr w14:paraId="517A3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09" w:type="dxa"/>
          </w:tcPr>
          <w:p w14:paraId="09F45708">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发送范围</w:t>
            </w:r>
          </w:p>
        </w:tc>
        <w:tc>
          <w:tcPr>
            <w:tcW w:w="6713" w:type="dxa"/>
          </w:tcPr>
          <w:p w14:paraId="35B5DA75">
            <w:pPr>
              <w:pStyle w:val="12"/>
              <w:ind w:firstLine="0" w:firstLineChars="0"/>
              <w:rPr>
                <w:rFonts w:ascii="仿宋_GB2312" w:eastAsia="仿宋_GB2312"/>
                <w:kern w:val="0"/>
                <w:lang w:bidi="en-US"/>
              </w:rPr>
            </w:pPr>
            <w:r>
              <w:rPr>
                <w:rFonts w:hint="eastAsia" w:ascii="仿宋_GB2312" w:eastAsia="仿宋_GB2312"/>
                <w:kern w:val="0"/>
                <w:lang w:bidi="en-US"/>
              </w:rPr>
              <w:t>勾选向全市场或向指定债券交易参与人发送</w:t>
            </w:r>
          </w:p>
        </w:tc>
      </w:tr>
      <w:tr w14:paraId="270CC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764201F6">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结算方式</w:t>
            </w:r>
          </w:p>
        </w:tc>
        <w:tc>
          <w:tcPr>
            <w:tcW w:w="6713" w:type="dxa"/>
          </w:tcPr>
          <w:p w14:paraId="7BBDC459">
            <w:pPr>
              <w:pStyle w:val="12"/>
              <w:ind w:firstLine="0" w:firstLineChars="0"/>
              <w:rPr>
                <w:rFonts w:ascii="仿宋_GB2312" w:eastAsia="仿宋_GB2312"/>
                <w:kern w:val="0"/>
                <w:lang w:bidi="en-US"/>
              </w:rPr>
            </w:pPr>
            <w:r>
              <w:rPr>
                <w:rFonts w:hint="eastAsia" w:ascii="仿宋_GB2312" w:eastAsia="仿宋_GB2312"/>
                <w:kern w:val="0"/>
                <w:lang w:bidi="en-US"/>
              </w:rPr>
              <w:t>根据</w:t>
            </w:r>
            <w:r>
              <w:rPr>
                <w:rFonts w:ascii="仿宋_GB2312" w:eastAsia="仿宋_GB2312"/>
                <w:kern w:val="0"/>
                <w:lang w:bidi="en-US"/>
              </w:rPr>
              <w:t>交易品种自动带出</w:t>
            </w:r>
            <w:r>
              <w:rPr>
                <w:rFonts w:hint="eastAsia" w:ascii="仿宋_GB2312" w:eastAsia="仿宋_GB2312"/>
                <w:kern w:val="0"/>
                <w:lang w:bidi="en-US"/>
              </w:rPr>
              <w:t>“逐笔全额结算”或“多边净额结算”。</w:t>
            </w:r>
          </w:p>
        </w:tc>
      </w:tr>
      <w:tr w14:paraId="3C391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45A3F2D7">
            <w:pPr>
              <w:pStyle w:val="12"/>
              <w:ind w:firstLine="0" w:firstLineChars="0"/>
              <w:rPr>
                <w:rFonts w:ascii="仿宋_GB2312" w:eastAsia="仿宋_GB2312"/>
                <w:b/>
                <w:kern w:val="0"/>
                <w:lang w:bidi="en-US"/>
              </w:rPr>
            </w:pPr>
            <w:r>
              <w:rPr>
                <w:rFonts w:hint="eastAsia" w:ascii="仿宋_GB2312" w:eastAsia="仿宋_GB2312"/>
                <w:b/>
                <w:kern w:val="0"/>
                <w:lang w:eastAsia="en-US" w:bidi="en-US"/>
              </w:rPr>
              <w:t>结算</w:t>
            </w:r>
            <w:r>
              <w:rPr>
                <w:rFonts w:hint="eastAsia" w:ascii="仿宋_GB2312" w:eastAsia="仿宋_GB2312"/>
                <w:b/>
                <w:kern w:val="0"/>
                <w:lang w:bidi="en-US"/>
              </w:rPr>
              <w:t>周期</w:t>
            </w:r>
          </w:p>
        </w:tc>
        <w:tc>
          <w:tcPr>
            <w:tcW w:w="6713" w:type="dxa"/>
          </w:tcPr>
          <w:p w14:paraId="77D2EAF5">
            <w:pPr>
              <w:pStyle w:val="12"/>
              <w:ind w:firstLine="0" w:firstLineChars="0"/>
              <w:rPr>
                <w:rFonts w:ascii="仿宋_GB2312" w:eastAsia="仿宋_GB2312"/>
                <w:kern w:val="0"/>
                <w:lang w:bidi="en-US"/>
              </w:rPr>
            </w:pPr>
            <w:r>
              <w:rPr>
                <w:rFonts w:hint="eastAsia" w:ascii="仿宋_GB2312" w:eastAsia="仿宋_GB2312"/>
                <w:kern w:val="0"/>
                <w:lang w:bidi="en-US"/>
              </w:rPr>
              <w:t>根据结算方式</w:t>
            </w:r>
            <w:r>
              <w:rPr>
                <w:rFonts w:ascii="仿宋_GB2312" w:eastAsia="仿宋_GB2312"/>
                <w:kern w:val="0"/>
                <w:lang w:bidi="en-US"/>
              </w:rPr>
              <w:t>自</w:t>
            </w:r>
            <w:r>
              <w:rPr>
                <w:rFonts w:hint="eastAsia" w:ascii="仿宋_GB2312" w:eastAsia="仿宋_GB2312"/>
                <w:kern w:val="0"/>
                <w:lang w:bidi="en-US"/>
              </w:rPr>
              <w:t>动</w:t>
            </w:r>
            <w:r>
              <w:rPr>
                <w:rFonts w:ascii="仿宋_GB2312" w:eastAsia="仿宋_GB2312"/>
                <w:kern w:val="0"/>
                <w:lang w:bidi="en-US"/>
              </w:rPr>
              <w:t>带出</w:t>
            </w:r>
          </w:p>
        </w:tc>
      </w:tr>
      <w:tr w14:paraId="17BBC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64031850">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是否匿名</w:t>
            </w:r>
          </w:p>
        </w:tc>
        <w:tc>
          <w:tcPr>
            <w:tcW w:w="6713" w:type="dxa"/>
          </w:tcPr>
          <w:p w14:paraId="05D0B2BC">
            <w:pPr>
              <w:pStyle w:val="12"/>
              <w:ind w:firstLine="0" w:firstLineChars="0"/>
              <w:rPr>
                <w:rFonts w:ascii="仿宋_GB2312" w:eastAsia="仿宋_GB2312"/>
                <w:kern w:val="0"/>
                <w:lang w:bidi="en-US"/>
              </w:rPr>
            </w:pPr>
            <w:r>
              <w:rPr>
                <w:rFonts w:hint="eastAsia" w:ascii="仿宋_GB2312" w:hAnsi="宋体" w:eastAsia="仿宋_GB2312"/>
                <w:color w:val="000000"/>
                <w:kern w:val="0"/>
                <w:lang w:bidi="en-US"/>
              </w:rPr>
              <w:t>需匿名的，勾选“匿名发送”</w:t>
            </w:r>
          </w:p>
        </w:tc>
      </w:tr>
      <w:tr w14:paraId="2FC28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09" w:type="dxa"/>
          </w:tcPr>
          <w:p w14:paraId="48784AF6">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冰山订单</w:t>
            </w:r>
          </w:p>
        </w:tc>
        <w:tc>
          <w:tcPr>
            <w:tcW w:w="6713" w:type="dxa"/>
          </w:tcPr>
          <w:p w14:paraId="74CB0332">
            <w:pPr>
              <w:pStyle w:val="12"/>
              <w:ind w:firstLine="0" w:firstLineChars="0"/>
              <w:rPr>
                <w:rFonts w:ascii="仿宋_GB2312" w:eastAsia="仿宋_GB2312"/>
                <w:kern w:val="0"/>
                <w:lang w:bidi="en-US"/>
              </w:rPr>
            </w:pPr>
            <w:r>
              <w:rPr>
                <w:rFonts w:hint="eastAsia" w:ascii="仿宋_GB2312" w:eastAsia="仿宋_GB2312"/>
                <w:kern w:val="0"/>
                <w:lang w:bidi="en-US"/>
              </w:rPr>
              <w:t>设置冰山订单的，如果所报数量大于冰山订单值，系统显示冰山订单值，如果小于冰山订单值，则系统显示真实数量。</w:t>
            </w:r>
          </w:p>
          <w:p w14:paraId="5F8473CD">
            <w:pPr>
              <w:pStyle w:val="12"/>
              <w:ind w:firstLine="0" w:firstLineChars="0"/>
              <w:rPr>
                <w:rFonts w:ascii="仿宋_GB2312" w:eastAsia="仿宋_GB2312"/>
                <w:kern w:val="0"/>
                <w:lang w:bidi="en-US"/>
              </w:rPr>
            </w:pPr>
            <w:r>
              <w:rPr>
                <w:rFonts w:hint="eastAsia" w:ascii="仿宋_GB2312" w:eastAsia="仿宋_GB2312"/>
                <w:kern w:val="0"/>
                <w:lang w:bidi="en-US"/>
              </w:rPr>
              <w:t>冰山订单字段单位为“千元面额”，不填写则默认该笔申报不是冰山订单。</w:t>
            </w:r>
          </w:p>
        </w:tc>
      </w:tr>
      <w:tr w14:paraId="1E5D9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170D3C18">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是否全额成交</w:t>
            </w:r>
          </w:p>
        </w:tc>
        <w:tc>
          <w:tcPr>
            <w:tcW w:w="6713" w:type="dxa"/>
          </w:tcPr>
          <w:p w14:paraId="1024B6AC">
            <w:pPr>
              <w:pStyle w:val="12"/>
              <w:ind w:firstLine="0" w:firstLineChars="0"/>
              <w:rPr>
                <w:rFonts w:ascii="仿宋_GB2312" w:eastAsia="仿宋_GB2312"/>
                <w:kern w:val="0"/>
                <w:lang w:bidi="en-US"/>
              </w:rPr>
            </w:pPr>
            <w:r>
              <w:rPr>
                <w:rFonts w:hint="eastAsia" w:ascii="仿宋_GB2312" w:eastAsia="仿宋_GB2312"/>
                <w:kern w:val="0"/>
                <w:lang w:bidi="en-US"/>
              </w:rPr>
              <w:t>在固定收益平台点击成交申报页面进行标签勾选，全额成交被勾选的，表示该申报不能部分成交。</w:t>
            </w:r>
          </w:p>
        </w:tc>
      </w:tr>
      <w:tr w14:paraId="10BBE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001CDA03">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证券简称</w:t>
            </w:r>
          </w:p>
        </w:tc>
        <w:tc>
          <w:tcPr>
            <w:tcW w:w="6713" w:type="dxa"/>
          </w:tcPr>
          <w:p w14:paraId="3C2BD914">
            <w:pPr>
              <w:pStyle w:val="12"/>
              <w:ind w:firstLine="0" w:firstLineChars="0"/>
              <w:rPr>
                <w:rFonts w:ascii="仿宋_GB2312" w:eastAsia="仿宋_GB2312"/>
                <w:kern w:val="0"/>
                <w:lang w:bidi="en-US"/>
              </w:rPr>
            </w:pPr>
            <w:r>
              <w:rPr>
                <w:rFonts w:hint="eastAsia" w:ascii="仿宋_GB2312" w:hAnsi="宋体" w:eastAsia="仿宋_GB2312"/>
                <w:kern w:val="0"/>
                <w:lang w:bidi="en-US"/>
              </w:rPr>
              <w:t>上交所证券简称，有证券代码的交易品种，简称根据证券代码自动显示</w:t>
            </w:r>
          </w:p>
        </w:tc>
      </w:tr>
      <w:tr w14:paraId="5BBBF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0935D2E1">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价格类型</w:t>
            </w:r>
          </w:p>
        </w:tc>
        <w:tc>
          <w:tcPr>
            <w:tcW w:w="6713" w:type="dxa"/>
          </w:tcPr>
          <w:p w14:paraId="64E4AF3B">
            <w:pPr>
              <w:pStyle w:val="12"/>
              <w:ind w:firstLine="0" w:firstLineChars="0"/>
              <w:rPr>
                <w:rFonts w:ascii="仿宋_GB2312" w:hAnsi="宋体" w:eastAsia="仿宋_GB2312"/>
                <w:kern w:val="0"/>
                <w:lang w:bidi="en-US"/>
              </w:rPr>
            </w:pPr>
            <w:r>
              <w:rPr>
                <w:rFonts w:hint="eastAsia" w:ascii="仿宋_GB2312" w:eastAsia="仿宋_GB2312"/>
                <w:kern w:val="0"/>
                <w:lang w:bidi="en-US"/>
              </w:rPr>
              <w:t>净价或全价，当输入证券代码时自动显示价格类型</w:t>
            </w:r>
          </w:p>
        </w:tc>
      </w:tr>
      <w:tr w14:paraId="62EDB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09" w:type="dxa"/>
          </w:tcPr>
          <w:p w14:paraId="199BB469">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申报日期时间</w:t>
            </w:r>
          </w:p>
        </w:tc>
        <w:tc>
          <w:tcPr>
            <w:tcW w:w="6713" w:type="dxa"/>
          </w:tcPr>
          <w:p w14:paraId="28EB1CFD">
            <w:pPr>
              <w:pStyle w:val="12"/>
              <w:ind w:firstLine="0" w:firstLineChars="0"/>
              <w:rPr>
                <w:rFonts w:ascii="仿宋_GB2312" w:eastAsia="仿宋_GB2312"/>
                <w:kern w:val="0"/>
                <w:lang w:bidi="en-US"/>
              </w:rPr>
            </w:pPr>
            <w:r>
              <w:rPr>
                <w:rFonts w:hint="eastAsia" w:ascii="仿宋_GB2312" w:eastAsia="仿宋_GB2312"/>
                <w:kern w:val="0"/>
                <w:lang w:bidi="en-US"/>
              </w:rPr>
              <w:t>交易申报日期（年月日）及时间（时分秒），自动显示</w:t>
            </w:r>
          </w:p>
        </w:tc>
      </w:tr>
      <w:tr w14:paraId="2A781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4F25157C">
            <w:pPr>
              <w:pStyle w:val="12"/>
              <w:ind w:firstLine="0" w:firstLineChars="0"/>
              <w:rPr>
                <w:rFonts w:ascii="仿宋_GB2312" w:eastAsia="仿宋_GB2312"/>
                <w:b/>
                <w:kern w:val="0"/>
                <w:lang w:bidi="en-US"/>
              </w:rPr>
            </w:pPr>
            <w:r>
              <w:rPr>
                <w:rFonts w:hint="eastAsia" w:ascii="仿宋_GB2312" w:eastAsia="仿宋_GB2312"/>
                <w:b/>
                <w:kern w:val="0"/>
                <w:lang w:eastAsia="en-US" w:bidi="en-US"/>
              </w:rPr>
              <w:t>结算</w:t>
            </w:r>
            <w:r>
              <w:rPr>
                <w:rFonts w:hint="eastAsia" w:ascii="仿宋_GB2312" w:eastAsia="仿宋_GB2312"/>
                <w:b/>
                <w:kern w:val="0"/>
                <w:lang w:bidi="en-US"/>
              </w:rPr>
              <w:t>日期</w:t>
            </w:r>
          </w:p>
        </w:tc>
        <w:tc>
          <w:tcPr>
            <w:tcW w:w="6713" w:type="dxa"/>
          </w:tcPr>
          <w:p w14:paraId="5F87DD67">
            <w:pPr>
              <w:pStyle w:val="12"/>
              <w:ind w:firstLine="0" w:firstLineChars="0"/>
              <w:rPr>
                <w:rFonts w:ascii="仿宋_GB2312" w:eastAsia="仿宋_GB2312"/>
                <w:kern w:val="0"/>
                <w:lang w:bidi="en-US"/>
              </w:rPr>
            </w:pPr>
            <w:r>
              <w:rPr>
                <w:rFonts w:hint="eastAsia" w:ascii="仿宋_GB2312" w:eastAsia="仿宋_GB2312"/>
                <w:kern w:val="0"/>
                <w:lang w:bidi="en-US"/>
              </w:rPr>
              <w:t>根据当前交易日期、结算周期，自动显示</w:t>
            </w:r>
          </w:p>
        </w:tc>
      </w:tr>
      <w:tr w14:paraId="5D777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74877593">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交易PBU</w:t>
            </w:r>
          </w:p>
        </w:tc>
        <w:tc>
          <w:tcPr>
            <w:tcW w:w="6713" w:type="dxa"/>
          </w:tcPr>
          <w:p w14:paraId="43DD327B">
            <w:pPr>
              <w:pStyle w:val="12"/>
              <w:ind w:firstLine="0" w:firstLineChars="0"/>
              <w:rPr>
                <w:rFonts w:ascii="仿宋_GB2312" w:hAnsi="宋体" w:eastAsia="仿宋_GB2312"/>
                <w:color w:val="000000"/>
                <w:kern w:val="0"/>
                <w:lang w:bidi="en-US"/>
              </w:rPr>
            </w:pPr>
            <w:r>
              <w:rPr>
                <w:rFonts w:hint="eastAsia" w:ascii="仿宋_GB2312" w:eastAsia="仿宋_GB2312"/>
                <w:kern w:val="0"/>
                <w:lang w:bidi="en-US"/>
              </w:rPr>
              <w:t>交易参与人的交易单元号码，自动显示</w:t>
            </w:r>
          </w:p>
        </w:tc>
      </w:tr>
      <w:tr w14:paraId="5108E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57D0CAB4">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交易参与人</w:t>
            </w:r>
          </w:p>
        </w:tc>
        <w:tc>
          <w:tcPr>
            <w:tcW w:w="6713" w:type="dxa"/>
          </w:tcPr>
          <w:p w14:paraId="46B86975">
            <w:pPr>
              <w:pStyle w:val="12"/>
              <w:ind w:firstLine="0" w:firstLineChars="0"/>
              <w:rPr>
                <w:rFonts w:ascii="仿宋_GB2312" w:hAnsi="宋体" w:eastAsia="仿宋_GB2312"/>
                <w:color w:val="000000"/>
                <w:kern w:val="0"/>
                <w:lang w:bidi="en-US"/>
              </w:rPr>
            </w:pPr>
            <w:r>
              <w:rPr>
                <w:rFonts w:hint="eastAsia" w:ascii="仿宋_GB2312" w:eastAsia="仿宋_GB2312"/>
                <w:kern w:val="0"/>
                <w:lang w:bidi="en-US"/>
              </w:rPr>
              <w:t>交易参与人简称，自动显示，无需输入</w:t>
            </w:r>
          </w:p>
        </w:tc>
      </w:tr>
      <w:tr w14:paraId="5F535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09" w:type="dxa"/>
          </w:tcPr>
          <w:p w14:paraId="3BB50DAD">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交易员代码</w:t>
            </w:r>
          </w:p>
        </w:tc>
        <w:tc>
          <w:tcPr>
            <w:tcW w:w="6713" w:type="dxa"/>
          </w:tcPr>
          <w:p w14:paraId="375EB6BD">
            <w:pPr>
              <w:pStyle w:val="12"/>
              <w:ind w:firstLine="0" w:firstLineChars="0"/>
              <w:rPr>
                <w:rFonts w:ascii="仿宋_GB2312" w:hAnsi="宋体" w:eastAsia="仿宋_GB2312"/>
                <w:color w:val="000000"/>
                <w:kern w:val="0"/>
                <w:lang w:bidi="en-US"/>
              </w:rPr>
            </w:pPr>
            <w:r>
              <w:rPr>
                <w:rFonts w:hint="eastAsia" w:ascii="仿宋_GB2312" w:eastAsia="仿宋_GB2312"/>
                <w:kern w:val="0"/>
                <w:lang w:bidi="en-US"/>
              </w:rPr>
              <w:t>交易员代码，自动显示，无需输入</w:t>
            </w:r>
          </w:p>
        </w:tc>
      </w:tr>
      <w:tr w14:paraId="608C6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05E7E76E">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交易员名称</w:t>
            </w:r>
          </w:p>
        </w:tc>
        <w:tc>
          <w:tcPr>
            <w:tcW w:w="6713" w:type="dxa"/>
          </w:tcPr>
          <w:p w14:paraId="7F598513">
            <w:pPr>
              <w:pStyle w:val="12"/>
              <w:ind w:firstLine="0" w:firstLineChars="0"/>
              <w:rPr>
                <w:rFonts w:ascii="仿宋_GB2312" w:hAnsi="宋体" w:eastAsia="仿宋_GB2312"/>
                <w:color w:val="000000"/>
                <w:kern w:val="0"/>
                <w:lang w:bidi="en-US"/>
              </w:rPr>
            </w:pPr>
            <w:r>
              <w:rPr>
                <w:rFonts w:hint="eastAsia" w:ascii="仿宋_GB2312" w:eastAsia="仿宋_GB2312"/>
                <w:kern w:val="0"/>
                <w:lang w:bidi="en-US"/>
              </w:rPr>
              <w:t>交易员名称，自动显示，无需输入</w:t>
            </w:r>
          </w:p>
        </w:tc>
      </w:tr>
      <w:tr w14:paraId="251FD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13A3355A">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交易方式</w:t>
            </w:r>
          </w:p>
        </w:tc>
        <w:tc>
          <w:tcPr>
            <w:tcW w:w="6713" w:type="dxa"/>
          </w:tcPr>
          <w:p w14:paraId="1530E2AF">
            <w:pPr>
              <w:pStyle w:val="12"/>
              <w:ind w:firstLine="0" w:firstLineChars="0"/>
              <w:rPr>
                <w:rFonts w:ascii="仿宋_GB2312" w:eastAsia="仿宋_GB2312"/>
                <w:kern w:val="0"/>
                <w:lang w:eastAsia="en-US" w:bidi="en-US"/>
              </w:rPr>
            </w:pPr>
            <w:r>
              <w:rPr>
                <w:rFonts w:hint="eastAsia" w:ascii="仿宋_GB2312" w:eastAsia="仿宋_GB2312"/>
                <w:kern w:val="0"/>
                <w:lang w:eastAsia="en-US" w:bidi="en-US"/>
              </w:rPr>
              <w:t>点击成交</w:t>
            </w:r>
          </w:p>
        </w:tc>
      </w:tr>
    </w:tbl>
    <w:p w14:paraId="5868F1C2">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2）双边报价</w:t>
      </w:r>
    </w:p>
    <w:p w14:paraId="5DC3EAC2">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双边报价具体要素及要素说明如下：</w:t>
      </w: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6713"/>
      </w:tblGrid>
      <w:tr w14:paraId="4859D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5738C620">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要素名称</w:t>
            </w:r>
          </w:p>
        </w:tc>
        <w:tc>
          <w:tcPr>
            <w:tcW w:w="6713" w:type="dxa"/>
          </w:tcPr>
          <w:p w14:paraId="7FD78D51">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要素说明</w:t>
            </w:r>
          </w:p>
        </w:tc>
      </w:tr>
      <w:tr w14:paraId="38A83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3D3BB803">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申报类型</w:t>
            </w:r>
          </w:p>
        </w:tc>
        <w:tc>
          <w:tcPr>
            <w:tcW w:w="6713" w:type="dxa"/>
          </w:tcPr>
          <w:p w14:paraId="16F34A62">
            <w:pPr>
              <w:pStyle w:val="12"/>
              <w:ind w:firstLine="0" w:firstLineChars="0"/>
              <w:rPr>
                <w:rFonts w:ascii="仿宋_GB2312" w:hAnsi="宋体" w:eastAsia="仿宋_GB2312"/>
                <w:kern w:val="0"/>
                <w:lang w:eastAsia="en-US" w:bidi="en-US"/>
              </w:rPr>
            </w:pPr>
            <w:r>
              <w:rPr>
                <w:rFonts w:hint="eastAsia" w:ascii="仿宋_GB2312" w:hAnsi="宋体" w:eastAsia="仿宋_GB2312"/>
                <w:kern w:val="0"/>
                <w:lang w:eastAsia="en-US" w:bidi="en-US"/>
              </w:rPr>
              <w:t>双边报价申报</w:t>
            </w:r>
          </w:p>
        </w:tc>
      </w:tr>
      <w:tr w14:paraId="53EE5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2AE109EB">
            <w:pPr>
              <w:pStyle w:val="12"/>
              <w:ind w:firstLine="0" w:firstLineChars="0"/>
              <w:rPr>
                <w:rFonts w:ascii="仿宋_GB2312" w:eastAsia="仿宋_GB2312"/>
                <w:b/>
                <w:kern w:val="0"/>
                <w:lang w:bidi="en-US"/>
              </w:rPr>
            </w:pPr>
            <w:r>
              <w:rPr>
                <w:rFonts w:hint="eastAsia" w:ascii="仿宋_GB2312" w:eastAsia="仿宋_GB2312"/>
                <w:b/>
                <w:kern w:val="0"/>
                <w:lang w:bidi="en-US"/>
              </w:rPr>
              <w:t>交易品种</w:t>
            </w:r>
          </w:p>
        </w:tc>
        <w:tc>
          <w:tcPr>
            <w:tcW w:w="6713" w:type="dxa"/>
          </w:tcPr>
          <w:p w14:paraId="7B8021A5">
            <w:pPr>
              <w:pStyle w:val="12"/>
              <w:ind w:firstLine="0" w:firstLineChars="0"/>
              <w:rPr>
                <w:rFonts w:ascii="仿宋_GB2312" w:hAnsi="宋体" w:eastAsia="仿宋_GB2312"/>
                <w:kern w:val="0"/>
                <w:lang w:bidi="en-US"/>
              </w:rPr>
            </w:pPr>
            <w:r>
              <w:rPr>
                <w:rFonts w:hint="eastAsia" w:ascii="仿宋_GB2312" w:hAnsi="宋体" w:eastAsia="仿宋_GB2312"/>
                <w:kern w:val="0"/>
                <w:lang w:bidi="en-US"/>
              </w:rPr>
              <w:t>交易品种的名称或证券代码</w:t>
            </w:r>
          </w:p>
        </w:tc>
      </w:tr>
      <w:tr w14:paraId="6A3C9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09" w:type="dxa"/>
          </w:tcPr>
          <w:p w14:paraId="7F90AC67">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买入申报价格</w:t>
            </w:r>
          </w:p>
        </w:tc>
        <w:tc>
          <w:tcPr>
            <w:tcW w:w="6713" w:type="dxa"/>
          </w:tcPr>
          <w:p w14:paraId="4C3E388E">
            <w:pPr>
              <w:pStyle w:val="12"/>
              <w:ind w:firstLine="0" w:firstLineChars="0"/>
              <w:rPr>
                <w:rFonts w:ascii="仿宋_GB2312" w:eastAsia="仿宋_GB2312"/>
                <w:kern w:val="0"/>
                <w:lang w:bidi="en-US"/>
              </w:rPr>
            </w:pPr>
            <w:r>
              <w:rPr>
                <w:rFonts w:hint="eastAsia" w:ascii="仿宋_GB2312" w:eastAsia="仿宋_GB2312"/>
                <w:kern w:val="0"/>
                <w:lang w:bidi="en-US"/>
              </w:rPr>
              <w:t>单位：元（在价格输入框下相应位置会在输入价格后自动算出该价格的到期收益率，方便用户查看）</w:t>
            </w:r>
          </w:p>
        </w:tc>
      </w:tr>
      <w:tr w14:paraId="11E36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113D2F83">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买入申报数量</w:t>
            </w:r>
          </w:p>
        </w:tc>
        <w:tc>
          <w:tcPr>
            <w:tcW w:w="6713" w:type="dxa"/>
          </w:tcPr>
          <w:p w14:paraId="06996E08">
            <w:pPr>
              <w:pStyle w:val="12"/>
              <w:ind w:firstLine="0" w:firstLineChars="0"/>
              <w:rPr>
                <w:rFonts w:ascii="仿宋_GB2312" w:eastAsia="仿宋_GB2312"/>
                <w:kern w:val="0"/>
                <w:lang w:eastAsia="en-US" w:bidi="en-US"/>
              </w:rPr>
            </w:pPr>
            <w:r>
              <w:rPr>
                <w:rFonts w:hint="eastAsia" w:ascii="仿宋_GB2312" w:eastAsia="仿宋_GB2312"/>
                <w:kern w:val="0"/>
                <w:lang w:eastAsia="en-US" w:bidi="en-US"/>
              </w:rPr>
              <w:t>单位：</w:t>
            </w:r>
            <w:r>
              <w:rPr>
                <w:rFonts w:hint="eastAsia" w:ascii="仿宋_GB2312" w:eastAsia="仿宋_GB2312"/>
                <w:kern w:val="0"/>
                <w:lang w:bidi="en-US"/>
              </w:rPr>
              <w:t>千</w:t>
            </w:r>
            <w:r>
              <w:rPr>
                <w:rFonts w:hint="eastAsia" w:ascii="仿宋_GB2312" w:eastAsia="仿宋_GB2312"/>
                <w:kern w:val="0"/>
                <w:lang w:eastAsia="en-US" w:bidi="en-US"/>
              </w:rPr>
              <w:t>元面额。</w:t>
            </w:r>
          </w:p>
        </w:tc>
      </w:tr>
      <w:tr w14:paraId="7394F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611E680D">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卖出申报价格</w:t>
            </w:r>
          </w:p>
        </w:tc>
        <w:tc>
          <w:tcPr>
            <w:tcW w:w="6713" w:type="dxa"/>
          </w:tcPr>
          <w:p w14:paraId="68F30E92">
            <w:pPr>
              <w:pStyle w:val="12"/>
              <w:ind w:firstLine="0" w:firstLineChars="0"/>
              <w:rPr>
                <w:rFonts w:ascii="仿宋_GB2312" w:eastAsia="仿宋_GB2312"/>
                <w:kern w:val="0"/>
                <w:lang w:bidi="en-US"/>
              </w:rPr>
            </w:pPr>
            <w:r>
              <w:rPr>
                <w:rFonts w:hint="eastAsia" w:ascii="仿宋_GB2312" w:eastAsia="仿宋_GB2312"/>
                <w:kern w:val="0"/>
                <w:lang w:bidi="en-US"/>
              </w:rPr>
              <w:t>单位：元（在价格输入框下相应位置会在输入价格后自动算出该价格的到期收益率，方便用户查看）</w:t>
            </w:r>
          </w:p>
        </w:tc>
      </w:tr>
      <w:tr w14:paraId="5352D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1CE7D6F9">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卖出申报数量</w:t>
            </w:r>
          </w:p>
        </w:tc>
        <w:tc>
          <w:tcPr>
            <w:tcW w:w="6713" w:type="dxa"/>
          </w:tcPr>
          <w:p w14:paraId="6D8A04A7">
            <w:pPr>
              <w:pStyle w:val="12"/>
              <w:ind w:firstLine="0" w:firstLineChars="0"/>
              <w:rPr>
                <w:rFonts w:ascii="仿宋_GB2312" w:eastAsia="仿宋_GB2312"/>
                <w:kern w:val="0"/>
                <w:lang w:eastAsia="en-US" w:bidi="en-US"/>
              </w:rPr>
            </w:pPr>
            <w:r>
              <w:rPr>
                <w:rFonts w:hint="eastAsia" w:ascii="仿宋_GB2312" w:eastAsia="仿宋_GB2312"/>
                <w:kern w:val="0"/>
                <w:lang w:eastAsia="en-US" w:bidi="en-US"/>
              </w:rPr>
              <w:t>单位：</w:t>
            </w:r>
            <w:r>
              <w:rPr>
                <w:rFonts w:hint="eastAsia" w:ascii="仿宋_GB2312" w:eastAsia="仿宋_GB2312"/>
                <w:kern w:val="0"/>
                <w:lang w:bidi="en-US"/>
              </w:rPr>
              <w:t>千</w:t>
            </w:r>
            <w:r>
              <w:rPr>
                <w:rFonts w:hint="eastAsia" w:ascii="仿宋_GB2312" w:eastAsia="仿宋_GB2312"/>
                <w:kern w:val="0"/>
                <w:lang w:eastAsia="en-US" w:bidi="en-US"/>
              </w:rPr>
              <w:t>元面额。</w:t>
            </w:r>
          </w:p>
        </w:tc>
      </w:tr>
      <w:tr w14:paraId="56436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09" w:type="dxa"/>
          </w:tcPr>
          <w:p w14:paraId="13E45DD7">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申报账号</w:t>
            </w:r>
          </w:p>
        </w:tc>
        <w:tc>
          <w:tcPr>
            <w:tcW w:w="6713" w:type="dxa"/>
          </w:tcPr>
          <w:p w14:paraId="28E16613">
            <w:pPr>
              <w:pStyle w:val="12"/>
              <w:ind w:firstLine="0" w:firstLineChars="0"/>
              <w:rPr>
                <w:rFonts w:ascii="仿宋_GB2312" w:eastAsia="仿宋_GB2312"/>
                <w:kern w:val="0"/>
                <w:lang w:bidi="en-US"/>
              </w:rPr>
            </w:pPr>
            <w:r>
              <w:rPr>
                <w:rFonts w:hint="eastAsia" w:ascii="仿宋_GB2312" w:eastAsia="仿宋_GB2312"/>
                <w:kern w:val="0"/>
                <w:lang w:bidi="en-US"/>
              </w:rPr>
              <w:t>报价方的证券账户号码（可以选择本交易员有权使用的所有交易账户），固收平台机构类账户显示证券账户名称。</w:t>
            </w:r>
          </w:p>
        </w:tc>
      </w:tr>
      <w:tr w14:paraId="2841D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49BEE712">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发送范围</w:t>
            </w:r>
          </w:p>
        </w:tc>
        <w:tc>
          <w:tcPr>
            <w:tcW w:w="6713" w:type="dxa"/>
          </w:tcPr>
          <w:p w14:paraId="2623B007">
            <w:pPr>
              <w:pStyle w:val="12"/>
              <w:ind w:firstLine="0" w:firstLineChars="0"/>
              <w:rPr>
                <w:rFonts w:ascii="仿宋_GB2312" w:eastAsia="仿宋_GB2312"/>
                <w:kern w:val="0"/>
                <w:lang w:bidi="en-US"/>
              </w:rPr>
            </w:pPr>
            <w:r>
              <w:rPr>
                <w:rFonts w:hint="eastAsia" w:ascii="仿宋_GB2312" w:eastAsia="仿宋_GB2312"/>
                <w:kern w:val="0"/>
                <w:lang w:bidi="en-US"/>
              </w:rPr>
              <w:t>勾选向全市场或向部分债券交易参与人发送</w:t>
            </w:r>
          </w:p>
        </w:tc>
      </w:tr>
      <w:tr w14:paraId="7FA44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09" w:type="dxa"/>
          </w:tcPr>
          <w:p w14:paraId="035A7759">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结算方式</w:t>
            </w:r>
          </w:p>
        </w:tc>
        <w:tc>
          <w:tcPr>
            <w:tcW w:w="6713" w:type="dxa"/>
          </w:tcPr>
          <w:p w14:paraId="74BD56EA">
            <w:pPr>
              <w:pStyle w:val="12"/>
              <w:ind w:firstLine="0" w:firstLineChars="0"/>
              <w:rPr>
                <w:rFonts w:ascii="仿宋_GB2312" w:eastAsia="仿宋_GB2312"/>
                <w:kern w:val="0"/>
                <w:lang w:bidi="en-US"/>
              </w:rPr>
            </w:pPr>
            <w:r>
              <w:rPr>
                <w:rFonts w:hint="eastAsia" w:ascii="仿宋_GB2312" w:eastAsia="仿宋_GB2312"/>
                <w:kern w:val="0"/>
                <w:lang w:bidi="en-US"/>
              </w:rPr>
              <w:t>根据</w:t>
            </w:r>
            <w:r>
              <w:rPr>
                <w:rFonts w:ascii="仿宋_GB2312" w:eastAsia="仿宋_GB2312"/>
                <w:kern w:val="0"/>
                <w:lang w:bidi="en-US"/>
              </w:rPr>
              <w:t>交易品种</w:t>
            </w:r>
            <w:r>
              <w:rPr>
                <w:rFonts w:hint="eastAsia" w:ascii="仿宋_GB2312" w:eastAsia="仿宋_GB2312"/>
                <w:kern w:val="0"/>
                <w:lang w:bidi="en-US"/>
              </w:rPr>
              <w:t>自动带出</w:t>
            </w:r>
            <w:r>
              <w:rPr>
                <w:rFonts w:hint="eastAsia" w:ascii="仿宋_GB2312" w:eastAsia="仿宋_GB2312"/>
                <w:kern w:val="0"/>
                <w:lang w:eastAsia="zh-CN" w:bidi="en-US"/>
              </w:rPr>
              <w:t>“</w:t>
            </w:r>
            <w:r>
              <w:rPr>
                <w:rFonts w:hint="eastAsia" w:ascii="仿宋_GB2312" w:eastAsia="仿宋_GB2312"/>
                <w:kern w:val="0"/>
                <w:lang w:bidi="en-US"/>
              </w:rPr>
              <w:t xml:space="preserve">逐笔全额结算”或“多边净额结算” </w:t>
            </w:r>
          </w:p>
        </w:tc>
      </w:tr>
      <w:tr w14:paraId="76C7A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1FA540B1">
            <w:pPr>
              <w:pStyle w:val="12"/>
              <w:ind w:firstLine="0" w:firstLineChars="0"/>
              <w:rPr>
                <w:rFonts w:ascii="仿宋_GB2312" w:eastAsia="仿宋_GB2312"/>
                <w:b/>
                <w:kern w:val="0"/>
                <w:lang w:bidi="en-US"/>
              </w:rPr>
            </w:pPr>
            <w:r>
              <w:rPr>
                <w:rFonts w:hint="eastAsia" w:ascii="仿宋_GB2312" w:eastAsia="仿宋_GB2312"/>
                <w:b/>
                <w:kern w:val="0"/>
                <w:lang w:eastAsia="en-US" w:bidi="en-US"/>
              </w:rPr>
              <w:t>结算</w:t>
            </w:r>
            <w:r>
              <w:rPr>
                <w:rFonts w:hint="eastAsia" w:ascii="仿宋_GB2312" w:eastAsia="仿宋_GB2312"/>
                <w:b/>
                <w:kern w:val="0"/>
                <w:lang w:bidi="en-US"/>
              </w:rPr>
              <w:t>周期</w:t>
            </w:r>
          </w:p>
        </w:tc>
        <w:tc>
          <w:tcPr>
            <w:tcW w:w="6713" w:type="dxa"/>
          </w:tcPr>
          <w:p w14:paraId="47F1A49A">
            <w:pPr>
              <w:pStyle w:val="12"/>
              <w:ind w:firstLine="0" w:firstLineChars="0"/>
              <w:rPr>
                <w:rFonts w:ascii="仿宋_GB2312" w:eastAsia="仿宋_GB2312"/>
                <w:kern w:val="0"/>
                <w:lang w:bidi="en-US"/>
              </w:rPr>
            </w:pPr>
            <w:r>
              <w:rPr>
                <w:rFonts w:hint="eastAsia" w:ascii="仿宋_GB2312" w:eastAsia="仿宋_GB2312"/>
                <w:kern w:val="0"/>
                <w:lang w:bidi="en-US"/>
              </w:rPr>
              <w:t>根据</w:t>
            </w:r>
            <w:r>
              <w:rPr>
                <w:rFonts w:ascii="仿宋_GB2312" w:eastAsia="仿宋_GB2312"/>
                <w:kern w:val="0"/>
                <w:lang w:bidi="en-US"/>
              </w:rPr>
              <w:t>结算</w:t>
            </w:r>
            <w:r>
              <w:rPr>
                <w:rFonts w:hint="eastAsia" w:ascii="仿宋_GB2312" w:eastAsia="仿宋_GB2312"/>
                <w:kern w:val="0"/>
                <w:lang w:bidi="en-US"/>
              </w:rPr>
              <w:t>方式</w:t>
            </w:r>
            <w:r>
              <w:rPr>
                <w:rFonts w:ascii="仿宋_GB2312" w:eastAsia="仿宋_GB2312"/>
                <w:kern w:val="0"/>
                <w:lang w:bidi="en-US"/>
              </w:rPr>
              <w:t>自动带出</w:t>
            </w:r>
          </w:p>
        </w:tc>
      </w:tr>
      <w:tr w14:paraId="4B292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78143761">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冰山订单</w:t>
            </w:r>
          </w:p>
        </w:tc>
        <w:tc>
          <w:tcPr>
            <w:tcW w:w="6713" w:type="dxa"/>
          </w:tcPr>
          <w:p w14:paraId="1784E572">
            <w:pPr>
              <w:pStyle w:val="12"/>
              <w:ind w:firstLine="0" w:firstLineChars="0"/>
              <w:rPr>
                <w:rFonts w:ascii="仿宋_GB2312" w:eastAsia="仿宋_GB2312"/>
                <w:kern w:val="0"/>
                <w:lang w:bidi="en-US"/>
              </w:rPr>
            </w:pPr>
            <w:r>
              <w:rPr>
                <w:rFonts w:hint="eastAsia" w:ascii="仿宋_GB2312" w:eastAsia="仿宋_GB2312"/>
                <w:kern w:val="0"/>
                <w:lang w:bidi="en-US"/>
              </w:rPr>
              <w:t>设置冰山订单的，如果所报数量大于冰山订单值，系统显示冰山订单值，如果小于冰山订单值，则系统显示真实数量。</w:t>
            </w:r>
          </w:p>
          <w:p w14:paraId="66F2A9AD">
            <w:pPr>
              <w:pStyle w:val="12"/>
              <w:ind w:firstLine="0" w:firstLineChars="0"/>
              <w:rPr>
                <w:rFonts w:ascii="仿宋_GB2312" w:eastAsia="仿宋_GB2312"/>
                <w:kern w:val="0"/>
                <w:lang w:bidi="en-US"/>
              </w:rPr>
            </w:pPr>
            <w:r>
              <w:rPr>
                <w:rFonts w:hint="eastAsia" w:ascii="仿宋_GB2312" w:eastAsia="仿宋_GB2312"/>
                <w:kern w:val="0"/>
                <w:lang w:bidi="en-US"/>
              </w:rPr>
              <w:t>冰山订单字段单位为“千元面额”，不填写则默认该笔申报不是冰山订单。</w:t>
            </w:r>
          </w:p>
        </w:tc>
      </w:tr>
      <w:tr w14:paraId="5FF2E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2D454308">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做市报价</w:t>
            </w:r>
          </w:p>
        </w:tc>
        <w:tc>
          <w:tcPr>
            <w:tcW w:w="6713" w:type="dxa"/>
          </w:tcPr>
          <w:p w14:paraId="7537C5F6">
            <w:pPr>
              <w:pStyle w:val="12"/>
              <w:ind w:firstLine="0" w:firstLineChars="0"/>
              <w:rPr>
                <w:rFonts w:ascii="仿宋_GB2312" w:eastAsia="仿宋_GB2312"/>
                <w:kern w:val="0"/>
                <w:lang w:bidi="en-US"/>
              </w:rPr>
            </w:pPr>
            <w:r>
              <w:rPr>
                <w:rFonts w:hint="eastAsia" w:ascii="仿宋_GB2312" w:eastAsia="仿宋_GB2312"/>
                <w:kern w:val="0"/>
                <w:lang w:bidi="en-US"/>
              </w:rPr>
              <w:t>只有做市商才能勾选做市报价，则此时交易员需将报价的所有买卖输入项都填上才能申报成功。</w:t>
            </w:r>
          </w:p>
        </w:tc>
      </w:tr>
      <w:tr w14:paraId="13560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14BD97C3">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是否匿名</w:t>
            </w:r>
          </w:p>
        </w:tc>
        <w:tc>
          <w:tcPr>
            <w:tcW w:w="6713" w:type="dxa"/>
          </w:tcPr>
          <w:p w14:paraId="162D028F">
            <w:pPr>
              <w:pStyle w:val="12"/>
              <w:ind w:firstLine="0" w:firstLineChars="0"/>
              <w:rPr>
                <w:rFonts w:ascii="仿宋_GB2312" w:eastAsia="仿宋_GB2312"/>
                <w:kern w:val="0"/>
                <w:lang w:bidi="en-US"/>
              </w:rPr>
            </w:pPr>
            <w:r>
              <w:rPr>
                <w:rFonts w:hint="eastAsia" w:ascii="仿宋_GB2312" w:hAnsi="宋体" w:eastAsia="仿宋_GB2312"/>
                <w:color w:val="000000"/>
                <w:kern w:val="0"/>
                <w:lang w:bidi="en-US"/>
              </w:rPr>
              <w:t>需匿名的，勾选“匿名发送”</w:t>
            </w:r>
          </w:p>
        </w:tc>
      </w:tr>
      <w:tr w14:paraId="04F6F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6A822786">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是否全额成交</w:t>
            </w:r>
          </w:p>
        </w:tc>
        <w:tc>
          <w:tcPr>
            <w:tcW w:w="6713" w:type="dxa"/>
          </w:tcPr>
          <w:p w14:paraId="18E0B168">
            <w:pPr>
              <w:pStyle w:val="12"/>
              <w:ind w:firstLine="0" w:firstLineChars="0"/>
              <w:rPr>
                <w:rFonts w:ascii="仿宋_GB2312" w:hAnsi="宋体" w:eastAsia="仿宋_GB2312"/>
                <w:color w:val="000000"/>
                <w:kern w:val="0"/>
                <w:lang w:bidi="en-US"/>
              </w:rPr>
            </w:pPr>
            <w:r>
              <w:rPr>
                <w:rFonts w:hint="eastAsia" w:ascii="仿宋_GB2312" w:eastAsia="仿宋_GB2312"/>
                <w:kern w:val="0"/>
                <w:lang w:bidi="en-US"/>
              </w:rPr>
              <w:t>在固定收益平台点击成交申报页面进行标签勾选，全额成交被勾选的，表示该申报不能部分成交。</w:t>
            </w:r>
          </w:p>
        </w:tc>
      </w:tr>
      <w:tr w14:paraId="003A0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4DD418E2">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证券简称</w:t>
            </w:r>
          </w:p>
        </w:tc>
        <w:tc>
          <w:tcPr>
            <w:tcW w:w="6713" w:type="dxa"/>
          </w:tcPr>
          <w:p w14:paraId="3C538399">
            <w:pPr>
              <w:pStyle w:val="12"/>
              <w:ind w:firstLine="0" w:firstLineChars="0"/>
              <w:rPr>
                <w:rFonts w:ascii="仿宋_GB2312" w:eastAsia="仿宋_GB2312"/>
                <w:kern w:val="0"/>
                <w:lang w:bidi="en-US"/>
              </w:rPr>
            </w:pPr>
            <w:r>
              <w:rPr>
                <w:rFonts w:hint="eastAsia" w:ascii="仿宋_GB2312" w:hAnsi="宋体" w:eastAsia="仿宋_GB2312"/>
                <w:kern w:val="0"/>
                <w:lang w:bidi="en-US"/>
              </w:rPr>
              <w:t>上交所证券简称，有证券代码的交易品种，简称根据证券代码自动显示</w:t>
            </w:r>
          </w:p>
        </w:tc>
      </w:tr>
      <w:tr w14:paraId="05E66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00077AAE">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价格类型</w:t>
            </w:r>
          </w:p>
        </w:tc>
        <w:tc>
          <w:tcPr>
            <w:tcW w:w="6713" w:type="dxa"/>
          </w:tcPr>
          <w:p w14:paraId="21AA5230">
            <w:pPr>
              <w:pStyle w:val="12"/>
              <w:ind w:firstLine="0" w:firstLineChars="0"/>
              <w:rPr>
                <w:rFonts w:ascii="仿宋_GB2312" w:hAnsi="宋体" w:eastAsia="仿宋_GB2312"/>
                <w:kern w:val="0"/>
                <w:lang w:bidi="en-US"/>
              </w:rPr>
            </w:pPr>
            <w:r>
              <w:rPr>
                <w:rFonts w:hint="eastAsia" w:ascii="仿宋_GB2312" w:eastAsia="仿宋_GB2312"/>
                <w:kern w:val="0"/>
                <w:lang w:bidi="en-US"/>
              </w:rPr>
              <w:t>净价或全价，当输入证券代码时自动显示价格类型</w:t>
            </w:r>
          </w:p>
        </w:tc>
      </w:tr>
      <w:tr w14:paraId="2E4E4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29B53BA2">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申报日期时间</w:t>
            </w:r>
          </w:p>
        </w:tc>
        <w:tc>
          <w:tcPr>
            <w:tcW w:w="6713" w:type="dxa"/>
          </w:tcPr>
          <w:p w14:paraId="593A1691">
            <w:pPr>
              <w:pStyle w:val="12"/>
              <w:ind w:firstLine="0" w:firstLineChars="0"/>
              <w:rPr>
                <w:rFonts w:ascii="仿宋_GB2312" w:eastAsia="仿宋_GB2312"/>
                <w:kern w:val="0"/>
                <w:lang w:bidi="en-US"/>
              </w:rPr>
            </w:pPr>
            <w:r>
              <w:rPr>
                <w:rFonts w:hint="eastAsia" w:ascii="仿宋_GB2312" w:eastAsia="仿宋_GB2312"/>
                <w:kern w:val="0"/>
                <w:lang w:bidi="en-US"/>
              </w:rPr>
              <w:t>交易申报日期（年月日）及时间（时分秒），自动显示</w:t>
            </w:r>
          </w:p>
        </w:tc>
      </w:tr>
      <w:tr w14:paraId="0190A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6DABAA13">
            <w:pPr>
              <w:pStyle w:val="12"/>
              <w:ind w:firstLine="0" w:firstLineChars="0"/>
              <w:rPr>
                <w:rFonts w:ascii="仿宋_GB2312" w:eastAsia="仿宋_GB2312"/>
                <w:b/>
                <w:kern w:val="0"/>
                <w:lang w:bidi="en-US"/>
              </w:rPr>
            </w:pPr>
            <w:r>
              <w:rPr>
                <w:rFonts w:hint="eastAsia" w:ascii="仿宋_GB2312" w:eastAsia="仿宋_GB2312"/>
                <w:b/>
                <w:kern w:val="0"/>
                <w:lang w:eastAsia="en-US" w:bidi="en-US"/>
              </w:rPr>
              <w:t>结算</w:t>
            </w:r>
            <w:r>
              <w:rPr>
                <w:rFonts w:hint="eastAsia" w:ascii="仿宋_GB2312" w:eastAsia="仿宋_GB2312"/>
                <w:b/>
                <w:kern w:val="0"/>
                <w:lang w:bidi="en-US"/>
              </w:rPr>
              <w:t>日期</w:t>
            </w:r>
          </w:p>
        </w:tc>
        <w:tc>
          <w:tcPr>
            <w:tcW w:w="6713" w:type="dxa"/>
          </w:tcPr>
          <w:p w14:paraId="4C9A2841">
            <w:pPr>
              <w:pStyle w:val="12"/>
              <w:ind w:firstLine="0" w:firstLineChars="0"/>
              <w:rPr>
                <w:rFonts w:ascii="仿宋_GB2312" w:hAnsi="宋体" w:eastAsia="仿宋_GB2312"/>
                <w:kern w:val="0"/>
                <w:lang w:bidi="en-US"/>
              </w:rPr>
            </w:pPr>
            <w:r>
              <w:rPr>
                <w:rFonts w:hint="eastAsia" w:ascii="仿宋_GB2312" w:eastAsia="仿宋_GB2312"/>
                <w:kern w:val="0"/>
                <w:lang w:bidi="en-US"/>
              </w:rPr>
              <w:t>根据当前交易日期、结算周期，自动显示</w:t>
            </w:r>
          </w:p>
        </w:tc>
      </w:tr>
      <w:tr w14:paraId="2509D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214327E6">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交易PBU</w:t>
            </w:r>
          </w:p>
        </w:tc>
        <w:tc>
          <w:tcPr>
            <w:tcW w:w="6713" w:type="dxa"/>
          </w:tcPr>
          <w:p w14:paraId="3C14563A">
            <w:pPr>
              <w:pStyle w:val="12"/>
              <w:ind w:firstLine="0" w:firstLineChars="0"/>
              <w:rPr>
                <w:rFonts w:ascii="仿宋_GB2312" w:hAnsi="宋体" w:eastAsia="仿宋_GB2312"/>
                <w:color w:val="000000"/>
                <w:kern w:val="0"/>
                <w:lang w:bidi="en-US"/>
              </w:rPr>
            </w:pPr>
            <w:r>
              <w:rPr>
                <w:rFonts w:hint="eastAsia" w:ascii="仿宋_GB2312" w:eastAsia="仿宋_GB2312"/>
                <w:kern w:val="0"/>
                <w:lang w:bidi="en-US"/>
              </w:rPr>
              <w:t>交易参与人的交易单元号码，自动显示</w:t>
            </w:r>
          </w:p>
        </w:tc>
      </w:tr>
      <w:tr w14:paraId="29E4F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08778A68">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交易参与人</w:t>
            </w:r>
          </w:p>
        </w:tc>
        <w:tc>
          <w:tcPr>
            <w:tcW w:w="6713" w:type="dxa"/>
          </w:tcPr>
          <w:p w14:paraId="19F2284B">
            <w:pPr>
              <w:pStyle w:val="12"/>
              <w:ind w:firstLine="0" w:firstLineChars="0"/>
              <w:rPr>
                <w:rFonts w:ascii="仿宋_GB2312" w:hAnsi="宋体" w:eastAsia="仿宋_GB2312"/>
                <w:color w:val="000000"/>
                <w:kern w:val="0"/>
                <w:lang w:bidi="en-US"/>
              </w:rPr>
            </w:pPr>
            <w:r>
              <w:rPr>
                <w:rFonts w:hint="eastAsia" w:ascii="仿宋_GB2312" w:eastAsia="仿宋_GB2312"/>
                <w:kern w:val="0"/>
                <w:lang w:bidi="en-US"/>
              </w:rPr>
              <w:t>交易参与人简称，自动显示，无需输入</w:t>
            </w:r>
          </w:p>
        </w:tc>
      </w:tr>
      <w:tr w14:paraId="2829B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7D43ACFC">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交易员代码</w:t>
            </w:r>
          </w:p>
        </w:tc>
        <w:tc>
          <w:tcPr>
            <w:tcW w:w="6713" w:type="dxa"/>
          </w:tcPr>
          <w:p w14:paraId="552D90F6">
            <w:pPr>
              <w:pStyle w:val="12"/>
              <w:ind w:firstLine="0" w:firstLineChars="0"/>
              <w:rPr>
                <w:rFonts w:ascii="仿宋_GB2312" w:hAnsi="宋体" w:eastAsia="仿宋_GB2312"/>
                <w:color w:val="000000"/>
                <w:kern w:val="0"/>
                <w:lang w:bidi="en-US"/>
              </w:rPr>
            </w:pPr>
            <w:r>
              <w:rPr>
                <w:rFonts w:hint="eastAsia" w:ascii="仿宋_GB2312" w:eastAsia="仿宋_GB2312"/>
                <w:kern w:val="0"/>
                <w:lang w:bidi="en-US"/>
              </w:rPr>
              <w:t>交易员代码，自动显示，无需输入</w:t>
            </w:r>
          </w:p>
        </w:tc>
      </w:tr>
      <w:tr w14:paraId="2578C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282769A2">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交易员名称</w:t>
            </w:r>
          </w:p>
        </w:tc>
        <w:tc>
          <w:tcPr>
            <w:tcW w:w="6713" w:type="dxa"/>
          </w:tcPr>
          <w:p w14:paraId="5CEE0283">
            <w:pPr>
              <w:pStyle w:val="12"/>
              <w:ind w:firstLine="0" w:firstLineChars="0"/>
              <w:rPr>
                <w:rFonts w:ascii="仿宋_GB2312" w:hAnsi="宋体" w:eastAsia="仿宋_GB2312"/>
                <w:color w:val="000000"/>
                <w:kern w:val="0"/>
                <w:lang w:bidi="en-US"/>
              </w:rPr>
            </w:pPr>
            <w:r>
              <w:rPr>
                <w:rFonts w:hint="eastAsia" w:ascii="仿宋_GB2312" w:eastAsia="仿宋_GB2312"/>
                <w:kern w:val="0"/>
                <w:lang w:bidi="en-US"/>
              </w:rPr>
              <w:t>交易员名称，自动显示，无需输入</w:t>
            </w:r>
          </w:p>
        </w:tc>
      </w:tr>
      <w:tr w14:paraId="4C17F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7898E39C">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交易方式</w:t>
            </w:r>
          </w:p>
        </w:tc>
        <w:tc>
          <w:tcPr>
            <w:tcW w:w="6713" w:type="dxa"/>
          </w:tcPr>
          <w:p w14:paraId="18109216">
            <w:pPr>
              <w:pStyle w:val="12"/>
              <w:ind w:firstLine="0" w:firstLineChars="0"/>
              <w:rPr>
                <w:rFonts w:ascii="仿宋_GB2312" w:eastAsia="仿宋_GB2312"/>
                <w:kern w:val="0"/>
                <w:lang w:eastAsia="en-US" w:bidi="en-US"/>
              </w:rPr>
            </w:pPr>
            <w:r>
              <w:rPr>
                <w:rFonts w:hint="eastAsia" w:ascii="仿宋_GB2312" w:eastAsia="仿宋_GB2312"/>
                <w:kern w:val="0"/>
                <w:lang w:eastAsia="en-US" w:bidi="en-US"/>
              </w:rPr>
              <w:t>点击成交</w:t>
            </w:r>
          </w:p>
        </w:tc>
      </w:tr>
    </w:tbl>
    <w:p w14:paraId="5AE2D33F">
      <w:pPr>
        <w:spacing w:line="600" w:lineRule="exact"/>
        <w:ind w:firstLine="600" w:firstLineChars="200"/>
        <w:outlineLvl w:val="3"/>
        <w:rPr>
          <w:rFonts w:ascii="仿宋_GB2312" w:hAnsi="仿宋" w:eastAsia="仿宋_GB2312"/>
          <w:sz w:val="30"/>
          <w:szCs w:val="30"/>
        </w:rPr>
      </w:pPr>
      <w:r>
        <w:rPr>
          <w:rFonts w:hint="eastAsia" w:ascii="仿宋_GB2312" w:hAnsi="仿宋" w:eastAsia="仿宋_GB2312"/>
          <w:sz w:val="30"/>
          <w:szCs w:val="30"/>
        </w:rPr>
        <w:t>（3）全额成交</w:t>
      </w:r>
    </w:p>
    <w:p w14:paraId="59903979">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报价方发出报价时，可设置申报数量全额成交要求。</w:t>
      </w:r>
    </w:p>
    <w:p w14:paraId="6D2922B7">
      <w:pPr>
        <w:spacing w:line="60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本指南所称全额成交，是指相关报价仅在全部申报数量经报价点击方（以下简称点击方）一次性点击接受的情形下方可确认成交，不接受部分成交。</w:t>
      </w:r>
    </w:p>
    <w:p w14:paraId="03C4A111">
      <w:pPr>
        <w:spacing w:line="600" w:lineRule="exact"/>
        <w:ind w:firstLine="600" w:firstLineChars="200"/>
        <w:rPr>
          <w:rFonts w:ascii="仿宋_GB2312" w:hAnsi="仿宋" w:eastAsia="仿宋_GB2312"/>
          <w:sz w:val="30"/>
          <w:szCs w:val="30"/>
        </w:rPr>
      </w:pPr>
      <w:r>
        <w:rPr>
          <w:rFonts w:hint="eastAsia" w:ascii="仿宋_GB2312" w:eastAsia="仿宋_GB2312"/>
          <w:color w:val="000000"/>
          <w:sz w:val="30"/>
          <w:szCs w:val="30"/>
        </w:rPr>
        <w:t>债券投资者可在固定收益平台点击成交申报页面进行勾选</w:t>
      </w:r>
      <w:r>
        <w:rPr>
          <w:rFonts w:hint="eastAsia" w:ascii="仿宋_GB2312" w:hAnsi="仿宋" w:eastAsia="仿宋_GB2312"/>
          <w:sz w:val="30"/>
          <w:szCs w:val="30"/>
        </w:rPr>
        <w:t>，全额成交被勾选的，表示该申报不能部分成交。</w:t>
      </w:r>
    </w:p>
    <w:p w14:paraId="34844013">
      <w:pPr>
        <w:spacing w:line="600" w:lineRule="exact"/>
        <w:ind w:firstLine="600" w:firstLineChars="200"/>
        <w:outlineLvl w:val="3"/>
        <w:rPr>
          <w:rFonts w:ascii="仿宋_GB2312" w:hAnsi="仿宋" w:eastAsia="仿宋_GB2312"/>
          <w:sz w:val="30"/>
          <w:szCs w:val="30"/>
        </w:rPr>
      </w:pPr>
      <w:r>
        <w:rPr>
          <w:rFonts w:hint="eastAsia" w:ascii="仿宋_GB2312" w:hAnsi="仿宋" w:eastAsia="仿宋_GB2312"/>
          <w:sz w:val="30"/>
          <w:szCs w:val="30"/>
        </w:rPr>
        <w:t>（4）分次显示与成交（冰山订单）</w:t>
      </w:r>
    </w:p>
    <w:p w14:paraId="33CF8AC4">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报价方可设定申报数量分次显示与成交，每次仅显示部分申报数量（以下简称显示数量）。显示数量由报价方于发起报价时设置，并应符合《债券交易规则》和本指南关于点击成交方式申报数量的相关规定。</w:t>
      </w:r>
    </w:p>
    <w:p w14:paraId="11E4054B">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每次成交数量不得超过显示数量。前次显示数量全部成交后，继续显示剩余申报数量与显示数量的孰低值，直至申报数量完全显示并成交。</w:t>
      </w:r>
    </w:p>
    <w:p w14:paraId="25F60A0F">
      <w:pPr>
        <w:spacing w:line="600" w:lineRule="exact"/>
        <w:ind w:firstLine="600" w:firstLineChars="200"/>
        <w:outlineLvl w:val="3"/>
        <w:rPr>
          <w:rFonts w:ascii="仿宋_GB2312" w:hAnsi="仿宋" w:eastAsia="仿宋_GB2312"/>
          <w:sz w:val="30"/>
          <w:szCs w:val="30"/>
        </w:rPr>
      </w:pPr>
      <w:r>
        <w:rPr>
          <w:rFonts w:hint="eastAsia" w:ascii="仿宋_GB2312" w:hAnsi="仿宋" w:eastAsia="仿宋_GB2312"/>
          <w:sz w:val="30"/>
          <w:szCs w:val="30"/>
        </w:rPr>
        <w:t>（5</w:t>
      </w:r>
      <w:r>
        <w:rPr>
          <w:rFonts w:ascii="仿宋_GB2312" w:hAnsi="仿宋" w:eastAsia="仿宋_GB2312"/>
          <w:sz w:val="30"/>
          <w:szCs w:val="30"/>
        </w:rPr>
        <w:t>）</w:t>
      </w:r>
      <w:r>
        <w:rPr>
          <w:rFonts w:hint="eastAsia" w:ascii="仿宋_GB2312" w:hAnsi="仿宋" w:eastAsia="仿宋_GB2312"/>
          <w:sz w:val="30"/>
          <w:szCs w:val="30"/>
        </w:rPr>
        <w:t>修改价格和数量</w:t>
      </w:r>
    </w:p>
    <w:p w14:paraId="587FE896">
      <w:pPr>
        <w:spacing w:line="600" w:lineRule="exact"/>
        <w:ind w:firstLine="600" w:firstLineChars="200"/>
        <w:rPr>
          <w:rFonts w:ascii="仿宋_GB2312" w:eastAsia="仿宋_GB2312"/>
          <w:sz w:val="30"/>
          <w:szCs w:val="30"/>
        </w:rPr>
      </w:pPr>
      <w:r>
        <w:rPr>
          <w:rFonts w:hint="eastAsia" w:ascii="仿宋_GB2312" w:hAnsi="仿宋" w:eastAsia="仿宋_GB2312"/>
          <w:sz w:val="30"/>
          <w:szCs w:val="30"/>
        </w:rPr>
        <w:t>报价方发出报价后，可修改未成交部分的价格、数量等要素。</w:t>
      </w:r>
    </w:p>
    <w:p w14:paraId="6944BAC0">
      <w:pPr>
        <w:numPr>
          <w:ilvl w:val="2"/>
          <w:numId w:val="4"/>
        </w:numPr>
        <w:spacing w:line="600" w:lineRule="exact"/>
        <w:ind w:left="0" w:firstLine="0"/>
        <w:outlineLvl w:val="2"/>
        <w:rPr>
          <w:rFonts w:ascii="仿宋_GB2312" w:eastAsia="仿宋_GB2312"/>
          <w:b/>
          <w:sz w:val="30"/>
          <w:szCs w:val="30"/>
        </w:rPr>
      </w:pPr>
      <w:bookmarkStart w:id="480" w:name="_Toc57908899"/>
      <w:r>
        <w:rPr>
          <w:rFonts w:hint="eastAsia" w:ascii="仿宋_GB2312" w:eastAsia="仿宋_GB2312"/>
          <w:b/>
          <w:sz w:val="30"/>
          <w:szCs w:val="30"/>
        </w:rPr>
        <w:t>成交</w:t>
      </w:r>
      <w:bookmarkEnd w:id="480"/>
    </w:p>
    <w:p w14:paraId="6FFC8C86">
      <w:pPr>
        <w:spacing w:line="600" w:lineRule="exact"/>
        <w:ind w:firstLine="600" w:firstLineChars="200"/>
        <w:outlineLvl w:val="3"/>
        <w:rPr>
          <w:rFonts w:ascii="仿宋_GB2312" w:eastAsia="仿宋_GB2312"/>
          <w:sz w:val="30"/>
          <w:szCs w:val="30"/>
        </w:rPr>
      </w:pPr>
      <w:r>
        <w:rPr>
          <w:rFonts w:hint="eastAsia" w:ascii="仿宋_GB2312" w:eastAsia="仿宋_GB2312"/>
          <w:sz w:val="30"/>
          <w:szCs w:val="30"/>
        </w:rPr>
        <w:t>（1）报价点击</w:t>
      </w:r>
    </w:p>
    <w:p w14:paraId="18B5BF02">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点击方在点击相关报价时，应输入拟接受的申报数量（以下简称点击数量）。点击数量的设置应符合本节相关条款的规定，</w:t>
      </w:r>
      <w:r>
        <w:rPr>
          <w:rFonts w:hint="eastAsia" w:ascii="仿宋_GB2312" w:eastAsia="仿宋_GB2312"/>
          <w:color w:val="000000"/>
          <w:sz w:val="30"/>
          <w:szCs w:val="30"/>
        </w:rPr>
        <w:t>点击数量不得超过报价数量或冰</w:t>
      </w:r>
      <w:r>
        <w:rPr>
          <w:rFonts w:hint="eastAsia" w:ascii="仿宋_GB2312" w:hAnsi="仿宋" w:eastAsia="仿宋_GB2312"/>
          <w:sz w:val="30"/>
          <w:szCs w:val="30"/>
        </w:rPr>
        <w:t>山订单报价方设置的显示数量。</w:t>
      </w:r>
    </w:p>
    <w:p w14:paraId="49CA70E0">
      <w:pPr>
        <w:spacing w:line="600" w:lineRule="exact"/>
        <w:ind w:firstLine="600" w:firstLineChars="200"/>
        <w:outlineLvl w:val="3"/>
        <w:rPr>
          <w:rFonts w:ascii="仿宋_GB2312" w:hAnsi="仿宋" w:eastAsia="仿宋_GB2312"/>
          <w:sz w:val="30"/>
          <w:szCs w:val="30"/>
        </w:rPr>
      </w:pPr>
      <w:r>
        <w:rPr>
          <w:rFonts w:hint="eastAsia" w:ascii="仿宋_GB2312" w:hAnsi="仿宋" w:eastAsia="仿宋_GB2312"/>
          <w:sz w:val="30"/>
          <w:szCs w:val="30"/>
        </w:rPr>
        <w:t>（2）成交规则</w:t>
      </w:r>
    </w:p>
    <w:p w14:paraId="0506E32A">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相关交易应按点击数量以及报价方所报价格、结算方式、结算周期等其他报价要素成交。</w:t>
      </w:r>
    </w:p>
    <w:p w14:paraId="290484DE">
      <w:pPr>
        <w:spacing w:line="600" w:lineRule="exact"/>
        <w:ind w:firstLine="600" w:firstLineChars="200"/>
        <w:outlineLvl w:val="3"/>
        <w:rPr>
          <w:rFonts w:ascii="仿宋_GB2312" w:hAnsi="仿宋" w:eastAsia="仿宋_GB2312"/>
          <w:sz w:val="30"/>
          <w:szCs w:val="30"/>
        </w:rPr>
      </w:pPr>
      <w:r>
        <w:rPr>
          <w:rFonts w:hint="eastAsia" w:ascii="仿宋_GB2312" w:hAnsi="仿宋" w:eastAsia="仿宋_GB2312"/>
          <w:sz w:val="30"/>
          <w:szCs w:val="30"/>
        </w:rPr>
        <w:t>（3）</w:t>
      </w:r>
      <w:r>
        <w:rPr>
          <w:rFonts w:hint="eastAsia" w:ascii="仿宋_GB2312" w:eastAsia="仿宋_GB2312"/>
          <w:sz w:val="30"/>
          <w:szCs w:val="30"/>
        </w:rPr>
        <w:t>成交数据发送</w:t>
      </w:r>
    </w:p>
    <w:p w14:paraId="6A422E87">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成交后，系统</w:t>
      </w:r>
      <w:r>
        <w:rPr>
          <w:rFonts w:ascii="仿宋_GB2312" w:hAnsi="仿宋" w:eastAsia="仿宋_GB2312"/>
          <w:sz w:val="30"/>
          <w:szCs w:val="30"/>
        </w:rPr>
        <w:t>将</w:t>
      </w:r>
      <w:r>
        <w:rPr>
          <w:rFonts w:hint="eastAsia" w:ascii="仿宋_GB2312" w:hAnsi="仿宋" w:eastAsia="仿宋_GB2312"/>
          <w:sz w:val="30"/>
          <w:szCs w:val="30"/>
        </w:rPr>
        <w:t>逐笔成交数据</w:t>
      </w:r>
      <w:r>
        <w:rPr>
          <w:rFonts w:ascii="仿宋_GB2312" w:hAnsi="仿宋" w:eastAsia="仿宋_GB2312"/>
          <w:sz w:val="30"/>
          <w:szCs w:val="30"/>
        </w:rPr>
        <w:t>分别发送给交易</w:t>
      </w:r>
      <w:r>
        <w:rPr>
          <w:rFonts w:hint="eastAsia" w:ascii="仿宋_GB2312" w:hAnsi="仿宋" w:eastAsia="仿宋_GB2312"/>
          <w:sz w:val="30"/>
          <w:szCs w:val="30"/>
        </w:rPr>
        <w:t>对应的</w:t>
      </w:r>
      <w:r>
        <w:rPr>
          <w:rFonts w:ascii="仿宋_GB2312" w:hAnsi="仿宋" w:eastAsia="仿宋_GB2312"/>
          <w:sz w:val="30"/>
          <w:szCs w:val="30"/>
        </w:rPr>
        <w:t>买卖双方</w:t>
      </w:r>
      <w:r>
        <w:rPr>
          <w:rFonts w:hint="eastAsia" w:ascii="仿宋_GB2312" w:hAnsi="仿宋" w:eastAsia="仿宋_GB2312"/>
          <w:sz w:val="30"/>
          <w:szCs w:val="30"/>
        </w:rPr>
        <w:t>，债券投资者</w:t>
      </w:r>
      <w:r>
        <w:rPr>
          <w:rFonts w:ascii="仿宋_GB2312" w:hAnsi="仿宋" w:eastAsia="仿宋_GB2312"/>
          <w:sz w:val="30"/>
          <w:szCs w:val="30"/>
        </w:rPr>
        <w:t>仅能收到与自己相关的成交数据。</w:t>
      </w:r>
    </w:p>
    <w:p w14:paraId="67970BCF">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成交信息包括成交编号，买入订单号，卖出订单号，成交日期时间，交易品种，成交账户，买卖方向，对手方，成交净价、全价，到期收益率，应计利息，成交量，成交金额，交易员，结算周期，价格类型，结算日期等。</w:t>
      </w:r>
    </w:p>
    <w:p w14:paraId="6D72EC3B">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成交数据</w:t>
      </w:r>
      <w:r>
        <w:rPr>
          <w:rFonts w:hint="eastAsia" w:ascii="仿宋_GB2312" w:eastAsia="仿宋_GB2312"/>
          <w:color w:val="000000"/>
          <w:sz w:val="30"/>
          <w:szCs w:val="30"/>
        </w:rPr>
        <w:t>具体要素及要素说明</w:t>
      </w:r>
      <w:r>
        <w:rPr>
          <w:rFonts w:hint="eastAsia" w:ascii="仿宋_GB2312" w:hAnsi="仿宋" w:eastAsia="仿宋_GB2312"/>
          <w:sz w:val="30"/>
          <w:szCs w:val="30"/>
        </w:rPr>
        <w:t>如下：</w:t>
      </w:r>
    </w:p>
    <w:tbl>
      <w:tblPr>
        <w:tblStyle w:val="43"/>
        <w:tblW w:w="0" w:type="auto"/>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4"/>
        <w:gridCol w:w="6854"/>
      </w:tblGrid>
      <w:tr w14:paraId="471A8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tcPr>
          <w:p w14:paraId="2C919F91">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要素名称</w:t>
            </w:r>
          </w:p>
        </w:tc>
        <w:tc>
          <w:tcPr>
            <w:tcW w:w="6854" w:type="dxa"/>
          </w:tcPr>
          <w:p w14:paraId="2544D581">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要素说明</w:t>
            </w:r>
          </w:p>
        </w:tc>
      </w:tr>
      <w:tr w14:paraId="3DDE0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tcPr>
          <w:p w14:paraId="14392BDF">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成交编号</w:t>
            </w:r>
          </w:p>
        </w:tc>
        <w:tc>
          <w:tcPr>
            <w:tcW w:w="6854" w:type="dxa"/>
          </w:tcPr>
          <w:p w14:paraId="3A266003">
            <w:pPr>
              <w:pStyle w:val="12"/>
              <w:ind w:firstLine="0" w:firstLineChars="0"/>
              <w:rPr>
                <w:rFonts w:ascii="仿宋_GB2312" w:eastAsia="仿宋_GB2312"/>
                <w:kern w:val="0"/>
                <w:lang w:bidi="en-US"/>
              </w:rPr>
            </w:pPr>
            <w:r>
              <w:rPr>
                <w:rFonts w:hint="eastAsia" w:ascii="仿宋_GB2312" w:eastAsia="仿宋_GB2312"/>
                <w:kern w:val="0"/>
                <w:lang w:bidi="en-US"/>
              </w:rPr>
              <w:t>系统给成交单分配的唯一标识</w:t>
            </w:r>
          </w:p>
        </w:tc>
      </w:tr>
      <w:tr w14:paraId="426EA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tcPr>
          <w:p w14:paraId="444A9F78">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买入订单号</w:t>
            </w:r>
          </w:p>
        </w:tc>
        <w:tc>
          <w:tcPr>
            <w:tcW w:w="6854" w:type="dxa"/>
          </w:tcPr>
          <w:p w14:paraId="673BCB0F">
            <w:pPr>
              <w:pStyle w:val="12"/>
              <w:ind w:firstLine="0" w:firstLineChars="0"/>
              <w:rPr>
                <w:rFonts w:ascii="仿宋_GB2312" w:eastAsia="仿宋_GB2312"/>
                <w:kern w:val="0"/>
                <w:lang w:eastAsia="en-US" w:bidi="en-US"/>
              </w:rPr>
            </w:pPr>
            <w:r>
              <w:rPr>
                <w:rFonts w:hint="eastAsia" w:ascii="仿宋_GB2312" w:eastAsia="仿宋_GB2312"/>
                <w:kern w:val="0"/>
                <w:lang w:eastAsia="en-US" w:bidi="en-US"/>
              </w:rPr>
              <w:t>买入申报订单号</w:t>
            </w:r>
          </w:p>
        </w:tc>
      </w:tr>
      <w:tr w14:paraId="43A0A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44" w:type="dxa"/>
          </w:tcPr>
          <w:p w14:paraId="5682E805">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卖出订单号</w:t>
            </w:r>
          </w:p>
        </w:tc>
        <w:tc>
          <w:tcPr>
            <w:tcW w:w="6854" w:type="dxa"/>
          </w:tcPr>
          <w:p w14:paraId="4B4481A6">
            <w:pPr>
              <w:pStyle w:val="12"/>
              <w:ind w:firstLine="0" w:firstLineChars="0"/>
              <w:rPr>
                <w:rFonts w:ascii="仿宋_GB2312" w:eastAsia="仿宋_GB2312"/>
                <w:kern w:val="0"/>
                <w:lang w:eastAsia="en-US" w:bidi="en-US"/>
              </w:rPr>
            </w:pPr>
            <w:r>
              <w:rPr>
                <w:rFonts w:hint="eastAsia" w:ascii="仿宋_GB2312" w:eastAsia="仿宋_GB2312"/>
                <w:kern w:val="0"/>
                <w:lang w:eastAsia="en-US" w:bidi="en-US"/>
              </w:rPr>
              <w:t>卖出申报订单号</w:t>
            </w:r>
          </w:p>
        </w:tc>
      </w:tr>
      <w:tr w14:paraId="1C724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tcPr>
          <w:p w14:paraId="41887DC6">
            <w:pPr>
              <w:pStyle w:val="12"/>
              <w:ind w:firstLine="0" w:firstLineChars="0"/>
              <w:rPr>
                <w:rFonts w:ascii="仿宋_GB2312" w:eastAsia="仿宋_GB2312"/>
                <w:b/>
                <w:kern w:val="0"/>
                <w:lang w:bidi="en-US"/>
              </w:rPr>
            </w:pPr>
            <w:r>
              <w:rPr>
                <w:rFonts w:hint="eastAsia" w:ascii="仿宋_GB2312" w:eastAsia="仿宋_GB2312"/>
                <w:b/>
                <w:kern w:val="0"/>
                <w:lang w:bidi="en-US"/>
              </w:rPr>
              <w:t>交易品种</w:t>
            </w:r>
          </w:p>
        </w:tc>
        <w:tc>
          <w:tcPr>
            <w:tcW w:w="6854" w:type="dxa"/>
          </w:tcPr>
          <w:p w14:paraId="736E987F">
            <w:pPr>
              <w:pStyle w:val="12"/>
              <w:ind w:firstLine="0" w:firstLineChars="0"/>
              <w:rPr>
                <w:rFonts w:ascii="仿宋_GB2312" w:eastAsia="仿宋_GB2312"/>
                <w:kern w:val="0"/>
                <w:lang w:bidi="en-US"/>
              </w:rPr>
            </w:pPr>
            <w:r>
              <w:rPr>
                <w:rFonts w:hint="eastAsia" w:ascii="仿宋_GB2312" w:hAnsi="宋体" w:eastAsia="仿宋_GB2312"/>
                <w:kern w:val="0"/>
                <w:lang w:bidi="en-US"/>
              </w:rPr>
              <w:t>交易品种的名称或证券代码，同申报订单</w:t>
            </w:r>
          </w:p>
        </w:tc>
      </w:tr>
      <w:tr w14:paraId="5784A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tcPr>
          <w:p w14:paraId="7E2FD884">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成交日期时间</w:t>
            </w:r>
          </w:p>
        </w:tc>
        <w:tc>
          <w:tcPr>
            <w:tcW w:w="6854" w:type="dxa"/>
          </w:tcPr>
          <w:p w14:paraId="4B2DF304">
            <w:pPr>
              <w:pStyle w:val="12"/>
              <w:ind w:firstLine="0" w:firstLineChars="0"/>
              <w:rPr>
                <w:rFonts w:ascii="仿宋_GB2312" w:eastAsia="仿宋_GB2312"/>
                <w:kern w:val="0"/>
                <w:lang w:bidi="en-US"/>
              </w:rPr>
            </w:pPr>
            <w:r>
              <w:rPr>
                <w:rFonts w:hint="eastAsia" w:ascii="仿宋_GB2312" w:eastAsia="仿宋_GB2312"/>
                <w:kern w:val="0"/>
                <w:lang w:bidi="en-US"/>
              </w:rPr>
              <w:t>交易成交的日期（年月日）及时间（时分秒）</w:t>
            </w:r>
          </w:p>
        </w:tc>
      </w:tr>
      <w:tr w14:paraId="33681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tcPr>
          <w:p w14:paraId="297F1073">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交易方向</w:t>
            </w:r>
          </w:p>
        </w:tc>
        <w:tc>
          <w:tcPr>
            <w:tcW w:w="6854" w:type="dxa"/>
          </w:tcPr>
          <w:p w14:paraId="2985B552">
            <w:pPr>
              <w:pStyle w:val="12"/>
              <w:ind w:firstLine="0" w:firstLineChars="0"/>
              <w:rPr>
                <w:rFonts w:ascii="仿宋_GB2312" w:eastAsia="仿宋_GB2312"/>
                <w:kern w:val="0"/>
                <w:lang w:bidi="en-US"/>
              </w:rPr>
            </w:pPr>
            <w:r>
              <w:rPr>
                <w:rFonts w:hint="eastAsia" w:ascii="仿宋_GB2312" w:eastAsia="仿宋_GB2312"/>
                <w:kern w:val="0"/>
                <w:lang w:bidi="en-US"/>
              </w:rPr>
              <w:t>交易的买卖方向，即买入/卖出</w:t>
            </w:r>
            <w:r>
              <w:rPr>
                <w:rFonts w:hint="eastAsia" w:ascii="仿宋_GB2312" w:hAnsi="宋体" w:eastAsia="仿宋_GB2312"/>
                <w:kern w:val="0"/>
                <w:lang w:bidi="en-US"/>
              </w:rPr>
              <w:t>，同申报订单</w:t>
            </w:r>
          </w:p>
        </w:tc>
      </w:tr>
      <w:tr w14:paraId="79AB1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44" w:type="dxa"/>
          </w:tcPr>
          <w:p w14:paraId="146097EC">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价格类型</w:t>
            </w:r>
          </w:p>
        </w:tc>
        <w:tc>
          <w:tcPr>
            <w:tcW w:w="6854" w:type="dxa"/>
          </w:tcPr>
          <w:p w14:paraId="733D3AC0">
            <w:pPr>
              <w:pStyle w:val="12"/>
              <w:ind w:firstLine="0" w:firstLineChars="0"/>
              <w:rPr>
                <w:rFonts w:ascii="仿宋_GB2312" w:eastAsia="仿宋_GB2312"/>
                <w:kern w:val="0"/>
                <w:lang w:eastAsia="en-US" w:bidi="en-US"/>
              </w:rPr>
            </w:pPr>
            <w:r>
              <w:rPr>
                <w:rFonts w:hint="eastAsia" w:ascii="仿宋_GB2312" w:eastAsia="仿宋_GB2312"/>
                <w:kern w:val="0"/>
                <w:lang w:eastAsia="en-US" w:bidi="en-US"/>
              </w:rPr>
              <w:t>净价、全价</w:t>
            </w:r>
          </w:p>
        </w:tc>
      </w:tr>
      <w:tr w14:paraId="1AFE0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tcPr>
          <w:p w14:paraId="0DFE18CA">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成交量</w:t>
            </w:r>
          </w:p>
        </w:tc>
        <w:tc>
          <w:tcPr>
            <w:tcW w:w="6854" w:type="dxa"/>
          </w:tcPr>
          <w:p w14:paraId="79421120">
            <w:pPr>
              <w:pStyle w:val="12"/>
              <w:ind w:firstLine="0" w:firstLineChars="0"/>
              <w:rPr>
                <w:rFonts w:ascii="仿宋_GB2312" w:eastAsia="仿宋_GB2312"/>
                <w:kern w:val="0"/>
                <w:lang w:bidi="en-US"/>
              </w:rPr>
            </w:pPr>
            <w:r>
              <w:rPr>
                <w:rFonts w:hint="eastAsia" w:ascii="仿宋_GB2312" w:eastAsia="仿宋_GB2312"/>
                <w:kern w:val="0"/>
                <w:lang w:bidi="en-US"/>
              </w:rPr>
              <w:t>成交的数量，单位：千元面额，</w:t>
            </w:r>
          </w:p>
        </w:tc>
      </w:tr>
      <w:tr w14:paraId="6BDEA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tcPr>
          <w:p w14:paraId="5B1B7211">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成交金额</w:t>
            </w:r>
          </w:p>
        </w:tc>
        <w:tc>
          <w:tcPr>
            <w:tcW w:w="6854" w:type="dxa"/>
          </w:tcPr>
          <w:p w14:paraId="12C6CE7B">
            <w:pPr>
              <w:pStyle w:val="12"/>
              <w:ind w:firstLine="0" w:firstLineChars="0"/>
              <w:rPr>
                <w:rFonts w:ascii="仿宋_GB2312" w:eastAsia="仿宋_GB2312"/>
                <w:kern w:val="0"/>
                <w:lang w:bidi="en-US"/>
              </w:rPr>
            </w:pPr>
            <w:r>
              <w:rPr>
                <w:rFonts w:hint="eastAsia" w:ascii="仿宋_GB2312" w:eastAsia="仿宋_GB2312"/>
                <w:kern w:val="0"/>
                <w:lang w:bidi="en-US"/>
              </w:rPr>
              <w:t>根据成交数量、成交价格计算：</w:t>
            </w:r>
          </w:p>
          <w:p w14:paraId="64635068">
            <w:pPr>
              <w:pStyle w:val="12"/>
              <w:ind w:firstLine="0" w:firstLineChars="0"/>
              <w:rPr>
                <w:rFonts w:ascii="仿宋_GB2312" w:eastAsia="仿宋_GB2312"/>
                <w:kern w:val="0"/>
                <w:lang w:bidi="en-US"/>
              </w:rPr>
            </w:pPr>
            <w:r>
              <w:rPr>
                <w:rFonts w:ascii="仿宋_GB2312" w:hAnsi="宋体" w:eastAsia="仿宋_GB2312"/>
                <w:kern w:val="0"/>
                <w:szCs w:val="21"/>
                <w:lang w:bidi="en-US"/>
              </w:rPr>
              <w:t>成交数量</w:t>
            </w:r>
            <w:r>
              <w:rPr>
                <w:rFonts w:hint="eastAsia" w:ascii="仿宋_GB2312" w:hAnsi="宋体" w:eastAsia="仿宋_GB2312"/>
                <w:kern w:val="0"/>
                <w:szCs w:val="21"/>
                <w:lang w:bidi="en-US"/>
              </w:rPr>
              <w:t>（千</w:t>
            </w:r>
            <w:r>
              <w:rPr>
                <w:rFonts w:ascii="仿宋_GB2312" w:hAnsi="宋体" w:eastAsia="仿宋_GB2312"/>
                <w:kern w:val="0"/>
                <w:szCs w:val="21"/>
                <w:lang w:bidi="en-US"/>
              </w:rPr>
              <w:t>元面额</w:t>
            </w:r>
            <w:r>
              <w:rPr>
                <w:rFonts w:hint="eastAsia" w:ascii="仿宋_GB2312" w:hAnsi="宋体" w:eastAsia="仿宋_GB2312"/>
                <w:kern w:val="0"/>
                <w:szCs w:val="21"/>
                <w:lang w:bidi="en-US"/>
              </w:rPr>
              <w:t>）</w:t>
            </w:r>
            <w:r>
              <w:rPr>
                <w:rFonts w:ascii="仿宋_GB2312" w:hAnsi="宋体" w:eastAsia="仿宋_GB2312"/>
                <w:kern w:val="0"/>
                <w:szCs w:val="21"/>
                <w:lang w:bidi="en-US"/>
              </w:rPr>
              <w:t>/100*成交价格</w:t>
            </w:r>
          </w:p>
        </w:tc>
      </w:tr>
      <w:tr w14:paraId="352A3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tcPr>
          <w:p w14:paraId="2DF3C892">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应计利息</w:t>
            </w:r>
          </w:p>
        </w:tc>
        <w:tc>
          <w:tcPr>
            <w:tcW w:w="6854" w:type="dxa"/>
          </w:tcPr>
          <w:p w14:paraId="29E213B2">
            <w:pPr>
              <w:pStyle w:val="12"/>
              <w:ind w:firstLine="0" w:firstLineChars="0"/>
              <w:rPr>
                <w:rFonts w:ascii="仿宋_GB2312" w:eastAsia="仿宋_GB2312"/>
                <w:kern w:val="0"/>
                <w:lang w:eastAsia="en-US" w:bidi="en-US"/>
              </w:rPr>
            </w:pPr>
            <w:r>
              <w:rPr>
                <w:rFonts w:hint="eastAsia" w:ascii="仿宋_GB2312" w:eastAsia="仿宋_GB2312"/>
                <w:kern w:val="0"/>
                <w:lang w:eastAsia="en-US" w:bidi="en-US"/>
              </w:rPr>
              <w:t>应计利息</w:t>
            </w:r>
          </w:p>
        </w:tc>
      </w:tr>
      <w:tr w14:paraId="058D6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44" w:type="dxa"/>
          </w:tcPr>
          <w:p w14:paraId="6D4831F0">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结算方式</w:t>
            </w:r>
          </w:p>
        </w:tc>
        <w:tc>
          <w:tcPr>
            <w:tcW w:w="6854" w:type="dxa"/>
          </w:tcPr>
          <w:p w14:paraId="00ABAF8D">
            <w:pPr>
              <w:pStyle w:val="12"/>
              <w:ind w:firstLine="0" w:firstLineChars="0"/>
              <w:rPr>
                <w:rFonts w:ascii="仿宋_GB2312" w:eastAsia="仿宋_GB2312"/>
                <w:kern w:val="0"/>
                <w:lang w:eastAsia="en-US" w:bidi="en-US"/>
              </w:rPr>
            </w:pPr>
            <w:r>
              <w:rPr>
                <w:rFonts w:hint="eastAsia" w:ascii="仿宋_GB2312" w:eastAsia="仿宋_GB2312"/>
                <w:kern w:val="0"/>
                <w:lang w:eastAsia="en-US" w:bidi="en-US"/>
              </w:rPr>
              <w:t>结算方式</w:t>
            </w:r>
          </w:p>
        </w:tc>
      </w:tr>
      <w:tr w14:paraId="1458D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tcPr>
          <w:p w14:paraId="0AE2DECF">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结算</w:t>
            </w:r>
            <w:r>
              <w:rPr>
                <w:rFonts w:hint="eastAsia" w:ascii="仿宋_GB2312" w:eastAsia="仿宋_GB2312"/>
                <w:b/>
                <w:kern w:val="0"/>
                <w:lang w:bidi="en-US"/>
              </w:rPr>
              <w:t>周期</w:t>
            </w:r>
          </w:p>
        </w:tc>
        <w:tc>
          <w:tcPr>
            <w:tcW w:w="6854" w:type="dxa"/>
          </w:tcPr>
          <w:p w14:paraId="3D7FE6D4">
            <w:pPr>
              <w:pStyle w:val="12"/>
              <w:ind w:firstLine="0" w:firstLineChars="0"/>
              <w:rPr>
                <w:rFonts w:ascii="仿宋_GB2312" w:eastAsia="仿宋_GB2312"/>
                <w:kern w:val="0"/>
                <w:lang w:eastAsia="en-US" w:bidi="en-US"/>
              </w:rPr>
            </w:pPr>
            <w:r>
              <w:rPr>
                <w:rFonts w:hint="eastAsia" w:ascii="仿宋_GB2312" w:eastAsia="仿宋_GB2312"/>
                <w:kern w:val="0"/>
                <w:lang w:eastAsia="en-US" w:bidi="en-US"/>
              </w:rPr>
              <w:t>结算</w:t>
            </w:r>
            <w:r>
              <w:rPr>
                <w:rFonts w:hint="eastAsia" w:ascii="仿宋_GB2312" w:eastAsia="仿宋_GB2312"/>
                <w:kern w:val="0"/>
                <w:lang w:bidi="en-US"/>
              </w:rPr>
              <w:t>周期</w:t>
            </w:r>
          </w:p>
        </w:tc>
      </w:tr>
      <w:tr w14:paraId="7467E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tcPr>
          <w:p w14:paraId="6C7C2C64">
            <w:pPr>
              <w:pStyle w:val="12"/>
              <w:ind w:firstLine="0" w:firstLineChars="0"/>
              <w:rPr>
                <w:rFonts w:ascii="仿宋_GB2312" w:eastAsia="仿宋_GB2312"/>
                <w:b/>
                <w:kern w:val="0"/>
                <w:lang w:bidi="en-US"/>
              </w:rPr>
            </w:pPr>
            <w:r>
              <w:rPr>
                <w:rFonts w:hint="eastAsia" w:ascii="仿宋_GB2312" w:eastAsia="仿宋_GB2312"/>
                <w:b/>
                <w:kern w:val="0"/>
                <w:lang w:eastAsia="en-US" w:bidi="en-US"/>
              </w:rPr>
              <w:t>结算</w:t>
            </w:r>
            <w:r>
              <w:rPr>
                <w:rFonts w:hint="eastAsia" w:ascii="仿宋_GB2312" w:eastAsia="仿宋_GB2312"/>
                <w:b/>
                <w:kern w:val="0"/>
                <w:lang w:bidi="en-US"/>
              </w:rPr>
              <w:t>日期</w:t>
            </w:r>
          </w:p>
        </w:tc>
        <w:tc>
          <w:tcPr>
            <w:tcW w:w="6854" w:type="dxa"/>
          </w:tcPr>
          <w:p w14:paraId="7ED723BB">
            <w:pPr>
              <w:pStyle w:val="12"/>
              <w:ind w:firstLine="0" w:firstLineChars="0"/>
              <w:rPr>
                <w:rFonts w:ascii="仿宋_GB2312" w:eastAsia="仿宋_GB2312"/>
                <w:kern w:val="0"/>
                <w:lang w:bidi="en-US"/>
              </w:rPr>
            </w:pPr>
            <w:r>
              <w:rPr>
                <w:rFonts w:hint="eastAsia" w:ascii="仿宋_GB2312" w:eastAsia="仿宋_GB2312"/>
                <w:kern w:val="0"/>
                <w:lang w:bidi="en-US"/>
              </w:rPr>
              <w:t>根据当前交易日期、结算周期，自动显示</w:t>
            </w:r>
          </w:p>
        </w:tc>
      </w:tr>
      <w:tr w14:paraId="32096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tcPr>
          <w:p w14:paraId="7681D58C">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证券账号</w:t>
            </w:r>
          </w:p>
        </w:tc>
        <w:tc>
          <w:tcPr>
            <w:tcW w:w="6854" w:type="dxa"/>
          </w:tcPr>
          <w:p w14:paraId="21D43BE4">
            <w:pPr>
              <w:pStyle w:val="12"/>
              <w:ind w:firstLine="0" w:firstLineChars="0"/>
              <w:rPr>
                <w:rFonts w:ascii="仿宋_GB2312" w:eastAsia="仿宋_GB2312"/>
                <w:kern w:val="0"/>
                <w:lang w:bidi="en-US"/>
              </w:rPr>
            </w:pPr>
            <w:r>
              <w:rPr>
                <w:rFonts w:hint="eastAsia" w:ascii="仿宋_GB2312" w:eastAsia="仿宋_GB2312"/>
                <w:kern w:val="0"/>
                <w:lang w:bidi="en-US"/>
              </w:rPr>
              <w:t>交易参与人的证券账户号码</w:t>
            </w:r>
          </w:p>
        </w:tc>
      </w:tr>
      <w:tr w14:paraId="20134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44" w:type="dxa"/>
          </w:tcPr>
          <w:p w14:paraId="30A1F095">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证券账户名称</w:t>
            </w:r>
          </w:p>
        </w:tc>
        <w:tc>
          <w:tcPr>
            <w:tcW w:w="6854" w:type="dxa"/>
          </w:tcPr>
          <w:p w14:paraId="68F9D8D0">
            <w:pPr>
              <w:pStyle w:val="12"/>
              <w:ind w:firstLine="0" w:firstLineChars="0"/>
              <w:rPr>
                <w:rFonts w:ascii="仿宋_GB2312" w:eastAsia="仿宋_GB2312"/>
                <w:kern w:val="0"/>
                <w:lang w:bidi="en-US"/>
              </w:rPr>
            </w:pPr>
            <w:r>
              <w:rPr>
                <w:rFonts w:hint="eastAsia" w:ascii="仿宋_GB2312" w:eastAsia="仿宋_GB2312"/>
                <w:kern w:val="0"/>
                <w:lang w:bidi="en-US"/>
              </w:rPr>
              <w:t>交易参与人的证券账户名称</w:t>
            </w:r>
          </w:p>
        </w:tc>
      </w:tr>
      <w:tr w14:paraId="4F3C1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tcPr>
          <w:p w14:paraId="23EA8C17">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交易PBU</w:t>
            </w:r>
          </w:p>
        </w:tc>
        <w:tc>
          <w:tcPr>
            <w:tcW w:w="6854" w:type="dxa"/>
          </w:tcPr>
          <w:p w14:paraId="7D84017A">
            <w:pPr>
              <w:pStyle w:val="12"/>
              <w:ind w:firstLine="0" w:firstLineChars="0"/>
              <w:rPr>
                <w:rFonts w:ascii="仿宋_GB2312" w:eastAsia="仿宋_GB2312"/>
                <w:kern w:val="0"/>
                <w:lang w:bidi="en-US"/>
              </w:rPr>
            </w:pPr>
            <w:r>
              <w:rPr>
                <w:rFonts w:hint="eastAsia" w:ascii="仿宋_GB2312" w:eastAsia="仿宋_GB2312"/>
                <w:kern w:val="0"/>
                <w:lang w:bidi="en-US"/>
              </w:rPr>
              <w:t>交易参与人的交易单元号码</w:t>
            </w:r>
            <w:r>
              <w:rPr>
                <w:rFonts w:hint="eastAsia" w:ascii="仿宋_GB2312" w:hAnsi="宋体" w:eastAsia="仿宋_GB2312"/>
                <w:kern w:val="0"/>
                <w:lang w:bidi="en-US"/>
              </w:rPr>
              <w:t>，同申报订单</w:t>
            </w:r>
          </w:p>
        </w:tc>
      </w:tr>
      <w:tr w14:paraId="3F60D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tcPr>
          <w:p w14:paraId="3EB9B033">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交易参与人</w:t>
            </w:r>
          </w:p>
        </w:tc>
        <w:tc>
          <w:tcPr>
            <w:tcW w:w="6854" w:type="dxa"/>
          </w:tcPr>
          <w:p w14:paraId="30FBA049">
            <w:pPr>
              <w:pStyle w:val="12"/>
              <w:ind w:firstLine="0" w:firstLineChars="0"/>
              <w:rPr>
                <w:rFonts w:ascii="仿宋_GB2312" w:eastAsia="仿宋_GB2312"/>
                <w:kern w:val="0"/>
                <w:lang w:eastAsia="en-US" w:bidi="en-US"/>
              </w:rPr>
            </w:pPr>
            <w:r>
              <w:rPr>
                <w:rFonts w:hint="eastAsia" w:ascii="仿宋_GB2312" w:eastAsia="仿宋_GB2312"/>
                <w:kern w:val="0"/>
                <w:lang w:eastAsia="en-US" w:bidi="en-US"/>
              </w:rPr>
              <w:t>交易参与人简称</w:t>
            </w:r>
          </w:p>
        </w:tc>
      </w:tr>
      <w:tr w14:paraId="488F3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tcPr>
          <w:p w14:paraId="3E23FE55">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交易员代码</w:t>
            </w:r>
          </w:p>
        </w:tc>
        <w:tc>
          <w:tcPr>
            <w:tcW w:w="6854" w:type="dxa"/>
          </w:tcPr>
          <w:p w14:paraId="7CF4BBFB">
            <w:pPr>
              <w:pStyle w:val="12"/>
              <w:ind w:firstLine="0" w:firstLineChars="0"/>
              <w:rPr>
                <w:rFonts w:ascii="仿宋_GB2312" w:eastAsia="仿宋_GB2312"/>
                <w:kern w:val="0"/>
                <w:lang w:eastAsia="en-US" w:bidi="en-US"/>
              </w:rPr>
            </w:pPr>
            <w:r>
              <w:rPr>
                <w:rFonts w:hint="eastAsia" w:ascii="仿宋_GB2312" w:eastAsia="仿宋_GB2312"/>
                <w:kern w:val="0"/>
                <w:lang w:eastAsia="en-US" w:bidi="en-US"/>
              </w:rPr>
              <w:t>交易员代码</w:t>
            </w:r>
          </w:p>
        </w:tc>
      </w:tr>
      <w:tr w14:paraId="23805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44" w:type="dxa"/>
          </w:tcPr>
          <w:p w14:paraId="766218B3">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交易员名称</w:t>
            </w:r>
          </w:p>
        </w:tc>
        <w:tc>
          <w:tcPr>
            <w:tcW w:w="6854" w:type="dxa"/>
          </w:tcPr>
          <w:p w14:paraId="4C23A892">
            <w:pPr>
              <w:pStyle w:val="12"/>
              <w:ind w:firstLine="0" w:firstLineChars="0"/>
              <w:rPr>
                <w:rFonts w:ascii="仿宋_GB2312" w:eastAsia="仿宋_GB2312"/>
                <w:kern w:val="0"/>
                <w:lang w:eastAsia="en-US" w:bidi="en-US"/>
              </w:rPr>
            </w:pPr>
            <w:r>
              <w:rPr>
                <w:rFonts w:hint="eastAsia" w:ascii="仿宋_GB2312" w:eastAsia="仿宋_GB2312"/>
                <w:kern w:val="0"/>
                <w:lang w:eastAsia="en-US" w:bidi="en-US"/>
              </w:rPr>
              <w:t>交易员名称</w:t>
            </w:r>
          </w:p>
        </w:tc>
      </w:tr>
      <w:tr w14:paraId="3841A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tcPr>
          <w:p w14:paraId="74BBB032">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申报编号</w:t>
            </w:r>
          </w:p>
        </w:tc>
        <w:tc>
          <w:tcPr>
            <w:tcW w:w="6854" w:type="dxa"/>
          </w:tcPr>
          <w:p w14:paraId="26585CDA">
            <w:pPr>
              <w:pStyle w:val="12"/>
              <w:ind w:firstLine="0" w:firstLineChars="0"/>
              <w:rPr>
                <w:rFonts w:ascii="仿宋_GB2312" w:eastAsia="仿宋_GB2312"/>
                <w:kern w:val="0"/>
                <w:lang w:bidi="en-US"/>
              </w:rPr>
            </w:pPr>
            <w:r>
              <w:rPr>
                <w:rFonts w:hint="eastAsia" w:ascii="仿宋_GB2312" w:eastAsia="仿宋_GB2312"/>
                <w:kern w:val="0"/>
                <w:lang w:bidi="en-US"/>
              </w:rPr>
              <w:t>交易参与人内部为申报订单编制的序号</w:t>
            </w:r>
            <w:r>
              <w:rPr>
                <w:rFonts w:hint="eastAsia" w:ascii="仿宋_GB2312" w:hAnsi="宋体" w:eastAsia="仿宋_GB2312"/>
                <w:kern w:val="0"/>
                <w:lang w:bidi="en-US"/>
              </w:rPr>
              <w:t>，同申报订单</w:t>
            </w:r>
          </w:p>
        </w:tc>
      </w:tr>
      <w:tr w14:paraId="66C16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tcPr>
          <w:p w14:paraId="72A0878B">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对手方交易参与人</w:t>
            </w:r>
          </w:p>
        </w:tc>
        <w:tc>
          <w:tcPr>
            <w:tcW w:w="6854" w:type="dxa"/>
          </w:tcPr>
          <w:p w14:paraId="5B49CDDB">
            <w:pPr>
              <w:pStyle w:val="12"/>
              <w:ind w:firstLine="0" w:firstLineChars="0"/>
              <w:rPr>
                <w:rFonts w:ascii="仿宋_GB2312" w:eastAsia="仿宋_GB2312"/>
                <w:kern w:val="0"/>
                <w:lang w:bidi="en-US"/>
              </w:rPr>
            </w:pPr>
            <w:r>
              <w:rPr>
                <w:rFonts w:hint="eastAsia" w:ascii="仿宋_GB2312" w:eastAsia="仿宋_GB2312"/>
                <w:kern w:val="0"/>
                <w:lang w:bidi="en-US"/>
              </w:rPr>
              <w:t>对手方交易参与人简称</w:t>
            </w:r>
          </w:p>
        </w:tc>
      </w:tr>
      <w:tr w14:paraId="4A3E1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tcPr>
          <w:p w14:paraId="2903DACF">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对手方证券账号</w:t>
            </w:r>
          </w:p>
        </w:tc>
        <w:tc>
          <w:tcPr>
            <w:tcW w:w="6854" w:type="dxa"/>
          </w:tcPr>
          <w:p w14:paraId="62ADB05B">
            <w:pPr>
              <w:pStyle w:val="12"/>
              <w:ind w:firstLine="0" w:firstLineChars="0"/>
              <w:rPr>
                <w:rFonts w:ascii="仿宋_GB2312" w:eastAsia="仿宋_GB2312"/>
                <w:kern w:val="0"/>
                <w:lang w:eastAsia="en-US" w:bidi="en-US"/>
              </w:rPr>
            </w:pPr>
            <w:r>
              <w:rPr>
                <w:rFonts w:hint="eastAsia" w:ascii="仿宋_GB2312" w:eastAsia="仿宋_GB2312"/>
                <w:kern w:val="0"/>
                <w:lang w:eastAsia="en-US" w:bidi="en-US"/>
              </w:rPr>
              <w:t>对手方证券账户号码</w:t>
            </w:r>
          </w:p>
        </w:tc>
      </w:tr>
      <w:tr w14:paraId="5113A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44" w:type="dxa"/>
          </w:tcPr>
          <w:p w14:paraId="78F59C37">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对手方证券账户名称</w:t>
            </w:r>
          </w:p>
        </w:tc>
        <w:tc>
          <w:tcPr>
            <w:tcW w:w="6854" w:type="dxa"/>
          </w:tcPr>
          <w:p w14:paraId="7BFAD4AC">
            <w:pPr>
              <w:pStyle w:val="12"/>
              <w:ind w:firstLine="0" w:firstLineChars="0"/>
              <w:rPr>
                <w:rFonts w:ascii="仿宋_GB2312" w:eastAsia="仿宋_GB2312"/>
                <w:kern w:val="0"/>
                <w:lang w:eastAsia="en-US" w:bidi="en-US"/>
              </w:rPr>
            </w:pPr>
            <w:r>
              <w:rPr>
                <w:rFonts w:hint="eastAsia" w:ascii="仿宋_GB2312" w:eastAsia="仿宋_GB2312"/>
                <w:kern w:val="0"/>
                <w:lang w:eastAsia="en-US" w:bidi="en-US"/>
              </w:rPr>
              <w:t>对手方证券账户名称</w:t>
            </w:r>
          </w:p>
        </w:tc>
      </w:tr>
      <w:tr w14:paraId="620C7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tcPr>
          <w:p w14:paraId="0F8CCC6D">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对手方交易员代码</w:t>
            </w:r>
          </w:p>
        </w:tc>
        <w:tc>
          <w:tcPr>
            <w:tcW w:w="6854" w:type="dxa"/>
          </w:tcPr>
          <w:p w14:paraId="2A66A60C">
            <w:pPr>
              <w:pStyle w:val="12"/>
              <w:ind w:firstLine="0" w:firstLineChars="0"/>
              <w:rPr>
                <w:rFonts w:ascii="仿宋_GB2312" w:eastAsia="仿宋_GB2312"/>
                <w:kern w:val="0"/>
                <w:lang w:eastAsia="en-US" w:bidi="en-US"/>
              </w:rPr>
            </w:pPr>
            <w:r>
              <w:rPr>
                <w:rFonts w:hint="eastAsia" w:ascii="仿宋_GB2312" w:eastAsia="仿宋_GB2312"/>
                <w:kern w:val="0"/>
                <w:lang w:eastAsia="en-US" w:bidi="en-US"/>
              </w:rPr>
              <w:t>对手方交易员代码</w:t>
            </w:r>
          </w:p>
        </w:tc>
      </w:tr>
      <w:tr w14:paraId="3EEC3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tcPr>
          <w:p w14:paraId="4BAC2BE0">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对手方交易员名称</w:t>
            </w:r>
          </w:p>
        </w:tc>
        <w:tc>
          <w:tcPr>
            <w:tcW w:w="6854" w:type="dxa"/>
          </w:tcPr>
          <w:p w14:paraId="0A82921A">
            <w:pPr>
              <w:pStyle w:val="12"/>
              <w:ind w:firstLine="0" w:firstLineChars="0"/>
              <w:rPr>
                <w:rFonts w:ascii="仿宋_GB2312" w:eastAsia="仿宋_GB2312"/>
                <w:kern w:val="0"/>
                <w:lang w:eastAsia="en-US" w:bidi="en-US"/>
              </w:rPr>
            </w:pPr>
            <w:r>
              <w:rPr>
                <w:rFonts w:hint="eastAsia" w:ascii="仿宋_GB2312" w:eastAsia="仿宋_GB2312"/>
                <w:kern w:val="0"/>
                <w:lang w:eastAsia="en-US" w:bidi="en-US"/>
              </w:rPr>
              <w:t>对手方交易员名称</w:t>
            </w:r>
          </w:p>
        </w:tc>
      </w:tr>
      <w:tr w14:paraId="2B22E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tcPr>
          <w:p w14:paraId="21426DAD">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交收状态</w:t>
            </w:r>
          </w:p>
        </w:tc>
        <w:tc>
          <w:tcPr>
            <w:tcW w:w="6854" w:type="dxa"/>
          </w:tcPr>
          <w:p w14:paraId="07F71F49">
            <w:pPr>
              <w:pStyle w:val="12"/>
              <w:ind w:firstLine="0" w:firstLineChars="0"/>
              <w:rPr>
                <w:rFonts w:ascii="仿宋_GB2312" w:eastAsia="仿宋_GB2312"/>
                <w:kern w:val="0"/>
                <w:lang w:bidi="en-US"/>
              </w:rPr>
            </w:pPr>
            <w:r>
              <w:rPr>
                <w:rFonts w:hint="eastAsia" w:ascii="仿宋_GB2312" w:eastAsia="仿宋_GB2312"/>
                <w:kern w:val="0"/>
                <w:lang w:bidi="en-US"/>
              </w:rPr>
              <w:t>等待勾单/交收成功/交收失败（原因）</w:t>
            </w:r>
          </w:p>
        </w:tc>
      </w:tr>
      <w:tr w14:paraId="5710C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44" w:type="dxa"/>
          </w:tcPr>
          <w:p w14:paraId="571DFBA2">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交易方式</w:t>
            </w:r>
          </w:p>
        </w:tc>
        <w:tc>
          <w:tcPr>
            <w:tcW w:w="6854" w:type="dxa"/>
          </w:tcPr>
          <w:p w14:paraId="29D75CB5">
            <w:pPr>
              <w:pStyle w:val="12"/>
              <w:ind w:firstLine="0" w:firstLineChars="0"/>
              <w:rPr>
                <w:rFonts w:ascii="仿宋_GB2312" w:eastAsia="仿宋_GB2312"/>
                <w:kern w:val="0"/>
                <w:lang w:eastAsia="en-US" w:bidi="en-US"/>
              </w:rPr>
            </w:pPr>
            <w:r>
              <w:rPr>
                <w:rFonts w:hint="eastAsia" w:ascii="仿宋_GB2312" w:eastAsia="仿宋_GB2312"/>
                <w:kern w:val="0"/>
                <w:lang w:eastAsia="en-US" w:bidi="en-US"/>
              </w:rPr>
              <w:t>点击成交</w:t>
            </w:r>
          </w:p>
        </w:tc>
      </w:tr>
    </w:tbl>
    <w:p w14:paraId="3F070C7B">
      <w:pPr>
        <w:numPr>
          <w:ilvl w:val="1"/>
          <w:numId w:val="4"/>
        </w:numPr>
        <w:spacing w:line="600" w:lineRule="exact"/>
        <w:ind w:left="0" w:firstLine="0"/>
        <w:outlineLvl w:val="1"/>
        <w:rPr>
          <w:rFonts w:ascii="仿宋_GB2312" w:eastAsia="仿宋_GB2312"/>
          <w:b/>
          <w:sz w:val="30"/>
          <w:szCs w:val="30"/>
        </w:rPr>
      </w:pPr>
      <w:bookmarkStart w:id="481" w:name="_Toc705439383"/>
      <w:bookmarkStart w:id="482" w:name="_Toc708371975"/>
      <w:bookmarkStart w:id="483" w:name="_Toc2038268767"/>
      <w:bookmarkStart w:id="484" w:name="_Toc151136903"/>
      <w:bookmarkStart w:id="485" w:name="_Toc1679294801"/>
      <w:r>
        <w:rPr>
          <w:rFonts w:hint="eastAsia" w:ascii="仿宋_GB2312" w:eastAsia="仿宋_GB2312"/>
          <w:b/>
          <w:sz w:val="30"/>
          <w:szCs w:val="30"/>
        </w:rPr>
        <w:t>询价成交</w:t>
      </w:r>
      <w:bookmarkEnd w:id="481"/>
      <w:bookmarkEnd w:id="482"/>
      <w:bookmarkEnd w:id="483"/>
      <w:bookmarkEnd w:id="484"/>
      <w:bookmarkEnd w:id="485"/>
    </w:p>
    <w:p w14:paraId="2D6B8D8D">
      <w:pPr>
        <w:numPr>
          <w:ilvl w:val="2"/>
          <w:numId w:val="4"/>
        </w:numPr>
        <w:spacing w:line="600" w:lineRule="exact"/>
        <w:ind w:left="0" w:firstLine="0"/>
        <w:outlineLvl w:val="2"/>
        <w:rPr>
          <w:rFonts w:ascii="仿宋_GB2312" w:eastAsia="仿宋_GB2312"/>
          <w:b/>
          <w:sz w:val="30"/>
          <w:szCs w:val="30"/>
        </w:rPr>
      </w:pPr>
      <w:bookmarkStart w:id="486" w:name="_Toc57908901"/>
      <w:r>
        <w:rPr>
          <w:rFonts w:hint="eastAsia" w:ascii="仿宋_GB2312" w:eastAsia="仿宋_GB2312"/>
          <w:b/>
          <w:sz w:val="30"/>
          <w:szCs w:val="30"/>
        </w:rPr>
        <w:t>定义</w:t>
      </w:r>
      <w:bookmarkEnd w:id="486"/>
    </w:p>
    <w:p w14:paraId="093B69EA">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询价成交是指询价方向做市商或者其他债券交易参与人发送询价请求，并选择一个或多个询价回复确认成交的交易方式。</w:t>
      </w:r>
    </w:p>
    <w:p w14:paraId="6EFA4B59">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本所固定收益平台为询价请求与询价回复申报提供电子化接口及客户端，债券交易参与人可通过电子化接口及客户端接入本所系统，并提交询价请求与询价回复申报。</w:t>
      </w:r>
    </w:p>
    <w:p w14:paraId="0DCF1967">
      <w:pPr>
        <w:numPr>
          <w:ilvl w:val="2"/>
          <w:numId w:val="4"/>
        </w:numPr>
        <w:spacing w:line="600" w:lineRule="exact"/>
        <w:ind w:left="0" w:firstLine="0"/>
        <w:outlineLvl w:val="2"/>
        <w:rPr>
          <w:rFonts w:ascii="仿宋_GB2312" w:eastAsia="仿宋_GB2312"/>
          <w:b/>
          <w:sz w:val="30"/>
          <w:szCs w:val="30"/>
        </w:rPr>
      </w:pPr>
      <w:bookmarkStart w:id="487" w:name="_Toc57908902"/>
      <w:r>
        <w:rPr>
          <w:rFonts w:hint="eastAsia" w:ascii="仿宋_GB2312" w:eastAsia="仿宋_GB2312"/>
          <w:b/>
          <w:sz w:val="30"/>
          <w:szCs w:val="30"/>
        </w:rPr>
        <w:t>申报要求</w:t>
      </w:r>
      <w:bookmarkEnd w:id="487"/>
    </w:p>
    <w:p w14:paraId="7D3E5D31">
      <w:pPr>
        <w:spacing w:line="600" w:lineRule="exact"/>
        <w:ind w:firstLine="600" w:firstLineChars="200"/>
        <w:outlineLvl w:val="3"/>
        <w:rPr>
          <w:rFonts w:ascii="仿宋_GB2312" w:hAnsi="仿宋" w:eastAsia="仿宋_GB2312"/>
          <w:sz w:val="30"/>
          <w:szCs w:val="30"/>
        </w:rPr>
      </w:pPr>
      <w:r>
        <w:rPr>
          <w:rFonts w:hint="eastAsia" w:ascii="仿宋_GB2312" w:hAnsi="仿宋" w:eastAsia="仿宋_GB2312"/>
          <w:sz w:val="30"/>
          <w:szCs w:val="30"/>
        </w:rPr>
        <w:t>（1）询价请求</w:t>
      </w:r>
    </w:p>
    <w:p w14:paraId="278D74DB">
      <w:pPr>
        <w:spacing w:line="600" w:lineRule="exact"/>
        <w:ind w:firstLine="600" w:firstLineChars="200"/>
        <w:rPr>
          <w:rFonts w:ascii="仿宋_GB2312" w:eastAsia="仿宋_GB2312"/>
          <w:sz w:val="30"/>
          <w:szCs w:val="30"/>
        </w:rPr>
      </w:pPr>
      <w:r>
        <w:rPr>
          <w:rFonts w:hint="eastAsia" w:ascii="仿宋_GB2312" w:hAnsi="仿宋" w:eastAsia="仿宋_GB2312"/>
          <w:sz w:val="30"/>
          <w:szCs w:val="30"/>
        </w:rPr>
        <w:t>询价方可以向其他部分债券投资者发送询价请求，被询价方可为做市商、其他债券交易参与人。</w:t>
      </w:r>
      <w:r>
        <w:rPr>
          <w:rFonts w:hint="eastAsia" w:ascii="仿宋_GB2312" w:eastAsia="仿宋_GB2312"/>
          <w:sz w:val="30"/>
          <w:szCs w:val="30"/>
        </w:rPr>
        <w:t>支持面向多主体询价。</w:t>
      </w:r>
    </w:p>
    <w:p w14:paraId="05ADC6FF">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询价请求录入界面中，可以向自行选择的1-</w:t>
      </w:r>
      <w:r>
        <w:rPr>
          <w:rFonts w:ascii="仿宋_GB2312" w:hAnsi="仿宋" w:eastAsia="仿宋_GB2312"/>
          <w:sz w:val="30"/>
          <w:szCs w:val="30"/>
        </w:rPr>
        <w:t>5</w:t>
      </w:r>
      <w:r>
        <w:rPr>
          <w:rFonts w:hint="eastAsia" w:ascii="仿宋_GB2312" w:hAnsi="仿宋" w:eastAsia="仿宋_GB2312"/>
          <w:sz w:val="30"/>
          <w:szCs w:val="30"/>
        </w:rPr>
        <w:t>名债券交易参与人或者“</w:t>
      </w:r>
      <w:r>
        <w:rPr>
          <w:rFonts w:ascii="仿宋_GB2312" w:hAnsi="仿宋" w:eastAsia="仿宋_GB2312"/>
          <w:sz w:val="30"/>
          <w:szCs w:val="30"/>
        </w:rPr>
        <w:t>潜在投资者</w:t>
      </w:r>
      <w:r>
        <w:rPr>
          <w:rFonts w:hint="eastAsia" w:ascii="仿宋_GB2312" w:hAnsi="仿宋" w:eastAsia="仿宋_GB2312"/>
          <w:sz w:val="30"/>
          <w:szCs w:val="30"/>
        </w:rPr>
        <w:t>”发送询价请求。固定收益平台的询价请求接收方“询价请求展示页面”中对于发送范围不同的询价请求展示不做区分。</w:t>
      </w:r>
    </w:p>
    <w:p w14:paraId="3593E5B0">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询价请求要素应当包括交易品种、交易方向、数量、发送范围、询价方证券账号、结算方式、结算周期，是否匿名等内容。</w:t>
      </w:r>
    </w:p>
    <w:p w14:paraId="515BDB02">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询价请求具体要素及要素说明如下：</w:t>
      </w:r>
    </w:p>
    <w:tbl>
      <w:tblPr>
        <w:tblStyle w:val="43"/>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6946"/>
      </w:tblGrid>
      <w:tr w14:paraId="2802F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3E0BB4CA">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要素名称</w:t>
            </w:r>
          </w:p>
        </w:tc>
        <w:tc>
          <w:tcPr>
            <w:tcW w:w="6946" w:type="dxa"/>
          </w:tcPr>
          <w:p w14:paraId="5779230B">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要素说明</w:t>
            </w:r>
          </w:p>
        </w:tc>
      </w:tr>
      <w:tr w14:paraId="2D498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12DB0603">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申报类型</w:t>
            </w:r>
          </w:p>
        </w:tc>
        <w:tc>
          <w:tcPr>
            <w:tcW w:w="6946" w:type="dxa"/>
          </w:tcPr>
          <w:p w14:paraId="23342789">
            <w:pPr>
              <w:pStyle w:val="12"/>
              <w:ind w:firstLine="0" w:firstLineChars="0"/>
              <w:rPr>
                <w:rFonts w:ascii="仿宋_GB2312" w:hAnsi="宋体" w:eastAsia="仿宋_GB2312"/>
                <w:kern w:val="0"/>
                <w:lang w:eastAsia="en-US" w:bidi="en-US"/>
              </w:rPr>
            </w:pPr>
            <w:r>
              <w:rPr>
                <w:rFonts w:hint="eastAsia" w:ascii="仿宋_GB2312" w:hAnsi="宋体" w:eastAsia="仿宋_GB2312"/>
                <w:kern w:val="0"/>
                <w:lang w:eastAsia="en-US" w:bidi="en-US"/>
              </w:rPr>
              <w:t>询价请求</w:t>
            </w:r>
          </w:p>
        </w:tc>
      </w:tr>
      <w:tr w14:paraId="47450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193E5870">
            <w:pPr>
              <w:pStyle w:val="12"/>
              <w:ind w:firstLine="0" w:firstLineChars="0"/>
              <w:rPr>
                <w:rFonts w:ascii="仿宋_GB2312" w:eastAsia="仿宋_GB2312"/>
                <w:b/>
                <w:kern w:val="0"/>
                <w:lang w:bidi="en-US"/>
              </w:rPr>
            </w:pPr>
            <w:r>
              <w:rPr>
                <w:rFonts w:hint="eastAsia" w:ascii="仿宋_GB2312" w:eastAsia="仿宋_GB2312"/>
                <w:b/>
                <w:kern w:val="0"/>
                <w:lang w:bidi="en-US"/>
              </w:rPr>
              <w:t>交易品种</w:t>
            </w:r>
          </w:p>
        </w:tc>
        <w:tc>
          <w:tcPr>
            <w:tcW w:w="6946" w:type="dxa"/>
          </w:tcPr>
          <w:p w14:paraId="3E8C2A77">
            <w:pPr>
              <w:pStyle w:val="12"/>
              <w:ind w:firstLine="0" w:firstLineChars="0"/>
              <w:rPr>
                <w:rFonts w:ascii="仿宋_GB2312" w:eastAsia="仿宋_GB2312"/>
                <w:kern w:val="0"/>
                <w:lang w:bidi="en-US"/>
              </w:rPr>
            </w:pPr>
            <w:r>
              <w:rPr>
                <w:rFonts w:hint="eastAsia" w:ascii="仿宋_GB2312" w:hAnsi="宋体" w:eastAsia="仿宋_GB2312"/>
                <w:kern w:val="0"/>
                <w:lang w:bidi="en-US"/>
              </w:rPr>
              <w:t>交易品种的名称或证券代码</w:t>
            </w:r>
          </w:p>
        </w:tc>
      </w:tr>
      <w:tr w14:paraId="406AB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09" w:type="dxa"/>
          </w:tcPr>
          <w:p w14:paraId="540627B5">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交易方向</w:t>
            </w:r>
          </w:p>
        </w:tc>
        <w:tc>
          <w:tcPr>
            <w:tcW w:w="6946" w:type="dxa"/>
          </w:tcPr>
          <w:p w14:paraId="2D01E7E6">
            <w:pPr>
              <w:pStyle w:val="12"/>
              <w:ind w:firstLine="0" w:firstLineChars="0"/>
              <w:rPr>
                <w:rFonts w:ascii="仿宋_GB2312" w:eastAsia="仿宋_GB2312"/>
                <w:kern w:val="0"/>
                <w:lang w:bidi="en-US"/>
              </w:rPr>
            </w:pPr>
            <w:r>
              <w:rPr>
                <w:rFonts w:hint="eastAsia" w:ascii="仿宋_GB2312" w:eastAsia="仿宋_GB2312"/>
                <w:kern w:val="0"/>
                <w:lang w:bidi="en-US"/>
              </w:rPr>
              <w:t>交易的买卖方向，即买入/卖出</w:t>
            </w:r>
          </w:p>
        </w:tc>
      </w:tr>
      <w:tr w14:paraId="35710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4D0FF54E">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申报数量</w:t>
            </w:r>
          </w:p>
        </w:tc>
        <w:tc>
          <w:tcPr>
            <w:tcW w:w="6946" w:type="dxa"/>
          </w:tcPr>
          <w:p w14:paraId="13F2E715">
            <w:pPr>
              <w:pStyle w:val="12"/>
              <w:ind w:firstLine="0" w:firstLineChars="0"/>
              <w:rPr>
                <w:rFonts w:ascii="仿宋_GB2312" w:eastAsia="仿宋_GB2312"/>
                <w:kern w:val="0"/>
                <w:lang w:bidi="en-US"/>
              </w:rPr>
            </w:pPr>
            <w:r>
              <w:rPr>
                <w:rFonts w:hint="eastAsia" w:ascii="仿宋_GB2312" w:eastAsia="仿宋_GB2312"/>
                <w:kern w:val="0"/>
                <w:lang w:bidi="en-US"/>
              </w:rPr>
              <w:t>询价请求的申报数量，单位：千元面额。</w:t>
            </w:r>
          </w:p>
        </w:tc>
      </w:tr>
      <w:tr w14:paraId="584C8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5950032D">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申报账号</w:t>
            </w:r>
          </w:p>
        </w:tc>
        <w:tc>
          <w:tcPr>
            <w:tcW w:w="6946" w:type="dxa"/>
          </w:tcPr>
          <w:p w14:paraId="05CABFF9">
            <w:pPr>
              <w:pStyle w:val="12"/>
              <w:ind w:firstLine="0" w:firstLineChars="0"/>
              <w:rPr>
                <w:rFonts w:ascii="仿宋_GB2312" w:eastAsia="仿宋_GB2312"/>
                <w:kern w:val="0"/>
                <w:lang w:bidi="en-US"/>
              </w:rPr>
            </w:pPr>
            <w:r>
              <w:rPr>
                <w:rFonts w:hint="eastAsia" w:ascii="仿宋_GB2312" w:eastAsia="仿宋_GB2312"/>
                <w:kern w:val="0"/>
                <w:lang w:bidi="en-US"/>
              </w:rPr>
              <w:t>询价方的证券账户号码，固收平台机构类账户显示证券账户名称。可以选择本交易员有权使用的所有交易账户。</w:t>
            </w:r>
          </w:p>
        </w:tc>
      </w:tr>
      <w:tr w14:paraId="4E3E9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6AE58495">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发送范围/询价对象</w:t>
            </w:r>
          </w:p>
        </w:tc>
        <w:tc>
          <w:tcPr>
            <w:tcW w:w="6946" w:type="dxa"/>
          </w:tcPr>
          <w:p w14:paraId="31C3CF09">
            <w:pPr>
              <w:pStyle w:val="12"/>
              <w:ind w:firstLine="0" w:firstLineChars="0"/>
              <w:rPr>
                <w:rFonts w:ascii="仿宋_GB2312" w:eastAsia="仿宋_GB2312"/>
                <w:kern w:val="0"/>
                <w:lang w:bidi="en-US"/>
              </w:rPr>
            </w:pPr>
            <w:r>
              <w:rPr>
                <w:rFonts w:hint="eastAsia" w:ascii="仿宋_GB2312" w:eastAsia="仿宋_GB2312"/>
                <w:kern w:val="0"/>
                <w:lang w:bidi="en-US"/>
              </w:rPr>
              <w:t>勾选询价请求发送对象。</w:t>
            </w:r>
          </w:p>
          <w:p w14:paraId="6182F29D">
            <w:pPr>
              <w:pStyle w:val="12"/>
              <w:ind w:firstLine="0" w:firstLineChars="0"/>
              <w:rPr>
                <w:rFonts w:ascii="仿宋_GB2312" w:eastAsia="仿宋_GB2312"/>
                <w:kern w:val="0"/>
                <w:lang w:bidi="en-US"/>
              </w:rPr>
            </w:pPr>
            <w:r>
              <w:rPr>
                <w:rFonts w:hint="eastAsia" w:ascii="仿宋_GB2312" w:eastAsia="仿宋_GB2312"/>
                <w:kern w:val="0"/>
                <w:lang w:bidi="en-US"/>
              </w:rPr>
              <w:t>发送对象的选择和配置同点击成交。</w:t>
            </w:r>
          </w:p>
        </w:tc>
      </w:tr>
      <w:tr w14:paraId="20222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09" w:type="dxa"/>
          </w:tcPr>
          <w:p w14:paraId="22E9D118">
            <w:pPr>
              <w:pStyle w:val="12"/>
              <w:ind w:firstLine="0" w:firstLineChars="0"/>
              <w:rPr>
                <w:rFonts w:ascii="仿宋_GB2312" w:eastAsia="仿宋_GB2312"/>
                <w:b/>
                <w:kern w:val="0"/>
                <w:lang w:eastAsia="en-US" w:bidi="en-US"/>
              </w:rPr>
            </w:pPr>
            <w:r>
              <w:rPr>
                <w:rFonts w:hint="eastAsia" w:ascii="仿宋_GB2312" w:eastAsia="仿宋_GB2312"/>
                <w:b/>
                <w:kern w:val="0"/>
                <w:lang w:bidi="en-US"/>
              </w:rPr>
              <w:t>是否匿名</w:t>
            </w:r>
          </w:p>
        </w:tc>
        <w:tc>
          <w:tcPr>
            <w:tcW w:w="6946" w:type="dxa"/>
          </w:tcPr>
          <w:p w14:paraId="7455D3E8">
            <w:pPr>
              <w:pStyle w:val="12"/>
              <w:ind w:firstLine="0" w:firstLineChars="0"/>
              <w:rPr>
                <w:rFonts w:ascii="仿宋_GB2312" w:eastAsia="仿宋_GB2312"/>
                <w:kern w:val="0"/>
                <w:lang w:bidi="en-US"/>
              </w:rPr>
            </w:pPr>
            <w:r>
              <w:rPr>
                <w:rFonts w:hint="eastAsia" w:ascii="仿宋_GB2312" w:hAnsi="宋体" w:eastAsia="仿宋_GB2312"/>
                <w:color w:val="000000"/>
                <w:kern w:val="0"/>
                <w:lang w:bidi="en-US"/>
              </w:rPr>
              <w:t>需匿名的，勾选“匿名提交”</w:t>
            </w:r>
          </w:p>
        </w:tc>
      </w:tr>
      <w:tr w14:paraId="77E52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09625B94">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结算方式</w:t>
            </w:r>
          </w:p>
        </w:tc>
        <w:tc>
          <w:tcPr>
            <w:tcW w:w="6946" w:type="dxa"/>
          </w:tcPr>
          <w:p w14:paraId="5F090BFC">
            <w:pPr>
              <w:pStyle w:val="12"/>
              <w:ind w:firstLine="0" w:firstLineChars="0"/>
              <w:rPr>
                <w:rFonts w:ascii="仿宋_GB2312" w:eastAsia="仿宋_GB2312"/>
                <w:kern w:val="0"/>
                <w:lang w:bidi="en-US"/>
              </w:rPr>
            </w:pPr>
            <w:r>
              <w:rPr>
                <w:rFonts w:hint="eastAsia" w:ascii="仿宋_GB2312" w:eastAsia="仿宋_GB2312"/>
                <w:kern w:val="0"/>
                <w:lang w:bidi="en-US"/>
              </w:rPr>
              <w:t>根据</w:t>
            </w:r>
            <w:r>
              <w:rPr>
                <w:rFonts w:ascii="仿宋_GB2312" w:eastAsia="仿宋_GB2312"/>
                <w:kern w:val="0"/>
                <w:lang w:bidi="en-US"/>
              </w:rPr>
              <w:t>交易品种</w:t>
            </w:r>
            <w:r>
              <w:rPr>
                <w:rFonts w:hint="eastAsia" w:ascii="仿宋_GB2312" w:eastAsia="仿宋_GB2312"/>
                <w:kern w:val="0"/>
                <w:lang w:bidi="en-US"/>
              </w:rPr>
              <w:t>自动带出“逐笔全额结算”或“多边净额结算”。</w:t>
            </w:r>
          </w:p>
        </w:tc>
      </w:tr>
      <w:tr w14:paraId="02947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55E5C70F">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结算</w:t>
            </w:r>
            <w:r>
              <w:rPr>
                <w:rFonts w:hint="eastAsia" w:ascii="仿宋_GB2312" w:eastAsia="仿宋_GB2312"/>
                <w:b/>
                <w:kern w:val="0"/>
                <w:lang w:bidi="en-US"/>
              </w:rPr>
              <w:t>周期</w:t>
            </w:r>
          </w:p>
        </w:tc>
        <w:tc>
          <w:tcPr>
            <w:tcW w:w="6946" w:type="dxa"/>
          </w:tcPr>
          <w:p w14:paraId="6E51B8C5">
            <w:pPr>
              <w:pStyle w:val="12"/>
              <w:ind w:firstLine="0" w:firstLineChars="0"/>
              <w:rPr>
                <w:rFonts w:ascii="仿宋_GB2312" w:eastAsia="仿宋_GB2312"/>
                <w:kern w:val="0"/>
                <w:lang w:bidi="en-US"/>
              </w:rPr>
            </w:pPr>
            <w:r>
              <w:rPr>
                <w:rFonts w:hint="eastAsia" w:ascii="仿宋_GB2312" w:eastAsia="仿宋_GB2312"/>
                <w:kern w:val="0"/>
                <w:lang w:bidi="en-US"/>
              </w:rPr>
              <w:t>根据结算方式</w:t>
            </w:r>
            <w:r>
              <w:rPr>
                <w:rFonts w:ascii="仿宋_GB2312" w:eastAsia="仿宋_GB2312"/>
                <w:kern w:val="0"/>
                <w:lang w:bidi="en-US"/>
              </w:rPr>
              <w:t>自动带出</w:t>
            </w:r>
          </w:p>
        </w:tc>
      </w:tr>
      <w:tr w14:paraId="2E140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053474AD">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证券简称</w:t>
            </w:r>
          </w:p>
        </w:tc>
        <w:tc>
          <w:tcPr>
            <w:tcW w:w="6946" w:type="dxa"/>
          </w:tcPr>
          <w:p w14:paraId="1F8E1443">
            <w:pPr>
              <w:pStyle w:val="12"/>
              <w:ind w:firstLine="0" w:firstLineChars="0"/>
              <w:rPr>
                <w:rFonts w:ascii="仿宋_GB2312" w:eastAsia="仿宋_GB2312"/>
                <w:kern w:val="0"/>
                <w:lang w:bidi="en-US"/>
              </w:rPr>
            </w:pPr>
            <w:r>
              <w:rPr>
                <w:rFonts w:hint="eastAsia" w:ascii="仿宋_GB2312" w:hAnsi="宋体" w:eastAsia="仿宋_GB2312"/>
                <w:kern w:val="0"/>
                <w:lang w:bidi="en-US"/>
              </w:rPr>
              <w:t>即上交所证券简称，有证券代码的交易品种，简称根据证券代码自动显示</w:t>
            </w:r>
          </w:p>
        </w:tc>
      </w:tr>
      <w:tr w14:paraId="03891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09" w:type="dxa"/>
          </w:tcPr>
          <w:p w14:paraId="0E37B00E">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价格类型</w:t>
            </w:r>
          </w:p>
        </w:tc>
        <w:tc>
          <w:tcPr>
            <w:tcW w:w="6946" w:type="dxa"/>
          </w:tcPr>
          <w:p w14:paraId="0C46DFA6">
            <w:pPr>
              <w:pStyle w:val="12"/>
              <w:ind w:firstLine="0" w:firstLineChars="0"/>
              <w:rPr>
                <w:rFonts w:ascii="仿宋_GB2312" w:hAnsi="宋体" w:eastAsia="仿宋_GB2312"/>
                <w:kern w:val="0"/>
                <w:lang w:bidi="en-US"/>
              </w:rPr>
            </w:pPr>
            <w:r>
              <w:rPr>
                <w:rFonts w:hint="eastAsia" w:ascii="仿宋_GB2312" w:eastAsia="仿宋_GB2312"/>
                <w:kern w:val="0"/>
                <w:lang w:bidi="en-US"/>
              </w:rPr>
              <w:t>净价或全价，当输入证券代码时自动显示价格类型</w:t>
            </w:r>
          </w:p>
        </w:tc>
      </w:tr>
      <w:tr w14:paraId="6F072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373443B7">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申报日期时间</w:t>
            </w:r>
          </w:p>
        </w:tc>
        <w:tc>
          <w:tcPr>
            <w:tcW w:w="6946" w:type="dxa"/>
          </w:tcPr>
          <w:p w14:paraId="787C7D7F">
            <w:pPr>
              <w:pStyle w:val="12"/>
              <w:ind w:firstLine="0" w:firstLineChars="0"/>
              <w:rPr>
                <w:rFonts w:ascii="仿宋_GB2312" w:eastAsia="仿宋_GB2312"/>
                <w:kern w:val="0"/>
                <w:lang w:bidi="en-US"/>
              </w:rPr>
            </w:pPr>
            <w:r>
              <w:rPr>
                <w:rFonts w:hint="eastAsia" w:ascii="仿宋_GB2312" w:eastAsia="仿宋_GB2312"/>
                <w:kern w:val="0"/>
                <w:lang w:bidi="en-US"/>
              </w:rPr>
              <w:t>交易申报日期（年月日）及时间（时分秒），自动显示</w:t>
            </w:r>
          </w:p>
        </w:tc>
      </w:tr>
      <w:tr w14:paraId="45B0B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76BE26D2">
            <w:pPr>
              <w:pStyle w:val="12"/>
              <w:ind w:firstLine="0" w:firstLineChars="0"/>
              <w:rPr>
                <w:rFonts w:ascii="仿宋_GB2312" w:eastAsia="仿宋_GB2312"/>
                <w:b/>
                <w:kern w:val="0"/>
                <w:lang w:bidi="en-US"/>
              </w:rPr>
            </w:pPr>
            <w:r>
              <w:rPr>
                <w:rFonts w:hint="eastAsia" w:ascii="仿宋_GB2312" w:eastAsia="仿宋_GB2312"/>
                <w:b/>
                <w:kern w:val="0"/>
                <w:lang w:eastAsia="en-US" w:bidi="en-US"/>
              </w:rPr>
              <w:t>结算</w:t>
            </w:r>
            <w:r>
              <w:rPr>
                <w:rFonts w:hint="eastAsia" w:ascii="仿宋_GB2312" w:eastAsia="仿宋_GB2312"/>
                <w:b/>
                <w:kern w:val="0"/>
                <w:lang w:bidi="en-US"/>
              </w:rPr>
              <w:t>日期</w:t>
            </w:r>
          </w:p>
        </w:tc>
        <w:tc>
          <w:tcPr>
            <w:tcW w:w="6946" w:type="dxa"/>
          </w:tcPr>
          <w:p w14:paraId="0061E86B">
            <w:pPr>
              <w:pStyle w:val="12"/>
              <w:ind w:firstLine="0" w:firstLineChars="0"/>
              <w:rPr>
                <w:rFonts w:ascii="仿宋_GB2312" w:eastAsia="仿宋_GB2312"/>
                <w:kern w:val="0"/>
                <w:lang w:bidi="en-US"/>
              </w:rPr>
            </w:pPr>
            <w:r>
              <w:rPr>
                <w:rFonts w:hint="eastAsia" w:ascii="仿宋_GB2312" w:eastAsia="仿宋_GB2312"/>
                <w:kern w:val="0"/>
                <w:lang w:bidi="en-US"/>
              </w:rPr>
              <w:t>根据当前交易日期、结算周期，自动显示</w:t>
            </w:r>
          </w:p>
        </w:tc>
      </w:tr>
      <w:tr w14:paraId="1A859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0711D8D8">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交易PBU</w:t>
            </w:r>
          </w:p>
        </w:tc>
        <w:tc>
          <w:tcPr>
            <w:tcW w:w="6946" w:type="dxa"/>
          </w:tcPr>
          <w:p w14:paraId="79EE3D65">
            <w:pPr>
              <w:pStyle w:val="12"/>
              <w:ind w:firstLine="0" w:firstLineChars="0"/>
              <w:rPr>
                <w:rFonts w:ascii="仿宋_GB2312" w:hAnsi="宋体" w:eastAsia="仿宋_GB2312"/>
                <w:color w:val="000000"/>
                <w:kern w:val="0"/>
                <w:lang w:bidi="en-US"/>
              </w:rPr>
            </w:pPr>
            <w:r>
              <w:rPr>
                <w:rFonts w:hint="eastAsia" w:ascii="仿宋_GB2312" w:eastAsia="仿宋_GB2312"/>
                <w:kern w:val="0"/>
                <w:lang w:bidi="en-US"/>
              </w:rPr>
              <w:t>交易参与人的交易单元号码</w:t>
            </w:r>
            <w:r>
              <w:rPr>
                <w:rFonts w:hint="eastAsia" w:ascii="仿宋_GB2312" w:hAnsi="宋体" w:eastAsia="仿宋_GB2312"/>
                <w:kern w:val="0"/>
                <w:lang w:bidi="en-US"/>
              </w:rPr>
              <w:t>，</w:t>
            </w:r>
            <w:r>
              <w:rPr>
                <w:rFonts w:hint="eastAsia" w:ascii="仿宋_GB2312" w:eastAsia="仿宋_GB2312"/>
                <w:kern w:val="0"/>
                <w:lang w:bidi="en-US"/>
              </w:rPr>
              <w:t>自动显示</w:t>
            </w:r>
          </w:p>
        </w:tc>
      </w:tr>
      <w:tr w14:paraId="0A338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09" w:type="dxa"/>
          </w:tcPr>
          <w:p w14:paraId="3E770612">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交易参与人</w:t>
            </w:r>
          </w:p>
        </w:tc>
        <w:tc>
          <w:tcPr>
            <w:tcW w:w="6946" w:type="dxa"/>
          </w:tcPr>
          <w:p w14:paraId="20E08C06">
            <w:pPr>
              <w:pStyle w:val="12"/>
              <w:ind w:firstLine="0" w:firstLineChars="0"/>
              <w:rPr>
                <w:rFonts w:ascii="仿宋_GB2312" w:hAnsi="宋体" w:eastAsia="仿宋_GB2312"/>
                <w:color w:val="000000"/>
                <w:kern w:val="0"/>
                <w:lang w:bidi="en-US"/>
              </w:rPr>
            </w:pPr>
            <w:r>
              <w:rPr>
                <w:rFonts w:hint="eastAsia" w:ascii="仿宋_GB2312" w:eastAsia="仿宋_GB2312"/>
                <w:kern w:val="0"/>
                <w:lang w:bidi="en-US"/>
              </w:rPr>
              <w:t>交易参与人简称，自动显示，无需输入</w:t>
            </w:r>
          </w:p>
        </w:tc>
      </w:tr>
      <w:tr w14:paraId="5FE32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194C59C9">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交易员代码</w:t>
            </w:r>
          </w:p>
        </w:tc>
        <w:tc>
          <w:tcPr>
            <w:tcW w:w="6946" w:type="dxa"/>
          </w:tcPr>
          <w:p w14:paraId="0A664DD6">
            <w:pPr>
              <w:pStyle w:val="12"/>
              <w:ind w:firstLine="0" w:firstLineChars="0"/>
              <w:rPr>
                <w:rFonts w:ascii="仿宋_GB2312" w:hAnsi="宋体" w:eastAsia="仿宋_GB2312"/>
                <w:color w:val="000000"/>
                <w:kern w:val="0"/>
                <w:lang w:bidi="en-US"/>
              </w:rPr>
            </w:pPr>
            <w:r>
              <w:rPr>
                <w:rFonts w:hint="eastAsia" w:ascii="仿宋_GB2312" w:eastAsia="仿宋_GB2312"/>
                <w:kern w:val="0"/>
                <w:lang w:bidi="en-US"/>
              </w:rPr>
              <w:t>交易员代码，自动显示，无需输入</w:t>
            </w:r>
          </w:p>
        </w:tc>
      </w:tr>
      <w:tr w14:paraId="21BDC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79531080">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交易员名称</w:t>
            </w:r>
          </w:p>
        </w:tc>
        <w:tc>
          <w:tcPr>
            <w:tcW w:w="6946" w:type="dxa"/>
          </w:tcPr>
          <w:p w14:paraId="39B798A2">
            <w:pPr>
              <w:pStyle w:val="12"/>
              <w:ind w:firstLine="0" w:firstLineChars="0"/>
              <w:rPr>
                <w:rFonts w:ascii="仿宋_GB2312" w:hAnsi="宋体" w:eastAsia="仿宋_GB2312"/>
                <w:color w:val="000000"/>
                <w:kern w:val="0"/>
                <w:lang w:bidi="en-US"/>
              </w:rPr>
            </w:pPr>
            <w:r>
              <w:rPr>
                <w:rFonts w:hint="eastAsia" w:ascii="仿宋_GB2312" w:eastAsia="仿宋_GB2312"/>
                <w:kern w:val="0"/>
                <w:lang w:bidi="en-US"/>
              </w:rPr>
              <w:t>交易员名称，自动显示，无需输入</w:t>
            </w:r>
          </w:p>
        </w:tc>
      </w:tr>
      <w:tr w14:paraId="16146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53B37789">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交易方式</w:t>
            </w:r>
          </w:p>
        </w:tc>
        <w:tc>
          <w:tcPr>
            <w:tcW w:w="6946" w:type="dxa"/>
          </w:tcPr>
          <w:p w14:paraId="37019FD1">
            <w:pPr>
              <w:pStyle w:val="12"/>
              <w:ind w:firstLine="0" w:firstLineChars="0"/>
              <w:rPr>
                <w:rFonts w:ascii="仿宋_GB2312" w:eastAsia="仿宋_GB2312"/>
                <w:kern w:val="0"/>
                <w:lang w:eastAsia="en-US" w:bidi="en-US"/>
              </w:rPr>
            </w:pPr>
            <w:r>
              <w:rPr>
                <w:rFonts w:hint="eastAsia" w:ascii="仿宋_GB2312" w:eastAsia="仿宋_GB2312"/>
                <w:kern w:val="0"/>
                <w:lang w:eastAsia="en-US" w:bidi="en-US"/>
              </w:rPr>
              <w:t>询价成交</w:t>
            </w:r>
          </w:p>
        </w:tc>
      </w:tr>
    </w:tbl>
    <w:p w14:paraId="57AAE500">
      <w:pPr>
        <w:spacing w:line="600" w:lineRule="exact"/>
        <w:ind w:firstLine="600" w:firstLineChars="200"/>
        <w:outlineLvl w:val="3"/>
        <w:rPr>
          <w:rFonts w:ascii="仿宋_GB2312" w:hAnsi="仿宋" w:eastAsia="仿宋_GB2312"/>
          <w:sz w:val="30"/>
          <w:szCs w:val="30"/>
        </w:rPr>
      </w:pPr>
      <w:r>
        <w:rPr>
          <w:rFonts w:hint="eastAsia" w:ascii="仿宋_GB2312" w:hAnsi="仿宋" w:eastAsia="仿宋_GB2312"/>
          <w:sz w:val="30"/>
          <w:szCs w:val="30"/>
        </w:rPr>
        <w:t>（</w:t>
      </w:r>
      <w:r>
        <w:rPr>
          <w:rFonts w:ascii="仿宋_GB2312" w:hAnsi="仿宋" w:eastAsia="仿宋_GB2312"/>
          <w:sz w:val="30"/>
          <w:szCs w:val="30"/>
        </w:rPr>
        <w:t>2）询价</w:t>
      </w:r>
      <w:r>
        <w:rPr>
          <w:rFonts w:hint="eastAsia" w:ascii="仿宋_GB2312" w:hAnsi="仿宋" w:eastAsia="仿宋_GB2312"/>
          <w:sz w:val="30"/>
          <w:szCs w:val="30"/>
        </w:rPr>
        <w:t>回复</w:t>
      </w:r>
    </w:p>
    <w:p w14:paraId="05A4A428">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被询价方收到询价请求后，可依据相关规则与本指南相关规定对询价请求进行回复。</w:t>
      </w:r>
      <w:r>
        <w:rPr>
          <w:rFonts w:hint="eastAsia" w:ascii="仿宋_GB2312" w:eastAsia="仿宋_GB2312"/>
          <w:sz w:val="30"/>
          <w:szCs w:val="30"/>
        </w:rPr>
        <w:t>询价回复方针对询价请求进行询价回复时，可以修改数量、结算方式、结算周期等。</w:t>
      </w:r>
    </w:p>
    <w:p w14:paraId="6D6EA217">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询价回复的要素应当包括价格、数量、被询价方证券账户等内容，</w:t>
      </w:r>
      <w:r>
        <w:rPr>
          <w:rFonts w:hint="eastAsia" w:ascii="仿宋_GB2312" w:eastAsia="仿宋_GB2312"/>
          <w:color w:val="000000"/>
          <w:sz w:val="30"/>
          <w:szCs w:val="30"/>
        </w:rPr>
        <w:t>具体要素及要素说明</w:t>
      </w:r>
      <w:r>
        <w:rPr>
          <w:rFonts w:hint="eastAsia" w:ascii="仿宋_GB2312" w:hAnsi="仿宋" w:eastAsia="仿宋_GB2312"/>
          <w:sz w:val="30"/>
          <w:szCs w:val="30"/>
        </w:rPr>
        <w:t>如下：</w:t>
      </w:r>
    </w:p>
    <w:tbl>
      <w:tblPr>
        <w:tblStyle w:val="43"/>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8"/>
        <w:gridCol w:w="6945"/>
      </w:tblGrid>
      <w:tr w14:paraId="6C7F8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6DD3D6C1">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要素名称</w:t>
            </w:r>
          </w:p>
        </w:tc>
        <w:tc>
          <w:tcPr>
            <w:tcW w:w="6945" w:type="dxa"/>
          </w:tcPr>
          <w:p w14:paraId="512DDC71">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要素说明</w:t>
            </w:r>
          </w:p>
        </w:tc>
      </w:tr>
      <w:tr w14:paraId="7BFD0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1BA18884">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申报类型</w:t>
            </w:r>
          </w:p>
        </w:tc>
        <w:tc>
          <w:tcPr>
            <w:tcW w:w="6945" w:type="dxa"/>
          </w:tcPr>
          <w:p w14:paraId="2424422F">
            <w:pPr>
              <w:pStyle w:val="12"/>
              <w:ind w:firstLine="0" w:firstLineChars="0"/>
              <w:rPr>
                <w:rFonts w:ascii="仿宋_GB2312" w:hAnsi="宋体" w:eastAsia="仿宋_GB2312"/>
                <w:kern w:val="0"/>
                <w:lang w:eastAsia="en-US" w:bidi="en-US"/>
              </w:rPr>
            </w:pPr>
            <w:r>
              <w:rPr>
                <w:rFonts w:hint="eastAsia" w:ascii="仿宋_GB2312" w:hAnsi="宋体" w:eastAsia="仿宋_GB2312"/>
                <w:kern w:val="0"/>
                <w:lang w:eastAsia="en-US" w:bidi="en-US"/>
              </w:rPr>
              <w:t>询价回复</w:t>
            </w:r>
          </w:p>
        </w:tc>
      </w:tr>
      <w:tr w14:paraId="24CF5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523F13C7">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交易品种</w:t>
            </w:r>
          </w:p>
        </w:tc>
        <w:tc>
          <w:tcPr>
            <w:tcW w:w="6945" w:type="dxa"/>
          </w:tcPr>
          <w:p w14:paraId="742FC96F">
            <w:pPr>
              <w:pStyle w:val="12"/>
              <w:ind w:firstLine="0" w:firstLineChars="0"/>
              <w:rPr>
                <w:rFonts w:ascii="仿宋_GB2312" w:hAnsi="宋体" w:eastAsia="仿宋_GB2312"/>
                <w:kern w:val="0"/>
                <w:lang w:bidi="en-US"/>
              </w:rPr>
            </w:pPr>
            <w:r>
              <w:rPr>
                <w:rFonts w:hint="eastAsia" w:ascii="仿宋_GB2312" w:hAnsi="宋体" w:eastAsia="仿宋_GB2312"/>
                <w:kern w:val="0"/>
                <w:lang w:bidi="en-US"/>
              </w:rPr>
              <w:t>交易品种的名称或证券代码</w:t>
            </w:r>
          </w:p>
        </w:tc>
      </w:tr>
      <w:tr w14:paraId="1EA73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668" w:type="dxa"/>
          </w:tcPr>
          <w:p w14:paraId="4FF7BD26">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证券简称</w:t>
            </w:r>
          </w:p>
        </w:tc>
        <w:tc>
          <w:tcPr>
            <w:tcW w:w="6945" w:type="dxa"/>
          </w:tcPr>
          <w:p w14:paraId="3DF63509">
            <w:pPr>
              <w:pStyle w:val="12"/>
              <w:ind w:firstLine="0" w:firstLineChars="0"/>
              <w:rPr>
                <w:rFonts w:ascii="仿宋_GB2312" w:hAnsi="宋体" w:eastAsia="仿宋_GB2312"/>
                <w:kern w:val="0"/>
                <w:lang w:bidi="en-US"/>
              </w:rPr>
            </w:pPr>
            <w:r>
              <w:rPr>
                <w:rFonts w:hint="eastAsia" w:ascii="仿宋_GB2312" w:hAnsi="宋体" w:eastAsia="仿宋_GB2312"/>
                <w:kern w:val="0"/>
                <w:lang w:bidi="en-US"/>
              </w:rPr>
              <w:t>即上交所证券简称，有证券代码的交易品种，简称根据证券代码自动显示</w:t>
            </w:r>
          </w:p>
        </w:tc>
      </w:tr>
      <w:tr w14:paraId="204CC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6DFC084B">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价格</w:t>
            </w:r>
          </w:p>
        </w:tc>
        <w:tc>
          <w:tcPr>
            <w:tcW w:w="6945" w:type="dxa"/>
          </w:tcPr>
          <w:p w14:paraId="293BB5FE">
            <w:pPr>
              <w:pStyle w:val="12"/>
              <w:ind w:firstLine="0" w:firstLineChars="0"/>
              <w:rPr>
                <w:rFonts w:ascii="仿宋_GB2312" w:eastAsia="仿宋_GB2312"/>
                <w:kern w:val="0"/>
                <w:lang w:bidi="en-US"/>
              </w:rPr>
            </w:pPr>
            <w:r>
              <w:rPr>
                <w:rFonts w:hint="eastAsia" w:ascii="仿宋_GB2312" w:eastAsia="仿宋_GB2312"/>
                <w:kern w:val="0"/>
                <w:lang w:bidi="en-US"/>
              </w:rPr>
              <w:t>回复的价格，单位：元</w:t>
            </w:r>
          </w:p>
        </w:tc>
      </w:tr>
      <w:tr w14:paraId="1CF8E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59DF4852">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数量</w:t>
            </w:r>
          </w:p>
        </w:tc>
        <w:tc>
          <w:tcPr>
            <w:tcW w:w="6945" w:type="dxa"/>
          </w:tcPr>
          <w:p w14:paraId="628D9033">
            <w:pPr>
              <w:pStyle w:val="12"/>
              <w:ind w:firstLine="0" w:firstLineChars="0"/>
              <w:rPr>
                <w:rFonts w:ascii="仿宋_GB2312" w:eastAsia="仿宋_GB2312"/>
                <w:kern w:val="0"/>
                <w:lang w:bidi="en-US"/>
              </w:rPr>
            </w:pPr>
            <w:r>
              <w:rPr>
                <w:rFonts w:hint="eastAsia" w:ascii="仿宋_GB2312" w:eastAsia="仿宋_GB2312"/>
                <w:kern w:val="0"/>
                <w:lang w:bidi="en-US"/>
              </w:rPr>
              <w:t>回复的数量，单位：千元面额。询价回复数量应小于或等于询价请求设定的数量。</w:t>
            </w:r>
          </w:p>
        </w:tc>
      </w:tr>
      <w:tr w14:paraId="0BD2A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2978F85E">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证券账户/账户名称</w:t>
            </w:r>
          </w:p>
        </w:tc>
        <w:tc>
          <w:tcPr>
            <w:tcW w:w="6945" w:type="dxa"/>
          </w:tcPr>
          <w:p w14:paraId="3DD1A94B">
            <w:pPr>
              <w:pStyle w:val="12"/>
              <w:ind w:firstLine="0" w:firstLineChars="0"/>
              <w:rPr>
                <w:rFonts w:ascii="仿宋_GB2312" w:eastAsia="仿宋_GB2312"/>
                <w:kern w:val="0"/>
                <w:lang w:bidi="en-US"/>
              </w:rPr>
            </w:pPr>
            <w:r>
              <w:rPr>
                <w:rFonts w:hint="eastAsia" w:ascii="仿宋_GB2312" w:eastAsia="仿宋_GB2312"/>
                <w:kern w:val="0"/>
                <w:lang w:bidi="en-US"/>
              </w:rPr>
              <w:t>被询价方的证券账户号码，固收平台机构类账户显示证券账户名称。</w:t>
            </w:r>
          </w:p>
        </w:tc>
      </w:tr>
      <w:tr w14:paraId="5ABD7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668" w:type="dxa"/>
          </w:tcPr>
          <w:p w14:paraId="0EF1C09A">
            <w:pPr>
              <w:pStyle w:val="12"/>
              <w:ind w:firstLine="0" w:firstLineChars="0"/>
              <w:rPr>
                <w:rFonts w:ascii="仿宋_GB2312" w:eastAsia="仿宋_GB2312"/>
                <w:b/>
                <w:kern w:val="0"/>
                <w:lang w:bidi="en-US"/>
              </w:rPr>
            </w:pPr>
            <w:r>
              <w:rPr>
                <w:rFonts w:hint="eastAsia" w:ascii="仿宋_GB2312" w:eastAsia="仿宋_GB2312"/>
                <w:b/>
                <w:kern w:val="0"/>
                <w:lang w:bidi="en-US"/>
              </w:rPr>
              <w:t>对手方证券账户/账户名称</w:t>
            </w:r>
          </w:p>
        </w:tc>
        <w:tc>
          <w:tcPr>
            <w:tcW w:w="6945" w:type="dxa"/>
          </w:tcPr>
          <w:p w14:paraId="3A7B15A8">
            <w:pPr>
              <w:pStyle w:val="12"/>
              <w:ind w:firstLine="0" w:firstLineChars="0"/>
              <w:rPr>
                <w:rFonts w:ascii="仿宋_GB2312" w:eastAsia="仿宋_GB2312"/>
                <w:kern w:val="0"/>
                <w:lang w:bidi="en-US"/>
              </w:rPr>
            </w:pPr>
            <w:r>
              <w:rPr>
                <w:rFonts w:hint="eastAsia" w:ascii="仿宋_GB2312" w:eastAsia="仿宋_GB2312"/>
                <w:kern w:val="0"/>
                <w:lang w:bidi="en-US"/>
              </w:rPr>
              <w:t>询价方的证券账户号码，固收平台机构类账户显示证券账户名称。</w:t>
            </w:r>
          </w:p>
        </w:tc>
      </w:tr>
      <w:tr w14:paraId="3340E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60BA7E6D">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结算方式</w:t>
            </w:r>
          </w:p>
        </w:tc>
        <w:tc>
          <w:tcPr>
            <w:tcW w:w="6945" w:type="dxa"/>
          </w:tcPr>
          <w:p w14:paraId="1453A675">
            <w:pPr>
              <w:pStyle w:val="12"/>
              <w:ind w:firstLine="0" w:firstLineChars="0"/>
              <w:rPr>
                <w:rFonts w:ascii="仿宋_GB2312" w:eastAsia="仿宋_GB2312"/>
                <w:kern w:val="0"/>
                <w:lang w:bidi="en-US"/>
              </w:rPr>
            </w:pPr>
            <w:r>
              <w:rPr>
                <w:rFonts w:hint="eastAsia" w:ascii="仿宋_GB2312" w:eastAsia="仿宋_GB2312"/>
                <w:kern w:val="0"/>
                <w:lang w:bidi="en-US"/>
              </w:rPr>
              <w:t>根据</w:t>
            </w:r>
            <w:r>
              <w:rPr>
                <w:rFonts w:ascii="仿宋_GB2312" w:eastAsia="仿宋_GB2312"/>
                <w:kern w:val="0"/>
                <w:lang w:bidi="en-US"/>
              </w:rPr>
              <w:t>交易品种</w:t>
            </w:r>
            <w:r>
              <w:rPr>
                <w:rFonts w:hint="eastAsia" w:ascii="仿宋_GB2312" w:eastAsia="仿宋_GB2312"/>
                <w:kern w:val="0"/>
                <w:lang w:bidi="en-US"/>
              </w:rPr>
              <w:t>自动带出勾选“逐笔全额结算”或“多边净额结算”。</w:t>
            </w:r>
          </w:p>
        </w:tc>
      </w:tr>
      <w:tr w14:paraId="6BFAD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112B6CF8">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结算速度</w:t>
            </w:r>
          </w:p>
        </w:tc>
        <w:tc>
          <w:tcPr>
            <w:tcW w:w="6945" w:type="dxa"/>
          </w:tcPr>
          <w:p w14:paraId="5CA94CAF">
            <w:pPr>
              <w:pStyle w:val="12"/>
              <w:ind w:firstLine="0" w:firstLineChars="0"/>
              <w:rPr>
                <w:rFonts w:ascii="仿宋_GB2312" w:eastAsia="仿宋_GB2312"/>
                <w:kern w:val="0"/>
                <w:lang w:bidi="en-US"/>
              </w:rPr>
            </w:pPr>
            <w:r>
              <w:rPr>
                <w:rFonts w:hint="eastAsia" w:ascii="仿宋_GB2312" w:eastAsia="仿宋_GB2312"/>
                <w:kern w:val="0"/>
                <w:lang w:bidi="en-US"/>
              </w:rPr>
              <w:t>根据结算方式自动带出</w:t>
            </w:r>
          </w:p>
        </w:tc>
      </w:tr>
      <w:tr w14:paraId="0DECF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04DDF20D">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交易方向</w:t>
            </w:r>
          </w:p>
        </w:tc>
        <w:tc>
          <w:tcPr>
            <w:tcW w:w="6945" w:type="dxa"/>
          </w:tcPr>
          <w:p w14:paraId="598FEF8B">
            <w:pPr>
              <w:pStyle w:val="12"/>
              <w:ind w:firstLine="0" w:firstLineChars="0"/>
              <w:rPr>
                <w:rFonts w:ascii="仿宋_GB2312" w:hAnsi="宋体" w:eastAsia="仿宋_GB2312"/>
                <w:color w:val="000000"/>
                <w:kern w:val="0"/>
                <w:lang w:bidi="en-US"/>
              </w:rPr>
            </w:pPr>
            <w:r>
              <w:rPr>
                <w:rFonts w:hint="eastAsia" w:ascii="仿宋_GB2312" w:eastAsia="仿宋_GB2312"/>
                <w:kern w:val="0"/>
                <w:lang w:bidi="en-US"/>
              </w:rPr>
              <w:t>交易的买卖方向，即买入/卖出，自动显示</w:t>
            </w:r>
          </w:p>
        </w:tc>
      </w:tr>
      <w:tr w14:paraId="4282C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668" w:type="dxa"/>
          </w:tcPr>
          <w:p w14:paraId="22EF8897">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价格类型</w:t>
            </w:r>
          </w:p>
        </w:tc>
        <w:tc>
          <w:tcPr>
            <w:tcW w:w="6945" w:type="dxa"/>
          </w:tcPr>
          <w:p w14:paraId="5659D623">
            <w:pPr>
              <w:pStyle w:val="12"/>
              <w:ind w:firstLine="0" w:firstLineChars="0"/>
              <w:rPr>
                <w:rFonts w:ascii="仿宋_GB2312" w:eastAsia="仿宋_GB2312"/>
                <w:kern w:val="0"/>
                <w:lang w:bidi="en-US"/>
              </w:rPr>
            </w:pPr>
            <w:r>
              <w:rPr>
                <w:rFonts w:hint="eastAsia" w:ascii="仿宋_GB2312" w:eastAsia="仿宋_GB2312"/>
                <w:kern w:val="0"/>
                <w:lang w:bidi="en-US"/>
              </w:rPr>
              <w:t>净价或全价，自动显示</w:t>
            </w:r>
          </w:p>
        </w:tc>
      </w:tr>
      <w:tr w14:paraId="3B9E7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701C1218">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申报日期时间</w:t>
            </w:r>
          </w:p>
        </w:tc>
        <w:tc>
          <w:tcPr>
            <w:tcW w:w="6945" w:type="dxa"/>
          </w:tcPr>
          <w:p w14:paraId="2384C041">
            <w:pPr>
              <w:pStyle w:val="12"/>
              <w:ind w:firstLine="0" w:firstLineChars="0"/>
              <w:rPr>
                <w:rFonts w:ascii="仿宋_GB2312" w:eastAsia="仿宋_GB2312"/>
                <w:kern w:val="0"/>
                <w:lang w:bidi="en-US"/>
              </w:rPr>
            </w:pPr>
            <w:r>
              <w:rPr>
                <w:rFonts w:hint="eastAsia" w:ascii="仿宋_GB2312" w:eastAsia="仿宋_GB2312"/>
                <w:kern w:val="0"/>
                <w:lang w:bidi="en-US"/>
              </w:rPr>
              <w:t>交易申报日期（年月日）及时间（时分秒），自动显示</w:t>
            </w:r>
          </w:p>
        </w:tc>
      </w:tr>
      <w:tr w14:paraId="14B59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52D2E6F0">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结算</w:t>
            </w:r>
            <w:r>
              <w:rPr>
                <w:rFonts w:hint="eastAsia" w:ascii="仿宋_GB2312" w:eastAsia="仿宋_GB2312"/>
                <w:b/>
                <w:kern w:val="0"/>
                <w:lang w:bidi="en-US"/>
              </w:rPr>
              <w:t>日期</w:t>
            </w:r>
          </w:p>
        </w:tc>
        <w:tc>
          <w:tcPr>
            <w:tcW w:w="6945" w:type="dxa"/>
          </w:tcPr>
          <w:p w14:paraId="23129B81">
            <w:pPr>
              <w:pStyle w:val="12"/>
              <w:ind w:firstLine="0" w:firstLineChars="0"/>
              <w:rPr>
                <w:rFonts w:ascii="仿宋_GB2312" w:hAnsi="宋体" w:eastAsia="仿宋_GB2312"/>
                <w:b/>
                <w:bCs/>
                <w:kern w:val="0"/>
                <w:lang w:bidi="en-US"/>
              </w:rPr>
            </w:pPr>
            <w:r>
              <w:rPr>
                <w:rFonts w:hint="eastAsia" w:ascii="仿宋_GB2312" w:eastAsia="仿宋_GB2312"/>
                <w:kern w:val="0"/>
                <w:lang w:bidi="en-US"/>
              </w:rPr>
              <w:t>根据当前交易日期、结算速度，自动显示</w:t>
            </w:r>
          </w:p>
        </w:tc>
      </w:tr>
      <w:tr w14:paraId="3F46F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58290D7A">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交易PBU</w:t>
            </w:r>
          </w:p>
        </w:tc>
        <w:tc>
          <w:tcPr>
            <w:tcW w:w="6945" w:type="dxa"/>
          </w:tcPr>
          <w:p w14:paraId="1D10653F">
            <w:pPr>
              <w:pStyle w:val="12"/>
              <w:ind w:firstLine="0" w:firstLineChars="0"/>
              <w:rPr>
                <w:rFonts w:ascii="仿宋_GB2312" w:eastAsia="仿宋_GB2312"/>
                <w:kern w:val="0"/>
                <w:lang w:bidi="en-US"/>
              </w:rPr>
            </w:pPr>
            <w:r>
              <w:rPr>
                <w:rFonts w:hint="eastAsia" w:ascii="仿宋_GB2312" w:hAnsi="宋体" w:eastAsia="仿宋_GB2312"/>
                <w:kern w:val="0"/>
                <w:lang w:bidi="en-US"/>
              </w:rPr>
              <w:t>被询价方</w:t>
            </w:r>
            <w:r>
              <w:rPr>
                <w:rFonts w:hint="eastAsia" w:ascii="仿宋_GB2312" w:eastAsia="仿宋_GB2312"/>
                <w:kern w:val="0"/>
                <w:lang w:bidi="en-US"/>
              </w:rPr>
              <w:t>的交易单元号码</w:t>
            </w:r>
            <w:r>
              <w:rPr>
                <w:rFonts w:hint="eastAsia" w:ascii="仿宋_GB2312" w:hAnsi="宋体" w:eastAsia="仿宋_GB2312"/>
                <w:kern w:val="0"/>
                <w:lang w:bidi="en-US"/>
              </w:rPr>
              <w:t>，同询价请求订单</w:t>
            </w:r>
            <w:r>
              <w:rPr>
                <w:rFonts w:hint="eastAsia" w:ascii="仿宋_GB2312" w:eastAsia="仿宋_GB2312"/>
                <w:kern w:val="0"/>
                <w:lang w:bidi="en-US"/>
              </w:rPr>
              <w:t>，自动显示</w:t>
            </w:r>
          </w:p>
        </w:tc>
      </w:tr>
      <w:tr w14:paraId="7C65F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668" w:type="dxa"/>
          </w:tcPr>
          <w:p w14:paraId="11F370A5">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交易参与人</w:t>
            </w:r>
          </w:p>
        </w:tc>
        <w:tc>
          <w:tcPr>
            <w:tcW w:w="6945" w:type="dxa"/>
          </w:tcPr>
          <w:p w14:paraId="50C4EF13">
            <w:pPr>
              <w:pStyle w:val="12"/>
              <w:ind w:firstLine="0" w:firstLineChars="0"/>
              <w:rPr>
                <w:rFonts w:ascii="仿宋_GB2312" w:eastAsia="仿宋_GB2312"/>
                <w:kern w:val="0"/>
                <w:lang w:bidi="en-US"/>
              </w:rPr>
            </w:pPr>
            <w:r>
              <w:rPr>
                <w:rFonts w:hint="eastAsia" w:ascii="仿宋_GB2312" w:hAnsi="宋体" w:eastAsia="仿宋_GB2312"/>
                <w:kern w:val="0"/>
                <w:lang w:bidi="en-US"/>
              </w:rPr>
              <w:t>被询价方</w:t>
            </w:r>
            <w:r>
              <w:rPr>
                <w:rFonts w:hint="eastAsia" w:ascii="仿宋_GB2312" w:eastAsia="仿宋_GB2312"/>
                <w:kern w:val="0"/>
                <w:lang w:bidi="en-US"/>
              </w:rPr>
              <w:t>交易参与人简称，自动显示，无需输入</w:t>
            </w:r>
          </w:p>
        </w:tc>
      </w:tr>
      <w:tr w14:paraId="45BFC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16D3B0C0">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交易员代码</w:t>
            </w:r>
          </w:p>
        </w:tc>
        <w:tc>
          <w:tcPr>
            <w:tcW w:w="6945" w:type="dxa"/>
          </w:tcPr>
          <w:p w14:paraId="5DEDF9DE">
            <w:pPr>
              <w:pStyle w:val="12"/>
              <w:ind w:firstLine="0" w:firstLineChars="0"/>
              <w:rPr>
                <w:rFonts w:ascii="仿宋_GB2312" w:eastAsia="仿宋_GB2312"/>
                <w:kern w:val="0"/>
                <w:lang w:bidi="en-US"/>
              </w:rPr>
            </w:pPr>
            <w:r>
              <w:rPr>
                <w:rFonts w:hint="eastAsia" w:ascii="仿宋_GB2312" w:hAnsi="宋体" w:eastAsia="仿宋_GB2312"/>
                <w:kern w:val="0"/>
                <w:lang w:bidi="en-US"/>
              </w:rPr>
              <w:t>被询价方</w:t>
            </w:r>
            <w:r>
              <w:rPr>
                <w:rFonts w:hint="eastAsia" w:ascii="仿宋_GB2312" w:eastAsia="仿宋_GB2312"/>
                <w:kern w:val="0"/>
                <w:lang w:bidi="en-US"/>
              </w:rPr>
              <w:t>交易员代码，自动显示，无需输入</w:t>
            </w:r>
          </w:p>
        </w:tc>
      </w:tr>
      <w:tr w14:paraId="3890A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44117D63">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交易员名称</w:t>
            </w:r>
          </w:p>
        </w:tc>
        <w:tc>
          <w:tcPr>
            <w:tcW w:w="6945" w:type="dxa"/>
          </w:tcPr>
          <w:p w14:paraId="046E0FE4">
            <w:pPr>
              <w:pStyle w:val="12"/>
              <w:ind w:firstLine="0" w:firstLineChars="0"/>
              <w:rPr>
                <w:rFonts w:ascii="仿宋_GB2312" w:eastAsia="仿宋_GB2312"/>
                <w:kern w:val="0"/>
                <w:lang w:bidi="en-US"/>
              </w:rPr>
            </w:pPr>
            <w:r>
              <w:rPr>
                <w:rFonts w:hint="eastAsia" w:ascii="仿宋_GB2312" w:hAnsi="宋体" w:eastAsia="仿宋_GB2312"/>
                <w:kern w:val="0"/>
                <w:lang w:bidi="en-US"/>
              </w:rPr>
              <w:t>被询价方</w:t>
            </w:r>
            <w:r>
              <w:rPr>
                <w:rFonts w:hint="eastAsia" w:ascii="仿宋_GB2312" w:eastAsia="仿宋_GB2312"/>
                <w:kern w:val="0"/>
                <w:lang w:bidi="en-US"/>
              </w:rPr>
              <w:t>交易员名称，自动显示，无需输入</w:t>
            </w:r>
          </w:p>
        </w:tc>
      </w:tr>
      <w:tr w14:paraId="6D157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09B7FB50">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交易方式</w:t>
            </w:r>
          </w:p>
        </w:tc>
        <w:tc>
          <w:tcPr>
            <w:tcW w:w="6945" w:type="dxa"/>
          </w:tcPr>
          <w:p w14:paraId="48045612">
            <w:pPr>
              <w:pStyle w:val="12"/>
              <w:ind w:firstLine="0" w:firstLineChars="0"/>
              <w:rPr>
                <w:rFonts w:ascii="仿宋_GB2312" w:eastAsia="仿宋_GB2312"/>
                <w:kern w:val="0"/>
                <w:lang w:eastAsia="en-US" w:bidi="en-US"/>
              </w:rPr>
            </w:pPr>
            <w:r>
              <w:rPr>
                <w:rFonts w:hint="eastAsia" w:ascii="仿宋_GB2312" w:eastAsia="仿宋_GB2312"/>
                <w:kern w:val="0"/>
                <w:lang w:eastAsia="en-US" w:bidi="en-US"/>
              </w:rPr>
              <w:t>询价成交</w:t>
            </w:r>
          </w:p>
        </w:tc>
      </w:tr>
    </w:tbl>
    <w:p w14:paraId="5B106D05">
      <w:pPr>
        <w:spacing w:line="600" w:lineRule="exact"/>
        <w:ind w:firstLine="600" w:firstLineChars="200"/>
        <w:rPr>
          <w:rFonts w:ascii="仿宋_GB2312" w:eastAsia="仿宋_GB2312"/>
          <w:sz w:val="30"/>
          <w:szCs w:val="30"/>
        </w:rPr>
      </w:pPr>
      <w:r>
        <w:rPr>
          <w:rFonts w:hint="eastAsia" w:ascii="仿宋_GB2312" w:hAnsi="仿宋" w:eastAsia="仿宋_GB2312"/>
          <w:sz w:val="30"/>
          <w:szCs w:val="30"/>
        </w:rPr>
        <w:t>当日提交的询价回复当日有效，未成交询价回复由被询价方撤销的情形除外。</w:t>
      </w:r>
    </w:p>
    <w:p w14:paraId="36FF5F0D">
      <w:pPr>
        <w:numPr>
          <w:ilvl w:val="2"/>
          <w:numId w:val="4"/>
        </w:numPr>
        <w:spacing w:line="600" w:lineRule="exact"/>
        <w:ind w:left="0" w:firstLine="0"/>
        <w:outlineLvl w:val="2"/>
        <w:rPr>
          <w:rFonts w:ascii="仿宋_GB2312" w:eastAsia="仿宋_GB2312"/>
          <w:b/>
          <w:sz w:val="30"/>
          <w:szCs w:val="30"/>
        </w:rPr>
      </w:pPr>
      <w:bookmarkStart w:id="488" w:name="_Toc57908903"/>
      <w:r>
        <w:rPr>
          <w:rFonts w:hint="eastAsia" w:ascii="仿宋_GB2312" w:eastAsia="仿宋_GB2312"/>
          <w:b/>
          <w:sz w:val="30"/>
          <w:szCs w:val="30"/>
        </w:rPr>
        <w:t>成交</w:t>
      </w:r>
      <w:bookmarkEnd w:id="488"/>
    </w:p>
    <w:p w14:paraId="69744F78">
      <w:pPr>
        <w:spacing w:line="600" w:lineRule="exact"/>
        <w:ind w:firstLine="600" w:firstLineChars="200"/>
        <w:outlineLvl w:val="3"/>
        <w:rPr>
          <w:rFonts w:ascii="仿宋_GB2312" w:hAnsi="仿宋" w:eastAsia="仿宋_GB2312"/>
          <w:sz w:val="30"/>
          <w:szCs w:val="30"/>
        </w:rPr>
      </w:pPr>
      <w:r>
        <w:rPr>
          <w:rFonts w:hint="eastAsia" w:ascii="仿宋_GB2312" w:hAnsi="仿宋" w:eastAsia="仿宋_GB2312"/>
          <w:sz w:val="30"/>
          <w:szCs w:val="30"/>
        </w:rPr>
        <w:t>（1）成交规则</w:t>
      </w:r>
    </w:p>
    <w:p w14:paraId="2CF56160">
      <w:pPr>
        <w:spacing w:line="600" w:lineRule="exact"/>
        <w:ind w:firstLine="600" w:firstLineChars="200"/>
        <w:outlineLvl w:val="9"/>
        <w:rPr>
          <w:rFonts w:ascii="仿宋_GB2312" w:hAnsi="仿宋" w:eastAsia="仿宋_GB2312"/>
          <w:sz w:val="30"/>
          <w:szCs w:val="30"/>
        </w:rPr>
      </w:pPr>
      <w:r>
        <w:rPr>
          <w:rFonts w:hint="eastAsia" w:ascii="仿宋_GB2312" w:hAnsi="仿宋" w:eastAsia="仿宋_GB2312"/>
          <w:sz w:val="30"/>
          <w:szCs w:val="30"/>
        </w:rPr>
        <w:t>询价方收到询价回复后，依据本所规定的债券交易成交原则选择询价回复，对询价回复要素无异议的，点击确认后，相关交易按询价方确认的数量、价格、结算方式与结算周期成交。</w:t>
      </w:r>
    </w:p>
    <w:p w14:paraId="395FE288">
      <w:pPr>
        <w:spacing w:line="600" w:lineRule="exact"/>
        <w:ind w:firstLine="600" w:firstLineChars="200"/>
        <w:outlineLvl w:val="9"/>
        <w:rPr>
          <w:rFonts w:ascii="仿宋_GB2312" w:eastAsia="仿宋_GB2312"/>
          <w:sz w:val="30"/>
          <w:szCs w:val="30"/>
        </w:rPr>
      </w:pPr>
      <w:r>
        <w:rPr>
          <w:rFonts w:hint="eastAsia" w:ascii="仿宋_GB2312" w:hAnsi="仿宋" w:eastAsia="仿宋_GB2312"/>
          <w:sz w:val="30"/>
          <w:szCs w:val="30"/>
        </w:rPr>
        <w:t>询价方对多笔询价回复点击确认的，经询价方确认的询价回复均由系统确认成交。</w:t>
      </w:r>
      <w:r>
        <w:rPr>
          <w:rFonts w:hint="eastAsia" w:ascii="仿宋_GB2312" w:eastAsia="仿宋_GB2312"/>
          <w:sz w:val="30"/>
          <w:szCs w:val="30"/>
        </w:rPr>
        <w:t>如果多个询价回复方回复后，询价方对多个报价均进行确认，则累计数量可能超过原询价申报数量，这种确认均认定有效。</w:t>
      </w:r>
    </w:p>
    <w:p w14:paraId="47C964E0">
      <w:pPr>
        <w:spacing w:line="600" w:lineRule="exact"/>
        <w:ind w:firstLine="600" w:firstLineChars="200"/>
        <w:outlineLvl w:val="3"/>
        <w:rPr>
          <w:rFonts w:ascii="仿宋_GB2312" w:hAnsi="仿宋" w:eastAsia="仿宋_GB2312"/>
          <w:sz w:val="30"/>
          <w:szCs w:val="30"/>
        </w:rPr>
      </w:pPr>
      <w:r>
        <w:rPr>
          <w:rFonts w:hint="eastAsia" w:ascii="仿宋_GB2312" w:hAnsi="仿宋" w:eastAsia="仿宋_GB2312"/>
          <w:sz w:val="30"/>
          <w:szCs w:val="30"/>
        </w:rPr>
        <w:t>（2）询价请求与询价回复的撤销</w:t>
      </w:r>
    </w:p>
    <w:p w14:paraId="4A9D84BD">
      <w:pPr>
        <w:spacing w:line="600" w:lineRule="exact"/>
        <w:ind w:firstLine="600" w:firstLineChars="200"/>
        <w:outlineLvl w:val="9"/>
        <w:rPr>
          <w:rFonts w:ascii="仿宋_GB2312" w:hAnsi="仿宋" w:eastAsia="仿宋_GB2312"/>
          <w:sz w:val="30"/>
          <w:szCs w:val="30"/>
        </w:rPr>
      </w:pPr>
      <w:r>
        <w:rPr>
          <w:rFonts w:hint="eastAsia" w:ascii="仿宋_GB2312" w:hAnsi="仿宋" w:eastAsia="仿宋_GB2312"/>
          <w:sz w:val="30"/>
          <w:szCs w:val="30"/>
        </w:rPr>
        <w:t>询价方可以撤销未成交的询价请求，被询价方可以撤销未成交的询价回复。询价请求被撤销后，针对该询价的回复也随之自动撤销。被询价方撤销其询价回复的，不影响询价请求的效力。</w:t>
      </w:r>
    </w:p>
    <w:p w14:paraId="3F0A1F1F">
      <w:pPr>
        <w:spacing w:line="600" w:lineRule="exact"/>
        <w:ind w:firstLine="600" w:firstLineChars="200"/>
        <w:outlineLvl w:val="9"/>
        <w:rPr>
          <w:rFonts w:ascii="仿宋_GB2312" w:hAnsi="仿宋" w:eastAsia="仿宋_GB2312"/>
          <w:sz w:val="30"/>
          <w:szCs w:val="30"/>
        </w:rPr>
      </w:pPr>
      <w:r>
        <w:rPr>
          <w:rFonts w:hint="eastAsia" w:ascii="仿宋_GB2312" w:hAnsi="仿宋" w:eastAsia="仿宋_GB2312"/>
          <w:sz w:val="30"/>
          <w:szCs w:val="30"/>
        </w:rPr>
        <w:t>询价请求可部分成交，未成交部分可由询价方撤销，询价方未提交撤销申报的，未成交部分当日继续有效。询价请求部分成交的，询价方未选择的询价回复当日继续有效。</w:t>
      </w:r>
    </w:p>
    <w:p w14:paraId="28060D04">
      <w:pPr>
        <w:spacing w:line="600" w:lineRule="exact"/>
        <w:ind w:firstLine="600" w:firstLineChars="200"/>
        <w:outlineLvl w:val="3"/>
        <w:rPr>
          <w:rFonts w:ascii="仿宋_GB2312" w:hAnsi="仿宋" w:eastAsia="仿宋_GB2312"/>
          <w:sz w:val="30"/>
          <w:szCs w:val="30"/>
        </w:rPr>
      </w:pPr>
      <w:r>
        <w:rPr>
          <w:rFonts w:hint="eastAsia" w:ascii="仿宋_GB2312" w:hAnsi="仿宋" w:eastAsia="仿宋_GB2312"/>
          <w:sz w:val="30"/>
          <w:szCs w:val="30"/>
        </w:rPr>
        <w:t>（3）成交数据发送</w:t>
      </w:r>
    </w:p>
    <w:p w14:paraId="56689371">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成交后，系统</w:t>
      </w:r>
      <w:r>
        <w:rPr>
          <w:rFonts w:ascii="仿宋_GB2312" w:hAnsi="仿宋" w:eastAsia="仿宋_GB2312"/>
          <w:sz w:val="30"/>
          <w:szCs w:val="30"/>
        </w:rPr>
        <w:t>将</w:t>
      </w:r>
      <w:r>
        <w:rPr>
          <w:rFonts w:hint="eastAsia" w:ascii="仿宋_GB2312" w:hAnsi="仿宋" w:eastAsia="仿宋_GB2312"/>
          <w:sz w:val="30"/>
          <w:szCs w:val="30"/>
        </w:rPr>
        <w:t>逐笔成交数据</w:t>
      </w:r>
      <w:r>
        <w:rPr>
          <w:rFonts w:ascii="仿宋_GB2312" w:hAnsi="仿宋" w:eastAsia="仿宋_GB2312"/>
          <w:sz w:val="30"/>
          <w:szCs w:val="30"/>
        </w:rPr>
        <w:t>分别发送给交易</w:t>
      </w:r>
      <w:r>
        <w:rPr>
          <w:rFonts w:hint="eastAsia" w:ascii="仿宋_GB2312" w:hAnsi="仿宋" w:eastAsia="仿宋_GB2312"/>
          <w:sz w:val="30"/>
          <w:szCs w:val="30"/>
        </w:rPr>
        <w:t>对应的</w:t>
      </w:r>
      <w:r>
        <w:rPr>
          <w:rFonts w:ascii="仿宋_GB2312" w:hAnsi="仿宋" w:eastAsia="仿宋_GB2312"/>
          <w:sz w:val="30"/>
          <w:szCs w:val="30"/>
        </w:rPr>
        <w:t>买卖双方</w:t>
      </w:r>
      <w:r>
        <w:rPr>
          <w:rFonts w:hint="eastAsia" w:ascii="仿宋_GB2312" w:hAnsi="仿宋" w:eastAsia="仿宋_GB2312"/>
          <w:sz w:val="30"/>
          <w:szCs w:val="30"/>
        </w:rPr>
        <w:t>，债券投资者</w:t>
      </w:r>
      <w:r>
        <w:rPr>
          <w:rFonts w:ascii="仿宋_GB2312" w:hAnsi="仿宋" w:eastAsia="仿宋_GB2312"/>
          <w:sz w:val="30"/>
          <w:szCs w:val="30"/>
        </w:rPr>
        <w:t>仅能收到与自己相关的成交数据。</w:t>
      </w:r>
    </w:p>
    <w:p w14:paraId="38BE74A8">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成交信息包括成交编号，买入订单号，卖出订单号，成交日期时间，交易品种，成交账户，买卖方向，对手方，成交净价、全价，到期收益率，应计利息，成交量，成交金额，交易员，结算速度，价格类型，结算日期等。</w:t>
      </w:r>
    </w:p>
    <w:p w14:paraId="3583895B">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成交数据</w:t>
      </w:r>
      <w:r>
        <w:rPr>
          <w:rFonts w:hint="eastAsia" w:ascii="仿宋_GB2312" w:eastAsia="仿宋_GB2312"/>
          <w:color w:val="000000"/>
          <w:sz w:val="30"/>
          <w:szCs w:val="30"/>
        </w:rPr>
        <w:t>具体要素及要素说明</w:t>
      </w:r>
      <w:r>
        <w:rPr>
          <w:rFonts w:hint="eastAsia" w:ascii="仿宋_GB2312" w:hAnsi="仿宋" w:eastAsia="仿宋_GB2312"/>
          <w:sz w:val="30"/>
          <w:szCs w:val="30"/>
        </w:rPr>
        <w:t>如下：</w:t>
      </w:r>
    </w:p>
    <w:tbl>
      <w:tblPr>
        <w:tblStyle w:val="43"/>
        <w:tblW w:w="0" w:type="auto"/>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2"/>
        <w:gridCol w:w="6996"/>
      </w:tblGrid>
      <w:tr w14:paraId="0B068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5D32091E">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要素名称</w:t>
            </w:r>
          </w:p>
        </w:tc>
        <w:tc>
          <w:tcPr>
            <w:tcW w:w="6996" w:type="dxa"/>
          </w:tcPr>
          <w:p w14:paraId="23082E4D">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要素说明</w:t>
            </w:r>
          </w:p>
        </w:tc>
      </w:tr>
      <w:tr w14:paraId="2168B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1050F7FB">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成交编号</w:t>
            </w:r>
          </w:p>
        </w:tc>
        <w:tc>
          <w:tcPr>
            <w:tcW w:w="6996" w:type="dxa"/>
          </w:tcPr>
          <w:p w14:paraId="57BB7658">
            <w:pPr>
              <w:pStyle w:val="12"/>
              <w:ind w:firstLine="0" w:firstLineChars="0"/>
              <w:rPr>
                <w:rFonts w:ascii="仿宋_GB2312" w:eastAsia="仿宋_GB2312"/>
                <w:kern w:val="0"/>
                <w:lang w:bidi="en-US"/>
              </w:rPr>
            </w:pPr>
            <w:r>
              <w:rPr>
                <w:rFonts w:hint="eastAsia" w:ascii="仿宋_GB2312" w:eastAsia="仿宋_GB2312"/>
                <w:kern w:val="0"/>
                <w:lang w:bidi="en-US"/>
              </w:rPr>
              <w:t>系统给成交单分配的唯一标识</w:t>
            </w:r>
          </w:p>
        </w:tc>
      </w:tr>
      <w:tr w14:paraId="3806B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65409E3D">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买入订单号</w:t>
            </w:r>
          </w:p>
        </w:tc>
        <w:tc>
          <w:tcPr>
            <w:tcW w:w="6996" w:type="dxa"/>
          </w:tcPr>
          <w:p w14:paraId="4F855A68">
            <w:pPr>
              <w:pStyle w:val="12"/>
              <w:ind w:firstLine="0" w:firstLineChars="0"/>
              <w:rPr>
                <w:rFonts w:ascii="仿宋_GB2312" w:eastAsia="仿宋_GB2312"/>
                <w:kern w:val="0"/>
                <w:lang w:eastAsia="en-US" w:bidi="en-US"/>
              </w:rPr>
            </w:pPr>
            <w:r>
              <w:rPr>
                <w:rFonts w:hint="eastAsia" w:ascii="仿宋_GB2312" w:eastAsia="仿宋_GB2312"/>
                <w:kern w:val="0"/>
                <w:lang w:eastAsia="en-US" w:bidi="en-US"/>
              </w:rPr>
              <w:t>买入申报订单号</w:t>
            </w:r>
          </w:p>
        </w:tc>
      </w:tr>
      <w:tr w14:paraId="3CFD7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2" w:type="dxa"/>
          </w:tcPr>
          <w:p w14:paraId="227B52B1">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卖出订单号</w:t>
            </w:r>
          </w:p>
        </w:tc>
        <w:tc>
          <w:tcPr>
            <w:tcW w:w="6996" w:type="dxa"/>
          </w:tcPr>
          <w:p w14:paraId="1703CCD7">
            <w:pPr>
              <w:pStyle w:val="12"/>
              <w:ind w:firstLine="0" w:firstLineChars="0"/>
              <w:rPr>
                <w:rFonts w:ascii="仿宋_GB2312" w:eastAsia="仿宋_GB2312"/>
                <w:kern w:val="0"/>
                <w:lang w:eastAsia="en-US" w:bidi="en-US"/>
              </w:rPr>
            </w:pPr>
            <w:r>
              <w:rPr>
                <w:rFonts w:hint="eastAsia" w:ascii="仿宋_GB2312" w:eastAsia="仿宋_GB2312"/>
                <w:kern w:val="0"/>
                <w:lang w:eastAsia="en-US" w:bidi="en-US"/>
              </w:rPr>
              <w:t>卖出申报订单号</w:t>
            </w:r>
          </w:p>
        </w:tc>
      </w:tr>
      <w:tr w14:paraId="7F6DD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0DB6A2FE">
            <w:pPr>
              <w:pStyle w:val="12"/>
              <w:ind w:firstLine="0" w:firstLineChars="0"/>
              <w:rPr>
                <w:rFonts w:ascii="仿宋_GB2312" w:eastAsia="仿宋_GB2312"/>
                <w:b/>
                <w:kern w:val="0"/>
                <w:lang w:bidi="en-US"/>
              </w:rPr>
            </w:pPr>
            <w:r>
              <w:rPr>
                <w:rFonts w:hint="eastAsia" w:ascii="仿宋_GB2312" w:eastAsia="仿宋_GB2312"/>
                <w:b/>
                <w:kern w:val="0"/>
                <w:lang w:bidi="en-US"/>
              </w:rPr>
              <w:t>交易品种</w:t>
            </w:r>
          </w:p>
        </w:tc>
        <w:tc>
          <w:tcPr>
            <w:tcW w:w="6996" w:type="dxa"/>
          </w:tcPr>
          <w:p w14:paraId="0A7202FB">
            <w:pPr>
              <w:pStyle w:val="12"/>
              <w:ind w:firstLine="0" w:firstLineChars="0"/>
              <w:rPr>
                <w:rFonts w:ascii="仿宋_GB2312" w:eastAsia="仿宋_GB2312"/>
                <w:kern w:val="0"/>
                <w:lang w:bidi="en-US"/>
              </w:rPr>
            </w:pPr>
            <w:r>
              <w:rPr>
                <w:rFonts w:hint="eastAsia" w:ascii="仿宋_GB2312" w:hAnsi="宋体" w:eastAsia="仿宋_GB2312"/>
                <w:kern w:val="0"/>
                <w:lang w:bidi="en-US"/>
              </w:rPr>
              <w:t>交易品种的名称或证券代码，同申报订单</w:t>
            </w:r>
          </w:p>
        </w:tc>
      </w:tr>
      <w:tr w14:paraId="7517F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1F1C613D">
            <w:pPr>
              <w:pStyle w:val="12"/>
              <w:ind w:firstLine="0" w:firstLineChars="0"/>
              <w:rPr>
                <w:rFonts w:ascii="仿宋_GB2312" w:eastAsia="仿宋_GB2312"/>
                <w:b/>
                <w:kern w:val="0"/>
                <w:lang w:bidi="en-US"/>
              </w:rPr>
            </w:pPr>
            <w:r>
              <w:rPr>
                <w:rFonts w:hint="eastAsia" w:ascii="仿宋_GB2312" w:eastAsia="仿宋_GB2312"/>
                <w:b/>
                <w:kern w:val="0"/>
                <w:lang w:eastAsia="en-US" w:bidi="en-US"/>
              </w:rPr>
              <w:t>证券</w:t>
            </w:r>
            <w:r>
              <w:rPr>
                <w:rFonts w:hint="eastAsia" w:ascii="仿宋_GB2312" w:eastAsia="仿宋_GB2312"/>
                <w:b/>
                <w:kern w:val="0"/>
                <w:lang w:bidi="en-US"/>
              </w:rPr>
              <w:t>简称</w:t>
            </w:r>
          </w:p>
        </w:tc>
        <w:tc>
          <w:tcPr>
            <w:tcW w:w="6996" w:type="dxa"/>
          </w:tcPr>
          <w:p w14:paraId="7098CD25">
            <w:pPr>
              <w:pStyle w:val="12"/>
              <w:ind w:firstLine="0" w:firstLineChars="0"/>
              <w:rPr>
                <w:rFonts w:ascii="仿宋_GB2312" w:hAnsi="宋体" w:eastAsia="仿宋_GB2312"/>
                <w:kern w:val="0"/>
                <w:lang w:bidi="en-US"/>
              </w:rPr>
            </w:pPr>
            <w:r>
              <w:rPr>
                <w:rFonts w:hint="eastAsia" w:ascii="仿宋_GB2312" w:hAnsi="宋体" w:eastAsia="仿宋_GB2312"/>
                <w:kern w:val="0"/>
                <w:lang w:bidi="en-US"/>
              </w:rPr>
              <w:t>交易品种的证券简称，同申报订单</w:t>
            </w:r>
          </w:p>
        </w:tc>
      </w:tr>
      <w:tr w14:paraId="72130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5B48E496">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成交日期时间</w:t>
            </w:r>
          </w:p>
        </w:tc>
        <w:tc>
          <w:tcPr>
            <w:tcW w:w="6996" w:type="dxa"/>
          </w:tcPr>
          <w:p w14:paraId="6A9039A2">
            <w:pPr>
              <w:pStyle w:val="12"/>
              <w:ind w:firstLine="0" w:firstLineChars="0"/>
              <w:rPr>
                <w:rFonts w:ascii="仿宋_GB2312" w:eastAsia="仿宋_GB2312"/>
                <w:kern w:val="0"/>
                <w:lang w:bidi="en-US"/>
              </w:rPr>
            </w:pPr>
            <w:r>
              <w:rPr>
                <w:rFonts w:hint="eastAsia" w:ascii="仿宋_GB2312" w:eastAsia="仿宋_GB2312"/>
                <w:kern w:val="0"/>
                <w:lang w:bidi="en-US"/>
              </w:rPr>
              <w:t>交易成交的日期（年月日）及时间（时分秒）</w:t>
            </w:r>
          </w:p>
        </w:tc>
      </w:tr>
      <w:tr w14:paraId="16874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2" w:type="dxa"/>
          </w:tcPr>
          <w:p w14:paraId="0D94B520">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交易方向</w:t>
            </w:r>
          </w:p>
        </w:tc>
        <w:tc>
          <w:tcPr>
            <w:tcW w:w="6996" w:type="dxa"/>
          </w:tcPr>
          <w:p w14:paraId="1E0DA12D">
            <w:pPr>
              <w:pStyle w:val="12"/>
              <w:ind w:firstLine="0" w:firstLineChars="0"/>
              <w:rPr>
                <w:rFonts w:ascii="仿宋_GB2312" w:eastAsia="仿宋_GB2312"/>
                <w:kern w:val="0"/>
                <w:lang w:bidi="en-US"/>
              </w:rPr>
            </w:pPr>
            <w:r>
              <w:rPr>
                <w:rFonts w:hint="eastAsia" w:ascii="仿宋_GB2312" w:eastAsia="仿宋_GB2312"/>
                <w:kern w:val="0"/>
                <w:lang w:bidi="en-US"/>
              </w:rPr>
              <w:t>交易的买卖方向，即买入/卖出</w:t>
            </w:r>
            <w:r>
              <w:rPr>
                <w:rFonts w:hint="eastAsia" w:ascii="仿宋_GB2312" w:hAnsi="宋体" w:eastAsia="仿宋_GB2312"/>
                <w:kern w:val="0"/>
                <w:lang w:bidi="en-US"/>
              </w:rPr>
              <w:t>，同申报订单</w:t>
            </w:r>
          </w:p>
        </w:tc>
      </w:tr>
      <w:tr w14:paraId="56C9D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458B6255">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价格类型</w:t>
            </w:r>
          </w:p>
        </w:tc>
        <w:tc>
          <w:tcPr>
            <w:tcW w:w="6996" w:type="dxa"/>
          </w:tcPr>
          <w:p w14:paraId="4A434E96">
            <w:pPr>
              <w:pStyle w:val="12"/>
              <w:ind w:firstLine="0" w:firstLineChars="0"/>
              <w:rPr>
                <w:rFonts w:ascii="仿宋_GB2312" w:eastAsia="仿宋_GB2312"/>
                <w:kern w:val="0"/>
                <w:lang w:eastAsia="en-US" w:bidi="en-US"/>
              </w:rPr>
            </w:pPr>
            <w:r>
              <w:rPr>
                <w:rFonts w:hint="eastAsia" w:ascii="仿宋_GB2312" w:eastAsia="仿宋_GB2312"/>
                <w:kern w:val="0"/>
                <w:lang w:eastAsia="en-US" w:bidi="en-US"/>
              </w:rPr>
              <w:t>净价、全价</w:t>
            </w:r>
          </w:p>
        </w:tc>
      </w:tr>
      <w:tr w14:paraId="43E52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27374BDF">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成交量</w:t>
            </w:r>
          </w:p>
        </w:tc>
        <w:tc>
          <w:tcPr>
            <w:tcW w:w="6996" w:type="dxa"/>
          </w:tcPr>
          <w:p w14:paraId="11D8C140">
            <w:pPr>
              <w:pStyle w:val="12"/>
              <w:ind w:firstLine="0" w:firstLineChars="0"/>
              <w:rPr>
                <w:rFonts w:ascii="仿宋_GB2312" w:eastAsia="仿宋_GB2312"/>
                <w:kern w:val="0"/>
                <w:lang w:bidi="en-US"/>
              </w:rPr>
            </w:pPr>
            <w:r>
              <w:rPr>
                <w:rFonts w:hint="eastAsia" w:ascii="仿宋_GB2312" w:eastAsia="仿宋_GB2312"/>
                <w:kern w:val="0"/>
                <w:lang w:bidi="en-US"/>
              </w:rPr>
              <w:t>成交的数量，单位：千元面额，</w:t>
            </w:r>
          </w:p>
        </w:tc>
      </w:tr>
      <w:tr w14:paraId="56735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176B2765">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成交金额</w:t>
            </w:r>
          </w:p>
        </w:tc>
        <w:tc>
          <w:tcPr>
            <w:tcW w:w="6996" w:type="dxa"/>
          </w:tcPr>
          <w:p w14:paraId="79F04011">
            <w:pPr>
              <w:pStyle w:val="12"/>
              <w:ind w:firstLine="0" w:firstLineChars="0"/>
              <w:rPr>
                <w:rFonts w:ascii="仿宋_GB2312" w:eastAsia="仿宋_GB2312"/>
                <w:kern w:val="0"/>
                <w:lang w:bidi="en-US"/>
              </w:rPr>
            </w:pPr>
            <w:r>
              <w:rPr>
                <w:rFonts w:hint="eastAsia" w:ascii="仿宋_GB2312" w:eastAsia="仿宋_GB2312"/>
                <w:kern w:val="0"/>
                <w:lang w:bidi="en-US"/>
              </w:rPr>
              <w:t>根据成交数量、成交价格计算：</w:t>
            </w:r>
          </w:p>
          <w:p w14:paraId="05AAC9A4">
            <w:pPr>
              <w:pStyle w:val="12"/>
              <w:ind w:firstLine="0" w:firstLineChars="0"/>
              <w:rPr>
                <w:rFonts w:ascii="仿宋_GB2312" w:eastAsia="仿宋_GB2312"/>
                <w:kern w:val="0"/>
                <w:lang w:bidi="en-US"/>
              </w:rPr>
            </w:pPr>
            <w:r>
              <w:rPr>
                <w:rFonts w:ascii="仿宋_GB2312" w:hAnsi="宋体" w:eastAsia="仿宋_GB2312"/>
                <w:kern w:val="0"/>
                <w:szCs w:val="21"/>
                <w:lang w:bidi="en-US"/>
              </w:rPr>
              <w:t>成交数量</w:t>
            </w:r>
            <w:r>
              <w:rPr>
                <w:rFonts w:hint="eastAsia" w:ascii="仿宋_GB2312" w:hAnsi="宋体" w:eastAsia="仿宋_GB2312"/>
                <w:kern w:val="0"/>
                <w:szCs w:val="21"/>
                <w:lang w:bidi="en-US"/>
              </w:rPr>
              <w:t>（千</w:t>
            </w:r>
            <w:r>
              <w:rPr>
                <w:rFonts w:ascii="仿宋_GB2312" w:hAnsi="宋体" w:eastAsia="仿宋_GB2312"/>
                <w:kern w:val="0"/>
                <w:szCs w:val="21"/>
                <w:lang w:bidi="en-US"/>
              </w:rPr>
              <w:t>元面额</w:t>
            </w:r>
            <w:r>
              <w:rPr>
                <w:rFonts w:hint="eastAsia" w:ascii="仿宋_GB2312" w:hAnsi="宋体" w:eastAsia="仿宋_GB2312"/>
                <w:kern w:val="0"/>
                <w:szCs w:val="21"/>
                <w:lang w:bidi="en-US"/>
              </w:rPr>
              <w:t>）</w:t>
            </w:r>
            <w:r>
              <w:rPr>
                <w:rFonts w:ascii="仿宋_GB2312" w:hAnsi="宋体" w:eastAsia="仿宋_GB2312"/>
                <w:kern w:val="0"/>
                <w:szCs w:val="21"/>
                <w:lang w:bidi="en-US"/>
              </w:rPr>
              <w:t>/100*成交价格</w:t>
            </w:r>
          </w:p>
        </w:tc>
      </w:tr>
      <w:tr w14:paraId="01938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2" w:type="dxa"/>
          </w:tcPr>
          <w:p w14:paraId="5771A3CA">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应计利息</w:t>
            </w:r>
          </w:p>
        </w:tc>
        <w:tc>
          <w:tcPr>
            <w:tcW w:w="6996" w:type="dxa"/>
          </w:tcPr>
          <w:p w14:paraId="5D24B11A">
            <w:pPr>
              <w:pStyle w:val="12"/>
              <w:ind w:firstLine="0" w:firstLineChars="0"/>
              <w:rPr>
                <w:rFonts w:ascii="仿宋_GB2312" w:eastAsia="仿宋_GB2312"/>
                <w:kern w:val="0"/>
                <w:lang w:eastAsia="en-US" w:bidi="en-US"/>
              </w:rPr>
            </w:pPr>
            <w:r>
              <w:rPr>
                <w:rFonts w:hint="eastAsia" w:ascii="仿宋_GB2312" w:eastAsia="仿宋_GB2312"/>
                <w:kern w:val="0"/>
                <w:lang w:eastAsia="en-US" w:bidi="en-US"/>
              </w:rPr>
              <w:t>应计利息</w:t>
            </w:r>
          </w:p>
        </w:tc>
      </w:tr>
      <w:tr w14:paraId="7A4F3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58A32276">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结算方式</w:t>
            </w:r>
          </w:p>
        </w:tc>
        <w:tc>
          <w:tcPr>
            <w:tcW w:w="6996" w:type="dxa"/>
          </w:tcPr>
          <w:p w14:paraId="5646ACC8">
            <w:pPr>
              <w:pStyle w:val="12"/>
              <w:ind w:firstLine="0" w:firstLineChars="0"/>
              <w:rPr>
                <w:rFonts w:ascii="仿宋_GB2312" w:eastAsia="仿宋_GB2312"/>
                <w:kern w:val="0"/>
                <w:lang w:eastAsia="en-US" w:bidi="en-US"/>
              </w:rPr>
            </w:pPr>
            <w:r>
              <w:rPr>
                <w:rFonts w:hint="eastAsia" w:ascii="仿宋_GB2312" w:eastAsia="仿宋_GB2312"/>
                <w:kern w:val="0"/>
                <w:lang w:eastAsia="en-US" w:bidi="en-US"/>
              </w:rPr>
              <w:t>结算方式</w:t>
            </w:r>
          </w:p>
        </w:tc>
      </w:tr>
      <w:tr w14:paraId="7C9E0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132F1A5C">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结算</w:t>
            </w:r>
            <w:r>
              <w:rPr>
                <w:rFonts w:hint="eastAsia" w:ascii="仿宋_GB2312" w:eastAsia="仿宋_GB2312"/>
                <w:b/>
                <w:kern w:val="0"/>
                <w:lang w:bidi="en-US"/>
              </w:rPr>
              <w:t>周期</w:t>
            </w:r>
          </w:p>
        </w:tc>
        <w:tc>
          <w:tcPr>
            <w:tcW w:w="6996" w:type="dxa"/>
          </w:tcPr>
          <w:p w14:paraId="645512FE">
            <w:pPr>
              <w:pStyle w:val="12"/>
              <w:ind w:firstLine="0" w:firstLineChars="0"/>
              <w:rPr>
                <w:rFonts w:ascii="仿宋_GB2312" w:eastAsia="仿宋_GB2312"/>
                <w:kern w:val="0"/>
                <w:lang w:eastAsia="en-US" w:bidi="en-US"/>
              </w:rPr>
            </w:pPr>
            <w:r>
              <w:rPr>
                <w:rFonts w:hint="eastAsia" w:ascii="仿宋_GB2312" w:eastAsia="仿宋_GB2312"/>
                <w:kern w:val="0"/>
                <w:lang w:eastAsia="en-US" w:bidi="en-US"/>
              </w:rPr>
              <w:t>结算</w:t>
            </w:r>
            <w:r>
              <w:rPr>
                <w:rFonts w:hint="eastAsia" w:ascii="仿宋_GB2312" w:eastAsia="仿宋_GB2312"/>
                <w:kern w:val="0"/>
                <w:lang w:bidi="en-US"/>
              </w:rPr>
              <w:t>周期</w:t>
            </w:r>
          </w:p>
        </w:tc>
      </w:tr>
      <w:tr w14:paraId="1AD77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10EB6DD5">
            <w:pPr>
              <w:pStyle w:val="12"/>
              <w:ind w:firstLine="0" w:firstLineChars="0"/>
              <w:rPr>
                <w:rFonts w:ascii="仿宋_GB2312" w:eastAsia="仿宋_GB2312"/>
                <w:b/>
                <w:kern w:val="0"/>
                <w:lang w:bidi="en-US"/>
              </w:rPr>
            </w:pPr>
            <w:r>
              <w:rPr>
                <w:rFonts w:hint="eastAsia" w:ascii="仿宋_GB2312" w:eastAsia="仿宋_GB2312"/>
                <w:b/>
                <w:kern w:val="0"/>
                <w:lang w:eastAsia="en-US" w:bidi="en-US"/>
              </w:rPr>
              <w:t>结算</w:t>
            </w:r>
            <w:r>
              <w:rPr>
                <w:rFonts w:hint="eastAsia" w:ascii="仿宋_GB2312" w:eastAsia="仿宋_GB2312"/>
                <w:b/>
                <w:kern w:val="0"/>
                <w:lang w:bidi="en-US"/>
              </w:rPr>
              <w:t>日期</w:t>
            </w:r>
          </w:p>
        </w:tc>
        <w:tc>
          <w:tcPr>
            <w:tcW w:w="6996" w:type="dxa"/>
          </w:tcPr>
          <w:p w14:paraId="7F4639D5">
            <w:pPr>
              <w:pStyle w:val="12"/>
              <w:ind w:firstLine="0" w:firstLineChars="0"/>
              <w:rPr>
                <w:rFonts w:ascii="仿宋_GB2312" w:eastAsia="仿宋_GB2312"/>
                <w:kern w:val="0"/>
                <w:lang w:bidi="en-US"/>
              </w:rPr>
            </w:pPr>
            <w:r>
              <w:rPr>
                <w:rFonts w:hint="eastAsia" w:ascii="仿宋_GB2312" w:eastAsia="仿宋_GB2312"/>
                <w:kern w:val="0"/>
                <w:lang w:bidi="en-US"/>
              </w:rPr>
              <w:t>根据当前交易日期、结算速度，自动显示</w:t>
            </w:r>
          </w:p>
        </w:tc>
      </w:tr>
      <w:tr w14:paraId="2A4CE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2" w:type="dxa"/>
          </w:tcPr>
          <w:p w14:paraId="19F43F65">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证券账号</w:t>
            </w:r>
          </w:p>
        </w:tc>
        <w:tc>
          <w:tcPr>
            <w:tcW w:w="6996" w:type="dxa"/>
          </w:tcPr>
          <w:p w14:paraId="6429B979">
            <w:pPr>
              <w:pStyle w:val="12"/>
              <w:ind w:firstLine="0" w:firstLineChars="0"/>
              <w:rPr>
                <w:rFonts w:ascii="仿宋_GB2312" w:eastAsia="仿宋_GB2312"/>
                <w:kern w:val="0"/>
                <w:lang w:bidi="en-US"/>
              </w:rPr>
            </w:pPr>
            <w:r>
              <w:rPr>
                <w:rFonts w:hint="eastAsia" w:ascii="仿宋_GB2312" w:eastAsia="仿宋_GB2312"/>
                <w:kern w:val="0"/>
                <w:lang w:bidi="en-US"/>
              </w:rPr>
              <w:t>交易参与人的证券账户号码</w:t>
            </w:r>
          </w:p>
        </w:tc>
      </w:tr>
      <w:tr w14:paraId="7F2D5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670A759A">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证券账户名称</w:t>
            </w:r>
          </w:p>
        </w:tc>
        <w:tc>
          <w:tcPr>
            <w:tcW w:w="6996" w:type="dxa"/>
          </w:tcPr>
          <w:p w14:paraId="3A67237A">
            <w:pPr>
              <w:pStyle w:val="12"/>
              <w:ind w:firstLine="0" w:firstLineChars="0"/>
              <w:rPr>
                <w:rFonts w:ascii="仿宋_GB2312" w:eastAsia="仿宋_GB2312"/>
                <w:kern w:val="0"/>
                <w:lang w:bidi="en-US"/>
              </w:rPr>
            </w:pPr>
            <w:r>
              <w:rPr>
                <w:rFonts w:hint="eastAsia" w:ascii="仿宋_GB2312" w:eastAsia="仿宋_GB2312"/>
                <w:kern w:val="0"/>
                <w:lang w:bidi="en-US"/>
              </w:rPr>
              <w:t>交易参与人的证券账户名称</w:t>
            </w:r>
          </w:p>
        </w:tc>
      </w:tr>
      <w:tr w14:paraId="7041E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0541D72A">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交易PBU</w:t>
            </w:r>
          </w:p>
        </w:tc>
        <w:tc>
          <w:tcPr>
            <w:tcW w:w="6996" w:type="dxa"/>
          </w:tcPr>
          <w:p w14:paraId="5F4AE524">
            <w:pPr>
              <w:pStyle w:val="12"/>
              <w:ind w:firstLine="0" w:firstLineChars="0"/>
              <w:rPr>
                <w:rFonts w:ascii="仿宋_GB2312" w:eastAsia="仿宋_GB2312"/>
                <w:kern w:val="0"/>
                <w:lang w:bidi="en-US"/>
              </w:rPr>
            </w:pPr>
            <w:r>
              <w:rPr>
                <w:rFonts w:hint="eastAsia" w:ascii="仿宋_GB2312" w:eastAsia="仿宋_GB2312"/>
                <w:kern w:val="0"/>
                <w:lang w:bidi="en-US"/>
              </w:rPr>
              <w:t>交易参与人的交易单元号码</w:t>
            </w:r>
            <w:r>
              <w:rPr>
                <w:rFonts w:hint="eastAsia" w:ascii="仿宋_GB2312" w:hAnsi="宋体" w:eastAsia="仿宋_GB2312"/>
                <w:kern w:val="0"/>
                <w:lang w:bidi="en-US"/>
              </w:rPr>
              <w:t>，同申报订单</w:t>
            </w:r>
          </w:p>
        </w:tc>
      </w:tr>
      <w:tr w14:paraId="1F7A8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7E312FE4">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交易参与人</w:t>
            </w:r>
          </w:p>
        </w:tc>
        <w:tc>
          <w:tcPr>
            <w:tcW w:w="6996" w:type="dxa"/>
          </w:tcPr>
          <w:p w14:paraId="3F723A04">
            <w:pPr>
              <w:pStyle w:val="12"/>
              <w:ind w:firstLine="0" w:firstLineChars="0"/>
              <w:rPr>
                <w:rFonts w:ascii="仿宋_GB2312" w:eastAsia="仿宋_GB2312"/>
                <w:kern w:val="0"/>
                <w:lang w:eastAsia="en-US" w:bidi="en-US"/>
              </w:rPr>
            </w:pPr>
            <w:r>
              <w:rPr>
                <w:rFonts w:hint="eastAsia" w:ascii="仿宋_GB2312" w:eastAsia="仿宋_GB2312"/>
                <w:kern w:val="0"/>
                <w:lang w:eastAsia="en-US" w:bidi="en-US"/>
              </w:rPr>
              <w:t>交易参与人简称</w:t>
            </w:r>
          </w:p>
        </w:tc>
      </w:tr>
      <w:tr w14:paraId="12B4E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2" w:type="dxa"/>
          </w:tcPr>
          <w:p w14:paraId="339F0548">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交易员代码</w:t>
            </w:r>
          </w:p>
        </w:tc>
        <w:tc>
          <w:tcPr>
            <w:tcW w:w="6996" w:type="dxa"/>
          </w:tcPr>
          <w:p w14:paraId="2D4B4DCE">
            <w:pPr>
              <w:pStyle w:val="12"/>
              <w:ind w:firstLine="0" w:firstLineChars="0"/>
              <w:rPr>
                <w:rFonts w:ascii="仿宋_GB2312" w:eastAsia="仿宋_GB2312"/>
                <w:kern w:val="0"/>
                <w:lang w:eastAsia="en-US" w:bidi="en-US"/>
              </w:rPr>
            </w:pPr>
            <w:r>
              <w:rPr>
                <w:rFonts w:hint="eastAsia" w:ascii="仿宋_GB2312" w:eastAsia="仿宋_GB2312"/>
                <w:kern w:val="0"/>
                <w:lang w:eastAsia="en-US" w:bidi="en-US"/>
              </w:rPr>
              <w:t>交易员代码</w:t>
            </w:r>
          </w:p>
        </w:tc>
      </w:tr>
      <w:tr w14:paraId="1C81B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5081E964">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交易员名称</w:t>
            </w:r>
          </w:p>
        </w:tc>
        <w:tc>
          <w:tcPr>
            <w:tcW w:w="6996" w:type="dxa"/>
          </w:tcPr>
          <w:p w14:paraId="384D2843">
            <w:pPr>
              <w:pStyle w:val="12"/>
              <w:ind w:firstLine="0" w:firstLineChars="0"/>
              <w:rPr>
                <w:rFonts w:ascii="仿宋_GB2312" w:eastAsia="仿宋_GB2312"/>
                <w:kern w:val="0"/>
                <w:lang w:eastAsia="en-US" w:bidi="en-US"/>
              </w:rPr>
            </w:pPr>
            <w:r>
              <w:rPr>
                <w:rFonts w:hint="eastAsia" w:ascii="仿宋_GB2312" w:eastAsia="仿宋_GB2312"/>
                <w:kern w:val="0"/>
                <w:lang w:eastAsia="en-US" w:bidi="en-US"/>
              </w:rPr>
              <w:t>交易员名称</w:t>
            </w:r>
          </w:p>
        </w:tc>
      </w:tr>
      <w:tr w14:paraId="4049A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1D34E061">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申报编号</w:t>
            </w:r>
          </w:p>
        </w:tc>
        <w:tc>
          <w:tcPr>
            <w:tcW w:w="6996" w:type="dxa"/>
          </w:tcPr>
          <w:p w14:paraId="33D517BB">
            <w:pPr>
              <w:pStyle w:val="12"/>
              <w:ind w:firstLine="0" w:firstLineChars="0"/>
              <w:rPr>
                <w:rFonts w:ascii="仿宋_GB2312" w:eastAsia="仿宋_GB2312"/>
                <w:kern w:val="0"/>
                <w:lang w:bidi="en-US"/>
              </w:rPr>
            </w:pPr>
            <w:r>
              <w:rPr>
                <w:rFonts w:hint="eastAsia" w:ascii="仿宋_GB2312" w:eastAsia="仿宋_GB2312"/>
                <w:kern w:val="0"/>
                <w:lang w:bidi="en-US"/>
              </w:rPr>
              <w:t>交易参与人内部为申报订单编制的序号</w:t>
            </w:r>
            <w:r>
              <w:rPr>
                <w:rFonts w:hint="eastAsia" w:ascii="仿宋_GB2312" w:hAnsi="宋体" w:eastAsia="仿宋_GB2312"/>
                <w:kern w:val="0"/>
                <w:lang w:bidi="en-US"/>
              </w:rPr>
              <w:t>，同申报订单</w:t>
            </w:r>
          </w:p>
        </w:tc>
      </w:tr>
      <w:tr w14:paraId="27926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050EB547">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对手方交易参与人</w:t>
            </w:r>
          </w:p>
        </w:tc>
        <w:tc>
          <w:tcPr>
            <w:tcW w:w="6996" w:type="dxa"/>
          </w:tcPr>
          <w:p w14:paraId="45DDAFC6">
            <w:pPr>
              <w:pStyle w:val="12"/>
              <w:ind w:firstLine="0" w:firstLineChars="0"/>
              <w:rPr>
                <w:rFonts w:ascii="仿宋_GB2312" w:eastAsia="仿宋_GB2312"/>
                <w:kern w:val="0"/>
                <w:lang w:bidi="en-US"/>
              </w:rPr>
            </w:pPr>
            <w:r>
              <w:rPr>
                <w:rFonts w:hint="eastAsia" w:ascii="仿宋_GB2312" w:eastAsia="仿宋_GB2312"/>
                <w:kern w:val="0"/>
                <w:lang w:bidi="en-US"/>
              </w:rPr>
              <w:t>对手方交易参与人简称</w:t>
            </w:r>
          </w:p>
        </w:tc>
      </w:tr>
      <w:tr w14:paraId="36B06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2" w:type="dxa"/>
          </w:tcPr>
          <w:p w14:paraId="797F3C2F">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对手方证券账号</w:t>
            </w:r>
          </w:p>
        </w:tc>
        <w:tc>
          <w:tcPr>
            <w:tcW w:w="6996" w:type="dxa"/>
          </w:tcPr>
          <w:p w14:paraId="1D664E1F">
            <w:pPr>
              <w:pStyle w:val="12"/>
              <w:ind w:firstLine="0" w:firstLineChars="0"/>
              <w:rPr>
                <w:rFonts w:ascii="仿宋_GB2312" w:eastAsia="仿宋_GB2312"/>
                <w:kern w:val="0"/>
                <w:lang w:eastAsia="en-US" w:bidi="en-US"/>
              </w:rPr>
            </w:pPr>
            <w:r>
              <w:rPr>
                <w:rFonts w:hint="eastAsia" w:ascii="仿宋_GB2312" w:eastAsia="仿宋_GB2312"/>
                <w:kern w:val="0"/>
                <w:lang w:eastAsia="en-US" w:bidi="en-US"/>
              </w:rPr>
              <w:t>对手方证券账户号码</w:t>
            </w:r>
          </w:p>
        </w:tc>
      </w:tr>
      <w:tr w14:paraId="482A7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48E07536">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对手方证券账户名称</w:t>
            </w:r>
          </w:p>
        </w:tc>
        <w:tc>
          <w:tcPr>
            <w:tcW w:w="6996" w:type="dxa"/>
          </w:tcPr>
          <w:p w14:paraId="0031DA8D">
            <w:pPr>
              <w:pStyle w:val="12"/>
              <w:ind w:firstLine="0" w:firstLineChars="0"/>
              <w:rPr>
                <w:rFonts w:ascii="仿宋_GB2312" w:eastAsia="仿宋_GB2312"/>
                <w:kern w:val="0"/>
                <w:lang w:eastAsia="en-US" w:bidi="en-US"/>
              </w:rPr>
            </w:pPr>
            <w:r>
              <w:rPr>
                <w:rFonts w:hint="eastAsia" w:ascii="仿宋_GB2312" w:eastAsia="仿宋_GB2312"/>
                <w:kern w:val="0"/>
                <w:lang w:eastAsia="en-US" w:bidi="en-US"/>
              </w:rPr>
              <w:t>对手方证券账户名称</w:t>
            </w:r>
          </w:p>
        </w:tc>
      </w:tr>
      <w:tr w14:paraId="7932F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5481B0D0">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对手方交易员代码</w:t>
            </w:r>
          </w:p>
        </w:tc>
        <w:tc>
          <w:tcPr>
            <w:tcW w:w="6996" w:type="dxa"/>
          </w:tcPr>
          <w:p w14:paraId="619BCC79">
            <w:pPr>
              <w:pStyle w:val="12"/>
              <w:ind w:firstLine="0" w:firstLineChars="0"/>
              <w:rPr>
                <w:rFonts w:ascii="仿宋_GB2312" w:eastAsia="仿宋_GB2312"/>
                <w:kern w:val="0"/>
                <w:lang w:eastAsia="en-US" w:bidi="en-US"/>
              </w:rPr>
            </w:pPr>
            <w:r>
              <w:rPr>
                <w:rFonts w:hint="eastAsia" w:ascii="仿宋_GB2312" w:eastAsia="仿宋_GB2312"/>
                <w:kern w:val="0"/>
                <w:lang w:eastAsia="en-US" w:bidi="en-US"/>
              </w:rPr>
              <w:t>对手方交易员代码</w:t>
            </w:r>
          </w:p>
        </w:tc>
      </w:tr>
      <w:tr w14:paraId="28F5B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26070145">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对手方交易员名称</w:t>
            </w:r>
          </w:p>
        </w:tc>
        <w:tc>
          <w:tcPr>
            <w:tcW w:w="6996" w:type="dxa"/>
          </w:tcPr>
          <w:p w14:paraId="5EE01952">
            <w:pPr>
              <w:pStyle w:val="12"/>
              <w:ind w:firstLine="0" w:firstLineChars="0"/>
              <w:rPr>
                <w:rFonts w:ascii="仿宋_GB2312" w:eastAsia="仿宋_GB2312"/>
                <w:kern w:val="0"/>
                <w:lang w:eastAsia="en-US" w:bidi="en-US"/>
              </w:rPr>
            </w:pPr>
            <w:r>
              <w:rPr>
                <w:rFonts w:hint="eastAsia" w:ascii="仿宋_GB2312" w:eastAsia="仿宋_GB2312"/>
                <w:kern w:val="0"/>
                <w:lang w:eastAsia="en-US" w:bidi="en-US"/>
              </w:rPr>
              <w:t>对手方交易员名称</w:t>
            </w:r>
          </w:p>
        </w:tc>
      </w:tr>
      <w:tr w14:paraId="462D0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2" w:type="dxa"/>
          </w:tcPr>
          <w:p w14:paraId="0B3FF1A0">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交收状态</w:t>
            </w:r>
          </w:p>
        </w:tc>
        <w:tc>
          <w:tcPr>
            <w:tcW w:w="6996" w:type="dxa"/>
          </w:tcPr>
          <w:p w14:paraId="58492018">
            <w:pPr>
              <w:pStyle w:val="12"/>
              <w:ind w:firstLine="0" w:firstLineChars="0"/>
              <w:rPr>
                <w:rFonts w:ascii="仿宋_GB2312" w:eastAsia="仿宋_GB2312"/>
                <w:kern w:val="0"/>
                <w:lang w:bidi="en-US"/>
              </w:rPr>
            </w:pPr>
            <w:r>
              <w:rPr>
                <w:rFonts w:hint="eastAsia" w:ascii="仿宋_GB2312" w:eastAsia="仿宋_GB2312"/>
                <w:kern w:val="0"/>
                <w:lang w:bidi="en-US"/>
              </w:rPr>
              <w:t>等待勾单/交收成功/交收失败（原因）</w:t>
            </w:r>
          </w:p>
        </w:tc>
      </w:tr>
      <w:tr w14:paraId="32995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5A6D08F3">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交易方式</w:t>
            </w:r>
          </w:p>
        </w:tc>
        <w:tc>
          <w:tcPr>
            <w:tcW w:w="6996" w:type="dxa"/>
          </w:tcPr>
          <w:p w14:paraId="0342F1CF">
            <w:pPr>
              <w:pStyle w:val="12"/>
              <w:ind w:firstLine="0" w:firstLineChars="0"/>
              <w:rPr>
                <w:rFonts w:ascii="仿宋_GB2312" w:eastAsia="仿宋_GB2312"/>
                <w:kern w:val="0"/>
                <w:lang w:eastAsia="en-US" w:bidi="en-US"/>
              </w:rPr>
            </w:pPr>
            <w:r>
              <w:rPr>
                <w:rFonts w:hint="eastAsia" w:ascii="仿宋_GB2312" w:eastAsia="仿宋_GB2312"/>
                <w:kern w:val="0"/>
                <w:lang w:eastAsia="en-US" w:bidi="en-US"/>
              </w:rPr>
              <w:t>询价成交</w:t>
            </w:r>
          </w:p>
        </w:tc>
      </w:tr>
    </w:tbl>
    <w:p w14:paraId="0EEE9ABC">
      <w:pPr>
        <w:numPr>
          <w:ilvl w:val="1"/>
          <w:numId w:val="4"/>
        </w:numPr>
        <w:spacing w:line="600" w:lineRule="exact"/>
        <w:ind w:left="0" w:firstLine="0"/>
        <w:outlineLvl w:val="1"/>
        <w:rPr>
          <w:rFonts w:ascii="仿宋_GB2312" w:eastAsia="仿宋_GB2312"/>
          <w:b/>
          <w:sz w:val="30"/>
          <w:szCs w:val="30"/>
        </w:rPr>
      </w:pPr>
      <w:bookmarkStart w:id="489" w:name="_Toc435477563"/>
      <w:bookmarkStart w:id="490" w:name="_Toc1659442947"/>
      <w:bookmarkStart w:id="491" w:name="_Toc151136904"/>
      <w:bookmarkStart w:id="492" w:name="_Toc1985633789"/>
      <w:bookmarkStart w:id="493" w:name="_Toc352660890"/>
      <w:r>
        <w:rPr>
          <w:rFonts w:hint="eastAsia" w:ascii="仿宋_GB2312" w:eastAsia="仿宋_GB2312"/>
          <w:b/>
          <w:sz w:val="30"/>
          <w:szCs w:val="30"/>
        </w:rPr>
        <w:t>竞买成交</w:t>
      </w:r>
      <w:bookmarkEnd w:id="489"/>
      <w:bookmarkEnd w:id="490"/>
      <w:bookmarkEnd w:id="491"/>
      <w:bookmarkEnd w:id="492"/>
      <w:bookmarkEnd w:id="493"/>
    </w:p>
    <w:p w14:paraId="71CF39B1">
      <w:pPr>
        <w:numPr>
          <w:ilvl w:val="2"/>
          <w:numId w:val="4"/>
        </w:numPr>
        <w:spacing w:line="600" w:lineRule="exact"/>
        <w:ind w:left="0" w:firstLine="0"/>
        <w:outlineLvl w:val="2"/>
        <w:rPr>
          <w:rFonts w:ascii="仿宋_GB2312" w:eastAsia="仿宋_GB2312"/>
          <w:b/>
          <w:sz w:val="30"/>
          <w:szCs w:val="30"/>
        </w:rPr>
      </w:pPr>
      <w:bookmarkStart w:id="494" w:name="_Toc57908905"/>
      <w:r>
        <w:rPr>
          <w:rFonts w:hint="eastAsia" w:ascii="仿宋_GB2312" w:eastAsia="仿宋_GB2312"/>
          <w:b/>
          <w:sz w:val="30"/>
          <w:szCs w:val="30"/>
        </w:rPr>
        <w:t>定义</w:t>
      </w:r>
      <w:bookmarkEnd w:id="494"/>
    </w:p>
    <w:p w14:paraId="65D8FDD5">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竞买成交是指卖方在限定时间内按照确定的竞买成交规则，将债券出售给最优应价的单个或者多个应价方的交易方式。</w:t>
      </w:r>
    </w:p>
    <w:p w14:paraId="1163ACED">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竞买成交方式通常适用于流动性较低的债券（例如，特定债券）与资产支持证券等。</w:t>
      </w:r>
    </w:p>
    <w:p w14:paraId="5EBF0038">
      <w:pPr>
        <w:spacing w:line="60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债券交易参与人可通过固定收益平台客户端接入本所系统，并提交竞买信息、竞买发起申报与应价申报。</w:t>
      </w:r>
    </w:p>
    <w:p w14:paraId="79B26770">
      <w:pPr>
        <w:numPr>
          <w:ilvl w:val="2"/>
          <w:numId w:val="4"/>
        </w:numPr>
        <w:spacing w:line="600" w:lineRule="exact"/>
        <w:ind w:left="0" w:firstLine="0"/>
        <w:outlineLvl w:val="2"/>
        <w:rPr>
          <w:rFonts w:ascii="仿宋_GB2312" w:eastAsia="仿宋_GB2312"/>
          <w:b/>
          <w:sz w:val="30"/>
          <w:szCs w:val="30"/>
        </w:rPr>
      </w:pPr>
      <w:bookmarkStart w:id="495" w:name="_Toc57908906"/>
      <w:r>
        <w:rPr>
          <w:rFonts w:hint="eastAsia" w:ascii="仿宋_GB2312" w:eastAsia="仿宋_GB2312"/>
          <w:b/>
          <w:sz w:val="30"/>
          <w:szCs w:val="30"/>
        </w:rPr>
        <w:t>选定竞买方式、确定价格区间</w:t>
      </w:r>
      <w:bookmarkEnd w:id="495"/>
    </w:p>
    <w:p w14:paraId="1E615FB9">
      <w:pPr>
        <w:spacing w:line="600" w:lineRule="exact"/>
        <w:ind w:firstLine="600" w:firstLineChars="200"/>
        <w:outlineLvl w:val="3"/>
        <w:rPr>
          <w:rFonts w:ascii="仿宋_GB2312" w:hAnsi="仿宋" w:eastAsia="仿宋_GB2312"/>
          <w:sz w:val="30"/>
          <w:szCs w:val="30"/>
        </w:rPr>
      </w:pPr>
      <w:r>
        <w:rPr>
          <w:rFonts w:hint="eastAsia" w:ascii="仿宋_GB2312" w:hAnsi="仿宋" w:eastAsia="仿宋_GB2312"/>
          <w:sz w:val="30"/>
          <w:szCs w:val="30"/>
        </w:rPr>
        <w:t>（1）竞买方式选择</w:t>
      </w:r>
    </w:p>
    <w:p w14:paraId="0F4B7C70">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债券投资者采用竞买成交方式的，可选择单一主体中标方式或多主体中标方式，其中多主体中标方式暂缓实施。</w:t>
      </w:r>
    </w:p>
    <w:p w14:paraId="616DA865">
      <w:pPr>
        <w:spacing w:line="600" w:lineRule="exact"/>
        <w:ind w:firstLine="600" w:firstLineChars="200"/>
        <w:outlineLvl w:val="3"/>
        <w:rPr>
          <w:rFonts w:ascii="仿宋_GB2312" w:hAnsi="仿宋" w:eastAsia="仿宋_GB2312"/>
          <w:sz w:val="30"/>
          <w:szCs w:val="30"/>
        </w:rPr>
      </w:pPr>
      <w:r>
        <w:rPr>
          <w:rFonts w:hint="eastAsia" w:ascii="仿宋_GB2312" w:hAnsi="仿宋" w:eastAsia="仿宋_GB2312"/>
          <w:sz w:val="30"/>
          <w:szCs w:val="30"/>
        </w:rPr>
        <w:t>（2）确定价格区间/竞买底价</w:t>
      </w:r>
    </w:p>
    <w:p w14:paraId="20A9EC48">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选定竞买方式后，卖方还需根据债券的市场行情确定价格区间/竞买底价。卖方应充分参考债券的市场估值、市场成交价以及市场报价等信息，合理确定竞买价格区间。</w:t>
      </w:r>
    </w:p>
    <w:p w14:paraId="4BF37359">
      <w:pPr>
        <w:numPr>
          <w:ilvl w:val="2"/>
          <w:numId w:val="4"/>
        </w:numPr>
        <w:spacing w:line="600" w:lineRule="exact"/>
        <w:ind w:left="0" w:firstLine="0"/>
        <w:outlineLvl w:val="2"/>
        <w:rPr>
          <w:rFonts w:ascii="仿宋_GB2312" w:eastAsia="仿宋_GB2312"/>
          <w:b/>
          <w:sz w:val="30"/>
          <w:szCs w:val="30"/>
        </w:rPr>
      </w:pPr>
      <w:bookmarkStart w:id="496" w:name="_Toc57908907"/>
      <w:r>
        <w:rPr>
          <w:rFonts w:hint="eastAsia" w:ascii="仿宋_GB2312" w:eastAsia="仿宋_GB2312"/>
          <w:b/>
          <w:sz w:val="30"/>
          <w:szCs w:val="30"/>
        </w:rPr>
        <w:t>竞买预约</w:t>
      </w:r>
      <w:bookmarkEnd w:id="496"/>
    </w:p>
    <w:p w14:paraId="19363F7A">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竞买日前，卖方应当提前1至5个交易日通过固定收益平台向本所提前预约竞买，确定竞买日，并通过本所向市场发布竞买信息，方可在竞买日当天提交竞买发起申报。</w:t>
      </w:r>
    </w:p>
    <w:p w14:paraId="25EEDDBC">
      <w:pPr>
        <w:numPr>
          <w:ilvl w:val="255"/>
          <w:numId w:val="0"/>
        </w:numPr>
        <w:spacing w:line="600" w:lineRule="exact"/>
        <w:ind w:firstLine="600" w:firstLineChars="200"/>
        <w:outlineLvl w:val="3"/>
        <w:rPr>
          <w:rFonts w:ascii="仿宋_GB2312" w:eastAsia="仿宋_GB2312"/>
          <w:sz w:val="30"/>
          <w:szCs w:val="30"/>
        </w:rPr>
      </w:pPr>
      <w:r>
        <w:rPr>
          <w:rFonts w:hint="eastAsia" w:ascii="仿宋_GB2312" w:eastAsia="仿宋_GB2312"/>
          <w:sz w:val="30"/>
          <w:szCs w:val="30"/>
        </w:rPr>
        <w:t>（1）竞买预约提交</w:t>
      </w:r>
    </w:p>
    <w:p w14:paraId="38FCC0A7">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卖方应提前向本所提交以下信息以完成竞买预约：交易品种、价格区间（底价）、数量</w:t>
      </w:r>
      <w:r>
        <w:rPr>
          <w:rFonts w:ascii="仿宋_GB2312" w:hAnsi="仿宋" w:eastAsia="仿宋_GB2312"/>
          <w:sz w:val="30"/>
          <w:szCs w:val="30"/>
        </w:rPr>
        <w:t>、竞买方式、竞买时间</w:t>
      </w:r>
      <w:r>
        <w:rPr>
          <w:rFonts w:hint="eastAsia" w:ascii="仿宋_GB2312" w:hAnsi="仿宋" w:eastAsia="仿宋_GB2312"/>
          <w:sz w:val="30"/>
          <w:szCs w:val="30"/>
        </w:rPr>
        <w:t>、卖方、是否匿名等。</w:t>
      </w:r>
      <w:r>
        <w:rPr>
          <w:rFonts w:hint="eastAsia" w:ascii="仿宋_GB2312" w:eastAsia="仿宋_GB2312"/>
          <w:sz w:val="30"/>
          <w:szCs w:val="30"/>
        </w:rPr>
        <w:t>竞买预约具体要素及要素说明如下</w:t>
      </w:r>
      <w:r>
        <w:rPr>
          <w:rFonts w:hint="eastAsia" w:ascii="仿宋_GB2312" w:hAnsi="仿宋" w:eastAsia="仿宋_GB2312"/>
          <w:sz w:val="30"/>
          <w:szCs w:val="30"/>
        </w:rPr>
        <w:t>：</w:t>
      </w:r>
    </w:p>
    <w:tbl>
      <w:tblPr>
        <w:tblStyle w:val="4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05"/>
        <w:gridCol w:w="5609"/>
      </w:tblGrid>
      <w:tr w14:paraId="34D1D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5" w:type="dxa"/>
          </w:tcPr>
          <w:p w14:paraId="04DCDF7C">
            <w:pPr>
              <w:pStyle w:val="12"/>
              <w:ind w:firstLine="0" w:firstLineChars="0"/>
              <w:jc w:val="left"/>
              <w:rPr>
                <w:rFonts w:ascii="宋体" w:hAnsi="宋体"/>
                <w:b/>
                <w:color w:val="000000"/>
                <w:kern w:val="0"/>
                <w:lang w:eastAsia="en-US" w:bidi="en-US"/>
              </w:rPr>
            </w:pPr>
            <w:r>
              <w:rPr>
                <w:rFonts w:hint="eastAsia" w:ascii="仿宋_GB2312" w:eastAsia="仿宋_GB2312"/>
                <w:b/>
                <w:kern w:val="0"/>
                <w:lang w:eastAsia="en-US" w:bidi="en-US"/>
              </w:rPr>
              <w:t>要素名称</w:t>
            </w:r>
          </w:p>
        </w:tc>
        <w:tc>
          <w:tcPr>
            <w:tcW w:w="5609" w:type="dxa"/>
          </w:tcPr>
          <w:p w14:paraId="36121D3B">
            <w:pPr>
              <w:pStyle w:val="12"/>
              <w:ind w:firstLine="0" w:firstLineChars="0"/>
              <w:jc w:val="left"/>
              <w:rPr>
                <w:rFonts w:ascii="宋体" w:hAnsi="宋体"/>
                <w:b/>
                <w:color w:val="000000"/>
                <w:kern w:val="0"/>
                <w:lang w:eastAsia="en-US" w:bidi="en-US"/>
              </w:rPr>
            </w:pPr>
            <w:r>
              <w:rPr>
                <w:rFonts w:hint="eastAsia" w:ascii="仿宋_GB2312" w:eastAsia="仿宋_GB2312"/>
                <w:b/>
                <w:kern w:val="0"/>
                <w:lang w:eastAsia="en-US" w:bidi="en-US"/>
              </w:rPr>
              <w:t>要素说明</w:t>
            </w:r>
          </w:p>
        </w:tc>
      </w:tr>
      <w:tr w14:paraId="28D09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5" w:type="dxa"/>
          </w:tcPr>
          <w:p w14:paraId="5DCFB440">
            <w:pPr>
              <w:pStyle w:val="12"/>
              <w:ind w:firstLine="0" w:firstLineChars="0"/>
              <w:rPr>
                <w:rFonts w:ascii="仿宋_GB2312" w:hAnsi="宋体" w:eastAsia="仿宋_GB2312"/>
                <w:b/>
                <w:color w:val="000000"/>
                <w:kern w:val="0"/>
                <w:lang w:eastAsia="en-US" w:bidi="en-US"/>
              </w:rPr>
            </w:pPr>
            <w:r>
              <w:rPr>
                <w:rFonts w:hint="eastAsia" w:ascii="仿宋_GB2312" w:hAnsi="宋体" w:eastAsia="仿宋_GB2312"/>
                <w:b/>
                <w:color w:val="000000"/>
                <w:kern w:val="0"/>
                <w:lang w:eastAsia="en-US" w:bidi="en-US"/>
              </w:rPr>
              <w:t>竞买方式</w:t>
            </w:r>
          </w:p>
        </w:tc>
        <w:tc>
          <w:tcPr>
            <w:tcW w:w="5609" w:type="dxa"/>
          </w:tcPr>
          <w:p w14:paraId="2DB18CBE">
            <w:pPr>
              <w:pStyle w:val="12"/>
              <w:ind w:firstLine="0" w:firstLineChars="0"/>
              <w:rPr>
                <w:rFonts w:ascii="仿宋_GB2312" w:hAnsi="宋体" w:eastAsia="仿宋_GB2312"/>
                <w:kern w:val="0"/>
                <w:lang w:bidi="en-US"/>
              </w:rPr>
            </w:pPr>
            <w:r>
              <w:rPr>
                <w:rFonts w:hint="eastAsia" w:ascii="仿宋_GB2312" w:hAnsi="宋体" w:eastAsia="仿宋_GB2312"/>
                <w:color w:val="000000"/>
                <w:kern w:val="0"/>
                <w:lang w:bidi="en-US"/>
              </w:rPr>
              <w:t>单一主体中标</w:t>
            </w:r>
          </w:p>
        </w:tc>
      </w:tr>
      <w:tr w14:paraId="39647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5" w:type="dxa"/>
          </w:tcPr>
          <w:p w14:paraId="1B633FF9">
            <w:pPr>
              <w:pStyle w:val="12"/>
              <w:ind w:firstLine="0" w:firstLineChars="0"/>
              <w:rPr>
                <w:rFonts w:ascii="仿宋_GB2312" w:hAnsi="宋体" w:eastAsia="仿宋_GB2312"/>
                <w:b/>
                <w:color w:val="000000"/>
                <w:kern w:val="0"/>
                <w:lang w:eastAsia="en-US" w:bidi="en-US"/>
              </w:rPr>
            </w:pPr>
            <w:r>
              <w:rPr>
                <w:rFonts w:hint="eastAsia" w:ascii="仿宋_GB2312" w:hAnsi="宋体" w:eastAsia="仿宋_GB2312"/>
                <w:b/>
                <w:color w:val="000000"/>
                <w:kern w:val="0"/>
                <w:lang w:eastAsia="en-US" w:bidi="en-US"/>
              </w:rPr>
              <w:t>申报类型</w:t>
            </w:r>
          </w:p>
        </w:tc>
        <w:tc>
          <w:tcPr>
            <w:tcW w:w="5609" w:type="dxa"/>
          </w:tcPr>
          <w:p w14:paraId="2D0D6E6A">
            <w:pPr>
              <w:pStyle w:val="12"/>
              <w:ind w:firstLine="0" w:firstLineChars="0"/>
              <w:rPr>
                <w:rFonts w:ascii="仿宋_GB2312" w:hAnsi="宋体" w:eastAsia="仿宋_GB2312"/>
                <w:color w:val="000000"/>
                <w:kern w:val="0"/>
                <w:lang w:eastAsia="en-US" w:bidi="en-US"/>
              </w:rPr>
            </w:pPr>
            <w:r>
              <w:rPr>
                <w:rFonts w:hint="eastAsia" w:ascii="仿宋_GB2312" w:hAnsi="宋体" w:eastAsia="仿宋_GB2312"/>
                <w:color w:val="000000"/>
                <w:kern w:val="0"/>
                <w:lang w:eastAsia="en-US" w:bidi="en-US"/>
              </w:rPr>
              <w:t>竞买预约</w:t>
            </w:r>
          </w:p>
        </w:tc>
      </w:tr>
      <w:tr w14:paraId="07D83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05" w:type="dxa"/>
          </w:tcPr>
          <w:p w14:paraId="160B7C21">
            <w:pPr>
              <w:pStyle w:val="12"/>
              <w:ind w:firstLine="0" w:firstLineChars="0"/>
              <w:rPr>
                <w:rFonts w:ascii="仿宋_GB2312" w:hAnsi="宋体" w:eastAsia="仿宋_GB2312"/>
                <w:b/>
                <w:color w:val="000000"/>
                <w:kern w:val="0"/>
                <w:lang w:bidi="en-US"/>
              </w:rPr>
            </w:pPr>
            <w:r>
              <w:rPr>
                <w:rFonts w:hint="eastAsia" w:ascii="仿宋_GB2312" w:hAnsi="宋体" w:eastAsia="仿宋_GB2312"/>
                <w:b/>
                <w:color w:val="000000"/>
                <w:kern w:val="0"/>
                <w:lang w:bidi="en-US"/>
              </w:rPr>
              <w:t>交易品种</w:t>
            </w:r>
          </w:p>
        </w:tc>
        <w:tc>
          <w:tcPr>
            <w:tcW w:w="5609" w:type="dxa"/>
          </w:tcPr>
          <w:p w14:paraId="6FA9D893">
            <w:pPr>
              <w:pStyle w:val="12"/>
              <w:ind w:firstLine="0" w:firstLineChars="0"/>
              <w:rPr>
                <w:rFonts w:ascii="宋体" w:hAnsi="宋体"/>
                <w:color w:val="000000"/>
                <w:kern w:val="0"/>
                <w:lang w:bidi="en-US"/>
              </w:rPr>
            </w:pPr>
            <w:r>
              <w:rPr>
                <w:rFonts w:hint="eastAsia" w:ascii="仿宋_GB2312" w:hAnsi="宋体" w:eastAsia="仿宋_GB2312"/>
                <w:kern w:val="0"/>
                <w:lang w:bidi="en-US"/>
              </w:rPr>
              <w:t>交易品种的名称或证券代码</w:t>
            </w:r>
          </w:p>
        </w:tc>
      </w:tr>
      <w:tr w14:paraId="72878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5" w:type="dxa"/>
          </w:tcPr>
          <w:p w14:paraId="4263B82E">
            <w:pPr>
              <w:pStyle w:val="12"/>
              <w:ind w:firstLine="0" w:firstLineChars="0"/>
              <w:rPr>
                <w:rFonts w:ascii="仿宋_GB2312" w:hAnsi="宋体" w:eastAsia="仿宋_GB2312"/>
                <w:b/>
                <w:color w:val="000000"/>
                <w:kern w:val="0"/>
                <w:lang w:eastAsia="en-US" w:bidi="en-US"/>
              </w:rPr>
            </w:pPr>
            <w:r>
              <w:rPr>
                <w:rFonts w:hint="eastAsia" w:ascii="仿宋_GB2312" w:hAnsi="宋体" w:eastAsia="仿宋_GB2312"/>
                <w:b/>
                <w:color w:val="000000"/>
                <w:kern w:val="0"/>
                <w:lang w:eastAsia="en-US" w:bidi="en-US"/>
              </w:rPr>
              <w:t>数量</w:t>
            </w:r>
          </w:p>
        </w:tc>
        <w:tc>
          <w:tcPr>
            <w:tcW w:w="5609" w:type="dxa"/>
          </w:tcPr>
          <w:p w14:paraId="1E10D281">
            <w:pPr>
              <w:pStyle w:val="12"/>
              <w:ind w:firstLine="0" w:firstLineChars="0"/>
              <w:rPr>
                <w:rFonts w:ascii="仿宋_GB2312" w:hAnsi="宋体" w:eastAsia="仿宋_GB2312"/>
                <w:color w:val="000000"/>
                <w:kern w:val="0"/>
                <w:lang w:bidi="en-US"/>
              </w:rPr>
            </w:pPr>
            <w:r>
              <w:rPr>
                <w:rFonts w:hint="eastAsia" w:ascii="仿宋_GB2312" w:hAnsi="宋体" w:eastAsia="仿宋_GB2312"/>
                <w:color w:val="000000"/>
                <w:kern w:val="0"/>
                <w:lang w:bidi="en-US"/>
              </w:rPr>
              <w:t>拟卖出数量，单位：千元面额</w:t>
            </w:r>
          </w:p>
        </w:tc>
      </w:tr>
      <w:tr w14:paraId="47844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5" w:type="dxa"/>
          </w:tcPr>
          <w:p w14:paraId="7F05D9F2">
            <w:pPr>
              <w:pStyle w:val="12"/>
              <w:ind w:firstLine="0" w:firstLineChars="0"/>
              <w:rPr>
                <w:rFonts w:ascii="仿宋_GB2312" w:hAnsi="宋体" w:eastAsia="仿宋_GB2312"/>
                <w:b/>
                <w:color w:val="000000"/>
                <w:kern w:val="0"/>
                <w:lang w:eastAsia="en-US" w:bidi="en-US"/>
              </w:rPr>
            </w:pPr>
            <w:r>
              <w:rPr>
                <w:rFonts w:hint="eastAsia" w:ascii="仿宋_GB2312" w:hAnsi="宋体" w:eastAsia="仿宋_GB2312"/>
                <w:b/>
                <w:color w:val="000000"/>
                <w:kern w:val="0"/>
                <w:lang w:eastAsia="en-US" w:bidi="en-US"/>
              </w:rPr>
              <w:t>价格区间</w:t>
            </w:r>
          </w:p>
        </w:tc>
        <w:tc>
          <w:tcPr>
            <w:tcW w:w="5609" w:type="dxa"/>
          </w:tcPr>
          <w:p w14:paraId="733F3020">
            <w:pPr>
              <w:pStyle w:val="12"/>
              <w:ind w:firstLine="0" w:firstLineChars="0"/>
              <w:rPr>
                <w:rFonts w:ascii="仿宋_GB2312" w:hAnsi="宋体" w:eastAsia="仿宋_GB2312"/>
                <w:color w:val="000000"/>
                <w:kern w:val="0"/>
                <w:lang w:eastAsia="en-US" w:bidi="en-US"/>
              </w:rPr>
            </w:pPr>
            <w:r>
              <w:rPr>
                <w:rFonts w:hint="eastAsia" w:ascii="仿宋_GB2312" w:hAnsi="宋体" w:eastAsia="仿宋_GB2312"/>
                <w:color w:val="000000"/>
                <w:kern w:val="0"/>
                <w:lang w:eastAsia="en-US" w:bidi="en-US"/>
              </w:rPr>
              <w:t>卖方底价</w:t>
            </w:r>
          </w:p>
        </w:tc>
      </w:tr>
      <w:tr w14:paraId="44303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5" w:type="dxa"/>
          </w:tcPr>
          <w:p w14:paraId="1673FFA5">
            <w:pPr>
              <w:pStyle w:val="12"/>
              <w:ind w:firstLine="0" w:firstLineChars="0"/>
              <w:rPr>
                <w:rFonts w:ascii="仿宋_GB2312" w:hAnsi="宋体" w:eastAsia="仿宋_GB2312"/>
                <w:b/>
                <w:color w:val="000000"/>
                <w:kern w:val="0"/>
                <w:lang w:eastAsia="en-US" w:bidi="en-US"/>
              </w:rPr>
            </w:pPr>
            <w:r>
              <w:rPr>
                <w:rFonts w:ascii="仿宋_GB2312" w:hAnsi="宋体" w:eastAsia="仿宋_GB2312"/>
                <w:b/>
                <w:color w:val="000000"/>
                <w:kern w:val="0"/>
                <w:lang w:eastAsia="en-US" w:bidi="en-US"/>
              </w:rPr>
              <w:t>竞买</w:t>
            </w:r>
            <w:r>
              <w:rPr>
                <w:rFonts w:hint="eastAsia" w:ascii="仿宋_GB2312" w:hAnsi="宋体" w:eastAsia="仿宋_GB2312"/>
                <w:b/>
                <w:color w:val="000000"/>
                <w:kern w:val="0"/>
                <w:lang w:bidi="en-US"/>
              </w:rPr>
              <w:t>申报日</w:t>
            </w:r>
          </w:p>
        </w:tc>
        <w:tc>
          <w:tcPr>
            <w:tcW w:w="5609" w:type="dxa"/>
          </w:tcPr>
          <w:p w14:paraId="45751E67">
            <w:pPr>
              <w:pStyle w:val="12"/>
              <w:ind w:firstLine="0" w:firstLineChars="0"/>
              <w:rPr>
                <w:rFonts w:ascii="仿宋_GB2312" w:hAnsi="宋体" w:eastAsia="仿宋_GB2312"/>
                <w:color w:val="000000"/>
                <w:kern w:val="0"/>
                <w:lang w:eastAsia="en-US" w:bidi="en-US"/>
              </w:rPr>
            </w:pPr>
            <w:r>
              <w:rPr>
                <w:rFonts w:ascii="仿宋_GB2312" w:hAnsi="宋体" w:eastAsia="仿宋_GB2312"/>
                <w:color w:val="000000"/>
                <w:kern w:val="0"/>
                <w:lang w:eastAsia="en-US" w:bidi="en-US"/>
              </w:rPr>
              <w:t>竞买日</w:t>
            </w:r>
          </w:p>
        </w:tc>
      </w:tr>
      <w:tr w14:paraId="734CE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05" w:type="dxa"/>
          </w:tcPr>
          <w:p w14:paraId="5CFFBFCE">
            <w:pPr>
              <w:pStyle w:val="12"/>
              <w:ind w:firstLine="0" w:firstLineChars="0"/>
              <w:rPr>
                <w:rFonts w:ascii="仿宋_GB2312" w:hAnsi="宋体" w:eastAsia="仿宋_GB2312"/>
                <w:b/>
                <w:color w:val="000000"/>
                <w:kern w:val="0"/>
                <w:lang w:eastAsia="en-US" w:bidi="en-US"/>
              </w:rPr>
            </w:pPr>
            <w:r>
              <w:rPr>
                <w:rFonts w:hint="eastAsia" w:ascii="仿宋_GB2312" w:hAnsi="宋体" w:eastAsia="仿宋_GB2312"/>
                <w:b/>
                <w:color w:val="000000"/>
                <w:kern w:val="0"/>
                <w:lang w:eastAsia="en-US" w:bidi="en-US"/>
              </w:rPr>
              <w:t>卖方交易参与人</w:t>
            </w:r>
          </w:p>
        </w:tc>
        <w:tc>
          <w:tcPr>
            <w:tcW w:w="5609" w:type="dxa"/>
          </w:tcPr>
          <w:p w14:paraId="302EA103">
            <w:pPr>
              <w:pStyle w:val="12"/>
              <w:ind w:firstLine="0" w:firstLineChars="0"/>
              <w:rPr>
                <w:rFonts w:ascii="仿宋_GB2312" w:hAnsi="宋体" w:eastAsia="仿宋_GB2312"/>
                <w:color w:val="000000"/>
                <w:kern w:val="0"/>
                <w:lang w:bidi="en-US"/>
              </w:rPr>
            </w:pPr>
            <w:r>
              <w:rPr>
                <w:rFonts w:hint="eastAsia" w:ascii="仿宋_GB2312" w:hAnsi="宋体" w:eastAsia="仿宋_GB2312"/>
                <w:color w:val="000000"/>
                <w:kern w:val="0"/>
                <w:lang w:bidi="en-US"/>
              </w:rPr>
              <w:t>卖方的交易参与人简称</w:t>
            </w:r>
          </w:p>
        </w:tc>
      </w:tr>
      <w:tr w14:paraId="18FA0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5" w:type="dxa"/>
          </w:tcPr>
          <w:p w14:paraId="22F5A73F">
            <w:pPr>
              <w:pStyle w:val="12"/>
              <w:ind w:firstLine="0" w:firstLineChars="0"/>
              <w:rPr>
                <w:rFonts w:ascii="仿宋_GB2312" w:hAnsi="宋体" w:eastAsia="仿宋_GB2312"/>
                <w:b/>
                <w:color w:val="000000"/>
                <w:kern w:val="0"/>
                <w:lang w:eastAsia="en-US" w:bidi="en-US"/>
              </w:rPr>
            </w:pPr>
            <w:r>
              <w:rPr>
                <w:rFonts w:hint="eastAsia" w:ascii="仿宋_GB2312" w:hAnsi="宋体" w:eastAsia="仿宋_GB2312"/>
                <w:b/>
                <w:color w:val="000000"/>
                <w:kern w:val="0"/>
                <w:lang w:eastAsia="en-US" w:bidi="en-US"/>
              </w:rPr>
              <w:t>是否匿名</w:t>
            </w:r>
          </w:p>
        </w:tc>
        <w:tc>
          <w:tcPr>
            <w:tcW w:w="5609" w:type="dxa"/>
          </w:tcPr>
          <w:p w14:paraId="7A137F80">
            <w:pPr>
              <w:pStyle w:val="12"/>
              <w:ind w:firstLine="0" w:firstLineChars="0"/>
              <w:rPr>
                <w:rFonts w:ascii="宋体" w:hAnsi="宋体"/>
                <w:color w:val="000000"/>
                <w:kern w:val="0"/>
                <w:lang w:bidi="en-US"/>
              </w:rPr>
            </w:pPr>
            <w:r>
              <w:rPr>
                <w:rFonts w:hint="eastAsia" w:ascii="仿宋_GB2312" w:hAnsi="宋体" w:eastAsia="仿宋_GB2312"/>
                <w:color w:val="000000"/>
                <w:kern w:val="0"/>
                <w:lang w:bidi="en-US"/>
              </w:rPr>
              <w:t>需匿名的，勾选“匿名提交”</w:t>
            </w:r>
          </w:p>
        </w:tc>
      </w:tr>
      <w:tr w14:paraId="3D7BA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5" w:type="dxa"/>
          </w:tcPr>
          <w:p w14:paraId="247C86CB">
            <w:pPr>
              <w:pStyle w:val="12"/>
              <w:ind w:firstLine="0" w:firstLineChars="0"/>
              <w:rPr>
                <w:rFonts w:ascii="仿宋_GB2312" w:hAnsi="宋体" w:eastAsia="仿宋_GB2312"/>
                <w:b/>
                <w:color w:val="000000"/>
                <w:kern w:val="0"/>
                <w:lang w:bidi="en-US"/>
              </w:rPr>
            </w:pPr>
            <w:r>
              <w:rPr>
                <w:rFonts w:hint="eastAsia" w:ascii="仿宋_GB2312" w:hAnsi="宋体" w:eastAsia="仿宋_GB2312"/>
                <w:b/>
                <w:color w:val="000000"/>
                <w:kern w:val="0"/>
                <w:lang w:bidi="en-US"/>
              </w:rPr>
              <w:t>结算方</w:t>
            </w:r>
            <w:r>
              <w:rPr>
                <w:rFonts w:ascii="仿宋_GB2312" w:hAnsi="宋体" w:eastAsia="仿宋_GB2312"/>
                <w:b/>
                <w:color w:val="000000"/>
                <w:kern w:val="0"/>
                <w:lang w:bidi="en-US"/>
              </w:rPr>
              <w:t>式</w:t>
            </w:r>
          </w:p>
        </w:tc>
        <w:tc>
          <w:tcPr>
            <w:tcW w:w="5609" w:type="dxa"/>
          </w:tcPr>
          <w:p w14:paraId="0749C833">
            <w:pPr>
              <w:pStyle w:val="12"/>
              <w:ind w:firstLine="0" w:firstLineChars="0"/>
              <w:rPr>
                <w:rFonts w:ascii="仿宋_GB2312" w:hAnsi="宋体" w:eastAsia="仿宋_GB2312"/>
                <w:color w:val="000000"/>
                <w:kern w:val="0"/>
                <w:lang w:bidi="en-US"/>
              </w:rPr>
            </w:pPr>
            <w:r>
              <w:rPr>
                <w:rFonts w:hint="eastAsia" w:ascii="仿宋_GB2312" w:eastAsia="仿宋_GB2312"/>
                <w:kern w:val="0"/>
                <w:lang w:eastAsia="en-US" w:bidi="en-US"/>
              </w:rPr>
              <w:t>结算方式</w:t>
            </w:r>
          </w:p>
        </w:tc>
      </w:tr>
      <w:tr w14:paraId="715B8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5" w:type="dxa"/>
          </w:tcPr>
          <w:p w14:paraId="4FCBE5C6">
            <w:pPr>
              <w:pStyle w:val="12"/>
              <w:ind w:firstLine="0" w:firstLineChars="0"/>
              <w:rPr>
                <w:rFonts w:ascii="仿宋_GB2312" w:hAnsi="宋体" w:eastAsia="仿宋_GB2312"/>
                <w:b/>
                <w:color w:val="000000"/>
                <w:kern w:val="0"/>
                <w:lang w:bidi="en-US"/>
              </w:rPr>
            </w:pPr>
            <w:r>
              <w:rPr>
                <w:rFonts w:hint="eastAsia" w:ascii="仿宋_GB2312" w:hAnsi="宋体" w:eastAsia="仿宋_GB2312"/>
                <w:b/>
                <w:color w:val="000000"/>
                <w:kern w:val="0"/>
                <w:lang w:bidi="en-US"/>
              </w:rPr>
              <w:t>自动发起</w:t>
            </w:r>
          </w:p>
        </w:tc>
        <w:tc>
          <w:tcPr>
            <w:tcW w:w="5609" w:type="dxa"/>
          </w:tcPr>
          <w:p w14:paraId="6E03C617">
            <w:pPr>
              <w:pStyle w:val="12"/>
              <w:ind w:firstLine="0" w:firstLineChars="0"/>
              <w:rPr>
                <w:rFonts w:ascii="仿宋_GB2312" w:hAnsi="宋体" w:eastAsia="仿宋_GB2312"/>
                <w:color w:val="000000"/>
                <w:kern w:val="0"/>
                <w:lang w:bidi="en-US"/>
              </w:rPr>
            </w:pPr>
            <w:r>
              <w:rPr>
                <w:rFonts w:hint="eastAsia" w:ascii="仿宋_GB2312" w:hAnsi="宋体" w:eastAsia="仿宋_GB2312"/>
                <w:color w:val="000000"/>
                <w:kern w:val="0"/>
                <w:lang w:bidi="en-US"/>
              </w:rPr>
              <w:t>默认勾选，同意系统于竞买日自动将竞买预约转竞买申报</w:t>
            </w:r>
          </w:p>
        </w:tc>
      </w:tr>
      <w:tr w14:paraId="3D7B4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05" w:type="dxa"/>
          </w:tcPr>
          <w:p w14:paraId="5043D45E">
            <w:pPr>
              <w:pStyle w:val="12"/>
              <w:ind w:firstLine="0" w:firstLineChars="0"/>
              <w:rPr>
                <w:rFonts w:ascii="仿宋_GB2312" w:hAnsi="宋体" w:eastAsia="仿宋_GB2312"/>
                <w:b/>
                <w:color w:val="000000"/>
                <w:kern w:val="0"/>
                <w:lang w:eastAsia="en-US" w:bidi="en-US"/>
              </w:rPr>
            </w:pPr>
            <w:r>
              <w:rPr>
                <w:rFonts w:hint="eastAsia" w:ascii="仿宋_GB2312" w:hAnsi="宋体" w:eastAsia="仿宋_GB2312"/>
                <w:b/>
                <w:color w:val="000000"/>
                <w:kern w:val="0"/>
                <w:lang w:eastAsia="en-US" w:bidi="en-US"/>
              </w:rPr>
              <w:t>证券简称</w:t>
            </w:r>
          </w:p>
        </w:tc>
        <w:tc>
          <w:tcPr>
            <w:tcW w:w="5609" w:type="dxa"/>
          </w:tcPr>
          <w:p w14:paraId="11B3BD22">
            <w:pPr>
              <w:pStyle w:val="12"/>
              <w:ind w:firstLine="0" w:firstLineChars="0"/>
              <w:rPr>
                <w:rFonts w:ascii="仿宋_GB2312" w:hAnsi="宋体" w:eastAsia="仿宋_GB2312"/>
                <w:color w:val="000000"/>
                <w:kern w:val="0"/>
                <w:lang w:bidi="en-US"/>
              </w:rPr>
            </w:pPr>
            <w:r>
              <w:rPr>
                <w:rFonts w:hint="eastAsia" w:ascii="仿宋_GB2312" w:hAnsi="宋体" w:eastAsia="仿宋_GB2312"/>
                <w:kern w:val="0"/>
                <w:lang w:bidi="en-US"/>
              </w:rPr>
              <w:t>即上交所证券简称，有证券代码的交易品种，简称根据证券代码自动显示</w:t>
            </w:r>
          </w:p>
        </w:tc>
      </w:tr>
      <w:tr w14:paraId="50AA9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5" w:type="dxa"/>
          </w:tcPr>
          <w:p w14:paraId="00BD83DA">
            <w:pPr>
              <w:pStyle w:val="12"/>
              <w:ind w:firstLine="0" w:firstLineChars="0"/>
              <w:rPr>
                <w:rFonts w:ascii="仿宋_GB2312" w:hAnsi="宋体" w:eastAsia="仿宋_GB2312"/>
                <w:b/>
                <w:color w:val="000000"/>
                <w:kern w:val="0"/>
                <w:lang w:eastAsia="en-US" w:bidi="en-US"/>
              </w:rPr>
            </w:pPr>
            <w:r>
              <w:rPr>
                <w:rFonts w:hint="eastAsia" w:ascii="仿宋_GB2312" w:hAnsi="宋体" w:eastAsia="仿宋_GB2312"/>
                <w:b/>
                <w:color w:val="000000"/>
                <w:kern w:val="0"/>
                <w:lang w:eastAsia="en-US" w:bidi="en-US"/>
              </w:rPr>
              <w:t>交易方式</w:t>
            </w:r>
          </w:p>
        </w:tc>
        <w:tc>
          <w:tcPr>
            <w:tcW w:w="5609" w:type="dxa"/>
          </w:tcPr>
          <w:p w14:paraId="73A84427">
            <w:pPr>
              <w:pStyle w:val="12"/>
              <w:ind w:firstLine="0" w:firstLineChars="0"/>
              <w:rPr>
                <w:rFonts w:ascii="仿宋_GB2312" w:hAnsi="宋体" w:eastAsia="仿宋_GB2312"/>
                <w:color w:val="000000"/>
                <w:kern w:val="0"/>
                <w:lang w:eastAsia="en-US" w:bidi="en-US"/>
              </w:rPr>
            </w:pPr>
            <w:r>
              <w:rPr>
                <w:rFonts w:hint="eastAsia" w:ascii="仿宋_GB2312" w:hAnsi="宋体" w:eastAsia="仿宋_GB2312"/>
                <w:color w:val="000000"/>
                <w:kern w:val="0"/>
                <w:lang w:eastAsia="en-US" w:bidi="en-US"/>
              </w:rPr>
              <w:t>竞买成交</w:t>
            </w:r>
          </w:p>
        </w:tc>
      </w:tr>
    </w:tbl>
    <w:p w14:paraId="42FC60CD">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卖方</w:t>
      </w:r>
      <w:r>
        <w:rPr>
          <w:rFonts w:hint="eastAsia" w:ascii="仿宋_GB2312" w:eastAsia="仿宋_GB2312"/>
          <w:sz w:val="30"/>
          <w:szCs w:val="30"/>
        </w:rPr>
        <w:t>提交竞买预约</w:t>
      </w:r>
      <w:r>
        <w:rPr>
          <w:rFonts w:hint="eastAsia" w:ascii="仿宋_GB2312" w:hAnsi="仿宋" w:eastAsia="仿宋_GB2312"/>
          <w:sz w:val="30"/>
          <w:szCs w:val="30"/>
        </w:rPr>
        <w:t>时，可以同时委托系统自动提交</w:t>
      </w:r>
      <w:r>
        <w:rPr>
          <w:rFonts w:hint="eastAsia" w:ascii="仿宋_GB2312" w:eastAsia="仿宋_GB2312"/>
          <w:sz w:val="30"/>
          <w:szCs w:val="30"/>
        </w:rPr>
        <w:t>竞买发起</w:t>
      </w:r>
      <w:r>
        <w:rPr>
          <w:rFonts w:hint="eastAsia" w:ascii="仿宋_GB2312" w:hAnsi="仿宋" w:eastAsia="仿宋_GB2312"/>
          <w:sz w:val="30"/>
          <w:szCs w:val="30"/>
        </w:rPr>
        <w:t>申报，若同意委托且未手工提交</w:t>
      </w:r>
      <w:r>
        <w:rPr>
          <w:rFonts w:hint="eastAsia" w:ascii="仿宋_GB2312" w:eastAsia="仿宋_GB2312"/>
          <w:sz w:val="30"/>
          <w:szCs w:val="30"/>
        </w:rPr>
        <w:t>竞买发起</w:t>
      </w:r>
      <w:r>
        <w:rPr>
          <w:rFonts w:hint="eastAsia" w:ascii="仿宋_GB2312" w:hAnsi="仿宋" w:eastAsia="仿宋_GB2312"/>
          <w:sz w:val="30"/>
          <w:szCs w:val="30"/>
        </w:rPr>
        <w:t>申报的，则</w:t>
      </w:r>
      <w:r>
        <w:rPr>
          <w:rFonts w:hint="eastAsia" w:ascii="仿宋_GB2312" w:eastAsia="仿宋_GB2312"/>
          <w:sz w:val="30"/>
          <w:szCs w:val="30"/>
        </w:rPr>
        <w:t>竞买</w:t>
      </w:r>
      <w:r>
        <w:rPr>
          <w:rFonts w:hint="eastAsia" w:ascii="仿宋_GB2312" w:hAnsi="仿宋" w:eastAsia="仿宋_GB2312"/>
          <w:sz w:val="30"/>
          <w:szCs w:val="30"/>
        </w:rPr>
        <w:t>日当天</w:t>
      </w:r>
      <w:r>
        <w:rPr>
          <w:rFonts w:ascii="仿宋_GB2312" w:hAnsi="仿宋" w:eastAsia="仿宋_GB2312"/>
          <w:sz w:val="30"/>
          <w:szCs w:val="30"/>
        </w:rPr>
        <w:t>10：00系统将自动</w:t>
      </w:r>
      <w:r>
        <w:rPr>
          <w:rFonts w:hint="eastAsia" w:ascii="仿宋_GB2312" w:hAnsi="仿宋" w:eastAsia="仿宋_GB2312"/>
          <w:sz w:val="30"/>
          <w:szCs w:val="30"/>
        </w:rPr>
        <w:t>提交</w:t>
      </w:r>
      <w:r>
        <w:rPr>
          <w:rFonts w:hint="eastAsia" w:ascii="仿宋_GB2312" w:eastAsia="仿宋_GB2312"/>
          <w:sz w:val="30"/>
          <w:szCs w:val="30"/>
        </w:rPr>
        <w:t>竞买发起</w:t>
      </w:r>
      <w:r>
        <w:rPr>
          <w:rFonts w:hint="eastAsia" w:ascii="仿宋_GB2312" w:hAnsi="仿宋" w:eastAsia="仿宋_GB2312"/>
          <w:sz w:val="30"/>
          <w:szCs w:val="30"/>
        </w:rPr>
        <w:t>申报。</w:t>
      </w:r>
    </w:p>
    <w:p w14:paraId="18307B6D">
      <w:pPr>
        <w:numPr>
          <w:ilvl w:val="255"/>
          <w:numId w:val="0"/>
        </w:numPr>
        <w:spacing w:line="600" w:lineRule="exact"/>
        <w:ind w:firstLine="600" w:firstLineChars="200"/>
        <w:outlineLvl w:val="3"/>
        <w:rPr>
          <w:rFonts w:ascii="仿宋_GB2312" w:hAnsi="仿宋" w:eastAsia="仿宋_GB2312"/>
          <w:sz w:val="30"/>
          <w:szCs w:val="30"/>
        </w:rPr>
      </w:pPr>
      <w:r>
        <w:rPr>
          <w:rFonts w:hint="eastAsia" w:ascii="仿宋_GB2312" w:eastAsia="仿宋_GB2312"/>
          <w:sz w:val="30"/>
          <w:szCs w:val="30"/>
        </w:rPr>
        <w:t>（2）竞买信息发布</w:t>
      </w:r>
    </w:p>
    <w:p w14:paraId="1C20D601">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卖方完成竞买预约后，卖方提交的前述信息将在固定收益平台客户端主界面展示，固定收益平台将生成对外发布的竞买信息。竞买信息生成后，债券投资者可在“</w:t>
      </w:r>
      <w:r>
        <w:rPr>
          <w:rFonts w:hint="eastAsia" w:ascii="仿宋_GB2312" w:eastAsia="仿宋_GB2312"/>
          <w:sz w:val="30"/>
          <w:szCs w:val="30"/>
        </w:rPr>
        <w:t>首页-披露-债券信息-竞买业务</w:t>
      </w:r>
      <w:r>
        <w:rPr>
          <w:rFonts w:ascii="仿宋_GB2312" w:eastAsia="仿宋_GB2312"/>
          <w:sz w:val="30"/>
          <w:szCs w:val="30"/>
        </w:rPr>
        <w:t>-</w:t>
      </w:r>
      <w:r>
        <w:rPr>
          <w:rFonts w:hint="eastAsia" w:ascii="仿宋_GB2312" w:eastAsia="仿宋_GB2312"/>
          <w:sz w:val="30"/>
          <w:szCs w:val="30"/>
        </w:rPr>
        <w:t>竞买预约提示</w:t>
      </w:r>
      <w:r>
        <w:rPr>
          <w:rFonts w:hint="eastAsia" w:ascii="仿宋_GB2312" w:hAnsi="仿宋" w:eastAsia="仿宋_GB2312"/>
          <w:sz w:val="30"/>
          <w:szCs w:val="30"/>
        </w:rPr>
        <w:t>”栏目和上证债券信息网“</w:t>
      </w:r>
      <w:r>
        <w:rPr>
          <w:rFonts w:hint="eastAsia" w:ascii="仿宋_GB2312" w:hAnsi="黑体" w:eastAsia="仿宋_GB2312"/>
          <w:sz w:val="30"/>
          <w:szCs w:val="30"/>
        </w:rPr>
        <w:t>首页</w:t>
      </w:r>
      <w:r>
        <w:rPr>
          <w:rFonts w:ascii="仿宋_GB2312" w:hAnsi="黑体" w:eastAsia="仿宋_GB2312"/>
          <w:sz w:val="30"/>
          <w:szCs w:val="30"/>
        </w:rPr>
        <w:t>-市场数据-行情展示-竞买业务-竞买预约提示</w:t>
      </w:r>
      <w:r>
        <w:rPr>
          <w:rFonts w:hint="eastAsia" w:ascii="仿宋_GB2312" w:hAnsi="仿宋" w:eastAsia="仿宋_GB2312"/>
          <w:sz w:val="30"/>
          <w:szCs w:val="30"/>
        </w:rPr>
        <w:t>”栏目查询到实时发布的竞买信息。竞买信息包括以下内容：竞买债券基础信息（债券名称、债券代码、债券简称）、价格区间（底价）、拟竞买数量</w:t>
      </w:r>
      <w:r>
        <w:rPr>
          <w:rFonts w:ascii="仿宋_GB2312" w:hAnsi="仿宋" w:eastAsia="仿宋_GB2312"/>
          <w:sz w:val="30"/>
          <w:szCs w:val="30"/>
        </w:rPr>
        <w:t>、</w:t>
      </w:r>
      <w:r>
        <w:rPr>
          <w:rFonts w:hint="eastAsia" w:ascii="仿宋_GB2312" w:hAnsi="仿宋" w:eastAsia="仿宋_GB2312"/>
          <w:sz w:val="30"/>
          <w:szCs w:val="30"/>
        </w:rPr>
        <w:t>竞买方式、竞买日等，详见附件6示例一。</w:t>
      </w:r>
    </w:p>
    <w:p w14:paraId="774F4416">
      <w:pPr>
        <w:numPr>
          <w:ilvl w:val="255"/>
          <w:numId w:val="0"/>
        </w:numPr>
        <w:spacing w:line="600" w:lineRule="exact"/>
        <w:ind w:firstLine="600" w:firstLineChars="200"/>
        <w:outlineLvl w:val="3"/>
        <w:rPr>
          <w:rFonts w:ascii="仿宋_GB2312" w:eastAsia="仿宋_GB2312"/>
          <w:sz w:val="30"/>
          <w:szCs w:val="30"/>
        </w:rPr>
      </w:pPr>
      <w:r>
        <w:rPr>
          <w:rFonts w:hint="eastAsia" w:ascii="仿宋_GB2312" w:eastAsia="仿宋_GB2312"/>
          <w:sz w:val="30"/>
          <w:szCs w:val="30"/>
        </w:rPr>
        <w:t>（3）竞买预约的修改及撤销</w:t>
      </w:r>
    </w:p>
    <w:p w14:paraId="0EE5FA94">
      <w:pPr>
        <w:spacing w:line="600" w:lineRule="exact"/>
        <w:ind w:firstLine="600" w:firstLineChars="200"/>
        <w:rPr>
          <w:rFonts w:ascii="仿宋_GB2312" w:eastAsia="仿宋_GB2312"/>
          <w:sz w:val="30"/>
          <w:szCs w:val="30"/>
        </w:rPr>
      </w:pPr>
      <w:r>
        <w:rPr>
          <w:rFonts w:hint="eastAsia" w:ascii="仿宋_GB2312" w:eastAsia="仿宋_GB2312" w:cs="宋体"/>
          <w:color w:val="000000"/>
          <w:sz w:val="30"/>
          <w:szCs w:val="30"/>
        </w:rPr>
        <w:t>竞买日前，卖方可以撤销</w:t>
      </w:r>
      <w:r>
        <w:rPr>
          <w:rFonts w:hint="eastAsia" w:ascii="仿宋_GB2312" w:eastAsia="仿宋_GB2312"/>
          <w:color w:val="000000"/>
          <w:sz w:val="30"/>
          <w:szCs w:val="30"/>
        </w:rPr>
        <w:t>竞买</w:t>
      </w:r>
      <w:r>
        <w:rPr>
          <w:rFonts w:hint="eastAsia" w:ascii="仿宋_GB2312" w:eastAsia="仿宋_GB2312" w:cs="宋体"/>
          <w:color w:val="000000"/>
          <w:sz w:val="30"/>
          <w:szCs w:val="30"/>
        </w:rPr>
        <w:t>预约</w:t>
      </w:r>
      <w:r>
        <w:rPr>
          <w:rFonts w:hint="eastAsia" w:ascii="仿宋_GB2312" w:eastAsia="仿宋_GB2312"/>
          <w:sz w:val="30"/>
          <w:szCs w:val="30"/>
        </w:rPr>
        <w:t>并修改要素后重新发起竞买预约。</w:t>
      </w:r>
    </w:p>
    <w:p w14:paraId="73DD31E0">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卖方可在竞买日之前</w:t>
      </w:r>
      <w:r>
        <w:rPr>
          <w:rFonts w:hint="eastAsia" w:ascii="仿宋_GB2312" w:eastAsia="仿宋_GB2312" w:cs="宋体"/>
          <w:color w:val="000000"/>
          <w:sz w:val="30"/>
          <w:szCs w:val="30"/>
        </w:rPr>
        <w:t>取消</w:t>
      </w:r>
      <w:r>
        <w:rPr>
          <w:rFonts w:hint="eastAsia" w:ascii="仿宋_GB2312" w:hAnsi="仿宋" w:eastAsia="仿宋_GB2312"/>
          <w:sz w:val="30"/>
          <w:szCs w:val="30"/>
        </w:rPr>
        <w:t>竞买预约，固定收益平台将生成竞买预约撤销提示。竞买预约撤销提示生成后，当日日终自动发布到本所官网“</w:t>
      </w:r>
      <w:r>
        <w:rPr>
          <w:rFonts w:hint="eastAsia" w:ascii="仿宋_GB2312" w:eastAsia="仿宋_GB2312"/>
          <w:sz w:val="30"/>
          <w:szCs w:val="30"/>
        </w:rPr>
        <w:t>首页-披露-债券信息-竞买业务-竞买预约提示</w:t>
      </w:r>
      <w:r>
        <w:rPr>
          <w:rFonts w:hint="eastAsia" w:ascii="仿宋_GB2312" w:hAnsi="仿宋" w:eastAsia="仿宋_GB2312"/>
          <w:sz w:val="30"/>
          <w:szCs w:val="30"/>
        </w:rPr>
        <w:t>”栏目和上证债券信息网“</w:t>
      </w:r>
      <w:r>
        <w:rPr>
          <w:rFonts w:hint="eastAsia" w:ascii="仿宋_GB2312" w:hAnsi="黑体" w:eastAsia="仿宋_GB2312"/>
          <w:sz w:val="30"/>
          <w:szCs w:val="30"/>
        </w:rPr>
        <w:t>首页</w:t>
      </w:r>
      <w:r>
        <w:rPr>
          <w:rFonts w:ascii="仿宋_GB2312" w:hAnsi="黑体" w:eastAsia="仿宋_GB2312"/>
          <w:sz w:val="30"/>
          <w:szCs w:val="30"/>
        </w:rPr>
        <w:t>-市场数据-行情展示-竞买业务-竞买预约提示</w:t>
      </w:r>
      <w:r>
        <w:rPr>
          <w:rFonts w:hint="eastAsia" w:ascii="仿宋_GB2312" w:hAnsi="仿宋" w:eastAsia="仿宋_GB2312"/>
          <w:sz w:val="30"/>
          <w:szCs w:val="30"/>
        </w:rPr>
        <w:t>”栏目，债券投资者可在上述栏目查询到前述竞买预约撤销提示，详见附件6</w:t>
      </w:r>
      <w:r>
        <w:rPr>
          <w:rFonts w:ascii="仿宋_GB2312" w:hAnsi="仿宋" w:eastAsia="仿宋_GB2312"/>
          <w:sz w:val="30"/>
          <w:szCs w:val="30"/>
        </w:rPr>
        <w:t>示例二</w:t>
      </w:r>
      <w:r>
        <w:rPr>
          <w:rFonts w:hint="eastAsia" w:ascii="仿宋_GB2312" w:hAnsi="仿宋" w:eastAsia="仿宋_GB2312"/>
          <w:sz w:val="30"/>
          <w:szCs w:val="30"/>
        </w:rPr>
        <w:t>。</w:t>
      </w:r>
    </w:p>
    <w:p w14:paraId="20867CCA">
      <w:pPr>
        <w:numPr>
          <w:ilvl w:val="255"/>
          <w:numId w:val="0"/>
        </w:numPr>
        <w:spacing w:line="600" w:lineRule="exact"/>
        <w:ind w:firstLine="600" w:firstLineChars="200"/>
        <w:outlineLvl w:val="3"/>
        <w:rPr>
          <w:rFonts w:ascii="仿宋_GB2312" w:hAnsi="仿宋" w:eastAsia="仿宋_GB2312"/>
          <w:sz w:val="30"/>
          <w:szCs w:val="30"/>
        </w:rPr>
      </w:pPr>
      <w:r>
        <w:rPr>
          <w:rFonts w:hint="eastAsia" w:ascii="仿宋_GB2312" w:eastAsia="仿宋_GB2312"/>
          <w:sz w:val="30"/>
          <w:szCs w:val="30"/>
        </w:rPr>
        <w:t>（4）</w:t>
      </w:r>
      <w:r>
        <w:rPr>
          <w:rFonts w:hint="eastAsia" w:ascii="仿宋_GB2312" w:hAnsi="仿宋" w:eastAsia="仿宋_GB2312"/>
          <w:sz w:val="30"/>
          <w:szCs w:val="30"/>
        </w:rPr>
        <w:t>竞买债券投资者组织</w:t>
      </w:r>
    </w:p>
    <w:p w14:paraId="25113399">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竞买日前，卖方可以提前联系竞买债券的潜在债券投资者。 卖方应当</w:t>
      </w:r>
      <w:r>
        <w:rPr>
          <w:rFonts w:hint="eastAsia" w:ascii="仿宋_GB2312" w:eastAsia="仿宋_GB2312"/>
          <w:color w:val="000000"/>
          <w:sz w:val="30"/>
          <w:szCs w:val="30"/>
        </w:rPr>
        <w:t>视</w:t>
      </w:r>
      <w:r>
        <w:rPr>
          <w:rFonts w:ascii="仿宋_GB2312" w:eastAsia="仿宋_GB2312"/>
          <w:color w:val="000000"/>
          <w:sz w:val="30"/>
          <w:szCs w:val="30"/>
        </w:rPr>
        <w:t>自身需求</w:t>
      </w:r>
      <w:r>
        <w:rPr>
          <w:rFonts w:hint="eastAsia" w:ascii="仿宋_GB2312" w:hAnsi="仿宋" w:eastAsia="仿宋_GB2312"/>
          <w:sz w:val="30"/>
          <w:szCs w:val="30"/>
        </w:rPr>
        <w:t>做好债券投资者组织工作，事先了解潜在债券投资者的投资需求和申报意向，确保竞买平稳有序进行。</w:t>
      </w:r>
    </w:p>
    <w:p w14:paraId="4AD1BA8F">
      <w:pPr>
        <w:numPr>
          <w:ilvl w:val="2"/>
          <w:numId w:val="4"/>
        </w:numPr>
        <w:spacing w:line="600" w:lineRule="exact"/>
        <w:ind w:left="0" w:firstLine="0"/>
        <w:outlineLvl w:val="2"/>
        <w:rPr>
          <w:rFonts w:ascii="仿宋_GB2312" w:eastAsia="仿宋_GB2312"/>
          <w:b/>
          <w:sz w:val="30"/>
          <w:szCs w:val="30"/>
        </w:rPr>
      </w:pPr>
      <w:bookmarkStart w:id="497" w:name="_Toc57908908"/>
      <w:r>
        <w:rPr>
          <w:rFonts w:hint="eastAsia" w:ascii="仿宋_GB2312" w:eastAsia="仿宋_GB2312"/>
          <w:b/>
          <w:sz w:val="30"/>
          <w:szCs w:val="30"/>
        </w:rPr>
        <w:t>竞买发起申报</w:t>
      </w:r>
      <w:bookmarkEnd w:id="497"/>
    </w:p>
    <w:p w14:paraId="69304525">
      <w:pPr>
        <w:spacing w:line="600" w:lineRule="exact"/>
        <w:ind w:firstLine="600" w:firstLineChars="200"/>
        <w:outlineLvl w:val="3"/>
        <w:rPr>
          <w:rFonts w:ascii="仿宋_GB2312" w:hAnsi="仿宋" w:eastAsia="仿宋_GB2312"/>
          <w:sz w:val="30"/>
          <w:szCs w:val="30"/>
        </w:rPr>
      </w:pPr>
      <w:r>
        <w:rPr>
          <w:rFonts w:hint="eastAsia" w:ascii="仿宋_GB2312" w:hAnsi="仿宋" w:eastAsia="仿宋_GB2312"/>
          <w:sz w:val="30"/>
          <w:szCs w:val="30"/>
        </w:rPr>
        <w:t>（1）竞买发起申报提交</w:t>
      </w:r>
    </w:p>
    <w:p w14:paraId="5A85BBCF">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在竞买日9:00-10:00，卖方通过固定收益平台提交竞买发起申报。竞买预约时卖方委托系统自动提交竞买发起申报的，竞买日</w:t>
      </w:r>
      <w:r>
        <w:rPr>
          <w:rFonts w:ascii="仿宋_GB2312" w:hAnsi="仿宋" w:eastAsia="仿宋_GB2312"/>
          <w:sz w:val="30"/>
          <w:szCs w:val="30"/>
        </w:rPr>
        <w:t>10:00系统自动</w:t>
      </w:r>
      <w:r>
        <w:rPr>
          <w:rFonts w:hint="eastAsia" w:ascii="仿宋_GB2312" w:hAnsi="仿宋" w:eastAsia="仿宋_GB2312"/>
          <w:sz w:val="30"/>
          <w:szCs w:val="30"/>
        </w:rPr>
        <w:t>按照竞买预约要素提交竞买发起申报。否则，卖方应当自行通过固定收益平台提交竞买发起申报。</w:t>
      </w:r>
    </w:p>
    <w:p w14:paraId="14AD7F2F">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提交竞买发起申报时，应当已完成竞买预约。竞买预约和竞买发起申报是一对一关系，一笔竞买预约只能提交一笔竞买发起申报。</w:t>
      </w:r>
    </w:p>
    <w:p w14:paraId="5147B13D">
      <w:pPr>
        <w:spacing w:line="600" w:lineRule="exact"/>
        <w:ind w:firstLine="600" w:firstLineChars="200"/>
        <w:outlineLvl w:val="3"/>
        <w:rPr>
          <w:rFonts w:ascii="仿宋_GB2312" w:hAnsi="仿宋" w:eastAsia="仿宋_GB2312"/>
          <w:sz w:val="30"/>
          <w:szCs w:val="30"/>
        </w:rPr>
      </w:pPr>
      <w:r>
        <w:rPr>
          <w:rFonts w:hint="eastAsia" w:ascii="仿宋_GB2312" w:hAnsi="仿宋" w:eastAsia="仿宋_GB2312"/>
          <w:sz w:val="30"/>
          <w:szCs w:val="30"/>
        </w:rPr>
        <w:t>（2）竞买发起申报要素</w:t>
      </w:r>
    </w:p>
    <w:p w14:paraId="74569846">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竞买发起申报要素应当包括竞买方式、竞买时间、交易品种、价格区间（底价）、数量、最低成交总量（如有）、卖方证券账户、结算方式、结算周期、是否匿名等。</w:t>
      </w:r>
      <w:r>
        <w:rPr>
          <w:rFonts w:hint="eastAsia" w:ascii="仿宋_GB2312" w:eastAsia="仿宋_GB2312"/>
          <w:sz w:val="30"/>
          <w:szCs w:val="30"/>
        </w:rPr>
        <w:t>竞买发起申报具体要素及要素说明如下</w:t>
      </w:r>
      <w:r>
        <w:rPr>
          <w:rFonts w:hint="eastAsia" w:ascii="仿宋_GB2312" w:hAnsi="仿宋" w:eastAsia="仿宋_GB2312"/>
          <w:sz w:val="30"/>
          <w:szCs w:val="30"/>
        </w:rPr>
        <w:t>：</w:t>
      </w:r>
    </w:p>
    <w:tbl>
      <w:tblPr>
        <w:tblStyle w:val="43"/>
        <w:tblW w:w="850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5"/>
        <w:gridCol w:w="6520"/>
      </w:tblGrid>
      <w:tr w14:paraId="758EF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Pr>
          <w:p w14:paraId="46AE8C61">
            <w:pPr>
              <w:pStyle w:val="12"/>
              <w:ind w:firstLine="0" w:firstLineChars="0"/>
              <w:jc w:val="left"/>
              <w:rPr>
                <w:rFonts w:ascii="宋体" w:hAnsi="宋体"/>
                <w:b/>
                <w:color w:val="000000"/>
                <w:kern w:val="0"/>
                <w:lang w:eastAsia="en-US" w:bidi="en-US"/>
              </w:rPr>
            </w:pPr>
            <w:r>
              <w:rPr>
                <w:rFonts w:hint="eastAsia" w:ascii="仿宋_GB2312" w:eastAsia="仿宋_GB2312"/>
                <w:b/>
                <w:kern w:val="0"/>
                <w:lang w:eastAsia="en-US" w:bidi="en-US"/>
              </w:rPr>
              <w:t>要素名称</w:t>
            </w:r>
          </w:p>
        </w:tc>
        <w:tc>
          <w:tcPr>
            <w:tcW w:w="6520" w:type="dxa"/>
          </w:tcPr>
          <w:p w14:paraId="2EFA9E82">
            <w:pPr>
              <w:pStyle w:val="12"/>
              <w:ind w:firstLine="0" w:firstLineChars="0"/>
              <w:jc w:val="left"/>
              <w:rPr>
                <w:rFonts w:ascii="宋体" w:hAnsi="宋体"/>
                <w:b/>
                <w:color w:val="000000"/>
                <w:kern w:val="0"/>
                <w:lang w:eastAsia="en-US" w:bidi="en-US"/>
              </w:rPr>
            </w:pPr>
            <w:r>
              <w:rPr>
                <w:rFonts w:hint="eastAsia" w:ascii="仿宋_GB2312" w:eastAsia="仿宋_GB2312"/>
                <w:b/>
                <w:kern w:val="0"/>
                <w:lang w:eastAsia="en-US" w:bidi="en-US"/>
              </w:rPr>
              <w:t>要素说明</w:t>
            </w:r>
          </w:p>
        </w:tc>
      </w:tr>
      <w:tr w14:paraId="16490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Pr>
          <w:p w14:paraId="0D6C63EF">
            <w:pPr>
              <w:pStyle w:val="12"/>
              <w:ind w:firstLine="0" w:firstLineChars="0"/>
              <w:rPr>
                <w:rFonts w:ascii="仿宋_GB2312" w:hAnsi="宋体" w:eastAsia="仿宋_GB2312"/>
                <w:b/>
                <w:color w:val="000000"/>
                <w:kern w:val="0"/>
                <w:lang w:eastAsia="en-US" w:bidi="en-US"/>
              </w:rPr>
            </w:pPr>
            <w:r>
              <w:rPr>
                <w:rFonts w:ascii="仿宋_GB2312" w:hAnsi="宋体" w:eastAsia="仿宋_GB2312"/>
                <w:b/>
                <w:color w:val="000000"/>
                <w:kern w:val="0"/>
                <w:lang w:eastAsia="en-US" w:bidi="en-US"/>
              </w:rPr>
              <w:t>竞买方式</w:t>
            </w:r>
          </w:p>
        </w:tc>
        <w:tc>
          <w:tcPr>
            <w:tcW w:w="6520" w:type="dxa"/>
          </w:tcPr>
          <w:p w14:paraId="4E46ED0F">
            <w:pPr>
              <w:pStyle w:val="12"/>
              <w:ind w:firstLine="0" w:firstLineChars="0"/>
              <w:rPr>
                <w:rFonts w:ascii="仿宋_GB2312" w:hAnsi="宋体" w:eastAsia="仿宋_GB2312"/>
                <w:kern w:val="0"/>
                <w:lang w:bidi="en-US"/>
              </w:rPr>
            </w:pPr>
            <w:r>
              <w:rPr>
                <w:rFonts w:hint="eastAsia" w:ascii="仿宋_GB2312" w:hAnsi="宋体" w:eastAsia="仿宋_GB2312"/>
                <w:color w:val="000000"/>
                <w:kern w:val="0"/>
                <w:lang w:bidi="en-US"/>
              </w:rPr>
              <w:t>单一主体中标</w:t>
            </w:r>
          </w:p>
        </w:tc>
      </w:tr>
      <w:tr w14:paraId="55BB6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Pr>
          <w:p w14:paraId="207C00AF">
            <w:pPr>
              <w:pStyle w:val="12"/>
              <w:ind w:firstLine="0" w:firstLineChars="0"/>
              <w:rPr>
                <w:rFonts w:ascii="仿宋_GB2312" w:hAnsi="宋体" w:eastAsia="仿宋_GB2312"/>
                <w:b/>
                <w:color w:val="000000"/>
                <w:kern w:val="0"/>
                <w:lang w:eastAsia="en-US" w:bidi="en-US"/>
              </w:rPr>
            </w:pPr>
            <w:r>
              <w:rPr>
                <w:rFonts w:hint="eastAsia" w:ascii="仿宋_GB2312" w:hAnsi="宋体" w:eastAsia="仿宋_GB2312"/>
                <w:b/>
                <w:color w:val="000000"/>
                <w:kern w:val="0"/>
                <w:lang w:eastAsia="en-US" w:bidi="en-US"/>
              </w:rPr>
              <w:t>申报类型</w:t>
            </w:r>
          </w:p>
        </w:tc>
        <w:tc>
          <w:tcPr>
            <w:tcW w:w="6520" w:type="dxa"/>
          </w:tcPr>
          <w:p w14:paraId="0662B26E">
            <w:pPr>
              <w:pStyle w:val="12"/>
              <w:ind w:firstLine="0" w:firstLineChars="0"/>
              <w:rPr>
                <w:rFonts w:ascii="仿宋_GB2312" w:hAnsi="宋体" w:eastAsia="仿宋_GB2312"/>
                <w:color w:val="000000"/>
                <w:kern w:val="0"/>
                <w:lang w:eastAsia="en-US" w:bidi="en-US"/>
              </w:rPr>
            </w:pPr>
            <w:r>
              <w:rPr>
                <w:rFonts w:hint="eastAsia" w:ascii="仿宋_GB2312" w:hAnsi="宋体" w:eastAsia="仿宋_GB2312"/>
                <w:color w:val="000000"/>
                <w:kern w:val="0"/>
                <w:lang w:eastAsia="en-US" w:bidi="en-US"/>
              </w:rPr>
              <w:t>竞买</w:t>
            </w:r>
            <w:r>
              <w:rPr>
                <w:rFonts w:hint="eastAsia" w:ascii="仿宋_GB2312" w:hAnsi="宋体" w:eastAsia="仿宋_GB2312"/>
                <w:color w:val="000000"/>
                <w:kern w:val="0"/>
                <w:lang w:bidi="en-US"/>
              </w:rPr>
              <w:t>发起</w:t>
            </w:r>
            <w:r>
              <w:rPr>
                <w:rFonts w:hint="eastAsia" w:ascii="仿宋_GB2312" w:hAnsi="宋体" w:eastAsia="仿宋_GB2312"/>
                <w:color w:val="000000"/>
                <w:kern w:val="0"/>
                <w:lang w:eastAsia="en-US" w:bidi="en-US"/>
              </w:rPr>
              <w:t>申报</w:t>
            </w:r>
          </w:p>
        </w:tc>
      </w:tr>
      <w:tr w14:paraId="725BB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85" w:type="dxa"/>
          </w:tcPr>
          <w:p w14:paraId="2F2E3E00">
            <w:pPr>
              <w:pStyle w:val="12"/>
              <w:ind w:firstLine="0" w:firstLineChars="0"/>
              <w:rPr>
                <w:rFonts w:ascii="仿宋_GB2312" w:hAnsi="宋体" w:eastAsia="仿宋_GB2312"/>
                <w:b/>
                <w:color w:val="000000"/>
                <w:kern w:val="0"/>
                <w:lang w:bidi="en-US"/>
              </w:rPr>
            </w:pPr>
            <w:r>
              <w:rPr>
                <w:rFonts w:hint="eastAsia" w:ascii="仿宋_GB2312" w:hAnsi="宋体" w:eastAsia="仿宋_GB2312"/>
                <w:b/>
                <w:color w:val="000000"/>
                <w:kern w:val="0"/>
                <w:lang w:bidi="en-US"/>
              </w:rPr>
              <w:t>交易品种</w:t>
            </w:r>
          </w:p>
        </w:tc>
        <w:tc>
          <w:tcPr>
            <w:tcW w:w="6520" w:type="dxa"/>
          </w:tcPr>
          <w:p w14:paraId="31FACBE1">
            <w:pPr>
              <w:pStyle w:val="12"/>
              <w:ind w:firstLine="0" w:firstLineChars="0"/>
              <w:rPr>
                <w:rFonts w:ascii="宋体" w:hAnsi="宋体"/>
                <w:color w:val="000000"/>
                <w:kern w:val="0"/>
                <w:lang w:bidi="en-US"/>
              </w:rPr>
            </w:pPr>
            <w:r>
              <w:rPr>
                <w:rFonts w:hint="eastAsia" w:ascii="仿宋_GB2312" w:hAnsi="宋体" w:eastAsia="仿宋_GB2312"/>
                <w:kern w:val="0"/>
                <w:lang w:bidi="en-US"/>
              </w:rPr>
              <w:t>交易品种的名称或证券代码</w:t>
            </w:r>
          </w:p>
        </w:tc>
      </w:tr>
      <w:tr w14:paraId="5C5FE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Pr>
          <w:p w14:paraId="1441C110">
            <w:pPr>
              <w:pStyle w:val="12"/>
              <w:ind w:firstLine="0" w:firstLineChars="0"/>
              <w:rPr>
                <w:rFonts w:ascii="仿宋_GB2312" w:hAnsi="宋体" w:eastAsia="仿宋_GB2312"/>
                <w:b/>
                <w:color w:val="000000"/>
                <w:kern w:val="0"/>
                <w:lang w:eastAsia="en-US" w:bidi="en-US"/>
              </w:rPr>
            </w:pPr>
            <w:r>
              <w:rPr>
                <w:rFonts w:hint="eastAsia" w:ascii="仿宋_GB2312" w:hAnsi="宋体" w:eastAsia="仿宋_GB2312"/>
                <w:b/>
                <w:color w:val="000000"/>
                <w:kern w:val="0"/>
                <w:lang w:eastAsia="en-US" w:bidi="en-US"/>
              </w:rPr>
              <w:t>申报时间</w:t>
            </w:r>
          </w:p>
        </w:tc>
        <w:tc>
          <w:tcPr>
            <w:tcW w:w="6520" w:type="dxa"/>
          </w:tcPr>
          <w:p w14:paraId="4037857B">
            <w:pPr>
              <w:pStyle w:val="12"/>
              <w:ind w:firstLine="0" w:firstLineChars="0"/>
              <w:rPr>
                <w:rFonts w:ascii="仿宋_GB2312" w:hAnsi="宋体" w:eastAsia="仿宋_GB2312"/>
                <w:color w:val="000000"/>
                <w:kern w:val="0"/>
                <w:lang w:eastAsia="en-US" w:bidi="en-US"/>
              </w:rPr>
            </w:pPr>
            <w:r>
              <w:rPr>
                <w:rFonts w:hint="eastAsia" w:ascii="仿宋_GB2312" w:hAnsi="宋体" w:eastAsia="仿宋_GB2312"/>
                <w:color w:val="000000"/>
                <w:kern w:val="0"/>
                <w:lang w:eastAsia="en-US" w:bidi="en-US"/>
              </w:rPr>
              <w:t>系统自动生成</w:t>
            </w:r>
          </w:p>
        </w:tc>
      </w:tr>
      <w:tr w14:paraId="48EC9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Pr>
          <w:p w14:paraId="69B65B25">
            <w:pPr>
              <w:pStyle w:val="12"/>
              <w:ind w:firstLine="0" w:firstLineChars="0"/>
              <w:rPr>
                <w:rFonts w:ascii="仿宋_GB2312" w:hAnsi="宋体" w:eastAsia="仿宋_GB2312"/>
                <w:b/>
                <w:color w:val="000000"/>
                <w:kern w:val="0"/>
                <w:lang w:eastAsia="en-US" w:bidi="en-US"/>
              </w:rPr>
            </w:pPr>
            <w:r>
              <w:rPr>
                <w:rFonts w:hint="eastAsia" w:ascii="仿宋_GB2312" w:hAnsi="宋体" w:eastAsia="仿宋_GB2312"/>
                <w:b/>
                <w:color w:val="000000"/>
                <w:kern w:val="0"/>
                <w:lang w:eastAsia="en-US" w:bidi="en-US"/>
              </w:rPr>
              <w:t>数量</w:t>
            </w:r>
          </w:p>
        </w:tc>
        <w:tc>
          <w:tcPr>
            <w:tcW w:w="6520" w:type="dxa"/>
          </w:tcPr>
          <w:p w14:paraId="394E16C2">
            <w:pPr>
              <w:pStyle w:val="12"/>
              <w:ind w:firstLine="0" w:firstLineChars="0"/>
              <w:rPr>
                <w:rFonts w:ascii="仿宋_GB2312" w:hAnsi="宋体" w:eastAsia="仿宋_GB2312"/>
                <w:color w:val="000000"/>
                <w:kern w:val="0"/>
                <w:lang w:eastAsia="en-US" w:bidi="en-US"/>
              </w:rPr>
            </w:pPr>
            <w:r>
              <w:rPr>
                <w:rFonts w:hint="eastAsia" w:ascii="仿宋_GB2312" w:hAnsi="宋体" w:eastAsia="仿宋_GB2312"/>
                <w:color w:val="000000"/>
                <w:kern w:val="0"/>
                <w:lang w:eastAsia="en-US" w:bidi="en-US"/>
              </w:rPr>
              <w:t>单位：</w:t>
            </w:r>
            <w:r>
              <w:rPr>
                <w:rFonts w:hint="eastAsia" w:ascii="仿宋_GB2312" w:hAnsi="宋体" w:eastAsia="仿宋_GB2312"/>
                <w:color w:val="000000"/>
                <w:kern w:val="0"/>
                <w:lang w:bidi="en-US"/>
              </w:rPr>
              <w:t>千</w:t>
            </w:r>
            <w:r>
              <w:rPr>
                <w:rFonts w:hint="eastAsia" w:ascii="仿宋_GB2312" w:hAnsi="宋体" w:eastAsia="仿宋_GB2312"/>
                <w:color w:val="000000"/>
                <w:kern w:val="0"/>
                <w:lang w:eastAsia="en-US" w:bidi="en-US"/>
              </w:rPr>
              <w:t>元面额</w:t>
            </w:r>
          </w:p>
        </w:tc>
      </w:tr>
      <w:tr w14:paraId="2EDB4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Pr>
          <w:p w14:paraId="5D64CC75">
            <w:pPr>
              <w:pStyle w:val="12"/>
              <w:ind w:firstLine="0" w:firstLineChars="0"/>
              <w:rPr>
                <w:rFonts w:ascii="仿宋_GB2312" w:hAnsi="宋体" w:eastAsia="仿宋_GB2312"/>
                <w:b/>
                <w:color w:val="000000"/>
                <w:kern w:val="0"/>
                <w:lang w:eastAsia="en-US" w:bidi="en-US"/>
              </w:rPr>
            </w:pPr>
            <w:r>
              <w:rPr>
                <w:rFonts w:hint="eastAsia" w:ascii="仿宋_GB2312" w:hAnsi="宋体" w:eastAsia="仿宋_GB2312"/>
                <w:b/>
                <w:color w:val="000000"/>
                <w:kern w:val="0"/>
                <w:lang w:eastAsia="en-US" w:bidi="en-US"/>
              </w:rPr>
              <w:t>价格区间</w:t>
            </w:r>
          </w:p>
        </w:tc>
        <w:tc>
          <w:tcPr>
            <w:tcW w:w="6520" w:type="dxa"/>
          </w:tcPr>
          <w:p w14:paraId="0E2C852C">
            <w:pPr>
              <w:pStyle w:val="12"/>
              <w:ind w:firstLine="0" w:firstLineChars="0"/>
              <w:rPr>
                <w:rFonts w:ascii="仿宋_GB2312" w:hAnsi="宋体" w:eastAsia="仿宋_GB2312"/>
                <w:color w:val="000000"/>
                <w:kern w:val="0"/>
                <w:lang w:eastAsia="en-US" w:bidi="en-US"/>
              </w:rPr>
            </w:pPr>
            <w:r>
              <w:rPr>
                <w:rFonts w:hint="eastAsia" w:ascii="仿宋_GB2312" w:hAnsi="宋体" w:eastAsia="仿宋_GB2312"/>
                <w:color w:val="000000"/>
                <w:kern w:val="0"/>
                <w:lang w:eastAsia="en-US" w:bidi="en-US"/>
              </w:rPr>
              <w:t>卖方底价</w:t>
            </w:r>
          </w:p>
        </w:tc>
      </w:tr>
      <w:tr w14:paraId="2AA59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85" w:type="dxa"/>
          </w:tcPr>
          <w:p w14:paraId="6F9B963D">
            <w:pPr>
              <w:pStyle w:val="12"/>
              <w:ind w:firstLine="0" w:firstLineChars="0"/>
              <w:rPr>
                <w:rFonts w:ascii="仿宋_GB2312" w:hAnsi="宋体" w:eastAsia="仿宋_GB2312"/>
                <w:b/>
                <w:color w:val="000000"/>
                <w:kern w:val="0"/>
                <w:lang w:eastAsia="en-US" w:bidi="en-US"/>
              </w:rPr>
            </w:pPr>
            <w:r>
              <w:rPr>
                <w:rFonts w:hint="eastAsia" w:ascii="仿宋_GB2312" w:eastAsia="仿宋_GB2312"/>
                <w:b/>
                <w:kern w:val="0"/>
                <w:lang w:eastAsia="en-US" w:bidi="en-US"/>
              </w:rPr>
              <w:t>结算方式</w:t>
            </w:r>
          </w:p>
        </w:tc>
        <w:tc>
          <w:tcPr>
            <w:tcW w:w="6520" w:type="dxa"/>
          </w:tcPr>
          <w:p w14:paraId="2DDDFF25">
            <w:pPr>
              <w:pStyle w:val="12"/>
              <w:tabs>
                <w:tab w:val="left" w:pos="0"/>
                <w:tab w:val="center" w:pos="4867"/>
                <w:tab w:val="right" w:pos="9360"/>
              </w:tabs>
              <w:ind w:firstLine="0" w:firstLineChars="0"/>
              <w:rPr>
                <w:rFonts w:ascii="仿宋_GB2312" w:hAnsi="宋体" w:eastAsia="仿宋_GB2312"/>
                <w:color w:val="000000"/>
                <w:kern w:val="0"/>
                <w:lang w:bidi="en-US"/>
              </w:rPr>
            </w:pPr>
            <w:r>
              <w:rPr>
                <w:rFonts w:hint="eastAsia" w:ascii="仿宋_GB2312" w:eastAsia="仿宋_GB2312"/>
                <w:kern w:val="0"/>
                <w:lang w:bidi="en-US"/>
              </w:rPr>
              <w:t>根据</w:t>
            </w:r>
            <w:r>
              <w:rPr>
                <w:rFonts w:ascii="仿宋_GB2312" w:eastAsia="仿宋_GB2312"/>
                <w:kern w:val="0"/>
                <w:lang w:bidi="en-US"/>
              </w:rPr>
              <w:t>交易品种，</w:t>
            </w:r>
            <w:r>
              <w:rPr>
                <w:rFonts w:hint="eastAsia" w:ascii="仿宋_GB2312" w:eastAsia="仿宋_GB2312"/>
                <w:kern w:val="0"/>
                <w:lang w:bidi="en-US"/>
              </w:rPr>
              <w:t>可选“逐笔全额结算”或“多边净额结算”。</w:t>
            </w:r>
          </w:p>
        </w:tc>
      </w:tr>
      <w:tr w14:paraId="47894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Pr>
          <w:p w14:paraId="40BF005E">
            <w:pPr>
              <w:pStyle w:val="12"/>
              <w:tabs>
                <w:tab w:val="left" w:pos="0"/>
                <w:tab w:val="center" w:pos="4867"/>
                <w:tab w:val="right" w:pos="9360"/>
              </w:tabs>
              <w:ind w:firstLine="0" w:firstLineChars="0"/>
              <w:rPr>
                <w:rFonts w:ascii="仿宋_GB2312" w:hAnsi="宋体" w:eastAsia="仿宋_GB2312"/>
                <w:b/>
                <w:color w:val="000000"/>
                <w:kern w:val="0"/>
                <w:lang w:bidi="en-US"/>
              </w:rPr>
            </w:pPr>
            <w:r>
              <w:rPr>
                <w:rFonts w:hint="eastAsia" w:ascii="仿宋_GB2312" w:eastAsia="仿宋_GB2312"/>
                <w:b/>
                <w:kern w:val="0"/>
                <w:lang w:eastAsia="en-US" w:bidi="en-US"/>
              </w:rPr>
              <w:t>结算</w:t>
            </w:r>
            <w:r>
              <w:rPr>
                <w:rFonts w:hint="eastAsia" w:ascii="仿宋_GB2312" w:eastAsia="仿宋_GB2312"/>
                <w:b/>
                <w:kern w:val="0"/>
                <w:lang w:bidi="en-US"/>
              </w:rPr>
              <w:t>周期</w:t>
            </w:r>
          </w:p>
        </w:tc>
        <w:tc>
          <w:tcPr>
            <w:tcW w:w="6520" w:type="dxa"/>
          </w:tcPr>
          <w:p w14:paraId="34CB3873">
            <w:pPr>
              <w:pStyle w:val="12"/>
              <w:tabs>
                <w:tab w:val="left" w:pos="0"/>
                <w:tab w:val="center" w:pos="4867"/>
                <w:tab w:val="right" w:pos="9360"/>
              </w:tabs>
              <w:ind w:firstLine="0" w:firstLineChars="0"/>
              <w:rPr>
                <w:rFonts w:ascii="仿宋_GB2312" w:hAnsi="宋体" w:eastAsia="仿宋_GB2312"/>
                <w:color w:val="000000"/>
                <w:kern w:val="0"/>
                <w:lang w:bidi="en-US"/>
              </w:rPr>
            </w:pPr>
            <w:r>
              <w:rPr>
                <w:rFonts w:hint="eastAsia" w:ascii="仿宋_GB2312" w:eastAsia="仿宋_GB2312"/>
                <w:kern w:val="0"/>
                <w:lang w:bidi="en-US"/>
              </w:rPr>
              <w:t>根据结算方式</w:t>
            </w:r>
            <w:r>
              <w:rPr>
                <w:rFonts w:ascii="仿宋_GB2312" w:eastAsia="仿宋_GB2312"/>
                <w:kern w:val="0"/>
                <w:lang w:bidi="en-US"/>
              </w:rPr>
              <w:t>自动带出</w:t>
            </w:r>
          </w:p>
        </w:tc>
      </w:tr>
      <w:tr w14:paraId="4EE31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Pr>
          <w:p w14:paraId="6F10EEF2">
            <w:pPr>
              <w:pStyle w:val="12"/>
              <w:tabs>
                <w:tab w:val="left" w:pos="0"/>
                <w:tab w:val="center" w:pos="4867"/>
                <w:tab w:val="right" w:pos="9360"/>
              </w:tabs>
              <w:ind w:firstLine="0" w:firstLineChars="0"/>
              <w:rPr>
                <w:rFonts w:ascii="仿宋_GB2312" w:hAnsi="宋体" w:eastAsia="仿宋_GB2312"/>
                <w:b/>
                <w:color w:val="000000"/>
                <w:kern w:val="0"/>
                <w:lang w:eastAsia="en-US" w:bidi="en-US"/>
              </w:rPr>
            </w:pPr>
            <w:r>
              <w:rPr>
                <w:rFonts w:hint="eastAsia" w:ascii="仿宋_GB2312" w:hAnsi="宋体" w:eastAsia="仿宋_GB2312"/>
                <w:b/>
                <w:color w:val="000000"/>
                <w:kern w:val="0"/>
                <w:lang w:eastAsia="en-US" w:bidi="en-US"/>
              </w:rPr>
              <w:t>是否匿名</w:t>
            </w:r>
          </w:p>
        </w:tc>
        <w:tc>
          <w:tcPr>
            <w:tcW w:w="6520" w:type="dxa"/>
          </w:tcPr>
          <w:p w14:paraId="5938EB29">
            <w:pPr>
              <w:pStyle w:val="12"/>
              <w:tabs>
                <w:tab w:val="left" w:pos="0"/>
                <w:tab w:val="center" w:pos="4867"/>
                <w:tab w:val="right" w:pos="9360"/>
              </w:tabs>
              <w:ind w:firstLine="0" w:firstLineChars="0"/>
              <w:rPr>
                <w:rFonts w:ascii="仿宋_GB2312" w:hAnsi="宋体" w:eastAsia="仿宋_GB2312"/>
                <w:color w:val="000000"/>
                <w:kern w:val="0"/>
                <w:lang w:bidi="en-US"/>
              </w:rPr>
            </w:pPr>
            <w:r>
              <w:rPr>
                <w:rFonts w:hint="eastAsia" w:ascii="仿宋_GB2312" w:hAnsi="宋体" w:eastAsia="仿宋_GB2312"/>
                <w:color w:val="000000"/>
                <w:kern w:val="0"/>
                <w:lang w:bidi="en-US"/>
              </w:rPr>
              <w:t>需匿名的，勾选“匿名提交”</w:t>
            </w:r>
          </w:p>
        </w:tc>
      </w:tr>
      <w:tr w14:paraId="68E95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Pr>
          <w:p w14:paraId="20E53A11">
            <w:pPr>
              <w:pStyle w:val="12"/>
              <w:ind w:firstLine="0" w:firstLineChars="0"/>
              <w:rPr>
                <w:rFonts w:ascii="仿宋_GB2312" w:hAnsi="宋体" w:eastAsia="仿宋_GB2312"/>
                <w:b/>
                <w:color w:val="000000"/>
                <w:kern w:val="0"/>
                <w:lang w:eastAsia="en-US" w:bidi="en-US"/>
              </w:rPr>
            </w:pPr>
            <w:r>
              <w:rPr>
                <w:rFonts w:hint="eastAsia" w:ascii="仿宋_GB2312" w:eastAsia="仿宋_GB2312"/>
                <w:b/>
                <w:kern w:val="0"/>
                <w:lang w:eastAsia="en-US" w:bidi="en-US"/>
              </w:rPr>
              <w:t>证券账号</w:t>
            </w:r>
          </w:p>
        </w:tc>
        <w:tc>
          <w:tcPr>
            <w:tcW w:w="6520" w:type="dxa"/>
          </w:tcPr>
          <w:p w14:paraId="2BE6A105">
            <w:pPr>
              <w:pStyle w:val="12"/>
              <w:ind w:firstLine="0" w:firstLineChars="0"/>
              <w:rPr>
                <w:rFonts w:ascii="仿宋_GB2312" w:hAnsi="宋体" w:eastAsia="仿宋_GB2312"/>
                <w:color w:val="000000"/>
                <w:kern w:val="0"/>
                <w:lang w:eastAsia="en-US" w:bidi="en-US"/>
              </w:rPr>
            </w:pPr>
            <w:r>
              <w:rPr>
                <w:rFonts w:hint="eastAsia" w:ascii="仿宋_GB2312" w:eastAsia="仿宋_GB2312"/>
                <w:kern w:val="0"/>
                <w:lang w:eastAsia="en-US" w:bidi="en-US"/>
              </w:rPr>
              <w:t>卖方的证券账户号码</w:t>
            </w:r>
          </w:p>
        </w:tc>
      </w:tr>
      <w:tr w14:paraId="7627C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85" w:type="dxa"/>
          </w:tcPr>
          <w:p w14:paraId="3DD018FD">
            <w:pPr>
              <w:pStyle w:val="12"/>
              <w:ind w:firstLine="0" w:firstLineChars="0"/>
              <w:rPr>
                <w:rFonts w:ascii="仿宋_GB2312" w:hAnsi="宋体" w:eastAsia="仿宋_GB2312"/>
                <w:b/>
                <w:color w:val="000000"/>
                <w:kern w:val="0"/>
                <w:lang w:eastAsia="en-US" w:bidi="en-US"/>
              </w:rPr>
            </w:pPr>
            <w:r>
              <w:rPr>
                <w:rFonts w:hint="eastAsia" w:ascii="仿宋_GB2312" w:eastAsia="仿宋_GB2312"/>
                <w:b/>
                <w:kern w:val="0"/>
                <w:lang w:eastAsia="en-US" w:bidi="en-US"/>
              </w:rPr>
              <w:t>证券账户名称</w:t>
            </w:r>
          </w:p>
        </w:tc>
        <w:tc>
          <w:tcPr>
            <w:tcW w:w="6520" w:type="dxa"/>
          </w:tcPr>
          <w:p w14:paraId="38DE26E6">
            <w:pPr>
              <w:pStyle w:val="12"/>
              <w:ind w:firstLine="0" w:firstLineChars="0"/>
              <w:rPr>
                <w:rFonts w:ascii="仿宋_GB2312" w:hAnsi="宋体" w:eastAsia="仿宋_GB2312"/>
                <w:color w:val="000000"/>
                <w:kern w:val="0"/>
                <w:lang w:eastAsia="en-US" w:bidi="en-US"/>
              </w:rPr>
            </w:pPr>
            <w:r>
              <w:rPr>
                <w:rFonts w:hint="eastAsia" w:ascii="仿宋_GB2312" w:eastAsia="仿宋_GB2312"/>
                <w:kern w:val="0"/>
                <w:lang w:eastAsia="en-US" w:bidi="en-US"/>
              </w:rPr>
              <w:t>卖方的证券账户名称</w:t>
            </w:r>
          </w:p>
        </w:tc>
      </w:tr>
      <w:tr w14:paraId="5A47C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Pr>
          <w:p w14:paraId="3F391649">
            <w:pPr>
              <w:pStyle w:val="12"/>
              <w:ind w:firstLine="0" w:firstLineChars="0"/>
              <w:rPr>
                <w:rFonts w:ascii="仿宋_GB2312" w:eastAsia="仿宋_GB2312"/>
                <w:b/>
                <w:kern w:val="0"/>
                <w:lang w:eastAsia="en-US" w:bidi="en-US"/>
              </w:rPr>
            </w:pPr>
            <w:r>
              <w:rPr>
                <w:rFonts w:hint="eastAsia" w:ascii="仿宋_GB2312" w:hAnsi="宋体" w:eastAsia="仿宋_GB2312"/>
                <w:b/>
                <w:color w:val="000000"/>
                <w:kern w:val="0"/>
                <w:lang w:eastAsia="en-US" w:bidi="en-US"/>
              </w:rPr>
              <w:t>证券简称</w:t>
            </w:r>
          </w:p>
        </w:tc>
        <w:tc>
          <w:tcPr>
            <w:tcW w:w="6520" w:type="dxa"/>
          </w:tcPr>
          <w:p w14:paraId="038A04CF">
            <w:pPr>
              <w:pStyle w:val="12"/>
              <w:ind w:firstLine="0" w:firstLineChars="0"/>
              <w:rPr>
                <w:rFonts w:ascii="仿宋_GB2312" w:eastAsia="仿宋_GB2312"/>
                <w:kern w:val="0"/>
                <w:lang w:bidi="en-US"/>
              </w:rPr>
            </w:pPr>
            <w:r>
              <w:rPr>
                <w:rFonts w:hint="eastAsia" w:ascii="仿宋_GB2312" w:hAnsi="宋体" w:eastAsia="仿宋_GB2312"/>
                <w:kern w:val="0"/>
                <w:lang w:bidi="en-US"/>
              </w:rPr>
              <w:t>即上交所证券简称，有证券代码的交易品种，简称根据证券代码自动显示</w:t>
            </w:r>
          </w:p>
        </w:tc>
      </w:tr>
      <w:tr w14:paraId="3A40B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Pr>
          <w:p w14:paraId="7F8BFB81">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申报日期时间</w:t>
            </w:r>
          </w:p>
        </w:tc>
        <w:tc>
          <w:tcPr>
            <w:tcW w:w="6520" w:type="dxa"/>
          </w:tcPr>
          <w:p w14:paraId="454CC131">
            <w:pPr>
              <w:pStyle w:val="12"/>
              <w:ind w:firstLine="0" w:firstLineChars="0"/>
              <w:rPr>
                <w:rFonts w:ascii="仿宋_GB2312" w:eastAsia="仿宋_GB2312"/>
                <w:kern w:val="0"/>
                <w:lang w:bidi="en-US"/>
              </w:rPr>
            </w:pPr>
            <w:r>
              <w:rPr>
                <w:rFonts w:hint="eastAsia" w:ascii="仿宋_GB2312" w:eastAsia="仿宋_GB2312"/>
                <w:kern w:val="0"/>
                <w:lang w:bidi="en-US"/>
              </w:rPr>
              <w:t>交易申报日期（年月日）及时间（时分秒），自动显示</w:t>
            </w:r>
          </w:p>
        </w:tc>
      </w:tr>
      <w:tr w14:paraId="07435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Pr>
          <w:p w14:paraId="25642398">
            <w:pPr>
              <w:pStyle w:val="12"/>
              <w:ind w:firstLine="0" w:firstLineChars="0"/>
              <w:rPr>
                <w:rFonts w:ascii="仿宋_GB2312" w:hAnsi="宋体" w:eastAsia="仿宋_GB2312"/>
                <w:b/>
                <w:color w:val="000000"/>
                <w:kern w:val="0"/>
                <w:lang w:bidi="en-US"/>
              </w:rPr>
            </w:pPr>
            <w:r>
              <w:rPr>
                <w:rFonts w:hint="eastAsia" w:ascii="仿宋_GB2312" w:eastAsia="仿宋_GB2312"/>
                <w:b/>
                <w:kern w:val="0"/>
                <w:lang w:eastAsia="en-US" w:bidi="en-US"/>
              </w:rPr>
              <w:t>结算</w:t>
            </w:r>
            <w:r>
              <w:rPr>
                <w:rFonts w:hint="eastAsia" w:ascii="仿宋_GB2312" w:eastAsia="仿宋_GB2312"/>
                <w:b/>
                <w:kern w:val="0"/>
                <w:lang w:bidi="en-US"/>
              </w:rPr>
              <w:t>日期</w:t>
            </w:r>
          </w:p>
        </w:tc>
        <w:tc>
          <w:tcPr>
            <w:tcW w:w="6520" w:type="dxa"/>
          </w:tcPr>
          <w:p w14:paraId="62942F14">
            <w:pPr>
              <w:pStyle w:val="12"/>
              <w:ind w:firstLine="0" w:firstLineChars="0"/>
              <w:rPr>
                <w:rFonts w:ascii="仿宋_GB2312" w:hAnsi="宋体" w:eastAsia="仿宋_GB2312"/>
                <w:kern w:val="0"/>
                <w:lang w:bidi="en-US"/>
              </w:rPr>
            </w:pPr>
            <w:r>
              <w:rPr>
                <w:rFonts w:hint="eastAsia" w:ascii="仿宋_GB2312" w:eastAsia="仿宋_GB2312"/>
                <w:kern w:val="0"/>
                <w:lang w:bidi="en-US"/>
              </w:rPr>
              <w:t>根据当前交易日期、结算周期，自动显示</w:t>
            </w:r>
          </w:p>
        </w:tc>
      </w:tr>
      <w:tr w14:paraId="09C5D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85" w:type="dxa"/>
          </w:tcPr>
          <w:p w14:paraId="61BD4A88">
            <w:pPr>
              <w:pStyle w:val="12"/>
              <w:ind w:firstLine="0" w:firstLineChars="0"/>
              <w:rPr>
                <w:rFonts w:ascii="仿宋_GB2312" w:hAnsi="宋体" w:eastAsia="仿宋_GB2312"/>
                <w:b/>
                <w:color w:val="000000"/>
                <w:kern w:val="0"/>
                <w:lang w:eastAsia="en-US" w:bidi="en-US"/>
              </w:rPr>
            </w:pPr>
            <w:r>
              <w:rPr>
                <w:rFonts w:hint="eastAsia" w:ascii="仿宋_GB2312" w:eastAsia="仿宋_GB2312"/>
                <w:b/>
                <w:kern w:val="0"/>
                <w:lang w:eastAsia="en-US" w:bidi="en-US"/>
              </w:rPr>
              <w:t>交易PBU</w:t>
            </w:r>
          </w:p>
        </w:tc>
        <w:tc>
          <w:tcPr>
            <w:tcW w:w="6520" w:type="dxa"/>
          </w:tcPr>
          <w:p w14:paraId="73B23872">
            <w:pPr>
              <w:pStyle w:val="12"/>
              <w:ind w:firstLine="0" w:firstLineChars="0"/>
              <w:rPr>
                <w:rFonts w:ascii="仿宋_GB2312" w:hAnsi="宋体" w:eastAsia="仿宋_GB2312"/>
                <w:color w:val="000000"/>
                <w:kern w:val="0"/>
                <w:lang w:bidi="en-US"/>
              </w:rPr>
            </w:pPr>
            <w:r>
              <w:rPr>
                <w:rFonts w:hint="eastAsia" w:ascii="仿宋_GB2312" w:eastAsia="仿宋_GB2312"/>
                <w:kern w:val="0"/>
                <w:lang w:bidi="en-US"/>
              </w:rPr>
              <w:t>卖方交易参与人的交易单元号码，自动显示，无需输入</w:t>
            </w:r>
          </w:p>
        </w:tc>
      </w:tr>
      <w:tr w14:paraId="54CA6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Pr>
          <w:p w14:paraId="2D139F3A">
            <w:pPr>
              <w:pStyle w:val="12"/>
              <w:ind w:firstLine="0" w:firstLineChars="0"/>
              <w:rPr>
                <w:rFonts w:ascii="仿宋_GB2312" w:hAnsi="宋体" w:eastAsia="仿宋_GB2312"/>
                <w:b/>
                <w:color w:val="000000"/>
                <w:kern w:val="0"/>
                <w:lang w:eastAsia="en-US" w:bidi="en-US"/>
              </w:rPr>
            </w:pPr>
            <w:r>
              <w:rPr>
                <w:rFonts w:hint="eastAsia" w:ascii="仿宋_GB2312" w:eastAsia="仿宋_GB2312"/>
                <w:b/>
                <w:kern w:val="0"/>
                <w:lang w:eastAsia="en-US" w:bidi="en-US"/>
              </w:rPr>
              <w:t>交易参与人</w:t>
            </w:r>
          </w:p>
        </w:tc>
        <w:tc>
          <w:tcPr>
            <w:tcW w:w="6520" w:type="dxa"/>
          </w:tcPr>
          <w:p w14:paraId="5F356B60">
            <w:pPr>
              <w:pStyle w:val="12"/>
              <w:ind w:firstLine="0" w:firstLineChars="0"/>
              <w:rPr>
                <w:rFonts w:ascii="仿宋_GB2312" w:hAnsi="宋体" w:eastAsia="仿宋_GB2312"/>
                <w:color w:val="000000"/>
                <w:kern w:val="0"/>
                <w:lang w:bidi="en-US"/>
              </w:rPr>
            </w:pPr>
            <w:r>
              <w:rPr>
                <w:rFonts w:hint="eastAsia" w:ascii="仿宋_GB2312" w:eastAsia="仿宋_GB2312"/>
                <w:kern w:val="0"/>
                <w:lang w:bidi="en-US"/>
              </w:rPr>
              <w:t>卖方交易参与人简称，自动显示，无需输入</w:t>
            </w:r>
          </w:p>
        </w:tc>
      </w:tr>
      <w:tr w14:paraId="2FD18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Pr>
          <w:p w14:paraId="5C4D9C82">
            <w:pPr>
              <w:pStyle w:val="12"/>
              <w:ind w:firstLine="0" w:firstLineChars="0"/>
              <w:rPr>
                <w:rFonts w:ascii="仿宋_GB2312" w:hAnsi="宋体" w:eastAsia="仿宋_GB2312"/>
                <w:b/>
                <w:color w:val="000000"/>
                <w:kern w:val="0"/>
                <w:lang w:eastAsia="en-US" w:bidi="en-US"/>
              </w:rPr>
            </w:pPr>
            <w:r>
              <w:rPr>
                <w:rFonts w:hint="eastAsia" w:ascii="仿宋_GB2312" w:eastAsia="仿宋_GB2312"/>
                <w:b/>
                <w:kern w:val="0"/>
                <w:lang w:eastAsia="en-US" w:bidi="en-US"/>
              </w:rPr>
              <w:t>交易员代码</w:t>
            </w:r>
          </w:p>
        </w:tc>
        <w:tc>
          <w:tcPr>
            <w:tcW w:w="6520" w:type="dxa"/>
          </w:tcPr>
          <w:p w14:paraId="4E4C1E12">
            <w:pPr>
              <w:pStyle w:val="12"/>
              <w:ind w:firstLine="0" w:firstLineChars="0"/>
              <w:rPr>
                <w:rFonts w:ascii="仿宋_GB2312" w:hAnsi="宋体" w:eastAsia="仿宋_GB2312"/>
                <w:color w:val="000000"/>
                <w:kern w:val="0"/>
                <w:lang w:bidi="en-US"/>
              </w:rPr>
            </w:pPr>
            <w:r>
              <w:rPr>
                <w:rFonts w:hint="eastAsia" w:ascii="仿宋_GB2312" w:eastAsia="仿宋_GB2312"/>
                <w:kern w:val="0"/>
                <w:lang w:bidi="en-US"/>
              </w:rPr>
              <w:t>卖方交易员代码，自动显示，无需输入</w:t>
            </w:r>
          </w:p>
        </w:tc>
      </w:tr>
      <w:tr w14:paraId="6C69D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Pr>
          <w:p w14:paraId="55A8BBDC">
            <w:pPr>
              <w:pStyle w:val="12"/>
              <w:ind w:firstLine="0" w:firstLineChars="0"/>
              <w:rPr>
                <w:rFonts w:ascii="仿宋_GB2312" w:hAnsi="宋体" w:eastAsia="仿宋_GB2312"/>
                <w:b/>
                <w:color w:val="000000"/>
                <w:kern w:val="0"/>
                <w:lang w:eastAsia="en-US" w:bidi="en-US"/>
              </w:rPr>
            </w:pPr>
            <w:r>
              <w:rPr>
                <w:rFonts w:hint="eastAsia" w:ascii="仿宋_GB2312" w:eastAsia="仿宋_GB2312"/>
                <w:b/>
                <w:kern w:val="0"/>
                <w:lang w:eastAsia="en-US" w:bidi="en-US"/>
              </w:rPr>
              <w:t>交易员名称</w:t>
            </w:r>
          </w:p>
        </w:tc>
        <w:tc>
          <w:tcPr>
            <w:tcW w:w="6520" w:type="dxa"/>
          </w:tcPr>
          <w:p w14:paraId="32B30FB0">
            <w:pPr>
              <w:pStyle w:val="12"/>
              <w:ind w:firstLine="0" w:firstLineChars="0"/>
              <w:rPr>
                <w:rFonts w:ascii="仿宋_GB2312" w:hAnsi="宋体" w:eastAsia="仿宋_GB2312"/>
                <w:color w:val="000000"/>
                <w:kern w:val="0"/>
                <w:lang w:bidi="en-US"/>
              </w:rPr>
            </w:pPr>
            <w:r>
              <w:rPr>
                <w:rFonts w:hint="eastAsia" w:ascii="仿宋_GB2312" w:eastAsia="仿宋_GB2312"/>
                <w:kern w:val="0"/>
                <w:lang w:bidi="en-US"/>
              </w:rPr>
              <w:t>卖方交易员名称，自动显示，无需输入</w:t>
            </w:r>
          </w:p>
        </w:tc>
      </w:tr>
      <w:tr w14:paraId="4D65F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85" w:type="dxa"/>
          </w:tcPr>
          <w:p w14:paraId="195B2F7C">
            <w:pPr>
              <w:pStyle w:val="12"/>
              <w:ind w:firstLine="0" w:firstLineChars="0"/>
              <w:rPr>
                <w:rFonts w:ascii="仿宋_GB2312" w:hAnsi="宋体" w:eastAsia="仿宋_GB2312"/>
                <w:b/>
                <w:color w:val="000000"/>
                <w:kern w:val="0"/>
                <w:lang w:eastAsia="en-US" w:bidi="en-US"/>
              </w:rPr>
            </w:pPr>
            <w:r>
              <w:rPr>
                <w:rFonts w:hint="eastAsia" w:ascii="仿宋_GB2312" w:hAnsi="宋体" w:eastAsia="仿宋_GB2312"/>
                <w:b/>
                <w:color w:val="000000"/>
                <w:kern w:val="0"/>
                <w:lang w:eastAsia="en-US" w:bidi="en-US"/>
              </w:rPr>
              <w:t>交易方式</w:t>
            </w:r>
          </w:p>
        </w:tc>
        <w:tc>
          <w:tcPr>
            <w:tcW w:w="6520" w:type="dxa"/>
          </w:tcPr>
          <w:p w14:paraId="467749B2">
            <w:pPr>
              <w:pStyle w:val="12"/>
              <w:ind w:firstLine="0" w:firstLineChars="0"/>
              <w:rPr>
                <w:rFonts w:ascii="仿宋_GB2312" w:hAnsi="宋体" w:eastAsia="仿宋_GB2312"/>
                <w:color w:val="000000"/>
                <w:kern w:val="0"/>
                <w:lang w:eastAsia="en-US" w:bidi="en-US"/>
              </w:rPr>
            </w:pPr>
            <w:r>
              <w:rPr>
                <w:rFonts w:hint="eastAsia" w:ascii="仿宋_GB2312" w:hAnsi="宋体" w:eastAsia="仿宋_GB2312"/>
                <w:color w:val="000000"/>
                <w:kern w:val="0"/>
                <w:lang w:eastAsia="en-US" w:bidi="en-US"/>
              </w:rPr>
              <w:t>竞买成交</w:t>
            </w:r>
          </w:p>
        </w:tc>
      </w:tr>
    </w:tbl>
    <w:p w14:paraId="08FD0211">
      <w:pPr>
        <w:spacing w:line="60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竞买发起申报要素原则上应当与对应竞买预约的相关要素一致，本所另有规定的情形除外。</w:t>
      </w:r>
    </w:p>
    <w:p w14:paraId="197A79F6">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债券投资者提交竞买发起申报时，债券代码、竞买方式应与提前发布的竞买信息一致。竞买当日，价格区间（底价）、数量、结算方式等要素可</w:t>
      </w:r>
      <w:r>
        <w:rPr>
          <w:rFonts w:ascii="仿宋_GB2312" w:hAnsi="仿宋" w:eastAsia="仿宋_GB2312"/>
          <w:sz w:val="30"/>
          <w:szCs w:val="30"/>
        </w:rPr>
        <w:t>在提交竞买发起申报时修改</w:t>
      </w:r>
      <w:r>
        <w:rPr>
          <w:rFonts w:hint="eastAsia" w:ascii="仿宋_GB2312" w:hAnsi="仿宋" w:eastAsia="仿宋_GB2312"/>
          <w:sz w:val="30"/>
          <w:szCs w:val="30"/>
        </w:rPr>
        <w:t>。证券</w:t>
      </w:r>
      <w:r>
        <w:rPr>
          <w:rFonts w:ascii="仿宋_GB2312" w:hAnsi="仿宋" w:eastAsia="仿宋_GB2312"/>
          <w:sz w:val="30"/>
          <w:szCs w:val="30"/>
        </w:rPr>
        <w:t>代码、竞买方式、竞买日期</w:t>
      </w:r>
      <w:r>
        <w:rPr>
          <w:rFonts w:hint="eastAsia" w:ascii="仿宋_GB2312" w:hAnsi="仿宋" w:eastAsia="仿宋_GB2312"/>
          <w:sz w:val="30"/>
          <w:szCs w:val="30"/>
        </w:rPr>
        <w:t>等</w:t>
      </w:r>
      <w:r>
        <w:rPr>
          <w:rFonts w:ascii="仿宋_GB2312" w:hAnsi="仿宋" w:eastAsia="仿宋_GB2312"/>
          <w:sz w:val="30"/>
          <w:szCs w:val="30"/>
        </w:rPr>
        <w:t>要素</w:t>
      </w:r>
      <w:r>
        <w:rPr>
          <w:rFonts w:hint="eastAsia" w:ascii="仿宋_GB2312" w:hAnsi="仿宋" w:eastAsia="仿宋_GB2312"/>
          <w:sz w:val="30"/>
          <w:szCs w:val="30"/>
        </w:rPr>
        <w:t>确有需要修改的，可在竞买日之前</w:t>
      </w:r>
      <w:r>
        <w:rPr>
          <w:rFonts w:hint="eastAsia" w:ascii="仿宋_GB2312" w:eastAsia="仿宋_GB2312" w:cs="宋体"/>
          <w:color w:val="000000"/>
          <w:sz w:val="30"/>
          <w:szCs w:val="30"/>
        </w:rPr>
        <w:t>撤销</w:t>
      </w:r>
      <w:r>
        <w:rPr>
          <w:rFonts w:hint="eastAsia" w:ascii="仿宋_GB2312" w:hAnsi="仿宋" w:eastAsia="仿宋_GB2312"/>
          <w:sz w:val="30"/>
          <w:szCs w:val="30"/>
        </w:rPr>
        <w:t>竞买预约，</w:t>
      </w:r>
      <w:r>
        <w:rPr>
          <w:rFonts w:ascii="仿宋_GB2312" w:hAnsi="仿宋" w:eastAsia="仿宋_GB2312"/>
          <w:sz w:val="30"/>
          <w:szCs w:val="30"/>
        </w:rPr>
        <w:t>重新</w:t>
      </w:r>
      <w:r>
        <w:rPr>
          <w:rFonts w:hint="eastAsia" w:ascii="仿宋_GB2312" w:hAnsi="仿宋" w:eastAsia="仿宋_GB2312"/>
          <w:sz w:val="30"/>
          <w:szCs w:val="30"/>
        </w:rPr>
        <w:t>提交</w:t>
      </w:r>
      <w:r>
        <w:rPr>
          <w:rFonts w:ascii="仿宋_GB2312" w:hAnsi="仿宋" w:eastAsia="仿宋_GB2312"/>
          <w:sz w:val="30"/>
          <w:szCs w:val="30"/>
        </w:rPr>
        <w:t>竞买预约</w:t>
      </w:r>
      <w:r>
        <w:rPr>
          <w:rFonts w:hint="eastAsia" w:ascii="仿宋_GB2312" w:hAnsi="仿宋" w:eastAsia="仿宋_GB2312"/>
          <w:sz w:val="30"/>
          <w:szCs w:val="30"/>
        </w:rPr>
        <w:t>。最终竞买成交申报要素以竞买发起申报要素为准。</w:t>
      </w:r>
    </w:p>
    <w:p w14:paraId="462A9875">
      <w:pPr>
        <w:spacing w:line="600" w:lineRule="exact"/>
        <w:ind w:firstLine="600" w:firstLineChars="200"/>
        <w:outlineLvl w:val="3"/>
        <w:rPr>
          <w:rFonts w:ascii="仿宋_GB2312" w:hAnsi="仿宋" w:eastAsia="仿宋_GB2312"/>
          <w:sz w:val="30"/>
          <w:szCs w:val="30"/>
        </w:rPr>
      </w:pPr>
      <w:r>
        <w:rPr>
          <w:rFonts w:hint="eastAsia" w:ascii="仿宋_GB2312" w:hAnsi="仿宋" w:eastAsia="仿宋_GB2312"/>
          <w:sz w:val="30"/>
          <w:szCs w:val="30"/>
        </w:rPr>
        <w:t>（3）竞买取消与竞买发起申报撤销</w:t>
      </w:r>
    </w:p>
    <w:p w14:paraId="3908A2FF">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竞买日当天，卖方未针对已预约的竞买提交竞买发起申报，且未在竞买预约时同意委托系统自动提交竞买发起申报，则竞买取消，固定收益平台将自动生成竞买取消提示。竞买取消提示（详见附件6示例三）生成后，当日自动发布到本所官网“</w:t>
      </w:r>
      <w:r>
        <w:rPr>
          <w:rFonts w:hint="eastAsia" w:ascii="仿宋_GB2312" w:eastAsia="仿宋_GB2312"/>
          <w:sz w:val="30"/>
          <w:szCs w:val="30"/>
        </w:rPr>
        <w:t>首页-披露-债券信息-竞买业务-竞买预约提示</w:t>
      </w:r>
      <w:r>
        <w:rPr>
          <w:rFonts w:hint="eastAsia" w:ascii="仿宋_GB2312" w:hAnsi="仿宋" w:eastAsia="仿宋_GB2312"/>
          <w:sz w:val="30"/>
          <w:szCs w:val="30"/>
        </w:rPr>
        <w:t>”栏目和上证债券信息网“</w:t>
      </w:r>
      <w:r>
        <w:rPr>
          <w:rFonts w:hint="eastAsia" w:ascii="仿宋_GB2312" w:hAnsi="黑体" w:eastAsia="仿宋_GB2312"/>
          <w:sz w:val="30"/>
          <w:szCs w:val="30"/>
        </w:rPr>
        <w:t>首页</w:t>
      </w:r>
      <w:r>
        <w:rPr>
          <w:rFonts w:ascii="仿宋_GB2312" w:hAnsi="黑体" w:eastAsia="仿宋_GB2312"/>
          <w:sz w:val="30"/>
          <w:szCs w:val="30"/>
        </w:rPr>
        <w:t>-市场数据-行情展示-竞买业务-竞买预约提示</w:t>
      </w:r>
      <w:r>
        <w:rPr>
          <w:rFonts w:hint="eastAsia" w:ascii="仿宋_GB2312" w:hAnsi="仿宋" w:eastAsia="仿宋_GB2312"/>
          <w:sz w:val="30"/>
          <w:szCs w:val="30"/>
        </w:rPr>
        <w:t>”栏目。</w:t>
      </w:r>
    </w:p>
    <w:p w14:paraId="1D72461F">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在应价方提交有效的应价申报前，卖方申请并经本所认可后，可以撤销竞买发起申报。债券投资者可通过上述栏目查看相关提示。</w:t>
      </w:r>
    </w:p>
    <w:p w14:paraId="442DA538">
      <w:pPr>
        <w:numPr>
          <w:ilvl w:val="2"/>
          <w:numId w:val="4"/>
        </w:numPr>
        <w:spacing w:line="600" w:lineRule="exact"/>
        <w:ind w:left="0" w:firstLine="0"/>
        <w:outlineLvl w:val="2"/>
        <w:rPr>
          <w:rFonts w:ascii="仿宋_GB2312" w:eastAsia="仿宋_GB2312"/>
          <w:b/>
          <w:sz w:val="30"/>
          <w:szCs w:val="30"/>
        </w:rPr>
      </w:pPr>
      <w:bookmarkStart w:id="498" w:name="_Toc57908909"/>
      <w:r>
        <w:rPr>
          <w:rFonts w:hint="eastAsia" w:ascii="仿宋_GB2312" w:eastAsia="仿宋_GB2312"/>
          <w:b/>
          <w:sz w:val="30"/>
          <w:szCs w:val="30"/>
        </w:rPr>
        <w:t>应价申报</w:t>
      </w:r>
      <w:bookmarkEnd w:id="498"/>
    </w:p>
    <w:p w14:paraId="4F1FB543">
      <w:pPr>
        <w:spacing w:line="600" w:lineRule="exact"/>
        <w:ind w:firstLine="600" w:firstLineChars="200"/>
        <w:outlineLvl w:val="3"/>
        <w:rPr>
          <w:rFonts w:ascii="仿宋_GB2312" w:hAnsi="仿宋" w:eastAsia="仿宋_GB2312"/>
          <w:sz w:val="30"/>
          <w:szCs w:val="30"/>
        </w:rPr>
      </w:pPr>
      <w:r>
        <w:rPr>
          <w:rFonts w:hint="eastAsia" w:ascii="仿宋_GB2312" w:hAnsi="仿宋" w:eastAsia="仿宋_GB2312"/>
          <w:sz w:val="30"/>
          <w:szCs w:val="30"/>
        </w:rPr>
        <w:t>（1）应价申报提交</w:t>
      </w:r>
    </w:p>
    <w:p w14:paraId="091ADCDA">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债券投资者可通过本所官网和上证债券信息网“竞买预约提示”栏目查看竞买信息，经履行内部合规风控等相关流程后，于应价申报提交时间内（竞买日10:00-11:30），作为应价方提交应价申报。</w:t>
      </w:r>
    </w:p>
    <w:p w14:paraId="274AEB63">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债券投资者可对正在进行的竞买发起申报进行应价申报。应价方可以针对同一笔竞买发起申报提交多笔应价申报。对于单一主体中标，固定收益平台将在“应价申报”菜单显示当前最优价的应价申报信息。</w:t>
      </w:r>
    </w:p>
    <w:p w14:paraId="484E482D">
      <w:pPr>
        <w:spacing w:line="600" w:lineRule="exact"/>
        <w:ind w:firstLine="600" w:firstLineChars="200"/>
        <w:outlineLvl w:val="3"/>
        <w:rPr>
          <w:rFonts w:ascii="仿宋_GB2312" w:hAnsi="仿宋" w:eastAsia="仿宋_GB2312"/>
          <w:sz w:val="30"/>
          <w:szCs w:val="30"/>
        </w:rPr>
      </w:pPr>
      <w:r>
        <w:rPr>
          <w:rFonts w:hint="eastAsia" w:ascii="仿宋_GB2312" w:hAnsi="仿宋" w:eastAsia="仿宋_GB2312"/>
          <w:sz w:val="30"/>
          <w:szCs w:val="30"/>
        </w:rPr>
        <w:t>（2）应价申报要素</w:t>
      </w:r>
    </w:p>
    <w:p w14:paraId="7A01C016">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应价申报要素应当包括交易品种、价格、数量、应价方证券账户、是否匿名等内容。应价申报</w:t>
      </w:r>
      <w:r>
        <w:rPr>
          <w:rFonts w:hint="eastAsia" w:ascii="仿宋_GB2312" w:eastAsia="仿宋_GB2312"/>
          <w:sz w:val="30"/>
          <w:szCs w:val="30"/>
        </w:rPr>
        <w:t>具体要素及要素说明如下</w:t>
      </w:r>
      <w:r>
        <w:rPr>
          <w:rFonts w:hint="eastAsia" w:ascii="仿宋_GB2312" w:hAnsi="仿宋" w:eastAsia="仿宋_GB2312"/>
          <w:sz w:val="30"/>
          <w:szCs w:val="30"/>
        </w:rPr>
        <w:t>：</w:t>
      </w:r>
    </w:p>
    <w:tbl>
      <w:tblPr>
        <w:tblStyle w:val="43"/>
        <w:tblW w:w="0" w:type="auto"/>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6004"/>
      </w:tblGrid>
      <w:tr w14:paraId="77E2D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14:paraId="067CBAE6">
            <w:pPr>
              <w:pStyle w:val="12"/>
              <w:ind w:firstLine="0" w:firstLineChars="0"/>
              <w:jc w:val="left"/>
              <w:rPr>
                <w:rFonts w:ascii="宋体" w:hAnsi="宋体"/>
                <w:b/>
                <w:color w:val="000000"/>
                <w:kern w:val="0"/>
                <w:lang w:eastAsia="en-US" w:bidi="en-US"/>
              </w:rPr>
            </w:pPr>
            <w:r>
              <w:rPr>
                <w:rFonts w:hint="eastAsia" w:ascii="仿宋_GB2312" w:eastAsia="仿宋_GB2312"/>
                <w:b/>
                <w:kern w:val="0"/>
                <w:lang w:eastAsia="en-US" w:bidi="en-US"/>
              </w:rPr>
              <w:t>要素名称</w:t>
            </w:r>
          </w:p>
        </w:tc>
        <w:tc>
          <w:tcPr>
            <w:tcW w:w="6004" w:type="dxa"/>
          </w:tcPr>
          <w:p w14:paraId="11AF95FF">
            <w:pPr>
              <w:pStyle w:val="12"/>
              <w:ind w:firstLine="0" w:firstLineChars="0"/>
              <w:jc w:val="left"/>
              <w:rPr>
                <w:rFonts w:ascii="宋体" w:hAnsi="宋体"/>
                <w:b/>
                <w:color w:val="000000"/>
                <w:kern w:val="0"/>
                <w:lang w:eastAsia="en-US" w:bidi="en-US"/>
              </w:rPr>
            </w:pPr>
            <w:r>
              <w:rPr>
                <w:rFonts w:hint="eastAsia" w:ascii="仿宋_GB2312" w:eastAsia="仿宋_GB2312"/>
                <w:b/>
                <w:kern w:val="0"/>
                <w:lang w:eastAsia="en-US" w:bidi="en-US"/>
              </w:rPr>
              <w:t>要素说明</w:t>
            </w:r>
          </w:p>
        </w:tc>
      </w:tr>
      <w:tr w14:paraId="53CF9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14:paraId="0DB7BD56">
            <w:pPr>
              <w:pStyle w:val="12"/>
              <w:ind w:firstLine="0" w:firstLineChars="0"/>
              <w:rPr>
                <w:rFonts w:ascii="仿宋_GB2312" w:hAnsi="宋体" w:eastAsia="仿宋_GB2312"/>
                <w:b/>
                <w:color w:val="000000"/>
                <w:kern w:val="0"/>
                <w:lang w:eastAsia="en-US" w:bidi="en-US"/>
              </w:rPr>
            </w:pPr>
            <w:r>
              <w:rPr>
                <w:rFonts w:ascii="仿宋_GB2312" w:hAnsi="宋体" w:eastAsia="仿宋_GB2312"/>
                <w:b/>
                <w:color w:val="000000"/>
                <w:kern w:val="0"/>
                <w:lang w:eastAsia="en-US" w:bidi="en-US"/>
              </w:rPr>
              <w:t>竞买方式</w:t>
            </w:r>
          </w:p>
        </w:tc>
        <w:tc>
          <w:tcPr>
            <w:tcW w:w="6004" w:type="dxa"/>
          </w:tcPr>
          <w:p w14:paraId="2699C34E">
            <w:pPr>
              <w:pStyle w:val="12"/>
              <w:ind w:firstLine="0" w:firstLineChars="0"/>
              <w:rPr>
                <w:rFonts w:ascii="仿宋_GB2312" w:hAnsi="宋体" w:eastAsia="仿宋_GB2312"/>
                <w:kern w:val="0"/>
                <w:lang w:bidi="en-US"/>
              </w:rPr>
            </w:pPr>
            <w:r>
              <w:rPr>
                <w:rFonts w:hint="eastAsia" w:ascii="仿宋_GB2312" w:hAnsi="宋体" w:eastAsia="仿宋_GB2312"/>
                <w:color w:val="000000"/>
                <w:kern w:val="0"/>
                <w:lang w:bidi="en-US"/>
              </w:rPr>
              <w:t>单一主体中标</w:t>
            </w:r>
          </w:p>
        </w:tc>
      </w:tr>
      <w:tr w14:paraId="288AF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14:paraId="27F95D43">
            <w:pPr>
              <w:pStyle w:val="12"/>
              <w:ind w:firstLine="0" w:firstLineChars="0"/>
              <w:rPr>
                <w:rFonts w:ascii="仿宋_GB2312" w:hAnsi="宋体" w:eastAsia="仿宋_GB2312"/>
                <w:b/>
                <w:color w:val="000000"/>
                <w:kern w:val="0"/>
                <w:lang w:eastAsia="en-US" w:bidi="en-US"/>
              </w:rPr>
            </w:pPr>
            <w:r>
              <w:rPr>
                <w:rFonts w:hint="eastAsia" w:ascii="仿宋_GB2312" w:hAnsi="宋体" w:eastAsia="仿宋_GB2312"/>
                <w:b/>
                <w:color w:val="000000"/>
                <w:kern w:val="0"/>
                <w:lang w:eastAsia="en-US" w:bidi="en-US"/>
              </w:rPr>
              <w:t>申报类型</w:t>
            </w:r>
          </w:p>
        </w:tc>
        <w:tc>
          <w:tcPr>
            <w:tcW w:w="6004" w:type="dxa"/>
          </w:tcPr>
          <w:p w14:paraId="1F1C334A">
            <w:pPr>
              <w:pStyle w:val="12"/>
              <w:ind w:firstLine="0" w:firstLineChars="0"/>
              <w:rPr>
                <w:rFonts w:ascii="仿宋_GB2312" w:hAnsi="宋体" w:eastAsia="仿宋_GB2312"/>
                <w:color w:val="000000"/>
                <w:kern w:val="0"/>
                <w:lang w:eastAsia="en-US" w:bidi="en-US"/>
              </w:rPr>
            </w:pPr>
            <w:r>
              <w:rPr>
                <w:rFonts w:hint="eastAsia" w:ascii="仿宋_GB2312" w:hAnsi="宋体" w:eastAsia="仿宋_GB2312"/>
                <w:color w:val="000000"/>
                <w:kern w:val="0"/>
                <w:lang w:eastAsia="en-US" w:bidi="en-US"/>
              </w:rPr>
              <w:t>应价申报</w:t>
            </w:r>
          </w:p>
        </w:tc>
      </w:tr>
      <w:tr w14:paraId="7A1AD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268" w:type="dxa"/>
          </w:tcPr>
          <w:p w14:paraId="551FF7BC">
            <w:pPr>
              <w:pStyle w:val="12"/>
              <w:ind w:firstLine="0" w:firstLineChars="0"/>
              <w:rPr>
                <w:rFonts w:ascii="仿宋_GB2312" w:hAnsi="宋体" w:eastAsia="仿宋_GB2312"/>
                <w:b/>
                <w:color w:val="000000"/>
                <w:kern w:val="0"/>
                <w:lang w:eastAsia="en-US" w:bidi="en-US"/>
              </w:rPr>
            </w:pPr>
            <w:r>
              <w:rPr>
                <w:rFonts w:hint="eastAsia" w:ascii="仿宋_GB2312" w:hAnsi="宋体" w:eastAsia="仿宋_GB2312"/>
                <w:b/>
                <w:color w:val="000000"/>
                <w:kern w:val="0"/>
                <w:lang w:eastAsia="en-US" w:bidi="en-US"/>
              </w:rPr>
              <w:t>数量</w:t>
            </w:r>
          </w:p>
        </w:tc>
        <w:tc>
          <w:tcPr>
            <w:tcW w:w="6004" w:type="dxa"/>
          </w:tcPr>
          <w:p w14:paraId="67B8A272">
            <w:pPr>
              <w:pStyle w:val="12"/>
              <w:ind w:firstLine="0" w:firstLineChars="0"/>
              <w:rPr>
                <w:rFonts w:ascii="仿宋_GB2312" w:hAnsi="宋体" w:eastAsia="仿宋_GB2312"/>
                <w:color w:val="000000"/>
                <w:kern w:val="0"/>
                <w:lang w:eastAsia="en-US" w:bidi="en-US"/>
              </w:rPr>
            </w:pPr>
            <w:r>
              <w:rPr>
                <w:rFonts w:hint="eastAsia" w:ascii="仿宋_GB2312" w:hAnsi="宋体" w:eastAsia="仿宋_GB2312"/>
                <w:color w:val="000000"/>
                <w:kern w:val="0"/>
                <w:lang w:eastAsia="en-US" w:bidi="en-US"/>
              </w:rPr>
              <w:t>单位：</w:t>
            </w:r>
            <w:r>
              <w:rPr>
                <w:rFonts w:hint="eastAsia" w:ascii="仿宋_GB2312" w:hAnsi="宋体" w:eastAsia="仿宋_GB2312"/>
                <w:color w:val="000000"/>
                <w:kern w:val="0"/>
                <w:lang w:bidi="en-US"/>
              </w:rPr>
              <w:t>千</w:t>
            </w:r>
            <w:r>
              <w:rPr>
                <w:rFonts w:hint="eastAsia" w:ascii="仿宋_GB2312" w:hAnsi="宋体" w:eastAsia="仿宋_GB2312"/>
                <w:color w:val="000000"/>
                <w:kern w:val="0"/>
                <w:lang w:eastAsia="en-US" w:bidi="en-US"/>
              </w:rPr>
              <w:t>元面额</w:t>
            </w:r>
          </w:p>
        </w:tc>
      </w:tr>
      <w:tr w14:paraId="76FF8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14:paraId="64695ABF">
            <w:pPr>
              <w:pStyle w:val="12"/>
              <w:ind w:firstLine="0" w:firstLineChars="0"/>
              <w:rPr>
                <w:rFonts w:ascii="仿宋_GB2312" w:hAnsi="宋体" w:eastAsia="仿宋_GB2312"/>
                <w:b/>
                <w:color w:val="000000"/>
                <w:kern w:val="0"/>
                <w:lang w:eastAsia="en-US" w:bidi="en-US"/>
              </w:rPr>
            </w:pPr>
            <w:r>
              <w:rPr>
                <w:rFonts w:hint="eastAsia" w:ascii="仿宋_GB2312" w:hAnsi="宋体" w:eastAsia="仿宋_GB2312"/>
                <w:b/>
                <w:color w:val="000000"/>
                <w:kern w:val="0"/>
                <w:lang w:eastAsia="en-US" w:bidi="en-US"/>
              </w:rPr>
              <w:t>价格</w:t>
            </w:r>
          </w:p>
        </w:tc>
        <w:tc>
          <w:tcPr>
            <w:tcW w:w="6004" w:type="dxa"/>
          </w:tcPr>
          <w:p w14:paraId="41B29182">
            <w:pPr>
              <w:pStyle w:val="12"/>
              <w:ind w:firstLine="0" w:firstLineChars="0"/>
              <w:rPr>
                <w:rFonts w:ascii="仿宋_GB2312" w:hAnsi="宋体" w:eastAsia="仿宋_GB2312"/>
                <w:color w:val="000000"/>
                <w:kern w:val="0"/>
                <w:lang w:eastAsia="en-US" w:bidi="en-US"/>
              </w:rPr>
            </w:pPr>
            <w:r>
              <w:rPr>
                <w:rFonts w:hint="eastAsia" w:ascii="仿宋_GB2312" w:hAnsi="宋体" w:eastAsia="仿宋_GB2312"/>
                <w:color w:val="000000"/>
                <w:kern w:val="0"/>
                <w:lang w:eastAsia="en-US" w:bidi="en-US"/>
              </w:rPr>
              <w:t>应价价格</w:t>
            </w:r>
          </w:p>
        </w:tc>
      </w:tr>
      <w:tr w14:paraId="0C1ED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14:paraId="63B6D5FE">
            <w:pPr>
              <w:pStyle w:val="12"/>
              <w:ind w:firstLine="0" w:firstLineChars="0"/>
              <w:rPr>
                <w:rFonts w:ascii="仿宋_GB2312" w:hAnsi="宋体" w:eastAsia="仿宋_GB2312"/>
                <w:b/>
                <w:color w:val="000000"/>
                <w:kern w:val="0"/>
                <w:lang w:eastAsia="en-US" w:bidi="en-US"/>
              </w:rPr>
            </w:pPr>
            <w:r>
              <w:rPr>
                <w:rFonts w:hint="eastAsia" w:ascii="仿宋_GB2312" w:eastAsia="仿宋_GB2312"/>
                <w:b/>
                <w:kern w:val="0"/>
                <w:lang w:eastAsia="en-US" w:bidi="en-US"/>
              </w:rPr>
              <w:t>证券账号</w:t>
            </w:r>
          </w:p>
        </w:tc>
        <w:tc>
          <w:tcPr>
            <w:tcW w:w="6004" w:type="dxa"/>
          </w:tcPr>
          <w:p w14:paraId="3A8724F7">
            <w:pPr>
              <w:pStyle w:val="12"/>
              <w:tabs>
                <w:tab w:val="left" w:pos="0"/>
                <w:tab w:val="center" w:pos="4867"/>
                <w:tab w:val="right" w:pos="9360"/>
              </w:tabs>
              <w:ind w:firstLine="0" w:firstLineChars="0"/>
              <w:rPr>
                <w:rFonts w:ascii="仿宋_GB2312" w:hAnsi="宋体" w:eastAsia="仿宋_GB2312"/>
                <w:kern w:val="0"/>
                <w:lang w:bidi="en-US"/>
              </w:rPr>
            </w:pPr>
            <w:r>
              <w:rPr>
                <w:rFonts w:hint="eastAsia" w:ascii="仿宋_GB2312" w:eastAsia="仿宋_GB2312"/>
                <w:kern w:val="0"/>
                <w:lang w:bidi="en-US"/>
              </w:rPr>
              <w:t>应价方的证券账户号码</w:t>
            </w:r>
          </w:p>
        </w:tc>
      </w:tr>
      <w:tr w14:paraId="5D189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14:paraId="466CB820">
            <w:pPr>
              <w:pStyle w:val="12"/>
              <w:ind w:firstLine="0" w:firstLineChars="0"/>
              <w:rPr>
                <w:rFonts w:ascii="仿宋_GB2312" w:hAnsi="宋体" w:eastAsia="仿宋_GB2312"/>
                <w:b/>
                <w:color w:val="000000"/>
                <w:kern w:val="0"/>
                <w:lang w:eastAsia="en-US" w:bidi="en-US"/>
              </w:rPr>
            </w:pPr>
            <w:r>
              <w:rPr>
                <w:rFonts w:hint="eastAsia" w:ascii="仿宋_GB2312" w:eastAsia="仿宋_GB2312"/>
                <w:b/>
                <w:kern w:val="0"/>
                <w:lang w:eastAsia="en-US" w:bidi="en-US"/>
              </w:rPr>
              <w:t>证券账户名称</w:t>
            </w:r>
          </w:p>
        </w:tc>
        <w:tc>
          <w:tcPr>
            <w:tcW w:w="6004" w:type="dxa"/>
          </w:tcPr>
          <w:p w14:paraId="312947FC">
            <w:pPr>
              <w:pStyle w:val="12"/>
              <w:tabs>
                <w:tab w:val="left" w:pos="0"/>
                <w:tab w:val="center" w:pos="4867"/>
                <w:tab w:val="right" w:pos="9360"/>
              </w:tabs>
              <w:ind w:firstLine="0" w:firstLineChars="0"/>
              <w:rPr>
                <w:rFonts w:ascii="仿宋_GB2312" w:hAnsi="宋体" w:eastAsia="仿宋_GB2312"/>
                <w:kern w:val="0"/>
                <w:lang w:bidi="en-US"/>
              </w:rPr>
            </w:pPr>
            <w:r>
              <w:rPr>
                <w:rFonts w:hint="eastAsia" w:ascii="仿宋_GB2312" w:eastAsia="仿宋_GB2312"/>
                <w:kern w:val="0"/>
                <w:lang w:bidi="en-US"/>
              </w:rPr>
              <w:t>应价方的证券账户名称</w:t>
            </w:r>
          </w:p>
        </w:tc>
      </w:tr>
      <w:tr w14:paraId="00417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268" w:type="dxa"/>
          </w:tcPr>
          <w:p w14:paraId="19517231">
            <w:pPr>
              <w:pStyle w:val="12"/>
              <w:ind w:firstLine="0" w:firstLineChars="0"/>
              <w:rPr>
                <w:rFonts w:ascii="仿宋_GB2312" w:eastAsia="仿宋_GB2312"/>
                <w:b/>
                <w:kern w:val="0"/>
                <w:lang w:eastAsia="en-US" w:bidi="en-US"/>
              </w:rPr>
            </w:pPr>
            <w:r>
              <w:rPr>
                <w:rFonts w:hint="eastAsia" w:ascii="仿宋_GB2312" w:hAnsi="宋体" w:eastAsia="仿宋_GB2312"/>
                <w:b/>
                <w:color w:val="000000"/>
                <w:kern w:val="0"/>
                <w:lang w:eastAsia="en-US" w:bidi="en-US"/>
              </w:rPr>
              <w:t>是否匿名</w:t>
            </w:r>
          </w:p>
        </w:tc>
        <w:tc>
          <w:tcPr>
            <w:tcW w:w="6004" w:type="dxa"/>
          </w:tcPr>
          <w:p w14:paraId="38BDF97C">
            <w:pPr>
              <w:pStyle w:val="12"/>
              <w:tabs>
                <w:tab w:val="left" w:pos="0"/>
                <w:tab w:val="center" w:pos="4867"/>
                <w:tab w:val="right" w:pos="9360"/>
              </w:tabs>
              <w:ind w:firstLine="0" w:firstLineChars="0"/>
              <w:rPr>
                <w:rFonts w:ascii="仿宋_GB2312" w:eastAsia="仿宋_GB2312"/>
                <w:kern w:val="0"/>
                <w:lang w:bidi="en-US"/>
              </w:rPr>
            </w:pPr>
            <w:r>
              <w:rPr>
                <w:rFonts w:hint="eastAsia" w:ascii="仿宋_GB2312" w:hAnsi="宋体" w:eastAsia="仿宋_GB2312"/>
                <w:color w:val="000000"/>
                <w:kern w:val="0"/>
                <w:lang w:bidi="en-US"/>
              </w:rPr>
              <w:t>需匿名的，勾选“匿名提交”</w:t>
            </w:r>
          </w:p>
        </w:tc>
      </w:tr>
      <w:tr w14:paraId="27CBA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14:paraId="5753C311">
            <w:pPr>
              <w:pStyle w:val="12"/>
              <w:ind w:firstLine="0" w:firstLineChars="0"/>
              <w:rPr>
                <w:rFonts w:ascii="仿宋_GB2312" w:eastAsia="仿宋_GB2312"/>
                <w:b/>
                <w:kern w:val="0"/>
                <w:lang w:bidi="en-US"/>
              </w:rPr>
            </w:pPr>
            <w:r>
              <w:rPr>
                <w:rFonts w:hint="eastAsia" w:ascii="仿宋_GB2312" w:hAnsi="宋体" w:eastAsia="仿宋_GB2312"/>
                <w:b/>
                <w:color w:val="000000"/>
                <w:kern w:val="0"/>
                <w:lang w:bidi="en-US"/>
              </w:rPr>
              <w:t>交易品种</w:t>
            </w:r>
          </w:p>
        </w:tc>
        <w:tc>
          <w:tcPr>
            <w:tcW w:w="6004" w:type="dxa"/>
          </w:tcPr>
          <w:p w14:paraId="490C8A5D">
            <w:pPr>
              <w:pStyle w:val="12"/>
              <w:tabs>
                <w:tab w:val="left" w:pos="0"/>
                <w:tab w:val="center" w:pos="4867"/>
                <w:tab w:val="right" w:pos="9360"/>
              </w:tabs>
              <w:ind w:firstLine="0" w:firstLineChars="0"/>
              <w:rPr>
                <w:rFonts w:ascii="仿宋_GB2312" w:eastAsia="仿宋_GB2312"/>
                <w:kern w:val="0"/>
                <w:lang w:bidi="en-US"/>
              </w:rPr>
            </w:pPr>
            <w:r>
              <w:rPr>
                <w:rFonts w:hint="eastAsia" w:ascii="仿宋_GB2312" w:hAnsi="宋体" w:eastAsia="仿宋_GB2312"/>
                <w:kern w:val="0"/>
                <w:lang w:bidi="en-US"/>
              </w:rPr>
              <w:t>交易品种的名称或证券代码</w:t>
            </w:r>
            <w:r>
              <w:rPr>
                <w:rFonts w:hint="eastAsia" w:ascii="仿宋_GB2312" w:eastAsia="仿宋_GB2312"/>
                <w:kern w:val="0"/>
                <w:lang w:bidi="en-US"/>
              </w:rPr>
              <w:t>，自动显示</w:t>
            </w:r>
          </w:p>
        </w:tc>
      </w:tr>
      <w:tr w14:paraId="69C9E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14:paraId="13C1D193">
            <w:pPr>
              <w:pStyle w:val="12"/>
              <w:ind w:firstLine="0" w:firstLineChars="0"/>
              <w:rPr>
                <w:rFonts w:ascii="仿宋_GB2312" w:eastAsia="仿宋_GB2312"/>
                <w:b/>
                <w:kern w:val="0"/>
                <w:lang w:eastAsia="en-US" w:bidi="en-US"/>
              </w:rPr>
            </w:pPr>
            <w:r>
              <w:rPr>
                <w:rFonts w:hint="eastAsia" w:ascii="仿宋_GB2312" w:hAnsi="宋体" w:eastAsia="仿宋_GB2312"/>
                <w:b/>
                <w:color w:val="000000"/>
                <w:kern w:val="0"/>
                <w:lang w:eastAsia="en-US" w:bidi="en-US"/>
              </w:rPr>
              <w:t>证券简称</w:t>
            </w:r>
          </w:p>
        </w:tc>
        <w:tc>
          <w:tcPr>
            <w:tcW w:w="6004" w:type="dxa"/>
          </w:tcPr>
          <w:p w14:paraId="7E03E4B7">
            <w:pPr>
              <w:pStyle w:val="12"/>
              <w:tabs>
                <w:tab w:val="left" w:pos="0"/>
                <w:tab w:val="center" w:pos="4867"/>
                <w:tab w:val="right" w:pos="9360"/>
              </w:tabs>
              <w:ind w:firstLine="0" w:firstLineChars="0"/>
              <w:rPr>
                <w:rFonts w:ascii="仿宋_GB2312" w:eastAsia="仿宋_GB2312"/>
                <w:kern w:val="0"/>
                <w:lang w:bidi="en-US"/>
              </w:rPr>
            </w:pPr>
            <w:r>
              <w:rPr>
                <w:rFonts w:hint="eastAsia" w:ascii="仿宋_GB2312" w:hAnsi="宋体" w:eastAsia="仿宋_GB2312"/>
                <w:kern w:val="0"/>
                <w:lang w:bidi="en-US"/>
              </w:rPr>
              <w:t>即上交所证券简称，自动显示</w:t>
            </w:r>
          </w:p>
        </w:tc>
      </w:tr>
      <w:tr w14:paraId="672B8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14:paraId="4C6E58C8">
            <w:pPr>
              <w:pStyle w:val="12"/>
              <w:ind w:firstLine="0" w:firstLineChars="0"/>
              <w:rPr>
                <w:rFonts w:ascii="仿宋_GB2312" w:hAnsi="宋体" w:eastAsia="仿宋_GB2312"/>
                <w:b/>
                <w:color w:val="000000"/>
                <w:kern w:val="0"/>
                <w:lang w:eastAsia="en-US" w:bidi="en-US"/>
              </w:rPr>
            </w:pPr>
            <w:r>
              <w:rPr>
                <w:rFonts w:hint="eastAsia" w:ascii="仿宋_GB2312" w:eastAsia="仿宋_GB2312"/>
                <w:b/>
                <w:kern w:val="0"/>
                <w:lang w:eastAsia="en-US" w:bidi="en-US"/>
              </w:rPr>
              <w:t>结算方式</w:t>
            </w:r>
          </w:p>
        </w:tc>
        <w:tc>
          <w:tcPr>
            <w:tcW w:w="6004" w:type="dxa"/>
          </w:tcPr>
          <w:p w14:paraId="6CEDBA3F">
            <w:pPr>
              <w:pStyle w:val="12"/>
              <w:tabs>
                <w:tab w:val="left" w:pos="0"/>
                <w:tab w:val="center" w:pos="4867"/>
                <w:tab w:val="right" w:pos="9360"/>
              </w:tabs>
              <w:ind w:firstLine="0" w:firstLineChars="0"/>
              <w:rPr>
                <w:rFonts w:ascii="仿宋_GB2312" w:hAnsi="宋体" w:eastAsia="仿宋_GB2312"/>
                <w:color w:val="000000"/>
                <w:kern w:val="0"/>
                <w:lang w:eastAsia="en-US" w:bidi="en-US"/>
              </w:rPr>
            </w:pPr>
            <w:r>
              <w:rPr>
                <w:rFonts w:hint="eastAsia" w:ascii="仿宋_GB2312" w:eastAsia="仿宋_GB2312"/>
                <w:kern w:val="0"/>
                <w:lang w:eastAsia="en-US" w:bidi="en-US"/>
              </w:rPr>
              <w:t>结算方式，自动显示</w:t>
            </w:r>
          </w:p>
        </w:tc>
      </w:tr>
      <w:tr w14:paraId="4C576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268" w:type="dxa"/>
          </w:tcPr>
          <w:p w14:paraId="7712ECE6">
            <w:pPr>
              <w:pStyle w:val="12"/>
              <w:tabs>
                <w:tab w:val="left" w:pos="0"/>
                <w:tab w:val="center" w:pos="4867"/>
                <w:tab w:val="right" w:pos="9360"/>
              </w:tabs>
              <w:ind w:firstLine="0" w:firstLineChars="0"/>
              <w:rPr>
                <w:rFonts w:ascii="仿宋_GB2312" w:hAnsi="宋体" w:eastAsia="仿宋_GB2312"/>
                <w:b/>
                <w:color w:val="000000"/>
                <w:kern w:val="0"/>
                <w:lang w:eastAsia="en-US" w:bidi="en-US"/>
              </w:rPr>
            </w:pPr>
            <w:r>
              <w:rPr>
                <w:rFonts w:hint="eastAsia" w:ascii="仿宋_GB2312" w:eastAsia="仿宋_GB2312"/>
                <w:b/>
                <w:kern w:val="0"/>
                <w:lang w:eastAsia="en-US" w:bidi="en-US"/>
              </w:rPr>
              <w:t>结算速度</w:t>
            </w:r>
          </w:p>
        </w:tc>
        <w:tc>
          <w:tcPr>
            <w:tcW w:w="6004" w:type="dxa"/>
          </w:tcPr>
          <w:p w14:paraId="5B0D3516">
            <w:pPr>
              <w:pStyle w:val="12"/>
              <w:tabs>
                <w:tab w:val="left" w:pos="0"/>
                <w:tab w:val="center" w:pos="4867"/>
                <w:tab w:val="right" w:pos="9360"/>
              </w:tabs>
              <w:ind w:firstLine="0" w:firstLineChars="0"/>
              <w:rPr>
                <w:rFonts w:ascii="仿宋_GB2312" w:hAnsi="宋体" w:eastAsia="仿宋_GB2312"/>
                <w:color w:val="000000"/>
                <w:kern w:val="0"/>
                <w:lang w:eastAsia="en-US" w:bidi="en-US"/>
              </w:rPr>
            </w:pPr>
            <w:r>
              <w:rPr>
                <w:rFonts w:hint="eastAsia" w:ascii="仿宋_GB2312" w:eastAsia="仿宋_GB2312"/>
                <w:kern w:val="0"/>
                <w:lang w:eastAsia="en-US" w:bidi="en-US"/>
              </w:rPr>
              <w:t>结算速度，自动显示</w:t>
            </w:r>
          </w:p>
        </w:tc>
      </w:tr>
      <w:tr w14:paraId="718A7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14:paraId="52EDFD03">
            <w:pPr>
              <w:pStyle w:val="12"/>
              <w:tabs>
                <w:tab w:val="left" w:pos="0"/>
                <w:tab w:val="center" w:pos="4867"/>
                <w:tab w:val="right" w:pos="9360"/>
              </w:tabs>
              <w:ind w:firstLine="0" w:firstLineChars="0"/>
              <w:rPr>
                <w:rFonts w:ascii="仿宋_GB2312" w:eastAsia="仿宋_GB2312"/>
                <w:b/>
                <w:kern w:val="0"/>
                <w:lang w:eastAsia="en-US" w:bidi="en-US"/>
              </w:rPr>
            </w:pPr>
            <w:r>
              <w:rPr>
                <w:rFonts w:hint="eastAsia" w:ascii="仿宋_GB2312" w:eastAsia="仿宋_GB2312"/>
                <w:b/>
                <w:kern w:val="0"/>
                <w:lang w:eastAsia="en-US" w:bidi="en-US"/>
              </w:rPr>
              <w:t>申报日期时间</w:t>
            </w:r>
          </w:p>
        </w:tc>
        <w:tc>
          <w:tcPr>
            <w:tcW w:w="6004" w:type="dxa"/>
          </w:tcPr>
          <w:p w14:paraId="7A41D29A">
            <w:pPr>
              <w:pStyle w:val="12"/>
              <w:tabs>
                <w:tab w:val="left" w:pos="0"/>
                <w:tab w:val="center" w:pos="4867"/>
                <w:tab w:val="right" w:pos="9360"/>
              </w:tabs>
              <w:ind w:firstLine="0" w:firstLineChars="0"/>
              <w:rPr>
                <w:rFonts w:ascii="仿宋_GB2312" w:eastAsia="仿宋_GB2312"/>
                <w:kern w:val="0"/>
                <w:lang w:bidi="en-US"/>
              </w:rPr>
            </w:pPr>
            <w:r>
              <w:rPr>
                <w:rFonts w:hint="eastAsia" w:ascii="仿宋_GB2312" w:eastAsia="仿宋_GB2312"/>
                <w:kern w:val="0"/>
                <w:lang w:bidi="en-US"/>
              </w:rPr>
              <w:t>交易申报日期（年月日）及时间（时分秒），自动显示</w:t>
            </w:r>
          </w:p>
        </w:tc>
      </w:tr>
      <w:tr w14:paraId="345FF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14:paraId="4CD02AEA">
            <w:pPr>
              <w:pStyle w:val="12"/>
              <w:tabs>
                <w:tab w:val="left" w:pos="0"/>
                <w:tab w:val="center" w:pos="4867"/>
                <w:tab w:val="right" w:pos="9360"/>
              </w:tabs>
              <w:ind w:firstLine="0" w:firstLineChars="0"/>
              <w:rPr>
                <w:rFonts w:ascii="仿宋_GB2312" w:hAnsi="宋体" w:eastAsia="仿宋_GB2312"/>
                <w:b/>
                <w:color w:val="000000"/>
                <w:kern w:val="0"/>
                <w:lang w:bidi="en-US"/>
              </w:rPr>
            </w:pPr>
            <w:r>
              <w:rPr>
                <w:rFonts w:hint="eastAsia" w:ascii="仿宋_GB2312" w:eastAsia="仿宋_GB2312"/>
                <w:b/>
                <w:kern w:val="0"/>
                <w:lang w:eastAsia="en-US" w:bidi="en-US"/>
              </w:rPr>
              <w:t>结算</w:t>
            </w:r>
            <w:r>
              <w:rPr>
                <w:rFonts w:hint="eastAsia" w:ascii="仿宋_GB2312" w:eastAsia="仿宋_GB2312"/>
                <w:b/>
                <w:kern w:val="0"/>
                <w:lang w:bidi="en-US"/>
              </w:rPr>
              <w:t>日期</w:t>
            </w:r>
          </w:p>
        </w:tc>
        <w:tc>
          <w:tcPr>
            <w:tcW w:w="6004" w:type="dxa"/>
          </w:tcPr>
          <w:p w14:paraId="174424DF">
            <w:pPr>
              <w:pStyle w:val="12"/>
              <w:tabs>
                <w:tab w:val="left" w:pos="0"/>
                <w:tab w:val="center" w:pos="4867"/>
                <w:tab w:val="right" w:pos="9360"/>
              </w:tabs>
              <w:ind w:firstLine="0" w:firstLineChars="0"/>
              <w:rPr>
                <w:rFonts w:ascii="仿宋_GB2312" w:hAnsi="宋体" w:eastAsia="仿宋_GB2312"/>
                <w:color w:val="000000"/>
                <w:kern w:val="0"/>
                <w:lang w:bidi="en-US"/>
              </w:rPr>
            </w:pPr>
            <w:r>
              <w:rPr>
                <w:rFonts w:hint="eastAsia" w:ascii="仿宋_GB2312" w:eastAsia="仿宋_GB2312"/>
                <w:kern w:val="0"/>
                <w:lang w:bidi="en-US"/>
              </w:rPr>
              <w:t>根据当前交易日期、结算周期，自动显示</w:t>
            </w:r>
          </w:p>
        </w:tc>
      </w:tr>
      <w:tr w14:paraId="2323A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14:paraId="163DFB58">
            <w:pPr>
              <w:pStyle w:val="12"/>
              <w:ind w:firstLine="0" w:firstLineChars="0"/>
              <w:rPr>
                <w:rFonts w:ascii="仿宋_GB2312" w:hAnsi="宋体" w:eastAsia="仿宋_GB2312"/>
                <w:b/>
                <w:color w:val="000000"/>
                <w:kern w:val="0"/>
                <w:lang w:eastAsia="en-US" w:bidi="en-US"/>
              </w:rPr>
            </w:pPr>
            <w:r>
              <w:rPr>
                <w:rFonts w:hint="eastAsia" w:ascii="仿宋_GB2312" w:eastAsia="仿宋_GB2312"/>
                <w:b/>
                <w:kern w:val="0"/>
                <w:lang w:eastAsia="en-US" w:bidi="en-US"/>
              </w:rPr>
              <w:t>交易PBU</w:t>
            </w:r>
          </w:p>
        </w:tc>
        <w:tc>
          <w:tcPr>
            <w:tcW w:w="6004" w:type="dxa"/>
          </w:tcPr>
          <w:p w14:paraId="6F166384">
            <w:pPr>
              <w:pStyle w:val="12"/>
              <w:ind w:firstLine="0" w:firstLineChars="0"/>
              <w:rPr>
                <w:rFonts w:ascii="仿宋_GB2312" w:hAnsi="宋体" w:eastAsia="仿宋_GB2312"/>
                <w:color w:val="000000"/>
                <w:kern w:val="0"/>
                <w:lang w:bidi="en-US"/>
              </w:rPr>
            </w:pPr>
            <w:r>
              <w:rPr>
                <w:rFonts w:hint="eastAsia" w:ascii="仿宋_GB2312" w:eastAsia="仿宋_GB2312"/>
                <w:kern w:val="0"/>
                <w:lang w:bidi="en-US"/>
              </w:rPr>
              <w:t>应价方交易参与人的交易单元号码，自动显示，无需输入</w:t>
            </w:r>
          </w:p>
        </w:tc>
      </w:tr>
      <w:tr w14:paraId="692B0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268" w:type="dxa"/>
          </w:tcPr>
          <w:p w14:paraId="0038E57A">
            <w:pPr>
              <w:pStyle w:val="12"/>
              <w:ind w:firstLine="0" w:firstLineChars="0"/>
              <w:rPr>
                <w:rFonts w:ascii="仿宋_GB2312" w:hAnsi="宋体" w:eastAsia="仿宋_GB2312"/>
                <w:b/>
                <w:color w:val="000000"/>
                <w:kern w:val="0"/>
                <w:lang w:eastAsia="en-US" w:bidi="en-US"/>
              </w:rPr>
            </w:pPr>
            <w:r>
              <w:rPr>
                <w:rFonts w:hint="eastAsia" w:ascii="仿宋_GB2312" w:eastAsia="仿宋_GB2312"/>
                <w:b/>
                <w:kern w:val="0"/>
                <w:lang w:eastAsia="en-US" w:bidi="en-US"/>
              </w:rPr>
              <w:t>交易参与人</w:t>
            </w:r>
          </w:p>
        </w:tc>
        <w:tc>
          <w:tcPr>
            <w:tcW w:w="6004" w:type="dxa"/>
          </w:tcPr>
          <w:p w14:paraId="645C8C78">
            <w:pPr>
              <w:pStyle w:val="12"/>
              <w:ind w:firstLine="0" w:firstLineChars="0"/>
              <w:rPr>
                <w:rFonts w:ascii="仿宋_GB2312" w:hAnsi="宋体" w:eastAsia="仿宋_GB2312"/>
                <w:color w:val="000000"/>
                <w:kern w:val="0"/>
                <w:lang w:bidi="en-US"/>
              </w:rPr>
            </w:pPr>
            <w:r>
              <w:rPr>
                <w:rFonts w:hint="eastAsia" w:ascii="仿宋_GB2312" w:eastAsia="仿宋_GB2312"/>
                <w:kern w:val="0"/>
                <w:lang w:bidi="en-US"/>
              </w:rPr>
              <w:t>应价方交易参与人简称，自动显示，无需输入</w:t>
            </w:r>
          </w:p>
        </w:tc>
      </w:tr>
      <w:tr w14:paraId="18836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14:paraId="4F42E939">
            <w:pPr>
              <w:pStyle w:val="12"/>
              <w:ind w:firstLine="0" w:firstLineChars="0"/>
              <w:rPr>
                <w:rFonts w:ascii="仿宋_GB2312" w:hAnsi="宋体" w:eastAsia="仿宋_GB2312"/>
                <w:b/>
                <w:color w:val="000000"/>
                <w:kern w:val="0"/>
                <w:lang w:eastAsia="en-US" w:bidi="en-US"/>
              </w:rPr>
            </w:pPr>
            <w:r>
              <w:rPr>
                <w:rFonts w:hint="eastAsia" w:ascii="仿宋_GB2312" w:eastAsia="仿宋_GB2312"/>
                <w:b/>
                <w:kern w:val="0"/>
                <w:lang w:eastAsia="en-US" w:bidi="en-US"/>
              </w:rPr>
              <w:t>交易员代码</w:t>
            </w:r>
          </w:p>
        </w:tc>
        <w:tc>
          <w:tcPr>
            <w:tcW w:w="6004" w:type="dxa"/>
          </w:tcPr>
          <w:p w14:paraId="1F799595">
            <w:pPr>
              <w:pStyle w:val="12"/>
              <w:ind w:firstLine="0" w:firstLineChars="0"/>
              <w:rPr>
                <w:rFonts w:ascii="仿宋_GB2312" w:hAnsi="宋体" w:eastAsia="仿宋_GB2312"/>
                <w:color w:val="000000"/>
                <w:kern w:val="0"/>
                <w:lang w:bidi="en-US"/>
              </w:rPr>
            </w:pPr>
            <w:r>
              <w:rPr>
                <w:rFonts w:hint="eastAsia" w:ascii="仿宋_GB2312" w:eastAsia="仿宋_GB2312"/>
                <w:kern w:val="0"/>
                <w:lang w:bidi="en-US"/>
              </w:rPr>
              <w:t>应价方交易员代码，自动显示，无需输入</w:t>
            </w:r>
          </w:p>
        </w:tc>
      </w:tr>
      <w:tr w14:paraId="0172C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14:paraId="3135A4CF">
            <w:pPr>
              <w:pStyle w:val="12"/>
              <w:ind w:firstLine="0" w:firstLineChars="0"/>
              <w:rPr>
                <w:rFonts w:ascii="仿宋_GB2312" w:hAnsi="宋体" w:eastAsia="仿宋_GB2312"/>
                <w:b/>
                <w:color w:val="000000"/>
                <w:kern w:val="0"/>
                <w:lang w:eastAsia="en-US" w:bidi="en-US"/>
              </w:rPr>
            </w:pPr>
            <w:r>
              <w:rPr>
                <w:rFonts w:hint="eastAsia" w:ascii="仿宋_GB2312" w:eastAsia="仿宋_GB2312"/>
                <w:b/>
                <w:kern w:val="0"/>
                <w:lang w:eastAsia="en-US" w:bidi="en-US"/>
              </w:rPr>
              <w:t>交易员名称</w:t>
            </w:r>
          </w:p>
        </w:tc>
        <w:tc>
          <w:tcPr>
            <w:tcW w:w="6004" w:type="dxa"/>
          </w:tcPr>
          <w:p w14:paraId="41BCF6D9">
            <w:pPr>
              <w:pStyle w:val="12"/>
              <w:ind w:firstLine="0" w:firstLineChars="0"/>
              <w:rPr>
                <w:rFonts w:ascii="仿宋_GB2312" w:hAnsi="宋体" w:eastAsia="仿宋_GB2312"/>
                <w:color w:val="000000"/>
                <w:kern w:val="0"/>
                <w:lang w:bidi="en-US"/>
              </w:rPr>
            </w:pPr>
            <w:r>
              <w:rPr>
                <w:rFonts w:hint="eastAsia" w:ascii="仿宋_GB2312" w:eastAsia="仿宋_GB2312"/>
                <w:kern w:val="0"/>
                <w:lang w:bidi="en-US"/>
              </w:rPr>
              <w:t>应价方交易员名称，自动显示，无需输入</w:t>
            </w:r>
          </w:p>
        </w:tc>
      </w:tr>
      <w:tr w14:paraId="68ABA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14:paraId="59B225CA">
            <w:pPr>
              <w:pStyle w:val="12"/>
              <w:ind w:firstLine="0" w:firstLineChars="0"/>
              <w:rPr>
                <w:rFonts w:ascii="仿宋_GB2312" w:hAnsi="宋体" w:eastAsia="仿宋_GB2312"/>
                <w:b/>
                <w:color w:val="000000"/>
                <w:kern w:val="0"/>
                <w:lang w:eastAsia="en-US" w:bidi="en-US"/>
              </w:rPr>
            </w:pPr>
            <w:r>
              <w:rPr>
                <w:rFonts w:hint="eastAsia" w:ascii="仿宋_GB2312" w:hAnsi="宋体" w:eastAsia="仿宋_GB2312"/>
                <w:b/>
                <w:color w:val="000000"/>
                <w:kern w:val="0"/>
                <w:lang w:eastAsia="en-US" w:bidi="en-US"/>
              </w:rPr>
              <w:t>卖方</w:t>
            </w:r>
            <w:r>
              <w:rPr>
                <w:rFonts w:hint="eastAsia" w:ascii="仿宋_GB2312" w:eastAsia="仿宋_GB2312"/>
                <w:b/>
                <w:kern w:val="0"/>
                <w:lang w:eastAsia="en-US" w:bidi="en-US"/>
              </w:rPr>
              <w:t>证券账号</w:t>
            </w:r>
          </w:p>
        </w:tc>
        <w:tc>
          <w:tcPr>
            <w:tcW w:w="6004" w:type="dxa"/>
          </w:tcPr>
          <w:p w14:paraId="3DFCA539">
            <w:pPr>
              <w:pStyle w:val="12"/>
              <w:ind w:firstLine="0" w:firstLineChars="0"/>
              <w:rPr>
                <w:rFonts w:ascii="仿宋_GB2312" w:hAnsi="宋体" w:eastAsia="仿宋_GB2312"/>
                <w:color w:val="000000"/>
                <w:kern w:val="0"/>
                <w:lang w:bidi="en-US"/>
              </w:rPr>
            </w:pPr>
            <w:r>
              <w:rPr>
                <w:rFonts w:hint="eastAsia" w:ascii="仿宋_GB2312" w:eastAsia="仿宋_GB2312"/>
                <w:kern w:val="0"/>
                <w:lang w:bidi="en-US"/>
              </w:rPr>
              <w:t>卖方的证券账户号码，无需输入</w:t>
            </w:r>
          </w:p>
        </w:tc>
      </w:tr>
      <w:tr w14:paraId="28B08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268" w:type="dxa"/>
          </w:tcPr>
          <w:p w14:paraId="1D9E8B0A">
            <w:pPr>
              <w:pStyle w:val="12"/>
              <w:ind w:firstLine="0" w:firstLineChars="0"/>
              <w:rPr>
                <w:rFonts w:ascii="仿宋_GB2312" w:hAnsi="宋体" w:eastAsia="仿宋_GB2312"/>
                <w:b/>
                <w:color w:val="000000"/>
                <w:kern w:val="0"/>
                <w:lang w:eastAsia="en-US" w:bidi="en-US"/>
              </w:rPr>
            </w:pPr>
            <w:r>
              <w:rPr>
                <w:rFonts w:hint="eastAsia" w:ascii="仿宋_GB2312" w:hAnsi="宋体" w:eastAsia="仿宋_GB2312"/>
                <w:b/>
                <w:color w:val="000000"/>
                <w:kern w:val="0"/>
                <w:lang w:eastAsia="en-US" w:bidi="en-US"/>
              </w:rPr>
              <w:t>卖方</w:t>
            </w:r>
            <w:r>
              <w:rPr>
                <w:rFonts w:hint="eastAsia" w:ascii="仿宋_GB2312" w:eastAsia="仿宋_GB2312"/>
                <w:b/>
                <w:kern w:val="0"/>
                <w:lang w:eastAsia="en-US" w:bidi="en-US"/>
              </w:rPr>
              <w:t>证券账户名称</w:t>
            </w:r>
          </w:p>
        </w:tc>
        <w:tc>
          <w:tcPr>
            <w:tcW w:w="6004" w:type="dxa"/>
          </w:tcPr>
          <w:p w14:paraId="18E3E112">
            <w:pPr>
              <w:pStyle w:val="12"/>
              <w:ind w:firstLine="0" w:firstLineChars="0"/>
              <w:rPr>
                <w:rFonts w:ascii="仿宋_GB2312" w:hAnsi="宋体" w:eastAsia="仿宋_GB2312"/>
                <w:color w:val="000000"/>
                <w:kern w:val="0"/>
                <w:lang w:bidi="en-US"/>
              </w:rPr>
            </w:pPr>
            <w:r>
              <w:rPr>
                <w:rFonts w:hint="eastAsia" w:ascii="仿宋_GB2312" w:eastAsia="仿宋_GB2312"/>
                <w:kern w:val="0"/>
                <w:lang w:bidi="en-US"/>
              </w:rPr>
              <w:t>卖方的证券账户名称，无需输入</w:t>
            </w:r>
          </w:p>
        </w:tc>
      </w:tr>
      <w:tr w14:paraId="72F6C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14:paraId="6A999FB4">
            <w:pPr>
              <w:pStyle w:val="12"/>
              <w:ind w:firstLine="0" w:firstLineChars="0"/>
              <w:rPr>
                <w:rFonts w:ascii="仿宋_GB2312" w:hAnsi="宋体" w:eastAsia="仿宋_GB2312"/>
                <w:b/>
                <w:color w:val="000000"/>
                <w:kern w:val="0"/>
                <w:lang w:eastAsia="en-US" w:bidi="en-US"/>
              </w:rPr>
            </w:pPr>
            <w:r>
              <w:rPr>
                <w:rFonts w:hint="eastAsia" w:ascii="仿宋_GB2312" w:hAnsi="宋体" w:eastAsia="仿宋_GB2312"/>
                <w:b/>
                <w:color w:val="000000"/>
                <w:kern w:val="0"/>
                <w:lang w:eastAsia="en-US" w:bidi="en-US"/>
              </w:rPr>
              <w:t>卖方</w:t>
            </w:r>
            <w:r>
              <w:rPr>
                <w:rFonts w:hint="eastAsia" w:ascii="仿宋_GB2312" w:eastAsia="仿宋_GB2312"/>
                <w:b/>
                <w:kern w:val="0"/>
                <w:lang w:eastAsia="en-US" w:bidi="en-US"/>
              </w:rPr>
              <w:t>交易参与人</w:t>
            </w:r>
          </w:p>
        </w:tc>
        <w:tc>
          <w:tcPr>
            <w:tcW w:w="6004" w:type="dxa"/>
          </w:tcPr>
          <w:p w14:paraId="5B31B797">
            <w:pPr>
              <w:pStyle w:val="12"/>
              <w:ind w:firstLine="0" w:firstLineChars="0"/>
              <w:rPr>
                <w:rFonts w:ascii="仿宋_GB2312" w:hAnsi="宋体" w:eastAsia="仿宋_GB2312"/>
                <w:color w:val="000000"/>
                <w:kern w:val="0"/>
                <w:lang w:bidi="en-US"/>
              </w:rPr>
            </w:pPr>
            <w:r>
              <w:rPr>
                <w:rFonts w:hint="eastAsia" w:ascii="仿宋_GB2312" w:eastAsia="仿宋_GB2312"/>
                <w:kern w:val="0"/>
                <w:lang w:bidi="en-US"/>
              </w:rPr>
              <w:t>卖方交易参与人简称，自动显示，无需输入</w:t>
            </w:r>
          </w:p>
        </w:tc>
      </w:tr>
      <w:tr w14:paraId="36948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14:paraId="68184F00">
            <w:pPr>
              <w:pStyle w:val="12"/>
              <w:ind w:firstLine="0" w:firstLineChars="0"/>
              <w:rPr>
                <w:rFonts w:ascii="仿宋_GB2312" w:hAnsi="宋体" w:eastAsia="仿宋_GB2312"/>
                <w:b/>
                <w:color w:val="000000"/>
                <w:kern w:val="0"/>
                <w:lang w:eastAsia="en-US" w:bidi="en-US"/>
              </w:rPr>
            </w:pPr>
            <w:r>
              <w:rPr>
                <w:rFonts w:hint="eastAsia" w:ascii="仿宋_GB2312" w:hAnsi="宋体" w:eastAsia="仿宋_GB2312"/>
                <w:b/>
                <w:color w:val="000000"/>
                <w:kern w:val="0"/>
                <w:lang w:eastAsia="en-US" w:bidi="en-US"/>
              </w:rPr>
              <w:t>交易方式</w:t>
            </w:r>
          </w:p>
        </w:tc>
        <w:tc>
          <w:tcPr>
            <w:tcW w:w="6004" w:type="dxa"/>
          </w:tcPr>
          <w:p w14:paraId="673514A9">
            <w:pPr>
              <w:pStyle w:val="12"/>
              <w:ind w:firstLine="0" w:firstLineChars="0"/>
              <w:rPr>
                <w:rFonts w:ascii="仿宋_GB2312" w:hAnsi="宋体" w:eastAsia="仿宋_GB2312"/>
                <w:color w:val="000000"/>
                <w:kern w:val="0"/>
                <w:lang w:eastAsia="en-US" w:bidi="en-US"/>
              </w:rPr>
            </w:pPr>
            <w:r>
              <w:rPr>
                <w:rFonts w:hint="eastAsia" w:ascii="仿宋_GB2312" w:hAnsi="宋体" w:eastAsia="仿宋_GB2312"/>
                <w:color w:val="000000"/>
                <w:kern w:val="0"/>
                <w:lang w:eastAsia="en-US" w:bidi="en-US"/>
              </w:rPr>
              <w:t>竞买成交</w:t>
            </w:r>
          </w:p>
        </w:tc>
      </w:tr>
    </w:tbl>
    <w:p w14:paraId="718CAF24">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采用单一主体中标方式的，应价申报包含交易品种、价格、应价方证券账户等信息。其中，应价申报价格应处于卖方明确的价格区间内，不得低于底价，否则视作无效应价申报。</w:t>
      </w:r>
    </w:p>
    <w:p w14:paraId="792FE0A5">
      <w:pPr>
        <w:spacing w:line="600" w:lineRule="exact"/>
        <w:ind w:firstLine="600" w:firstLineChars="200"/>
        <w:outlineLvl w:val="3"/>
        <w:rPr>
          <w:rFonts w:ascii="仿宋_GB2312" w:hAnsi="仿宋" w:eastAsia="仿宋_GB2312"/>
          <w:sz w:val="30"/>
          <w:szCs w:val="30"/>
        </w:rPr>
      </w:pPr>
      <w:r>
        <w:rPr>
          <w:rFonts w:hint="eastAsia" w:ascii="仿宋_GB2312" w:hAnsi="仿宋" w:eastAsia="仿宋_GB2312"/>
          <w:sz w:val="30"/>
          <w:szCs w:val="30"/>
        </w:rPr>
        <w:t>（3）应价申报撤销</w:t>
      </w:r>
    </w:p>
    <w:p w14:paraId="1422BD54">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采用单一主体中标方式的，应价申报不可撤销。</w:t>
      </w:r>
    </w:p>
    <w:p w14:paraId="0AB84308">
      <w:pPr>
        <w:numPr>
          <w:ilvl w:val="2"/>
          <w:numId w:val="4"/>
        </w:numPr>
        <w:spacing w:line="600" w:lineRule="exact"/>
        <w:ind w:left="0" w:firstLine="0"/>
        <w:outlineLvl w:val="2"/>
        <w:rPr>
          <w:rFonts w:ascii="仿宋_GB2312" w:eastAsia="仿宋_GB2312"/>
          <w:b/>
          <w:sz w:val="30"/>
          <w:szCs w:val="30"/>
        </w:rPr>
      </w:pPr>
      <w:bookmarkStart w:id="499" w:name="_Toc57908910"/>
      <w:r>
        <w:rPr>
          <w:rFonts w:hint="eastAsia" w:ascii="仿宋_GB2312" w:eastAsia="仿宋_GB2312"/>
          <w:b/>
          <w:sz w:val="30"/>
          <w:szCs w:val="30"/>
        </w:rPr>
        <w:t>成交</w:t>
      </w:r>
      <w:bookmarkEnd w:id="499"/>
    </w:p>
    <w:p w14:paraId="22B2FFE8">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在竞买时间截止后（竞买日11:30后），系统按竞买方式对应的成交规则计算成交价格和成交数量，生成成交信息。对于采用净额结算方式结算的，若交易对手方选择“匿名提交”，则成交信息不含交易对手方信息；反之，则显示交易对手方信息。对于采用逐笔全额结算方式的，成交信息包含交易双方信息。</w:t>
      </w:r>
    </w:p>
    <w:p w14:paraId="275BF9CD">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采用单一主体中标方式的，</w:t>
      </w:r>
      <w:r>
        <w:rPr>
          <w:rFonts w:hint="eastAsia" w:ascii="仿宋_GB2312" w:eastAsia="仿宋_GB2312"/>
          <w:color w:val="000000"/>
          <w:sz w:val="30"/>
          <w:szCs w:val="30"/>
        </w:rPr>
        <w:t>由最优出价的应价方按照其应价价格、该笔竞买的全部申报数量成交</w:t>
      </w:r>
      <w:r>
        <w:rPr>
          <w:rFonts w:hint="eastAsia" w:ascii="仿宋_GB2312" w:hAnsi="仿宋" w:eastAsia="仿宋_GB2312"/>
          <w:sz w:val="30"/>
          <w:szCs w:val="30"/>
        </w:rPr>
        <w:t>。若最优出价存在多笔应价申报的，按时间优先原则成交。</w:t>
      </w:r>
      <w:r>
        <w:rPr>
          <w:rFonts w:ascii="仿宋_GB2312" w:hAnsi="仿宋" w:eastAsia="仿宋_GB2312"/>
          <w:sz w:val="30"/>
          <w:szCs w:val="30"/>
        </w:rPr>
        <w:t>多主体中标</w:t>
      </w:r>
      <w:r>
        <w:rPr>
          <w:rFonts w:hint="eastAsia" w:ascii="仿宋_GB2312" w:hAnsi="仿宋" w:eastAsia="仿宋_GB2312"/>
          <w:sz w:val="30"/>
          <w:szCs w:val="30"/>
        </w:rPr>
        <w:t>方式因</w:t>
      </w:r>
      <w:r>
        <w:rPr>
          <w:rFonts w:ascii="仿宋_GB2312" w:hAnsi="仿宋" w:eastAsia="仿宋_GB2312"/>
          <w:sz w:val="30"/>
          <w:szCs w:val="30"/>
        </w:rPr>
        <w:t>暂缓实施</w:t>
      </w:r>
      <w:r>
        <w:rPr>
          <w:rFonts w:hint="eastAsia" w:ascii="仿宋_GB2312" w:hAnsi="仿宋" w:eastAsia="仿宋_GB2312"/>
          <w:sz w:val="30"/>
          <w:szCs w:val="30"/>
        </w:rPr>
        <w:t>不再赘述。</w:t>
      </w:r>
    </w:p>
    <w:p w14:paraId="068A5F24">
      <w:pPr>
        <w:numPr>
          <w:ilvl w:val="2"/>
          <w:numId w:val="4"/>
        </w:numPr>
        <w:spacing w:line="600" w:lineRule="exact"/>
        <w:ind w:left="0" w:firstLine="0"/>
        <w:outlineLvl w:val="2"/>
        <w:rPr>
          <w:rFonts w:ascii="仿宋_GB2312" w:eastAsia="仿宋_GB2312"/>
          <w:b/>
          <w:sz w:val="30"/>
          <w:szCs w:val="30"/>
        </w:rPr>
      </w:pPr>
      <w:bookmarkStart w:id="500" w:name="_Toc57908911"/>
      <w:r>
        <w:rPr>
          <w:rFonts w:hint="eastAsia" w:ascii="仿宋_GB2312" w:eastAsia="仿宋_GB2312"/>
          <w:b/>
          <w:sz w:val="30"/>
          <w:szCs w:val="30"/>
        </w:rPr>
        <w:t>竞买结果</w:t>
      </w:r>
      <w:bookmarkEnd w:id="500"/>
    </w:p>
    <w:p w14:paraId="46C79AE7">
      <w:pPr>
        <w:spacing w:line="600" w:lineRule="exact"/>
        <w:ind w:firstLine="600" w:firstLineChars="200"/>
        <w:outlineLvl w:val="3"/>
        <w:rPr>
          <w:rFonts w:ascii="仿宋_GB2312" w:eastAsia="仿宋_GB2312"/>
          <w:sz w:val="30"/>
          <w:szCs w:val="30"/>
        </w:rPr>
      </w:pPr>
      <w:r>
        <w:rPr>
          <w:rFonts w:hint="eastAsia" w:ascii="仿宋_GB2312" w:hAnsi="仿宋" w:eastAsia="仿宋_GB2312"/>
          <w:sz w:val="30"/>
          <w:szCs w:val="30"/>
        </w:rPr>
        <w:t>（1）成交数据发送</w:t>
      </w:r>
    </w:p>
    <w:p w14:paraId="6757BA53">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成交后，系统将逐笔成交数据分别发送给交易对应的买卖双方，债券投资者仅能收到与自己相关的成交数据。</w:t>
      </w:r>
    </w:p>
    <w:p w14:paraId="6EB1D72C">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成交数据</w:t>
      </w:r>
      <w:r>
        <w:rPr>
          <w:rFonts w:hint="eastAsia" w:ascii="仿宋_GB2312" w:eastAsia="仿宋_GB2312"/>
          <w:color w:val="000000"/>
          <w:sz w:val="30"/>
          <w:szCs w:val="30"/>
        </w:rPr>
        <w:t>具体要素及要素说明</w:t>
      </w:r>
      <w:r>
        <w:rPr>
          <w:rFonts w:hint="eastAsia" w:ascii="仿宋_GB2312" w:hAnsi="仿宋" w:eastAsia="仿宋_GB2312"/>
          <w:sz w:val="30"/>
          <w:szCs w:val="30"/>
        </w:rPr>
        <w:t>如下：</w:t>
      </w:r>
    </w:p>
    <w:tbl>
      <w:tblPr>
        <w:tblStyle w:val="43"/>
        <w:tblW w:w="0" w:type="auto"/>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7"/>
        <w:gridCol w:w="6571"/>
      </w:tblGrid>
      <w:tr w14:paraId="2C385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2CF442F5">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要素名称</w:t>
            </w:r>
          </w:p>
        </w:tc>
        <w:tc>
          <w:tcPr>
            <w:tcW w:w="6571" w:type="dxa"/>
          </w:tcPr>
          <w:p w14:paraId="1A414BD0">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要素说明</w:t>
            </w:r>
          </w:p>
        </w:tc>
      </w:tr>
      <w:tr w14:paraId="50BA5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4DAEFA84">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成交编号</w:t>
            </w:r>
          </w:p>
        </w:tc>
        <w:tc>
          <w:tcPr>
            <w:tcW w:w="6571" w:type="dxa"/>
          </w:tcPr>
          <w:p w14:paraId="2657A321">
            <w:pPr>
              <w:pStyle w:val="12"/>
              <w:ind w:firstLine="0" w:firstLineChars="0"/>
              <w:rPr>
                <w:rFonts w:ascii="仿宋_GB2312" w:eastAsia="仿宋_GB2312"/>
                <w:kern w:val="0"/>
                <w:lang w:bidi="en-US"/>
              </w:rPr>
            </w:pPr>
            <w:r>
              <w:rPr>
                <w:rFonts w:hint="eastAsia" w:ascii="仿宋_GB2312" w:eastAsia="仿宋_GB2312"/>
                <w:kern w:val="0"/>
                <w:lang w:bidi="en-US"/>
              </w:rPr>
              <w:t>系统给成交单分配的唯一标识</w:t>
            </w:r>
          </w:p>
        </w:tc>
      </w:tr>
      <w:tr w14:paraId="55B40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2B02FE4A">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业务类型</w:t>
            </w:r>
          </w:p>
        </w:tc>
        <w:tc>
          <w:tcPr>
            <w:tcW w:w="6571" w:type="dxa"/>
          </w:tcPr>
          <w:p w14:paraId="21CD3A5C">
            <w:pPr>
              <w:pStyle w:val="12"/>
              <w:ind w:firstLine="0" w:firstLineChars="0"/>
              <w:rPr>
                <w:rFonts w:ascii="仿宋_GB2312" w:eastAsia="仿宋_GB2312"/>
                <w:kern w:val="0"/>
                <w:lang w:bidi="en-US"/>
              </w:rPr>
            </w:pPr>
            <w:r>
              <w:rPr>
                <w:rFonts w:hint="eastAsia" w:ascii="仿宋_GB2312" w:eastAsia="仿宋_GB2312"/>
                <w:kern w:val="0"/>
                <w:lang w:bidi="en-US"/>
              </w:rPr>
              <w:t>单一主体中标</w:t>
            </w:r>
          </w:p>
        </w:tc>
      </w:tr>
      <w:tr w14:paraId="23AE5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27" w:type="dxa"/>
          </w:tcPr>
          <w:p w14:paraId="60B4D22B">
            <w:pPr>
              <w:pStyle w:val="12"/>
              <w:ind w:firstLine="0" w:firstLineChars="0"/>
              <w:rPr>
                <w:rFonts w:ascii="仿宋_GB2312" w:eastAsia="仿宋_GB2312"/>
                <w:b/>
                <w:kern w:val="0"/>
                <w:lang w:bidi="en-US"/>
              </w:rPr>
            </w:pPr>
            <w:r>
              <w:rPr>
                <w:rFonts w:hint="eastAsia" w:ascii="仿宋_GB2312" w:eastAsia="仿宋_GB2312"/>
                <w:b/>
                <w:kern w:val="0"/>
                <w:lang w:bidi="en-US"/>
              </w:rPr>
              <w:t>交易品种</w:t>
            </w:r>
          </w:p>
        </w:tc>
        <w:tc>
          <w:tcPr>
            <w:tcW w:w="6571" w:type="dxa"/>
          </w:tcPr>
          <w:p w14:paraId="77538734">
            <w:pPr>
              <w:pStyle w:val="12"/>
              <w:ind w:firstLine="0" w:firstLineChars="0"/>
              <w:rPr>
                <w:rFonts w:ascii="仿宋_GB2312" w:eastAsia="仿宋_GB2312"/>
                <w:kern w:val="0"/>
                <w:lang w:bidi="en-US"/>
              </w:rPr>
            </w:pPr>
            <w:r>
              <w:rPr>
                <w:rFonts w:hint="eastAsia" w:ascii="仿宋_GB2312" w:hAnsi="宋体" w:eastAsia="仿宋_GB2312"/>
                <w:kern w:val="0"/>
                <w:lang w:bidi="en-US"/>
              </w:rPr>
              <w:t>交易品种的名称或证券代码，同申报订单</w:t>
            </w:r>
          </w:p>
        </w:tc>
      </w:tr>
      <w:tr w14:paraId="078DC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78AA34C5">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证券简称</w:t>
            </w:r>
          </w:p>
        </w:tc>
        <w:tc>
          <w:tcPr>
            <w:tcW w:w="6571" w:type="dxa"/>
          </w:tcPr>
          <w:p w14:paraId="18D3AD54">
            <w:pPr>
              <w:pStyle w:val="12"/>
              <w:ind w:firstLine="0" w:firstLineChars="0"/>
              <w:rPr>
                <w:rFonts w:ascii="仿宋_GB2312" w:hAnsi="宋体" w:eastAsia="仿宋_GB2312"/>
                <w:b/>
                <w:kern w:val="0"/>
                <w:lang w:bidi="en-US"/>
              </w:rPr>
            </w:pPr>
            <w:r>
              <w:rPr>
                <w:rFonts w:hint="eastAsia" w:ascii="仿宋_GB2312" w:hAnsi="宋体" w:eastAsia="仿宋_GB2312"/>
                <w:kern w:val="0"/>
                <w:lang w:bidi="en-US"/>
              </w:rPr>
              <w:t>即上交所证券简称，有证券代码的交易品种，简称根据证券代码自动显示</w:t>
            </w:r>
          </w:p>
        </w:tc>
      </w:tr>
      <w:tr w14:paraId="47EFB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0EA973D5">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成交日期时间</w:t>
            </w:r>
          </w:p>
        </w:tc>
        <w:tc>
          <w:tcPr>
            <w:tcW w:w="6571" w:type="dxa"/>
          </w:tcPr>
          <w:p w14:paraId="3F055856">
            <w:pPr>
              <w:pStyle w:val="12"/>
              <w:ind w:firstLine="0" w:firstLineChars="0"/>
              <w:rPr>
                <w:rFonts w:ascii="仿宋_GB2312" w:eastAsia="仿宋_GB2312"/>
                <w:kern w:val="0"/>
                <w:lang w:bidi="en-US"/>
              </w:rPr>
            </w:pPr>
            <w:r>
              <w:rPr>
                <w:rFonts w:hint="eastAsia" w:ascii="仿宋_GB2312" w:eastAsia="仿宋_GB2312"/>
                <w:kern w:val="0"/>
                <w:lang w:bidi="en-US"/>
              </w:rPr>
              <w:t>交易成交的日期（年月日）及时间（时分秒）</w:t>
            </w:r>
          </w:p>
        </w:tc>
      </w:tr>
      <w:tr w14:paraId="010B7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48FC460F">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交易方向</w:t>
            </w:r>
          </w:p>
        </w:tc>
        <w:tc>
          <w:tcPr>
            <w:tcW w:w="6571" w:type="dxa"/>
          </w:tcPr>
          <w:p w14:paraId="400FA697">
            <w:pPr>
              <w:pStyle w:val="12"/>
              <w:ind w:firstLine="0" w:firstLineChars="0"/>
              <w:rPr>
                <w:rFonts w:ascii="仿宋_GB2312" w:eastAsia="仿宋_GB2312"/>
                <w:kern w:val="0"/>
                <w:lang w:bidi="en-US"/>
              </w:rPr>
            </w:pPr>
            <w:r>
              <w:rPr>
                <w:rFonts w:hint="eastAsia" w:ascii="仿宋_GB2312" w:eastAsia="仿宋_GB2312"/>
                <w:kern w:val="0"/>
                <w:lang w:bidi="en-US"/>
              </w:rPr>
              <w:t>交易的买卖方向，即买入/卖出</w:t>
            </w:r>
            <w:r>
              <w:rPr>
                <w:rFonts w:hint="eastAsia" w:ascii="仿宋_GB2312" w:hAnsi="宋体" w:eastAsia="仿宋_GB2312"/>
                <w:kern w:val="0"/>
                <w:lang w:bidi="en-US"/>
              </w:rPr>
              <w:t>，同申报订单</w:t>
            </w:r>
          </w:p>
        </w:tc>
      </w:tr>
      <w:tr w14:paraId="14964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27" w:type="dxa"/>
          </w:tcPr>
          <w:p w14:paraId="76D2E39F">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成交价格</w:t>
            </w:r>
          </w:p>
        </w:tc>
        <w:tc>
          <w:tcPr>
            <w:tcW w:w="6571" w:type="dxa"/>
          </w:tcPr>
          <w:p w14:paraId="27086F9E">
            <w:pPr>
              <w:pStyle w:val="12"/>
              <w:ind w:firstLine="0" w:firstLineChars="0"/>
              <w:rPr>
                <w:rFonts w:ascii="仿宋_GB2312" w:eastAsia="仿宋_GB2312"/>
                <w:kern w:val="0"/>
                <w:lang w:bidi="en-US"/>
              </w:rPr>
            </w:pPr>
            <w:r>
              <w:rPr>
                <w:rFonts w:hint="eastAsia" w:ascii="仿宋_GB2312" w:eastAsia="仿宋_GB2312"/>
                <w:kern w:val="0"/>
                <w:lang w:bidi="en-US"/>
              </w:rPr>
              <w:t>成交的价格，单位：元</w:t>
            </w:r>
          </w:p>
        </w:tc>
      </w:tr>
      <w:tr w14:paraId="60831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4B772C4E">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成交数量</w:t>
            </w:r>
          </w:p>
        </w:tc>
        <w:tc>
          <w:tcPr>
            <w:tcW w:w="6571" w:type="dxa"/>
          </w:tcPr>
          <w:p w14:paraId="2BF5C056">
            <w:pPr>
              <w:pStyle w:val="12"/>
              <w:ind w:firstLine="0" w:firstLineChars="0"/>
              <w:rPr>
                <w:rFonts w:ascii="仿宋_GB2312" w:eastAsia="仿宋_GB2312"/>
                <w:kern w:val="0"/>
                <w:lang w:bidi="en-US"/>
              </w:rPr>
            </w:pPr>
            <w:r>
              <w:rPr>
                <w:rFonts w:hint="eastAsia" w:ascii="仿宋_GB2312" w:eastAsia="仿宋_GB2312"/>
                <w:kern w:val="0"/>
                <w:lang w:bidi="en-US"/>
              </w:rPr>
              <w:t>成交的数量，单位：千元面额，</w:t>
            </w:r>
          </w:p>
        </w:tc>
      </w:tr>
      <w:tr w14:paraId="372AA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55683D6E">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成交金额</w:t>
            </w:r>
          </w:p>
        </w:tc>
        <w:tc>
          <w:tcPr>
            <w:tcW w:w="6571" w:type="dxa"/>
          </w:tcPr>
          <w:p w14:paraId="622F8CB9">
            <w:pPr>
              <w:pStyle w:val="12"/>
              <w:ind w:firstLine="0" w:firstLineChars="0"/>
              <w:rPr>
                <w:rFonts w:ascii="仿宋_GB2312" w:eastAsia="仿宋_GB2312"/>
                <w:kern w:val="0"/>
                <w:lang w:bidi="en-US"/>
              </w:rPr>
            </w:pPr>
            <w:r>
              <w:rPr>
                <w:rFonts w:hint="eastAsia" w:ascii="仿宋_GB2312" w:eastAsia="仿宋_GB2312"/>
                <w:kern w:val="0"/>
                <w:lang w:bidi="en-US"/>
              </w:rPr>
              <w:t>根据成交数量、成交价格计算：</w:t>
            </w:r>
          </w:p>
          <w:p w14:paraId="20398D02">
            <w:pPr>
              <w:pStyle w:val="12"/>
              <w:ind w:firstLine="0" w:firstLineChars="0"/>
              <w:rPr>
                <w:rFonts w:ascii="仿宋_GB2312" w:eastAsia="仿宋_GB2312"/>
                <w:kern w:val="0"/>
                <w:lang w:bidi="en-US"/>
              </w:rPr>
            </w:pPr>
            <w:r>
              <w:rPr>
                <w:rFonts w:ascii="仿宋_GB2312" w:hAnsi="宋体" w:eastAsia="仿宋_GB2312"/>
                <w:kern w:val="0"/>
                <w:szCs w:val="21"/>
                <w:lang w:bidi="en-US"/>
              </w:rPr>
              <w:t>成交数量</w:t>
            </w:r>
            <w:r>
              <w:rPr>
                <w:rFonts w:hint="eastAsia" w:ascii="仿宋_GB2312" w:hAnsi="宋体" w:eastAsia="仿宋_GB2312"/>
                <w:kern w:val="0"/>
                <w:szCs w:val="21"/>
                <w:lang w:bidi="en-US"/>
              </w:rPr>
              <w:t>（千</w:t>
            </w:r>
            <w:r>
              <w:rPr>
                <w:rFonts w:ascii="仿宋_GB2312" w:hAnsi="宋体" w:eastAsia="仿宋_GB2312"/>
                <w:kern w:val="0"/>
                <w:szCs w:val="21"/>
                <w:lang w:bidi="en-US"/>
              </w:rPr>
              <w:t>元面额</w:t>
            </w:r>
            <w:r>
              <w:rPr>
                <w:rFonts w:hint="eastAsia" w:ascii="仿宋_GB2312" w:hAnsi="宋体" w:eastAsia="仿宋_GB2312"/>
                <w:kern w:val="0"/>
                <w:szCs w:val="21"/>
                <w:lang w:bidi="en-US"/>
              </w:rPr>
              <w:t>）</w:t>
            </w:r>
            <w:r>
              <w:rPr>
                <w:rFonts w:ascii="仿宋_GB2312" w:hAnsi="宋体" w:eastAsia="仿宋_GB2312"/>
                <w:kern w:val="0"/>
                <w:szCs w:val="21"/>
                <w:lang w:bidi="en-US"/>
              </w:rPr>
              <w:t>/100*成交价格</w:t>
            </w:r>
          </w:p>
        </w:tc>
      </w:tr>
      <w:tr w14:paraId="6D518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0205D914">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结算方式</w:t>
            </w:r>
          </w:p>
        </w:tc>
        <w:tc>
          <w:tcPr>
            <w:tcW w:w="6571" w:type="dxa"/>
          </w:tcPr>
          <w:p w14:paraId="70178204">
            <w:pPr>
              <w:pStyle w:val="12"/>
              <w:ind w:firstLine="0" w:firstLineChars="0"/>
              <w:rPr>
                <w:rFonts w:ascii="仿宋_GB2312" w:eastAsia="仿宋_GB2312"/>
                <w:kern w:val="0"/>
                <w:lang w:eastAsia="en-US" w:bidi="en-US"/>
              </w:rPr>
            </w:pPr>
            <w:r>
              <w:rPr>
                <w:rFonts w:hint="eastAsia" w:ascii="仿宋_GB2312" w:eastAsia="仿宋_GB2312"/>
                <w:kern w:val="0"/>
                <w:lang w:eastAsia="en-US" w:bidi="en-US"/>
              </w:rPr>
              <w:t>结算方式</w:t>
            </w:r>
          </w:p>
        </w:tc>
      </w:tr>
      <w:tr w14:paraId="56CCB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27" w:type="dxa"/>
          </w:tcPr>
          <w:p w14:paraId="184437A8">
            <w:pPr>
              <w:pStyle w:val="12"/>
              <w:ind w:firstLine="0" w:firstLineChars="0"/>
              <w:rPr>
                <w:rFonts w:ascii="仿宋_GB2312" w:eastAsia="仿宋_GB2312"/>
                <w:b/>
                <w:kern w:val="0"/>
                <w:lang w:bidi="en-US"/>
              </w:rPr>
            </w:pPr>
            <w:r>
              <w:rPr>
                <w:rFonts w:hint="eastAsia" w:ascii="仿宋_GB2312" w:eastAsia="仿宋_GB2312"/>
                <w:b/>
                <w:kern w:val="0"/>
                <w:lang w:eastAsia="en-US" w:bidi="en-US"/>
              </w:rPr>
              <w:t>结算</w:t>
            </w:r>
            <w:r>
              <w:rPr>
                <w:rFonts w:hint="eastAsia" w:ascii="仿宋_GB2312" w:eastAsia="仿宋_GB2312"/>
                <w:b/>
                <w:kern w:val="0"/>
                <w:lang w:bidi="en-US"/>
              </w:rPr>
              <w:t>周期</w:t>
            </w:r>
          </w:p>
        </w:tc>
        <w:tc>
          <w:tcPr>
            <w:tcW w:w="6571" w:type="dxa"/>
          </w:tcPr>
          <w:p w14:paraId="102A1623">
            <w:pPr>
              <w:pStyle w:val="12"/>
              <w:ind w:firstLine="0" w:firstLineChars="0"/>
              <w:rPr>
                <w:rFonts w:ascii="仿宋_GB2312" w:eastAsia="仿宋_GB2312"/>
                <w:kern w:val="0"/>
                <w:lang w:eastAsia="en-US" w:bidi="en-US"/>
              </w:rPr>
            </w:pPr>
            <w:r>
              <w:rPr>
                <w:rFonts w:hint="eastAsia" w:ascii="仿宋_GB2312" w:eastAsia="仿宋_GB2312"/>
                <w:kern w:val="0"/>
                <w:lang w:eastAsia="en-US" w:bidi="en-US"/>
              </w:rPr>
              <w:t>结算</w:t>
            </w:r>
            <w:r>
              <w:rPr>
                <w:rFonts w:hint="eastAsia" w:ascii="仿宋_GB2312" w:eastAsia="仿宋_GB2312"/>
                <w:kern w:val="0"/>
                <w:lang w:bidi="en-US"/>
              </w:rPr>
              <w:t>周期</w:t>
            </w:r>
          </w:p>
        </w:tc>
      </w:tr>
      <w:tr w14:paraId="5BFBA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0EF19FE4">
            <w:pPr>
              <w:pStyle w:val="12"/>
              <w:ind w:firstLine="0" w:firstLineChars="0"/>
              <w:rPr>
                <w:rFonts w:ascii="仿宋_GB2312" w:eastAsia="仿宋_GB2312"/>
                <w:b/>
                <w:kern w:val="0"/>
                <w:lang w:bidi="en-US"/>
              </w:rPr>
            </w:pPr>
            <w:r>
              <w:rPr>
                <w:rFonts w:hint="eastAsia" w:ascii="仿宋_GB2312" w:eastAsia="仿宋_GB2312"/>
                <w:b/>
                <w:kern w:val="0"/>
                <w:lang w:eastAsia="en-US" w:bidi="en-US"/>
              </w:rPr>
              <w:t>结算</w:t>
            </w:r>
            <w:r>
              <w:rPr>
                <w:rFonts w:hint="eastAsia" w:ascii="仿宋_GB2312" w:eastAsia="仿宋_GB2312"/>
                <w:b/>
                <w:kern w:val="0"/>
                <w:lang w:bidi="en-US"/>
              </w:rPr>
              <w:t>日期</w:t>
            </w:r>
          </w:p>
        </w:tc>
        <w:tc>
          <w:tcPr>
            <w:tcW w:w="6571" w:type="dxa"/>
          </w:tcPr>
          <w:p w14:paraId="6D18B687">
            <w:pPr>
              <w:pStyle w:val="12"/>
              <w:ind w:firstLine="0" w:firstLineChars="0"/>
              <w:rPr>
                <w:rFonts w:ascii="仿宋_GB2312" w:eastAsia="仿宋_GB2312"/>
                <w:kern w:val="0"/>
                <w:lang w:bidi="en-US"/>
              </w:rPr>
            </w:pPr>
            <w:r>
              <w:rPr>
                <w:rFonts w:hint="eastAsia" w:ascii="仿宋_GB2312" w:eastAsia="仿宋_GB2312"/>
                <w:kern w:val="0"/>
                <w:lang w:bidi="en-US"/>
              </w:rPr>
              <w:t>根据当前交易日期、结算速度，自动显示</w:t>
            </w:r>
          </w:p>
        </w:tc>
      </w:tr>
      <w:tr w14:paraId="1E9B1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65B118E7">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价格类型</w:t>
            </w:r>
          </w:p>
        </w:tc>
        <w:tc>
          <w:tcPr>
            <w:tcW w:w="6571" w:type="dxa"/>
          </w:tcPr>
          <w:p w14:paraId="56AFC45B">
            <w:pPr>
              <w:pStyle w:val="12"/>
              <w:ind w:firstLine="0" w:firstLineChars="0"/>
              <w:rPr>
                <w:rFonts w:ascii="仿宋_GB2312" w:eastAsia="仿宋_GB2312"/>
                <w:kern w:val="0"/>
                <w:lang w:eastAsia="en-US" w:bidi="en-US"/>
              </w:rPr>
            </w:pPr>
            <w:r>
              <w:rPr>
                <w:rFonts w:hint="eastAsia" w:ascii="仿宋_GB2312" w:eastAsia="仿宋_GB2312"/>
                <w:kern w:val="0"/>
                <w:lang w:eastAsia="en-US" w:bidi="en-US"/>
              </w:rPr>
              <w:t>净价/全价</w:t>
            </w:r>
          </w:p>
        </w:tc>
      </w:tr>
      <w:tr w14:paraId="39DA8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2C6D1D1D">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交易方式</w:t>
            </w:r>
          </w:p>
        </w:tc>
        <w:tc>
          <w:tcPr>
            <w:tcW w:w="6571" w:type="dxa"/>
          </w:tcPr>
          <w:p w14:paraId="0016809E">
            <w:pPr>
              <w:pStyle w:val="12"/>
              <w:ind w:firstLine="0" w:firstLineChars="0"/>
              <w:rPr>
                <w:rFonts w:ascii="仿宋_GB2312" w:eastAsia="仿宋_GB2312"/>
                <w:kern w:val="0"/>
                <w:lang w:eastAsia="en-US" w:bidi="en-US"/>
              </w:rPr>
            </w:pPr>
            <w:r>
              <w:rPr>
                <w:rFonts w:hint="eastAsia" w:ascii="仿宋_GB2312" w:eastAsia="仿宋_GB2312"/>
                <w:kern w:val="0"/>
                <w:lang w:eastAsia="en-US" w:bidi="en-US"/>
              </w:rPr>
              <w:t>竞买成交</w:t>
            </w:r>
          </w:p>
        </w:tc>
      </w:tr>
      <w:tr w14:paraId="31658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27" w:type="dxa"/>
          </w:tcPr>
          <w:p w14:paraId="5ACCDE39">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证券账号</w:t>
            </w:r>
          </w:p>
        </w:tc>
        <w:tc>
          <w:tcPr>
            <w:tcW w:w="6571" w:type="dxa"/>
          </w:tcPr>
          <w:p w14:paraId="0C72B122">
            <w:pPr>
              <w:pStyle w:val="12"/>
              <w:ind w:firstLine="0" w:firstLineChars="0"/>
              <w:rPr>
                <w:rFonts w:ascii="仿宋_GB2312" w:eastAsia="仿宋_GB2312"/>
                <w:kern w:val="0"/>
                <w:lang w:bidi="en-US"/>
              </w:rPr>
            </w:pPr>
            <w:r>
              <w:rPr>
                <w:rFonts w:hint="eastAsia" w:ascii="仿宋_GB2312" w:eastAsia="仿宋_GB2312"/>
                <w:kern w:val="0"/>
                <w:lang w:bidi="en-US"/>
              </w:rPr>
              <w:t>交易参与人的证券账户号码</w:t>
            </w:r>
          </w:p>
        </w:tc>
      </w:tr>
      <w:tr w14:paraId="141E6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6AF0AE00">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证券账户名称</w:t>
            </w:r>
          </w:p>
        </w:tc>
        <w:tc>
          <w:tcPr>
            <w:tcW w:w="6571" w:type="dxa"/>
          </w:tcPr>
          <w:p w14:paraId="7CF1BB68">
            <w:pPr>
              <w:pStyle w:val="12"/>
              <w:ind w:firstLine="0" w:firstLineChars="0"/>
              <w:rPr>
                <w:rFonts w:ascii="仿宋_GB2312" w:eastAsia="仿宋_GB2312"/>
                <w:kern w:val="0"/>
                <w:lang w:bidi="en-US"/>
              </w:rPr>
            </w:pPr>
            <w:r>
              <w:rPr>
                <w:rFonts w:hint="eastAsia" w:ascii="仿宋_GB2312" w:eastAsia="仿宋_GB2312"/>
                <w:kern w:val="0"/>
                <w:lang w:bidi="en-US"/>
              </w:rPr>
              <w:t>交易参与人的证券账户名称</w:t>
            </w:r>
          </w:p>
        </w:tc>
      </w:tr>
      <w:tr w14:paraId="6CDDD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637C8B59">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交易PBU</w:t>
            </w:r>
          </w:p>
        </w:tc>
        <w:tc>
          <w:tcPr>
            <w:tcW w:w="6571" w:type="dxa"/>
          </w:tcPr>
          <w:p w14:paraId="75D173F1">
            <w:pPr>
              <w:pStyle w:val="12"/>
              <w:ind w:firstLine="0" w:firstLineChars="0"/>
              <w:rPr>
                <w:rFonts w:ascii="仿宋_GB2312" w:eastAsia="仿宋_GB2312"/>
                <w:kern w:val="0"/>
                <w:lang w:bidi="en-US"/>
              </w:rPr>
            </w:pPr>
            <w:r>
              <w:rPr>
                <w:rFonts w:hint="eastAsia" w:ascii="仿宋_GB2312" w:eastAsia="仿宋_GB2312"/>
                <w:kern w:val="0"/>
                <w:lang w:bidi="en-US"/>
              </w:rPr>
              <w:t>交易参与人的交易单元号码</w:t>
            </w:r>
            <w:r>
              <w:rPr>
                <w:rFonts w:hint="eastAsia" w:ascii="仿宋_GB2312" w:hAnsi="宋体" w:eastAsia="仿宋_GB2312"/>
                <w:kern w:val="0"/>
                <w:lang w:bidi="en-US"/>
              </w:rPr>
              <w:t>，同申报订单</w:t>
            </w:r>
          </w:p>
        </w:tc>
      </w:tr>
      <w:tr w14:paraId="1597E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57F8CB89">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交易参与人</w:t>
            </w:r>
          </w:p>
        </w:tc>
        <w:tc>
          <w:tcPr>
            <w:tcW w:w="6571" w:type="dxa"/>
          </w:tcPr>
          <w:p w14:paraId="43410C24">
            <w:pPr>
              <w:pStyle w:val="12"/>
              <w:ind w:firstLine="0" w:firstLineChars="0"/>
              <w:rPr>
                <w:rFonts w:ascii="仿宋_GB2312" w:eastAsia="仿宋_GB2312"/>
                <w:kern w:val="0"/>
                <w:lang w:eastAsia="en-US" w:bidi="en-US"/>
              </w:rPr>
            </w:pPr>
            <w:r>
              <w:rPr>
                <w:rFonts w:hint="eastAsia" w:ascii="仿宋_GB2312" w:eastAsia="仿宋_GB2312"/>
                <w:kern w:val="0"/>
                <w:lang w:eastAsia="en-US" w:bidi="en-US"/>
              </w:rPr>
              <w:t>交易参与人简称</w:t>
            </w:r>
          </w:p>
        </w:tc>
      </w:tr>
      <w:tr w14:paraId="2D08C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27" w:type="dxa"/>
          </w:tcPr>
          <w:p w14:paraId="3191D5CA">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交易员代码</w:t>
            </w:r>
          </w:p>
        </w:tc>
        <w:tc>
          <w:tcPr>
            <w:tcW w:w="6571" w:type="dxa"/>
          </w:tcPr>
          <w:p w14:paraId="5E7C559E">
            <w:pPr>
              <w:pStyle w:val="12"/>
              <w:ind w:firstLine="0" w:firstLineChars="0"/>
              <w:rPr>
                <w:rFonts w:ascii="仿宋_GB2312" w:eastAsia="仿宋_GB2312"/>
                <w:kern w:val="0"/>
                <w:lang w:eastAsia="en-US" w:bidi="en-US"/>
              </w:rPr>
            </w:pPr>
            <w:r>
              <w:rPr>
                <w:rFonts w:hint="eastAsia" w:ascii="仿宋_GB2312" w:eastAsia="仿宋_GB2312"/>
                <w:kern w:val="0"/>
                <w:lang w:eastAsia="en-US" w:bidi="en-US"/>
              </w:rPr>
              <w:t>交易员代码</w:t>
            </w:r>
          </w:p>
        </w:tc>
      </w:tr>
      <w:tr w14:paraId="471A6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67540AAB">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交易员名称</w:t>
            </w:r>
          </w:p>
        </w:tc>
        <w:tc>
          <w:tcPr>
            <w:tcW w:w="6571" w:type="dxa"/>
          </w:tcPr>
          <w:p w14:paraId="77E2AEB1">
            <w:pPr>
              <w:pStyle w:val="12"/>
              <w:ind w:firstLine="0" w:firstLineChars="0"/>
              <w:rPr>
                <w:rFonts w:ascii="仿宋_GB2312" w:eastAsia="仿宋_GB2312"/>
                <w:kern w:val="0"/>
                <w:lang w:eastAsia="en-US" w:bidi="en-US"/>
              </w:rPr>
            </w:pPr>
            <w:r>
              <w:rPr>
                <w:rFonts w:hint="eastAsia" w:ascii="仿宋_GB2312" w:eastAsia="仿宋_GB2312"/>
                <w:kern w:val="0"/>
                <w:lang w:eastAsia="en-US" w:bidi="en-US"/>
              </w:rPr>
              <w:t>交易员名称</w:t>
            </w:r>
          </w:p>
        </w:tc>
      </w:tr>
      <w:tr w14:paraId="00AA6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47457175">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申报编号</w:t>
            </w:r>
          </w:p>
        </w:tc>
        <w:tc>
          <w:tcPr>
            <w:tcW w:w="6571" w:type="dxa"/>
          </w:tcPr>
          <w:p w14:paraId="217ED6A8">
            <w:pPr>
              <w:pStyle w:val="12"/>
              <w:ind w:firstLine="0" w:firstLineChars="0"/>
              <w:rPr>
                <w:rFonts w:ascii="仿宋_GB2312" w:eastAsia="仿宋_GB2312"/>
                <w:kern w:val="0"/>
                <w:lang w:bidi="en-US"/>
              </w:rPr>
            </w:pPr>
            <w:r>
              <w:rPr>
                <w:rFonts w:hint="eastAsia" w:ascii="仿宋_GB2312" w:eastAsia="仿宋_GB2312"/>
                <w:kern w:val="0"/>
                <w:lang w:bidi="en-US"/>
              </w:rPr>
              <w:t>交易参与人内部为申报订单编制的序号</w:t>
            </w:r>
            <w:r>
              <w:rPr>
                <w:rFonts w:hint="eastAsia" w:ascii="仿宋_GB2312" w:hAnsi="宋体" w:eastAsia="仿宋_GB2312"/>
                <w:kern w:val="0"/>
                <w:lang w:bidi="en-US"/>
              </w:rPr>
              <w:t>，同申报订单</w:t>
            </w:r>
          </w:p>
        </w:tc>
      </w:tr>
      <w:tr w14:paraId="6A38C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031E4890">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对手方交易参与人</w:t>
            </w:r>
          </w:p>
        </w:tc>
        <w:tc>
          <w:tcPr>
            <w:tcW w:w="6571" w:type="dxa"/>
          </w:tcPr>
          <w:p w14:paraId="776A02EE">
            <w:pPr>
              <w:pStyle w:val="12"/>
              <w:ind w:firstLine="0" w:firstLineChars="0"/>
              <w:rPr>
                <w:rFonts w:ascii="仿宋_GB2312" w:eastAsia="仿宋_GB2312"/>
                <w:kern w:val="0"/>
                <w:lang w:bidi="en-US"/>
              </w:rPr>
            </w:pPr>
            <w:r>
              <w:rPr>
                <w:rFonts w:hint="eastAsia" w:ascii="仿宋_GB2312" w:eastAsia="仿宋_GB2312"/>
                <w:kern w:val="0"/>
                <w:lang w:bidi="en-US"/>
              </w:rPr>
              <w:t>对手方交易参与人简称</w:t>
            </w:r>
          </w:p>
        </w:tc>
      </w:tr>
      <w:tr w14:paraId="6B6B1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27" w:type="dxa"/>
          </w:tcPr>
          <w:p w14:paraId="7DF61E5E">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对手方证券账号</w:t>
            </w:r>
          </w:p>
        </w:tc>
        <w:tc>
          <w:tcPr>
            <w:tcW w:w="6571" w:type="dxa"/>
          </w:tcPr>
          <w:p w14:paraId="1F3DFFF0">
            <w:pPr>
              <w:pStyle w:val="12"/>
              <w:ind w:firstLine="0" w:firstLineChars="0"/>
              <w:rPr>
                <w:rFonts w:ascii="仿宋_GB2312" w:eastAsia="仿宋_GB2312"/>
                <w:kern w:val="0"/>
                <w:lang w:eastAsia="en-US" w:bidi="en-US"/>
              </w:rPr>
            </w:pPr>
            <w:r>
              <w:rPr>
                <w:rFonts w:hint="eastAsia" w:ascii="仿宋_GB2312" w:eastAsia="仿宋_GB2312"/>
                <w:kern w:val="0"/>
                <w:lang w:eastAsia="en-US" w:bidi="en-US"/>
              </w:rPr>
              <w:t>对手方证券账户号码</w:t>
            </w:r>
          </w:p>
        </w:tc>
      </w:tr>
      <w:tr w14:paraId="3B31F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1C15A344">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对手方证券账户名称</w:t>
            </w:r>
          </w:p>
        </w:tc>
        <w:tc>
          <w:tcPr>
            <w:tcW w:w="6571" w:type="dxa"/>
          </w:tcPr>
          <w:p w14:paraId="52C70BE5">
            <w:pPr>
              <w:pStyle w:val="12"/>
              <w:ind w:firstLine="0" w:firstLineChars="0"/>
              <w:rPr>
                <w:rFonts w:ascii="仿宋_GB2312" w:eastAsia="仿宋_GB2312"/>
                <w:kern w:val="0"/>
                <w:lang w:eastAsia="en-US" w:bidi="en-US"/>
              </w:rPr>
            </w:pPr>
            <w:r>
              <w:rPr>
                <w:rFonts w:hint="eastAsia" w:ascii="仿宋_GB2312" w:eastAsia="仿宋_GB2312"/>
                <w:kern w:val="0"/>
                <w:lang w:eastAsia="en-US" w:bidi="en-US"/>
              </w:rPr>
              <w:t>对手方证券账户名称</w:t>
            </w:r>
          </w:p>
        </w:tc>
      </w:tr>
      <w:tr w14:paraId="6DF59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14F3D49B">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对手方交易员代码</w:t>
            </w:r>
          </w:p>
        </w:tc>
        <w:tc>
          <w:tcPr>
            <w:tcW w:w="6571" w:type="dxa"/>
          </w:tcPr>
          <w:p w14:paraId="2B704132">
            <w:pPr>
              <w:pStyle w:val="12"/>
              <w:ind w:firstLine="0" w:firstLineChars="0"/>
              <w:rPr>
                <w:rFonts w:ascii="仿宋_GB2312" w:eastAsia="仿宋_GB2312"/>
                <w:kern w:val="0"/>
                <w:lang w:eastAsia="en-US" w:bidi="en-US"/>
              </w:rPr>
            </w:pPr>
            <w:r>
              <w:rPr>
                <w:rFonts w:hint="eastAsia" w:ascii="仿宋_GB2312" w:eastAsia="仿宋_GB2312"/>
                <w:kern w:val="0"/>
                <w:lang w:eastAsia="en-US" w:bidi="en-US"/>
              </w:rPr>
              <w:t>对手方交易员代码</w:t>
            </w:r>
          </w:p>
        </w:tc>
      </w:tr>
      <w:tr w14:paraId="5E3AB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321DB86F">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对手方交易员名称</w:t>
            </w:r>
          </w:p>
        </w:tc>
        <w:tc>
          <w:tcPr>
            <w:tcW w:w="6571" w:type="dxa"/>
          </w:tcPr>
          <w:p w14:paraId="4BBA2C7D">
            <w:pPr>
              <w:pStyle w:val="12"/>
              <w:ind w:firstLine="0" w:firstLineChars="0"/>
              <w:rPr>
                <w:rFonts w:ascii="仿宋_GB2312" w:eastAsia="仿宋_GB2312"/>
                <w:kern w:val="0"/>
                <w:lang w:eastAsia="en-US" w:bidi="en-US"/>
              </w:rPr>
            </w:pPr>
            <w:r>
              <w:rPr>
                <w:rFonts w:hint="eastAsia" w:ascii="仿宋_GB2312" w:eastAsia="仿宋_GB2312"/>
                <w:kern w:val="0"/>
                <w:lang w:eastAsia="en-US" w:bidi="en-US"/>
              </w:rPr>
              <w:t>对手方交易员名称</w:t>
            </w:r>
          </w:p>
        </w:tc>
      </w:tr>
      <w:tr w14:paraId="1B096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27" w:type="dxa"/>
          </w:tcPr>
          <w:p w14:paraId="62863D3E">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交收状态</w:t>
            </w:r>
          </w:p>
        </w:tc>
        <w:tc>
          <w:tcPr>
            <w:tcW w:w="6571" w:type="dxa"/>
          </w:tcPr>
          <w:p w14:paraId="7F44A383">
            <w:pPr>
              <w:pStyle w:val="12"/>
              <w:ind w:firstLine="0" w:firstLineChars="0"/>
              <w:rPr>
                <w:rFonts w:ascii="仿宋_GB2312" w:eastAsia="仿宋_GB2312"/>
                <w:kern w:val="0"/>
                <w:lang w:bidi="en-US"/>
              </w:rPr>
            </w:pPr>
            <w:r>
              <w:rPr>
                <w:rFonts w:hint="eastAsia" w:ascii="仿宋_GB2312" w:eastAsia="仿宋_GB2312"/>
                <w:kern w:val="0"/>
                <w:lang w:bidi="en-US"/>
              </w:rPr>
              <w:t>等待勾单/交收成功/交收失败（原因）</w:t>
            </w:r>
          </w:p>
        </w:tc>
      </w:tr>
      <w:tr w14:paraId="4712A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51CCC30B">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交易方式</w:t>
            </w:r>
          </w:p>
        </w:tc>
        <w:tc>
          <w:tcPr>
            <w:tcW w:w="6571" w:type="dxa"/>
          </w:tcPr>
          <w:p w14:paraId="026C52D0">
            <w:pPr>
              <w:pStyle w:val="12"/>
              <w:ind w:firstLine="0" w:firstLineChars="0"/>
              <w:rPr>
                <w:rFonts w:ascii="仿宋_GB2312" w:eastAsia="仿宋_GB2312"/>
                <w:kern w:val="0"/>
                <w:lang w:eastAsia="en-US" w:bidi="en-US"/>
              </w:rPr>
            </w:pPr>
            <w:r>
              <w:rPr>
                <w:rFonts w:hint="eastAsia" w:ascii="仿宋_GB2312" w:eastAsia="仿宋_GB2312"/>
                <w:kern w:val="0"/>
                <w:lang w:eastAsia="en-US" w:bidi="en-US"/>
              </w:rPr>
              <w:t>竞买成交</w:t>
            </w:r>
          </w:p>
        </w:tc>
      </w:tr>
    </w:tbl>
    <w:p w14:paraId="1083EA07">
      <w:pPr>
        <w:spacing w:line="600" w:lineRule="exact"/>
        <w:ind w:firstLine="600" w:firstLineChars="200"/>
        <w:outlineLvl w:val="3"/>
        <w:rPr>
          <w:rFonts w:ascii="仿宋_GB2312" w:hAnsi="仿宋" w:eastAsia="仿宋_GB2312"/>
          <w:sz w:val="30"/>
          <w:szCs w:val="30"/>
        </w:rPr>
      </w:pPr>
      <w:r>
        <w:rPr>
          <w:rFonts w:hint="eastAsia" w:ascii="仿宋_GB2312" w:hAnsi="仿宋" w:eastAsia="仿宋_GB2312"/>
          <w:sz w:val="30"/>
          <w:szCs w:val="30"/>
        </w:rPr>
        <w:t>（2）竞买结果发布</w:t>
      </w:r>
    </w:p>
    <w:p w14:paraId="304382CB">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竞买完成后，固定收益平台将根据竞买结果信息自动生成竞买结果公告，并于当日对外发布。债券投资者可在本所官网、上证债券信息网、固定收益平台客户端查询到发布的竞买结果信息。</w:t>
      </w:r>
    </w:p>
    <w:p w14:paraId="7E02E269">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采用单一主体中标方式的，发布竞买债券信息、中标量、中标价格等信息（详见附件6示例四）。</w:t>
      </w:r>
    </w:p>
    <w:p w14:paraId="3D7218D7">
      <w:pPr>
        <w:spacing w:line="600" w:lineRule="exact"/>
        <w:ind w:firstLine="600" w:firstLineChars="200"/>
        <w:outlineLvl w:val="3"/>
        <w:rPr>
          <w:rFonts w:ascii="仿宋_GB2312" w:hAnsi="仿宋" w:eastAsia="仿宋_GB2312"/>
          <w:sz w:val="30"/>
          <w:szCs w:val="30"/>
        </w:rPr>
      </w:pPr>
      <w:r>
        <w:rPr>
          <w:rFonts w:hint="eastAsia" w:ascii="仿宋_GB2312" w:hAnsi="仿宋" w:eastAsia="仿宋_GB2312"/>
          <w:sz w:val="30"/>
          <w:szCs w:val="30"/>
        </w:rPr>
        <w:t>（3）</w:t>
      </w:r>
      <w:r>
        <w:rPr>
          <w:rFonts w:hint="eastAsia" w:ascii="仿宋_GB2312" w:eastAsia="仿宋_GB2312"/>
          <w:sz w:val="30"/>
          <w:szCs w:val="30"/>
        </w:rPr>
        <w:t>流拍情形</w:t>
      </w:r>
    </w:p>
    <w:p w14:paraId="029C530F">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若竞买最终未达成成交，则不对外发布结果公告信息。</w:t>
      </w:r>
    </w:p>
    <w:p w14:paraId="587782C6">
      <w:pPr>
        <w:numPr>
          <w:ilvl w:val="1"/>
          <w:numId w:val="4"/>
        </w:numPr>
        <w:spacing w:line="600" w:lineRule="exact"/>
        <w:ind w:left="0" w:firstLine="0"/>
        <w:outlineLvl w:val="1"/>
        <w:rPr>
          <w:rFonts w:ascii="仿宋_GB2312" w:eastAsia="仿宋_GB2312"/>
          <w:b/>
          <w:sz w:val="30"/>
          <w:szCs w:val="30"/>
        </w:rPr>
      </w:pPr>
      <w:bookmarkStart w:id="501" w:name="_Toc97819657"/>
      <w:bookmarkEnd w:id="501"/>
      <w:bookmarkStart w:id="502" w:name="_Toc97819658"/>
      <w:bookmarkEnd w:id="502"/>
      <w:bookmarkStart w:id="503" w:name="_Toc97819656"/>
      <w:bookmarkEnd w:id="503"/>
      <w:bookmarkStart w:id="504" w:name="_Toc56166084"/>
      <w:bookmarkStart w:id="505" w:name="_Toc1952727922"/>
      <w:bookmarkStart w:id="506" w:name="_Toc1849975910"/>
      <w:bookmarkStart w:id="507" w:name="_Toc145283012"/>
      <w:bookmarkStart w:id="508" w:name="_Toc56166273"/>
      <w:bookmarkStart w:id="509" w:name="_Toc475266651"/>
      <w:bookmarkStart w:id="510" w:name="_Toc151136905"/>
      <w:r>
        <w:rPr>
          <w:rFonts w:hint="eastAsia" w:ascii="仿宋_GB2312" w:eastAsia="仿宋_GB2312"/>
          <w:b/>
          <w:sz w:val="30"/>
          <w:szCs w:val="30"/>
        </w:rPr>
        <w:t>意向申报</w:t>
      </w:r>
      <w:bookmarkEnd w:id="504"/>
      <w:bookmarkEnd w:id="505"/>
      <w:bookmarkEnd w:id="506"/>
      <w:bookmarkEnd w:id="507"/>
      <w:bookmarkEnd w:id="508"/>
      <w:bookmarkEnd w:id="509"/>
      <w:bookmarkEnd w:id="510"/>
    </w:p>
    <w:p w14:paraId="5621513A">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定义</w:t>
      </w:r>
    </w:p>
    <w:p w14:paraId="786AE193">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意向申报是指表明其交易意向的申报，债券投资者可以向全市场或者部分债券投资者发送意向申报，意向申报不可直接确认成交。其他债券投资者可以通过询价成交、协商成交等方式与意向申报发出方达成交易。</w:t>
      </w:r>
    </w:p>
    <w:p w14:paraId="20CF14E1">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申报要求</w:t>
      </w:r>
    </w:p>
    <w:p w14:paraId="7F64ED7B">
      <w:pPr>
        <w:spacing w:line="600" w:lineRule="exact"/>
        <w:ind w:firstLine="600" w:firstLineChars="200"/>
        <w:rPr>
          <w:rFonts w:ascii="仿宋_GB2312" w:hAnsi="仿宋" w:eastAsia="仿宋_GB2312"/>
          <w:bCs/>
          <w:sz w:val="30"/>
          <w:szCs w:val="30"/>
        </w:rPr>
      </w:pPr>
      <w:r>
        <w:rPr>
          <w:rFonts w:hint="eastAsia" w:ascii="仿宋_GB2312" w:hAnsi="仿宋" w:eastAsia="仿宋_GB2312"/>
          <w:bCs/>
          <w:sz w:val="30"/>
          <w:szCs w:val="30"/>
        </w:rPr>
        <w:t>意向申报要素应当包括交易品种、交易方向、意向申报价格、是否匿名等内容。债券投资者可以选填意向申报数量等。</w:t>
      </w:r>
    </w:p>
    <w:p w14:paraId="5151C528">
      <w:pPr>
        <w:spacing w:line="600" w:lineRule="exact"/>
        <w:ind w:firstLine="600" w:firstLineChars="200"/>
        <w:rPr>
          <w:rFonts w:ascii="仿宋_GB2312" w:eastAsia="仿宋_GB2312"/>
          <w:color w:val="000000"/>
          <w:sz w:val="30"/>
          <w:szCs w:val="30"/>
        </w:rPr>
      </w:pPr>
      <w:r>
        <w:rPr>
          <w:rFonts w:hint="eastAsia" w:ascii="仿宋_GB2312" w:hAnsi="仿宋" w:eastAsia="仿宋_GB2312"/>
          <w:bCs/>
          <w:sz w:val="30"/>
          <w:szCs w:val="30"/>
        </w:rPr>
        <w:t>交易品种要素，包括标的债券的证券简称、证券代码（如适用），下同。</w:t>
      </w:r>
    </w:p>
    <w:p w14:paraId="5FCFB866">
      <w:pPr>
        <w:spacing w:line="600" w:lineRule="exact"/>
        <w:ind w:firstLine="600" w:firstLineChars="200"/>
        <w:outlineLvl w:val="3"/>
        <w:rPr>
          <w:rFonts w:ascii="仿宋_GB2312" w:eastAsia="仿宋_GB2312"/>
          <w:color w:val="000000"/>
          <w:sz w:val="30"/>
          <w:szCs w:val="30"/>
        </w:rPr>
      </w:pPr>
      <w:r>
        <w:rPr>
          <w:rFonts w:hint="eastAsia" w:ascii="仿宋_GB2312" w:eastAsia="仿宋_GB2312"/>
          <w:color w:val="000000"/>
          <w:sz w:val="30"/>
          <w:szCs w:val="30"/>
        </w:rPr>
        <w:t>（1）现券交易意向申报</w:t>
      </w:r>
    </w:p>
    <w:p w14:paraId="3AD6EE78">
      <w:pPr>
        <w:spacing w:line="60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债券投资者可填写的现券交易意向申报信息，包含证券代码、交易品种、买卖方向、意向申报价格、意向申报数量、是否匿名等。</w:t>
      </w:r>
    </w:p>
    <w:p w14:paraId="439C5B20">
      <w:pPr>
        <w:spacing w:line="60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现券交易意向申报具体要素及要素说明如下：</w:t>
      </w: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1"/>
        <w:gridCol w:w="6571"/>
      </w:tblGrid>
      <w:tr w14:paraId="2BAFE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624B0761">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要素名称</w:t>
            </w:r>
          </w:p>
        </w:tc>
        <w:tc>
          <w:tcPr>
            <w:tcW w:w="6571" w:type="dxa"/>
          </w:tcPr>
          <w:p w14:paraId="74F7A143">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要素说明</w:t>
            </w:r>
          </w:p>
        </w:tc>
      </w:tr>
      <w:tr w14:paraId="4209F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3898C383">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申报类型</w:t>
            </w:r>
          </w:p>
        </w:tc>
        <w:tc>
          <w:tcPr>
            <w:tcW w:w="6571" w:type="dxa"/>
          </w:tcPr>
          <w:p w14:paraId="53A76501">
            <w:pPr>
              <w:pStyle w:val="12"/>
              <w:ind w:firstLine="0" w:firstLineChars="0"/>
              <w:rPr>
                <w:rFonts w:ascii="仿宋_GB2312" w:eastAsia="仿宋_GB2312"/>
                <w:kern w:val="0"/>
                <w:lang w:eastAsia="en-US" w:bidi="en-US"/>
              </w:rPr>
            </w:pPr>
            <w:r>
              <w:rPr>
                <w:rFonts w:hint="eastAsia" w:ascii="仿宋_GB2312" w:eastAsia="仿宋_GB2312"/>
                <w:kern w:val="0"/>
                <w:lang w:eastAsia="en-US" w:bidi="en-US"/>
              </w:rPr>
              <w:t>意向申报</w:t>
            </w:r>
          </w:p>
        </w:tc>
      </w:tr>
      <w:tr w14:paraId="64CEE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3BA7821C">
            <w:pPr>
              <w:pStyle w:val="12"/>
              <w:ind w:firstLine="0" w:firstLineChars="0"/>
              <w:rPr>
                <w:rFonts w:ascii="仿宋_GB2312" w:eastAsia="仿宋_GB2312"/>
                <w:b/>
                <w:kern w:val="0"/>
                <w:lang w:eastAsia="en-US" w:bidi="en-US"/>
              </w:rPr>
            </w:pPr>
            <w:r>
              <w:rPr>
                <w:rFonts w:hint="eastAsia" w:ascii="仿宋_GB2312" w:eastAsia="仿宋_GB2312"/>
                <w:b/>
                <w:kern w:val="0"/>
                <w:lang w:bidi="en-US"/>
              </w:rPr>
              <w:t>交易品种</w:t>
            </w:r>
          </w:p>
        </w:tc>
        <w:tc>
          <w:tcPr>
            <w:tcW w:w="6571" w:type="dxa"/>
          </w:tcPr>
          <w:p w14:paraId="19CAFE03">
            <w:pPr>
              <w:pStyle w:val="12"/>
              <w:ind w:firstLine="0" w:firstLineChars="0"/>
              <w:rPr>
                <w:rFonts w:ascii="仿宋_GB2312" w:eastAsia="仿宋_GB2312"/>
                <w:kern w:val="0"/>
                <w:lang w:bidi="en-US"/>
              </w:rPr>
            </w:pPr>
            <w:r>
              <w:rPr>
                <w:rFonts w:hint="eastAsia" w:ascii="仿宋_GB2312" w:eastAsia="仿宋_GB2312"/>
                <w:kern w:val="0"/>
                <w:lang w:bidi="en-US"/>
              </w:rPr>
              <w:t>交易品种的名称或证券代码</w:t>
            </w:r>
          </w:p>
        </w:tc>
      </w:tr>
      <w:tr w14:paraId="4D9A3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51" w:type="dxa"/>
          </w:tcPr>
          <w:p w14:paraId="5C2FA14A">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买卖方向</w:t>
            </w:r>
          </w:p>
        </w:tc>
        <w:tc>
          <w:tcPr>
            <w:tcW w:w="6571" w:type="dxa"/>
          </w:tcPr>
          <w:p w14:paraId="36A873E0">
            <w:pPr>
              <w:pStyle w:val="12"/>
              <w:ind w:firstLine="0" w:firstLineChars="0"/>
              <w:rPr>
                <w:rFonts w:ascii="仿宋_GB2312" w:eastAsia="仿宋_GB2312"/>
                <w:kern w:val="0"/>
                <w:lang w:eastAsia="en-US" w:bidi="en-US"/>
              </w:rPr>
            </w:pPr>
            <w:r>
              <w:rPr>
                <w:rFonts w:hint="eastAsia" w:ascii="仿宋_GB2312" w:eastAsia="仿宋_GB2312"/>
                <w:kern w:val="0"/>
                <w:lang w:eastAsia="en-US" w:bidi="en-US"/>
              </w:rPr>
              <w:t>买入</w:t>
            </w:r>
            <w:r>
              <w:rPr>
                <w:rFonts w:ascii="仿宋_GB2312" w:eastAsia="仿宋_GB2312"/>
                <w:kern w:val="0"/>
                <w:lang w:eastAsia="en-US" w:bidi="en-US"/>
              </w:rPr>
              <w:t>/</w:t>
            </w:r>
            <w:r>
              <w:rPr>
                <w:rFonts w:hint="eastAsia" w:ascii="仿宋_GB2312" w:eastAsia="仿宋_GB2312"/>
                <w:kern w:val="0"/>
                <w:lang w:eastAsia="en-US" w:bidi="en-US"/>
              </w:rPr>
              <w:t>卖出</w:t>
            </w:r>
          </w:p>
        </w:tc>
      </w:tr>
      <w:tr w14:paraId="3E203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2690E8AD">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意向价格</w:t>
            </w:r>
          </w:p>
        </w:tc>
        <w:tc>
          <w:tcPr>
            <w:tcW w:w="6571" w:type="dxa"/>
          </w:tcPr>
          <w:p w14:paraId="06F6B148">
            <w:pPr>
              <w:pStyle w:val="12"/>
              <w:ind w:firstLine="0" w:firstLineChars="0"/>
              <w:rPr>
                <w:rFonts w:ascii="仿宋_GB2312" w:eastAsia="仿宋_GB2312"/>
                <w:kern w:val="0"/>
                <w:lang w:bidi="en-US"/>
              </w:rPr>
            </w:pPr>
            <w:r>
              <w:rPr>
                <w:rFonts w:hint="eastAsia" w:ascii="仿宋_GB2312" w:eastAsia="仿宋_GB2312"/>
                <w:kern w:val="0"/>
                <w:lang w:bidi="en-US"/>
              </w:rPr>
              <w:t>意向申报的价格，单位：元</w:t>
            </w:r>
          </w:p>
        </w:tc>
      </w:tr>
      <w:tr w14:paraId="1F584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5F2A5AD7">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意向数量</w:t>
            </w:r>
          </w:p>
        </w:tc>
        <w:tc>
          <w:tcPr>
            <w:tcW w:w="6571" w:type="dxa"/>
          </w:tcPr>
          <w:p w14:paraId="10D0EBF2">
            <w:pPr>
              <w:pStyle w:val="12"/>
              <w:ind w:firstLine="0" w:firstLineChars="0"/>
              <w:rPr>
                <w:rFonts w:ascii="仿宋_GB2312" w:eastAsia="仿宋_GB2312"/>
                <w:kern w:val="0"/>
                <w:lang w:bidi="en-US"/>
              </w:rPr>
            </w:pPr>
            <w:r>
              <w:rPr>
                <w:rFonts w:hint="eastAsia" w:ascii="仿宋_GB2312" w:eastAsia="仿宋_GB2312"/>
                <w:kern w:val="0"/>
                <w:lang w:bidi="en-US"/>
              </w:rPr>
              <w:t>意向申报数量，单位：千元面额</w:t>
            </w:r>
          </w:p>
        </w:tc>
      </w:tr>
      <w:tr w14:paraId="4D1D9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0D5008BE">
            <w:pPr>
              <w:pStyle w:val="12"/>
              <w:ind w:firstLine="0" w:firstLineChars="0"/>
              <w:rPr>
                <w:rFonts w:ascii="仿宋_GB2312" w:eastAsia="仿宋_GB2312"/>
                <w:b/>
                <w:kern w:val="0"/>
                <w:lang w:eastAsia="en-US" w:bidi="en-US"/>
              </w:rPr>
            </w:pPr>
            <w:r>
              <w:rPr>
                <w:rFonts w:hint="eastAsia" w:ascii="仿宋_GB2312" w:hAnsi="宋体" w:eastAsia="仿宋_GB2312"/>
                <w:b/>
                <w:color w:val="000000"/>
                <w:kern w:val="0"/>
                <w:lang w:eastAsia="en-US" w:bidi="en-US"/>
              </w:rPr>
              <w:t>是否匿名</w:t>
            </w:r>
          </w:p>
        </w:tc>
        <w:tc>
          <w:tcPr>
            <w:tcW w:w="6571" w:type="dxa"/>
          </w:tcPr>
          <w:p w14:paraId="39A91E59">
            <w:pPr>
              <w:pStyle w:val="12"/>
              <w:ind w:firstLine="0" w:firstLineChars="0"/>
              <w:rPr>
                <w:rFonts w:ascii="仿宋_GB2312" w:eastAsia="仿宋_GB2312"/>
                <w:kern w:val="0"/>
                <w:lang w:bidi="en-US"/>
              </w:rPr>
            </w:pPr>
            <w:r>
              <w:rPr>
                <w:rFonts w:hint="eastAsia" w:ascii="仿宋_GB2312" w:hAnsi="宋体" w:eastAsia="仿宋_GB2312"/>
                <w:color w:val="000000"/>
                <w:kern w:val="0"/>
                <w:lang w:bidi="en-US"/>
              </w:rPr>
              <w:t>需匿名的，勾选“匿名提交”</w:t>
            </w:r>
          </w:p>
        </w:tc>
      </w:tr>
      <w:tr w14:paraId="48645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51" w:type="dxa"/>
          </w:tcPr>
          <w:p w14:paraId="2381FDB7">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结算方式</w:t>
            </w:r>
          </w:p>
        </w:tc>
        <w:tc>
          <w:tcPr>
            <w:tcW w:w="6571" w:type="dxa"/>
          </w:tcPr>
          <w:p w14:paraId="3B276AEB">
            <w:pPr>
              <w:pStyle w:val="12"/>
              <w:ind w:firstLine="0" w:firstLineChars="0"/>
              <w:rPr>
                <w:rFonts w:ascii="仿宋_GB2312" w:eastAsia="仿宋_GB2312"/>
                <w:kern w:val="0"/>
                <w:lang w:bidi="en-US"/>
              </w:rPr>
            </w:pPr>
            <w:r>
              <w:rPr>
                <w:rFonts w:hint="eastAsia" w:ascii="仿宋_GB2312" w:eastAsia="仿宋_GB2312"/>
                <w:kern w:val="0"/>
                <w:lang w:bidi="en-US"/>
              </w:rPr>
              <w:t>根据</w:t>
            </w:r>
            <w:r>
              <w:rPr>
                <w:rFonts w:ascii="仿宋_GB2312" w:eastAsia="仿宋_GB2312"/>
                <w:kern w:val="0"/>
                <w:lang w:bidi="en-US"/>
              </w:rPr>
              <w:t>交易品种自动带出</w:t>
            </w:r>
            <w:r>
              <w:rPr>
                <w:rFonts w:hint="eastAsia" w:ascii="仿宋_GB2312" w:eastAsia="仿宋_GB2312"/>
                <w:kern w:val="0"/>
                <w:lang w:bidi="en-US"/>
              </w:rPr>
              <w:t>“逐笔全额结算”或“多边净额结算”</w:t>
            </w:r>
          </w:p>
        </w:tc>
      </w:tr>
      <w:tr w14:paraId="0D1A0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561F6B86">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结算</w:t>
            </w:r>
            <w:r>
              <w:rPr>
                <w:rFonts w:hint="eastAsia" w:ascii="仿宋_GB2312" w:eastAsia="仿宋_GB2312"/>
                <w:b/>
                <w:kern w:val="0"/>
                <w:lang w:bidi="en-US"/>
              </w:rPr>
              <w:t>周期</w:t>
            </w:r>
          </w:p>
        </w:tc>
        <w:tc>
          <w:tcPr>
            <w:tcW w:w="6571" w:type="dxa"/>
          </w:tcPr>
          <w:p w14:paraId="0DC53BCD">
            <w:pPr>
              <w:pStyle w:val="12"/>
              <w:ind w:firstLine="0" w:firstLineChars="0"/>
              <w:rPr>
                <w:rFonts w:ascii="仿宋_GB2312" w:eastAsia="仿宋_GB2312"/>
                <w:kern w:val="0"/>
                <w:lang w:bidi="en-US"/>
              </w:rPr>
            </w:pPr>
            <w:r>
              <w:rPr>
                <w:rFonts w:hint="eastAsia" w:ascii="仿宋_GB2312" w:eastAsia="仿宋_GB2312"/>
                <w:kern w:val="0"/>
                <w:lang w:bidi="en-US"/>
              </w:rPr>
              <w:t>根据</w:t>
            </w:r>
            <w:r>
              <w:rPr>
                <w:rFonts w:ascii="仿宋_GB2312" w:eastAsia="仿宋_GB2312"/>
                <w:kern w:val="0"/>
                <w:lang w:bidi="en-US"/>
              </w:rPr>
              <w:t>结算方式自动带出</w:t>
            </w:r>
          </w:p>
        </w:tc>
      </w:tr>
      <w:tr w14:paraId="48B91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285B1305">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证券简称</w:t>
            </w:r>
          </w:p>
        </w:tc>
        <w:tc>
          <w:tcPr>
            <w:tcW w:w="6571" w:type="dxa"/>
          </w:tcPr>
          <w:p w14:paraId="7401F43E">
            <w:pPr>
              <w:pStyle w:val="12"/>
              <w:ind w:firstLine="0" w:firstLineChars="0"/>
              <w:rPr>
                <w:rFonts w:ascii="仿宋_GB2312" w:eastAsia="仿宋_GB2312"/>
                <w:kern w:val="0"/>
                <w:lang w:bidi="en-US"/>
              </w:rPr>
            </w:pPr>
            <w:r>
              <w:rPr>
                <w:rFonts w:hint="eastAsia" w:ascii="仿宋_GB2312" w:eastAsia="仿宋_GB2312"/>
                <w:kern w:val="0"/>
                <w:lang w:bidi="en-US"/>
              </w:rPr>
              <w:t>上交所证券简称，有证券代码的交易品种，简称根据证券代码自动显示</w:t>
            </w:r>
          </w:p>
        </w:tc>
      </w:tr>
      <w:tr w14:paraId="77D38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2E062F96">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申报日期时间</w:t>
            </w:r>
          </w:p>
        </w:tc>
        <w:tc>
          <w:tcPr>
            <w:tcW w:w="6571" w:type="dxa"/>
          </w:tcPr>
          <w:p w14:paraId="2F2FEB1A">
            <w:pPr>
              <w:pStyle w:val="12"/>
              <w:ind w:firstLine="0" w:firstLineChars="0"/>
              <w:rPr>
                <w:rFonts w:ascii="仿宋_GB2312" w:eastAsia="仿宋_GB2312"/>
                <w:kern w:val="0"/>
                <w:lang w:bidi="en-US"/>
              </w:rPr>
            </w:pPr>
            <w:r>
              <w:rPr>
                <w:rFonts w:hint="eastAsia" w:ascii="仿宋_GB2312" w:eastAsia="仿宋_GB2312"/>
                <w:kern w:val="0"/>
                <w:lang w:bidi="en-US"/>
              </w:rPr>
              <w:t>交易申报日期（年月日）及时间（时分秒），自动显示</w:t>
            </w:r>
          </w:p>
        </w:tc>
      </w:tr>
      <w:tr w14:paraId="42990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51" w:type="dxa"/>
          </w:tcPr>
          <w:p w14:paraId="40A254CD">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结算</w:t>
            </w:r>
            <w:r>
              <w:rPr>
                <w:rFonts w:hint="eastAsia" w:ascii="仿宋_GB2312" w:eastAsia="仿宋_GB2312"/>
                <w:b/>
                <w:kern w:val="0"/>
                <w:lang w:bidi="en-US"/>
              </w:rPr>
              <w:t>日</w:t>
            </w:r>
            <w:r>
              <w:rPr>
                <w:rFonts w:hint="eastAsia" w:ascii="仿宋_GB2312" w:eastAsia="仿宋_GB2312"/>
                <w:b/>
                <w:kern w:val="0"/>
                <w:lang w:eastAsia="en-US" w:bidi="en-US"/>
              </w:rPr>
              <w:t>期</w:t>
            </w:r>
          </w:p>
        </w:tc>
        <w:tc>
          <w:tcPr>
            <w:tcW w:w="6571" w:type="dxa"/>
          </w:tcPr>
          <w:p w14:paraId="5049019D">
            <w:pPr>
              <w:pStyle w:val="12"/>
              <w:ind w:firstLine="0" w:firstLineChars="0"/>
              <w:rPr>
                <w:rFonts w:ascii="仿宋_GB2312" w:eastAsia="仿宋_GB2312"/>
                <w:kern w:val="0"/>
                <w:lang w:bidi="en-US"/>
              </w:rPr>
            </w:pPr>
            <w:r>
              <w:rPr>
                <w:rFonts w:hint="eastAsia" w:ascii="仿宋_GB2312" w:eastAsia="仿宋_GB2312"/>
                <w:kern w:val="0"/>
                <w:lang w:bidi="en-US"/>
              </w:rPr>
              <w:t>根据当前交易日期、结算周期，自动显示</w:t>
            </w:r>
          </w:p>
        </w:tc>
      </w:tr>
      <w:tr w14:paraId="3DFBC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22D47795">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交易参与人</w:t>
            </w:r>
          </w:p>
        </w:tc>
        <w:tc>
          <w:tcPr>
            <w:tcW w:w="6571" w:type="dxa"/>
          </w:tcPr>
          <w:p w14:paraId="471B16F4">
            <w:pPr>
              <w:pStyle w:val="12"/>
              <w:ind w:firstLine="0" w:firstLineChars="0"/>
              <w:rPr>
                <w:rFonts w:ascii="仿宋_GB2312" w:eastAsia="仿宋_GB2312"/>
                <w:kern w:val="0"/>
                <w:lang w:bidi="en-US"/>
              </w:rPr>
            </w:pPr>
            <w:r>
              <w:rPr>
                <w:rFonts w:hint="eastAsia" w:ascii="仿宋_GB2312" w:eastAsia="仿宋_GB2312"/>
                <w:kern w:val="0"/>
                <w:lang w:bidi="en-US"/>
              </w:rPr>
              <w:t>交易参与人简称，自动显示，无需输入</w:t>
            </w:r>
          </w:p>
        </w:tc>
      </w:tr>
      <w:tr w14:paraId="0EE49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24401F73">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交易员代码</w:t>
            </w:r>
          </w:p>
        </w:tc>
        <w:tc>
          <w:tcPr>
            <w:tcW w:w="6571" w:type="dxa"/>
          </w:tcPr>
          <w:p w14:paraId="717AE763">
            <w:pPr>
              <w:pStyle w:val="12"/>
              <w:ind w:firstLine="0" w:firstLineChars="0"/>
              <w:rPr>
                <w:rFonts w:ascii="仿宋_GB2312" w:eastAsia="仿宋_GB2312"/>
                <w:kern w:val="0"/>
                <w:lang w:bidi="en-US"/>
              </w:rPr>
            </w:pPr>
            <w:r>
              <w:rPr>
                <w:rFonts w:hint="eastAsia" w:ascii="仿宋_GB2312" w:eastAsia="仿宋_GB2312"/>
                <w:kern w:val="0"/>
                <w:lang w:bidi="en-US"/>
              </w:rPr>
              <w:t>申报方交易员代码，自动显示，无需输入</w:t>
            </w:r>
          </w:p>
        </w:tc>
      </w:tr>
      <w:tr w14:paraId="4E905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7256F10E">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交易员名称</w:t>
            </w:r>
          </w:p>
        </w:tc>
        <w:tc>
          <w:tcPr>
            <w:tcW w:w="6571" w:type="dxa"/>
          </w:tcPr>
          <w:p w14:paraId="49C54728">
            <w:pPr>
              <w:pStyle w:val="12"/>
              <w:ind w:firstLine="0" w:firstLineChars="0"/>
              <w:rPr>
                <w:rFonts w:ascii="仿宋_GB2312" w:eastAsia="仿宋_GB2312"/>
                <w:kern w:val="0"/>
                <w:lang w:bidi="en-US"/>
              </w:rPr>
            </w:pPr>
            <w:r>
              <w:rPr>
                <w:rFonts w:hint="eastAsia" w:ascii="仿宋_GB2312" w:eastAsia="仿宋_GB2312"/>
                <w:kern w:val="0"/>
                <w:lang w:bidi="en-US"/>
              </w:rPr>
              <w:t>申报方交易员名称，自动显示，无需输入</w:t>
            </w:r>
          </w:p>
        </w:tc>
      </w:tr>
    </w:tbl>
    <w:p w14:paraId="31AFBE56">
      <w:pPr>
        <w:spacing w:line="600" w:lineRule="exact"/>
        <w:ind w:firstLine="600" w:firstLineChars="200"/>
        <w:outlineLvl w:val="3"/>
        <w:rPr>
          <w:rFonts w:ascii="仿宋_GB2312" w:eastAsia="仿宋_GB2312"/>
          <w:color w:val="000000"/>
          <w:sz w:val="30"/>
          <w:szCs w:val="30"/>
        </w:rPr>
      </w:pPr>
      <w:r>
        <w:rPr>
          <w:rFonts w:hint="eastAsia" w:ascii="仿宋_GB2312" w:eastAsia="仿宋_GB2312"/>
          <w:color w:val="000000"/>
          <w:sz w:val="30"/>
          <w:szCs w:val="30"/>
        </w:rPr>
        <w:t>（2）债券质押式协议回购意向申报</w:t>
      </w:r>
    </w:p>
    <w:p w14:paraId="57465C70">
      <w:pPr>
        <w:spacing w:line="60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债券质押式协议回购（以下简称协议回购）意向申报信息，包含回购方向、回购期限、质押券代码、质押券简称、回购利率、券面总额、质押数量、折算比例、成交金额、首次结算日、回购到期日、到期结算日、申报交易参与人简称、申报交易员代码等。</w:t>
      </w:r>
    </w:p>
    <w:p w14:paraId="6980F36A">
      <w:pPr>
        <w:spacing w:line="60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协议回购意向申报具体要素及要素说明详见本指南第7章关于债券质押式协议回购的相关规定。</w:t>
      </w:r>
    </w:p>
    <w:p w14:paraId="0DF74093">
      <w:pPr>
        <w:spacing w:line="600" w:lineRule="exact"/>
        <w:ind w:firstLine="600" w:firstLineChars="200"/>
        <w:outlineLvl w:val="3"/>
        <w:rPr>
          <w:rFonts w:ascii="仿宋_GB2312" w:eastAsia="仿宋_GB2312"/>
          <w:color w:val="000000"/>
          <w:sz w:val="30"/>
          <w:szCs w:val="30"/>
        </w:rPr>
      </w:pPr>
      <w:r>
        <w:rPr>
          <w:rFonts w:hint="eastAsia" w:ascii="仿宋_GB2312" w:eastAsia="仿宋_GB2312"/>
          <w:color w:val="000000"/>
          <w:sz w:val="30"/>
          <w:szCs w:val="30"/>
        </w:rPr>
        <w:t>（3）债券质押式三方回购意向申报</w:t>
      </w:r>
    </w:p>
    <w:p w14:paraId="5E55E1F3">
      <w:pPr>
        <w:spacing w:line="60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债券质押式三方回购（以下简称三方回购）意向申报信息，包含回购方向、回购期限、回购利率、金额、三方回购专用证券账户、交易单元、质押券篮子、申报交易参与人简称、申报交易员代码等。</w:t>
      </w:r>
    </w:p>
    <w:p w14:paraId="7E792589">
      <w:pPr>
        <w:spacing w:line="60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三方回购意向申报具体要素及要素说明详见本指南第7章关于债券质押式三方回购的相关规定。</w:t>
      </w:r>
    </w:p>
    <w:p w14:paraId="44C95BA0">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 xml:space="preserve">申报方式 </w:t>
      </w:r>
    </w:p>
    <w:p w14:paraId="4743C601">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本所固定收益平台为意向申报提供电子化接口及客户端，债券交易参与人可通过电子化接口及客户端接入本所系统，并提交意向申报。</w:t>
      </w:r>
    </w:p>
    <w:p w14:paraId="1A329AD2">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关于债券投资者其他接入本所系统相关事宜详见本指南第2章。</w:t>
      </w:r>
    </w:p>
    <w:p w14:paraId="67EA0B9C">
      <w:pPr>
        <w:numPr>
          <w:ilvl w:val="0"/>
          <w:numId w:val="4"/>
        </w:numPr>
        <w:spacing w:line="600" w:lineRule="exact"/>
        <w:outlineLvl w:val="0"/>
        <w:rPr>
          <w:szCs w:val="30"/>
        </w:rPr>
      </w:pPr>
      <w:r>
        <w:rPr>
          <w:rFonts w:ascii="仿宋_GB2312" w:hAnsi="仿宋" w:eastAsia="仿宋_GB2312"/>
          <w:szCs w:val="30"/>
        </w:rPr>
        <w:br w:type="page"/>
      </w:r>
      <w:bookmarkStart w:id="511" w:name="_Toc1153190013"/>
      <w:bookmarkStart w:id="512" w:name="_Toc55318666"/>
      <w:bookmarkStart w:id="513" w:name="_Toc1292624091"/>
      <w:bookmarkStart w:id="514" w:name="_Toc56166085"/>
      <w:bookmarkStart w:id="515" w:name="_Toc48742264"/>
      <w:bookmarkStart w:id="516" w:name="_Toc46910494"/>
      <w:bookmarkStart w:id="517" w:name="_Toc56166274"/>
      <w:bookmarkStart w:id="518" w:name="_Toc151136906"/>
      <w:bookmarkStart w:id="519" w:name="_Toc47455764"/>
      <w:bookmarkStart w:id="520" w:name="_Toc2074809677"/>
      <w:bookmarkStart w:id="521" w:name="_Toc47457021"/>
      <w:bookmarkStart w:id="522" w:name="_Toc1273601072"/>
      <w:r>
        <w:rPr>
          <w:rFonts w:hint="eastAsia" w:ascii="黑体" w:hAnsi="黑体" w:eastAsia="黑体" w:cs="黑体"/>
          <w:b/>
          <w:sz w:val="36"/>
        </w:rPr>
        <w:t>债券现券交易</w:t>
      </w:r>
      <w:bookmarkEnd w:id="511"/>
      <w:bookmarkEnd w:id="512"/>
      <w:bookmarkEnd w:id="513"/>
      <w:bookmarkEnd w:id="514"/>
      <w:bookmarkEnd w:id="515"/>
      <w:bookmarkEnd w:id="516"/>
      <w:bookmarkEnd w:id="517"/>
      <w:bookmarkEnd w:id="518"/>
      <w:bookmarkEnd w:id="519"/>
      <w:bookmarkEnd w:id="520"/>
      <w:bookmarkEnd w:id="521"/>
      <w:bookmarkEnd w:id="522"/>
    </w:p>
    <w:p w14:paraId="27EA3BF1">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本章主要对债券现券交易中的交易品种、现券交易申报与成交、做市业务、特定债券转让、价格异常波动临时停牌机制等事项进行明确。</w:t>
      </w:r>
    </w:p>
    <w:p w14:paraId="4DCBB22C">
      <w:pPr>
        <w:numPr>
          <w:ilvl w:val="1"/>
          <w:numId w:val="4"/>
        </w:numPr>
        <w:spacing w:line="600" w:lineRule="exact"/>
        <w:ind w:left="0" w:firstLine="0"/>
        <w:outlineLvl w:val="1"/>
        <w:rPr>
          <w:rFonts w:ascii="仿宋_GB2312" w:eastAsia="仿宋_GB2312"/>
          <w:b/>
          <w:sz w:val="30"/>
          <w:szCs w:val="30"/>
        </w:rPr>
      </w:pPr>
      <w:bookmarkStart w:id="523" w:name="_Toc46910495"/>
      <w:bookmarkStart w:id="524" w:name="_Toc48742265"/>
      <w:bookmarkStart w:id="525" w:name="_Toc56166275"/>
      <w:bookmarkStart w:id="526" w:name="_Toc502033115"/>
      <w:bookmarkStart w:id="527" w:name="_Toc151136907"/>
      <w:bookmarkStart w:id="528" w:name="_Toc1453990848"/>
      <w:bookmarkStart w:id="529" w:name="_Toc1520996637"/>
      <w:bookmarkStart w:id="530" w:name="_Toc56166086"/>
      <w:bookmarkStart w:id="531" w:name="_Toc55318667"/>
      <w:bookmarkStart w:id="532" w:name="_Toc47455765"/>
      <w:bookmarkStart w:id="533" w:name="_Toc47457022"/>
      <w:bookmarkStart w:id="534" w:name="_Toc1828454772"/>
      <w:r>
        <w:rPr>
          <w:rFonts w:hint="eastAsia" w:ascii="仿宋_GB2312" w:eastAsia="仿宋_GB2312"/>
          <w:b/>
          <w:sz w:val="30"/>
          <w:szCs w:val="30"/>
        </w:rPr>
        <w:t>交易品种</w:t>
      </w:r>
      <w:bookmarkEnd w:id="523"/>
      <w:bookmarkEnd w:id="524"/>
      <w:bookmarkEnd w:id="525"/>
      <w:bookmarkEnd w:id="526"/>
      <w:bookmarkEnd w:id="527"/>
      <w:bookmarkEnd w:id="528"/>
      <w:bookmarkEnd w:id="529"/>
      <w:bookmarkEnd w:id="530"/>
      <w:bookmarkEnd w:id="531"/>
      <w:bookmarkEnd w:id="532"/>
      <w:bookmarkEnd w:id="533"/>
      <w:bookmarkEnd w:id="534"/>
    </w:p>
    <w:p w14:paraId="32222FF2">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目前在本所债券市场挂牌交易的债券现券包括国债、地方政府债券、政策性金融债、政府支持债券、公司债券、资产支持证券、可交换公司债券、</w:t>
      </w:r>
      <w:r>
        <w:rPr>
          <w:rFonts w:ascii="仿宋_GB2312" w:hAnsi="仿宋" w:eastAsia="仿宋_GB2312"/>
          <w:sz w:val="30"/>
          <w:szCs w:val="30"/>
        </w:rPr>
        <w:t>可转换公司</w:t>
      </w:r>
      <w:r>
        <w:rPr>
          <w:rFonts w:hint="eastAsia" w:ascii="仿宋_GB2312" w:hAnsi="仿宋" w:eastAsia="仿宋_GB2312"/>
          <w:sz w:val="30"/>
          <w:szCs w:val="30"/>
        </w:rPr>
        <w:t>债券等品种：</w:t>
      </w:r>
    </w:p>
    <w:p w14:paraId="6EBC869D">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（1）国债</w:t>
      </w:r>
    </w:p>
    <w:p w14:paraId="46B05DC8">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国债是国家为筹集财政资金，以其信用为基础，通过向社会筹集资金所形成的债权债务关系。目前，我国国债托管在交易所市场的均为记账式国债。记账式国债又分为附息国债和贴现国债两类。附息国债定期支付利息、到期还本付息、期限为</w:t>
      </w:r>
      <w:r>
        <w:rPr>
          <w:rFonts w:ascii="仿宋_GB2312" w:hAnsi="仿宋" w:eastAsia="仿宋_GB2312"/>
          <w:sz w:val="30"/>
          <w:szCs w:val="30"/>
        </w:rPr>
        <w:t>1年以上（含1年）。贴现国债以低于面值的价格贴现发行、到期按面值还本、期限为1年以下（不含1年）。</w:t>
      </w:r>
    </w:p>
    <w:p w14:paraId="7DA503E2">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（2）</w:t>
      </w:r>
      <w:r>
        <w:rPr>
          <w:rFonts w:ascii="仿宋_GB2312" w:hAnsi="仿宋" w:eastAsia="仿宋_GB2312"/>
          <w:sz w:val="30"/>
          <w:szCs w:val="30"/>
        </w:rPr>
        <w:t>地方政府债券（以下简称地方债）</w:t>
      </w:r>
    </w:p>
    <w:p w14:paraId="64DC692C">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地方债是指地方政府、地方公共机构发行的债券。一般用于交通、通讯、住宅、教育、医院和污水处理系统等的建设，以当地政府的税收能力和其他收入作为还本付息的担保，包含地方政府一般债券、地方政府专项债券。</w:t>
      </w:r>
      <w:r>
        <w:rPr>
          <w:rFonts w:ascii="仿宋_GB2312" w:hAnsi="仿宋" w:eastAsia="仿宋_GB2312"/>
          <w:sz w:val="30"/>
          <w:szCs w:val="30"/>
        </w:rPr>
        <w:t xml:space="preserve"> </w:t>
      </w:r>
    </w:p>
    <w:p w14:paraId="156BA981">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（3）</w:t>
      </w:r>
      <w:r>
        <w:rPr>
          <w:rFonts w:ascii="仿宋_GB2312" w:hAnsi="仿宋" w:eastAsia="仿宋_GB2312"/>
          <w:sz w:val="30"/>
          <w:szCs w:val="30"/>
        </w:rPr>
        <w:t>政策性金融债</w:t>
      </w:r>
    </w:p>
    <w:p w14:paraId="7B6CE081">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政策性金融债是由我国政策性银行为筹集信贷资金，经国务院批准向银行金融机构及其机构发行的金融债券，包含国家开发银行金融债券、农业发展银行金融债券和进出口银行金融债券。</w:t>
      </w:r>
    </w:p>
    <w:p w14:paraId="6E4E68FE">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（4）</w:t>
      </w:r>
      <w:r>
        <w:rPr>
          <w:rFonts w:ascii="仿宋_GB2312" w:hAnsi="仿宋" w:eastAsia="仿宋_GB2312"/>
          <w:sz w:val="30"/>
          <w:szCs w:val="30"/>
        </w:rPr>
        <w:t>政府支持债券</w:t>
      </w:r>
    </w:p>
    <w:p w14:paraId="184BBE4D">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政府支持债券是政府机构证券的一种，在交易所市场指</w:t>
      </w:r>
      <w:r>
        <w:fldChar w:fldCharType="begin"/>
      </w:r>
      <w:r>
        <w:instrText xml:space="preserve"> HYPERLINK "http://x/local/!CommandParam(8514,CompanyId=2002209)" </w:instrText>
      </w:r>
      <w:r>
        <w:fldChar w:fldCharType="separate"/>
      </w:r>
      <w:r>
        <w:rPr>
          <w:rFonts w:hint="eastAsia" w:ascii="仿宋_GB2312" w:hAnsi="仿宋" w:eastAsia="仿宋_GB2312"/>
          <w:sz w:val="30"/>
          <w:szCs w:val="30"/>
        </w:rPr>
        <w:t>中国国家铁路集团有限公司</w:t>
      </w:r>
      <w:r>
        <w:rPr>
          <w:rFonts w:hint="eastAsia" w:ascii="仿宋_GB2312" w:hAnsi="仿宋" w:eastAsia="仿宋_GB2312"/>
          <w:sz w:val="30"/>
          <w:szCs w:val="30"/>
        </w:rPr>
        <w:fldChar w:fldCharType="end"/>
      </w:r>
      <w:r>
        <w:rPr>
          <w:rFonts w:hint="eastAsia" w:ascii="仿宋_GB2312" w:hAnsi="仿宋" w:eastAsia="仿宋_GB2312"/>
          <w:sz w:val="30"/>
          <w:szCs w:val="30"/>
        </w:rPr>
        <w:t>（原铁道部）发行的铁路建设债券。自</w:t>
      </w:r>
      <w:r>
        <w:rPr>
          <w:rFonts w:ascii="仿宋_GB2312" w:hAnsi="仿宋" w:eastAsia="仿宋_GB2312"/>
          <w:sz w:val="30"/>
          <w:szCs w:val="30"/>
        </w:rPr>
        <w:t>2011年10月起，中国铁路建设债券被认定为“政府支持债券”</w:t>
      </w:r>
      <w:r>
        <w:rPr>
          <w:rFonts w:hint="eastAsia" w:ascii="仿宋_GB2312" w:hAnsi="仿宋" w:eastAsia="仿宋_GB2312"/>
          <w:sz w:val="30"/>
          <w:szCs w:val="30"/>
        </w:rPr>
        <w:t>。</w:t>
      </w:r>
    </w:p>
    <w:p w14:paraId="6EE5DB56">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（5）公司债券</w:t>
      </w:r>
    </w:p>
    <w:p w14:paraId="0631EF2B">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公司债券是指公司依照法定程序发行、约定在一定期限内还本付息的有价证券。公司债以公司制法人作为发行主体，按照法定程序发行，到期还本付息的有价证券。</w:t>
      </w:r>
    </w:p>
    <w:p w14:paraId="5B4B1970">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w:t>
      </w:r>
      <w:r>
        <w:rPr>
          <w:rFonts w:ascii="仿宋_GB2312" w:hAnsi="仿宋" w:eastAsia="仿宋_GB2312"/>
          <w:sz w:val="30"/>
          <w:szCs w:val="30"/>
        </w:rPr>
        <w:t>6</w:t>
      </w:r>
      <w:r>
        <w:rPr>
          <w:rFonts w:hint="eastAsia" w:ascii="仿宋_GB2312" w:hAnsi="仿宋" w:eastAsia="仿宋_GB2312"/>
          <w:sz w:val="30"/>
          <w:szCs w:val="30"/>
        </w:rPr>
        <w:t>）</w:t>
      </w:r>
      <w:r>
        <w:rPr>
          <w:rFonts w:ascii="仿宋_GB2312" w:hAnsi="仿宋" w:eastAsia="仿宋_GB2312"/>
          <w:sz w:val="30"/>
          <w:szCs w:val="30"/>
        </w:rPr>
        <w:t>资产支持证券</w:t>
      </w:r>
    </w:p>
    <w:p w14:paraId="4CE4FD61">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资产支持证券，是指企业或其他融资主体将合法享有的、缺乏流动性但具有可预测的稳定现金流的资产或资产组合（基础资产）出售给特定的机构或载体（</w:t>
      </w:r>
      <w:r>
        <w:rPr>
          <w:rFonts w:ascii="仿宋_GB2312" w:hAnsi="仿宋" w:eastAsia="仿宋_GB2312"/>
          <w:sz w:val="30"/>
          <w:szCs w:val="30"/>
        </w:rPr>
        <w:t>SPV），SPV以该基础资产产生的现金流为支持发行证券，以获得融资并最大化提高资产流动性的一种结构性融资</w:t>
      </w:r>
      <w:r>
        <w:rPr>
          <w:rFonts w:hint="eastAsia" w:ascii="仿宋_GB2312" w:hAnsi="仿宋" w:eastAsia="仿宋_GB2312"/>
          <w:sz w:val="30"/>
          <w:szCs w:val="30"/>
        </w:rPr>
        <w:t>工具</w:t>
      </w:r>
      <w:r>
        <w:rPr>
          <w:rFonts w:ascii="仿宋_GB2312" w:hAnsi="仿宋" w:eastAsia="仿宋_GB2312"/>
          <w:sz w:val="30"/>
          <w:szCs w:val="30"/>
        </w:rPr>
        <w:t>。</w:t>
      </w:r>
    </w:p>
    <w:p w14:paraId="76DA93C1">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w:t>
      </w:r>
      <w:r>
        <w:rPr>
          <w:rFonts w:ascii="仿宋_GB2312" w:hAnsi="仿宋" w:eastAsia="仿宋_GB2312"/>
          <w:sz w:val="30"/>
          <w:szCs w:val="30"/>
        </w:rPr>
        <w:t>7</w:t>
      </w:r>
      <w:r>
        <w:rPr>
          <w:rFonts w:hint="eastAsia" w:ascii="仿宋_GB2312" w:hAnsi="仿宋" w:eastAsia="仿宋_GB2312"/>
          <w:sz w:val="30"/>
          <w:szCs w:val="30"/>
        </w:rPr>
        <w:t>）</w:t>
      </w:r>
      <w:r>
        <w:rPr>
          <w:rFonts w:ascii="仿宋_GB2312" w:hAnsi="仿宋" w:eastAsia="仿宋_GB2312"/>
          <w:sz w:val="30"/>
          <w:szCs w:val="30"/>
        </w:rPr>
        <w:t>可交换</w:t>
      </w:r>
      <w:r>
        <w:rPr>
          <w:rFonts w:hint="eastAsia" w:ascii="仿宋_GB2312" w:hAnsi="仿宋" w:eastAsia="仿宋_GB2312"/>
          <w:sz w:val="30"/>
          <w:szCs w:val="30"/>
        </w:rPr>
        <w:t>公司</w:t>
      </w:r>
      <w:r>
        <w:rPr>
          <w:rFonts w:ascii="仿宋_GB2312" w:hAnsi="仿宋" w:eastAsia="仿宋_GB2312"/>
          <w:sz w:val="30"/>
          <w:szCs w:val="30"/>
        </w:rPr>
        <w:t>债券</w:t>
      </w:r>
    </w:p>
    <w:p w14:paraId="42BFAF77">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可交换债券是指上市公司的股东依法发行、在一定期限内依据约定的条件可以交换成该股东所持有的上市公司股票的债券品种。可交换债的持有人有权按一定条件将债券交换为标的公司的股票，在此之前可定期获得如纯债一样的票息，若持有到期未行权可获得到期本息偿付。</w:t>
      </w:r>
    </w:p>
    <w:p w14:paraId="009C1A72">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w:t>
      </w:r>
      <w:r>
        <w:rPr>
          <w:rFonts w:ascii="仿宋_GB2312" w:hAnsi="仿宋" w:eastAsia="仿宋_GB2312"/>
          <w:sz w:val="30"/>
          <w:szCs w:val="30"/>
        </w:rPr>
        <w:t>8</w:t>
      </w:r>
      <w:r>
        <w:rPr>
          <w:rFonts w:hint="eastAsia" w:ascii="仿宋_GB2312" w:hAnsi="仿宋" w:eastAsia="仿宋_GB2312"/>
          <w:sz w:val="30"/>
          <w:szCs w:val="30"/>
        </w:rPr>
        <w:t>）可转换</w:t>
      </w:r>
      <w:r>
        <w:rPr>
          <w:rFonts w:ascii="仿宋_GB2312" w:hAnsi="仿宋" w:eastAsia="仿宋_GB2312"/>
          <w:sz w:val="30"/>
          <w:szCs w:val="30"/>
        </w:rPr>
        <w:t>公司债券</w:t>
      </w:r>
    </w:p>
    <w:p w14:paraId="38A03306">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可转换</w:t>
      </w:r>
      <w:r>
        <w:rPr>
          <w:rFonts w:ascii="仿宋_GB2312" w:hAnsi="仿宋" w:eastAsia="仿宋_GB2312"/>
          <w:sz w:val="30"/>
          <w:szCs w:val="30"/>
        </w:rPr>
        <w:t>公司债券</w:t>
      </w:r>
      <w:r>
        <w:rPr>
          <w:rFonts w:hint="eastAsia" w:ascii="仿宋_GB2312" w:hAnsi="仿宋" w:eastAsia="仿宋_GB2312"/>
          <w:sz w:val="30"/>
          <w:szCs w:val="30"/>
        </w:rPr>
        <w:t>是指上市公司</w:t>
      </w:r>
      <w:r>
        <w:rPr>
          <w:rFonts w:ascii="仿宋_GB2312" w:hAnsi="仿宋" w:eastAsia="仿宋_GB2312"/>
          <w:sz w:val="30"/>
          <w:szCs w:val="30"/>
        </w:rPr>
        <w:t>依法发行、在一定期间内依据约定的条件可以转换成本公司股票的公司债券。</w:t>
      </w:r>
    </w:p>
    <w:p w14:paraId="2D7E868E">
      <w:pPr>
        <w:spacing w:line="600" w:lineRule="exact"/>
        <w:ind w:firstLine="600" w:firstLineChars="200"/>
        <w:rPr>
          <w:rFonts w:ascii="仿宋_GB2312" w:hAnsi="仿宋" w:eastAsia="仿宋_GB2312"/>
          <w:sz w:val="30"/>
          <w:szCs w:val="30"/>
        </w:rPr>
      </w:pPr>
      <w:r>
        <w:rPr>
          <w:rFonts w:hint="eastAsia" w:ascii="仿宋_GB2312" w:eastAsia="仿宋_GB2312"/>
          <w:color w:val="000000"/>
          <w:sz w:val="30"/>
          <w:szCs w:val="30"/>
        </w:rPr>
        <w:t>本所对上市公司发行的可转换公司债券的交易</w:t>
      </w:r>
      <w:r>
        <w:rPr>
          <w:rFonts w:ascii="仿宋_GB2312" w:eastAsia="仿宋_GB2312"/>
          <w:color w:val="000000"/>
          <w:sz w:val="30"/>
          <w:szCs w:val="30"/>
        </w:rPr>
        <w:t>另有规定的</w:t>
      </w:r>
      <w:r>
        <w:rPr>
          <w:rFonts w:hint="eastAsia" w:ascii="仿宋_GB2312" w:eastAsia="仿宋_GB2312"/>
          <w:color w:val="000000"/>
          <w:sz w:val="30"/>
          <w:szCs w:val="30"/>
        </w:rPr>
        <w:t>，</w:t>
      </w:r>
      <w:r>
        <w:rPr>
          <w:rFonts w:ascii="仿宋_GB2312" w:eastAsia="仿宋_GB2312"/>
          <w:color w:val="000000"/>
          <w:sz w:val="30"/>
          <w:szCs w:val="30"/>
        </w:rPr>
        <w:t>从其规定</w:t>
      </w:r>
      <w:r>
        <w:rPr>
          <w:rFonts w:hint="eastAsia" w:ascii="仿宋_GB2312" w:eastAsia="仿宋_GB2312"/>
          <w:color w:val="000000"/>
          <w:sz w:val="30"/>
          <w:szCs w:val="30"/>
        </w:rPr>
        <w:t>。</w:t>
      </w:r>
    </w:p>
    <w:p w14:paraId="6D78EC56">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w:t>
      </w:r>
      <w:r>
        <w:rPr>
          <w:rFonts w:ascii="仿宋_GB2312" w:hAnsi="仿宋" w:eastAsia="仿宋_GB2312"/>
          <w:sz w:val="30"/>
          <w:szCs w:val="30"/>
        </w:rPr>
        <w:t>9</w:t>
      </w:r>
      <w:r>
        <w:rPr>
          <w:rFonts w:hint="eastAsia" w:ascii="仿宋_GB2312" w:hAnsi="仿宋" w:eastAsia="仿宋_GB2312"/>
          <w:sz w:val="30"/>
          <w:szCs w:val="30"/>
        </w:rPr>
        <w:t>）</w:t>
      </w:r>
      <w:r>
        <w:rPr>
          <w:rFonts w:ascii="仿宋_GB2312" w:hAnsi="仿宋" w:eastAsia="仿宋_GB2312"/>
          <w:sz w:val="30"/>
          <w:szCs w:val="30"/>
        </w:rPr>
        <w:t>本所规定的其他品种</w:t>
      </w:r>
    </w:p>
    <w:p w14:paraId="30DE4BD0">
      <w:pPr>
        <w:numPr>
          <w:ilvl w:val="1"/>
          <w:numId w:val="4"/>
        </w:numPr>
        <w:spacing w:line="600" w:lineRule="exact"/>
        <w:ind w:left="0" w:firstLine="0"/>
        <w:outlineLvl w:val="1"/>
        <w:rPr>
          <w:rFonts w:ascii="仿宋_GB2312" w:eastAsia="仿宋_GB2312"/>
          <w:b/>
          <w:sz w:val="30"/>
          <w:szCs w:val="30"/>
        </w:rPr>
      </w:pPr>
      <w:bookmarkStart w:id="535" w:name="_Toc56166087"/>
      <w:bookmarkStart w:id="536" w:name="_Toc631157597"/>
      <w:bookmarkStart w:id="537" w:name="_Toc56166276"/>
      <w:bookmarkStart w:id="538" w:name="_Toc48742266"/>
      <w:bookmarkStart w:id="539" w:name="_Toc1311990200"/>
      <w:bookmarkStart w:id="540" w:name="_Toc1514371436"/>
      <w:bookmarkStart w:id="541" w:name="_Toc55318668"/>
      <w:bookmarkStart w:id="542" w:name="_Toc151136908"/>
      <w:bookmarkStart w:id="543" w:name="_Toc1487610354"/>
      <w:r>
        <w:rPr>
          <w:rFonts w:hint="eastAsia" w:ascii="仿宋_GB2312" w:eastAsia="仿宋_GB2312"/>
          <w:b/>
          <w:sz w:val="30"/>
          <w:szCs w:val="30"/>
        </w:rPr>
        <w:t>现券交易申报与成交</w:t>
      </w:r>
      <w:bookmarkEnd w:id="535"/>
      <w:bookmarkEnd w:id="536"/>
      <w:bookmarkEnd w:id="537"/>
      <w:bookmarkEnd w:id="538"/>
      <w:bookmarkEnd w:id="539"/>
      <w:bookmarkEnd w:id="540"/>
      <w:bookmarkEnd w:id="541"/>
      <w:bookmarkEnd w:id="542"/>
      <w:bookmarkEnd w:id="543"/>
    </w:p>
    <w:p w14:paraId="05F9D547">
      <w:pPr>
        <w:spacing w:line="600" w:lineRule="exact"/>
        <w:ind w:firstLine="600" w:firstLineChars="200"/>
        <w:rPr>
          <w:rFonts w:ascii="仿宋_GB2312" w:hAnsi="微软雅黑"/>
          <w:sz w:val="30"/>
        </w:rPr>
      </w:pPr>
      <w:r>
        <w:rPr>
          <w:rFonts w:hint="eastAsia" w:ascii="仿宋_GB2312" w:hAnsi="微软雅黑" w:eastAsia="仿宋_GB2312"/>
          <w:sz w:val="30"/>
          <w:szCs w:val="30"/>
        </w:rPr>
        <w:t>债券交易参与人在进行现券交易申报与成交时，相关</w:t>
      </w:r>
      <w:r>
        <w:rPr>
          <w:rFonts w:ascii="仿宋_GB2312" w:hAnsi="微软雅黑" w:eastAsia="仿宋_GB2312"/>
          <w:sz w:val="30"/>
          <w:szCs w:val="30"/>
        </w:rPr>
        <w:t>申报数量要求、申报价格最小变动单位及价格限制、有效申报价格范围</w:t>
      </w:r>
      <w:r>
        <w:rPr>
          <w:rFonts w:hint="eastAsia" w:ascii="仿宋_GB2312" w:hAnsi="微软雅黑" w:eastAsia="仿宋_GB2312"/>
          <w:sz w:val="30"/>
          <w:szCs w:val="30"/>
        </w:rPr>
        <w:t>、申报有效期及申报撤销安排、成交原则、交易解除安排、交易对手范围设置、不同交易方式的申报要素要求等详见本指南第4章和第5章的相关规定。</w:t>
      </w:r>
    </w:p>
    <w:p w14:paraId="5529AD47">
      <w:pPr>
        <w:numPr>
          <w:ilvl w:val="1"/>
          <w:numId w:val="4"/>
        </w:numPr>
        <w:spacing w:line="600" w:lineRule="exact"/>
        <w:ind w:left="0" w:firstLine="0"/>
        <w:outlineLvl w:val="1"/>
        <w:rPr>
          <w:rFonts w:ascii="仿宋_GB2312" w:eastAsia="仿宋_GB2312"/>
          <w:b/>
          <w:sz w:val="30"/>
          <w:szCs w:val="30"/>
        </w:rPr>
      </w:pPr>
      <w:bookmarkStart w:id="544" w:name="_Toc47457041"/>
      <w:bookmarkEnd w:id="544"/>
      <w:bookmarkStart w:id="545" w:name="_Toc47451747"/>
      <w:bookmarkEnd w:id="545"/>
      <w:bookmarkStart w:id="546" w:name="_Toc47451748"/>
      <w:bookmarkEnd w:id="546"/>
      <w:bookmarkStart w:id="547" w:name="_Toc47442992"/>
      <w:bookmarkEnd w:id="547"/>
      <w:bookmarkStart w:id="548" w:name="_Toc47366746"/>
      <w:bookmarkEnd w:id="548"/>
      <w:bookmarkStart w:id="549" w:name="_Toc47372551"/>
      <w:bookmarkEnd w:id="549"/>
      <w:bookmarkStart w:id="550" w:name="_Toc47366749"/>
      <w:bookmarkEnd w:id="550"/>
      <w:bookmarkStart w:id="551" w:name="_Toc47457045"/>
      <w:bookmarkEnd w:id="551"/>
      <w:bookmarkStart w:id="552" w:name="_Toc47452083"/>
      <w:bookmarkEnd w:id="552"/>
      <w:bookmarkStart w:id="553" w:name="_Toc47443681"/>
      <w:bookmarkEnd w:id="553"/>
      <w:bookmarkStart w:id="554" w:name="_Toc47451361"/>
      <w:bookmarkEnd w:id="554"/>
      <w:bookmarkStart w:id="555" w:name="_Toc47451497"/>
      <w:bookmarkEnd w:id="555"/>
      <w:bookmarkStart w:id="556" w:name="_Toc47345557"/>
      <w:bookmarkEnd w:id="556"/>
      <w:bookmarkStart w:id="557" w:name="_Toc47347755"/>
      <w:bookmarkEnd w:id="557"/>
      <w:bookmarkStart w:id="558" w:name="_Toc46147894"/>
      <w:bookmarkEnd w:id="558"/>
      <w:bookmarkStart w:id="559" w:name="_Toc47457044"/>
      <w:bookmarkEnd w:id="559"/>
      <w:bookmarkStart w:id="560" w:name="_Toc47457027"/>
      <w:bookmarkEnd w:id="560"/>
      <w:bookmarkStart w:id="561" w:name="_Toc47443108"/>
      <w:bookmarkEnd w:id="561"/>
      <w:bookmarkStart w:id="562" w:name="_Toc47372550"/>
      <w:bookmarkEnd w:id="562"/>
      <w:bookmarkStart w:id="563" w:name="_Toc47442985"/>
      <w:bookmarkEnd w:id="563"/>
      <w:bookmarkStart w:id="564" w:name="_Toc47455781"/>
      <w:bookmarkEnd w:id="564"/>
      <w:bookmarkStart w:id="565" w:name="_Toc47451756"/>
      <w:bookmarkEnd w:id="565"/>
      <w:bookmarkStart w:id="566" w:name="_Toc47443682"/>
      <w:bookmarkEnd w:id="566"/>
      <w:bookmarkStart w:id="567" w:name="_Toc47452081"/>
      <w:bookmarkEnd w:id="567"/>
      <w:bookmarkStart w:id="568" w:name="_Toc47452090"/>
      <w:bookmarkEnd w:id="568"/>
      <w:bookmarkStart w:id="569" w:name="_Toc47457035"/>
      <w:bookmarkEnd w:id="569"/>
      <w:bookmarkStart w:id="570" w:name="_Toc47452080"/>
      <w:bookmarkEnd w:id="570"/>
      <w:bookmarkStart w:id="571" w:name="_Toc47346916"/>
      <w:bookmarkEnd w:id="571"/>
      <w:bookmarkStart w:id="572" w:name="_Toc47372543"/>
      <w:bookmarkEnd w:id="572"/>
      <w:bookmarkStart w:id="573" w:name="_Toc47346914"/>
      <w:bookmarkEnd w:id="573"/>
      <w:bookmarkStart w:id="574" w:name="_Toc47451379"/>
      <w:bookmarkEnd w:id="574"/>
      <w:bookmarkStart w:id="575" w:name="_Toc46137838"/>
      <w:bookmarkEnd w:id="575"/>
      <w:bookmarkStart w:id="576" w:name="_Toc47366764"/>
      <w:bookmarkEnd w:id="576"/>
      <w:bookmarkStart w:id="577" w:name="_Toc47451359"/>
      <w:bookmarkEnd w:id="577"/>
      <w:bookmarkStart w:id="578" w:name="_Toc47346908"/>
      <w:bookmarkEnd w:id="578"/>
      <w:bookmarkStart w:id="579" w:name="_Toc47451370"/>
      <w:bookmarkEnd w:id="579"/>
      <w:bookmarkStart w:id="580" w:name="_Toc47452091"/>
      <w:bookmarkEnd w:id="580"/>
      <w:bookmarkStart w:id="581" w:name="_Toc47346924"/>
      <w:bookmarkEnd w:id="581"/>
      <w:bookmarkStart w:id="582" w:name="_Toc47345559"/>
      <w:bookmarkEnd w:id="582"/>
      <w:bookmarkStart w:id="583" w:name="_Toc47372561"/>
      <w:bookmarkEnd w:id="583"/>
      <w:bookmarkStart w:id="584" w:name="_Toc47451755"/>
      <w:bookmarkEnd w:id="584"/>
      <w:bookmarkStart w:id="585" w:name="_Toc47451500"/>
      <w:bookmarkEnd w:id="585"/>
      <w:bookmarkStart w:id="586" w:name="_Toc47443095"/>
      <w:bookmarkEnd w:id="586"/>
      <w:bookmarkStart w:id="587" w:name="_Toc47442987"/>
      <w:bookmarkEnd w:id="587"/>
      <w:bookmarkStart w:id="588" w:name="_Toc47457043"/>
      <w:bookmarkEnd w:id="588"/>
      <w:bookmarkStart w:id="589" w:name="_Toc47455782"/>
      <w:bookmarkEnd w:id="589"/>
      <w:bookmarkStart w:id="590" w:name="_Toc46147887"/>
      <w:bookmarkEnd w:id="590"/>
      <w:bookmarkStart w:id="591" w:name="_Toc47455775"/>
      <w:bookmarkEnd w:id="591"/>
      <w:bookmarkStart w:id="592" w:name="_Toc47366767"/>
      <w:bookmarkEnd w:id="592"/>
      <w:bookmarkStart w:id="593" w:name="_Toc47457046"/>
      <w:bookmarkEnd w:id="593"/>
      <w:bookmarkStart w:id="594" w:name="_Toc47442984"/>
      <w:bookmarkEnd w:id="594"/>
      <w:bookmarkStart w:id="595" w:name="_Toc46137837"/>
      <w:bookmarkEnd w:id="595"/>
      <w:bookmarkStart w:id="596" w:name="_Toc47372563"/>
      <w:bookmarkEnd w:id="596"/>
      <w:bookmarkStart w:id="597" w:name="_Toc47455789"/>
      <w:bookmarkEnd w:id="597"/>
      <w:bookmarkStart w:id="598" w:name="_Toc46137833"/>
      <w:bookmarkEnd w:id="598"/>
      <w:bookmarkStart w:id="599" w:name="_Toc47452087"/>
      <w:bookmarkEnd w:id="599"/>
      <w:bookmarkStart w:id="600" w:name="_Toc47443686"/>
      <w:bookmarkEnd w:id="600"/>
      <w:bookmarkStart w:id="601" w:name="_Toc47451487"/>
      <w:bookmarkEnd w:id="601"/>
      <w:bookmarkStart w:id="602" w:name="_Toc47455768"/>
      <w:bookmarkEnd w:id="602"/>
      <w:bookmarkStart w:id="603" w:name="_Toc47452096"/>
      <w:bookmarkEnd w:id="603"/>
      <w:bookmarkStart w:id="604" w:name="_Toc47457023"/>
      <w:bookmarkEnd w:id="604"/>
      <w:bookmarkStart w:id="605" w:name="_Toc47443005"/>
      <w:bookmarkEnd w:id="605"/>
      <w:bookmarkStart w:id="606" w:name="_Toc47443101"/>
      <w:bookmarkEnd w:id="606"/>
      <w:bookmarkStart w:id="607" w:name="_Toc47366762"/>
      <w:bookmarkEnd w:id="607"/>
      <w:bookmarkStart w:id="608" w:name="_Toc47366765"/>
      <w:bookmarkEnd w:id="608"/>
      <w:bookmarkStart w:id="609" w:name="_Toc47451479"/>
      <w:bookmarkEnd w:id="609"/>
      <w:bookmarkStart w:id="610" w:name="_Toc47443102"/>
      <w:bookmarkEnd w:id="610"/>
      <w:bookmarkStart w:id="611" w:name="_Toc47347738"/>
      <w:bookmarkEnd w:id="611"/>
      <w:bookmarkStart w:id="612" w:name="_Toc47443679"/>
      <w:bookmarkEnd w:id="612"/>
      <w:bookmarkStart w:id="613" w:name="_Toc47451380"/>
      <w:bookmarkEnd w:id="613"/>
      <w:bookmarkStart w:id="614" w:name="_Toc47443683"/>
      <w:bookmarkEnd w:id="614"/>
      <w:bookmarkStart w:id="615" w:name="_Toc47372546"/>
      <w:bookmarkEnd w:id="615"/>
      <w:bookmarkStart w:id="616" w:name="_Toc47457036"/>
      <w:bookmarkEnd w:id="616"/>
      <w:bookmarkStart w:id="617" w:name="_Toc47452079"/>
      <w:bookmarkEnd w:id="617"/>
      <w:bookmarkStart w:id="618" w:name="_Toc47457039"/>
      <w:bookmarkEnd w:id="618"/>
      <w:bookmarkStart w:id="619" w:name="_Toc47346927"/>
      <w:bookmarkEnd w:id="619"/>
      <w:bookmarkStart w:id="620" w:name="_Toc47455783"/>
      <w:bookmarkEnd w:id="620"/>
      <w:bookmarkStart w:id="621" w:name="_Toc47455771"/>
      <w:bookmarkEnd w:id="621"/>
      <w:bookmarkStart w:id="622" w:name="_Toc47372562"/>
      <w:bookmarkEnd w:id="622"/>
      <w:bookmarkStart w:id="623" w:name="_Toc47451493"/>
      <w:bookmarkEnd w:id="623"/>
      <w:bookmarkStart w:id="624" w:name="_Toc47455766"/>
      <w:bookmarkEnd w:id="624"/>
      <w:bookmarkStart w:id="625" w:name="_Toc46147902"/>
      <w:bookmarkEnd w:id="625"/>
      <w:bookmarkStart w:id="626" w:name="_Toc47451498"/>
      <w:bookmarkEnd w:id="626"/>
      <w:bookmarkStart w:id="627" w:name="_Toc47452074"/>
      <w:bookmarkEnd w:id="627"/>
      <w:bookmarkStart w:id="628" w:name="_Toc47366748"/>
      <w:bookmarkEnd w:id="628"/>
      <w:bookmarkStart w:id="629" w:name="_Toc47443672"/>
      <w:bookmarkEnd w:id="629"/>
      <w:bookmarkStart w:id="630" w:name="_Toc47442986"/>
      <w:bookmarkEnd w:id="630"/>
      <w:bookmarkStart w:id="631" w:name="_Toc47451759"/>
      <w:bookmarkEnd w:id="631"/>
      <w:bookmarkStart w:id="632" w:name="_Toc47345558"/>
      <w:bookmarkEnd w:id="632"/>
      <w:bookmarkStart w:id="633" w:name="_Toc47443669"/>
      <w:bookmarkEnd w:id="633"/>
      <w:bookmarkStart w:id="634" w:name="_Toc47455772"/>
      <w:bookmarkEnd w:id="634"/>
      <w:bookmarkStart w:id="635" w:name="_Toc47455787"/>
      <w:bookmarkEnd w:id="635"/>
      <w:bookmarkStart w:id="636" w:name="_Toc47366756"/>
      <w:bookmarkEnd w:id="636"/>
      <w:bookmarkStart w:id="637" w:name="_Toc47452082"/>
      <w:bookmarkEnd w:id="637"/>
      <w:bookmarkStart w:id="638" w:name="_Toc46147882"/>
      <w:bookmarkEnd w:id="638"/>
      <w:bookmarkStart w:id="639" w:name="_Toc47451375"/>
      <w:bookmarkEnd w:id="639"/>
      <w:bookmarkStart w:id="640" w:name="_Toc47443007"/>
      <w:bookmarkEnd w:id="640"/>
      <w:bookmarkStart w:id="641" w:name="_Toc47457024"/>
      <w:bookmarkEnd w:id="641"/>
      <w:bookmarkStart w:id="642" w:name="_Toc47346917"/>
      <w:bookmarkEnd w:id="642"/>
      <w:bookmarkStart w:id="643" w:name="_Toc47457038"/>
      <w:bookmarkEnd w:id="643"/>
      <w:bookmarkStart w:id="644" w:name="_Toc47443110"/>
      <w:bookmarkEnd w:id="644"/>
      <w:bookmarkStart w:id="645" w:name="_Toc47443676"/>
      <w:bookmarkEnd w:id="645"/>
      <w:bookmarkStart w:id="646" w:name="_Toc47346909"/>
      <w:bookmarkEnd w:id="646"/>
      <w:bookmarkStart w:id="647" w:name="_Toc47347753"/>
      <w:bookmarkEnd w:id="647"/>
      <w:bookmarkStart w:id="648" w:name="_Toc47455780"/>
      <w:bookmarkEnd w:id="648"/>
      <w:bookmarkStart w:id="649" w:name="_Toc47442990"/>
      <w:bookmarkEnd w:id="649"/>
      <w:bookmarkStart w:id="650" w:name="_Toc47346911"/>
      <w:bookmarkEnd w:id="650"/>
      <w:bookmarkStart w:id="651" w:name="_Toc47347747"/>
      <w:bookmarkEnd w:id="651"/>
      <w:bookmarkStart w:id="652" w:name="_Toc47451494"/>
      <w:bookmarkEnd w:id="652"/>
      <w:bookmarkStart w:id="653" w:name="_Toc47451492"/>
      <w:bookmarkEnd w:id="653"/>
      <w:bookmarkStart w:id="654" w:name="_Toc47372556"/>
      <w:bookmarkEnd w:id="654"/>
      <w:bookmarkStart w:id="655" w:name="_Toc46147893"/>
      <w:bookmarkEnd w:id="655"/>
      <w:bookmarkStart w:id="656" w:name="_Toc47443103"/>
      <w:bookmarkEnd w:id="656"/>
      <w:bookmarkStart w:id="657" w:name="_Toc47451482"/>
      <w:bookmarkEnd w:id="657"/>
      <w:bookmarkStart w:id="658" w:name="_Toc47451485"/>
      <w:bookmarkEnd w:id="658"/>
      <w:bookmarkStart w:id="659" w:name="_Toc46137831"/>
      <w:bookmarkEnd w:id="659"/>
      <w:bookmarkStart w:id="660" w:name="_Toc47451749"/>
      <w:bookmarkEnd w:id="660"/>
      <w:bookmarkStart w:id="661" w:name="_Toc47451763"/>
      <w:bookmarkEnd w:id="661"/>
      <w:bookmarkStart w:id="662" w:name="_Toc47451365"/>
      <w:bookmarkEnd w:id="662"/>
      <w:bookmarkStart w:id="663" w:name="_Toc47455788"/>
      <w:bookmarkEnd w:id="663"/>
      <w:bookmarkStart w:id="664" w:name="_Toc47451377"/>
      <w:bookmarkEnd w:id="664"/>
      <w:bookmarkStart w:id="665" w:name="_Toc47455785"/>
      <w:bookmarkEnd w:id="665"/>
      <w:bookmarkStart w:id="666" w:name="_Toc47443680"/>
      <w:bookmarkEnd w:id="666"/>
      <w:bookmarkStart w:id="667" w:name="_Toc47451757"/>
      <w:bookmarkEnd w:id="667"/>
      <w:bookmarkStart w:id="668" w:name="_Toc47443673"/>
      <w:bookmarkEnd w:id="668"/>
      <w:bookmarkStart w:id="669" w:name="_Toc47457028"/>
      <w:bookmarkEnd w:id="669"/>
      <w:bookmarkStart w:id="670" w:name="_Toc47451745"/>
      <w:bookmarkEnd w:id="670"/>
      <w:bookmarkStart w:id="671" w:name="_Toc47457040"/>
      <w:bookmarkEnd w:id="671"/>
      <w:bookmarkStart w:id="672" w:name="_Toc46137830"/>
      <w:bookmarkEnd w:id="672"/>
      <w:bookmarkStart w:id="673" w:name="_Toc47451372"/>
      <w:bookmarkEnd w:id="673"/>
      <w:bookmarkStart w:id="674" w:name="_Toc47443006"/>
      <w:bookmarkEnd w:id="674"/>
      <w:bookmarkStart w:id="675" w:name="_Toc47451484"/>
      <w:bookmarkEnd w:id="675"/>
      <w:bookmarkStart w:id="676" w:name="_Toc47372549"/>
      <w:bookmarkEnd w:id="676"/>
      <w:bookmarkStart w:id="677" w:name="_Toc47443112"/>
      <w:bookmarkEnd w:id="677"/>
      <w:bookmarkStart w:id="678" w:name="_Toc47366763"/>
      <w:bookmarkEnd w:id="678"/>
      <w:bookmarkStart w:id="679" w:name="_Toc47372545"/>
      <w:bookmarkEnd w:id="679"/>
      <w:bookmarkStart w:id="680" w:name="_Toc47347756"/>
      <w:bookmarkEnd w:id="680"/>
      <w:bookmarkStart w:id="681" w:name="_Toc47455786"/>
      <w:bookmarkEnd w:id="681"/>
      <w:bookmarkStart w:id="682" w:name="_Toc47346906"/>
      <w:bookmarkEnd w:id="682"/>
      <w:bookmarkStart w:id="683" w:name="_Toc47372558"/>
      <w:bookmarkEnd w:id="683"/>
      <w:bookmarkStart w:id="684" w:name="_Toc47346915"/>
      <w:bookmarkEnd w:id="684"/>
      <w:bookmarkStart w:id="685" w:name="_Toc47443116"/>
      <w:bookmarkEnd w:id="685"/>
      <w:bookmarkStart w:id="686" w:name="_Toc46147890"/>
      <w:bookmarkEnd w:id="686"/>
      <w:bookmarkStart w:id="687" w:name="_Toc47372565"/>
      <w:bookmarkEnd w:id="687"/>
      <w:bookmarkStart w:id="688" w:name="_Toc47457033"/>
      <w:bookmarkEnd w:id="688"/>
      <w:bookmarkStart w:id="689" w:name="_Toc47347749"/>
      <w:bookmarkEnd w:id="689"/>
      <w:bookmarkStart w:id="690" w:name="_Toc47346913"/>
      <w:bookmarkEnd w:id="690"/>
      <w:bookmarkStart w:id="691" w:name="_Toc47443670"/>
      <w:bookmarkEnd w:id="691"/>
      <w:bookmarkStart w:id="692" w:name="_Toc47451371"/>
      <w:bookmarkEnd w:id="692"/>
      <w:bookmarkStart w:id="693" w:name="_Toc47451382"/>
      <w:bookmarkEnd w:id="693"/>
      <w:bookmarkStart w:id="694" w:name="_Toc47451490"/>
      <w:bookmarkEnd w:id="694"/>
      <w:bookmarkStart w:id="695" w:name="_Toc47347740"/>
      <w:bookmarkEnd w:id="695"/>
      <w:bookmarkStart w:id="696" w:name="_Toc47443115"/>
      <w:bookmarkEnd w:id="696"/>
      <w:bookmarkStart w:id="697" w:name="_Toc47452077"/>
      <w:bookmarkEnd w:id="697"/>
      <w:bookmarkStart w:id="698" w:name="_Toc47345555"/>
      <w:bookmarkEnd w:id="698"/>
      <w:bookmarkStart w:id="699" w:name="_Toc47347760"/>
      <w:bookmarkEnd w:id="699"/>
      <w:bookmarkStart w:id="700" w:name="_Toc47457026"/>
      <w:bookmarkEnd w:id="700"/>
      <w:bookmarkStart w:id="701" w:name="_Toc47451360"/>
      <w:bookmarkEnd w:id="701"/>
      <w:bookmarkStart w:id="702" w:name="_Toc47345548"/>
      <w:bookmarkEnd w:id="702"/>
      <w:bookmarkStart w:id="703" w:name="_Toc47346922"/>
      <w:bookmarkEnd w:id="703"/>
      <w:bookmarkStart w:id="704" w:name="_Toc47443113"/>
      <w:bookmarkEnd w:id="704"/>
      <w:bookmarkStart w:id="705" w:name="_Toc47455767"/>
      <w:bookmarkEnd w:id="705"/>
      <w:bookmarkStart w:id="706" w:name="_Toc47347757"/>
      <w:bookmarkEnd w:id="706"/>
      <w:bookmarkStart w:id="707" w:name="_Toc47451381"/>
      <w:bookmarkEnd w:id="707"/>
      <w:bookmarkStart w:id="708" w:name="_Toc47366745"/>
      <w:bookmarkEnd w:id="708"/>
      <w:bookmarkStart w:id="709" w:name="_Toc47346920"/>
      <w:bookmarkEnd w:id="709"/>
      <w:bookmarkStart w:id="710" w:name="_Toc47346912"/>
      <w:bookmarkEnd w:id="710"/>
      <w:bookmarkStart w:id="711" w:name="_Toc47452092"/>
      <w:bookmarkEnd w:id="711"/>
      <w:bookmarkStart w:id="712" w:name="_Toc47443002"/>
      <w:bookmarkEnd w:id="712"/>
      <w:bookmarkStart w:id="713" w:name="_Toc47457025"/>
      <w:bookmarkEnd w:id="713"/>
      <w:bookmarkStart w:id="714" w:name="_Toc47366758"/>
      <w:bookmarkEnd w:id="714"/>
      <w:bookmarkStart w:id="715" w:name="_Toc47451378"/>
      <w:bookmarkEnd w:id="715"/>
      <w:bookmarkStart w:id="716" w:name="_Toc47451363"/>
      <w:bookmarkEnd w:id="716"/>
      <w:bookmarkStart w:id="717" w:name="_Toc47366754"/>
      <w:bookmarkEnd w:id="717"/>
      <w:bookmarkStart w:id="718" w:name="_Toc47451368"/>
      <w:bookmarkEnd w:id="718"/>
      <w:bookmarkStart w:id="719" w:name="_Toc46137834"/>
      <w:bookmarkEnd w:id="719"/>
      <w:bookmarkStart w:id="720" w:name="_Toc47366757"/>
      <w:bookmarkEnd w:id="720"/>
      <w:bookmarkStart w:id="721" w:name="_Toc47345551"/>
      <w:bookmarkEnd w:id="721"/>
      <w:bookmarkStart w:id="722" w:name="_Toc47347752"/>
      <w:bookmarkEnd w:id="722"/>
      <w:bookmarkStart w:id="723" w:name="_Toc47451746"/>
      <w:bookmarkEnd w:id="723"/>
      <w:bookmarkStart w:id="724" w:name="_Toc47346928"/>
      <w:bookmarkEnd w:id="724"/>
      <w:bookmarkStart w:id="725" w:name="_Toc47443687"/>
      <w:bookmarkEnd w:id="725"/>
      <w:bookmarkStart w:id="726" w:name="_Toc47443689"/>
      <w:bookmarkEnd w:id="726"/>
      <w:bookmarkStart w:id="727" w:name="_Toc47455776"/>
      <w:bookmarkEnd w:id="727"/>
      <w:bookmarkStart w:id="728" w:name="_Toc47451478"/>
      <w:bookmarkEnd w:id="728"/>
      <w:bookmarkStart w:id="729" w:name="_Toc47451480"/>
      <w:bookmarkEnd w:id="729"/>
      <w:bookmarkStart w:id="730" w:name="_Toc47345553"/>
      <w:bookmarkEnd w:id="730"/>
      <w:bookmarkStart w:id="731" w:name="_Toc47451762"/>
      <w:bookmarkEnd w:id="731"/>
      <w:bookmarkStart w:id="732" w:name="_Toc47372557"/>
      <w:bookmarkEnd w:id="732"/>
      <w:bookmarkStart w:id="733" w:name="_Toc47366752"/>
      <w:bookmarkEnd w:id="733"/>
      <w:bookmarkStart w:id="734" w:name="_Toc47443100"/>
      <w:bookmarkEnd w:id="734"/>
      <w:bookmarkStart w:id="735" w:name="_Toc47346923"/>
      <w:bookmarkEnd w:id="735"/>
      <w:bookmarkStart w:id="736" w:name="_Toc47451366"/>
      <w:bookmarkEnd w:id="736"/>
      <w:bookmarkStart w:id="737" w:name="_Toc47347754"/>
      <w:bookmarkEnd w:id="737"/>
      <w:bookmarkStart w:id="738" w:name="_Toc47443098"/>
      <w:bookmarkEnd w:id="738"/>
      <w:bookmarkStart w:id="739" w:name="_Toc47372544"/>
      <w:bookmarkEnd w:id="739"/>
      <w:bookmarkStart w:id="740" w:name="_Toc46147892"/>
      <w:bookmarkEnd w:id="740"/>
      <w:bookmarkStart w:id="741" w:name="_Toc47452084"/>
      <w:bookmarkEnd w:id="741"/>
      <w:bookmarkStart w:id="742" w:name="_Toc47366747"/>
      <w:bookmarkEnd w:id="742"/>
      <w:bookmarkStart w:id="743" w:name="_Toc47366760"/>
      <w:bookmarkEnd w:id="743"/>
      <w:bookmarkStart w:id="744" w:name="_Toc46147885"/>
      <w:bookmarkEnd w:id="744"/>
      <w:bookmarkStart w:id="745" w:name="_Toc47452088"/>
      <w:bookmarkEnd w:id="745"/>
      <w:bookmarkStart w:id="746" w:name="_Toc47443117"/>
      <w:bookmarkEnd w:id="746"/>
      <w:bookmarkStart w:id="747" w:name="_Toc47442995"/>
      <w:bookmarkEnd w:id="747"/>
      <w:bookmarkStart w:id="748" w:name="_Toc47443097"/>
      <w:bookmarkEnd w:id="748"/>
      <w:bookmarkStart w:id="749" w:name="_Toc47452076"/>
      <w:bookmarkEnd w:id="749"/>
      <w:bookmarkStart w:id="750" w:name="_Toc47442989"/>
      <w:bookmarkEnd w:id="750"/>
      <w:bookmarkStart w:id="751" w:name="_Toc47346919"/>
      <w:bookmarkEnd w:id="751"/>
      <w:bookmarkStart w:id="752" w:name="_Toc47443099"/>
      <w:bookmarkEnd w:id="752"/>
      <w:bookmarkStart w:id="753" w:name="_Toc46147886"/>
      <w:bookmarkEnd w:id="753"/>
      <w:bookmarkStart w:id="754" w:name="_Toc47455779"/>
      <w:bookmarkEnd w:id="754"/>
      <w:bookmarkStart w:id="755" w:name="_Toc46137827"/>
      <w:bookmarkEnd w:id="755"/>
      <w:bookmarkStart w:id="756" w:name="_Toc47443109"/>
      <w:bookmarkEnd w:id="756"/>
      <w:bookmarkStart w:id="757" w:name="_Toc47347739"/>
      <w:bookmarkEnd w:id="757"/>
      <w:bookmarkStart w:id="758" w:name="_Toc47372553"/>
      <w:bookmarkEnd w:id="758"/>
      <w:bookmarkStart w:id="759" w:name="_Toc47455777"/>
      <w:bookmarkEnd w:id="759"/>
      <w:bookmarkStart w:id="760" w:name="_Toc47347742"/>
      <w:bookmarkEnd w:id="760"/>
      <w:bookmarkStart w:id="761" w:name="_Toc47345550"/>
      <w:bookmarkEnd w:id="761"/>
      <w:bookmarkStart w:id="762" w:name="_Toc47345549"/>
      <w:bookmarkEnd w:id="762"/>
      <w:bookmarkStart w:id="763" w:name="_Toc46147891"/>
      <w:bookmarkEnd w:id="763"/>
      <w:bookmarkStart w:id="764" w:name="_Toc47451751"/>
      <w:bookmarkEnd w:id="764"/>
      <w:bookmarkStart w:id="765" w:name="_Toc47452089"/>
      <w:bookmarkEnd w:id="765"/>
      <w:bookmarkStart w:id="766" w:name="_Toc47442998"/>
      <w:bookmarkEnd w:id="766"/>
      <w:bookmarkStart w:id="767" w:name="_Toc47451767"/>
      <w:bookmarkEnd w:id="767"/>
      <w:bookmarkStart w:id="768" w:name="_Toc47347737"/>
      <w:bookmarkEnd w:id="768"/>
      <w:bookmarkStart w:id="769" w:name="_Toc47451373"/>
      <w:bookmarkEnd w:id="769"/>
      <w:bookmarkStart w:id="770" w:name="_Toc47347744"/>
      <w:bookmarkEnd w:id="770"/>
      <w:bookmarkStart w:id="771" w:name="_Toc47451760"/>
      <w:bookmarkEnd w:id="771"/>
      <w:bookmarkStart w:id="772" w:name="_Toc47346921"/>
      <w:bookmarkEnd w:id="772"/>
      <w:bookmarkStart w:id="773" w:name="_Toc47442999"/>
      <w:bookmarkEnd w:id="773"/>
      <w:bookmarkStart w:id="774" w:name="_Toc47443671"/>
      <w:bookmarkEnd w:id="774"/>
      <w:bookmarkStart w:id="775" w:name="_Toc47452075"/>
      <w:bookmarkEnd w:id="775"/>
      <w:bookmarkStart w:id="776" w:name="_Toc47457034"/>
      <w:bookmarkEnd w:id="776"/>
      <w:bookmarkStart w:id="777" w:name="_Toc47443003"/>
      <w:bookmarkEnd w:id="777"/>
      <w:bookmarkStart w:id="778" w:name="_Toc46137835"/>
      <w:bookmarkEnd w:id="778"/>
      <w:bookmarkStart w:id="779" w:name="_Toc47347746"/>
      <w:bookmarkEnd w:id="779"/>
      <w:bookmarkStart w:id="780" w:name="_Toc47451750"/>
      <w:bookmarkEnd w:id="780"/>
      <w:bookmarkStart w:id="781" w:name="_Toc47452097"/>
      <w:bookmarkEnd w:id="781"/>
      <w:bookmarkStart w:id="782" w:name="_Toc47452078"/>
      <w:bookmarkEnd w:id="782"/>
      <w:bookmarkStart w:id="783" w:name="_Toc47346926"/>
      <w:bookmarkEnd w:id="783"/>
      <w:bookmarkStart w:id="784" w:name="_Toc47452094"/>
      <w:bookmarkEnd w:id="784"/>
      <w:bookmarkStart w:id="785" w:name="_Toc47345552"/>
      <w:bookmarkEnd w:id="785"/>
      <w:bookmarkStart w:id="786" w:name="_Toc47443118"/>
      <w:bookmarkEnd w:id="786"/>
      <w:bookmarkStart w:id="787" w:name="_Toc47443674"/>
      <w:bookmarkEnd w:id="787"/>
      <w:bookmarkStart w:id="788" w:name="_Toc47345554"/>
      <w:bookmarkEnd w:id="788"/>
      <w:bookmarkStart w:id="789" w:name="_Toc47451764"/>
      <w:bookmarkEnd w:id="789"/>
      <w:bookmarkStart w:id="790" w:name="_Toc47442997"/>
      <w:bookmarkEnd w:id="790"/>
      <w:bookmarkStart w:id="791" w:name="_Toc47347751"/>
      <w:bookmarkEnd w:id="791"/>
      <w:bookmarkStart w:id="792" w:name="_Toc47442991"/>
      <w:bookmarkEnd w:id="792"/>
      <w:bookmarkStart w:id="793" w:name="_Toc47366751"/>
      <w:bookmarkEnd w:id="793"/>
      <w:bookmarkStart w:id="794" w:name="_Toc47451758"/>
      <w:bookmarkEnd w:id="794"/>
      <w:bookmarkStart w:id="795" w:name="_Toc47346918"/>
      <w:bookmarkEnd w:id="795"/>
      <w:bookmarkStart w:id="796" w:name="_Toc47451362"/>
      <w:bookmarkEnd w:id="796"/>
      <w:bookmarkStart w:id="797" w:name="_Toc47443096"/>
      <w:bookmarkEnd w:id="797"/>
      <w:bookmarkStart w:id="798" w:name="_Toc47346925"/>
      <w:bookmarkEnd w:id="798"/>
      <w:bookmarkStart w:id="799" w:name="_Toc47443106"/>
      <w:bookmarkEnd w:id="799"/>
      <w:bookmarkStart w:id="800" w:name="_Toc47457037"/>
      <w:bookmarkEnd w:id="800"/>
      <w:bookmarkStart w:id="801" w:name="_Toc47443000"/>
      <w:bookmarkEnd w:id="801"/>
      <w:bookmarkStart w:id="802" w:name="_Toc47443107"/>
      <w:bookmarkEnd w:id="802"/>
      <w:bookmarkStart w:id="803" w:name="_Toc47443677"/>
      <w:bookmarkEnd w:id="803"/>
      <w:bookmarkStart w:id="804" w:name="_Toc47372555"/>
      <w:bookmarkEnd w:id="804"/>
      <w:bookmarkStart w:id="805" w:name="_Toc47452086"/>
      <w:bookmarkEnd w:id="805"/>
      <w:bookmarkStart w:id="806" w:name="_Toc47442988"/>
      <w:bookmarkEnd w:id="806"/>
      <w:bookmarkStart w:id="807" w:name="_Toc47372552"/>
      <w:bookmarkEnd w:id="807"/>
      <w:bookmarkStart w:id="808" w:name="_Toc47347758"/>
      <w:bookmarkEnd w:id="808"/>
      <w:bookmarkStart w:id="809" w:name="_Toc47451483"/>
      <w:bookmarkEnd w:id="809"/>
      <w:bookmarkStart w:id="810" w:name="_Toc47443690"/>
      <w:bookmarkEnd w:id="810"/>
      <w:bookmarkStart w:id="811" w:name="_Toc47372566"/>
      <w:bookmarkEnd w:id="811"/>
      <w:bookmarkStart w:id="812" w:name="_Toc47442994"/>
      <w:bookmarkEnd w:id="812"/>
      <w:bookmarkStart w:id="813" w:name="_Toc47443114"/>
      <w:bookmarkEnd w:id="813"/>
      <w:bookmarkStart w:id="814" w:name="_Toc47372564"/>
      <w:bookmarkEnd w:id="814"/>
      <w:bookmarkStart w:id="815" w:name="_Toc47451752"/>
      <w:bookmarkEnd w:id="815"/>
      <w:bookmarkStart w:id="816" w:name="_Toc47451768"/>
      <w:bookmarkEnd w:id="816"/>
      <w:bookmarkStart w:id="817" w:name="_Toc47443667"/>
      <w:bookmarkEnd w:id="817"/>
      <w:bookmarkStart w:id="818" w:name="_Toc47347745"/>
      <w:bookmarkEnd w:id="818"/>
      <w:bookmarkStart w:id="819" w:name="_Toc47372560"/>
      <w:bookmarkEnd w:id="819"/>
      <w:bookmarkStart w:id="820" w:name="_Toc47455784"/>
      <w:bookmarkEnd w:id="820"/>
      <w:bookmarkStart w:id="821" w:name="_Toc47451374"/>
      <w:bookmarkEnd w:id="821"/>
      <w:bookmarkStart w:id="822" w:name="_Toc47452093"/>
      <w:bookmarkEnd w:id="822"/>
      <w:bookmarkStart w:id="823" w:name="_Toc47451499"/>
      <w:bookmarkEnd w:id="823"/>
      <w:bookmarkStart w:id="824" w:name="_Toc46147889"/>
      <w:bookmarkEnd w:id="824"/>
      <w:bookmarkStart w:id="825" w:name="_Toc47345556"/>
      <w:bookmarkEnd w:id="825"/>
      <w:bookmarkStart w:id="826" w:name="_Toc46147884"/>
      <w:bookmarkEnd w:id="826"/>
      <w:bookmarkStart w:id="827" w:name="_Toc47443685"/>
      <w:bookmarkEnd w:id="827"/>
      <w:bookmarkStart w:id="828" w:name="_Toc47451488"/>
      <w:bookmarkEnd w:id="828"/>
      <w:bookmarkStart w:id="829" w:name="_Toc47372547"/>
      <w:bookmarkEnd w:id="829"/>
      <w:bookmarkStart w:id="830" w:name="_Toc47451481"/>
      <w:bookmarkEnd w:id="830"/>
      <w:bookmarkStart w:id="831" w:name="_Toc46137829"/>
      <w:bookmarkEnd w:id="831"/>
      <w:bookmarkStart w:id="832" w:name="_Toc47451364"/>
      <w:bookmarkEnd w:id="832"/>
      <w:bookmarkStart w:id="833" w:name="_Toc46137826"/>
      <w:bookmarkEnd w:id="833"/>
      <w:bookmarkStart w:id="834" w:name="_Toc47451477"/>
      <w:bookmarkEnd w:id="834"/>
      <w:bookmarkStart w:id="835" w:name="_Toc47452085"/>
      <w:bookmarkEnd w:id="835"/>
      <w:bookmarkStart w:id="836" w:name="_Toc47455769"/>
      <w:bookmarkEnd w:id="836"/>
      <w:bookmarkStart w:id="837" w:name="_Toc47366766"/>
      <w:bookmarkEnd w:id="837"/>
      <w:bookmarkStart w:id="838" w:name="_Toc47347759"/>
      <w:bookmarkEnd w:id="838"/>
      <w:bookmarkStart w:id="839" w:name="_Toc47451491"/>
      <w:bookmarkEnd w:id="839"/>
      <w:bookmarkStart w:id="840" w:name="_Toc47451766"/>
      <w:bookmarkEnd w:id="840"/>
      <w:bookmarkStart w:id="841" w:name="_Toc47451496"/>
      <w:bookmarkEnd w:id="841"/>
      <w:bookmarkStart w:id="842" w:name="_Toc47443678"/>
      <w:bookmarkEnd w:id="842"/>
      <w:bookmarkStart w:id="843" w:name="_Toc47347741"/>
      <w:bookmarkEnd w:id="843"/>
      <w:bookmarkStart w:id="844" w:name="_Toc47442993"/>
      <w:bookmarkEnd w:id="844"/>
      <w:bookmarkStart w:id="845" w:name="_Toc47366761"/>
      <w:bookmarkEnd w:id="845"/>
      <w:bookmarkStart w:id="846" w:name="_Toc47443111"/>
      <w:bookmarkEnd w:id="846"/>
      <w:bookmarkStart w:id="847" w:name="_Toc47443668"/>
      <w:bookmarkEnd w:id="847"/>
      <w:bookmarkStart w:id="848" w:name="_Toc47443105"/>
      <w:bookmarkEnd w:id="848"/>
      <w:bookmarkStart w:id="849" w:name="_Toc47442996"/>
      <w:bookmarkEnd w:id="849"/>
      <w:bookmarkStart w:id="850" w:name="_Toc47455774"/>
      <w:bookmarkEnd w:id="850"/>
      <w:bookmarkStart w:id="851" w:name="_Toc47372548"/>
      <w:bookmarkEnd w:id="851"/>
      <w:bookmarkStart w:id="852" w:name="_Toc47455773"/>
      <w:bookmarkEnd w:id="852"/>
      <w:bookmarkStart w:id="853" w:name="_Toc46147883"/>
      <w:bookmarkEnd w:id="853"/>
      <w:bookmarkStart w:id="854" w:name="_Toc47443675"/>
      <w:bookmarkEnd w:id="854"/>
      <w:bookmarkStart w:id="855" w:name="_Toc47346910"/>
      <w:bookmarkEnd w:id="855"/>
      <w:bookmarkStart w:id="856" w:name="_Toc47366744"/>
      <w:bookmarkEnd w:id="856"/>
      <w:bookmarkStart w:id="857" w:name="_Toc47452095"/>
      <w:bookmarkEnd w:id="857"/>
      <w:bookmarkStart w:id="858" w:name="_Toc47372559"/>
      <w:bookmarkEnd w:id="858"/>
      <w:bookmarkStart w:id="859" w:name="_Toc47347750"/>
      <w:bookmarkEnd w:id="859"/>
      <w:bookmarkStart w:id="860" w:name="_Toc47451753"/>
      <w:bookmarkEnd w:id="860"/>
      <w:bookmarkStart w:id="861" w:name="_Toc47372554"/>
      <w:bookmarkEnd w:id="861"/>
      <w:bookmarkStart w:id="862" w:name="_Toc47457029"/>
      <w:bookmarkEnd w:id="862"/>
      <w:bookmarkStart w:id="863" w:name="_Toc47451486"/>
      <w:bookmarkEnd w:id="863"/>
      <w:bookmarkStart w:id="864" w:name="_Toc47451367"/>
      <w:bookmarkEnd w:id="864"/>
      <w:bookmarkStart w:id="865" w:name="_Toc47451754"/>
      <w:bookmarkEnd w:id="865"/>
      <w:bookmarkStart w:id="866" w:name="_Toc46137836"/>
      <w:bookmarkEnd w:id="866"/>
      <w:bookmarkStart w:id="867" w:name="_Toc47457030"/>
      <w:bookmarkEnd w:id="867"/>
      <w:bookmarkStart w:id="868" w:name="_Toc47443001"/>
      <w:bookmarkEnd w:id="868"/>
      <w:bookmarkStart w:id="869" w:name="_Toc47347743"/>
      <w:bookmarkEnd w:id="869"/>
      <w:bookmarkStart w:id="870" w:name="_Toc47451765"/>
      <w:bookmarkEnd w:id="870"/>
      <w:bookmarkStart w:id="871" w:name="_Toc47366755"/>
      <w:bookmarkEnd w:id="871"/>
      <w:bookmarkStart w:id="872" w:name="_Toc47443004"/>
      <w:bookmarkEnd w:id="872"/>
      <w:bookmarkStart w:id="873" w:name="_Toc47457042"/>
      <w:bookmarkEnd w:id="873"/>
      <w:bookmarkStart w:id="874" w:name="_Toc47457031"/>
      <w:bookmarkEnd w:id="874"/>
      <w:bookmarkStart w:id="875" w:name="_Toc47346907"/>
      <w:bookmarkEnd w:id="875"/>
      <w:bookmarkStart w:id="876" w:name="_Toc47366759"/>
      <w:bookmarkEnd w:id="876"/>
      <w:bookmarkStart w:id="877" w:name="_Toc47366753"/>
      <w:bookmarkEnd w:id="877"/>
      <w:bookmarkStart w:id="878" w:name="_Toc47443688"/>
      <w:bookmarkEnd w:id="878"/>
      <w:bookmarkStart w:id="879" w:name="_Toc47451761"/>
      <w:bookmarkEnd w:id="879"/>
      <w:bookmarkStart w:id="880" w:name="_Toc47451376"/>
      <w:bookmarkEnd w:id="880"/>
      <w:bookmarkStart w:id="881" w:name="_Toc47457032"/>
      <w:bookmarkEnd w:id="881"/>
      <w:bookmarkStart w:id="882" w:name="_Toc47455770"/>
      <w:bookmarkEnd w:id="882"/>
      <w:bookmarkStart w:id="883" w:name="_Toc47366750"/>
      <w:bookmarkEnd w:id="883"/>
      <w:bookmarkStart w:id="884" w:name="_Toc47451489"/>
      <w:bookmarkEnd w:id="884"/>
      <w:bookmarkStart w:id="885" w:name="_Toc47346929"/>
      <w:bookmarkEnd w:id="885"/>
      <w:bookmarkStart w:id="886" w:name="_Toc47451495"/>
      <w:bookmarkEnd w:id="886"/>
      <w:bookmarkStart w:id="887" w:name="_Toc47451369"/>
      <w:bookmarkEnd w:id="887"/>
      <w:bookmarkStart w:id="888" w:name="_Toc47455778"/>
      <w:bookmarkEnd w:id="888"/>
      <w:bookmarkStart w:id="889" w:name="_Toc46137846"/>
      <w:bookmarkEnd w:id="889"/>
      <w:bookmarkStart w:id="890" w:name="_Toc47443684"/>
      <w:bookmarkEnd w:id="890"/>
      <w:bookmarkStart w:id="891" w:name="_Toc46137828"/>
      <w:bookmarkEnd w:id="891"/>
      <w:bookmarkStart w:id="892" w:name="_Toc47347748"/>
      <w:bookmarkEnd w:id="892"/>
      <w:bookmarkStart w:id="893" w:name="_Toc47443104"/>
      <w:bookmarkEnd w:id="893"/>
      <w:bookmarkStart w:id="894" w:name="_Toc492681220"/>
      <w:bookmarkStart w:id="895" w:name="_Toc47455790"/>
      <w:bookmarkStart w:id="896" w:name="_Toc159506941"/>
      <w:bookmarkStart w:id="897" w:name="_Toc56166088"/>
      <w:bookmarkStart w:id="898" w:name="_Toc56166277"/>
      <w:bookmarkStart w:id="899" w:name="_Toc151136909"/>
      <w:bookmarkStart w:id="900" w:name="_Toc46910498"/>
      <w:bookmarkStart w:id="901" w:name="_Toc47457047"/>
      <w:bookmarkStart w:id="902" w:name="_Toc48742267"/>
      <w:bookmarkStart w:id="903" w:name="_Toc644758731"/>
      <w:bookmarkStart w:id="904" w:name="_Toc2126110127"/>
      <w:bookmarkStart w:id="905" w:name="_Toc55318669"/>
      <w:r>
        <w:rPr>
          <w:rFonts w:hint="eastAsia" w:ascii="仿宋_GB2312" w:eastAsia="仿宋_GB2312"/>
          <w:b/>
          <w:sz w:val="30"/>
          <w:szCs w:val="30"/>
        </w:rPr>
        <w:t>债券做市</w:t>
      </w:r>
      <w:bookmarkEnd w:id="894"/>
      <w:bookmarkEnd w:id="895"/>
      <w:bookmarkEnd w:id="896"/>
      <w:bookmarkEnd w:id="897"/>
      <w:bookmarkEnd w:id="898"/>
      <w:bookmarkEnd w:id="899"/>
      <w:bookmarkEnd w:id="900"/>
      <w:bookmarkEnd w:id="901"/>
      <w:bookmarkEnd w:id="902"/>
      <w:bookmarkEnd w:id="903"/>
      <w:bookmarkEnd w:id="904"/>
      <w:bookmarkEnd w:id="905"/>
    </w:p>
    <w:p w14:paraId="3EF69382">
      <w:pPr>
        <w:spacing w:line="600" w:lineRule="exact"/>
        <w:ind w:firstLine="600" w:firstLineChars="200"/>
        <w:rPr>
          <w:rFonts w:ascii="仿宋_GB2312" w:hAnsi="微软雅黑" w:eastAsia="仿宋_GB2312"/>
          <w:sz w:val="30"/>
          <w:szCs w:val="30"/>
        </w:rPr>
      </w:pPr>
      <w:bookmarkStart w:id="906" w:name="_Toc55318541"/>
      <w:bookmarkEnd w:id="906"/>
      <w:bookmarkStart w:id="907" w:name="_Toc55318670"/>
      <w:bookmarkEnd w:id="907"/>
      <w:bookmarkStart w:id="908" w:name="_Toc55318643"/>
      <w:bookmarkEnd w:id="908"/>
      <w:r>
        <w:rPr>
          <w:rFonts w:hint="eastAsia" w:ascii="仿宋_GB2312" w:hAnsi="微软雅黑" w:eastAsia="仿宋_GB2312"/>
          <w:sz w:val="30"/>
          <w:szCs w:val="30"/>
        </w:rPr>
        <w:t>债券做市商，是指依据《上海证券交易所债券交易规则适用指引第3号——债券做市业务》等规定，在本所债券市场为债券持续提供流动性服务，开展债券做市业务的债券交易参与人。</w:t>
      </w:r>
    </w:p>
    <w:p w14:paraId="29E1F3B2">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债券做市品种包括基准做市品种和自选做市品种。</w:t>
      </w:r>
      <w:r>
        <w:rPr>
          <w:rFonts w:hint="eastAsia" w:ascii="仿宋_GB2312" w:eastAsia="仿宋_GB2312"/>
          <w:sz w:val="30"/>
          <w:szCs w:val="30"/>
        </w:rPr>
        <w:t>基准做市品种包括关键期限的利率类债券、符合本所要求的信用类债券以及本所认可的其他品种。</w:t>
      </w:r>
    </w:p>
    <w:p w14:paraId="52DE166E">
      <w:pPr>
        <w:spacing w:line="560" w:lineRule="exact"/>
        <w:ind w:firstLine="600" w:firstLineChars="200"/>
        <w:rPr>
          <w:rFonts w:ascii="仿宋_GB2312" w:eastAsia="仿宋_GB2312"/>
          <w:sz w:val="30"/>
          <w:szCs w:val="30"/>
        </w:rPr>
      </w:pPr>
      <w:r>
        <w:rPr>
          <w:rFonts w:hint="eastAsia" w:ascii="仿宋_GB2312" w:hAnsi="微软雅黑" w:eastAsia="仿宋_GB2312"/>
          <w:sz w:val="30"/>
          <w:szCs w:val="30"/>
        </w:rPr>
        <w:t>债券做市业务，是指做市商在本所债券市场持续报出做市品种的双边买卖价格，对本所债券投资者的询价请求进行回复，</w:t>
      </w:r>
      <w:r>
        <w:rPr>
          <w:rFonts w:hint="eastAsia" w:ascii="仿宋_GB2312" w:eastAsia="仿宋_GB2312"/>
          <w:sz w:val="30"/>
          <w:szCs w:val="30"/>
        </w:rPr>
        <w:t>以及通过本所认可的其他做市方式，为债券提供流动性的行为。</w:t>
      </w:r>
    </w:p>
    <w:p w14:paraId="725B663C">
      <w:pPr>
        <w:spacing w:line="600" w:lineRule="exact"/>
        <w:ind w:firstLine="600" w:firstLineChars="200"/>
        <w:rPr>
          <w:rFonts w:ascii="仿宋_GB2312" w:hAnsi="微软雅黑" w:eastAsia="仿宋_GB2312"/>
          <w:sz w:val="30"/>
          <w:szCs w:val="30"/>
        </w:rPr>
      </w:pPr>
      <w:r>
        <w:rPr>
          <w:rFonts w:hint="eastAsia" w:eastAsia="仿宋_GB2312"/>
          <w:sz w:val="30"/>
          <w:szCs w:val="30"/>
        </w:rPr>
        <w:t>债券做市商应当具备符合要求的技术系统、风险管理和内部控制制度，加强对市场风险、模型风险、存货风险、做市风险、操作风险等业务风险的识别、监测和控制。</w:t>
      </w:r>
    </w:p>
    <w:p w14:paraId="4933BD17">
      <w:pPr>
        <w:numPr>
          <w:ilvl w:val="2"/>
          <w:numId w:val="4"/>
        </w:numPr>
        <w:spacing w:line="600" w:lineRule="exact"/>
        <w:ind w:left="0" w:firstLine="0"/>
        <w:outlineLvl w:val="2"/>
        <w:rPr>
          <w:rFonts w:ascii="仿宋_GB2312" w:eastAsia="仿宋_GB2312"/>
          <w:b/>
          <w:sz w:val="30"/>
          <w:szCs w:val="30"/>
        </w:rPr>
      </w:pPr>
      <w:bookmarkStart w:id="909" w:name="_Toc47455792"/>
      <w:bookmarkStart w:id="910" w:name="_Toc55318672"/>
      <w:bookmarkStart w:id="911" w:name="_Toc47457049"/>
      <w:bookmarkStart w:id="912" w:name="_Toc48742269"/>
      <w:r>
        <w:rPr>
          <w:rFonts w:hint="eastAsia" w:ascii="仿宋_GB2312" w:eastAsia="仿宋_GB2312"/>
          <w:b/>
          <w:sz w:val="30"/>
          <w:szCs w:val="30"/>
        </w:rPr>
        <w:t>债券做市商</w:t>
      </w:r>
      <w:bookmarkEnd w:id="909"/>
      <w:bookmarkEnd w:id="910"/>
      <w:bookmarkEnd w:id="911"/>
      <w:bookmarkEnd w:id="912"/>
      <w:r>
        <w:rPr>
          <w:rFonts w:hint="eastAsia" w:ascii="仿宋_GB2312" w:eastAsia="仿宋_GB2312"/>
          <w:b/>
          <w:sz w:val="30"/>
          <w:szCs w:val="30"/>
        </w:rPr>
        <w:t>分类</w:t>
      </w:r>
    </w:p>
    <w:p w14:paraId="045E8AD1">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本所债券市场的做市商包括主做市商和一般做市商。</w:t>
      </w:r>
    </w:p>
    <w:p w14:paraId="29806318">
      <w:pPr>
        <w:spacing w:line="600" w:lineRule="exact"/>
        <w:ind w:firstLine="600" w:firstLineChars="200"/>
        <w:rPr>
          <w:rFonts w:ascii="仿宋_GB2312" w:eastAsia="仿宋_GB2312"/>
          <w:sz w:val="30"/>
          <w:szCs w:val="30"/>
        </w:rPr>
      </w:pPr>
      <w:r>
        <w:rPr>
          <w:rFonts w:hint="eastAsia" w:ascii="仿宋_GB2312" w:eastAsia="仿宋_GB2312"/>
          <w:sz w:val="30"/>
          <w:szCs w:val="30"/>
        </w:rPr>
        <w:t>主做市商对基准做市品种开展持续做市业务（以下简称基准做市业务）。</w:t>
      </w:r>
    </w:p>
    <w:p w14:paraId="7AC9FAB2">
      <w:pPr>
        <w:spacing w:line="600" w:lineRule="exact"/>
        <w:ind w:firstLine="600" w:firstLineChars="200"/>
        <w:rPr>
          <w:rFonts w:ascii="仿宋_GB2312" w:eastAsia="仿宋_GB2312"/>
          <w:sz w:val="30"/>
          <w:szCs w:val="30"/>
        </w:rPr>
      </w:pPr>
      <w:r>
        <w:rPr>
          <w:rFonts w:hint="eastAsia" w:ascii="仿宋_GB2312" w:eastAsia="仿宋_GB2312"/>
          <w:sz w:val="30"/>
          <w:szCs w:val="30"/>
        </w:rPr>
        <w:t>一般做市商对其自行选定的基准做市品种以外的</w:t>
      </w:r>
      <w:r>
        <w:rPr>
          <w:rFonts w:ascii="仿宋_GB2312" w:eastAsia="仿宋_GB2312"/>
          <w:sz w:val="30"/>
          <w:szCs w:val="30"/>
        </w:rPr>
        <w:t>债券</w:t>
      </w:r>
      <w:r>
        <w:rPr>
          <w:rFonts w:hint="eastAsia" w:ascii="仿宋_GB2312" w:eastAsia="仿宋_GB2312"/>
          <w:sz w:val="30"/>
          <w:szCs w:val="30"/>
        </w:rPr>
        <w:t>做市品种（</w:t>
      </w:r>
      <w:r>
        <w:rPr>
          <w:rFonts w:ascii="仿宋_GB2312" w:eastAsia="仿宋_GB2312"/>
          <w:sz w:val="30"/>
          <w:szCs w:val="30"/>
        </w:rPr>
        <w:t>以下简称自选做市品种）</w:t>
      </w:r>
      <w:r>
        <w:rPr>
          <w:rFonts w:hint="eastAsia" w:ascii="仿宋_GB2312" w:eastAsia="仿宋_GB2312"/>
          <w:sz w:val="30"/>
          <w:szCs w:val="30"/>
        </w:rPr>
        <w:t>在一定时期内面向全市场或者部分债券投资者开展做市业务（以下简称一般做市业务）。</w:t>
      </w:r>
    </w:p>
    <w:p w14:paraId="28370C7D">
      <w:pPr>
        <w:spacing w:line="600" w:lineRule="exact"/>
        <w:ind w:firstLine="600" w:firstLineChars="200"/>
        <w:rPr>
          <w:rFonts w:ascii="仿宋_GB2312" w:eastAsia="仿宋_GB2312"/>
          <w:sz w:val="30"/>
          <w:szCs w:val="30"/>
        </w:rPr>
      </w:pPr>
      <w:r>
        <w:rPr>
          <w:rFonts w:hint="eastAsia" w:ascii="仿宋_GB2312" w:eastAsia="仿宋_GB2312"/>
          <w:sz w:val="30"/>
          <w:szCs w:val="30"/>
        </w:rPr>
        <w:t>主做市商可以参照一般做市业务的要求对自选做市品种开展做市业务。</w:t>
      </w:r>
    </w:p>
    <w:p w14:paraId="763CCFA6">
      <w:pPr>
        <w:spacing w:line="600" w:lineRule="exact"/>
        <w:ind w:firstLine="600" w:firstLineChars="200"/>
        <w:rPr>
          <w:rFonts w:eastAsia="仿宋_GB2312"/>
          <w:szCs w:val="28"/>
        </w:rPr>
      </w:pPr>
      <w:r>
        <w:rPr>
          <w:rFonts w:hint="eastAsia" w:ascii="仿宋_GB2312" w:hAnsi="微软雅黑" w:eastAsia="仿宋_GB2312"/>
          <w:sz w:val="30"/>
          <w:szCs w:val="30"/>
        </w:rPr>
        <w:t>证券公司为债券交易开展做市业务的，应依据相关法律法规申请相应的经营证券业务许可，</w:t>
      </w:r>
      <w:r>
        <w:rPr>
          <w:rFonts w:hint="eastAsia" w:ascii="仿宋_GB2312" w:hAnsi="黑体" w:eastAsia="仿宋_GB2312"/>
          <w:sz w:val="30"/>
          <w:szCs w:val="30"/>
        </w:rPr>
        <w:t>经证监会核准取得做市交易业务资格的，向本所提供相关</w:t>
      </w:r>
      <w:r>
        <w:rPr>
          <w:rFonts w:ascii="仿宋_GB2312" w:hAnsi="黑体" w:eastAsia="仿宋_GB2312"/>
          <w:sz w:val="30"/>
          <w:szCs w:val="30"/>
        </w:rPr>
        <w:t>文件</w:t>
      </w:r>
      <w:r>
        <w:rPr>
          <w:rFonts w:hint="eastAsia" w:ascii="仿宋_GB2312" w:hAnsi="黑体" w:eastAsia="仿宋_GB2312"/>
          <w:sz w:val="30"/>
          <w:szCs w:val="30"/>
        </w:rPr>
        <w:t>，经本所评估后开展债券做市业务。</w:t>
      </w:r>
    </w:p>
    <w:p w14:paraId="46AE5F27">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债券做市商申请</w:t>
      </w:r>
    </w:p>
    <w:p w14:paraId="1E409E9C">
      <w:pPr>
        <w:spacing w:line="600" w:lineRule="exact"/>
        <w:ind w:firstLine="600" w:firstLineChars="200"/>
        <w:rPr>
          <w:rFonts w:eastAsia="仿宋_GB2312"/>
          <w:sz w:val="30"/>
          <w:szCs w:val="30"/>
        </w:rPr>
      </w:pPr>
      <w:r>
        <w:rPr>
          <w:rFonts w:hint="eastAsia" w:ascii="仿宋_GB2312" w:hAnsi="黑体" w:eastAsia="仿宋_GB2312"/>
          <w:sz w:val="30"/>
          <w:szCs w:val="30"/>
        </w:rPr>
        <w:t>债券</w:t>
      </w:r>
      <w:r>
        <w:rPr>
          <w:rFonts w:hint="eastAsia" w:eastAsia="仿宋_GB2312"/>
          <w:sz w:val="30"/>
          <w:szCs w:val="30"/>
        </w:rPr>
        <w:t>做市商须配置专门的做市团队开展做市业务，不得将做市业务外包，或交给第三方机构开展业务。做市商开展做市业务应当设立交易岗、风险控制岗、技术运维岗等岗位，并建立备岗机制。</w:t>
      </w:r>
    </w:p>
    <w:p w14:paraId="4342157E">
      <w:pPr>
        <w:spacing w:line="600" w:lineRule="exact"/>
        <w:ind w:firstLine="602" w:firstLineChars="200"/>
        <w:outlineLvl w:val="3"/>
        <w:rPr>
          <w:rFonts w:ascii="仿宋_GB2312" w:hAnsi="黑体" w:eastAsia="仿宋_GB2312"/>
          <w:b/>
          <w:sz w:val="30"/>
          <w:szCs w:val="30"/>
        </w:rPr>
      </w:pPr>
      <w:r>
        <w:rPr>
          <w:rFonts w:hint="eastAsia" w:ascii="仿宋_GB2312" w:hAnsi="黑体" w:eastAsia="仿宋_GB2312"/>
          <w:b/>
          <w:sz w:val="30"/>
          <w:szCs w:val="30"/>
        </w:rPr>
        <w:t>（</w:t>
      </w:r>
      <w:r>
        <w:rPr>
          <w:rFonts w:ascii="仿宋_GB2312" w:hAnsi="黑体" w:eastAsia="仿宋_GB2312"/>
          <w:b/>
          <w:sz w:val="30"/>
          <w:szCs w:val="30"/>
        </w:rPr>
        <w:t>1）</w:t>
      </w:r>
      <w:r>
        <w:rPr>
          <w:rFonts w:hint="eastAsia" w:ascii="仿宋_GB2312" w:hAnsi="黑体" w:eastAsia="仿宋_GB2312"/>
          <w:b/>
          <w:sz w:val="30"/>
          <w:szCs w:val="30"/>
        </w:rPr>
        <w:t>做市技术验收申请</w:t>
      </w:r>
    </w:p>
    <w:p w14:paraId="7BAEA9BB">
      <w:pPr>
        <w:spacing w:line="540" w:lineRule="exact"/>
        <w:ind w:firstLine="600" w:firstLineChars="200"/>
        <w:rPr>
          <w:rFonts w:ascii="仿宋_GB2312" w:hAnsi="宋体" w:eastAsia="仿宋_GB2312" w:cs="宋体"/>
          <w:sz w:val="30"/>
          <w:szCs w:val="30"/>
        </w:rPr>
      </w:pPr>
      <w:r>
        <w:rPr>
          <w:rFonts w:hint="eastAsia" w:ascii="仿宋_GB2312" w:hAnsi="宋体" w:eastAsia="仿宋_GB2312" w:cs="宋体"/>
          <w:sz w:val="30"/>
          <w:szCs w:val="30"/>
        </w:rPr>
        <w:t>1）申请材料</w:t>
      </w:r>
    </w:p>
    <w:p w14:paraId="5A93AC24">
      <w:pPr>
        <w:spacing w:line="540" w:lineRule="exact"/>
        <w:ind w:firstLine="600" w:firstLineChars="200"/>
        <w:rPr>
          <w:rFonts w:ascii="仿宋_GB2312" w:eastAsia="仿宋_GB2312"/>
          <w:sz w:val="30"/>
          <w:szCs w:val="30"/>
        </w:rPr>
      </w:pPr>
      <w:r>
        <w:rPr>
          <w:rFonts w:hint="eastAsia" w:ascii="仿宋_GB2312" w:hAnsi="宋体" w:eastAsia="仿宋_GB2312" w:cs="宋体"/>
          <w:sz w:val="30"/>
          <w:szCs w:val="30"/>
        </w:rPr>
        <w:t>拟成为本所债券</w:t>
      </w:r>
      <w:r>
        <w:rPr>
          <w:rFonts w:hint="eastAsia" w:ascii="仿宋_GB2312" w:eastAsia="仿宋_GB2312"/>
          <w:sz w:val="30"/>
          <w:szCs w:val="30"/>
        </w:rPr>
        <w:t>做市商的债券交易参与人，</w:t>
      </w:r>
      <w:r>
        <w:rPr>
          <w:rFonts w:hint="eastAsia" w:ascii="仿宋_GB2312" w:hAnsi="黑体" w:eastAsia="仿宋_GB2312"/>
          <w:sz w:val="30"/>
          <w:szCs w:val="30"/>
        </w:rPr>
        <w:t>应向本所申请债券做市交易业务相关检查和测试，提交以下申请材料：</w:t>
      </w:r>
    </w:p>
    <w:p w14:paraId="7B2A90E1">
      <w:pPr>
        <w:spacing w:line="540" w:lineRule="exact"/>
        <w:ind w:firstLine="600" w:firstLineChars="200"/>
        <w:rPr>
          <w:rFonts w:ascii="仿宋_GB2312" w:eastAsia="仿宋_GB2312"/>
          <w:sz w:val="30"/>
          <w:szCs w:val="30"/>
        </w:rPr>
      </w:pPr>
      <w:r>
        <w:rPr>
          <w:rFonts w:hint="eastAsia" w:ascii="仿宋_GB2312" w:eastAsia="仿宋_GB2312"/>
          <w:sz w:val="30"/>
          <w:szCs w:val="30"/>
        </w:rPr>
        <w:t>1.做市交易业务技术测试和专项检查申请书（附件7）；</w:t>
      </w:r>
    </w:p>
    <w:p w14:paraId="7BD8AEBF">
      <w:pPr>
        <w:spacing w:line="540" w:lineRule="exact"/>
        <w:ind w:firstLine="600" w:firstLineChars="200"/>
        <w:rPr>
          <w:rFonts w:ascii="仿宋_GB2312" w:eastAsia="仿宋_GB2312"/>
          <w:sz w:val="30"/>
          <w:szCs w:val="30"/>
        </w:rPr>
      </w:pPr>
      <w:r>
        <w:rPr>
          <w:rFonts w:hint="eastAsia" w:ascii="仿宋_GB2312" w:eastAsia="仿宋_GB2312"/>
          <w:sz w:val="30"/>
          <w:szCs w:val="30"/>
        </w:rPr>
        <w:t>2.债券做市交易业务实施方案、风险控制制度、相关内部管理制度、应急风险处置制度（做市交易业务实施方案、管理制度与应急风险处置制度必备要点参考见附件8）；</w:t>
      </w:r>
    </w:p>
    <w:p w14:paraId="54284ED7">
      <w:pPr>
        <w:spacing w:line="540" w:lineRule="exact"/>
        <w:ind w:firstLine="600" w:firstLineChars="200"/>
        <w:rPr>
          <w:rFonts w:ascii="仿宋_GB2312" w:eastAsia="仿宋_GB2312"/>
          <w:sz w:val="30"/>
          <w:szCs w:val="30"/>
        </w:rPr>
      </w:pPr>
      <w:r>
        <w:rPr>
          <w:rFonts w:hint="eastAsia" w:ascii="仿宋_GB2312" w:eastAsia="仿宋_GB2312"/>
          <w:sz w:val="30"/>
          <w:szCs w:val="30"/>
        </w:rPr>
        <w:t>3.债券做市交易业务的部门、岗位设置、人员情况说明（做市交易业务人员情况表见附件9）；</w:t>
      </w:r>
    </w:p>
    <w:p w14:paraId="5C36AA43">
      <w:pPr>
        <w:spacing w:line="540" w:lineRule="exact"/>
        <w:ind w:firstLine="600" w:firstLineChars="200"/>
        <w:rPr>
          <w:rFonts w:ascii="仿宋_GB2312" w:eastAsia="仿宋_GB2312"/>
          <w:sz w:val="30"/>
          <w:szCs w:val="30"/>
        </w:rPr>
      </w:pPr>
      <w:r>
        <w:rPr>
          <w:rFonts w:hint="eastAsia" w:ascii="仿宋_GB2312" w:eastAsia="仿宋_GB2312"/>
          <w:sz w:val="30"/>
          <w:szCs w:val="30"/>
        </w:rPr>
        <w:t>4.开展债券做市交易业务的技术系统准备情况说明；</w:t>
      </w:r>
    </w:p>
    <w:p w14:paraId="2CD95971">
      <w:pPr>
        <w:spacing w:line="540" w:lineRule="exact"/>
        <w:ind w:firstLine="600" w:firstLineChars="200"/>
        <w:rPr>
          <w:rFonts w:ascii="仿宋_GB2312" w:eastAsia="仿宋_GB2312"/>
          <w:sz w:val="30"/>
          <w:szCs w:val="30"/>
        </w:rPr>
      </w:pPr>
      <w:r>
        <w:rPr>
          <w:rFonts w:hint="eastAsia" w:ascii="仿宋_GB2312" w:eastAsia="仿宋_GB2312"/>
          <w:sz w:val="30"/>
          <w:szCs w:val="30"/>
        </w:rPr>
        <w:t>5.本所规定的其他材料。</w:t>
      </w:r>
    </w:p>
    <w:p w14:paraId="252404CD">
      <w:pPr>
        <w:spacing w:line="600" w:lineRule="exact"/>
        <w:ind w:firstLine="600" w:firstLineChars="200"/>
        <w:rPr>
          <w:rFonts w:ascii="仿宋_GB2312" w:hAnsi="黑体" w:eastAsia="仿宋_GB2312"/>
          <w:sz w:val="30"/>
          <w:szCs w:val="30"/>
        </w:rPr>
      </w:pPr>
      <w:r>
        <w:rPr>
          <w:rFonts w:hint="eastAsia" w:ascii="仿宋_GB2312" w:hAnsi="黑体" w:eastAsia="仿宋_GB2312"/>
          <w:sz w:val="30"/>
          <w:szCs w:val="30"/>
        </w:rPr>
        <w:t>申请机构需向本所提交电子版申请材料，材料发送至本所债券做市业务材料报备邮箱</w:t>
      </w:r>
      <w:r>
        <w:rPr>
          <w:rFonts w:hint="eastAsia" w:ascii="仿宋_GB2312" w:eastAsia="仿宋_GB2312"/>
          <w:sz w:val="30"/>
          <w:szCs w:val="30"/>
        </w:rPr>
        <w:t>bondtr</w:t>
      </w:r>
      <w:r>
        <w:rPr>
          <w:rFonts w:ascii="仿宋_GB2312" w:eastAsia="仿宋_GB2312"/>
          <w:sz w:val="30"/>
          <w:szCs w:val="30"/>
        </w:rPr>
        <w:t>ading@sse.com.cn</w:t>
      </w:r>
      <w:r>
        <w:rPr>
          <w:rFonts w:hint="eastAsia" w:ascii="仿宋_GB2312" w:hAnsi="黑体" w:eastAsia="仿宋_GB2312"/>
          <w:sz w:val="30"/>
          <w:szCs w:val="30"/>
        </w:rPr>
        <w:t>，或以本所认可的其他方式提交。材料1需加盖单位公章，并做出如下承诺：申请人提交的申请材料内容真实、准确、完整，如存在虚假记载、误导性陈述或重大遗漏，将承担相关法律责任。</w:t>
      </w:r>
    </w:p>
    <w:p w14:paraId="772A06D0">
      <w:pPr>
        <w:spacing w:line="600" w:lineRule="exact"/>
        <w:ind w:firstLine="600" w:firstLineChars="200"/>
        <w:rPr>
          <w:rFonts w:ascii="仿宋_GB2312" w:hAnsi="黑体" w:eastAsia="仿宋_GB2312"/>
          <w:sz w:val="30"/>
          <w:szCs w:val="30"/>
        </w:rPr>
      </w:pPr>
      <w:r>
        <w:rPr>
          <w:rFonts w:hint="eastAsia" w:ascii="仿宋_GB2312" w:hAnsi="黑体" w:eastAsia="仿宋_GB2312"/>
          <w:sz w:val="30"/>
          <w:szCs w:val="30"/>
        </w:rPr>
        <w:t>2）申请环节</w:t>
      </w:r>
    </w:p>
    <w:p w14:paraId="40D21D57">
      <w:pPr>
        <w:spacing w:line="600" w:lineRule="exact"/>
        <w:ind w:firstLine="600" w:firstLineChars="200"/>
        <w:rPr>
          <w:rFonts w:ascii="仿宋_GB2312" w:eastAsia="仿宋_GB2312"/>
          <w:sz w:val="30"/>
          <w:szCs w:val="30"/>
        </w:rPr>
      </w:pPr>
      <w:r>
        <w:rPr>
          <w:rFonts w:hint="eastAsia" w:ascii="仿宋_GB2312" w:hAnsi="黑体" w:eastAsia="仿宋_GB2312"/>
          <w:sz w:val="30"/>
          <w:szCs w:val="30"/>
        </w:rPr>
        <w:t>本所依据相关规则与做市交易业务检查工作底稿，对申请机构进行检查并开展</w:t>
      </w:r>
      <w:r>
        <w:rPr>
          <w:rFonts w:ascii="仿宋_GB2312" w:hAnsi="黑体" w:eastAsia="仿宋_GB2312"/>
          <w:sz w:val="30"/>
          <w:szCs w:val="30"/>
        </w:rPr>
        <w:t>技术</w:t>
      </w:r>
      <w:r>
        <w:rPr>
          <w:rFonts w:hint="eastAsia" w:ascii="仿宋_GB2312" w:hAnsi="黑体" w:eastAsia="仿宋_GB2312"/>
          <w:sz w:val="30"/>
          <w:szCs w:val="30"/>
        </w:rPr>
        <w:t>测试，</w:t>
      </w:r>
      <w:r>
        <w:rPr>
          <w:rFonts w:hint="eastAsia" w:ascii="仿宋_GB2312" w:eastAsia="仿宋_GB2312"/>
          <w:sz w:val="30"/>
          <w:szCs w:val="30"/>
        </w:rPr>
        <w:t>专项检查重点内容包括做市业务相关制度流程、组织架构、交易管理、风控合规、技术系统等（检查要点详见附件10）。本所将于技术测试和检查完成后10个交易日内做出结果反馈。如本所在验收时发现申请机构在业务方案、制度流程、风险控制、技术准备等方面存在不足，申请机构应按照本所的要求进行完善并补充材料，补充完善后如符合要求,本所于10个交易日内发送通过技术测试和检查结果通知。</w:t>
      </w:r>
    </w:p>
    <w:p w14:paraId="2ED67382">
      <w:pPr>
        <w:spacing w:line="600" w:lineRule="exact"/>
        <w:ind w:firstLine="602" w:firstLineChars="200"/>
        <w:outlineLvl w:val="3"/>
        <w:rPr>
          <w:rFonts w:ascii="仿宋_GB2312" w:hAnsi="黑体" w:eastAsia="仿宋_GB2312"/>
          <w:b/>
          <w:sz w:val="30"/>
          <w:szCs w:val="30"/>
        </w:rPr>
      </w:pPr>
      <w:r>
        <w:rPr>
          <w:rFonts w:hint="eastAsia" w:ascii="仿宋_GB2312" w:hAnsi="黑体" w:eastAsia="仿宋_GB2312"/>
          <w:b/>
          <w:sz w:val="30"/>
          <w:szCs w:val="30"/>
        </w:rPr>
        <w:t>（</w:t>
      </w:r>
      <w:r>
        <w:rPr>
          <w:rFonts w:ascii="仿宋_GB2312" w:hAnsi="黑体" w:eastAsia="仿宋_GB2312"/>
          <w:b/>
          <w:sz w:val="30"/>
          <w:szCs w:val="30"/>
        </w:rPr>
        <w:t>2</w:t>
      </w:r>
      <w:r>
        <w:rPr>
          <w:rFonts w:hint="eastAsia" w:ascii="仿宋_GB2312" w:hAnsi="黑体" w:eastAsia="仿宋_GB2312"/>
          <w:b/>
          <w:sz w:val="30"/>
          <w:szCs w:val="30"/>
        </w:rPr>
        <w:t xml:space="preserve">）主做市商 </w:t>
      </w:r>
    </w:p>
    <w:p w14:paraId="0ECF10B2">
      <w:pPr>
        <w:spacing w:line="600" w:lineRule="exact"/>
        <w:ind w:firstLine="564" w:firstLineChars="188"/>
        <w:rPr>
          <w:rFonts w:ascii="仿宋_GB2312" w:hAnsi="微软雅黑" w:eastAsia="仿宋_GB2312"/>
          <w:sz w:val="30"/>
          <w:szCs w:val="30"/>
        </w:rPr>
      </w:pPr>
      <w:r>
        <w:rPr>
          <w:rFonts w:hint="eastAsia" w:ascii="仿宋_GB2312" w:hAnsi="微软雅黑" w:eastAsia="仿宋_GB2312"/>
          <w:sz w:val="30"/>
          <w:szCs w:val="30"/>
        </w:rPr>
        <w:t>符合下列条件的债券交易参与人可以成为主做市商：</w:t>
      </w:r>
    </w:p>
    <w:p w14:paraId="54289DBB">
      <w:pPr>
        <w:pStyle w:val="92"/>
        <w:widowControl w:val="0"/>
        <w:numPr>
          <w:ilvl w:val="0"/>
          <w:numId w:val="15"/>
        </w:numPr>
        <w:spacing w:line="600" w:lineRule="exact"/>
        <w:ind w:left="0" w:firstLine="601"/>
        <w:jc w:val="both"/>
        <w:rPr>
          <w:rFonts w:ascii="仿宋_GB2312" w:hAnsi="微软雅黑" w:eastAsia="仿宋_GB2312"/>
          <w:sz w:val="30"/>
          <w:szCs w:val="30"/>
          <w:lang w:eastAsia="zh-CN"/>
        </w:rPr>
      </w:pPr>
      <w:r>
        <w:rPr>
          <w:rFonts w:hint="eastAsia" w:ascii="仿宋_GB2312" w:hAnsi="微软雅黑" w:eastAsia="仿宋_GB2312"/>
          <w:sz w:val="30"/>
          <w:szCs w:val="30"/>
          <w:lang w:eastAsia="zh-CN"/>
        </w:rPr>
        <w:t>市场交易活跃，近2年债券交易量排名靠前；</w:t>
      </w:r>
    </w:p>
    <w:p w14:paraId="52DFB4F3">
      <w:pPr>
        <w:pStyle w:val="92"/>
        <w:widowControl w:val="0"/>
        <w:numPr>
          <w:ilvl w:val="0"/>
          <w:numId w:val="15"/>
        </w:numPr>
        <w:spacing w:line="600" w:lineRule="exact"/>
        <w:ind w:left="0" w:firstLine="601"/>
        <w:jc w:val="both"/>
        <w:rPr>
          <w:rFonts w:ascii="仿宋_GB2312" w:hAnsi="微软雅黑" w:eastAsia="仿宋_GB2312"/>
          <w:sz w:val="30"/>
          <w:szCs w:val="30"/>
          <w:lang w:eastAsia="zh-CN"/>
        </w:rPr>
      </w:pPr>
      <w:r>
        <w:rPr>
          <w:rFonts w:hint="eastAsia" w:ascii="仿宋_GB2312" w:hAnsi="微软雅黑" w:eastAsia="仿宋_GB2312"/>
          <w:sz w:val="30"/>
          <w:szCs w:val="30"/>
          <w:lang w:eastAsia="zh-CN"/>
        </w:rPr>
        <w:t>具有专业的做市团队和较强的做市能力；</w:t>
      </w:r>
    </w:p>
    <w:p w14:paraId="5FAFC7CD">
      <w:pPr>
        <w:pStyle w:val="92"/>
        <w:widowControl w:val="0"/>
        <w:numPr>
          <w:ilvl w:val="0"/>
          <w:numId w:val="15"/>
        </w:numPr>
        <w:spacing w:line="600" w:lineRule="exact"/>
        <w:ind w:left="0" w:firstLine="601"/>
        <w:jc w:val="both"/>
        <w:rPr>
          <w:rFonts w:ascii="仿宋_GB2312" w:hAnsi="微软雅黑" w:eastAsia="仿宋_GB2312"/>
          <w:sz w:val="30"/>
          <w:szCs w:val="30"/>
          <w:lang w:eastAsia="zh-CN"/>
        </w:rPr>
      </w:pPr>
      <w:r>
        <w:rPr>
          <w:rFonts w:hint="eastAsia" w:ascii="仿宋_GB2312" w:hAnsi="微软雅黑" w:eastAsia="仿宋_GB2312"/>
          <w:sz w:val="30"/>
          <w:szCs w:val="30"/>
          <w:lang w:eastAsia="zh-CN"/>
        </w:rPr>
        <w:t>本所规定的其他条件。</w:t>
      </w:r>
    </w:p>
    <w:p w14:paraId="7AED3667">
      <w:pPr>
        <w:spacing w:line="600" w:lineRule="exact"/>
        <w:ind w:firstLine="600" w:firstLineChars="200"/>
        <w:rPr>
          <w:rFonts w:ascii="仿宋_GB2312" w:hAnsi="微软雅黑" w:eastAsia="仿宋_GB2312"/>
          <w:sz w:val="30"/>
          <w:szCs w:val="30"/>
        </w:rPr>
      </w:pPr>
      <w:r>
        <w:rPr>
          <w:rFonts w:hint="eastAsia" w:ascii="仿宋_GB2312" w:eastAsia="仿宋_GB2312"/>
          <w:sz w:val="30"/>
          <w:szCs w:val="30"/>
        </w:rPr>
        <w:t>拟开展基准做市业务的债券交易参与人，应在通过债券做市测试与检查后，向本所提交开展债券基准做市业务方案</w:t>
      </w:r>
      <w:r>
        <w:rPr>
          <w:rFonts w:hint="eastAsia" w:ascii="仿宋_GB2312" w:hAnsi="微软雅黑" w:eastAsia="仿宋_GB2312"/>
          <w:sz w:val="30"/>
          <w:szCs w:val="30"/>
        </w:rPr>
        <w:t>（以下简称基准做市方案）。</w:t>
      </w:r>
    </w:p>
    <w:p w14:paraId="6630D03D">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债券基准做市业务方案中应当包含以下内容（附件</w:t>
      </w:r>
      <w:r>
        <w:rPr>
          <w:rFonts w:ascii="仿宋_GB2312" w:hAnsi="微软雅黑" w:eastAsia="仿宋_GB2312"/>
          <w:sz w:val="30"/>
          <w:szCs w:val="30"/>
        </w:rPr>
        <w:t>1</w:t>
      </w:r>
      <w:r>
        <w:rPr>
          <w:rFonts w:hint="eastAsia" w:ascii="仿宋_GB2312" w:hAnsi="微软雅黑" w:eastAsia="仿宋_GB2312"/>
          <w:sz w:val="30"/>
          <w:szCs w:val="30"/>
        </w:rPr>
        <w:t>1）：</w:t>
      </w:r>
    </w:p>
    <w:p w14:paraId="42E9547E">
      <w:pPr>
        <w:pStyle w:val="92"/>
        <w:widowControl w:val="0"/>
        <w:numPr>
          <w:ilvl w:val="0"/>
          <w:numId w:val="16"/>
        </w:numPr>
        <w:spacing w:line="600" w:lineRule="exact"/>
        <w:ind w:left="0" w:firstLine="601"/>
        <w:jc w:val="both"/>
        <w:rPr>
          <w:rFonts w:ascii="仿宋_GB2312" w:hAnsi="微软雅黑" w:eastAsia="仿宋_GB2312"/>
          <w:sz w:val="30"/>
          <w:szCs w:val="30"/>
          <w:lang w:eastAsia="zh-CN"/>
        </w:rPr>
      </w:pPr>
      <w:r>
        <w:rPr>
          <w:rFonts w:hint="eastAsia" w:ascii="仿宋_GB2312" w:hAnsi="微软雅黑" w:eastAsia="仿宋_GB2312"/>
          <w:sz w:val="30"/>
          <w:szCs w:val="30"/>
          <w:lang w:eastAsia="zh-CN"/>
        </w:rPr>
        <w:t>机构基本情况；</w:t>
      </w:r>
    </w:p>
    <w:p w14:paraId="7A6EAB8C">
      <w:pPr>
        <w:pStyle w:val="92"/>
        <w:widowControl w:val="0"/>
        <w:numPr>
          <w:ilvl w:val="0"/>
          <w:numId w:val="16"/>
        </w:numPr>
        <w:spacing w:line="600" w:lineRule="exact"/>
        <w:ind w:left="0" w:firstLine="601"/>
        <w:jc w:val="both"/>
        <w:rPr>
          <w:rFonts w:ascii="仿宋_GB2312" w:hAnsi="微软雅黑" w:eastAsia="仿宋_GB2312"/>
          <w:sz w:val="30"/>
          <w:szCs w:val="30"/>
          <w:lang w:eastAsia="zh-CN"/>
        </w:rPr>
      </w:pPr>
      <w:r>
        <w:rPr>
          <w:rFonts w:hint="eastAsia" w:ascii="仿宋_GB2312" w:hAnsi="微软雅黑" w:eastAsia="仿宋_GB2312"/>
          <w:sz w:val="30"/>
          <w:szCs w:val="30"/>
          <w:lang w:eastAsia="zh-CN"/>
        </w:rPr>
        <w:t>近2年债券投资交易情况；</w:t>
      </w:r>
    </w:p>
    <w:p w14:paraId="6B5F81DD">
      <w:pPr>
        <w:pStyle w:val="92"/>
        <w:widowControl w:val="0"/>
        <w:numPr>
          <w:ilvl w:val="0"/>
          <w:numId w:val="16"/>
        </w:numPr>
        <w:spacing w:line="600" w:lineRule="exact"/>
        <w:ind w:left="0" w:firstLine="601"/>
        <w:jc w:val="both"/>
        <w:rPr>
          <w:rFonts w:ascii="仿宋_GB2312" w:hAnsi="微软雅黑" w:eastAsia="仿宋_GB2312"/>
          <w:sz w:val="30"/>
          <w:szCs w:val="30"/>
          <w:lang w:eastAsia="zh-CN"/>
        </w:rPr>
      </w:pPr>
      <w:r>
        <w:rPr>
          <w:rFonts w:hint="eastAsia" w:ascii="仿宋_GB2312" w:hAnsi="微软雅黑" w:eastAsia="仿宋_GB2312"/>
          <w:sz w:val="30"/>
          <w:szCs w:val="30"/>
          <w:lang w:eastAsia="zh-CN"/>
        </w:rPr>
        <w:t>做市相关部门设置、</w:t>
      </w:r>
      <w:r>
        <w:rPr>
          <w:rFonts w:ascii="仿宋_GB2312" w:hAnsi="微软雅黑" w:eastAsia="仿宋_GB2312"/>
          <w:sz w:val="30"/>
          <w:szCs w:val="30"/>
          <w:lang w:eastAsia="zh-CN"/>
        </w:rPr>
        <w:t>内部控制制度</w:t>
      </w:r>
      <w:r>
        <w:rPr>
          <w:rFonts w:hint="eastAsia" w:ascii="仿宋_GB2312" w:hAnsi="微软雅黑" w:eastAsia="仿宋_GB2312"/>
          <w:sz w:val="30"/>
          <w:szCs w:val="30"/>
          <w:lang w:eastAsia="zh-CN"/>
        </w:rPr>
        <w:t>、</w:t>
      </w:r>
      <w:r>
        <w:rPr>
          <w:rFonts w:ascii="仿宋_GB2312" w:hAnsi="微软雅黑" w:eastAsia="仿宋_GB2312"/>
          <w:sz w:val="30"/>
          <w:szCs w:val="30"/>
          <w:lang w:eastAsia="zh-CN"/>
        </w:rPr>
        <w:t>技术系统准备情况</w:t>
      </w:r>
      <w:r>
        <w:rPr>
          <w:rFonts w:hint="eastAsia" w:ascii="仿宋_GB2312" w:hAnsi="微软雅黑" w:eastAsia="仿宋_GB2312"/>
          <w:sz w:val="30"/>
          <w:szCs w:val="30"/>
          <w:lang w:eastAsia="zh-CN"/>
        </w:rPr>
        <w:t>及业务人员配备情况；</w:t>
      </w:r>
    </w:p>
    <w:p w14:paraId="337E78CA">
      <w:pPr>
        <w:pStyle w:val="92"/>
        <w:widowControl w:val="0"/>
        <w:numPr>
          <w:ilvl w:val="0"/>
          <w:numId w:val="16"/>
        </w:numPr>
        <w:spacing w:line="600" w:lineRule="exact"/>
        <w:ind w:left="0" w:firstLine="601"/>
        <w:jc w:val="both"/>
        <w:rPr>
          <w:rFonts w:ascii="仿宋_GB2312" w:hAnsi="微软雅黑" w:eastAsia="仿宋_GB2312"/>
          <w:sz w:val="30"/>
          <w:szCs w:val="30"/>
          <w:lang w:eastAsia="zh-CN"/>
        </w:rPr>
      </w:pPr>
      <w:r>
        <w:rPr>
          <w:rFonts w:hint="eastAsia" w:ascii="仿宋_GB2312" w:hAnsi="微软雅黑" w:eastAsia="仿宋_GB2312"/>
          <w:sz w:val="30"/>
          <w:szCs w:val="30"/>
          <w:lang w:eastAsia="zh-CN"/>
        </w:rPr>
        <w:t>拟做市品种、做市证券账户安排；</w:t>
      </w:r>
    </w:p>
    <w:p w14:paraId="734C0543">
      <w:pPr>
        <w:pStyle w:val="92"/>
        <w:widowControl w:val="0"/>
        <w:numPr>
          <w:ilvl w:val="0"/>
          <w:numId w:val="16"/>
        </w:numPr>
        <w:spacing w:line="600" w:lineRule="exact"/>
        <w:ind w:left="0" w:firstLine="601"/>
        <w:jc w:val="both"/>
        <w:rPr>
          <w:rFonts w:ascii="仿宋_GB2312" w:hAnsi="微软雅黑" w:eastAsia="仿宋_GB2312"/>
          <w:sz w:val="30"/>
          <w:szCs w:val="30"/>
          <w:lang w:eastAsia="zh-CN"/>
        </w:rPr>
      </w:pPr>
      <w:r>
        <w:rPr>
          <w:rFonts w:hint="eastAsia" w:ascii="仿宋_GB2312" w:hAnsi="微软雅黑" w:eastAsia="仿宋_GB2312"/>
          <w:sz w:val="30"/>
          <w:szCs w:val="30"/>
          <w:lang w:eastAsia="zh-CN"/>
        </w:rPr>
        <w:t>做市相关风险控制安排、</w:t>
      </w:r>
      <w:r>
        <w:rPr>
          <w:rFonts w:ascii="仿宋_GB2312" w:hAnsi="微软雅黑" w:eastAsia="仿宋_GB2312"/>
          <w:sz w:val="30"/>
          <w:szCs w:val="30"/>
          <w:lang w:eastAsia="zh-CN"/>
        </w:rPr>
        <w:t>系统应急预案</w:t>
      </w:r>
      <w:r>
        <w:rPr>
          <w:rFonts w:hint="eastAsia" w:ascii="仿宋_GB2312" w:hAnsi="微软雅黑" w:eastAsia="仿宋_GB2312"/>
          <w:sz w:val="30"/>
          <w:szCs w:val="30"/>
          <w:lang w:eastAsia="zh-CN"/>
        </w:rPr>
        <w:t xml:space="preserve">； </w:t>
      </w:r>
    </w:p>
    <w:p w14:paraId="119B3743">
      <w:pPr>
        <w:pStyle w:val="92"/>
        <w:widowControl w:val="0"/>
        <w:numPr>
          <w:ilvl w:val="0"/>
          <w:numId w:val="16"/>
        </w:numPr>
        <w:spacing w:line="600" w:lineRule="exact"/>
        <w:ind w:left="0" w:firstLine="601"/>
        <w:jc w:val="both"/>
        <w:rPr>
          <w:rFonts w:ascii="仿宋_GB2312" w:hAnsi="微软雅黑" w:eastAsia="仿宋_GB2312"/>
          <w:sz w:val="30"/>
          <w:szCs w:val="30"/>
          <w:lang w:eastAsia="zh-CN"/>
        </w:rPr>
      </w:pPr>
      <w:r>
        <w:rPr>
          <w:rFonts w:hint="eastAsia" w:ascii="仿宋_GB2312" w:hAnsi="微软雅黑" w:eastAsia="仿宋_GB2312"/>
          <w:sz w:val="30"/>
          <w:szCs w:val="30"/>
          <w:lang w:eastAsia="zh-CN"/>
        </w:rPr>
        <w:t>本所要求说明的其他情况。</w:t>
      </w:r>
    </w:p>
    <w:p w14:paraId="4BCE0A30">
      <w:pPr>
        <w:spacing w:line="600" w:lineRule="exact"/>
        <w:ind w:firstLine="600" w:firstLineChars="200"/>
        <w:rPr>
          <w:rFonts w:ascii="仿宋_GB2312" w:eastAsia="仿宋_GB2312"/>
          <w:sz w:val="30"/>
          <w:szCs w:val="30"/>
        </w:rPr>
      </w:pPr>
      <w:r>
        <w:rPr>
          <w:rFonts w:hint="eastAsia" w:ascii="仿宋_GB2312" w:hAnsi="微软雅黑" w:eastAsia="仿宋_GB2312"/>
          <w:sz w:val="30"/>
          <w:szCs w:val="30"/>
        </w:rPr>
        <w:t>申请人应当通过“上交所业务管理系统平台交易参与人模块-债券做市业务”</w:t>
      </w:r>
      <w:r>
        <w:rPr>
          <w:rFonts w:ascii="仿宋_GB2312" w:hAnsi="微软雅黑" w:eastAsia="仿宋_GB2312"/>
          <w:sz w:val="30"/>
          <w:szCs w:val="30"/>
        </w:rPr>
        <w:t>（以下简称</w:t>
      </w:r>
      <w:r>
        <w:rPr>
          <w:rFonts w:hint="eastAsia" w:ascii="仿宋_GB2312" w:hAnsi="微软雅黑" w:eastAsia="仿宋_GB2312"/>
          <w:sz w:val="30"/>
          <w:szCs w:val="30"/>
        </w:rPr>
        <w:t>“业管系统平台交易参与人模块”</w:t>
      </w:r>
      <w:r>
        <w:rPr>
          <w:rFonts w:ascii="仿宋_GB2312" w:hAnsi="微软雅黑" w:eastAsia="仿宋_GB2312"/>
          <w:sz w:val="30"/>
          <w:szCs w:val="30"/>
        </w:rPr>
        <w:t>）</w:t>
      </w:r>
      <w:r>
        <w:rPr>
          <w:rFonts w:hint="eastAsia" w:ascii="仿宋_GB2312" w:hAnsi="微软雅黑" w:eastAsia="仿宋_GB2312"/>
          <w:sz w:val="30"/>
          <w:szCs w:val="30"/>
        </w:rPr>
        <w:t>提交材料，</w:t>
      </w:r>
      <w:r>
        <w:rPr>
          <w:rFonts w:hint="eastAsia" w:ascii="仿宋_GB2312" w:hAnsi="Calibri" w:eastAsia="仿宋_GB2312"/>
          <w:sz w:val="30"/>
          <w:szCs w:val="30"/>
        </w:rPr>
        <w:t>并做出如下承诺：申请材料的内容真实、准确、完整，如申请材料存在虚假记载、误导性陈述和重大遗漏，将承担全部法律责任。</w:t>
      </w:r>
      <w:r>
        <w:rPr>
          <w:rFonts w:hint="eastAsia" w:ascii="仿宋_GB2312" w:hAnsi="微软雅黑" w:eastAsia="仿宋_GB2312"/>
          <w:sz w:val="30"/>
          <w:szCs w:val="30"/>
        </w:rPr>
        <w:t>申请人上传材料的电子件及</w:t>
      </w:r>
      <w:r>
        <w:rPr>
          <w:rFonts w:ascii="仿宋_GB2312" w:hAnsi="微软雅黑" w:eastAsia="仿宋_GB2312"/>
          <w:sz w:val="30"/>
          <w:szCs w:val="30"/>
        </w:rPr>
        <w:t>PDF格式彩色扫描件</w:t>
      </w:r>
      <w:r>
        <w:rPr>
          <w:rFonts w:hint="eastAsia" w:ascii="仿宋_GB2312" w:hAnsi="微软雅黑" w:eastAsia="仿宋_GB2312"/>
          <w:sz w:val="30"/>
          <w:szCs w:val="30"/>
        </w:rPr>
        <w:t>，</w:t>
      </w:r>
      <w:r>
        <w:rPr>
          <w:rFonts w:ascii="仿宋_GB2312" w:hAnsi="微软雅黑" w:eastAsia="仿宋_GB2312"/>
          <w:sz w:val="30"/>
          <w:szCs w:val="30"/>
        </w:rPr>
        <w:t>材料均需加盖机构公章。</w:t>
      </w:r>
      <w:r>
        <w:rPr>
          <w:rFonts w:hint="eastAsia" w:ascii="仿宋_GB2312" w:eastAsia="仿宋_GB2312"/>
          <w:sz w:val="30"/>
          <w:szCs w:val="30"/>
        </w:rPr>
        <w:t>本所自收到基准做市方案之日起5个交易日以内进行评估并通知申请人。</w:t>
      </w:r>
    </w:p>
    <w:p w14:paraId="33A1A5E5">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本所对主做市商的受理持续开放，满足条件的债券交易参与人可以随时提交材料。</w:t>
      </w:r>
    </w:p>
    <w:p w14:paraId="2B538454">
      <w:pPr>
        <w:spacing w:line="600" w:lineRule="exact"/>
        <w:ind w:firstLine="602" w:firstLineChars="200"/>
        <w:outlineLvl w:val="3"/>
        <w:rPr>
          <w:rFonts w:ascii="仿宋_GB2312" w:hAnsi="黑体" w:eastAsia="仿宋_GB2312"/>
          <w:b/>
          <w:sz w:val="30"/>
          <w:szCs w:val="30"/>
        </w:rPr>
      </w:pPr>
      <w:r>
        <w:rPr>
          <w:rFonts w:hint="eastAsia" w:ascii="仿宋_GB2312" w:hAnsi="黑体" w:eastAsia="仿宋_GB2312"/>
          <w:b/>
          <w:sz w:val="30"/>
          <w:szCs w:val="30"/>
        </w:rPr>
        <w:t>（</w:t>
      </w:r>
      <w:r>
        <w:rPr>
          <w:rFonts w:ascii="仿宋_GB2312" w:hAnsi="黑体" w:eastAsia="仿宋_GB2312"/>
          <w:b/>
          <w:sz w:val="30"/>
          <w:szCs w:val="30"/>
        </w:rPr>
        <w:t>3</w:t>
      </w:r>
      <w:r>
        <w:rPr>
          <w:rFonts w:hint="eastAsia" w:ascii="仿宋_GB2312" w:hAnsi="黑体" w:eastAsia="仿宋_GB2312"/>
          <w:b/>
          <w:sz w:val="30"/>
          <w:szCs w:val="30"/>
        </w:rPr>
        <w:t>）一般做市商</w:t>
      </w:r>
    </w:p>
    <w:p w14:paraId="2DC78356">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拟开展一般做市业务的债券交易参与人，应在</w:t>
      </w:r>
      <w:r>
        <w:rPr>
          <w:rFonts w:hint="eastAsia" w:ascii="仿宋_GB2312" w:eastAsia="仿宋_GB2312"/>
          <w:sz w:val="30"/>
          <w:szCs w:val="30"/>
        </w:rPr>
        <w:t>通过债券做市测试与检查后，</w:t>
      </w:r>
      <w:r>
        <w:rPr>
          <w:rFonts w:hint="eastAsia" w:ascii="仿宋_GB2312" w:hAnsi="微软雅黑" w:eastAsia="仿宋_GB2312"/>
          <w:sz w:val="30"/>
          <w:szCs w:val="30"/>
        </w:rPr>
        <w:t>向本所</w:t>
      </w:r>
      <w:r>
        <w:rPr>
          <w:rFonts w:hint="eastAsia" w:ascii="仿宋_GB2312" w:eastAsia="仿宋_GB2312"/>
          <w:sz w:val="30"/>
          <w:szCs w:val="30"/>
        </w:rPr>
        <w:t>提交债券一般做市商登记表，具体需</w:t>
      </w:r>
      <w:r>
        <w:rPr>
          <w:rFonts w:hint="eastAsia" w:ascii="仿宋_GB2312" w:hAnsi="微软雅黑" w:eastAsia="仿宋_GB2312"/>
          <w:sz w:val="30"/>
          <w:szCs w:val="30"/>
        </w:rPr>
        <w:t>提交材料可参考附件</w:t>
      </w:r>
      <w:r>
        <w:rPr>
          <w:rFonts w:ascii="仿宋_GB2312" w:hAnsi="微软雅黑" w:eastAsia="仿宋_GB2312"/>
          <w:sz w:val="30"/>
          <w:szCs w:val="30"/>
        </w:rPr>
        <w:t>1</w:t>
      </w:r>
      <w:r>
        <w:rPr>
          <w:rFonts w:hint="eastAsia" w:ascii="仿宋_GB2312" w:hAnsi="微软雅黑" w:eastAsia="仿宋_GB2312"/>
          <w:sz w:val="30"/>
          <w:szCs w:val="30"/>
        </w:rPr>
        <w:t>2。</w:t>
      </w:r>
    </w:p>
    <w:p w14:paraId="0EABF3C1">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债券交易参与人应当保证所提交的材料真实、准确、完整。申请人应当通过业管系统平台交易参与人模块上传材料的电子件及</w:t>
      </w:r>
      <w:r>
        <w:rPr>
          <w:rFonts w:ascii="仿宋_GB2312" w:hAnsi="微软雅黑" w:eastAsia="仿宋_GB2312"/>
          <w:sz w:val="30"/>
          <w:szCs w:val="30"/>
        </w:rPr>
        <w:t>PDF格式彩色扫描件，材料均需加盖机构公章。</w:t>
      </w:r>
    </w:p>
    <w:p w14:paraId="158F6FA2">
      <w:pPr>
        <w:spacing w:line="600" w:lineRule="exact"/>
        <w:ind w:firstLine="600" w:firstLineChars="200"/>
        <w:rPr>
          <w:rFonts w:ascii="仿宋_GB2312" w:eastAsia="仿宋_GB2312"/>
          <w:sz w:val="30"/>
          <w:szCs w:val="30"/>
        </w:rPr>
      </w:pPr>
      <w:r>
        <w:rPr>
          <w:rFonts w:hint="eastAsia" w:ascii="仿宋_GB2312" w:eastAsia="仿宋_GB2312"/>
          <w:sz w:val="30"/>
          <w:szCs w:val="30"/>
        </w:rPr>
        <w:t>本所自收到债券一般做市商登记表之日起2个交易日以内进行确认。</w:t>
      </w:r>
    </w:p>
    <w:p w14:paraId="4B0FA062">
      <w:pPr>
        <w:spacing w:line="600" w:lineRule="exact"/>
        <w:ind w:firstLine="602" w:firstLineChars="200"/>
        <w:outlineLvl w:val="3"/>
        <w:rPr>
          <w:rFonts w:ascii="仿宋_GB2312" w:hAnsi="黑体" w:eastAsia="仿宋_GB2312"/>
          <w:b/>
          <w:sz w:val="30"/>
          <w:szCs w:val="30"/>
        </w:rPr>
      </w:pPr>
      <w:r>
        <w:rPr>
          <w:rFonts w:hint="eastAsia" w:ascii="仿宋_GB2312" w:hAnsi="黑体" w:eastAsia="仿宋_GB2312"/>
          <w:b/>
          <w:sz w:val="30"/>
          <w:szCs w:val="30"/>
        </w:rPr>
        <w:t>（</w:t>
      </w:r>
      <w:r>
        <w:rPr>
          <w:rFonts w:ascii="仿宋_GB2312" w:hAnsi="黑体" w:eastAsia="仿宋_GB2312"/>
          <w:b/>
          <w:sz w:val="30"/>
          <w:szCs w:val="30"/>
        </w:rPr>
        <w:t>4</w:t>
      </w:r>
      <w:r>
        <w:rPr>
          <w:rFonts w:hint="eastAsia" w:ascii="仿宋_GB2312" w:hAnsi="黑体" w:eastAsia="仿宋_GB2312"/>
          <w:b/>
          <w:sz w:val="30"/>
          <w:szCs w:val="30"/>
        </w:rPr>
        <w:t>）做市商类型变更</w:t>
      </w:r>
    </w:p>
    <w:p w14:paraId="6573CFD9">
      <w:pPr>
        <w:spacing w:line="600" w:lineRule="exact"/>
        <w:ind w:firstLine="600" w:firstLineChars="200"/>
        <w:rPr>
          <w:rFonts w:ascii="仿宋_GB2312" w:eastAsia="仿宋_GB2312"/>
          <w:sz w:val="30"/>
          <w:szCs w:val="30"/>
        </w:rPr>
      </w:pPr>
      <w:r>
        <w:rPr>
          <w:rFonts w:hint="eastAsia" w:ascii="仿宋_GB2312" w:eastAsia="仿宋_GB2312"/>
          <w:sz w:val="30"/>
          <w:szCs w:val="30"/>
        </w:rPr>
        <w:t>一般做市商拟变更为主做市商的，应符合主做市商申请条件，并通过业管系统平台交易参与人模块提交基准做市方案（附件</w:t>
      </w:r>
      <w:r>
        <w:rPr>
          <w:rFonts w:ascii="仿宋_GB2312" w:eastAsia="仿宋_GB2312"/>
          <w:sz w:val="30"/>
          <w:szCs w:val="30"/>
        </w:rPr>
        <w:t>1</w:t>
      </w:r>
      <w:r>
        <w:rPr>
          <w:rFonts w:hint="eastAsia" w:ascii="仿宋_GB2312" w:eastAsia="仿宋_GB2312"/>
          <w:sz w:val="30"/>
          <w:szCs w:val="30"/>
        </w:rPr>
        <w:t>1）。本所自收到基准做市方案之日起5个交易日以内进行评估并通知申请人。</w:t>
      </w:r>
    </w:p>
    <w:p w14:paraId="237BC36A">
      <w:pPr>
        <w:spacing w:line="600" w:lineRule="exact"/>
        <w:ind w:firstLine="600" w:firstLineChars="200"/>
        <w:rPr>
          <w:rFonts w:ascii="仿宋_GB2312" w:eastAsia="仿宋_GB2312"/>
          <w:sz w:val="30"/>
          <w:szCs w:val="30"/>
        </w:rPr>
      </w:pPr>
      <w:r>
        <w:rPr>
          <w:rFonts w:hint="eastAsia" w:ascii="仿宋_GB2312" w:eastAsia="仿宋_GB2312"/>
          <w:sz w:val="30"/>
          <w:szCs w:val="30"/>
        </w:rPr>
        <w:t>主做市商拟变更为一般做市商的，应提交债券一般做市商登记表（附件</w:t>
      </w:r>
      <w:r>
        <w:rPr>
          <w:rFonts w:ascii="仿宋_GB2312" w:eastAsia="仿宋_GB2312"/>
          <w:sz w:val="30"/>
          <w:szCs w:val="30"/>
        </w:rPr>
        <w:t>1</w:t>
      </w:r>
      <w:r>
        <w:rPr>
          <w:rFonts w:hint="eastAsia" w:ascii="仿宋_GB2312" w:eastAsia="仿宋_GB2312"/>
          <w:sz w:val="30"/>
          <w:szCs w:val="30"/>
        </w:rPr>
        <w:t>2）。本所自收到债券一般做市商登记表之日起2个交易日以内进行确认。主</w:t>
      </w:r>
      <w:r>
        <w:rPr>
          <w:rFonts w:hint="eastAsia" w:ascii="仿宋_GB2312" w:hAnsi="微软雅黑" w:eastAsia="仿宋_GB2312"/>
          <w:sz w:val="30"/>
          <w:szCs w:val="30"/>
        </w:rPr>
        <w:t>做市商申请</w:t>
      </w:r>
      <w:r>
        <w:rPr>
          <w:rFonts w:hint="eastAsia" w:ascii="仿宋_GB2312" w:eastAsia="仿宋_GB2312"/>
          <w:sz w:val="30"/>
          <w:szCs w:val="30"/>
        </w:rPr>
        <w:t>变更为一般做市商的</w:t>
      </w:r>
      <w:r>
        <w:rPr>
          <w:rFonts w:hint="eastAsia" w:ascii="仿宋_GB2312" w:hAnsi="微软雅黑" w:eastAsia="仿宋_GB2312"/>
          <w:sz w:val="30"/>
          <w:szCs w:val="30"/>
        </w:rPr>
        <w:t>，</w:t>
      </w:r>
      <w:r>
        <w:rPr>
          <w:rFonts w:ascii="仿宋_GB2312" w:hAnsi="微软雅黑" w:eastAsia="仿宋_GB2312"/>
          <w:sz w:val="30"/>
          <w:szCs w:val="30"/>
        </w:rPr>
        <w:t>3</w:t>
      </w:r>
      <w:r>
        <w:rPr>
          <w:rFonts w:hint="eastAsia" w:ascii="仿宋_GB2312" w:hAnsi="微软雅黑" w:eastAsia="仿宋_GB2312"/>
          <w:sz w:val="30"/>
          <w:szCs w:val="30"/>
        </w:rPr>
        <w:t>个月内不得重新申请变更为主做市商。</w:t>
      </w:r>
    </w:p>
    <w:p w14:paraId="6AFC5501">
      <w:pPr>
        <w:spacing w:line="600" w:lineRule="exact"/>
        <w:ind w:firstLine="602" w:firstLineChars="200"/>
        <w:outlineLvl w:val="3"/>
        <w:rPr>
          <w:rFonts w:ascii="仿宋_GB2312" w:hAnsi="黑体" w:eastAsia="仿宋_GB2312"/>
          <w:b/>
          <w:sz w:val="30"/>
          <w:szCs w:val="30"/>
        </w:rPr>
      </w:pPr>
      <w:r>
        <w:rPr>
          <w:rFonts w:hint="eastAsia" w:ascii="仿宋_GB2312" w:hAnsi="黑体" w:eastAsia="仿宋_GB2312"/>
          <w:b/>
          <w:sz w:val="30"/>
          <w:szCs w:val="30"/>
        </w:rPr>
        <w:t>（</w:t>
      </w:r>
      <w:r>
        <w:rPr>
          <w:rFonts w:ascii="仿宋_GB2312" w:hAnsi="黑体" w:eastAsia="仿宋_GB2312"/>
          <w:b/>
          <w:sz w:val="30"/>
          <w:szCs w:val="30"/>
        </w:rPr>
        <w:t>5</w:t>
      </w:r>
      <w:r>
        <w:rPr>
          <w:rFonts w:hint="eastAsia" w:ascii="仿宋_GB2312" w:hAnsi="黑体" w:eastAsia="仿宋_GB2312"/>
          <w:b/>
          <w:sz w:val="30"/>
          <w:szCs w:val="30"/>
        </w:rPr>
        <w:t>）做市商信息变更与公示</w:t>
      </w:r>
    </w:p>
    <w:p w14:paraId="77BC07C4">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做市商信息与债券交易参与人信息同步变更，不需要单独申请。</w:t>
      </w:r>
    </w:p>
    <w:p w14:paraId="3556069F">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除机构信息、证券账户信息以外的做市业务相关信息变更，如做市业务部门人员、岗位设置等信息的变更，可通过业管系统平台交易参与人模块完成。</w:t>
      </w:r>
    </w:p>
    <w:p w14:paraId="065B1D9E">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本所向市场公示主做市商及一般做市商名单，并对名单进行及时更新。名单可在本所上证债券信息网（</w:t>
      </w:r>
      <w:r>
        <w:rPr>
          <w:rFonts w:ascii="仿宋_GB2312" w:hAnsi="微软雅黑" w:eastAsia="仿宋_GB2312"/>
          <w:sz w:val="30"/>
          <w:szCs w:val="30"/>
        </w:rPr>
        <w:t>http://bond.sse.com.cn/</w:t>
      </w:r>
      <w:r>
        <w:rPr>
          <w:rFonts w:hint="eastAsia" w:ascii="仿宋_GB2312" w:hAnsi="微软雅黑" w:eastAsia="仿宋_GB2312"/>
          <w:sz w:val="30"/>
          <w:szCs w:val="30"/>
        </w:rPr>
        <w:t>）进行查看。</w:t>
      </w:r>
    </w:p>
    <w:p w14:paraId="17CFD04A">
      <w:pPr>
        <w:numPr>
          <w:ilvl w:val="2"/>
          <w:numId w:val="4"/>
        </w:numPr>
        <w:spacing w:line="600" w:lineRule="exact"/>
        <w:ind w:left="0" w:firstLine="0"/>
        <w:outlineLvl w:val="2"/>
        <w:rPr>
          <w:rFonts w:ascii="仿宋_GB2312" w:eastAsia="仿宋_GB2312"/>
          <w:b/>
          <w:sz w:val="30"/>
          <w:szCs w:val="30"/>
        </w:rPr>
      </w:pPr>
      <w:bookmarkStart w:id="913" w:name="_Toc47443122"/>
      <w:bookmarkEnd w:id="913"/>
      <w:bookmarkStart w:id="914" w:name="_Toc47443694"/>
      <w:bookmarkEnd w:id="914"/>
      <w:bookmarkStart w:id="915" w:name="_Toc47372570"/>
      <w:bookmarkEnd w:id="915"/>
      <w:bookmarkStart w:id="916" w:name="_Toc47452101"/>
      <w:bookmarkEnd w:id="916"/>
      <w:bookmarkStart w:id="917" w:name="_Toc47451504"/>
      <w:bookmarkEnd w:id="917"/>
      <w:bookmarkStart w:id="918" w:name="_Toc47451386"/>
      <w:bookmarkEnd w:id="918"/>
      <w:bookmarkStart w:id="919" w:name="_Toc47455793"/>
      <w:bookmarkEnd w:id="919"/>
      <w:bookmarkStart w:id="920" w:name="_Toc47451772"/>
      <w:bookmarkEnd w:id="920"/>
      <w:bookmarkStart w:id="921" w:name="_Toc47457050"/>
      <w:bookmarkEnd w:id="921"/>
      <w:bookmarkStart w:id="922" w:name="_Toc47443011"/>
      <w:bookmarkEnd w:id="922"/>
      <w:bookmarkStart w:id="923" w:name="_Toc16497684"/>
      <w:bookmarkStart w:id="924" w:name="_Toc19541966"/>
      <w:bookmarkStart w:id="925" w:name="_Toc47457051"/>
      <w:bookmarkStart w:id="926" w:name="_Toc55318673"/>
      <w:bookmarkStart w:id="927" w:name="_Toc24459820"/>
      <w:bookmarkStart w:id="928" w:name="_Toc48742270"/>
      <w:bookmarkStart w:id="929" w:name="_Toc47455794"/>
      <w:bookmarkStart w:id="930" w:name="_Toc46910499"/>
      <w:bookmarkStart w:id="931" w:name="_Toc35006301"/>
      <w:r>
        <w:rPr>
          <w:rFonts w:hint="eastAsia" w:ascii="仿宋_GB2312" w:eastAsia="仿宋_GB2312"/>
          <w:b/>
          <w:sz w:val="30"/>
          <w:szCs w:val="30"/>
        </w:rPr>
        <w:t>做市品种</w:t>
      </w:r>
      <w:bookmarkEnd w:id="923"/>
      <w:bookmarkEnd w:id="924"/>
      <w:bookmarkEnd w:id="925"/>
      <w:bookmarkEnd w:id="926"/>
      <w:bookmarkEnd w:id="927"/>
      <w:bookmarkEnd w:id="928"/>
      <w:bookmarkEnd w:id="929"/>
      <w:bookmarkEnd w:id="930"/>
      <w:bookmarkEnd w:id="931"/>
    </w:p>
    <w:p w14:paraId="414DDE6E">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本所债券市场的做市品种包括基准做市品种和自选做市品种。</w:t>
      </w:r>
    </w:p>
    <w:p w14:paraId="23BA65D8">
      <w:pPr>
        <w:spacing w:line="600" w:lineRule="exact"/>
        <w:ind w:left="567"/>
        <w:outlineLvl w:val="3"/>
        <w:rPr>
          <w:rFonts w:ascii="仿宋_GB2312" w:eastAsia="仿宋_GB2312"/>
          <w:b/>
          <w:sz w:val="30"/>
          <w:szCs w:val="30"/>
        </w:rPr>
      </w:pPr>
      <w:r>
        <w:rPr>
          <w:rFonts w:hint="eastAsia" w:ascii="仿宋_GB2312" w:eastAsia="仿宋_GB2312"/>
          <w:b/>
          <w:sz w:val="30"/>
          <w:szCs w:val="30"/>
        </w:rPr>
        <w:t>（1）基准做市品种</w:t>
      </w:r>
    </w:p>
    <w:p w14:paraId="56E64F91">
      <w:pPr>
        <w:spacing w:line="600" w:lineRule="exact"/>
        <w:ind w:firstLine="600" w:firstLineChars="200"/>
        <w:rPr>
          <w:rFonts w:ascii="仿宋_GB2312" w:hAnsi="黑体" w:eastAsia="仿宋_GB2312"/>
          <w:b/>
          <w:sz w:val="30"/>
          <w:szCs w:val="30"/>
        </w:rPr>
      </w:pPr>
      <w:r>
        <w:rPr>
          <w:rFonts w:hint="eastAsia" w:ascii="仿宋_GB2312" w:hAnsi="微软雅黑" w:eastAsia="仿宋_GB2312"/>
          <w:sz w:val="30"/>
          <w:szCs w:val="30"/>
        </w:rPr>
        <w:t>基准做市品种包括基准利率类债券和基准信用类债券及本所认可的其他品种。</w:t>
      </w:r>
    </w:p>
    <w:p w14:paraId="6C0379A7">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1）基准利率类债券</w:t>
      </w:r>
    </w:p>
    <w:p w14:paraId="23CD4E0A">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基准利率类债券包括：</w:t>
      </w:r>
    </w:p>
    <w:p w14:paraId="32416F63">
      <w:pPr>
        <w:spacing w:line="600" w:lineRule="exact"/>
        <w:ind w:firstLine="600" w:firstLineChars="200"/>
        <w:rPr>
          <w:rFonts w:ascii="仿宋_GB2312" w:eastAsia="仿宋_GB2312"/>
          <w:sz w:val="30"/>
          <w:szCs w:val="30"/>
        </w:rPr>
      </w:pPr>
      <w:r>
        <w:rPr>
          <w:rFonts w:hint="eastAsia" w:ascii="仿宋_GB2312" w:hAnsi="微软雅黑" w:eastAsia="仿宋_GB2312"/>
          <w:sz w:val="30"/>
          <w:szCs w:val="30"/>
        </w:rPr>
        <w:t>1.</w:t>
      </w:r>
      <w:r>
        <w:rPr>
          <w:rFonts w:hint="eastAsia" w:ascii="仿宋_GB2312" w:eastAsia="仿宋_GB2312"/>
          <w:sz w:val="30"/>
          <w:szCs w:val="30"/>
        </w:rPr>
        <w:t>1年期、2年期、3年期、5年期、10年期的国债中，分别选取最新上市的</w:t>
      </w:r>
      <w:r>
        <w:rPr>
          <w:rFonts w:ascii="仿宋_GB2312" w:eastAsia="仿宋_GB2312"/>
          <w:sz w:val="30"/>
          <w:szCs w:val="30"/>
        </w:rPr>
        <w:t>两</w:t>
      </w:r>
      <w:r>
        <w:rPr>
          <w:rFonts w:hint="eastAsia" w:ascii="仿宋_GB2312" w:eastAsia="仿宋_GB2312"/>
          <w:sz w:val="30"/>
          <w:szCs w:val="30"/>
        </w:rPr>
        <w:t>期国债；</w:t>
      </w:r>
    </w:p>
    <w:p w14:paraId="17601680">
      <w:pPr>
        <w:numPr>
          <w:ilvl w:val="0"/>
          <w:numId w:val="0"/>
        </w:numPr>
        <w:spacing w:line="600" w:lineRule="exact"/>
        <w:ind w:firstLine="600" w:firstLineChars="200"/>
        <w:rPr>
          <w:rFonts w:ascii="仿宋_GB2312" w:eastAsia="仿宋_GB2312"/>
          <w:sz w:val="30"/>
          <w:szCs w:val="30"/>
        </w:rPr>
      </w:pPr>
      <w:r>
        <w:rPr>
          <w:rFonts w:ascii="仿宋_GB2312" w:hAnsi="Times New Roman" w:eastAsia="仿宋_GB2312" w:cs="Times New Roman"/>
          <w:kern w:val="2"/>
          <w:sz w:val="30"/>
          <w:szCs w:val="30"/>
          <w:lang w:val="en-US" w:eastAsia="zh-CN" w:bidi="ar-SA"/>
        </w:rPr>
        <w:t>2.</w:t>
      </w:r>
      <w:r>
        <w:rPr>
          <w:rFonts w:hint="eastAsia" w:ascii="仿宋_GB2312" w:eastAsia="仿宋_GB2312"/>
          <w:sz w:val="30"/>
          <w:szCs w:val="30"/>
        </w:rPr>
        <w:t>20年期、3</w:t>
      </w:r>
      <w:r>
        <w:rPr>
          <w:rFonts w:ascii="仿宋_GB2312" w:eastAsia="仿宋_GB2312"/>
          <w:sz w:val="30"/>
          <w:szCs w:val="30"/>
        </w:rPr>
        <w:t>0</w:t>
      </w:r>
      <w:r>
        <w:rPr>
          <w:rFonts w:hint="eastAsia" w:ascii="仿宋_GB2312" w:eastAsia="仿宋_GB2312"/>
          <w:sz w:val="30"/>
          <w:szCs w:val="30"/>
        </w:rPr>
        <w:t>年期、50年期的国债中，分别选取最新上市品种，最多选取三期；</w:t>
      </w:r>
    </w:p>
    <w:p w14:paraId="10DF0D4C">
      <w:pPr>
        <w:numPr>
          <w:ilvl w:val="0"/>
          <w:numId w:val="0"/>
        </w:numPr>
        <w:spacing w:line="600" w:lineRule="exact"/>
        <w:ind w:firstLine="600" w:firstLineChars="200"/>
        <w:rPr>
          <w:rFonts w:ascii="仿宋_GB2312" w:hAnsi="微软雅黑" w:eastAsia="仿宋_GB2312"/>
          <w:sz w:val="30"/>
          <w:szCs w:val="30"/>
        </w:rPr>
      </w:pPr>
      <w:r>
        <w:rPr>
          <w:rFonts w:ascii="仿宋_GB2312" w:hAnsi="微软雅黑" w:eastAsia="仿宋_GB2312" w:cs="Times New Roman"/>
          <w:kern w:val="2"/>
          <w:sz w:val="30"/>
          <w:szCs w:val="30"/>
          <w:lang w:val="en-US" w:eastAsia="zh-CN" w:bidi="ar-SA"/>
        </w:rPr>
        <w:t>3.</w:t>
      </w:r>
      <w:r>
        <w:rPr>
          <w:rFonts w:hint="eastAsia" w:ascii="仿宋_GB2312" w:eastAsia="仿宋_GB2312"/>
          <w:sz w:val="30"/>
          <w:szCs w:val="30"/>
        </w:rPr>
        <w:t>新发行且在本所招标发行的单只规模不少于</w:t>
      </w:r>
      <w:r>
        <w:rPr>
          <w:rFonts w:hint="eastAsia" w:ascii="仿宋_GB2312" w:eastAsia="仿宋_GB2312"/>
          <w:sz w:val="30"/>
          <w:szCs w:val="30"/>
          <w:lang w:val="en-US" w:eastAsia="zh-CN"/>
        </w:rPr>
        <w:t>8</w:t>
      </w:r>
      <w:r>
        <w:rPr>
          <w:rFonts w:hint="eastAsia" w:ascii="仿宋_GB2312" w:eastAsia="仿宋_GB2312"/>
          <w:sz w:val="30"/>
          <w:szCs w:val="30"/>
        </w:rPr>
        <w:t>0亿元的地方债；</w:t>
      </w:r>
    </w:p>
    <w:p w14:paraId="5A037A07">
      <w:pPr>
        <w:numPr>
          <w:ilvl w:val="0"/>
          <w:numId w:val="0"/>
        </w:numPr>
        <w:spacing w:line="600" w:lineRule="exact"/>
        <w:ind w:firstLine="600" w:firstLineChars="200"/>
        <w:rPr>
          <w:rFonts w:ascii="仿宋_GB2312" w:hAnsi="微软雅黑" w:eastAsia="仿宋_GB2312"/>
          <w:sz w:val="30"/>
          <w:szCs w:val="30"/>
        </w:rPr>
      </w:pPr>
      <w:r>
        <w:rPr>
          <w:rFonts w:ascii="仿宋_GB2312" w:hAnsi="微软雅黑" w:eastAsia="仿宋_GB2312" w:cs="Times New Roman"/>
          <w:kern w:val="2"/>
          <w:sz w:val="30"/>
          <w:szCs w:val="30"/>
          <w:lang w:val="en-US" w:eastAsia="zh-CN" w:bidi="ar-SA"/>
        </w:rPr>
        <w:t>4.</w:t>
      </w:r>
      <w:r>
        <w:rPr>
          <w:rFonts w:hint="eastAsia" w:ascii="仿宋_GB2312" w:eastAsia="仿宋_GB2312"/>
          <w:sz w:val="30"/>
          <w:szCs w:val="30"/>
        </w:rPr>
        <w:t>新发行且在本所招标发行的政府支持债券；</w:t>
      </w:r>
    </w:p>
    <w:p w14:paraId="5A1170E1">
      <w:pPr>
        <w:numPr>
          <w:ilvl w:val="0"/>
          <w:numId w:val="0"/>
        </w:numPr>
        <w:spacing w:line="600" w:lineRule="exact"/>
        <w:ind w:firstLine="600" w:firstLineChars="200"/>
        <w:rPr>
          <w:rFonts w:ascii="仿宋_GB2312" w:hAnsi="微软雅黑" w:eastAsia="仿宋_GB2312"/>
          <w:sz w:val="30"/>
          <w:szCs w:val="30"/>
        </w:rPr>
      </w:pPr>
      <w:r>
        <w:rPr>
          <w:rFonts w:ascii="仿宋_GB2312" w:hAnsi="微软雅黑" w:eastAsia="仿宋_GB2312" w:cs="Times New Roman"/>
          <w:kern w:val="2"/>
          <w:sz w:val="30"/>
          <w:szCs w:val="30"/>
          <w:lang w:val="en-US" w:eastAsia="zh-CN" w:bidi="ar-SA"/>
        </w:rPr>
        <w:t>5.</w:t>
      </w:r>
      <w:r>
        <w:rPr>
          <w:rFonts w:hint="eastAsia" w:ascii="仿宋_GB2312" w:eastAsia="仿宋_GB2312"/>
          <w:sz w:val="30"/>
          <w:szCs w:val="30"/>
        </w:rPr>
        <w:t>本所指定开展做市的其他政府债券、政策性金融债、政府支持债券等品种</w:t>
      </w:r>
      <w:r>
        <w:rPr>
          <w:rFonts w:ascii="仿宋_GB2312" w:hAnsi="微软雅黑" w:eastAsia="仿宋_GB2312"/>
          <w:sz w:val="30"/>
          <w:szCs w:val="30"/>
        </w:rPr>
        <w:t>。</w:t>
      </w:r>
    </w:p>
    <w:p w14:paraId="2A14441B">
      <w:pPr>
        <w:numPr>
          <w:ilvl w:val="0"/>
          <w:numId w:val="0"/>
        </w:num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lang w:val="en-US" w:eastAsia="zh-CN"/>
        </w:rPr>
        <w:t>第3、4类</w:t>
      </w:r>
      <w:r>
        <w:rPr>
          <w:rFonts w:hint="eastAsia" w:ascii="仿宋_GB2312" w:hAnsi="微软雅黑" w:eastAsia="仿宋_GB2312"/>
          <w:sz w:val="30"/>
          <w:szCs w:val="30"/>
        </w:rPr>
        <w:t>债券品种</w:t>
      </w:r>
      <w:r>
        <w:rPr>
          <w:rFonts w:hint="eastAsia" w:ascii="仿宋_GB2312" w:hAnsi="微软雅黑" w:eastAsia="仿宋_GB2312"/>
          <w:sz w:val="30"/>
          <w:szCs w:val="30"/>
          <w:lang w:eastAsia="zh-CN"/>
        </w:rPr>
        <w:t>做市期限为</w:t>
      </w:r>
      <w:r>
        <w:rPr>
          <w:rFonts w:hint="eastAsia" w:ascii="仿宋_GB2312" w:hAnsi="微软雅黑" w:eastAsia="仿宋_GB2312"/>
          <w:sz w:val="30"/>
          <w:szCs w:val="30"/>
          <w:lang w:val="en-US" w:eastAsia="zh-CN"/>
        </w:rPr>
        <w:t>6个月，本所定期对名单进行调整。第5类债券品种</w:t>
      </w:r>
      <w:r>
        <w:rPr>
          <w:rFonts w:hint="eastAsia" w:ascii="仿宋_GB2312" w:hAnsi="微软雅黑" w:eastAsia="仿宋_GB2312"/>
          <w:sz w:val="30"/>
          <w:szCs w:val="30"/>
        </w:rPr>
        <w:t>由本所从交易活跃程度排名靠前的其他利率类债券（如国开债）中指定，或者根据市场情况选定。</w:t>
      </w:r>
    </w:p>
    <w:p w14:paraId="5CEFD211">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本所将在正式做市开始前至少</w:t>
      </w:r>
      <w:r>
        <w:rPr>
          <w:rFonts w:ascii="仿宋_GB2312" w:hAnsi="微软雅黑" w:eastAsia="仿宋_GB2312"/>
          <w:sz w:val="30"/>
          <w:szCs w:val="30"/>
        </w:rPr>
        <w:t>2个交易日向市场</w:t>
      </w:r>
      <w:r>
        <w:rPr>
          <w:rFonts w:hint="eastAsia" w:ascii="仿宋_GB2312" w:hAnsi="微软雅黑" w:eastAsia="仿宋_GB2312"/>
          <w:sz w:val="30"/>
          <w:szCs w:val="30"/>
        </w:rPr>
        <w:t>公</w:t>
      </w:r>
      <w:r>
        <w:rPr>
          <w:rFonts w:ascii="仿宋_GB2312" w:hAnsi="微软雅黑" w:eastAsia="仿宋_GB2312"/>
          <w:sz w:val="30"/>
          <w:szCs w:val="30"/>
        </w:rPr>
        <w:t>布</w:t>
      </w:r>
      <w:r>
        <w:rPr>
          <w:rFonts w:hint="eastAsia" w:ascii="仿宋_GB2312" w:hAnsi="微软雅黑" w:eastAsia="仿宋_GB2312"/>
          <w:sz w:val="30"/>
          <w:szCs w:val="30"/>
        </w:rPr>
        <w:t>基准利率类债券品种</w:t>
      </w:r>
      <w:r>
        <w:rPr>
          <w:rFonts w:ascii="仿宋_GB2312" w:hAnsi="微软雅黑" w:eastAsia="仿宋_GB2312"/>
          <w:sz w:val="30"/>
          <w:szCs w:val="30"/>
        </w:rPr>
        <w:t>，</w:t>
      </w:r>
      <w:r>
        <w:rPr>
          <w:rFonts w:hint="eastAsia" w:ascii="仿宋_GB2312" w:hAnsi="微软雅黑" w:eastAsia="仿宋_GB2312"/>
          <w:sz w:val="30"/>
          <w:szCs w:val="30"/>
        </w:rPr>
        <w:t>名单可在本所上证债券信息网查看。</w:t>
      </w:r>
    </w:p>
    <w:p w14:paraId="0807F048">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基准信用类债券包括：</w:t>
      </w:r>
    </w:p>
    <w:p w14:paraId="0F140C5F">
      <w:pPr>
        <w:spacing w:line="600" w:lineRule="exact"/>
        <w:ind w:firstLine="600" w:firstLineChars="200"/>
        <w:rPr>
          <w:rFonts w:ascii="仿宋_GB2312" w:eastAsia="仿宋_GB2312"/>
          <w:sz w:val="30"/>
          <w:szCs w:val="30"/>
        </w:rPr>
      </w:pPr>
      <w:r>
        <w:rPr>
          <w:rFonts w:hint="eastAsia" w:ascii="仿宋_GB2312" w:hAnsi="微软雅黑" w:eastAsia="仿宋_GB2312"/>
          <w:sz w:val="30"/>
          <w:szCs w:val="30"/>
        </w:rPr>
        <w:t>1.</w:t>
      </w:r>
      <w:r>
        <w:rPr>
          <w:rFonts w:hint="eastAsia" w:ascii="仿宋_GB2312" w:eastAsia="仿宋_GB2312"/>
          <w:sz w:val="30"/>
          <w:szCs w:val="30"/>
        </w:rPr>
        <w:t>本所指定的发行规模在</w:t>
      </w:r>
      <w:r>
        <w:rPr>
          <w:rFonts w:hint="eastAsia" w:ascii="仿宋_GB2312" w:eastAsia="仿宋_GB2312"/>
          <w:sz w:val="30"/>
          <w:szCs w:val="30"/>
          <w:lang w:val="en-US" w:eastAsia="zh-CN"/>
        </w:rPr>
        <w:t>20</w:t>
      </w:r>
      <w:r>
        <w:rPr>
          <w:rFonts w:hint="eastAsia" w:ascii="仿宋_GB2312" w:eastAsia="仿宋_GB2312"/>
          <w:sz w:val="30"/>
          <w:szCs w:val="30"/>
        </w:rPr>
        <w:t>亿元以上、主体评级为AAA级的公司债券</w:t>
      </w:r>
      <w:r>
        <w:rPr>
          <w:rFonts w:hint="eastAsia" w:ascii="仿宋_GB2312" w:eastAsia="仿宋_GB2312"/>
          <w:sz w:val="30"/>
          <w:szCs w:val="30"/>
          <w:lang w:bidi="en-US"/>
        </w:rPr>
        <w:t>；</w:t>
      </w:r>
    </w:p>
    <w:p w14:paraId="29E57187">
      <w:pPr>
        <w:spacing w:line="600" w:lineRule="exact"/>
        <w:ind w:firstLine="600" w:firstLineChars="200"/>
        <w:rPr>
          <w:rFonts w:hint="eastAsia" w:ascii="仿宋_GB2312" w:eastAsia="仿宋_GB2312"/>
          <w:sz w:val="30"/>
          <w:szCs w:val="30"/>
        </w:rPr>
      </w:pPr>
      <w:r>
        <w:rPr>
          <w:rFonts w:hint="eastAsia" w:ascii="仿宋_GB2312" w:eastAsia="仿宋_GB2312"/>
          <w:sz w:val="30"/>
          <w:szCs w:val="30"/>
        </w:rPr>
        <w:t>2.本所指定的发行规模在</w:t>
      </w:r>
      <w:r>
        <w:rPr>
          <w:rFonts w:hint="eastAsia" w:ascii="仿宋_GB2312" w:eastAsia="仿宋_GB2312"/>
          <w:sz w:val="30"/>
          <w:szCs w:val="30"/>
          <w:lang w:val="en-US" w:eastAsia="zh-CN"/>
        </w:rPr>
        <w:t>15</w:t>
      </w:r>
      <w:r>
        <w:rPr>
          <w:rFonts w:hint="eastAsia" w:ascii="仿宋_GB2312" w:eastAsia="仿宋_GB2312"/>
          <w:sz w:val="30"/>
          <w:szCs w:val="30"/>
        </w:rPr>
        <w:t>亿元以上、主体评级为AAA级的科技创新公司债券、</w:t>
      </w:r>
      <w:r>
        <w:rPr>
          <w:rFonts w:ascii="仿宋_GB2312" w:eastAsia="仿宋_GB2312"/>
          <w:sz w:val="30"/>
          <w:szCs w:val="30"/>
        </w:rPr>
        <w:t>绿色公司</w:t>
      </w:r>
      <w:r>
        <w:rPr>
          <w:rFonts w:hint="eastAsia" w:ascii="仿宋_GB2312" w:eastAsia="仿宋_GB2312"/>
          <w:sz w:val="30"/>
          <w:szCs w:val="30"/>
        </w:rPr>
        <w:t>债券；</w:t>
      </w:r>
    </w:p>
    <w:p w14:paraId="091E9239">
      <w:pPr>
        <w:spacing w:line="600" w:lineRule="exact"/>
        <w:ind w:firstLine="600" w:firstLineChars="200"/>
        <w:rPr>
          <w:rFonts w:hint="eastAsia" w:ascii="仿宋_GB2312" w:eastAsia="仿宋_GB2312"/>
          <w:sz w:val="30"/>
          <w:szCs w:val="30"/>
          <w:lang w:val="en-US" w:eastAsia="zh-CN"/>
        </w:rPr>
      </w:pPr>
      <w:r>
        <w:rPr>
          <w:rFonts w:hint="eastAsia" w:ascii="仿宋_GB2312" w:eastAsia="仿宋_GB2312"/>
          <w:sz w:val="30"/>
          <w:szCs w:val="30"/>
          <w:lang w:val="en-US" w:eastAsia="zh-CN"/>
        </w:rPr>
        <w:t>3.</w:t>
      </w:r>
      <w:r>
        <w:rPr>
          <w:rFonts w:hint="eastAsia" w:ascii="仿宋_GB2312" w:eastAsia="仿宋_GB2312"/>
          <w:sz w:val="30"/>
          <w:szCs w:val="30"/>
        </w:rPr>
        <w:t>本所指定的发行规模在</w:t>
      </w:r>
      <w:r>
        <w:rPr>
          <w:rFonts w:hint="eastAsia" w:ascii="仿宋_GB2312" w:eastAsia="仿宋_GB2312"/>
          <w:sz w:val="30"/>
          <w:szCs w:val="30"/>
          <w:lang w:val="en-US" w:eastAsia="zh-CN"/>
        </w:rPr>
        <w:t>10</w:t>
      </w:r>
      <w:r>
        <w:rPr>
          <w:rFonts w:hint="eastAsia" w:ascii="仿宋_GB2312" w:eastAsia="仿宋_GB2312"/>
          <w:sz w:val="30"/>
          <w:szCs w:val="30"/>
        </w:rPr>
        <w:t>亿元以上、主体评级为AAA级的民营企业发行的公司债券</w:t>
      </w:r>
      <w:r>
        <w:rPr>
          <w:rFonts w:hint="eastAsia" w:ascii="仿宋_GB2312" w:eastAsia="仿宋_GB2312"/>
          <w:sz w:val="30"/>
          <w:szCs w:val="30"/>
          <w:lang w:eastAsia="zh-CN"/>
        </w:rPr>
        <w:t>；</w:t>
      </w:r>
    </w:p>
    <w:p w14:paraId="2F70494F">
      <w:pPr>
        <w:spacing w:line="600" w:lineRule="exact"/>
        <w:ind w:firstLine="600" w:firstLineChars="200"/>
        <w:rPr>
          <w:rFonts w:ascii="仿宋_GB2312" w:hAnsi="微软雅黑" w:eastAsia="仿宋_GB2312"/>
          <w:sz w:val="30"/>
          <w:szCs w:val="30"/>
        </w:rPr>
      </w:pPr>
      <w:r>
        <w:rPr>
          <w:rFonts w:hint="eastAsia" w:ascii="仿宋_GB2312" w:eastAsia="仿宋_GB2312"/>
          <w:sz w:val="30"/>
          <w:szCs w:val="30"/>
          <w:lang w:val="en-US" w:eastAsia="zh-CN"/>
        </w:rPr>
        <w:t>4</w:t>
      </w:r>
      <w:r>
        <w:rPr>
          <w:rFonts w:hint="eastAsia" w:ascii="仿宋_GB2312" w:eastAsia="仿宋_GB2312"/>
          <w:sz w:val="30"/>
          <w:szCs w:val="30"/>
        </w:rPr>
        <w:t>.本所指定开展做市的其他信用类债券。</w:t>
      </w:r>
    </w:p>
    <w:p w14:paraId="48035533">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本所将在每次更新基准信用类债券品种名单时向市场公布，名单可在本所上证债券信息网查看</w:t>
      </w:r>
      <w:r>
        <w:rPr>
          <w:rFonts w:ascii="仿宋_GB2312" w:hAnsi="微软雅黑" w:eastAsia="仿宋_GB2312"/>
          <w:sz w:val="30"/>
          <w:szCs w:val="30"/>
        </w:rPr>
        <w:t>。</w:t>
      </w:r>
    </w:p>
    <w:p w14:paraId="173BE156">
      <w:pPr>
        <w:spacing w:line="600" w:lineRule="exact"/>
        <w:ind w:left="567"/>
        <w:outlineLvl w:val="3"/>
        <w:rPr>
          <w:rFonts w:ascii="仿宋_GB2312" w:eastAsia="仿宋_GB2312"/>
          <w:b/>
          <w:sz w:val="30"/>
          <w:szCs w:val="30"/>
        </w:rPr>
      </w:pPr>
      <w:r>
        <w:rPr>
          <w:rFonts w:hint="eastAsia" w:ascii="仿宋_GB2312" w:eastAsia="仿宋_GB2312"/>
          <w:b/>
          <w:sz w:val="30"/>
          <w:szCs w:val="30"/>
        </w:rPr>
        <w:t>（2）基准做市品种管理</w:t>
      </w:r>
    </w:p>
    <w:p w14:paraId="3638FE31">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1）做市债券选择</w:t>
      </w:r>
    </w:p>
    <w:p w14:paraId="48E21F1A">
      <w:pPr>
        <w:spacing w:line="600" w:lineRule="exact"/>
        <w:ind w:firstLine="600" w:firstLineChars="200"/>
        <w:rPr>
          <w:rFonts w:ascii="仿宋_GB2312" w:eastAsia="仿宋_GB2312"/>
          <w:sz w:val="30"/>
          <w:szCs w:val="30"/>
        </w:rPr>
      </w:pPr>
      <w:r>
        <w:rPr>
          <w:rFonts w:hint="eastAsia" w:ascii="仿宋_GB2312" w:eastAsia="仿宋_GB2312"/>
          <w:sz w:val="30"/>
          <w:szCs w:val="30"/>
        </w:rPr>
        <w:t>主做市商应当从政府债券和政策性金融债基准做市品种范围中选择至少</w:t>
      </w:r>
      <w:r>
        <w:rPr>
          <w:rFonts w:ascii="仿宋_GB2312" w:eastAsia="仿宋_GB2312"/>
          <w:sz w:val="30"/>
          <w:szCs w:val="30"/>
        </w:rPr>
        <w:t>5</w:t>
      </w:r>
      <w:r>
        <w:rPr>
          <w:rFonts w:hint="eastAsia" w:ascii="仿宋_GB2312" w:eastAsia="仿宋_GB2312"/>
          <w:sz w:val="30"/>
          <w:szCs w:val="30"/>
        </w:rPr>
        <w:t>只债券持续做市，从公司债券基准做市品种范围中选择至少</w:t>
      </w:r>
      <w:r>
        <w:rPr>
          <w:rFonts w:ascii="仿宋_GB2312" w:eastAsia="仿宋_GB2312"/>
          <w:sz w:val="30"/>
          <w:szCs w:val="30"/>
        </w:rPr>
        <w:t>10</w:t>
      </w:r>
      <w:r>
        <w:rPr>
          <w:rFonts w:hint="eastAsia" w:ascii="仿宋_GB2312" w:eastAsia="仿宋_GB2312"/>
          <w:sz w:val="30"/>
          <w:szCs w:val="30"/>
        </w:rPr>
        <w:t>只债券持续做市。</w:t>
      </w:r>
    </w:p>
    <w:p w14:paraId="779F223B">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主做市商启动做市业务前，应至少提前</w:t>
      </w:r>
      <w:r>
        <w:rPr>
          <w:rFonts w:ascii="仿宋_GB2312" w:hAnsi="微软雅黑" w:eastAsia="仿宋_GB2312"/>
          <w:sz w:val="30"/>
          <w:szCs w:val="30"/>
        </w:rPr>
        <w:t>2个交易日</w:t>
      </w:r>
      <w:r>
        <w:rPr>
          <w:rFonts w:hint="eastAsia" w:ascii="仿宋_GB2312" w:hAnsi="微软雅黑" w:eastAsia="仿宋_GB2312"/>
          <w:sz w:val="30"/>
          <w:szCs w:val="30"/>
        </w:rPr>
        <w:t>选择基准做市品种并通过业管系统平台交易参与人模块向本所报备，经本所确认后生成做市债券品种列表自动挂网。</w:t>
      </w:r>
    </w:p>
    <w:p w14:paraId="4C326C8B">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2）被动调整</w:t>
      </w:r>
    </w:p>
    <w:p w14:paraId="5EEF8092">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国债新发、其他本所指定利率债品种的变化和基准信用类债券剩余期限、存续规模的减少都会导致基准做市品种调整。本所对于基准做市品种的调入和调出，将在调整前至少</w:t>
      </w:r>
      <w:r>
        <w:rPr>
          <w:rFonts w:ascii="仿宋_GB2312" w:hAnsi="微软雅黑" w:eastAsia="仿宋_GB2312"/>
          <w:sz w:val="30"/>
          <w:szCs w:val="30"/>
        </w:rPr>
        <w:t>2个交易日向市场发布公告</w:t>
      </w:r>
      <w:r>
        <w:rPr>
          <w:rFonts w:hint="eastAsia" w:ascii="仿宋_GB2312" w:hAnsi="微软雅黑" w:eastAsia="仿宋_GB2312"/>
          <w:sz w:val="30"/>
          <w:szCs w:val="30"/>
        </w:rPr>
        <w:t>，在公告中确认基准做市品种调入和调出的日期。</w:t>
      </w:r>
    </w:p>
    <w:p w14:paraId="61855BF1">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主做市商据此添加/取消做市品种选择，并将调整后的做市品种通过业管系统平台交易参与人模块向本所报备，调整后的债券品种替代原有品种，经本所确认后同步挂网。</w:t>
      </w:r>
    </w:p>
    <w:p w14:paraId="65774D9B">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3）主动调整</w:t>
      </w:r>
    </w:p>
    <w:p w14:paraId="6530BBC6">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主做市商选定基准做市品种之后每个季度内仅可主动调整一次（被动调整除外），且须在调整前至少</w:t>
      </w:r>
      <w:r>
        <w:rPr>
          <w:rFonts w:ascii="仿宋_GB2312" w:hAnsi="微软雅黑" w:eastAsia="仿宋_GB2312"/>
          <w:sz w:val="30"/>
          <w:szCs w:val="30"/>
        </w:rPr>
        <w:t>2个交易日</w:t>
      </w:r>
      <w:r>
        <w:rPr>
          <w:rFonts w:hint="eastAsia" w:ascii="仿宋_GB2312" w:hAnsi="微软雅黑" w:eastAsia="仿宋_GB2312"/>
          <w:sz w:val="30"/>
          <w:szCs w:val="30"/>
        </w:rPr>
        <w:t>将</w:t>
      </w:r>
      <w:r>
        <w:rPr>
          <w:rFonts w:ascii="仿宋_GB2312" w:hAnsi="微软雅黑" w:eastAsia="仿宋_GB2312"/>
          <w:sz w:val="30"/>
          <w:szCs w:val="30"/>
        </w:rPr>
        <w:t>相关</w:t>
      </w:r>
      <w:r>
        <w:rPr>
          <w:rFonts w:hint="eastAsia" w:ascii="仿宋_GB2312" w:hAnsi="微软雅黑" w:eastAsia="仿宋_GB2312"/>
          <w:sz w:val="30"/>
          <w:szCs w:val="30"/>
        </w:rPr>
        <w:t>信息上传至业管系统平台交易参与人模块。</w:t>
      </w:r>
      <w:r>
        <w:rPr>
          <w:rFonts w:ascii="仿宋_GB2312" w:hAnsi="微软雅黑" w:eastAsia="仿宋_GB2312"/>
          <w:sz w:val="30"/>
          <w:szCs w:val="30"/>
        </w:rPr>
        <w:t>经本所</w:t>
      </w:r>
      <w:r>
        <w:rPr>
          <w:rFonts w:hint="eastAsia" w:ascii="仿宋_GB2312" w:hAnsi="微软雅黑" w:eastAsia="仿宋_GB2312"/>
          <w:sz w:val="30"/>
          <w:szCs w:val="30"/>
        </w:rPr>
        <w:t>评估确认后挂网并明确调整生效日期，调整后的债券品种替代原有品种。</w:t>
      </w:r>
    </w:p>
    <w:p w14:paraId="45274A5A">
      <w:pPr>
        <w:spacing w:line="600" w:lineRule="exact"/>
        <w:ind w:left="567"/>
        <w:outlineLvl w:val="3"/>
        <w:rPr>
          <w:rFonts w:ascii="仿宋_GB2312" w:eastAsia="仿宋_GB2312"/>
          <w:b/>
          <w:sz w:val="30"/>
          <w:szCs w:val="30"/>
        </w:rPr>
      </w:pPr>
      <w:r>
        <w:rPr>
          <w:rFonts w:hint="eastAsia" w:ascii="仿宋_GB2312" w:eastAsia="仿宋_GB2312"/>
          <w:b/>
          <w:sz w:val="30"/>
          <w:szCs w:val="30"/>
        </w:rPr>
        <w:t>（3）自选做市品种</w:t>
      </w:r>
    </w:p>
    <w:p w14:paraId="3E74973F">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主做市商</w:t>
      </w:r>
      <w:r>
        <w:rPr>
          <w:rFonts w:ascii="仿宋_GB2312" w:hAnsi="微软雅黑" w:eastAsia="仿宋_GB2312"/>
          <w:sz w:val="30"/>
          <w:szCs w:val="30"/>
        </w:rPr>
        <w:t>/一般做市商</w:t>
      </w:r>
      <w:r>
        <w:rPr>
          <w:rFonts w:hint="eastAsia" w:ascii="仿宋_GB2312" w:hAnsi="微软雅黑" w:eastAsia="仿宋_GB2312"/>
          <w:sz w:val="30"/>
          <w:szCs w:val="30"/>
        </w:rPr>
        <w:t>对自选</w:t>
      </w:r>
      <w:r>
        <w:rPr>
          <w:rFonts w:ascii="仿宋_GB2312" w:hAnsi="微软雅黑" w:eastAsia="仿宋_GB2312"/>
          <w:sz w:val="30"/>
          <w:szCs w:val="30"/>
        </w:rPr>
        <w:t>品种</w:t>
      </w:r>
      <w:r>
        <w:rPr>
          <w:rFonts w:hint="eastAsia" w:ascii="仿宋_GB2312" w:hAnsi="微软雅黑" w:eastAsia="仿宋_GB2312"/>
          <w:sz w:val="30"/>
          <w:szCs w:val="30"/>
        </w:rPr>
        <w:t>开展</w:t>
      </w:r>
      <w:r>
        <w:rPr>
          <w:rFonts w:ascii="仿宋_GB2312" w:hAnsi="微软雅黑" w:eastAsia="仿宋_GB2312"/>
          <w:sz w:val="30"/>
          <w:szCs w:val="30"/>
        </w:rPr>
        <w:t>做市</w:t>
      </w:r>
      <w:r>
        <w:rPr>
          <w:rFonts w:hint="eastAsia" w:ascii="仿宋_GB2312" w:hAnsi="微软雅黑" w:eastAsia="仿宋_GB2312"/>
          <w:sz w:val="30"/>
          <w:szCs w:val="30"/>
        </w:rPr>
        <w:t>业务</w:t>
      </w:r>
      <w:r>
        <w:rPr>
          <w:rFonts w:ascii="仿宋_GB2312" w:hAnsi="微软雅黑" w:eastAsia="仿宋_GB2312"/>
          <w:sz w:val="30"/>
          <w:szCs w:val="30"/>
        </w:rPr>
        <w:t>的，</w:t>
      </w:r>
      <w:r>
        <w:rPr>
          <w:rFonts w:hint="eastAsia" w:ascii="仿宋_GB2312" w:hAnsi="微软雅黑" w:eastAsia="仿宋_GB2312"/>
          <w:sz w:val="30"/>
          <w:szCs w:val="30"/>
        </w:rPr>
        <w:t>需在做市开始前至少2</w:t>
      </w:r>
      <w:r>
        <w:rPr>
          <w:rFonts w:ascii="仿宋_GB2312" w:hAnsi="微软雅黑" w:eastAsia="仿宋_GB2312"/>
          <w:sz w:val="30"/>
          <w:szCs w:val="30"/>
        </w:rPr>
        <w:t>个交易日</w:t>
      </w:r>
      <w:r>
        <w:rPr>
          <w:rFonts w:hint="eastAsia" w:ascii="仿宋_GB2312" w:hAnsi="微软雅黑" w:eastAsia="仿宋_GB2312"/>
          <w:sz w:val="30"/>
          <w:szCs w:val="30"/>
        </w:rPr>
        <w:t>选择自选做市品种，通过业管系统平台交易参与人模块向本所报备，经本所确认后自动生成清单挂网。其中，做市期限不得少于</w:t>
      </w:r>
      <w:r>
        <w:rPr>
          <w:rFonts w:ascii="仿宋_GB2312" w:hAnsi="微软雅黑" w:eastAsia="仿宋_GB2312"/>
          <w:sz w:val="30"/>
          <w:szCs w:val="30"/>
        </w:rPr>
        <w:t>1个月。</w:t>
      </w:r>
    </w:p>
    <w:p w14:paraId="4F30B0C2">
      <w:pPr>
        <w:spacing w:line="600" w:lineRule="exact"/>
        <w:ind w:left="567"/>
        <w:outlineLvl w:val="3"/>
        <w:rPr>
          <w:rFonts w:ascii="仿宋_GB2312" w:eastAsia="仿宋_GB2312"/>
          <w:b/>
          <w:sz w:val="30"/>
          <w:szCs w:val="30"/>
        </w:rPr>
      </w:pPr>
      <w:r>
        <w:rPr>
          <w:rFonts w:hint="eastAsia" w:ascii="仿宋_GB2312" w:eastAsia="仿宋_GB2312"/>
          <w:b/>
          <w:sz w:val="30"/>
          <w:szCs w:val="30"/>
        </w:rPr>
        <w:t>（4）信息展示</w:t>
      </w:r>
    </w:p>
    <w:p w14:paraId="019A1198">
      <w:pPr>
        <w:spacing w:line="600" w:lineRule="exact"/>
        <w:ind w:left="567"/>
        <w:outlineLvl w:val="3"/>
        <w:rPr>
          <w:rFonts w:ascii="仿宋_GB2312" w:eastAsia="仿宋_GB2312"/>
          <w:bCs/>
          <w:sz w:val="30"/>
          <w:szCs w:val="30"/>
        </w:rPr>
      </w:pPr>
      <w:r>
        <w:rPr>
          <w:rFonts w:hint="eastAsia" w:ascii="仿宋_GB2312" w:eastAsia="仿宋_GB2312"/>
          <w:bCs/>
          <w:sz w:val="30"/>
          <w:szCs w:val="30"/>
        </w:rPr>
        <w:t>本所做市业务正式启动后，进行以下信息展示：</w:t>
      </w:r>
    </w:p>
    <w:p w14:paraId="00C9C8F5">
      <w:pPr>
        <w:pStyle w:val="92"/>
        <w:widowControl w:val="0"/>
        <w:spacing w:line="600" w:lineRule="exact"/>
        <w:ind w:left="0" w:firstLine="600" w:firstLineChars="200"/>
        <w:rPr>
          <w:rFonts w:ascii="仿宋_GB2312" w:hAnsi="微软雅黑" w:eastAsia="仿宋_GB2312"/>
          <w:sz w:val="30"/>
          <w:szCs w:val="30"/>
          <w:lang w:eastAsia="zh-CN"/>
        </w:rPr>
      </w:pPr>
      <w:r>
        <w:rPr>
          <w:rFonts w:hint="eastAsia" w:ascii="仿宋_GB2312" w:hAnsi="微软雅黑" w:eastAsia="仿宋_GB2312"/>
          <w:sz w:val="30"/>
          <w:szCs w:val="30"/>
          <w:lang w:eastAsia="zh-CN"/>
        </w:rPr>
        <w:t>1）做市商清单</w:t>
      </w:r>
    </w:p>
    <w:p w14:paraId="5E0D2B22">
      <w:pPr>
        <w:pStyle w:val="92"/>
        <w:spacing w:line="600" w:lineRule="exact"/>
        <w:ind w:left="0" w:firstLine="567" w:firstLineChars="189"/>
        <w:rPr>
          <w:rFonts w:ascii="仿宋_GB2312" w:hAnsi="微软雅黑" w:eastAsia="仿宋_GB2312"/>
          <w:sz w:val="30"/>
          <w:szCs w:val="30"/>
          <w:lang w:eastAsia="zh-CN"/>
        </w:rPr>
      </w:pPr>
      <w:r>
        <w:rPr>
          <w:rFonts w:hint="eastAsia" w:ascii="仿宋_GB2312" w:hAnsi="微软雅黑" w:eastAsia="仿宋_GB2312"/>
          <w:sz w:val="30"/>
          <w:szCs w:val="30"/>
          <w:lang w:eastAsia="zh-CN"/>
        </w:rPr>
        <w:t>本所每日向市场公布主做市商及一般做市商名单。</w:t>
      </w:r>
    </w:p>
    <w:p w14:paraId="55FBD0E4">
      <w:pPr>
        <w:pStyle w:val="92"/>
        <w:widowControl w:val="0"/>
        <w:spacing w:line="600" w:lineRule="exact"/>
        <w:ind w:left="0" w:firstLine="600" w:firstLineChars="200"/>
        <w:rPr>
          <w:rFonts w:ascii="仿宋_GB2312" w:hAnsi="微软雅黑" w:eastAsia="仿宋_GB2312"/>
          <w:sz w:val="30"/>
          <w:szCs w:val="30"/>
          <w:lang w:eastAsia="zh-CN"/>
        </w:rPr>
      </w:pPr>
      <w:r>
        <w:rPr>
          <w:rFonts w:hint="eastAsia" w:ascii="仿宋_GB2312" w:hAnsi="微软雅黑" w:eastAsia="仿宋_GB2312"/>
          <w:sz w:val="30"/>
          <w:szCs w:val="30"/>
          <w:lang w:eastAsia="zh-CN"/>
        </w:rPr>
        <w:t>2）基准做市品种</w:t>
      </w:r>
    </w:p>
    <w:p w14:paraId="6D50FD31">
      <w:pPr>
        <w:pStyle w:val="92"/>
        <w:spacing w:line="600" w:lineRule="exact"/>
        <w:ind w:left="0" w:firstLine="567" w:firstLineChars="189"/>
        <w:rPr>
          <w:rFonts w:ascii="仿宋_GB2312" w:hAnsi="微软雅黑" w:eastAsia="仿宋_GB2312"/>
          <w:sz w:val="30"/>
          <w:szCs w:val="30"/>
          <w:lang w:eastAsia="zh-CN"/>
        </w:rPr>
      </w:pPr>
      <w:r>
        <w:rPr>
          <w:rFonts w:hint="eastAsia" w:ascii="仿宋_GB2312" w:hAnsi="微软雅黑" w:eastAsia="仿宋_GB2312"/>
          <w:sz w:val="30"/>
          <w:szCs w:val="30"/>
          <w:lang w:eastAsia="zh-CN"/>
        </w:rPr>
        <w:t>本所每日向市场公布当日利率债基准做市品种和信用债基准做市品种。</w:t>
      </w:r>
      <w:bookmarkStart w:id="932" w:name="_Toc47451420"/>
      <w:bookmarkEnd w:id="932"/>
      <w:bookmarkStart w:id="933" w:name="_Toc47372587"/>
      <w:bookmarkEnd w:id="933"/>
      <w:bookmarkStart w:id="934" w:name="_Toc47366812"/>
      <w:bookmarkEnd w:id="934"/>
      <w:bookmarkStart w:id="935" w:name="_Toc47366817"/>
      <w:bookmarkEnd w:id="935"/>
      <w:bookmarkStart w:id="936" w:name="_Toc47457060"/>
      <w:bookmarkEnd w:id="936"/>
      <w:bookmarkStart w:id="937" w:name="_Toc47455799"/>
      <w:bookmarkEnd w:id="937"/>
      <w:bookmarkStart w:id="938" w:name="_Toc47455813"/>
      <w:bookmarkEnd w:id="938"/>
      <w:bookmarkStart w:id="939" w:name="_Toc47451795"/>
      <w:bookmarkEnd w:id="939"/>
      <w:bookmarkStart w:id="940" w:name="_Toc47451778"/>
      <w:bookmarkEnd w:id="940"/>
      <w:bookmarkStart w:id="941" w:name="_Toc47457052"/>
      <w:bookmarkEnd w:id="941"/>
      <w:bookmarkStart w:id="942" w:name="_Toc47347771"/>
      <w:bookmarkEnd w:id="942"/>
      <w:bookmarkStart w:id="943" w:name="_Toc47346942"/>
      <w:bookmarkEnd w:id="943"/>
      <w:bookmarkStart w:id="944" w:name="_Toc47346955"/>
      <w:bookmarkEnd w:id="944"/>
      <w:bookmarkStart w:id="945" w:name="_Toc47451546"/>
      <w:bookmarkEnd w:id="945"/>
      <w:bookmarkStart w:id="946" w:name="_Toc47451509"/>
      <w:bookmarkEnd w:id="946"/>
      <w:bookmarkStart w:id="947" w:name="_Toc47346992"/>
      <w:bookmarkEnd w:id="947"/>
      <w:bookmarkStart w:id="948" w:name="_Toc47451782"/>
      <w:bookmarkEnd w:id="948"/>
      <w:bookmarkStart w:id="949" w:name="_Toc47366792"/>
      <w:bookmarkEnd w:id="949"/>
      <w:bookmarkStart w:id="950" w:name="_Toc47451438"/>
      <w:bookmarkEnd w:id="950"/>
      <w:bookmarkStart w:id="951" w:name="_Toc47457087"/>
      <w:bookmarkEnd w:id="951"/>
      <w:bookmarkStart w:id="952" w:name="_Toc47457105"/>
      <w:bookmarkEnd w:id="952"/>
      <w:bookmarkStart w:id="953" w:name="_Toc47455797"/>
      <w:bookmarkEnd w:id="953"/>
      <w:bookmarkStart w:id="954" w:name="_Toc47452127"/>
      <w:bookmarkEnd w:id="954"/>
      <w:bookmarkStart w:id="955" w:name="_Toc41580859"/>
      <w:bookmarkEnd w:id="955"/>
      <w:bookmarkStart w:id="956" w:name="_Toc47366783"/>
      <w:bookmarkEnd w:id="956"/>
      <w:bookmarkStart w:id="957" w:name="_Toc47443159"/>
      <w:bookmarkEnd w:id="957"/>
      <w:bookmarkStart w:id="958" w:name="_Toc47443039"/>
      <w:bookmarkEnd w:id="958"/>
      <w:bookmarkStart w:id="959" w:name="_Toc47451435"/>
      <w:bookmarkEnd w:id="959"/>
      <w:bookmarkStart w:id="960" w:name="_Toc47455819"/>
      <w:bookmarkEnd w:id="960"/>
      <w:bookmarkStart w:id="961" w:name="_Toc47443015"/>
      <w:bookmarkEnd w:id="961"/>
      <w:bookmarkStart w:id="962" w:name="_Toc47443020"/>
      <w:bookmarkEnd w:id="962"/>
      <w:bookmarkStart w:id="963" w:name="_Toc47372573"/>
      <w:bookmarkEnd w:id="963"/>
      <w:bookmarkStart w:id="964" w:name="_Toc47451793"/>
      <w:bookmarkEnd w:id="964"/>
      <w:bookmarkStart w:id="965" w:name="_Toc47455806"/>
      <w:bookmarkEnd w:id="965"/>
      <w:bookmarkStart w:id="966" w:name="_Toc47452131"/>
      <w:bookmarkEnd w:id="966"/>
      <w:bookmarkStart w:id="967" w:name="_Toc47372615"/>
      <w:bookmarkEnd w:id="967"/>
      <w:bookmarkStart w:id="968" w:name="_Toc47366811"/>
      <w:bookmarkEnd w:id="968"/>
      <w:bookmarkStart w:id="969" w:name="_Toc47346969"/>
      <w:bookmarkEnd w:id="969"/>
      <w:bookmarkStart w:id="970" w:name="_Toc47372625"/>
      <w:bookmarkEnd w:id="970"/>
      <w:bookmarkStart w:id="971" w:name="_Toc47346943"/>
      <w:bookmarkEnd w:id="971"/>
      <w:bookmarkStart w:id="972" w:name="_Toc47443748"/>
      <w:bookmarkEnd w:id="972"/>
      <w:bookmarkStart w:id="973" w:name="_Toc47452141"/>
      <w:bookmarkEnd w:id="973"/>
      <w:bookmarkStart w:id="974" w:name="_Toc47451808"/>
      <w:bookmarkEnd w:id="974"/>
      <w:bookmarkStart w:id="975" w:name="_Toc47451415"/>
      <w:bookmarkEnd w:id="975"/>
      <w:bookmarkStart w:id="976" w:name="_Toc47372588"/>
      <w:bookmarkEnd w:id="976"/>
      <w:bookmarkStart w:id="977" w:name="_Toc47451552"/>
      <w:bookmarkEnd w:id="977"/>
      <w:bookmarkStart w:id="978" w:name="_Toc47443053"/>
      <w:bookmarkEnd w:id="978"/>
      <w:bookmarkStart w:id="979" w:name="_Toc47452158"/>
      <w:bookmarkEnd w:id="979"/>
      <w:bookmarkStart w:id="980" w:name="_Toc47451534"/>
      <w:bookmarkEnd w:id="980"/>
      <w:bookmarkStart w:id="981" w:name="_Toc47347807"/>
      <w:bookmarkEnd w:id="981"/>
      <w:bookmarkStart w:id="982" w:name="_Toc47443177"/>
      <w:bookmarkEnd w:id="982"/>
      <w:bookmarkStart w:id="983" w:name="_Toc47452108"/>
      <w:bookmarkEnd w:id="983"/>
      <w:bookmarkStart w:id="984" w:name="_Toc47443731"/>
      <w:bookmarkEnd w:id="984"/>
      <w:bookmarkStart w:id="985" w:name="_Toc47443746"/>
      <w:bookmarkEnd w:id="985"/>
      <w:bookmarkStart w:id="986" w:name="_Toc47451774"/>
      <w:bookmarkEnd w:id="986"/>
      <w:bookmarkStart w:id="987" w:name="_Toc47443160"/>
      <w:bookmarkEnd w:id="987"/>
      <w:bookmarkStart w:id="988" w:name="_Toc47455807"/>
      <w:bookmarkEnd w:id="988"/>
      <w:bookmarkStart w:id="989" w:name="_Toc47443703"/>
      <w:bookmarkEnd w:id="989"/>
      <w:bookmarkStart w:id="990" w:name="_Toc47457104"/>
      <w:bookmarkEnd w:id="990"/>
      <w:bookmarkStart w:id="991" w:name="_Toc47451789"/>
      <w:bookmarkEnd w:id="991"/>
      <w:bookmarkStart w:id="992" w:name="_Toc47443182"/>
      <w:bookmarkEnd w:id="992"/>
      <w:bookmarkStart w:id="993" w:name="_Toc47443716"/>
      <w:bookmarkEnd w:id="993"/>
      <w:bookmarkStart w:id="994" w:name="_Toc47455834"/>
      <w:bookmarkEnd w:id="994"/>
      <w:bookmarkStart w:id="995" w:name="_Toc47443153"/>
      <w:bookmarkEnd w:id="995"/>
      <w:bookmarkStart w:id="996" w:name="_Toc47443712"/>
      <w:bookmarkEnd w:id="996"/>
      <w:bookmarkStart w:id="997" w:name="_Toc47443733"/>
      <w:bookmarkEnd w:id="997"/>
      <w:bookmarkStart w:id="998" w:name="_Toc47451528"/>
      <w:bookmarkEnd w:id="998"/>
      <w:bookmarkStart w:id="999" w:name="_Toc47443142"/>
      <w:bookmarkEnd w:id="999"/>
      <w:bookmarkStart w:id="1000" w:name="_Toc47455839"/>
      <w:bookmarkEnd w:id="1000"/>
      <w:bookmarkStart w:id="1001" w:name="_Toc47443723"/>
      <w:bookmarkEnd w:id="1001"/>
      <w:bookmarkStart w:id="1002" w:name="_Toc47347782"/>
      <w:bookmarkEnd w:id="1002"/>
      <w:bookmarkStart w:id="1003" w:name="_Toc47457066"/>
      <w:bookmarkEnd w:id="1003"/>
      <w:bookmarkStart w:id="1004" w:name="_Toc47443747"/>
      <w:bookmarkEnd w:id="1004"/>
      <w:bookmarkStart w:id="1005" w:name="_Toc47455825"/>
      <w:bookmarkEnd w:id="1005"/>
      <w:bookmarkStart w:id="1006" w:name="_Toc47451393"/>
      <w:bookmarkEnd w:id="1006"/>
      <w:bookmarkStart w:id="1007" w:name="_Toc47457063"/>
      <w:bookmarkEnd w:id="1007"/>
      <w:bookmarkStart w:id="1008" w:name="_Toc47452104"/>
      <w:bookmarkEnd w:id="1008"/>
      <w:bookmarkStart w:id="1009" w:name="_Toc47451397"/>
      <w:bookmarkEnd w:id="1009"/>
      <w:bookmarkStart w:id="1010" w:name="_Toc47455821"/>
      <w:bookmarkEnd w:id="1010"/>
      <w:bookmarkStart w:id="1011" w:name="_Toc47452150"/>
      <w:bookmarkEnd w:id="1011"/>
      <w:bookmarkStart w:id="1012" w:name="_Toc47443017"/>
      <w:bookmarkEnd w:id="1012"/>
      <w:bookmarkStart w:id="1013" w:name="_Toc47372612"/>
      <w:bookmarkEnd w:id="1013"/>
      <w:bookmarkStart w:id="1014" w:name="_Toc47455841"/>
      <w:bookmarkEnd w:id="1014"/>
      <w:bookmarkStart w:id="1015" w:name="_Toc47366776"/>
      <w:bookmarkEnd w:id="1015"/>
      <w:bookmarkStart w:id="1016" w:name="_Toc47346976"/>
      <w:bookmarkEnd w:id="1016"/>
      <w:bookmarkStart w:id="1017" w:name="_Toc47372591"/>
      <w:bookmarkEnd w:id="1017"/>
      <w:bookmarkStart w:id="1018" w:name="_Toc47366830"/>
      <w:bookmarkEnd w:id="1018"/>
      <w:bookmarkStart w:id="1019" w:name="_Toc47372628"/>
      <w:bookmarkEnd w:id="1019"/>
      <w:bookmarkStart w:id="1020" w:name="_Toc47451424"/>
      <w:bookmarkEnd w:id="1020"/>
      <w:bookmarkStart w:id="1021" w:name="_Toc47443071"/>
      <w:bookmarkEnd w:id="1021"/>
      <w:bookmarkStart w:id="1022" w:name="_Toc47443021"/>
      <w:bookmarkEnd w:id="1022"/>
      <w:bookmarkStart w:id="1023" w:name="_Toc47451826"/>
      <w:bookmarkEnd w:id="1023"/>
      <w:bookmarkStart w:id="1024" w:name="_Toc47443179"/>
      <w:bookmarkEnd w:id="1024"/>
      <w:bookmarkStart w:id="1025" w:name="_Toc47372626"/>
      <w:bookmarkEnd w:id="1025"/>
      <w:bookmarkStart w:id="1026" w:name="_Toc47346937"/>
      <w:bookmarkEnd w:id="1026"/>
      <w:bookmarkStart w:id="1027" w:name="_Toc47451824"/>
      <w:bookmarkEnd w:id="1027"/>
      <w:bookmarkStart w:id="1028" w:name="_Toc47347802"/>
      <w:bookmarkEnd w:id="1028"/>
      <w:bookmarkStart w:id="1029" w:name="_Toc47443018"/>
      <w:bookmarkEnd w:id="1029"/>
      <w:bookmarkStart w:id="1030" w:name="_Toc47443181"/>
      <w:bookmarkEnd w:id="1030"/>
      <w:bookmarkStart w:id="1031" w:name="_Toc47366784"/>
      <w:bookmarkEnd w:id="1031"/>
      <w:bookmarkStart w:id="1032" w:name="_Toc47457084"/>
      <w:bookmarkEnd w:id="1032"/>
      <w:bookmarkStart w:id="1033" w:name="_Toc47443031"/>
      <w:bookmarkEnd w:id="1033"/>
      <w:bookmarkStart w:id="1034" w:name="_Toc47452107"/>
      <w:bookmarkEnd w:id="1034"/>
      <w:bookmarkStart w:id="1035" w:name="_Toc47451409"/>
      <w:bookmarkEnd w:id="1035"/>
      <w:bookmarkStart w:id="1036" w:name="_Toc47346938"/>
      <w:bookmarkEnd w:id="1036"/>
      <w:bookmarkStart w:id="1037" w:name="_Toc47443167"/>
      <w:bookmarkEnd w:id="1037"/>
      <w:bookmarkStart w:id="1038" w:name="_Toc47443014"/>
      <w:bookmarkEnd w:id="1038"/>
      <w:bookmarkStart w:id="1039" w:name="_Toc47372618"/>
      <w:bookmarkEnd w:id="1039"/>
      <w:bookmarkStart w:id="1040" w:name="_Toc47366779"/>
      <w:bookmarkEnd w:id="1040"/>
      <w:bookmarkStart w:id="1041" w:name="_Toc47457070"/>
      <w:bookmarkEnd w:id="1041"/>
      <w:bookmarkStart w:id="1042" w:name="_Toc47346934"/>
      <w:bookmarkEnd w:id="1042"/>
      <w:bookmarkStart w:id="1043" w:name="_Toc47372614"/>
      <w:bookmarkEnd w:id="1043"/>
      <w:bookmarkStart w:id="1044" w:name="_Toc47346951"/>
      <w:bookmarkEnd w:id="1044"/>
      <w:bookmarkStart w:id="1045" w:name="_Toc47366806"/>
      <w:bookmarkEnd w:id="1045"/>
      <w:bookmarkStart w:id="1046" w:name="_Toc47372608"/>
      <w:bookmarkEnd w:id="1046"/>
      <w:bookmarkStart w:id="1047" w:name="_Toc47372585"/>
      <w:bookmarkEnd w:id="1047"/>
      <w:bookmarkStart w:id="1048" w:name="_Toc47346956"/>
      <w:bookmarkEnd w:id="1048"/>
      <w:bookmarkStart w:id="1049" w:name="_Toc47443165"/>
      <w:bookmarkEnd w:id="1049"/>
      <w:bookmarkStart w:id="1050" w:name="_Toc47347788"/>
      <w:bookmarkEnd w:id="1050"/>
      <w:bookmarkStart w:id="1051" w:name="_Toc41581090"/>
      <w:bookmarkEnd w:id="1051"/>
      <w:bookmarkStart w:id="1052" w:name="_Toc47372577"/>
      <w:bookmarkEnd w:id="1052"/>
      <w:bookmarkStart w:id="1053" w:name="_Toc47452128"/>
      <w:bookmarkEnd w:id="1053"/>
      <w:bookmarkStart w:id="1054" w:name="_Toc47372606"/>
      <w:bookmarkEnd w:id="1054"/>
      <w:bookmarkStart w:id="1055" w:name="_Toc47346958"/>
      <w:bookmarkEnd w:id="1055"/>
      <w:bookmarkStart w:id="1056" w:name="_Toc47443141"/>
      <w:bookmarkEnd w:id="1056"/>
      <w:bookmarkStart w:id="1057" w:name="_Toc47443149"/>
      <w:bookmarkEnd w:id="1057"/>
      <w:bookmarkStart w:id="1058" w:name="_Toc47443750"/>
      <w:bookmarkEnd w:id="1058"/>
      <w:bookmarkStart w:id="1059" w:name="_Toc47372621"/>
      <w:bookmarkEnd w:id="1059"/>
      <w:bookmarkStart w:id="1060" w:name="_Toc47457088"/>
      <w:bookmarkEnd w:id="1060"/>
      <w:bookmarkStart w:id="1061" w:name="_Toc47366777"/>
      <w:bookmarkEnd w:id="1061"/>
      <w:bookmarkStart w:id="1062" w:name="_Toc47451398"/>
      <w:bookmarkEnd w:id="1062"/>
      <w:bookmarkStart w:id="1063" w:name="_Toc47347784"/>
      <w:bookmarkEnd w:id="1063"/>
      <w:bookmarkStart w:id="1064" w:name="_Toc47451541"/>
      <w:bookmarkEnd w:id="1064"/>
      <w:bookmarkStart w:id="1065" w:name="_Toc47452134"/>
      <w:bookmarkEnd w:id="1065"/>
      <w:bookmarkStart w:id="1066" w:name="_Toc47451404"/>
      <w:bookmarkEnd w:id="1066"/>
      <w:bookmarkStart w:id="1067" w:name="_Toc47451436"/>
      <w:bookmarkEnd w:id="1067"/>
      <w:bookmarkStart w:id="1068" w:name="_Toc47451519"/>
      <w:bookmarkEnd w:id="1068"/>
      <w:bookmarkStart w:id="1069" w:name="_Toc47443742"/>
      <w:bookmarkEnd w:id="1069"/>
      <w:bookmarkStart w:id="1070" w:name="_Toc47452161"/>
      <w:bookmarkEnd w:id="1070"/>
      <w:bookmarkStart w:id="1071" w:name="_Toc40108225"/>
      <w:bookmarkEnd w:id="1071"/>
      <w:bookmarkStart w:id="1072" w:name="_Toc47451801"/>
      <w:bookmarkEnd w:id="1072"/>
      <w:bookmarkStart w:id="1073" w:name="_Toc47451432"/>
      <w:bookmarkEnd w:id="1073"/>
      <w:bookmarkStart w:id="1074" w:name="_Toc47455837"/>
      <w:bookmarkEnd w:id="1074"/>
      <w:bookmarkStart w:id="1075" w:name="_Toc47372619"/>
      <w:bookmarkEnd w:id="1075"/>
      <w:bookmarkStart w:id="1076" w:name="_Toc47451443"/>
      <w:bookmarkEnd w:id="1076"/>
      <w:bookmarkStart w:id="1077" w:name="_Toc47443051"/>
      <w:bookmarkEnd w:id="1077"/>
      <w:bookmarkStart w:id="1078" w:name="_Toc47443043"/>
      <w:bookmarkEnd w:id="1078"/>
      <w:bookmarkStart w:id="1079" w:name="_Toc47455804"/>
      <w:bookmarkEnd w:id="1079"/>
      <w:bookmarkStart w:id="1080" w:name="_Toc47443154"/>
      <w:bookmarkEnd w:id="1080"/>
      <w:bookmarkStart w:id="1081" w:name="_Toc47366798"/>
      <w:bookmarkEnd w:id="1081"/>
      <w:bookmarkStart w:id="1082" w:name="_Toc47451511"/>
      <w:bookmarkEnd w:id="1082"/>
      <w:bookmarkStart w:id="1083" w:name="_Toc47347820"/>
      <w:bookmarkEnd w:id="1083"/>
      <w:bookmarkStart w:id="1084" w:name="_Toc47451530"/>
      <w:bookmarkEnd w:id="1084"/>
      <w:bookmarkStart w:id="1085" w:name="_Toc47451520"/>
      <w:bookmarkEnd w:id="1085"/>
      <w:bookmarkStart w:id="1086" w:name="_Toc47347790"/>
      <w:bookmarkEnd w:id="1086"/>
      <w:bookmarkStart w:id="1087" w:name="_Toc47443027"/>
      <w:bookmarkEnd w:id="1087"/>
      <w:bookmarkStart w:id="1088" w:name="_Toc47451781"/>
      <w:bookmarkEnd w:id="1088"/>
      <w:bookmarkStart w:id="1089" w:name="_Toc47443058"/>
      <w:bookmarkEnd w:id="1089"/>
      <w:bookmarkStart w:id="1090" w:name="_Toc47452121"/>
      <w:bookmarkEnd w:id="1090"/>
      <w:bookmarkStart w:id="1091" w:name="_Toc47346946"/>
      <w:bookmarkEnd w:id="1091"/>
      <w:bookmarkStart w:id="1092" w:name="_Toc47443702"/>
      <w:bookmarkEnd w:id="1092"/>
      <w:bookmarkStart w:id="1093" w:name="_Toc47346971"/>
      <w:bookmarkEnd w:id="1093"/>
      <w:bookmarkStart w:id="1094" w:name="_Toc47443700"/>
      <w:bookmarkEnd w:id="1094"/>
      <w:bookmarkStart w:id="1095" w:name="_Toc47372599"/>
      <w:bookmarkEnd w:id="1095"/>
      <w:bookmarkStart w:id="1096" w:name="_Toc47455814"/>
      <w:bookmarkEnd w:id="1096"/>
      <w:bookmarkStart w:id="1097" w:name="_Toc47443739"/>
      <w:bookmarkEnd w:id="1097"/>
      <w:bookmarkStart w:id="1098" w:name="_Toc47347794"/>
      <w:bookmarkEnd w:id="1098"/>
      <w:bookmarkStart w:id="1099" w:name="_Toc47443025"/>
      <w:bookmarkEnd w:id="1099"/>
      <w:bookmarkStart w:id="1100" w:name="_Toc47451524"/>
      <w:bookmarkEnd w:id="1100"/>
      <w:bookmarkStart w:id="1101" w:name="_Toc47451783"/>
      <w:bookmarkEnd w:id="1101"/>
      <w:bookmarkStart w:id="1102" w:name="_Toc47457065"/>
      <w:bookmarkEnd w:id="1102"/>
      <w:bookmarkStart w:id="1103" w:name="_Toc47451525"/>
      <w:bookmarkEnd w:id="1103"/>
      <w:bookmarkStart w:id="1104" w:name="_Toc47346983"/>
      <w:bookmarkEnd w:id="1104"/>
      <w:bookmarkStart w:id="1105" w:name="_Toc47452146"/>
      <w:bookmarkEnd w:id="1105"/>
      <w:bookmarkStart w:id="1106" w:name="_Toc47455812"/>
      <w:bookmarkEnd w:id="1106"/>
      <w:bookmarkStart w:id="1107" w:name="_Toc47451512"/>
      <w:bookmarkEnd w:id="1107"/>
      <w:bookmarkStart w:id="1108" w:name="_Toc47457068"/>
      <w:bookmarkEnd w:id="1108"/>
      <w:bookmarkStart w:id="1109" w:name="_Toc47455805"/>
      <w:bookmarkEnd w:id="1109"/>
      <w:bookmarkStart w:id="1110" w:name="_Toc47451395"/>
      <w:bookmarkEnd w:id="1110"/>
      <w:bookmarkStart w:id="1111" w:name="_Toc47451405"/>
      <w:bookmarkEnd w:id="1111"/>
      <w:bookmarkStart w:id="1112" w:name="_Toc47457094"/>
      <w:bookmarkEnd w:id="1112"/>
      <w:bookmarkStart w:id="1113" w:name="_Toc47443052"/>
      <w:bookmarkEnd w:id="1113"/>
      <w:bookmarkStart w:id="1114" w:name="_Toc47443033"/>
      <w:bookmarkEnd w:id="1114"/>
      <w:bookmarkStart w:id="1115" w:name="_Toc47455848"/>
      <w:bookmarkEnd w:id="1115"/>
      <w:bookmarkStart w:id="1116" w:name="_Toc47443024"/>
      <w:bookmarkEnd w:id="1116"/>
      <w:bookmarkStart w:id="1117" w:name="_Toc47443705"/>
      <w:bookmarkEnd w:id="1117"/>
      <w:bookmarkStart w:id="1118" w:name="_Toc47443724"/>
      <w:bookmarkEnd w:id="1118"/>
      <w:bookmarkStart w:id="1119" w:name="_Toc47347779"/>
      <w:bookmarkEnd w:id="1119"/>
      <w:bookmarkStart w:id="1120" w:name="_Toc47452152"/>
      <w:bookmarkEnd w:id="1120"/>
      <w:bookmarkStart w:id="1121" w:name="_Toc47443701"/>
      <w:bookmarkEnd w:id="1121"/>
      <w:bookmarkStart w:id="1122" w:name="_Toc47451816"/>
      <w:bookmarkEnd w:id="1122"/>
      <w:bookmarkStart w:id="1123" w:name="_Toc47366800"/>
      <w:bookmarkEnd w:id="1123"/>
      <w:bookmarkStart w:id="1124" w:name="_Toc47451508"/>
      <w:bookmarkEnd w:id="1124"/>
      <w:bookmarkStart w:id="1125" w:name="_Toc47457062"/>
      <w:bookmarkEnd w:id="1125"/>
      <w:bookmarkStart w:id="1126" w:name="_Toc47451531"/>
      <w:bookmarkEnd w:id="1126"/>
      <w:bookmarkStart w:id="1127" w:name="_Toc47366793"/>
      <w:bookmarkEnd w:id="1127"/>
      <w:bookmarkStart w:id="1128" w:name="_Toc47443754"/>
      <w:bookmarkEnd w:id="1128"/>
      <w:bookmarkStart w:id="1129" w:name="_Toc47443046"/>
      <w:bookmarkEnd w:id="1129"/>
      <w:bookmarkStart w:id="1130" w:name="_Toc47457103"/>
      <w:bookmarkEnd w:id="1130"/>
      <w:bookmarkStart w:id="1131" w:name="_Toc47372574"/>
      <w:bookmarkEnd w:id="1131"/>
      <w:bookmarkStart w:id="1132" w:name="_Toc47451430"/>
      <w:bookmarkEnd w:id="1132"/>
      <w:bookmarkStart w:id="1133" w:name="_Toc47443038"/>
      <w:bookmarkEnd w:id="1133"/>
      <w:bookmarkStart w:id="1134" w:name="_Toc47451809"/>
      <w:bookmarkEnd w:id="1134"/>
      <w:bookmarkStart w:id="1135" w:name="_Toc47346984"/>
      <w:bookmarkEnd w:id="1135"/>
      <w:bookmarkStart w:id="1136" w:name="_Toc47372605"/>
      <w:bookmarkEnd w:id="1136"/>
      <w:bookmarkStart w:id="1137" w:name="_Toc47443064"/>
      <w:bookmarkEnd w:id="1137"/>
      <w:bookmarkStart w:id="1138" w:name="_Toc47452118"/>
      <w:bookmarkEnd w:id="1138"/>
      <w:bookmarkStart w:id="1139" w:name="_Toc47457093"/>
      <w:bookmarkEnd w:id="1139"/>
      <w:bookmarkStart w:id="1140" w:name="_Toc47451416"/>
      <w:bookmarkEnd w:id="1140"/>
      <w:bookmarkStart w:id="1141" w:name="_Toc47366825"/>
      <w:bookmarkEnd w:id="1141"/>
      <w:bookmarkStart w:id="1142" w:name="_Toc47347800"/>
      <w:bookmarkEnd w:id="1142"/>
      <w:bookmarkStart w:id="1143" w:name="_Toc47451802"/>
      <w:bookmarkEnd w:id="1143"/>
      <w:bookmarkStart w:id="1144" w:name="_Toc47443126"/>
      <w:bookmarkEnd w:id="1144"/>
      <w:bookmarkStart w:id="1145" w:name="_Toc47451421"/>
      <w:bookmarkEnd w:id="1145"/>
      <w:bookmarkStart w:id="1146" w:name="_Toc47451400"/>
      <w:bookmarkEnd w:id="1146"/>
      <w:bookmarkStart w:id="1147" w:name="_Toc47346953"/>
      <w:bookmarkEnd w:id="1147"/>
      <w:bookmarkStart w:id="1148" w:name="_Toc47443707"/>
      <w:bookmarkEnd w:id="1148"/>
      <w:bookmarkStart w:id="1149" w:name="_Toc47451818"/>
      <w:bookmarkEnd w:id="1149"/>
      <w:bookmarkStart w:id="1150" w:name="_Toc47451806"/>
      <w:bookmarkEnd w:id="1150"/>
      <w:bookmarkStart w:id="1151" w:name="_Toc47443069"/>
      <w:bookmarkEnd w:id="1151"/>
      <w:bookmarkStart w:id="1152" w:name="_Toc47347803"/>
      <w:bookmarkEnd w:id="1152"/>
      <w:bookmarkStart w:id="1153" w:name="_Toc47451429"/>
      <w:bookmarkEnd w:id="1153"/>
      <w:bookmarkStart w:id="1154" w:name="_Toc47451820"/>
      <w:bookmarkEnd w:id="1154"/>
      <w:bookmarkStart w:id="1155" w:name="_Toc47457109"/>
      <w:bookmarkEnd w:id="1155"/>
      <w:bookmarkStart w:id="1156" w:name="_Toc47451426"/>
      <w:bookmarkEnd w:id="1156"/>
      <w:bookmarkStart w:id="1157" w:name="_Toc47451401"/>
      <w:bookmarkEnd w:id="1157"/>
      <w:bookmarkStart w:id="1158" w:name="_Toc47455811"/>
      <w:bookmarkEnd w:id="1158"/>
      <w:bookmarkStart w:id="1159" w:name="_Toc47443163"/>
      <w:bookmarkEnd w:id="1159"/>
      <w:bookmarkStart w:id="1160" w:name="_Toc47451777"/>
      <w:bookmarkEnd w:id="1160"/>
      <w:bookmarkStart w:id="1161" w:name="_Toc47443726"/>
      <w:bookmarkEnd w:id="1161"/>
      <w:bookmarkStart w:id="1162" w:name="_Toc47451564"/>
      <w:bookmarkEnd w:id="1162"/>
      <w:bookmarkStart w:id="1163" w:name="_Toc47346987"/>
      <w:bookmarkEnd w:id="1163"/>
      <w:bookmarkStart w:id="1164" w:name="_Toc47451402"/>
      <w:bookmarkEnd w:id="1164"/>
      <w:bookmarkStart w:id="1165" w:name="_Toc47451411"/>
      <w:bookmarkEnd w:id="1165"/>
      <w:bookmarkStart w:id="1166" w:name="_Toc47452114"/>
      <w:bookmarkEnd w:id="1166"/>
      <w:bookmarkStart w:id="1167" w:name="_Toc47452113"/>
      <w:bookmarkEnd w:id="1167"/>
      <w:bookmarkStart w:id="1168" w:name="_Toc47443036"/>
      <w:bookmarkEnd w:id="1168"/>
      <w:bookmarkStart w:id="1169" w:name="_Toc47443749"/>
      <w:bookmarkEnd w:id="1169"/>
      <w:bookmarkStart w:id="1170" w:name="_Toc47443057"/>
      <w:bookmarkEnd w:id="1170"/>
      <w:bookmarkStart w:id="1171" w:name="_Toc47452123"/>
      <w:bookmarkEnd w:id="1171"/>
      <w:bookmarkStart w:id="1172" w:name="_Toc47455802"/>
      <w:bookmarkEnd w:id="1172"/>
      <w:bookmarkStart w:id="1173" w:name="_Toc47443751"/>
      <w:bookmarkEnd w:id="1173"/>
      <w:bookmarkStart w:id="1174" w:name="_Toc47457064"/>
      <w:bookmarkEnd w:id="1174"/>
      <w:bookmarkStart w:id="1175" w:name="_Toc47451516"/>
      <w:bookmarkEnd w:id="1175"/>
      <w:bookmarkStart w:id="1176" w:name="_Toc47455817"/>
      <w:bookmarkEnd w:id="1176"/>
      <w:bookmarkStart w:id="1177" w:name="_Toc47451547"/>
      <w:bookmarkEnd w:id="1177"/>
      <w:bookmarkStart w:id="1178" w:name="_Toc47347822"/>
      <w:bookmarkEnd w:id="1178"/>
      <w:bookmarkStart w:id="1179" w:name="_Toc47455824"/>
      <w:bookmarkEnd w:id="1179"/>
      <w:bookmarkStart w:id="1180" w:name="_Toc47366787"/>
      <w:bookmarkEnd w:id="1180"/>
      <w:bookmarkStart w:id="1181" w:name="_Toc47451444"/>
      <w:bookmarkEnd w:id="1181"/>
      <w:bookmarkStart w:id="1182" w:name="_Toc47443710"/>
      <w:bookmarkEnd w:id="1182"/>
      <w:bookmarkStart w:id="1183" w:name="_Toc47451510"/>
      <w:bookmarkEnd w:id="1183"/>
      <w:bookmarkStart w:id="1184" w:name="_Toc47443023"/>
      <w:bookmarkEnd w:id="1184"/>
      <w:bookmarkStart w:id="1185" w:name="_Toc47451414"/>
      <w:bookmarkEnd w:id="1185"/>
      <w:bookmarkStart w:id="1186" w:name="_Toc47457086"/>
      <w:bookmarkEnd w:id="1186"/>
      <w:bookmarkStart w:id="1187" w:name="_Toc47451513"/>
      <w:bookmarkEnd w:id="1187"/>
      <w:bookmarkStart w:id="1188" w:name="_Toc47451543"/>
      <w:bookmarkEnd w:id="1188"/>
      <w:bookmarkStart w:id="1189" w:name="_Toc47451544"/>
      <w:bookmarkEnd w:id="1189"/>
      <w:bookmarkStart w:id="1190" w:name="_Toc47451560"/>
      <w:bookmarkEnd w:id="1190"/>
      <w:bookmarkStart w:id="1191" w:name="_Toc47443060"/>
      <w:bookmarkEnd w:id="1191"/>
      <w:bookmarkStart w:id="1192" w:name="_Toc47443172"/>
      <w:bookmarkEnd w:id="1192"/>
      <w:bookmarkStart w:id="1193" w:name="_Toc47451775"/>
      <w:bookmarkEnd w:id="1193"/>
      <w:bookmarkStart w:id="1194" w:name="_Toc47451803"/>
      <w:bookmarkEnd w:id="1194"/>
      <w:bookmarkStart w:id="1195" w:name="_Toc47366824"/>
      <w:bookmarkEnd w:id="1195"/>
      <w:bookmarkStart w:id="1196" w:name="_Toc47451537"/>
      <w:bookmarkEnd w:id="1196"/>
      <w:bookmarkStart w:id="1197" w:name="_Toc41581003"/>
      <w:bookmarkEnd w:id="1197"/>
      <w:bookmarkStart w:id="1198" w:name="_Toc47443070"/>
      <w:bookmarkEnd w:id="1198"/>
      <w:bookmarkStart w:id="1199" w:name="_Toc47347815"/>
      <w:bookmarkEnd w:id="1199"/>
      <w:bookmarkStart w:id="1200" w:name="_Toc47443717"/>
      <w:bookmarkEnd w:id="1200"/>
      <w:bookmarkStart w:id="1201" w:name="_Toc47455822"/>
      <w:bookmarkEnd w:id="1201"/>
      <w:bookmarkStart w:id="1202" w:name="_Toc47455832"/>
      <w:bookmarkEnd w:id="1202"/>
      <w:bookmarkStart w:id="1203" w:name="_Toc47451792"/>
      <w:bookmarkEnd w:id="1203"/>
      <w:bookmarkStart w:id="1204" w:name="_Toc47366809"/>
      <w:bookmarkEnd w:id="1204"/>
      <w:bookmarkStart w:id="1205" w:name="_Toc47347798"/>
      <w:bookmarkEnd w:id="1205"/>
      <w:bookmarkStart w:id="1206" w:name="_Toc47451817"/>
      <w:bookmarkEnd w:id="1206"/>
      <w:bookmarkStart w:id="1207" w:name="_Toc47372575"/>
      <w:bookmarkEnd w:id="1207"/>
      <w:bookmarkStart w:id="1208" w:name="_Toc47347774"/>
      <w:bookmarkEnd w:id="1208"/>
      <w:bookmarkStart w:id="1209" w:name="_Toc47366820"/>
      <w:bookmarkEnd w:id="1209"/>
      <w:bookmarkStart w:id="1210" w:name="_Toc47451832"/>
      <w:bookmarkEnd w:id="1210"/>
      <w:bookmarkStart w:id="1211" w:name="_Toc47346981"/>
      <w:bookmarkEnd w:id="1211"/>
      <w:bookmarkStart w:id="1212" w:name="_Toc47443718"/>
      <w:bookmarkEnd w:id="1212"/>
      <w:bookmarkStart w:id="1213" w:name="_Toc47451787"/>
      <w:bookmarkEnd w:id="1213"/>
      <w:bookmarkStart w:id="1214" w:name="_Toc47346939"/>
      <w:bookmarkEnd w:id="1214"/>
      <w:bookmarkStart w:id="1215" w:name="_Toc47451388"/>
      <w:bookmarkEnd w:id="1215"/>
      <w:bookmarkStart w:id="1216" w:name="_Toc47443129"/>
      <w:bookmarkEnd w:id="1216"/>
      <w:bookmarkStart w:id="1217" w:name="_Toc47366775"/>
      <w:bookmarkEnd w:id="1217"/>
      <w:bookmarkStart w:id="1218" w:name="_Toc47443168"/>
      <w:bookmarkEnd w:id="1218"/>
      <w:bookmarkStart w:id="1219" w:name="_Toc47451523"/>
      <w:bookmarkEnd w:id="1219"/>
      <w:bookmarkStart w:id="1220" w:name="_Toc47451403"/>
      <w:bookmarkEnd w:id="1220"/>
      <w:bookmarkStart w:id="1221" w:name="_Toc47372589"/>
      <w:bookmarkEnd w:id="1221"/>
      <w:bookmarkStart w:id="1222" w:name="_Toc47451831"/>
      <w:bookmarkEnd w:id="1222"/>
      <w:bookmarkStart w:id="1223" w:name="_Toc47455801"/>
      <w:bookmarkEnd w:id="1223"/>
      <w:bookmarkStart w:id="1224" w:name="_Toc47366780"/>
      <w:bookmarkEnd w:id="1224"/>
      <w:bookmarkStart w:id="1225" w:name="_Toc47347810"/>
      <w:bookmarkEnd w:id="1225"/>
      <w:bookmarkStart w:id="1226" w:name="_Toc47451814"/>
      <w:bookmarkEnd w:id="1226"/>
      <w:bookmarkStart w:id="1227" w:name="_Toc47443714"/>
      <w:bookmarkEnd w:id="1227"/>
      <w:bookmarkStart w:id="1228" w:name="_Toc47457079"/>
      <w:bookmarkEnd w:id="1228"/>
      <w:bookmarkStart w:id="1229" w:name="_Toc47443135"/>
      <w:bookmarkEnd w:id="1229"/>
      <w:bookmarkStart w:id="1230" w:name="_Toc47366773"/>
      <w:bookmarkEnd w:id="1230"/>
      <w:bookmarkStart w:id="1231" w:name="_Toc47366799"/>
      <w:bookmarkEnd w:id="1231"/>
      <w:bookmarkStart w:id="1232" w:name="_Toc47451540"/>
      <w:bookmarkEnd w:id="1232"/>
      <w:bookmarkStart w:id="1233" w:name="_Toc47372624"/>
      <w:bookmarkEnd w:id="1233"/>
      <w:bookmarkStart w:id="1234" w:name="_Toc47455795"/>
      <w:bookmarkEnd w:id="1234"/>
      <w:bookmarkStart w:id="1235" w:name="_Toc47455827"/>
      <w:bookmarkEnd w:id="1235"/>
      <w:bookmarkStart w:id="1236" w:name="_Toc47347766"/>
      <w:bookmarkEnd w:id="1236"/>
      <w:bookmarkStart w:id="1237" w:name="_Toc47455829"/>
      <w:bookmarkEnd w:id="1237"/>
      <w:bookmarkStart w:id="1238" w:name="_Toc47347769"/>
      <w:bookmarkEnd w:id="1238"/>
      <w:bookmarkStart w:id="1239" w:name="_Toc47455842"/>
      <w:bookmarkEnd w:id="1239"/>
      <w:bookmarkStart w:id="1240" w:name="_Toc47366829"/>
      <w:bookmarkEnd w:id="1240"/>
      <w:bookmarkStart w:id="1241" w:name="_Toc47443728"/>
      <w:bookmarkEnd w:id="1241"/>
      <w:bookmarkStart w:id="1242" w:name="_Toc47455816"/>
      <w:bookmarkEnd w:id="1242"/>
      <w:bookmarkStart w:id="1243" w:name="_Toc47457085"/>
      <w:bookmarkEnd w:id="1243"/>
      <w:bookmarkStart w:id="1244" w:name="_Toc47457054"/>
      <w:bookmarkEnd w:id="1244"/>
      <w:bookmarkStart w:id="1245" w:name="_Toc47346974"/>
      <w:bookmarkEnd w:id="1245"/>
      <w:bookmarkStart w:id="1246" w:name="_Toc47451776"/>
      <w:bookmarkEnd w:id="1246"/>
      <w:bookmarkStart w:id="1247" w:name="_Toc47451390"/>
      <w:bookmarkEnd w:id="1247"/>
      <w:bookmarkStart w:id="1248" w:name="_Toc47451555"/>
      <w:bookmarkEnd w:id="1248"/>
      <w:bookmarkStart w:id="1249" w:name="_Toc47451548"/>
      <w:bookmarkEnd w:id="1249"/>
      <w:bookmarkStart w:id="1250" w:name="_Toc47451539"/>
      <w:bookmarkEnd w:id="1250"/>
      <w:bookmarkStart w:id="1251" w:name="_Toc47457077"/>
      <w:bookmarkEnd w:id="1251"/>
      <w:bookmarkStart w:id="1252" w:name="_Toc47443029"/>
      <w:bookmarkEnd w:id="1252"/>
      <w:bookmarkStart w:id="1253" w:name="_Toc47347795"/>
      <w:bookmarkEnd w:id="1253"/>
      <w:bookmarkStart w:id="1254" w:name="_Toc47366794"/>
      <w:bookmarkEnd w:id="1254"/>
      <w:bookmarkStart w:id="1255" w:name="_Toc47443727"/>
      <w:bookmarkEnd w:id="1255"/>
      <w:bookmarkStart w:id="1256" w:name="_Toc47346968"/>
      <w:bookmarkEnd w:id="1256"/>
      <w:bookmarkStart w:id="1257" w:name="_Toc47452143"/>
      <w:bookmarkEnd w:id="1257"/>
      <w:bookmarkStart w:id="1258" w:name="_Toc47451827"/>
      <w:bookmarkEnd w:id="1258"/>
      <w:bookmarkStart w:id="1259" w:name="_Toc47455846"/>
      <w:bookmarkEnd w:id="1259"/>
      <w:bookmarkStart w:id="1260" w:name="_Toc47443157"/>
      <w:bookmarkEnd w:id="1260"/>
      <w:bookmarkStart w:id="1261" w:name="_Toc47457059"/>
      <w:bookmarkEnd w:id="1261"/>
      <w:bookmarkStart w:id="1262" w:name="_Toc47451791"/>
      <w:bookmarkEnd w:id="1262"/>
      <w:bookmarkStart w:id="1263" w:name="_Toc47443041"/>
      <w:bookmarkEnd w:id="1263"/>
      <w:bookmarkStart w:id="1264" w:name="_Toc47347799"/>
      <w:bookmarkEnd w:id="1264"/>
      <w:bookmarkStart w:id="1265" w:name="_Toc47455823"/>
      <w:bookmarkEnd w:id="1265"/>
      <w:bookmarkStart w:id="1266" w:name="_Toc47451785"/>
      <w:bookmarkEnd w:id="1266"/>
      <w:bookmarkStart w:id="1267" w:name="_Toc47451825"/>
      <w:bookmarkEnd w:id="1267"/>
      <w:bookmarkStart w:id="1268" w:name="_Toc47443022"/>
      <w:bookmarkEnd w:id="1268"/>
      <w:bookmarkStart w:id="1269" w:name="_Toc47451410"/>
      <w:bookmarkEnd w:id="1269"/>
      <w:bookmarkStart w:id="1270" w:name="_Toc47451545"/>
      <w:bookmarkEnd w:id="1270"/>
      <w:bookmarkStart w:id="1271" w:name="_Toc47366813"/>
      <w:bookmarkEnd w:id="1271"/>
      <w:bookmarkStart w:id="1272" w:name="_Toc47451554"/>
      <w:bookmarkEnd w:id="1272"/>
      <w:bookmarkStart w:id="1273" w:name="_Toc47457089"/>
      <w:bookmarkEnd w:id="1273"/>
      <w:bookmarkStart w:id="1274" w:name="_Toc47443151"/>
      <w:bookmarkEnd w:id="1274"/>
      <w:bookmarkStart w:id="1275" w:name="_Toc47451813"/>
      <w:bookmarkEnd w:id="1275"/>
      <w:bookmarkStart w:id="1276" w:name="_Toc47372596"/>
      <w:bookmarkEnd w:id="1276"/>
      <w:bookmarkStart w:id="1277" w:name="_Toc47457097"/>
      <w:bookmarkEnd w:id="1277"/>
      <w:bookmarkStart w:id="1278" w:name="_Toc47455820"/>
      <w:bookmarkEnd w:id="1278"/>
      <w:bookmarkStart w:id="1279" w:name="_Toc47455844"/>
      <w:bookmarkEnd w:id="1279"/>
      <w:bookmarkStart w:id="1280" w:name="_Toc47443016"/>
      <w:bookmarkEnd w:id="1280"/>
      <w:bookmarkStart w:id="1281" w:name="_Toc47346965"/>
      <w:bookmarkEnd w:id="1281"/>
      <w:bookmarkStart w:id="1282" w:name="_Toc47452138"/>
      <w:bookmarkEnd w:id="1282"/>
      <w:bookmarkStart w:id="1283" w:name="_Toc47451815"/>
      <w:bookmarkEnd w:id="1283"/>
      <w:bookmarkStart w:id="1284" w:name="_Toc47443034"/>
      <w:bookmarkEnd w:id="1284"/>
      <w:bookmarkStart w:id="1285" w:name="_Toc47451417"/>
      <w:bookmarkEnd w:id="1285"/>
      <w:bookmarkStart w:id="1286" w:name="_Toc47455835"/>
      <w:bookmarkEnd w:id="1286"/>
      <w:bookmarkStart w:id="1287" w:name="_Toc47346940"/>
      <w:bookmarkEnd w:id="1287"/>
      <w:bookmarkStart w:id="1288" w:name="_Toc47443047"/>
      <w:bookmarkEnd w:id="1288"/>
      <w:bookmarkStart w:id="1289" w:name="_Toc47457099"/>
      <w:bookmarkEnd w:id="1289"/>
      <w:bookmarkStart w:id="1290" w:name="_Toc41578214"/>
      <w:bookmarkEnd w:id="1290"/>
      <w:bookmarkStart w:id="1291" w:name="_Toc47347817"/>
      <w:bookmarkEnd w:id="1291"/>
      <w:bookmarkStart w:id="1292" w:name="_Toc47457110"/>
      <w:bookmarkEnd w:id="1292"/>
      <w:bookmarkStart w:id="1293" w:name="_Toc47347780"/>
      <w:bookmarkEnd w:id="1293"/>
      <w:bookmarkStart w:id="1294" w:name="_Toc47366803"/>
      <w:bookmarkEnd w:id="1294"/>
      <w:bookmarkStart w:id="1295" w:name="_Toc47452126"/>
      <w:bookmarkEnd w:id="1295"/>
      <w:bookmarkStart w:id="1296" w:name="_Toc47366805"/>
      <w:bookmarkEnd w:id="1296"/>
      <w:bookmarkStart w:id="1297" w:name="_Toc47372600"/>
      <w:bookmarkEnd w:id="1297"/>
      <w:bookmarkStart w:id="1298" w:name="_Toc47366778"/>
      <w:bookmarkEnd w:id="1298"/>
      <w:bookmarkStart w:id="1299" w:name="_Toc47457107"/>
      <w:bookmarkEnd w:id="1299"/>
      <w:bookmarkStart w:id="1300" w:name="_Toc47451812"/>
      <w:bookmarkEnd w:id="1300"/>
      <w:bookmarkStart w:id="1301" w:name="_Toc47443736"/>
      <w:bookmarkEnd w:id="1301"/>
      <w:bookmarkStart w:id="1302" w:name="_Toc47372586"/>
      <w:bookmarkEnd w:id="1302"/>
      <w:bookmarkStart w:id="1303" w:name="_Toc47347816"/>
      <w:bookmarkEnd w:id="1303"/>
      <w:bookmarkStart w:id="1304" w:name="_Toc47451431"/>
      <w:bookmarkEnd w:id="1304"/>
      <w:bookmarkStart w:id="1305" w:name="_Toc47366826"/>
      <w:bookmarkEnd w:id="1305"/>
      <w:bookmarkStart w:id="1306" w:name="_Toc47347812"/>
      <w:bookmarkEnd w:id="1306"/>
      <w:bookmarkStart w:id="1307" w:name="_Toc47347805"/>
      <w:bookmarkEnd w:id="1307"/>
      <w:bookmarkStart w:id="1308" w:name="_Toc47443752"/>
      <w:bookmarkEnd w:id="1308"/>
      <w:bookmarkStart w:id="1309" w:name="_Toc47366782"/>
      <w:bookmarkEnd w:id="1309"/>
      <w:bookmarkStart w:id="1310" w:name="_Toc47443035"/>
      <w:bookmarkEnd w:id="1310"/>
      <w:bookmarkStart w:id="1311" w:name="_Toc47443136"/>
      <w:bookmarkEnd w:id="1311"/>
      <w:bookmarkStart w:id="1312" w:name="_Toc47366823"/>
      <w:bookmarkEnd w:id="1312"/>
      <w:bookmarkStart w:id="1313" w:name="_Toc47443143"/>
      <w:bookmarkEnd w:id="1313"/>
      <w:bookmarkStart w:id="1314" w:name="_Toc47372572"/>
      <w:bookmarkEnd w:id="1314"/>
      <w:bookmarkStart w:id="1315" w:name="_Toc47452109"/>
      <w:bookmarkEnd w:id="1315"/>
      <w:bookmarkStart w:id="1316" w:name="_Toc47443068"/>
      <w:bookmarkEnd w:id="1316"/>
      <w:bookmarkStart w:id="1317" w:name="_Toc47443061"/>
      <w:bookmarkEnd w:id="1317"/>
      <w:bookmarkStart w:id="1318" w:name="_Toc47443713"/>
      <w:bookmarkEnd w:id="1318"/>
      <w:bookmarkStart w:id="1319" w:name="_Toc47451557"/>
      <w:bookmarkEnd w:id="1319"/>
      <w:bookmarkStart w:id="1320" w:name="_Toc47455800"/>
      <w:bookmarkEnd w:id="1320"/>
      <w:bookmarkStart w:id="1321" w:name="_Toc47443056"/>
      <w:bookmarkEnd w:id="1321"/>
      <w:bookmarkStart w:id="1322" w:name="_Toc47443066"/>
      <w:bookmarkEnd w:id="1322"/>
      <w:bookmarkStart w:id="1323" w:name="_Toc47347809"/>
      <w:bookmarkEnd w:id="1323"/>
      <w:bookmarkStart w:id="1324" w:name="_Toc47443721"/>
      <w:bookmarkEnd w:id="1324"/>
      <w:bookmarkStart w:id="1325" w:name="_Toc47455810"/>
      <w:bookmarkEnd w:id="1325"/>
      <w:bookmarkStart w:id="1326" w:name="_Toc47452112"/>
      <w:bookmarkEnd w:id="1326"/>
      <w:bookmarkStart w:id="1327" w:name="_Toc47443161"/>
      <w:bookmarkEnd w:id="1327"/>
      <w:bookmarkStart w:id="1328" w:name="_Toc41580971"/>
      <w:bookmarkEnd w:id="1328"/>
      <w:bookmarkStart w:id="1329" w:name="_Toc47451389"/>
      <w:bookmarkEnd w:id="1329"/>
      <w:bookmarkStart w:id="1330" w:name="_Toc47372617"/>
      <w:bookmarkEnd w:id="1330"/>
      <w:bookmarkStart w:id="1331" w:name="_Toc47366790"/>
      <w:bookmarkEnd w:id="1331"/>
      <w:bookmarkStart w:id="1332" w:name="_Toc47346988"/>
      <w:bookmarkEnd w:id="1332"/>
      <w:bookmarkStart w:id="1333" w:name="_Toc47443145"/>
      <w:bookmarkEnd w:id="1333"/>
      <w:bookmarkStart w:id="1334" w:name="_Toc47372579"/>
      <w:bookmarkEnd w:id="1334"/>
      <w:bookmarkStart w:id="1335" w:name="_Toc47347775"/>
      <w:bookmarkEnd w:id="1335"/>
      <w:bookmarkStart w:id="1336" w:name="_Toc47443013"/>
      <w:bookmarkEnd w:id="1336"/>
      <w:bookmarkStart w:id="1337" w:name="_Toc47347806"/>
      <w:bookmarkEnd w:id="1337"/>
      <w:bookmarkStart w:id="1338" w:name="_Toc47443730"/>
      <w:bookmarkEnd w:id="1338"/>
      <w:bookmarkStart w:id="1339" w:name="_Toc47443166"/>
      <w:bookmarkEnd w:id="1339"/>
      <w:bookmarkStart w:id="1340" w:name="_Toc47457091"/>
      <w:bookmarkEnd w:id="1340"/>
      <w:bookmarkStart w:id="1341" w:name="_Toc47452110"/>
      <w:bookmarkEnd w:id="1341"/>
      <w:bookmarkStart w:id="1342" w:name="_Toc47443745"/>
      <w:bookmarkEnd w:id="1342"/>
      <w:bookmarkStart w:id="1343" w:name="_Toc47347778"/>
      <w:bookmarkEnd w:id="1343"/>
      <w:bookmarkStart w:id="1344" w:name="_Toc47457053"/>
      <w:bookmarkEnd w:id="1344"/>
      <w:bookmarkStart w:id="1345" w:name="_Toc47443715"/>
      <w:bookmarkEnd w:id="1345"/>
      <w:bookmarkStart w:id="1346" w:name="_Toc47372629"/>
      <w:bookmarkEnd w:id="1346"/>
      <w:bookmarkStart w:id="1347" w:name="_Toc47372590"/>
      <w:bookmarkEnd w:id="1347"/>
      <w:bookmarkStart w:id="1348" w:name="_Toc47457081"/>
      <w:bookmarkEnd w:id="1348"/>
      <w:bookmarkStart w:id="1349" w:name="_Toc47451779"/>
      <w:bookmarkEnd w:id="1349"/>
      <w:bookmarkStart w:id="1350" w:name="_Toc47372602"/>
      <w:bookmarkEnd w:id="1350"/>
      <w:bookmarkStart w:id="1351" w:name="_Toc47455815"/>
      <w:bookmarkEnd w:id="1351"/>
      <w:bookmarkStart w:id="1352" w:name="_Toc47346954"/>
      <w:bookmarkEnd w:id="1352"/>
      <w:bookmarkStart w:id="1353" w:name="_Toc47451563"/>
      <w:bookmarkEnd w:id="1353"/>
      <w:bookmarkStart w:id="1354" w:name="_Toc47451446"/>
      <w:bookmarkEnd w:id="1354"/>
      <w:bookmarkStart w:id="1355" w:name="_Toc47455830"/>
      <w:bookmarkEnd w:id="1355"/>
      <w:bookmarkStart w:id="1356" w:name="_Toc47347776"/>
      <w:bookmarkEnd w:id="1356"/>
      <w:bookmarkStart w:id="1357" w:name="_Toc47372611"/>
      <w:bookmarkEnd w:id="1357"/>
      <w:bookmarkStart w:id="1358" w:name="_Toc47451399"/>
      <w:bookmarkEnd w:id="1358"/>
      <w:bookmarkStart w:id="1359" w:name="_Toc47451441"/>
      <w:bookmarkEnd w:id="1359"/>
      <w:bookmarkStart w:id="1360" w:name="_Toc47451819"/>
      <w:bookmarkEnd w:id="1360"/>
      <w:bookmarkStart w:id="1361" w:name="_Toc47443722"/>
      <w:bookmarkEnd w:id="1361"/>
      <w:bookmarkStart w:id="1362" w:name="_Toc47451529"/>
      <w:bookmarkEnd w:id="1362"/>
      <w:bookmarkStart w:id="1363" w:name="_Toc47366822"/>
      <w:bookmarkEnd w:id="1363"/>
      <w:bookmarkStart w:id="1364" w:name="_Toc47443134"/>
      <w:bookmarkEnd w:id="1364"/>
      <w:bookmarkStart w:id="1365" w:name="_Toc47443708"/>
      <w:bookmarkEnd w:id="1365"/>
      <w:bookmarkStart w:id="1366" w:name="_Toc47443040"/>
      <w:bookmarkEnd w:id="1366"/>
      <w:bookmarkStart w:id="1367" w:name="_Toc47455828"/>
      <w:bookmarkEnd w:id="1367"/>
      <w:bookmarkStart w:id="1368" w:name="_Toc47452151"/>
      <w:bookmarkEnd w:id="1368"/>
      <w:bookmarkStart w:id="1369" w:name="_Toc47347801"/>
      <w:bookmarkEnd w:id="1369"/>
      <w:bookmarkStart w:id="1370" w:name="_Toc47443063"/>
      <w:bookmarkEnd w:id="1370"/>
      <w:bookmarkStart w:id="1371" w:name="_Toc47451786"/>
      <w:bookmarkEnd w:id="1371"/>
      <w:bookmarkStart w:id="1372" w:name="_Toc41581061"/>
      <w:bookmarkEnd w:id="1372"/>
      <w:bookmarkStart w:id="1373" w:name="_Toc47452117"/>
      <w:bookmarkEnd w:id="1373"/>
      <w:bookmarkStart w:id="1374" w:name="_Toc47452140"/>
      <w:bookmarkEnd w:id="1374"/>
      <w:bookmarkStart w:id="1375" w:name="_Toc47455796"/>
      <w:bookmarkEnd w:id="1375"/>
      <w:bookmarkStart w:id="1376" w:name="_Toc47346977"/>
      <w:bookmarkEnd w:id="1376"/>
      <w:bookmarkStart w:id="1377" w:name="_Toc47366795"/>
      <w:bookmarkEnd w:id="1377"/>
      <w:bookmarkStart w:id="1378" w:name="_Toc47372604"/>
      <w:bookmarkEnd w:id="1378"/>
      <w:bookmarkStart w:id="1379" w:name="_Toc47451527"/>
      <w:bookmarkEnd w:id="1379"/>
      <w:bookmarkStart w:id="1380" w:name="_Toc47455850"/>
      <w:bookmarkEnd w:id="1380"/>
      <w:bookmarkStart w:id="1381" w:name="_Toc47372622"/>
      <w:bookmarkEnd w:id="1381"/>
      <w:bookmarkStart w:id="1382" w:name="_Toc47346961"/>
      <w:bookmarkEnd w:id="1382"/>
      <w:bookmarkStart w:id="1383" w:name="_Toc47346978"/>
      <w:bookmarkEnd w:id="1383"/>
      <w:bookmarkStart w:id="1384" w:name="_Toc47366828"/>
      <w:bookmarkEnd w:id="1384"/>
      <w:bookmarkStart w:id="1385" w:name="_Toc47366802"/>
      <w:bookmarkEnd w:id="1385"/>
      <w:bookmarkStart w:id="1386" w:name="_Toc47347791"/>
      <w:bookmarkEnd w:id="1386"/>
      <w:bookmarkStart w:id="1387" w:name="_Toc47451559"/>
      <w:bookmarkEnd w:id="1387"/>
      <w:bookmarkStart w:id="1388" w:name="_Toc47372592"/>
      <w:bookmarkEnd w:id="1388"/>
      <w:bookmarkStart w:id="1389" w:name="_Toc47451394"/>
      <w:bookmarkEnd w:id="1389"/>
      <w:bookmarkStart w:id="1390" w:name="_Toc47366791"/>
      <w:bookmarkEnd w:id="1390"/>
      <w:bookmarkStart w:id="1391" w:name="_Toc47372627"/>
      <w:bookmarkEnd w:id="1391"/>
      <w:bookmarkStart w:id="1392" w:name="_Toc47451526"/>
      <w:bookmarkEnd w:id="1392"/>
      <w:bookmarkStart w:id="1393" w:name="_Toc47457056"/>
      <w:bookmarkEnd w:id="1393"/>
      <w:bookmarkStart w:id="1394" w:name="_Toc47372576"/>
      <w:bookmarkEnd w:id="1394"/>
      <w:bookmarkStart w:id="1395" w:name="_Toc47443062"/>
      <w:bookmarkEnd w:id="1395"/>
      <w:bookmarkStart w:id="1396" w:name="_Toc47451392"/>
      <w:bookmarkEnd w:id="1396"/>
      <w:bookmarkStart w:id="1397" w:name="_Toc47451561"/>
      <w:bookmarkEnd w:id="1397"/>
      <w:bookmarkStart w:id="1398" w:name="_Toc47455853"/>
      <w:bookmarkEnd w:id="1398"/>
      <w:bookmarkStart w:id="1399" w:name="_Toc47451422"/>
      <w:bookmarkEnd w:id="1399"/>
      <w:bookmarkStart w:id="1400" w:name="_Toc47452120"/>
      <w:bookmarkEnd w:id="1400"/>
      <w:bookmarkStart w:id="1401" w:name="_Toc47457073"/>
      <w:bookmarkEnd w:id="1401"/>
      <w:bookmarkStart w:id="1402" w:name="_Toc47455843"/>
      <w:bookmarkEnd w:id="1402"/>
      <w:bookmarkStart w:id="1403" w:name="_Toc47443067"/>
      <w:bookmarkEnd w:id="1403"/>
      <w:bookmarkStart w:id="1404" w:name="_Toc47451794"/>
      <w:bookmarkEnd w:id="1404"/>
      <w:bookmarkStart w:id="1405" w:name="_Toc47455831"/>
      <w:bookmarkEnd w:id="1405"/>
      <w:bookmarkStart w:id="1406" w:name="_Toc47443045"/>
      <w:bookmarkEnd w:id="1406"/>
      <w:bookmarkStart w:id="1407" w:name="_Toc47451830"/>
      <w:bookmarkEnd w:id="1407"/>
      <w:bookmarkStart w:id="1408" w:name="_Toc47457074"/>
      <w:bookmarkEnd w:id="1408"/>
      <w:bookmarkStart w:id="1409" w:name="_Toc47366772"/>
      <w:bookmarkEnd w:id="1409"/>
      <w:bookmarkStart w:id="1410" w:name="_Toc47347783"/>
      <w:bookmarkEnd w:id="1410"/>
      <w:bookmarkStart w:id="1411" w:name="_Toc47346945"/>
      <w:bookmarkEnd w:id="1411"/>
      <w:bookmarkStart w:id="1412" w:name="_Toc47451407"/>
      <w:bookmarkEnd w:id="1412"/>
      <w:bookmarkStart w:id="1413" w:name="_Toc47347777"/>
      <w:bookmarkEnd w:id="1413"/>
      <w:bookmarkStart w:id="1414" w:name="_Toc47457055"/>
      <w:bookmarkEnd w:id="1414"/>
      <w:bookmarkStart w:id="1415" w:name="_Toc47346964"/>
      <w:bookmarkEnd w:id="1415"/>
      <w:bookmarkStart w:id="1416" w:name="_Toc47443124"/>
      <w:bookmarkEnd w:id="1416"/>
      <w:bookmarkStart w:id="1417" w:name="_Toc47346986"/>
      <w:bookmarkEnd w:id="1417"/>
      <w:bookmarkStart w:id="1418" w:name="_Toc47452119"/>
      <w:bookmarkEnd w:id="1418"/>
      <w:bookmarkStart w:id="1419" w:name="_Toc47457061"/>
      <w:bookmarkEnd w:id="1419"/>
      <w:bookmarkStart w:id="1420" w:name="_Toc47443171"/>
      <w:bookmarkEnd w:id="1420"/>
      <w:bookmarkStart w:id="1421" w:name="_Toc47346991"/>
      <w:bookmarkEnd w:id="1421"/>
      <w:bookmarkStart w:id="1422" w:name="_Toc47457058"/>
      <w:bookmarkEnd w:id="1422"/>
      <w:bookmarkStart w:id="1423" w:name="_Toc47451542"/>
      <w:bookmarkEnd w:id="1423"/>
      <w:bookmarkStart w:id="1424" w:name="_Toc47451391"/>
      <w:bookmarkEnd w:id="1424"/>
      <w:bookmarkStart w:id="1425" w:name="_Toc47366816"/>
      <w:bookmarkEnd w:id="1425"/>
      <w:bookmarkStart w:id="1426" w:name="_Toc47451437"/>
      <w:bookmarkEnd w:id="1426"/>
      <w:bookmarkStart w:id="1427" w:name="_Toc47443054"/>
      <w:bookmarkEnd w:id="1427"/>
      <w:bookmarkStart w:id="1428" w:name="_Toc41575878"/>
      <w:bookmarkEnd w:id="1428"/>
      <w:bookmarkStart w:id="1429" w:name="_Toc47451796"/>
      <w:bookmarkEnd w:id="1429"/>
      <w:bookmarkStart w:id="1430" w:name="_Toc47451418"/>
      <w:bookmarkEnd w:id="1430"/>
      <w:bookmarkStart w:id="1431" w:name="_Toc47451514"/>
      <w:bookmarkEnd w:id="1431"/>
      <w:bookmarkStart w:id="1432" w:name="_Toc47346941"/>
      <w:bookmarkEnd w:id="1432"/>
      <w:bookmarkStart w:id="1433" w:name="_Toc47451406"/>
      <w:bookmarkEnd w:id="1433"/>
      <w:bookmarkStart w:id="1434" w:name="_Toc47455808"/>
      <w:bookmarkEnd w:id="1434"/>
      <w:bookmarkStart w:id="1435" w:name="_Toc47452125"/>
      <w:bookmarkEnd w:id="1435"/>
      <w:bookmarkStart w:id="1436" w:name="_Toc47443030"/>
      <w:bookmarkEnd w:id="1436"/>
      <w:bookmarkStart w:id="1437" w:name="_Toc47451533"/>
      <w:bookmarkEnd w:id="1437"/>
      <w:bookmarkStart w:id="1438" w:name="_Toc47443709"/>
      <w:bookmarkEnd w:id="1438"/>
      <w:bookmarkStart w:id="1439" w:name="_Toc47443734"/>
      <w:bookmarkEnd w:id="1439"/>
      <w:bookmarkStart w:id="1440" w:name="_Toc47347786"/>
      <w:bookmarkEnd w:id="1440"/>
      <w:bookmarkStart w:id="1441" w:name="_Toc47452155"/>
      <w:bookmarkEnd w:id="1441"/>
      <w:bookmarkStart w:id="1442" w:name="_Toc47443156"/>
      <w:bookmarkEnd w:id="1442"/>
      <w:bookmarkStart w:id="1443" w:name="_Toc47452124"/>
      <w:bookmarkEnd w:id="1443"/>
      <w:bookmarkStart w:id="1444" w:name="_Toc47346989"/>
      <w:bookmarkEnd w:id="1444"/>
      <w:bookmarkStart w:id="1445" w:name="_Toc47346960"/>
      <w:bookmarkEnd w:id="1445"/>
      <w:bookmarkStart w:id="1446" w:name="_Toc47455840"/>
      <w:bookmarkEnd w:id="1446"/>
      <w:bookmarkStart w:id="1447" w:name="_Toc47452129"/>
      <w:bookmarkEnd w:id="1447"/>
      <w:bookmarkStart w:id="1448" w:name="_Toc47366801"/>
      <w:bookmarkEnd w:id="1448"/>
      <w:bookmarkStart w:id="1449" w:name="_Toc47452116"/>
      <w:bookmarkEnd w:id="1449"/>
      <w:bookmarkStart w:id="1450" w:name="_Toc47443155"/>
      <w:bookmarkEnd w:id="1450"/>
      <w:bookmarkStart w:id="1451" w:name="_Toc47346949"/>
      <w:bookmarkEnd w:id="1451"/>
      <w:bookmarkStart w:id="1452" w:name="_Toc47452159"/>
      <w:bookmarkEnd w:id="1452"/>
      <w:bookmarkStart w:id="1453" w:name="_Toc47451445"/>
      <w:bookmarkEnd w:id="1453"/>
      <w:bookmarkStart w:id="1454" w:name="_Toc47443133"/>
      <w:bookmarkEnd w:id="1454"/>
      <w:bookmarkStart w:id="1455" w:name="_Toc47457075"/>
      <w:bookmarkEnd w:id="1455"/>
      <w:bookmarkStart w:id="1456" w:name="_Toc47457082"/>
      <w:bookmarkEnd w:id="1456"/>
      <w:bookmarkStart w:id="1457" w:name="_Toc47443131"/>
      <w:bookmarkEnd w:id="1457"/>
      <w:bookmarkStart w:id="1458" w:name="_Toc47443049"/>
      <w:bookmarkEnd w:id="1458"/>
      <w:bookmarkStart w:id="1459" w:name="_Toc47452160"/>
      <w:bookmarkEnd w:id="1459"/>
      <w:bookmarkStart w:id="1460" w:name="_Toc47372581"/>
      <w:bookmarkEnd w:id="1460"/>
      <w:bookmarkStart w:id="1461" w:name="_Toc47451427"/>
      <w:bookmarkEnd w:id="1461"/>
      <w:bookmarkStart w:id="1462" w:name="_Toc47347793"/>
      <w:bookmarkEnd w:id="1462"/>
      <w:bookmarkStart w:id="1463" w:name="_Toc47455798"/>
      <w:bookmarkEnd w:id="1463"/>
      <w:bookmarkStart w:id="1464" w:name="_Toc47455847"/>
      <w:bookmarkEnd w:id="1464"/>
      <w:bookmarkStart w:id="1465" w:name="_Toc47372603"/>
      <w:bookmarkEnd w:id="1465"/>
      <w:bookmarkStart w:id="1466" w:name="_Toc47366827"/>
      <w:bookmarkEnd w:id="1466"/>
      <w:bookmarkStart w:id="1467" w:name="_Toc47346985"/>
      <w:bookmarkEnd w:id="1467"/>
      <w:bookmarkStart w:id="1468" w:name="_Toc47451521"/>
      <w:bookmarkEnd w:id="1468"/>
      <w:bookmarkStart w:id="1469" w:name="_Toc47372595"/>
      <w:bookmarkEnd w:id="1469"/>
      <w:bookmarkStart w:id="1470" w:name="_Toc47443732"/>
      <w:bookmarkEnd w:id="1470"/>
      <w:bookmarkStart w:id="1471" w:name="_Toc47457076"/>
      <w:bookmarkEnd w:id="1471"/>
      <w:bookmarkStart w:id="1472" w:name="_Toc47457106"/>
      <w:bookmarkEnd w:id="1472"/>
      <w:bookmarkStart w:id="1473" w:name="_Toc47443144"/>
      <w:bookmarkEnd w:id="1473"/>
      <w:bookmarkStart w:id="1474" w:name="_Toc47443696"/>
      <w:bookmarkEnd w:id="1474"/>
      <w:bookmarkStart w:id="1475" w:name="_Toc47443059"/>
      <w:bookmarkEnd w:id="1475"/>
      <w:bookmarkStart w:id="1476" w:name="_Toc47347770"/>
      <w:bookmarkEnd w:id="1476"/>
      <w:bookmarkStart w:id="1477" w:name="_Toc47366818"/>
      <w:bookmarkEnd w:id="1477"/>
      <w:bookmarkStart w:id="1478" w:name="_Toc47452137"/>
      <w:bookmarkEnd w:id="1478"/>
      <w:bookmarkStart w:id="1479" w:name="_Toc47347792"/>
      <w:bookmarkEnd w:id="1479"/>
      <w:bookmarkStart w:id="1480" w:name="_Toc47451804"/>
      <w:bookmarkEnd w:id="1480"/>
      <w:bookmarkStart w:id="1481" w:name="_Toc47457067"/>
      <w:bookmarkEnd w:id="1481"/>
      <w:bookmarkStart w:id="1482" w:name="_Toc47455836"/>
      <w:bookmarkEnd w:id="1482"/>
      <w:bookmarkStart w:id="1483" w:name="_Toc47457069"/>
      <w:bookmarkEnd w:id="1483"/>
      <w:bookmarkStart w:id="1484" w:name="_Toc47457072"/>
      <w:bookmarkEnd w:id="1484"/>
      <w:bookmarkStart w:id="1485" w:name="_Toc47443170"/>
      <w:bookmarkEnd w:id="1485"/>
      <w:bookmarkStart w:id="1486" w:name="_Toc47443127"/>
      <w:bookmarkEnd w:id="1486"/>
      <w:bookmarkStart w:id="1487" w:name="_Toc47457071"/>
      <w:bookmarkEnd w:id="1487"/>
      <w:bookmarkStart w:id="1488" w:name="_Toc47451800"/>
      <w:bookmarkEnd w:id="1488"/>
      <w:bookmarkStart w:id="1489" w:name="_Toc47451556"/>
      <w:bookmarkEnd w:id="1489"/>
      <w:bookmarkStart w:id="1490" w:name="_Toc47452111"/>
      <w:bookmarkEnd w:id="1490"/>
      <w:bookmarkStart w:id="1491" w:name="_Toc47455826"/>
      <w:bookmarkEnd w:id="1491"/>
      <w:bookmarkStart w:id="1492" w:name="_Toc47452136"/>
      <w:bookmarkEnd w:id="1492"/>
      <w:bookmarkStart w:id="1493" w:name="_Toc47451807"/>
      <w:bookmarkEnd w:id="1493"/>
      <w:bookmarkStart w:id="1494" w:name="_Toc47443138"/>
      <w:bookmarkEnd w:id="1494"/>
      <w:bookmarkStart w:id="1495" w:name="_Toc47451788"/>
      <w:bookmarkEnd w:id="1495"/>
      <w:bookmarkStart w:id="1496" w:name="_Toc47451425"/>
      <w:bookmarkEnd w:id="1496"/>
      <w:bookmarkStart w:id="1497" w:name="_Toc47346970"/>
      <w:bookmarkEnd w:id="1497"/>
      <w:bookmarkStart w:id="1498" w:name="_Toc47451562"/>
      <w:bookmarkEnd w:id="1498"/>
      <w:bookmarkStart w:id="1499" w:name="_Toc47451518"/>
      <w:bookmarkEnd w:id="1499"/>
      <w:bookmarkStart w:id="1500" w:name="_Toc47457098"/>
      <w:bookmarkEnd w:id="1500"/>
      <w:bookmarkStart w:id="1501" w:name="_Toc47372616"/>
      <w:bookmarkEnd w:id="1501"/>
      <w:bookmarkStart w:id="1502" w:name="_Toc47372620"/>
      <w:bookmarkEnd w:id="1502"/>
      <w:bookmarkStart w:id="1503" w:name="_Toc47443719"/>
      <w:bookmarkEnd w:id="1503"/>
      <w:bookmarkStart w:id="1504" w:name="_Toc47457096"/>
      <w:bookmarkEnd w:id="1504"/>
      <w:bookmarkStart w:id="1505" w:name="_Toc47372613"/>
      <w:bookmarkEnd w:id="1505"/>
      <w:bookmarkStart w:id="1506" w:name="_Toc47347797"/>
      <w:bookmarkEnd w:id="1506"/>
      <w:bookmarkStart w:id="1507" w:name="_Toc47451442"/>
      <w:bookmarkEnd w:id="1507"/>
      <w:bookmarkStart w:id="1508" w:name="_Toc47452103"/>
      <w:bookmarkEnd w:id="1508"/>
      <w:bookmarkStart w:id="1509" w:name="_Toc47455833"/>
      <w:bookmarkEnd w:id="1509"/>
      <w:bookmarkStart w:id="1510" w:name="_Toc47451522"/>
      <w:bookmarkEnd w:id="1510"/>
      <w:bookmarkStart w:id="1511" w:name="_Toc39759421"/>
      <w:bookmarkEnd w:id="1511"/>
      <w:bookmarkStart w:id="1512" w:name="_Toc47346973"/>
      <w:bookmarkEnd w:id="1512"/>
      <w:bookmarkStart w:id="1513" w:name="_Toc47443729"/>
      <w:bookmarkEnd w:id="1513"/>
      <w:bookmarkStart w:id="1514" w:name="_Toc47452142"/>
      <w:bookmarkEnd w:id="1514"/>
      <w:bookmarkStart w:id="1515" w:name="_Toc47346935"/>
      <w:bookmarkEnd w:id="1515"/>
      <w:bookmarkStart w:id="1516" w:name="_Toc47443032"/>
      <w:bookmarkEnd w:id="1516"/>
      <w:bookmarkStart w:id="1517" w:name="_Toc47347789"/>
      <w:bookmarkEnd w:id="1517"/>
      <w:bookmarkStart w:id="1518" w:name="_Toc47372594"/>
      <w:bookmarkEnd w:id="1518"/>
      <w:bookmarkStart w:id="1519" w:name="_Toc47452145"/>
      <w:bookmarkEnd w:id="1519"/>
      <w:bookmarkStart w:id="1520" w:name="_Toc47347808"/>
      <w:bookmarkEnd w:id="1520"/>
      <w:bookmarkStart w:id="1521" w:name="_Toc47451412"/>
      <w:bookmarkEnd w:id="1521"/>
      <w:bookmarkStart w:id="1522" w:name="_Toc47452147"/>
      <w:bookmarkEnd w:id="1522"/>
      <w:bookmarkStart w:id="1523" w:name="_Toc47443019"/>
      <w:bookmarkEnd w:id="1523"/>
      <w:bookmarkStart w:id="1524" w:name="_Toc47372578"/>
      <w:bookmarkEnd w:id="1524"/>
      <w:bookmarkStart w:id="1525" w:name="_Toc47451433"/>
      <w:bookmarkEnd w:id="1525"/>
      <w:bookmarkStart w:id="1526" w:name="_Toc47451423"/>
      <w:bookmarkEnd w:id="1526"/>
      <w:bookmarkStart w:id="1527" w:name="_Toc47347767"/>
      <w:bookmarkEnd w:id="1527"/>
      <w:bookmarkStart w:id="1528" w:name="_Toc47347804"/>
      <w:bookmarkEnd w:id="1528"/>
      <w:bookmarkStart w:id="1529" w:name="_Toc47443055"/>
      <w:bookmarkEnd w:id="1529"/>
      <w:bookmarkStart w:id="1530" w:name="_Toc47372580"/>
      <w:bookmarkEnd w:id="1530"/>
      <w:bookmarkStart w:id="1531" w:name="_Toc47452132"/>
      <w:bookmarkEnd w:id="1531"/>
      <w:bookmarkStart w:id="1532" w:name="_Toc47443037"/>
      <w:bookmarkEnd w:id="1532"/>
      <w:bookmarkStart w:id="1533" w:name="_Toc47347813"/>
      <w:bookmarkEnd w:id="1533"/>
      <w:bookmarkStart w:id="1534" w:name="_Toc47457102"/>
      <w:bookmarkEnd w:id="1534"/>
      <w:bookmarkStart w:id="1535" w:name="_Toc47455851"/>
      <w:bookmarkEnd w:id="1535"/>
      <w:bookmarkStart w:id="1536" w:name="_Toc47346959"/>
      <w:bookmarkEnd w:id="1536"/>
      <w:bookmarkStart w:id="1537" w:name="_Toc47452144"/>
      <w:bookmarkEnd w:id="1537"/>
      <w:bookmarkStart w:id="1538" w:name="_Toc47346967"/>
      <w:bookmarkEnd w:id="1538"/>
      <w:bookmarkStart w:id="1539" w:name="_Toc47443744"/>
      <w:bookmarkEnd w:id="1539"/>
      <w:bookmarkStart w:id="1540" w:name="_Toc47372583"/>
      <w:bookmarkEnd w:id="1540"/>
      <w:bookmarkStart w:id="1541" w:name="_Toc47455838"/>
      <w:bookmarkEnd w:id="1541"/>
      <w:bookmarkStart w:id="1542" w:name="_Toc47347781"/>
      <w:bookmarkEnd w:id="1542"/>
      <w:bookmarkStart w:id="1543" w:name="_Toc47366774"/>
      <w:bookmarkEnd w:id="1543"/>
      <w:bookmarkStart w:id="1544" w:name="_Toc47443175"/>
      <w:bookmarkEnd w:id="1544"/>
      <w:bookmarkStart w:id="1545" w:name="_Toc47366804"/>
      <w:bookmarkEnd w:id="1545"/>
      <w:bookmarkStart w:id="1546" w:name="_Toc47347823"/>
      <w:bookmarkEnd w:id="1546"/>
      <w:bookmarkStart w:id="1547" w:name="_Toc47366786"/>
      <w:bookmarkEnd w:id="1547"/>
      <w:bookmarkStart w:id="1548" w:name="_Toc47455803"/>
      <w:bookmarkEnd w:id="1548"/>
      <w:bookmarkStart w:id="1549" w:name="_Toc47451419"/>
      <w:bookmarkEnd w:id="1549"/>
      <w:bookmarkStart w:id="1550" w:name="_Toc47347765"/>
      <w:bookmarkEnd w:id="1550"/>
      <w:bookmarkStart w:id="1551" w:name="_Toc47347819"/>
      <w:bookmarkEnd w:id="1551"/>
      <w:bookmarkStart w:id="1552" w:name="_Toc47451798"/>
      <w:bookmarkEnd w:id="1552"/>
      <w:bookmarkStart w:id="1553" w:name="_Toc47452130"/>
      <w:bookmarkEnd w:id="1553"/>
      <w:bookmarkStart w:id="1554" w:name="_Toc47451784"/>
      <w:bookmarkEnd w:id="1554"/>
      <w:bookmarkStart w:id="1555" w:name="_Toc47347814"/>
      <w:bookmarkEnd w:id="1555"/>
      <w:bookmarkStart w:id="1556" w:name="_Toc47443158"/>
      <w:bookmarkEnd w:id="1556"/>
      <w:bookmarkStart w:id="1557" w:name="_Toc47443180"/>
      <w:bookmarkEnd w:id="1557"/>
      <w:bookmarkStart w:id="1558" w:name="_Toc47372584"/>
      <w:bookmarkEnd w:id="1558"/>
      <w:bookmarkStart w:id="1559" w:name="_Toc47347773"/>
      <w:bookmarkEnd w:id="1559"/>
      <w:bookmarkStart w:id="1560" w:name="_Toc47346962"/>
      <w:bookmarkEnd w:id="1560"/>
      <w:bookmarkStart w:id="1561" w:name="_Toc47443704"/>
      <w:bookmarkEnd w:id="1561"/>
      <w:bookmarkStart w:id="1562" w:name="_Toc47443137"/>
      <w:bookmarkEnd w:id="1562"/>
      <w:bookmarkStart w:id="1563" w:name="_Toc47457108"/>
      <w:bookmarkEnd w:id="1563"/>
      <w:bookmarkStart w:id="1564" w:name="_Toc47346963"/>
      <w:bookmarkEnd w:id="1564"/>
      <w:bookmarkStart w:id="1565" w:name="_Toc47443150"/>
      <w:bookmarkEnd w:id="1565"/>
      <w:bookmarkStart w:id="1566" w:name="_Toc47443178"/>
      <w:bookmarkEnd w:id="1566"/>
      <w:bookmarkStart w:id="1567" w:name="_Toc47443125"/>
      <w:bookmarkEnd w:id="1567"/>
      <w:bookmarkStart w:id="1568" w:name="_Toc47443741"/>
      <w:bookmarkEnd w:id="1568"/>
      <w:bookmarkStart w:id="1569" w:name="_Toc47451517"/>
      <w:bookmarkEnd w:id="1569"/>
      <w:bookmarkStart w:id="1570" w:name="_Toc47372598"/>
      <w:bookmarkEnd w:id="1570"/>
      <w:bookmarkStart w:id="1571" w:name="_Toc47457100"/>
      <w:bookmarkEnd w:id="1571"/>
      <w:bookmarkStart w:id="1572" w:name="_Toc47347772"/>
      <w:bookmarkEnd w:id="1572"/>
      <w:bookmarkStart w:id="1573" w:name="_Toc47443044"/>
      <w:bookmarkEnd w:id="1573"/>
      <w:bookmarkStart w:id="1574" w:name="_Toc47347785"/>
      <w:bookmarkEnd w:id="1574"/>
      <w:bookmarkStart w:id="1575" w:name="_Toc47346947"/>
      <w:bookmarkEnd w:id="1575"/>
      <w:bookmarkStart w:id="1576" w:name="_Toc47455852"/>
      <w:bookmarkEnd w:id="1576"/>
      <w:bookmarkStart w:id="1577" w:name="_Toc47451551"/>
      <w:bookmarkEnd w:id="1577"/>
      <w:bookmarkStart w:id="1578" w:name="_Toc47347787"/>
      <w:bookmarkEnd w:id="1578"/>
      <w:bookmarkStart w:id="1579" w:name="_Toc47372630"/>
      <w:bookmarkEnd w:id="1579"/>
      <w:bookmarkStart w:id="1580" w:name="_Toc47366821"/>
      <w:bookmarkEnd w:id="1580"/>
      <w:bookmarkStart w:id="1581" w:name="_Toc47443725"/>
      <w:bookmarkEnd w:id="1581"/>
      <w:bookmarkStart w:id="1582" w:name="_Toc47451428"/>
      <w:bookmarkEnd w:id="1582"/>
      <w:bookmarkStart w:id="1583" w:name="_Toc47443140"/>
      <w:bookmarkEnd w:id="1583"/>
      <w:bookmarkStart w:id="1584" w:name="_Toc47452153"/>
      <w:bookmarkEnd w:id="1584"/>
      <w:bookmarkStart w:id="1585" w:name="_Toc47347796"/>
      <w:bookmarkEnd w:id="1585"/>
      <w:bookmarkStart w:id="1586" w:name="_Toc47372623"/>
      <w:bookmarkEnd w:id="1586"/>
      <w:bookmarkStart w:id="1587" w:name="_Toc47366807"/>
      <w:bookmarkEnd w:id="1587"/>
      <w:bookmarkStart w:id="1588" w:name="_Toc47366808"/>
      <w:bookmarkEnd w:id="1588"/>
      <w:bookmarkStart w:id="1589" w:name="_Toc47443743"/>
      <w:bookmarkEnd w:id="1589"/>
      <w:bookmarkStart w:id="1590" w:name="_Toc47346990"/>
      <w:bookmarkEnd w:id="1590"/>
      <w:bookmarkStart w:id="1591" w:name="_Toc47347811"/>
      <w:bookmarkEnd w:id="1591"/>
      <w:bookmarkStart w:id="1592" w:name="_Toc47443130"/>
      <w:bookmarkEnd w:id="1592"/>
      <w:bookmarkStart w:id="1593" w:name="_Toc47346966"/>
      <w:bookmarkEnd w:id="1593"/>
      <w:bookmarkStart w:id="1594" w:name="_Toc47457057"/>
      <w:bookmarkEnd w:id="1594"/>
      <w:bookmarkStart w:id="1595" w:name="_Toc47372610"/>
      <w:bookmarkEnd w:id="1595"/>
      <w:bookmarkStart w:id="1596" w:name="_Toc47455818"/>
      <w:bookmarkEnd w:id="1596"/>
      <w:bookmarkStart w:id="1597" w:name="_Toc47443173"/>
      <w:bookmarkEnd w:id="1597"/>
      <w:bookmarkStart w:id="1598" w:name="_Toc47443164"/>
      <w:bookmarkEnd w:id="1598"/>
      <w:bookmarkStart w:id="1599" w:name="_Toc47346982"/>
      <w:bookmarkEnd w:id="1599"/>
      <w:bookmarkStart w:id="1600" w:name="_Toc47451536"/>
      <w:bookmarkEnd w:id="1600"/>
      <w:bookmarkStart w:id="1601" w:name="_Toc47443735"/>
      <w:bookmarkEnd w:id="1601"/>
      <w:bookmarkStart w:id="1602" w:name="_Toc47346936"/>
      <w:bookmarkEnd w:id="1602"/>
      <w:bookmarkStart w:id="1603" w:name="_Toc47366815"/>
      <w:bookmarkEnd w:id="1603"/>
      <w:bookmarkStart w:id="1604" w:name="_Toc47451507"/>
      <w:bookmarkEnd w:id="1604"/>
      <w:bookmarkStart w:id="1605" w:name="_Toc47451828"/>
      <w:bookmarkEnd w:id="1605"/>
      <w:bookmarkStart w:id="1606" w:name="_Toc47443706"/>
      <w:bookmarkEnd w:id="1606"/>
      <w:bookmarkStart w:id="1607" w:name="_Toc47443026"/>
      <w:bookmarkEnd w:id="1607"/>
      <w:bookmarkStart w:id="1608" w:name="_Toc47452148"/>
      <w:bookmarkEnd w:id="1608"/>
      <w:bookmarkStart w:id="1609" w:name="_Toc47443147"/>
      <w:bookmarkEnd w:id="1609"/>
      <w:bookmarkStart w:id="1610" w:name="_Toc47452157"/>
      <w:bookmarkEnd w:id="1610"/>
      <w:bookmarkStart w:id="1611" w:name="_Toc47455849"/>
      <w:bookmarkEnd w:id="1611"/>
      <w:bookmarkStart w:id="1612" w:name="_Toc47452149"/>
      <w:bookmarkEnd w:id="1612"/>
      <w:bookmarkStart w:id="1613" w:name="_Toc47346952"/>
      <w:bookmarkEnd w:id="1613"/>
      <w:bookmarkStart w:id="1614" w:name="_Toc47347818"/>
      <w:bookmarkEnd w:id="1614"/>
      <w:bookmarkStart w:id="1615" w:name="_Toc47443737"/>
      <w:bookmarkEnd w:id="1615"/>
      <w:bookmarkStart w:id="1616" w:name="_Toc47443065"/>
      <w:bookmarkEnd w:id="1616"/>
      <w:bookmarkStart w:id="1617" w:name="_Toc47366810"/>
      <w:bookmarkEnd w:id="1617"/>
      <w:bookmarkStart w:id="1618" w:name="_Toc47443162"/>
      <w:bookmarkEnd w:id="1618"/>
      <w:bookmarkStart w:id="1619" w:name="_Toc47457078"/>
      <w:bookmarkEnd w:id="1619"/>
      <w:bookmarkStart w:id="1620" w:name="_Toc47452133"/>
      <w:bookmarkEnd w:id="1620"/>
      <w:bookmarkStart w:id="1621" w:name="_Toc47346950"/>
      <w:bookmarkEnd w:id="1621"/>
      <w:bookmarkStart w:id="1622" w:name="_Toc47346975"/>
      <w:bookmarkEnd w:id="1622"/>
      <w:bookmarkStart w:id="1623" w:name="_Toc47452135"/>
      <w:bookmarkEnd w:id="1623"/>
      <w:bookmarkStart w:id="1624" w:name="_Toc47346944"/>
      <w:bookmarkEnd w:id="1624"/>
      <w:bookmarkStart w:id="1625" w:name="_Toc47452122"/>
      <w:bookmarkEnd w:id="1625"/>
      <w:bookmarkStart w:id="1626" w:name="_Toc47347768"/>
      <w:bookmarkEnd w:id="1626"/>
      <w:bookmarkStart w:id="1627" w:name="_Toc47443139"/>
      <w:bookmarkEnd w:id="1627"/>
      <w:bookmarkStart w:id="1628" w:name="_Toc47451413"/>
      <w:bookmarkEnd w:id="1628"/>
      <w:bookmarkStart w:id="1629" w:name="_Toc47451396"/>
      <w:bookmarkEnd w:id="1629"/>
      <w:bookmarkStart w:id="1630" w:name="_Toc47451440"/>
      <w:bookmarkEnd w:id="1630"/>
      <w:bookmarkStart w:id="1631" w:name="_Toc47452106"/>
      <w:bookmarkEnd w:id="1631"/>
      <w:bookmarkStart w:id="1632" w:name="_Toc47443132"/>
      <w:bookmarkEnd w:id="1632"/>
      <w:bookmarkStart w:id="1633" w:name="_Toc47452105"/>
      <w:bookmarkEnd w:id="1633"/>
      <w:bookmarkStart w:id="1634" w:name="_Toc47366788"/>
      <w:bookmarkEnd w:id="1634"/>
      <w:bookmarkStart w:id="1635" w:name="_Toc47366814"/>
      <w:bookmarkEnd w:id="1635"/>
      <w:bookmarkStart w:id="1636" w:name="_Toc47443738"/>
      <w:bookmarkEnd w:id="1636"/>
      <w:bookmarkStart w:id="1637" w:name="_Toc41581118"/>
      <w:bookmarkEnd w:id="1637"/>
      <w:bookmarkStart w:id="1638" w:name="_Toc47451810"/>
      <w:bookmarkEnd w:id="1638"/>
      <w:bookmarkStart w:id="1639" w:name="_Toc40343396"/>
      <w:bookmarkEnd w:id="1639"/>
      <w:bookmarkStart w:id="1640" w:name="_Toc47443711"/>
      <w:bookmarkEnd w:id="1640"/>
      <w:bookmarkStart w:id="1641" w:name="_Toc47457095"/>
      <w:bookmarkEnd w:id="1641"/>
      <w:bookmarkStart w:id="1642" w:name="_Toc47366819"/>
      <w:bookmarkEnd w:id="1642"/>
      <w:bookmarkStart w:id="1643" w:name="_Toc47366797"/>
      <w:bookmarkEnd w:id="1643"/>
      <w:bookmarkStart w:id="1644" w:name="_Toc47451553"/>
      <w:bookmarkEnd w:id="1644"/>
      <w:bookmarkStart w:id="1645" w:name="_Toc47455809"/>
      <w:bookmarkEnd w:id="1645"/>
      <w:bookmarkStart w:id="1646" w:name="_Toc47443174"/>
      <w:bookmarkEnd w:id="1646"/>
      <w:bookmarkStart w:id="1647" w:name="_Toc47443042"/>
      <w:bookmarkEnd w:id="1647"/>
      <w:bookmarkStart w:id="1648" w:name="_Toc47443720"/>
      <w:bookmarkEnd w:id="1648"/>
      <w:bookmarkStart w:id="1649" w:name="_Toc47452115"/>
      <w:bookmarkEnd w:id="1649"/>
      <w:bookmarkStart w:id="1650" w:name="_Toc47451823"/>
      <w:bookmarkEnd w:id="1650"/>
      <w:bookmarkStart w:id="1651" w:name="_Toc47457092"/>
      <w:bookmarkEnd w:id="1651"/>
      <w:bookmarkStart w:id="1652" w:name="_Toc47457090"/>
      <w:bookmarkEnd w:id="1652"/>
      <w:bookmarkStart w:id="1653" w:name="_Toc47455845"/>
      <w:bookmarkEnd w:id="1653"/>
      <w:bookmarkStart w:id="1654" w:name="_Toc47443753"/>
      <w:bookmarkEnd w:id="1654"/>
      <w:bookmarkStart w:id="1655" w:name="_Toc47346972"/>
      <w:bookmarkEnd w:id="1655"/>
      <w:bookmarkStart w:id="1656" w:name="_Toc47451506"/>
      <w:bookmarkEnd w:id="1656"/>
      <w:bookmarkStart w:id="1657" w:name="_Toc47346980"/>
      <w:bookmarkEnd w:id="1657"/>
      <w:bookmarkStart w:id="1658" w:name="_Toc47346957"/>
      <w:bookmarkEnd w:id="1658"/>
      <w:bookmarkStart w:id="1659" w:name="_Toc47451805"/>
      <w:bookmarkEnd w:id="1659"/>
      <w:bookmarkStart w:id="1660" w:name="_Toc47443146"/>
      <w:bookmarkEnd w:id="1660"/>
      <w:bookmarkStart w:id="1661" w:name="_Toc47451515"/>
      <w:bookmarkEnd w:id="1661"/>
      <w:bookmarkStart w:id="1662" w:name="_Toc47451799"/>
      <w:bookmarkEnd w:id="1662"/>
      <w:bookmarkStart w:id="1663" w:name="_Toc47451558"/>
      <w:bookmarkEnd w:id="1663"/>
      <w:bookmarkStart w:id="1664" w:name="_Toc47443176"/>
      <w:bookmarkEnd w:id="1664"/>
      <w:bookmarkStart w:id="1665" w:name="_Toc47372597"/>
      <w:bookmarkEnd w:id="1665"/>
      <w:bookmarkStart w:id="1666" w:name="_Toc47451434"/>
      <w:bookmarkEnd w:id="1666"/>
      <w:bookmarkStart w:id="1667" w:name="_Toc47366796"/>
      <w:bookmarkEnd w:id="1667"/>
      <w:bookmarkStart w:id="1668" w:name="_Toc47443698"/>
      <w:bookmarkEnd w:id="1668"/>
      <w:bookmarkStart w:id="1669" w:name="_Toc47457080"/>
      <w:bookmarkEnd w:id="1669"/>
      <w:bookmarkStart w:id="1670" w:name="_Toc47443740"/>
      <w:bookmarkEnd w:id="1670"/>
      <w:bookmarkStart w:id="1671" w:name="_Toc47346948"/>
      <w:bookmarkEnd w:id="1671"/>
      <w:bookmarkStart w:id="1672" w:name="_Toc47452154"/>
      <w:bookmarkEnd w:id="1672"/>
      <w:bookmarkStart w:id="1673" w:name="_Toc47443152"/>
      <w:bookmarkEnd w:id="1673"/>
      <w:bookmarkStart w:id="1674" w:name="_Toc47443028"/>
      <w:bookmarkEnd w:id="1674"/>
      <w:bookmarkStart w:id="1675" w:name="_Toc47451532"/>
      <w:bookmarkEnd w:id="1675"/>
      <w:bookmarkStart w:id="1676" w:name="_Toc47366789"/>
      <w:bookmarkEnd w:id="1676"/>
      <w:bookmarkStart w:id="1677" w:name="_Toc47451550"/>
      <w:bookmarkEnd w:id="1677"/>
      <w:bookmarkStart w:id="1678" w:name="_Toc47452139"/>
      <w:bookmarkEnd w:id="1678"/>
      <w:bookmarkStart w:id="1679" w:name="_Toc47451822"/>
      <w:bookmarkEnd w:id="1679"/>
      <w:bookmarkStart w:id="1680" w:name="_Toc47443050"/>
      <w:bookmarkEnd w:id="1680"/>
      <w:bookmarkStart w:id="1681" w:name="_Toc47451811"/>
      <w:bookmarkEnd w:id="1681"/>
      <w:bookmarkStart w:id="1682" w:name="_Toc47451535"/>
      <w:bookmarkEnd w:id="1682"/>
      <w:bookmarkStart w:id="1683" w:name="_Toc47346979"/>
      <w:bookmarkEnd w:id="1683"/>
      <w:bookmarkStart w:id="1684" w:name="_Toc47451821"/>
      <w:bookmarkEnd w:id="1684"/>
      <w:bookmarkStart w:id="1685" w:name="_Toc47451780"/>
      <w:bookmarkEnd w:id="1685"/>
      <w:bookmarkStart w:id="1686" w:name="_Toc47372607"/>
      <w:bookmarkEnd w:id="1686"/>
      <w:bookmarkStart w:id="1687" w:name="_Toc47451408"/>
      <w:bookmarkEnd w:id="1687"/>
      <w:bookmarkStart w:id="1688" w:name="_Toc47366785"/>
      <w:bookmarkEnd w:id="1688"/>
      <w:bookmarkStart w:id="1689" w:name="_Toc47347821"/>
      <w:bookmarkEnd w:id="1689"/>
      <w:bookmarkStart w:id="1690" w:name="_Toc47451829"/>
      <w:bookmarkEnd w:id="1690"/>
      <w:bookmarkStart w:id="1691" w:name="_Toc47443128"/>
      <w:bookmarkEnd w:id="1691"/>
      <w:bookmarkStart w:id="1692" w:name="_Toc47451439"/>
      <w:bookmarkEnd w:id="1692"/>
      <w:bookmarkStart w:id="1693" w:name="_Toc47372601"/>
      <w:bookmarkEnd w:id="1693"/>
      <w:bookmarkStart w:id="1694" w:name="_Toc41581032"/>
      <w:bookmarkEnd w:id="1694"/>
      <w:bookmarkStart w:id="1695" w:name="_Toc47457101"/>
      <w:bookmarkEnd w:id="1695"/>
      <w:bookmarkStart w:id="1696" w:name="_Toc47372609"/>
      <w:bookmarkEnd w:id="1696"/>
      <w:bookmarkStart w:id="1697" w:name="_Toc47443148"/>
      <w:bookmarkEnd w:id="1697"/>
      <w:bookmarkStart w:id="1698" w:name="_Toc47372593"/>
      <w:bookmarkEnd w:id="1698"/>
      <w:bookmarkStart w:id="1699" w:name="_Toc47451538"/>
      <w:bookmarkEnd w:id="1699"/>
      <w:bookmarkStart w:id="1700" w:name="_Toc47451790"/>
      <w:bookmarkEnd w:id="1700"/>
      <w:bookmarkStart w:id="1701" w:name="_Toc47451549"/>
      <w:bookmarkEnd w:id="1701"/>
      <w:bookmarkStart w:id="1702" w:name="_Toc47443697"/>
      <w:bookmarkEnd w:id="1702"/>
      <w:bookmarkStart w:id="1703" w:name="_Toc47443048"/>
      <w:bookmarkEnd w:id="1703"/>
      <w:bookmarkStart w:id="1704" w:name="_Toc47451797"/>
      <w:bookmarkEnd w:id="1704"/>
      <w:bookmarkStart w:id="1705" w:name="_Toc47452156"/>
      <w:bookmarkEnd w:id="1705"/>
      <w:bookmarkStart w:id="1706" w:name="_Toc47443699"/>
      <w:bookmarkEnd w:id="1706"/>
      <w:bookmarkStart w:id="1707" w:name="_Toc47372582"/>
      <w:bookmarkEnd w:id="1707"/>
      <w:bookmarkStart w:id="1708" w:name="_Toc47457083"/>
      <w:bookmarkEnd w:id="1708"/>
      <w:bookmarkStart w:id="1709" w:name="_Toc47366781"/>
      <w:bookmarkEnd w:id="1709"/>
      <w:bookmarkStart w:id="1710" w:name="_Toc47443169"/>
      <w:bookmarkEnd w:id="1710"/>
      <w:bookmarkStart w:id="1711" w:name="_Toc47455854"/>
      <w:bookmarkStart w:id="1712" w:name="_Toc48742271"/>
      <w:bookmarkStart w:id="1713" w:name="_Toc47457111"/>
      <w:bookmarkStart w:id="1714" w:name="_Toc46910501"/>
      <w:bookmarkStart w:id="1715" w:name="_Toc24459822"/>
      <w:bookmarkStart w:id="1716" w:name="_Toc35006303"/>
      <w:bookmarkStart w:id="1717" w:name="_Toc16497686"/>
      <w:bookmarkStart w:id="1718" w:name="_Toc19541968"/>
    </w:p>
    <w:p w14:paraId="70656FA7">
      <w:pPr>
        <w:pStyle w:val="92"/>
        <w:widowControl w:val="0"/>
        <w:spacing w:line="600" w:lineRule="exact"/>
        <w:ind w:left="0" w:firstLine="600" w:firstLineChars="200"/>
        <w:rPr>
          <w:rFonts w:ascii="仿宋_GB2312" w:hAnsi="微软雅黑" w:eastAsia="仿宋_GB2312"/>
          <w:sz w:val="30"/>
          <w:szCs w:val="30"/>
          <w:lang w:eastAsia="zh-CN"/>
        </w:rPr>
      </w:pPr>
      <w:r>
        <w:rPr>
          <w:rFonts w:hint="eastAsia" w:ascii="仿宋_GB2312" w:hAnsi="微软雅黑" w:eastAsia="仿宋_GB2312"/>
          <w:sz w:val="30"/>
          <w:szCs w:val="30"/>
          <w:lang w:eastAsia="zh-CN"/>
        </w:rPr>
        <w:t>3）自选做市品种</w:t>
      </w:r>
    </w:p>
    <w:p w14:paraId="27428FEB">
      <w:pPr>
        <w:spacing w:line="600" w:lineRule="exact"/>
        <w:ind w:firstLine="567" w:firstLineChars="189"/>
        <w:rPr>
          <w:rFonts w:ascii="仿宋_GB2312" w:hAnsi="微软雅黑" w:eastAsia="仿宋_GB2312"/>
          <w:sz w:val="30"/>
          <w:szCs w:val="30"/>
        </w:rPr>
      </w:pPr>
      <w:r>
        <w:rPr>
          <w:rFonts w:hint="eastAsia" w:ascii="仿宋_GB2312" w:hAnsi="微软雅黑" w:eastAsia="仿宋_GB2312"/>
          <w:sz w:val="30"/>
          <w:szCs w:val="30"/>
        </w:rPr>
        <w:t>本所在上证债券信息网展示满足要求的自选做市品种及为其开展做市业务的一般做市商清单，并及时进行更新。</w:t>
      </w:r>
    </w:p>
    <w:p w14:paraId="3D4CA3F8">
      <w:pPr>
        <w:spacing w:line="600" w:lineRule="exact"/>
        <w:ind w:firstLine="567" w:firstLineChars="189"/>
        <w:rPr>
          <w:rFonts w:ascii="仿宋_GB2312" w:hAnsi="微软雅黑" w:eastAsia="仿宋_GB2312"/>
          <w:sz w:val="30"/>
          <w:szCs w:val="30"/>
        </w:rPr>
      </w:pPr>
      <w:r>
        <w:rPr>
          <w:rFonts w:hint="eastAsia" w:ascii="仿宋_GB2312" w:hAnsi="微软雅黑" w:eastAsia="仿宋_GB2312"/>
          <w:sz w:val="30"/>
          <w:szCs w:val="30"/>
        </w:rPr>
        <w:t>做市商选择自选做市品种开展做市的，应满足自选做市相关要求。</w:t>
      </w:r>
    </w:p>
    <w:p w14:paraId="45FA49FB">
      <w:pPr>
        <w:numPr>
          <w:ilvl w:val="2"/>
          <w:numId w:val="4"/>
        </w:numPr>
        <w:spacing w:line="600" w:lineRule="exact"/>
        <w:ind w:left="0" w:firstLine="0"/>
        <w:outlineLvl w:val="2"/>
        <w:rPr>
          <w:rFonts w:ascii="仿宋_GB2312" w:eastAsia="仿宋_GB2312"/>
          <w:b/>
          <w:sz w:val="30"/>
          <w:szCs w:val="30"/>
        </w:rPr>
      </w:pPr>
      <w:bookmarkStart w:id="1719" w:name="_Toc55318674"/>
      <w:r>
        <w:rPr>
          <w:rFonts w:hint="eastAsia" w:ascii="仿宋_GB2312" w:eastAsia="仿宋_GB2312"/>
          <w:b/>
          <w:sz w:val="30"/>
          <w:szCs w:val="30"/>
        </w:rPr>
        <w:t>做市业务</w:t>
      </w:r>
      <w:bookmarkEnd w:id="1711"/>
      <w:bookmarkEnd w:id="1712"/>
      <w:bookmarkEnd w:id="1713"/>
      <w:bookmarkEnd w:id="1714"/>
      <w:bookmarkEnd w:id="1715"/>
      <w:bookmarkEnd w:id="1716"/>
      <w:bookmarkEnd w:id="1717"/>
      <w:bookmarkEnd w:id="1718"/>
      <w:bookmarkEnd w:id="1719"/>
    </w:p>
    <w:p w14:paraId="34192948">
      <w:pPr>
        <w:spacing w:line="600" w:lineRule="exact"/>
        <w:ind w:firstLine="567" w:firstLineChars="189"/>
        <w:rPr>
          <w:rFonts w:ascii="仿宋_GB2312" w:hAnsi="微软雅黑" w:eastAsia="仿宋_GB2312"/>
          <w:sz w:val="30"/>
          <w:szCs w:val="30"/>
        </w:rPr>
      </w:pPr>
      <w:r>
        <w:rPr>
          <w:rFonts w:hint="eastAsia" w:ascii="仿宋_GB2312" w:hAnsi="微软雅黑" w:eastAsia="仿宋_GB2312"/>
          <w:sz w:val="30"/>
          <w:szCs w:val="30"/>
        </w:rPr>
        <w:t>做市商通过业管系统平台交易参与人模块办理各项业务，系统访问地址: https://bmsp.uap.sse.com.cn。</w:t>
      </w:r>
    </w:p>
    <w:p w14:paraId="16F61DDC">
      <w:pPr>
        <w:spacing w:line="600" w:lineRule="exact"/>
        <w:ind w:left="567"/>
        <w:outlineLvl w:val="3"/>
        <w:rPr>
          <w:rFonts w:ascii="仿宋_GB2312" w:eastAsia="仿宋_GB2312"/>
          <w:b/>
          <w:sz w:val="30"/>
          <w:szCs w:val="30"/>
        </w:rPr>
      </w:pPr>
      <w:r>
        <w:rPr>
          <w:rFonts w:hint="eastAsia" w:ascii="仿宋_GB2312" w:eastAsia="仿宋_GB2312"/>
          <w:b/>
          <w:sz w:val="30"/>
          <w:szCs w:val="30"/>
        </w:rPr>
        <w:t>（1）确定做市账户</w:t>
      </w:r>
    </w:p>
    <w:p w14:paraId="044034B4">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做市商从事做市业务，应当指定一个或多个证券账户作为做市证券账户，并向本所报备。做市商需填写《债券做市账户登记表》</w:t>
      </w:r>
      <w:r>
        <w:rPr>
          <w:rFonts w:ascii="仿宋_GB2312" w:hAnsi="微软雅黑" w:eastAsia="仿宋_GB2312"/>
          <w:sz w:val="30"/>
          <w:szCs w:val="30"/>
        </w:rPr>
        <w:t>（附件1</w:t>
      </w:r>
      <w:r>
        <w:rPr>
          <w:rFonts w:hint="eastAsia" w:ascii="仿宋_GB2312" w:hAnsi="微软雅黑" w:eastAsia="仿宋_GB2312"/>
          <w:sz w:val="30"/>
          <w:szCs w:val="30"/>
        </w:rPr>
        <w:t>3</w:t>
      </w:r>
      <w:r>
        <w:rPr>
          <w:rFonts w:ascii="仿宋_GB2312" w:hAnsi="微软雅黑" w:eastAsia="仿宋_GB2312"/>
          <w:sz w:val="30"/>
          <w:szCs w:val="30"/>
        </w:rPr>
        <w:t>）</w:t>
      </w:r>
      <w:r>
        <w:rPr>
          <w:rFonts w:hint="eastAsia" w:ascii="仿宋_GB2312" w:hAnsi="微软雅黑" w:eastAsia="仿宋_GB2312"/>
          <w:sz w:val="30"/>
          <w:szCs w:val="30"/>
        </w:rPr>
        <w:t>并加盖公章，并将电子件及</w:t>
      </w:r>
      <w:r>
        <w:rPr>
          <w:rFonts w:ascii="仿宋_GB2312" w:hAnsi="微软雅黑" w:eastAsia="仿宋_GB2312"/>
          <w:sz w:val="30"/>
          <w:szCs w:val="30"/>
        </w:rPr>
        <w:t>PDF格式彩色扫描件</w:t>
      </w:r>
      <w:r>
        <w:rPr>
          <w:rFonts w:hint="eastAsia" w:ascii="仿宋_GB2312" w:hAnsi="微软雅黑" w:eastAsia="仿宋_GB2312"/>
          <w:sz w:val="30"/>
          <w:szCs w:val="30"/>
        </w:rPr>
        <w:t>上传至业管系统平台交易参与人模块完成报备。</w:t>
      </w:r>
    </w:p>
    <w:p w14:paraId="2650F197">
      <w:pPr>
        <w:spacing w:line="600" w:lineRule="exact"/>
        <w:ind w:left="567"/>
        <w:outlineLvl w:val="3"/>
        <w:rPr>
          <w:rFonts w:ascii="仿宋_GB2312" w:eastAsia="仿宋_GB2312"/>
          <w:b/>
          <w:sz w:val="30"/>
          <w:szCs w:val="30"/>
        </w:rPr>
      </w:pPr>
      <w:r>
        <w:rPr>
          <w:rFonts w:hint="eastAsia" w:ascii="仿宋_GB2312" w:eastAsia="仿宋_GB2312"/>
          <w:b/>
          <w:sz w:val="30"/>
          <w:szCs w:val="30"/>
        </w:rPr>
        <w:t>（2）做市账户变更</w:t>
      </w:r>
    </w:p>
    <w:p w14:paraId="6912691F">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做市商上传做市证券账户之后，每个季度内最多可变更一次。做市商变更做市证券账户需填写《债券做市账户变更表》（附件</w:t>
      </w:r>
      <w:r>
        <w:rPr>
          <w:rFonts w:ascii="仿宋_GB2312" w:hAnsi="微软雅黑" w:eastAsia="仿宋_GB2312"/>
          <w:sz w:val="30"/>
          <w:szCs w:val="30"/>
        </w:rPr>
        <w:t>1</w:t>
      </w:r>
      <w:r>
        <w:rPr>
          <w:rFonts w:hint="eastAsia" w:ascii="仿宋_GB2312" w:hAnsi="微软雅黑" w:eastAsia="仿宋_GB2312"/>
          <w:sz w:val="30"/>
          <w:szCs w:val="30"/>
        </w:rPr>
        <w:t>4）并加盖公章，并将电子件及</w:t>
      </w:r>
      <w:r>
        <w:rPr>
          <w:rFonts w:ascii="仿宋_GB2312" w:hAnsi="微软雅黑" w:eastAsia="仿宋_GB2312"/>
          <w:sz w:val="30"/>
          <w:szCs w:val="30"/>
        </w:rPr>
        <w:t>PDF格式彩色扫描件</w:t>
      </w:r>
      <w:r>
        <w:rPr>
          <w:rFonts w:hint="eastAsia" w:ascii="仿宋_GB2312" w:hAnsi="微软雅黑" w:eastAsia="仿宋_GB2312"/>
          <w:sz w:val="30"/>
          <w:szCs w:val="30"/>
        </w:rPr>
        <w:t>上传至业管系统平台交易参与人模块。本所收到《债券做市账户变更表》后</w:t>
      </w:r>
      <w:r>
        <w:rPr>
          <w:rFonts w:ascii="仿宋_GB2312" w:hAnsi="微软雅黑" w:eastAsia="仿宋_GB2312"/>
          <w:sz w:val="30"/>
          <w:szCs w:val="30"/>
        </w:rPr>
        <w:t>2</w:t>
      </w:r>
      <w:r>
        <w:rPr>
          <w:rFonts w:hint="eastAsia" w:ascii="仿宋_GB2312" w:hAnsi="微软雅黑" w:eastAsia="仿宋_GB2312"/>
          <w:sz w:val="30"/>
          <w:szCs w:val="30"/>
        </w:rPr>
        <w:t>个交易日内完成评估并回复变更结果及变更生效日期</w:t>
      </w:r>
      <w:r>
        <w:rPr>
          <w:rFonts w:ascii="仿宋_GB2312" w:hAnsi="微软雅黑" w:eastAsia="仿宋_GB2312"/>
          <w:sz w:val="30"/>
          <w:szCs w:val="30"/>
        </w:rPr>
        <w:t>。</w:t>
      </w:r>
    </w:p>
    <w:p w14:paraId="56283823">
      <w:pPr>
        <w:spacing w:line="600" w:lineRule="exact"/>
        <w:ind w:left="567"/>
        <w:outlineLvl w:val="3"/>
        <w:rPr>
          <w:rFonts w:ascii="仿宋_GB2312" w:eastAsia="仿宋_GB2312"/>
          <w:b/>
          <w:sz w:val="30"/>
          <w:szCs w:val="30"/>
        </w:rPr>
      </w:pPr>
      <w:r>
        <w:rPr>
          <w:rFonts w:hint="eastAsia" w:ascii="仿宋_GB2312" w:eastAsia="仿宋_GB2312"/>
          <w:b/>
          <w:sz w:val="30"/>
          <w:szCs w:val="30"/>
        </w:rPr>
        <w:t>（3）添加/取消债券做市标的</w:t>
      </w:r>
    </w:p>
    <w:p w14:paraId="77FF850A">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做市商添加/取消债券做市标的（包括前述基准做市品种的主动调整和被动调整 ，自选做市品种的调整），应向本所报备。做市商需填写《添加债券做市标的登记表》</w:t>
      </w:r>
      <w:r>
        <w:rPr>
          <w:rFonts w:ascii="仿宋_GB2312" w:hAnsi="微软雅黑" w:eastAsia="仿宋_GB2312"/>
          <w:sz w:val="30"/>
          <w:szCs w:val="30"/>
        </w:rPr>
        <w:t>（附件1</w:t>
      </w:r>
      <w:r>
        <w:rPr>
          <w:rFonts w:hint="eastAsia" w:ascii="仿宋_GB2312" w:hAnsi="微软雅黑" w:eastAsia="仿宋_GB2312"/>
          <w:sz w:val="30"/>
          <w:szCs w:val="30"/>
        </w:rPr>
        <w:t>5</w:t>
      </w:r>
      <w:r>
        <w:rPr>
          <w:rFonts w:ascii="仿宋_GB2312" w:hAnsi="微软雅黑" w:eastAsia="仿宋_GB2312"/>
          <w:sz w:val="30"/>
          <w:szCs w:val="30"/>
        </w:rPr>
        <w:t>）</w:t>
      </w:r>
      <w:r>
        <w:rPr>
          <w:rFonts w:hint="eastAsia" w:ascii="仿宋_GB2312" w:hAnsi="微软雅黑" w:eastAsia="仿宋_GB2312"/>
          <w:sz w:val="30"/>
          <w:szCs w:val="30"/>
        </w:rPr>
        <w:t>或《取消债券做市标的登记表》（附件16）并加盖部门公章，并将电子件及</w:t>
      </w:r>
      <w:r>
        <w:rPr>
          <w:rFonts w:ascii="仿宋_GB2312" w:hAnsi="微软雅黑" w:eastAsia="仿宋_GB2312"/>
          <w:sz w:val="30"/>
          <w:szCs w:val="30"/>
        </w:rPr>
        <w:t>PDF格式彩色扫描件</w:t>
      </w:r>
      <w:r>
        <w:rPr>
          <w:rFonts w:hint="eastAsia" w:ascii="仿宋_GB2312" w:hAnsi="微软雅黑" w:eastAsia="仿宋_GB2312"/>
          <w:sz w:val="30"/>
          <w:szCs w:val="30"/>
        </w:rPr>
        <w:t>上传至业管系统平台交易参与人模块完成报备。</w:t>
      </w:r>
    </w:p>
    <w:p w14:paraId="04FC55D0">
      <w:pPr>
        <w:spacing w:line="600" w:lineRule="exact"/>
        <w:ind w:left="567"/>
        <w:outlineLvl w:val="3"/>
        <w:rPr>
          <w:rFonts w:ascii="仿宋_GB2312" w:eastAsia="仿宋_GB2312"/>
          <w:b/>
          <w:sz w:val="30"/>
          <w:szCs w:val="30"/>
        </w:rPr>
      </w:pPr>
      <w:r>
        <w:rPr>
          <w:rFonts w:hint="eastAsia" w:ascii="仿宋_GB2312" w:eastAsia="仿宋_GB2312"/>
          <w:b/>
          <w:sz w:val="30"/>
          <w:szCs w:val="30"/>
        </w:rPr>
        <w:t>（</w:t>
      </w:r>
      <w:r>
        <w:rPr>
          <w:rFonts w:ascii="仿宋_GB2312" w:eastAsia="仿宋_GB2312"/>
          <w:b/>
          <w:sz w:val="30"/>
          <w:szCs w:val="30"/>
        </w:rPr>
        <w:t>4</w:t>
      </w:r>
      <w:r>
        <w:rPr>
          <w:rFonts w:hint="eastAsia" w:ascii="仿宋_GB2312" w:eastAsia="仿宋_GB2312"/>
          <w:b/>
          <w:sz w:val="30"/>
          <w:szCs w:val="30"/>
        </w:rPr>
        <w:t>）做市方式</w:t>
      </w:r>
    </w:p>
    <w:p w14:paraId="0406E2F2">
      <w:pPr>
        <w:spacing w:line="600" w:lineRule="exact"/>
        <w:ind w:firstLine="600" w:firstLineChars="200"/>
        <w:rPr>
          <w:rFonts w:ascii="仿宋_GB2312" w:eastAsia="仿宋_GB2312"/>
          <w:sz w:val="30"/>
          <w:szCs w:val="30"/>
        </w:rPr>
      </w:pPr>
      <w:r>
        <w:rPr>
          <w:rFonts w:hint="eastAsia" w:ascii="仿宋_GB2312" w:eastAsia="仿宋_GB2312"/>
          <w:sz w:val="30"/>
          <w:szCs w:val="30"/>
        </w:rPr>
        <w:t>做市商可以采用匹配成交、点击成交方式，对做市品种进行双边买卖报价。</w:t>
      </w:r>
    </w:p>
    <w:p w14:paraId="6AE5351A">
      <w:pPr>
        <w:spacing w:line="600" w:lineRule="exact"/>
        <w:ind w:firstLine="600" w:firstLineChars="200"/>
        <w:rPr>
          <w:rFonts w:ascii="仿宋_GB2312" w:hAnsi="微软雅黑" w:eastAsia="仿宋_GB2312"/>
          <w:sz w:val="30"/>
          <w:szCs w:val="30"/>
        </w:rPr>
      </w:pPr>
      <w:r>
        <w:rPr>
          <w:rFonts w:hint="eastAsia" w:ascii="仿宋_GB2312" w:eastAsia="仿宋_GB2312"/>
          <w:sz w:val="30"/>
          <w:szCs w:val="30"/>
        </w:rPr>
        <w:t>对基准做市品种，主做市商可通过匹配成交、点击成交方式进行做市。本所鼓励主做市商采用匹配成交方式，对基准利率债做市品种面向全市场进行双边买卖报价；对自选做市品种，主做市商、一般做市商可通过点击成交方式进行做市。做市商对基准利率债做市品种以外的做市标的开展做市业务时，对债券投资者的询价请求应当予以回复。相关交易申报要素可参见本指南第</w:t>
      </w:r>
      <w:r>
        <w:rPr>
          <w:rFonts w:ascii="仿宋_GB2312" w:eastAsia="仿宋_GB2312"/>
          <w:sz w:val="30"/>
          <w:szCs w:val="30"/>
        </w:rPr>
        <w:t>5</w:t>
      </w:r>
      <w:r>
        <w:rPr>
          <w:rFonts w:hint="eastAsia" w:ascii="仿宋_GB2312" w:eastAsia="仿宋_GB2312"/>
          <w:sz w:val="30"/>
          <w:szCs w:val="30"/>
        </w:rPr>
        <w:t>章债券交易方式。</w:t>
      </w:r>
    </w:p>
    <w:p w14:paraId="130B0555">
      <w:pPr>
        <w:spacing w:line="600" w:lineRule="exact"/>
        <w:ind w:firstLine="600" w:firstLineChars="200"/>
        <w:rPr>
          <w:rFonts w:ascii="仿宋_GB2312" w:hAnsi="微软雅黑" w:eastAsia="仿宋_GB2312"/>
          <w:sz w:val="30"/>
          <w:szCs w:val="30"/>
        </w:rPr>
      </w:pPr>
      <w:r>
        <w:rPr>
          <w:rFonts w:ascii="仿宋_GB2312" w:hAnsi="微软雅黑" w:eastAsia="仿宋_GB2312"/>
          <w:sz w:val="30"/>
          <w:szCs w:val="30"/>
        </w:rPr>
        <w:t>1）匹配成交</w:t>
      </w:r>
    </w:p>
    <w:p w14:paraId="46DCF679">
      <w:pPr>
        <w:spacing w:line="600" w:lineRule="exact"/>
        <w:ind w:firstLine="600" w:firstLineChars="200"/>
        <w:rPr>
          <w:rFonts w:ascii="仿宋_GB2312" w:hAnsi="微软雅黑" w:eastAsia="仿宋_GB2312"/>
          <w:sz w:val="30"/>
          <w:szCs w:val="30"/>
        </w:rPr>
      </w:pPr>
      <w:r>
        <w:rPr>
          <w:rFonts w:hint="eastAsia" w:ascii="仿宋_GB2312" w:eastAsia="仿宋_GB2312"/>
          <w:sz w:val="30"/>
          <w:szCs w:val="30"/>
        </w:rPr>
        <w:t>本所鼓励主做市商采用匹配成交方式对基准利率债做市品种面向全市场进行双边买卖报价。</w:t>
      </w:r>
      <w:r>
        <w:rPr>
          <w:rFonts w:hint="eastAsia" w:ascii="仿宋_GB2312" w:hAnsi="微软雅黑" w:eastAsia="仿宋_GB2312"/>
          <w:sz w:val="30"/>
          <w:szCs w:val="30"/>
        </w:rPr>
        <w:t>匹配成交方式下，基准做市品种的申报数量应当</w:t>
      </w:r>
      <w:r>
        <w:rPr>
          <w:rFonts w:hint="eastAsia" w:ascii="仿宋_GB2312" w:eastAsia="仿宋_GB2312"/>
          <w:sz w:val="30"/>
          <w:szCs w:val="30"/>
        </w:rPr>
        <w:t>不低于100万元面额</w:t>
      </w:r>
      <w:r>
        <w:rPr>
          <w:rFonts w:hint="eastAsia" w:ascii="仿宋_GB2312" w:hAnsi="微软雅黑" w:eastAsia="仿宋_GB2312"/>
          <w:sz w:val="30"/>
          <w:szCs w:val="30"/>
        </w:rPr>
        <w:t>。</w:t>
      </w:r>
    </w:p>
    <w:p w14:paraId="2CC4F07A">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如果双边匹配成交申报其中一个方向的数量全部成交，做市商须再次进行匹配成交申报。做市的双边匹配成交申报可撤销，如果仅撤销单边，则该申报自单边撤销时起不计入做市。</w:t>
      </w:r>
    </w:p>
    <w:p w14:paraId="672BFAFC">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2）点击成交</w:t>
      </w:r>
    </w:p>
    <w:p w14:paraId="51DEF24B">
      <w:pPr>
        <w:spacing w:line="600" w:lineRule="exact"/>
        <w:ind w:firstLine="600" w:firstLineChars="200"/>
        <w:rPr>
          <w:rFonts w:ascii="仿宋_GB2312" w:eastAsia="仿宋_GB2312"/>
          <w:sz w:val="30"/>
          <w:szCs w:val="30"/>
        </w:rPr>
      </w:pPr>
      <w:r>
        <w:rPr>
          <w:rFonts w:hint="eastAsia" w:ascii="仿宋_GB2312" w:hAnsi="微软雅黑" w:eastAsia="仿宋_GB2312"/>
          <w:sz w:val="30"/>
          <w:szCs w:val="30"/>
        </w:rPr>
        <w:t>做市商可采用点击成交的方式面向全市场进行显名做市报价，做市商</w:t>
      </w:r>
      <w:r>
        <w:rPr>
          <w:rFonts w:hint="eastAsia" w:ascii="仿宋_GB2312" w:hAnsi="仿宋" w:eastAsia="仿宋_GB2312"/>
          <w:sz w:val="30"/>
          <w:szCs w:val="30"/>
        </w:rPr>
        <w:t>发出报价，相关报价经其他债券投资者点击后由固定收益平台确认成交</w:t>
      </w:r>
      <w:r>
        <w:rPr>
          <w:rFonts w:hint="eastAsia" w:ascii="仿宋_GB2312" w:hAnsi="微软雅黑" w:eastAsia="仿宋_GB2312"/>
          <w:sz w:val="30"/>
          <w:szCs w:val="30"/>
        </w:rPr>
        <w:t>。</w:t>
      </w:r>
      <w:r>
        <w:rPr>
          <w:rFonts w:hint="eastAsia" w:ascii="仿宋_GB2312" w:eastAsia="仿宋_GB2312"/>
          <w:sz w:val="30"/>
          <w:szCs w:val="30"/>
        </w:rPr>
        <w:t>做市商对做市品种双边买卖报价的单笔申报数量应当不低于100万元面额。</w:t>
      </w:r>
    </w:p>
    <w:p w14:paraId="2918201C">
      <w:pPr>
        <w:spacing w:line="600" w:lineRule="exact"/>
        <w:ind w:firstLine="600" w:firstLineChars="200"/>
        <w:rPr>
          <w:rFonts w:ascii="仿宋_GB2312" w:eastAsia="仿宋_GB2312"/>
          <w:sz w:val="30"/>
          <w:szCs w:val="30"/>
        </w:rPr>
      </w:pPr>
      <w:r>
        <w:rPr>
          <w:rFonts w:hint="eastAsia" w:ascii="仿宋_GB2312" w:hAnsi="微软雅黑" w:eastAsia="仿宋_GB2312"/>
          <w:sz w:val="30"/>
          <w:szCs w:val="30"/>
        </w:rPr>
        <w:t>此外，做市商可采用待定报价方式面向全市场进行显名做市报价。做市商</w:t>
      </w:r>
      <w:r>
        <w:rPr>
          <w:rFonts w:hint="eastAsia" w:ascii="仿宋_GB2312" w:hAnsi="仿宋" w:eastAsia="仿宋_GB2312"/>
          <w:sz w:val="30"/>
          <w:szCs w:val="30"/>
        </w:rPr>
        <w:t>发出</w:t>
      </w:r>
      <w:r>
        <w:rPr>
          <w:rFonts w:hint="eastAsia" w:ascii="仿宋_GB2312" w:hAnsi="微软雅黑" w:eastAsia="仿宋_GB2312"/>
          <w:sz w:val="30"/>
          <w:szCs w:val="30"/>
        </w:rPr>
        <w:t>待确认的</w:t>
      </w:r>
      <w:r>
        <w:rPr>
          <w:rFonts w:hint="eastAsia" w:ascii="仿宋_GB2312" w:hAnsi="仿宋" w:eastAsia="仿宋_GB2312"/>
          <w:sz w:val="30"/>
          <w:szCs w:val="30"/>
        </w:rPr>
        <w:t>报价</w:t>
      </w:r>
      <w:r>
        <w:rPr>
          <w:rFonts w:hint="eastAsia" w:ascii="仿宋_GB2312" w:hAnsi="微软雅黑" w:eastAsia="仿宋_GB2312"/>
          <w:sz w:val="30"/>
          <w:szCs w:val="30"/>
        </w:rPr>
        <w:t>，</w:t>
      </w:r>
      <w:r>
        <w:rPr>
          <w:rFonts w:hint="eastAsia" w:ascii="仿宋_GB2312" w:hAnsi="仿宋" w:eastAsia="仿宋_GB2312"/>
          <w:sz w:val="30"/>
          <w:szCs w:val="30"/>
        </w:rPr>
        <w:t>相关报价经其他债券投资者点击后返回至做市商</w:t>
      </w:r>
      <w:r>
        <w:rPr>
          <w:rFonts w:hint="eastAsia" w:ascii="仿宋_GB2312" w:hAnsi="微软雅黑" w:eastAsia="仿宋_GB2312"/>
          <w:sz w:val="30"/>
          <w:szCs w:val="30"/>
        </w:rPr>
        <w:t>，做市商于当日交易时间内再次进行确认后经固定收益平台确认成交。</w:t>
      </w:r>
      <w:r>
        <w:rPr>
          <w:rFonts w:hint="eastAsia" w:ascii="仿宋_GB2312" w:eastAsia="仿宋_GB2312"/>
          <w:sz w:val="30"/>
          <w:szCs w:val="30"/>
        </w:rPr>
        <w:t>做市商对做市品种双边买卖报价的单笔申报数量应当不低于100万元面额。</w:t>
      </w:r>
    </w:p>
    <w:p w14:paraId="236FA39F">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做市商进行双边点击成交申报，某一个方向的单边申报被全部点击成交后，做市商须再次进行点击成交申报。做市的双边点击成交申报可撤销，如果仅撤销单边，则该申报自单边撤销时起不计入做市。</w:t>
      </w:r>
    </w:p>
    <w:p w14:paraId="2FF08A12">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3）询价回复</w:t>
      </w:r>
    </w:p>
    <w:p w14:paraId="6D96F135">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其他债券交易参与人可以就做市券种向做市商进行询价，做市商应在当天交易时间内进行询价回复，询价回复当天有效。</w:t>
      </w:r>
    </w:p>
    <w:p w14:paraId="2C453773">
      <w:pPr>
        <w:spacing w:line="600" w:lineRule="exact"/>
        <w:ind w:left="567"/>
        <w:outlineLvl w:val="3"/>
        <w:rPr>
          <w:rFonts w:ascii="仿宋_GB2312" w:eastAsia="仿宋_GB2312"/>
          <w:b/>
          <w:sz w:val="30"/>
          <w:szCs w:val="30"/>
        </w:rPr>
      </w:pPr>
      <w:r>
        <w:rPr>
          <w:rFonts w:hint="eastAsia" w:ascii="仿宋_GB2312" w:eastAsia="仿宋_GB2312"/>
          <w:b/>
          <w:sz w:val="30"/>
          <w:szCs w:val="30"/>
        </w:rPr>
        <w:t>（</w:t>
      </w:r>
      <w:r>
        <w:rPr>
          <w:rFonts w:ascii="仿宋_GB2312" w:eastAsia="仿宋_GB2312"/>
          <w:b/>
          <w:sz w:val="30"/>
          <w:szCs w:val="30"/>
        </w:rPr>
        <w:t>5</w:t>
      </w:r>
      <w:r>
        <w:rPr>
          <w:rFonts w:hint="eastAsia" w:ascii="仿宋_GB2312" w:eastAsia="仿宋_GB2312"/>
          <w:b/>
          <w:sz w:val="30"/>
          <w:szCs w:val="30"/>
        </w:rPr>
        <w:t>）做市业务暂停</w:t>
      </w:r>
    </w:p>
    <w:p w14:paraId="02EDCE17">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出现下列第（1）项或者第（2）项情形的，债券做市商可以暂停对相应债券品种的做市；出现下列第（3）项或者第（4）项情形的，做市商可以暂停开展做市业务：</w:t>
      </w:r>
    </w:p>
    <w:p w14:paraId="545940B1">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1）</w:t>
      </w:r>
      <w:r>
        <w:rPr>
          <w:rFonts w:ascii="仿宋_GB2312" w:hAnsi="微软雅黑" w:eastAsia="仿宋_GB2312"/>
          <w:sz w:val="30"/>
          <w:szCs w:val="30"/>
        </w:rPr>
        <w:t>做市品种被停牌的；</w:t>
      </w:r>
    </w:p>
    <w:p w14:paraId="6BBC3A41">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2）</w:t>
      </w:r>
      <w:r>
        <w:rPr>
          <w:rFonts w:ascii="仿宋_GB2312" w:hAnsi="微软雅黑" w:eastAsia="仿宋_GB2312"/>
          <w:sz w:val="30"/>
          <w:szCs w:val="30"/>
        </w:rPr>
        <w:t>做市品种的交易价格出现异常波动的；</w:t>
      </w:r>
    </w:p>
    <w:p w14:paraId="2AF9C736">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3）</w:t>
      </w:r>
      <w:r>
        <w:rPr>
          <w:rFonts w:ascii="仿宋_GB2312" w:hAnsi="微软雅黑" w:eastAsia="仿宋_GB2312"/>
          <w:sz w:val="30"/>
          <w:szCs w:val="30"/>
        </w:rPr>
        <w:t>因不可抗力或意外事件而无法正常开展做市业务的；</w:t>
      </w:r>
    </w:p>
    <w:p w14:paraId="4F97BE3A">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4）</w:t>
      </w:r>
      <w:r>
        <w:rPr>
          <w:rFonts w:ascii="仿宋_GB2312" w:hAnsi="微软雅黑" w:eastAsia="仿宋_GB2312"/>
          <w:sz w:val="30"/>
          <w:szCs w:val="30"/>
        </w:rPr>
        <w:t>本所认定的其他难以持续开展做市业务的情形。</w:t>
      </w:r>
    </w:p>
    <w:p w14:paraId="505A40BD">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上述情况消除后，做市商应当及时继续开展做市业务。</w:t>
      </w:r>
    </w:p>
    <w:p w14:paraId="6FDAE527">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除前述第1）项情形外，做市商应通过业管系统平台交易参与人模块向本所告知相关情况。</w:t>
      </w:r>
    </w:p>
    <w:p w14:paraId="731D19A9">
      <w:pPr>
        <w:spacing w:line="600" w:lineRule="exact"/>
        <w:ind w:firstLine="602" w:firstLineChars="200"/>
        <w:rPr>
          <w:rFonts w:ascii="仿宋_GB2312" w:hAnsi="微软雅黑" w:eastAsia="仿宋_GB2312"/>
          <w:b/>
          <w:bCs/>
          <w:sz w:val="30"/>
          <w:szCs w:val="30"/>
        </w:rPr>
      </w:pPr>
      <w:r>
        <w:rPr>
          <w:rFonts w:hint="eastAsia" w:ascii="仿宋_GB2312" w:hAnsi="微软雅黑" w:eastAsia="仿宋_GB2312"/>
          <w:b/>
          <w:bCs/>
          <w:sz w:val="30"/>
          <w:szCs w:val="30"/>
        </w:rPr>
        <w:t>（6）做市业务终止</w:t>
      </w:r>
    </w:p>
    <w:p w14:paraId="18AB6632">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做市商主动申请终止债券做市业务的，应当通过业管系统平台交易参与人模块提前</w:t>
      </w:r>
      <w:r>
        <w:rPr>
          <w:rFonts w:ascii="仿宋_GB2312" w:hAnsi="微软雅黑" w:eastAsia="仿宋_GB2312"/>
          <w:sz w:val="30"/>
          <w:szCs w:val="30"/>
        </w:rPr>
        <w:t>5个交易日向本所提交终止申请（模板见附件1</w:t>
      </w:r>
      <w:r>
        <w:rPr>
          <w:rFonts w:hint="eastAsia" w:ascii="仿宋_GB2312" w:hAnsi="微软雅黑" w:eastAsia="仿宋_GB2312"/>
          <w:sz w:val="30"/>
          <w:szCs w:val="30"/>
        </w:rPr>
        <w:t>7</w:t>
      </w:r>
      <w:r>
        <w:rPr>
          <w:rFonts w:ascii="仿宋_GB2312" w:hAnsi="微软雅黑" w:eastAsia="仿宋_GB2312"/>
          <w:sz w:val="30"/>
          <w:szCs w:val="30"/>
        </w:rPr>
        <w:t>）。材料中须注明拟终止的生效时间。经本所确认后，做市商方可终止做市业务。做市商主动申请终止做</w:t>
      </w:r>
      <w:r>
        <w:rPr>
          <w:rFonts w:hint="eastAsia" w:ascii="仿宋_GB2312" w:hAnsi="微软雅黑" w:eastAsia="仿宋_GB2312"/>
          <w:sz w:val="30"/>
          <w:szCs w:val="30"/>
        </w:rPr>
        <w:t>市业务的，</w:t>
      </w:r>
      <w:r>
        <w:rPr>
          <w:rFonts w:ascii="仿宋_GB2312" w:hAnsi="微软雅黑" w:eastAsia="仿宋_GB2312"/>
          <w:sz w:val="30"/>
          <w:szCs w:val="30"/>
        </w:rPr>
        <w:t>6个月内不得重新申请开展债券做市业务。</w:t>
      </w:r>
    </w:p>
    <w:p w14:paraId="0015FAC3">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做市商管理</w:t>
      </w:r>
    </w:p>
    <w:p w14:paraId="1764CCF2">
      <w:pPr>
        <w:spacing w:line="600" w:lineRule="exact"/>
        <w:ind w:left="567"/>
        <w:outlineLvl w:val="3"/>
        <w:rPr>
          <w:rFonts w:ascii="仿宋_GB2312" w:eastAsia="仿宋_GB2312"/>
          <w:b/>
          <w:sz w:val="30"/>
          <w:szCs w:val="30"/>
        </w:rPr>
      </w:pPr>
      <w:r>
        <w:rPr>
          <w:rFonts w:hint="eastAsia" w:ascii="仿宋_GB2312" w:eastAsia="仿宋_GB2312"/>
          <w:b/>
          <w:sz w:val="30"/>
          <w:szCs w:val="30"/>
        </w:rPr>
        <w:t>（</w:t>
      </w:r>
      <w:r>
        <w:rPr>
          <w:rFonts w:ascii="仿宋_GB2312" w:eastAsia="仿宋_GB2312"/>
          <w:b/>
          <w:sz w:val="30"/>
          <w:szCs w:val="30"/>
        </w:rPr>
        <w:t>1</w:t>
      </w:r>
      <w:r>
        <w:rPr>
          <w:rFonts w:hint="eastAsia" w:ascii="仿宋_GB2312" w:eastAsia="仿宋_GB2312"/>
          <w:b/>
          <w:sz w:val="30"/>
          <w:szCs w:val="30"/>
        </w:rPr>
        <w:t>）做市业务支持</w:t>
      </w:r>
    </w:p>
    <w:p w14:paraId="752208A7">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做市商开展做市业务，可享有以下支持措施：</w:t>
      </w:r>
    </w:p>
    <w:p w14:paraId="04924081">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1）</w:t>
      </w:r>
      <w:r>
        <w:rPr>
          <w:rFonts w:hint="eastAsia" w:ascii="仿宋_GB2312" w:eastAsia="仿宋_GB2312"/>
          <w:sz w:val="30"/>
          <w:szCs w:val="30"/>
        </w:rPr>
        <w:t>获得债券借贷、债券回购等融资、融券便利</w:t>
      </w:r>
      <w:r>
        <w:rPr>
          <w:rFonts w:hint="eastAsia" w:ascii="仿宋_GB2312" w:hAnsi="微软雅黑" w:eastAsia="仿宋_GB2312"/>
          <w:sz w:val="30"/>
          <w:szCs w:val="30"/>
        </w:rPr>
        <w:t>；</w:t>
      </w:r>
    </w:p>
    <w:p w14:paraId="2EFD71F8">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2）</w:t>
      </w:r>
      <w:r>
        <w:rPr>
          <w:rFonts w:hint="eastAsia" w:ascii="仿宋_GB2312" w:eastAsia="仿宋_GB2312"/>
          <w:sz w:val="30"/>
          <w:szCs w:val="30"/>
        </w:rPr>
        <w:t>优先开展债券创新产品和业务</w:t>
      </w:r>
      <w:r>
        <w:rPr>
          <w:rFonts w:hint="eastAsia" w:ascii="仿宋_GB2312" w:hAnsi="微软雅黑" w:eastAsia="仿宋_GB2312"/>
          <w:sz w:val="30"/>
          <w:szCs w:val="30"/>
        </w:rPr>
        <w:t>；</w:t>
      </w:r>
    </w:p>
    <w:p w14:paraId="7E20F129">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3）</w:t>
      </w:r>
      <w:r>
        <w:rPr>
          <w:rFonts w:hint="eastAsia" w:ascii="仿宋_GB2312" w:eastAsia="仿宋_GB2312"/>
          <w:sz w:val="30"/>
          <w:szCs w:val="30"/>
        </w:rPr>
        <w:t>获得本所实时提供的债券报价数据、成交数据等</w:t>
      </w:r>
      <w:r>
        <w:rPr>
          <w:rFonts w:hint="eastAsia" w:ascii="仿宋_GB2312" w:hAnsi="微软雅黑" w:eastAsia="仿宋_GB2312"/>
          <w:sz w:val="30"/>
          <w:szCs w:val="30"/>
        </w:rPr>
        <w:t>；</w:t>
      </w:r>
    </w:p>
    <w:p w14:paraId="101CC119">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 xml:space="preserve">4） </w:t>
      </w:r>
      <w:r>
        <w:rPr>
          <w:rFonts w:hint="eastAsia" w:ascii="仿宋_GB2312" w:eastAsia="仿宋_GB2312"/>
          <w:sz w:val="30"/>
          <w:szCs w:val="30"/>
        </w:rPr>
        <w:t>减免做市业务达成的债券交易相关费用，并根据做市业务评价结果予以奖励</w:t>
      </w:r>
      <w:r>
        <w:rPr>
          <w:rFonts w:hint="eastAsia" w:ascii="仿宋_GB2312" w:hAnsi="微软雅黑" w:eastAsia="仿宋_GB2312"/>
          <w:sz w:val="30"/>
          <w:szCs w:val="30"/>
        </w:rPr>
        <w:t>；</w:t>
      </w:r>
    </w:p>
    <w:p w14:paraId="0D07512B">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 xml:space="preserve">5） </w:t>
      </w:r>
      <w:r>
        <w:rPr>
          <w:rFonts w:ascii="仿宋_GB2312" w:hAnsi="微软雅黑" w:eastAsia="仿宋_GB2312"/>
          <w:sz w:val="30"/>
          <w:szCs w:val="30"/>
        </w:rPr>
        <w:t>本所提供的其他支持。</w:t>
      </w:r>
    </w:p>
    <w:p w14:paraId="455C138C">
      <w:pPr>
        <w:spacing w:line="600" w:lineRule="exact"/>
        <w:ind w:left="567"/>
        <w:outlineLvl w:val="3"/>
        <w:rPr>
          <w:rFonts w:ascii="仿宋_GB2312" w:eastAsia="仿宋_GB2312"/>
          <w:b/>
          <w:sz w:val="30"/>
          <w:szCs w:val="30"/>
        </w:rPr>
      </w:pPr>
      <w:r>
        <w:rPr>
          <w:rFonts w:hint="eastAsia" w:ascii="仿宋_GB2312" w:eastAsia="仿宋_GB2312"/>
          <w:b/>
          <w:sz w:val="30"/>
          <w:szCs w:val="30"/>
        </w:rPr>
        <w:t>（</w:t>
      </w:r>
      <w:r>
        <w:rPr>
          <w:rFonts w:ascii="仿宋_GB2312" w:eastAsia="仿宋_GB2312"/>
          <w:b/>
          <w:sz w:val="30"/>
          <w:szCs w:val="30"/>
        </w:rPr>
        <w:t>2</w:t>
      </w:r>
      <w:r>
        <w:rPr>
          <w:rFonts w:hint="eastAsia" w:ascii="仿宋_GB2312" w:eastAsia="仿宋_GB2312"/>
          <w:b/>
          <w:sz w:val="30"/>
          <w:szCs w:val="30"/>
        </w:rPr>
        <w:t>）监管豁免情形</w:t>
      </w:r>
    </w:p>
    <w:p w14:paraId="4E6C3334">
      <w:pPr>
        <w:spacing w:line="600" w:lineRule="exact"/>
        <w:ind w:firstLine="600"/>
        <w:rPr>
          <w:rFonts w:ascii="仿宋_GB2312" w:hAnsi="微软雅黑" w:eastAsia="仿宋_GB2312"/>
          <w:sz w:val="30"/>
          <w:szCs w:val="30"/>
        </w:rPr>
      </w:pPr>
      <w:r>
        <w:rPr>
          <w:rFonts w:hint="eastAsia" w:ascii="仿宋_GB2312" w:hAnsi="微软雅黑" w:eastAsia="仿宋_GB2312"/>
          <w:sz w:val="30"/>
          <w:szCs w:val="30"/>
        </w:rPr>
        <w:t>根据中国证监会《证券公司风险控制指标计算标准规定》相关条款，做市商在上交所开展做市业务，可豁免其所持单只债券的集中度要求。</w:t>
      </w:r>
    </w:p>
    <w:p w14:paraId="4945D25A">
      <w:pPr>
        <w:spacing w:line="600" w:lineRule="exact"/>
        <w:ind w:firstLine="600"/>
        <w:rPr>
          <w:rFonts w:ascii="仿宋_GB2312" w:hAnsi="微软雅黑" w:eastAsia="仿宋_GB2312"/>
          <w:sz w:val="30"/>
          <w:szCs w:val="30"/>
        </w:rPr>
      </w:pPr>
      <w:r>
        <w:rPr>
          <w:rFonts w:hint="eastAsia" w:ascii="仿宋_GB2312" w:hAnsi="微软雅黑" w:eastAsia="仿宋_GB2312"/>
          <w:sz w:val="30"/>
          <w:szCs w:val="30"/>
        </w:rPr>
        <w:t>做市商为开展做市业务进行的申报并撤销申报、做市证券账户与其他账户之间的交易等，不构成《债券交易规则》第一百二十五条第二项与第四项规定的以下异常交易行为：</w:t>
      </w:r>
    </w:p>
    <w:p w14:paraId="19216657">
      <w:pPr>
        <w:spacing w:line="600" w:lineRule="exact"/>
        <w:ind w:firstLine="600"/>
        <w:rPr>
          <w:rFonts w:ascii="仿宋_GB2312" w:hAnsi="微软雅黑" w:eastAsia="仿宋_GB2312"/>
          <w:sz w:val="30"/>
          <w:szCs w:val="30"/>
        </w:rPr>
      </w:pPr>
      <w:r>
        <w:rPr>
          <w:rFonts w:hint="eastAsia" w:ascii="仿宋_GB2312" w:hAnsi="微软雅黑" w:eastAsia="仿宋_GB2312"/>
          <w:sz w:val="30"/>
          <w:szCs w:val="30"/>
        </w:rPr>
        <w:t>1）拉抬打压，即大笔申报、连续申报、密集申报或者以明显偏离债券最新成交价的价格申报成交，导致债券交易价格明显上涨（下跌）；</w:t>
      </w:r>
    </w:p>
    <w:p w14:paraId="43D8457D">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2）自买自卖或者互为对手方交易，即在单个账户、自己实际控制的账户之间或者关联账户之间大量或者频繁进行债券交易，影响债券交易价格或者交易量。</w:t>
      </w:r>
    </w:p>
    <w:p w14:paraId="7A9827AB">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但明显偏离做市业务的合理范围，影响正常交易秩序的情形除外。</w:t>
      </w:r>
    </w:p>
    <w:p w14:paraId="58BDB982">
      <w:pPr>
        <w:spacing w:line="600" w:lineRule="exact"/>
        <w:ind w:left="567"/>
        <w:outlineLvl w:val="3"/>
        <w:rPr>
          <w:rFonts w:ascii="仿宋_GB2312" w:eastAsia="仿宋_GB2312"/>
          <w:b/>
          <w:sz w:val="30"/>
          <w:szCs w:val="30"/>
        </w:rPr>
      </w:pPr>
      <w:r>
        <w:rPr>
          <w:rFonts w:hint="eastAsia" w:ascii="仿宋_GB2312" w:eastAsia="仿宋_GB2312"/>
          <w:b/>
          <w:sz w:val="30"/>
          <w:szCs w:val="30"/>
        </w:rPr>
        <w:t>（</w:t>
      </w:r>
      <w:r>
        <w:rPr>
          <w:rFonts w:ascii="仿宋_GB2312" w:eastAsia="仿宋_GB2312"/>
          <w:b/>
          <w:sz w:val="30"/>
          <w:szCs w:val="30"/>
        </w:rPr>
        <w:t>3</w:t>
      </w:r>
      <w:r>
        <w:rPr>
          <w:rFonts w:hint="eastAsia" w:ascii="仿宋_GB2312" w:eastAsia="仿宋_GB2312"/>
          <w:b/>
          <w:sz w:val="30"/>
          <w:szCs w:val="30"/>
        </w:rPr>
        <w:t>）做市商评价</w:t>
      </w:r>
    </w:p>
    <w:p w14:paraId="19A85E3F">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本所建立做市业务评价指标体系，对做市商的做市情况进行定期评价，公布考核结果并根据考核结果对优秀做市机构进行表彰，并根据做市考核情况对做市商进行动态管理。</w:t>
      </w:r>
    </w:p>
    <w:p w14:paraId="648C24F1">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做市业务评价指标体系包括做市债券数量、报价时间、报价量、成交量等指标，对做市业务综合予以评价。</w:t>
      </w:r>
    </w:p>
    <w:p w14:paraId="484E1BF8">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本所每季度对主做市商做市业务的情况进行评价</w:t>
      </w:r>
      <w:r>
        <w:rPr>
          <w:rFonts w:ascii="仿宋_GB2312" w:hAnsi="微软雅黑" w:eastAsia="仿宋_GB2312"/>
          <w:sz w:val="30"/>
          <w:szCs w:val="30"/>
        </w:rPr>
        <w:t xml:space="preserve">, </w:t>
      </w:r>
      <w:r>
        <w:rPr>
          <w:rFonts w:hint="eastAsia" w:ascii="仿宋_GB2312" w:hAnsi="微软雅黑" w:eastAsia="仿宋_GB2312"/>
          <w:sz w:val="30"/>
          <w:szCs w:val="30"/>
        </w:rPr>
        <w:t>并且每年</w:t>
      </w:r>
      <w:r>
        <w:rPr>
          <w:rFonts w:ascii="仿宋_GB2312" w:hAnsi="微软雅黑" w:eastAsia="仿宋_GB2312"/>
          <w:sz w:val="30"/>
          <w:szCs w:val="30"/>
        </w:rPr>
        <w:t>对</w:t>
      </w:r>
      <w:r>
        <w:rPr>
          <w:rFonts w:hint="eastAsia" w:ascii="仿宋_GB2312" w:hAnsi="微软雅黑" w:eastAsia="仿宋_GB2312"/>
          <w:sz w:val="30"/>
          <w:szCs w:val="30"/>
        </w:rPr>
        <w:t>主做市商在当年度</w:t>
      </w:r>
      <w:r>
        <w:rPr>
          <w:rFonts w:ascii="仿宋_GB2312" w:hAnsi="微软雅黑" w:eastAsia="仿宋_GB2312"/>
          <w:sz w:val="30"/>
          <w:szCs w:val="30"/>
        </w:rPr>
        <w:t>所有交易日的做市情况进行综合评价，季度和年度评价结果向市场公布。</w:t>
      </w:r>
    </w:p>
    <w:p w14:paraId="2C15343D">
      <w:pPr>
        <w:spacing w:line="600" w:lineRule="exact"/>
        <w:ind w:left="567"/>
        <w:outlineLvl w:val="3"/>
        <w:rPr>
          <w:rFonts w:ascii="仿宋_GB2312" w:eastAsia="仿宋_GB2312"/>
          <w:b/>
          <w:sz w:val="30"/>
          <w:szCs w:val="30"/>
        </w:rPr>
      </w:pPr>
      <w:r>
        <w:rPr>
          <w:rFonts w:hint="eastAsia" w:ascii="仿宋_GB2312" w:eastAsia="仿宋_GB2312"/>
          <w:b/>
          <w:sz w:val="30"/>
          <w:szCs w:val="30"/>
        </w:rPr>
        <w:t>（</w:t>
      </w:r>
      <w:r>
        <w:rPr>
          <w:rFonts w:ascii="仿宋_GB2312" w:eastAsia="仿宋_GB2312"/>
          <w:b/>
          <w:sz w:val="30"/>
          <w:szCs w:val="30"/>
        </w:rPr>
        <w:t>4</w:t>
      </w:r>
      <w:r>
        <w:rPr>
          <w:rFonts w:hint="eastAsia" w:ascii="仿宋_GB2312" w:eastAsia="仿宋_GB2312"/>
          <w:b/>
          <w:sz w:val="30"/>
          <w:szCs w:val="30"/>
        </w:rPr>
        <w:t>）做市商监督管理</w:t>
      </w:r>
    </w:p>
    <w:p w14:paraId="28481047">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做市商及其相关人员从事做市业务应当遵守法律法规和本所业务规则，诚实守信、规范运作，接受本所的自律监管。</w:t>
      </w:r>
    </w:p>
    <w:p w14:paraId="1B9EF03A">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本所依据《债券交易规则》《上海证券交易所债券交易规则适用指引第3号——债券做市业务》以及本所其他业务规则对</w:t>
      </w:r>
      <w:r>
        <w:rPr>
          <w:rFonts w:hint="eastAsia" w:ascii="仿宋_GB2312" w:eastAsia="仿宋_GB2312"/>
          <w:sz w:val="30"/>
          <w:szCs w:val="30"/>
        </w:rPr>
        <w:t>做市商的</w:t>
      </w:r>
      <w:r>
        <w:rPr>
          <w:rFonts w:hint="eastAsia" w:ascii="仿宋_GB2312" w:hAnsi="微软雅黑" w:eastAsia="仿宋_GB2312"/>
          <w:sz w:val="30"/>
          <w:szCs w:val="30"/>
        </w:rPr>
        <w:t>债券做市相关业务活动进行自律监管。</w:t>
      </w:r>
    </w:p>
    <w:p w14:paraId="78FDA1B4">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做市商应当遵守法律法规以及本所有关规定，防范利益冲突，不得利用做市报价扰乱市场正常价格水平或者从事其他市场操纵行为。</w:t>
      </w:r>
    </w:p>
    <w:p w14:paraId="2D098F79">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本所可以根据做市商的做市表现和监管需要，对做市商做市业务不定期开展现场或非现场检查，做市商应当积极配合，如实提供相关材料和说明。</w:t>
      </w:r>
    </w:p>
    <w:p w14:paraId="30B83D55">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风控合规管理</w:t>
      </w:r>
    </w:p>
    <w:p w14:paraId="1220789F">
      <w:pPr>
        <w:numPr>
          <w:ilvl w:val="1"/>
          <w:numId w:val="10"/>
        </w:numPr>
        <w:spacing w:line="600" w:lineRule="exact"/>
        <w:ind w:left="567" w:firstLine="0"/>
        <w:outlineLvl w:val="3"/>
        <w:rPr>
          <w:rFonts w:ascii="仿宋_GB2312" w:hAnsi="Arial" w:eastAsia="仿宋_GB2312"/>
          <w:b/>
          <w:sz w:val="30"/>
          <w:szCs w:val="30"/>
        </w:rPr>
      </w:pPr>
      <w:r>
        <w:rPr>
          <w:rFonts w:hint="eastAsia" w:ascii="仿宋_GB2312" w:hAnsi="微软雅黑" w:eastAsia="仿宋_GB2312"/>
          <w:b/>
          <w:bCs/>
          <w:sz w:val="30"/>
          <w:szCs w:val="30"/>
        </w:rPr>
        <w:t>风险管理制度</w:t>
      </w:r>
    </w:p>
    <w:p w14:paraId="3CA1DB95">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做市商应当制定做市业务风险管理制度，加强对做市业务的风险管理，有效防范和化解业务风险，内容包括但不限于做市业务风险管理基本原则、风险指标设计、风险识别与评估、风险控制与处置、风险定期报告机制、压力测试的情景设置和分析等。</w:t>
      </w:r>
    </w:p>
    <w:p w14:paraId="2237EFAD">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做市商通过自动化交易系统进行做市报价成交的，应注重系统的稳定性及报价策略的合理性。自动化交易系统应建立必要的风险防范措施和应急处置机制。</w:t>
      </w:r>
    </w:p>
    <w:p w14:paraId="50D27BDB">
      <w:pPr>
        <w:numPr>
          <w:ilvl w:val="1"/>
          <w:numId w:val="10"/>
        </w:numPr>
        <w:spacing w:line="600" w:lineRule="exact"/>
        <w:ind w:left="567" w:firstLine="0"/>
        <w:outlineLvl w:val="3"/>
        <w:rPr>
          <w:rFonts w:ascii="仿宋_GB2312" w:hAnsi="Arial" w:eastAsia="仿宋_GB2312"/>
          <w:b/>
          <w:sz w:val="30"/>
          <w:szCs w:val="30"/>
        </w:rPr>
      </w:pPr>
      <w:r>
        <w:rPr>
          <w:rFonts w:hint="eastAsia" w:ascii="仿宋_GB2312" w:hAnsi="Arial" w:eastAsia="仿宋_GB2312"/>
          <w:b/>
          <w:sz w:val="30"/>
          <w:szCs w:val="30"/>
        </w:rPr>
        <w:t>内部控制制度</w:t>
      </w:r>
    </w:p>
    <w:p w14:paraId="60010350">
      <w:pPr>
        <w:spacing w:line="600" w:lineRule="exact"/>
        <w:ind w:firstLine="600" w:firstLineChars="200"/>
        <w:rPr>
          <w:rFonts w:eastAsia="仿宋_GB2312"/>
          <w:sz w:val="30"/>
          <w:szCs w:val="30"/>
        </w:rPr>
      </w:pPr>
      <w:r>
        <w:rPr>
          <w:rFonts w:hint="eastAsia" w:eastAsia="仿宋_GB2312"/>
          <w:sz w:val="30"/>
          <w:szCs w:val="30"/>
        </w:rPr>
        <w:t>做市商应当建立严格的内部控制制度，对做市业务制定严格的权限管理制度和投资决策流程，建立有效的岗位分工和制衡机制，规范业务操作流程，确保研究分析、投资决策、交易执行等相关环节的独立运作。</w:t>
      </w:r>
    </w:p>
    <w:p w14:paraId="26F39827">
      <w:pPr>
        <w:numPr>
          <w:ilvl w:val="1"/>
          <w:numId w:val="10"/>
        </w:numPr>
        <w:spacing w:line="600" w:lineRule="exact"/>
        <w:ind w:left="567" w:firstLine="0"/>
        <w:outlineLvl w:val="3"/>
        <w:rPr>
          <w:rFonts w:ascii="仿宋_GB2312" w:eastAsia="仿宋_GB2312"/>
          <w:b/>
          <w:sz w:val="30"/>
          <w:szCs w:val="30"/>
        </w:rPr>
      </w:pPr>
      <w:r>
        <w:rPr>
          <w:rFonts w:hint="eastAsia" w:ascii="仿宋_GB2312" w:eastAsia="仿宋_GB2312"/>
          <w:b/>
          <w:sz w:val="30"/>
          <w:szCs w:val="30"/>
        </w:rPr>
        <w:t>岗位设置</w:t>
      </w:r>
      <w:r>
        <w:rPr>
          <w:rFonts w:ascii="仿宋_GB2312" w:eastAsia="仿宋_GB2312"/>
          <w:b/>
          <w:sz w:val="30"/>
          <w:szCs w:val="30"/>
        </w:rPr>
        <w:t>人员配备</w:t>
      </w:r>
    </w:p>
    <w:p w14:paraId="68691B8A">
      <w:pPr>
        <w:spacing w:line="600" w:lineRule="exact"/>
        <w:ind w:firstLine="600" w:firstLineChars="200"/>
        <w:rPr>
          <w:rFonts w:ascii="仿宋_GB2312" w:hAnsi="微软雅黑" w:eastAsia="仿宋_GB2312"/>
          <w:sz w:val="30"/>
          <w:szCs w:val="30"/>
        </w:rPr>
      </w:pPr>
      <w:r>
        <w:rPr>
          <w:rFonts w:hint="eastAsia" w:eastAsia="仿宋_GB2312"/>
          <w:sz w:val="30"/>
          <w:szCs w:val="30"/>
        </w:rPr>
        <w:t>债券做市业务涉及交易、风控、合规、</w:t>
      </w:r>
      <w:r>
        <w:rPr>
          <w:rFonts w:eastAsia="仿宋_GB2312"/>
          <w:sz w:val="30"/>
          <w:szCs w:val="30"/>
        </w:rPr>
        <w:t>技术等多个业务和功能支持</w:t>
      </w:r>
      <w:r>
        <w:rPr>
          <w:rFonts w:hint="eastAsia" w:eastAsia="仿宋_GB2312"/>
          <w:sz w:val="30"/>
          <w:szCs w:val="30"/>
        </w:rPr>
        <w:t>部门</w:t>
      </w:r>
      <w:r>
        <w:rPr>
          <w:rFonts w:eastAsia="仿宋_GB2312"/>
          <w:sz w:val="30"/>
          <w:szCs w:val="30"/>
        </w:rPr>
        <w:t>，</w:t>
      </w:r>
      <w:r>
        <w:rPr>
          <w:rFonts w:hint="eastAsia" w:eastAsia="仿宋_GB2312"/>
          <w:sz w:val="30"/>
          <w:szCs w:val="30"/>
        </w:rPr>
        <w:t>须设立专门的岗位并建立备岗机制，内容包括但不限于做市业务风险管理、内控与合规管理、清算、资金管理、技术支持等。做市业务应当与经纪、自营、资产管理等业务进行有效隔离，防止敏感信息的不当流动和使用。</w:t>
      </w:r>
    </w:p>
    <w:p w14:paraId="475B6383">
      <w:pPr>
        <w:numPr>
          <w:ilvl w:val="1"/>
          <w:numId w:val="4"/>
        </w:numPr>
        <w:spacing w:line="600" w:lineRule="exact"/>
        <w:ind w:left="0" w:firstLine="0"/>
        <w:outlineLvl w:val="1"/>
        <w:rPr>
          <w:rFonts w:ascii="仿宋_GB2312" w:eastAsia="仿宋_GB2312"/>
          <w:b/>
          <w:sz w:val="30"/>
          <w:szCs w:val="30"/>
        </w:rPr>
      </w:pPr>
      <w:bookmarkStart w:id="1720" w:name="_Toc56166278"/>
      <w:bookmarkStart w:id="1721" w:name="_Toc1226518137"/>
      <w:bookmarkStart w:id="1722" w:name="_Toc46910502"/>
      <w:bookmarkStart w:id="1723" w:name="_Toc873092891"/>
      <w:bookmarkStart w:id="1724" w:name="_Toc47457112"/>
      <w:bookmarkStart w:id="1725" w:name="_Toc56166089"/>
      <w:bookmarkStart w:id="1726" w:name="_Toc151136910"/>
      <w:bookmarkStart w:id="1727" w:name="_Toc1671754334"/>
      <w:bookmarkStart w:id="1728" w:name="_Toc48742272"/>
      <w:bookmarkStart w:id="1729" w:name="_Toc55318675"/>
      <w:bookmarkStart w:id="1730" w:name="_Toc721428632"/>
      <w:bookmarkStart w:id="1731" w:name="_Toc47455855"/>
      <w:r>
        <w:rPr>
          <w:rFonts w:hint="eastAsia" w:ascii="仿宋_GB2312" w:eastAsia="仿宋_GB2312"/>
          <w:b/>
          <w:sz w:val="30"/>
          <w:szCs w:val="30"/>
        </w:rPr>
        <w:t>特定债券转让</w:t>
      </w:r>
      <w:bookmarkEnd w:id="1720"/>
      <w:bookmarkEnd w:id="1721"/>
      <w:bookmarkEnd w:id="1722"/>
      <w:bookmarkEnd w:id="1723"/>
      <w:bookmarkEnd w:id="1724"/>
      <w:bookmarkEnd w:id="1725"/>
      <w:bookmarkEnd w:id="1726"/>
      <w:bookmarkEnd w:id="1727"/>
      <w:bookmarkEnd w:id="1728"/>
      <w:bookmarkEnd w:id="1729"/>
      <w:bookmarkEnd w:id="1730"/>
      <w:bookmarkEnd w:id="1731"/>
    </w:p>
    <w:p w14:paraId="450EA56A">
      <w:pPr>
        <w:numPr>
          <w:ilvl w:val="2"/>
          <w:numId w:val="4"/>
        </w:numPr>
        <w:spacing w:line="600" w:lineRule="exact"/>
        <w:ind w:left="0" w:firstLine="0"/>
        <w:outlineLvl w:val="2"/>
        <w:rPr>
          <w:rFonts w:ascii="仿宋_GB2312" w:eastAsia="仿宋_GB2312"/>
          <w:b/>
          <w:sz w:val="30"/>
          <w:szCs w:val="30"/>
        </w:rPr>
      </w:pPr>
      <w:bookmarkStart w:id="1732" w:name="_Toc46910503"/>
      <w:bookmarkStart w:id="1733" w:name="_Toc47457113"/>
      <w:bookmarkStart w:id="1734" w:name="_Toc47455856"/>
      <w:bookmarkStart w:id="1735" w:name="_Toc55318676"/>
      <w:bookmarkStart w:id="1736" w:name="_Toc48742273"/>
      <w:r>
        <w:rPr>
          <w:rFonts w:hint="eastAsia" w:ascii="仿宋_GB2312" w:eastAsia="仿宋_GB2312"/>
          <w:b/>
          <w:sz w:val="30"/>
          <w:szCs w:val="30"/>
        </w:rPr>
        <w:t>交易品种</w:t>
      </w:r>
      <w:bookmarkEnd w:id="1732"/>
      <w:bookmarkEnd w:id="1733"/>
      <w:bookmarkEnd w:id="1734"/>
      <w:bookmarkEnd w:id="1735"/>
      <w:bookmarkEnd w:id="1736"/>
    </w:p>
    <w:p w14:paraId="4E1F4F78">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特定债券，是指在本所上市交易或者挂牌转让期间发生以下情形之一的公司债券：</w:t>
      </w:r>
    </w:p>
    <w:p w14:paraId="2564C52F">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（1）发行人未按约定履行还本付息义务（包括未按约定履行回售、分期偿还、加速清偿等义务，下同）；</w:t>
      </w:r>
    </w:p>
    <w:p w14:paraId="6413B7F6">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（2）发行人发行的其他债券或债务融资工具未按约定履行还本付息义务；</w:t>
      </w:r>
    </w:p>
    <w:p w14:paraId="3DA62E5D">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（3）本所为保护债券投资者合法权益认定的其他情形。</w:t>
      </w:r>
    </w:p>
    <w:p w14:paraId="5B1AF431">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债券兑付存在重大不确定性，且发行人或受托管理人发布公告明确提示风险的，可参照适用。</w:t>
      </w:r>
    </w:p>
    <w:p w14:paraId="2113CBC4">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资产支持证券在本所挂牌转让期间出现未按约定分配收益情形的，可参照适用。</w:t>
      </w:r>
    </w:p>
    <w:p w14:paraId="44A5E7C5">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特定债券简称前冠以“H”字样。</w:t>
      </w:r>
    </w:p>
    <w:p w14:paraId="36C36C5B">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特定债券拟进行转让的，发行人或受托管理人将发布债券作为特定债券转让的公告。</w:t>
      </w:r>
    </w:p>
    <w:p w14:paraId="52F110CB">
      <w:pPr>
        <w:numPr>
          <w:ilvl w:val="2"/>
          <w:numId w:val="4"/>
        </w:numPr>
        <w:spacing w:line="600" w:lineRule="exact"/>
        <w:ind w:left="0" w:firstLine="0"/>
        <w:outlineLvl w:val="2"/>
        <w:rPr>
          <w:rFonts w:ascii="仿宋_GB2312" w:eastAsia="仿宋_GB2312"/>
          <w:b/>
          <w:sz w:val="30"/>
          <w:szCs w:val="30"/>
        </w:rPr>
      </w:pPr>
      <w:bookmarkStart w:id="1737" w:name="_Toc47457114"/>
      <w:bookmarkStart w:id="1738" w:name="_Toc47455857"/>
      <w:bookmarkStart w:id="1739" w:name="_Toc55318677"/>
      <w:bookmarkStart w:id="1740" w:name="_Toc48742274"/>
      <w:r>
        <w:rPr>
          <w:rFonts w:hint="eastAsia" w:ascii="仿宋_GB2312" w:eastAsia="仿宋_GB2312"/>
          <w:b/>
          <w:sz w:val="30"/>
          <w:szCs w:val="30"/>
        </w:rPr>
        <w:t>转让条件</w:t>
      </w:r>
      <w:bookmarkEnd w:id="1737"/>
      <w:bookmarkEnd w:id="1738"/>
      <w:bookmarkEnd w:id="1739"/>
      <w:bookmarkEnd w:id="1740"/>
    </w:p>
    <w:p w14:paraId="023C2C6B">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特定债券拟进行转让的，应当权属清晰，并具备一定的市场转让需求。存在以下情形之一的，不得在本所进行转让：</w:t>
      </w:r>
    </w:p>
    <w:p w14:paraId="32E0C220">
      <w:pPr>
        <w:spacing w:line="600" w:lineRule="exact"/>
        <w:ind w:firstLine="600"/>
        <w:rPr>
          <w:rFonts w:ascii="仿宋_GB2312" w:hAnsi="仿宋" w:eastAsia="仿宋_GB2312"/>
          <w:sz w:val="30"/>
          <w:szCs w:val="30"/>
        </w:rPr>
      </w:pPr>
      <w:r>
        <w:rPr>
          <w:rFonts w:hint="eastAsia" w:ascii="仿宋_GB2312" w:hAnsi="仿宋" w:eastAsia="仿宋_GB2312"/>
          <w:sz w:val="30"/>
          <w:szCs w:val="30"/>
        </w:rPr>
        <w:t>（1）特定债券发行人已进入破产程序且债权申报已结束，但破产管理人书面同意的除外；</w:t>
      </w:r>
    </w:p>
    <w:p w14:paraId="558DA1F1">
      <w:pPr>
        <w:spacing w:line="600" w:lineRule="exact"/>
        <w:ind w:firstLine="600"/>
        <w:rPr>
          <w:rFonts w:ascii="仿宋_GB2312" w:hAnsi="仿宋" w:eastAsia="仿宋_GB2312"/>
          <w:sz w:val="30"/>
          <w:szCs w:val="30"/>
        </w:rPr>
      </w:pPr>
      <w:r>
        <w:rPr>
          <w:rFonts w:hint="eastAsia" w:ascii="仿宋_GB2312" w:hAnsi="仿宋" w:eastAsia="仿宋_GB2312"/>
          <w:sz w:val="30"/>
          <w:szCs w:val="30"/>
        </w:rPr>
        <w:t>（2）特定债券因卖方与发行人已达成偿付协议等原因，与其他持有人所持债券不具备同等权利义务事项或风险特征；</w:t>
      </w:r>
    </w:p>
    <w:p w14:paraId="7BA8BECD">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（3）特定债券存在被司法冻结等权利瑕疵；</w:t>
      </w:r>
    </w:p>
    <w:p w14:paraId="4E206916">
      <w:pPr>
        <w:spacing w:line="600" w:lineRule="exact"/>
        <w:ind w:firstLine="600" w:firstLineChars="200"/>
        <w:rPr>
          <w:rFonts w:ascii="仿宋_GB2312" w:hAnsi="仿宋"/>
          <w:sz w:val="30"/>
          <w:szCs w:val="30"/>
        </w:rPr>
      </w:pPr>
      <w:r>
        <w:rPr>
          <w:rFonts w:hint="eastAsia" w:ascii="仿宋_GB2312" w:hAnsi="仿宋" w:eastAsia="仿宋_GB2312"/>
          <w:sz w:val="30"/>
          <w:szCs w:val="30"/>
        </w:rPr>
        <w:t>（</w:t>
      </w:r>
      <w:r>
        <w:rPr>
          <w:rFonts w:ascii="仿宋_GB2312" w:hAnsi="仿宋" w:eastAsia="仿宋_GB2312"/>
          <w:sz w:val="30"/>
          <w:szCs w:val="30"/>
        </w:rPr>
        <w:t>4）</w:t>
      </w:r>
      <w:r>
        <w:rPr>
          <w:rFonts w:hint="eastAsia" w:ascii="仿宋_GB2312" w:hAnsi="仿宋" w:eastAsia="仿宋_GB2312"/>
          <w:sz w:val="30"/>
          <w:szCs w:val="30"/>
        </w:rPr>
        <w:t>其他可能导致特定债券不适于转让的情形。</w:t>
      </w:r>
    </w:p>
    <w:p w14:paraId="45FB864C">
      <w:pPr>
        <w:numPr>
          <w:ilvl w:val="2"/>
          <w:numId w:val="4"/>
        </w:numPr>
        <w:spacing w:line="600" w:lineRule="exact"/>
        <w:ind w:left="0" w:firstLine="0"/>
        <w:outlineLvl w:val="2"/>
        <w:rPr>
          <w:rFonts w:ascii="仿宋_GB2312" w:eastAsia="仿宋_GB2312"/>
          <w:b/>
          <w:sz w:val="30"/>
          <w:szCs w:val="30"/>
        </w:rPr>
      </w:pPr>
      <w:bookmarkStart w:id="1741" w:name="_Toc47455858"/>
      <w:bookmarkStart w:id="1742" w:name="_Toc48742275"/>
      <w:bookmarkStart w:id="1743" w:name="_Toc55318678"/>
      <w:bookmarkStart w:id="1744" w:name="_Toc47457115"/>
      <w:r>
        <w:rPr>
          <w:rFonts w:hint="eastAsia" w:ascii="仿宋_GB2312" w:eastAsia="仿宋_GB2312"/>
          <w:b/>
          <w:sz w:val="30"/>
          <w:szCs w:val="30"/>
        </w:rPr>
        <w:t>投资者适当性管理</w:t>
      </w:r>
      <w:bookmarkEnd w:id="1741"/>
      <w:bookmarkEnd w:id="1742"/>
      <w:bookmarkEnd w:id="1743"/>
      <w:bookmarkEnd w:id="1744"/>
    </w:p>
    <w:p w14:paraId="79916AFA">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特定债券转让中的受让方，应当为专业投资者中的机构投资者。证券经营机构应当切实履行投资者适当性管理职责，采取有效措施，确保特定债券受让方符合本所投资者适当性管理规定，受让方应签署特定债券转让风险揭示书。</w:t>
      </w:r>
    </w:p>
    <w:p w14:paraId="3EE5E711">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特定债券出让方应当将其知悉的关于拟出让特定债券相关权利义务事项及其他可能影响债券转让价格的重要事项如实告知受让方。受让方应当对影响特定债券权利义务的相关事项主动进行调查了解，充分评估并确保自身具备相应的风险识别和承受能力，能够自行承担所受让特定债券的投资风险及损失。</w:t>
      </w:r>
    </w:p>
    <w:p w14:paraId="0E0004F1">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参与特定债券转让的市场主体，应当遵守法律法规及本所、登记结算机构的相关规定，禁止从事内幕交易、操纵市场及利益输送等违法违规行为。</w:t>
      </w:r>
    </w:p>
    <w:p w14:paraId="2117200A">
      <w:pPr>
        <w:numPr>
          <w:ilvl w:val="2"/>
          <w:numId w:val="4"/>
        </w:numPr>
        <w:spacing w:line="600" w:lineRule="exact"/>
        <w:ind w:left="0" w:firstLine="0"/>
        <w:outlineLvl w:val="2"/>
        <w:rPr>
          <w:rFonts w:ascii="仿宋_GB2312" w:eastAsia="仿宋_GB2312"/>
          <w:b/>
          <w:sz w:val="30"/>
          <w:szCs w:val="30"/>
        </w:rPr>
      </w:pPr>
      <w:bookmarkStart w:id="1745" w:name="_Toc47455859"/>
      <w:bookmarkStart w:id="1746" w:name="_Toc55318679"/>
      <w:bookmarkStart w:id="1747" w:name="_Toc46910505"/>
      <w:bookmarkStart w:id="1748" w:name="_Toc48742276"/>
      <w:bookmarkStart w:id="1749" w:name="_Toc47457116"/>
      <w:r>
        <w:rPr>
          <w:rFonts w:hint="eastAsia" w:ascii="仿宋_GB2312" w:eastAsia="仿宋_GB2312"/>
          <w:b/>
          <w:sz w:val="30"/>
          <w:szCs w:val="30"/>
        </w:rPr>
        <w:t>交易方式</w:t>
      </w:r>
      <w:bookmarkEnd w:id="1745"/>
      <w:bookmarkEnd w:id="1746"/>
      <w:bookmarkEnd w:id="1747"/>
      <w:bookmarkEnd w:id="1748"/>
      <w:bookmarkEnd w:id="1749"/>
    </w:p>
    <w:p w14:paraId="69C6D3E0">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特定债券交易可以采用点击成交、询价成交、协商成交、竞买成交或上交所认可的其他交易方式，经固定收益平台确认后成交，结算方式为逐笔全额结算方式。债券持有数量少于本所规定的最低申报数量的，持有人可以一次性申报卖出。</w:t>
      </w:r>
    </w:p>
    <w:p w14:paraId="2B9898B2">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特定债券交易采用全价价格进行申报</w:t>
      </w:r>
      <w:r>
        <w:rPr>
          <w:rFonts w:hint="eastAsia" w:ascii="仿宋_GB2312" w:hAnsi="仿宋" w:eastAsia="仿宋_GB2312"/>
          <w:sz w:val="30"/>
          <w:szCs w:val="30"/>
          <w:lang w:eastAsia="zh-CN"/>
        </w:rPr>
        <w:t>，债券投资者可通过本所官网、债券信息网等本所信息披露平台查看公告中</w:t>
      </w:r>
      <w:r>
        <w:rPr>
          <w:rFonts w:hint="eastAsia" w:ascii="仿宋_GB2312" w:hAnsi="仿宋" w:eastAsia="仿宋_GB2312"/>
          <w:sz w:val="30"/>
          <w:szCs w:val="30"/>
          <w:lang w:val="en-US" w:eastAsia="zh-CN"/>
        </w:rPr>
        <w:t>面值和票面利率等信息</w:t>
      </w:r>
      <w:r>
        <w:rPr>
          <w:rFonts w:hint="eastAsia" w:ascii="仿宋_GB2312" w:hAnsi="仿宋" w:eastAsia="仿宋_GB2312"/>
          <w:sz w:val="30"/>
          <w:szCs w:val="30"/>
        </w:rPr>
        <w:t>。</w:t>
      </w:r>
    </w:p>
    <w:p w14:paraId="7185B00E">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除此之外，特定债券其他申报安排和要素可参照本指南第5章</w:t>
      </w:r>
      <w:r>
        <w:rPr>
          <w:rFonts w:ascii="仿宋_GB2312" w:hAnsi="仿宋" w:eastAsia="仿宋_GB2312"/>
          <w:sz w:val="30"/>
          <w:szCs w:val="30"/>
        </w:rPr>
        <w:t>。</w:t>
      </w:r>
    </w:p>
    <w:p w14:paraId="3C4873CD">
      <w:pPr>
        <w:numPr>
          <w:ilvl w:val="2"/>
          <w:numId w:val="4"/>
        </w:numPr>
        <w:spacing w:line="600" w:lineRule="exact"/>
        <w:ind w:left="0" w:firstLine="0"/>
        <w:outlineLvl w:val="2"/>
        <w:rPr>
          <w:rFonts w:ascii="仿宋_GB2312" w:eastAsia="仿宋_GB2312"/>
          <w:b/>
          <w:sz w:val="30"/>
          <w:szCs w:val="30"/>
        </w:rPr>
      </w:pPr>
      <w:bookmarkStart w:id="1750" w:name="_Toc47451454"/>
      <w:bookmarkEnd w:id="1750"/>
      <w:bookmarkStart w:id="1751" w:name="_Toc47455861"/>
      <w:bookmarkEnd w:id="1751"/>
      <w:bookmarkStart w:id="1752" w:name="_Toc47457118"/>
      <w:bookmarkEnd w:id="1752"/>
      <w:bookmarkStart w:id="1753" w:name="_Toc47451571"/>
      <w:bookmarkEnd w:id="1753"/>
      <w:bookmarkStart w:id="1754" w:name="_Toc47451839"/>
      <w:bookmarkEnd w:id="1754"/>
      <w:bookmarkStart w:id="1755" w:name="_Toc47451840"/>
      <w:bookmarkEnd w:id="1755"/>
      <w:bookmarkStart w:id="1756" w:name="_Toc47452168"/>
      <w:bookmarkEnd w:id="1756"/>
      <w:bookmarkStart w:id="1757" w:name="_Toc47457117"/>
      <w:bookmarkEnd w:id="1757"/>
      <w:bookmarkStart w:id="1758" w:name="_Toc47451572"/>
      <w:bookmarkEnd w:id="1758"/>
      <w:bookmarkStart w:id="1759" w:name="_Toc47455860"/>
      <w:bookmarkEnd w:id="1759"/>
      <w:bookmarkStart w:id="1760" w:name="_Toc47452169"/>
      <w:bookmarkEnd w:id="1760"/>
      <w:bookmarkStart w:id="1761" w:name="_Toc47451453"/>
      <w:bookmarkEnd w:id="1761"/>
      <w:bookmarkStart w:id="1762" w:name="_Toc48742277"/>
      <w:bookmarkStart w:id="1763" w:name="_Toc46910506"/>
      <w:bookmarkStart w:id="1764" w:name="_Toc47455862"/>
      <w:bookmarkStart w:id="1765" w:name="_Toc55318680"/>
      <w:bookmarkStart w:id="1766" w:name="_Toc47457119"/>
      <w:r>
        <w:rPr>
          <w:rFonts w:hint="eastAsia" w:ascii="仿宋_GB2312" w:eastAsia="仿宋_GB2312"/>
          <w:b/>
          <w:sz w:val="30"/>
          <w:szCs w:val="30"/>
        </w:rPr>
        <w:t>终止转让</w:t>
      </w:r>
      <w:bookmarkEnd w:id="1762"/>
      <w:bookmarkEnd w:id="1763"/>
      <w:bookmarkEnd w:id="1764"/>
      <w:bookmarkEnd w:id="1765"/>
      <w:bookmarkEnd w:id="1766"/>
    </w:p>
    <w:p w14:paraId="47BBB11D">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特定债券根据偿付方案偿付完毕、终止上市挂牌、存在不适宜转让情形或本所认定的其他情形的，本所可以终止该特定债券转让。</w:t>
      </w:r>
    </w:p>
    <w:p w14:paraId="3E34C5BF">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债券消除不再适用特定转让情形且债券仍存续的，本所可以终止该债券的特定转让，并安排其继续上市或挂牌交易，债券投资者可通过债券信息网查阅发行人或受托管理人的相关公告。恢复正常交易后，其交易方式按照进特定转让板块前的交易方式处理</w:t>
      </w:r>
      <w:r>
        <w:rPr>
          <w:rFonts w:ascii="仿宋_GB2312" w:hAnsi="仿宋" w:eastAsia="仿宋_GB2312"/>
          <w:sz w:val="30"/>
          <w:szCs w:val="30"/>
        </w:rPr>
        <w:t>。</w:t>
      </w:r>
    </w:p>
    <w:p w14:paraId="1450AA3A">
      <w:pPr>
        <w:numPr>
          <w:ilvl w:val="1"/>
          <w:numId w:val="4"/>
        </w:numPr>
        <w:spacing w:line="600" w:lineRule="exact"/>
        <w:ind w:left="0" w:firstLine="0"/>
        <w:outlineLvl w:val="1"/>
        <w:rPr>
          <w:rFonts w:ascii="仿宋_GB2312" w:eastAsia="仿宋_GB2312"/>
          <w:b/>
          <w:sz w:val="30"/>
          <w:szCs w:val="30"/>
        </w:rPr>
      </w:pPr>
      <w:bookmarkStart w:id="1767" w:name="_Toc97819665"/>
      <w:bookmarkEnd w:id="1767"/>
      <w:bookmarkStart w:id="1768" w:name="_Toc694856006"/>
      <w:bookmarkStart w:id="1769" w:name="_Toc1922864969"/>
      <w:bookmarkStart w:id="1770" w:name="_Toc2130092417"/>
      <w:bookmarkStart w:id="1771" w:name="_Toc151136911"/>
      <w:bookmarkStart w:id="1772" w:name="_Toc503409711"/>
      <w:r>
        <w:rPr>
          <w:rFonts w:ascii="仿宋_GB2312" w:eastAsia="仿宋_GB2312"/>
          <w:b/>
          <w:sz w:val="30"/>
          <w:szCs w:val="30"/>
        </w:rPr>
        <w:t>盘中临时停牌</w:t>
      </w:r>
      <w:bookmarkEnd w:id="1768"/>
      <w:bookmarkEnd w:id="1769"/>
      <w:bookmarkEnd w:id="1770"/>
      <w:bookmarkEnd w:id="1771"/>
      <w:bookmarkEnd w:id="1772"/>
    </w:p>
    <w:p w14:paraId="2759391E">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债券</w:t>
      </w:r>
      <w:r>
        <w:rPr>
          <w:rFonts w:ascii="仿宋_GB2312" w:hAnsi="仿宋" w:eastAsia="仿宋_GB2312"/>
          <w:sz w:val="30"/>
          <w:szCs w:val="30"/>
        </w:rPr>
        <w:t>现券交易按照</w:t>
      </w:r>
      <w:r>
        <w:rPr>
          <w:rFonts w:hint="eastAsia" w:ascii="仿宋_GB2312" w:hAnsi="仿宋" w:eastAsia="仿宋_GB2312"/>
          <w:sz w:val="30"/>
          <w:szCs w:val="30"/>
        </w:rPr>
        <w:t>《关于债券</w:t>
      </w:r>
      <w:r>
        <w:rPr>
          <w:rFonts w:ascii="仿宋_GB2312" w:hAnsi="仿宋" w:eastAsia="仿宋_GB2312"/>
          <w:sz w:val="30"/>
          <w:szCs w:val="30"/>
        </w:rPr>
        <w:t>匹配成交</w:t>
      </w:r>
      <w:r>
        <w:rPr>
          <w:rFonts w:hint="eastAsia" w:ascii="仿宋_GB2312" w:hAnsi="仿宋" w:eastAsia="仿宋_GB2312"/>
          <w:sz w:val="30"/>
          <w:szCs w:val="30"/>
        </w:rPr>
        <w:t>盘中临时停牌及有关事项的</w:t>
      </w:r>
      <w:r>
        <w:rPr>
          <w:rFonts w:ascii="仿宋_GB2312" w:hAnsi="仿宋" w:eastAsia="仿宋_GB2312"/>
          <w:sz w:val="30"/>
          <w:szCs w:val="30"/>
        </w:rPr>
        <w:t>通知</w:t>
      </w:r>
      <w:r>
        <w:rPr>
          <w:rFonts w:hint="eastAsia" w:ascii="仿宋_GB2312" w:hAnsi="仿宋" w:eastAsia="仿宋_GB2312"/>
          <w:sz w:val="30"/>
          <w:szCs w:val="30"/>
        </w:rPr>
        <w:t>》的</w:t>
      </w:r>
      <w:r>
        <w:rPr>
          <w:rFonts w:ascii="仿宋_GB2312" w:hAnsi="仿宋" w:eastAsia="仿宋_GB2312"/>
          <w:sz w:val="30"/>
          <w:szCs w:val="30"/>
        </w:rPr>
        <w:t>相关规定，实施价格异常波动盘中临时停牌。</w:t>
      </w:r>
    </w:p>
    <w:p w14:paraId="665A4B56">
      <w:pPr>
        <w:numPr>
          <w:ilvl w:val="2"/>
          <w:numId w:val="4"/>
        </w:numPr>
        <w:spacing w:line="600" w:lineRule="exact"/>
        <w:outlineLvl w:val="2"/>
        <w:rPr>
          <w:rFonts w:ascii="仿宋_GB2312" w:eastAsia="仿宋_GB2312"/>
          <w:b/>
          <w:sz w:val="30"/>
          <w:szCs w:val="30"/>
        </w:rPr>
      </w:pPr>
      <w:r>
        <w:rPr>
          <w:rFonts w:hint="eastAsia" w:ascii="仿宋_GB2312" w:eastAsia="仿宋_GB2312"/>
          <w:b/>
          <w:sz w:val="30"/>
          <w:szCs w:val="30"/>
        </w:rPr>
        <w:t>适用情形</w:t>
      </w:r>
    </w:p>
    <w:p w14:paraId="04E69CC6">
      <w:pPr>
        <w:spacing w:line="600" w:lineRule="exact"/>
        <w:ind w:firstLine="602" w:firstLineChars="201"/>
        <w:rPr>
          <w:rFonts w:ascii="仿宋_GB2312" w:hAnsi="仿宋" w:eastAsia="仿宋_GB2312"/>
          <w:bCs/>
          <w:sz w:val="30"/>
          <w:szCs w:val="30"/>
        </w:rPr>
      </w:pPr>
      <w:r>
        <w:rPr>
          <w:rFonts w:hint="eastAsia" w:ascii="仿宋_GB2312" w:hAnsi="仿宋" w:eastAsia="仿宋_GB2312"/>
          <w:bCs/>
          <w:sz w:val="30"/>
          <w:szCs w:val="30"/>
        </w:rPr>
        <w:t>债券匹配</w:t>
      </w:r>
      <w:r>
        <w:rPr>
          <w:rFonts w:ascii="仿宋_GB2312" w:hAnsi="仿宋" w:eastAsia="仿宋_GB2312"/>
          <w:bCs/>
          <w:sz w:val="30"/>
          <w:szCs w:val="30"/>
        </w:rPr>
        <w:t>成交</w:t>
      </w:r>
      <w:r>
        <w:rPr>
          <w:rFonts w:hint="eastAsia" w:ascii="仿宋_GB2312" w:hAnsi="仿宋" w:eastAsia="仿宋_GB2312"/>
          <w:bCs/>
          <w:sz w:val="30"/>
          <w:szCs w:val="30"/>
        </w:rPr>
        <w:t>出现以下异常波动情形之一的，本所可以实施盘中临时停牌：</w:t>
      </w:r>
    </w:p>
    <w:p w14:paraId="5390B1C8">
      <w:pPr>
        <w:spacing w:line="600" w:lineRule="exact"/>
        <w:ind w:firstLine="602" w:firstLineChars="201"/>
        <w:rPr>
          <w:rFonts w:ascii="仿宋_GB2312" w:hAnsi="仿宋" w:eastAsia="仿宋_GB2312"/>
          <w:bCs/>
          <w:sz w:val="30"/>
          <w:szCs w:val="30"/>
        </w:rPr>
      </w:pPr>
      <w:r>
        <w:rPr>
          <w:rFonts w:hint="eastAsia" w:ascii="仿宋_GB2312" w:hAnsi="仿宋" w:eastAsia="仿宋_GB2312"/>
          <w:bCs/>
          <w:sz w:val="30"/>
          <w:szCs w:val="30"/>
        </w:rPr>
        <w:t>（1</w:t>
      </w:r>
      <w:r>
        <w:rPr>
          <w:rFonts w:ascii="仿宋_GB2312" w:hAnsi="仿宋" w:eastAsia="仿宋_GB2312"/>
          <w:bCs/>
          <w:sz w:val="30"/>
          <w:szCs w:val="30"/>
        </w:rPr>
        <w:t>）</w:t>
      </w:r>
      <w:r>
        <w:rPr>
          <w:rFonts w:hint="eastAsia" w:ascii="仿宋_GB2312" w:hAnsi="仿宋" w:eastAsia="仿宋_GB2312"/>
          <w:bCs/>
          <w:sz w:val="30"/>
          <w:szCs w:val="30"/>
        </w:rPr>
        <w:t>国债、地方政府债券、政策性金融债券和</w:t>
      </w:r>
      <w:r>
        <w:rPr>
          <w:rFonts w:ascii="仿宋_GB2312" w:hAnsi="仿宋" w:eastAsia="仿宋_GB2312"/>
          <w:bCs/>
          <w:sz w:val="30"/>
          <w:szCs w:val="30"/>
        </w:rPr>
        <w:t>政府支持债券</w:t>
      </w:r>
      <w:r>
        <w:rPr>
          <w:rFonts w:hint="eastAsia" w:ascii="仿宋_GB2312" w:hAnsi="仿宋" w:eastAsia="仿宋_GB2312"/>
          <w:bCs/>
          <w:sz w:val="30"/>
          <w:szCs w:val="30"/>
        </w:rPr>
        <w:t>盘中成交价格较前收盘价首次上涨或下跌达到或超过10%的，临时停牌持续时间为30分钟，临时停牌时间跨越</w:t>
      </w:r>
      <w:r>
        <w:rPr>
          <w:rFonts w:ascii="仿宋_GB2312" w:hAnsi="仿宋" w:eastAsia="仿宋_GB2312"/>
          <w:bCs/>
          <w:sz w:val="30"/>
          <w:szCs w:val="30"/>
        </w:rPr>
        <w:t>15</w:t>
      </w:r>
      <w:r>
        <w:rPr>
          <w:rFonts w:hint="eastAsia" w:ascii="仿宋_GB2312" w:hAnsi="仿宋" w:eastAsia="仿宋_GB2312"/>
          <w:bCs/>
          <w:sz w:val="30"/>
          <w:szCs w:val="30"/>
        </w:rPr>
        <w:t>:</w:t>
      </w:r>
      <w:r>
        <w:rPr>
          <w:rFonts w:ascii="仿宋_GB2312" w:hAnsi="仿宋" w:eastAsia="仿宋_GB2312"/>
          <w:bCs/>
          <w:sz w:val="30"/>
          <w:szCs w:val="30"/>
        </w:rPr>
        <w:t>27</w:t>
      </w:r>
      <w:r>
        <w:rPr>
          <w:rFonts w:hint="eastAsia" w:ascii="仿宋_GB2312" w:hAnsi="仿宋" w:eastAsia="仿宋_GB2312"/>
          <w:bCs/>
          <w:sz w:val="30"/>
          <w:szCs w:val="30"/>
        </w:rPr>
        <w:t>的，于当日</w:t>
      </w:r>
      <w:r>
        <w:rPr>
          <w:rFonts w:ascii="仿宋_GB2312" w:hAnsi="仿宋" w:eastAsia="仿宋_GB2312"/>
          <w:bCs/>
          <w:sz w:val="30"/>
          <w:szCs w:val="30"/>
        </w:rPr>
        <w:t>15</w:t>
      </w:r>
      <w:r>
        <w:rPr>
          <w:rFonts w:hint="eastAsia" w:ascii="仿宋_GB2312" w:hAnsi="仿宋" w:eastAsia="仿宋_GB2312"/>
          <w:bCs/>
          <w:sz w:val="30"/>
          <w:szCs w:val="30"/>
        </w:rPr>
        <w:t>:</w:t>
      </w:r>
      <w:r>
        <w:rPr>
          <w:rFonts w:ascii="仿宋_GB2312" w:hAnsi="仿宋" w:eastAsia="仿宋_GB2312"/>
          <w:bCs/>
          <w:sz w:val="30"/>
          <w:szCs w:val="30"/>
        </w:rPr>
        <w:t>27</w:t>
      </w:r>
      <w:r>
        <w:rPr>
          <w:rFonts w:hint="eastAsia" w:ascii="仿宋_GB2312" w:hAnsi="仿宋" w:eastAsia="仿宋_GB2312"/>
          <w:bCs/>
          <w:sz w:val="30"/>
          <w:szCs w:val="30"/>
        </w:rPr>
        <w:t>复牌；较前收盘价首次上涨或下跌达到或超过20%的，</w:t>
      </w:r>
      <w:r>
        <w:rPr>
          <w:rFonts w:ascii="仿宋_GB2312" w:hAnsi="仿宋" w:eastAsia="仿宋_GB2312"/>
          <w:bCs/>
          <w:sz w:val="30"/>
          <w:szCs w:val="30"/>
        </w:rPr>
        <w:t>临时停牌时间持续至当日15</w:t>
      </w:r>
      <w:r>
        <w:rPr>
          <w:rFonts w:hint="eastAsia" w:ascii="仿宋_GB2312" w:hAnsi="仿宋" w:eastAsia="仿宋_GB2312"/>
          <w:bCs/>
          <w:sz w:val="30"/>
          <w:szCs w:val="30"/>
        </w:rPr>
        <w:t>:</w:t>
      </w:r>
      <w:r>
        <w:rPr>
          <w:rFonts w:ascii="仿宋_GB2312" w:hAnsi="仿宋" w:eastAsia="仿宋_GB2312"/>
          <w:bCs/>
          <w:sz w:val="30"/>
          <w:szCs w:val="30"/>
        </w:rPr>
        <w:t>27</w:t>
      </w:r>
      <w:r>
        <w:rPr>
          <w:rFonts w:hint="eastAsia" w:ascii="仿宋_GB2312" w:hAnsi="仿宋" w:eastAsia="仿宋_GB2312"/>
          <w:bCs/>
          <w:sz w:val="30"/>
          <w:szCs w:val="30"/>
        </w:rPr>
        <w:t>。</w:t>
      </w:r>
    </w:p>
    <w:p w14:paraId="3CB66E52">
      <w:pPr>
        <w:spacing w:line="600" w:lineRule="exact"/>
        <w:ind w:firstLine="602" w:firstLineChars="201"/>
        <w:rPr>
          <w:rFonts w:ascii="仿宋_GB2312" w:hAnsi="仿宋" w:eastAsia="仿宋_GB2312"/>
          <w:bCs/>
          <w:sz w:val="30"/>
          <w:szCs w:val="30"/>
        </w:rPr>
      </w:pPr>
      <w:r>
        <w:rPr>
          <w:rFonts w:hint="eastAsia" w:ascii="仿宋_GB2312" w:hAnsi="仿宋" w:eastAsia="仿宋_GB2312"/>
          <w:bCs/>
          <w:sz w:val="30"/>
          <w:szCs w:val="30"/>
        </w:rPr>
        <w:t>（2</w:t>
      </w:r>
      <w:r>
        <w:rPr>
          <w:rFonts w:ascii="仿宋_GB2312" w:hAnsi="仿宋" w:eastAsia="仿宋_GB2312"/>
          <w:bCs/>
          <w:sz w:val="30"/>
          <w:szCs w:val="30"/>
        </w:rPr>
        <w:t>）</w:t>
      </w:r>
      <w:r>
        <w:rPr>
          <w:rFonts w:hint="eastAsia" w:ascii="仿宋_GB2312" w:hAnsi="仿宋" w:eastAsia="仿宋_GB2312"/>
          <w:bCs/>
          <w:sz w:val="30"/>
          <w:szCs w:val="30"/>
        </w:rPr>
        <w:t>其他债券（不含上市公司发行的可转换公司债券）盘中成交价格较前收盘价首次上涨或下跌达到或超过20%的，临时停牌持续时间为30分钟，临时停牌时间跨越15:27的，于当日15:27复牌；较前收盘价首次上涨或下跌达到或超过30%的，</w:t>
      </w:r>
      <w:r>
        <w:rPr>
          <w:rFonts w:ascii="仿宋_GB2312" w:hAnsi="仿宋" w:eastAsia="仿宋_GB2312"/>
          <w:bCs/>
          <w:sz w:val="30"/>
          <w:szCs w:val="30"/>
        </w:rPr>
        <w:t>临时停牌时间持续至当日15</w:t>
      </w:r>
      <w:r>
        <w:rPr>
          <w:rFonts w:hint="eastAsia" w:ascii="仿宋_GB2312" w:hAnsi="仿宋" w:eastAsia="仿宋_GB2312"/>
          <w:bCs/>
          <w:sz w:val="30"/>
          <w:szCs w:val="30"/>
        </w:rPr>
        <w:t>:</w:t>
      </w:r>
      <w:r>
        <w:rPr>
          <w:rFonts w:ascii="仿宋_GB2312" w:hAnsi="仿宋" w:eastAsia="仿宋_GB2312"/>
          <w:bCs/>
          <w:sz w:val="30"/>
          <w:szCs w:val="30"/>
        </w:rPr>
        <w:t>27</w:t>
      </w:r>
      <w:r>
        <w:rPr>
          <w:rFonts w:hint="eastAsia" w:ascii="仿宋_GB2312" w:hAnsi="仿宋" w:eastAsia="仿宋_GB2312"/>
          <w:bCs/>
          <w:sz w:val="30"/>
          <w:szCs w:val="30"/>
        </w:rPr>
        <w:t>。</w:t>
      </w:r>
    </w:p>
    <w:p w14:paraId="4A1875D9">
      <w:pPr>
        <w:spacing w:line="600" w:lineRule="exact"/>
        <w:ind w:firstLine="602" w:firstLineChars="201"/>
        <w:rPr>
          <w:rFonts w:ascii="仿宋_GB2312" w:hAnsi="仿宋" w:eastAsia="仿宋_GB2312"/>
          <w:bCs/>
          <w:sz w:val="30"/>
          <w:szCs w:val="30"/>
        </w:rPr>
      </w:pPr>
      <w:r>
        <w:rPr>
          <w:rFonts w:hint="eastAsia" w:ascii="仿宋_GB2312" w:hAnsi="仿宋" w:eastAsia="仿宋_GB2312"/>
          <w:bCs/>
          <w:sz w:val="30"/>
          <w:szCs w:val="30"/>
        </w:rPr>
        <w:t>（3</w:t>
      </w:r>
      <w:r>
        <w:rPr>
          <w:rFonts w:ascii="仿宋_GB2312" w:hAnsi="仿宋" w:eastAsia="仿宋_GB2312"/>
          <w:bCs/>
          <w:sz w:val="30"/>
          <w:szCs w:val="30"/>
        </w:rPr>
        <w:t>）</w:t>
      </w:r>
      <w:r>
        <w:rPr>
          <w:rFonts w:hint="eastAsia" w:ascii="仿宋_GB2312" w:hAnsi="仿宋" w:eastAsia="仿宋_GB2312"/>
          <w:bCs/>
          <w:sz w:val="30"/>
          <w:szCs w:val="30"/>
        </w:rPr>
        <w:t>本所认为可以实施盘中临时停牌的其他情形。</w:t>
      </w:r>
    </w:p>
    <w:p w14:paraId="21BE0A4F">
      <w:pPr>
        <w:spacing w:line="600" w:lineRule="exact"/>
        <w:ind w:firstLine="602" w:firstLineChars="201"/>
        <w:rPr>
          <w:rFonts w:ascii="仿宋_GB2312" w:hAnsi="仿宋" w:eastAsia="仿宋_GB2312"/>
          <w:bCs/>
          <w:sz w:val="30"/>
          <w:szCs w:val="30"/>
        </w:rPr>
      </w:pPr>
      <w:r>
        <w:rPr>
          <w:rFonts w:hint="eastAsia" w:ascii="仿宋_GB2312" w:eastAsia="仿宋_GB2312"/>
          <w:sz w:val="30"/>
          <w:szCs w:val="30"/>
        </w:rPr>
        <w:t>本所可以视债券交易情况调整相关指标阈值，或者采取进一步的盘中风险控制措施。</w:t>
      </w:r>
    </w:p>
    <w:p w14:paraId="2D10840F">
      <w:pPr>
        <w:numPr>
          <w:ilvl w:val="2"/>
          <w:numId w:val="4"/>
        </w:numPr>
        <w:spacing w:line="600" w:lineRule="exact"/>
        <w:outlineLvl w:val="2"/>
        <w:rPr>
          <w:rFonts w:ascii="仿宋_GB2312" w:eastAsia="仿宋_GB2312"/>
          <w:b/>
          <w:sz w:val="30"/>
          <w:szCs w:val="30"/>
        </w:rPr>
      </w:pPr>
      <w:r>
        <w:rPr>
          <w:rFonts w:hint="eastAsia" w:ascii="仿宋_GB2312" w:eastAsia="仿宋_GB2312"/>
          <w:b/>
          <w:sz w:val="30"/>
          <w:szCs w:val="30"/>
        </w:rPr>
        <w:t>临停公告</w:t>
      </w:r>
    </w:p>
    <w:p w14:paraId="52E64480">
      <w:pPr>
        <w:spacing w:line="600" w:lineRule="exact"/>
        <w:ind w:firstLine="600" w:firstLineChars="200"/>
        <w:rPr>
          <w:rFonts w:ascii="仿宋_GB2312" w:hAnsi="仿宋" w:eastAsia="仿宋_GB2312"/>
          <w:bCs/>
          <w:sz w:val="30"/>
          <w:szCs w:val="30"/>
        </w:rPr>
      </w:pPr>
      <w:r>
        <w:rPr>
          <w:rFonts w:hint="eastAsia" w:ascii="仿宋_GB2312" w:hAnsi="仿宋" w:eastAsia="仿宋_GB2312"/>
          <w:bCs/>
          <w:sz w:val="30"/>
          <w:szCs w:val="30"/>
        </w:rPr>
        <w:t>实施盘中临时停牌后，本所将通过官方网站（www.sse.com.cn）和卫星传输系统对外发布公告。</w:t>
      </w:r>
    </w:p>
    <w:p w14:paraId="2D718970">
      <w:pPr>
        <w:spacing w:line="600" w:lineRule="exact"/>
        <w:ind w:firstLine="600" w:firstLineChars="200"/>
        <w:rPr>
          <w:rFonts w:ascii="仿宋_GB2312" w:hAnsi="仿宋" w:eastAsia="仿宋_GB2312"/>
          <w:bCs/>
          <w:sz w:val="30"/>
          <w:szCs w:val="30"/>
        </w:rPr>
      </w:pPr>
      <w:r>
        <w:rPr>
          <w:rFonts w:hint="eastAsia" w:ascii="仿宋_GB2312" w:hAnsi="仿宋" w:eastAsia="仿宋_GB2312"/>
          <w:bCs/>
          <w:sz w:val="30"/>
          <w:szCs w:val="30"/>
        </w:rPr>
        <w:t>具体停复牌时间，以本所公告为准。</w:t>
      </w:r>
    </w:p>
    <w:p w14:paraId="67163319">
      <w:pPr>
        <w:numPr>
          <w:ilvl w:val="2"/>
          <w:numId w:val="4"/>
        </w:numPr>
        <w:spacing w:line="600" w:lineRule="exact"/>
        <w:outlineLvl w:val="2"/>
        <w:rPr>
          <w:rFonts w:ascii="仿宋_GB2312" w:hAnsi="仿宋" w:eastAsia="仿宋_GB2312"/>
          <w:b/>
          <w:bCs/>
          <w:sz w:val="30"/>
          <w:szCs w:val="30"/>
        </w:rPr>
      </w:pPr>
      <w:r>
        <w:rPr>
          <w:rFonts w:hint="eastAsia" w:ascii="仿宋_GB2312" w:hAnsi="仿宋" w:eastAsia="仿宋_GB2312"/>
          <w:b/>
          <w:bCs/>
          <w:sz w:val="30"/>
          <w:szCs w:val="30"/>
        </w:rPr>
        <w:t>临停</w:t>
      </w:r>
      <w:r>
        <w:rPr>
          <w:rFonts w:ascii="仿宋_GB2312" w:hAnsi="仿宋" w:eastAsia="仿宋_GB2312"/>
          <w:b/>
          <w:bCs/>
          <w:sz w:val="30"/>
          <w:szCs w:val="30"/>
        </w:rPr>
        <w:t>期间申报撤销</w:t>
      </w:r>
    </w:p>
    <w:p w14:paraId="07A02727">
      <w:pPr>
        <w:spacing w:line="600" w:lineRule="exact"/>
        <w:ind w:firstLine="750" w:firstLineChars="250"/>
        <w:rPr>
          <w:rFonts w:ascii="仿宋_GB2312" w:hAnsi="仿宋" w:eastAsia="仿宋_GB2312"/>
          <w:bCs/>
          <w:sz w:val="30"/>
          <w:szCs w:val="30"/>
        </w:rPr>
      </w:pPr>
      <w:r>
        <w:rPr>
          <w:rFonts w:hint="eastAsia" w:ascii="仿宋_GB2312" w:hAnsi="仿宋" w:eastAsia="仿宋_GB2312"/>
          <w:bCs/>
          <w:sz w:val="30"/>
          <w:szCs w:val="30"/>
        </w:rPr>
        <w:t>投资者可以在盘中临时停牌期间撤销未成交的申报。</w:t>
      </w:r>
    </w:p>
    <w:p w14:paraId="5DF73CB1">
      <w:pPr>
        <w:numPr>
          <w:ilvl w:val="2"/>
          <w:numId w:val="4"/>
        </w:numPr>
        <w:spacing w:line="600" w:lineRule="exact"/>
        <w:outlineLvl w:val="2"/>
        <w:rPr>
          <w:rFonts w:ascii="仿宋_GB2312" w:hAnsi="仿宋" w:eastAsia="仿宋_GB2312"/>
          <w:b/>
          <w:bCs/>
          <w:sz w:val="30"/>
          <w:szCs w:val="30"/>
        </w:rPr>
      </w:pPr>
      <w:r>
        <w:rPr>
          <w:rFonts w:hint="eastAsia" w:ascii="仿宋_GB2312" w:hAnsi="仿宋" w:eastAsia="仿宋_GB2312"/>
          <w:b/>
          <w:bCs/>
          <w:sz w:val="30"/>
          <w:szCs w:val="30"/>
        </w:rPr>
        <w:t>可转债</w:t>
      </w:r>
      <w:r>
        <w:rPr>
          <w:rFonts w:ascii="仿宋_GB2312" w:hAnsi="仿宋" w:eastAsia="仿宋_GB2312"/>
          <w:b/>
          <w:bCs/>
          <w:sz w:val="30"/>
          <w:szCs w:val="30"/>
        </w:rPr>
        <w:t>盘中临时停牌</w:t>
      </w:r>
    </w:p>
    <w:p w14:paraId="33CB0ED7">
      <w:pPr>
        <w:spacing w:line="600" w:lineRule="exact"/>
        <w:ind w:firstLine="750" w:firstLineChars="250"/>
        <w:rPr>
          <w:rFonts w:ascii="仿宋_GB2312" w:hAnsi="仿宋" w:eastAsia="仿宋_GB2312"/>
          <w:bCs/>
          <w:sz w:val="30"/>
          <w:szCs w:val="30"/>
        </w:rPr>
      </w:pPr>
      <w:r>
        <w:rPr>
          <w:rFonts w:hint="eastAsia" w:ascii="仿宋_GB2312" w:hAnsi="微软雅黑" w:eastAsia="仿宋_GB2312"/>
          <w:sz w:val="30"/>
          <w:szCs w:val="30"/>
        </w:rPr>
        <w:t>上市公司发行的可转换公司债券（</w:t>
      </w:r>
      <w:r>
        <w:rPr>
          <w:rFonts w:ascii="仿宋_GB2312" w:hAnsi="微软雅黑" w:eastAsia="仿宋_GB2312"/>
          <w:sz w:val="30"/>
          <w:szCs w:val="30"/>
        </w:rPr>
        <w:t>以下简称</w:t>
      </w:r>
      <w:r>
        <w:rPr>
          <w:rFonts w:hint="eastAsia" w:ascii="仿宋_GB2312" w:hAnsi="微软雅黑" w:eastAsia="仿宋_GB2312"/>
          <w:sz w:val="30"/>
          <w:szCs w:val="30"/>
        </w:rPr>
        <w:t>可转债）盘中临时停牌仍继续适用</w:t>
      </w:r>
      <w:r>
        <w:rPr>
          <w:rFonts w:hint="eastAsia" w:ascii="仿宋_GB2312" w:hAnsi="微软雅黑" w:eastAsia="仿宋_GB2312" w:cs="宋体"/>
          <w:kern w:val="0"/>
          <w:sz w:val="30"/>
          <w:szCs w:val="30"/>
        </w:rPr>
        <w:t>《上海证券交易所证券异常交易实时监控细则》</w:t>
      </w:r>
      <w:r>
        <w:rPr>
          <w:rFonts w:ascii="仿宋_GB2312" w:hAnsi="微软雅黑" w:eastAsia="仿宋_GB2312"/>
          <w:sz w:val="30"/>
          <w:szCs w:val="30"/>
        </w:rPr>
        <w:t>相关规定</w:t>
      </w:r>
      <w:r>
        <w:rPr>
          <w:rFonts w:hint="eastAsia" w:ascii="仿宋_GB2312" w:hAnsi="微软雅黑" w:eastAsia="仿宋_GB2312"/>
          <w:sz w:val="30"/>
          <w:szCs w:val="30"/>
        </w:rPr>
        <w:t>，待本所发布实施可转债专门规定之后，可转债盘中临时停牌将适用专门规定，具体时间由本所另行通知。</w:t>
      </w:r>
    </w:p>
    <w:p w14:paraId="7DFE6EAE">
      <w:pPr>
        <w:spacing w:line="600" w:lineRule="exact"/>
        <w:ind w:firstLine="602" w:firstLineChars="201"/>
        <w:rPr>
          <w:rFonts w:ascii="仿宋_GB2312" w:hAnsi="仿宋" w:eastAsia="仿宋_GB2312"/>
          <w:bCs/>
          <w:sz w:val="30"/>
          <w:szCs w:val="30"/>
        </w:rPr>
      </w:pPr>
    </w:p>
    <w:p w14:paraId="68C03AD6">
      <w:pPr>
        <w:spacing w:line="600" w:lineRule="exact"/>
        <w:rPr>
          <w:rFonts w:ascii="仿宋_GB2312" w:eastAsia="仿宋_GB2312"/>
          <w:sz w:val="30"/>
          <w:szCs w:val="30"/>
        </w:rPr>
      </w:pPr>
    </w:p>
    <w:p w14:paraId="403FB803">
      <w:pPr>
        <w:numPr>
          <w:ilvl w:val="0"/>
          <w:numId w:val="4"/>
        </w:numPr>
        <w:spacing w:line="600" w:lineRule="exact"/>
        <w:outlineLvl w:val="0"/>
        <w:rPr>
          <w:rFonts w:ascii="仿宋_GB2312" w:hAnsi="仿宋" w:eastAsia="仿宋_GB2312"/>
          <w:szCs w:val="30"/>
        </w:rPr>
      </w:pPr>
      <w:bookmarkStart w:id="1773" w:name="_Toc47452177"/>
      <w:bookmarkEnd w:id="1773"/>
      <w:bookmarkStart w:id="1774" w:name="_Toc47443765"/>
      <w:bookmarkEnd w:id="1774"/>
      <w:bookmarkStart w:id="1775" w:name="_Toc47443189"/>
      <w:bookmarkEnd w:id="1775"/>
      <w:bookmarkStart w:id="1776" w:name="_Toc47452173"/>
      <w:bookmarkEnd w:id="1776"/>
      <w:bookmarkStart w:id="1777" w:name="_Toc47443082"/>
      <w:bookmarkEnd w:id="1777"/>
      <w:bookmarkStart w:id="1778" w:name="_Toc47451845"/>
      <w:bookmarkEnd w:id="1778"/>
      <w:bookmarkStart w:id="1779" w:name="_Toc59181208"/>
      <w:bookmarkEnd w:id="1779"/>
      <w:bookmarkStart w:id="1780" w:name="_Toc59181090"/>
      <w:bookmarkEnd w:id="1780"/>
      <w:bookmarkStart w:id="1781" w:name="_Toc47452175"/>
      <w:bookmarkEnd w:id="1781"/>
      <w:bookmarkStart w:id="1782" w:name="_Toc47457126"/>
      <w:bookmarkEnd w:id="1782"/>
      <w:bookmarkStart w:id="1783" w:name="_Toc60331869"/>
      <w:bookmarkEnd w:id="1783"/>
      <w:bookmarkStart w:id="1784" w:name="_Toc59034107"/>
      <w:bookmarkEnd w:id="1784"/>
      <w:bookmarkStart w:id="1785" w:name="_Toc47455868"/>
      <w:bookmarkEnd w:id="1785"/>
      <w:bookmarkStart w:id="1786" w:name="_Toc59181321"/>
      <w:bookmarkEnd w:id="1786"/>
      <w:bookmarkStart w:id="1787" w:name="_Toc47455865"/>
      <w:bookmarkEnd w:id="1787"/>
      <w:bookmarkStart w:id="1788" w:name="_Toc59181098"/>
      <w:bookmarkEnd w:id="1788"/>
      <w:bookmarkStart w:id="1789" w:name="_Toc47457123"/>
      <w:bookmarkEnd w:id="1789"/>
      <w:bookmarkStart w:id="1790" w:name="_Toc60327108"/>
      <w:bookmarkEnd w:id="1790"/>
      <w:bookmarkStart w:id="1791" w:name="_Toc59181211"/>
      <w:bookmarkEnd w:id="1791"/>
      <w:bookmarkStart w:id="1792" w:name="_Toc59034104"/>
      <w:bookmarkEnd w:id="1792"/>
      <w:bookmarkStart w:id="1793" w:name="_Toc47451576"/>
      <w:bookmarkEnd w:id="1793"/>
      <w:bookmarkStart w:id="1794" w:name="_Toc47372641"/>
      <w:bookmarkEnd w:id="1794"/>
      <w:bookmarkStart w:id="1795" w:name="_Toc59181199"/>
      <w:bookmarkEnd w:id="1795"/>
      <w:bookmarkStart w:id="1796" w:name="_Toc47443193"/>
      <w:bookmarkEnd w:id="1796"/>
      <w:bookmarkStart w:id="1797" w:name="_Toc59034101"/>
      <w:bookmarkEnd w:id="1797"/>
      <w:bookmarkStart w:id="1798" w:name="_Toc59181312"/>
      <w:bookmarkEnd w:id="1798"/>
      <w:bookmarkStart w:id="1799" w:name="_Toc60327110"/>
      <w:bookmarkEnd w:id="1799"/>
      <w:bookmarkStart w:id="1800" w:name="_Toc59181316"/>
      <w:bookmarkEnd w:id="1800"/>
      <w:bookmarkStart w:id="1801" w:name="_Toc60327111"/>
      <w:bookmarkEnd w:id="1801"/>
      <w:bookmarkStart w:id="1802" w:name="_Toc59034106"/>
      <w:bookmarkEnd w:id="1802"/>
      <w:bookmarkStart w:id="1803" w:name="_Toc47452172"/>
      <w:bookmarkEnd w:id="1803"/>
      <w:bookmarkStart w:id="1804" w:name="_Toc60327116"/>
      <w:bookmarkEnd w:id="1804"/>
      <w:bookmarkStart w:id="1805" w:name="_Toc47443081"/>
      <w:bookmarkEnd w:id="1805"/>
      <w:bookmarkStart w:id="1806" w:name="_Toc60327115"/>
      <w:bookmarkEnd w:id="1806"/>
      <w:bookmarkStart w:id="1807" w:name="_Toc59181198"/>
      <w:bookmarkEnd w:id="1807"/>
      <w:bookmarkStart w:id="1808" w:name="_Toc47455866"/>
      <w:bookmarkEnd w:id="1808"/>
      <w:bookmarkStart w:id="1809" w:name="_Toc47451842"/>
      <w:bookmarkEnd w:id="1809"/>
      <w:bookmarkStart w:id="1810" w:name="_Toc59181089"/>
      <w:bookmarkEnd w:id="1810"/>
      <w:bookmarkStart w:id="1811" w:name="_Toc59034581"/>
      <w:bookmarkEnd w:id="1811"/>
      <w:bookmarkStart w:id="1812" w:name="_Toc60327107"/>
      <w:bookmarkEnd w:id="1812"/>
      <w:bookmarkStart w:id="1813" w:name="_Toc47457125"/>
      <w:bookmarkEnd w:id="1813"/>
      <w:bookmarkStart w:id="1814" w:name="_Toc60331865"/>
      <w:bookmarkEnd w:id="1814"/>
      <w:bookmarkStart w:id="1815" w:name="_Toc60331864"/>
      <w:bookmarkEnd w:id="1815"/>
      <w:bookmarkStart w:id="1816" w:name="_Toc47451847"/>
      <w:bookmarkEnd w:id="1816"/>
      <w:bookmarkStart w:id="1817" w:name="_Toc47451457"/>
      <w:bookmarkEnd w:id="1817"/>
      <w:bookmarkStart w:id="1818" w:name="_Toc47366838"/>
      <w:bookmarkEnd w:id="1818"/>
      <w:bookmarkStart w:id="1819" w:name="_Toc59034577"/>
      <w:bookmarkEnd w:id="1819"/>
      <w:bookmarkStart w:id="1820" w:name="_Toc59034585"/>
      <w:bookmarkEnd w:id="1820"/>
      <w:bookmarkStart w:id="1821" w:name="_Toc59181308"/>
      <w:bookmarkEnd w:id="1821"/>
      <w:bookmarkStart w:id="1822" w:name="_Toc59181085"/>
      <w:bookmarkEnd w:id="1822"/>
      <w:bookmarkStart w:id="1823" w:name="_Toc59181092"/>
      <w:bookmarkEnd w:id="1823"/>
      <w:bookmarkStart w:id="1824" w:name="_Toc59181322"/>
      <w:bookmarkEnd w:id="1824"/>
      <w:bookmarkStart w:id="1825" w:name="_Toc60331862"/>
      <w:bookmarkEnd w:id="1825"/>
      <w:bookmarkStart w:id="1826" w:name="_Toc47451458"/>
      <w:bookmarkEnd w:id="1826"/>
      <w:bookmarkStart w:id="1827" w:name="_Toc47451574"/>
      <w:bookmarkEnd w:id="1827"/>
      <w:bookmarkStart w:id="1828" w:name="_Toc47451459"/>
      <w:bookmarkEnd w:id="1828"/>
      <w:bookmarkStart w:id="1829" w:name="_Toc47443767"/>
      <w:bookmarkEnd w:id="1829"/>
      <w:bookmarkStart w:id="1830" w:name="_Toc47443762"/>
      <w:bookmarkEnd w:id="1830"/>
      <w:bookmarkStart w:id="1831" w:name="_Toc59181093"/>
      <w:bookmarkEnd w:id="1831"/>
      <w:bookmarkStart w:id="1832" w:name="_Toc59034578"/>
      <w:bookmarkEnd w:id="1832"/>
      <w:bookmarkStart w:id="1833" w:name="_Toc59106982"/>
      <w:bookmarkEnd w:id="1833"/>
      <w:bookmarkStart w:id="1834" w:name="_Toc59181099"/>
      <w:bookmarkEnd w:id="1834"/>
      <w:bookmarkStart w:id="1835" w:name="_Toc60331858"/>
      <w:bookmarkEnd w:id="1835"/>
      <w:bookmarkStart w:id="1836" w:name="_Toc59181318"/>
      <w:bookmarkEnd w:id="1836"/>
      <w:bookmarkStart w:id="1837" w:name="_Toc60331863"/>
      <w:bookmarkEnd w:id="1837"/>
      <w:bookmarkStart w:id="1838" w:name="_Toc47455864"/>
      <w:bookmarkEnd w:id="1838"/>
      <w:bookmarkStart w:id="1839" w:name="_Toc47452176"/>
      <w:bookmarkEnd w:id="1839"/>
      <w:bookmarkStart w:id="1840" w:name="_Toc47443195"/>
      <w:bookmarkEnd w:id="1840"/>
      <w:bookmarkStart w:id="1841" w:name="_Toc59106988"/>
      <w:bookmarkEnd w:id="1841"/>
      <w:bookmarkStart w:id="1842" w:name="_Toc47443764"/>
      <w:bookmarkEnd w:id="1842"/>
      <w:bookmarkStart w:id="1843" w:name="_Toc59181083"/>
      <w:bookmarkEnd w:id="1843"/>
      <w:bookmarkStart w:id="1844" w:name="_Toc47451460"/>
      <w:bookmarkEnd w:id="1844"/>
      <w:bookmarkStart w:id="1845" w:name="_Toc59106985"/>
      <w:bookmarkEnd w:id="1845"/>
      <w:bookmarkStart w:id="1846" w:name="_Toc47443080"/>
      <w:bookmarkEnd w:id="1846"/>
      <w:bookmarkStart w:id="1847" w:name="_Toc59034103"/>
      <w:bookmarkEnd w:id="1847"/>
      <w:bookmarkStart w:id="1848" w:name="_Toc47457120"/>
      <w:bookmarkEnd w:id="1848"/>
      <w:bookmarkStart w:id="1849" w:name="_Toc59181091"/>
      <w:bookmarkEnd w:id="1849"/>
      <w:bookmarkStart w:id="1850" w:name="_Toc59181082"/>
      <w:bookmarkEnd w:id="1850"/>
      <w:bookmarkStart w:id="1851" w:name="_Toc59181310"/>
      <w:bookmarkEnd w:id="1851"/>
      <w:bookmarkStart w:id="1852" w:name="_Toc59034587"/>
      <w:bookmarkEnd w:id="1852"/>
      <w:bookmarkStart w:id="1853" w:name="_Toc59181202"/>
      <w:bookmarkEnd w:id="1853"/>
      <w:bookmarkStart w:id="1854" w:name="_Toc59034102"/>
      <w:bookmarkEnd w:id="1854"/>
      <w:bookmarkStart w:id="1855" w:name="_Toc47452171"/>
      <w:bookmarkEnd w:id="1855"/>
      <w:bookmarkStart w:id="1856" w:name="_Toc59106981"/>
      <w:bookmarkEnd w:id="1856"/>
      <w:bookmarkStart w:id="1857" w:name="_Toc47443766"/>
      <w:bookmarkEnd w:id="1857"/>
      <w:bookmarkStart w:id="1858" w:name="_Toc59106980"/>
      <w:bookmarkEnd w:id="1858"/>
      <w:bookmarkStart w:id="1859" w:name="_Toc60327101"/>
      <w:bookmarkEnd w:id="1859"/>
      <w:bookmarkStart w:id="1860" w:name="_Toc60331868"/>
      <w:bookmarkEnd w:id="1860"/>
      <w:bookmarkStart w:id="1861" w:name="_Toc47451843"/>
      <w:bookmarkEnd w:id="1861"/>
      <w:bookmarkStart w:id="1862" w:name="_Toc59181096"/>
      <w:bookmarkEnd w:id="1862"/>
      <w:bookmarkStart w:id="1863" w:name="_Toc59106987"/>
      <w:bookmarkEnd w:id="1863"/>
      <w:bookmarkStart w:id="1864" w:name="_Toc47452174"/>
      <w:bookmarkEnd w:id="1864"/>
      <w:bookmarkStart w:id="1865" w:name="_Toc59106991"/>
      <w:bookmarkEnd w:id="1865"/>
      <w:bookmarkStart w:id="1866" w:name="_Toc59106989"/>
      <w:bookmarkEnd w:id="1866"/>
      <w:bookmarkStart w:id="1867" w:name="_Toc59181194"/>
      <w:bookmarkEnd w:id="1867"/>
      <w:bookmarkStart w:id="1868" w:name="_Toc59106990"/>
      <w:bookmarkEnd w:id="1868"/>
      <w:bookmarkStart w:id="1869" w:name="_Toc60327100"/>
      <w:bookmarkEnd w:id="1869"/>
      <w:bookmarkStart w:id="1870" w:name="_Toc59181314"/>
      <w:bookmarkEnd w:id="1870"/>
      <w:bookmarkStart w:id="1871" w:name="_Toc60327114"/>
      <w:bookmarkEnd w:id="1871"/>
      <w:bookmarkStart w:id="1872" w:name="_Toc47443191"/>
      <w:bookmarkEnd w:id="1872"/>
      <w:bookmarkStart w:id="1873" w:name="_Toc59181313"/>
      <w:bookmarkEnd w:id="1873"/>
      <w:bookmarkStart w:id="1874" w:name="_Toc47443078"/>
      <w:bookmarkEnd w:id="1874"/>
      <w:bookmarkStart w:id="1875" w:name="_Toc59181084"/>
      <w:bookmarkEnd w:id="1875"/>
      <w:bookmarkStart w:id="1876" w:name="_Toc60331860"/>
      <w:bookmarkEnd w:id="1876"/>
      <w:bookmarkStart w:id="1877" w:name="_Toc59034099"/>
      <w:bookmarkEnd w:id="1877"/>
      <w:bookmarkStart w:id="1878" w:name="_Toc60331871"/>
      <w:bookmarkEnd w:id="1878"/>
      <w:bookmarkStart w:id="1879" w:name="_Toc59034109"/>
      <w:bookmarkEnd w:id="1879"/>
      <w:bookmarkStart w:id="1880" w:name="_Toc59181195"/>
      <w:bookmarkEnd w:id="1880"/>
      <w:bookmarkStart w:id="1881" w:name="_Toc60331874"/>
      <w:bookmarkEnd w:id="1881"/>
      <w:bookmarkStart w:id="1882" w:name="_Toc47457124"/>
      <w:bookmarkEnd w:id="1882"/>
      <w:bookmarkStart w:id="1883" w:name="_Toc59034582"/>
      <w:bookmarkEnd w:id="1883"/>
      <w:bookmarkStart w:id="1884" w:name="_Toc47372639"/>
      <w:bookmarkEnd w:id="1884"/>
      <w:bookmarkStart w:id="1885" w:name="_Toc59034584"/>
      <w:bookmarkEnd w:id="1885"/>
      <w:bookmarkStart w:id="1886" w:name="_Toc59034586"/>
      <w:bookmarkEnd w:id="1886"/>
      <w:bookmarkStart w:id="1887" w:name="_Toc47451846"/>
      <w:bookmarkEnd w:id="1887"/>
      <w:bookmarkStart w:id="1888" w:name="_Toc59181311"/>
      <w:bookmarkEnd w:id="1888"/>
      <w:bookmarkStart w:id="1889" w:name="_Toc59181086"/>
      <w:bookmarkEnd w:id="1889"/>
      <w:bookmarkStart w:id="1890" w:name="_Toc59034098"/>
      <w:bookmarkEnd w:id="1890"/>
      <w:bookmarkStart w:id="1891" w:name="_Toc59181204"/>
      <w:bookmarkEnd w:id="1891"/>
      <w:bookmarkStart w:id="1892" w:name="_Toc47451844"/>
      <w:bookmarkEnd w:id="1892"/>
      <w:bookmarkStart w:id="1893" w:name="_Toc59181323"/>
      <w:bookmarkEnd w:id="1893"/>
      <w:bookmarkStart w:id="1894" w:name="_Toc59181203"/>
      <w:bookmarkEnd w:id="1894"/>
      <w:bookmarkStart w:id="1895" w:name="_Toc47455869"/>
      <w:bookmarkEnd w:id="1895"/>
      <w:bookmarkStart w:id="1896" w:name="_Toc59034105"/>
      <w:bookmarkEnd w:id="1896"/>
      <w:bookmarkStart w:id="1897" w:name="_Toc47372640"/>
      <w:bookmarkEnd w:id="1897"/>
      <w:bookmarkStart w:id="1898" w:name="_Toc59106983"/>
      <w:bookmarkEnd w:id="1898"/>
      <w:bookmarkStart w:id="1899" w:name="_Toc59181094"/>
      <w:bookmarkEnd w:id="1899"/>
      <w:bookmarkStart w:id="1900" w:name="_Toc47451579"/>
      <w:bookmarkEnd w:id="1900"/>
      <w:bookmarkStart w:id="1901" w:name="_Toc60327109"/>
      <w:bookmarkEnd w:id="1901"/>
      <w:bookmarkStart w:id="1902" w:name="_Toc47443079"/>
      <w:bookmarkEnd w:id="1902"/>
      <w:bookmarkStart w:id="1903" w:name="_Toc59181306"/>
      <w:bookmarkEnd w:id="1903"/>
      <w:bookmarkStart w:id="1904" w:name="_Toc47451462"/>
      <w:bookmarkEnd w:id="1904"/>
      <w:bookmarkStart w:id="1905" w:name="_Toc59181196"/>
      <w:bookmarkEnd w:id="1905"/>
      <w:bookmarkStart w:id="1906" w:name="_Toc60331861"/>
      <w:bookmarkEnd w:id="1906"/>
      <w:bookmarkStart w:id="1907" w:name="_Toc59181088"/>
      <w:bookmarkEnd w:id="1907"/>
      <w:bookmarkStart w:id="1908" w:name="_Toc47443761"/>
      <w:bookmarkEnd w:id="1908"/>
      <w:bookmarkStart w:id="1909" w:name="_Toc47443194"/>
      <w:bookmarkEnd w:id="1909"/>
      <w:bookmarkStart w:id="1910" w:name="_Toc59181317"/>
      <w:bookmarkEnd w:id="1910"/>
      <w:bookmarkStart w:id="1911" w:name="_Toc47451577"/>
      <w:bookmarkEnd w:id="1911"/>
      <w:bookmarkStart w:id="1912" w:name="_Toc59034576"/>
      <w:bookmarkEnd w:id="1912"/>
      <w:bookmarkStart w:id="1913" w:name="_Toc59034108"/>
      <w:bookmarkEnd w:id="1913"/>
      <w:bookmarkStart w:id="1914" w:name="_Toc60327104"/>
      <w:bookmarkEnd w:id="1914"/>
      <w:bookmarkStart w:id="1915" w:name="_Toc59181320"/>
      <w:bookmarkEnd w:id="1915"/>
      <w:bookmarkStart w:id="1916" w:name="_Toc59181201"/>
      <w:bookmarkEnd w:id="1916"/>
      <w:bookmarkStart w:id="1917" w:name="_Toc59181209"/>
      <w:bookmarkEnd w:id="1917"/>
      <w:bookmarkStart w:id="1918" w:name="_Toc59106986"/>
      <w:bookmarkEnd w:id="1918"/>
      <w:bookmarkStart w:id="1919" w:name="_Toc59181197"/>
      <w:bookmarkEnd w:id="1919"/>
      <w:bookmarkStart w:id="1920" w:name="_Toc47366839"/>
      <w:bookmarkEnd w:id="1920"/>
      <w:bookmarkStart w:id="1921" w:name="_Toc47457122"/>
      <w:bookmarkEnd w:id="1921"/>
      <w:bookmarkStart w:id="1922" w:name="_Toc47443083"/>
      <w:bookmarkEnd w:id="1922"/>
      <w:bookmarkStart w:id="1923" w:name="_Toc59034100"/>
      <w:bookmarkEnd w:id="1923"/>
      <w:bookmarkStart w:id="1924" w:name="_Toc60327102"/>
      <w:bookmarkEnd w:id="1924"/>
      <w:bookmarkStart w:id="1925" w:name="_Toc59034588"/>
      <w:bookmarkEnd w:id="1925"/>
      <w:bookmarkStart w:id="1926" w:name="_Toc59034097"/>
      <w:bookmarkEnd w:id="1926"/>
      <w:bookmarkStart w:id="1927" w:name="_Toc60331872"/>
      <w:bookmarkEnd w:id="1927"/>
      <w:bookmarkStart w:id="1928" w:name="_Toc47443190"/>
      <w:bookmarkEnd w:id="1928"/>
      <w:bookmarkStart w:id="1929" w:name="_Toc59034579"/>
      <w:bookmarkEnd w:id="1929"/>
      <w:bookmarkStart w:id="1930" w:name="_Toc47443763"/>
      <w:bookmarkEnd w:id="1930"/>
      <w:bookmarkStart w:id="1931" w:name="_Toc60327106"/>
      <w:bookmarkEnd w:id="1931"/>
      <w:bookmarkStart w:id="1932" w:name="_Toc47443084"/>
      <w:bookmarkEnd w:id="1932"/>
      <w:bookmarkStart w:id="1933" w:name="_Toc60327105"/>
      <w:bookmarkEnd w:id="1933"/>
      <w:bookmarkStart w:id="1934" w:name="_Toc59181210"/>
      <w:bookmarkEnd w:id="1934"/>
      <w:bookmarkStart w:id="1935" w:name="_Toc59181315"/>
      <w:bookmarkEnd w:id="1935"/>
      <w:bookmarkStart w:id="1936" w:name="_Toc47451848"/>
      <w:bookmarkEnd w:id="1936"/>
      <w:bookmarkStart w:id="1937" w:name="_Toc47455863"/>
      <w:bookmarkEnd w:id="1937"/>
      <w:bookmarkStart w:id="1938" w:name="_Toc59181309"/>
      <w:bookmarkEnd w:id="1938"/>
      <w:bookmarkStart w:id="1939" w:name="_Toc60331873"/>
      <w:bookmarkEnd w:id="1939"/>
      <w:bookmarkStart w:id="1940" w:name="_Toc60327112"/>
      <w:bookmarkEnd w:id="1940"/>
      <w:bookmarkStart w:id="1941" w:name="_Toc60331857"/>
      <w:bookmarkEnd w:id="1941"/>
      <w:bookmarkStart w:id="1942" w:name="_Toc60327103"/>
      <w:bookmarkEnd w:id="1942"/>
      <w:bookmarkStart w:id="1943" w:name="_Toc59034583"/>
      <w:bookmarkEnd w:id="1943"/>
      <w:bookmarkStart w:id="1944" w:name="_Toc47451580"/>
      <w:bookmarkEnd w:id="1944"/>
      <w:bookmarkStart w:id="1945" w:name="_Toc47455867"/>
      <w:bookmarkEnd w:id="1945"/>
      <w:bookmarkStart w:id="1946" w:name="_Toc59181097"/>
      <w:bookmarkEnd w:id="1946"/>
      <w:bookmarkStart w:id="1947" w:name="_Toc59181205"/>
      <w:bookmarkEnd w:id="1947"/>
      <w:bookmarkStart w:id="1948" w:name="_Toc60327117"/>
      <w:bookmarkEnd w:id="1948"/>
      <w:bookmarkStart w:id="1949" w:name="_Toc59181307"/>
      <w:bookmarkEnd w:id="1949"/>
      <w:bookmarkStart w:id="1950" w:name="_Toc47372642"/>
      <w:bookmarkEnd w:id="1950"/>
      <w:bookmarkStart w:id="1951" w:name="_Toc60331859"/>
      <w:bookmarkEnd w:id="1951"/>
      <w:bookmarkStart w:id="1952" w:name="_Toc59181200"/>
      <w:bookmarkEnd w:id="1952"/>
      <w:bookmarkStart w:id="1953" w:name="_Toc47457121"/>
      <w:bookmarkEnd w:id="1953"/>
      <w:bookmarkStart w:id="1954" w:name="_Toc47451575"/>
      <w:bookmarkEnd w:id="1954"/>
      <w:bookmarkStart w:id="1955" w:name="_Toc59181206"/>
      <w:bookmarkEnd w:id="1955"/>
      <w:bookmarkStart w:id="1956" w:name="_Toc47451578"/>
      <w:bookmarkEnd w:id="1956"/>
      <w:bookmarkStart w:id="1957" w:name="_Toc59181087"/>
      <w:bookmarkEnd w:id="1957"/>
      <w:bookmarkStart w:id="1958" w:name="_Toc59034580"/>
      <w:bookmarkEnd w:id="1958"/>
      <w:bookmarkStart w:id="1959" w:name="_Toc60331866"/>
      <w:bookmarkEnd w:id="1959"/>
      <w:bookmarkStart w:id="1960" w:name="_Toc59106992"/>
      <w:bookmarkEnd w:id="1960"/>
      <w:bookmarkStart w:id="1961" w:name="_Toc59106984"/>
      <w:bookmarkEnd w:id="1961"/>
      <w:bookmarkStart w:id="1962" w:name="_Toc47443192"/>
      <w:bookmarkEnd w:id="1962"/>
      <w:bookmarkStart w:id="1963" w:name="_Toc47451456"/>
      <w:bookmarkEnd w:id="1963"/>
      <w:bookmarkStart w:id="1964" w:name="_Toc47451461"/>
      <w:bookmarkEnd w:id="1964"/>
      <w:bookmarkStart w:id="1965" w:name="_Toc60331867"/>
      <w:bookmarkEnd w:id="1965"/>
      <w:bookmarkStart w:id="1966" w:name="_Toc56166092"/>
      <w:bookmarkStart w:id="1967" w:name="_Toc56166281"/>
      <w:bookmarkStart w:id="1968" w:name="_Toc35006352"/>
      <w:bookmarkStart w:id="1969" w:name="_Toc24460045"/>
      <w:r>
        <w:rPr>
          <w:b/>
          <w:sz w:val="36"/>
        </w:rPr>
        <w:br w:type="page"/>
      </w:r>
      <w:bookmarkStart w:id="1970" w:name="_Toc1735283211"/>
      <w:bookmarkStart w:id="1971" w:name="_Toc1802883068"/>
      <w:bookmarkStart w:id="1972" w:name="_Toc1215805325"/>
      <w:bookmarkStart w:id="1973" w:name="_Toc986681052"/>
      <w:bookmarkStart w:id="1974" w:name="_Toc151136912"/>
      <w:r>
        <w:rPr>
          <w:rFonts w:hint="eastAsia" w:ascii="黑体" w:hAnsi="黑体" w:eastAsia="黑体" w:cs="黑体"/>
          <w:b/>
          <w:sz w:val="36"/>
        </w:rPr>
        <w:t>债券回购交易</w:t>
      </w:r>
      <w:bookmarkEnd w:id="1966"/>
      <w:bookmarkEnd w:id="1967"/>
      <w:bookmarkEnd w:id="1970"/>
      <w:bookmarkEnd w:id="1971"/>
      <w:bookmarkEnd w:id="1972"/>
      <w:bookmarkEnd w:id="1973"/>
      <w:bookmarkEnd w:id="1974"/>
    </w:p>
    <w:p w14:paraId="42A7BA0E">
      <w:pPr>
        <w:adjustRightInd w:val="0"/>
        <w:snapToGrid w:val="0"/>
        <w:spacing w:line="600" w:lineRule="exact"/>
        <w:ind w:firstLine="600"/>
        <w:rPr>
          <w:rFonts w:ascii="仿宋_GB2312" w:hAnsi="Calibri" w:eastAsia="仿宋_GB2312"/>
          <w:b/>
          <w:sz w:val="30"/>
          <w:szCs w:val="30"/>
        </w:rPr>
      </w:pPr>
      <w:r>
        <w:rPr>
          <w:rFonts w:hint="eastAsia" w:ascii="仿宋_GB2312" w:hAnsi="Calibri" w:eastAsia="仿宋_GB2312"/>
          <w:sz w:val="30"/>
          <w:szCs w:val="30"/>
        </w:rPr>
        <w:t>本指南所称债券回购交易是指资金融入方（正回购方）将债券出质以从资金融出方（逆</w:t>
      </w:r>
      <w:r>
        <w:rPr>
          <w:rFonts w:ascii="仿宋_GB2312" w:hAnsi="Calibri" w:eastAsia="仿宋_GB2312"/>
          <w:sz w:val="30"/>
          <w:szCs w:val="30"/>
        </w:rPr>
        <w:tab/>
      </w:r>
      <w:r>
        <w:rPr>
          <w:rFonts w:hint="eastAsia" w:ascii="仿宋_GB2312" w:hAnsi="Calibri" w:eastAsia="仿宋_GB2312"/>
          <w:sz w:val="30"/>
          <w:szCs w:val="30"/>
        </w:rPr>
        <w:t>回购方）融入资金，并约定到期解除质押返还资金的交易。</w:t>
      </w:r>
    </w:p>
    <w:p w14:paraId="624E2CB4">
      <w:pPr>
        <w:numPr>
          <w:ilvl w:val="1"/>
          <w:numId w:val="4"/>
        </w:numPr>
        <w:spacing w:line="600" w:lineRule="exact"/>
        <w:ind w:left="0" w:firstLine="0"/>
        <w:outlineLvl w:val="1"/>
        <w:rPr>
          <w:rFonts w:ascii="仿宋_GB2312" w:eastAsia="仿宋_GB2312"/>
          <w:b/>
          <w:sz w:val="30"/>
          <w:szCs w:val="30"/>
        </w:rPr>
      </w:pPr>
      <w:bookmarkStart w:id="1975" w:name="_Toc492066393"/>
      <w:bookmarkStart w:id="1976" w:name="_Toc151136913"/>
      <w:bookmarkStart w:id="1977" w:name="_Toc149070932"/>
      <w:bookmarkStart w:id="1978" w:name="_Toc2082624076"/>
      <w:bookmarkStart w:id="1979" w:name="_Toc1358345383"/>
      <w:bookmarkStart w:id="1980" w:name="_Toc56166282"/>
      <w:bookmarkStart w:id="1981" w:name="_Toc56166093"/>
      <w:r>
        <w:rPr>
          <w:rFonts w:hint="eastAsia" w:ascii="仿宋_GB2312" w:eastAsia="仿宋_GB2312"/>
          <w:b/>
          <w:sz w:val="30"/>
          <w:szCs w:val="30"/>
        </w:rPr>
        <w:t>一般规定</w:t>
      </w:r>
      <w:bookmarkEnd w:id="1975"/>
      <w:bookmarkEnd w:id="1976"/>
      <w:bookmarkEnd w:id="1977"/>
      <w:bookmarkEnd w:id="1978"/>
      <w:bookmarkEnd w:id="1979"/>
    </w:p>
    <w:p w14:paraId="33CC1066">
      <w:pPr>
        <w:numPr>
          <w:ilvl w:val="2"/>
          <w:numId w:val="4"/>
        </w:numPr>
        <w:spacing w:line="600" w:lineRule="exact"/>
        <w:ind w:left="0" w:firstLine="0"/>
        <w:outlineLvl w:val="2"/>
        <w:rPr>
          <w:rFonts w:ascii="仿宋_GB2312" w:eastAsia="仿宋_GB2312"/>
          <w:b/>
          <w:sz w:val="30"/>
          <w:szCs w:val="30"/>
        </w:rPr>
      </w:pPr>
      <w:bookmarkStart w:id="1982" w:name="_Toc57908928"/>
      <w:r>
        <w:rPr>
          <w:rFonts w:hint="eastAsia" w:ascii="仿宋_GB2312" w:eastAsia="仿宋_GB2312"/>
          <w:b/>
          <w:sz w:val="30"/>
          <w:szCs w:val="30"/>
        </w:rPr>
        <w:t>回购类型</w:t>
      </w:r>
      <w:bookmarkEnd w:id="1980"/>
      <w:bookmarkEnd w:id="1981"/>
      <w:bookmarkEnd w:id="1982"/>
    </w:p>
    <w:p w14:paraId="1360705F">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本指南所称债券回购交易包括通用回购、协议回购与三方回购。</w:t>
      </w:r>
    </w:p>
    <w:p w14:paraId="6818EA72">
      <w:pPr>
        <w:adjustRightInd w:val="0"/>
        <w:snapToGrid w:val="0"/>
        <w:spacing w:line="600" w:lineRule="exact"/>
        <w:ind w:firstLine="600"/>
        <w:rPr>
          <w:rFonts w:ascii="仿宋_GB2312" w:hAnsi="Calibri" w:eastAsia="仿宋_GB2312"/>
          <w:color w:val="000000"/>
          <w:sz w:val="30"/>
          <w:szCs w:val="30"/>
        </w:rPr>
      </w:pPr>
      <w:r>
        <w:rPr>
          <w:rFonts w:hint="eastAsia" w:ascii="仿宋_GB2312" w:eastAsia="仿宋_GB2312"/>
          <w:color w:val="000000"/>
          <w:sz w:val="30"/>
          <w:szCs w:val="30"/>
        </w:rPr>
        <w:t>通用回购交易指资金融入方</w:t>
      </w:r>
      <w:r>
        <w:rPr>
          <w:rFonts w:hint="eastAsia" w:ascii="仿宋_GB2312" w:hAnsi="Calibri" w:eastAsia="仿宋_GB2312"/>
          <w:sz w:val="30"/>
          <w:szCs w:val="30"/>
        </w:rPr>
        <w:t>（正回购方）</w:t>
      </w:r>
      <w:r>
        <w:rPr>
          <w:rFonts w:hint="eastAsia" w:ascii="仿宋_GB2312" w:eastAsia="仿宋_GB2312"/>
          <w:color w:val="000000"/>
          <w:sz w:val="30"/>
          <w:szCs w:val="30"/>
        </w:rPr>
        <w:t>将符合要求的债券申报质押，以相应折算率计算出的质押券价值为融资额度进行质押融资，交易双方约定在回购期满后返还资金同时解除债券质押的交易。</w:t>
      </w:r>
    </w:p>
    <w:p w14:paraId="0B77283A">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协议回购是指回购双方自主协商约定，由资金融入方（正回购方）将债券出质给资金融出方（逆回购方）融入资金，并在未来返还资金和支付回购利息，同时解除债券质押登记的交易。</w:t>
      </w:r>
    </w:p>
    <w:p w14:paraId="6930F72C">
      <w:pPr>
        <w:widowControl/>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三方回购是指资金融入方（正回购方）将债券出质给资金融出方（逆回购方）以融入资金，约定在未来返还资金和支付回购利息，同时解除债券质押，并由本所、证券登记结算等提供相关的担保品管理服务的交易。在三方回购交易中，回购双方在交易环节主要协商回购交易的金额、期限、利率、质押券篮子等基本要素，双方可不指定具体质押券及折扣率，质押券由登记结算机构根据相关规则及约定事后选取并进行存续期管理。</w:t>
      </w:r>
    </w:p>
    <w:p w14:paraId="5C0193E3">
      <w:pPr>
        <w:numPr>
          <w:ilvl w:val="2"/>
          <w:numId w:val="4"/>
        </w:numPr>
        <w:spacing w:line="600" w:lineRule="exact"/>
        <w:ind w:left="0" w:firstLine="0"/>
        <w:outlineLvl w:val="2"/>
        <w:rPr>
          <w:rFonts w:ascii="仿宋_GB2312" w:eastAsia="仿宋_GB2312"/>
          <w:b/>
          <w:sz w:val="30"/>
          <w:szCs w:val="30"/>
        </w:rPr>
      </w:pPr>
      <w:bookmarkStart w:id="1983" w:name="_Toc56166283"/>
      <w:bookmarkStart w:id="1984" w:name="_Toc56166094"/>
      <w:bookmarkStart w:id="1985" w:name="_Toc57908929"/>
      <w:r>
        <w:rPr>
          <w:rFonts w:hint="eastAsia" w:ascii="仿宋_GB2312" w:eastAsia="仿宋_GB2312"/>
          <w:b/>
          <w:sz w:val="30"/>
          <w:szCs w:val="30"/>
        </w:rPr>
        <w:t>交易</w:t>
      </w:r>
      <w:bookmarkEnd w:id="1983"/>
      <w:bookmarkEnd w:id="1984"/>
      <w:bookmarkEnd w:id="1985"/>
    </w:p>
    <w:p w14:paraId="1E17D6E5">
      <w:pPr>
        <w:widowControl/>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通用回购交易暂仅采用匹配成交方式达成交易，协议回购交易及三方回购交易暂仅可发起意向申报并采用协商成交方式达成交易，其他交易方式实施时间由本所另行通知。</w:t>
      </w:r>
    </w:p>
    <w:p w14:paraId="30251EE4">
      <w:pPr>
        <w:widowControl/>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债券回购具体交易事宜，详见本章第7.2、7.3、7.4节。</w:t>
      </w:r>
    </w:p>
    <w:p w14:paraId="2B78D773">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回购数据报送</w:t>
      </w:r>
    </w:p>
    <w:p w14:paraId="1D172EBE">
      <w:pPr>
        <w:adjustRightInd w:val="0"/>
        <w:snapToGrid w:val="0"/>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本所及证券登记结算机构就债券回购建立回购融资主体的数据报送与监测机制。回购参与主体应当加强回购风险的监测与评估，定期向本所报送其主体信息及相关业务数据。</w:t>
      </w:r>
    </w:p>
    <w:p w14:paraId="52F2F494">
      <w:pPr>
        <w:adjustRightInd w:val="0"/>
        <w:snapToGrid w:val="0"/>
        <w:spacing w:line="600" w:lineRule="exact"/>
        <w:ind w:firstLine="600"/>
        <w:rPr>
          <w:rFonts w:ascii="仿宋_GB2312" w:hAnsi="微软雅黑" w:eastAsia="仿宋_GB2312"/>
          <w:sz w:val="30"/>
          <w:szCs w:val="30"/>
        </w:rPr>
      </w:pPr>
      <w:r>
        <w:rPr>
          <w:rFonts w:hint="eastAsia" w:ascii="仿宋_GB2312" w:hAnsi="微软雅黑" w:eastAsia="仿宋_GB2312"/>
          <w:sz w:val="30"/>
          <w:szCs w:val="30"/>
        </w:rPr>
        <w:t>回购数据的报送内容及报送方式由本所及证券登记结算机构另行规定。</w:t>
      </w:r>
    </w:p>
    <w:p w14:paraId="719D0AC3">
      <w:pPr>
        <w:numPr>
          <w:ilvl w:val="2"/>
          <w:numId w:val="4"/>
        </w:numPr>
        <w:spacing w:line="600" w:lineRule="exact"/>
        <w:ind w:left="0" w:firstLine="0"/>
        <w:outlineLvl w:val="2"/>
        <w:rPr>
          <w:rFonts w:ascii="仿宋_GB2312" w:hAnsi="黑体" w:eastAsia="仿宋_GB2312"/>
          <w:b/>
          <w:sz w:val="30"/>
          <w:szCs w:val="30"/>
        </w:rPr>
      </w:pPr>
      <w:r>
        <w:rPr>
          <w:rFonts w:hint="eastAsia" w:ascii="仿宋_GB2312" w:hAnsi="Calibri" w:eastAsia="仿宋_GB2312"/>
          <w:b/>
          <w:kern w:val="0"/>
          <w:sz w:val="30"/>
          <w:szCs w:val="30"/>
        </w:rPr>
        <w:t>担保品处置</w:t>
      </w:r>
    </w:p>
    <w:p w14:paraId="3EF8F6B7">
      <w:pPr>
        <w:adjustRightInd w:val="0"/>
        <w:snapToGrid w:val="0"/>
        <w:spacing w:line="600" w:lineRule="exact"/>
        <w:ind w:firstLine="600" w:firstLineChars="200"/>
        <w:rPr>
          <w:rFonts w:ascii="仿宋_GB2312" w:eastAsia="仿宋_GB2312"/>
          <w:sz w:val="30"/>
          <w:szCs w:val="30"/>
        </w:rPr>
      </w:pPr>
      <w:r>
        <w:rPr>
          <w:rFonts w:hint="eastAsia" w:ascii="仿宋_GB2312" w:hAnsi="Calibri" w:eastAsia="仿宋_GB2312"/>
          <w:sz w:val="30"/>
          <w:szCs w:val="30"/>
        </w:rPr>
        <w:t>债券回购业务</w:t>
      </w:r>
      <w:r>
        <w:rPr>
          <w:rFonts w:hint="eastAsia" w:ascii="仿宋_GB2312" w:eastAsia="仿宋_GB2312"/>
          <w:sz w:val="30"/>
          <w:szCs w:val="30"/>
        </w:rPr>
        <w:t>出现支付违约或其他双方约定情形后，质权人（以下简称处置方）可根据与出质人的约定，通过本所建立的债券担保品处置平台（以下简称处置平台）对债券担保品（以下简称担保品）进行处置。</w:t>
      </w:r>
    </w:p>
    <w:p w14:paraId="39721264">
      <w:pPr>
        <w:adjustRightInd w:val="0"/>
        <w:snapToGrid w:val="0"/>
        <w:spacing w:line="600" w:lineRule="exact"/>
        <w:ind w:firstLine="600" w:firstLineChars="200"/>
        <w:rPr>
          <w:rFonts w:ascii="仿宋_GB2312" w:eastAsia="仿宋_GB2312"/>
          <w:sz w:val="30"/>
          <w:szCs w:val="30"/>
        </w:rPr>
      </w:pPr>
      <w:r>
        <w:rPr>
          <w:rFonts w:hint="eastAsia" w:ascii="仿宋_GB2312" w:eastAsia="仿宋_GB2312"/>
          <w:sz w:val="30"/>
          <w:szCs w:val="30"/>
        </w:rPr>
        <w:t>担保品处置平台的地址为https://bond.uap.sse.com.cn。</w:t>
      </w:r>
    </w:p>
    <w:p w14:paraId="25F5583E">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（1）处置标的</w:t>
      </w:r>
    </w:p>
    <w:p w14:paraId="3C2FCD6C">
      <w:pPr>
        <w:adjustRightInd w:val="0"/>
        <w:snapToGrid w:val="0"/>
        <w:spacing w:line="600" w:lineRule="exact"/>
        <w:ind w:firstLine="600" w:firstLineChars="200"/>
        <w:rPr>
          <w:rFonts w:ascii="仿宋_GB2312" w:eastAsia="仿宋_GB2312"/>
          <w:sz w:val="30"/>
          <w:szCs w:val="30"/>
        </w:rPr>
      </w:pPr>
      <w:r>
        <w:rPr>
          <w:rFonts w:hint="eastAsia" w:ascii="仿宋_GB2312" w:eastAsia="仿宋_GB2312"/>
          <w:sz w:val="30"/>
          <w:szCs w:val="30"/>
        </w:rPr>
        <w:t>处置平台可以支持的处置品种包括在指定登记结算机构存管并按规定办理担保的各类担保品，包括但不限于国债、地方政府债券、金融债、公司债券、可转债、资产支持证券以及本所认可的其他债券。本所可以调整通过处置平台处置的担保品范围。</w:t>
      </w:r>
    </w:p>
    <w:p w14:paraId="38C73EE7">
      <w:pPr>
        <w:adjustRightInd w:val="0"/>
        <w:snapToGrid w:val="0"/>
        <w:spacing w:line="600" w:lineRule="exact"/>
        <w:ind w:firstLine="600" w:firstLineChars="200"/>
        <w:rPr>
          <w:rFonts w:ascii="仿宋_GB2312" w:hAnsi="Calibri" w:eastAsia="仿宋_GB2312"/>
          <w:kern w:val="0"/>
          <w:sz w:val="30"/>
          <w:szCs w:val="30"/>
        </w:rPr>
      </w:pPr>
      <w:r>
        <w:rPr>
          <w:rFonts w:hint="eastAsia" w:ascii="仿宋_GB2312" w:eastAsia="仿宋_GB2312"/>
          <w:sz w:val="30"/>
          <w:szCs w:val="30"/>
        </w:rPr>
        <w:t>（2）参与主体</w:t>
      </w:r>
    </w:p>
    <w:p w14:paraId="5E7FF091">
      <w:pPr>
        <w:pStyle w:val="92"/>
        <w:widowControl w:val="0"/>
        <w:spacing w:line="540" w:lineRule="exact"/>
        <w:ind w:left="0" w:firstLine="600" w:firstLineChars="200"/>
        <w:jc w:val="both"/>
        <w:rPr>
          <w:rFonts w:ascii="仿宋_GB2312" w:eastAsia="仿宋_GB2312"/>
          <w:sz w:val="30"/>
          <w:szCs w:val="30"/>
          <w:lang w:eastAsia="zh-CN"/>
        </w:rPr>
      </w:pPr>
      <w:r>
        <w:rPr>
          <w:rFonts w:hint="eastAsia" w:ascii="仿宋_GB2312" w:eastAsia="仿宋_GB2312"/>
          <w:sz w:val="30"/>
          <w:szCs w:val="30"/>
          <w:lang w:eastAsia="zh-CN"/>
        </w:rPr>
        <w:t>证券登记结算机构、协议回购的逆回购方、三方回购的逆回购方以及本所认可的其他机构可以申请通过处置平台对债券担保品进行处置。参加担保品处置平台报价的主体应当为合格报价团成员，符合下列条件之一的机构可以向本所申请加入合格报价团：</w:t>
      </w:r>
    </w:p>
    <w:p w14:paraId="7F663487">
      <w:pPr>
        <w:spacing w:line="540" w:lineRule="exact"/>
        <w:ind w:firstLine="600" w:firstLineChars="200"/>
        <w:rPr>
          <w:rFonts w:ascii="仿宋_GB2312" w:eastAsia="仿宋_GB2312"/>
          <w:sz w:val="30"/>
          <w:szCs w:val="30"/>
        </w:rPr>
      </w:pPr>
      <w:r>
        <w:rPr>
          <w:rFonts w:hint="eastAsia" w:ascii="仿宋_GB2312" w:eastAsia="仿宋_GB2312"/>
          <w:sz w:val="30"/>
          <w:szCs w:val="30"/>
        </w:rPr>
        <w:t>1）商业银行；</w:t>
      </w:r>
    </w:p>
    <w:p w14:paraId="6ADD81E1">
      <w:pPr>
        <w:spacing w:line="540" w:lineRule="exact"/>
        <w:ind w:firstLine="600" w:firstLineChars="200"/>
        <w:rPr>
          <w:rFonts w:ascii="仿宋_GB2312" w:eastAsia="仿宋_GB2312"/>
          <w:sz w:val="30"/>
          <w:szCs w:val="30"/>
        </w:rPr>
      </w:pPr>
      <w:r>
        <w:rPr>
          <w:rFonts w:hint="eastAsia" w:ascii="仿宋_GB2312" w:eastAsia="仿宋_GB2312"/>
          <w:sz w:val="30"/>
          <w:szCs w:val="30"/>
        </w:rPr>
        <w:t>2）证券公司；</w:t>
      </w:r>
    </w:p>
    <w:p w14:paraId="6D45EF2A">
      <w:pPr>
        <w:spacing w:line="540" w:lineRule="exact"/>
        <w:ind w:firstLine="600" w:firstLineChars="200"/>
        <w:rPr>
          <w:rFonts w:ascii="仿宋_GB2312" w:eastAsia="仿宋_GB2312"/>
          <w:sz w:val="30"/>
          <w:szCs w:val="30"/>
        </w:rPr>
      </w:pPr>
      <w:r>
        <w:rPr>
          <w:rFonts w:hint="eastAsia" w:ascii="仿宋_GB2312" w:eastAsia="仿宋_GB2312"/>
          <w:sz w:val="30"/>
          <w:szCs w:val="30"/>
        </w:rPr>
        <w:t>3）保险公司；</w:t>
      </w:r>
    </w:p>
    <w:p w14:paraId="68EB6188">
      <w:pPr>
        <w:spacing w:line="540" w:lineRule="exact"/>
        <w:ind w:firstLine="600" w:firstLineChars="200"/>
        <w:rPr>
          <w:rFonts w:ascii="仿宋_GB2312" w:eastAsia="仿宋_GB2312"/>
          <w:sz w:val="30"/>
          <w:szCs w:val="30"/>
        </w:rPr>
      </w:pPr>
      <w:r>
        <w:rPr>
          <w:rFonts w:hint="eastAsia" w:ascii="仿宋_GB2312" w:eastAsia="仿宋_GB2312"/>
          <w:sz w:val="30"/>
          <w:szCs w:val="30"/>
        </w:rPr>
        <w:t>4）上年末资产管理规模超过1000亿元人民币的资产管理机构；</w:t>
      </w:r>
    </w:p>
    <w:p w14:paraId="23A3C20B">
      <w:pPr>
        <w:spacing w:line="540" w:lineRule="exact"/>
        <w:ind w:firstLine="600" w:firstLineChars="200"/>
        <w:rPr>
          <w:rFonts w:ascii="仿宋_GB2312" w:eastAsia="仿宋_GB2312"/>
          <w:sz w:val="30"/>
          <w:szCs w:val="30"/>
        </w:rPr>
      </w:pPr>
      <w:r>
        <w:rPr>
          <w:rFonts w:hint="eastAsia" w:ascii="仿宋_GB2312" w:eastAsia="仿宋_GB2312"/>
          <w:sz w:val="30"/>
          <w:szCs w:val="30"/>
        </w:rPr>
        <w:t>5）金融资产管理公司；</w:t>
      </w:r>
    </w:p>
    <w:p w14:paraId="347D8180">
      <w:pPr>
        <w:spacing w:line="540" w:lineRule="exact"/>
        <w:ind w:firstLine="600" w:firstLineChars="200"/>
        <w:rPr>
          <w:rFonts w:ascii="仿宋_GB2312" w:eastAsia="仿宋_GB2312"/>
          <w:sz w:val="30"/>
          <w:szCs w:val="30"/>
        </w:rPr>
      </w:pPr>
      <w:r>
        <w:rPr>
          <w:rFonts w:hint="eastAsia" w:ascii="仿宋_GB2312" w:eastAsia="仿宋_GB2312"/>
          <w:sz w:val="30"/>
          <w:szCs w:val="30"/>
        </w:rPr>
        <w:t>6）本所认可的其他机构。</w:t>
      </w:r>
    </w:p>
    <w:p w14:paraId="747C529A">
      <w:pPr>
        <w:adjustRightInd w:val="0"/>
        <w:snapToGrid w:val="0"/>
        <w:spacing w:line="600" w:lineRule="exact"/>
        <w:ind w:firstLine="600" w:firstLineChars="200"/>
        <w:rPr>
          <w:rFonts w:ascii="仿宋_GB2312" w:eastAsia="仿宋_GB2312"/>
          <w:sz w:val="30"/>
          <w:szCs w:val="30"/>
        </w:rPr>
      </w:pPr>
      <w:r>
        <w:rPr>
          <w:rFonts w:hint="eastAsia" w:ascii="仿宋_GB2312" w:eastAsia="仿宋_GB2312"/>
          <w:sz w:val="30"/>
          <w:szCs w:val="30"/>
        </w:rPr>
        <w:t>合格报价团成员代其他债券投资者报价的，应确保其符合投资者适当性相关要求，并自行与其签订相关协议。</w:t>
      </w:r>
    </w:p>
    <w:p w14:paraId="0CE30943">
      <w:pPr>
        <w:pStyle w:val="92"/>
        <w:widowControl w:val="0"/>
        <w:spacing w:line="540" w:lineRule="exact"/>
        <w:ind w:left="0" w:firstLine="600" w:firstLineChars="200"/>
        <w:jc w:val="both"/>
        <w:rPr>
          <w:rFonts w:ascii="仿宋_GB2312" w:eastAsia="仿宋_GB2312"/>
          <w:sz w:val="30"/>
          <w:szCs w:val="30"/>
          <w:lang w:eastAsia="zh-CN"/>
        </w:rPr>
      </w:pPr>
      <w:r>
        <w:rPr>
          <w:rFonts w:hint="eastAsia" w:ascii="仿宋_GB2312" w:eastAsia="仿宋_GB2312"/>
          <w:sz w:val="30"/>
          <w:szCs w:val="30"/>
          <w:lang w:eastAsia="zh-CN"/>
        </w:rPr>
        <w:t>（3）处置流程</w:t>
      </w:r>
    </w:p>
    <w:p w14:paraId="70C4D123">
      <w:pPr>
        <w:pStyle w:val="92"/>
        <w:widowControl w:val="0"/>
        <w:spacing w:line="540" w:lineRule="exact"/>
        <w:ind w:left="0" w:firstLine="600" w:firstLineChars="200"/>
        <w:jc w:val="both"/>
        <w:rPr>
          <w:rFonts w:ascii="仿宋_GB2312" w:hAnsi="Calibri" w:eastAsia="仿宋_GB2312"/>
          <w:sz w:val="30"/>
          <w:szCs w:val="30"/>
          <w:lang w:eastAsia="zh-CN"/>
        </w:rPr>
      </w:pPr>
      <w:r>
        <w:rPr>
          <w:rFonts w:hint="eastAsia" w:ascii="仿宋_GB2312" w:eastAsia="仿宋_GB2312"/>
          <w:sz w:val="30"/>
          <w:szCs w:val="30"/>
          <w:lang w:eastAsia="zh-CN"/>
        </w:rPr>
        <w:t>协议回购、三方回购的逆回购方拟作为处置方通过处置平台进行担保品处置的，</w:t>
      </w:r>
      <w:r>
        <w:rPr>
          <w:rFonts w:hint="eastAsia" w:ascii="仿宋_GB2312" w:hAnsi="Calibri" w:eastAsia="仿宋_GB2312"/>
          <w:sz w:val="30"/>
          <w:szCs w:val="30"/>
          <w:lang w:eastAsia="zh-CN"/>
        </w:rPr>
        <w:t>按以下流程进行：</w:t>
      </w:r>
    </w:p>
    <w:p w14:paraId="6FF75B82">
      <w:pPr>
        <w:adjustRightInd w:val="0"/>
        <w:snapToGri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1）逆回购方作为处置方向本所提交处置申请材料。</w:t>
      </w:r>
    </w:p>
    <w:p w14:paraId="2F41F9BD">
      <w:pPr>
        <w:adjustRightInd w:val="0"/>
        <w:snapToGri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2）处置方收到本所启动处置流程的通知后，与本所签订《上海证券交易所债券担保品处置技术服务协议》。</w:t>
      </w:r>
    </w:p>
    <w:p w14:paraId="6CDB2ADE">
      <w:pPr>
        <w:adjustRightInd w:val="0"/>
        <w:snapToGri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3）处置方通过处置平台向市场发布处置公告。处置公告中应明确处置债券清单、处置方式、处置时间、合格报价团范围、报价要求、中标原则、最低处置价格、缴款安排等内容。</w:t>
      </w:r>
    </w:p>
    <w:p w14:paraId="1F52B1EE">
      <w:pPr>
        <w:adjustRightInd w:val="0"/>
        <w:snapToGri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4）处置日，合格报价团成员通过债券担保品处置平台进行报价，对处置平台根据处置模式、中标原则产生处置的结果，处置方现场负责人签字确认。</w:t>
      </w:r>
    </w:p>
    <w:p w14:paraId="7F89D5F5">
      <w:pPr>
        <w:adjustRightInd w:val="0"/>
        <w:snapToGri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5）处置方通过处置平台向报价团成员发送处置结果，并通过处置平台向市场公告。</w:t>
      </w:r>
    </w:p>
    <w:p w14:paraId="39AEB6B1">
      <w:pPr>
        <w:adjustRightInd w:val="0"/>
        <w:snapToGrid w:val="0"/>
        <w:spacing w:line="600" w:lineRule="exact"/>
        <w:ind w:firstLine="600" w:firstLineChars="200"/>
        <w:rPr>
          <w:rFonts w:ascii="仿宋_GB2312" w:hAnsi="Calibri" w:eastAsia="仿宋_GB2312"/>
          <w:kern w:val="0"/>
          <w:sz w:val="30"/>
          <w:szCs w:val="30"/>
        </w:rPr>
      </w:pPr>
      <w:r>
        <w:rPr>
          <w:rFonts w:ascii="仿宋_GB2312" w:hAnsi="Calibri" w:eastAsia="仿宋_GB2312"/>
          <w:kern w:val="0"/>
          <w:sz w:val="30"/>
          <w:szCs w:val="30"/>
        </w:rPr>
        <w:t>6</w:t>
      </w:r>
      <w:r>
        <w:rPr>
          <w:rFonts w:hint="eastAsia" w:ascii="仿宋_GB2312" w:hAnsi="Calibri" w:eastAsia="仿宋_GB2312"/>
          <w:kern w:val="0"/>
          <w:sz w:val="30"/>
          <w:szCs w:val="30"/>
        </w:rPr>
        <w:t>）处置方和中标方根据缴款安排在线下完成缴款。</w:t>
      </w:r>
    </w:p>
    <w:p w14:paraId="3D82E823">
      <w:pPr>
        <w:adjustRightInd w:val="0"/>
        <w:snapToGrid w:val="0"/>
        <w:spacing w:line="600" w:lineRule="exact"/>
        <w:ind w:firstLine="600" w:firstLineChars="200"/>
        <w:rPr>
          <w:rFonts w:ascii="仿宋_GB2312" w:hAnsi="Calibri" w:eastAsia="仿宋_GB2312"/>
          <w:kern w:val="0"/>
          <w:sz w:val="30"/>
          <w:szCs w:val="30"/>
        </w:rPr>
      </w:pPr>
      <w:r>
        <w:rPr>
          <w:rFonts w:ascii="仿宋_GB2312" w:hAnsi="Calibri" w:eastAsia="仿宋_GB2312"/>
          <w:kern w:val="0"/>
          <w:sz w:val="30"/>
          <w:szCs w:val="30"/>
        </w:rPr>
        <w:t>7</w:t>
      </w:r>
      <w:r>
        <w:rPr>
          <w:rFonts w:hint="eastAsia" w:ascii="仿宋_GB2312" w:hAnsi="Calibri" w:eastAsia="仿宋_GB2312"/>
          <w:kern w:val="0"/>
          <w:sz w:val="30"/>
          <w:szCs w:val="30"/>
        </w:rPr>
        <w:t>）处置方向本所提交资金到账确认书，本所依据处置方提交的资金到账确认书向债券登记结算机构发送债券过户通知单，由证券登记结算机构按相关规则办理债券过户。</w:t>
      </w:r>
    </w:p>
    <w:p w14:paraId="693F009D">
      <w:pPr>
        <w:adjustRightInd w:val="0"/>
        <w:snapToGri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具体要求及流程按照《上海证券交易所债券担保品处置平台服务指引》执行。</w:t>
      </w:r>
    </w:p>
    <w:p w14:paraId="00455154">
      <w:pPr>
        <w:numPr>
          <w:ilvl w:val="2"/>
          <w:numId w:val="4"/>
        </w:numPr>
        <w:spacing w:line="600" w:lineRule="exact"/>
        <w:ind w:left="0" w:firstLine="0"/>
        <w:outlineLvl w:val="2"/>
        <w:rPr>
          <w:rFonts w:ascii="仿宋_GB2312" w:eastAsia="仿宋_GB2312"/>
          <w:b/>
          <w:sz w:val="30"/>
          <w:szCs w:val="30"/>
        </w:rPr>
      </w:pPr>
      <w:bookmarkStart w:id="1986" w:name="_Toc56166095"/>
      <w:bookmarkStart w:id="1987" w:name="_Toc57908930"/>
      <w:bookmarkStart w:id="1988" w:name="_Toc56166284"/>
      <w:r>
        <w:rPr>
          <w:rFonts w:hint="eastAsia" w:ascii="仿宋_GB2312" w:eastAsia="仿宋_GB2312"/>
          <w:b/>
          <w:sz w:val="30"/>
          <w:szCs w:val="30"/>
        </w:rPr>
        <w:t>名词解释</w:t>
      </w:r>
      <w:bookmarkEnd w:id="1986"/>
      <w:bookmarkEnd w:id="1987"/>
      <w:bookmarkEnd w:id="1988"/>
    </w:p>
    <w:p w14:paraId="088C0FD3">
      <w:pPr>
        <w:widowControl/>
        <w:adjustRightInd w:val="0"/>
        <w:snapToGrid w:val="0"/>
        <w:spacing w:line="600" w:lineRule="exact"/>
        <w:ind w:left="602"/>
        <w:rPr>
          <w:rFonts w:ascii="仿宋_GB2312" w:hAnsi="Calibri" w:eastAsia="仿宋_GB2312"/>
          <w:sz w:val="30"/>
          <w:szCs w:val="30"/>
        </w:rPr>
      </w:pPr>
      <w:r>
        <w:rPr>
          <w:rFonts w:hint="eastAsia" w:ascii="仿宋_GB2312" w:hAnsi="Calibri" w:eastAsia="仿宋_GB2312"/>
          <w:sz w:val="30"/>
          <w:szCs w:val="30"/>
        </w:rPr>
        <w:t>（1）回购方向，即正回购或逆回购；</w:t>
      </w:r>
    </w:p>
    <w:p w14:paraId="28EE907A">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（2）回购利率，即正回购方支付给逆回购方在回购期间融入资金的利息与融入资金的比例，以年利率（%）表示，保留三位小数；</w:t>
      </w:r>
    </w:p>
    <w:p w14:paraId="3F1921F3">
      <w:pPr>
        <w:adjustRightInd w:val="0"/>
        <w:snapToGrid w:val="0"/>
        <w:spacing w:line="600" w:lineRule="exact"/>
        <w:ind w:firstLine="600" w:firstLineChars="200"/>
        <w:rPr>
          <w:rFonts w:ascii="仿宋_GB2312" w:hAnsi="微软雅黑" w:eastAsia="仿宋_GB2312"/>
          <w:color w:val="000000"/>
          <w:sz w:val="30"/>
          <w:szCs w:val="30"/>
        </w:rPr>
      </w:pPr>
      <w:r>
        <w:rPr>
          <w:rFonts w:hint="eastAsia" w:ascii="仿宋_GB2312" w:hAnsi="微软雅黑" w:eastAsia="仿宋_GB2312"/>
          <w:color w:val="000000"/>
          <w:sz w:val="30"/>
          <w:szCs w:val="30"/>
        </w:rPr>
        <w:t>（</w:t>
      </w:r>
      <w:r>
        <w:rPr>
          <w:rFonts w:ascii="仿宋_GB2312" w:hAnsi="微软雅黑" w:eastAsia="仿宋_GB2312"/>
          <w:color w:val="000000"/>
          <w:sz w:val="30"/>
          <w:szCs w:val="30"/>
        </w:rPr>
        <w:t>3）正回购方，即债券回购交易的资金融</w:t>
      </w:r>
      <w:r>
        <w:rPr>
          <w:rFonts w:hint="eastAsia" w:ascii="仿宋_GB2312" w:hAnsi="微软雅黑" w:eastAsia="仿宋_GB2312"/>
          <w:color w:val="000000"/>
          <w:sz w:val="30"/>
          <w:szCs w:val="30"/>
        </w:rPr>
        <w:t>入</w:t>
      </w:r>
      <w:r>
        <w:rPr>
          <w:rFonts w:ascii="仿宋_GB2312" w:hAnsi="微软雅黑" w:eastAsia="仿宋_GB2312"/>
          <w:color w:val="000000"/>
          <w:sz w:val="30"/>
          <w:szCs w:val="30"/>
        </w:rPr>
        <w:t>方</w:t>
      </w:r>
      <w:r>
        <w:rPr>
          <w:rFonts w:hint="eastAsia" w:ascii="仿宋_GB2312" w:hAnsi="微软雅黑" w:eastAsia="仿宋_GB2312"/>
          <w:color w:val="000000"/>
          <w:sz w:val="30"/>
          <w:szCs w:val="30"/>
        </w:rPr>
        <w:t>。</w:t>
      </w:r>
    </w:p>
    <w:p w14:paraId="1BFEE211">
      <w:pPr>
        <w:adjustRightInd w:val="0"/>
        <w:snapToGrid w:val="0"/>
        <w:spacing w:line="600" w:lineRule="exact"/>
        <w:ind w:firstLine="600" w:firstLineChars="200"/>
        <w:rPr>
          <w:rFonts w:ascii="仿宋_GB2312" w:hAnsi="微软雅黑" w:eastAsia="仿宋_GB2312"/>
          <w:color w:val="000000"/>
          <w:sz w:val="30"/>
          <w:szCs w:val="30"/>
        </w:rPr>
      </w:pPr>
      <w:r>
        <w:rPr>
          <w:rFonts w:hint="eastAsia" w:ascii="仿宋_GB2312" w:hAnsi="微软雅黑" w:eastAsia="仿宋_GB2312"/>
          <w:color w:val="000000"/>
          <w:sz w:val="30"/>
          <w:szCs w:val="30"/>
        </w:rPr>
        <w:t>（</w:t>
      </w:r>
      <w:r>
        <w:rPr>
          <w:rFonts w:ascii="仿宋_GB2312" w:hAnsi="微软雅黑" w:eastAsia="仿宋_GB2312"/>
          <w:color w:val="000000"/>
          <w:sz w:val="30"/>
          <w:szCs w:val="30"/>
        </w:rPr>
        <w:t>4）逆回购方，即债券回购交易的资金融出方。</w:t>
      </w:r>
    </w:p>
    <w:p w14:paraId="0EDAA6E4">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（5）</w:t>
      </w:r>
      <w:r>
        <w:rPr>
          <w:rFonts w:hint="eastAsia" w:ascii="仿宋_GB2312" w:hAnsi="微软雅黑" w:eastAsia="仿宋_GB2312"/>
          <w:color w:val="000000"/>
          <w:sz w:val="30"/>
          <w:szCs w:val="30"/>
        </w:rPr>
        <w:t>质押券，即作为</w:t>
      </w:r>
      <w:r>
        <w:rPr>
          <w:rFonts w:hint="eastAsia" w:ascii="仿宋_GB2312" w:hAnsi="Calibri" w:eastAsia="仿宋_GB2312"/>
          <w:sz w:val="30"/>
          <w:szCs w:val="30"/>
        </w:rPr>
        <w:t>债券回购交易</w:t>
      </w:r>
      <w:r>
        <w:rPr>
          <w:rFonts w:hint="eastAsia" w:ascii="Calibri" w:hAnsi="Calibri" w:eastAsia="仿宋_GB2312"/>
          <w:color w:val="000000"/>
          <w:sz w:val="30"/>
          <w:szCs w:val="30"/>
        </w:rPr>
        <w:t>担保品</w:t>
      </w:r>
      <w:r>
        <w:rPr>
          <w:rFonts w:hint="eastAsia" w:ascii="仿宋_GB2312" w:hAnsi="微软雅黑" w:eastAsia="仿宋_GB2312"/>
          <w:color w:val="000000"/>
          <w:sz w:val="30"/>
          <w:szCs w:val="30"/>
        </w:rPr>
        <w:t>的债券。</w:t>
      </w:r>
    </w:p>
    <w:p w14:paraId="77BF1A49">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（6）质押券名称，即质押债券的债券简称；</w:t>
      </w:r>
    </w:p>
    <w:p w14:paraId="20FD9823">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（7）质押券代码，即质押债券的债券代码；</w:t>
      </w:r>
    </w:p>
    <w:p w14:paraId="5FED2EAA">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（8）质押券总面额，即用于回购交易的质押券的面额总和；</w:t>
      </w:r>
    </w:p>
    <w:p w14:paraId="63F397D9">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（9）质权人，即逆回购方。逆回购方为证券投资基金、银行理财等资产管理或理财产品的，质权人登记为管理人；</w:t>
      </w:r>
    </w:p>
    <w:p w14:paraId="0BC92F81">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（10）成交金额，即正回购方实际融入金额（不含其它费用），单位为元，保留两位小数；</w:t>
      </w:r>
    </w:p>
    <w:p w14:paraId="5A2788E4">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（11）质押券数量，即质押债券的数量，单位为千元面额；</w:t>
      </w:r>
    </w:p>
    <w:p w14:paraId="114F7A4A">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（12）折算比例，即成交金额占质押券总面额的百分比；</w:t>
      </w:r>
    </w:p>
    <w:p w14:paraId="61D4A7A5">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w:t>
      </w:r>
      <w:r>
        <w:rPr>
          <w:rFonts w:ascii="仿宋_GB2312" w:hAnsi="Calibri" w:eastAsia="仿宋_GB2312"/>
          <w:sz w:val="30"/>
          <w:szCs w:val="30"/>
        </w:rPr>
        <w:t>1</w:t>
      </w:r>
      <w:r>
        <w:rPr>
          <w:rFonts w:hint="eastAsia" w:ascii="仿宋_GB2312" w:hAnsi="Calibri" w:eastAsia="仿宋_GB2312"/>
          <w:sz w:val="30"/>
          <w:szCs w:val="30"/>
        </w:rPr>
        <w:t>3）首次结算日，即回购双方达成交易的日期；</w:t>
      </w:r>
    </w:p>
    <w:p w14:paraId="276A3A07">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w:t>
      </w:r>
      <w:r>
        <w:rPr>
          <w:rFonts w:ascii="仿宋_GB2312" w:hAnsi="Calibri" w:eastAsia="仿宋_GB2312"/>
          <w:sz w:val="30"/>
          <w:szCs w:val="30"/>
        </w:rPr>
        <w:t>1</w:t>
      </w:r>
      <w:r>
        <w:rPr>
          <w:rFonts w:hint="eastAsia" w:ascii="仿宋_GB2312" w:hAnsi="Calibri" w:eastAsia="仿宋_GB2312"/>
          <w:sz w:val="30"/>
          <w:szCs w:val="30"/>
        </w:rPr>
        <w:t>4）回购到期日，即回购双方约定回购到期的日期；</w:t>
      </w:r>
    </w:p>
    <w:p w14:paraId="7AC06AF8">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w:t>
      </w:r>
      <w:r>
        <w:rPr>
          <w:rFonts w:ascii="仿宋_GB2312" w:hAnsi="Calibri" w:eastAsia="仿宋_GB2312"/>
          <w:sz w:val="30"/>
          <w:szCs w:val="30"/>
        </w:rPr>
        <w:t>1</w:t>
      </w:r>
      <w:r>
        <w:rPr>
          <w:rFonts w:hint="eastAsia" w:ascii="仿宋_GB2312" w:hAnsi="Calibri" w:eastAsia="仿宋_GB2312"/>
          <w:sz w:val="30"/>
          <w:szCs w:val="30"/>
        </w:rPr>
        <w:t>5）回购期限，即成交日至回购到期日的实际天数。回购期限按自然日计算，以天为单位，含成交日，不含回购到期日；</w:t>
      </w:r>
    </w:p>
    <w:p w14:paraId="6D1363C2">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w:t>
      </w:r>
      <w:r>
        <w:rPr>
          <w:rFonts w:ascii="仿宋_GB2312" w:hAnsi="Calibri" w:eastAsia="仿宋_GB2312"/>
          <w:sz w:val="30"/>
          <w:szCs w:val="30"/>
        </w:rPr>
        <w:t>1</w:t>
      </w:r>
      <w:r>
        <w:rPr>
          <w:rFonts w:hint="eastAsia" w:ascii="仿宋_GB2312" w:hAnsi="Calibri" w:eastAsia="仿宋_GB2312"/>
          <w:sz w:val="30"/>
          <w:szCs w:val="30"/>
        </w:rPr>
        <w:t>6）到期结算日，即回购双方履行到期结算义务的日期。回购到期日为本所交易日的，到期结算日为回购到期日；回购到期日非本所交易日的，到期结算日顺延至回购到期日的下一交易日；</w:t>
      </w:r>
    </w:p>
    <w:p w14:paraId="38D65490">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w:t>
      </w:r>
      <w:r>
        <w:rPr>
          <w:rFonts w:ascii="仿宋_GB2312" w:hAnsi="Calibri" w:eastAsia="仿宋_GB2312"/>
          <w:sz w:val="30"/>
          <w:szCs w:val="30"/>
        </w:rPr>
        <w:t>1</w:t>
      </w:r>
      <w:r>
        <w:rPr>
          <w:rFonts w:hint="eastAsia" w:ascii="仿宋_GB2312" w:hAnsi="Calibri" w:eastAsia="仿宋_GB2312"/>
          <w:sz w:val="30"/>
          <w:szCs w:val="30"/>
        </w:rPr>
        <w:t>7）实际占款天数，即首次结算日至到期结算日的实际天数。实际占款天数按自然日计算，以天为单位，含首次结算日，不含到期结算日（算头不算尾）；</w:t>
      </w:r>
    </w:p>
    <w:p w14:paraId="7804DACB">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w:t>
      </w:r>
      <w:r>
        <w:rPr>
          <w:rFonts w:ascii="仿宋_GB2312" w:hAnsi="Calibri" w:eastAsia="仿宋_GB2312"/>
          <w:sz w:val="30"/>
          <w:szCs w:val="30"/>
        </w:rPr>
        <w:t>1</w:t>
      </w:r>
      <w:r>
        <w:rPr>
          <w:rFonts w:hint="eastAsia" w:ascii="仿宋_GB2312" w:hAnsi="Calibri" w:eastAsia="仿宋_GB2312"/>
          <w:sz w:val="30"/>
          <w:szCs w:val="30"/>
        </w:rPr>
        <w:t>8）回购利息，即正回购方在到期结算日应当支付的利息。回购利息＝成交金额*回购利率*实际占款天数/365，单位为元，保留两位小数；</w:t>
      </w:r>
    </w:p>
    <w:p w14:paraId="3C35285F">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w:t>
      </w:r>
      <w:r>
        <w:rPr>
          <w:rFonts w:ascii="仿宋_GB2312" w:hAnsi="Calibri" w:eastAsia="仿宋_GB2312"/>
          <w:sz w:val="30"/>
          <w:szCs w:val="30"/>
        </w:rPr>
        <w:t>1</w:t>
      </w:r>
      <w:r>
        <w:rPr>
          <w:rFonts w:hint="eastAsia" w:ascii="仿宋_GB2312" w:hAnsi="Calibri" w:eastAsia="仿宋_GB2312"/>
          <w:sz w:val="30"/>
          <w:szCs w:val="30"/>
        </w:rPr>
        <w:t>9）到期结算金额，即到期结算日正回购方应当支付的金额，等于成交金额与回购利息之和，单位为元，保留两位小数。</w:t>
      </w:r>
    </w:p>
    <w:p w14:paraId="6D83517B">
      <w:pPr>
        <w:numPr>
          <w:ilvl w:val="1"/>
          <w:numId w:val="4"/>
        </w:numPr>
        <w:spacing w:line="600" w:lineRule="exact"/>
        <w:ind w:left="0" w:firstLine="0"/>
        <w:outlineLvl w:val="1"/>
        <w:rPr>
          <w:rFonts w:ascii="仿宋_GB2312" w:eastAsia="仿宋_GB2312"/>
          <w:b/>
          <w:sz w:val="30"/>
          <w:szCs w:val="30"/>
        </w:rPr>
      </w:pPr>
      <w:bookmarkStart w:id="1989" w:name="_Toc60327121"/>
      <w:bookmarkEnd w:id="1989"/>
      <w:bookmarkStart w:id="1990" w:name="_Toc60327123"/>
      <w:bookmarkEnd w:id="1990"/>
      <w:bookmarkStart w:id="1991" w:name="_Toc60331884"/>
      <w:bookmarkEnd w:id="1991"/>
      <w:bookmarkStart w:id="1992" w:name="_Toc59034592"/>
      <w:bookmarkEnd w:id="1992"/>
      <w:bookmarkStart w:id="1993" w:name="_Toc60331885"/>
      <w:bookmarkEnd w:id="1993"/>
      <w:bookmarkStart w:id="1994" w:name="_Toc60327120"/>
      <w:bookmarkEnd w:id="1994"/>
      <w:bookmarkStart w:id="1995" w:name="_Toc60327126"/>
      <w:bookmarkEnd w:id="1995"/>
      <w:bookmarkStart w:id="1996" w:name="_Toc60331887"/>
      <w:bookmarkEnd w:id="1996"/>
      <w:bookmarkStart w:id="1997" w:name="_Toc60327124"/>
      <w:bookmarkEnd w:id="1997"/>
      <w:bookmarkStart w:id="1998" w:name="_Toc60327130"/>
      <w:bookmarkEnd w:id="1998"/>
      <w:bookmarkStart w:id="1999" w:name="_Toc59181214"/>
      <w:bookmarkEnd w:id="1999"/>
      <w:bookmarkStart w:id="2000" w:name="_Toc60327128"/>
      <w:bookmarkEnd w:id="2000"/>
      <w:bookmarkStart w:id="2001" w:name="_Toc60327122"/>
      <w:bookmarkEnd w:id="2001"/>
      <w:bookmarkStart w:id="2002" w:name="_Toc60331877"/>
      <w:bookmarkEnd w:id="2002"/>
      <w:bookmarkStart w:id="2003" w:name="_Toc59034113"/>
      <w:bookmarkEnd w:id="2003"/>
      <w:bookmarkStart w:id="2004" w:name="_Toc60331878"/>
      <w:bookmarkEnd w:id="2004"/>
      <w:bookmarkStart w:id="2005" w:name="_Toc59181326"/>
      <w:bookmarkEnd w:id="2005"/>
      <w:bookmarkStart w:id="2006" w:name="_Toc60331879"/>
      <w:bookmarkEnd w:id="2006"/>
      <w:bookmarkStart w:id="2007" w:name="_Toc60331883"/>
      <w:bookmarkEnd w:id="2007"/>
      <w:bookmarkStart w:id="2008" w:name="_Toc60327129"/>
      <w:bookmarkEnd w:id="2008"/>
      <w:bookmarkStart w:id="2009" w:name="_Toc60331881"/>
      <w:bookmarkEnd w:id="2009"/>
      <w:bookmarkStart w:id="2010" w:name="_Toc59106996"/>
      <w:bookmarkEnd w:id="2010"/>
      <w:bookmarkStart w:id="2011" w:name="_Toc60331882"/>
      <w:bookmarkEnd w:id="2011"/>
      <w:bookmarkStart w:id="2012" w:name="_Toc60327127"/>
      <w:bookmarkEnd w:id="2012"/>
      <w:bookmarkStart w:id="2013" w:name="_Toc60331886"/>
      <w:bookmarkEnd w:id="2013"/>
      <w:bookmarkStart w:id="2014" w:name="_Toc60331880"/>
      <w:bookmarkEnd w:id="2014"/>
      <w:bookmarkStart w:id="2015" w:name="_Toc59181102"/>
      <w:bookmarkEnd w:id="2015"/>
      <w:bookmarkStart w:id="2016" w:name="_Toc60327125"/>
      <w:bookmarkEnd w:id="2016"/>
      <w:bookmarkStart w:id="2017" w:name="_Toc1062335605"/>
      <w:bookmarkStart w:id="2018" w:name="_Toc151136914"/>
      <w:bookmarkStart w:id="2019" w:name="_Toc56166096"/>
      <w:bookmarkStart w:id="2020" w:name="_Toc270929372"/>
      <w:bookmarkStart w:id="2021" w:name="_Toc246373146"/>
      <w:bookmarkStart w:id="2022" w:name="_Toc56166285"/>
      <w:bookmarkStart w:id="2023" w:name="_Toc1580460144"/>
      <w:r>
        <w:rPr>
          <w:rFonts w:hint="eastAsia" w:ascii="仿宋_GB2312" w:eastAsia="仿宋_GB2312"/>
          <w:b/>
          <w:sz w:val="30"/>
          <w:szCs w:val="30"/>
        </w:rPr>
        <w:t>债券通用质押式回购</w:t>
      </w:r>
      <w:bookmarkEnd w:id="2017"/>
      <w:bookmarkEnd w:id="2018"/>
      <w:bookmarkEnd w:id="2019"/>
      <w:bookmarkEnd w:id="2020"/>
      <w:bookmarkEnd w:id="2021"/>
      <w:bookmarkEnd w:id="2022"/>
      <w:bookmarkEnd w:id="2023"/>
    </w:p>
    <w:p w14:paraId="1C9E4B9D">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概述</w:t>
      </w:r>
    </w:p>
    <w:p w14:paraId="56DA5001">
      <w:pPr>
        <w:adjustRightInd w:val="0"/>
        <w:snapToGrid w:val="0"/>
        <w:spacing w:line="600" w:lineRule="exact"/>
        <w:ind w:firstLine="600"/>
        <w:rPr>
          <w:rFonts w:ascii="仿宋_GB2312" w:hAnsi="微软雅黑" w:eastAsia="仿宋_GB2312"/>
          <w:color w:val="000000"/>
          <w:sz w:val="30"/>
          <w:szCs w:val="30"/>
        </w:rPr>
      </w:pPr>
      <w:r>
        <w:rPr>
          <w:rFonts w:hint="eastAsia" w:ascii="仿宋_GB2312" w:hAnsi="微软雅黑" w:eastAsia="仿宋_GB2312"/>
          <w:color w:val="000000"/>
          <w:sz w:val="30"/>
          <w:szCs w:val="30"/>
        </w:rPr>
        <w:t>通用回购交易是指资金融入方将符合要求的债券申报质押，以相应折算率计算出的质押券价值为融资额度进行质押融资，交易双方约定在回购期满后返还资金同时解除债券质押的交易。</w:t>
      </w:r>
    </w:p>
    <w:p w14:paraId="04F814FE">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相关规则</w:t>
      </w:r>
    </w:p>
    <w:p w14:paraId="027A47CA">
      <w:pPr>
        <w:adjustRightInd w:val="0"/>
        <w:snapToGrid w:val="0"/>
        <w:spacing w:line="600" w:lineRule="exact"/>
        <w:ind w:firstLine="600"/>
        <w:rPr>
          <w:rFonts w:ascii="仿宋_GB2312" w:hAnsi="微软雅黑" w:eastAsia="仿宋_GB2312"/>
          <w:color w:val="000000"/>
          <w:sz w:val="30"/>
          <w:szCs w:val="30"/>
        </w:rPr>
      </w:pPr>
      <w:r>
        <w:rPr>
          <w:rFonts w:hint="eastAsia" w:ascii="仿宋_GB2312" w:hAnsi="微软雅黑" w:eastAsia="仿宋_GB2312"/>
          <w:color w:val="000000"/>
          <w:sz w:val="30"/>
          <w:szCs w:val="30"/>
        </w:rPr>
        <w:t>1.《上海证券交易所债券交易规则适用指引第2号——债券通用质押式回购交易》（上证发〔2022〕26号）</w:t>
      </w:r>
    </w:p>
    <w:p w14:paraId="03FD6F23">
      <w:pPr>
        <w:adjustRightInd w:val="0"/>
        <w:snapToGrid w:val="0"/>
        <w:spacing w:line="600" w:lineRule="exact"/>
        <w:ind w:firstLine="600"/>
        <w:rPr>
          <w:rFonts w:ascii="仿宋_GB2312" w:hAnsi="微软雅黑" w:eastAsia="仿宋_GB2312"/>
          <w:color w:val="000000"/>
          <w:sz w:val="30"/>
          <w:szCs w:val="30"/>
        </w:rPr>
      </w:pPr>
      <w:r>
        <w:rPr>
          <w:rFonts w:hint="eastAsia" w:ascii="仿宋_GB2312" w:hAnsi="微软雅黑" w:eastAsia="仿宋_GB2312"/>
          <w:color w:val="000000"/>
          <w:sz w:val="30"/>
          <w:szCs w:val="30"/>
        </w:rPr>
        <w:t>2.《中国证券登记结算有限责任公司 上海证券交易所 深圳证券交易所债券质押式回购交易结算风险控制指引（2021年修订版）》（中国结算发字〔2021〕111号）</w:t>
      </w:r>
    </w:p>
    <w:p w14:paraId="5F9E9516">
      <w:pPr>
        <w:adjustRightInd w:val="0"/>
        <w:snapToGrid w:val="0"/>
        <w:spacing w:line="600" w:lineRule="exact"/>
        <w:ind w:firstLine="600"/>
        <w:rPr>
          <w:rFonts w:ascii="仿宋_GB2312" w:hAnsi="微软雅黑" w:eastAsia="仿宋_GB2312"/>
          <w:color w:val="000000"/>
          <w:sz w:val="30"/>
          <w:szCs w:val="30"/>
        </w:rPr>
      </w:pPr>
      <w:r>
        <w:rPr>
          <w:rFonts w:hint="eastAsia" w:ascii="仿宋_GB2312" w:hAnsi="微软雅黑" w:eastAsia="仿宋_GB2312"/>
          <w:color w:val="000000"/>
          <w:sz w:val="30"/>
          <w:szCs w:val="30"/>
        </w:rPr>
        <w:t>3.中国证券登记结算有限责任公司《关于发布&lt;标准券折算率（值）管理办法（2020年修订版）&gt;有关事项的通知》（中国结算发字〔2020〕90 号）</w:t>
      </w:r>
    </w:p>
    <w:p w14:paraId="766BA8CE">
      <w:pPr>
        <w:adjustRightInd w:val="0"/>
        <w:snapToGrid w:val="0"/>
        <w:spacing w:line="600" w:lineRule="exact"/>
        <w:ind w:firstLine="600"/>
        <w:rPr>
          <w:rFonts w:ascii="仿宋_GB2312" w:hAnsi="微软雅黑" w:eastAsia="仿宋_GB2312"/>
          <w:color w:val="000000"/>
          <w:sz w:val="30"/>
          <w:szCs w:val="30"/>
        </w:rPr>
      </w:pPr>
      <w:r>
        <w:rPr>
          <w:rFonts w:hint="eastAsia" w:ascii="仿宋_GB2312" w:hAnsi="微软雅黑" w:eastAsia="仿宋_GB2312"/>
          <w:color w:val="000000"/>
          <w:sz w:val="30"/>
          <w:szCs w:val="30"/>
        </w:rPr>
        <w:t>4.中国证券登记结算有限责任公司《</w:t>
      </w:r>
      <w:r>
        <w:rPr>
          <w:rFonts w:ascii="仿宋_GB2312" w:hAnsi="微软雅黑" w:eastAsia="仿宋_GB2312"/>
          <w:color w:val="000000"/>
          <w:sz w:val="30"/>
          <w:szCs w:val="30"/>
        </w:rPr>
        <w:t>关于发布</w:t>
      </w:r>
      <w:r>
        <w:rPr>
          <w:rFonts w:hint="eastAsia" w:ascii="仿宋_GB2312" w:hAnsi="微软雅黑" w:eastAsia="仿宋_GB2312"/>
          <w:color w:val="000000"/>
          <w:sz w:val="30"/>
          <w:szCs w:val="30"/>
        </w:rPr>
        <w:t>&lt;</w:t>
      </w:r>
      <w:r>
        <w:rPr>
          <w:rFonts w:ascii="仿宋_GB2312" w:hAnsi="微软雅黑" w:eastAsia="仿宋_GB2312"/>
          <w:color w:val="000000"/>
          <w:sz w:val="30"/>
          <w:szCs w:val="30"/>
        </w:rPr>
        <w:t>质押式回购资格准入标准及标准券折扣系数取值业务指引（2017 年修订版）</w:t>
      </w:r>
      <w:r>
        <w:rPr>
          <w:rFonts w:hint="eastAsia" w:ascii="仿宋_GB2312" w:hAnsi="微软雅黑" w:eastAsia="仿宋_GB2312"/>
          <w:color w:val="000000"/>
          <w:sz w:val="30"/>
          <w:szCs w:val="30"/>
        </w:rPr>
        <w:t>&gt;</w:t>
      </w:r>
      <w:r>
        <w:rPr>
          <w:rFonts w:ascii="仿宋_GB2312" w:hAnsi="微软雅黑" w:eastAsia="仿宋_GB2312"/>
          <w:color w:val="000000"/>
          <w:sz w:val="30"/>
          <w:szCs w:val="30"/>
        </w:rPr>
        <w:t>有关事项的通知</w:t>
      </w:r>
      <w:r>
        <w:rPr>
          <w:rFonts w:hint="eastAsia" w:ascii="仿宋_GB2312" w:hAnsi="微软雅黑" w:eastAsia="仿宋_GB2312"/>
          <w:color w:val="000000"/>
          <w:sz w:val="30"/>
          <w:szCs w:val="30"/>
        </w:rPr>
        <w:t>》（中国结算发字〔2017〕47 号）</w:t>
      </w:r>
    </w:p>
    <w:p w14:paraId="27088CEF">
      <w:pPr>
        <w:adjustRightInd w:val="0"/>
        <w:snapToGrid w:val="0"/>
        <w:spacing w:line="600" w:lineRule="exact"/>
        <w:ind w:firstLine="600"/>
        <w:rPr>
          <w:rFonts w:ascii="仿宋_GB2312" w:hAnsi="微软雅黑" w:eastAsia="仿宋_GB2312"/>
          <w:color w:val="000000"/>
          <w:sz w:val="30"/>
          <w:szCs w:val="30"/>
        </w:rPr>
      </w:pPr>
      <w:r>
        <w:rPr>
          <w:rFonts w:hint="eastAsia" w:ascii="仿宋_GB2312" w:hAnsi="微软雅黑" w:eastAsia="仿宋_GB2312"/>
          <w:color w:val="000000"/>
          <w:sz w:val="30"/>
          <w:szCs w:val="30"/>
        </w:rPr>
        <w:t>5.中国证券登记结算有限责任公司《关于政府支持债券开展质押式回购有关事项的通知》</w:t>
      </w:r>
    </w:p>
    <w:p w14:paraId="005196B7">
      <w:pPr>
        <w:adjustRightInd w:val="0"/>
        <w:snapToGrid w:val="0"/>
        <w:spacing w:line="600" w:lineRule="exact"/>
        <w:ind w:firstLine="600"/>
        <w:rPr>
          <w:rFonts w:ascii="仿宋_GB2312" w:hAnsi="微软雅黑" w:eastAsia="仿宋_GB2312"/>
          <w:color w:val="000000"/>
          <w:sz w:val="30"/>
          <w:szCs w:val="30"/>
        </w:rPr>
      </w:pPr>
      <w:r>
        <w:rPr>
          <w:rFonts w:hint="eastAsia" w:ascii="仿宋_GB2312" w:hAnsi="微软雅黑" w:eastAsia="仿宋_GB2312"/>
          <w:color w:val="000000"/>
          <w:sz w:val="30"/>
          <w:szCs w:val="30"/>
        </w:rPr>
        <w:t>6.中国证券登记结算有限责任公司《关于政府债券基金产品开展质押式回购有关事项的通知》（中国结算发字〔2020〕111 号）</w:t>
      </w:r>
    </w:p>
    <w:p w14:paraId="02980C04">
      <w:pPr>
        <w:adjustRightInd w:val="0"/>
        <w:snapToGrid w:val="0"/>
        <w:spacing w:line="600" w:lineRule="exact"/>
        <w:ind w:firstLine="600"/>
        <w:rPr>
          <w:rFonts w:ascii="仿宋_GB2312" w:hAnsi="微软雅黑" w:eastAsia="仿宋_GB2312"/>
          <w:color w:val="000000"/>
          <w:sz w:val="30"/>
          <w:szCs w:val="30"/>
        </w:rPr>
      </w:pPr>
      <w:r>
        <w:rPr>
          <w:rFonts w:hint="eastAsia" w:ascii="仿宋_GB2312" w:hAnsi="微软雅黑" w:eastAsia="仿宋_GB2312"/>
          <w:color w:val="000000"/>
          <w:sz w:val="30"/>
          <w:szCs w:val="30"/>
        </w:rPr>
        <w:t>7</w:t>
      </w:r>
      <w:r>
        <w:rPr>
          <w:rFonts w:ascii="仿宋_GB2312" w:hAnsi="微软雅黑" w:eastAsia="仿宋_GB2312"/>
          <w:color w:val="000000"/>
          <w:sz w:val="30"/>
          <w:szCs w:val="30"/>
        </w:rPr>
        <w:t>.</w:t>
      </w:r>
      <w:r>
        <w:rPr>
          <w:rFonts w:hint="eastAsia" w:ascii="仿宋_GB2312" w:hAnsi="微软雅黑" w:eastAsia="仿宋_GB2312"/>
          <w:color w:val="000000"/>
          <w:sz w:val="30"/>
          <w:szCs w:val="30"/>
        </w:rPr>
        <w:t>中国证券登记结算有限责任公司《中国证券登记结算有限责任公司受信用保护债券质押式回购管理暂行办法》（中国结算发字〔202</w:t>
      </w:r>
      <w:r>
        <w:rPr>
          <w:rFonts w:ascii="仿宋_GB2312" w:hAnsi="微软雅黑" w:eastAsia="仿宋_GB2312"/>
          <w:color w:val="000000"/>
          <w:sz w:val="30"/>
          <w:szCs w:val="30"/>
        </w:rPr>
        <w:t>1</w:t>
      </w:r>
      <w:r>
        <w:rPr>
          <w:rFonts w:hint="eastAsia" w:ascii="仿宋_GB2312" w:hAnsi="微软雅黑" w:eastAsia="仿宋_GB2312"/>
          <w:color w:val="000000"/>
          <w:sz w:val="30"/>
          <w:szCs w:val="30"/>
        </w:rPr>
        <w:t>〕</w:t>
      </w:r>
      <w:r>
        <w:rPr>
          <w:rFonts w:ascii="仿宋_GB2312" w:hAnsi="微软雅黑" w:eastAsia="仿宋_GB2312"/>
          <w:color w:val="000000"/>
          <w:sz w:val="30"/>
          <w:szCs w:val="30"/>
        </w:rPr>
        <w:t>53</w:t>
      </w:r>
      <w:r>
        <w:rPr>
          <w:rFonts w:hint="eastAsia" w:ascii="仿宋_GB2312" w:hAnsi="微软雅黑" w:eastAsia="仿宋_GB2312"/>
          <w:color w:val="000000"/>
          <w:sz w:val="30"/>
          <w:szCs w:val="30"/>
        </w:rPr>
        <w:t>号）</w:t>
      </w:r>
    </w:p>
    <w:p w14:paraId="6ADB3452">
      <w:pPr>
        <w:adjustRightInd w:val="0"/>
        <w:snapToGrid w:val="0"/>
        <w:spacing w:line="600" w:lineRule="exact"/>
        <w:ind w:firstLine="600"/>
        <w:rPr>
          <w:rFonts w:ascii="仿宋_GB2312" w:hAnsi="微软雅黑" w:eastAsia="仿宋_GB2312"/>
          <w:color w:val="000000"/>
          <w:sz w:val="30"/>
          <w:szCs w:val="30"/>
        </w:rPr>
      </w:pPr>
      <w:r>
        <w:rPr>
          <w:rFonts w:ascii="仿宋_GB2312" w:hAnsi="微软雅黑" w:eastAsia="仿宋_GB2312"/>
          <w:color w:val="000000"/>
          <w:sz w:val="30"/>
          <w:szCs w:val="30"/>
        </w:rPr>
        <w:t>8</w:t>
      </w:r>
      <w:r>
        <w:rPr>
          <w:rFonts w:hint="eastAsia" w:ascii="仿宋_GB2312" w:hAnsi="微软雅黑" w:eastAsia="仿宋_GB2312"/>
          <w:color w:val="000000"/>
          <w:sz w:val="30"/>
          <w:szCs w:val="30"/>
          <w:lang w:val="en-US" w:eastAsia="zh-CN"/>
        </w:rPr>
        <w:t>.</w:t>
      </w:r>
      <w:r>
        <w:rPr>
          <w:rFonts w:ascii="仿宋_GB2312" w:hAnsi="微软雅黑" w:eastAsia="仿宋_GB2312"/>
          <w:color w:val="000000"/>
          <w:sz w:val="30"/>
          <w:szCs w:val="30"/>
        </w:rPr>
        <w:t>《中国证券登记结算有限责任公司、上海证券交易所、深圳证券交易所债券质押式回购融资主体数据报送指引》</w:t>
      </w:r>
      <w:r>
        <w:rPr>
          <w:rFonts w:hint="eastAsia" w:ascii="仿宋_GB2312" w:hAnsi="微软雅黑" w:eastAsia="仿宋_GB2312"/>
          <w:color w:val="000000"/>
          <w:sz w:val="30"/>
          <w:szCs w:val="30"/>
        </w:rPr>
        <w:t>（中国结算发字〔20</w:t>
      </w:r>
      <w:r>
        <w:rPr>
          <w:rFonts w:ascii="仿宋_GB2312" w:hAnsi="微软雅黑" w:eastAsia="仿宋_GB2312"/>
          <w:color w:val="000000"/>
          <w:sz w:val="30"/>
          <w:szCs w:val="30"/>
        </w:rPr>
        <w:t>17</w:t>
      </w:r>
      <w:r>
        <w:rPr>
          <w:rFonts w:hint="eastAsia" w:ascii="仿宋_GB2312" w:hAnsi="微软雅黑" w:eastAsia="仿宋_GB2312"/>
          <w:color w:val="000000"/>
          <w:sz w:val="30"/>
          <w:szCs w:val="30"/>
        </w:rPr>
        <w:t>〕153号）</w:t>
      </w:r>
    </w:p>
    <w:p w14:paraId="4A90C1CB">
      <w:pPr>
        <w:adjustRightInd w:val="0"/>
        <w:snapToGrid w:val="0"/>
        <w:spacing w:line="600" w:lineRule="exact"/>
        <w:ind w:firstLine="600"/>
        <w:rPr>
          <w:rFonts w:ascii="仿宋_GB2312" w:hAnsi="微软雅黑" w:eastAsia="仿宋_GB2312"/>
          <w:color w:val="000000"/>
          <w:sz w:val="30"/>
          <w:szCs w:val="30"/>
        </w:rPr>
      </w:pPr>
      <w:r>
        <w:rPr>
          <w:rFonts w:ascii="仿宋_GB2312" w:hAnsi="微软雅黑" w:eastAsia="仿宋_GB2312"/>
          <w:color w:val="000000"/>
          <w:sz w:val="30"/>
          <w:szCs w:val="30"/>
        </w:rPr>
        <w:t>9</w:t>
      </w:r>
      <w:r>
        <w:rPr>
          <w:rFonts w:hint="eastAsia" w:ascii="仿宋_GB2312" w:hAnsi="微软雅黑" w:eastAsia="仿宋_GB2312"/>
          <w:color w:val="000000"/>
          <w:sz w:val="30"/>
          <w:szCs w:val="30"/>
        </w:rPr>
        <w:t>.中国证券登记结算有限责任公司</w:t>
      </w:r>
      <w:r>
        <w:rPr>
          <w:rFonts w:ascii="仿宋_GB2312" w:hAnsi="微软雅黑" w:eastAsia="仿宋_GB2312"/>
          <w:color w:val="000000"/>
          <w:sz w:val="30"/>
          <w:szCs w:val="30"/>
        </w:rPr>
        <w:t>《</w:t>
      </w:r>
      <w:r>
        <w:rPr>
          <w:rFonts w:hint="eastAsia" w:ascii="仿宋_GB2312" w:hAnsi="微软雅黑" w:eastAsia="仿宋_GB2312"/>
          <w:color w:val="000000"/>
          <w:sz w:val="30"/>
          <w:szCs w:val="30"/>
        </w:rPr>
        <w:t>关于加强企业债券回购风险管理相关措施的通知</w:t>
      </w:r>
      <w:r>
        <w:rPr>
          <w:rFonts w:ascii="仿宋_GB2312" w:hAnsi="微软雅黑" w:eastAsia="仿宋_GB2312"/>
          <w:color w:val="000000"/>
          <w:sz w:val="30"/>
          <w:szCs w:val="30"/>
        </w:rPr>
        <w:t>》</w:t>
      </w:r>
      <w:r>
        <w:rPr>
          <w:rFonts w:hint="eastAsia" w:ascii="仿宋_GB2312" w:hAnsi="微软雅黑" w:eastAsia="仿宋_GB2312"/>
          <w:color w:val="000000"/>
          <w:sz w:val="30"/>
          <w:szCs w:val="30"/>
        </w:rPr>
        <w:t>（中国结算发字〔</w:t>
      </w:r>
      <w:r>
        <w:rPr>
          <w:rFonts w:ascii="仿宋_GB2312" w:hAnsi="微软雅黑" w:eastAsia="仿宋_GB2312"/>
          <w:color w:val="000000"/>
          <w:sz w:val="30"/>
          <w:szCs w:val="30"/>
        </w:rPr>
        <w:t>2014</w:t>
      </w:r>
      <w:r>
        <w:rPr>
          <w:rFonts w:hint="eastAsia" w:ascii="仿宋_GB2312" w:hAnsi="微软雅黑" w:eastAsia="仿宋_GB2312"/>
          <w:color w:val="000000"/>
          <w:sz w:val="30"/>
          <w:szCs w:val="30"/>
        </w:rPr>
        <w:t>〕</w:t>
      </w:r>
      <w:r>
        <w:rPr>
          <w:rFonts w:ascii="仿宋_GB2312" w:hAnsi="微软雅黑" w:eastAsia="仿宋_GB2312"/>
          <w:color w:val="000000"/>
          <w:sz w:val="30"/>
          <w:szCs w:val="30"/>
        </w:rPr>
        <w:t>149</w:t>
      </w:r>
      <w:r>
        <w:rPr>
          <w:rFonts w:hint="eastAsia" w:ascii="仿宋_GB2312" w:hAnsi="微软雅黑" w:eastAsia="仿宋_GB2312"/>
          <w:color w:val="000000"/>
          <w:sz w:val="30"/>
          <w:szCs w:val="30"/>
        </w:rPr>
        <w:t>号）</w:t>
      </w:r>
    </w:p>
    <w:p w14:paraId="38D6CC75">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开展前准备</w:t>
      </w:r>
      <w:r>
        <w:rPr>
          <w:rFonts w:ascii="仿宋_GB2312" w:eastAsia="仿宋_GB2312"/>
          <w:b/>
          <w:sz w:val="30"/>
          <w:szCs w:val="30"/>
        </w:rPr>
        <w:tab/>
      </w:r>
    </w:p>
    <w:p w14:paraId="5021933D">
      <w:pPr>
        <w:spacing w:line="600" w:lineRule="exact"/>
        <w:ind w:left="567"/>
        <w:outlineLvl w:val="3"/>
        <w:rPr>
          <w:rFonts w:ascii="仿宋_GB2312" w:eastAsia="仿宋_GB2312"/>
          <w:b/>
          <w:sz w:val="30"/>
          <w:szCs w:val="30"/>
        </w:rPr>
      </w:pPr>
      <w:r>
        <w:rPr>
          <w:rFonts w:hint="eastAsia" w:ascii="仿宋_GB2312" w:eastAsia="仿宋_GB2312"/>
          <w:b/>
          <w:sz w:val="30"/>
          <w:szCs w:val="30"/>
        </w:rPr>
        <w:t>（1）签署协议</w:t>
      </w:r>
    </w:p>
    <w:p w14:paraId="159274E9">
      <w:pPr>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债券</w:t>
      </w:r>
      <w:r>
        <w:rPr>
          <w:rFonts w:ascii="仿宋_GB2312" w:hAnsi="宋体" w:eastAsia="仿宋_GB2312" w:cs="宋体"/>
          <w:color w:val="000000"/>
          <w:kern w:val="0"/>
          <w:sz w:val="30"/>
          <w:szCs w:val="30"/>
        </w:rPr>
        <w:t>交易参与人</w:t>
      </w:r>
      <w:r>
        <w:rPr>
          <w:rFonts w:hint="eastAsia" w:ascii="仿宋_GB2312" w:hAnsi="宋体" w:eastAsia="仿宋_GB2312" w:cs="宋体"/>
          <w:color w:val="000000"/>
          <w:kern w:val="0"/>
          <w:sz w:val="30"/>
          <w:szCs w:val="30"/>
        </w:rPr>
        <w:t>参与通用回购交易并自行办理结算，或委托经证券登记结算机构认可的结算参与人办理结算，同时签署相关结算协议。</w:t>
      </w:r>
    </w:p>
    <w:p w14:paraId="25E03290">
      <w:pPr>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kern w:val="0"/>
          <w:sz w:val="30"/>
          <w:szCs w:val="30"/>
        </w:rPr>
        <w:t>通过经纪业务模式</w:t>
      </w:r>
      <w:r>
        <w:rPr>
          <w:rFonts w:hint="eastAsia" w:ascii="仿宋_GB2312" w:hAnsi="宋体" w:eastAsia="仿宋_GB2312" w:cs="宋体"/>
          <w:color w:val="000000"/>
          <w:kern w:val="0"/>
          <w:sz w:val="30"/>
          <w:szCs w:val="30"/>
        </w:rPr>
        <w:t>参与通用回购交易</w:t>
      </w:r>
      <w:r>
        <w:rPr>
          <w:rFonts w:hint="eastAsia" w:ascii="仿宋_GB2312" w:hAnsi="宋体" w:eastAsia="仿宋_GB2312" w:cs="宋体"/>
          <w:kern w:val="0"/>
          <w:sz w:val="30"/>
          <w:szCs w:val="30"/>
        </w:rPr>
        <w:t>的经纪客户</w:t>
      </w:r>
      <w:r>
        <w:rPr>
          <w:rFonts w:hint="eastAsia" w:ascii="仿宋_GB2312" w:hAnsi="宋体" w:eastAsia="仿宋_GB2312" w:cs="宋体"/>
          <w:color w:val="000000"/>
          <w:kern w:val="0"/>
          <w:sz w:val="30"/>
          <w:szCs w:val="30"/>
        </w:rPr>
        <w:t>，应当与其指定交易的会员签署通用回购委托协议。回购委托协议应当约定会员与其经纪客户之间的权利义务、交易结算流程、违约情形认定以及违约处置方案等内容，并符合相关市场自律组织的规定。</w:t>
      </w:r>
    </w:p>
    <w:p w14:paraId="22FBBF0F">
      <w:pPr>
        <w:spacing w:line="600" w:lineRule="exact"/>
        <w:ind w:left="567"/>
        <w:outlineLvl w:val="3"/>
        <w:rPr>
          <w:rFonts w:ascii="仿宋_GB2312" w:eastAsia="仿宋_GB2312"/>
          <w:b/>
          <w:sz w:val="30"/>
          <w:szCs w:val="30"/>
        </w:rPr>
      </w:pPr>
      <w:r>
        <w:rPr>
          <w:rFonts w:hint="eastAsia" w:ascii="仿宋_GB2312" w:eastAsia="仿宋_GB2312"/>
          <w:b/>
          <w:sz w:val="30"/>
          <w:szCs w:val="30"/>
        </w:rPr>
        <w:t>（2）</w:t>
      </w:r>
      <w:r>
        <w:rPr>
          <w:rFonts w:ascii="仿宋_GB2312" w:eastAsia="仿宋_GB2312"/>
          <w:b/>
          <w:sz w:val="30"/>
          <w:szCs w:val="30"/>
        </w:rPr>
        <w:t>投资者适当性管理</w:t>
      </w:r>
    </w:p>
    <w:p w14:paraId="3D479D99">
      <w:pPr>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通用回购交易正回购方按照《中国证券登记结算有限责任公司、上海证券交易所、深圳证券交易所债券质押式回购交易结算风险控制指引》</w:t>
      </w:r>
      <w:r>
        <w:rPr>
          <w:rFonts w:hint="eastAsia" w:ascii="仿宋_GB2312" w:hAnsi="宋体" w:eastAsia="仿宋_GB2312" w:cs="宋体"/>
          <w:kern w:val="0"/>
          <w:sz w:val="30"/>
          <w:szCs w:val="30"/>
        </w:rPr>
        <w:t>（以下简称《风控指引》）</w:t>
      </w:r>
      <w:r>
        <w:rPr>
          <w:rFonts w:hint="eastAsia" w:ascii="仿宋_GB2312" w:hAnsi="宋体" w:eastAsia="仿宋_GB2312" w:cs="宋体"/>
          <w:color w:val="000000"/>
          <w:kern w:val="0"/>
          <w:sz w:val="30"/>
          <w:szCs w:val="30"/>
        </w:rPr>
        <w:t>和《上海证券交易所债券市场投资者适当性管理办法》等</w:t>
      </w:r>
      <w:r>
        <w:rPr>
          <w:rFonts w:hint="eastAsia" w:ascii="仿宋_GB2312" w:hAnsi="宋体" w:eastAsia="仿宋_GB2312" w:cs="宋体"/>
          <w:kern w:val="0"/>
          <w:sz w:val="30"/>
          <w:szCs w:val="30"/>
        </w:rPr>
        <w:t>相关</w:t>
      </w:r>
      <w:r>
        <w:rPr>
          <w:rFonts w:hint="eastAsia" w:ascii="仿宋_GB2312" w:hAnsi="宋体" w:eastAsia="仿宋_GB2312" w:cs="宋体"/>
          <w:color w:val="000000"/>
          <w:kern w:val="0"/>
          <w:sz w:val="30"/>
          <w:szCs w:val="30"/>
        </w:rPr>
        <w:t>规定，实行投资者适当性管理。</w:t>
      </w:r>
    </w:p>
    <w:p w14:paraId="5620174F">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符合以下要求的专业投资者可以作为正回购方参与融资回购交易：</w:t>
      </w:r>
      <w:r>
        <w:rPr>
          <w:rFonts w:ascii="仿宋_GB2312" w:hAnsi="Calibri" w:eastAsia="仿宋_GB2312"/>
          <w:sz w:val="30"/>
          <w:szCs w:val="30"/>
        </w:rPr>
        <w:br w:type="textWrapping"/>
      </w:r>
      <w:r>
        <w:rPr>
          <w:rFonts w:hint="eastAsia" w:ascii="仿宋_GB2312" w:hAnsi="Calibri" w:eastAsia="仿宋_GB2312"/>
          <w:sz w:val="30"/>
          <w:szCs w:val="30"/>
        </w:rPr>
        <w:t>　　1）经有关金融监管部门批准设立的金融机构，包括证券公司、基金管理公司及其子公司、期货公司、商业银行、保险公司、信托公司、财务公司等；经行业协会备案或者登记的证券公司子公司、期货公司子公司、私募基金管理人。</w:t>
      </w:r>
    </w:p>
    <w:p w14:paraId="1B112A5B">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2）上述金融机构面向投资者发行的理财产品，包括但不限于证券公司资产管理产品、基金管理公司及其子公司产品、期货公司资产管理产品、银行理财产品、保险产品、保险资产管理产品、信托产品、经行业协会备案的私募基金；</w:t>
      </w:r>
    </w:p>
    <w:p w14:paraId="711DE753">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3）全国社会保障基金、基本养老保险基金、年金基金等养老基金，慈善基金等社会公益基金；</w:t>
      </w:r>
    </w:p>
    <w:p w14:paraId="0C13FAC7">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4）同时符合下列条件的法人或其他组织：</w:t>
      </w:r>
    </w:p>
    <w:p w14:paraId="1567C04C">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1.最近1年末净资产不低于2000万元；2.最近1年末金融资产不低于1000万元；3.具有2年以上证券、基金、期货、黄金、外汇等投资经历；</w:t>
      </w:r>
    </w:p>
    <w:p w14:paraId="358E1A2E">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前款所称金融资产，是指银行存款、股票、债券、基金份额、资产管理计划、银行理财产品、信托计划、保险产品、期货及其他衍生品等。</w:t>
      </w:r>
    </w:p>
    <w:p w14:paraId="4D90F656">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5）证券交易所和登记结算机构认可的其他专业投资者。</w:t>
      </w:r>
    </w:p>
    <w:p w14:paraId="6E71B4C6">
      <w:pPr>
        <w:adjustRightInd w:val="0"/>
        <w:snapToGrid w:val="0"/>
        <w:spacing w:line="600" w:lineRule="exact"/>
        <w:ind w:firstLine="600"/>
        <w:rPr>
          <w:rFonts w:ascii="仿宋_GB2312" w:hAnsi="Calibri" w:eastAsia="仿宋_GB2312" w:cs="宋体"/>
          <w:kern w:val="0"/>
          <w:sz w:val="30"/>
          <w:szCs w:val="30"/>
        </w:rPr>
      </w:pPr>
      <w:r>
        <w:rPr>
          <w:rFonts w:ascii="仿宋_GB2312" w:hAnsi="Calibri" w:eastAsia="仿宋_GB2312" w:cs="宋体"/>
          <w:kern w:val="0"/>
          <w:sz w:val="30"/>
          <w:szCs w:val="30"/>
        </w:rPr>
        <w:t>符合</w:t>
      </w:r>
      <w:r>
        <w:rPr>
          <w:rFonts w:hint="eastAsia" w:ascii="仿宋_GB2312" w:hAnsi="Calibri" w:eastAsia="仿宋_GB2312" w:cs="宋体"/>
          <w:kern w:val="0"/>
          <w:sz w:val="30"/>
          <w:szCs w:val="30"/>
        </w:rPr>
        <w:t>第四项规定的法人或其他组织仅可以参与利率类债券融资回购交易。</w:t>
      </w:r>
    </w:p>
    <w:p w14:paraId="55631A95">
      <w:pPr>
        <w:adjustRightInd w:val="0"/>
        <w:snapToGrid w:val="0"/>
        <w:spacing w:line="600" w:lineRule="exact"/>
        <w:ind w:firstLine="600"/>
        <w:rPr>
          <w:rFonts w:ascii="仿宋_GB2312" w:hAnsi="宋体" w:eastAsia="仿宋_GB2312" w:cs="宋体"/>
          <w:color w:val="000000"/>
          <w:kern w:val="0"/>
          <w:sz w:val="30"/>
          <w:szCs w:val="30"/>
        </w:rPr>
      </w:pPr>
      <w:r>
        <w:rPr>
          <w:rFonts w:hint="eastAsia" w:ascii="仿宋_GB2312" w:hAnsi="Calibri" w:eastAsia="仿宋_GB2312" w:cs="宋体"/>
          <w:kern w:val="0"/>
          <w:sz w:val="30"/>
          <w:szCs w:val="30"/>
        </w:rPr>
        <w:t>专业投资者及普通投资者均可以作为逆回购方参与通用回购交易。</w:t>
      </w:r>
    </w:p>
    <w:p w14:paraId="412810F0">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质押券管理</w:t>
      </w:r>
      <w:r>
        <w:rPr>
          <w:rFonts w:ascii="仿宋_GB2312" w:eastAsia="仿宋_GB2312"/>
          <w:b/>
          <w:sz w:val="30"/>
          <w:szCs w:val="30"/>
        </w:rPr>
        <w:tab/>
      </w:r>
      <w:bookmarkStart w:id="2024" w:name="_Toc35006237"/>
    </w:p>
    <w:bookmarkEnd w:id="2024"/>
    <w:p w14:paraId="1CCC3D3E">
      <w:pPr>
        <w:spacing w:line="600" w:lineRule="exact"/>
        <w:ind w:left="567"/>
        <w:outlineLvl w:val="3"/>
        <w:rPr>
          <w:rFonts w:ascii="仿宋_GB2312" w:eastAsia="仿宋_GB2312"/>
          <w:b/>
          <w:sz w:val="30"/>
          <w:szCs w:val="30"/>
        </w:rPr>
      </w:pPr>
      <w:r>
        <w:rPr>
          <w:rFonts w:hint="eastAsia" w:ascii="仿宋_GB2312" w:eastAsia="仿宋_GB2312"/>
          <w:b/>
          <w:sz w:val="30"/>
          <w:szCs w:val="30"/>
        </w:rPr>
        <w:t>（1）质押券准入标准</w:t>
      </w:r>
    </w:p>
    <w:p w14:paraId="65EFB79F">
      <w:pPr>
        <w:adjustRightInd w:val="0"/>
        <w:snapToGrid w:val="0"/>
        <w:spacing w:line="600" w:lineRule="exact"/>
        <w:ind w:firstLine="600"/>
        <w:rPr>
          <w:rFonts w:ascii="仿宋_GB2312" w:hAnsi="微软雅黑" w:eastAsia="仿宋_GB2312"/>
          <w:color w:val="000000"/>
          <w:sz w:val="30"/>
          <w:szCs w:val="30"/>
        </w:rPr>
      </w:pPr>
      <w:r>
        <w:rPr>
          <w:rFonts w:hint="eastAsia" w:ascii="仿宋_GB2312" w:hAnsi="微软雅黑" w:eastAsia="仿宋_GB2312"/>
          <w:color w:val="000000"/>
          <w:sz w:val="30"/>
          <w:szCs w:val="30"/>
        </w:rPr>
        <w:t>在本所开展的债券质押式通用回购交易中，回购质押券需符合登记结算机构的标准。相关标准可参见</w:t>
      </w:r>
      <w:r>
        <w:rPr>
          <w:rFonts w:hint="eastAsia" w:ascii="仿宋_GB2312" w:hAnsi="仿宋" w:eastAsia="仿宋_GB2312"/>
          <w:sz w:val="30"/>
          <w:szCs w:val="30"/>
        </w:rPr>
        <w:t>登记结算机构</w:t>
      </w:r>
      <w:r>
        <w:rPr>
          <w:rFonts w:hint="eastAsia" w:ascii="仿宋_GB2312" w:hAnsi="微软雅黑" w:eastAsia="仿宋_GB2312"/>
          <w:color w:val="000000"/>
          <w:sz w:val="30"/>
          <w:szCs w:val="30"/>
        </w:rPr>
        <w:t>发布的《标准券折算率（值）管理办法（2</w:t>
      </w:r>
      <w:r>
        <w:rPr>
          <w:rFonts w:ascii="仿宋_GB2312" w:hAnsi="微软雅黑" w:eastAsia="仿宋_GB2312"/>
          <w:color w:val="000000"/>
          <w:sz w:val="30"/>
          <w:szCs w:val="30"/>
        </w:rPr>
        <w:t>020</w:t>
      </w:r>
      <w:r>
        <w:rPr>
          <w:rFonts w:hint="eastAsia" w:ascii="仿宋_GB2312" w:hAnsi="微软雅黑" w:eastAsia="仿宋_GB2312"/>
          <w:color w:val="000000"/>
          <w:sz w:val="30"/>
          <w:szCs w:val="30"/>
        </w:rPr>
        <w:t>年修订版）》《质押式回购资格准入标准及标准券折扣系数取值业务指引（2017 年修订版）》。</w:t>
      </w:r>
    </w:p>
    <w:p w14:paraId="48DDB641">
      <w:pPr>
        <w:adjustRightInd w:val="0"/>
        <w:snapToGrid w:val="0"/>
        <w:spacing w:line="600" w:lineRule="exact"/>
        <w:ind w:firstLine="600"/>
        <w:rPr>
          <w:rFonts w:ascii="仿宋_GB2312" w:hAnsi="微软雅黑" w:eastAsia="仿宋_GB2312"/>
          <w:color w:val="000000"/>
          <w:sz w:val="30"/>
          <w:szCs w:val="30"/>
        </w:rPr>
      </w:pPr>
      <w:r>
        <w:rPr>
          <w:rFonts w:hint="eastAsia" w:ascii="仿宋_GB2312" w:hAnsi="微软雅黑" w:eastAsia="仿宋_GB2312"/>
          <w:color w:val="000000"/>
          <w:sz w:val="30"/>
          <w:szCs w:val="30"/>
        </w:rPr>
        <w:t>标准券折算率（值）管理办法的地址：</w:t>
      </w:r>
    </w:p>
    <w:p w14:paraId="018CBD58">
      <w:pPr>
        <w:adjustRightInd w:val="0"/>
        <w:snapToGrid w:val="0"/>
        <w:spacing w:line="600" w:lineRule="exact"/>
        <w:ind w:firstLine="600"/>
        <w:rPr>
          <w:rFonts w:ascii="仿宋_GB2312" w:hAnsi="微软雅黑" w:eastAsia="仿宋_GB2312"/>
          <w:color w:val="000000"/>
          <w:sz w:val="30"/>
          <w:szCs w:val="30"/>
        </w:rPr>
      </w:pPr>
      <w:r>
        <w:fldChar w:fldCharType="begin"/>
      </w:r>
      <w:r>
        <w:instrText xml:space="preserve"> HYPERLINK "http://www.chinaclear.cn/zdjs/editor_file/20200320170654890.pdf" </w:instrText>
      </w:r>
      <w:r>
        <w:fldChar w:fldCharType="separate"/>
      </w:r>
      <w:r>
        <w:rPr>
          <w:rStyle w:val="51"/>
          <w:rFonts w:hint="eastAsia" w:ascii="仿宋_GB2312" w:hAnsi="微软雅黑" w:eastAsia="仿宋_GB2312"/>
          <w:sz w:val="30"/>
          <w:szCs w:val="30"/>
        </w:rPr>
        <w:t>http://www.chinaclear.cn/zdjs/editor_file/20200320170654890.pdf</w:t>
      </w:r>
      <w:r>
        <w:rPr>
          <w:rStyle w:val="51"/>
          <w:rFonts w:hint="eastAsia" w:ascii="仿宋_GB2312" w:hAnsi="微软雅黑" w:eastAsia="仿宋_GB2312"/>
          <w:sz w:val="30"/>
          <w:szCs w:val="30"/>
        </w:rPr>
        <w:fldChar w:fldCharType="end"/>
      </w:r>
    </w:p>
    <w:p w14:paraId="78F44B1B">
      <w:pPr>
        <w:adjustRightInd w:val="0"/>
        <w:snapToGrid w:val="0"/>
        <w:spacing w:line="600" w:lineRule="exact"/>
        <w:ind w:firstLine="600"/>
        <w:rPr>
          <w:rFonts w:ascii="仿宋_GB2312" w:hAnsi="微软雅黑" w:eastAsia="仿宋_GB2312"/>
          <w:color w:val="000000"/>
          <w:sz w:val="30"/>
          <w:szCs w:val="30"/>
        </w:rPr>
      </w:pPr>
      <w:r>
        <w:rPr>
          <w:rFonts w:hint="eastAsia" w:ascii="仿宋_GB2312" w:hAnsi="微软雅黑" w:eastAsia="仿宋_GB2312"/>
          <w:color w:val="000000"/>
          <w:sz w:val="30"/>
          <w:szCs w:val="30"/>
        </w:rPr>
        <w:t>质押券准入标准的地址：</w:t>
      </w:r>
    </w:p>
    <w:p w14:paraId="6A1EF779">
      <w:pPr>
        <w:adjustRightInd w:val="0"/>
        <w:snapToGrid w:val="0"/>
        <w:spacing w:line="600" w:lineRule="exact"/>
        <w:ind w:firstLine="600"/>
        <w:rPr>
          <w:rFonts w:ascii="仿宋_GB2312" w:hAnsi="微软雅黑" w:eastAsia="仿宋_GB2312"/>
          <w:color w:val="000000"/>
          <w:sz w:val="30"/>
          <w:szCs w:val="30"/>
        </w:rPr>
      </w:pPr>
      <w:r>
        <w:fldChar w:fldCharType="begin"/>
      </w:r>
      <w:r>
        <w:instrText xml:space="preserve"> HYPERLINK "http://www.chinaclear.cn/zdjs/editor_file/20170407171435538.pdf" </w:instrText>
      </w:r>
      <w:r>
        <w:fldChar w:fldCharType="separate"/>
      </w:r>
      <w:r>
        <w:rPr>
          <w:rStyle w:val="51"/>
          <w:rFonts w:hint="eastAsia" w:ascii="仿宋_GB2312" w:hAnsi="微软雅黑" w:eastAsia="仿宋_GB2312"/>
          <w:sz w:val="30"/>
          <w:szCs w:val="30"/>
        </w:rPr>
        <w:t>http://www.chinaclear.cn/zdjs/editor_file/20170407171435538.pdf</w:t>
      </w:r>
      <w:r>
        <w:rPr>
          <w:rStyle w:val="51"/>
          <w:rFonts w:hint="eastAsia" w:ascii="仿宋_GB2312" w:hAnsi="微软雅黑" w:eastAsia="仿宋_GB2312"/>
          <w:sz w:val="30"/>
          <w:szCs w:val="30"/>
        </w:rPr>
        <w:fldChar w:fldCharType="end"/>
      </w:r>
    </w:p>
    <w:p w14:paraId="25803EC9">
      <w:pPr>
        <w:adjustRightInd w:val="0"/>
        <w:snapToGrid w:val="0"/>
        <w:spacing w:line="600" w:lineRule="exact"/>
        <w:ind w:firstLine="600"/>
        <w:rPr>
          <w:rFonts w:ascii="仿宋_GB2312" w:hAnsi="微软雅黑" w:eastAsia="仿宋_GB2312"/>
          <w:color w:val="000000"/>
          <w:sz w:val="30"/>
          <w:szCs w:val="30"/>
        </w:rPr>
      </w:pPr>
      <w:r>
        <w:rPr>
          <w:rFonts w:hint="eastAsia" w:ascii="仿宋_GB2312" w:hAnsi="微软雅黑" w:eastAsia="仿宋_GB2312"/>
          <w:color w:val="000000"/>
          <w:sz w:val="30"/>
          <w:szCs w:val="30"/>
        </w:rPr>
        <w:t>在上述规则的基础上，根据《中国证券登记结算有限责任公司受信用保护债券质押式回购管理暂行办法》，符合条件的受信用保护债券纳入质押券范围。根据《关于政府支持债券开展质押式回购有关事项的通知》《关于政府债券基金产品开展质押式回购有关事项的通知》，政府支持债券、符合条件的政府债券基金产品纳入质押券范围。</w:t>
      </w:r>
    </w:p>
    <w:p w14:paraId="3EF66B90">
      <w:pPr>
        <w:adjustRightInd w:val="0"/>
        <w:snapToGrid w:val="0"/>
        <w:spacing w:line="600" w:lineRule="exact"/>
        <w:ind w:firstLine="600"/>
        <w:rPr>
          <w:rFonts w:ascii="仿宋_GB2312" w:hAnsi="微软雅黑" w:eastAsia="仿宋_GB2312"/>
          <w:color w:val="000000"/>
          <w:sz w:val="30"/>
          <w:szCs w:val="30"/>
        </w:rPr>
      </w:pPr>
      <w:r>
        <w:rPr>
          <w:rFonts w:hint="eastAsia" w:ascii="仿宋_GB2312" w:hAnsi="微软雅黑" w:eastAsia="仿宋_GB2312"/>
          <w:color w:val="000000"/>
          <w:sz w:val="30"/>
          <w:szCs w:val="30"/>
        </w:rPr>
        <w:t>具体质押券范围及变动情况参照中国证券登记结算有限责任公司公布的最新回购准入标准执行。</w:t>
      </w:r>
      <w:bookmarkStart w:id="2025" w:name="_Toc35006238"/>
    </w:p>
    <w:p w14:paraId="22F0AD3D">
      <w:pPr>
        <w:adjustRightInd w:val="0"/>
        <w:snapToGrid w:val="0"/>
        <w:spacing w:line="600" w:lineRule="exact"/>
        <w:ind w:firstLine="600"/>
        <w:rPr>
          <w:rFonts w:ascii="仿宋_GB2312" w:hAnsi="微软雅黑" w:eastAsia="仿宋_GB2312"/>
          <w:color w:val="000000"/>
          <w:sz w:val="30"/>
          <w:szCs w:val="30"/>
        </w:rPr>
      </w:pPr>
      <w:r>
        <w:rPr>
          <w:rFonts w:hint="eastAsia" w:ascii="仿宋_GB2312" w:hAnsi="微软雅黑" w:eastAsia="仿宋_GB2312"/>
          <w:color w:val="000000"/>
          <w:sz w:val="30"/>
          <w:szCs w:val="30"/>
        </w:rPr>
        <w:t>中国证券登记结算有限责任公司及本所在网站及时公布通用回购质押券清单及对应的折算率。</w:t>
      </w:r>
    </w:p>
    <w:p w14:paraId="51A812FC">
      <w:pPr>
        <w:adjustRightInd w:val="0"/>
        <w:snapToGrid w:val="0"/>
        <w:spacing w:line="600" w:lineRule="exact"/>
        <w:ind w:firstLine="600"/>
        <w:rPr>
          <w:rFonts w:ascii="仿宋_GB2312" w:hAnsi="微软雅黑" w:eastAsia="仿宋_GB2312"/>
          <w:color w:val="000000"/>
          <w:sz w:val="30"/>
          <w:szCs w:val="30"/>
        </w:rPr>
      </w:pPr>
      <w:r>
        <w:fldChar w:fldCharType="begin"/>
      </w:r>
      <w:r>
        <w:instrText xml:space="preserve"> HYPERLINK "http://www.chinaclear.cn/zdjs/xbzzsl/center_bzzsl.shtml" </w:instrText>
      </w:r>
      <w:r>
        <w:fldChar w:fldCharType="separate"/>
      </w:r>
      <w:r>
        <w:rPr>
          <w:rStyle w:val="51"/>
          <w:rFonts w:hint="eastAsia" w:ascii="仿宋_GB2312" w:hAnsi="微软雅黑" w:eastAsia="仿宋_GB2312"/>
          <w:color w:val="000000"/>
          <w:sz w:val="30"/>
          <w:szCs w:val="30"/>
        </w:rPr>
        <w:t>http://www.chinaclear.cn/zdjs/xbzzsl/center_bzzsl.shtml</w:t>
      </w:r>
      <w:r>
        <w:rPr>
          <w:rStyle w:val="51"/>
          <w:rFonts w:hint="eastAsia" w:ascii="仿宋_GB2312" w:hAnsi="微软雅黑" w:eastAsia="仿宋_GB2312"/>
          <w:color w:val="000000"/>
          <w:sz w:val="30"/>
          <w:szCs w:val="30"/>
        </w:rPr>
        <w:fldChar w:fldCharType="end"/>
      </w:r>
    </w:p>
    <w:p w14:paraId="208BF048">
      <w:pPr>
        <w:adjustRightInd w:val="0"/>
        <w:snapToGrid w:val="0"/>
        <w:spacing w:line="600" w:lineRule="exact"/>
        <w:ind w:firstLine="600"/>
        <w:rPr>
          <w:rFonts w:ascii="仿宋_GB2312" w:hAnsi="微软雅黑" w:eastAsia="仿宋_GB2312"/>
          <w:color w:val="000000"/>
          <w:sz w:val="30"/>
          <w:szCs w:val="30"/>
        </w:rPr>
      </w:pPr>
      <w:r>
        <w:fldChar w:fldCharType="begin"/>
      </w:r>
      <w:r>
        <w:instrText xml:space="preserve"> HYPERLINK "http://www.sse.com.cn/disclosure/bond/repurchase/" </w:instrText>
      </w:r>
      <w:r>
        <w:fldChar w:fldCharType="separate"/>
      </w:r>
      <w:r>
        <w:rPr>
          <w:rStyle w:val="51"/>
          <w:rFonts w:hint="eastAsia" w:ascii="仿宋_GB2312" w:hAnsi="微软雅黑" w:eastAsia="仿宋_GB2312"/>
          <w:color w:val="000000"/>
          <w:sz w:val="30"/>
          <w:szCs w:val="30"/>
        </w:rPr>
        <w:t>http://www.sse.com.cn/disclosure/bond/repurchase/</w:t>
      </w:r>
      <w:r>
        <w:rPr>
          <w:rStyle w:val="51"/>
          <w:rFonts w:hint="eastAsia" w:ascii="仿宋_GB2312" w:hAnsi="微软雅黑" w:eastAsia="仿宋_GB2312"/>
          <w:color w:val="000000"/>
          <w:sz w:val="30"/>
          <w:szCs w:val="30"/>
        </w:rPr>
        <w:fldChar w:fldCharType="end"/>
      </w:r>
    </w:p>
    <w:bookmarkEnd w:id="2025"/>
    <w:p w14:paraId="1757D020">
      <w:pPr>
        <w:numPr>
          <w:ilvl w:val="2"/>
          <w:numId w:val="13"/>
        </w:numPr>
        <w:spacing w:line="600" w:lineRule="exact"/>
        <w:ind w:left="0" w:firstLine="567"/>
        <w:outlineLvl w:val="3"/>
        <w:rPr>
          <w:rFonts w:ascii="仿宋_GB2312" w:eastAsia="仿宋_GB2312"/>
          <w:b/>
          <w:sz w:val="30"/>
          <w:szCs w:val="30"/>
        </w:rPr>
      </w:pPr>
      <w:r>
        <w:rPr>
          <w:rFonts w:hint="eastAsia" w:ascii="仿宋_GB2312" w:eastAsia="仿宋_GB2312"/>
          <w:b/>
          <w:sz w:val="30"/>
          <w:szCs w:val="30"/>
        </w:rPr>
        <w:t>质押券出入库</w:t>
      </w:r>
    </w:p>
    <w:p w14:paraId="2E82409F">
      <w:pPr>
        <w:adjustRightInd w:val="0"/>
        <w:snapToGrid w:val="0"/>
        <w:spacing w:line="600" w:lineRule="exact"/>
        <w:ind w:firstLine="600"/>
        <w:rPr>
          <w:rFonts w:ascii="仿宋_GB2312" w:hAnsi="微软雅黑" w:eastAsia="仿宋_GB2312"/>
          <w:color w:val="000000"/>
          <w:sz w:val="30"/>
          <w:szCs w:val="30"/>
        </w:rPr>
      </w:pPr>
      <w:r>
        <w:rPr>
          <w:rFonts w:hint="eastAsia" w:ascii="仿宋_GB2312" w:hAnsi="微软雅黑" w:eastAsia="仿宋_GB2312"/>
          <w:color w:val="000000"/>
          <w:sz w:val="30"/>
          <w:szCs w:val="30"/>
        </w:rPr>
        <w:t>质押券</w:t>
      </w:r>
      <w:r>
        <w:rPr>
          <w:rFonts w:ascii="仿宋_GB2312" w:hAnsi="微软雅黑" w:eastAsia="仿宋_GB2312"/>
          <w:color w:val="000000"/>
          <w:sz w:val="30"/>
          <w:szCs w:val="30"/>
        </w:rPr>
        <w:t>出入库的</w:t>
      </w:r>
      <w:r>
        <w:rPr>
          <w:rFonts w:hint="eastAsia" w:ascii="仿宋_GB2312" w:hAnsi="微软雅黑" w:eastAsia="仿宋_GB2312"/>
          <w:color w:val="000000"/>
          <w:sz w:val="30"/>
          <w:szCs w:val="30"/>
        </w:rPr>
        <w:t>申报方式采用“现券代码+业务类型”方式进行。</w:t>
      </w:r>
      <w:r>
        <w:rPr>
          <w:rFonts w:hint="eastAsia" w:ascii="仿宋_GB2312" w:hAnsi="Calibri" w:eastAsia="仿宋_GB2312"/>
          <w:color w:val="000000"/>
          <w:sz w:val="30"/>
          <w:szCs w:val="30"/>
        </w:rPr>
        <w:t>申报要素包括证券代码、业务</w:t>
      </w:r>
      <w:r>
        <w:rPr>
          <w:rFonts w:ascii="仿宋_GB2312" w:hAnsi="Calibri" w:eastAsia="仿宋_GB2312"/>
          <w:color w:val="000000"/>
          <w:sz w:val="30"/>
          <w:szCs w:val="30"/>
        </w:rPr>
        <w:t>类型、</w:t>
      </w:r>
      <w:r>
        <w:rPr>
          <w:rFonts w:hint="eastAsia" w:ascii="仿宋_GB2312" w:hAnsi="Calibri" w:eastAsia="仿宋_GB2312"/>
          <w:color w:val="000000"/>
          <w:sz w:val="30"/>
          <w:szCs w:val="30"/>
        </w:rPr>
        <w:t>数量、证券账户号码等内容。</w:t>
      </w:r>
    </w:p>
    <w:p w14:paraId="3E0F5118">
      <w:pPr>
        <w:adjustRightInd w:val="0"/>
        <w:snapToGrid w:val="0"/>
        <w:spacing w:line="600" w:lineRule="exact"/>
        <w:ind w:left="600"/>
        <w:jc w:val="left"/>
        <w:rPr>
          <w:rFonts w:ascii="仿宋_GB2312" w:hAnsi="Calibri" w:eastAsia="仿宋_GB2312"/>
          <w:color w:val="000000"/>
          <w:sz w:val="30"/>
          <w:szCs w:val="30"/>
        </w:rPr>
      </w:pPr>
      <w:r>
        <w:rPr>
          <w:rFonts w:hint="eastAsia" w:ascii="仿宋_GB2312" w:hAnsi="Calibri" w:eastAsia="仿宋_GB2312"/>
          <w:color w:val="000000"/>
          <w:sz w:val="30"/>
          <w:szCs w:val="30"/>
        </w:rPr>
        <w:t>1）入库申报</w:t>
      </w:r>
    </w:p>
    <w:p w14:paraId="3961167C">
      <w:pPr>
        <w:adjustRightInd w:val="0"/>
        <w:snapToGrid w:val="0"/>
        <w:spacing w:line="600" w:lineRule="exact"/>
        <w:ind w:firstLine="600" w:firstLineChars="200"/>
        <w:rPr>
          <w:rFonts w:ascii="仿宋_GB2312" w:hAnsi="Calibri" w:eastAsia="仿宋_GB2312"/>
          <w:color w:val="000000"/>
          <w:sz w:val="30"/>
          <w:szCs w:val="30"/>
        </w:rPr>
      </w:pPr>
      <w:r>
        <w:rPr>
          <w:rFonts w:hint="eastAsia" w:ascii="仿宋_GB2312" w:hAnsi="Calibri" w:eastAsia="仿宋_GB2312"/>
          <w:color w:val="000000"/>
          <w:sz w:val="30"/>
          <w:szCs w:val="30"/>
        </w:rPr>
        <w:t>质押券的质押申报通过本所综合业务</w:t>
      </w:r>
      <w:r>
        <w:rPr>
          <w:rFonts w:ascii="仿宋_GB2312" w:hAnsi="Calibri" w:eastAsia="仿宋_GB2312"/>
          <w:color w:val="000000"/>
          <w:sz w:val="30"/>
          <w:szCs w:val="30"/>
        </w:rPr>
        <w:t>平台</w:t>
      </w:r>
      <w:r>
        <w:rPr>
          <w:rFonts w:hint="eastAsia" w:ascii="仿宋_GB2312" w:hAnsi="Calibri" w:eastAsia="仿宋_GB2312"/>
          <w:color w:val="000000"/>
          <w:sz w:val="30"/>
          <w:szCs w:val="30"/>
        </w:rPr>
        <w:t>提交。经纪业务模式下，会员应当在符合前述规定的前提下，根据其经纪客户的信用状况与风险承受能力，明确经纪客户适用的质押券准入标准，并对其证券账户内可用于通用回购交易的融资额度进行检查。</w:t>
      </w:r>
    </w:p>
    <w:p w14:paraId="20A465AB">
      <w:pPr>
        <w:adjustRightInd w:val="0"/>
        <w:snapToGrid w:val="0"/>
        <w:spacing w:line="600" w:lineRule="exact"/>
        <w:ind w:firstLine="600" w:firstLineChars="200"/>
        <w:rPr>
          <w:rFonts w:ascii="仿宋_GB2312" w:hAnsi="Calibri" w:eastAsia="仿宋_GB2312"/>
          <w:sz w:val="30"/>
          <w:szCs w:val="22"/>
        </w:rPr>
      </w:pPr>
      <w:r>
        <w:rPr>
          <w:rFonts w:hint="eastAsia" w:ascii="仿宋_GB2312" w:hAnsi="Calibri" w:eastAsia="仿宋_GB2312"/>
          <w:color w:val="000000"/>
          <w:sz w:val="30"/>
          <w:szCs w:val="30"/>
        </w:rPr>
        <w:t>入库申报的交易类型为</w:t>
      </w:r>
      <w:r>
        <w:rPr>
          <w:rFonts w:hint="eastAsia" w:ascii="仿宋_GB2312" w:hAnsi="Calibri" w:eastAsia="仿宋_GB2312"/>
          <w:color w:val="000000"/>
          <w:sz w:val="30"/>
          <w:szCs w:val="22"/>
        </w:rPr>
        <w:t>“BPD”，申报单位为“千元面额”（1,000元面额），</w:t>
      </w:r>
      <w:r>
        <w:rPr>
          <w:rFonts w:hint="eastAsia" w:ascii="仿宋_GB2312" w:hAnsi="Calibri" w:eastAsia="仿宋_GB2312"/>
          <w:color w:val="000000"/>
          <w:sz w:val="30"/>
          <w:szCs w:val="30"/>
        </w:rPr>
        <w:t>入库申报数量不得大于债券投资者证券账户现券可用余额。经纪业务模式下，经纪客户需委托证券公司提交</w:t>
      </w:r>
      <w:r>
        <w:rPr>
          <w:rFonts w:hint="eastAsia" w:ascii="仿宋_GB2312" w:hAnsi="Calibri" w:eastAsia="仿宋_GB2312"/>
          <w:sz w:val="30"/>
          <w:szCs w:val="30"/>
        </w:rPr>
        <w:t>质押申报。</w:t>
      </w:r>
    </w:p>
    <w:p w14:paraId="27BDF0E3">
      <w:pPr>
        <w:adjustRightInd w:val="0"/>
        <w:snapToGrid w:val="0"/>
        <w:spacing w:line="600" w:lineRule="exact"/>
        <w:ind w:firstLine="600" w:firstLineChars="200"/>
        <w:rPr>
          <w:rFonts w:ascii="仿宋_GB2312" w:hAnsi="Calibri" w:eastAsia="仿宋_GB2312"/>
          <w:color w:val="000000"/>
          <w:sz w:val="30"/>
          <w:szCs w:val="30"/>
        </w:rPr>
      </w:pPr>
      <w:r>
        <w:rPr>
          <w:rFonts w:hint="eastAsia" w:ascii="仿宋_GB2312" w:hAnsi="Calibri" w:eastAsia="仿宋_GB2312"/>
          <w:color w:val="000000"/>
          <w:sz w:val="30"/>
          <w:szCs w:val="30"/>
        </w:rPr>
        <w:t>申报完成后，质押券应当依据登记结算机构的相关规定，转移至质押品保管库（以下简称质押库）。质押券转移至质押库后，正回购方的可用融资额度相应增加，增加额度为入库债券按照相应质押券折算率计算出的质押券价值，现券可用余额中根据申报数量实时扣减。</w:t>
      </w:r>
    </w:p>
    <w:p w14:paraId="27CA3564">
      <w:pPr>
        <w:adjustRightInd w:val="0"/>
        <w:snapToGrid w:val="0"/>
        <w:spacing w:line="600" w:lineRule="exact"/>
        <w:ind w:firstLine="600" w:firstLineChars="200"/>
        <w:rPr>
          <w:rFonts w:ascii="仿宋_GB2312" w:hAnsi="Calibri" w:eastAsia="仿宋_GB2312"/>
          <w:color w:val="000000"/>
          <w:sz w:val="30"/>
          <w:szCs w:val="22"/>
        </w:rPr>
      </w:pPr>
      <w:r>
        <w:rPr>
          <w:rFonts w:hint="eastAsia" w:ascii="仿宋_GB2312" w:hAnsi="Calibri" w:eastAsia="仿宋_GB2312"/>
          <w:color w:val="000000"/>
          <w:sz w:val="30"/>
          <w:szCs w:val="22"/>
        </w:rPr>
        <w:t>现券可用余额</w:t>
      </w:r>
      <w:r>
        <w:rPr>
          <w:rFonts w:ascii="仿宋_GB2312" w:hAnsi="Calibri" w:eastAsia="仿宋_GB2312"/>
          <w:color w:val="000000"/>
          <w:sz w:val="30"/>
          <w:szCs w:val="22"/>
        </w:rPr>
        <w:t xml:space="preserve"> = </w:t>
      </w:r>
      <w:r>
        <w:rPr>
          <w:rFonts w:hint="eastAsia" w:ascii="仿宋_GB2312" w:hAnsi="Calibri" w:eastAsia="仿宋_GB2312"/>
          <w:color w:val="000000"/>
          <w:sz w:val="30"/>
          <w:szCs w:val="22"/>
        </w:rPr>
        <w:t>前一日现券可用余额</w:t>
      </w:r>
      <w:r>
        <w:rPr>
          <w:rFonts w:ascii="仿宋_GB2312" w:hAnsi="Calibri" w:eastAsia="仿宋_GB2312"/>
          <w:color w:val="000000"/>
          <w:sz w:val="30"/>
          <w:szCs w:val="22"/>
        </w:rPr>
        <w:t xml:space="preserve"> + </w:t>
      </w:r>
      <w:r>
        <w:rPr>
          <w:rFonts w:hint="eastAsia" w:ascii="仿宋_GB2312" w:hAnsi="Calibri" w:eastAsia="仿宋_GB2312"/>
          <w:color w:val="000000"/>
          <w:sz w:val="30"/>
          <w:szCs w:val="22"/>
        </w:rPr>
        <w:t>（当日买入</w:t>
      </w:r>
      <w:r>
        <w:rPr>
          <w:rFonts w:ascii="仿宋_GB2312" w:hAnsi="Calibri" w:eastAsia="仿宋_GB2312"/>
          <w:color w:val="000000"/>
          <w:sz w:val="30"/>
          <w:szCs w:val="22"/>
        </w:rPr>
        <w:t xml:space="preserve"> - </w:t>
      </w:r>
      <w:r>
        <w:rPr>
          <w:rFonts w:hint="eastAsia" w:ascii="仿宋_GB2312" w:hAnsi="Calibri" w:eastAsia="仿宋_GB2312"/>
          <w:color w:val="000000"/>
          <w:sz w:val="30"/>
          <w:szCs w:val="22"/>
        </w:rPr>
        <w:t>当日卖出）</w:t>
      </w:r>
      <w:r>
        <w:rPr>
          <w:rFonts w:ascii="仿宋_GB2312" w:hAnsi="Calibri" w:eastAsia="仿宋_GB2312"/>
          <w:color w:val="000000"/>
          <w:sz w:val="30"/>
          <w:szCs w:val="22"/>
        </w:rPr>
        <w:t xml:space="preserve"> + </w:t>
      </w:r>
      <w:r>
        <w:rPr>
          <w:rFonts w:hint="eastAsia" w:ascii="仿宋_GB2312" w:hAnsi="Calibri" w:eastAsia="仿宋_GB2312"/>
          <w:color w:val="000000"/>
          <w:sz w:val="30"/>
          <w:szCs w:val="22"/>
        </w:rPr>
        <w:t>（当日转回质押券</w:t>
      </w:r>
      <w:r>
        <w:rPr>
          <w:rFonts w:ascii="仿宋_GB2312" w:hAnsi="Calibri" w:eastAsia="仿宋_GB2312"/>
          <w:color w:val="000000"/>
          <w:sz w:val="30"/>
          <w:szCs w:val="22"/>
        </w:rPr>
        <w:t xml:space="preserve"> - </w:t>
      </w:r>
      <w:r>
        <w:rPr>
          <w:rFonts w:hint="eastAsia" w:ascii="仿宋_GB2312" w:hAnsi="Calibri" w:eastAsia="仿宋_GB2312"/>
          <w:color w:val="000000"/>
          <w:sz w:val="30"/>
          <w:szCs w:val="22"/>
        </w:rPr>
        <w:t>当日提交质押券）</w:t>
      </w:r>
    </w:p>
    <w:p w14:paraId="4F6291B6">
      <w:pPr>
        <w:adjustRightInd w:val="0"/>
        <w:snapToGrid w:val="0"/>
        <w:spacing w:line="600" w:lineRule="exact"/>
        <w:ind w:firstLine="600" w:firstLineChars="200"/>
        <w:rPr>
          <w:rFonts w:ascii="仿宋_GB2312" w:hAnsi="Calibri" w:eastAsia="仿宋_GB2312"/>
          <w:color w:val="000000"/>
          <w:sz w:val="30"/>
          <w:szCs w:val="22"/>
        </w:rPr>
      </w:pPr>
      <w:r>
        <w:rPr>
          <w:rFonts w:hint="eastAsia" w:ascii="仿宋_GB2312" w:hAnsi="Calibri" w:eastAsia="仿宋_GB2312"/>
          <w:color w:val="000000"/>
          <w:sz w:val="30"/>
          <w:szCs w:val="22"/>
        </w:rPr>
        <w:t>注：上述公式中的买入量仅计算净额结算方式下的买入量。</w:t>
      </w:r>
    </w:p>
    <w:p w14:paraId="62129AD9">
      <w:pPr>
        <w:spacing w:line="600" w:lineRule="exact"/>
        <w:ind w:firstLine="600" w:firstLineChars="200"/>
        <w:rPr>
          <w:rFonts w:ascii="仿宋_GB2312" w:hAnsi="Calibri" w:eastAsia="仿宋_GB2312"/>
          <w:color w:val="000000"/>
          <w:sz w:val="30"/>
          <w:szCs w:val="30"/>
        </w:rPr>
      </w:pPr>
      <w:r>
        <w:rPr>
          <w:rFonts w:ascii="仿宋_GB2312" w:hAnsi="Calibri" w:eastAsia="仿宋_GB2312"/>
          <w:color w:val="000000"/>
          <w:sz w:val="30"/>
          <w:szCs w:val="30"/>
        </w:rPr>
        <w:t>2</w:t>
      </w:r>
      <w:r>
        <w:rPr>
          <w:rFonts w:hint="eastAsia" w:ascii="仿宋_GB2312" w:hAnsi="Calibri" w:eastAsia="仿宋_GB2312"/>
          <w:color w:val="000000"/>
          <w:sz w:val="30"/>
          <w:szCs w:val="30"/>
        </w:rPr>
        <w:t>）质押券出库</w:t>
      </w:r>
    </w:p>
    <w:p w14:paraId="21957137">
      <w:pPr>
        <w:adjustRightInd w:val="0"/>
        <w:snapToGrid w:val="0"/>
        <w:spacing w:line="600" w:lineRule="exact"/>
        <w:ind w:firstLine="600" w:firstLineChars="200"/>
        <w:rPr>
          <w:rFonts w:ascii="仿宋_GB2312" w:hAnsi="Calibri" w:eastAsia="仿宋_GB2312"/>
          <w:color w:val="000000"/>
          <w:sz w:val="30"/>
          <w:szCs w:val="30"/>
        </w:rPr>
      </w:pPr>
      <w:r>
        <w:rPr>
          <w:rFonts w:hint="eastAsia" w:ascii="仿宋_GB2312" w:hAnsi="Calibri" w:eastAsia="仿宋_GB2312"/>
          <w:color w:val="000000"/>
          <w:sz w:val="30"/>
          <w:szCs w:val="30"/>
        </w:rPr>
        <w:t>质押券对应的融资额度有剩余的，正回购方可以通过综合业务</w:t>
      </w:r>
      <w:r>
        <w:rPr>
          <w:rFonts w:ascii="仿宋_GB2312" w:hAnsi="Calibri" w:eastAsia="仿宋_GB2312"/>
          <w:color w:val="000000"/>
          <w:sz w:val="30"/>
          <w:szCs w:val="30"/>
        </w:rPr>
        <w:t>平台</w:t>
      </w:r>
      <w:r>
        <w:rPr>
          <w:rFonts w:hint="eastAsia" w:ascii="仿宋_GB2312" w:hAnsi="Calibri" w:eastAsia="仿宋_GB2312"/>
          <w:color w:val="000000"/>
          <w:sz w:val="30"/>
          <w:szCs w:val="30"/>
        </w:rPr>
        <w:t>申报解除相应质押券的质押，</w:t>
      </w:r>
      <w:r>
        <w:rPr>
          <w:rFonts w:hint="eastAsia" w:ascii="仿宋_GB2312" w:hAnsi="Calibri" w:eastAsia="仿宋_GB2312"/>
          <w:sz w:val="30"/>
          <w:szCs w:val="22"/>
        </w:rPr>
        <w:t>质押券依据相关规定</w:t>
      </w:r>
      <w:r>
        <w:rPr>
          <w:rFonts w:hint="eastAsia" w:ascii="仿宋_GB2312" w:hAnsi="Calibri" w:eastAsia="仿宋_GB2312"/>
          <w:color w:val="000000"/>
          <w:sz w:val="30"/>
          <w:szCs w:val="30"/>
        </w:rPr>
        <w:t>转回原证券账户</w:t>
      </w:r>
      <w:r>
        <w:rPr>
          <w:rFonts w:hint="eastAsia" w:ascii="仿宋_GB2312" w:hAnsi="Calibri" w:eastAsia="仿宋_GB2312"/>
          <w:sz w:val="30"/>
          <w:szCs w:val="22"/>
        </w:rPr>
        <w:t>（</w:t>
      </w:r>
      <w:r>
        <w:rPr>
          <w:rFonts w:hint="eastAsia" w:ascii="仿宋_GB2312" w:hAnsi="Calibri" w:eastAsia="仿宋_GB2312"/>
          <w:sz w:val="30"/>
          <w:szCs w:val="30"/>
        </w:rPr>
        <w:t>以下简称出库申报）</w:t>
      </w:r>
      <w:r>
        <w:rPr>
          <w:rFonts w:hint="eastAsia" w:ascii="仿宋_GB2312" w:hAnsi="Calibri" w:eastAsia="仿宋_GB2312"/>
          <w:color w:val="000000"/>
          <w:sz w:val="30"/>
          <w:szCs w:val="30"/>
        </w:rPr>
        <w:t>。出库申报的交易类型为“BPW”，申报单位为“千元面额”（1,000元面额）。经纪业务模式下，经纪客户需委托证券公司提交出库</w:t>
      </w:r>
      <w:r>
        <w:rPr>
          <w:rFonts w:hint="eastAsia" w:ascii="仿宋_GB2312" w:hAnsi="Calibri" w:eastAsia="仿宋_GB2312"/>
          <w:sz w:val="30"/>
          <w:szCs w:val="30"/>
        </w:rPr>
        <w:t>申报。</w:t>
      </w:r>
    </w:p>
    <w:p w14:paraId="3E21092D">
      <w:pPr>
        <w:adjustRightInd w:val="0"/>
        <w:snapToGrid w:val="0"/>
        <w:spacing w:line="600" w:lineRule="exact"/>
        <w:ind w:firstLine="600" w:firstLineChars="200"/>
        <w:rPr>
          <w:rFonts w:ascii="仿宋_GB2312" w:hAnsi="Calibri" w:eastAsia="仿宋_GB2312"/>
          <w:color w:val="000000"/>
          <w:sz w:val="30"/>
          <w:szCs w:val="30"/>
        </w:rPr>
      </w:pPr>
      <w:r>
        <w:rPr>
          <w:rFonts w:hint="eastAsia" w:ascii="仿宋_GB2312" w:hAnsi="Calibri" w:eastAsia="仿宋_GB2312"/>
          <w:color w:val="000000"/>
          <w:sz w:val="30"/>
          <w:szCs w:val="30"/>
        </w:rPr>
        <w:t>申报转回数量不得大于该证券账户同品种可转出数量。可转出数量</w:t>
      </w:r>
      <w:r>
        <w:rPr>
          <w:rFonts w:ascii="仿宋_GB2312" w:hAnsi="Calibri" w:eastAsia="仿宋_GB2312"/>
          <w:color w:val="000000"/>
          <w:sz w:val="30"/>
          <w:szCs w:val="30"/>
        </w:rPr>
        <w:t xml:space="preserve"> = </w:t>
      </w:r>
      <w:r>
        <w:rPr>
          <w:rFonts w:hint="eastAsia" w:ascii="仿宋_GB2312" w:hAnsi="Calibri" w:eastAsia="仿宋_GB2312"/>
          <w:color w:val="000000"/>
          <w:sz w:val="30"/>
          <w:szCs w:val="30"/>
        </w:rPr>
        <w:t>质押库内该账户的同品种余额</w:t>
      </w:r>
      <w:r>
        <w:rPr>
          <w:rFonts w:ascii="仿宋_GB2312" w:hAnsi="Calibri" w:eastAsia="仿宋_GB2312"/>
          <w:color w:val="000000"/>
          <w:sz w:val="30"/>
          <w:szCs w:val="30"/>
        </w:rPr>
        <w:t xml:space="preserve"> + </w:t>
      </w:r>
      <w:r>
        <w:rPr>
          <w:rFonts w:hint="eastAsia" w:ascii="仿宋_GB2312" w:hAnsi="Calibri" w:eastAsia="仿宋_GB2312"/>
          <w:color w:val="000000"/>
          <w:sz w:val="30"/>
          <w:szCs w:val="30"/>
        </w:rPr>
        <w:t>当日该账户净转入的同品种数量。质押券转回数量折算的融资额度不得大于其当时可融资额度。</w:t>
      </w:r>
    </w:p>
    <w:p w14:paraId="193F4EBA">
      <w:pPr>
        <w:adjustRightInd w:val="0"/>
        <w:snapToGrid w:val="0"/>
        <w:spacing w:line="600" w:lineRule="exact"/>
        <w:ind w:firstLine="600" w:firstLineChars="200"/>
        <w:rPr>
          <w:rFonts w:ascii="仿宋_GB2312" w:hAnsi="Calibri" w:eastAsia="仿宋_GB2312"/>
          <w:color w:val="000000"/>
          <w:sz w:val="30"/>
          <w:szCs w:val="22"/>
        </w:rPr>
      </w:pPr>
      <w:r>
        <w:rPr>
          <w:rFonts w:hint="eastAsia" w:ascii="仿宋_GB2312" w:hAnsi="Calibri" w:eastAsia="仿宋_GB2312"/>
          <w:color w:val="000000"/>
          <w:sz w:val="30"/>
          <w:szCs w:val="30"/>
        </w:rPr>
        <w:t>申报完成后，质押券依据相关规定转回原证券账户。质押券出库后，正回购方的可用融资额度相应扣减，扣减额度为转回债券依据质押券折算率计算出的质押券价值</w:t>
      </w:r>
      <w:r>
        <w:rPr>
          <w:rFonts w:hint="eastAsia" w:ascii="仿宋_GB2312" w:hAnsi="Calibri" w:eastAsia="仿宋_GB2312"/>
          <w:color w:val="000000"/>
          <w:sz w:val="30"/>
          <w:szCs w:val="22"/>
        </w:rPr>
        <w:t>，并实时增加现券的可用余额。</w:t>
      </w:r>
    </w:p>
    <w:p w14:paraId="793F7F50">
      <w:pPr>
        <w:spacing w:line="600" w:lineRule="exact"/>
        <w:ind w:firstLine="600" w:firstLineChars="200"/>
        <w:rPr>
          <w:rFonts w:ascii="仿宋_GB2312" w:hAnsi="Calibri" w:eastAsia="仿宋_GB2312"/>
          <w:color w:val="000000"/>
          <w:sz w:val="30"/>
          <w:szCs w:val="30"/>
        </w:rPr>
      </w:pPr>
      <w:r>
        <w:rPr>
          <w:rFonts w:ascii="仿宋_GB2312" w:hAnsi="Calibri" w:eastAsia="仿宋_GB2312"/>
          <w:color w:val="000000"/>
          <w:sz w:val="30"/>
          <w:szCs w:val="30"/>
        </w:rPr>
        <w:t>3</w:t>
      </w:r>
      <w:r>
        <w:rPr>
          <w:rFonts w:hint="eastAsia" w:ascii="仿宋_GB2312" w:hAnsi="Calibri" w:eastAsia="仿宋_GB2312"/>
          <w:color w:val="000000"/>
          <w:sz w:val="30"/>
          <w:szCs w:val="30"/>
        </w:rPr>
        <w:t>）出入库申报要素</w:t>
      </w:r>
    </w:p>
    <w:p w14:paraId="4CB5B769">
      <w:pPr>
        <w:adjustRightInd w:val="0"/>
        <w:snapToGrid w:val="0"/>
        <w:spacing w:line="600" w:lineRule="exact"/>
        <w:ind w:firstLine="600" w:firstLineChars="200"/>
        <w:rPr>
          <w:rFonts w:ascii="仿宋_GB2312" w:hAnsi="Calibri" w:eastAsia="仿宋_GB2312"/>
          <w:color w:val="000000"/>
          <w:sz w:val="30"/>
          <w:szCs w:val="30"/>
        </w:rPr>
      </w:pPr>
      <w:r>
        <w:rPr>
          <w:rFonts w:hint="eastAsia" w:ascii="仿宋_GB2312" w:hAnsi="Calibri" w:eastAsia="仿宋_GB2312"/>
          <w:color w:val="000000"/>
          <w:sz w:val="30"/>
          <w:szCs w:val="30"/>
        </w:rPr>
        <w:t>质押券出入库申报时间为</w:t>
      </w:r>
      <w:r>
        <w:rPr>
          <w:rFonts w:hint="eastAsia" w:ascii="仿宋_GB2312" w:hAnsi="Calibri" w:eastAsia="仿宋_GB2312"/>
          <w:sz w:val="30"/>
          <w:szCs w:val="30"/>
        </w:rPr>
        <w:t>每个交易日的9：30至11：30，13：00至15：</w:t>
      </w:r>
      <w:r>
        <w:rPr>
          <w:rFonts w:ascii="仿宋_GB2312" w:hAnsi="Calibri" w:eastAsia="仿宋_GB2312"/>
          <w:sz w:val="30"/>
          <w:szCs w:val="30"/>
        </w:rPr>
        <w:t>3</w:t>
      </w:r>
      <w:r>
        <w:rPr>
          <w:rFonts w:hint="eastAsia" w:ascii="仿宋_GB2312" w:hAnsi="Calibri" w:eastAsia="仿宋_GB2312"/>
          <w:sz w:val="30"/>
          <w:szCs w:val="30"/>
        </w:rPr>
        <w:t>0。</w:t>
      </w:r>
    </w:p>
    <w:p w14:paraId="7B726C2E">
      <w:pPr>
        <w:adjustRightInd w:val="0"/>
        <w:snapToGrid w:val="0"/>
        <w:spacing w:line="600" w:lineRule="exact"/>
        <w:ind w:firstLine="600"/>
        <w:rPr>
          <w:rFonts w:ascii="仿宋_GB2312" w:hAnsi="Calibri" w:eastAsia="仿宋_GB2312"/>
          <w:color w:val="000000"/>
          <w:sz w:val="30"/>
          <w:szCs w:val="30"/>
        </w:rPr>
      </w:pPr>
      <w:r>
        <w:rPr>
          <w:rFonts w:hint="eastAsia" w:ascii="仿宋_GB2312" w:hAnsi="Calibri" w:eastAsia="仿宋_GB2312"/>
          <w:color w:val="000000"/>
          <w:sz w:val="30"/>
          <w:szCs w:val="30"/>
        </w:rPr>
        <w:t>质押券出入库申报要素包括证券代码</w:t>
      </w:r>
      <w:r>
        <w:rPr>
          <w:rFonts w:ascii="仿宋_GB2312" w:hAnsi="Calibri" w:eastAsia="仿宋_GB2312"/>
          <w:color w:val="000000"/>
          <w:sz w:val="30"/>
          <w:szCs w:val="30"/>
        </w:rPr>
        <w:t>、业务类型、</w:t>
      </w:r>
      <w:r>
        <w:rPr>
          <w:rFonts w:hint="eastAsia" w:ascii="仿宋_GB2312" w:hAnsi="Calibri" w:eastAsia="仿宋_GB2312"/>
          <w:color w:val="000000"/>
          <w:sz w:val="30"/>
          <w:szCs w:val="30"/>
        </w:rPr>
        <w:t>数量、证券账号等内容。</w:t>
      </w:r>
      <w:r>
        <w:rPr>
          <w:rFonts w:hint="eastAsia" w:ascii="仿宋_GB2312" w:hAnsi="Calibri" w:eastAsia="仿宋_GB2312"/>
          <w:sz w:val="30"/>
          <w:szCs w:val="30"/>
        </w:rPr>
        <w:t>质押券出入库申报实时生效，不可撤销。</w:t>
      </w:r>
    </w:p>
    <w:p w14:paraId="6076C534">
      <w:pPr>
        <w:adjustRightInd w:val="0"/>
        <w:snapToGrid w:val="0"/>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质押券出入库的申报要素具体如下：</w:t>
      </w:r>
    </w:p>
    <w:tbl>
      <w:tblPr>
        <w:tblStyle w:val="4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30"/>
        <w:gridCol w:w="6492"/>
      </w:tblGrid>
      <w:tr w14:paraId="63377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1" w:type="pct"/>
          </w:tcPr>
          <w:p w14:paraId="1B88000B">
            <w:pPr>
              <w:adjustRightInd w:val="0"/>
              <w:snapToGrid w:val="0"/>
              <w:rPr>
                <w:rFonts w:ascii="仿宋_GB2312" w:eastAsia="仿宋_GB2312"/>
                <w:b/>
                <w:kern w:val="0"/>
                <w:sz w:val="24"/>
                <w:szCs w:val="24"/>
              </w:rPr>
            </w:pPr>
            <w:r>
              <w:rPr>
                <w:rFonts w:hint="eastAsia" w:ascii="仿宋_GB2312" w:eastAsia="仿宋_GB2312"/>
                <w:b/>
                <w:kern w:val="0"/>
                <w:sz w:val="24"/>
                <w:szCs w:val="24"/>
              </w:rPr>
              <w:t>申报类型</w:t>
            </w:r>
          </w:p>
        </w:tc>
        <w:tc>
          <w:tcPr>
            <w:tcW w:w="3808" w:type="pct"/>
          </w:tcPr>
          <w:p w14:paraId="63CDDA16">
            <w:pPr>
              <w:adjustRightInd w:val="0"/>
              <w:snapToGrid w:val="0"/>
              <w:rPr>
                <w:rFonts w:ascii="仿宋_GB2312" w:eastAsia="仿宋_GB2312"/>
                <w:b/>
                <w:kern w:val="0"/>
                <w:sz w:val="24"/>
                <w:szCs w:val="24"/>
              </w:rPr>
            </w:pPr>
            <w:r>
              <w:rPr>
                <w:rFonts w:hint="eastAsia" w:ascii="仿宋_GB2312" w:eastAsia="仿宋_GB2312"/>
                <w:b/>
                <w:kern w:val="0"/>
                <w:sz w:val="24"/>
                <w:szCs w:val="24"/>
              </w:rPr>
              <w:t>质押券出库申报/入库申报</w:t>
            </w:r>
          </w:p>
        </w:tc>
      </w:tr>
      <w:tr w14:paraId="2FDC3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1" w:type="pct"/>
          </w:tcPr>
          <w:p w14:paraId="349E6B88">
            <w:pPr>
              <w:adjustRightInd w:val="0"/>
              <w:snapToGrid w:val="0"/>
              <w:rPr>
                <w:rFonts w:ascii="仿宋_GB2312" w:eastAsia="仿宋_GB2312"/>
                <w:b/>
                <w:kern w:val="0"/>
                <w:sz w:val="24"/>
                <w:szCs w:val="24"/>
              </w:rPr>
            </w:pPr>
            <w:r>
              <w:rPr>
                <w:rFonts w:hint="eastAsia" w:ascii="仿宋_GB2312" w:eastAsia="仿宋_GB2312"/>
                <w:b/>
                <w:kern w:val="0"/>
                <w:sz w:val="24"/>
                <w:szCs w:val="24"/>
              </w:rPr>
              <w:t>证券代码</w:t>
            </w:r>
          </w:p>
        </w:tc>
        <w:tc>
          <w:tcPr>
            <w:tcW w:w="3808" w:type="pct"/>
          </w:tcPr>
          <w:p w14:paraId="014AEA48">
            <w:pPr>
              <w:adjustRightInd w:val="0"/>
              <w:snapToGrid w:val="0"/>
              <w:rPr>
                <w:rFonts w:ascii="仿宋_GB2312" w:hAnsi="宋体" w:eastAsia="仿宋_GB2312"/>
                <w:kern w:val="0"/>
                <w:sz w:val="24"/>
                <w:szCs w:val="24"/>
              </w:rPr>
            </w:pPr>
            <w:r>
              <w:rPr>
                <w:rFonts w:hint="eastAsia" w:ascii="仿宋_GB2312" w:hAnsi="宋体" w:eastAsia="仿宋_GB2312"/>
                <w:kern w:val="0"/>
                <w:sz w:val="24"/>
                <w:szCs w:val="24"/>
              </w:rPr>
              <w:t>拟质押债券的证券代码</w:t>
            </w:r>
          </w:p>
        </w:tc>
      </w:tr>
      <w:tr w14:paraId="1F71A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1" w:type="pct"/>
          </w:tcPr>
          <w:p w14:paraId="3C83F982">
            <w:pPr>
              <w:adjustRightInd w:val="0"/>
              <w:snapToGrid w:val="0"/>
              <w:rPr>
                <w:rFonts w:ascii="仿宋_GB2312" w:eastAsia="仿宋_GB2312"/>
                <w:b/>
                <w:kern w:val="0"/>
                <w:sz w:val="24"/>
                <w:szCs w:val="24"/>
              </w:rPr>
            </w:pPr>
            <w:r>
              <w:rPr>
                <w:rFonts w:hint="eastAsia" w:ascii="仿宋_GB2312" w:eastAsia="仿宋_GB2312"/>
                <w:b/>
                <w:kern w:val="0"/>
                <w:sz w:val="24"/>
                <w:szCs w:val="24"/>
              </w:rPr>
              <w:t>出入库类型</w:t>
            </w:r>
          </w:p>
        </w:tc>
        <w:tc>
          <w:tcPr>
            <w:tcW w:w="3808" w:type="pct"/>
          </w:tcPr>
          <w:p w14:paraId="267776BA">
            <w:pPr>
              <w:adjustRightInd w:val="0"/>
              <w:snapToGrid w:val="0"/>
              <w:rPr>
                <w:rFonts w:ascii="仿宋_GB2312" w:hAnsi="宋体" w:eastAsia="仿宋_GB2312"/>
                <w:kern w:val="0"/>
                <w:sz w:val="24"/>
                <w:szCs w:val="24"/>
              </w:rPr>
            </w:pPr>
            <w:r>
              <w:rPr>
                <w:rFonts w:hint="eastAsia" w:ascii="仿宋_GB2312" w:hAnsi="宋体" w:eastAsia="仿宋_GB2312"/>
                <w:kern w:val="0"/>
                <w:sz w:val="24"/>
                <w:szCs w:val="24"/>
              </w:rPr>
              <w:t>入库为“BPD”，出库为“BPW”</w:t>
            </w:r>
          </w:p>
        </w:tc>
      </w:tr>
      <w:tr w14:paraId="50220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1" w:type="pct"/>
          </w:tcPr>
          <w:p w14:paraId="2558D438">
            <w:pPr>
              <w:adjustRightInd w:val="0"/>
              <w:snapToGrid w:val="0"/>
              <w:rPr>
                <w:rFonts w:ascii="仿宋_GB2312" w:eastAsia="仿宋_GB2312"/>
                <w:b/>
                <w:kern w:val="0"/>
                <w:sz w:val="24"/>
                <w:szCs w:val="24"/>
              </w:rPr>
            </w:pPr>
            <w:r>
              <w:rPr>
                <w:rFonts w:hint="eastAsia" w:ascii="仿宋_GB2312" w:eastAsia="仿宋_GB2312"/>
                <w:b/>
                <w:kern w:val="0"/>
                <w:sz w:val="24"/>
                <w:szCs w:val="24"/>
              </w:rPr>
              <w:t>申报数量</w:t>
            </w:r>
          </w:p>
        </w:tc>
        <w:tc>
          <w:tcPr>
            <w:tcW w:w="3808" w:type="pct"/>
          </w:tcPr>
          <w:p w14:paraId="58747E34">
            <w:pPr>
              <w:adjustRightInd w:val="0"/>
              <w:snapToGrid w:val="0"/>
              <w:rPr>
                <w:rFonts w:ascii="仿宋_GB2312" w:hAnsi="宋体" w:eastAsia="仿宋_GB2312"/>
                <w:kern w:val="0"/>
                <w:sz w:val="24"/>
                <w:szCs w:val="24"/>
              </w:rPr>
            </w:pPr>
            <w:r>
              <w:rPr>
                <w:rFonts w:hint="eastAsia" w:ascii="仿宋_GB2312" w:hAnsi="宋体" w:eastAsia="仿宋_GB2312"/>
                <w:kern w:val="0"/>
                <w:sz w:val="24"/>
                <w:szCs w:val="24"/>
              </w:rPr>
              <w:t>质押债券的数量，单位：千元面额</w:t>
            </w:r>
          </w:p>
        </w:tc>
      </w:tr>
      <w:tr w14:paraId="0D25E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1" w:type="pct"/>
          </w:tcPr>
          <w:p w14:paraId="66349C66">
            <w:pPr>
              <w:adjustRightInd w:val="0"/>
              <w:snapToGrid w:val="0"/>
              <w:rPr>
                <w:rFonts w:ascii="仿宋_GB2312" w:eastAsia="仿宋_GB2312"/>
                <w:b/>
                <w:kern w:val="0"/>
                <w:sz w:val="24"/>
                <w:szCs w:val="24"/>
              </w:rPr>
            </w:pPr>
            <w:r>
              <w:rPr>
                <w:rFonts w:hint="eastAsia" w:ascii="仿宋_GB2312" w:eastAsia="仿宋_GB2312"/>
                <w:b/>
                <w:kern w:val="0"/>
                <w:sz w:val="24"/>
                <w:szCs w:val="24"/>
              </w:rPr>
              <w:t>证券账户</w:t>
            </w:r>
          </w:p>
        </w:tc>
        <w:tc>
          <w:tcPr>
            <w:tcW w:w="3808" w:type="pct"/>
          </w:tcPr>
          <w:p w14:paraId="142006ED">
            <w:pPr>
              <w:adjustRightInd w:val="0"/>
              <w:snapToGrid w:val="0"/>
              <w:rPr>
                <w:rFonts w:ascii="仿宋_GB2312" w:hAnsi="宋体" w:eastAsia="仿宋_GB2312"/>
                <w:kern w:val="0"/>
                <w:sz w:val="24"/>
                <w:szCs w:val="24"/>
              </w:rPr>
            </w:pPr>
            <w:r>
              <w:rPr>
                <w:rFonts w:hint="eastAsia" w:ascii="仿宋_GB2312" w:hAnsi="宋体" w:eastAsia="仿宋_GB2312"/>
                <w:kern w:val="0"/>
                <w:sz w:val="24"/>
                <w:szCs w:val="24"/>
              </w:rPr>
              <w:t>证券账号</w:t>
            </w:r>
          </w:p>
        </w:tc>
      </w:tr>
      <w:tr w14:paraId="42556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1" w:type="pct"/>
          </w:tcPr>
          <w:p w14:paraId="75E2C1CA">
            <w:pPr>
              <w:adjustRightInd w:val="0"/>
              <w:snapToGrid w:val="0"/>
              <w:rPr>
                <w:rFonts w:ascii="仿宋_GB2312" w:eastAsia="仿宋_GB2312"/>
                <w:b/>
                <w:kern w:val="0"/>
                <w:sz w:val="24"/>
                <w:szCs w:val="24"/>
              </w:rPr>
            </w:pPr>
            <w:r>
              <w:rPr>
                <w:rFonts w:hint="eastAsia" w:ascii="仿宋_GB2312" w:eastAsia="仿宋_GB2312"/>
                <w:b/>
                <w:kern w:val="0"/>
                <w:sz w:val="24"/>
                <w:szCs w:val="24"/>
              </w:rPr>
              <w:t>交易单元</w:t>
            </w:r>
          </w:p>
        </w:tc>
        <w:tc>
          <w:tcPr>
            <w:tcW w:w="3808" w:type="pct"/>
          </w:tcPr>
          <w:p w14:paraId="540551FC">
            <w:pPr>
              <w:adjustRightInd w:val="0"/>
              <w:snapToGrid w:val="0"/>
              <w:rPr>
                <w:rFonts w:ascii="仿宋_GB2312" w:hAnsi="宋体" w:eastAsia="仿宋_GB2312"/>
                <w:kern w:val="0"/>
                <w:sz w:val="24"/>
                <w:szCs w:val="24"/>
              </w:rPr>
            </w:pPr>
            <w:r>
              <w:rPr>
                <w:rFonts w:hint="eastAsia" w:ascii="仿宋_GB2312" w:hAnsi="宋体" w:eastAsia="仿宋_GB2312"/>
                <w:kern w:val="0"/>
                <w:sz w:val="24"/>
                <w:szCs w:val="24"/>
              </w:rPr>
              <w:t>交易单元号码</w:t>
            </w:r>
          </w:p>
        </w:tc>
      </w:tr>
      <w:tr w14:paraId="11E57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1" w:type="pct"/>
          </w:tcPr>
          <w:p w14:paraId="5BA156CF">
            <w:pPr>
              <w:adjustRightInd w:val="0"/>
              <w:snapToGrid w:val="0"/>
              <w:rPr>
                <w:rFonts w:ascii="仿宋_GB2312" w:eastAsia="仿宋_GB2312"/>
                <w:b/>
                <w:kern w:val="0"/>
                <w:sz w:val="24"/>
                <w:szCs w:val="24"/>
              </w:rPr>
            </w:pPr>
            <w:r>
              <w:rPr>
                <w:rFonts w:hint="eastAsia" w:ascii="仿宋_GB2312" w:eastAsia="仿宋_GB2312"/>
                <w:b/>
                <w:kern w:val="0"/>
                <w:sz w:val="24"/>
                <w:szCs w:val="24"/>
              </w:rPr>
              <w:t>申报日期时间</w:t>
            </w:r>
          </w:p>
        </w:tc>
        <w:tc>
          <w:tcPr>
            <w:tcW w:w="3808" w:type="pct"/>
          </w:tcPr>
          <w:p w14:paraId="4E577D88">
            <w:pPr>
              <w:adjustRightInd w:val="0"/>
              <w:snapToGrid w:val="0"/>
              <w:rPr>
                <w:rFonts w:ascii="仿宋_GB2312" w:hAnsi="宋体" w:eastAsia="仿宋_GB2312"/>
                <w:kern w:val="0"/>
                <w:sz w:val="24"/>
                <w:szCs w:val="24"/>
              </w:rPr>
            </w:pPr>
            <w:r>
              <w:rPr>
                <w:rFonts w:hint="eastAsia" w:ascii="仿宋_GB2312" w:hAnsi="宋体" w:eastAsia="仿宋_GB2312"/>
                <w:kern w:val="0"/>
                <w:sz w:val="24"/>
                <w:szCs w:val="24"/>
              </w:rPr>
              <w:t>交易申报日期（年月日）及时间（时分秒），自动显示</w:t>
            </w:r>
          </w:p>
        </w:tc>
      </w:tr>
    </w:tbl>
    <w:p w14:paraId="5637FFC1">
      <w:pPr>
        <w:spacing w:line="600" w:lineRule="exact"/>
        <w:ind w:firstLine="600" w:firstLineChars="200"/>
        <w:rPr>
          <w:rFonts w:ascii="仿宋_GB2312" w:hAnsi="黑体" w:eastAsia="仿宋_GB2312"/>
          <w:sz w:val="30"/>
          <w:szCs w:val="30"/>
        </w:rPr>
      </w:pPr>
      <w:r>
        <w:rPr>
          <w:rFonts w:ascii="仿宋_GB2312" w:hAnsi="Calibri" w:eastAsia="仿宋_GB2312"/>
          <w:color w:val="000000"/>
          <w:sz w:val="30"/>
          <w:szCs w:val="30"/>
        </w:rPr>
        <w:t>4</w:t>
      </w:r>
      <w:r>
        <w:rPr>
          <w:rFonts w:hint="eastAsia" w:ascii="仿宋_GB2312" w:hAnsi="Calibri" w:eastAsia="仿宋_GB2312"/>
          <w:color w:val="000000"/>
          <w:sz w:val="30"/>
          <w:szCs w:val="30"/>
        </w:rPr>
        <w:t>）</w:t>
      </w:r>
      <w:r>
        <w:rPr>
          <w:rFonts w:hint="eastAsia" w:ascii="仿宋_GB2312" w:hAnsi="Calibri" w:eastAsia="仿宋_GB2312"/>
          <w:sz w:val="30"/>
          <w:szCs w:val="30"/>
        </w:rPr>
        <w:t>出入库前提与质权设立</w:t>
      </w:r>
    </w:p>
    <w:p w14:paraId="78C5B929">
      <w:pPr>
        <w:adjustRightInd w:val="0"/>
        <w:snapToGrid w:val="0"/>
        <w:spacing w:line="600" w:lineRule="exact"/>
        <w:ind w:firstLine="600"/>
        <w:rPr>
          <w:rFonts w:ascii="仿宋_GB2312" w:hAnsi="Calibri" w:eastAsia="仿宋_GB2312"/>
          <w:sz w:val="30"/>
          <w:szCs w:val="30"/>
        </w:rPr>
      </w:pPr>
      <w:r>
        <w:rPr>
          <w:rFonts w:hint="eastAsia" w:ascii="仿宋_GB2312" w:hAnsi="Calibri" w:eastAsia="仿宋_GB2312"/>
          <w:sz w:val="30"/>
          <w:szCs w:val="30"/>
        </w:rPr>
        <w:t>正回购方在提交质押申报时，应当确保其证券账户中有足额的质押券，且前述质押券上未设定任何形式的担保或其他第三方权利，不存在任何权属争议或权利瑕疵。</w:t>
      </w:r>
    </w:p>
    <w:p w14:paraId="75454ADE">
      <w:pPr>
        <w:adjustRightInd w:val="0"/>
        <w:snapToGrid w:val="0"/>
        <w:spacing w:line="600" w:lineRule="exact"/>
        <w:ind w:firstLine="600"/>
        <w:rPr>
          <w:rFonts w:ascii="仿宋_GB2312" w:hAnsi="Calibri" w:eastAsia="仿宋_GB2312"/>
          <w:sz w:val="30"/>
          <w:szCs w:val="30"/>
        </w:rPr>
      </w:pPr>
      <w:r>
        <w:rPr>
          <w:rFonts w:hint="eastAsia" w:ascii="仿宋_GB2312" w:hAnsi="Calibri" w:eastAsia="仿宋_GB2312"/>
          <w:sz w:val="30"/>
          <w:szCs w:val="30"/>
        </w:rPr>
        <w:t>质权自登记结算机构将质押券转入质押库并进行出质登记时设立。质权担保范围包括质权人享有的债权、利息、违约金以及处置质押券所产生的全部税费等。</w:t>
      </w:r>
    </w:p>
    <w:p w14:paraId="4B4FB412">
      <w:pPr>
        <w:adjustRightInd w:val="0"/>
        <w:snapToGrid w:val="0"/>
        <w:spacing w:line="600" w:lineRule="exact"/>
        <w:ind w:firstLine="600"/>
        <w:rPr>
          <w:rFonts w:ascii="仿宋_GB2312" w:hAnsi="Calibri" w:eastAsia="仿宋_GB2312"/>
          <w:sz w:val="30"/>
          <w:szCs w:val="30"/>
        </w:rPr>
      </w:pPr>
      <w:r>
        <w:rPr>
          <w:rFonts w:hint="eastAsia" w:ascii="仿宋_GB2312" w:hAnsi="Calibri" w:eastAsia="仿宋_GB2312"/>
          <w:sz w:val="30"/>
          <w:szCs w:val="30"/>
        </w:rPr>
        <w:t>综合业务</w:t>
      </w:r>
      <w:r>
        <w:rPr>
          <w:rFonts w:ascii="仿宋_GB2312" w:hAnsi="Calibri" w:eastAsia="仿宋_GB2312"/>
          <w:sz w:val="30"/>
          <w:szCs w:val="30"/>
        </w:rPr>
        <w:t>平台</w:t>
      </w:r>
      <w:r>
        <w:rPr>
          <w:rFonts w:hint="eastAsia" w:ascii="仿宋_GB2312" w:hAnsi="Calibri" w:eastAsia="仿宋_GB2312"/>
          <w:sz w:val="30"/>
          <w:szCs w:val="30"/>
        </w:rPr>
        <w:t>对质押券出入库申报进行前端控制，不可卖空。入库申报的证券数量若超过当前证券账户的可用持仓，则该笔入库申报失败。出库申报的证券数量若超过剩余融资额度对应的证券数量，则该笔出库申报失败。</w:t>
      </w:r>
    </w:p>
    <w:p w14:paraId="02070D8E">
      <w:pPr>
        <w:adjustRightInd w:val="0"/>
        <w:snapToGrid w:val="0"/>
        <w:spacing w:line="600" w:lineRule="exact"/>
        <w:ind w:firstLine="600"/>
        <w:rPr>
          <w:rFonts w:ascii="仿宋_GB2312" w:hAnsi="Calibri" w:eastAsia="仿宋_GB2312"/>
          <w:sz w:val="30"/>
          <w:szCs w:val="30"/>
        </w:rPr>
      </w:pPr>
      <w:r>
        <w:rPr>
          <w:rFonts w:hint="eastAsia" w:ascii="仿宋_GB2312" w:hAnsi="Calibri" w:eastAsia="仿宋_GB2312"/>
          <w:sz w:val="30"/>
          <w:szCs w:val="30"/>
        </w:rPr>
        <w:t>当证券停牌时，该证券的通用回购出入库申报不受影响，正常进行。</w:t>
      </w:r>
    </w:p>
    <w:p w14:paraId="6AF35DEE">
      <w:pPr>
        <w:adjustRightInd w:val="0"/>
        <w:snapToGrid w:val="0"/>
        <w:spacing w:line="600" w:lineRule="exact"/>
        <w:ind w:firstLine="600" w:firstLineChars="200"/>
        <w:rPr>
          <w:rFonts w:ascii="仿宋_GB2312" w:hAnsi="Calibri" w:eastAsia="仿宋_GB2312"/>
          <w:color w:val="000000"/>
          <w:sz w:val="30"/>
          <w:szCs w:val="30"/>
        </w:rPr>
      </w:pPr>
      <w:r>
        <w:rPr>
          <w:rFonts w:hint="eastAsia" w:ascii="仿宋_GB2312" w:hAnsi="Calibri" w:eastAsia="仿宋_GB2312"/>
          <w:color w:val="000000"/>
          <w:sz w:val="30"/>
          <w:szCs w:val="30"/>
        </w:rPr>
        <w:t>5）日间出入库</w:t>
      </w:r>
    </w:p>
    <w:p w14:paraId="25F639D0">
      <w:pPr>
        <w:adjustRightInd w:val="0"/>
        <w:snapToGrid w:val="0"/>
        <w:spacing w:line="600" w:lineRule="exact"/>
        <w:ind w:firstLine="600" w:firstLineChars="200"/>
        <w:rPr>
          <w:rFonts w:ascii="仿宋_GB2312" w:hAnsi="Calibri" w:eastAsia="仿宋_GB2312"/>
          <w:color w:val="000000"/>
          <w:sz w:val="30"/>
          <w:szCs w:val="30"/>
        </w:rPr>
      </w:pPr>
      <w:r>
        <w:rPr>
          <w:rFonts w:hint="eastAsia" w:ascii="仿宋_GB2312" w:hAnsi="Calibri" w:eastAsia="仿宋_GB2312"/>
          <w:color w:val="000000"/>
          <w:sz w:val="30"/>
          <w:szCs w:val="30"/>
        </w:rPr>
        <w:t>当日采用多边净额结算方式买入的债券，当日可以提交质押申报并转入质押库，且当日即可用于回购融资交易。当日申报解除质押并转回成功的债券，当日可以卖出或者再次申报入库，</w:t>
      </w:r>
      <w:r>
        <w:rPr>
          <w:rFonts w:ascii="仿宋_GB2312" w:hAnsi="Calibri" w:eastAsia="仿宋_GB2312"/>
          <w:color w:val="000000"/>
          <w:sz w:val="30"/>
          <w:szCs w:val="30"/>
        </w:rPr>
        <w:t>亦</w:t>
      </w:r>
      <w:r>
        <w:rPr>
          <w:rFonts w:hint="eastAsia" w:ascii="仿宋_GB2312" w:hAnsi="Calibri" w:eastAsia="仿宋_GB2312"/>
          <w:color w:val="000000"/>
          <w:sz w:val="30"/>
          <w:szCs w:val="30"/>
        </w:rPr>
        <w:t>可以申报回售、转股。出入库结果以登记结算机构日终处理结果为准。</w:t>
      </w:r>
    </w:p>
    <w:p w14:paraId="24B908C7">
      <w:pPr>
        <w:tabs>
          <w:tab w:val="left" w:pos="3675"/>
        </w:tabs>
        <w:spacing w:line="600" w:lineRule="exact"/>
        <w:ind w:left="567"/>
        <w:outlineLvl w:val="3"/>
        <w:rPr>
          <w:rFonts w:ascii="仿宋_GB2312" w:eastAsia="仿宋_GB2312"/>
          <w:b/>
          <w:sz w:val="30"/>
          <w:szCs w:val="30"/>
        </w:rPr>
      </w:pPr>
      <w:bookmarkStart w:id="2026" w:name="_Toc35006240"/>
      <w:r>
        <w:rPr>
          <w:rFonts w:hint="eastAsia" w:ascii="仿宋_GB2312" w:eastAsia="仿宋_GB2312"/>
          <w:b/>
          <w:sz w:val="30"/>
          <w:szCs w:val="30"/>
        </w:rPr>
        <w:t>（3）融资额度管理</w:t>
      </w:r>
      <w:r>
        <w:rPr>
          <w:rFonts w:ascii="仿宋_GB2312" w:eastAsia="仿宋_GB2312"/>
          <w:b/>
          <w:sz w:val="30"/>
          <w:szCs w:val="30"/>
        </w:rPr>
        <w:tab/>
      </w:r>
    </w:p>
    <w:bookmarkEnd w:id="2026"/>
    <w:p w14:paraId="552C6E8E">
      <w:pPr>
        <w:adjustRightInd w:val="0"/>
        <w:snapToGrid w:val="0"/>
        <w:spacing w:line="600" w:lineRule="exact"/>
        <w:ind w:firstLine="600"/>
        <w:rPr>
          <w:rFonts w:ascii="仿宋_GB2312" w:hAnsi="微软雅黑" w:eastAsia="仿宋_GB2312"/>
          <w:color w:val="000000"/>
          <w:sz w:val="30"/>
          <w:szCs w:val="30"/>
        </w:rPr>
      </w:pPr>
      <w:r>
        <w:rPr>
          <w:rFonts w:hint="eastAsia" w:ascii="仿宋_GB2312" w:hAnsi="微软雅黑" w:eastAsia="仿宋_GB2312"/>
          <w:color w:val="000000"/>
          <w:sz w:val="30"/>
          <w:szCs w:val="30"/>
        </w:rPr>
        <w:t>债券</w:t>
      </w:r>
      <w:r>
        <w:rPr>
          <w:rFonts w:ascii="仿宋_GB2312" w:hAnsi="微软雅黑" w:eastAsia="仿宋_GB2312"/>
          <w:color w:val="000000"/>
          <w:sz w:val="30"/>
          <w:szCs w:val="30"/>
        </w:rPr>
        <w:t>/</w:t>
      </w:r>
      <w:r>
        <w:rPr>
          <w:rFonts w:hint="eastAsia" w:ascii="仿宋_GB2312" w:hAnsi="微软雅黑" w:eastAsia="仿宋_GB2312"/>
          <w:color w:val="000000"/>
          <w:sz w:val="30"/>
          <w:szCs w:val="30"/>
        </w:rPr>
        <w:t>债券</w:t>
      </w:r>
      <w:r>
        <w:rPr>
          <w:rFonts w:ascii="仿宋_GB2312" w:hAnsi="微软雅黑" w:eastAsia="仿宋_GB2312"/>
          <w:color w:val="000000"/>
          <w:sz w:val="30"/>
          <w:szCs w:val="30"/>
        </w:rPr>
        <w:t>ETF申报为质押券后，其用于回购融资业务的质押价值将统一使用根据折算率（值）折合的融资额度数量表示。</w:t>
      </w:r>
      <w:r>
        <w:rPr>
          <w:rFonts w:hint="eastAsia" w:ascii="仿宋_GB2312" w:hAnsi="微软雅黑" w:eastAsia="仿宋_GB2312"/>
          <w:color w:val="000000"/>
          <w:sz w:val="30"/>
          <w:szCs w:val="30"/>
        </w:rPr>
        <w:t>计算公式为：</w:t>
      </w:r>
    </w:p>
    <w:p w14:paraId="6940FF9F">
      <w:pPr>
        <w:adjustRightInd w:val="0"/>
        <w:snapToGrid w:val="0"/>
        <w:spacing w:line="600" w:lineRule="exact"/>
        <w:ind w:firstLine="600"/>
        <w:rPr>
          <w:rFonts w:ascii="仿宋_GB2312" w:hAnsi="微软雅黑" w:eastAsia="仿宋_GB2312"/>
          <w:color w:val="000000"/>
          <w:sz w:val="30"/>
          <w:szCs w:val="30"/>
        </w:rPr>
      </w:pPr>
      <w:r>
        <w:rPr>
          <w:rFonts w:hint="eastAsia" w:ascii="仿宋_GB2312" w:hAnsi="微软雅黑" w:eastAsia="仿宋_GB2312"/>
          <w:color w:val="000000"/>
          <w:sz w:val="30"/>
          <w:szCs w:val="30"/>
        </w:rPr>
        <w:t>单位债券</w:t>
      </w:r>
      <w:r>
        <w:rPr>
          <w:rFonts w:ascii="仿宋_GB2312" w:hAnsi="微软雅黑" w:eastAsia="仿宋_GB2312"/>
          <w:color w:val="000000"/>
          <w:sz w:val="30"/>
          <w:szCs w:val="30"/>
        </w:rPr>
        <w:t>/</w:t>
      </w:r>
      <w:r>
        <w:rPr>
          <w:rFonts w:hint="eastAsia" w:ascii="仿宋_GB2312" w:hAnsi="微软雅黑" w:eastAsia="仿宋_GB2312"/>
          <w:color w:val="000000"/>
          <w:sz w:val="30"/>
          <w:szCs w:val="30"/>
        </w:rPr>
        <w:t>债券</w:t>
      </w:r>
      <w:r>
        <w:rPr>
          <w:rFonts w:ascii="仿宋_GB2312" w:hAnsi="微软雅黑" w:eastAsia="仿宋_GB2312"/>
          <w:color w:val="000000"/>
          <w:sz w:val="30"/>
          <w:szCs w:val="30"/>
        </w:rPr>
        <w:t>ETF折合融资额度=单位债券</w:t>
      </w:r>
      <w:r>
        <w:rPr>
          <w:rFonts w:hint="eastAsia" w:ascii="仿宋_GB2312" w:hAnsi="微软雅黑" w:eastAsia="仿宋_GB2312"/>
          <w:color w:val="000000"/>
          <w:sz w:val="30"/>
          <w:szCs w:val="30"/>
        </w:rPr>
        <w:t>面额（</w:t>
      </w:r>
      <w:r>
        <w:rPr>
          <w:rFonts w:ascii="仿宋_GB2312" w:hAnsi="微软雅黑" w:eastAsia="仿宋_GB2312"/>
          <w:color w:val="000000"/>
          <w:sz w:val="30"/>
          <w:szCs w:val="30"/>
        </w:rPr>
        <w:t>份额</w:t>
      </w:r>
      <w:r>
        <w:rPr>
          <w:rFonts w:hint="eastAsia" w:ascii="仿宋_GB2312" w:hAnsi="微软雅黑" w:eastAsia="仿宋_GB2312"/>
          <w:color w:val="000000"/>
          <w:sz w:val="30"/>
          <w:szCs w:val="30"/>
        </w:rPr>
        <w:t>）</w:t>
      </w:r>
      <w:r>
        <w:rPr>
          <w:rFonts w:ascii="仿宋_GB2312" w:hAnsi="微软雅黑" w:eastAsia="仿宋_GB2312"/>
          <w:color w:val="000000"/>
          <w:sz w:val="30"/>
          <w:szCs w:val="30"/>
        </w:rPr>
        <w:t>×</w:t>
      </w:r>
      <w:r>
        <w:rPr>
          <w:rFonts w:hint="eastAsia" w:ascii="仿宋_GB2312" w:hAnsi="微软雅黑" w:eastAsia="仿宋_GB2312"/>
          <w:color w:val="000000"/>
          <w:sz w:val="30"/>
          <w:szCs w:val="30"/>
        </w:rPr>
        <w:t>质押</w:t>
      </w:r>
      <w:r>
        <w:rPr>
          <w:rFonts w:ascii="仿宋_GB2312" w:hAnsi="微软雅黑" w:eastAsia="仿宋_GB2312"/>
          <w:color w:val="000000"/>
          <w:sz w:val="30"/>
          <w:szCs w:val="30"/>
        </w:rPr>
        <w:t>券折算率（值）</w:t>
      </w:r>
    </w:p>
    <w:p w14:paraId="514C7743">
      <w:pPr>
        <w:adjustRightInd w:val="0"/>
        <w:snapToGrid w:val="0"/>
        <w:spacing w:line="600" w:lineRule="exact"/>
        <w:ind w:firstLine="600"/>
        <w:rPr>
          <w:rFonts w:ascii="仿宋_GB2312" w:hAnsi="微软雅黑" w:eastAsia="仿宋_GB2312"/>
          <w:color w:val="000000"/>
          <w:sz w:val="30"/>
          <w:szCs w:val="30"/>
        </w:rPr>
      </w:pPr>
      <w:r>
        <w:rPr>
          <w:rFonts w:hint="eastAsia" w:ascii="仿宋_GB2312" w:hAnsi="微软雅黑" w:eastAsia="仿宋_GB2312"/>
          <w:color w:val="000000"/>
          <w:sz w:val="30"/>
          <w:szCs w:val="30"/>
        </w:rPr>
        <w:t>质押券的折算率可在中国证券登记结算有限责任公司的官方网站上查询，地址为：</w:t>
      </w:r>
    </w:p>
    <w:p w14:paraId="56D00441">
      <w:pPr>
        <w:adjustRightInd w:val="0"/>
        <w:snapToGrid w:val="0"/>
        <w:spacing w:line="600" w:lineRule="exact"/>
        <w:ind w:firstLine="600"/>
        <w:rPr>
          <w:rFonts w:ascii="仿宋_GB2312" w:hAnsi="微软雅黑" w:eastAsia="仿宋_GB2312"/>
          <w:color w:val="000000"/>
          <w:sz w:val="30"/>
          <w:szCs w:val="30"/>
        </w:rPr>
      </w:pPr>
      <w:r>
        <w:fldChar w:fldCharType="begin"/>
      </w:r>
      <w:r>
        <w:instrText xml:space="preserve"> HYPERLINK "http://www.chinaclear.cn/zdjs/xbzzsl/center_bzzsl.shtml" </w:instrText>
      </w:r>
      <w:r>
        <w:fldChar w:fldCharType="separate"/>
      </w:r>
      <w:r>
        <w:rPr>
          <w:rStyle w:val="51"/>
          <w:rFonts w:hint="eastAsia" w:ascii="仿宋_GB2312" w:hAnsi="微软雅黑" w:eastAsia="仿宋_GB2312"/>
          <w:color w:val="000000"/>
          <w:sz w:val="30"/>
          <w:szCs w:val="30"/>
        </w:rPr>
        <w:t>http://www.chinaclear.cn/zdjs/xbzzsl/center_bzzsl.shtml</w:t>
      </w:r>
      <w:r>
        <w:rPr>
          <w:rStyle w:val="51"/>
          <w:rFonts w:hint="eastAsia" w:ascii="仿宋_GB2312" w:hAnsi="微软雅黑" w:eastAsia="仿宋_GB2312"/>
          <w:color w:val="000000"/>
          <w:sz w:val="30"/>
          <w:szCs w:val="30"/>
        </w:rPr>
        <w:fldChar w:fldCharType="end"/>
      </w:r>
      <w:r>
        <w:rPr>
          <w:rFonts w:hint="eastAsia" w:ascii="仿宋_GB2312" w:hAnsi="微软雅黑" w:eastAsia="仿宋_GB2312"/>
          <w:color w:val="000000"/>
          <w:sz w:val="30"/>
          <w:szCs w:val="30"/>
        </w:rPr>
        <w:t xml:space="preserve"> 。</w:t>
      </w:r>
    </w:p>
    <w:p w14:paraId="11415990">
      <w:pPr>
        <w:adjustRightInd w:val="0"/>
        <w:snapToGrid w:val="0"/>
        <w:spacing w:line="600" w:lineRule="exact"/>
        <w:ind w:firstLine="600"/>
        <w:rPr>
          <w:rFonts w:ascii="仿宋_GB2312" w:hAnsi="微软雅黑" w:eastAsia="仿宋_GB2312"/>
          <w:color w:val="000000"/>
          <w:sz w:val="30"/>
          <w:szCs w:val="30"/>
        </w:rPr>
      </w:pPr>
      <w:r>
        <w:rPr>
          <w:rFonts w:hint="eastAsia" w:ascii="仿宋_GB2312" w:hAnsi="微软雅黑" w:eastAsia="仿宋_GB2312"/>
          <w:color w:val="000000"/>
          <w:sz w:val="30"/>
          <w:szCs w:val="30"/>
        </w:rPr>
        <w:t>质押券入库后，正回购方的可用融资额度相应增加，增加额度为入库债券按照相应质押券折算率计算出的质押券价值；质押券出库后，正回购方的可用融资额度相应扣减，扣减额度为转回债券依据质押券折算率计算出的质押券价值。</w:t>
      </w:r>
    </w:p>
    <w:p w14:paraId="3B1D477D">
      <w:pPr>
        <w:adjustRightInd w:val="0"/>
        <w:snapToGrid w:val="0"/>
        <w:spacing w:line="600" w:lineRule="exact"/>
        <w:ind w:firstLine="600"/>
        <w:rPr>
          <w:rFonts w:ascii="仿宋_GB2312" w:hAnsi="微软雅黑" w:eastAsia="仿宋_GB2312"/>
          <w:color w:val="000000"/>
          <w:sz w:val="30"/>
          <w:szCs w:val="30"/>
        </w:rPr>
      </w:pPr>
      <w:r>
        <w:rPr>
          <w:rFonts w:hint="eastAsia" w:ascii="仿宋_GB2312" w:hAnsi="微软雅黑" w:eastAsia="仿宋_GB2312"/>
          <w:color w:val="000000"/>
          <w:sz w:val="30"/>
          <w:szCs w:val="30"/>
        </w:rPr>
        <w:t>本所以债券投资者为对象、以证券账户为明细核算单位进行回购融资的核算。某一账户提交的在库各品种质押券折合融资额度之和即为其可融资额度，但在库质押券与每笔未了结融资回购交易不存在一一对应关系。</w:t>
      </w:r>
    </w:p>
    <w:p w14:paraId="3EC7A3EE">
      <w:pPr>
        <w:tabs>
          <w:tab w:val="left" w:pos="3675"/>
        </w:tabs>
        <w:spacing w:line="600" w:lineRule="exact"/>
        <w:ind w:left="567"/>
        <w:outlineLvl w:val="3"/>
        <w:rPr>
          <w:rFonts w:ascii="仿宋_GB2312" w:eastAsia="仿宋_GB2312"/>
          <w:b/>
          <w:sz w:val="30"/>
          <w:szCs w:val="30"/>
        </w:rPr>
      </w:pPr>
      <w:r>
        <w:rPr>
          <w:rFonts w:hint="eastAsia" w:ascii="仿宋_GB2312" w:eastAsia="仿宋_GB2312"/>
          <w:b/>
          <w:sz w:val="30"/>
          <w:szCs w:val="30"/>
        </w:rPr>
        <w:t>（4）受信用保护债券质押式回购业务</w:t>
      </w:r>
    </w:p>
    <w:p w14:paraId="3B6A85DA">
      <w:pPr>
        <w:spacing w:line="600" w:lineRule="exact"/>
        <w:ind w:firstLine="600" w:firstLineChars="200"/>
        <w:rPr>
          <w:rFonts w:ascii="仿宋_GB2312" w:hAnsi="微软雅黑" w:eastAsia="仿宋_GB2312"/>
          <w:color w:val="000000"/>
          <w:sz w:val="30"/>
          <w:szCs w:val="30"/>
        </w:rPr>
      </w:pPr>
      <w:r>
        <w:rPr>
          <w:rFonts w:hint="eastAsia" w:ascii="仿宋_GB2312" w:hAnsi="微软雅黑" w:eastAsia="仿宋_GB2312"/>
          <w:color w:val="000000"/>
          <w:sz w:val="30"/>
          <w:szCs w:val="30"/>
        </w:rPr>
        <w:t>对于经审核符合《中国证券登记结算有限责任公司受信用保护债券质押式回购管理暂行办法》相关规定的合格受信用保护债券，债券投资者可以将该债券及对应的合格信用保护凭证一并提交转入质押库开展融资回购交易。</w:t>
      </w:r>
    </w:p>
    <w:p w14:paraId="1F8EE9E1">
      <w:pPr>
        <w:spacing w:line="600" w:lineRule="exact"/>
        <w:ind w:firstLine="600" w:firstLineChars="200"/>
        <w:rPr>
          <w:rFonts w:ascii="仿宋_GB2312" w:hAnsi="微软雅黑" w:eastAsia="仿宋_GB2312"/>
          <w:color w:val="000000"/>
          <w:sz w:val="30"/>
          <w:szCs w:val="30"/>
        </w:rPr>
      </w:pPr>
      <w:r>
        <w:rPr>
          <w:rFonts w:hint="eastAsia" w:ascii="仿宋_GB2312" w:hAnsi="微软雅黑" w:eastAsia="仿宋_GB2312"/>
          <w:color w:val="000000"/>
          <w:sz w:val="30"/>
          <w:szCs w:val="30"/>
        </w:rPr>
        <w:t>具体事项按照</w:t>
      </w:r>
      <w:r>
        <w:rPr>
          <w:rFonts w:ascii="仿宋_GB2312" w:hAnsi="微软雅黑" w:eastAsia="仿宋_GB2312"/>
          <w:color w:val="000000"/>
          <w:sz w:val="30"/>
          <w:szCs w:val="30"/>
        </w:rPr>
        <w:t>《</w:t>
      </w:r>
      <w:r>
        <w:rPr>
          <w:rFonts w:hint="eastAsia" w:ascii="仿宋_GB2312" w:hAnsi="微软雅黑" w:eastAsia="仿宋_GB2312"/>
          <w:color w:val="000000"/>
          <w:sz w:val="30"/>
          <w:szCs w:val="30"/>
        </w:rPr>
        <w:t>关于开展沪市受信用保护债券质押式回购业务相关事宜的通知</w:t>
      </w:r>
      <w:r>
        <w:rPr>
          <w:rFonts w:ascii="仿宋_GB2312" w:hAnsi="微软雅黑" w:eastAsia="仿宋_GB2312"/>
          <w:color w:val="000000"/>
          <w:sz w:val="30"/>
          <w:szCs w:val="30"/>
        </w:rPr>
        <w:t>》</w:t>
      </w:r>
      <w:r>
        <w:rPr>
          <w:rFonts w:hint="eastAsia" w:ascii="仿宋_GB2312" w:hAnsi="微软雅黑" w:eastAsia="仿宋_GB2312"/>
          <w:color w:val="000000"/>
          <w:sz w:val="30"/>
          <w:szCs w:val="30"/>
        </w:rPr>
        <w:t>实施</w:t>
      </w:r>
      <w:r>
        <w:rPr>
          <w:rFonts w:ascii="仿宋_GB2312" w:hAnsi="微软雅黑" w:eastAsia="仿宋_GB2312"/>
          <w:color w:val="000000"/>
          <w:sz w:val="30"/>
          <w:szCs w:val="30"/>
        </w:rPr>
        <w:t>。</w:t>
      </w:r>
    </w:p>
    <w:p w14:paraId="17ED2C9F">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通用回购匹配成交交易</w:t>
      </w:r>
    </w:p>
    <w:p w14:paraId="33FEF678">
      <w:pPr>
        <w:adjustRightInd w:val="0"/>
        <w:snapToGrid w:val="0"/>
        <w:spacing w:line="600" w:lineRule="exact"/>
        <w:ind w:firstLine="600"/>
        <w:rPr>
          <w:rFonts w:ascii="仿宋_GB2312" w:hAnsi="微软雅黑" w:eastAsia="仿宋_GB2312"/>
          <w:color w:val="000000"/>
          <w:sz w:val="30"/>
          <w:szCs w:val="30"/>
        </w:rPr>
      </w:pPr>
      <w:r>
        <w:rPr>
          <w:rFonts w:hint="eastAsia" w:ascii="仿宋_GB2312" w:hAnsi="微软雅黑" w:eastAsia="仿宋_GB2312"/>
          <w:color w:val="000000"/>
          <w:sz w:val="30"/>
          <w:szCs w:val="30"/>
        </w:rPr>
        <w:t>根据</w:t>
      </w:r>
      <w:r>
        <w:rPr>
          <w:rFonts w:ascii="仿宋_GB2312" w:hAnsi="微软雅黑" w:eastAsia="仿宋_GB2312"/>
          <w:color w:val="000000"/>
          <w:sz w:val="30"/>
          <w:szCs w:val="30"/>
        </w:rPr>
        <w:t>《</w:t>
      </w:r>
      <w:r>
        <w:rPr>
          <w:rFonts w:hint="eastAsia" w:ascii="仿宋_GB2312" w:hAnsi="微软雅黑" w:eastAsia="仿宋_GB2312"/>
          <w:color w:val="000000"/>
          <w:sz w:val="30"/>
          <w:szCs w:val="30"/>
        </w:rPr>
        <w:t>上海证券交易所债券交易规则适用指引第2号——债券通用质押式回购交易</w:t>
      </w:r>
      <w:r>
        <w:rPr>
          <w:rFonts w:ascii="仿宋_GB2312" w:hAnsi="微软雅黑" w:eastAsia="仿宋_GB2312"/>
          <w:color w:val="000000"/>
          <w:sz w:val="30"/>
          <w:szCs w:val="30"/>
        </w:rPr>
        <w:t>》</w:t>
      </w:r>
      <w:r>
        <w:rPr>
          <w:rFonts w:hint="eastAsia" w:ascii="仿宋_GB2312" w:hAnsi="微软雅黑" w:eastAsia="仿宋_GB2312"/>
          <w:color w:val="000000"/>
          <w:sz w:val="30"/>
          <w:szCs w:val="30"/>
        </w:rPr>
        <w:t>，通用回购交易可以采用匹配成交、点击成交、询价成交、竞买成交、协商成交以及本所认可的其他交易方式达成，其中初期仅采用匹配成交交易方式，</w:t>
      </w:r>
      <w:r>
        <w:rPr>
          <w:rFonts w:ascii="仿宋_GB2312" w:hAnsi="微软雅黑" w:eastAsia="仿宋_GB2312"/>
          <w:color w:val="000000"/>
          <w:sz w:val="30"/>
          <w:szCs w:val="30"/>
        </w:rPr>
        <w:t>匹配成交</w:t>
      </w:r>
      <w:r>
        <w:rPr>
          <w:rFonts w:hint="eastAsia" w:ascii="仿宋_GB2312" w:hAnsi="微软雅黑" w:eastAsia="仿宋_GB2312"/>
          <w:color w:val="000000"/>
          <w:sz w:val="30"/>
          <w:szCs w:val="30"/>
        </w:rPr>
        <w:t>以外的</w:t>
      </w:r>
      <w:r>
        <w:rPr>
          <w:rFonts w:ascii="仿宋_GB2312" w:hAnsi="微软雅黑" w:eastAsia="仿宋_GB2312"/>
          <w:color w:val="000000"/>
          <w:sz w:val="30"/>
          <w:szCs w:val="30"/>
        </w:rPr>
        <w:t>交易方式</w:t>
      </w:r>
      <w:r>
        <w:rPr>
          <w:rFonts w:hint="eastAsia" w:ascii="仿宋_GB2312" w:hAnsi="微软雅黑" w:eastAsia="仿宋_GB2312"/>
          <w:color w:val="000000"/>
          <w:sz w:val="30"/>
          <w:szCs w:val="30"/>
        </w:rPr>
        <w:t>暂缓实施。</w:t>
      </w:r>
    </w:p>
    <w:p w14:paraId="020E0628">
      <w:pPr>
        <w:spacing w:line="600" w:lineRule="exact"/>
        <w:ind w:left="567"/>
        <w:outlineLvl w:val="3"/>
        <w:rPr>
          <w:rFonts w:ascii="仿宋_GB2312" w:eastAsia="仿宋_GB2312"/>
          <w:b/>
          <w:sz w:val="30"/>
          <w:szCs w:val="30"/>
        </w:rPr>
      </w:pPr>
      <w:r>
        <w:rPr>
          <w:rFonts w:hint="eastAsia" w:ascii="仿宋_GB2312" w:eastAsia="仿宋_GB2312"/>
          <w:b/>
          <w:sz w:val="30"/>
          <w:szCs w:val="30"/>
        </w:rPr>
        <w:t>（1）交易方向</w:t>
      </w:r>
    </w:p>
    <w:p w14:paraId="6087E66A">
      <w:pPr>
        <w:adjustRightInd w:val="0"/>
        <w:snapToGrid w:val="0"/>
        <w:spacing w:line="600" w:lineRule="exact"/>
        <w:ind w:firstLine="600"/>
        <w:rPr>
          <w:rFonts w:ascii="仿宋_GB2312" w:hAnsi="宋体" w:eastAsia="仿宋_GB2312"/>
          <w:sz w:val="30"/>
          <w:szCs w:val="30"/>
        </w:rPr>
      </w:pPr>
      <w:r>
        <w:rPr>
          <w:rFonts w:ascii="仿宋_GB2312" w:hAnsi="宋体" w:eastAsia="仿宋_GB2312"/>
          <w:sz w:val="30"/>
          <w:szCs w:val="30"/>
        </w:rPr>
        <w:t>回购交易申报中，正回购方按“买入”方向予以申报，逆回购方按“卖出”方向予以申报。</w:t>
      </w:r>
    </w:p>
    <w:p w14:paraId="6F0D1D77">
      <w:pPr>
        <w:spacing w:line="600" w:lineRule="exact"/>
        <w:ind w:left="567"/>
        <w:outlineLvl w:val="3"/>
        <w:rPr>
          <w:rFonts w:ascii="仿宋_GB2312" w:eastAsia="仿宋_GB2312"/>
          <w:b/>
          <w:sz w:val="30"/>
          <w:szCs w:val="30"/>
        </w:rPr>
      </w:pPr>
      <w:r>
        <w:rPr>
          <w:rFonts w:hint="eastAsia" w:ascii="仿宋_GB2312" w:eastAsia="仿宋_GB2312"/>
          <w:b/>
          <w:sz w:val="30"/>
          <w:szCs w:val="30"/>
        </w:rPr>
        <w:t>（2）交易</w:t>
      </w:r>
      <w:r>
        <w:rPr>
          <w:rFonts w:hint="eastAsia" w:ascii="仿宋_GB2312" w:hAnsi="黑体" w:eastAsia="仿宋_GB2312"/>
          <w:b/>
          <w:sz w:val="30"/>
          <w:szCs w:val="30"/>
        </w:rPr>
        <w:t>申报</w:t>
      </w:r>
    </w:p>
    <w:p w14:paraId="6EEF9411">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本所接受通用回购交易申报的时间为每个交易日的9:15至9:25，</w:t>
      </w:r>
      <w:r>
        <w:rPr>
          <w:rFonts w:ascii="仿宋_GB2312" w:hAnsi="宋体" w:eastAsia="仿宋_GB2312"/>
          <w:sz w:val="30"/>
          <w:szCs w:val="30"/>
        </w:rPr>
        <w:t>9：30至11：30，13：00至15：30。本所可以根据市场需要调整通用回购的申报时间。</w:t>
      </w:r>
    </w:p>
    <w:p w14:paraId="04AD9576">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申报价格与申报数量详见本指南第4</w:t>
      </w:r>
      <w:r>
        <w:rPr>
          <w:rFonts w:ascii="仿宋_GB2312" w:hAnsi="宋体" w:eastAsia="仿宋_GB2312"/>
          <w:sz w:val="30"/>
          <w:szCs w:val="30"/>
        </w:rPr>
        <w:t>章</w:t>
      </w:r>
      <w:r>
        <w:rPr>
          <w:rFonts w:hint="eastAsia" w:ascii="仿宋_GB2312" w:hAnsi="宋体" w:eastAsia="仿宋_GB2312"/>
          <w:sz w:val="30"/>
          <w:szCs w:val="30"/>
        </w:rPr>
        <w:t>“债券交易一般要求”。</w:t>
      </w:r>
      <w:r>
        <w:rPr>
          <w:rFonts w:hint="eastAsia" w:ascii="仿宋_GB2312" w:hAnsi="仿宋" w:eastAsia="仿宋_GB2312"/>
          <w:sz w:val="30"/>
          <w:szCs w:val="30"/>
        </w:rPr>
        <w:t>申报要素应当包括证券代码、交易方向、价格、数量、证券账号等内容。具体如下：</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93"/>
        <w:gridCol w:w="6429"/>
      </w:tblGrid>
      <w:tr w14:paraId="76690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93" w:type="dxa"/>
          </w:tcPr>
          <w:p w14:paraId="3B21022C">
            <w:pPr>
              <w:adjustRightInd w:val="0"/>
              <w:snapToGrid w:val="0"/>
              <w:rPr>
                <w:rFonts w:ascii="仿宋_GB2312" w:eastAsia="仿宋_GB2312"/>
                <w:b/>
                <w:kern w:val="0"/>
                <w:sz w:val="24"/>
                <w:szCs w:val="24"/>
              </w:rPr>
            </w:pPr>
            <w:r>
              <w:rPr>
                <w:rFonts w:hint="eastAsia" w:ascii="仿宋_GB2312" w:eastAsia="仿宋_GB2312"/>
                <w:b/>
                <w:kern w:val="0"/>
                <w:sz w:val="24"/>
                <w:szCs w:val="24"/>
              </w:rPr>
              <w:t>要素名称</w:t>
            </w:r>
          </w:p>
        </w:tc>
        <w:tc>
          <w:tcPr>
            <w:tcW w:w="6429" w:type="dxa"/>
          </w:tcPr>
          <w:p w14:paraId="58302468">
            <w:pPr>
              <w:adjustRightInd w:val="0"/>
              <w:snapToGrid w:val="0"/>
              <w:rPr>
                <w:rFonts w:ascii="仿宋_GB2312" w:eastAsia="仿宋_GB2312"/>
                <w:b/>
                <w:kern w:val="0"/>
                <w:sz w:val="24"/>
                <w:szCs w:val="24"/>
              </w:rPr>
            </w:pPr>
            <w:r>
              <w:rPr>
                <w:rFonts w:hint="eastAsia" w:ascii="仿宋_GB2312" w:eastAsia="仿宋_GB2312"/>
                <w:b/>
                <w:kern w:val="0"/>
                <w:sz w:val="24"/>
                <w:szCs w:val="24"/>
              </w:rPr>
              <w:t>要素说明</w:t>
            </w:r>
          </w:p>
        </w:tc>
      </w:tr>
      <w:tr w14:paraId="302CF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93" w:type="dxa"/>
          </w:tcPr>
          <w:p w14:paraId="698BE607">
            <w:pPr>
              <w:adjustRightInd w:val="0"/>
              <w:snapToGrid w:val="0"/>
              <w:rPr>
                <w:rFonts w:ascii="仿宋_GB2312" w:eastAsia="仿宋_GB2312"/>
                <w:b/>
                <w:kern w:val="0"/>
                <w:sz w:val="24"/>
                <w:szCs w:val="24"/>
              </w:rPr>
            </w:pPr>
            <w:r>
              <w:rPr>
                <w:rFonts w:hint="eastAsia" w:ascii="仿宋_GB2312" w:eastAsia="仿宋_GB2312"/>
                <w:b/>
                <w:kern w:val="0"/>
                <w:sz w:val="24"/>
                <w:szCs w:val="24"/>
              </w:rPr>
              <w:t>证券代码</w:t>
            </w:r>
          </w:p>
        </w:tc>
        <w:tc>
          <w:tcPr>
            <w:tcW w:w="6429" w:type="dxa"/>
          </w:tcPr>
          <w:p w14:paraId="27455EEF">
            <w:pPr>
              <w:adjustRightInd w:val="0"/>
              <w:snapToGrid w:val="0"/>
              <w:rPr>
                <w:rFonts w:ascii="仿宋_GB2312" w:eastAsia="仿宋_GB2312"/>
                <w:kern w:val="0"/>
                <w:sz w:val="24"/>
                <w:szCs w:val="24"/>
              </w:rPr>
            </w:pPr>
            <w:r>
              <w:rPr>
                <w:rFonts w:hint="eastAsia" w:ascii="仿宋_GB2312" w:eastAsia="仿宋_GB2312"/>
                <w:kern w:val="0"/>
                <w:sz w:val="24"/>
                <w:szCs w:val="24"/>
              </w:rPr>
              <w:t>通用回购的证券代码</w:t>
            </w:r>
          </w:p>
        </w:tc>
      </w:tr>
      <w:tr w14:paraId="2E360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93" w:type="dxa"/>
          </w:tcPr>
          <w:p w14:paraId="1920006F">
            <w:pPr>
              <w:adjustRightInd w:val="0"/>
              <w:snapToGrid w:val="0"/>
              <w:rPr>
                <w:rFonts w:ascii="仿宋_GB2312" w:eastAsia="仿宋_GB2312"/>
                <w:b/>
                <w:kern w:val="0"/>
                <w:sz w:val="24"/>
                <w:szCs w:val="24"/>
              </w:rPr>
            </w:pPr>
            <w:r>
              <w:rPr>
                <w:rFonts w:hint="eastAsia" w:ascii="仿宋_GB2312" w:eastAsia="仿宋_GB2312"/>
                <w:b/>
                <w:kern w:val="0"/>
                <w:sz w:val="24"/>
                <w:szCs w:val="24"/>
              </w:rPr>
              <w:t>交易方向</w:t>
            </w:r>
          </w:p>
        </w:tc>
        <w:tc>
          <w:tcPr>
            <w:tcW w:w="6429" w:type="dxa"/>
          </w:tcPr>
          <w:p w14:paraId="02F912C9">
            <w:pPr>
              <w:adjustRightInd w:val="0"/>
              <w:snapToGrid w:val="0"/>
              <w:rPr>
                <w:rFonts w:ascii="仿宋_GB2312" w:eastAsia="仿宋_GB2312"/>
                <w:kern w:val="0"/>
                <w:sz w:val="24"/>
                <w:szCs w:val="24"/>
              </w:rPr>
            </w:pPr>
            <w:r>
              <w:rPr>
                <w:rFonts w:hint="eastAsia" w:ascii="仿宋_GB2312" w:eastAsia="仿宋_GB2312"/>
                <w:kern w:val="0"/>
                <w:sz w:val="24"/>
                <w:szCs w:val="24"/>
              </w:rPr>
              <w:t>交易的买卖方向，即买入/卖出</w:t>
            </w:r>
            <w:r>
              <w:rPr>
                <w:rFonts w:ascii="仿宋_GB2312" w:eastAsia="仿宋_GB2312"/>
                <w:kern w:val="0"/>
                <w:sz w:val="24"/>
                <w:szCs w:val="24"/>
              </w:rPr>
              <w:t>.</w:t>
            </w:r>
            <w:r>
              <w:rPr>
                <w:rFonts w:hint="eastAsia" w:ascii="仿宋_GB2312" w:eastAsia="仿宋_GB2312"/>
                <w:kern w:val="0"/>
                <w:sz w:val="24"/>
                <w:szCs w:val="24"/>
              </w:rPr>
              <w:t xml:space="preserve"> 正回购方按</w:t>
            </w:r>
            <w:r>
              <w:rPr>
                <w:rFonts w:ascii="仿宋_GB2312" w:eastAsia="仿宋_GB2312"/>
                <w:kern w:val="0"/>
                <w:sz w:val="24"/>
                <w:szCs w:val="24"/>
              </w:rPr>
              <w:t>“</w:t>
            </w:r>
            <w:r>
              <w:rPr>
                <w:rFonts w:hint="eastAsia" w:ascii="仿宋_GB2312" w:eastAsia="仿宋_GB2312"/>
                <w:kern w:val="0"/>
                <w:sz w:val="24"/>
                <w:szCs w:val="24"/>
              </w:rPr>
              <w:t>买入</w:t>
            </w:r>
            <w:r>
              <w:rPr>
                <w:rFonts w:ascii="仿宋_GB2312" w:eastAsia="仿宋_GB2312"/>
                <w:kern w:val="0"/>
                <w:sz w:val="24"/>
                <w:szCs w:val="24"/>
              </w:rPr>
              <w:t>”</w:t>
            </w:r>
            <w:r>
              <w:rPr>
                <w:rFonts w:hint="eastAsia" w:ascii="仿宋_GB2312" w:eastAsia="仿宋_GB2312"/>
                <w:kern w:val="0"/>
                <w:sz w:val="24"/>
                <w:szCs w:val="24"/>
              </w:rPr>
              <w:t>方向予以申报，逆回购方按</w:t>
            </w:r>
            <w:r>
              <w:rPr>
                <w:rFonts w:ascii="仿宋_GB2312" w:eastAsia="仿宋_GB2312"/>
                <w:kern w:val="0"/>
                <w:sz w:val="24"/>
                <w:szCs w:val="24"/>
              </w:rPr>
              <w:t>“</w:t>
            </w:r>
            <w:r>
              <w:rPr>
                <w:rFonts w:hint="eastAsia" w:ascii="仿宋_GB2312" w:eastAsia="仿宋_GB2312"/>
                <w:kern w:val="0"/>
                <w:sz w:val="24"/>
                <w:szCs w:val="24"/>
              </w:rPr>
              <w:t>卖出</w:t>
            </w:r>
            <w:r>
              <w:rPr>
                <w:rFonts w:ascii="仿宋_GB2312" w:eastAsia="仿宋_GB2312"/>
                <w:kern w:val="0"/>
                <w:sz w:val="24"/>
                <w:szCs w:val="24"/>
              </w:rPr>
              <w:t>”</w:t>
            </w:r>
            <w:r>
              <w:rPr>
                <w:rFonts w:hint="eastAsia" w:ascii="仿宋_GB2312" w:eastAsia="仿宋_GB2312"/>
                <w:kern w:val="0"/>
                <w:sz w:val="24"/>
                <w:szCs w:val="24"/>
              </w:rPr>
              <w:t>方向予以申报。</w:t>
            </w:r>
          </w:p>
        </w:tc>
      </w:tr>
      <w:tr w14:paraId="4DD31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93" w:type="dxa"/>
          </w:tcPr>
          <w:p w14:paraId="5EA00BC0">
            <w:pPr>
              <w:adjustRightInd w:val="0"/>
              <w:snapToGrid w:val="0"/>
              <w:rPr>
                <w:rFonts w:ascii="仿宋_GB2312" w:eastAsia="仿宋_GB2312"/>
                <w:b/>
                <w:kern w:val="0"/>
                <w:sz w:val="24"/>
                <w:szCs w:val="24"/>
              </w:rPr>
            </w:pPr>
            <w:r>
              <w:rPr>
                <w:rFonts w:hint="eastAsia" w:ascii="仿宋_GB2312" w:eastAsia="仿宋_GB2312"/>
                <w:b/>
                <w:kern w:val="0"/>
                <w:sz w:val="24"/>
                <w:szCs w:val="24"/>
              </w:rPr>
              <w:t>申报价格</w:t>
            </w:r>
          </w:p>
        </w:tc>
        <w:tc>
          <w:tcPr>
            <w:tcW w:w="6429" w:type="dxa"/>
          </w:tcPr>
          <w:p w14:paraId="19A68CD5">
            <w:pPr>
              <w:adjustRightInd w:val="0"/>
              <w:snapToGrid w:val="0"/>
              <w:rPr>
                <w:rFonts w:ascii="仿宋_GB2312" w:eastAsia="仿宋_GB2312"/>
                <w:kern w:val="0"/>
                <w:sz w:val="24"/>
                <w:szCs w:val="24"/>
              </w:rPr>
            </w:pPr>
            <w:r>
              <w:rPr>
                <w:rFonts w:hint="eastAsia" w:ascii="仿宋_GB2312" w:eastAsia="仿宋_GB2312"/>
                <w:kern w:val="0"/>
                <w:sz w:val="24"/>
                <w:szCs w:val="24"/>
              </w:rPr>
              <w:t>交易的价格，“每百元资金到期年收益”，金额单位：元。</w:t>
            </w:r>
          </w:p>
        </w:tc>
      </w:tr>
      <w:tr w14:paraId="19F34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93" w:type="dxa"/>
          </w:tcPr>
          <w:p w14:paraId="155E44D7">
            <w:pPr>
              <w:adjustRightInd w:val="0"/>
              <w:snapToGrid w:val="0"/>
              <w:rPr>
                <w:rFonts w:ascii="仿宋_GB2312" w:eastAsia="仿宋_GB2312"/>
                <w:b/>
                <w:kern w:val="0"/>
                <w:sz w:val="24"/>
                <w:szCs w:val="24"/>
              </w:rPr>
            </w:pPr>
            <w:r>
              <w:rPr>
                <w:rFonts w:hint="eastAsia" w:ascii="仿宋_GB2312" w:eastAsia="仿宋_GB2312"/>
                <w:b/>
                <w:kern w:val="0"/>
                <w:sz w:val="24"/>
                <w:szCs w:val="24"/>
              </w:rPr>
              <w:t>申报数量</w:t>
            </w:r>
          </w:p>
        </w:tc>
        <w:tc>
          <w:tcPr>
            <w:tcW w:w="6429" w:type="dxa"/>
          </w:tcPr>
          <w:p w14:paraId="6EBCFE77">
            <w:pPr>
              <w:adjustRightInd w:val="0"/>
              <w:snapToGrid w:val="0"/>
              <w:rPr>
                <w:rFonts w:ascii="仿宋_GB2312" w:eastAsia="仿宋_GB2312"/>
                <w:kern w:val="0"/>
                <w:sz w:val="24"/>
                <w:szCs w:val="24"/>
              </w:rPr>
            </w:pPr>
            <w:r>
              <w:rPr>
                <w:rFonts w:hint="eastAsia" w:ascii="仿宋_GB2312" w:eastAsia="仿宋_GB2312"/>
                <w:kern w:val="0"/>
                <w:sz w:val="24"/>
                <w:szCs w:val="24"/>
              </w:rPr>
              <w:t>交易的数量，单位：千元面额。</w:t>
            </w:r>
          </w:p>
        </w:tc>
      </w:tr>
      <w:tr w14:paraId="69ED3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93" w:type="dxa"/>
          </w:tcPr>
          <w:p w14:paraId="278E5711">
            <w:pPr>
              <w:adjustRightInd w:val="0"/>
              <w:snapToGrid w:val="0"/>
              <w:rPr>
                <w:rFonts w:ascii="仿宋_GB2312" w:eastAsia="仿宋_GB2312"/>
                <w:b/>
                <w:kern w:val="0"/>
                <w:sz w:val="24"/>
                <w:szCs w:val="24"/>
              </w:rPr>
            </w:pPr>
            <w:r>
              <w:rPr>
                <w:rFonts w:hint="eastAsia" w:ascii="仿宋_GB2312" w:eastAsia="仿宋_GB2312"/>
                <w:b/>
                <w:kern w:val="0"/>
                <w:sz w:val="24"/>
                <w:szCs w:val="24"/>
              </w:rPr>
              <w:t>申报账号</w:t>
            </w:r>
          </w:p>
        </w:tc>
        <w:tc>
          <w:tcPr>
            <w:tcW w:w="6429" w:type="dxa"/>
          </w:tcPr>
          <w:p w14:paraId="5906CEDE">
            <w:pPr>
              <w:adjustRightInd w:val="0"/>
              <w:snapToGrid w:val="0"/>
              <w:rPr>
                <w:rFonts w:ascii="仿宋_GB2312" w:eastAsia="仿宋_GB2312"/>
                <w:kern w:val="0"/>
                <w:sz w:val="24"/>
                <w:szCs w:val="24"/>
              </w:rPr>
            </w:pPr>
            <w:r>
              <w:rPr>
                <w:rFonts w:hint="eastAsia" w:ascii="仿宋_GB2312" w:eastAsia="仿宋_GB2312"/>
                <w:kern w:val="0"/>
                <w:sz w:val="24"/>
                <w:szCs w:val="24"/>
              </w:rPr>
              <w:t>交易的证券账户号码</w:t>
            </w:r>
          </w:p>
        </w:tc>
      </w:tr>
      <w:tr w14:paraId="2D070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93" w:type="dxa"/>
          </w:tcPr>
          <w:p w14:paraId="26E52545">
            <w:pPr>
              <w:adjustRightInd w:val="0"/>
              <w:snapToGrid w:val="0"/>
              <w:rPr>
                <w:rFonts w:ascii="仿宋_GB2312" w:eastAsia="仿宋_GB2312"/>
                <w:b/>
                <w:kern w:val="0"/>
                <w:sz w:val="24"/>
                <w:szCs w:val="24"/>
              </w:rPr>
            </w:pPr>
            <w:r>
              <w:rPr>
                <w:rFonts w:hint="eastAsia" w:ascii="仿宋_GB2312" w:eastAsia="仿宋_GB2312"/>
                <w:b/>
                <w:kern w:val="0"/>
                <w:sz w:val="24"/>
                <w:szCs w:val="24"/>
              </w:rPr>
              <w:t>申报日期时间</w:t>
            </w:r>
          </w:p>
        </w:tc>
        <w:tc>
          <w:tcPr>
            <w:tcW w:w="6429" w:type="dxa"/>
          </w:tcPr>
          <w:p w14:paraId="7965F28B">
            <w:pPr>
              <w:adjustRightInd w:val="0"/>
              <w:snapToGrid w:val="0"/>
              <w:rPr>
                <w:rFonts w:ascii="仿宋_GB2312" w:eastAsia="仿宋_GB2312"/>
                <w:kern w:val="0"/>
                <w:sz w:val="24"/>
                <w:szCs w:val="24"/>
              </w:rPr>
            </w:pPr>
            <w:r>
              <w:rPr>
                <w:rFonts w:hint="eastAsia" w:ascii="仿宋_GB2312" w:eastAsia="仿宋_GB2312"/>
                <w:kern w:val="0"/>
                <w:sz w:val="24"/>
                <w:szCs w:val="24"/>
              </w:rPr>
              <w:t>交易申报日期（年月日）及时间（时分秒），自动显示</w:t>
            </w:r>
          </w:p>
        </w:tc>
      </w:tr>
      <w:tr w14:paraId="1C14E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93" w:type="dxa"/>
          </w:tcPr>
          <w:p w14:paraId="64CCAF6E">
            <w:pPr>
              <w:adjustRightInd w:val="0"/>
              <w:snapToGrid w:val="0"/>
              <w:rPr>
                <w:rFonts w:ascii="仿宋_GB2312" w:eastAsia="仿宋_GB2312"/>
                <w:b/>
                <w:kern w:val="0"/>
                <w:sz w:val="24"/>
                <w:szCs w:val="24"/>
              </w:rPr>
            </w:pPr>
            <w:r>
              <w:rPr>
                <w:rFonts w:hint="eastAsia" w:ascii="仿宋_GB2312" w:eastAsia="仿宋_GB2312"/>
                <w:b/>
                <w:kern w:val="0"/>
                <w:sz w:val="24"/>
                <w:szCs w:val="24"/>
              </w:rPr>
              <w:t>申报PBU</w:t>
            </w:r>
          </w:p>
        </w:tc>
        <w:tc>
          <w:tcPr>
            <w:tcW w:w="6429" w:type="dxa"/>
          </w:tcPr>
          <w:p w14:paraId="32BFABFC">
            <w:pPr>
              <w:adjustRightInd w:val="0"/>
              <w:snapToGrid w:val="0"/>
              <w:rPr>
                <w:rFonts w:ascii="仿宋_GB2312" w:eastAsia="仿宋_GB2312"/>
                <w:kern w:val="0"/>
                <w:sz w:val="24"/>
                <w:szCs w:val="24"/>
              </w:rPr>
            </w:pPr>
            <w:r>
              <w:rPr>
                <w:rFonts w:hint="eastAsia" w:ascii="仿宋_GB2312" w:eastAsia="仿宋_GB2312"/>
                <w:kern w:val="0"/>
                <w:sz w:val="24"/>
                <w:szCs w:val="24"/>
              </w:rPr>
              <w:t>债券交易参与人的交易单元号码，自动显示</w:t>
            </w:r>
          </w:p>
        </w:tc>
      </w:tr>
      <w:tr w14:paraId="00F9D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93" w:type="dxa"/>
          </w:tcPr>
          <w:p w14:paraId="377A046E">
            <w:pPr>
              <w:adjustRightInd w:val="0"/>
              <w:snapToGrid w:val="0"/>
              <w:rPr>
                <w:rFonts w:ascii="仿宋_GB2312" w:eastAsia="仿宋_GB2312"/>
                <w:b/>
                <w:kern w:val="0"/>
                <w:sz w:val="24"/>
                <w:szCs w:val="24"/>
              </w:rPr>
            </w:pPr>
            <w:r>
              <w:rPr>
                <w:rFonts w:hint="eastAsia" w:ascii="仿宋_GB2312" w:eastAsia="仿宋_GB2312"/>
                <w:b/>
                <w:kern w:val="0"/>
                <w:sz w:val="24"/>
                <w:szCs w:val="24"/>
              </w:rPr>
              <w:t>申报编号</w:t>
            </w:r>
          </w:p>
        </w:tc>
        <w:tc>
          <w:tcPr>
            <w:tcW w:w="6429" w:type="dxa"/>
          </w:tcPr>
          <w:p w14:paraId="0FC5C21F">
            <w:pPr>
              <w:adjustRightInd w:val="0"/>
              <w:snapToGrid w:val="0"/>
              <w:rPr>
                <w:rFonts w:ascii="仿宋_GB2312" w:eastAsia="仿宋_GB2312"/>
                <w:kern w:val="0"/>
                <w:sz w:val="24"/>
                <w:szCs w:val="24"/>
              </w:rPr>
            </w:pPr>
            <w:r>
              <w:rPr>
                <w:rFonts w:hint="eastAsia" w:ascii="仿宋_GB2312" w:eastAsia="仿宋_GB2312"/>
                <w:kern w:val="0"/>
                <w:sz w:val="24"/>
                <w:szCs w:val="24"/>
              </w:rPr>
              <w:t>债券交易参与人为申报订单编制的序号，自动显示</w:t>
            </w:r>
          </w:p>
        </w:tc>
      </w:tr>
    </w:tbl>
    <w:p w14:paraId="302C6887">
      <w:pPr>
        <w:adjustRightInd w:val="0"/>
        <w:snapToGrid w:val="0"/>
        <w:spacing w:line="600" w:lineRule="exact"/>
        <w:ind w:firstLine="600" w:firstLineChars="200"/>
        <w:rPr>
          <w:rFonts w:ascii="仿宋_GB2312" w:hAnsi="宋体" w:eastAsia="仿宋_GB2312"/>
          <w:sz w:val="30"/>
          <w:szCs w:val="30"/>
        </w:rPr>
      </w:pPr>
      <w:r>
        <w:rPr>
          <w:rFonts w:ascii="仿宋_GB2312" w:hAnsi="宋体" w:eastAsia="仿宋_GB2312"/>
          <w:sz w:val="30"/>
          <w:szCs w:val="30"/>
        </w:rPr>
        <w:t>T日提交回购申报指令时，</w:t>
      </w:r>
      <w:r>
        <w:rPr>
          <w:rFonts w:hint="eastAsia" w:ascii="仿宋_GB2312" w:hAnsi="宋体" w:eastAsia="仿宋_GB2312"/>
          <w:sz w:val="30"/>
          <w:szCs w:val="30"/>
        </w:rPr>
        <w:t>新债券交易系统将</w:t>
      </w:r>
      <w:r>
        <w:rPr>
          <w:rFonts w:ascii="仿宋_GB2312" w:hAnsi="宋体" w:eastAsia="仿宋_GB2312"/>
          <w:sz w:val="30"/>
          <w:szCs w:val="30"/>
        </w:rPr>
        <w:t>对回购申报账户合法性（指定交易）进行检查。</w:t>
      </w:r>
      <w:r>
        <w:rPr>
          <w:rFonts w:hint="eastAsia" w:ascii="仿宋_GB2312" w:hAnsi="宋体" w:eastAsia="仿宋_GB2312"/>
          <w:sz w:val="30"/>
          <w:szCs w:val="30"/>
        </w:rPr>
        <w:t>正回购方可以在其质押券对应的融资额度内进行融资回购交易申报，系统将对</w:t>
      </w:r>
      <w:r>
        <w:rPr>
          <w:rFonts w:ascii="仿宋_GB2312" w:hAnsi="宋体" w:eastAsia="仿宋_GB2312"/>
          <w:sz w:val="30"/>
          <w:szCs w:val="30"/>
        </w:rPr>
        <w:t>正回购交易申报中的融资金额和该证券账户的实时可融资额度进行比较，如果申报的</w:t>
      </w:r>
      <w:r>
        <w:rPr>
          <w:rFonts w:hint="eastAsia" w:ascii="仿宋_GB2312" w:hAnsi="Calibri" w:eastAsia="仿宋_GB2312"/>
          <w:sz w:val="30"/>
          <w:szCs w:val="30"/>
        </w:rPr>
        <w:t>融资金额</w:t>
      </w:r>
      <w:r>
        <w:rPr>
          <w:rFonts w:hint="eastAsia" w:ascii="仿宋_GB2312" w:hAnsi="宋体" w:eastAsia="仿宋_GB2312"/>
          <w:sz w:val="30"/>
          <w:szCs w:val="30"/>
        </w:rPr>
        <w:t>超过该证券账户实时可融资额度则属于无效申报。</w:t>
      </w:r>
    </w:p>
    <w:p w14:paraId="672CA53E">
      <w:pPr>
        <w:spacing w:line="600" w:lineRule="exact"/>
        <w:ind w:left="567" w:firstLine="151" w:firstLineChars="50"/>
        <w:outlineLvl w:val="3"/>
        <w:rPr>
          <w:rFonts w:ascii="仿宋_GB2312" w:eastAsia="仿宋_GB2312"/>
          <w:b/>
          <w:sz w:val="30"/>
          <w:szCs w:val="30"/>
        </w:rPr>
      </w:pPr>
      <w:r>
        <w:rPr>
          <w:rFonts w:hint="eastAsia" w:ascii="仿宋_GB2312" w:eastAsia="仿宋_GB2312"/>
          <w:b/>
          <w:sz w:val="30"/>
          <w:szCs w:val="30"/>
        </w:rPr>
        <w:t>（3）成交</w:t>
      </w:r>
    </w:p>
    <w:p w14:paraId="75A2A30D">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新债券交易系统将有效的正回购交易申报和逆回购交易申报撮合配对，回购交易达成，新债券交易系统根据相应成交金额实时扣减正回购方相应证券账户的可融资额度。</w:t>
      </w:r>
    </w:p>
    <w:p w14:paraId="7CFCC823">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新债券交易系统将回购交易成交数据发送给交易对应的买卖双方。成交要素包括成交编号、价格、数量等信息，具体如下：</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93"/>
        <w:gridCol w:w="6429"/>
      </w:tblGrid>
      <w:tr w14:paraId="3CE0C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93" w:type="dxa"/>
          </w:tcPr>
          <w:p w14:paraId="46BB68CF">
            <w:pPr>
              <w:adjustRightInd w:val="0"/>
              <w:snapToGrid w:val="0"/>
              <w:rPr>
                <w:rFonts w:ascii="仿宋_GB2312" w:eastAsia="仿宋_GB2312"/>
                <w:b/>
                <w:kern w:val="0"/>
                <w:sz w:val="24"/>
                <w:szCs w:val="24"/>
              </w:rPr>
            </w:pPr>
            <w:r>
              <w:rPr>
                <w:rFonts w:hint="eastAsia" w:ascii="仿宋_GB2312" w:eastAsia="仿宋_GB2312"/>
                <w:b/>
                <w:kern w:val="0"/>
                <w:sz w:val="24"/>
                <w:szCs w:val="24"/>
              </w:rPr>
              <w:t>要素名称</w:t>
            </w:r>
          </w:p>
        </w:tc>
        <w:tc>
          <w:tcPr>
            <w:tcW w:w="6429" w:type="dxa"/>
          </w:tcPr>
          <w:p w14:paraId="180B8BED">
            <w:pPr>
              <w:adjustRightInd w:val="0"/>
              <w:snapToGrid w:val="0"/>
              <w:rPr>
                <w:rFonts w:ascii="仿宋_GB2312" w:eastAsia="仿宋_GB2312"/>
                <w:b/>
                <w:kern w:val="0"/>
                <w:sz w:val="24"/>
                <w:szCs w:val="24"/>
              </w:rPr>
            </w:pPr>
            <w:r>
              <w:rPr>
                <w:rFonts w:hint="eastAsia" w:ascii="仿宋_GB2312" w:eastAsia="仿宋_GB2312"/>
                <w:b/>
                <w:kern w:val="0"/>
                <w:sz w:val="24"/>
                <w:szCs w:val="24"/>
              </w:rPr>
              <w:t>要素说明</w:t>
            </w:r>
          </w:p>
        </w:tc>
      </w:tr>
      <w:tr w14:paraId="77415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93" w:type="dxa"/>
          </w:tcPr>
          <w:p w14:paraId="781EB68C">
            <w:pPr>
              <w:adjustRightInd w:val="0"/>
              <w:snapToGrid w:val="0"/>
              <w:rPr>
                <w:rFonts w:ascii="仿宋_GB2312" w:eastAsia="仿宋_GB2312"/>
                <w:b/>
                <w:kern w:val="0"/>
                <w:sz w:val="24"/>
                <w:szCs w:val="24"/>
              </w:rPr>
            </w:pPr>
            <w:r>
              <w:rPr>
                <w:rFonts w:hint="eastAsia" w:ascii="仿宋_GB2312" w:eastAsia="仿宋_GB2312"/>
                <w:b/>
                <w:kern w:val="0"/>
                <w:sz w:val="24"/>
                <w:szCs w:val="24"/>
              </w:rPr>
              <w:t>成交编号</w:t>
            </w:r>
          </w:p>
        </w:tc>
        <w:tc>
          <w:tcPr>
            <w:tcW w:w="6429" w:type="dxa"/>
          </w:tcPr>
          <w:p w14:paraId="15F2C92F">
            <w:pPr>
              <w:adjustRightInd w:val="0"/>
              <w:snapToGrid w:val="0"/>
              <w:rPr>
                <w:rFonts w:ascii="仿宋_GB2312" w:eastAsia="仿宋_GB2312"/>
                <w:kern w:val="0"/>
                <w:sz w:val="24"/>
                <w:szCs w:val="24"/>
              </w:rPr>
            </w:pPr>
            <w:r>
              <w:rPr>
                <w:rFonts w:hint="eastAsia" w:ascii="仿宋_GB2312" w:eastAsia="仿宋_GB2312"/>
                <w:kern w:val="0"/>
                <w:sz w:val="24"/>
                <w:szCs w:val="24"/>
              </w:rPr>
              <w:t>系统给成交单分配的唯一标识</w:t>
            </w:r>
          </w:p>
        </w:tc>
      </w:tr>
      <w:tr w14:paraId="506A9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93" w:type="dxa"/>
          </w:tcPr>
          <w:p w14:paraId="6B2D00AB">
            <w:pPr>
              <w:adjustRightInd w:val="0"/>
              <w:snapToGrid w:val="0"/>
              <w:rPr>
                <w:rFonts w:ascii="仿宋_GB2312" w:eastAsia="仿宋_GB2312"/>
                <w:b/>
                <w:kern w:val="0"/>
                <w:sz w:val="24"/>
                <w:szCs w:val="24"/>
              </w:rPr>
            </w:pPr>
            <w:r>
              <w:rPr>
                <w:rFonts w:hint="eastAsia" w:ascii="仿宋_GB2312" w:eastAsia="仿宋_GB2312"/>
                <w:b/>
                <w:kern w:val="0"/>
                <w:sz w:val="24"/>
                <w:szCs w:val="24"/>
              </w:rPr>
              <w:t>证券代码</w:t>
            </w:r>
          </w:p>
        </w:tc>
        <w:tc>
          <w:tcPr>
            <w:tcW w:w="6429" w:type="dxa"/>
          </w:tcPr>
          <w:p w14:paraId="3758C13E">
            <w:pPr>
              <w:adjustRightInd w:val="0"/>
              <w:snapToGrid w:val="0"/>
              <w:rPr>
                <w:rFonts w:ascii="仿宋_GB2312" w:eastAsia="仿宋_GB2312"/>
                <w:kern w:val="0"/>
                <w:sz w:val="24"/>
                <w:szCs w:val="24"/>
              </w:rPr>
            </w:pPr>
            <w:r>
              <w:rPr>
                <w:rFonts w:hint="eastAsia" w:ascii="仿宋_GB2312" w:eastAsia="仿宋_GB2312"/>
                <w:kern w:val="0"/>
                <w:sz w:val="24"/>
                <w:szCs w:val="24"/>
              </w:rPr>
              <w:t>交易品种的证券代码，同申报订单</w:t>
            </w:r>
          </w:p>
        </w:tc>
      </w:tr>
      <w:tr w14:paraId="38A33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93" w:type="dxa"/>
          </w:tcPr>
          <w:p w14:paraId="164FD67D">
            <w:pPr>
              <w:adjustRightInd w:val="0"/>
              <w:snapToGrid w:val="0"/>
              <w:rPr>
                <w:rFonts w:ascii="仿宋_GB2312" w:eastAsia="仿宋_GB2312"/>
                <w:b/>
                <w:kern w:val="0"/>
                <w:sz w:val="24"/>
                <w:szCs w:val="24"/>
              </w:rPr>
            </w:pPr>
            <w:r>
              <w:rPr>
                <w:rFonts w:hint="eastAsia" w:ascii="仿宋_GB2312" w:eastAsia="仿宋_GB2312"/>
                <w:b/>
                <w:kern w:val="0"/>
                <w:sz w:val="24"/>
                <w:szCs w:val="24"/>
              </w:rPr>
              <w:t>成交日期时间</w:t>
            </w:r>
          </w:p>
        </w:tc>
        <w:tc>
          <w:tcPr>
            <w:tcW w:w="6429" w:type="dxa"/>
          </w:tcPr>
          <w:p w14:paraId="3BD59216">
            <w:pPr>
              <w:adjustRightInd w:val="0"/>
              <w:snapToGrid w:val="0"/>
              <w:rPr>
                <w:rFonts w:ascii="仿宋_GB2312" w:eastAsia="仿宋_GB2312"/>
                <w:kern w:val="0"/>
                <w:sz w:val="24"/>
                <w:szCs w:val="24"/>
              </w:rPr>
            </w:pPr>
            <w:r>
              <w:rPr>
                <w:rFonts w:hint="eastAsia" w:ascii="仿宋_GB2312" w:eastAsia="仿宋_GB2312"/>
                <w:kern w:val="0"/>
                <w:sz w:val="24"/>
                <w:szCs w:val="24"/>
              </w:rPr>
              <w:t>交易成交的日期（年月日）及时间（时分秒）</w:t>
            </w:r>
          </w:p>
        </w:tc>
      </w:tr>
      <w:tr w14:paraId="0F93D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93" w:type="dxa"/>
          </w:tcPr>
          <w:p w14:paraId="4725436E">
            <w:pPr>
              <w:adjustRightInd w:val="0"/>
              <w:snapToGrid w:val="0"/>
              <w:rPr>
                <w:rFonts w:ascii="仿宋_GB2312" w:eastAsia="仿宋_GB2312"/>
                <w:b/>
                <w:kern w:val="0"/>
                <w:sz w:val="24"/>
                <w:szCs w:val="24"/>
              </w:rPr>
            </w:pPr>
            <w:r>
              <w:rPr>
                <w:rFonts w:hint="eastAsia" w:ascii="仿宋_GB2312" w:eastAsia="仿宋_GB2312"/>
                <w:b/>
                <w:kern w:val="0"/>
                <w:sz w:val="24"/>
                <w:szCs w:val="24"/>
              </w:rPr>
              <w:t>交易方向</w:t>
            </w:r>
          </w:p>
        </w:tc>
        <w:tc>
          <w:tcPr>
            <w:tcW w:w="6429" w:type="dxa"/>
          </w:tcPr>
          <w:p w14:paraId="56CB2422">
            <w:pPr>
              <w:adjustRightInd w:val="0"/>
              <w:snapToGrid w:val="0"/>
              <w:rPr>
                <w:rFonts w:ascii="仿宋_GB2312" w:eastAsia="仿宋_GB2312"/>
                <w:kern w:val="0"/>
                <w:sz w:val="24"/>
                <w:szCs w:val="24"/>
              </w:rPr>
            </w:pPr>
            <w:r>
              <w:rPr>
                <w:rFonts w:hint="eastAsia" w:ascii="仿宋_GB2312" w:eastAsia="仿宋_GB2312"/>
                <w:kern w:val="0"/>
                <w:sz w:val="24"/>
                <w:szCs w:val="24"/>
              </w:rPr>
              <w:t>交易的买卖方向，同申报订单</w:t>
            </w:r>
          </w:p>
        </w:tc>
      </w:tr>
      <w:tr w14:paraId="46B60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93" w:type="dxa"/>
          </w:tcPr>
          <w:p w14:paraId="23588471">
            <w:pPr>
              <w:adjustRightInd w:val="0"/>
              <w:snapToGrid w:val="0"/>
              <w:rPr>
                <w:rFonts w:ascii="仿宋_GB2312" w:eastAsia="仿宋_GB2312"/>
                <w:b/>
                <w:kern w:val="0"/>
                <w:sz w:val="24"/>
                <w:szCs w:val="24"/>
              </w:rPr>
            </w:pPr>
            <w:r>
              <w:rPr>
                <w:rFonts w:hint="eastAsia" w:ascii="仿宋_GB2312" w:eastAsia="仿宋_GB2312"/>
                <w:b/>
                <w:kern w:val="0"/>
                <w:sz w:val="24"/>
                <w:szCs w:val="24"/>
              </w:rPr>
              <w:t>成交价格</w:t>
            </w:r>
          </w:p>
        </w:tc>
        <w:tc>
          <w:tcPr>
            <w:tcW w:w="6429" w:type="dxa"/>
          </w:tcPr>
          <w:p w14:paraId="0FCF0BF7">
            <w:pPr>
              <w:adjustRightInd w:val="0"/>
              <w:snapToGrid w:val="0"/>
              <w:rPr>
                <w:rFonts w:ascii="仿宋_GB2312" w:eastAsia="仿宋_GB2312"/>
                <w:kern w:val="0"/>
                <w:sz w:val="24"/>
                <w:szCs w:val="24"/>
              </w:rPr>
            </w:pPr>
            <w:r>
              <w:rPr>
                <w:rFonts w:hint="eastAsia" w:ascii="仿宋_GB2312" w:eastAsia="仿宋_GB2312"/>
                <w:kern w:val="0"/>
                <w:sz w:val="24"/>
                <w:szCs w:val="24"/>
              </w:rPr>
              <w:t>成交的价格，每百元资金到期年收益（元）</w:t>
            </w:r>
          </w:p>
        </w:tc>
      </w:tr>
      <w:tr w14:paraId="16902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93" w:type="dxa"/>
          </w:tcPr>
          <w:p w14:paraId="119E3162">
            <w:pPr>
              <w:adjustRightInd w:val="0"/>
              <w:snapToGrid w:val="0"/>
              <w:rPr>
                <w:rFonts w:ascii="仿宋_GB2312" w:eastAsia="仿宋_GB2312"/>
                <w:b/>
                <w:kern w:val="0"/>
                <w:sz w:val="24"/>
                <w:szCs w:val="24"/>
              </w:rPr>
            </w:pPr>
            <w:r>
              <w:rPr>
                <w:rFonts w:hint="eastAsia" w:ascii="仿宋_GB2312" w:eastAsia="仿宋_GB2312"/>
                <w:b/>
                <w:kern w:val="0"/>
                <w:sz w:val="24"/>
                <w:szCs w:val="24"/>
              </w:rPr>
              <w:t>成交数量</w:t>
            </w:r>
          </w:p>
        </w:tc>
        <w:tc>
          <w:tcPr>
            <w:tcW w:w="6429" w:type="dxa"/>
          </w:tcPr>
          <w:p w14:paraId="47D3759A">
            <w:pPr>
              <w:adjustRightInd w:val="0"/>
              <w:snapToGrid w:val="0"/>
              <w:rPr>
                <w:rFonts w:ascii="仿宋_GB2312" w:eastAsia="仿宋_GB2312"/>
                <w:kern w:val="0"/>
                <w:sz w:val="24"/>
                <w:szCs w:val="24"/>
              </w:rPr>
            </w:pPr>
            <w:r>
              <w:rPr>
                <w:rFonts w:hint="eastAsia" w:ascii="仿宋_GB2312" w:eastAsia="仿宋_GB2312"/>
                <w:kern w:val="0"/>
                <w:sz w:val="24"/>
                <w:szCs w:val="24"/>
              </w:rPr>
              <w:t>成交的数量，单位：千元面额。</w:t>
            </w:r>
          </w:p>
        </w:tc>
      </w:tr>
      <w:tr w14:paraId="720DE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93" w:type="dxa"/>
          </w:tcPr>
          <w:p w14:paraId="0DCB9C69">
            <w:pPr>
              <w:adjustRightInd w:val="0"/>
              <w:snapToGrid w:val="0"/>
              <w:rPr>
                <w:rFonts w:ascii="仿宋_GB2312" w:eastAsia="仿宋_GB2312"/>
                <w:b/>
                <w:kern w:val="0"/>
                <w:sz w:val="24"/>
                <w:szCs w:val="24"/>
              </w:rPr>
            </w:pPr>
            <w:r>
              <w:rPr>
                <w:rFonts w:hint="eastAsia" w:ascii="仿宋_GB2312" w:eastAsia="仿宋_GB2312"/>
                <w:b/>
                <w:kern w:val="0"/>
                <w:sz w:val="24"/>
                <w:szCs w:val="24"/>
              </w:rPr>
              <w:t>成交金额</w:t>
            </w:r>
          </w:p>
        </w:tc>
        <w:tc>
          <w:tcPr>
            <w:tcW w:w="6429" w:type="dxa"/>
          </w:tcPr>
          <w:p w14:paraId="6A956F4F">
            <w:pPr>
              <w:adjustRightInd w:val="0"/>
              <w:snapToGrid w:val="0"/>
              <w:rPr>
                <w:rFonts w:ascii="仿宋_GB2312" w:eastAsia="仿宋_GB2312"/>
                <w:kern w:val="0"/>
                <w:sz w:val="24"/>
                <w:szCs w:val="24"/>
              </w:rPr>
            </w:pPr>
            <w:r>
              <w:rPr>
                <w:rFonts w:hint="eastAsia" w:ascii="仿宋_GB2312" w:eastAsia="仿宋_GB2312"/>
                <w:kern w:val="0"/>
                <w:sz w:val="24"/>
                <w:szCs w:val="24"/>
              </w:rPr>
              <w:t>即回购总额</w:t>
            </w:r>
          </w:p>
        </w:tc>
      </w:tr>
      <w:tr w14:paraId="01B14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93" w:type="dxa"/>
          </w:tcPr>
          <w:p w14:paraId="5CB4A216">
            <w:pPr>
              <w:adjustRightInd w:val="0"/>
              <w:snapToGrid w:val="0"/>
              <w:rPr>
                <w:rFonts w:ascii="仿宋_GB2312" w:eastAsia="仿宋_GB2312"/>
                <w:b/>
                <w:kern w:val="0"/>
                <w:sz w:val="24"/>
                <w:szCs w:val="24"/>
              </w:rPr>
            </w:pPr>
            <w:r>
              <w:rPr>
                <w:rFonts w:hint="eastAsia" w:ascii="仿宋_GB2312" w:eastAsia="仿宋_GB2312"/>
                <w:b/>
                <w:kern w:val="0"/>
                <w:sz w:val="24"/>
                <w:szCs w:val="24"/>
              </w:rPr>
              <w:t>交易账号</w:t>
            </w:r>
          </w:p>
        </w:tc>
        <w:tc>
          <w:tcPr>
            <w:tcW w:w="6429" w:type="dxa"/>
          </w:tcPr>
          <w:p w14:paraId="2470B4E8">
            <w:pPr>
              <w:adjustRightInd w:val="0"/>
              <w:snapToGrid w:val="0"/>
              <w:rPr>
                <w:rFonts w:ascii="仿宋_GB2312" w:eastAsia="仿宋_GB2312"/>
                <w:kern w:val="0"/>
                <w:sz w:val="24"/>
                <w:szCs w:val="24"/>
              </w:rPr>
            </w:pPr>
            <w:r>
              <w:rPr>
                <w:rFonts w:hint="eastAsia" w:ascii="仿宋_GB2312" w:eastAsia="仿宋_GB2312"/>
                <w:kern w:val="0"/>
                <w:sz w:val="24"/>
                <w:szCs w:val="24"/>
              </w:rPr>
              <w:t>交易的证券账户号码，同申报订单</w:t>
            </w:r>
          </w:p>
        </w:tc>
      </w:tr>
      <w:tr w14:paraId="1AD0D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93" w:type="dxa"/>
          </w:tcPr>
          <w:p w14:paraId="3C2F735B">
            <w:pPr>
              <w:adjustRightInd w:val="0"/>
              <w:snapToGrid w:val="0"/>
              <w:rPr>
                <w:rFonts w:ascii="仿宋_GB2312" w:eastAsia="仿宋_GB2312"/>
                <w:b/>
                <w:kern w:val="0"/>
                <w:sz w:val="24"/>
                <w:szCs w:val="24"/>
              </w:rPr>
            </w:pPr>
            <w:r>
              <w:rPr>
                <w:rFonts w:hint="eastAsia" w:ascii="仿宋_GB2312" w:eastAsia="仿宋_GB2312"/>
                <w:b/>
                <w:kern w:val="0"/>
                <w:sz w:val="24"/>
                <w:szCs w:val="24"/>
              </w:rPr>
              <w:t>交易PBU</w:t>
            </w:r>
          </w:p>
        </w:tc>
        <w:tc>
          <w:tcPr>
            <w:tcW w:w="6429" w:type="dxa"/>
          </w:tcPr>
          <w:p w14:paraId="521C0334">
            <w:pPr>
              <w:adjustRightInd w:val="0"/>
              <w:snapToGrid w:val="0"/>
              <w:rPr>
                <w:rFonts w:ascii="仿宋_GB2312" w:eastAsia="仿宋_GB2312"/>
                <w:kern w:val="0"/>
                <w:sz w:val="24"/>
                <w:szCs w:val="24"/>
              </w:rPr>
            </w:pPr>
            <w:r>
              <w:rPr>
                <w:rFonts w:hint="eastAsia" w:ascii="仿宋_GB2312" w:eastAsia="仿宋_GB2312"/>
                <w:kern w:val="0"/>
                <w:sz w:val="24"/>
                <w:szCs w:val="24"/>
              </w:rPr>
              <w:t>债券交易参与人的交易单元号码，同申报订单</w:t>
            </w:r>
          </w:p>
        </w:tc>
      </w:tr>
      <w:tr w14:paraId="08B35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93" w:type="dxa"/>
          </w:tcPr>
          <w:p w14:paraId="79AC8BFA">
            <w:pPr>
              <w:adjustRightInd w:val="0"/>
              <w:snapToGrid w:val="0"/>
              <w:rPr>
                <w:rFonts w:ascii="仿宋_GB2312" w:eastAsia="仿宋_GB2312"/>
                <w:b/>
                <w:kern w:val="0"/>
                <w:sz w:val="24"/>
                <w:szCs w:val="24"/>
              </w:rPr>
            </w:pPr>
            <w:r>
              <w:rPr>
                <w:rFonts w:hint="eastAsia" w:ascii="仿宋_GB2312" w:eastAsia="仿宋_GB2312"/>
                <w:b/>
                <w:kern w:val="0"/>
                <w:sz w:val="24"/>
                <w:szCs w:val="24"/>
              </w:rPr>
              <w:t>申报编号</w:t>
            </w:r>
          </w:p>
        </w:tc>
        <w:tc>
          <w:tcPr>
            <w:tcW w:w="6429" w:type="dxa"/>
          </w:tcPr>
          <w:p w14:paraId="23432A5E">
            <w:pPr>
              <w:adjustRightInd w:val="0"/>
              <w:snapToGrid w:val="0"/>
              <w:rPr>
                <w:rFonts w:ascii="仿宋_GB2312" w:eastAsia="仿宋_GB2312"/>
                <w:kern w:val="0"/>
                <w:sz w:val="24"/>
                <w:szCs w:val="24"/>
              </w:rPr>
            </w:pPr>
            <w:r>
              <w:rPr>
                <w:rFonts w:hint="eastAsia" w:ascii="仿宋_GB2312" w:eastAsia="仿宋_GB2312"/>
                <w:kern w:val="0"/>
                <w:sz w:val="24"/>
                <w:szCs w:val="24"/>
              </w:rPr>
              <w:t>债券交易参与人内部为申报订单编制的序号，同申报订单</w:t>
            </w:r>
          </w:p>
        </w:tc>
      </w:tr>
      <w:tr w14:paraId="1EDDA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93" w:type="dxa"/>
          </w:tcPr>
          <w:p w14:paraId="68BD8724">
            <w:pPr>
              <w:adjustRightInd w:val="0"/>
              <w:snapToGrid w:val="0"/>
              <w:rPr>
                <w:rFonts w:ascii="仿宋_GB2312" w:eastAsia="仿宋_GB2312"/>
                <w:b/>
                <w:kern w:val="0"/>
                <w:sz w:val="24"/>
                <w:szCs w:val="24"/>
              </w:rPr>
            </w:pPr>
            <w:r>
              <w:rPr>
                <w:rFonts w:hint="eastAsia" w:ascii="仿宋_GB2312" w:eastAsia="仿宋_GB2312"/>
                <w:b/>
                <w:kern w:val="0"/>
                <w:sz w:val="24"/>
                <w:szCs w:val="24"/>
              </w:rPr>
              <w:t>成交状态</w:t>
            </w:r>
          </w:p>
        </w:tc>
        <w:tc>
          <w:tcPr>
            <w:tcW w:w="6429" w:type="dxa"/>
          </w:tcPr>
          <w:p w14:paraId="4FC5FED3">
            <w:pPr>
              <w:adjustRightInd w:val="0"/>
              <w:snapToGrid w:val="0"/>
              <w:rPr>
                <w:rFonts w:ascii="仿宋_GB2312" w:eastAsia="仿宋_GB2312"/>
                <w:kern w:val="0"/>
                <w:sz w:val="24"/>
                <w:szCs w:val="24"/>
              </w:rPr>
            </w:pPr>
            <w:r>
              <w:rPr>
                <w:rFonts w:hint="eastAsia" w:ascii="仿宋_GB2312" w:eastAsia="仿宋_GB2312"/>
                <w:kern w:val="0"/>
                <w:sz w:val="24"/>
                <w:szCs w:val="24"/>
              </w:rPr>
              <w:t>全部成交、部分成交</w:t>
            </w:r>
          </w:p>
        </w:tc>
      </w:tr>
    </w:tbl>
    <w:p w14:paraId="6341FD28">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存续期管理</w:t>
      </w:r>
      <w:r>
        <w:rPr>
          <w:rFonts w:ascii="仿宋_GB2312" w:eastAsia="仿宋_GB2312"/>
          <w:b/>
          <w:sz w:val="30"/>
          <w:szCs w:val="30"/>
        </w:rPr>
        <w:tab/>
      </w:r>
    </w:p>
    <w:p w14:paraId="3AA19F73">
      <w:pPr>
        <w:adjustRightInd w:val="0"/>
        <w:snapToGrid w:val="0"/>
        <w:spacing w:line="600" w:lineRule="exact"/>
        <w:ind w:firstLine="602" w:firstLineChars="200"/>
        <w:rPr>
          <w:rFonts w:ascii="仿宋_GB2312" w:hAnsi="宋体" w:eastAsia="仿宋_GB2312" w:cs="宋体"/>
          <w:b/>
          <w:color w:val="000000"/>
          <w:kern w:val="0"/>
          <w:sz w:val="30"/>
          <w:szCs w:val="30"/>
        </w:rPr>
      </w:pPr>
      <w:r>
        <w:rPr>
          <w:rFonts w:hint="eastAsia" w:ascii="仿宋_GB2312" w:hAnsi="宋体" w:eastAsia="仿宋_GB2312" w:cs="宋体"/>
          <w:b/>
          <w:kern w:val="0"/>
          <w:sz w:val="30"/>
          <w:szCs w:val="30"/>
        </w:rPr>
        <w:t>（</w:t>
      </w:r>
      <w:r>
        <w:rPr>
          <w:rFonts w:ascii="仿宋_GB2312" w:hAnsi="宋体" w:eastAsia="仿宋_GB2312" w:cs="宋体"/>
          <w:b/>
          <w:kern w:val="0"/>
          <w:sz w:val="30"/>
          <w:szCs w:val="30"/>
        </w:rPr>
        <w:t>1）质押券价值</w:t>
      </w:r>
      <w:r>
        <w:rPr>
          <w:rFonts w:hint="eastAsia" w:ascii="仿宋_GB2312" w:hAnsi="宋体" w:eastAsia="仿宋_GB2312" w:cs="宋体"/>
          <w:b/>
          <w:color w:val="000000"/>
          <w:kern w:val="0"/>
          <w:sz w:val="30"/>
          <w:szCs w:val="30"/>
        </w:rPr>
        <w:t>足额要求</w:t>
      </w:r>
    </w:p>
    <w:p w14:paraId="631C8F78">
      <w:pPr>
        <w:adjustRightInd w:val="0"/>
        <w:snapToGrid w:val="0"/>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通用回购交易存续期内，正回购方应当保证质押券价值足额。因质押券准入标准调整、折算率调整等原因导致质押券价值不足时，正回购方应当按照登记结算机构的有关规定及时予以补足。</w:t>
      </w:r>
    </w:p>
    <w:p w14:paraId="0A0B7925">
      <w:pPr>
        <w:adjustRightInd w:val="0"/>
        <w:snapToGrid w:val="0"/>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正回购</w:t>
      </w:r>
      <w:r>
        <w:rPr>
          <w:rFonts w:ascii="仿宋_GB2312" w:hAnsi="宋体" w:eastAsia="仿宋_GB2312" w:cs="宋体"/>
          <w:color w:val="000000"/>
          <w:kern w:val="0"/>
          <w:sz w:val="30"/>
          <w:szCs w:val="30"/>
        </w:rPr>
        <w:t>方亦可通过其</w:t>
      </w:r>
      <w:r>
        <w:rPr>
          <w:rFonts w:hint="eastAsia" w:ascii="仿宋_GB2312" w:hAnsi="宋体" w:eastAsia="仿宋_GB2312" w:cs="宋体"/>
          <w:color w:val="000000"/>
          <w:kern w:val="0"/>
          <w:sz w:val="30"/>
          <w:szCs w:val="30"/>
        </w:rPr>
        <w:t>结算参与人</w:t>
      </w:r>
      <w:r>
        <w:rPr>
          <w:rFonts w:ascii="仿宋_GB2312" w:hAnsi="宋体" w:eastAsia="仿宋_GB2312" w:cs="宋体"/>
          <w:color w:val="000000"/>
          <w:kern w:val="0"/>
          <w:sz w:val="30"/>
          <w:szCs w:val="30"/>
        </w:rPr>
        <w:t>向登记结算机构</w:t>
      </w:r>
      <w:r>
        <w:rPr>
          <w:rFonts w:hint="eastAsia" w:ascii="仿宋_GB2312" w:hAnsi="宋体" w:eastAsia="仿宋_GB2312" w:cs="宋体"/>
          <w:color w:val="000000"/>
          <w:kern w:val="0"/>
          <w:sz w:val="30"/>
          <w:szCs w:val="30"/>
        </w:rPr>
        <w:t>提交现金担保品作为债券融资回购业务应付款项的担保金，但现金担保品不增加</w:t>
      </w:r>
      <w:r>
        <w:rPr>
          <w:rFonts w:ascii="仿宋_GB2312" w:hAnsi="宋体" w:eastAsia="仿宋_GB2312" w:cs="宋体"/>
          <w:color w:val="000000"/>
          <w:kern w:val="0"/>
          <w:sz w:val="30"/>
          <w:szCs w:val="30"/>
        </w:rPr>
        <w:t>该</w:t>
      </w:r>
      <w:r>
        <w:rPr>
          <w:rFonts w:hint="eastAsia" w:ascii="仿宋_GB2312" w:hAnsi="宋体" w:eastAsia="仿宋_GB2312" w:cs="宋体"/>
          <w:color w:val="000000"/>
          <w:kern w:val="0"/>
          <w:sz w:val="30"/>
          <w:szCs w:val="30"/>
        </w:rPr>
        <w:t>证券账户的可融资额度。</w:t>
      </w:r>
    </w:p>
    <w:p w14:paraId="19113D4B">
      <w:pPr>
        <w:adjustRightInd w:val="0"/>
        <w:snapToGrid w:val="0"/>
        <w:spacing w:line="600" w:lineRule="exact"/>
        <w:ind w:firstLine="600" w:firstLineChars="200"/>
        <w:rPr>
          <w:rFonts w:ascii="仿宋_GB2312" w:hAnsi="宋体" w:eastAsia="仿宋_GB2312" w:cs="宋体"/>
          <w:color w:val="000000"/>
          <w:kern w:val="0"/>
          <w:sz w:val="30"/>
          <w:szCs w:val="30"/>
        </w:rPr>
      </w:pPr>
      <w:r>
        <w:rPr>
          <w:rFonts w:ascii="仿宋_GB2312" w:hAnsi="宋体" w:eastAsia="仿宋_GB2312" w:cs="宋体"/>
          <w:color w:val="000000"/>
          <w:kern w:val="0"/>
          <w:sz w:val="30"/>
          <w:szCs w:val="30"/>
        </w:rPr>
        <w:t>现金担保品业务</w:t>
      </w:r>
      <w:r>
        <w:rPr>
          <w:rFonts w:hint="eastAsia" w:ascii="仿宋_GB2312" w:hAnsi="宋体" w:eastAsia="仿宋_GB2312" w:cs="宋体"/>
          <w:color w:val="000000"/>
          <w:kern w:val="0"/>
          <w:sz w:val="30"/>
          <w:szCs w:val="30"/>
        </w:rPr>
        <w:t>具体事项按照中国证券登记结算有限责任公司</w:t>
      </w:r>
      <w:r>
        <w:rPr>
          <w:rFonts w:ascii="仿宋_GB2312" w:hAnsi="宋体" w:eastAsia="仿宋_GB2312" w:cs="宋体"/>
          <w:color w:val="000000"/>
          <w:kern w:val="0"/>
          <w:sz w:val="30"/>
          <w:szCs w:val="30"/>
        </w:rPr>
        <w:t>《</w:t>
      </w:r>
      <w:r>
        <w:rPr>
          <w:rFonts w:hint="eastAsia" w:ascii="仿宋_GB2312" w:hAnsi="微软雅黑" w:eastAsia="仿宋_GB2312"/>
          <w:color w:val="000000"/>
          <w:sz w:val="30"/>
          <w:szCs w:val="30"/>
        </w:rPr>
        <w:t>关于质押式回购现金担保品有关事项的通知</w:t>
      </w:r>
      <w:r>
        <w:rPr>
          <w:rFonts w:ascii="仿宋_GB2312" w:hAnsi="微软雅黑" w:eastAsia="仿宋_GB2312"/>
          <w:color w:val="000000"/>
          <w:sz w:val="30"/>
          <w:szCs w:val="30"/>
        </w:rPr>
        <w:t>》</w:t>
      </w:r>
      <w:r>
        <w:rPr>
          <w:rFonts w:hint="eastAsia" w:ascii="仿宋_GB2312" w:hAnsi="微软雅黑" w:eastAsia="仿宋_GB2312"/>
          <w:color w:val="000000"/>
          <w:sz w:val="30"/>
          <w:szCs w:val="30"/>
        </w:rPr>
        <w:t>实施</w:t>
      </w:r>
      <w:r>
        <w:rPr>
          <w:rFonts w:ascii="仿宋_GB2312" w:hAnsi="微软雅黑" w:eastAsia="仿宋_GB2312"/>
          <w:color w:val="000000"/>
          <w:sz w:val="30"/>
          <w:szCs w:val="30"/>
        </w:rPr>
        <w:t>。</w:t>
      </w:r>
    </w:p>
    <w:p w14:paraId="67E6C9E0">
      <w:pPr>
        <w:adjustRightInd w:val="0"/>
        <w:snapToGrid w:val="0"/>
        <w:spacing w:line="600" w:lineRule="exact"/>
        <w:ind w:firstLine="602" w:firstLineChars="200"/>
        <w:rPr>
          <w:rFonts w:ascii="仿宋_GB2312" w:hAnsi="宋体" w:eastAsia="仿宋_GB2312" w:cs="宋体"/>
          <w:b/>
          <w:color w:val="000000"/>
          <w:kern w:val="0"/>
          <w:sz w:val="30"/>
          <w:szCs w:val="30"/>
        </w:rPr>
      </w:pPr>
      <w:r>
        <w:rPr>
          <w:rFonts w:hint="eastAsia" w:ascii="仿宋_GB2312" w:hAnsi="仿宋" w:cs="宋体"/>
          <w:b/>
          <w:color w:val="000000"/>
          <w:kern w:val="0"/>
          <w:sz w:val="30"/>
          <w:szCs w:val="30"/>
        </w:rPr>
        <w:t>（</w:t>
      </w:r>
      <w:r>
        <w:rPr>
          <w:rFonts w:ascii="仿宋_GB2312" w:hAnsi="仿宋" w:cs="宋体"/>
          <w:b/>
          <w:color w:val="000000"/>
          <w:kern w:val="0"/>
          <w:sz w:val="30"/>
          <w:szCs w:val="30"/>
        </w:rPr>
        <w:t>2</w:t>
      </w:r>
      <w:r>
        <w:rPr>
          <w:rFonts w:hint="eastAsia" w:ascii="仿宋_GB2312" w:hAnsi="仿宋" w:cs="宋体"/>
          <w:b/>
          <w:color w:val="000000"/>
          <w:kern w:val="0"/>
          <w:sz w:val="30"/>
          <w:szCs w:val="30"/>
        </w:rPr>
        <w:t>）</w:t>
      </w:r>
      <w:r>
        <w:rPr>
          <w:rFonts w:hint="eastAsia" w:ascii="仿宋_GB2312" w:hAnsi="宋体" w:eastAsia="仿宋_GB2312" w:cs="宋体"/>
          <w:b/>
          <w:color w:val="000000"/>
          <w:kern w:val="0"/>
          <w:sz w:val="30"/>
          <w:szCs w:val="30"/>
        </w:rPr>
        <w:t>权益处理</w:t>
      </w:r>
    </w:p>
    <w:p w14:paraId="03EE896C">
      <w:pPr>
        <w:adjustRightInd w:val="0"/>
        <w:snapToGrid w:val="0"/>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质押库内的质押券在质押期限内正回购方不得卖出、转股、换股和回售。质押期</w:t>
      </w:r>
      <w:r>
        <w:rPr>
          <w:rFonts w:hint="eastAsia" w:ascii="仿宋_GB2312" w:hAnsi="宋体" w:eastAsia="仿宋_GB2312" w:cs="宋体"/>
          <w:kern w:val="0"/>
          <w:sz w:val="30"/>
          <w:szCs w:val="30"/>
        </w:rPr>
        <w:t>限内</w:t>
      </w:r>
      <w:r>
        <w:rPr>
          <w:rFonts w:hint="eastAsia" w:ascii="仿宋_GB2312" w:hAnsi="宋体" w:eastAsia="仿宋_GB2312" w:cs="宋体"/>
          <w:color w:val="000000"/>
          <w:kern w:val="0"/>
          <w:sz w:val="30"/>
          <w:szCs w:val="30"/>
        </w:rPr>
        <w:t>，质押券发生派息、兑付等情形的，按照登记结算机构相关规则处理。</w:t>
      </w:r>
    </w:p>
    <w:p w14:paraId="04A262A5">
      <w:pPr>
        <w:adjustRightInd w:val="0"/>
        <w:snapToGrid w:val="0"/>
        <w:spacing w:line="600" w:lineRule="exact"/>
        <w:ind w:firstLine="602" w:firstLineChars="200"/>
        <w:rPr>
          <w:rFonts w:ascii="仿宋_GB2312" w:hAnsi="Calibri" w:eastAsia="仿宋_GB2312"/>
          <w:b/>
          <w:color w:val="000000"/>
          <w:sz w:val="30"/>
          <w:szCs w:val="30"/>
        </w:rPr>
      </w:pPr>
      <w:r>
        <w:rPr>
          <w:rFonts w:hint="eastAsia" w:ascii="仿宋_GB2312" w:hAnsi="Calibri" w:eastAsia="仿宋_GB2312"/>
          <w:b/>
          <w:color w:val="000000"/>
          <w:sz w:val="30"/>
          <w:szCs w:val="30"/>
        </w:rPr>
        <w:t>（3）换券</w:t>
      </w:r>
    </w:p>
    <w:p w14:paraId="3F2A3BFD">
      <w:pPr>
        <w:adjustRightInd w:val="0"/>
        <w:snapToGrid w:val="0"/>
        <w:spacing w:line="600" w:lineRule="exact"/>
        <w:ind w:firstLine="600"/>
        <w:rPr>
          <w:rFonts w:ascii="仿宋_GB2312" w:hAnsi="Calibri" w:eastAsia="仿宋_GB2312"/>
          <w:sz w:val="30"/>
          <w:szCs w:val="30"/>
        </w:rPr>
      </w:pPr>
      <w:r>
        <w:rPr>
          <w:rFonts w:hint="eastAsia" w:ascii="仿宋_GB2312" w:hAnsi="Calibri" w:eastAsia="仿宋_GB2312"/>
          <w:color w:val="000000"/>
          <w:sz w:val="30"/>
          <w:szCs w:val="30"/>
        </w:rPr>
        <w:t>通用回购可利用T+0日间出入库申报，实现日内换券。</w:t>
      </w:r>
      <w:r>
        <w:rPr>
          <w:rFonts w:hint="eastAsia" w:ascii="仿宋_GB2312" w:hAnsi="Calibri" w:eastAsia="仿宋_GB2312"/>
          <w:sz w:val="30"/>
          <w:szCs w:val="30"/>
        </w:rPr>
        <w:t>正回购方</w:t>
      </w:r>
      <w:r>
        <w:rPr>
          <w:rFonts w:hint="eastAsia" w:ascii="仿宋_GB2312" w:hAnsi="Calibri" w:eastAsia="仿宋_GB2312"/>
          <w:color w:val="000000"/>
          <w:sz w:val="30"/>
          <w:szCs w:val="30"/>
        </w:rPr>
        <w:t>在质押券可转出数量足额时提交出库申报，出库成功后即可卖出，与此同时将购入的新券或其余存量持仓债券提交入库申报，入库成功后即实现了日内换券。</w:t>
      </w:r>
    </w:p>
    <w:p w14:paraId="4521D302">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通用回购期限</w:t>
      </w:r>
    </w:p>
    <w:p w14:paraId="26A2F41F">
      <w:pPr>
        <w:adjustRightInd w:val="0"/>
        <w:snapToGrid w:val="0"/>
        <w:spacing w:line="600" w:lineRule="exact"/>
        <w:ind w:firstLine="600"/>
        <w:rPr>
          <w:rFonts w:ascii="仿宋_GB2312" w:hAnsi="微软雅黑" w:eastAsia="仿宋_GB2312"/>
          <w:color w:val="000000"/>
          <w:sz w:val="30"/>
          <w:szCs w:val="30"/>
        </w:rPr>
      </w:pPr>
      <w:r>
        <w:rPr>
          <w:rFonts w:hint="eastAsia" w:ascii="仿宋_GB2312" w:hAnsi="微软雅黑" w:eastAsia="仿宋_GB2312"/>
          <w:color w:val="000000"/>
          <w:sz w:val="30"/>
          <w:szCs w:val="30"/>
        </w:rPr>
        <w:t>通用回购按照期限分为</w:t>
      </w:r>
      <w:r>
        <w:rPr>
          <w:rFonts w:ascii="仿宋_GB2312" w:hAnsi="微软雅黑" w:eastAsia="仿宋_GB2312"/>
          <w:color w:val="000000"/>
          <w:sz w:val="30"/>
          <w:szCs w:val="30"/>
        </w:rPr>
        <w:t>1天、2天、3天、4天、7天、14天、28天、91天和182天等。</w:t>
      </w:r>
      <w:r>
        <w:rPr>
          <w:rFonts w:hint="eastAsia" w:ascii="仿宋_GB2312" w:hAnsi="Calibri" w:eastAsia="仿宋_GB2312"/>
          <w:sz w:val="30"/>
          <w:szCs w:val="30"/>
        </w:rPr>
        <w:t>本所可以根据市场情况调整通用回购的期限。</w:t>
      </w:r>
      <w:r>
        <w:rPr>
          <w:rFonts w:hint="eastAsia" w:ascii="仿宋_GB2312" w:hAnsi="Calibri" w:eastAsia="仿宋_GB2312"/>
          <w:color w:val="000000"/>
          <w:sz w:val="30"/>
          <w:szCs w:val="30"/>
        </w:rPr>
        <w:t>通用回购的证券代码为</w:t>
      </w:r>
      <w:r>
        <w:rPr>
          <w:rFonts w:ascii="仿宋_GB2312" w:hAnsi="Calibri" w:eastAsia="仿宋_GB2312"/>
          <w:color w:val="000000"/>
          <w:sz w:val="30"/>
          <w:szCs w:val="30"/>
        </w:rPr>
        <w:t xml:space="preserve"> </w:t>
      </w:r>
      <w:r>
        <w:rPr>
          <w:rFonts w:hint="eastAsia" w:ascii="仿宋_GB2312" w:hAnsi="Calibri" w:eastAsia="仿宋_GB2312"/>
          <w:color w:val="000000"/>
          <w:sz w:val="30"/>
          <w:szCs w:val="30"/>
        </w:rPr>
        <w:t>“204***”，简称为“GC***”，其中后三位是以天数表示的通用回购期限。</w:t>
      </w:r>
    </w:p>
    <w:p w14:paraId="76295DEA">
      <w:pPr>
        <w:adjustRightInd w:val="0"/>
        <w:snapToGrid w:val="0"/>
        <w:spacing w:line="600" w:lineRule="exact"/>
        <w:ind w:firstLine="600"/>
        <w:rPr>
          <w:rFonts w:ascii="仿宋_GB2312" w:hAnsi="微软雅黑" w:eastAsia="仿宋_GB2312"/>
          <w:color w:val="000000"/>
          <w:sz w:val="30"/>
          <w:szCs w:val="30"/>
        </w:rPr>
      </w:pPr>
      <w:r>
        <w:rPr>
          <w:rFonts w:hint="eastAsia" w:ascii="仿宋_GB2312" w:hAnsi="微软雅黑" w:eastAsia="仿宋_GB2312"/>
          <w:color w:val="000000"/>
          <w:sz w:val="30"/>
          <w:szCs w:val="30"/>
        </w:rPr>
        <w:t>通用回购交易的期限按日历时间（自然日）计算，如到期日为非交易日，顺延至下一个交易日结算。</w:t>
      </w:r>
    </w:p>
    <w:p w14:paraId="1DA15F45">
      <w:pPr>
        <w:adjustRightInd w:val="0"/>
        <w:snapToGrid w:val="0"/>
        <w:spacing w:line="600" w:lineRule="exact"/>
        <w:ind w:firstLine="600"/>
        <w:rPr>
          <w:rFonts w:ascii="仿宋_GB2312" w:hAnsi="微软雅黑" w:eastAsia="仿宋_GB2312"/>
          <w:color w:val="000000"/>
          <w:sz w:val="30"/>
          <w:szCs w:val="30"/>
        </w:rPr>
      </w:pPr>
      <w:r>
        <w:rPr>
          <w:rFonts w:hint="eastAsia" w:ascii="仿宋_GB2312" w:hAnsi="微软雅黑" w:eastAsia="仿宋_GB2312"/>
          <w:color w:val="000000"/>
          <w:sz w:val="30"/>
          <w:szCs w:val="30"/>
        </w:rPr>
        <w:t>各回购品种的申报代码分别如下：</w:t>
      </w:r>
    </w:p>
    <w:tbl>
      <w:tblPr>
        <w:tblStyle w:val="43"/>
        <w:tblW w:w="4999" w:type="pct"/>
        <w:jc w:val="center"/>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Layout w:type="autofit"/>
        <w:tblCellMar>
          <w:top w:w="0" w:type="dxa"/>
          <w:left w:w="108" w:type="dxa"/>
          <w:bottom w:w="0" w:type="dxa"/>
          <w:right w:w="108" w:type="dxa"/>
        </w:tblCellMar>
      </w:tblPr>
      <w:tblGrid>
        <w:gridCol w:w="2662"/>
        <w:gridCol w:w="2449"/>
        <w:gridCol w:w="3409"/>
      </w:tblGrid>
      <w:tr w14:paraId="4F2C1682">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jc w:val="center"/>
        </w:trPr>
        <w:tc>
          <w:tcPr>
            <w:tcW w:w="1562" w:type="pct"/>
            <w:vAlign w:val="center"/>
          </w:tcPr>
          <w:p w14:paraId="43CA5749">
            <w:pPr>
              <w:tabs>
                <w:tab w:val="left" w:pos="0"/>
              </w:tabs>
              <w:adjustRightInd w:val="0"/>
              <w:snapToGrid w:val="0"/>
              <w:jc w:val="center"/>
              <w:rPr>
                <w:rFonts w:ascii="仿宋_GB2312" w:eastAsia="仿宋_GB2312"/>
                <w:b/>
                <w:bCs/>
                <w:sz w:val="24"/>
                <w:szCs w:val="24"/>
              </w:rPr>
            </w:pPr>
            <w:r>
              <w:rPr>
                <w:rFonts w:hint="eastAsia" w:ascii="仿宋_GB2312" w:eastAsia="仿宋_GB2312"/>
                <w:b/>
                <w:bCs/>
                <w:sz w:val="24"/>
                <w:szCs w:val="24"/>
              </w:rPr>
              <w:t>代码</w:t>
            </w:r>
          </w:p>
        </w:tc>
        <w:tc>
          <w:tcPr>
            <w:tcW w:w="1437" w:type="pct"/>
            <w:vAlign w:val="center"/>
          </w:tcPr>
          <w:p w14:paraId="63E8D7A6">
            <w:pPr>
              <w:tabs>
                <w:tab w:val="left" w:pos="0"/>
              </w:tabs>
              <w:adjustRightInd w:val="0"/>
              <w:snapToGrid w:val="0"/>
              <w:ind w:firstLine="843" w:firstLineChars="350"/>
              <w:rPr>
                <w:rFonts w:ascii="仿宋_GB2312" w:eastAsia="仿宋_GB2312"/>
                <w:b/>
                <w:bCs/>
                <w:sz w:val="24"/>
                <w:szCs w:val="24"/>
              </w:rPr>
            </w:pPr>
            <w:r>
              <w:rPr>
                <w:rFonts w:hint="eastAsia" w:ascii="仿宋_GB2312" w:eastAsia="仿宋_GB2312"/>
                <w:b/>
                <w:bCs/>
                <w:sz w:val="24"/>
                <w:szCs w:val="24"/>
              </w:rPr>
              <w:t>简称</w:t>
            </w:r>
          </w:p>
        </w:tc>
        <w:tc>
          <w:tcPr>
            <w:tcW w:w="2000" w:type="pct"/>
            <w:vAlign w:val="center"/>
          </w:tcPr>
          <w:p w14:paraId="75B14331">
            <w:pPr>
              <w:tabs>
                <w:tab w:val="left" w:pos="0"/>
              </w:tabs>
              <w:adjustRightInd w:val="0"/>
              <w:snapToGrid w:val="0"/>
              <w:ind w:firstLine="1205" w:firstLineChars="500"/>
              <w:rPr>
                <w:rFonts w:ascii="仿宋_GB2312" w:eastAsia="仿宋_GB2312"/>
                <w:b/>
                <w:bCs/>
                <w:sz w:val="24"/>
                <w:szCs w:val="24"/>
              </w:rPr>
            </w:pPr>
            <w:r>
              <w:rPr>
                <w:rFonts w:hint="eastAsia" w:ascii="仿宋_GB2312" w:eastAsia="仿宋_GB2312"/>
                <w:b/>
                <w:bCs/>
                <w:sz w:val="24"/>
                <w:szCs w:val="24"/>
              </w:rPr>
              <w:t>品种</w:t>
            </w:r>
          </w:p>
        </w:tc>
      </w:tr>
      <w:tr w14:paraId="12762AA9">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jc w:val="center"/>
        </w:trPr>
        <w:tc>
          <w:tcPr>
            <w:tcW w:w="1562" w:type="pct"/>
            <w:vAlign w:val="center"/>
          </w:tcPr>
          <w:p w14:paraId="28A61A35">
            <w:pPr>
              <w:tabs>
                <w:tab w:val="left" w:pos="0"/>
              </w:tabs>
              <w:adjustRightInd w:val="0"/>
              <w:snapToGrid w:val="0"/>
              <w:jc w:val="center"/>
              <w:rPr>
                <w:rFonts w:ascii="仿宋_GB2312" w:eastAsia="仿宋_GB2312"/>
                <w:b/>
                <w:bCs/>
                <w:sz w:val="24"/>
                <w:szCs w:val="24"/>
              </w:rPr>
            </w:pPr>
            <w:r>
              <w:rPr>
                <w:rFonts w:ascii="仿宋_GB2312" w:eastAsia="仿宋_GB2312"/>
                <w:b/>
                <w:bCs/>
                <w:sz w:val="24"/>
                <w:szCs w:val="24"/>
              </w:rPr>
              <w:t>204001</w:t>
            </w:r>
          </w:p>
        </w:tc>
        <w:tc>
          <w:tcPr>
            <w:tcW w:w="1437" w:type="pct"/>
            <w:vAlign w:val="center"/>
          </w:tcPr>
          <w:p w14:paraId="7D719362">
            <w:pPr>
              <w:tabs>
                <w:tab w:val="left" w:pos="0"/>
              </w:tabs>
              <w:adjustRightInd w:val="0"/>
              <w:snapToGrid w:val="0"/>
              <w:jc w:val="center"/>
              <w:rPr>
                <w:rFonts w:ascii="仿宋_GB2312" w:eastAsia="仿宋_GB2312"/>
                <w:bCs/>
                <w:sz w:val="24"/>
                <w:szCs w:val="24"/>
              </w:rPr>
            </w:pPr>
            <w:r>
              <w:rPr>
                <w:rFonts w:ascii="仿宋_GB2312" w:eastAsia="仿宋_GB2312"/>
                <w:bCs/>
                <w:sz w:val="24"/>
                <w:szCs w:val="24"/>
              </w:rPr>
              <w:t>GC001</w:t>
            </w:r>
          </w:p>
        </w:tc>
        <w:tc>
          <w:tcPr>
            <w:tcW w:w="2000" w:type="pct"/>
            <w:vAlign w:val="center"/>
          </w:tcPr>
          <w:p w14:paraId="1F6CAD83">
            <w:pPr>
              <w:tabs>
                <w:tab w:val="left" w:pos="0"/>
              </w:tabs>
              <w:adjustRightInd w:val="0"/>
              <w:snapToGrid w:val="0"/>
              <w:jc w:val="center"/>
              <w:rPr>
                <w:rFonts w:ascii="仿宋_GB2312" w:eastAsia="仿宋_GB2312"/>
                <w:bCs/>
                <w:sz w:val="24"/>
                <w:szCs w:val="24"/>
              </w:rPr>
            </w:pPr>
            <w:r>
              <w:rPr>
                <w:rFonts w:hint="eastAsia" w:ascii="仿宋_GB2312" w:eastAsia="仿宋_GB2312"/>
                <w:bCs/>
                <w:sz w:val="24"/>
                <w:szCs w:val="24"/>
              </w:rPr>
              <w:t>1天回购</w:t>
            </w:r>
          </w:p>
        </w:tc>
      </w:tr>
      <w:tr w14:paraId="7BB273AB">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jc w:val="center"/>
        </w:trPr>
        <w:tc>
          <w:tcPr>
            <w:tcW w:w="1562" w:type="pct"/>
            <w:vAlign w:val="center"/>
          </w:tcPr>
          <w:p w14:paraId="4EC834D0">
            <w:pPr>
              <w:tabs>
                <w:tab w:val="left" w:pos="0"/>
              </w:tabs>
              <w:adjustRightInd w:val="0"/>
              <w:snapToGrid w:val="0"/>
              <w:jc w:val="center"/>
              <w:rPr>
                <w:rFonts w:ascii="仿宋_GB2312" w:eastAsia="仿宋_GB2312"/>
                <w:b/>
                <w:bCs/>
                <w:sz w:val="24"/>
                <w:szCs w:val="24"/>
              </w:rPr>
            </w:pPr>
            <w:r>
              <w:rPr>
                <w:rFonts w:ascii="仿宋_GB2312" w:eastAsia="仿宋_GB2312"/>
                <w:b/>
                <w:bCs/>
                <w:sz w:val="24"/>
                <w:szCs w:val="24"/>
              </w:rPr>
              <w:t>204002</w:t>
            </w:r>
          </w:p>
        </w:tc>
        <w:tc>
          <w:tcPr>
            <w:tcW w:w="1437" w:type="pct"/>
            <w:vAlign w:val="center"/>
          </w:tcPr>
          <w:p w14:paraId="2378B5D1">
            <w:pPr>
              <w:tabs>
                <w:tab w:val="left" w:pos="0"/>
              </w:tabs>
              <w:adjustRightInd w:val="0"/>
              <w:snapToGrid w:val="0"/>
              <w:jc w:val="center"/>
              <w:rPr>
                <w:rFonts w:ascii="仿宋_GB2312" w:eastAsia="仿宋_GB2312"/>
                <w:bCs/>
                <w:sz w:val="24"/>
                <w:szCs w:val="24"/>
              </w:rPr>
            </w:pPr>
            <w:r>
              <w:rPr>
                <w:rFonts w:ascii="仿宋_GB2312" w:eastAsia="仿宋_GB2312"/>
                <w:bCs/>
                <w:sz w:val="24"/>
                <w:szCs w:val="24"/>
              </w:rPr>
              <w:t>GC002</w:t>
            </w:r>
          </w:p>
        </w:tc>
        <w:tc>
          <w:tcPr>
            <w:tcW w:w="2000" w:type="pct"/>
            <w:vAlign w:val="center"/>
          </w:tcPr>
          <w:p w14:paraId="3183714F">
            <w:pPr>
              <w:tabs>
                <w:tab w:val="left" w:pos="0"/>
              </w:tabs>
              <w:adjustRightInd w:val="0"/>
              <w:snapToGrid w:val="0"/>
              <w:jc w:val="center"/>
              <w:rPr>
                <w:rFonts w:ascii="仿宋_GB2312" w:eastAsia="仿宋_GB2312"/>
                <w:bCs/>
                <w:sz w:val="24"/>
                <w:szCs w:val="24"/>
              </w:rPr>
            </w:pPr>
            <w:r>
              <w:rPr>
                <w:rFonts w:hint="eastAsia" w:ascii="仿宋_GB2312" w:eastAsia="仿宋_GB2312"/>
                <w:bCs/>
                <w:sz w:val="24"/>
                <w:szCs w:val="24"/>
              </w:rPr>
              <w:t>2天回购</w:t>
            </w:r>
          </w:p>
        </w:tc>
      </w:tr>
      <w:tr w14:paraId="17363122">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PrEx>
        <w:trPr>
          <w:jc w:val="center"/>
        </w:trPr>
        <w:tc>
          <w:tcPr>
            <w:tcW w:w="1562" w:type="pct"/>
            <w:vAlign w:val="center"/>
          </w:tcPr>
          <w:p w14:paraId="3C46215F">
            <w:pPr>
              <w:tabs>
                <w:tab w:val="left" w:pos="0"/>
              </w:tabs>
              <w:adjustRightInd w:val="0"/>
              <w:snapToGrid w:val="0"/>
              <w:jc w:val="center"/>
              <w:rPr>
                <w:rFonts w:ascii="仿宋_GB2312" w:eastAsia="仿宋_GB2312"/>
                <w:b/>
                <w:bCs/>
                <w:sz w:val="24"/>
                <w:szCs w:val="24"/>
              </w:rPr>
            </w:pPr>
            <w:r>
              <w:rPr>
                <w:rFonts w:ascii="仿宋_GB2312" w:eastAsia="仿宋_GB2312"/>
                <w:b/>
                <w:bCs/>
                <w:sz w:val="24"/>
                <w:szCs w:val="24"/>
              </w:rPr>
              <w:t>204003</w:t>
            </w:r>
          </w:p>
        </w:tc>
        <w:tc>
          <w:tcPr>
            <w:tcW w:w="1437" w:type="pct"/>
            <w:vAlign w:val="center"/>
          </w:tcPr>
          <w:p w14:paraId="4364FFA2">
            <w:pPr>
              <w:tabs>
                <w:tab w:val="left" w:pos="0"/>
              </w:tabs>
              <w:adjustRightInd w:val="0"/>
              <w:snapToGrid w:val="0"/>
              <w:jc w:val="center"/>
              <w:rPr>
                <w:rFonts w:ascii="仿宋_GB2312" w:eastAsia="仿宋_GB2312"/>
                <w:bCs/>
                <w:sz w:val="24"/>
                <w:szCs w:val="24"/>
              </w:rPr>
            </w:pPr>
            <w:r>
              <w:rPr>
                <w:rFonts w:ascii="仿宋_GB2312" w:eastAsia="仿宋_GB2312"/>
                <w:bCs/>
                <w:sz w:val="24"/>
                <w:szCs w:val="24"/>
              </w:rPr>
              <w:t>GC003</w:t>
            </w:r>
          </w:p>
        </w:tc>
        <w:tc>
          <w:tcPr>
            <w:tcW w:w="2000" w:type="pct"/>
            <w:vAlign w:val="center"/>
          </w:tcPr>
          <w:p w14:paraId="19D32B16">
            <w:pPr>
              <w:tabs>
                <w:tab w:val="left" w:pos="0"/>
              </w:tabs>
              <w:adjustRightInd w:val="0"/>
              <w:snapToGrid w:val="0"/>
              <w:jc w:val="center"/>
              <w:rPr>
                <w:rFonts w:ascii="仿宋_GB2312" w:eastAsia="仿宋_GB2312"/>
                <w:bCs/>
                <w:sz w:val="24"/>
                <w:szCs w:val="24"/>
              </w:rPr>
            </w:pPr>
            <w:r>
              <w:rPr>
                <w:rFonts w:hint="eastAsia" w:ascii="仿宋_GB2312" w:eastAsia="仿宋_GB2312"/>
                <w:bCs/>
                <w:sz w:val="24"/>
                <w:szCs w:val="24"/>
              </w:rPr>
              <w:t>3天回购</w:t>
            </w:r>
          </w:p>
        </w:tc>
      </w:tr>
      <w:tr w14:paraId="404C3182">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jc w:val="center"/>
        </w:trPr>
        <w:tc>
          <w:tcPr>
            <w:tcW w:w="1562" w:type="pct"/>
            <w:vAlign w:val="center"/>
          </w:tcPr>
          <w:p w14:paraId="56F00DD1">
            <w:pPr>
              <w:tabs>
                <w:tab w:val="left" w:pos="0"/>
              </w:tabs>
              <w:adjustRightInd w:val="0"/>
              <w:snapToGrid w:val="0"/>
              <w:jc w:val="center"/>
              <w:rPr>
                <w:rFonts w:ascii="仿宋_GB2312" w:eastAsia="仿宋_GB2312"/>
                <w:b/>
                <w:bCs/>
                <w:sz w:val="24"/>
                <w:szCs w:val="24"/>
              </w:rPr>
            </w:pPr>
            <w:r>
              <w:rPr>
                <w:rFonts w:ascii="仿宋_GB2312" w:eastAsia="仿宋_GB2312"/>
                <w:b/>
                <w:bCs/>
                <w:sz w:val="24"/>
                <w:szCs w:val="24"/>
              </w:rPr>
              <w:t>204004</w:t>
            </w:r>
          </w:p>
        </w:tc>
        <w:tc>
          <w:tcPr>
            <w:tcW w:w="1437" w:type="pct"/>
            <w:vAlign w:val="center"/>
          </w:tcPr>
          <w:p w14:paraId="02885D1D">
            <w:pPr>
              <w:tabs>
                <w:tab w:val="left" w:pos="0"/>
              </w:tabs>
              <w:adjustRightInd w:val="0"/>
              <w:snapToGrid w:val="0"/>
              <w:jc w:val="center"/>
              <w:rPr>
                <w:rFonts w:ascii="仿宋_GB2312" w:eastAsia="仿宋_GB2312"/>
                <w:bCs/>
                <w:sz w:val="24"/>
                <w:szCs w:val="24"/>
              </w:rPr>
            </w:pPr>
            <w:r>
              <w:rPr>
                <w:rFonts w:ascii="仿宋_GB2312" w:eastAsia="仿宋_GB2312"/>
                <w:bCs/>
                <w:sz w:val="24"/>
                <w:szCs w:val="24"/>
              </w:rPr>
              <w:t>GC004</w:t>
            </w:r>
          </w:p>
        </w:tc>
        <w:tc>
          <w:tcPr>
            <w:tcW w:w="2000" w:type="pct"/>
            <w:vAlign w:val="center"/>
          </w:tcPr>
          <w:p w14:paraId="4C029CF5">
            <w:pPr>
              <w:tabs>
                <w:tab w:val="left" w:pos="0"/>
              </w:tabs>
              <w:adjustRightInd w:val="0"/>
              <w:snapToGrid w:val="0"/>
              <w:jc w:val="center"/>
              <w:rPr>
                <w:rFonts w:ascii="仿宋_GB2312" w:eastAsia="仿宋_GB2312"/>
                <w:bCs/>
                <w:sz w:val="24"/>
                <w:szCs w:val="24"/>
              </w:rPr>
            </w:pPr>
            <w:r>
              <w:rPr>
                <w:rFonts w:hint="eastAsia" w:ascii="仿宋_GB2312" w:eastAsia="仿宋_GB2312"/>
                <w:bCs/>
                <w:sz w:val="24"/>
                <w:szCs w:val="24"/>
              </w:rPr>
              <w:t>4天回购</w:t>
            </w:r>
          </w:p>
        </w:tc>
      </w:tr>
      <w:tr w14:paraId="3906546E">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jc w:val="center"/>
        </w:trPr>
        <w:tc>
          <w:tcPr>
            <w:tcW w:w="1562" w:type="pct"/>
            <w:vAlign w:val="center"/>
          </w:tcPr>
          <w:p w14:paraId="34C9F3CF">
            <w:pPr>
              <w:tabs>
                <w:tab w:val="left" w:pos="0"/>
              </w:tabs>
              <w:adjustRightInd w:val="0"/>
              <w:snapToGrid w:val="0"/>
              <w:jc w:val="center"/>
              <w:rPr>
                <w:rFonts w:ascii="仿宋_GB2312" w:eastAsia="仿宋_GB2312"/>
                <w:b/>
                <w:bCs/>
                <w:sz w:val="24"/>
                <w:szCs w:val="24"/>
              </w:rPr>
            </w:pPr>
            <w:r>
              <w:rPr>
                <w:rFonts w:ascii="仿宋_GB2312" w:eastAsia="仿宋_GB2312"/>
                <w:b/>
                <w:bCs/>
                <w:sz w:val="24"/>
                <w:szCs w:val="24"/>
              </w:rPr>
              <w:t>204007</w:t>
            </w:r>
          </w:p>
        </w:tc>
        <w:tc>
          <w:tcPr>
            <w:tcW w:w="1437" w:type="pct"/>
            <w:vAlign w:val="center"/>
          </w:tcPr>
          <w:p w14:paraId="32852C06">
            <w:pPr>
              <w:tabs>
                <w:tab w:val="left" w:pos="0"/>
              </w:tabs>
              <w:adjustRightInd w:val="0"/>
              <w:snapToGrid w:val="0"/>
              <w:jc w:val="center"/>
              <w:rPr>
                <w:rFonts w:ascii="仿宋_GB2312" w:eastAsia="仿宋_GB2312"/>
                <w:bCs/>
                <w:sz w:val="24"/>
                <w:szCs w:val="24"/>
              </w:rPr>
            </w:pPr>
            <w:r>
              <w:rPr>
                <w:rFonts w:ascii="仿宋_GB2312" w:eastAsia="仿宋_GB2312"/>
                <w:bCs/>
                <w:sz w:val="24"/>
                <w:szCs w:val="24"/>
              </w:rPr>
              <w:t>GC007</w:t>
            </w:r>
          </w:p>
        </w:tc>
        <w:tc>
          <w:tcPr>
            <w:tcW w:w="2000" w:type="pct"/>
            <w:vAlign w:val="center"/>
          </w:tcPr>
          <w:p w14:paraId="455D140A">
            <w:pPr>
              <w:tabs>
                <w:tab w:val="left" w:pos="0"/>
              </w:tabs>
              <w:adjustRightInd w:val="0"/>
              <w:snapToGrid w:val="0"/>
              <w:jc w:val="center"/>
              <w:rPr>
                <w:rFonts w:ascii="仿宋_GB2312" w:eastAsia="仿宋_GB2312"/>
                <w:bCs/>
                <w:sz w:val="24"/>
                <w:szCs w:val="24"/>
              </w:rPr>
            </w:pPr>
            <w:r>
              <w:rPr>
                <w:rFonts w:hint="eastAsia" w:ascii="仿宋_GB2312" w:eastAsia="仿宋_GB2312"/>
                <w:bCs/>
                <w:sz w:val="24"/>
                <w:szCs w:val="24"/>
              </w:rPr>
              <w:t>7天回购</w:t>
            </w:r>
          </w:p>
        </w:tc>
      </w:tr>
      <w:tr w14:paraId="2C801677">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jc w:val="center"/>
        </w:trPr>
        <w:tc>
          <w:tcPr>
            <w:tcW w:w="1562" w:type="pct"/>
            <w:vAlign w:val="center"/>
          </w:tcPr>
          <w:p w14:paraId="1A57B1F0">
            <w:pPr>
              <w:tabs>
                <w:tab w:val="left" w:pos="0"/>
              </w:tabs>
              <w:adjustRightInd w:val="0"/>
              <w:snapToGrid w:val="0"/>
              <w:jc w:val="center"/>
              <w:rPr>
                <w:rFonts w:ascii="仿宋_GB2312" w:eastAsia="仿宋_GB2312"/>
                <w:b/>
                <w:bCs/>
                <w:sz w:val="24"/>
                <w:szCs w:val="24"/>
              </w:rPr>
            </w:pPr>
            <w:r>
              <w:rPr>
                <w:rFonts w:ascii="仿宋_GB2312" w:eastAsia="仿宋_GB2312"/>
                <w:b/>
                <w:bCs/>
                <w:sz w:val="24"/>
                <w:szCs w:val="24"/>
              </w:rPr>
              <w:t>204014</w:t>
            </w:r>
          </w:p>
        </w:tc>
        <w:tc>
          <w:tcPr>
            <w:tcW w:w="1437" w:type="pct"/>
            <w:vAlign w:val="center"/>
          </w:tcPr>
          <w:p w14:paraId="55B27991">
            <w:pPr>
              <w:tabs>
                <w:tab w:val="left" w:pos="0"/>
              </w:tabs>
              <w:adjustRightInd w:val="0"/>
              <w:snapToGrid w:val="0"/>
              <w:jc w:val="center"/>
              <w:rPr>
                <w:rFonts w:ascii="仿宋_GB2312" w:eastAsia="仿宋_GB2312"/>
                <w:bCs/>
                <w:sz w:val="24"/>
                <w:szCs w:val="24"/>
              </w:rPr>
            </w:pPr>
            <w:r>
              <w:rPr>
                <w:rFonts w:ascii="仿宋_GB2312" w:eastAsia="仿宋_GB2312"/>
                <w:bCs/>
                <w:sz w:val="24"/>
                <w:szCs w:val="24"/>
              </w:rPr>
              <w:t>GC014</w:t>
            </w:r>
          </w:p>
        </w:tc>
        <w:tc>
          <w:tcPr>
            <w:tcW w:w="2000" w:type="pct"/>
            <w:vAlign w:val="center"/>
          </w:tcPr>
          <w:p w14:paraId="6CE46CD9">
            <w:pPr>
              <w:tabs>
                <w:tab w:val="left" w:pos="0"/>
              </w:tabs>
              <w:adjustRightInd w:val="0"/>
              <w:snapToGrid w:val="0"/>
              <w:jc w:val="center"/>
              <w:rPr>
                <w:rFonts w:ascii="仿宋_GB2312" w:eastAsia="仿宋_GB2312"/>
                <w:bCs/>
                <w:sz w:val="24"/>
                <w:szCs w:val="24"/>
              </w:rPr>
            </w:pPr>
            <w:r>
              <w:rPr>
                <w:rFonts w:hint="eastAsia" w:ascii="仿宋_GB2312" w:eastAsia="仿宋_GB2312"/>
                <w:bCs/>
                <w:sz w:val="24"/>
                <w:szCs w:val="24"/>
              </w:rPr>
              <w:t>14天回购</w:t>
            </w:r>
          </w:p>
        </w:tc>
      </w:tr>
      <w:tr w14:paraId="6D3FD692">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PrEx>
        <w:trPr>
          <w:jc w:val="center"/>
        </w:trPr>
        <w:tc>
          <w:tcPr>
            <w:tcW w:w="1562" w:type="pct"/>
            <w:vAlign w:val="center"/>
          </w:tcPr>
          <w:p w14:paraId="2CEB93C4">
            <w:pPr>
              <w:tabs>
                <w:tab w:val="left" w:pos="0"/>
              </w:tabs>
              <w:adjustRightInd w:val="0"/>
              <w:snapToGrid w:val="0"/>
              <w:jc w:val="center"/>
              <w:rPr>
                <w:rFonts w:ascii="仿宋_GB2312" w:eastAsia="仿宋_GB2312"/>
                <w:b/>
                <w:bCs/>
                <w:sz w:val="24"/>
                <w:szCs w:val="24"/>
              </w:rPr>
            </w:pPr>
            <w:r>
              <w:rPr>
                <w:rFonts w:ascii="仿宋_GB2312" w:eastAsia="仿宋_GB2312"/>
                <w:b/>
                <w:bCs/>
                <w:sz w:val="24"/>
                <w:szCs w:val="24"/>
              </w:rPr>
              <w:t>204028</w:t>
            </w:r>
          </w:p>
        </w:tc>
        <w:tc>
          <w:tcPr>
            <w:tcW w:w="1437" w:type="pct"/>
            <w:vAlign w:val="center"/>
          </w:tcPr>
          <w:p w14:paraId="4A3590D2">
            <w:pPr>
              <w:tabs>
                <w:tab w:val="left" w:pos="0"/>
              </w:tabs>
              <w:adjustRightInd w:val="0"/>
              <w:snapToGrid w:val="0"/>
              <w:jc w:val="center"/>
              <w:rPr>
                <w:rFonts w:ascii="仿宋_GB2312" w:eastAsia="仿宋_GB2312"/>
                <w:bCs/>
                <w:sz w:val="24"/>
                <w:szCs w:val="24"/>
              </w:rPr>
            </w:pPr>
            <w:r>
              <w:rPr>
                <w:rFonts w:ascii="仿宋_GB2312" w:eastAsia="仿宋_GB2312"/>
                <w:bCs/>
                <w:sz w:val="24"/>
                <w:szCs w:val="24"/>
              </w:rPr>
              <w:t>GC028</w:t>
            </w:r>
          </w:p>
        </w:tc>
        <w:tc>
          <w:tcPr>
            <w:tcW w:w="2000" w:type="pct"/>
            <w:vAlign w:val="center"/>
          </w:tcPr>
          <w:p w14:paraId="64341FEC">
            <w:pPr>
              <w:tabs>
                <w:tab w:val="left" w:pos="0"/>
              </w:tabs>
              <w:adjustRightInd w:val="0"/>
              <w:snapToGrid w:val="0"/>
              <w:jc w:val="center"/>
              <w:rPr>
                <w:rFonts w:ascii="仿宋_GB2312" w:eastAsia="仿宋_GB2312"/>
                <w:bCs/>
                <w:sz w:val="24"/>
                <w:szCs w:val="24"/>
              </w:rPr>
            </w:pPr>
            <w:r>
              <w:rPr>
                <w:rFonts w:hint="eastAsia" w:ascii="仿宋_GB2312" w:eastAsia="仿宋_GB2312"/>
                <w:bCs/>
                <w:sz w:val="24"/>
                <w:szCs w:val="24"/>
              </w:rPr>
              <w:t>28天回购</w:t>
            </w:r>
          </w:p>
        </w:tc>
      </w:tr>
      <w:tr w14:paraId="4D3CA8AF">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jc w:val="center"/>
        </w:trPr>
        <w:tc>
          <w:tcPr>
            <w:tcW w:w="1562" w:type="pct"/>
            <w:vAlign w:val="center"/>
          </w:tcPr>
          <w:p w14:paraId="3BEFA369">
            <w:pPr>
              <w:tabs>
                <w:tab w:val="left" w:pos="0"/>
              </w:tabs>
              <w:adjustRightInd w:val="0"/>
              <w:snapToGrid w:val="0"/>
              <w:jc w:val="center"/>
              <w:rPr>
                <w:rFonts w:ascii="仿宋_GB2312" w:eastAsia="仿宋_GB2312"/>
                <w:b/>
                <w:bCs/>
                <w:sz w:val="24"/>
                <w:szCs w:val="24"/>
              </w:rPr>
            </w:pPr>
            <w:r>
              <w:rPr>
                <w:rFonts w:ascii="仿宋_GB2312" w:eastAsia="仿宋_GB2312"/>
                <w:b/>
                <w:bCs/>
                <w:sz w:val="24"/>
                <w:szCs w:val="24"/>
              </w:rPr>
              <w:t>204091</w:t>
            </w:r>
          </w:p>
        </w:tc>
        <w:tc>
          <w:tcPr>
            <w:tcW w:w="1437" w:type="pct"/>
            <w:vAlign w:val="center"/>
          </w:tcPr>
          <w:p w14:paraId="2C93503E">
            <w:pPr>
              <w:tabs>
                <w:tab w:val="left" w:pos="0"/>
              </w:tabs>
              <w:adjustRightInd w:val="0"/>
              <w:snapToGrid w:val="0"/>
              <w:jc w:val="center"/>
              <w:rPr>
                <w:rFonts w:ascii="仿宋_GB2312" w:eastAsia="仿宋_GB2312"/>
                <w:bCs/>
                <w:sz w:val="24"/>
                <w:szCs w:val="24"/>
              </w:rPr>
            </w:pPr>
            <w:r>
              <w:rPr>
                <w:rFonts w:ascii="仿宋_GB2312" w:eastAsia="仿宋_GB2312"/>
                <w:bCs/>
                <w:sz w:val="24"/>
                <w:szCs w:val="24"/>
              </w:rPr>
              <w:t>GC091</w:t>
            </w:r>
          </w:p>
        </w:tc>
        <w:tc>
          <w:tcPr>
            <w:tcW w:w="2000" w:type="pct"/>
            <w:vAlign w:val="center"/>
          </w:tcPr>
          <w:p w14:paraId="2BD040F3">
            <w:pPr>
              <w:tabs>
                <w:tab w:val="left" w:pos="0"/>
              </w:tabs>
              <w:adjustRightInd w:val="0"/>
              <w:snapToGrid w:val="0"/>
              <w:jc w:val="center"/>
              <w:rPr>
                <w:rFonts w:ascii="仿宋_GB2312" w:eastAsia="仿宋_GB2312"/>
                <w:bCs/>
                <w:sz w:val="24"/>
                <w:szCs w:val="24"/>
              </w:rPr>
            </w:pPr>
            <w:r>
              <w:rPr>
                <w:rFonts w:hint="eastAsia" w:ascii="仿宋_GB2312" w:eastAsia="仿宋_GB2312"/>
                <w:bCs/>
                <w:sz w:val="24"/>
                <w:szCs w:val="24"/>
              </w:rPr>
              <w:t>91天回购</w:t>
            </w:r>
          </w:p>
        </w:tc>
      </w:tr>
      <w:tr w14:paraId="43E32B23">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jc w:val="center"/>
        </w:trPr>
        <w:tc>
          <w:tcPr>
            <w:tcW w:w="1562" w:type="pct"/>
            <w:vAlign w:val="center"/>
          </w:tcPr>
          <w:p w14:paraId="7FDF671B">
            <w:pPr>
              <w:tabs>
                <w:tab w:val="left" w:pos="0"/>
              </w:tabs>
              <w:adjustRightInd w:val="0"/>
              <w:snapToGrid w:val="0"/>
              <w:jc w:val="center"/>
              <w:rPr>
                <w:rFonts w:ascii="仿宋_GB2312" w:eastAsia="仿宋_GB2312"/>
                <w:b/>
                <w:bCs/>
                <w:sz w:val="24"/>
                <w:szCs w:val="24"/>
              </w:rPr>
            </w:pPr>
            <w:r>
              <w:rPr>
                <w:rFonts w:ascii="仿宋_GB2312" w:eastAsia="仿宋_GB2312"/>
                <w:b/>
                <w:bCs/>
                <w:sz w:val="24"/>
                <w:szCs w:val="24"/>
              </w:rPr>
              <w:t>204182</w:t>
            </w:r>
          </w:p>
        </w:tc>
        <w:tc>
          <w:tcPr>
            <w:tcW w:w="1437" w:type="pct"/>
            <w:vAlign w:val="center"/>
          </w:tcPr>
          <w:p w14:paraId="03E8E406">
            <w:pPr>
              <w:tabs>
                <w:tab w:val="left" w:pos="0"/>
              </w:tabs>
              <w:adjustRightInd w:val="0"/>
              <w:snapToGrid w:val="0"/>
              <w:jc w:val="center"/>
              <w:rPr>
                <w:rFonts w:ascii="仿宋_GB2312" w:eastAsia="仿宋_GB2312"/>
                <w:bCs/>
                <w:sz w:val="24"/>
                <w:szCs w:val="24"/>
              </w:rPr>
            </w:pPr>
            <w:r>
              <w:rPr>
                <w:rFonts w:ascii="仿宋_GB2312" w:eastAsia="仿宋_GB2312"/>
                <w:bCs/>
                <w:sz w:val="24"/>
                <w:szCs w:val="24"/>
              </w:rPr>
              <w:t>GC182</w:t>
            </w:r>
          </w:p>
        </w:tc>
        <w:tc>
          <w:tcPr>
            <w:tcW w:w="2000" w:type="pct"/>
            <w:vAlign w:val="center"/>
          </w:tcPr>
          <w:p w14:paraId="48F142FD">
            <w:pPr>
              <w:tabs>
                <w:tab w:val="left" w:pos="0"/>
              </w:tabs>
              <w:adjustRightInd w:val="0"/>
              <w:snapToGrid w:val="0"/>
              <w:jc w:val="center"/>
              <w:rPr>
                <w:rFonts w:ascii="仿宋_GB2312" w:eastAsia="仿宋_GB2312"/>
                <w:bCs/>
                <w:sz w:val="24"/>
                <w:szCs w:val="24"/>
              </w:rPr>
            </w:pPr>
            <w:r>
              <w:rPr>
                <w:rFonts w:hint="eastAsia" w:ascii="仿宋_GB2312" w:eastAsia="仿宋_GB2312"/>
                <w:bCs/>
                <w:sz w:val="24"/>
                <w:szCs w:val="24"/>
              </w:rPr>
              <w:t>182天回购</w:t>
            </w:r>
          </w:p>
        </w:tc>
      </w:tr>
    </w:tbl>
    <w:p w14:paraId="12F7F4B0">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回购到期的处理</w:t>
      </w:r>
    </w:p>
    <w:p w14:paraId="1BE3D6E5">
      <w:pPr>
        <w:adjustRightInd w:val="0"/>
        <w:snapToGrid w:val="0"/>
        <w:spacing w:line="600" w:lineRule="exact"/>
        <w:ind w:firstLine="600" w:firstLineChars="200"/>
        <w:rPr>
          <w:rFonts w:ascii="仿宋_GB2312" w:hAnsi="Calibri" w:eastAsia="仿宋_GB2312"/>
          <w:sz w:val="30"/>
          <w:szCs w:val="30"/>
        </w:rPr>
      </w:pPr>
      <w:r>
        <w:rPr>
          <w:rFonts w:hint="eastAsia" w:ascii="仿宋_GB2312" w:hAnsi="宋体" w:eastAsia="仿宋_GB2312"/>
          <w:sz w:val="30"/>
          <w:szCs w:val="30"/>
        </w:rPr>
        <w:t>回购到期日，新债券交易系统根据登记结算机构提供的当日回购到期的数据，为相关账户增加相应可融资额度。正回购方可实现到期滚动续做，</w:t>
      </w:r>
      <w:r>
        <w:rPr>
          <w:rFonts w:hint="eastAsia" w:ascii="仿宋_GB2312" w:hAnsi="Calibri" w:eastAsia="仿宋_GB2312"/>
          <w:sz w:val="30"/>
          <w:szCs w:val="30"/>
        </w:rPr>
        <w:t>在可融资额度内进行新的融资回购，从而实现滚动融资；</w:t>
      </w:r>
      <w:r>
        <w:rPr>
          <w:rFonts w:hint="eastAsia" w:ascii="仿宋_GB2312" w:hAnsi="宋体" w:eastAsia="仿宋_GB2312"/>
          <w:sz w:val="30"/>
          <w:szCs w:val="30"/>
        </w:rPr>
        <w:t>或者</w:t>
      </w:r>
      <w:r>
        <w:rPr>
          <w:rFonts w:hint="eastAsia" w:ascii="仿宋_GB2312" w:hAnsi="Calibri" w:eastAsia="仿宋_GB2312"/>
          <w:sz w:val="30"/>
          <w:szCs w:val="30"/>
        </w:rPr>
        <w:t>申报将相关质押券转回原证券账户，并可在当日卖出，卖出的资金可用于</w:t>
      </w:r>
      <w:r>
        <w:rPr>
          <w:rFonts w:hint="eastAsia" w:ascii="仿宋_GB2312" w:hAnsi="宋体" w:eastAsia="仿宋_GB2312"/>
          <w:sz w:val="30"/>
          <w:szCs w:val="30"/>
        </w:rPr>
        <w:t>偿还到期购回款。</w:t>
      </w:r>
    </w:p>
    <w:p w14:paraId="3BFD7E61">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结算安排</w:t>
      </w:r>
    </w:p>
    <w:p w14:paraId="44CD4904">
      <w:pPr>
        <w:adjustRightInd w:val="0"/>
        <w:snapToGrid w:val="0"/>
        <w:spacing w:line="600" w:lineRule="exact"/>
        <w:ind w:firstLine="600" w:firstLineChars="200"/>
        <w:outlineLvl w:val="3"/>
        <w:rPr>
          <w:rFonts w:ascii="仿宋_GB2312" w:hAnsi="宋体" w:eastAsia="仿宋_GB2312"/>
          <w:sz w:val="30"/>
          <w:szCs w:val="30"/>
        </w:rPr>
      </w:pPr>
      <w:r>
        <w:rPr>
          <w:rFonts w:hint="eastAsia" w:ascii="仿宋_GB2312" w:hAnsi="宋体" w:eastAsia="仿宋_GB2312"/>
          <w:sz w:val="30"/>
          <w:szCs w:val="30"/>
        </w:rPr>
        <w:t>（</w:t>
      </w:r>
      <w:r>
        <w:rPr>
          <w:rFonts w:ascii="仿宋_GB2312" w:hAnsi="宋体" w:eastAsia="仿宋_GB2312"/>
          <w:sz w:val="30"/>
          <w:szCs w:val="30"/>
        </w:rPr>
        <w:t>1）结算安排</w:t>
      </w:r>
    </w:p>
    <w:p w14:paraId="0D222E5A">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证券登记结算机构每日日终以证券账户为单位进行融资额度核算，如果某证券账户提交质押券折算成的融资额度与提交的现金担保品之和小于融资未到期余额，则为“欠库”，证券登记结算机构对相应参与人进行欠库扣款。</w:t>
      </w:r>
    </w:p>
    <w:p w14:paraId="7B4D43F6">
      <w:pPr>
        <w:adjustRightInd w:val="0"/>
        <w:snapToGrid w:val="0"/>
        <w:spacing w:line="600" w:lineRule="exact"/>
        <w:ind w:firstLine="600" w:firstLineChars="200"/>
        <w:rPr>
          <w:rFonts w:ascii="仿宋_GB2312" w:hAnsi="宋体" w:eastAsia="仿宋_GB2312"/>
          <w:sz w:val="30"/>
          <w:szCs w:val="30"/>
        </w:rPr>
      </w:pPr>
      <w:r>
        <w:rPr>
          <w:rFonts w:hint="eastAsia" w:ascii="仿宋_GB2312" w:hAnsi="Calibri" w:eastAsia="仿宋_GB2312"/>
          <w:sz w:val="30"/>
          <w:szCs w:val="30"/>
        </w:rPr>
        <w:t>通用</w:t>
      </w:r>
      <w:r>
        <w:rPr>
          <w:rFonts w:hint="eastAsia" w:ascii="仿宋_GB2312" w:hAnsi="Calibri" w:eastAsia="仿宋_GB2312"/>
          <w:color w:val="000000"/>
          <w:sz w:val="30"/>
          <w:szCs w:val="30"/>
        </w:rPr>
        <w:t>回购实行“一次成交、两次结算”，由登记结算机构作为中央对手方采取多边净额结算方式进行结算。</w:t>
      </w:r>
      <w:r>
        <w:rPr>
          <w:rFonts w:hint="eastAsia" w:ascii="仿宋_GB2312" w:hAnsi="宋体" w:eastAsia="仿宋_GB2312"/>
          <w:sz w:val="30"/>
          <w:szCs w:val="30"/>
        </w:rPr>
        <w:t>登记结算机构以结算备付金账户为单位，将回购成交应付资金数据</w:t>
      </w:r>
      <w:r>
        <w:rPr>
          <w:rFonts w:ascii="仿宋_GB2312" w:hAnsi="宋体" w:eastAsia="仿宋_GB2312"/>
          <w:sz w:val="30"/>
          <w:szCs w:val="30"/>
        </w:rPr>
        <w:t xml:space="preserve">, </w:t>
      </w:r>
      <w:r>
        <w:rPr>
          <w:rFonts w:hint="eastAsia" w:ascii="仿宋_GB2312" w:hAnsi="宋体" w:eastAsia="仿宋_GB2312"/>
          <w:sz w:val="30"/>
          <w:szCs w:val="30"/>
        </w:rPr>
        <w:t>与当日其它证券交易数据合并清算，轧差计算出结算备付金账户净应收或净应付资金余额，并在</w:t>
      </w:r>
      <w:r>
        <w:rPr>
          <w:rFonts w:ascii="仿宋_GB2312" w:hAnsi="宋体" w:eastAsia="仿宋_GB2312"/>
          <w:sz w:val="30"/>
          <w:szCs w:val="30"/>
        </w:rPr>
        <w:t>T+1日办理资金交收（具体</w:t>
      </w:r>
      <w:r>
        <w:rPr>
          <w:rFonts w:hint="eastAsia" w:ascii="仿宋_GB2312" w:hAnsi="宋体" w:eastAsia="仿宋_GB2312"/>
          <w:sz w:val="30"/>
          <w:szCs w:val="30"/>
        </w:rPr>
        <w:t>以</w:t>
      </w:r>
      <w:r>
        <w:rPr>
          <w:rFonts w:ascii="仿宋_GB2312" w:hAnsi="宋体" w:eastAsia="仿宋_GB2312"/>
          <w:sz w:val="30"/>
          <w:szCs w:val="30"/>
        </w:rPr>
        <w:t>登记结算机构相关业务规则</w:t>
      </w:r>
      <w:r>
        <w:rPr>
          <w:rFonts w:hint="eastAsia" w:ascii="仿宋_GB2312" w:hAnsi="宋体" w:eastAsia="仿宋_GB2312"/>
          <w:sz w:val="30"/>
          <w:szCs w:val="30"/>
        </w:rPr>
        <w:t>为准</w:t>
      </w:r>
      <w:r>
        <w:rPr>
          <w:rFonts w:ascii="仿宋_GB2312" w:hAnsi="宋体" w:eastAsia="仿宋_GB2312"/>
          <w:sz w:val="30"/>
          <w:szCs w:val="30"/>
        </w:rPr>
        <w:t>）。</w:t>
      </w:r>
    </w:p>
    <w:p w14:paraId="2BC385E7">
      <w:pPr>
        <w:adjustRightInd w:val="0"/>
        <w:snapToGrid w:val="0"/>
        <w:spacing w:line="600" w:lineRule="exact"/>
        <w:ind w:firstLine="600" w:firstLineChars="200"/>
        <w:outlineLvl w:val="3"/>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w:t>
      </w:r>
      <w:r>
        <w:rPr>
          <w:rFonts w:ascii="仿宋_GB2312" w:hAnsi="宋体" w:eastAsia="仿宋_GB2312" w:cs="宋体"/>
          <w:color w:val="000000"/>
          <w:kern w:val="0"/>
          <w:sz w:val="30"/>
          <w:szCs w:val="30"/>
        </w:rPr>
        <w:t>2）</w:t>
      </w:r>
      <w:r>
        <w:rPr>
          <w:rFonts w:ascii="仿宋_GB2312" w:hAnsi="宋体" w:eastAsia="仿宋_GB2312"/>
          <w:sz w:val="30"/>
          <w:szCs w:val="30"/>
        </w:rPr>
        <w:t>结算价格</w:t>
      </w:r>
    </w:p>
    <w:p w14:paraId="5EC4E60B">
      <w:pPr>
        <w:widowControl/>
        <w:adjustRightInd w:val="0"/>
        <w:snapToGrid w:val="0"/>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通用回购初次结算的结算价格为</w:t>
      </w:r>
      <w:r>
        <w:rPr>
          <w:rFonts w:ascii="仿宋_GB2312" w:hAnsi="宋体" w:eastAsia="仿宋_GB2312" w:cs="宋体"/>
          <w:color w:val="000000"/>
          <w:kern w:val="0"/>
          <w:sz w:val="30"/>
          <w:szCs w:val="30"/>
        </w:rPr>
        <w:t>100元，到期结算的结算价格为购回价。购回价等于每百元资金的本金和利息之和，其计算公式为：</w:t>
      </w:r>
    </w:p>
    <w:p w14:paraId="2A6C76BA">
      <w:pPr>
        <w:widowControl/>
        <w:adjustRightInd w:val="0"/>
        <w:snapToGrid w:val="0"/>
        <w:spacing w:line="600" w:lineRule="exact"/>
        <w:ind w:firstLine="600" w:firstLineChars="200"/>
        <w:rPr>
          <w:rFonts w:ascii="仿宋_GB2312" w:eastAsia="仿宋_GB2312"/>
          <w:sz w:val="30"/>
          <w:szCs w:val="30"/>
        </w:rPr>
      </w:pPr>
      <w:r>
        <w:rPr>
          <w:rFonts w:hint="eastAsia" w:ascii="仿宋_GB2312" w:eastAsia="仿宋_GB2312"/>
          <w:sz w:val="30"/>
          <w:szCs w:val="30"/>
        </w:rPr>
        <w:t>购回价=100元＋每百元资金到期年收益×实际占款天数/365。</w:t>
      </w:r>
    </w:p>
    <w:p w14:paraId="28B44287">
      <w:pPr>
        <w:widowControl/>
        <w:adjustRightInd w:val="0"/>
        <w:snapToGrid w:val="0"/>
        <w:spacing w:line="600" w:lineRule="exact"/>
        <w:ind w:firstLine="600" w:firstLineChars="200"/>
        <w:rPr>
          <w:rFonts w:ascii="仿宋_GB2312" w:eastAsia="仿宋_GB2312"/>
          <w:sz w:val="30"/>
          <w:szCs w:val="30"/>
        </w:rPr>
      </w:pPr>
      <w:r>
        <w:rPr>
          <w:rFonts w:hint="eastAsia" w:ascii="仿宋_GB2312" w:eastAsia="仿宋_GB2312"/>
          <w:sz w:val="30"/>
          <w:szCs w:val="30"/>
        </w:rPr>
        <w:t>实际占款天数是指当次</w:t>
      </w:r>
      <w:r>
        <w:rPr>
          <w:rFonts w:hint="eastAsia" w:ascii="仿宋_GB2312" w:hAnsi="仿宋" w:eastAsia="仿宋_GB2312"/>
          <w:color w:val="000000"/>
          <w:sz w:val="30"/>
          <w:szCs w:val="30"/>
        </w:rPr>
        <w:t>通用</w:t>
      </w:r>
      <w:r>
        <w:rPr>
          <w:rFonts w:hint="eastAsia" w:ascii="仿宋_GB2312" w:eastAsia="仿宋_GB2312"/>
          <w:sz w:val="30"/>
          <w:szCs w:val="30"/>
        </w:rPr>
        <w:t>回购交易的首次交收日（含）至到期交收日（不含）的实际日历天数，按自然日计算。</w:t>
      </w:r>
    </w:p>
    <w:p w14:paraId="44BB5149">
      <w:pPr>
        <w:widowControl/>
        <w:adjustRightInd w:val="0"/>
        <w:snapToGrid w:val="0"/>
        <w:spacing w:line="600" w:lineRule="exact"/>
        <w:ind w:firstLine="600" w:firstLineChars="200"/>
        <w:rPr>
          <w:rFonts w:ascii="仿宋_GB2312" w:eastAsia="仿宋_GB2312"/>
          <w:sz w:val="30"/>
          <w:szCs w:val="30"/>
        </w:rPr>
      </w:pPr>
      <w:r>
        <w:rPr>
          <w:rFonts w:hint="eastAsia" w:ascii="仿宋_GB2312" w:eastAsia="仿宋_GB2312"/>
          <w:sz w:val="30"/>
          <w:szCs w:val="30"/>
        </w:rPr>
        <w:t>实际占款天数计算示例见下表：</w:t>
      </w:r>
    </w:p>
    <w:tbl>
      <w:tblPr>
        <w:tblStyle w:val="43"/>
        <w:tblW w:w="88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8"/>
        <w:gridCol w:w="1028"/>
        <w:gridCol w:w="1523"/>
        <w:gridCol w:w="1037"/>
        <w:gridCol w:w="1529"/>
        <w:gridCol w:w="1657"/>
        <w:gridCol w:w="1541"/>
      </w:tblGrid>
      <w:tr w14:paraId="631AB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Align w:val="center"/>
          </w:tcPr>
          <w:p w14:paraId="4AEECFB4">
            <w:pPr>
              <w:widowControl/>
              <w:adjustRightInd w:val="0"/>
              <w:snapToGrid w:val="0"/>
              <w:rPr>
                <w:rFonts w:ascii="仿宋_GB2312" w:eastAsia="仿宋_GB2312"/>
                <w:b/>
                <w:bCs/>
                <w:kern w:val="0"/>
                <w:sz w:val="24"/>
                <w:szCs w:val="24"/>
              </w:rPr>
            </w:pPr>
            <w:r>
              <w:rPr>
                <w:rFonts w:hint="eastAsia" w:ascii="仿宋_GB2312" w:eastAsia="仿宋_GB2312"/>
                <w:b/>
                <w:bCs/>
                <w:kern w:val="0"/>
                <w:sz w:val="24"/>
                <w:szCs w:val="24"/>
              </w:rPr>
              <w:t>品种</w:t>
            </w:r>
          </w:p>
        </w:tc>
        <w:tc>
          <w:tcPr>
            <w:tcW w:w="1028" w:type="dxa"/>
            <w:vAlign w:val="center"/>
          </w:tcPr>
          <w:p w14:paraId="719AF888">
            <w:pPr>
              <w:widowControl/>
              <w:adjustRightInd w:val="0"/>
              <w:snapToGrid w:val="0"/>
              <w:rPr>
                <w:rFonts w:ascii="仿宋_GB2312" w:eastAsia="仿宋_GB2312"/>
                <w:b/>
                <w:bCs/>
                <w:kern w:val="0"/>
                <w:sz w:val="24"/>
                <w:szCs w:val="24"/>
              </w:rPr>
            </w:pPr>
            <w:r>
              <w:rPr>
                <w:rFonts w:hint="eastAsia" w:ascii="仿宋_GB2312" w:eastAsia="仿宋_GB2312"/>
                <w:b/>
                <w:bCs/>
                <w:kern w:val="0"/>
                <w:sz w:val="24"/>
                <w:szCs w:val="24"/>
              </w:rPr>
              <w:t>成交日</w:t>
            </w:r>
          </w:p>
        </w:tc>
        <w:tc>
          <w:tcPr>
            <w:tcW w:w="1523" w:type="dxa"/>
            <w:vAlign w:val="center"/>
          </w:tcPr>
          <w:p w14:paraId="716DC9A3">
            <w:pPr>
              <w:widowControl/>
              <w:adjustRightInd w:val="0"/>
              <w:snapToGrid w:val="0"/>
              <w:rPr>
                <w:rFonts w:ascii="仿宋_GB2312" w:eastAsia="仿宋_GB2312"/>
                <w:b/>
                <w:bCs/>
                <w:kern w:val="0"/>
                <w:sz w:val="24"/>
                <w:szCs w:val="24"/>
              </w:rPr>
            </w:pPr>
            <w:r>
              <w:rPr>
                <w:rFonts w:hint="eastAsia" w:ascii="仿宋_GB2312" w:eastAsia="仿宋_GB2312"/>
                <w:b/>
                <w:bCs/>
                <w:kern w:val="0"/>
                <w:sz w:val="24"/>
                <w:szCs w:val="24"/>
              </w:rPr>
              <w:t>首次交收日</w:t>
            </w:r>
          </w:p>
        </w:tc>
        <w:tc>
          <w:tcPr>
            <w:tcW w:w="1037" w:type="dxa"/>
            <w:vAlign w:val="center"/>
          </w:tcPr>
          <w:p w14:paraId="6B39ECCC">
            <w:pPr>
              <w:widowControl/>
              <w:adjustRightInd w:val="0"/>
              <w:snapToGrid w:val="0"/>
              <w:rPr>
                <w:rFonts w:ascii="仿宋_GB2312" w:eastAsia="仿宋_GB2312"/>
                <w:b/>
                <w:bCs/>
                <w:kern w:val="0"/>
                <w:sz w:val="24"/>
                <w:szCs w:val="24"/>
              </w:rPr>
            </w:pPr>
            <w:r>
              <w:rPr>
                <w:rFonts w:hint="eastAsia" w:ascii="仿宋_GB2312" w:eastAsia="仿宋_GB2312"/>
                <w:b/>
                <w:bCs/>
                <w:kern w:val="0"/>
                <w:sz w:val="24"/>
                <w:szCs w:val="24"/>
              </w:rPr>
              <w:t>到期日</w:t>
            </w:r>
          </w:p>
        </w:tc>
        <w:tc>
          <w:tcPr>
            <w:tcW w:w="1529" w:type="dxa"/>
            <w:vAlign w:val="center"/>
          </w:tcPr>
          <w:p w14:paraId="6DB6A368">
            <w:pPr>
              <w:widowControl/>
              <w:adjustRightInd w:val="0"/>
              <w:snapToGrid w:val="0"/>
              <w:rPr>
                <w:rFonts w:ascii="仿宋_GB2312" w:eastAsia="仿宋_GB2312"/>
                <w:b/>
                <w:bCs/>
                <w:kern w:val="0"/>
                <w:sz w:val="24"/>
                <w:szCs w:val="24"/>
              </w:rPr>
            </w:pPr>
            <w:r>
              <w:rPr>
                <w:rFonts w:hint="eastAsia" w:ascii="仿宋_GB2312" w:eastAsia="仿宋_GB2312"/>
                <w:b/>
                <w:bCs/>
                <w:kern w:val="0"/>
                <w:sz w:val="24"/>
                <w:szCs w:val="24"/>
              </w:rPr>
              <w:t>到期清算日</w:t>
            </w:r>
          </w:p>
        </w:tc>
        <w:tc>
          <w:tcPr>
            <w:tcW w:w="1657" w:type="dxa"/>
            <w:vAlign w:val="center"/>
          </w:tcPr>
          <w:p w14:paraId="4F839497">
            <w:pPr>
              <w:widowControl/>
              <w:adjustRightInd w:val="0"/>
              <w:snapToGrid w:val="0"/>
              <w:rPr>
                <w:rFonts w:ascii="仿宋_GB2312" w:eastAsia="仿宋_GB2312"/>
                <w:b/>
                <w:bCs/>
                <w:kern w:val="0"/>
                <w:sz w:val="24"/>
                <w:szCs w:val="24"/>
              </w:rPr>
            </w:pPr>
            <w:r>
              <w:rPr>
                <w:rFonts w:hint="eastAsia" w:ascii="仿宋_GB2312" w:eastAsia="仿宋_GB2312"/>
                <w:b/>
                <w:bCs/>
                <w:kern w:val="0"/>
                <w:sz w:val="24"/>
                <w:szCs w:val="24"/>
              </w:rPr>
              <w:t>到期交收日</w:t>
            </w:r>
          </w:p>
        </w:tc>
        <w:tc>
          <w:tcPr>
            <w:tcW w:w="1541" w:type="dxa"/>
            <w:vAlign w:val="center"/>
          </w:tcPr>
          <w:p w14:paraId="233613EE">
            <w:pPr>
              <w:widowControl/>
              <w:adjustRightInd w:val="0"/>
              <w:snapToGrid w:val="0"/>
              <w:rPr>
                <w:rFonts w:ascii="仿宋_GB2312" w:eastAsia="仿宋_GB2312"/>
                <w:b/>
                <w:bCs/>
                <w:kern w:val="0"/>
                <w:sz w:val="24"/>
                <w:szCs w:val="24"/>
              </w:rPr>
            </w:pPr>
            <w:r>
              <w:rPr>
                <w:rFonts w:hint="eastAsia" w:ascii="仿宋_GB2312" w:eastAsia="仿宋_GB2312"/>
                <w:b/>
                <w:bCs/>
                <w:kern w:val="0"/>
                <w:sz w:val="24"/>
                <w:szCs w:val="24"/>
              </w:rPr>
              <w:t>资金实际占款天数（天）</w:t>
            </w:r>
          </w:p>
        </w:tc>
      </w:tr>
      <w:tr w14:paraId="75C62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Merge w:val="restart"/>
            <w:vAlign w:val="center"/>
          </w:tcPr>
          <w:p w14:paraId="0452C7D1">
            <w:pPr>
              <w:widowControl/>
              <w:adjustRightInd w:val="0"/>
              <w:snapToGrid w:val="0"/>
              <w:rPr>
                <w:rFonts w:ascii="仿宋_GB2312" w:eastAsia="仿宋_GB2312"/>
                <w:b/>
                <w:bCs/>
                <w:kern w:val="0"/>
                <w:sz w:val="24"/>
                <w:szCs w:val="24"/>
              </w:rPr>
            </w:pPr>
            <w:r>
              <w:rPr>
                <w:rFonts w:hint="eastAsia" w:ascii="仿宋_GB2312" w:eastAsia="仿宋_GB2312"/>
                <w:b/>
                <w:bCs/>
                <w:kern w:val="0"/>
                <w:sz w:val="24"/>
                <w:szCs w:val="24"/>
              </w:rPr>
              <w:t>1天回购</w:t>
            </w:r>
          </w:p>
        </w:tc>
        <w:tc>
          <w:tcPr>
            <w:tcW w:w="1028" w:type="dxa"/>
            <w:vAlign w:val="center"/>
          </w:tcPr>
          <w:p w14:paraId="47ADFD88">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周一</w:t>
            </w:r>
          </w:p>
        </w:tc>
        <w:tc>
          <w:tcPr>
            <w:tcW w:w="1523" w:type="dxa"/>
            <w:vAlign w:val="center"/>
          </w:tcPr>
          <w:p w14:paraId="72D25E17">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周二</w:t>
            </w:r>
          </w:p>
        </w:tc>
        <w:tc>
          <w:tcPr>
            <w:tcW w:w="1037" w:type="dxa"/>
            <w:vAlign w:val="center"/>
          </w:tcPr>
          <w:p w14:paraId="1936D4CB">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周二</w:t>
            </w:r>
          </w:p>
        </w:tc>
        <w:tc>
          <w:tcPr>
            <w:tcW w:w="1529" w:type="dxa"/>
            <w:vAlign w:val="center"/>
          </w:tcPr>
          <w:p w14:paraId="35DDDDA5">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周二</w:t>
            </w:r>
          </w:p>
        </w:tc>
        <w:tc>
          <w:tcPr>
            <w:tcW w:w="1657" w:type="dxa"/>
            <w:vAlign w:val="center"/>
          </w:tcPr>
          <w:p w14:paraId="71B239D2">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周三</w:t>
            </w:r>
          </w:p>
        </w:tc>
        <w:tc>
          <w:tcPr>
            <w:tcW w:w="1541" w:type="dxa"/>
            <w:vAlign w:val="center"/>
          </w:tcPr>
          <w:p w14:paraId="3FC06BC5">
            <w:pPr>
              <w:widowControl/>
              <w:adjustRightInd w:val="0"/>
              <w:snapToGrid w:val="0"/>
              <w:rPr>
                <w:rFonts w:ascii="仿宋_GB2312" w:eastAsia="仿宋_GB2312"/>
                <w:bCs/>
                <w:kern w:val="0"/>
                <w:sz w:val="24"/>
                <w:szCs w:val="24"/>
              </w:rPr>
            </w:pPr>
            <w:r>
              <w:rPr>
                <w:rFonts w:ascii="仿宋_GB2312" w:eastAsia="仿宋_GB2312"/>
                <w:bCs/>
                <w:kern w:val="0"/>
                <w:sz w:val="24"/>
                <w:szCs w:val="24"/>
              </w:rPr>
              <w:t>1</w:t>
            </w:r>
          </w:p>
        </w:tc>
      </w:tr>
      <w:tr w14:paraId="77A92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Merge w:val="continue"/>
            <w:vAlign w:val="center"/>
          </w:tcPr>
          <w:p w14:paraId="375FF32D">
            <w:pPr>
              <w:widowControl/>
              <w:adjustRightInd w:val="0"/>
              <w:snapToGrid w:val="0"/>
              <w:rPr>
                <w:rFonts w:ascii="仿宋_GB2312" w:eastAsia="仿宋_GB2312"/>
                <w:b/>
                <w:bCs/>
                <w:kern w:val="0"/>
                <w:sz w:val="24"/>
                <w:szCs w:val="24"/>
              </w:rPr>
            </w:pPr>
          </w:p>
        </w:tc>
        <w:tc>
          <w:tcPr>
            <w:tcW w:w="1028" w:type="dxa"/>
            <w:vAlign w:val="center"/>
          </w:tcPr>
          <w:p w14:paraId="08D9D99E">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周二</w:t>
            </w:r>
          </w:p>
        </w:tc>
        <w:tc>
          <w:tcPr>
            <w:tcW w:w="1523" w:type="dxa"/>
            <w:vAlign w:val="center"/>
          </w:tcPr>
          <w:p w14:paraId="4710EC77">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周三</w:t>
            </w:r>
          </w:p>
        </w:tc>
        <w:tc>
          <w:tcPr>
            <w:tcW w:w="1037" w:type="dxa"/>
            <w:vAlign w:val="center"/>
          </w:tcPr>
          <w:p w14:paraId="5F75CE50">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周三</w:t>
            </w:r>
          </w:p>
        </w:tc>
        <w:tc>
          <w:tcPr>
            <w:tcW w:w="1529" w:type="dxa"/>
            <w:vAlign w:val="center"/>
          </w:tcPr>
          <w:p w14:paraId="417FEB3D">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周三</w:t>
            </w:r>
          </w:p>
        </w:tc>
        <w:tc>
          <w:tcPr>
            <w:tcW w:w="1657" w:type="dxa"/>
            <w:vAlign w:val="center"/>
          </w:tcPr>
          <w:p w14:paraId="7ADE292A">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周四</w:t>
            </w:r>
          </w:p>
        </w:tc>
        <w:tc>
          <w:tcPr>
            <w:tcW w:w="1541" w:type="dxa"/>
            <w:vAlign w:val="center"/>
          </w:tcPr>
          <w:p w14:paraId="6B62C290">
            <w:pPr>
              <w:widowControl/>
              <w:adjustRightInd w:val="0"/>
              <w:snapToGrid w:val="0"/>
              <w:rPr>
                <w:rFonts w:ascii="仿宋_GB2312" w:eastAsia="仿宋_GB2312"/>
                <w:bCs/>
                <w:kern w:val="0"/>
                <w:sz w:val="24"/>
                <w:szCs w:val="24"/>
              </w:rPr>
            </w:pPr>
            <w:r>
              <w:rPr>
                <w:rFonts w:ascii="仿宋_GB2312" w:eastAsia="仿宋_GB2312"/>
                <w:bCs/>
                <w:kern w:val="0"/>
                <w:sz w:val="24"/>
                <w:szCs w:val="24"/>
              </w:rPr>
              <w:t>1</w:t>
            </w:r>
          </w:p>
        </w:tc>
      </w:tr>
      <w:tr w14:paraId="71E3F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78" w:type="dxa"/>
            <w:vMerge w:val="continue"/>
            <w:vAlign w:val="center"/>
          </w:tcPr>
          <w:p w14:paraId="2D55CEDD">
            <w:pPr>
              <w:widowControl/>
              <w:adjustRightInd w:val="0"/>
              <w:snapToGrid w:val="0"/>
              <w:rPr>
                <w:rFonts w:ascii="仿宋_GB2312" w:eastAsia="仿宋_GB2312"/>
                <w:b/>
                <w:bCs/>
                <w:kern w:val="0"/>
                <w:sz w:val="24"/>
                <w:szCs w:val="24"/>
              </w:rPr>
            </w:pPr>
          </w:p>
        </w:tc>
        <w:tc>
          <w:tcPr>
            <w:tcW w:w="1028" w:type="dxa"/>
            <w:vAlign w:val="center"/>
          </w:tcPr>
          <w:p w14:paraId="03946601">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周三</w:t>
            </w:r>
          </w:p>
        </w:tc>
        <w:tc>
          <w:tcPr>
            <w:tcW w:w="1523" w:type="dxa"/>
            <w:vAlign w:val="center"/>
          </w:tcPr>
          <w:p w14:paraId="6FC04EDE">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周四</w:t>
            </w:r>
          </w:p>
        </w:tc>
        <w:tc>
          <w:tcPr>
            <w:tcW w:w="1037" w:type="dxa"/>
            <w:vAlign w:val="center"/>
          </w:tcPr>
          <w:p w14:paraId="20BEBF0B">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周四</w:t>
            </w:r>
          </w:p>
        </w:tc>
        <w:tc>
          <w:tcPr>
            <w:tcW w:w="1529" w:type="dxa"/>
            <w:vAlign w:val="center"/>
          </w:tcPr>
          <w:p w14:paraId="2E9F859E">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周四</w:t>
            </w:r>
          </w:p>
        </w:tc>
        <w:tc>
          <w:tcPr>
            <w:tcW w:w="1657" w:type="dxa"/>
            <w:vAlign w:val="center"/>
          </w:tcPr>
          <w:p w14:paraId="4B14E837">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周五</w:t>
            </w:r>
          </w:p>
        </w:tc>
        <w:tc>
          <w:tcPr>
            <w:tcW w:w="1541" w:type="dxa"/>
            <w:vAlign w:val="center"/>
          </w:tcPr>
          <w:p w14:paraId="1F3677A8">
            <w:pPr>
              <w:widowControl/>
              <w:adjustRightInd w:val="0"/>
              <w:snapToGrid w:val="0"/>
              <w:rPr>
                <w:rFonts w:ascii="仿宋_GB2312" w:eastAsia="仿宋_GB2312"/>
                <w:bCs/>
                <w:kern w:val="0"/>
                <w:sz w:val="24"/>
                <w:szCs w:val="24"/>
              </w:rPr>
            </w:pPr>
            <w:r>
              <w:rPr>
                <w:rFonts w:ascii="仿宋_GB2312" w:eastAsia="仿宋_GB2312"/>
                <w:bCs/>
                <w:kern w:val="0"/>
                <w:sz w:val="24"/>
                <w:szCs w:val="24"/>
              </w:rPr>
              <w:t>1</w:t>
            </w:r>
          </w:p>
        </w:tc>
      </w:tr>
      <w:tr w14:paraId="15390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Merge w:val="continue"/>
            <w:vAlign w:val="center"/>
          </w:tcPr>
          <w:p w14:paraId="17CE4D83">
            <w:pPr>
              <w:widowControl/>
              <w:adjustRightInd w:val="0"/>
              <w:snapToGrid w:val="0"/>
              <w:rPr>
                <w:rFonts w:ascii="仿宋_GB2312" w:eastAsia="仿宋_GB2312"/>
                <w:b/>
                <w:bCs/>
                <w:kern w:val="0"/>
                <w:sz w:val="24"/>
                <w:szCs w:val="24"/>
              </w:rPr>
            </w:pPr>
          </w:p>
        </w:tc>
        <w:tc>
          <w:tcPr>
            <w:tcW w:w="1028" w:type="dxa"/>
            <w:vAlign w:val="center"/>
          </w:tcPr>
          <w:p w14:paraId="26A1EB40">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周四</w:t>
            </w:r>
          </w:p>
        </w:tc>
        <w:tc>
          <w:tcPr>
            <w:tcW w:w="1523" w:type="dxa"/>
            <w:vAlign w:val="center"/>
          </w:tcPr>
          <w:p w14:paraId="20926DF7">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周五</w:t>
            </w:r>
          </w:p>
        </w:tc>
        <w:tc>
          <w:tcPr>
            <w:tcW w:w="1037" w:type="dxa"/>
            <w:vAlign w:val="center"/>
          </w:tcPr>
          <w:p w14:paraId="2EDB0885">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周五</w:t>
            </w:r>
          </w:p>
        </w:tc>
        <w:tc>
          <w:tcPr>
            <w:tcW w:w="1529" w:type="dxa"/>
            <w:vAlign w:val="center"/>
          </w:tcPr>
          <w:p w14:paraId="010BD599">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周五</w:t>
            </w:r>
          </w:p>
        </w:tc>
        <w:tc>
          <w:tcPr>
            <w:tcW w:w="1657" w:type="dxa"/>
            <w:vAlign w:val="center"/>
          </w:tcPr>
          <w:p w14:paraId="4553AD0A">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下周一</w:t>
            </w:r>
          </w:p>
        </w:tc>
        <w:tc>
          <w:tcPr>
            <w:tcW w:w="1541" w:type="dxa"/>
            <w:vAlign w:val="center"/>
          </w:tcPr>
          <w:p w14:paraId="26661E21">
            <w:pPr>
              <w:widowControl/>
              <w:adjustRightInd w:val="0"/>
              <w:snapToGrid w:val="0"/>
              <w:rPr>
                <w:rFonts w:ascii="仿宋_GB2312" w:eastAsia="仿宋_GB2312"/>
                <w:bCs/>
                <w:kern w:val="0"/>
                <w:sz w:val="24"/>
                <w:szCs w:val="24"/>
              </w:rPr>
            </w:pPr>
            <w:r>
              <w:rPr>
                <w:rFonts w:ascii="仿宋_GB2312" w:eastAsia="仿宋_GB2312"/>
                <w:bCs/>
                <w:kern w:val="0"/>
                <w:sz w:val="24"/>
                <w:szCs w:val="24"/>
              </w:rPr>
              <w:t>3</w:t>
            </w:r>
          </w:p>
        </w:tc>
      </w:tr>
      <w:tr w14:paraId="31271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Merge w:val="continue"/>
            <w:vAlign w:val="center"/>
          </w:tcPr>
          <w:p w14:paraId="50E17D37">
            <w:pPr>
              <w:widowControl/>
              <w:adjustRightInd w:val="0"/>
              <w:snapToGrid w:val="0"/>
              <w:rPr>
                <w:rFonts w:ascii="仿宋_GB2312" w:eastAsia="仿宋_GB2312"/>
                <w:b/>
                <w:bCs/>
                <w:kern w:val="0"/>
                <w:sz w:val="24"/>
                <w:szCs w:val="24"/>
              </w:rPr>
            </w:pPr>
          </w:p>
        </w:tc>
        <w:tc>
          <w:tcPr>
            <w:tcW w:w="1028" w:type="dxa"/>
            <w:vAlign w:val="center"/>
          </w:tcPr>
          <w:p w14:paraId="73AF538C">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周五</w:t>
            </w:r>
          </w:p>
        </w:tc>
        <w:tc>
          <w:tcPr>
            <w:tcW w:w="1523" w:type="dxa"/>
            <w:vAlign w:val="center"/>
          </w:tcPr>
          <w:p w14:paraId="375AA454">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下周一</w:t>
            </w:r>
          </w:p>
        </w:tc>
        <w:tc>
          <w:tcPr>
            <w:tcW w:w="1037" w:type="dxa"/>
            <w:vAlign w:val="center"/>
          </w:tcPr>
          <w:p w14:paraId="1E55EFCC">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周六</w:t>
            </w:r>
          </w:p>
        </w:tc>
        <w:tc>
          <w:tcPr>
            <w:tcW w:w="1529" w:type="dxa"/>
            <w:vAlign w:val="center"/>
          </w:tcPr>
          <w:p w14:paraId="16DDB34C">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下周一</w:t>
            </w:r>
          </w:p>
        </w:tc>
        <w:tc>
          <w:tcPr>
            <w:tcW w:w="1657" w:type="dxa"/>
            <w:vAlign w:val="center"/>
          </w:tcPr>
          <w:p w14:paraId="0A9E7159">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下周二</w:t>
            </w:r>
          </w:p>
        </w:tc>
        <w:tc>
          <w:tcPr>
            <w:tcW w:w="1541" w:type="dxa"/>
            <w:vAlign w:val="center"/>
          </w:tcPr>
          <w:p w14:paraId="744E75D5">
            <w:pPr>
              <w:widowControl/>
              <w:adjustRightInd w:val="0"/>
              <w:snapToGrid w:val="0"/>
              <w:rPr>
                <w:rFonts w:ascii="仿宋_GB2312" w:eastAsia="仿宋_GB2312"/>
                <w:bCs/>
                <w:kern w:val="0"/>
                <w:sz w:val="24"/>
                <w:szCs w:val="24"/>
              </w:rPr>
            </w:pPr>
            <w:r>
              <w:rPr>
                <w:rFonts w:ascii="仿宋_GB2312" w:eastAsia="仿宋_GB2312"/>
                <w:bCs/>
                <w:kern w:val="0"/>
                <w:sz w:val="24"/>
                <w:szCs w:val="24"/>
              </w:rPr>
              <w:t>1</w:t>
            </w:r>
          </w:p>
        </w:tc>
      </w:tr>
      <w:tr w14:paraId="22E7E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Merge w:val="restart"/>
            <w:vAlign w:val="center"/>
          </w:tcPr>
          <w:p w14:paraId="7091F5F7">
            <w:pPr>
              <w:widowControl/>
              <w:adjustRightInd w:val="0"/>
              <w:snapToGrid w:val="0"/>
              <w:rPr>
                <w:rFonts w:ascii="仿宋_GB2312" w:eastAsia="仿宋_GB2312"/>
                <w:b/>
                <w:bCs/>
                <w:kern w:val="0"/>
                <w:sz w:val="24"/>
                <w:szCs w:val="24"/>
              </w:rPr>
            </w:pPr>
            <w:r>
              <w:rPr>
                <w:rFonts w:hint="eastAsia" w:ascii="仿宋_GB2312" w:eastAsia="仿宋_GB2312"/>
                <w:b/>
                <w:bCs/>
                <w:kern w:val="0"/>
                <w:sz w:val="24"/>
                <w:szCs w:val="24"/>
              </w:rPr>
              <w:t>2天回购</w:t>
            </w:r>
          </w:p>
        </w:tc>
        <w:tc>
          <w:tcPr>
            <w:tcW w:w="1028" w:type="dxa"/>
            <w:vAlign w:val="center"/>
          </w:tcPr>
          <w:p w14:paraId="00AD0D99">
            <w:pPr>
              <w:widowControl/>
              <w:adjustRightInd w:val="0"/>
              <w:snapToGrid w:val="0"/>
              <w:rPr>
                <w:rFonts w:ascii="仿宋_GB2312" w:eastAsia="仿宋_GB2312"/>
                <w:b/>
                <w:bCs/>
                <w:kern w:val="0"/>
                <w:sz w:val="24"/>
                <w:szCs w:val="24"/>
              </w:rPr>
            </w:pPr>
            <w:r>
              <w:rPr>
                <w:rFonts w:hint="eastAsia" w:ascii="仿宋_GB2312" w:eastAsia="仿宋_GB2312"/>
                <w:b/>
                <w:bCs/>
                <w:kern w:val="0"/>
                <w:sz w:val="24"/>
                <w:szCs w:val="24"/>
              </w:rPr>
              <w:t>成交日</w:t>
            </w:r>
          </w:p>
        </w:tc>
        <w:tc>
          <w:tcPr>
            <w:tcW w:w="1523" w:type="dxa"/>
            <w:vAlign w:val="center"/>
          </w:tcPr>
          <w:p w14:paraId="0DAEC3B1">
            <w:pPr>
              <w:widowControl/>
              <w:adjustRightInd w:val="0"/>
              <w:snapToGrid w:val="0"/>
              <w:rPr>
                <w:rFonts w:ascii="仿宋_GB2312" w:eastAsia="仿宋_GB2312"/>
                <w:b/>
                <w:bCs/>
                <w:kern w:val="0"/>
                <w:sz w:val="24"/>
                <w:szCs w:val="24"/>
              </w:rPr>
            </w:pPr>
            <w:r>
              <w:rPr>
                <w:rFonts w:hint="eastAsia" w:ascii="仿宋_GB2312" w:eastAsia="仿宋_GB2312"/>
                <w:b/>
                <w:bCs/>
                <w:kern w:val="0"/>
                <w:sz w:val="24"/>
                <w:szCs w:val="24"/>
              </w:rPr>
              <w:t>首次交收日</w:t>
            </w:r>
          </w:p>
        </w:tc>
        <w:tc>
          <w:tcPr>
            <w:tcW w:w="1037" w:type="dxa"/>
            <w:vAlign w:val="center"/>
          </w:tcPr>
          <w:p w14:paraId="06D65DCE">
            <w:pPr>
              <w:widowControl/>
              <w:adjustRightInd w:val="0"/>
              <w:snapToGrid w:val="0"/>
              <w:rPr>
                <w:rFonts w:ascii="仿宋_GB2312" w:eastAsia="仿宋_GB2312"/>
                <w:b/>
                <w:bCs/>
                <w:kern w:val="0"/>
                <w:sz w:val="24"/>
                <w:szCs w:val="24"/>
              </w:rPr>
            </w:pPr>
            <w:r>
              <w:rPr>
                <w:rFonts w:hint="eastAsia" w:ascii="仿宋_GB2312" w:eastAsia="仿宋_GB2312"/>
                <w:b/>
                <w:bCs/>
                <w:kern w:val="0"/>
                <w:sz w:val="24"/>
                <w:szCs w:val="24"/>
              </w:rPr>
              <w:t>到期日</w:t>
            </w:r>
          </w:p>
        </w:tc>
        <w:tc>
          <w:tcPr>
            <w:tcW w:w="1529" w:type="dxa"/>
            <w:vAlign w:val="center"/>
          </w:tcPr>
          <w:p w14:paraId="6632A114">
            <w:pPr>
              <w:widowControl/>
              <w:adjustRightInd w:val="0"/>
              <w:snapToGrid w:val="0"/>
              <w:rPr>
                <w:rFonts w:ascii="仿宋_GB2312" w:eastAsia="仿宋_GB2312"/>
                <w:b/>
                <w:bCs/>
                <w:kern w:val="0"/>
                <w:sz w:val="24"/>
                <w:szCs w:val="24"/>
              </w:rPr>
            </w:pPr>
            <w:r>
              <w:rPr>
                <w:rFonts w:hint="eastAsia" w:ascii="仿宋_GB2312" w:eastAsia="仿宋_GB2312"/>
                <w:b/>
                <w:bCs/>
                <w:kern w:val="0"/>
                <w:sz w:val="24"/>
                <w:szCs w:val="24"/>
              </w:rPr>
              <w:t>到期清算日</w:t>
            </w:r>
          </w:p>
        </w:tc>
        <w:tc>
          <w:tcPr>
            <w:tcW w:w="1657" w:type="dxa"/>
            <w:vAlign w:val="center"/>
          </w:tcPr>
          <w:p w14:paraId="21674EC4">
            <w:pPr>
              <w:widowControl/>
              <w:adjustRightInd w:val="0"/>
              <w:snapToGrid w:val="0"/>
              <w:rPr>
                <w:rFonts w:ascii="仿宋_GB2312" w:eastAsia="仿宋_GB2312"/>
                <w:b/>
                <w:bCs/>
                <w:kern w:val="0"/>
                <w:sz w:val="24"/>
                <w:szCs w:val="24"/>
              </w:rPr>
            </w:pPr>
            <w:r>
              <w:rPr>
                <w:rFonts w:hint="eastAsia" w:ascii="仿宋_GB2312" w:eastAsia="仿宋_GB2312"/>
                <w:b/>
                <w:bCs/>
                <w:kern w:val="0"/>
                <w:sz w:val="24"/>
                <w:szCs w:val="24"/>
              </w:rPr>
              <w:t>到期交收日</w:t>
            </w:r>
          </w:p>
        </w:tc>
        <w:tc>
          <w:tcPr>
            <w:tcW w:w="1541" w:type="dxa"/>
            <w:vAlign w:val="center"/>
          </w:tcPr>
          <w:p w14:paraId="735B512D">
            <w:pPr>
              <w:widowControl/>
              <w:adjustRightInd w:val="0"/>
              <w:snapToGrid w:val="0"/>
              <w:rPr>
                <w:rFonts w:ascii="仿宋_GB2312" w:eastAsia="仿宋_GB2312"/>
                <w:b/>
                <w:bCs/>
                <w:kern w:val="0"/>
                <w:sz w:val="24"/>
                <w:szCs w:val="24"/>
              </w:rPr>
            </w:pPr>
            <w:r>
              <w:rPr>
                <w:rFonts w:hint="eastAsia" w:ascii="仿宋_GB2312" w:eastAsia="仿宋_GB2312"/>
                <w:b/>
                <w:bCs/>
                <w:kern w:val="0"/>
                <w:sz w:val="24"/>
                <w:szCs w:val="24"/>
              </w:rPr>
              <w:t>资金实际占款天数（天）</w:t>
            </w:r>
          </w:p>
        </w:tc>
      </w:tr>
      <w:tr w14:paraId="441F1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78" w:type="dxa"/>
            <w:vMerge w:val="continue"/>
            <w:vAlign w:val="center"/>
          </w:tcPr>
          <w:p w14:paraId="1EB8A47B">
            <w:pPr>
              <w:widowControl/>
              <w:adjustRightInd w:val="0"/>
              <w:snapToGrid w:val="0"/>
              <w:rPr>
                <w:rFonts w:ascii="仿宋_GB2312" w:eastAsia="仿宋_GB2312"/>
                <w:b/>
                <w:bCs/>
                <w:kern w:val="0"/>
                <w:sz w:val="24"/>
                <w:szCs w:val="24"/>
              </w:rPr>
            </w:pPr>
          </w:p>
        </w:tc>
        <w:tc>
          <w:tcPr>
            <w:tcW w:w="1028" w:type="dxa"/>
            <w:vAlign w:val="center"/>
          </w:tcPr>
          <w:p w14:paraId="7269B058">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周一</w:t>
            </w:r>
          </w:p>
        </w:tc>
        <w:tc>
          <w:tcPr>
            <w:tcW w:w="1523" w:type="dxa"/>
            <w:vAlign w:val="center"/>
          </w:tcPr>
          <w:p w14:paraId="653F6665">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周二</w:t>
            </w:r>
          </w:p>
        </w:tc>
        <w:tc>
          <w:tcPr>
            <w:tcW w:w="1037" w:type="dxa"/>
            <w:vAlign w:val="center"/>
          </w:tcPr>
          <w:p w14:paraId="30A9283D">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周三</w:t>
            </w:r>
          </w:p>
        </w:tc>
        <w:tc>
          <w:tcPr>
            <w:tcW w:w="1529" w:type="dxa"/>
            <w:vAlign w:val="center"/>
          </w:tcPr>
          <w:p w14:paraId="189C7C23">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周三</w:t>
            </w:r>
          </w:p>
        </w:tc>
        <w:tc>
          <w:tcPr>
            <w:tcW w:w="1657" w:type="dxa"/>
            <w:vAlign w:val="center"/>
          </w:tcPr>
          <w:p w14:paraId="515B7F00">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周四</w:t>
            </w:r>
          </w:p>
        </w:tc>
        <w:tc>
          <w:tcPr>
            <w:tcW w:w="1541" w:type="dxa"/>
            <w:vAlign w:val="center"/>
          </w:tcPr>
          <w:p w14:paraId="01B661F1">
            <w:pPr>
              <w:widowControl/>
              <w:adjustRightInd w:val="0"/>
              <w:snapToGrid w:val="0"/>
              <w:rPr>
                <w:rFonts w:ascii="仿宋_GB2312" w:eastAsia="仿宋_GB2312"/>
                <w:bCs/>
                <w:kern w:val="0"/>
                <w:sz w:val="24"/>
                <w:szCs w:val="24"/>
              </w:rPr>
            </w:pPr>
            <w:r>
              <w:rPr>
                <w:rFonts w:ascii="仿宋_GB2312" w:eastAsia="仿宋_GB2312"/>
                <w:bCs/>
                <w:kern w:val="0"/>
                <w:sz w:val="24"/>
                <w:szCs w:val="24"/>
              </w:rPr>
              <w:t>2</w:t>
            </w:r>
          </w:p>
        </w:tc>
      </w:tr>
      <w:tr w14:paraId="62987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Merge w:val="continue"/>
            <w:vAlign w:val="center"/>
          </w:tcPr>
          <w:p w14:paraId="35624B90">
            <w:pPr>
              <w:widowControl/>
              <w:adjustRightInd w:val="0"/>
              <w:snapToGrid w:val="0"/>
              <w:rPr>
                <w:rFonts w:ascii="仿宋_GB2312" w:eastAsia="仿宋_GB2312"/>
                <w:b/>
                <w:bCs/>
                <w:kern w:val="0"/>
                <w:sz w:val="24"/>
                <w:szCs w:val="24"/>
              </w:rPr>
            </w:pPr>
          </w:p>
        </w:tc>
        <w:tc>
          <w:tcPr>
            <w:tcW w:w="1028" w:type="dxa"/>
            <w:vAlign w:val="center"/>
          </w:tcPr>
          <w:p w14:paraId="70CD67B5">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周二</w:t>
            </w:r>
          </w:p>
        </w:tc>
        <w:tc>
          <w:tcPr>
            <w:tcW w:w="1523" w:type="dxa"/>
            <w:vAlign w:val="center"/>
          </w:tcPr>
          <w:p w14:paraId="7371C0A1">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周三</w:t>
            </w:r>
          </w:p>
        </w:tc>
        <w:tc>
          <w:tcPr>
            <w:tcW w:w="1037" w:type="dxa"/>
            <w:vAlign w:val="center"/>
          </w:tcPr>
          <w:p w14:paraId="323BA3A5">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周四</w:t>
            </w:r>
          </w:p>
        </w:tc>
        <w:tc>
          <w:tcPr>
            <w:tcW w:w="1529" w:type="dxa"/>
            <w:vAlign w:val="center"/>
          </w:tcPr>
          <w:p w14:paraId="0B8A5624">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周四</w:t>
            </w:r>
          </w:p>
        </w:tc>
        <w:tc>
          <w:tcPr>
            <w:tcW w:w="1657" w:type="dxa"/>
            <w:vAlign w:val="center"/>
          </w:tcPr>
          <w:p w14:paraId="4CBF9216">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周五</w:t>
            </w:r>
          </w:p>
        </w:tc>
        <w:tc>
          <w:tcPr>
            <w:tcW w:w="1541" w:type="dxa"/>
            <w:vAlign w:val="center"/>
          </w:tcPr>
          <w:p w14:paraId="5B832399">
            <w:pPr>
              <w:widowControl/>
              <w:adjustRightInd w:val="0"/>
              <w:snapToGrid w:val="0"/>
              <w:rPr>
                <w:rFonts w:ascii="仿宋_GB2312" w:eastAsia="仿宋_GB2312"/>
                <w:bCs/>
                <w:kern w:val="0"/>
                <w:sz w:val="24"/>
                <w:szCs w:val="24"/>
              </w:rPr>
            </w:pPr>
            <w:r>
              <w:rPr>
                <w:rFonts w:ascii="仿宋_GB2312" w:eastAsia="仿宋_GB2312"/>
                <w:bCs/>
                <w:kern w:val="0"/>
                <w:sz w:val="24"/>
                <w:szCs w:val="24"/>
              </w:rPr>
              <w:t>2</w:t>
            </w:r>
          </w:p>
        </w:tc>
      </w:tr>
      <w:tr w14:paraId="257E7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Merge w:val="continue"/>
            <w:vAlign w:val="center"/>
          </w:tcPr>
          <w:p w14:paraId="30FDC82B">
            <w:pPr>
              <w:widowControl/>
              <w:adjustRightInd w:val="0"/>
              <w:snapToGrid w:val="0"/>
              <w:rPr>
                <w:rFonts w:ascii="仿宋_GB2312" w:eastAsia="仿宋_GB2312"/>
                <w:b/>
                <w:bCs/>
                <w:kern w:val="0"/>
                <w:sz w:val="24"/>
                <w:szCs w:val="24"/>
              </w:rPr>
            </w:pPr>
          </w:p>
        </w:tc>
        <w:tc>
          <w:tcPr>
            <w:tcW w:w="1028" w:type="dxa"/>
            <w:vAlign w:val="center"/>
          </w:tcPr>
          <w:p w14:paraId="5BD2D51B">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周三</w:t>
            </w:r>
          </w:p>
        </w:tc>
        <w:tc>
          <w:tcPr>
            <w:tcW w:w="1523" w:type="dxa"/>
            <w:vAlign w:val="center"/>
          </w:tcPr>
          <w:p w14:paraId="10A1687D">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周四</w:t>
            </w:r>
          </w:p>
        </w:tc>
        <w:tc>
          <w:tcPr>
            <w:tcW w:w="1037" w:type="dxa"/>
            <w:vAlign w:val="center"/>
          </w:tcPr>
          <w:p w14:paraId="20307841">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周五</w:t>
            </w:r>
          </w:p>
        </w:tc>
        <w:tc>
          <w:tcPr>
            <w:tcW w:w="1529" w:type="dxa"/>
            <w:vAlign w:val="center"/>
          </w:tcPr>
          <w:p w14:paraId="326A42F5">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周五</w:t>
            </w:r>
          </w:p>
        </w:tc>
        <w:tc>
          <w:tcPr>
            <w:tcW w:w="1657" w:type="dxa"/>
            <w:vAlign w:val="center"/>
          </w:tcPr>
          <w:p w14:paraId="14850C10">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下周一</w:t>
            </w:r>
          </w:p>
        </w:tc>
        <w:tc>
          <w:tcPr>
            <w:tcW w:w="1541" w:type="dxa"/>
            <w:vAlign w:val="center"/>
          </w:tcPr>
          <w:p w14:paraId="5407DC3F">
            <w:pPr>
              <w:widowControl/>
              <w:adjustRightInd w:val="0"/>
              <w:snapToGrid w:val="0"/>
              <w:rPr>
                <w:rFonts w:ascii="仿宋_GB2312" w:eastAsia="仿宋_GB2312"/>
                <w:bCs/>
                <w:kern w:val="0"/>
                <w:sz w:val="24"/>
                <w:szCs w:val="24"/>
              </w:rPr>
            </w:pPr>
            <w:r>
              <w:rPr>
                <w:rFonts w:ascii="仿宋_GB2312" w:eastAsia="仿宋_GB2312"/>
                <w:bCs/>
                <w:kern w:val="0"/>
                <w:sz w:val="24"/>
                <w:szCs w:val="24"/>
              </w:rPr>
              <w:t>4</w:t>
            </w:r>
          </w:p>
        </w:tc>
      </w:tr>
      <w:tr w14:paraId="12C16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Merge w:val="continue"/>
            <w:vAlign w:val="center"/>
          </w:tcPr>
          <w:p w14:paraId="3BA914E6">
            <w:pPr>
              <w:widowControl/>
              <w:adjustRightInd w:val="0"/>
              <w:snapToGrid w:val="0"/>
              <w:rPr>
                <w:rFonts w:ascii="仿宋_GB2312" w:eastAsia="仿宋_GB2312"/>
                <w:b/>
                <w:bCs/>
                <w:kern w:val="0"/>
                <w:sz w:val="24"/>
                <w:szCs w:val="24"/>
              </w:rPr>
            </w:pPr>
          </w:p>
        </w:tc>
        <w:tc>
          <w:tcPr>
            <w:tcW w:w="1028" w:type="dxa"/>
            <w:vAlign w:val="center"/>
          </w:tcPr>
          <w:p w14:paraId="3EB2C427">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周四</w:t>
            </w:r>
          </w:p>
        </w:tc>
        <w:tc>
          <w:tcPr>
            <w:tcW w:w="1523" w:type="dxa"/>
            <w:vAlign w:val="center"/>
          </w:tcPr>
          <w:p w14:paraId="0FE140F4">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周五</w:t>
            </w:r>
          </w:p>
        </w:tc>
        <w:tc>
          <w:tcPr>
            <w:tcW w:w="1037" w:type="dxa"/>
            <w:vAlign w:val="center"/>
          </w:tcPr>
          <w:p w14:paraId="266ED223">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周六</w:t>
            </w:r>
          </w:p>
        </w:tc>
        <w:tc>
          <w:tcPr>
            <w:tcW w:w="1529" w:type="dxa"/>
            <w:vAlign w:val="center"/>
          </w:tcPr>
          <w:p w14:paraId="7C103B86">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下周一</w:t>
            </w:r>
          </w:p>
        </w:tc>
        <w:tc>
          <w:tcPr>
            <w:tcW w:w="1657" w:type="dxa"/>
            <w:vAlign w:val="center"/>
          </w:tcPr>
          <w:p w14:paraId="06151819">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下周二</w:t>
            </w:r>
          </w:p>
        </w:tc>
        <w:tc>
          <w:tcPr>
            <w:tcW w:w="1541" w:type="dxa"/>
            <w:vAlign w:val="center"/>
          </w:tcPr>
          <w:p w14:paraId="582A0670">
            <w:pPr>
              <w:widowControl/>
              <w:adjustRightInd w:val="0"/>
              <w:snapToGrid w:val="0"/>
              <w:rPr>
                <w:rFonts w:ascii="仿宋_GB2312" w:eastAsia="仿宋_GB2312"/>
                <w:bCs/>
                <w:kern w:val="0"/>
                <w:sz w:val="24"/>
                <w:szCs w:val="24"/>
              </w:rPr>
            </w:pPr>
            <w:r>
              <w:rPr>
                <w:rFonts w:ascii="仿宋_GB2312" w:eastAsia="仿宋_GB2312"/>
                <w:bCs/>
                <w:kern w:val="0"/>
                <w:sz w:val="24"/>
                <w:szCs w:val="24"/>
              </w:rPr>
              <w:t>4</w:t>
            </w:r>
          </w:p>
        </w:tc>
      </w:tr>
      <w:tr w14:paraId="5CE7F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78" w:type="dxa"/>
            <w:vMerge w:val="continue"/>
            <w:vAlign w:val="center"/>
          </w:tcPr>
          <w:p w14:paraId="5FFB0125">
            <w:pPr>
              <w:widowControl/>
              <w:adjustRightInd w:val="0"/>
              <w:snapToGrid w:val="0"/>
              <w:rPr>
                <w:rFonts w:ascii="仿宋_GB2312" w:eastAsia="仿宋_GB2312"/>
                <w:b/>
                <w:bCs/>
                <w:kern w:val="0"/>
                <w:sz w:val="24"/>
                <w:szCs w:val="24"/>
              </w:rPr>
            </w:pPr>
          </w:p>
        </w:tc>
        <w:tc>
          <w:tcPr>
            <w:tcW w:w="1028" w:type="dxa"/>
            <w:vAlign w:val="center"/>
          </w:tcPr>
          <w:p w14:paraId="3B38FB4B">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周五</w:t>
            </w:r>
          </w:p>
        </w:tc>
        <w:tc>
          <w:tcPr>
            <w:tcW w:w="1523" w:type="dxa"/>
            <w:vAlign w:val="center"/>
          </w:tcPr>
          <w:p w14:paraId="3E084E6A">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下周一</w:t>
            </w:r>
          </w:p>
        </w:tc>
        <w:tc>
          <w:tcPr>
            <w:tcW w:w="1037" w:type="dxa"/>
            <w:vAlign w:val="center"/>
          </w:tcPr>
          <w:p w14:paraId="38C7E9C5">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周日</w:t>
            </w:r>
          </w:p>
        </w:tc>
        <w:tc>
          <w:tcPr>
            <w:tcW w:w="1529" w:type="dxa"/>
            <w:vAlign w:val="center"/>
          </w:tcPr>
          <w:p w14:paraId="1FD4DC86">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下周一</w:t>
            </w:r>
          </w:p>
        </w:tc>
        <w:tc>
          <w:tcPr>
            <w:tcW w:w="1657" w:type="dxa"/>
            <w:vAlign w:val="center"/>
          </w:tcPr>
          <w:p w14:paraId="3F9DAAED">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下周二</w:t>
            </w:r>
          </w:p>
        </w:tc>
        <w:tc>
          <w:tcPr>
            <w:tcW w:w="1541" w:type="dxa"/>
            <w:vAlign w:val="center"/>
          </w:tcPr>
          <w:p w14:paraId="7C3744E5">
            <w:pPr>
              <w:widowControl/>
              <w:adjustRightInd w:val="0"/>
              <w:snapToGrid w:val="0"/>
              <w:rPr>
                <w:rFonts w:ascii="仿宋_GB2312" w:eastAsia="仿宋_GB2312"/>
                <w:bCs/>
                <w:kern w:val="0"/>
                <w:sz w:val="24"/>
                <w:szCs w:val="24"/>
              </w:rPr>
            </w:pPr>
            <w:r>
              <w:rPr>
                <w:rFonts w:ascii="仿宋_GB2312" w:eastAsia="仿宋_GB2312"/>
                <w:bCs/>
                <w:kern w:val="0"/>
                <w:sz w:val="24"/>
                <w:szCs w:val="24"/>
              </w:rPr>
              <w:t>1</w:t>
            </w:r>
          </w:p>
        </w:tc>
      </w:tr>
      <w:tr w14:paraId="57822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Merge w:val="restart"/>
            <w:vAlign w:val="center"/>
          </w:tcPr>
          <w:p w14:paraId="30F77A7B">
            <w:pPr>
              <w:widowControl/>
              <w:adjustRightInd w:val="0"/>
              <w:snapToGrid w:val="0"/>
              <w:rPr>
                <w:rFonts w:ascii="仿宋_GB2312" w:eastAsia="仿宋_GB2312"/>
                <w:b/>
                <w:bCs/>
                <w:kern w:val="0"/>
                <w:sz w:val="24"/>
                <w:szCs w:val="24"/>
              </w:rPr>
            </w:pPr>
            <w:r>
              <w:rPr>
                <w:rFonts w:hint="eastAsia" w:ascii="仿宋_GB2312" w:eastAsia="仿宋_GB2312"/>
                <w:b/>
                <w:bCs/>
                <w:kern w:val="0"/>
                <w:sz w:val="24"/>
                <w:szCs w:val="24"/>
              </w:rPr>
              <w:t>3天回购</w:t>
            </w:r>
          </w:p>
        </w:tc>
        <w:tc>
          <w:tcPr>
            <w:tcW w:w="1028" w:type="dxa"/>
            <w:vAlign w:val="center"/>
          </w:tcPr>
          <w:p w14:paraId="55F096D0">
            <w:pPr>
              <w:widowControl/>
              <w:adjustRightInd w:val="0"/>
              <w:snapToGrid w:val="0"/>
              <w:rPr>
                <w:rFonts w:ascii="仿宋_GB2312" w:eastAsia="仿宋_GB2312"/>
                <w:b/>
                <w:bCs/>
                <w:kern w:val="0"/>
                <w:sz w:val="24"/>
                <w:szCs w:val="24"/>
              </w:rPr>
            </w:pPr>
            <w:r>
              <w:rPr>
                <w:rFonts w:hint="eastAsia" w:ascii="仿宋_GB2312" w:eastAsia="仿宋_GB2312"/>
                <w:b/>
                <w:bCs/>
                <w:kern w:val="0"/>
                <w:sz w:val="24"/>
                <w:szCs w:val="24"/>
              </w:rPr>
              <w:t>成交日</w:t>
            </w:r>
          </w:p>
        </w:tc>
        <w:tc>
          <w:tcPr>
            <w:tcW w:w="1523" w:type="dxa"/>
            <w:vAlign w:val="center"/>
          </w:tcPr>
          <w:p w14:paraId="160CF232">
            <w:pPr>
              <w:widowControl/>
              <w:adjustRightInd w:val="0"/>
              <w:snapToGrid w:val="0"/>
              <w:rPr>
                <w:rFonts w:ascii="仿宋_GB2312" w:eastAsia="仿宋_GB2312"/>
                <w:b/>
                <w:bCs/>
                <w:kern w:val="0"/>
                <w:sz w:val="24"/>
                <w:szCs w:val="24"/>
              </w:rPr>
            </w:pPr>
            <w:r>
              <w:rPr>
                <w:rFonts w:hint="eastAsia" w:ascii="仿宋_GB2312" w:eastAsia="仿宋_GB2312"/>
                <w:b/>
                <w:bCs/>
                <w:kern w:val="0"/>
                <w:sz w:val="24"/>
                <w:szCs w:val="24"/>
              </w:rPr>
              <w:t>首次交收日</w:t>
            </w:r>
          </w:p>
        </w:tc>
        <w:tc>
          <w:tcPr>
            <w:tcW w:w="1037" w:type="dxa"/>
            <w:vAlign w:val="center"/>
          </w:tcPr>
          <w:p w14:paraId="666998B3">
            <w:pPr>
              <w:widowControl/>
              <w:adjustRightInd w:val="0"/>
              <w:snapToGrid w:val="0"/>
              <w:rPr>
                <w:rFonts w:ascii="仿宋_GB2312" w:eastAsia="仿宋_GB2312"/>
                <w:b/>
                <w:bCs/>
                <w:kern w:val="0"/>
                <w:sz w:val="24"/>
                <w:szCs w:val="24"/>
              </w:rPr>
            </w:pPr>
            <w:r>
              <w:rPr>
                <w:rFonts w:hint="eastAsia" w:ascii="仿宋_GB2312" w:eastAsia="仿宋_GB2312"/>
                <w:b/>
                <w:bCs/>
                <w:kern w:val="0"/>
                <w:sz w:val="24"/>
                <w:szCs w:val="24"/>
              </w:rPr>
              <w:t>到期日</w:t>
            </w:r>
          </w:p>
        </w:tc>
        <w:tc>
          <w:tcPr>
            <w:tcW w:w="1529" w:type="dxa"/>
            <w:vAlign w:val="center"/>
          </w:tcPr>
          <w:p w14:paraId="597FF141">
            <w:pPr>
              <w:widowControl/>
              <w:adjustRightInd w:val="0"/>
              <w:snapToGrid w:val="0"/>
              <w:rPr>
                <w:rFonts w:ascii="仿宋_GB2312" w:eastAsia="仿宋_GB2312"/>
                <w:b/>
                <w:bCs/>
                <w:kern w:val="0"/>
                <w:sz w:val="24"/>
                <w:szCs w:val="24"/>
              </w:rPr>
            </w:pPr>
            <w:r>
              <w:rPr>
                <w:rFonts w:hint="eastAsia" w:ascii="仿宋_GB2312" w:eastAsia="仿宋_GB2312"/>
                <w:b/>
                <w:bCs/>
                <w:kern w:val="0"/>
                <w:sz w:val="24"/>
                <w:szCs w:val="24"/>
              </w:rPr>
              <w:t>到期清算日</w:t>
            </w:r>
          </w:p>
        </w:tc>
        <w:tc>
          <w:tcPr>
            <w:tcW w:w="1657" w:type="dxa"/>
            <w:vAlign w:val="center"/>
          </w:tcPr>
          <w:p w14:paraId="15FCD884">
            <w:pPr>
              <w:widowControl/>
              <w:adjustRightInd w:val="0"/>
              <w:snapToGrid w:val="0"/>
              <w:rPr>
                <w:rFonts w:ascii="仿宋_GB2312" w:eastAsia="仿宋_GB2312"/>
                <w:b/>
                <w:bCs/>
                <w:kern w:val="0"/>
                <w:sz w:val="24"/>
                <w:szCs w:val="24"/>
              </w:rPr>
            </w:pPr>
            <w:r>
              <w:rPr>
                <w:rFonts w:hint="eastAsia" w:ascii="仿宋_GB2312" w:eastAsia="仿宋_GB2312"/>
                <w:b/>
                <w:bCs/>
                <w:kern w:val="0"/>
                <w:sz w:val="24"/>
                <w:szCs w:val="24"/>
              </w:rPr>
              <w:t>到期交收日</w:t>
            </w:r>
          </w:p>
        </w:tc>
        <w:tc>
          <w:tcPr>
            <w:tcW w:w="1541" w:type="dxa"/>
            <w:vAlign w:val="center"/>
          </w:tcPr>
          <w:p w14:paraId="21F56977">
            <w:pPr>
              <w:widowControl/>
              <w:adjustRightInd w:val="0"/>
              <w:snapToGrid w:val="0"/>
              <w:rPr>
                <w:rFonts w:ascii="仿宋_GB2312" w:eastAsia="仿宋_GB2312"/>
                <w:b/>
                <w:bCs/>
                <w:kern w:val="0"/>
                <w:sz w:val="24"/>
                <w:szCs w:val="24"/>
              </w:rPr>
            </w:pPr>
            <w:r>
              <w:rPr>
                <w:rFonts w:hint="eastAsia" w:ascii="仿宋_GB2312" w:eastAsia="仿宋_GB2312"/>
                <w:b/>
                <w:bCs/>
                <w:kern w:val="0"/>
                <w:sz w:val="24"/>
                <w:szCs w:val="24"/>
              </w:rPr>
              <w:t>资金实际占款天数（天）</w:t>
            </w:r>
          </w:p>
        </w:tc>
      </w:tr>
      <w:tr w14:paraId="65717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Merge w:val="continue"/>
            <w:vAlign w:val="center"/>
          </w:tcPr>
          <w:p w14:paraId="11B88283">
            <w:pPr>
              <w:widowControl/>
              <w:adjustRightInd w:val="0"/>
              <w:snapToGrid w:val="0"/>
              <w:rPr>
                <w:rFonts w:ascii="仿宋_GB2312" w:eastAsia="仿宋_GB2312"/>
                <w:b/>
                <w:bCs/>
                <w:kern w:val="0"/>
                <w:sz w:val="24"/>
                <w:szCs w:val="24"/>
              </w:rPr>
            </w:pPr>
          </w:p>
        </w:tc>
        <w:tc>
          <w:tcPr>
            <w:tcW w:w="1028" w:type="dxa"/>
            <w:vAlign w:val="center"/>
          </w:tcPr>
          <w:p w14:paraId="6E77E94E">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周一</w:t>
            </w:r>
          </w:p>
        </w:tc>
        <w:tc>
          <w:tcPr>
            <w:tcW w:w="1523" w:type="dxa"/>
            <w:vAlign w:val="center"/>
          </w:tcPr>
          <w:p w14:paraId="36737AE6">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周二</w:t>
            </w:r>
          </w:p>
        </w:tc>
        <w:tc>
          <w:tcPr>
            <w:tcW w:w="1037" w:type="dxa"/>
            <w:vAlign w:val="center"/>
          </w:tcPr>
          <w:p w14:paraId="46CBD3AA">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周四</w:t>
            </w:r>
          </w:p>
        </w:tc>
        <w:tc>
          <w:tcPr>
            <w:tcW w:w="1529" w:type="dxa"/>
            <w:vAlign w:val="center"/>
          </w:tcPr>
          <w:p w14:paraId="6599601C">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周四</w:t>
            </w:r>
          </w:p>
        </w:tc>
        <w:tc>
          <w:tcPr>
            <w:tcW w:w="1657" w:type="dxa"/>
            <w:vAlign w:val="center"/>
          </w:tcPr>
          <w:p w14:paraId="1009914C">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周五</w:t>
            </w:r>
          </w:p>
        </w:tc>
        <w:tc>
          <w:tcPr>
            <w:tcW w:w="1541" w:type="dxa"/>
            <w:vAlign w:val="center"/>
          </w:tcPr>
          <w:p w14:paraId="736DAC9A">
            <w:pPr>
              <w:widowControl/>
              <w:adjustRightInd w:val="0"/>
              <w:snapToGrid w:val="0"/>
              <w:rPr>
                <w:rFonts w:ascii="仿宋_GB2312" w:eastAsia="仿宋_GB2312"/>
                <w:bCs/>
                <w:kern w:val="0"/>
                <w:sz w:val="24"/>
                <w:szCs w:val="24"/>
              </w:rPr>
            </w:pPr>
            <w:r>
              <w:rPr>
                <w:rFonts w:ascii="仿宋_GB2312" w:eastAsia="仿宋_GB2312"/>
                <w:bCs/>
                <w:kern w:val="0"/>
                <w:sz w:val="24"/>
                <w:szCs w:val="24"/>
              </w:rPr>
              <w:t>3</w:t>
            </w:r>
          </w:p>
        </w:tc>
      </w:tr>
      <w:tr w14:paraId="35DD7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Merge w:val="continue"/>
            <w:vAlign w:val="center"/>
          </w:tcPr>
          <w:p w14:paraId="130AFC3A">
            <w:pPr>
              <w:widowControl/>
              <w:adjustRightInd w:val="0"/>
              <w:snapToGrid w:val="0"/>
              <w:rPr>
                <w:rFonts w:ascii="仿宋_GB2312" w:eastAsia="仿宋_GB2312"/>
                <w:b/>
                <w:bCs/>
                <w:kern w:val="0"/>
                <w:sz w:val="24"/>
                <w:szCs w:val="24"/>
              </w:rPr>
            </w:pPr>
          </w:p>
        </w:tc>
        <w:tc>
          <w:tcPr>
            <w:tcW w:w="1028" w:type="dxa"/>
            <w:vAlign w:val="center"/>
          </w:tcPr>
          <w:p w14:paraId="620067AB">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周二</w:t>
            </w:r>
          </w:p>
        </w:tc>
        <w:tc>
          <w:tcPr>
            <w:tcW w:w="1523" w:type="dxa"/>
            <w:vAlign w:val="center"/>
          </w:tcPr>
          <w:p w14:paraId="0A58DFAA">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周三</w:t>
            </w:r>
          </w:p>
        </w:tc>
        <w:tc>
          <w:tcPr>
            <w:tcW w:w="1037" w:type="dxa"/>
            <w:vAlign w:val="center"/>
          </w:tcPr>
          <w:p w14:paraId="31BD683C">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周五</w:t>
            </w:r>
          </w:p>
        </w:tc>
        <w:tc>
          <w:tcPr>
            <w:tcW w:w="1529" w:type="dxa"/>
            <w:vAlign w:val="center"/>
          </w:tcPr>
          <w:p w14:paraId="5634A74E">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周五</w:t>
            </w:r>
          </w:p>
        </w:tc>
        <w:tc>
          <w:tcPr>
            <w:tcW w:w="1657" w:type="dxa"/>
            <w:vAlign w:val="center"/>
          </w:tcPr>
          <w:p w14:paraId="660395A4">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下周一</w:t>
            </w:r>
          </w:p>
        </w:tc>
        <w:tc>
          <w:tcPr>
            <w:tcW w:w="1541" w:type="dxa"/>
            <w:vAlign w:val="center"/>
          </w:tcPr>
          <w:p w14:paraId="615708C5">
            <w:pPr>
              <w:widowControl/>
              <w:adjustRightInd w:val="0"/>
              <w:snapToGrid w:val="0"/>
              <w:rPr>
                <w:rFonts w:ascii="仿宋_GB2312" w:eastAsia="仿宋_GB2312"/>
                <w:bCs/>
                <w:kern w:val="0"/>
                <w:sz w:val="24"/>
                <w:szCs w:val="24"/>
              </w:rPr>
            </w:pPr>
            <w:r>
              <w:rPr>
                <w:rFonts w:ascii="仿宋_GB2312" w:eastAsia="仿宋_GB2312"/>
                <w:bCs/>
                <w:kern w:val="0"/>
                <w:sz w:val="24"/>
                <w:szCs w:val="24"/>
              </w:rPr>
              <w:t>5</w:t>
            </w:r>
          </w:p>
        </w:tc>
      </w:tr>
      <w:tr w14:paraId="43611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78" w:type="dxa"/>
            <w:vMerge w:val="continue"/>
            <w:vAlign w:val="center"/>
          </w:tcPr>
          <w:p w14:paraId="024B02F1">
            <w:pPr>
              <w:widowControl/>
              <w:adjustRightInd w:val="0"/>
              <w:snapToGrid w:val="0"/>
              <w:rPr>
                <w:rFonts w:ascii="仿宋_GB2312" w:eastAsia="仿宋_GB2312"/>
                <w:b/>
                <w:bCs/>
                <w:kern w:val="0"/>
                <w:sz w:val="24"/>
                <w:szCs w:val="24"/>
              </w:rPr>
            </w:pPr>
          </w:p>
        </w:tc>
        <w:tc>
          <w:tcPr>
            <w:tcW w:w="1028" w:type="dxa"/>
            <w:vAlign w:val="center"/>
          </w:tcPr>
          <w:p w14:paraId="0AF82799">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周三</w:t>
            </w:r>
          </w:p>
        </w:tc>
        <w:tc>
          <w:tcPr>
            <w:tcW w:w="1523" w:type="dxa"/>
            <w:vAlign w:val="center"/>
          </w:tcPr>
          <w:p w14:paraId="68011987">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周四</w:t>
            </w:r>
          </w:p>
        </w:tc>
        <w:tc>
          <w:tcPr>
            <w:tcW w:w="1037" w:type="dxa"/>
            <w:vAlign w:val="center"/>
          </w:tcPr>
          <w:p w14:paraId="5516B570">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周六</w:t>
            </w:r>
          </w:p>
        </w:tc>
        <w:tc>
          <w:tcPr>
            <w:tcW w:w="1529" w:type="dxa"/>
            <w:vAlign w:val="center"/>
          </w:tcPr>
          <w:p w14:paraId="4140DD5C">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下周一</w:t>
            </w:r>
          </w:p>
        </w:tc>
        <w:tc>
          <w:tcPr>
            <w:tcW w:w="1657" w:type="dxa"/>
            <w:vAlign w:val="center"/>
          </w:tcPr>
          <w:p w14:paraId="1F815E04">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下周二</w:t>
            </w:r>
          </w:p>
        </w:tc>
        <w:tc>
          <w:tcPr>
            <w:tcW w:w="1541" w:type="dxa"/>
            <w:vAlign w:val="center"/>
          </w:tcPr>
          <w:p w14:paraId="3F9EAC59">
            <w:pPr>
              <w:widowControl/>
              <w:adjustRightInd w:val="0"/>
              <w:snapToGrid w:val="0"/>
              <w:rPr>
                <w:rFonts w:ascii="仿宋_GB2312" w:eastAsia="仿宋_GB2312"/>
                <w:bCs/>
                <w:kern w:val="0"/>
                <w:sz w:val="24"/>
                <w:szCs w:val="24"/>
              </w:rPr>
            </w:pPr>
            <w:r>
              <w:rPr>
                <w:rFonts w:ascii="仿宋_GB2312" w:eastAsia="仿宋_GB2312"/>
                <w:bCs/>
                <w:kern w:val="0"/>
                <w:sz w:val="24"/>
                <w:szCs w:val="24"/>
              </w:rPr>
              <w:t>5</w:t>
            </w:r>
          </w:p>
        </w:tc>
      </w:tr>
      <w:tr w14:paraId="7A840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Merge w:val="continue"/>
            <w:vAlign w:val="center"/>
          </w:tcPr>
          <w:p w14:paraId="7640C498">
            <w:pPr>
              <w:widowControl/>
              <w:adjustRightInd w:val="0"/>
              <w:snapToGrid w:val="0"/>
              <w:rPr>
                <w:rFonts w:ascii="仿宋_GB2312" w:eastAsia="仿宋_GB2312"/>
                <w:b/>
                <w:bCs/>
                <w:kern w:val="0"/>
                <w:sz w:val="24"/>
                <w:szCs w:val="24"/>
              </w:rPr>
            </w:pPr>
          </w:p>
        </w:tc>
        <w:tc>
          <w:tcPr>
            <w:tcW w:w="1028" w:type="dxa"/>
            <w:vAlign w:val="center"/>
          </w:tcPr>
          <w:p w14:paraId="2652F11E">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周四</w:t>
            </w:r>
          </w:p>
        </w:tc>
        <w:tc>
          <w:tcPr>
            <w:tcW w:w="1523" w:type="dxa"/>
            <w:vAlign w:val="center"/>
          </w:tcPr>
          <w:p w14:paraId="2C989BDE">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周五</w:t>
            </w:r>
          </w:p>
        </w:tc>
        <w:tc>
          <w:tcPr>
            <w:tcW w:w="1037" w:type="dxa"/>
            <w:vAlign w:val="center"/>
          </w:tcPr>
          <w:p w14:paraId="298129FA">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周日</w:t>
            </w:r>
          </w:p>
        </w:tc>
        <w:tc>
          <w:tcPr>
            <w:tcW w:w="1529" w:type="dxa"/>
            <w:vAlign w:val="center"/>
          </w:tcPr>
          <w:p w14:paraId="6983B352">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下周一</w:t>
            </w:r>
          </w:p>
        </w:tc>
        <w:tc>
          <w:tcPr>
            <w:tcW w:w="1657" w:type="dxa"/>
            <w:vAlign w:val="center"/>
          </w:tcPr>
          <w:p w14:paraId="234A5334">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下周二</w:t>
            </w:r>
          </w:p>
        </w:tc>
        <w:tc>
          <w:tcPr>
            <w:tcW w:w="1541" w:type="dxa"/>
            <w:vAlign w:val="center"/>
          </w:tcPr>
          <w:p w14:paraId="4E3B72C5">
            <w:pPr>
              <w:widowControl/>
              <w:adjustRightInd w:val="0"/>
              <w:snapToGrid w:val="0"/>
              <w:rPr>
                <w:rFonts w:ascii="仿宋_GB2312" w:eastAsia="仿宋_GB2312"/>
                <w:bCs/>
                <w:kern w:val="0"/>
                <w:sz w:val="24"/>
                <w:szCs w:val="24"/>
              </w:rPr>
            </w:pPr>
            <w:r>
              <w:rPr>
                <w:rFonts w:ascii="仿宋_GB2312" w:eastAsia="仿宋_GB2312"/>
                <w:bCs/>
                <w:kern w:val="0"/>
                <w:sz w:val="24"/>
                <w:szCs w:val="24"/>
              </w:rPr>
              <w:t>4</w:t>
            </w:r>
          </w:p>
        </w:tc>
      </w:tr>
      <w:tr w14:paraId="4FA5E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Merge w:val="continue"/>
            <w:vAlign w:val="center"/>
          </w:tcPr>
          <w:p w14:paraId="7133DB93">
            <w:pPr>
              <w:widowControl/>
              <w:adjustRightInd w:val="0"/>
              <w:snapToGrid w:val="0"/>
              <w:rPr>
                <w:rFonts w:ascii="仿宋_GB2312" w:eastAsia="仿宋_GB2312"/>
                <w:b/>
                <w:bCs/>
                <w:kern w:val="0"/>
                <w:sz w:val="24"/>
                <w:szCs w:val="24"/>
              </w:rPr>
            </w:pPr>
          </w:p>
        </w:tc>
        <w:tc>
          <w:tcPr>
            <w:tcW w:w="1028" w:type="dxa"/>
            <w:vAlign w:val="center"/>
          </w:tcPr>
          <w:p w14:paraId="5DBB1D1E">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周五</w:t>
            </w:r>
          </w:p>
        </w:tc>
        <w:tc>
          <w:tcPr>
            <w:tcW w:w="1523" w:type="dxa"/>
            <w:vAlign w:val="center"/>
          </w:tcPr>
          <w:p w14:paraId="4A7E5937">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下周一</w:t>
            </w:r>
          </w:p>
        </w:tc>
        <w:tc>
          <w:tcPr>
            <w:tcW w:w="1037" w:type="dxa"/>
            <w:vAlign w:val="center"/>
          </w:tcPr>
          <w:p w14:paraId="407F7B08">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下周一</w:t>
            </w:r>
          </w:p>
        </w:tc>
        <w:tc>
          <w:tcPr>
            <w:tcW w:w="1529" w:type="dxa"/>
            <w:vAlign w:val="center"/>
          </w:tcPr>
          <w:p w14:paraId="16449249">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下周一</w:t>
            </w:r>
          </w:p>
        </w:tc>
        <w:tc>
          <w:tcPr>
            <w:tcW w:w="1657" w:type="dxa"/>
            <w:vAlign w:val="center"/>
          </w:tcPr>
          <w:p w14:paraId="5DA9902E">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下周二</w:t>
            </w:r>
          </w:p>
        </w:tc>
        <w:tc>
          <w:tcPr>
            <w:tcW w:w="1541" w:type="dxa"/>
            <w:vAlign w:val="center"/>
          </w:tcPr>
          <w:p w14:paraId="772D5DBB">
            <w:pPr>
              <w:widowControl/>
              <w:adjustRightInd w:val="0"/>
              <w:snapToGrid w:val="0"/>
              <w:rPr>
                <w:rFonts w:ascii="仿宋_GB2312" w:eastAsia="仿宋_GB2312"/>
                <w:bCs/>
                <w:kern w:val="0"/>
                <w:sz w:val="24"/>
                <w:szCs w:val="24"/>
              </w:rPr>
            </w:pPr>
            <w:r>
              <w:rPr>
                <w:rFonts w:ascii="仿宋_GB2312" w:eastAsia="仿宋_GB2312"/>
                <w:bCs/>
                <w:kern w:val="0"/>
                <w:sz w:val="24"/>
                <w:szCs w:val="24"/>
              </w:rPr>
              <w:t>1</w:t>
            </w:r>
          </w:p>
        </w:tc>
      </w:tr>
      <w:tr w14:paraId="62913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Merge w:val="restart"/>
            <w:vAlign w:val="center"/>
          </w:tcPr>
          <w:p w14:paraId="72E0974E">
            <w:pPr>
              <w:widowControl/>
              <w:adjustRightInd w:val="0"/>
              <w:snapToGrid w:val="0"/>
              <w:rPr>
                <w:rFonts w:ascii="仿宋_GB2312" w:eastAsia="仿宋_GB2312"/>
                <w:b/>
                <w:bCs/>
                <w:kern w:val="0"/>
                <w:sz w:val="24"/>
                <w:szCs w:val="24"/>
              </w:rPr>
            </w:pPr>
            <w:r>
              <w:rPr>
                <w:rFonts w:hint="eastAsia" w:ascii="仿宋_GB2312" w:eastAsia="仿宋_GB2312"/>
                <w:b/>
                <w:bCs/>
                <w:kern w:val="0"/>
                <w:sz w:val="24"/>
                <w:szCs w:val="24"/>
              </w:rPr>
              <w:t>4天回购</w:t>
            </w:r>
          </w:p>
        </w:tc>
        <w:tc>
          <w:tcPr>
            <w:tcW w:w="1028" w:type="dxa"/>
            <w:vAlign w:val="center"/>
          </w:tcPr>
          <w:p w14:paraId="02262F35">
            <w:pPr>
              <w:widowControl/>
              <w:adjustRightInd w:val="0"/>
              <w:snapToGrid w:val="0"/>
              <w:rPr>
                <w:rFonts w:ascii="仿宋_GB2312" w:eastAsia="仿宋_GB2312"/>
                <w:b/>
                <w:bCs/>
                <w:kern w:val="0"/>
                <w:sz w:val="24"/>
                <w:szCs w:val="24"/>
              </w:rPr>
            </w:pPr>
            <w:r>
              <w:rPr>
                <w:rFonts w:hint="eastAsia" w:ascii="仿宋_GB2312" w:eastAsia="仿宋_GB2312"/>
                <w:b/>
                <w:bCs/>
                <w:kern w:val="0"/>
                <w:sz w:val="24"/>
                <w:szCs w:val="24"/>
              </w:rPr>
              <w:t>成交日</w:t>
            </w:r>
          </w:p>
        </w:tc>
        <w:tc>
          <w:tcPr>
            <w:tcW w:w="1523" w:type="dxa"/>
            <w:vAlign w:val="center"/>
          </w:tcPr>
          <w:p w14:paraId="772B56C0">
            <w:pPr>
              <w:widowControl/>
              <w:adjustRightInd w:val="0"/>
              <w:snapToGrid w:val="0"/>
              <w:rPr>
                <w:rFonts w:ascii="仿宋_GB2312" w:eastAsia="仿宋_GB2312"/>
                <w:b/>
                <w:bCs/>
                <w:kern w:val="0"/>
                <w:sz w:val="24"/>
                <w:szCs w:val="24"/>
              </w:rPr>
            </w:pPr>
            <w:r>
              <w:rPr>
                <w:rFonts w:hint="eastAsia" w:ascii="仿宋_GB2312" w:eastAsia="仿宋_GB2312"/>
                <w:b/>
                <w:bCs/>
                <w:kern w:val="0"/>
                <w:sz w:val="24"/>
                <w:szCs w:val="24"/>
              </w:rPr>
              <w:t>首次交收日</w:t>
            </w:r>
          </w:p>
        </w:tc>
        <w:tc>
          <w:tcPr>
            <w:tcW w:w="1037" w:type="dxa"/>
            <w:vAlign w:val="center"/>
          </w:tcPr>
          <w:p w14:paraId="59A72057">
            <w:pPr>
              <w:widowControl/>
              <w:adjustRightInd w:val="0"/>
              <w:snapToGrid w:val="0"/>
              <w:rPr>
                <w:rFonts w:ascii="仿宋_GB2312" w:eastAsia="仿宋_GB2312"/>
                <w:b/>
                <w:bCs/>
                <w:kern w:val="0"/>
                <w:sz w:val="24"/>
                <w:szCs w:val="24"/>
              </w:rPr>
            </w:pPr>
            <w:r>
              <w:rPr>
                <w:rFonts w:hint="eastAsia" w:ascii="仿宋_GB2312" w:eastAsia="仿宋_GB2312"/>
                <w:b/>
                <w:bCs/>
                <w:kern w:val="0"/>
                <w:sz w:val="24"/>
                <w:szCs w:val="24"/>
              </w:rPr>
              <w:t>到期日</w:t>
            </w:r>
          </w:p>
        </w:tc>
        <w:tc>
          <w:tcPr>
            <w:tcW w:w="1529" w:type="dxa"/>
            <w:vAlign w:val="center"/>
          </w:tcPr>
          <w:p w14:paraId="4AC12CE4">
            <w:pPr>
              <w:widowControl/>
              <w:adjustRightInd w:val="0"/>
              <w:snapToGrid w:val="0"/>
              <w:rPr>
                <w:rFonts w:ascii="仿宋_GB2312" w:eastAsia="仿宋_GB2312"/>
                <w:b/>
                <w:bCs/>
                <w:kern w:val="0"/>
                <w:sz w:val="24"/>
                <w:szCs w:val="24"/>
              </w:rPr>
            </w:pPr>
            <w:r>
              <w:rPr>
                <w:rFonts w:hint="eastAsia" w:ascii="仿宋_GB2312" w:eastAsia="仿宋_GB2312"/>
                <w:b/>
                <w:bCs/>
                <w:kern w:val="0"/>
                <w:sz w:val="24"/>
                <w:szCs w:val="24"/>
              </w:rPr>
              <w:t>到期清算日</w:t>
            </w:r>
          </w:p>
        </w:tc>
        <w:tc>
          <w:tcPr>
            <w:tcW w:w="1657" w:type="dxa"/>
            <w:vAlign w:val="center"/>
          </w:tcPr>
          <w:p w14:paraId="62D8BC90">
            <w:pPr>
              <w:widowControl/>
              <w:adjustRightInd w:val="0"/>
              <w:snapToGrid w:val="0"/>
              <w:rPr>
                <w:rFonts w:ascii="仿宋_GB2312" w:eastAsia="仿宋_GB2312"/>
                <w:b/>
                <w:bCs/>
                <w:kern w:val="0"/>
                <w:sz w:val="24"/>
                <w:szCs w:val="24"/>
              </w:rPr>
            </w:pPr>
            <w:r>
              <w:rPr>
                <w:rFonts w:hint="eastAsia" w:ascii="仿宋_GB2312" w:eastAsia="仿宋_GB2312"/>
                <w:b/>
                <w:bCs/>
                <w:kern w:val="0"/>
                <w:sz w:val="24"/>
                <w:szCs w:val="24"/>
              </w:rPr>
              <w:t>到期交收日</w:t>
            </w:r>
          </w:p>
        </w:tc>
        <w:tc>
          <w:tcPr>
            <w:tcW w:w="1541" w:type="dxa"/>
            <w:vAlign w:val="center"/>
          </w:tcPr>
          <w:p w14:paraId="7DB1D931">
            <w:pPr>
              <w:widowControl/>
              <w:adjustRightInd w:val="0"/>
              <w:snapToGrid w:val="0"/>
              <w:rPr>
                <w:rFonts w:ascii="仿宋_GB2312" w:eastAsia="仿宋_GB2312"/>
                <w:b/>
                <w:bCs/>
                <w:kern w:val="0"/>
                <w:sz w:val="24"/>
                <w:szCs w:val="24"/>
              </w:rPr>
            </w:pPr>
            <w:r>
              <w:rPr>
                <w:rFonts w:hint="eastAsia" w:ascii="仿宋_GB2312" w:eastAsia="仿宋_GB2312"/>
                <w:b/>
                <w:bCs/>
                <w:kern w:val="0"/>
                <w:sz w:val="24"/>
                <w:szCs w:val="24"/>
              </w:rPr>
              <w:t>资金实际占款天数（天）</w:t>
            </w:r>
          </w:p>
        </w:tc>
      </w:tr>
      <w:tr w14:paraId="66429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78" w:type="dxa"/>
            <w:vMerge w:val="continue"/>
            <w:vAlign w:val="center"/>
          </w:tcPr>
          <w:p w14:paraId="1F4A6F5C">
            <w:pPr>
              <w:widowControl/>
              <w:adjustRightInd w:val="0"/>
              <w:snapToGrid w:val="0"/>
              <w:rPr>
                <w:rFonts w:ascii="仿宋_GB2312" w:eastAsia="仿宋_GB2312"/>
                <w:b/>
                <w:bCs/>
                <w:kern w:val="0"/>
                <w:sz w:val="24"/>
                <w:szCs w:val="24"/>
              </w:rPr>
            </w:pPr>
          </w:p>
        </w:tc>
        <w:tc>
          <w:tcPr>
            <w:tcW w:w="1028" w:type="dxa"/>
            <w:vAlign w:val="center"/>
          </w:tcPr>
          <w:p w14:paraId="43572F64">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周一</w:t>
            </w:r>
          </w:p>
        </w:tc>
        <w:tc>
          <w:tcPr>
            <w:tcW w:w="1523" w:type="dxa"/>
            <w:vAlign w:val="center"/>
          </w:tcPr>
          <w:p w14:paraId="4C6DA5C5">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周二</w:t>
            </w:r>
          </w:p>
        </w:tc>
        <w:tc>
          <w:tcPr>
            <w:tcW w:w="1037" w:type="dxa"/>
            <w:vAlign w:val="center"/>
          </w:tcPr>
          <w:p w14:paraId="4D5D66F1">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周五</w:t>
            </w:r>
          </w:p>
        </w:tc>
        <w:tc>
          <w:tcPr>
            <w:tcW w:w="1529" w:type="dxa"/>
            <w:vAlign w:val="center"/>
          </w:tcPr>
          <w:p w14:paraId="433B889A">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周五</w:t>
            </w:r>
          </w:p>
        </w:tc>
        <w:tc>
          <w:tcPr>
            <w:tcW w:w="1657" w:type="dxa"/>
            <w:vAlign w:val="center"/>
          </w:tcPr>
          <w:p w14:paraId="146C43CC">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下周一</w:t>
            </w:r>
          </w:p>
        </w:tc>
        <w:tc>
          <w:tcPr>
            <w:tcW w:w="1541" w:type="dxa"/>
            <w:vAlign w:val="center"/>
          </w:tcPr>
          <w:p w14:paraId="1C3B61E3">
            <w:pPr>
              <w:widowControl/>
              <w:adjustRightInd w:val="0"/>
              <w:snapToGrid w:val="0"/>
              <w:rPr>
                <w:rFonts w:ascii="仿宋_GB2312" w:eastAsia="仿宋_GB2312"/>
                <w:bCs/>
                <w:kern w:val="0"/>
                <w:sz w:val="24"/>
                <w:szCs w:val="24"/>
              </w:rPr>
            </w:pPr>
            <w:r>
              <w:rPr>
                <w:rFonts w:ascii="仿宋_GB2312" w:eastAsia="仿宋_GB2312"/>
                <w:bCs/>
                <w:kern w:val="0"/>
                <w:sz w:val="24"/>
                <w:szCs w:val="24"/>
              </w:rPr>
              <w:t>6</w:t>
            </w:r>
          </w:p>
        </w:tc>
      </w:tr>
      <w:tr w14:paraId="2E4EF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Merge w:val="continue"/>
            <w:vAlign w:val="center"/>
          </w:tcPr>
          <w:p w14:paraId="39238910">
            <w:pPr>
              <w:widowControl/>
              <w:adjustRightInd w:val="0"/>
              <w:snapToGrid w:val="0"/>
              <w:rPr>
                <w:rFonts w:ascii="仿宋_GB2312" w:eastAsia="仿宋_GB2312"/>
                <w:b/>
                <w:bCs/>
                <w:kern w:val="0"/>
                <w:sz w:val="24"/>
                <w:szCs w:val="24"/>
              </w:rPr>
            </w:pPr>
          </w:p>
        </w:tc>
        <w:tc>
          <w:tcPr>
            <w:tcW w:w="1028" w:type="dxa"/>
            <w:vAlign w:val="center"/>
          </w:tcPr>
          <w:p w14:paraId="3DF45D88">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周二</w:t>
            </w:r>
          </w:p>
        </w:tc>
        <w:tc>
          <w:tcPr>
            <w:tcW w:w="1523" w:type="dxa"/>
            <w:vAlign w:val="center"/>
          </w:tcPr>
          <w:p w14:paraId="1806A9C1">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周三</w:t>
            </w:r>
          </w:p>
        </w:tc>
        <w:tc>
          <w:tcPr>
            <w:tcW w:w="1037" w:type="dxa"/>
            <w:vAlign w:val="center"/>
          </w:tcPr>
          <w:p w14:paraId="42B4CE78">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周六</w:t>
            </w:r>
          </w:p>
        </w:tc>
        <w:tc>
          <w:tcPr>
            <w:tcW w:w="1529" w:type="dxa"/>
            <w:vAlign w:val="center"/>
          </w:tcPr>
          <w:p w14:paraId="0F861587">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下周一</w:t>
            </w:r>
          </w:p>
        </w:tc>
        <w:tc>
          <w:tcPr>
            <w:tcW w:w="1657" w:type="dxa"/>
            <w:vAlign w:val="center"/>
          </w:tcPr>
          <w:p w14:paraId="2FDEC8DB">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下周二</w:t>
            </w:r>
          </w:p>
        </w:tc>
        <w:tc>
          <w:tcPr>
            <w:tcW w:w="1541" w:type="dxa"/>
            <w:vAlign w:val="center"/>
          </w:tcPr>
          <w:p w14:paraId="7D07B598">
            <w:pPr>
              <w:widowControl/>
              <w:adjustRightInd w:val="0"/>
              <w:snapToGrid w:val="0"/>
              <w:rPr>
                <w:rFonts w:ascii="仿宋_GB2312" w:eastAsia="仿宋_GB2312"/>
                <w:bCs/>
                <w:kern w:val="0"/>
                <w:sz w:val="24"/>
                <w:szCs w:val="24"/>
              </w:rPr>
            </w:pPr>
            <w:r>
              <w:rPr>
                <w:rFonts w:ascii="仿宋_GB2312" w:eastAsia="仿宋_GB2312"/>
                <w:bCs/>
                <w:kern w:val="0"/>
                <w:sz w:val="24"/>
                <w:szCs w:val="24"/>
              </w:rPr>
              <w:t>6</w:t>
            </w:r>
          </w:p>
        </w:tc>
      </w:tr>
      <w:tr w14:paraId="42D38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Merge w:val="continue"/>
            <w:vAlign w:val="center"/>
          </w:tcPr>
          <w:p w14:paraId="6CC3C522">
            <w:pPr>
              <w:widowControl/>
              <w:adjustRightInd w:val="0"/>
              <w:snapToGrid w:val="0"/>
              <w:rPr>
                <w:rFonts w:ascii="仿宋_GB2312" w:eastAsia="仿宋_GB2312"/>
                <w:b/>
                <w:bCs/>
                <w:kern w:val="0"/>
                <w:sz w:val="24"/>
                <w:szCs w:val="24"/>
              </w:rPr>
            </w:pPr>
          </w:p>
        </w:tc>
        <w:tc>
          <w:tcPr>
            <w:tcW w:w="1028" w:type="dxa"/>
            <w:vAlign w:val="center"/>
          </w:tcPr>
          <w:p w14:paraId="20BD5B31">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周三</w:t>
            </w:r>
          </w:p>
        </w:tc>
        <w:tc>
          <w:tcPr>
            <w:tcW w:w="1523" w:type="dxa"/>
            <w:vAlign w:val="center"/>
          </w:tcPr>
          <w:p w14:paraId="4AE6EC52">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周四</w:t>
            </w:r>
          </w:p>
        </w:tc>
        <w:tc>
          <w:tcPr>
            <w:tcW w:w="1037" w:type="dxa"/>
            <w:vAlign w:val="center"/>
          </w:tcPr>
          <w:p w14:paraId="566BE7BB">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周日</w:t>
            </w:r>
          </w:p>
        </w:tc>
        <w:tc>
          <w:tcPr>
            <w:tcW w:w="1529" w:type="dxa"/>
            <w:vAlign w:val="center"/>
          </w:tcPr>
          <w:p w14:paraId="47BA2D6C">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下周一</w:t>
            </w:r>
          </w:p>
        </w:tc>
        <w:tc>
          <w:tcPr>
            <w:tcW w:w="1657" w:type="dxa"/>
            <w:vAlign w:val="center"/>
          </w:tcPr>
          <w:p w14:paraId="6B9B8DD7">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下周二</w:t>
            </w:r>
          </w:p>
        </w:tc>
        <w:tc>
          <w:tcPr>
            <w:tcW w:w="1541" w:type="dxa"/>
            <w:vAlign w:val="center"/>
          </w:tcPr>
          <w:p w14:paraId="1761A2CF">
            <w:pPr>
              <w:widowControl/>
              <w:adjustRightInd w:val="0"/>
              <w:snapToGrid w:val="0"/>
              <w:rPr>
                <w:rFonts w:ascii="仿宋_GB2312" w:eastAsia="仿宋_GB2312"/>
                <w:bCs/>
                <w:kern w:val="0"/>
                <w:sz w:val="24"/>
                <w:szCs w:val="24"/>
              </w:rPr>
            </w:pPr>
            <w:r>
              <w:rPr>
                <w:rFonts w:ascii="仿宋_GB2312" w:eastAsia="仿宋_GB2312"/>
                <w:bCs/>
                <w:kern w:val="0"/>
                <w:sz w:val="24"/>
                <w:szCs w:val="24"/>
              </w:rPr>
              <w:t>5</w:t>
            </w:r>
          </w:p>
        </w:tc>
      </w:tr>
      <w:tr w14:paraId="01BE5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Merge w:val="continue"/>
            <w:vAlign w:val="center"/>
          </w:tcPr>
          <w:p w14:paraId="7B977304">
            <w:pPr>
              <w:widowControl/>
              <w:adjustRightInd w:val="0"/>
              <w:snapToGrid w:val="0"/>
              <w:rPr>
                <w:rFonts w:ascii="仿宋_GB2312" w:eastAsia="仿宋_GB2312"/>
                <w:b/>
                <w:bCs/>
                <w:kern w:val="0"/>
                <w:sz w:val="24"/>
                <w:szCs w:val="24"/>
              </w:rPr>
            </w:pPr>
          </w:p>
        </w:tc>
        <w:tc>
          <w:tcPr>
            <w:tcW w:w="1028" w:type="dxa"/>
            <w:vAlign w:val="center"/>
          </w:tcPr>
          <w:p w14:paraId="7FBC54CF">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周四</w:t>
            </w:r>
          </w:p>
        </w:tc>
        <w:tc>
          <w:tcPr>
            <w:tcW w:w="1523" w:type="dxa"/>
            <w:vAlign w:val="center"/>
          </w:tcPr>
          <w:p w14:paraId="13E7F0B3">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周五</w:t>
            </w:r>
          </w:p>
        </w:tc>
        <w:tc>
          <w:tcPr>
            <w:tcW w:w="1037" w:type="dxa"/>
            <w:vAlign w:val="center"/>
          </w:tcPr>
          <w:p w14:paraId="1EB0354A">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下周一</w:t>
            </w:r>
          </w:p>
        </w:tc>
        <w:tc>
          <w:tcPr>
            <w:tcW w:w="1529" w:type="dxa"/>
            <w:vAlign w:val="center"/>
          </w:tcPr>
          <w:p w14:paraId="3091196F">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下周一</w:t>
            </w:r>
          </w:p>
        </w:tc>
        <w:tc>
          <w:tcPr>
            <w:tcW w:w="1657" w:type="dxa"/>
            <w:vAlign w:val="center"/>
          </w:tcPr>
          <w:p w14:paraId="75AACBD7">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下周二</w:t>
            </w:r>
          </w:p>
        </w:tc>
        <w:tc>
          <w:tcPr>
            <w:tcW w:w="1541" w:type="dxa"/>
            <w:vAlign w:val="center"/>
          </w:tcPr>
          <w:p w14:paraId="0D4BA55F">
            <w:pPr>
              <w:widowControl/>
              <w:adjustRightInd w:val="0"/>
              <w:snapToGrid w:val="0"/>
              <w:rPr>
                <w:rFonts w:ascii="仿宋_GB2312" w:eastAsia="仿宋_GB2312"/>
                <w:bCs/>
                <w:kern w:val="0"/>
                <w:sz w:val="24"/>
                <w:szCs w:val="24"/>
              </w:rPr>
            </w:pPr>
            <w:r>
              <w:rPr>
                <w:rFonts w:ascii="仿宋_GB2312" w:eastAsia="仿宋_GB2312"/>
                <w:bCs/>
                <w:kern w:val="0"/>
                <w:sz w:val="24"/>
                <w:szCs w:val="24"/>
              </w:rPr>
              <w:t>4</w:t>
            </w:r>
          </w:p>
        </w:tc>
      </w:tr>
      <w:tr w14:paraId="0B9EC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Merge w:val="continue"/>
            <w:vAlign w:val="center"/>
          </w:tcPr>
          <w:p w14:paraId="44CCC766">
            <w:pPr>
              <w:widowControl/>
              <w:adjustRightInd w:val="0"/>
              <w:snapToGrid w:val="0"/>
              <w:rPr>
                <w:rFonts w:ascii="仿宋_GB2312" w:eastAsia="仿宋_GB2312"/>
                <w:b/>
                <w:bCs/>
                <w:kern w:val="0"/>
                <w:sz w:val="24"/>
                <w:szCs w:val="24"/>
              </w:rPr>
            </w:pPr>
          </w:p>
        </w:tc>
        <w:tc>
          <w:tcPr>
            <w:tcW w:w="1028" w:type="dxa"/>
            <w:vAlign w:val="center"/>
          </w:tcPr>
          <w:p w14:paraId="07DAC462">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周五</w:t>
            </w:r>
          </w:p>
        </w:tc>
        <w:tc>
          <w:tcPr>
            <w:tcW w:w="1523" w:type="dxa"/>
            <w:vAlign w:val="center"/>
          </w:tcPr>
          <w:p w14:paraId="549C1BC9">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下周一</w:t>
            </w:r>
          </w:p>
        </w:tc>
        <w:tc>
          <w:tcPr>
            <w:tcW w:w="1037" w:type="dxa"/>
            <w:vAlign w:val="center"/>
          </w:tcPr>
          <w:p w14:paraId="67BAF15A">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下周二</w:t>
            </w:r>
          </w:p>
        </w:tc>
        <w:tc>
          <w:tcPr>
            <w:tcW w:w="1529" w:type="dxa"/>
            <w:vAlign w:val="center"/>
          </w:tcPr>
          <w:p w14:paraId="78DA76CC">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下周二</w:t>
            </w:r>
          </w:p>
        </w:tc>
        <w:tc>
          <w:tcPr>
            <w:tcW w:w="1657" w:type="dxa"/>
            <w:vAlign w:val="center"/>
          </w:tcPr>
          <w:p w14:paraId="16CADF22">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下周三</w:t>
            </w:r>
          </w:p>
        </w:tc>
        <w:tc>
          <w:tcPr>
            <w:tcW w:w="1541" w:type="dxa"/>
            <w:vAlign w:val="center"/>
          </w:tcPr>
          <w:p w14:paraId="4E6E3345">
            <w:pPr>
              <w:widowControl/>
              <w:adjustRightInd w:val="0"/>
              <w:snapToGrid w:val="0"/>
              <w:rPr>
                <w:rFonts w:ascii="仿宋_GB2312" w:eastAsia="仿宋_GB2312"/>
                <w:bCs/>
                <w:kern w:val="0"/>
                <w:sz w:val="24"/>
                <w:szCs w:val="24"/>
              </w:rPr>
            </w:pPr>
            <w:r>
              <w:rPr>
                <w:rFonts w:ascii="仿宋_GB2312" w:eastAsia="仿宋_GB2312"/>
                <w:bCs/>
                <w:kern w:val="0"/>
                <w:sz w:val="24"/>
                <w:szCs w:val="24"/>
              </w:rPr>
              <w:t>2</w:t>
            </w:r>
          </w:p>
        </w:tc>
      </w:tr>
      <w:tr w14:paraId="180D3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Merge w:val="restart"/>
            <w:vAlign w:val="center"/>
          </w:tcPr>
          <w:p w14:paraId="38959221">
            <w:pPr>
              <w:widowControl/>
              <w:adjustRightInd w:val="0"/>
              <w:snapToGrid w:val="0"/>
              <w:rPr>
                <w:rFonts w:ascii="仿宋_GB2312" w:eastAsia="仿宋_GB2312"/>
                <w:b/>
                <w:bCs/>
                <w:kern w:val="0"/>
                <w:sz w:val="24"/>
                <w:szCs w:val="24"/>
              </w:rPr>
            </w:pPr>
            <w:r>
              <w:rPr>
                <w:rFonts w:hint="eastAsia" w:ascii="仿宋_GB2312" w:eastAsia="仿宋_GB2312"/>
                <w:b/>
                <w:bCs/>
                <w:kern w:val="0"/>
                <w:sz w:val="24"/>
                <w:szCs w:val="24"/>
              </w:rPr>
              <w:t>7天回购</w:t>
            </w:r>
          </w:p>
        </w:tc>
        <w:tc>
          <w:tcPr>
            <w:tcW w:w="1028" w:type="dxa"/>
            <w:vAlign w:val="center"/>
          </w:tcPr>
          <w:p w14:paraId="55FBA6EB">
            <w:pPr>
              <w:widowControl/>
              <w:adjustRightInd w:val="0"/>
              <w:snapToGrid w:val="0"/>
              <w:rPr>
                <w:rFonts w:ascii="仿宋_GB2312" w:eastAsia="仿宋_GB2312"/>
                <w:b/>
                <w:bCs/>
                <w:kern w:val="0"/>
                <w:sz w:val="24"/>
                <w:szCs w:val="24"/>
              </w:rPr>
            </w:pPr>
            <w:r>
              <w:rPr>
                <w:rFonts w:hint="eastAsia" w:ascii="仿宋_GB2312" w:eastAsia="仿宋_GB2312"/>
                <w:b/>
                <w:bCs/>
                <w:kern w:val="0"/>
                <w:sz w:val="24"/>
                <w:szCs w:val="24"/>
              </w:rPr>
              <w:t>成交日</w:t>
            </w:r>
          </w:p>
        </w:tc>
        <w:tc>
          <w:tcPr>
            <w:tcW w:w="1523" w:type="dxa"/>
            <w:vAlign w:val="center"/>
          </w:tcPr>
          <w:p w14:paraId="1506A92C">
            <w:pPr>
              <w:widowControl/>
              <w:adjustRightInd w:val="0"/>
              <w:snapToGrid w:val="0"/>
              <w:rPr>
                <w:rFonts w:ascii="仿宋_GB2312" w:eastAsia="仿宋_GB2312"/>
                <w:b/>
                <w:bCs/>
                <w:kern w:val="0"/>
                <w:sz w:val="24"/>
                <w:szCs w:val="24"/>
              </w:rPr>
            </w:pPr>
            <w:r>
              <w:rPr>
                <w:rFonts w:hint="eastAsia" w:ascii="仿宋_GB2312" w:eastAsia="仿宋_GB2312"/>
                <w:b/>
                <w:bCs/>
                <w:kern w:val="0"/>
                <w:sz w:val="24"/>
                <w:szCs w:val="24"/>
              </w:rPr>
              <w:t>首次交收日</w:t>
            </w:r>
          </w:p>
        </w:tc>
        <w:tc>
          <w:tcPr>
            <w:tcW w:w="1037" w:type="dxa"/>
            <w:vAlign w:val="center"/>
          </w:tcPr>
          <w:p w14:paraId="3DC2780E">
            <w:pPr>
              <w:widowControl/>
              <w:adjustRightInd w:val="0"/>
              <w:snapToGrid w:val="0"/>
              <w:rPr>
                <w:rFonts w:ascii="仿宋_GB2312" w:eastAsia="仿宋_GB2312"/>
                <w:b/>
                <w:bCs/>
                <w:kern w:val="0"/>
                <w:sz w:val="24"/>
                <w:szCs w:val="24"/>
              </w:rPr>
            </w:pPr>
            <w:r>
              <w:rPr>
                <w:rFonts w:hint="eastAsia" w:ascii="仿宋_GB2312" w:eastAsia="仿宋_GB2312"/>
                <w:b/>
                <w:bCs/>
                <w:kern w:val="0"/>
                <w:sz w:val="24"/>
                <w:szCs w:val="24"/>
              </w:rPr>
              <w:t>到期日</w:t>
            </w:r>
          </w:p>
        </w:tc>
        <w:tc>
          <w:tcPr>
            <w:tcW w:w="1529" w:type="dxa"/>
            <w:vAlign w:val="center"/>
          </w:tcPr>
          <w:p w14:paraId="5D6A4C59">
            <w:pPr>
              <w:widowControl/>
              <w:adjustRightInd w:val="0"/>
              <w:snapToGrid w:val="0"/>
              <w:rPr>
                <w:rFonts w:ascii="仿宋_GB2312" w:eastAsia="仿宋_GB2312"/>
                <w:b/>
                <w:bCs/>
                <w:kern w:val="0"/>
                <w:sz w:val="24"/>
                <w:szCs w:val="24"/>
              </w:rPr>
            </w:pPr>
            <w:r>
              <w:rPr>
                <w:rFonts w:hint="eastAsia" w:ascii="仿宋_GB2312" w:eastAsia="仿宋_GB2312"/>
                <w:b/>
                <w:bCs/>
                <w:kern w:val="0"/>
                <w:sz w:val="24"/>
                <w:szCs w:val="24"/>
              </w:rPr>
              <w:t>到期清算日</w:t>
            </w:r>
          </w:p>
        </w:tc>
        <w:tc>
          <w:tcPr>
            <w:tcW w:w="1657" w:type="dxa"/>
            <w:vAlign w:val="center"/>
          </w:tcPr>
          <w:p w14:paraId="2BFF2E81">
            <w:pPr>
              <w:widowControl/>
              <w:adjustRightInd w:val="0"/>
              <w:snapToGrid w:val="0"/>
              <w:rPr>
                <w:rFonts w:ascii="仿宋_GB2312" w:eastAsia="仿宋_GB2312"/>
                <w:b/>
                <w:bCs/>
                <w:kern w:val="0"/>
                <w:sz w:val="24"/>
                <w:szCs w:val="24"/>
              </w:rPr>
            </w:pPr>
            <w:r>
              <w:rPr>
                <w:rFonts w:hint="eastAsia" w:ascii="仿宋_GB2312" w:eastAsia="仿宋_GB2312"/>
                <w:b/>
                <w:bCs/>
                <w:kern w:val="0"/>
                <w:sz w:val="24"/>
                <w:szCs w:val="24"/>
              </w:rPr>
              <w:t>到期交收日</w:t>
            </w:r>
          </w:p>
        </w:tc>
        <w:tc>
          <w:tcPr>
            <w:tcW w:w="1541" w:type="dxa"/>
            <w:vAlign w:val="center"/>
          </w:tcPr>
          <w:p w14:paraId="08BDC858">
            <w:pPr>
              <w:widowControl/>
              <w:adjustRightInd w:val="0"/>
              <w:snapToGrid w:val="0"/>
              <w:rPr>
                <w:rFonts w:ascii="仿宋_GB2312" w:eastAsia="仿宋_GB2312"/>
                <w:b/>
                <w:bCs/>
                <w:kern w:val="0"/>
                <w:sz w:val="24"/>
                <w:szCs w:val="24"/>
              </w:rPr>
            </w:pPr>
            <w:r>
              <w:rPr>
                <w:rFonts w:hint="eastAsia" w:ascii="仿宋_GB2312" w:eastAsia="仿宋_GB2312"/>
                <w:b/>
                <w:bCs/>
                <w:kern w:val="0"/>
                <w:sz w:val="24"/>
                <w:szCs w:val="24"/>
              </w:rPr>
              <w:t>资金实际占款天数（天）</w:t>
            </w:r>
          </w:p>
        </w:tc>
      </w:tr>
      <w:tr w14:paraId="5ED37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Merge w:val="continue"/>
            <w:vAlign w:val="center"/>
          </w:tcPr>
          <w:p w14:paraId="56009300">
            <w:pPr>
              <w:widowControl/>
              <w:adjustRightInd w:val="0"/>
              <w:snapToGrid w:val="0"/>
              <w:ind w:firstLine="400"/>
              <w:jc w:val="center"/>
              <w:rPr>
                <w:rFonts w:ascii="仿宋_GB2312" w:eastAsia="仿宋_GB2312"/>
                <w:kern w:val="0"/>
                <w:sz w:val="24"/>
                <w:szCs w:val="24"/>
              </w:rPr>
            </w:pPr>
          </w:p>
        </w:tc>
        <w:tc>
          <w:tcPr>
            <w:tcW w:w="1028" w:type="dxa"/>
            <w:vAlign w:val="center"/>
          </w:tcPr>
          <w:p w14:paraId="5BC4EAD2">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周一</w:t>
            </w:r>
          </w:p>
        </w:tc>
        <w:tc>
          <w:tcPr>
            <w:tcW w:w="1523" w:type="dxa"/>
            <w:vAlign w:val="center"/>
          </w:tcPr>
          <w:p w14:paraId="21AC5F9F">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周二</w:t>
            </w:r>
          </w:p>
        </w:tc>
        <w:tc>
          <w:tcPr>
            <w:tcW w:w="1037" w:type="dxa"/>
            <w:vAlign w:val="center"/>
          </w:tcPr>
          <w:p w14:paraId="7DD9A0C6">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下周一</w:t>
            </w:r>
          </w:p>
        </w:tc>
        <w:tc>
          <w:tcPr>
            <w:tcW w:w="1529" w:type="dxa"/>
            <w:vAlign w:val="center"/>
          </w:tcPr>
          <w:p w14:paraId="4B78C037">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下周一</w:t>
            </w:r>
          </w:p>
        </w:tc>
        <w:tc>
          <w:tcPr>
            <w:tcW w:w="1657" w:type="dxa"/>
            <w:vAlign w:val="center"/>
          </w:tcPr>
          <w:p w14:paraId="702FE0D3">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下周二</w:t>
            </w:r>
          </w:p>
        </w:tc>
        <w:tc>
          <w:tcPr>
            <w:tcW w:w="1541" w:type="dxa"/>
            <w:vAlign w:val="center"/>
          </w:tcPr>
          <w:p w14:paraId="133BC1CE">
            <w:pPr>
              <w:widowControl/>
              <w:adjustRightInd w:val="0"/>
              <w:snapToGrid w:val="0"/>
              <w:rPr>
                <w:rFonts w:ascii="仿宋_GB2312" w:eastAsia="仿宋_GB2312"/>
                <w:bCs/>
                <w:kern w:val="0"/>
                <w:sz w:val="24"/>
                <w:szCs w:val="24"/>
              </w:rPr>
            </w:pPr>
            <w:r>
              <w:rPr>
                <w:rFonts w:ascii="仿宋_GB2312" w:eastAsia="仿宋_GB2312"/>
                <w:bCs/>
                <w:kern w:val="0"/>
                <w:sz w:val="24"/>
                <w:szCs w:val="24"/>
              </w:rPr>
              <w:t>7</w:t>
            </w:r>
          </w:p>
        </w:tc>
      </w:tr>
      <w:tr w14:paraId="4149B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Merge w:val="continue"/>
            <w:vAlign w:val="center"/>
          </w:tcPr>
          <w:p w14:paraId="2959C0C0">
            <w:pPr>
              <w:widowControl/>
              <w:adjustRightInd w:val="0"/>
              <w:snapToGrid w:val="0"/>
              <w:ind w:firstLine="400"/>
              <w:jc w:val="center"/>
              <w:rPr>
                <w:rFonts w:ascii="仿宋_GB2312" w:eastAsia="仿宋_GB2312"/>
                <w:kern w:val="0"/>
                <w:sz w:val="24"/>
                <w:szCs w:val="24"/>
              </w:rPr>
            </w:pPr>
          </w:p>
        </w:tc>
        <w:tc>
          <w:tcPr>
            <w:tcW w:w="1028" w:type="dxa"/>
            <w:vAlign w:val="center"/>
          </w:tcPr>
          <w:p w14:paraId="36665B6E">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周二</w:t>
            </w:r>
          </w:p>
        </w:tc>
        <w:tc>
          <w:tcPr>
            <w:tcW w:w="1523" w:type="dxa"/>
            <w:vAlign w:val="center"/>
          </w:tcPr>
          <w:p w14:paraId="7160968A">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周三</w:t>
            </w:r>
          </w:p>
        </w:tc>
        <w:tc>
          <w:tcPr>
            <w:tcW w:w="1037" w:type="dxa"/>
            <w:vAlign w:val="center"/>
          </w:tcPr>
          <w:p w14:paraId="1D11A90B">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下周二</w:t>
            </w:r>
          </w:p>
        </w:tc>
        <w:tc>
          <w:tcPr>
            <w:tcW w:w="1529" w:type="dxa"/>
            <w:vAlign w:val="center"/>
          </w:tcPr>
          <w:p w14:paraId="212441B9">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下周二</w:t>
            </w:r>
          </w:p>
        </w:tc>
        <w:tc>
          <w:tcPr>
            <w:tcW w:w="1657" w:type="dxa"/>
            <w:vAlign w:val="center"/>
          </w:tcPr>
          <w:p w14:paraId="2F79AB1D">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下周三</w:t>
            </w:r>
          </w:p>
        </w:tc>
        <w:tc>
          <w:tcPr>
            <w:tcW w:w="1541" w:type="dxa"/>
            <w:vAlign w:val="center"/>
          </w:tcPr>
          <w:p w14:paraId="12614CC3">
            <w:pPr>
              <w:widowControl/>
              <w:adjustRightInd w:val="0"/>
              <w:snapToGrid w:val="0"/>
              <w:rPr>
                <w:rFonts w:ascii="仿宋_GB2312" w:eastAsia="仿宋_GB2312"/>
                <w:bCs/>
                <w:kern w:val="0"/>
                <w:sz w:val="24"/>
                <w:szCs w:val="24"/>
              </w:rPr>
            </w:pPr>
            <w:r>
              <w:rPr>
                <w:rFonts w:ascii="仿宋_GB2312" w:eastAsia="仿宋_GB2312"/>
                <w:bCs/>
                <w:kern w:val="0"/>
                <w:sz w:val="24"/>
                <w:szCs w:val="24"/>
              </w:rPr>
              <w:t>7</w:t>
            </w:r>
          </w:p>
        </w:tc>
      </w:tr>
      <w:tr w14:paraId="27B1D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Merge w:val="continue"/>
            <w:vAlign w:val="center"/>
          </w:tcPr>
          <w:p w14:paraId="5FF44117">
            <w:pPr>
              <w:widowControl/>
              <w:adjustRightInd w:val="0"/>
              <w:snapToGrid w:val="0"/>
              <w:ind w:firstLine="400"/>
              <w:jc w:val="center"/>
              <w:rPr>
                <w:rFonts w:ascii="仿宋_GB2312" w:eastAsia="仿宋_GB2312"/>
                <w:kern w:val="0"/>
                <w:sz w:val="24"/>
                <w:szCs w:val="24"/>
              </w:rPr>
            </w:pPr>
          </w:p>
        </w:tc>
        <w:tc>
          <w:tcPr>
            <w:tcW w:w="1028" w:type="dxa"/>
            <w:vAlign w:val="center"/>
          </w:tcPr>
          <w:p w14:paraId="5D9AB563">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周三</w:t>
            </w:r>
          </w:p>
        </w:tc>
        <w:tc>
          <w:tcPr>
            <w:tcW w:w="1523" w:type="dxa"/>
            <w:vAlign w:val="center"/>
          </w:tcPr>
          <w:p w14:paraId="2D9384DC">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周四</w:t>
            </w:r>
          </w:p>
        </w:tc>
        <w:tc>
          <w:tcPr>
            <w:tcW w:w="1037" w:type="dxa"/>
            <w:vAlign w:val="center"/>
          </w:tcPr>
          <w:p w14:paraId="0AADF48D">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下周三</w:t>
            </w:r>
          </w:p>
        </w:tc>
        <w:tc>
          <w:tcPr>
            <w:tcW w:w="1529" w:type="dxa"/>
            <w:vAlign w:val="center"/>
          </w:tcPr>
          <w:p w14:paraId="5E2329BA">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下周三</w:t>
            </w:r>
          </w:p>
        </w:tc>
        <w:tc>
          <w:tcPr>
            <w:tcW w:w="1657" w:type="dxa"/>
            <w:vAlign w:val="center"/>
          </w:tcPr>
          <w:p w14:paraId="4B5DD579">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下周四</w:t>
            </w:r>
          </w:p>
        </w:tc>
        <w:tc>
          <w:tcPr>
            <w:tcW w:w="1541" w:type="dxa"/>
            <w:vAlign w:val="center"/>
          </w:tcPr>
          <w:p w14:paraId="22E8BC21">
            <w:pPr>
              <w:widowControl/>
              <w:adjustRightInd w:val="0"/>
              <w:snapToGrid w:val="0"/>
              <w:rPr>
                <w:rFonts w:ascii="仿宋_GB2312" w:eastAsia="仿宋_GB2312"/>
                <w:bCs/>
                <w:kern w:val="0"/>
                <w:sz w:val="24"/>
                <w:szCs w:val="24"/>
              </w:rPr>
            </w:pPr>
            <w:r>
              <w:rPr>
                <w:rFonts w:ascii="仿宋_GB2312" w:eastAsia="仿宋_GB2312"/>
                <w:bCs/>
                <w:kern w:val="0"/>
                <w:sz w:val="24"/>
                <w:szCs w:val="24"/>
              </w:rPr>
              <w:t>7</w:t>
            </w:r>
          </w:p>
        </w:tc>
      </w:tr>
      <w:tr w14:paraId="22A3F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78" w:type="dxa"/>
            <w:vMerge w:val="continue"/>
            <w:vAlign w:val="center"/>
          </w:tcPr>
          <w:p w14:paraId="2A4CEC6A">
            <w:pPr>
              <w:widowControl/>
              <w:adjustRightInd w:val="0"/>
              <w:snapToGrid w:val="0"/>
              <w:ind w:firstLine="400"/>
              <w:jc w:val="center"/>
              <w:rPr>
                <w:rFonts w:ascii="仿宋_GB2312" w:eastAsia="仿宋_GB2312"/>
                <w:kern w:val="0"/>
                <w:sz w:val="24"/>
                <w:szCs w:val="24"/>
              </w:rPr>
            </w:pPr>
          </w:p>
        </w:tc>
        <w:tc>
          <w:tcPr>
            <w:tcW w:w="1028" w:type="dxa"/>
            <w:vAlign w:val="center"/>
          </w:tcPr>
          <w:p w14:paraId="1CDDB979">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周四</w:t>
            </w:r>
          </w:p>
        </w:tc>
        <w:tc>
          <w:tcPr>
            <w:tcW w:w="1523" w:type="dxa"/>
            <w:vAlign w:val="center"/>
          </w:tcPr>
          <w:p w14:paraId="6F5D1730">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周五</w:t>
            </w:r>
          </w:p>
        </w:tc>
        <w:tc>
          <w:tcPr>
            <w:tcW w:w="1037" w:type="dxa"/>
            <w:vAlign w:val="center"/>
          </w:tcPr>
          <w:p w14:paraId="43E41E34">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下周四</w:t>
            </w:r>
          </w:p>
        </w:tc>
        <w:tc>
          <w:tcPr>
            <w:tcW w:w="1529" w:type="dxa"/>
            <w:vAlign w:val="center"/>
          </w:tcPr>
          <w:p w14:paraId="05E959CC">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下周四</w:t>
            </w:r>
          </w:p>
        </w:tc>
        <w:tc>
          <w:tcPr>
            <w:tcW w:w="1657" w:type="dxa"/>
            <w:vAlign w:val="center"/>
          </w:tcPr>
          <w:p w14:paraId="2779274B">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下周五</w:t>
            </w:r>
          </w:p>
        </w:tc>
        <w:tc>
          <w:tcPr>
            <w:tcW w:w="1541" w:type="dxa"/>
            <w:vAlign w:val="center"/>
          </w:tcPr>
          <w:p w14:paraId="1C08778C">
            <w:pPr>
              <w:widowControl/>
              <w:adjustRightInd w:val="0"/>
              <w:snapToGrid w:val="0"/>
              <w:rPr>
                <w:rFonts w:ascii="仿宋_GB2312" w:eastAsia="仿宋_GB2312"/>
                <w:bCs/>
                <w:kern w:val="0"/>
                <w:sz w:val="24"/>
                <w:szCs w:val="24"/>
              </w:rPr>
            </w:pPr>
            <w:r>
              <w:rPr>
                <w:rFonts w:ascii="仿宋_GB2312" w:eastAsia="仿宋_GB2312"/>
                <w:bCs/>
                <w:kern w:val="0"/>
                <w:sz w:val="24"/>
                <w:szCs w:val="24"/>
              </w:rPr>
              <w:t>7</w:t>
            </w:r>
          </w:p>
        </w:tc>
      </w:tr>
      <w:tr w14:paraId="093FE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Merge w:val="continue"/>
            <w:vAlign w:val="center"/>
          </w:tcPr>
          <w:p w14:paraId="6BE782E9">
            <w:pPr>
              <w:widowControl/>
              <w:adjustRightInd w:val="0"/>
              <w:snapToGrid w:val="0"/>
              <w:ind w:firstLine="400"/>
              <w:jc w:val="center"/>
              <w:rPr>
                <w:rFonts w:ascii="仿宋_GB2312" w:eastAsia="仿宋_GB2312"/>
                <w:kern w:val="0"/>
                <w:sz w:val="24"/>
                <w:szCs w:val="24"/>
              </w:rPr>
            </w:pPr>
          </w:p>
        </w:tc>
        <w:tc>
          <w:tcPr>
            <w:tcW w:w="1028" w:type="dxa"/>
            <w:vAlign w:val="center"/>
          </w:tcPr>
          <w:p w14:paraId="394B9411">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周五</w:t>
            </w:r>
          </w:p>
        </w:tc>
        <w:tc>
          <w:tcPr>
            <w:tcW w:w="1523" w:type="dxa"/>
            <w:vAlign w:val="center"/>
          </w:tcPr>
          <w:p w14:paraId="38D6230E">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下周一</w:t>
            </w:r>
          </w:p>
        </w:tc>
        <w:tc>
          <w:tcPr>
            <w:tcW w:w="1037" w:type="dxa"/>
            <w:vAlign w:val="center"/>
          </w:tcPr>
          <w:p w14:paraId="055F811E">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下周五</w:t>
            </w:r>
          </w:p>
        </w:tc>
        <w:tc>
          <w:tcPr>
            <w:tcW w:w="1529" w:type="dxa"/>
            <w:vAlign w:val="center"/>
          </w:tcPr>
          <w:p w14:paraId="1FAF896D">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下周五</w:t>
            </w:r>
          </w:p>
        </w:tc>
        <w:tc>
          <w:tcPr>
            <w:tcW w:w="1657" w:type="dxa"/>
            <w:vAlign w:val="center"/>
          </w:tcPr>
          <w:p w14:paraId="296C31FC">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再下周一</w:t>
            </w:r>
          </w:p>
        </w:tc>
        <w:tc>
          <w:tcPr>
            <w:tcW w:w="1541" w:type="dxa"/>
            <w:vAlign w:val="center"/>
          </w:tcPr>
          <w:p w14:paraId="67F19234">
            <w:pPr>
              <w:widowControl/>
              <w:adjustRightInd w:val="0"/>
              <w:snapToGrid w:val="0"/>
              <w:rPr>
                <w:rFonts w:ascii="仿宋_GB2312" w:eastAsia="仿宋_GB2312"/>
                <w:bCs/>
                <w:kern w:val="0"/>
                <w:sz w:val="24"/>
                <w:szCs w:val="24"/>
              </w:rPr>
            </w:pPr>
            <w:r>
              <w:rPr>
                <w:rFonts w:ascii="仿宋_GB2312" w:eastAsia="仿宋_GB2312"/>
                <w:bCs/>
                <w:kern w:val="0"/>
                <w:sz w:val="24"/>
                <w:szCs w:val="24"/>
              </w:rPr>
              <w:t>7</w:t>
            </w:r>
          </w:p>
        </w:tc>
      </w:tr>
    </w:tbl>
    <w:p w14:paraId="1DF04A4F">
      <w:pPr>
        <w:spacing w:line="600" w:lineRule="exact"/>
        <w:ind w:firstLine="600" w:firstLineChars="200"/>
        <w:rPr>
          <w:rFonts w:ascii="仿宋_GB2312" w:eastAsia="仿宋_GB2312"/>
          <w:sz w:val="30"/>
          <w:szCs w:val="30"/>
        </w:rPr>
      </w:pPr>
      <w:r>
        <w:rPr>
          <w:rFonts w:hint="eastAsia" w:ascii="仿宋_GB2312" w:eastAsia="仿宋_GB2312"/>
          <w:sz w:val="30"/>
          <w:szCs w:val="30"/>
        </w:rPr>
        <w:t>前述占款天数计算仅适用于正常工作日（双休）情况，如遇其他法定节假日，实际占款天数需按休假天数相应顺延计算。</w:t>
      </w:r>
    </w:p>
    <w:p w14:paraId="712ECD0F">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定盘利率</w:t>
      </w:r>
    </w:p>
    <w:p w14:paraId="0F0AF0C7">
      <w:pPr>
        <w:spacing w:line="600" w:lineRule="exact"/>
        <w:ind w:firstLine="600" w:firstLineChars="200"/>
        <w:rPr>
          <w:rFonts w:ascii="仿宋_GB2312" w:hAnsi="Calibri" w:eastAsia="仿宋_GB2312"/>
          <w:b/>
          <w:sz w:val="30"/>
          <w:szCs w:val="30"/>
        </w:rPr>
      </w:pPr>
      <w:r>
        <w:rPr>
          <w:rFonts w:hint="eastAsia" w:ascii="仿宋_GB2312" w:hAnsi="宋体" w:eastAsia="仿宋_GB2312" w:cs="宋体"/>
          <w:color w:val="000000"/>
          <w:kern w:val="0"/>
          <w:sz w:val="30"/>
          <w:szCs w:val="30"/>
        </w:rPr>
        <w:t>本所逐日发布相关通用回购品种的定盘利率，具体网址为（</w:t>
      </w:r>
      <w:r>
        <w:fldChar w:fldCharType="begin"/>
      </w:r>
      <w:r>
        <w:instrText xml:space="preserve"> HYPERLINK "http://www.sse.com.cn/disclosure/bond/ratios/" </w:instrText>
      </w:r>
      <w:r>
        <w:fldChar w:fldCharType="separate"/>
      </w:r>
      <w:r>
        <w:rPr>
          <w:rStyle w:val="51"/>
          <w:rFonts w:ascii="仿宋_GB2312" w:hAnsi="宋体" w:eastAsia="仿宋_GB2312" w:cs="宋体"/>
          <w:color w:val="000000"/>
          <w:kern w:val="0"/>
          <w:sz w:val="30"/>
          <w:szCs w:val="30"/>
        </w:rPr>
        <w:t>http://www.sse.com.cn/disclosure/bond/ratios/</w:t>
      </w:r>
      <w:r>
        <w:rPr>
          <w:rStyle w:val="51"/>
          <w:rFonts w:ascii="仿宋_GB2312" w:hAnsi="宋体" w:eastAsia="仿宋_GB2312" w:cs="宋体"/>
          <w:color w:val="000000"/>
          <w:kern w:val="0"/>
          <w:sz w:val="30"/>
          <w:szCs w:val="30"/>
        </w:rPr>
        <w:fldChar w:fldCharType="end"/>
      </w:r>
      <w:r>
        <w:rPr>
          <w:rFonts w:hint="eastAsia" w:ascii="仿宋_GB2312" w:hAnsi="宋体" w:eastAsia="仿宋_GB2312" w:cs="宋体"/>
          <w:color w:val="000000"/>
          <w:kern w:val="0"/>
          <w:sz w:val="30"/>
          <w:szCs w:val="30"/>
        </w:rPr>
        <w:t>）</w:t>
      </w:r>
    </w:p>
    <w:p w14:paraId="2B882F33">
      <w:pPr>
        <w:widowControl/>
        <w:adjustRightInd w:val="0"/>
        <w:snapToGrid w:val="0"/>
        <w:spacing w:line="600" w:lineRule="exact"/>
        <w:ind w:firstLine="600"/>
        <w:rPr>
          <w:rFonts w:ascii="仿宋_GB2312" w:eastAsia="仿宋_GB2312"/>
          <w:sz w:val="30"/>
          <w:szCs w:val="30"/>
        </w:rPr>
      </w:pPr>
      <w:r>
        <w:rPr>
          <w:rFonts w:hint="eastAsia" w:ascii="仿宋_GB2312" w:hAnsi="宋体" w:eastAsia="仿宋_GB2312"/>
          <w:sz w:val="30"/>
          <w:szCs w:val="30"/>
        </w:rPr>
        <w:t>通用回购定盘利率</w:t>
      </w:r>
      <w:r>
        <w:rPr>
          <w:rFonts w:ascii="仿宋_GB2312" w:hAnsi="宋体" w:eastAsia="仿宋_GB2312"/>
          <w:sz w:val="30"/>
          <w:szCs w:val="30"/>
        </w:rPr>
        <w:t>=∑</w:t>
      </w:r>
      <w:r>
        <w:rPr>
          <w:rFonts w:hint="eastAsia" w:ascii="仿宋_GB2312" w:hAnsi="宋体" w:eastAsia="仿宋_GB2312"/>
          <w:sz w:val="30"/>
          <w:szCs w:val="30"/>
        </w:rPr>
        <w:t>（</w:t>
      </w:r>
      <w:r>
        <w:rPr>
          <w:rFonts w:ascii="仿宋_GB2312" w:hAnsi="宋体" w:eastAsia="仿宋_GB2312"/>
          <w:sz w:val="30"/>
          <w:szCs w:val="30"/>
        </w:rPr>
        <w:t>当日逐笔成交价×当日逐笔成交量</w:t>
      </w:r>
      <w:r>
        <w:rPr>
          <w:rFonts w:hint="eastAsia" w:ascii="仿宋_GB2312" w:hAnsi="宋体" w:eastAsia="仿宋_GB2312"/>
          <w:sz w:val="30"/>
          <w:szCs w:val="30"/>
        </w:rPr>
        <w:t>）</w:t>
      </w:r>
      <w:r>
        <w:rPr>
          <w:rFonts w:ascii="仿宋_GB2312" w:hAnsi="宋体" w:eastAsia="仿宋_GB2312"/>
          <w:sz w:val="30"/>
          <w:szCs w:val="30"/>
        </w:rPr>
        <w:t>/当日总成交量</w:t>
      </w:r>
      <w:r>
        <w:rPr>
          <w:rFonts w:hint="eastAsia" w:ascii="仿宋_GB2312" w:eastAsia="仿宋_GB2312"/>
          <w:sz w:val="30"/>
          <w:szCs w:val="30"/>
        </w:rPr>
        <w:t>。</w:t>
      </w:r>
    </w:p>
    <w:p w14:paraId="779B80AF">
      <w:pPr>
        <w:spacing w:line="600" w:lineRule="exact"/>
        <w:ind w:firstLine="600" w:firstLineChars="200"/>
        <w:rPr>
          <w:rFonts w:ascii="仿宋_GB2312" w:hAnsi="宋体" w:eastAsia="仿宋_GB2312" w:cs="宋体"/>
          <w:kern w:val="0"/>
          <w:sz w:val="30"/>
          <w:szCs w:val="30"/>
        </w:rPr>
      </w:pPr>
      <w:r>
        <w:rPr>
          <w:rFonts w:hint="eastAsia" w:ascii="仿宋_GB2312" w:hAnsi="宋体" w:eastAsia="仿宋_GB2312" w:cs="宋体"/>
          <w:color w:val="000000"/>
          <w:kern w:val="0"/>
          <w:sz w:val="30"/>
          <w:szCs w:val="30"/>
        </w:rPr>
        <w:t>若该通用回购品种当日无交易，则定盘利率取上一交易日的定盘利率。</w:t>
      </w:r>
    </w:p>
    <w:p w14:paraId="4317141E">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风险管理</w:t>
      </w:r>
      <w:r>
        <w:rPr>
          <w:rFonts w:ascii="仿宋_GB2312" w:eastAsia="仿宋_GB2312"/>
          <w:b/>
          <w:sz w:val="30"/>
          <w:szCs w:val="30"/>
        </w:rPr>
        <w:tab/>
      </w:r>
    </w:p>
    <w:p w14:paraId="7223A64E">
      <w:pPr>
        <w:adjustRightInd w:val="0"/>
        <w:snapToGrid w:val="0"/>
        <w:spacing w:line="600" w:lineRule="exact"/>
        <w:ind w:firstLine="600"/>
        <w:rPr>
          <w:rFonts w:ascii="仿宋_GB2312" w:hAnsi="Calibri" w:eastAsia="仿宋_GB2312"/>
          <w:sz w:val="30"/>
          <w:szCs w:val="30"/>
        </w:rPr>
      </w:pPr>
      <w:r>
        <w:rPr>
          <w:rFonts w:hint="eastAsia" w:ascii="仿宋_GB2312" w:hAnsi="Calibri" w:eastAsia="仿宋_GB2312"/>
          <w:sz w:val="30"/>
          <w:szCs w:val="30"/>
        </w:rPr>
        <w:t>参与机构应当在符合《中国证券登记结算有限责任公司 上海证券交易所 深圳证券交易所债券质押式回购交易结算风险控制指引》一般风控指标规定的前提下，结合市场情况、自身风险承受能力以及回购融资主体的信用及风险承受能力，综合考虑回购规模、回购融资负债率、标准券使用率、信用类债券入库集中度、单一发行人信用类债券入库担保集中度、流动性情况等因素，对回购融资主体进行较一般风控指标更为严格的差异化风险管理。</w:t>
      </w:r>
      <w:r>
        <w:rPr>
          <w:rFonts w:ascii="仿宋_GB2312" w:hAnsi="Calibri" w:eastAsia="仿宋_GB2312"/>
          <w:sz w:val="30"/>
          <w:szCs w:val="30"/>
        </w:rPr>
        <w:br w:type="textWrapping"/>
      </w:r>
      <w:r>
        <w:rPr>
          <w:rFonts w:hint="eastAsia" w:ascii="仿宋_GB2312" w:hAnsi="Calibri" w:eastAsia="仿宋_GB2312"/>
          <w:sz w:val="30"/>
          <w:szCs w:val="30"/>
        </w:rPr>
        <w:t>　　参与机构应当建立回购融资主体风险监测机制，对于出现融资回购规模较大，融资回购规模增长较快，回购融资负债率较高，低信用等级质押券入库占比过高，单一发行人质押券入库集中度过高，经多次催告仍未补足欠库等情形之一或参与机构认定的其他高风险情形的，参与机构应当对其进行重点关注和管理。</w:t>
      </w:r>
    </w:p>
    <w:p w14:paraId="2F137D97">
      <w:pPr>
        <w:numPr>
          <w:ilvl w:val="2"/>
          <w:numId w:val="4"/>
        </w:numPr>
        <w:spacing w:line="600" w:lineRule="exact"/>
        <w:ind w:left="0" w:firstLine="0"/>
        <w:outlineLvl w:val="2"/>
        <w:rPr>
          <w:rFonts w:ascii="仿宋_GB2312" w:hAnsi="Calibri" w:eastAsia="仿宋_GB2312"/>
          <w:b/>
          <w:sz w:val="30"/>
          <w:szCs w:val="30"/>
        </w:rPr>
      </w:pPr>
      <w:r>
        <w:rPr>
          <w:rFonts w:hint="eastAsia" w:ascii="仿宋_GB2312" w:hAnsi="Calibri" w:eastAsia="仿宋_GB2312"/>
          <w:b/>
          <w:sz w:val="30"/>
          <w:szCs w:val="30"/>
        </w:rPr>
        <w:t>数据</w:t>
      </w:r>
      <w:r>
        <w:rPr>
          <w:rFonts w:ascii="仿宋_GB2312" w:hAnsi="Calibri" w:eastAsia="仿宋_GB2312"/>
          <w:b/>
          <w:sz w:val="30"/>
          <w:szCs w:val="30"/>
        </w:rPr>
        <w:t>报送</w:t>
      </w:r>
    </w:p>
    <w:p w14:paraId="47C3F264">
      <w:pPr>
        <w:adjustRightInd w:val="0"/>
        <w:snapToGrid w:val="0"/>
        <w:spacing w:line="600" w:lineRule="exact"/>
        <w:ind w:firstLine="600"/>
        <w:rPr>
          <w:rFonts w:ascii="仿宋_GB2312" w:hAnsi="Calibri" w:eastAsia="仿宋_GB2312"/>
          <w:sz w:val="30"/>
          <w:szCs w:val="30"/>
        </w:rPr>
      </w:pPr>
      <w:r>
        <w:rPr>
          <w:rFonts w:hint="eastAsia" w:ascii="仿宋_GB2312" w:hAnsi="Calibri" w:eastAsia="仿宋_GB2312"/>
          <w:sz w:val="30"/>
          <w:szCs w:val="30"/>
        </w:rPr>
        <w:t>回购融资主体及其结算参与人，产品类回购融资主体的托管人和管理人按照规定开展融资回购交易及结算相关业务的</w:t>
      </w:r>
      <w:bookmarkStart w:id="2027" w:name="OLE_LINK24"/>
      <w:bookmarkStart w:id="2028" w:name="OLE_LINK23"/>
      <w:r>
        <w:rPr>
          <w:rFonts w:hint="eastAsia" w:ascii="仿宋_GB2312" w:hAnsi="Calibri" w:eastAsia="仿宋_GB2312"/>
          <w:sz w:val="30"/>
          <w:szCs w:val="30"/>
        </w:rPr>
        <w:t>，</w:t>
      </w:r>
      <w:bookmarkEnd w:id="2027"/>
      <w:bookmarkEnd w:id="2028"/>
      <w:r>
        <w:rPr>
          <w:rFonts w:hint="eastAsia" w:ascii="仿宋_GB2312" w:hAnsi="Calibri" w:eastAsia="仿宋_GB2312"/>
          <w:sz w:val="30"/>
          <w:szCs w:val="30"/>
        </w:rPr>
        <w:t>其数据报送适用《中国证券登记结算有限责任公司、上海证券交易所、深圳证券交易所债券质押式回购融资主体数据报送指引》的</w:t>
      </w:r>
      <w:r>
        <w:rPr>
          <w:rFonts w:ascii="仿宋_GB2312" w:hAnsi="Calibri" w:eastAsia="仿宋_GB2312"/>
          <w:sz w:val="30"/>
          <w:szCs w:val="30"/>
        </w:rPr>
        <w:t>相关规定</w:t>
      </w:r>
      <w:r>
        <w:rPr>
          <w:rFonts w:hint="eastAsia" w:ascii="仿宋_GB2312" w:hAnsi="Calibri" w:eastAsia="仿宋_GB2312"/>
          <w:sz w:val="30"/>
          <w:szCs w:val="30"/>
        </w:rPr>
        <w:t>。</w:t>
      </w:r>
    </w:p>
    <w:p w14:paraId="61983CF6">
      <w:pPr>
        <w:numPr>
          <w:ilvl w:val="1"/>
          <w:numId w:val="4"/>
        </w:numPr>
        <w:spacing w:line="600" w:lineRule="exact"/>
        <w:ind w:left="0" w:firstLine="0"/>
        <w:outlineLvl w:val="1"/>
        <w:rPr>
          <w:rFonts w:ascii="仿宋_GB2312" w:eastAsia="仿宋_GB2312"/>
          <w:b/>
          <w:sz w:val="30"/>
          <w:szCs w:val="30"/>
        </w:rPr>
      </w:pPr>
      <w:bookmarkStart w:id="2029" w:name="_Toc1028633105"/>
      <w:bookmarkStart w:id="2030" w:name="_Toc56166286"/>
      <w:bookmarkStart w:id="2031" w:name="_Toc1950030764"/>
      <w:bookmarkStart w:id="2032" w:name="_Toc151136915"/>
      <w:bookmarkStart w:id="2033" w:name="_Toc2131724158"/>
      <w:bookmarkStart w:id="2034" w:name="_Toc412529568"/>
      <w:bookmarkStart w:id="2035" w:name="_Toc56166097"/>
      <w:r>
        <w:rPr>
          <w:rFonts w:hint="eastAsia" w:ascii="仿宋_GB2312" w:eastAsia="仿宋_GB2312"/>
          <w:b/>
          <w:sz w:val="30"/>
          <w:szCs w:val="30"/>
        </w:rPr>
        <w:t>债券质押式协议回购</w:t>
      </w:r>
      <w:bookmarkEnd w:id="2029"/>
      <w:bookmarkEnd w:id="2030"/>
      <w:bookmarkEnd w:id="2031"/>
      <w:bookmarkEnd w:id="2032"/>
      <w:bookmarkEnd w:id="2033"/>
      <w:bookmarkEnd w:id="2034"/>
      <w:bookmarkEnd w:id="2035"/>
    </w:p>
    <w:p w14:paraId="677F08B5">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概述</w:t>
      </w:r>
    </w:p>
    <w:p w14:paraId="0C6E478A">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债券质押式协议回购交易（以下简称协议回购）是指回购双方自主协商约定，由资金融入方（正回购方）将债券出质给资金融出方（逆回购方）融入资金，并在未来返还资金和支付回购利息，同时解除债券质押登记的交易。</w:t>
      </w:r>
    </w:p>
    <w:p w14:paraId="7BDAF408">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相关规则</w:t>
      </w:r>
    </w:p>
    <w:p w14:paraId="3BB7F9DA">
      <w:pPr>
        <w:numPr>
          <w:ilvl w:val="0"/>
          <w:numId w:val="17"/>
        </w:num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《上海证券交易所债券质押式协议回购交易暂行办法》（上证发〔2015〕26号）</w:t>
      </w:r>
    </w:p>
    <w:p w14:paraId="7DAD6345">
      <w:pPr>
        <w:numPr>
          <w:ilvl w:val="0"/>
          <w:numId w:val="17"/>
        </w:num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《上海证券交易所债券质押式协议回购交易业务指引》（上证发〔2015〕27号）</w:t>
      </w:r>
    </w:p>
    <w:p w14:paraId="3261AD49">
      <w:pPr>
        <w:numPr>
          <w:ilvl w:val="0"/>
          <w:numId w:val="17"/>
        </w:num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《上海证券交易所债券交易规则适用指引第4号——债券质押式协议回购风险管理》（上证发〔2022〕169号）</w:t>
      </w:r>
    </w:p>
    <w:p w14:paraId="69DD5014">
      <w:pPr>
        <w:numPr>
          <w:ilvl w:val="0"/>
          <w:numId w:val="17"/>
        </w:numPr>
        <w:adjustRightInd w:val="0"/>
        <w:snapToGrid w:val="0"/>
        <w:spacing w:line="600" w:lineRule="exact"/>
        <w:ind w:firstLine="600"/>
        <w:rPr>
          <w:rFonts w:ascii="仿宋_GB2312" w:hAnsi="Calibri" w:eastAsia="仿宋_GB2312"/>
          <w:sz w:val="30"/>
          <w:szCs w:val="30"/>
        </w:rPr>
      </w:pPr>
      <w:r>
        <w:rPr>
          <w:rFonts w:hint="eastAsia" w:ascii="仿宋_GB2312" w:hAnsi="Calibri" w:eastAsia="仿宋_GB2312"/>
          <w:sz w:val="30"/>
          <w:szCs w:val="30"/>
        </w:rPr>
        <w:t>《中国证券登记结算有限责任公司债券质押式协议回购登记结算业务实施细则》（中国结算发字〔2015〕20号）</w:t>
      </w:r>
    </w:p>
    <w:p w14:paraId="3555A524">
      <w:pPr>
        <w:numPr>
          <w:ilvl w:val="0"/>
          <w:numId w:val="17"/>
        </w:num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《关于修订&lt;中国证券登记结算有限责任公司上海分公司债券质押式协议回购登记结算业务指南&gt;的通知》（中国结算沪业字〔2021〕41 号）</w:t>
      </w:r>
    </w:p>
    <w:p w14:paraId="4E511C5F">
      <w:pPr>
        <w:numPr>
          <w:ilvl w:val="0"/>
          <w:numId w:val="17"/>
        </w:num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lang w:eastAsia="zh-CN"/>
        </w:rPr>
        <w:t>《</w:t>
      </w:r>
      <w:r>
        <w:rPr>
          <w:rFonts w:hint="eastAsia" w:ascii="仿宋_GB2312" w:hAnsi="Calibri" w:eastAsia="仿宋_GB2312"/>
          <w:sz w:val="30"/>
          <w:szCs w:val="30"/>
        </w:rPr>
        <w:t>关于上海证券交易所债券质押式协议回购业务开展有关事项的通知</w:t>
      </w:r>
      <w:r>
        <w:rPr>
          <w:rFonts w:hint="eastAsia" w:ascii="仿宋_GB2312" w:hAnsi="Calibri" w:eastAsia="仿宋_GB2312"/>
          <w:sz w:val="30"/>
          <w:szCs w:val="30"/>
          <w:lang w:eastAsia="zh-CN"/>
        </w:rPr>
        <w:t>》</w:t>
      </w:r>
      <w:r>
        <w:rPr>
          <w:rFonts w:hint="eastAsia" w:ascii="仿宋_GB2312" w:hAnsi="Calibri" w:eastAsia="仿宋_GB2312"/>
          <w:sz w:val="30"/>
          <w:szCs w:val="30"/>
          <w:lang w:val="en-US" w:eastAsia="zh-CN"/>
        </w:rPr>
        <w:t>(上证发</w:t>
      </w:r>
      <w:r>
        <w:rPr>
          <w:rFonts w:hint="eastAsia" w:ascii="仿宋_GB2312" w:hAnsi="Calibri" w:eastAsia="仿宋_GB2312"/>
          <w:sz w:val="30"/>
          <w:szCs w:val="30"/>
        </w:rPr>
        <w:t>〔202</w:t>
      </w:r>
      <w:r>
        <w:rPr>
          <w:rFonts w:hint="eastAsia" w:ascii="仿宋_GB2312" w:hAnsi="Calibri" w:eastAsia="仿宋_GB2312"/>
          <w:sz w:val="30"/>
          <w:szCs w:val="30"/>
          <w:lang w:val="en-US" w:eastAsia="zh-CN"/>
        </w:rPr>
        <w:t>6</w:t>
      </w:r>
      <w:r>
        <w:rPr>
          <w:rFonts w:hint="eastAsia" w:ascii="仿宋_GB2312" w:hAnsi="Calibri" w:eastAsia="仿宋_GB2312"/>
          <w:sz w:val="30"/>
          <w:szCs w:val="30"/>
        </w:rPr>
        <w:t>〕</w:t>
      </w:r>
      <w:r>
        <w:rPr>
          <w:rFonts w:hint="eastAsia" w:ascii="仿宋_GB2312" w:hAnsi="Calibri" w:eastAsia="仿宋_GB2312"/>
          <w:sz w:val="30"/>
          <w:szCs w:val="30"/>
          <w:lang w:val="en-US" w:eastAsia="zh-CN"/>
        </w:rPr>
        <w:t>56</w:t>
      </w:r>
      <w:r>
        <w:rPr>
          <w:rFonts w:hint="eastAsia" w:ascii="仿宋_GB2312" w:hAnsi="Calibri" w:eastAsia="仿宋_GB2312"/>
          <w:sz w:val="30"/>
          <w:szCs w:val="30"/>
        </w:rPr>
        <w:t>号）</w:t>
      </w:r>
    </w:p>
    <w:p w14:paraId="45430B0E">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签署协议</w:t>
      </w:r>
    </w:p>
    <w:p w14:paraId="2561961E">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债券投资者参与协议回购前，应当签署《上海证券交易所债券质押式协议回购交易主协议》（以下简称主协议）并报送本所备案。签署方为证券公司经纪客户的，由所在证券公司留存备查。回购双方可以就协议回购相关事宜签订补充协议。补充协议不得违反法律、行政法规、部门规章、其他规范性文件以及本所、登记结算机构的相关规定，并且不得与主协议和回购双方申报的交易要素相冲突。补充协议的内容由回购双方自行遵照执行。</w:t>
      </w:r>
      <w:r>
        <w:rPr>
          <w:rFonts w:ascii="仿宋_GB2312" w:hAnsi="Calibri" w:eastAsia="仿宋_GB2312"/>
          <w:sz w:val="30"/>
          <w:szCs w:val="30"/>
        </w:rPr>
        <w:br w:type="textWrapping"/>
      </w:r>
      <w:r>
        <w:rPr>
          <w:rFonts w:hint="eastAsia" w:ascii="仿宋_GB2312" w:hAnsi="Calibri" w:eastAsia="仿宋_GB2312"/>
          <w:sz w:val="30"/>
          <w:szCs w:val="30"/>
        </w:rPr>
        <w:t>　　会员接受债券投资者委托进行协议回购申报，应当确认债券投资者已经签署主协议、风险揭示书等必要文件，并根据债券投资者的真实委托提交申报。证券公司未经委托虚假申报，或者存在伪造、篡改委托内容等未按客户指令进行申报和结算等情形的，应当承担全部法律责任，并赔偿由此造成的损失。</w:t>
      </w:r>
    </w:p>
    <w:p w14:paraId="0FA5A3A6">
      <w:pPr>
        <w:numPr>
          <w:ilvl w:val="2"/>
          <w:numId w:val="4"/>
        </w:numPr>
        <w:spacing w:line="600" w:lineRule="exact"/>
        <w:ind w:left="0" w:firstLine="0"/>
        <w:outlineLvl w:val="2"/>
        <w:rPr>
          <w:rFonts w:ascii="仿宋_GB2312" w:hAnsi="Calibri" w:eastAsia="仿宋_GB2312"/>
          <w:b/>
          <w:sz w:val="30"/>
          <w:szCs w:val="30"/>
        </w:rPr>
      </w:pPr>
      <w:r>
        <w:rPr>
          <w:rFonts w:hint="eastAsia" w:ascii="仿宋_GB2312" w:eastAsia="仿宋_GB2312"/>
          <w:b/>
          <w:sz w:val="30"/>
          <w:szCs w:val="30"/>
        </w:rPr>
        <w:t>投资者适当性管理</w:t>
      </w:r>
    </w:p>
    <w:p w14:paraId="088FDB8A">
      <w:pPr>
        <w:spacing w:line="600" w:lineRule="exact"/>
        <w:ind w:firstLine="452" w:firstLineChars="150"/>
        <w:outlineLvl w:val="3"/>
        <w:rPr>
          <w:rFonts w:ascii="仿宋_GB2312" w:hAnsi="黑体" w:eastAsia="仿宋_GB2312"/>
          <w:b/>
          <w:sz w:val="30"/>
          <w:szCs w:val="30"/>
        </w:rPr>
      </w:pPr>
      <w:r>
        <w:rPr>
          <w:rFonts w:hint="eastAsia" w:ascii="仿宋_GB2312" w:hAnsi="黑体" w:eastAsia="仿宋_GB2312"/>
          <w:b/>
          <w:sz w:val="30"/>
          <w:szCs w:val="30"/>
        </w:rPr>
        <w:t>（1）一般规定</w:t>
      </w:r>
    </w:p>
    <w:p w14:paraId="73A8C149">
      <w:pPr>
        <w:adjustRightInd w:val="0"/>
        <w:snapToGrid w:val="0"/>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协议回购交易按照《上海证券交易所债券质押式协议回购交易暂行办法》《上海证券交易所债券市场投资者适当性管理办法》《上海证券交易所债券交易规则适用指引第4号——债券质押式协议回购风险管理》等</w:t>
      </w:r>
      <w:r>
        <w:rPr>
          <w:rFonts w:hint="eastAsia" w:ascii="仿宋_GB2312" w:hAnsi="宋体" w:eastAsia="仿宋_GB2312" w:cs="宋体"/>
          <w:kern w:val="0"/>
          <w:sz w:val="30"/>
          <w:szCs w:val="30"/>
        </w:rPr>
        <w:t>相关</w:t>
      </w:r>
      <w:r>
        <w:rPr>
          <w:rFonts w:hint="eastAsia" w:ascii="仿宋_GB2312" w:hAnsi="宋体" w:eastAsia="仿宋_GB2312" w:cs="宋体"/>
          <w:color w:val="000000"/>
          <w:kern w:val="0"/>
          <w:sz w:val="30"/>
          <w:szCs w:val="30"/>
        </w:rPr>
        <w:t>规定，实行投资者适当性管理。</w:t>
      </w:r>
    </w:p>
    <w:p w14:paraId="033DE5A3">
      <w:pPr>
        <w:spacing w:line="600" w:lineRule="exact"/>
        <w:ind w:firstLine="452" w:firstLineChars="150"/>
        <w:outlineLvl w:val="3"/>
        <w:rPr>
          <w:rFonts w:ascii="仿宋_GB2312" w:hAnsi="黑体" w:eastAsia="仿宋_GB2312"/>
          <w:b/>
          <w:sz w:val="30"/>
          <w:szCs w:val="30"/>
        </w:rPr>
      </w:pPr>
      <w:r>
        <w:rPr>
          <w:rFonts w:hint="eastAsia" w:ascii="仿宋_GB2312" w:hAnsi="黑体" w:eastAsia="仿宋_GB2312"/>
          <w:b/>
          <w:sz w:val="30"/>
          <w:szCs w:val="30"/>
        </w:rPr>
        <w:t>（2）参与要求</w:t>
      </w:r>
    </w:p>
    <w:p w14:paraId="65D89406">
      <w:pPr>
        <w:adjustRightInd w:val="0"/>
        <w:snapToGrid w:val="0"/>
        <w:spacing w:line="600" w:lineRule="exact"/>
        <w:ind w:firstLine="600" w:firstLineChars="200"/>
        <w:rPr>
          <w:rFonts w:ascii="仿宋_GB2312" w:hAnsi="Calibri" w:eastAsia="仿宋_GB2312"/>
          <w:sz w:val="30"/>
          <w:szCs w:val="22"/>
        </w:rPr>
      </w:pPr>
      <w:r>
        <w:rPr>
          <w:rFonts w:hint="eastAsia" w:ascii="仿宋_GB2312" w:eastAsia="仿宋_GB2312"/>
          <w:sz w:val="30"/>
          <w:szCs w:val="30"/>
        </w:rPr>
        <w:t>协议回购实行投资者适当性管理制度，专业投资者中的机构投资者可以参与协议回购的融资和融券交易。</w:t>
      </w:r>
    </w:p>
    <w:p w14:paraId="66E17F15">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质押券管理</w:t>
      </w:r>
    </w:p>
    <w:p w14:paraId="798C7E93">
      <w:pPr>
        <w:adjustRightInd w:val="0"/>
        <w:snapToGrid w:val="0"/>
        <w:spacing w:line="600" w:lineRule="exact"/>
        <w:ind w:firstLine="600" w:firstLineChars="200"/>
        <w:rPr>
          <w:rFonts w:hint="eastAsia" w:ascii="仿宋_GB2312" w:hAnsi="Calibri" w:eastAsia="仿宋_GB2312"/>
          <w:sz w:val="30"/>
          <w:szCs w:val="30"/>
        </w:rPr>
      </w:pPr>
      <w:r>
        <w:rPr>
          <w:rFonts w:hint="eastAsia" w:ascii="仿宋_GB2312" w:hAnsi="Calibri" w:eastAsia="仿宋_GB2312"/>
          <w:sz w:val="30"/>
          <w:szCs w:val="30"/>
        </w:rPr>
        <w:t>协议回购的质押券包括在本所交易或转让的各类债券、资产支持证券以及本所认可的其它产品；本所可以根据市场情况调整用于协议回购的质押券品种。质押券现货交易停牌的，不影响其用于协议回购交易，但本所另有规定的除外。</w:t>
      </w:r>
    </w:p>
    <w:p w14:paraId="77C77184">
      <w:pPr>
        <w:adjustRightInd w:val="0"/>
        <w:snapToGrid w:val="0"/>
        <w:spacing w:line="600" w:lineRule="exact"/>
        <w:ind w:firstLine="600" w:firstLineChars="200"/>
        <w:rPr>
          <w:rFonts w:ascii="仿宋_GB2312" w:hAnsi="Calibri" w:eastAsia="仿宋_GB2312"/>
          <w:b/>
          <w:sz w:val="30"/>
          <w:szCs w:val="30"/>
        </w:rPr>
      </w:pPr>
      <w:r>
        <w:rPr>
          <w:rFonts w:hint="eastAsia" w:ascii="仿宋_GB2312" w:hAnsi="Calibri" w:eastAsia="仿宋_GB2312"/>
          <w:sz w:val="30"/>
          <w:szCs w:val="30"/>
        </w:rPr>
        <w:t>已经发生违约或经披露其还本付息存在重大风险的债券和资产支持证券不得用于协商成交申报、质押券换券（换入）申报。回购交易存续期内，质押券发生前述情形的，交易双方应当采取有效措施降低业务风险。</w:t>
      </w:r>
      <w:r>
        <w:rPr>
          <w:rFonts w:ascii="仿宋_GB2312" w:hAnsi="Calibri" w:eastAsia="仿宋_GB2312"/>
          <w:sz w:val="30"/>
          <w:szCs w:val="30"/>
        </w:rPr>
        <w:br w:type="textWrapping"/>
      </w:r>
      <w:r>
        <w:rPr>
          <w:rFonts w:hint="eastAsia" w:ascii="仿宋_GB2312" w:hAnsi="Calibri" w:eastAsia="仿宋_GB2312"/>
          <w:sz w:val="30"/>
          <w:szCs w:val="30"/>
        </w:rPr>
        <w:t>　　质押券在质押期间发生付息、分期偿还、分期摊还、提前赎回、兑付、回售、转股、换股和违约等情形的处理，由主协议进行约定。</w:t>
      </w:r>
    </w:p>
    <w:p w14:paraId="1A398D7C">
      <w:pPr>
        <w:adjustRightInd w:val="0"/>
        <w:snapToGrid w:val="0"/>
        <w:spacing w:line="600" w:lineRule="exact"/>
        <w:ind w:firstLine="600" w:firstLineChars="200"/>
        <w:rPr>
          <w:rFonts w:hint="eastAsia" w:ascii="仿宋_GB2312" w:hAnsi="Calibri" w:eastAsia="仿宋_GB2312"/>
          <w:sz w:val="30"/>
          <w:szCs w:val="30"/>
        </w:rPr>
      </w:pPr>
      <w:r>
        <w:rPr>
          <w:rFonts w:hint="eastAsia" w:ascii="仿宋_GB2312" w:hAnsi="Calibri" w:eastAsia="仿宋_GB2312"/>
          <w:sz w:val="30"/>
          <w:szCs w:val="30"/>
        </w:rPr>
        <w:t>质押券在质押期间发生分期偿还、分期摊还等情形，回购双方应当充分评估质押券面额或数量减少对协议回购可能产生的影响，并可以在补充协议中约定变更质押券等处理方式。</w:t>
      </w:r>
    </w:p>
    <w:p w14:paraId="06D27CFB">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交易流程</w:t>
      </w:r>
      <w:r>
        <w:rPr>
          <w:rFonts w:ascii="仿宋_GB2312" w:eastAsia="仿宋_GB2312"/>
          <w:b/>
          <w:sz w:val="30"/>
          <w:szCs w:val="30"/>
        </w:rPr>
        <w:tab/>
      </w:r>
    </w:p>
    <w:p w14:paraId="63ACFA36">
      <w:pPr>
        <w:spacing w:line="600" w:lineRule="exact"/>
        <w:ind w:left="567"/>
        <w:outlineLvl w:val="3"/>
        <w:rPr>
          <w:rFonts w:ascii="仿宋_GB2312" w:eastAsia="仿宋_GB2312"/>
          <w:b/>
          <w:sz w:val="30"/>
          <w:szCs w:val="30"/>
        </w:rPr>
      </w:pPr>
      <w:r>
        <w:rPr>
          <w:rFonts w:hint="eastAsia" w:ascii="仿宋_GB2312" w:eastAsia="仿宋_GB2312"/>
          <w:b/>
          <w:sz w:val="30"/>
          <w:szCs w:val="30"/>
        </w:rPr>
        <w:t>（1）交易要素</w:t>
      </w:r>
      <w:bookmarkStart w:id="2036" w:name="12"/>
    </w:p>
    <w:bookmarkEnd w:id="2036"/>
    <w:p w14:paraId="78BE9D30">
      <w:pPr>
        <w:adjustRightInd w:val="0"/>
        <w:snapToGrid w:val="0"/>
        <w:spacing w:line="600" w:lineRule="exact"/>
        <w:ind w:firstLine="600"/>
        <w:rPr>
          <w:rFonts w:ascii="仿宋_GB2312" w:hAnsi="Calibri" w:eastAsia="仿宋_GB2312"/>
          <w:sz w:val="30"/>
          <w:szCs w:val="30"/>
        </w:rPr>
      </w:pPr>
      <w:r>
        <w:rPr>
          <w:rFonts w:hint="eastAsia" w:ascii="仿宋_GB2312" w:hAnsi="Calibri" w:eastAsia="仿宋_GB2312"/>
          <w:sz w:val="30"/>
          <w:szCs w:val="30"/>
        </w:rPr>
        <w:t>协议回购的交易要素包括但不限于回购方向、回购利率、质押券名称、质押券代码、质押券数量、质押券总面额、质权人、成交金额、折算比例、首次结算日、回购到期日、回购期限、到期结算日、实际占款天数、到期结算金额等。</w:t>
      </w:r>
    </w:p>
    <w:p w14:paraId="6BB2BCC2">
      <w:pPr>
        <w:adjustRightInd w:val="0"/>
        <w:snapToGrid w:val="0"/>
        <w:spacing w:line="600" w:lineRule="exact"/>
        <w:ind w:firstLine="600"/>
        <w:rPr>
          <w:rFonts w:ascii="仿宋_GB2312" w:hAnsi="Calibri" w:eastAsia="仿宋_GB2312"/>
          <w:sz w:val="30"/>
          <w:szCs w:val="30"/>
        </w:rPr>
      </w:pPr>
      <w:r>
        <w:rPr>
          <w:rFonts w:hint="eastAsia" w:ascii="仿宋_GB2312" w:hAnsi="Calibri" w:eastAsia="仿宋_GB2312"/>
          <w:sz w:val="30"/>
          <w:szCs w:val="30"/>
        </w:rPr>
        <w:t>协议回购的质押券、折算比例、回购利率、回购期限、成交金额等由回购双方自主协商确定。债券投资者应当依据法律、行政法规、部门规章、其他规范性文件以及本所、登记结算机构业务规则的规定，合理商定协议回购交易要素的具体内容，不得存在误导、欺诈、市场操纵或利益输送行为。</w:t>
      </w:r>
    </w:p>
    <w:p w14:paraId="151573DA">
      <w:pPr>
        <w:spacing w:line="600" w:lineRule="exact"/>
        <w:ind w:left="567"/>
        <w:outlineLvl w:val="3"/>
        <w:rPr>
          <w:rFonts w:ascii="仿宋_GB2312" w:eastAsia="仿宋_GB2312"/>
          <w:b/>
          <w:sz w:val="30"/>
          <w:szCs w:val="30"/>
        </w:rPr>
      </w:pPr>
      <w:r>
        <w:rPr>
          <w:rFonts w:hint="eastAsia" w:ascii="仿宋_GB2312" w:eastAsia="仿宋_GB2312"/>
          <w:b/>
          <w:sz w:val="30"/>
          <w:szCs w:val="30"/>
        </w:rPr>
        <w:t>（2）协议回购交易申报</w:t>
      </w:r>
    </w:p>
    <w:p w14:paraId="15D7BEF0">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本所接受协议回购申报的时间为每个交易日的9：00至11：30，13：00至</w:t>
      </w:r>
      <w:r>
        <w:rPr>
          <w:rFonts w:ascii="仿宋_GB2312" w:hAnsi="Calibri" w:eastAsia="仿宋_GB2312"/>
          <w:sz w:val="30"/>
          <w:szCs w:val="30"/>
        </w:rPr>
        <w:t>15</w:t>
      </w:r>
      <w:r>
        <w:rPr>
          <w:rFonts w:hint="eastAsia" w:ascii="仿宋_GB2312" w:hAnsi="Calibri" w:eastAsia="仿宋_GB2312"/>
          <w:sz w:val="30"/>
          <w:szCs w:val="30"/>
        </w:rPr>
        <w:t>：3</w:t>
      </w:r>
      <w:r>
        <w:rPr>
          <w:rFonts w:ascii="仿宋_GB2312" w:hAnsi="Calibri" w:eastAsia="仿宋_GB2312"/>
          <w:sz w:val="30"/>
          <w:szCs w:val="30"/>
        </w:rPr>
        <w:t>0</w:t>
      </w:r>
      <w:r>
        <w:rPr>
          <w:rFonts w:hint="eastAsia" w:ascii="仿宋_GB2312" w:hAnsi="Calibri" w:eastAsia="仿宋_GB2312"/>
          <w:sz w:val="30"/>
          <w:szCs w:val="30"/>
        </w:rPr>
        <w:t>。本所可以根据市场需要调整协议回购的申报时间。</w:t>
      </w:r>
    </w:p>
    <w:p w14:paraId="7F3BD515">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协议回购的期限不得超过365天，且不得超过质押券的存续期间。协议回购的利率和折算比例不得超过100%。</w:t>
      </w:r>
    </w:p>
    <w:p w14:paraId="35820547">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1）意向申报</w:t>
      </w:r>
    </w:p>
    <w:p w14:paraId="7BD54AC9">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债券投资者可以通过固定收益平台进行意向申报。意向申报是指债券投资者为寻找交易对手方发送的，表明协议回购意向的申报。意向申报应当至少包含回购方向等交易要素信息。意向申报不能直接成交。</w:t>
      </w:r>
    </w:p>
    <w:p w14:paraId="26F5950D">
      <w:pPr>
        <w:adjustRightInd w:val="0"/>
        <w:snapToGrid w:val="0"/>
        <w:spacing w:line="600" w:lineRule="exact"/>
        <w:ind w:firstLine="600" w:firstLineChars="200"/>
        <w:rPr>
          <w:rFonts w:ascii="仿宋_GB2312" w:hAnsi="宋体" w:eastAsia="仿宋_GB2312"/>
          <w:sz w:val="30"/>
          <w:szCs w:val="30"/>
        </w:rPr>
      </w:pPr>
      <w:r>
        <w:rPr>
          <w:rFonts w:hint="eastAsia" w:ascii="仿宋_GB2312" w:hAnsi="Calibri" w:eastAsia="仿宋_GB2312"/>
          <w:sz w:val="30"/>
          <w:szCs w:val="30"/>
        </w:rPr>
        <w:t>意向申报</w:t>
      </w:r>
      <w:r>
        <w:rPr>
          <w:rFonts w:hint="eastAsia" w:ascii="仿宋_GB2312" w:hAnsi="宋体" w:eastAsia="仿宋_GB2312"/>
          <w:sz w:val="30"/>
          <w:szCs w:val="30"/>
        </w:rPr>
        <w:t>具体要素及要素说明如下：</w:t>
      </w:r>
    </w:p>
    <w:tbl>
      <w:tblPr>
        <w:tblStyle w:val="4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3"/>
        <w:gridCol w:w="6289"/>
      </w:tblGrid>
      <w:tr w14:paraId="4FC6E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0" w:type="pct"/>
          </w:tcPr>
          <w:p w14:paraId="5D87647D">
            <w:pPr>
              <w:adjustRightInd w:val="0"/>
              <w:snapToGrid w:val="0"/>
              <w:rPr>
                <w:rFonts w:ascii="仿宋_GB2312" w:eastAsia="仿宋_GB2312"/>
                <w:b/>
                <w:kern w:val="0"/>
                <w:sz w:val="24"/>
                <w:szCs w:val="24"/>
              </w:rPr>
            </w:pPr>
            <w:r>
              <w:rPr>
                <w:rFonts w:hint="eastAsia" w:ascii="仿宋_GB2312" w:eastAsia="仿宋_GB2312"/>
                <w:b/>
                <w:kern w:val="0"/>
                <w:sz w:val="24"/>
                <w:szCs w:val="24"/>
              </w:rPr>
              <w:t>要素名称</w:t>
            </w:r>
          </w:p>
        </w:tc>
        <w:tc>
          <w:tcPr>
            <w:tcW w:w="3689" w:type="pct"/>
          </w:tcPr>
          <w:p w14:paraId="3889EA96">
            <w:pPr>
              <w:adjustRightInd w:val="0"/>
              <w:snapToGrid w:val="0"/>
              <w:rPr>
                <w:rFonts w:ascii="仿宋_GB2312" w:eastAsia="仿宋_GB2312"/>
                <w:b/>
                <w:kern w:val="0"/>
                <w:sz w:val="24"/>
                <w:szCs w:val="24"/>
              </w:rPr>
            </w:pPr>
            <w:r>
              <w:rPr>
                <w:rFonts w:hint="eastAsia" w:ascii="仿宋_GB2312" w:eastAsia="仿宋_GB2312"/>
                <w:b/>
                <w:kern w:val="0"/>
                <w:sz w:val="24"/>
                <w:szCs w:val="24"/>
              </w:rPr>
              <w:t>要素说明</w:t>
            </w:r>
          </w:p>
        </w:tc>
      </w:tr>
      <w:tr w14:paraId="5634B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0" w:type="pct"/>
          </w:tcPr>
          <w:p w14:paraId="485E0A8C">
            <w:pPr>
              <w:adjustRightInd w:val="0"/>
              <w:snapToGrid w:val="0"/>
              <w:rPr>
                <w:rFonts w:ascii="仿宋_GB2312" w:eastAsia="仿宋_GB2312"/>
                <w:b/>
                <w:kern w:val="0"/>
                <w:sz w:val="24"/>
                <w:szCs w:val="24"/>
              </w:rPr>
            </w:pPr>
            <w:r>
              <w:rPr>
                <w:rFonts w:hint="eastAsia" w:ascii="仿宋_GB2312" w:eastAsia="仿宋_GB2312"/>
                <w:b/>
                <w:kern w:val="0"/>
                <w:sz w:val="24"/>
                <w:szCs w:val="24"/>
              </w:rPr>
              <w:t>回购方向</w:t>
            </w:r>
          </w:p>
        </w:tc>
        <w:tc>
          <w:tcPr>
            <w:tcW w:w="3689" w:type="pct"/>
          </w:tcPr>
          <w:p w14:paraId="08375098">
            <w:pPr>
              <w:adjustRightInd w:val="0"/>
              <w:snapToGrid w:val="0"/>
              <w:rPr>
                <w:rFonts w:ascii="仿宋_GB2312" w:eastAsia="仿宋_GB2312"/>
                <w:kern w:val="0"/>
                <w:sz w:val="24"/>
                <w:szCs w:val="24"/>
              </w:rPr>
            </w:pPr>
            <w:r>
              <w:rPr>
                <w:rFonts w:hint="eastAsia" w:ascii="仿宋_GB2312" w:eastAsia="仿宋_GB2312"/>
                <w:kern w:val="0"/>
                <w:sz w:val="24"/>
                <w:szCs w:val="24"/>
              </w:rPr>
              <w:t>正回购或逆回购</w:t>
            </w:r>
          </w:p>
        </w:tc>
      </w:tr>
      <w:tr w14:paraId="7A243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0" w:type="pct"/>
          </w:tcPr>
          <w:p w14:paraId="5059195E">
            <w:pPr>
              <w:adjustRightInd w:val="0"/>
              <w:snapToGrid w:val="0"/>
              <w:rPr>
                <w:rFonts w:ascii="仿宋_GB2312" w:eastAsia="仿宋_GB2312"/>
                <w:b/>
                <w:kern w:val="0"/>
                <w:sz w:val="24"/>
                <w:szCs w:val="24"/>
              </w:rPr>
            </w:pPr>
            <w:r>
              <w:rPr>
                <w:rFonts w:hint="eastAsia" w:ascii="仿宋_GB2312" w:eastAsia="仿宋_GB2312"/>
                <w:b/>
                <w:kern w:val="0"/>
                <w:sz w:val="24"/>
                <w:szCs w:val="24"/>
              </w:rPr>
              <w:t>回购期限</w:t>
            </w:r>
          </w:p>
        </w:tc>
        <w:tc>
          <w:tcPr>
            <w:tcW w:w="3689" w:type="pct"/>
          </w:tcPr>
          <w:p w14:paraId="2376F620">
            <w:pPr>
              <w:adjustRightInd w:val="0"/>
              <w:snapToGrid w:val="0"/>
              <w:rPr>
                <w:rFonts w:ascii="仿宋_GB2312" w:eastAsia="仿宋_GB2312"/>
                <w:kern w:val="0"/>
                <w:sz w:val="24"/>
                <w:szCs w:val="24"/>
              </w:rPr>
            </w:pPr>
            <w:r>
              <w:rPr>
                <w:rFonts w:hint="eastAsia" w:ascii="仿宋_GB2312" w:eastAsia="仿宋_GB2312"/>
                <w:kern w:val="0"/>
                <w:sz w:val="24"/>
                <w:szCs w:val="24"/>
              </w:rPr>
              <w:t>回购到期日-成交日期</w:t>
            </w:r>
          </w:p>
        </w:tc>
      </w:tr>
      <w:tr w14:paraId="3D919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10" w:type="pct"/>
          </w:tcPr>
          <w:p w14:paraId="4A65F130">
            <w:pPr>
              <w:adjustRightInd w:val="0"/>
              <w:snapToGrid w:val="0"/>
              <w:rPr>
                <w:rFonts w:ascii="仿宋_GB2312" w:eastAsia="仿宋_GB2312"/>
                <w:b/>
                <w:kern w:val="0"/>
                <w:sz w:val="24"/>
                <w:szCs w:val="24"/>
              </w:rPr>
            </w:pPr>
            <w:r>
              <w:rPr>
                <w:rFonts w:hint="eastAsia" w:ascii="仿宋_GB2312" w:eastAsia="仿宋_GB2312"/>
                <w:b/>
                <w:kern w:val="0"/>
                <w:sz w:val="24"/>
                <w:szCs w:val="24"/>
              </w:rPr>
              <w:t>质押券代码</w:t>
            </w:r>
          </w:p>
        </w:tc>
        <w:tc>
          <w:tcPr>
            <w:tcW w:w="3689" w:type="pct"/>
          </w:tcPr>
          <w:p w14:paraId="4280821F">
            <w:pPr>
              <w:adjustRightInd w:val="0"/>
              <w:snapToGrid w:val="0"/>
              <w:rPr>
                <w:rFonts w:ascii="仿宋_GB2312" w:eastAsia="仿宋_GB2312"/>
                <w:kern w:val="0"/>
                <w:sz w:val="24"/>
                <w:szCs w:val="24"/>
              </w:rPr>
            </w:pPr>
            <w:r>
              <w:rPr>
                <w:rFonts w:hint="eastAsia" w:ascii="仿宋_GB2312" w:eastAsia="仿宋_GB2312"/>
                <w:kern w:val="0"/>
                <w:sz w:val="24"/>
                <w:szCs w:val="24"/>
              </w:rPr>
              <w:t>质押债券的代码</w:t>
            </w:r>
          </w:p>
        </w:tc>
      </w:tr>
      <w:tr w14:paraId="4A50C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0" w:type="pct"/>
          </w:tcPr>
          <w:p w14:paraId="20F19831">
            <w:pPr>
              <w:adjustRightInd w:val="0"/>
              <w:snapToGrid w:val="0"/>
              <w:rPr>
                <w:rFonts w:ascii="仿宋_GB2312" w:eastAsia="仿宋_GB2312"/>
                <w:b/>
                <w:kern w:val="0"/>
                <w:sz w:val="24"/>
                <w:szCs w:val="24"/>
              </w:rPr>
            </w:pPr>
            <w:r>
              <w:rPr>
                <w:rFonts w:hint="eastAsia" w:ascii="仿宋_GB2312" w:eastAsia="仿宋_GB2312"/>
                <w:b/>
                <w:kern w:val="0"/>
                <w:sz w:val="24"/>
                <w:szCs w:val="24"/>
              </w:rPr>
              <w:t>质押券简称</w:t>
            </w:r>
          </w:p>
        </w:tc>
        <w:tc>
          <w:tcPr>
            <w:tcW w:w="3689" w:type="pct"/>
          </w:tcPr>
          <w:p w14:paraId="2FE884FF">
            <w:pPr>
              <w:adjustRightInd w:val="0"/>
              <w:snapToGrid w:val="0"/>
              <w:rPr>
                <w:rFonts w:ascii="仿宋_GB2312" w:eastAsia="仿宋_GB2312"/>
                <w:kern w:val="0"/>
                <w:sz w:val="24"/>
                <w:szCs w:val="24"/>
              </w:rPr>
            </w:pPr>
            <w:r>
              <w:rPr>
                <w:rFonts w:hint="eastAsia" w:ascii="仿宋_GB2312" w:eastAsia="仿宋_GB2312"/>
                <w:kern w:val="0"/>
                <w:sz w:val="24"/>
                <w:szCs w:val="24"/>
              </w:rPr>
              <w:t>质押债券的简称</w:t>
            </w:r>
          </w:p>
        </w:tc>
      </w:tr>
      <w:tr w14:paraId="3AF50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0" w:type="pct"/>
          </w:tcPr>
          <w:p w14:paraId="7828D761">
            <w:pPr>
              <w:adjustRightInd w:val="0"/>
              <w:snapToGrid w:val="0"/>
              <w:rPr>
                <w:rFonts w:ascii="仿宋_GB2312" w:eastAsia="仿宋_GB2312"/>
                <w:b/>
                <w:kern w:val="0"/>
                <w:sz w:val="24"/>
                <w:szCs w:val="24"/>
              </w:rPr>
            </w:pPr>
            <w:r>
              <w:rPr>
                <w:rFonts w:hint="eastAsia" w:ascii="仿宋_GB2312" w:eastAsia="仿宋_GB2312"/>
                <w:b/>
                <w:kern w:val="0"/>
                <w:sz w:val="24"/>
                <w:szCs w:val="24"/>
              </w:rPr>
              <w:t>回购利率</w:t>
            </w:r>
          </w:p>
        </w:tc>
        <w:tc>
          <w:tcPr>
            <w:tcW w:w="3689" w:type="pct"/>
          </w:tcPr>
          <w:p w14:paraId="1AC8EB34">
            <w:pPr>
              <w:adjustRightInd w:val="0"/>
              <w:snapToGrid w:val="0"/>
              <w:rPr>
                <w:rFonts w:ascii="仿宋_GB2312" w:eastAsia="仿宋_GB2312"/>
                <w:kern w:val="0"/>
                <w:sz w:val="24"/>
                <w:szCs w:val="24"/>
              </w:rPr>
            </w:pPr>
            <w:r>
              <w:rPr>
                <w:rFonts w:hint="eastAsia" w:ascii="仿宋_GB2312" w:eastAsia="仿宋_GB2312"/>
                <w:kern w:val="0"/>
                <w:sz w:val="24"/>
                <w:szCs w:val="24"/>
              </w:rPr>
              <w:t>正回购方付给逆回购方的资金价格</w:t>
            </w:r>
          </w:p>
        </w:tc>
      </w:tr>
      <w:tr w14:paraId="3555E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0" w:type="pct"/>
          </w:tcPr>
          <w:p w14:paraId="65C42937">
            <w:pPr>
              <w:adjustRightInd w:val="0"/>
              <w:snapToGrid w:val="0"/>
              <w:rPr>
                <w:rFonts w:ascii="仿宋_GB2312" w:eastAsia="仿宋_GB2312"/>
                <w:b/>
                <w:kern w:val="0"/>
                <w:sz w:val="24"/>
                <w:szCs w:val="24"/>
              </w:rPr>
            </w:pPr>
            <w:r>
              <w:rPr>
                <w:rFonts w:hint="eastAsia" w:ascii="仿宋_GB2312" w:eastAsia="仿宋_GB2312"/>
                <w:b/>
                <w:kern w:val="0"/>
                <w:sz w:val="24"/>
                <w:szCs w:val="24"/>
              </w:rPr>
              <w:t>折算比例</w:t>
            </w:r>
          </w:p>
        </w:tc>
        <w:tc>
          <w:tcPr>
            <w:tcW w:w="3689" w:type="pct"/>
          </w:tcPr>
          <w:p w14:paraId="12074BE7">
            <w:pPr>
              <w:adjustRightInd w:val="0"/>
              <w:snapToGrid w:val="0"/>
              <w:rPr>
                <w:rFonts w:ascii="仿宋_GB2312" w:eastAsia="仿宋_GB2312"/>
                <w:kern w:val="0"/>
                <w:sz w:val="24"/>
                <w:szCs w:val="24"/>
              </w:rPr>
            </w:pPr>
            <w:r>
              <w:rPr>
                <w:rFonts w:hint="eastAsia" w:ascii="仿宋_GB2312" w:eastAsia="仿宋_GB2312"/>
                <w:kern w:val="0"/>
                <w:sz w:val="24"/>
                <w:szCs w:val="24"/>
              </w:rPr>
              <w:t>成交金额/质押券总面额</w:t>
            </w:r>
            <w:r>
              <w:rPr>
                <w:rFonts w:ascii="仿宋_GB2312" w:eastAsia="仿宋_GB2312"/>
                <w:kern w:val="0"/>
                <w:sz w:val="24"/>
                <w:szCs w:val="24"/>
              </w:rPr>
              <w:t>*100%</w:t>
            </w:r>
          </w:p>
        </w:tc>
      </w:tr>
      <w:tr w14:paraId="3A26E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10" w:type="pct"/>
          </w:tcPr>
          <w:p w14:paraId="68B69AE5">
            <w:pPr>
              <w:adjustRightInd w:val="0"/>
              <w:snapToGrid w:val="0"/>
              <w:rPr>
                <w:rFonts w:ascii="仿宋_GB2312" w:eastAsia="仿宋_GB2312"/>
                <w:b/>
                <w:kern w:val="0"/>
                <w:sz w:val="24"/>
                <w:szCs w:val="24"/>
              </w:rPr>
            </w:pPr>
            <w:r>
              <w:rPr>
                <w:rFonts w:hint="eastAsia" w:ascii="仿宋_GB2312" w:eastAsia="仿宋_GB2312"/>
                <w:b/>
                <w:kern w:val="0"/>
                <w:sz w:val="24"/>
                <w:szCs w:val="24"/>
              </w:rPr>
              <w:t>质押数量</w:t>
            </w:r>
          </w:p>
        </w:tc>
        <w:tc>
          <w:tcPr>
            <w:tcW w:w="3689" w:type="pct"/>
          </w:tcPr>
          <w:p w14:paraId="18B220EF">
            <w:pPr>
              <w:adjustRightInd w:val="0"/>
              <w:snapToGrid w:val="0"/>
              <w:rPr>
                <w:rFonts w:ascii="仿宋_GB2312" w:eastAsia="仿宋_GB2312"/>
                <w:kern w:val="0"/>
                <w:sz w:val="24"/>
                <w:szCs w:val="24"/>
              </w:rPr>
            </w:pPr>
            <w:r>
              <w:rPr>
                <w:rFonts w:hint="eastAsia" w:ascii="仿宋_GB2312" w:eastAsia="仿宋_GB2312"/>
                <w:kern w:val="0"/>
                <w:sz w:val="24"/>
                <w:szCs w:val="24"/>
              </w:rPr>
              <w:t>质押券数量，以千元面额为单位</w:t>
            </w:r>
          </w:p>
        </w:tc>
      </w:tr>
      <w:tr w14:paraId="45A55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0" w:type="pct"/>
          </w:tcPr>
          <w:p w14:paraId="2EBDAE21">
            <w:pPr>
              <w:adjustRightInd w:val="0"/>
              <w:snapToGrid w:val="0"/>
              <w:rPr>
                <w:rFonts w:ascii="仿宋_GB2312" w:eastAsia="仿宋_GB2312"/>
                <w:b/>
                <w:kern w:val="0"/>
                <w:sz w:val="24"/>
                <w:szCs w:val="24"/>
              </w:rPr>
            </w:pPr>
            <w:r>
              <w:rPr>
                <w:rFonts w:hint="eastAsia" w:ascii="仿宋_GB2312" w:eastAsia="仿宋_GB2312"/>
                <w:b/>
                <w:kern w:val="0"/>
                <w:sz w:val="24"/>
                <w:szCs w:val="24"/>
              </w:rPr>
              <w:t>质押券总面额</w:t>
            </w:r>
          </w:p>
        </w:tc>
        <w:tc>
          <w:tcPr>
            <w:tcW w:w="3689" w:type="pct"/>
          </w:tcPr>
          <w:p w14:paraId="511E2BB4">
            <w:pPr>
              <w:adjustRightInd w:val="0"/>
              <w:snapToGrid w:val="0"/>
              <w:rPr>
                <w:rFonts w:ascii="仿宋_GB2312" w:eastAsia="仿宋_GB2312"/>
                <w:kern w:val="0"/>
                <w:sz w:val="24"/>
                <w:szCs w:val="24"/>
              </w:rPr>
            </w:pPr>
            <w:r>
              <w:rPr>
                <w:rFonts w:hint="eastAsia" w:ascii="仿宋_GB2312" w:eastAsia="仿宋_GB2312"/>
                <w:kern w:val="0"/>
                <w:sz w:val="24"/>
                <w:szCs w:val="24"/>
              </w:rPr>
              <w:t>质押券数量*单张质押券面额</w:t>
            </w:r>
          </w:p>
        </w:tc>
      </w:tr>
      <w:tr w14:paraId="655C8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0" w:type="pct"/>
          </w:tcPr>
          <w:p w14:paraId="27DE7FCC">
            <w:pPr>
              <w:adjustRightInd w:val="0"/>
              <w:snapToGrid w:val="0"/>
              <w:rPr>
                <w:rFonts w:ascii="仿宋_GB2312" w:eastAsia="仿宋_GB2312"/>
                <w:b/>
                <w:kern w:val="0"/>
                <w:sz w:val="24"/>
                <w:szCs w:val="24"/>
              </w:rPr>
            </w:pPr>
            <w:r>
              <w:rPr>
                <w:rFonts w:hint="eastAsia" w:ascii="仿宋_GB2312" w:eastAsia="仿宋_GB2312"/>
                <w:b/>
                <w:kern w:val="0"/>
                <w:sz w:val="24"/>
                <w:szCs w:val="24"/>
              </w:rPr>
              <w:t>成交金额</w:t>
            </w:r>
          </w:p>
        </w:tc>
        <w:tc>
          <w:tcPr>
            <w:tcW w:w="3689" w:type="pct"/>
          </w:tcPr>
          <w:p w14:paraId="2B13F3A1">
            <w:pPr>
              <w:adjustRightInd w:val="0"/>
              <w:snapToGrid w:val="0"/>
              <w:rPr>
                <w:rFonts w:ascii="仿宋_GB2312" w:eastAsia="仿宋_GB2312"/>
                <w:kern w:val="0"/>
                <w:sz w:val="24"/>
                <w:szCs w:val="24"/>
              </w:rPr>
            </w:pPr>
            <w:r>
              <w:rPr>
                <w:rFonts w:hint="eastAsia" w:ascii="仿宋_GB2312" w:eastAsia="仿宋_GB2312"/>
                <w:kern w:val="0"/>
                <w:sz w:val="24"/>
                <w:szCs w:val="24"/>
              </w:rPr>
              <w:t>正回购方融入的资金额度</w:t>
            </w:r>
          </w:p>
        </w:tc>
      </w:tr>
      <w:tr w14:paraId="0589B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0" w:type="pct"/>
          </w:tcPr>
          <w:p w14:paraId="5F13434E">
            <w:pPr>
              <w:adjustRightInd w:val="0"/>
              <w:snapToGrid w:val="0"/>
              <w:rPr>
                <w:rFonts w:ascii="仿宋_GB2312" w:eastAsia="仿宋_GB2312"/>
                <w:b/>
                <w:kern w:val="0"/>
                <w:sz w:val="24"/>
                <w:szCs w:val="24"/>
              </w:rPr>
            </w:pPr>
            <w:r>
              <w:rPr>
                <w:rFonts w:hint="eastAsia" w:ascii="仿宋_GB2312" w:eastAsia="仿宋_GB2312"/>
                <w:b/>
                <w:kern w:val="0"/>
                <w:sz w:val="24"/>
                <w:szCs w:val="24"/>
              </w:rPr>
              <w:t>回购到期日</w:t>
            </w:r>
          </w:p>
        </w:tc>
        <w:tc>
          <w:tcPr>
            <w:tcW w:w="3689" w:type="pct"/>
          </w:tcPr>
          <w:p w14:paraId="3B4A4B10">
            <w:pPr>
              <w:adjustRightInd w:val="0"/>
              <w:snapToGrid w:val="0"/>
              <w:rPr>
                <w:rFonts w:ascii="仿宋_GB2312" w:eastAsia="仿宋_GB2312"/>
                <w:kern w:val="0"/>
                <w:sz w:val="24"/>
                <w:szCs w:val="24"/>
              </w:rPr>
            </w:pPr>
            <w:r>
              <w:rPr>
                <w:rFonts w:hint="eastAsia" w:ascii="仿宋_GB2312" w:eastAsia="仿宋_GB2312"/>
                <w:kern w:val="0"/>
                <w:sz w:val="24"/>
                <w:szCs w:val="24"/>
              </w:rPr>
              <w:t>债券交易参与人确定的回购到期日期</w:t>
            </w:r>
          </w:p>
        </w:tc>
      </w:tr>
      <w:tr w14:paraId="696E7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10" w:type="pct"/>
          </w:tcPr>
          <w:p w14:paraId="4F09C006">
            <w:pPr>
              <w:adjustRightInd w:val="0"/>
              <w:snapToGrid w:val="0"/>
              <w:rPr>
                <w:rFonts w:ascii="仿宋_GB2312" w:eastAsia="仿宋_GB2312"/>
                <w:b/>
                <w:kern w:val="0"/>
                <w:sz w:val="24"/>
                <w:szCs w:val="24"/>
              </w:rPr>
            </w:pPr>
            <w:r>
              <w:rPr>
                <w:rFonts w:hint="eastAsia" w:ascii="仿宋_GB2312" w:eastAsia="仿宋_GB2312"/>
                <w:b/>
                <w:kern w:val="0"/>
                <w:sz w:val="24"/>
                <w:szCs w:val="24"/>
              </w:rPr>
              <w:t>首次结算日</w:t>
            </w:r>
          </w:p>
        </w:tc>
        <w:tc>
          <w:tcPr>
            <w:tcW w:w="3689" w:type="pct"/>
          </w:tcPr>
          <w:p w14:paraId="584AD412">
            <w:pPr>
              <w:adjustRightInd w:val="0"/>
              <w:snapToGrid w:val="0"/>
              <w:rPr>
                <w:rFonts w:ascii="仿宋_GB2312" w:eastAsia="仿宋_GB2312"/>
                <w:kern w:val="0"/>
                <w:sz w:val="24"/>
                <w:szCs w:val="24"/>
              </w:rPr>
            </w:pPr>
            <w:r>
              <w:rPr>
                <w:rFonts w:hint="eastAsia" w:ascii="仿宋_GB2312" w:eastAsia="仿宋_GB2312"/>
                <w:kern w:val="0"/>
                <w:sz w:val="24"/>
                <w:szCs w:val="24"/>
              </w:rPr>
              <w:t>T+0</w:t>
            </w:r>
          </w:p>
        </w:tc>
      </w:tr>
      <w:tr w14:paraId="319EA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1310" w:type="pct"/>
          </w:tcPr>
          <w:p w14:paraId="1D0EF0B6">
            <w:pPr>
              <w:adjustRightInd w:val="0"/>
              <w:snapToGrid w:val="0"/>
              <w:rPr>
                <w:rFonts w:ascii="仿宋_GB2312" w:eastAsia="仿宋_GB2312"/>
                <w:b/>
                <w:kern w:val="0"/>
                <w:sz w:val="24"/>
                <w:szCs w:val="24"/>
              </w:rPr>
            </w:pPr>
            <w:r>
              <w:rPr>
                <w:rFonts w:hint="eastAsia" w:ascii="仿宋_GB2312" w:eastAsia="仿宋_GB2312"/>
                <w:b/>
                <w:kern w:val="0"/>
                <w:sz w:val="24"/>
                <w:szCs w:val="24"/>
              </w:rPr>
              <w:t>到期结算日</w:t>
            </w:r>
          </w:p>
        </w:tc>
        <w:tc>
          <w:tcPr>
            <w:tcW w:w="3689" w:type="pct"/>
          </w:tcPr>
          <w:p w14:paraId="14813627">
            <w:pPr>
              <w:adjustRightInd w:val="0"/>
              <w:snapToGrid w:val="0"/>
              <w:rPr>
                <w:rFonts w:ascii="仿宋_GB2312" w:eastAsia="仿宋_GB2312"/>
                <w:kern w:val="0"/>
                <w:sz w:val="24"/>
                <w:szCs w:val="24"/>
              </w:rPr>
            </w:pPr>
            <w:r>
              <w:rPr>
                <w:rFonts w:hint="eastAsia" w:ascii="仿宋_GB2312" w:eastAsia="仿宋_GB2312"/>
                <w:kern w:val="0"/>
                <w:sz w:val="24"/>
                <w:szCs w:val="24"/>
              </w:rPr>
              <w:t>到期结算日</w:t>
            </w:r>
          </w:p>
        </w:tc>
      </w:tr>
      <w:tr w14:paraId="28EF2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1310" w:type="pct"/>
          </w:tcPr>
          <w:p w14:paraId="2A1B8E74">
            <w:pPr>
              <w:adjustRightInd w:val="0"/>
              <w:snapToGrid w:val="0"/>
              <w:rPr>
                <w:rFonts w:ascii="仿宋_GB2312" w:eastAsia="仿宋_GB2312"/>
                <w:b/>
                <w:kern w:val="0"/>
                <w:sz w:val="24"/>
                <w:szCs w:val="24"/>
              </w:rPr>
            </w:pPr>
            <w:r>
              <w:rPr>
                <w:rFonts w:hint="eastAsia" w:ascii="仿宋_GB2312" w:eastAsia="仿宋_GB2312"/>
                <w:b/>
                <w:kern w:val="0"/>
                <w:sz w:val="24"/>
                <w:szCs w:val="24"/>
              </w:rPr>
              <w:t>申报日期</w:t>
            </w:r>
          </w:p>
        </w:tc>
        <w:tc>
          <w:tcPr>
            <w:tcW w:w="3689" w:type="pct"/>
          </w:tcPr>
          <w:p w14:paraId="18B0C18B">
            <w:pPr>
              <w:adjustRightInd w:val="0"/>
              <w:snapToGrid w:val="0"/>
              <w:rPr>
                <w:rFonts w:ascii="仿宋_GB2312" w:eastAsia="仿宋_GB2312"/>
                <w:kern w:val="0"/>
                <w:sz w:val="24"/>
                <w:szCs w:val="24"/>
              </w:rPr>
            </w:pPr>
            <w:r>
              <w:rPr>
                <w:rFonts w:hint="eastAsia" w:ascii="仿宋_GB2312" w:eastAsia="仿宋_GB2312"/>
                <w:kern w:val="0"/>
                <w:sz w:val="24"/>
                <w:szCs w:val="24"/>
              </w:rPr>
              <w:t>交易日期</w:t>
            </w:r>
          </w:p>
        </w:tc>
      </w:tr>
      <w:tr w14:paraId="4E89E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1310" w:type="pct"/>
          </w:tcPr>
          <w:p w14:paraId="6409EACD">
            <w:pPr>
              <w:adjustRightInd w:val="0"/>
              <w:snapToGrid w:val="0"/>
              <w:rPr>
                <w:rFonts w:ascii="仿宋_GB2312" w:eastAsia="仿宋_GB2312"/>
                <w:b/>
                <w:kern w:val="0"/>
                <w:sz w:val="24"/>
                <w:szCs w:val="24"/>
              </w:rPr>
            </w:pPr>
            <w:r>
              <w:rPr>
                <w:rFonts w:hint="eastAsia" w:ascii="仿宋_GB2312" w:eastAsia="仿宋_GB2312"/>
                <w:b/>
                <w:kern w:val="0"/>
                <w:sz w:val="24"/>
                <w:szCs w:val="24"/>
              </w:rPr>
              <w:t>交易员代码</w:t>
            </w:r>
          </w:p>
        </w:tc>
        <w:tc>
          <w:tcPr>
            <w:tcW w:w="3689" w:type="pct"/>
          </w:tcPr>
          <w:p w14:paraId="644E4A53">
            <w:pPr>
              <w:adjustRightInd w:val="0"/>
              <w:snapToGrid w:val="0"/>
              <w:rPr>
                <w:rFonts w:ascii="仿宋_GB2312" w:eastAsia="仿宋_GB2312"/>
                <w:kern w:val="0"/>
                <w:sz w:val="24"/>
                <w:szCs w:val="24"/>
              </w:rPr>
            </w:pPr>
            <w:r>
              <w:rPr>
                <w:rFonts w:hint="eastAsia" w:ascii="仿宋_GB2312" w:eastAsia="仿宋_GB2312"/>
                <w:kern w:val="0"/>
                <w:sz w:val="24"/>
                <w:szCs w:val="24"/>
              </w:rPr>
              <w:t>意向申报方交易员代码</w:t>
            </w:r>
          </w:p>
        </w:tc>
      </w:tr>
      <w:tr w14:paraId="6693B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0" w:type="pct"/>
          </w:tcPr>
          <w:p w14:paraId="23B47537">
            <w:pPr>
              <w:adjustRightInd w:val="0"/>
              <w:snapToGrid w:val="0"/>
              <w:rPr>
                <w:rFonts w:ascii="仿宋_GB2312" w:eastAsia="仿宋_GB2312"/>
                <w:b/>
                <w:kern w:val="0"/>
                <w:sz w:val="24"/>
                <w:szCs w:val="24"/>
              </w:rPr>
            </w:pPr>
            <w:r>
              <w:rPr>
                <w:rFonts w:hint="eastAsia" w:ascii="仿宋_GB2312" w:eastAsia="仿宋_GB2312"/>
                <w:b/>
                <w:kern w:val="0"/>
                <w:sz w:val="24"/>
                <w:szCs w:val="24"/>
              </w:rPr>
              <w:t>交易员名称</w:t>
            </w:r>
          </w:p>
        </w:tc>
        <w:tc>
          <w:tcPr>
            <w:tcW w:w="3689" w:type="pct"/>
          </w:tcPr>
          <w:p w14:paraId="3D154D50">
            <w:pPr>
              <w:adjustRightInd w:val="0"/>
              <w:snapToGrid w:val="0"/>
              <w:rPr>
                <w:rFonts w:ascii="仿宋_GB2312" w:eastAsia="仿宋_GB2312"/>
                <w:kern w:val="0"/>
                <w:sz w:val="24"/>
                <w:szCs w:val="24"/>
              </w:rPr>
            </w:pPr>
            <w:r>
              <w:rPr>
                <w:rFonts w:hint="eastAsia" w:ascii="仿宋_GB2312" w:eastAsia="仿宋_GB2312"/>
                <w:kern w:val="0"/>
                <w:sz w:val="24"/>
                <w:szCs w:val="24"/>
              </w:rPr>
              <w:t>意向申报方交易员名称</w:t>
            </w:r>
          </w:p>
        </w:tc>
      </w:tr>
      <w:tr w14:paraId="717EE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0" w:type="pct"/>
          </w:tcPr>
          <w:p w14:paraId="56DF1FF4">
            <w:pPr>
              <w:adjustRightInd w:val="0"/>
              <w:snapToGrid w:val="0"/>
              <w:rPr>
                <w:rFonts w:ascii="仿宋_GB2312" w:eastAsia="仿宋_GB2312"/>
                <w:b/>
                <w:kern w:val="0"/>
                <w:sz w:val="24"/>
                <w:szCs w:val="24"/>
              </w:rPr>
            </w:pPr>
            <w:r>
              <w:rPr>
                <w:rFonts w:hint="eastAsia" w:ascii="仿宋_GB2312" w:eastAsia="仿宋_GB2312"/>
                <w:b/>
                <w:kern w:val="0"/>
                <w:sz w:val="24"/>
                <w:szCs w:val="24"/>
              </w:rPr>
              <w:t>债券交易参与人</w:t>
            </w:r>
          </w:p>
        </w:tc>
        <w:tc>
          <w:tcPr>
            <w:tcW w:w="3689" w:type="pct"/>
          </w:tcPr>
          <w:p w14:paraId="0CD2FB73">
            <w:pPr>
              <w:adjustRightInd w:val="0"/>
              <w:snapToGrid w:val="0"/>
              <w:rPr>
                <w:rFonts w:ascii="仿宋_GB2312" w:eastAsia="仿宋_GB2312"/>
                <w:kern w:val="0"/>
                <w:sz w:val="24"/>
                <w:szCs w:val="24"/>
              </w:rPr>
            </w:pPr>
            <w:r>
              <w:rPr>
                <w:rFonts w:hint="eastAsia" w:ascii="仿宋_GB2312" w:eastAsia="仿宋_GB2312"/>
                <w:kern w:val="0"/>
                <w:sz w:val="24"/>
                <w:szCs w:val="24"/>
              </w:rPr>
              <w:t>意向申报方债券交易参与人名称</w:t>
            </w:r>
          </w:p>
        </w:tc>
      </w:tr>
      <w:tr w14:paraId="1FBDF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0" w:type="pct"/>
          </w:tcPr>
          <w:p w14:paraId="4DF45B30">
            <w:pPr>
              <w:adjustRightInd w:val="0"/>
              <w:snapToGrid w:val="0"/>
              <w:rPr>
                <w:rFonts w:ascii="仿宋_GB2312" w:eastAsia="仿宋_GB2312"/>
                <w:b/>
                <w:kern w:val="0"/>
                <w:sz w:val="24"/>
                <w:szCs w:val="24"/>
              </w:rPr>
            </w:pPr>
            <w:r>
              <w:rPr>
                <w:rFonts w:hint="eastAsia" w:ascii="仿宋_GB2312" w:eastAsia="仿宋_GB2312"/>
                <w:b/>
                <w:kern w:val="0"/>
                <w:sz w:val="24"/>
                <w:szCs w:val="24"/>
              </w:rPr>
              <w:t>备注</w:t>
            </w:r>
          </w:p>
        </w:tc>
        <w:tc>
          <w:tcPr>
            <w:tcW w:w="3689" w:type="pct"/>
          </w:tcPr>
          <w:p w14:paraId="417B8C23">
            <w:pPr>
              <w:adjustRightInd w:val="0"/>
              <w:snapToGrid w:val="0"/>
              <w:rPr>
                <w:rFonts w:ascii="仿宋_GB2312" w:eastAsia="仿宋_GB2312"/>
                <w:kern w:val="0"/>
                <w:sz w:val="24"/>
                <w:szCs w:val="24"/>
              </w:rPr>
            </w:pPr>
            <w:r>
              <w:rPr>
                <w:rFonts w:hint="eastAsia" w:ascii="仿宋_GB2312" w:eastAsia="仿宋_GB2312"/>
                <w:kern w:val="0"/>
                <w:sz w:val="24"/>
                <w:szCs w:val="24"/>
              </w:rPr>
              <w:t>输入联系方式等信息</w:t>
            </w:r>
          </w:p>
        </w:tc>
      </w:tr>
    </w:tbl>
    <w:p w14:paraId="4A56239D">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2）协商成交申报</w:t>
      </w:r>
      <w:bookmarkStart w:id="2037" w:name="18"/>
    </w:p>
    <w:bookmarkEnd w:id="2037"/>
    <w:p w14:paraId="490B4EF6">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协议回购经双方协商一致后，由正回购方通过固定收益平台进行协商成交申报。协商成交申报由正回购方填妥交易要素后发送到逆回购方，经逆回购方进行确认后，由固定收益平台确认成交。双方应当承认成交结果，并按约定履行义务。</w:t>
      </w:r>
    </w:p>
    <w:p w14:paraId="3B770BC6">
      <w:pPr>
        <w:adjustRightInd w:val="0"/>
        <w:snapToGrid w:val="0"/>
        <w:spacing w:line="600" w:lineRule="exact"/>
        <w:ind w:firstLine="600" w:firstLineChars="200"/>
        <w:rPr>
          <w:rFonts w:ascii="仿宋_GB2312" w:hAnsi="宋体" w:eastAsia="仿宋_GB2312"/>
          <w:sz w:val="30"/>
          <w:szCs w:val="30"/>
        </w:rPr>
      </w:pPr>
      <w:r>
        <w:rPr>
          <w:rFonts w:hint="eastAsia" w:ascii="仿宋_GB2312" w:hAnsi="Calibri" w:eastAsia="仿宋_GB2312"/>
          <w:sz w:val="30"/>
          <w:szCs w:val="30"/>
        </w:rPr>
        <w:t>协商成交申报的</w:t>
      </w:r>
      <w:r>
        <w:rPr>
          <w:rFonts w:hint="eastAsia" w:ascii="仿宋_GB2312" w:hAnsi="宋体" w:eastAsia="仿宋_GB2312"/>
          <w:sz w:val="30"/>
          <w:szCs w:val="30"/>
        </w:rPr>
        <w:t>具体要素及要素说明如下：</w:t>
      </w:r>
    </w:p>
    <w:tbl>
      <w:tblPr>
        <w:tblStyle w:val="43"/>
        <w:tblW w:w="87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37"/>
        <w:gridCol w:w="6018"/>
      </w:tblGrid>
      <w:tr w14:paraId="52B3A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37" w:type="dxa"/>
          </w:tcPr>
          <w:p w14:paraId="1B7F1E4C">
            <w:pPr>
              <w:adjustRightInd w:val="0"/>
              <w:snapToGrid w:val="0"/>
              <w:rPr>
                <w:rFonts w:ascii="仿宋_GB2312" w:eastAsia="仿宋_GB2312"/>
                <w:b/>
                <w:kern w:val="0"/>
                <w:sz w:val="24"/>
                <w:szCs w:val="24"/>
              </w:rPr>
            </w:pPr>
            <w:r>
              <w:rPr>
                <w:rFonts w:hint="eastAsia" w:ascii="仿宋_GB2312" w:eastAsia="仿宋_GB2312"/>
                <w:b/>
                <w:kern w:val="0"/>
                <w:sz w:val="24"/>
                <w:szCs w:val="24"/>
              </w:rPr>
              <w:t>要素名称</w:t>
            </w:r>
          </w:p>
        </w:tc>
        <w:tc>
          <w:tcPr>
            <w:tcW w:w="6018" w:type="dxa"/>
          </w:tcPr>
          <w:p w14:paraId="0C3BEEF0">
            <w:pPr>
              <w:adjustRightInd w:val="0"/>
              <w:snapToGrid w:val="0"/>
              <w:ind w:firstLine="482"/>
              <w:rPr>
                <w:rFonts w:ascii="仿宋_GB2312" w:eastAsia="仿宋_GB2312"/>
                <w:b/>
                <w:kern w:val="0"/>
                <w:sz w:val="24"/>
                <w:szCs w:val="24"/>
              </w:rPr>
            </w:pPr>
            <w:r>
              <w:rPr>
                <w:rFonts w:hint="eastAsia" w:ascii="仿宋_GB2312" w:eastAsia="仿宋_GB2312"/>
                <w:b/>
                <w:kern w:val="0"/>
                <w:sz w:val="24"/>
                <w:szCs w:val="24"/>
              </w:rPr>
              <w:t>要素说明</w:t>
            </w:r>
          </w:p>
        </w:tc>
      </w:tr>
      <w:tr w14:paraId="0A703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37" w:type="dxa"/>
          </w:tcPr>
          <w:p w14:paraId="64EDE71A">
            <w:pPr>
              <w:adjustRightInd w:val="0"/>
              <w:snapToGrid w:val="0"/>
              <w:rPr>
                <w:rFonts w:ascii="仿宋_GB2312" w:eastAsia="仿宋_GB2312"/>
                <w:b/>
                <w:kern w:val="0"/>
                <w:sz w:val="24"/>
                <w:szCs w:val="24"/>
              </w:rPr>
            </w:pPr>
            <w:r>
              <w:rPr>
                <w:rFonts w:hint="eastAsia" w:ascii="仿宋_GB2312" w:eastAsia="仿宋_GB2312"/>
                <w:b/>
                <w:kern w:val="0"/>
                <w:sz w:val="24"/>
                <w:szCs w:val="24"/>
              </w:rPr>
              <w:t>回购方向</w:t>
            </w:r>
          </w:p>
        </w:tc>
        <w:tc>
          <w:tcPr>
            <w:tcW w:w="6018" w:type="dxa"/>
          </w:tcPr>
          <w:p w14:paraId="075E1792">
            <w:pPr>
              <w:adjustRightInd w:val="0"/>
              <w:snapToGrid w:val="0"/>
              <w:rPr>
                <w:rFonts w:ascii="仿宋_GB2312" w:eastAsia="仿宋_GB2312"/>
                <w:kern w:val="0"/>
                <w:sz w:val="24"/>
                <w:szCs w:val="24"/>
              </w:rPr>
            </w:pPr>
            <w:r>
              <w:rPr>
                <w:rFonts w:hint="eastAsia" w:ascii="仿宋_GB2312" w:eastAsia="仿宋_GB2312"/>
                <w:kern w:val="0"/>
                <w:sz w:val="24"/>
                <w:szCs w:val="24"/>
              </w:rPr>
              <w:t>默认正回购，协商成交申报只能正回购方发起</w:t>
            </w:r>
          </w:p>
        </w:tc>
      </w:tr>
      <w:tr w14:paraId="4D546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37" w:type="dxa"/>
          </w:tcPr>
          <w:p w14:paraId="7E4059C2">
            <w:pPr>
              <w:adjustRightInd w:val="0"/>
              <w:snapToGrid w:val="0"/>
              <w:rPr>
                <w:rFonts w:ascii="仿宋_GB2312" w:eastAsia="仿宋_GB2312"/>
                <w:b/>
                <w:kern w:val="0"/>
                <w:sz w:val="24"/>
                <w:szCs w:val="24"/>
              </w:rPr>
            </w:pPr>
            <w:r>
              <w:rPr>
                <w:rFonts w:hint="eastAsia" w:ascii="仿宋_GB2312" w:eastAsia="仿宋_GB2312"/>
                <w:b/>
                <w:kern w:val="0"/>
                <w:sz w:val="24"/>
                <w:szCs w:val="24"/>
              </w:rPr>
              <w:t>回购期限</w:t>
            </w:r>
          </w:p>
        </w:tc>
        <w:tc>
          <w:tcPr>
            <w:tcW w:w="6018" w:type="dxa"/>
          </w:tcPr>
          <w:p w14:paraId="2372EBE5">
            <w:pPr>
              <w:adjustRightInd w:val="0"/>
              <w:snapToGrid w:val="0"/>
              <w:rPr>
                <w:rFonts w:ascii="仿宋_GB2312" w:eastAsia="仿宋_GB2312"/>
                <w:kern w:val="0"/>
                <w:sz w:val="24"/>
                <w:szCs w:val="24"/>
              </w:rPr>
            </w:pPr>
            <w:r>
              <w:rPr>
                <w:rFonts w:hint="eastAsia" w:ascii="仿宋_GB2312" w:eastAsia="仿宋_GB2312"/>
                <w:kern w:val="0"/>
                <w:sz w:val="24"/>
                <w:szCs w:val="24"/>
              </w:rPr>
              <w:t>即成交日至回购到期日的实际天数。回购期限按自然日计算，以天为单位，含成交日，不含回购到期日；</w:t>
            </w:r>
          </w:p>
        </w:tc>
      </w:tr>
      <w:tr w14:paraId="33EB7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37" w:type="dxa"/>
          </w:tcPr>
          <w:p w14:paraId="201D4925">
            <w:pPr>
              <w:adjustRightInd w:val="0"/>
              <w:snapToGrid w:val="0"/>
              <w:rPr>
                <w:rFonts w:ascii="仿宋_GB2312" w:eastAsia="仿宋_GB2312"/>
                <w:b/>
                <w:kern w:val="0"/>
                <w:sz w:val="24"/>
                <w:szCs w:val="24"/>
              </w:rPr>
            </w:pPr>
            <w:r>
              <w:rPr>
                <w:rFonts w:hint="eastAsia" w:ascii="仿宋_GB2312" w:eastAsia="仿宋_GB2312"/>
                <w:b/>
                <w:kern w:val="0"/>
                <w:sz w:val="24"/>
                <w:szCs w:val="24"/>
              </w:rPr>
              <w:t>首次结算日</w:t>
            </w:r>
          </w:p>
        </w:tc>
        <w:tc>
          <w:tcPr>
            <w:tcW w:w="6018" w:type="dxa"/>
          </w:tcPr>
          <w:p w14:paraId="4E6C5187">
            <w:pPr>
              <w:adjustRightInd w:val="0"/>
              <w:snapToGrid w:val="0"/>
              <w:rPr>
                <w:rFonts w:ascii="仿宋_GB2312" w:eastAsia="仿宋_GB2312"/>
                <w:kern w:val="0"/>
                <w:sz w:val="24"/>
                <w:szCs w:val="24"/>
              </w:rPr>
            </w:pPr>
            <w:r>
              <w:rPr>
                <w:rFonts w:hint="eastAsia" w:ascii="仿宋_GB2312" w:eastAsia="仿宋_GB2312"/>
                <w:kern w:val="0"/>
                <w:sz w:val="24"/>
                <w:szCs w:val="24"/>
              </w:rPr>
              <w:t>T+0</w:t>
            </w:r>
          </w:p>
        </w:tc>
      </w:tr>
      <w:tr w14:paraId="156F0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37" w:type="dxa"/>
          </w:tcPr>
          <w:p w14:paraId="6DC4519A">
            <w:pPr>
              <w:adjustRightInd w:val="0"/>
              <w:snapToGrid w:val="0"/>
              <w:rPr>
                <w:rFonts w:ascii="仿宋_GB2312" w:eastAsia="仿宋_GB2312"/>
                <w:b/>
                <w:kern w:val="0"/>
                <w:sz w:val="24"/>
                <w:szCs w:val="24"/>
              </w:rPr>
            </w:pPr>
            <w:r>
              <w:rPr>
                <w:rFonts w:hint="eastAsia" w:ascii="仿宋_GB2312" w:eastAsia="仿宋_GB2312"/>
                <w:b/>
                <w:kern w:val="0"/>
                <w:sz w:val="24"/>
                <w:szCs w:val="24"/>
              </w:rPr>
              <w:t>回购到期日</w:t>
            </w:r>
          </w:p>
        </w:tc>
        <w:tc>
          <w:tcPr>
            <w:tcW w:w="6018" w:type="dxa"/>
          </w:tcPr>
          <w:p w14:paraId="0D77A5A2">
            <w:pPr>
              <w:adjustRightInd w:val="0"/>
              <w:snapToGrid w:val="0"/>
              <w:rPr>
                <w:rFonts w:ascii="仿宋_GB2312" w:eastAsia="仿宋_GB2312"/>
                <w:kern w:val="0"/>
                <w:sz w:val="24"/>
                <w:szCs w:val="24"/>
              </w:rPr>
            </w:pPr>
            <w:r>
              <w:rPr>
                <w:rFonts w:hint="eastAsia" w:ascii="仿宋_GB2312" w:eastAsia="仿宋_GB2312"/>
                <w:kern w:val="0"/>
                <w:sz w:val="24"/>
                <w:szCs w:val="24"/>
              </w:rPr>
              <w:t>回购双方确定的回购到期日期</w:t>
            </w:r>
          </w:p>
        </w:tc>
      </w:tr>
      <w:tr w14:paraId="3E4AB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37" w:type="dxa"/>
          </w:tcPr>
          <w:p w14:paraId="15D97517">
            <w:pPr>
              <w:adjustRightInd w:val="0"/>
              <w:snapToGrid w:val="0"/>
              <w:rPr>
                <w:rFonts w:ascii="仿宋_GB2312" w:eastAsia="仿宋_GB2312"/>
                <w:b/>
                <w:kern w:val="0"/>
                <w:sz w:val="24"/>
                <w:szCs w:val="24"/>
              </w:rPr>
            </w:pPr>
            <w:r>
              <w:rPr>
                <w:rFonts w:hint="eastAsia" w:ascii="仿宋_GB2312" w:eastAsia="仿宋_GB2312"/>
                <w:b/>
                <w:kern w:val="0"/>
                <w:sz w:val="24"/>
                <w:szCs w:val="24"/>
              </w:rPr>
              <w:t>证券账户</w:t>
            </w:r>
          </w:p>
        </w:tc>
        <w:tc>
          <w:tcPr>
            <w:tcW w:w="6018" w:type="dxa"/>
          </w:tcPr>
          <w:p w14:paraId="77B88332">
            <w:pPr>
              <w:adjustRightInd w:val="0"/>
              <w:snapToGrid w:val="0"/>
              <w:rPr>
                <w:rFonts w:ascii="仿宋_GB2312" w:eastAsia="仿宋_GB2312"/>
                <w:kern w:val="0"/>
                <w:sz w:val="24"/>
                <w:szCs w:val="24"/>
              </w:rPr>
            </w:pPr>
            <w:r>
              <w:rPr>
                <w:rFonts w:hint="eastAsia" w:ascii="仿宋_GB2312" w:eastAsia="仿宋_GB2312"/>
                <w:kern w:val="0"/>
                <w:sz w:val="24"/>
                <w:szCs w:val="24"/>
              </w:rPr>
              <w:t>正回购方的证券账户</w:t>
            </w:r>
          </w:p>
        </w:tc>
      </w:tr>
      <w:tr w14:paraId="6FEBB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37" w:type="dxa"/>
          </w:tcPr>
          <w:p w14:paraId="364307A7">
            <w:pPr>
              <w:adjustRightInd w:val="0"/>
              <w:snapToGrid w:val="0"/>
              <w:rPr>
                <w:rFonts w:ascii="仿宋_GB2312" w:eastAsia="仿宋_GB2312"/>
                <w:b/>
                <w:kern w:val="0"/>
                <w:sz w:val="24"/>
                <w:szCs w:val="24"/>
              </w:rPr>
            </w:pPr>
            <w:r>
              <w:rPr>
                <w:rFonts w:hint="eastAsia" w:ascii="仿宋_GB2312" w:eastAsia="仿宋_GB2312"/>
                <w:b/>
                <w:kern w:val="0"/>
                <w:sz w:val="24"/>
                <w:szCs w:val="24"/>
              </w:rPr>
              <w:t>交易单元号</w:t>
            </w:r>
          </w:p>
        </w:tc>
        <w:tc>
          <w:tcPr>
            <w:tcW w:w="6018" w:type="dxa"/>
          </w:tcPr>
          <w:p w14:paraId="77A5AEB1">
            <w:pPr>
              <w:adjustRightInd w:val="0"/>
              <w:snapToGrid w:val="0"/>
              <w:rPr>
                <w:rFonts w:ascii="仿宋_GB2312" w:eastAsia="仿宋_GB2312"/>
                <w:kern w:val="0"/>
                <w:sz w:val="24"/>
                <w:szCs w:val="24"/>
              </w:rPr>
            </w:pPr>
            <w:r>
              <w:rPr>
                <w:rFonts w:hint="eastAsia" w:ascii="仿宋_GB2312" w:eastAsia="仿宋_GB2312"/>
                <w:kern w:val="0"/>
                <w:sz w:val="24"/>
                <w:szCs w:val="24"/>
              </w:rPr>
              <w:t>正回购方证券账号指定交易单元号</w:t>
            </w:r>
          </w:p>
        </w:tc>
      </w:tr>
      <w:tr w14:paraId="58E88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37" w:type="dxa"/>
          </w:tcPr>
          <w:p w14:paraId="7F5AF092">
            <w:pPr>
              <w:adjustRightInd w:val="0"/>
              <w:snapToGrid w:val="0"/>
              <w:rPr>
                <w:rFonts w:ascii="仿宋_GB2312" w:eastAsia="仿宋_GB2312"/>
                <w:b/>
                <w:kern w:val="0"/>
                <w:sz w:val="24"/>
                <w:szCs w:val="24"/>
              </w:rPr>
            </w:pPr>
            <w:r>
              <w:rPr>
                <w:rFonts w:hint="eastAsia" w:ascii="仿宋_GB2312" w:eastAsia="仿宋_GB2312"/>
                <w:b/>
                <w:kern w:val="0"/>
                <w:sz w:val="24"/>
                <w:szCs w:val="24"/>
              </w:rPr>
              <w:t>对手方交易员代码</w:t>
            </w:r>
          </w:p>
        </w:tc>
        <w:tc>
          <w:tcPr>
            <w:tcW w:w="6018" w:type="dxa"/>
          </w:tcPr>
          <w:p w14:paraId="5507C5F9">
            <w:pPr>
              <w:adjustRightInd w:val="0"/>
              <w:snapToGrid w:val="0"/>
              <w:rPr>
                <w:rFonts w:ascii="仿宋_GB2312" w:eastAsia="仿宋_GB2312"/>
                <w:kern w:val="0"/>
                <w:sz w:val="24"/>
                <w:szCs w:val="24"/>
              </w:rPr>
            </w:pPr>
            <w:r>
              <w:rPr>
                <w:rFonts w:hint="eastAsia" w:ascii="仿宋_GB2312" w:eastAsia="仿宋_GB2312"/>
                <w:kern w:val="0"/>
                <w:sz w:val="24"/>
                <w:szCs w:val="24"/>
              </w:rPr>
              <w:t>对手方交易员代码</w:t>
            </w:r>
          </w:p>
        </w:tc>
      </w:tr>
      <w:tr w14:paraId="2AC12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37" w:type="dxa"/>
          </w:tcPr>
          <w:p w14:paraId="49BF4FEE">
            <w:pPr>
              <w:adjustRightInd w:val="0"/>
              <w:snapToGrid w:val="0"/>
              <w:rPr>
                <w:rFonts w:ascii="仿宋_GB2312" w:eastAsia="仿宋_GB2312"/>
                <w:b/>
                <w:kern w:val="0"/>
                <w:sz w:val="24"/>
                <w:szCs w:val="24"/>
              </w:rPr>
            </w:pPr>
            <w:r>
              <w:rPr>
                <w:rFonts w:hint="eastAsia" w:ascii="仿宋_GB2312" w:eastAsia="仿宋_GB2312"/>
                <w:b/>
                <w:kern w:val="0"/>
                <w:sz w:val="24"/>
                <w:szCs w:val="24"/>
              </w:rPr>
              <w:t>质押券代码</w:t>
            </w:r>
          </w:p>
        </w:tc>
        <w:tc>
          <w:tcPr>
            <w:tcW w:w="6018" w:type="dxa"/>
          </w:tcPr>
          <w:p w14:paraId="5AE17668">
            <w:pPr>
              <w:adjustRightInd w:val="0"/>
              <w:snapToGrid w:val="0"/>
              <w:rPr>
                <w:rFonts w:ascii="仿宋_GB2312" w:eastAsia="仿宋_GB2312"/>
                <w:kern w:val="0"/>
                <w:sz w:val="24"/>
                <w:szCs w:val="24"/>
              </w:rPr>
            </w:pPr>
            <w:r>
              <w:rPr>
                <w:rFonts w:hint="eastAsia" w:ascii="仿宋_GB2312" w:eastAsia="仿宋_GB2312"/>
                <w:kern w:val="0"/>
                <w:sz w:val="24"/>
                <w:szCs w:val="24"/>
              </w:rPr>
              <w:t>质押债券的代码</w:t>
            </w:r>
          </w:p>
        </w:tc>
      </w:tr>
      <w:tr w14:paraId="52894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37" w:type="dxa"/>
          </w:tcPr>
          <w:p w14:paraId="49AE8532">
            <w:pPr>
              <w:adjustRightInd w:val="0"/>
              <w:snapToGrid w:val="0"/>
              <w:rPr>
                <w:rFonts w:ascii="仿宋_GB2312" w:eastAsia="仿宋_GB2312"/>
                <w:b/>
                <w:kern w:val="0"/>
                <w:sz w:val="24"/>
                <w:szCs w:val="24"/>
              </w:rPr>
            </w:pPr>
            <w:r>
              <w:rPr>
                <w:rFonts w:hint="eastAsia" w:ascii="仿宋_GB2312" w:eastAsia="仿宋_GB2312"/>
                <w:b/>
                <w:kern w:val="0"/>
                <w:sz w:val="24"/>
                <w:szCs w:val="24"/>
              </w:rPr>
              <w:t>质押券数量</w:t>
            </w:r>
          </w:p>
        </w:tc>
        <w:tc>
          <w:tcPr>
            <w:tcW w:w="6018" w:type="dxa"/>
          </w:tcPr>
          <w:p w14:paraId="26282CD8">
            <w:pPr>
              <w:adjustRightInd w:val="0"/>
              <w:snapToGrid w:val="0"/>
              <w:rPr>
                <w:rFonts w:ascii="仿宋_GB2312" w:eastAsia="仿宋_GB2312"/>
                <w:kern w:val="0"/>
                <w:sz w:val="24"/>
                <w:szCs w:val="24"/>
              </w:rPr>
            </w:pPr>
            <w:r>
              <w:rPr>
                <w:rFonts w:hint="eastAsia" w:ascii="仿宋_GB2312" w:eastAsia="仿宋_GB2312"/>
                <w:kern w:val="0"/>
                <w:sz w:val="24"/>
                <w:szCs w:val="24"/>
              </w:rPr>
              <w:t>质押券数量，以千元面额为单位</w:t>
            </w:r>
          </w:p>
        </w:tc>
      </w:tr>
      <w:tr w14:paraId="3738E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37" w:type="dxa"/>
          </w:tcPr>
          <w:p w14:paraId="2EC6BBA8">
            <w:pPr>
              <w:adjustRightInd w:val="0"/>
              <w:snapToGrid w:val="0"/>
              <w:rPr>
                <w:rFonts w:ascii="仿宋_GB2312" w:eastAsia="仿宋_GB2312"/>
                <w:b/>
                <w:kern w:val="0"/>
                <w:sz w:val="24"/>
                <w:szCs w:val="24"/>
              </w:rPr>
            </w:pPr>
            <w:r>
              <w:rPr>
                <w:rFonts w:hint="eastAsia" w:ascii="仿宋_GB2312" w:eastAsia="仿宋_GB2312"/>
                <w:b/>
                <w:kern w:val="0"/>
                <w:sz w:val="24"/>
                <w:szCs w:val="24"/>
              </w:rPr>
              <w:t>折算比例</w:t>
            </w:r>
          </w:p>
        </w:tc>
        <w:tc>
          <w:tcPr>
            <w:tcW w:w="6018" w:type="dxa"/>
          </w:tcPr>
          <w:p w14:paraId="74FE4623">
            <w:pPr>
              <w:adjustRightInd w:val="0"/>
              <w:snapToGrid w:val="0"/>
              <w:rPr>
                <w:rFonts w:ascii="仿宋_GB2312" w:eastAsia="仿宋_GB2312"/>
                <w:kern w:val="0"/>
                <w:sz w:val="24"/>
                <w:szCs w:val="24"/>
              </w:rPr>
            </w:pPr>
            <w:r>
              <w:rPr>
                <w:rFonts w:hint="eastAsia" w:ascii="仿宋_GB2312" w:eastAsia="仿宋_GB2312"/>
                <w:kern w:val="0"/>
                <w:sz w:val="24"/>
                <w:szCs w:val="24"/>
              </w:rPr>
              <w:t>成交金额/质押券总面额</w:t>
            </w:r>
            <w:r>
              <w:rPr>
                <w:rFonts w:ascii="仿宋_GB2312" w:eastAsia="仿宋_GB2312"/>
                <w:kern w:val="0"/>
                <w:sz w:val="24"/>
                <w:szCs w:val="24"/>
              </w:rPr>
              <w:t>*100%</w:t>
            </w:r>
          </w:p>
        </w:tc>
      </w:tr>
      <w:tr w14:paraId="7A37E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2737" w:type="dxa"/>
          </w:tcPr>
          <w:p w14:paraId="719088B9">
            <w:pPr>
              <w:adjustRightInd w:val="0"/>
              <w:snapToGrid w:val="0"/>
              <w:rPr>
                <w:rFonts w:ascii="仿宋_GB2312" w:eastAsia="仿宋_GB2312"/>
                <w:b/>
                <w:kern w:val="0"/>
                <w:sz w:val="24"/>
                <w:szCs w:val="24"/>
              </w:rPr>
            </w:pPr>
            <w:r>
              <w:rPr>
                <w:rFonts w:hint="eastAsia" w:ascii="仿宋_GB2312" w:eastAsia="仿宋_GB2312"/>
                <w:b/>
                <w:kern w:val="0"/>
                <w:sz w:val="24"/>
                <w:szCs w:val="24"/>
              </w:rPr>
              <w:t>成交金额</w:t>
            </w:r>
          </w:p>
        </w:tc>
        <w:tc>
          <w:tcPr>
            <w:tcW w:w="6018" w:type="dxa"/>
          </w:tcPr>
          <w:p w14:paraId="71224404">
            <w:pPr>
              <w:adjustRightInd w:val="0"/>
              <w:snapToGrid w:val="0"/>
              <w:rPr>
                <w:rFonts w:ascii="仿宋_GB2312" w:eastAsia="仿宋_GB2312"/>
                <w:kern w:val="0"/>
                <w:sz w:val="24"/>
                <w:szCs w:val="24"/>
              </w:rPr>
            </w:pPr>
            <w:r>
              <w:rPr>
                <w:rFonts w:hint="eastAsia" w:ascii="仿宋_GB2312" w:eastAsia="仿宋_GB2312"/>
                <w:kern w:val="0"/>
                <w:sz w:val="24"/>
                <w:szCs w:val="24"/>
              </w:rPr>
              <w:t>正回购方融入的资金额度</w:t>
            </w:r>
          </w:p>
        </w:tc>
      </w:tr>
      <w:tr w14:paraId="00688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2737" w:type="dxa"/>
          </w:tcPr>
          <w:p w14:paraId="1062DB98">
            <w:pPr>
              <w:adjustRightInd w:val="0"/>
              <w:snapToGrid w:val="0"/>
              <w:rPr>
                <w:rFonts w:ascii="仿宋_GB2312" w:eastAsia="仿宋_GB2312"/>
                <w:b/>
                <w:kern w:val="0"/>
                <w:sz w:val="24"/>
                <w:szCs w:val="24"/>
              </w:rPr>
            </w:pPr>
            <w:r>
              <w:rPr>
                <w:rFonts w:hint="eastAsia" w:ascii="仿宋_GB2312" w:eastAsia="仿宋_GB2312"/>
                <w:b/>
                <w:kern w:val="0"/>
                <w:sz w:val="24"/>
                <w:szCs w:val="24"/>
              </w:rPr>
              <w:t>回购利率</w:t>
            </w:r>
          </w:p>
        </w:tc>
        <w:tc>
          <w:tcPr>
            <w:tcW w:w="6018" w:type="dxa"/>
          </w:tcPr>
          <w:p w14:paraId="1DE87E2C">
            <w:pPr>
              <w:adjustRightInd w:val="0"/>
              <w:snapToGrid w:val="0"/>
              <w:rPr>
                <w:rFonts w:ascii="仿宋_GB2312" w:eastAsia="仿宋_GB2312"/>
                <w:kern w:val="0"/>
                <w:sz w:val="24"/>
                <w:szCs w:val="24"/>
              </w:rPr>
            </w:pPr>
            <w:r>
              <w:rPr>
                <w:rFonts w:hint="eastAsia" w:ascii="仿宋_GB2312" w:eastAsia="仿宋_GB2312"/>
                <w:kern w:val="0"/>
                <w:sz w:val="24"/>
                <w:szCs w:val="24"/>
              </w:rPr>
              <w:t>即正回购方支付给逆回购方在回购期间融入资金的利息与融入资金的比例，以年利率（%）表示，保留三位小数</w:t>
            </w:r>
          </w:p>
        </w:tc>
      </w:tr>
      <w:tr w14:paraId="66F89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2737" w:type="dxa"/>
          </w:tcPr>
          <w:p w14:paraId="4DD41DCA">
            <w:pPr>
              <w:adjustRightInd w:val="0"/>
              <w:snapToGrid w:val="0"/>
              <w:rPr>
                <w:rFonts w:ascii="仿宋_GB2312" w:eastAsia="仿宋_GB2312"/>
                <w:b/>
                <w:kern w:val="0"/>
                <w:sz w:val="24"/>
                <w:szCs w:val="24"/>
              </w:rPr>
            </w:pPr>
            <w:r>
              <w:rPr>
                <w:rFonts w:hint="eastAsia" w:ascii="仿宋_GB2312" w:eastAsia="仿宋_GB2312"/>
                <w:b/>
                <w:kern w:val="0"/>
                <w:sz w:val="24"/>
                <w:szCs w:val="24"/>
              </w:rPr>
              <w:t>补充条款</w:t>
            </w:r>
          </w:p>
        </w:tc>
        <w:tc>
          <w:tcPr>
            <w:tcW w:w="6018" w:type="dxa"/>
          </w:tcPr>
          <w:p w14:paraId="6F56BA34">
            <w:pPr>
              <w:adjustRightInd w:val="0"/>
              <w:snapToGrid w:val="0"/>
              <w:rPr>
                <w:rFonts w:ascii="仿宋_GB2312" w:eastAsia="仿宋_GB2312"/>
                <w:kern w:val="0"/>
                <w:sz w:val="24"/>
                <w:szCs w:val="24"/>
              </w:rPr>
            </w:pPr>
            <w:r>
              <w:rPr>
                <w:rFonts w:hint="eastAsia" w:ascii="仿宋_GB2312" w:eastAsia="仿宋_GB2312"/>
                <w:kern w:val="0"/>
                <w:sz w:val="24"/>
                <w:szCs w:val="24"/>
              </w:rPr>
              <w:t>交易双方的补充约定条款</w:t>
            </w:r>
          </w:p>
        </w:tc>
      </w:tr>
      <w:tr w14:paraId="30E09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2737" w:type="dxa"/>
          </w:tcPr>
          <w:p w14:paraId="08346F04">
            <w:pPr>
              <w:adjustRightInd w:val="0"/>
              <w:snapToGrid w:val="0"/>
              <w:rPr>
                <w:rFonts w:ascii="仿宋_GB2312" w:eastAsia="仿宋_GB2312"/>
                <w:b/>
                <w:kern w:val="0"/>
                <w:sz w:val="24"/>
                <w:szCs w:val="24"/>
              </w:rPr>
            </w:pPr>
            <w:r>
              <w:rPr>
                <w:rFonts w:hint="eastAsia" w:ascii="仿宋_GB2312" w:eastAsia="仿宋_GB2312"/>
                <w:b/>
                <w:kern w:val="0"/>
                <w:sz w:val="24"/>
                <w:szCs w:val="24"/>
              </w:rPr>
              <w:t>成交日</w:t>
            </w:r>
          </w:p>
        </w:tc>
        <w:tc>
          <w:tcPr>
            <w:tcW w:w="6018" w:type="dxa"/>
          </w:tcPr>
          <w:p w14:paraId="5D64658A">
            <w:pPr>
              <w:adjustRightInd w:val="0"/>
              <w:snapToGrid w:val="0"/>
              <w:rPr>
                <w:rFonts w:ascii="仿宋_GB2312" w:eastAsia="仿宋_GB2312"/>
                <w:kern w:val="0"/>
                <w:sz w:val="24"/>
                <w:szCs w:val="24"/>
              </w:rPr>
            </w:pPr>
            <w:r>
              <w:rPr>
                <w:rFonts w:hint="eastAsia" w:ascii="仿宋_GB2312" w:eastAsia="仿宋_GB2312"/>
                <w:kern w:val="0"/>
                <w:sz w:val="24"/>
                <w:szCs w:val="24"/>
              </w:rPr>
              <w:t>当前交易日，自动显示</w:t>
            </w:r>
          </w:p>
        </w:tc>
      </w:tr>
      <w:tr w14:paraId="1448D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2737" w:type="dxa"/>
          </w:tcPr>
          <w:p w14:paraId="25A73FDC">
            <w:pPr>
              <w:adjustRightInd w:val="0"/>
              <w:snapToGrid w:val="0"/>
              <w:rPr>
                <w:rFonts w:ascii="仿宋_GB2312" w:eastAsia="仿宋_GB2312"/>
                <w:b/>
                <w:kern w:val="0"/>
                <w:sz w:val="24"/>
                <w:szCs w:val="24"/>
              </w:rPr>
            </w:pPr>
            <w:r>
              <w:rPr>
                <w:rFonts w:hint="eastAsia" w:ascii="仿宋_GB2312" w:eastAsia="仿宋_GB2312"/>
                <w:b/>
                <w:kern w:val="0"/>
                <w:sz w:val="24"/>
                <w:szCs w:val="24"/>
              </w:rPr>
              <w:t>到期结算日</w:t>
            </w:r>
          </w:p>
        </w:tc>
        <w:tc>
          <w:tcPr>
            <w:tcW w:w="6018" w:type="dxa"/>
          </w:tcPr>
          <w:p w14:paraId="3CCD079A">
            <w:pPr>
              <w:adjustRightInd w:val="0"/>
              <w:snapToGrid w:val="0"/>
              <w:rPr>
                <w:rFonts w:ascii="仿宋_GB2312" w:eastAsia="仿宋_GB2312"/>
                <w:kern w:val="0"/>
                <w:sz w:val="24"/>
                <w:szCs w:val="24"/>
              </w:rPr>
            </w:pPr>
            <w:r>
              <w:rPr>
                <w:rFonts w:hint="eastAsia" w:ascii="仿宋_GB2312" w:eastAsia="仿宋_GB2312"/>
                <w:kern w:val="0"/>
                <w:sz w:val="24"/>
                <w:szCs w:val="24"/>
              </w:rPr>
              <w:t>到期结算日，自动显示</w:t>
            </w:r>
          </w:p>
        </w:tc>
      </w:tr>
      <w:tr w14:paraId="0E5AF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37" w:type="dxa"/>
          </w:tcPr>
          <w:p w14:paraId="2C569533">
            <w:pPr>
              <w:adjustRightInd w:val="0"/>
              <w:snapToGrid w:val="0"/>
              <w:rPr>
                <w:rFonts w:ascii="仿宋_GB2312" w:eastAsia="仿宋_GB2312"/>
                <w:b/>
                <w:kern w:val="0"/>
                <w:sz w:val="24"/>
                <w:szCs w:val="24"/>
              </w:rPr>
            </w:pPr>
            <w:r>
              <w:rPr>
                <w:rFonts w:hint="eastAsia" w:ascii="仿宋_GB2312" w:eastAsia="仿宋_GB2312"/>
                <w:b/>
                <w:kern w:val="0"/>
                <w:sz w:val="24"/>
                <w:szCs w:val="24"/>
              </w:rPr>
              <w:t>实际占款天数</w:t>
            </w:r>
          </w:p>
        </w:tc>
        <w:tc>
          <w:tcPr>
            <w:tcW w:w="6018" w:type="dxa"/>
          </w:tcPr>
          <w:p w14:paraId="1AE4013A">
            <w:pPr>
              <w:adjustRightInd w:val="0"/>
              <w:snapToGrid w:val="0"/>
              <w:rPr>
                <w:rFonts w:ascii="仿宋_GB2312" w:eastAsia="仿宋_GB2312"/>
                <w:kern w:val="0"/>
                <w:sz w:val="24"/>
                <w:szCs w:val="24"/>
              </w:rPr>
            </w:pPr>
            <w:r>
              <w:rPr>
                <w:rFonts w:hint="eastAsia" w:ascii="仿宋_GB2312" w:eastAsia="仿宋_GB2312"/>
                <w:kern w:val="0"/>
                <w:sz w:val="24"/>
                <w:szCs w:val="24"/>
              </w:rPr>
              <w:t>到期结算日-首期结算日，自动显示</w:t>
            </w:r>
          </w:p>
        </w:tc>
      </w:tr>
      <w:tr w14:paraId="34109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37" w:type="dxa"/>
          </w:tcPr>
          <w:p w14:paraId="00CA2823">
            <w:pPr>
              <w:adjustRightInd w:val="0"/>
              <w:snapToGrid w:val="0"/>
              <w:rPr>
                <w:rFonts w:ascii="仿宋_GB2312" w:eastAsia="仿宋_GB2312"/>
                <w:b/>
                <w:kern w:val="0"/>
                <w:sz w:val="24"/>
                <w:szCs w:val="24"/>
              </w:rPr>
            </w:pPr>
            <w:r>
              <w:rPr>
                <w:rFonts w:hint="eastAsia" w:ascii="仿宋_GB2312" w:eastAsia="仿宋_GB2312"/>
                <w:b/>
                <w:kern w:val="0"/>
                <w:sz w:val="24"/>
                <w:szCs w:val="24"/>
              </w:rPr>
              <w:t>对手方交易员名称</w:t>
            </w:r>
          </w:p>
        </w:tc>
        <w:tc>
          <w:tcPr>
            <w:tcW w:w="6018" w:type="dxa"/>
          </w:tcPr>
          <w:p w14:paraId="769C87DA">
            <w:pPr>
              <w:adjustRightInd w:val="0"/>
              <w:snapToGrid w:val="0"/>
              <w:rPr>
                <w:rFonts w:ascii="仿宋_GB2312" w:eastAsia="仿宋_GB2312"/>
                <w:kern w:val="0"/>
                <w:sz w:val="24"/>
                <w:szCs w:val="24"/>
              </w:rPr>
            </w:pPr>
            <w:r>
              <w:rPr>
                <w:rFonts w:hint="eastAsia" w:ascii="仿宋_GB2312" w:eastAsia="仿宋_GB2312"/>
                <w:kern w:val="0"/>
                <w:sz w:val="24"/>
                <w:szCs w:val="24"/>
              </w:rPr>
              <w:t>对手方交易员名称，自动显示</w:t>
            </w:r>
          </w:p>
        </w:tc>
      </w:tr>
      <w:tr w14:paraId="447F4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37" w:type="dxa"/>
          </w:tcPr>
          <w:p w14:paraId="595BEBE2">
            <w:pPr>
              <w:adjustRightInd w:val="0"/>
              <w:snapToGrid w:val="0"/>
              <w:rPr>
                <w:rFonts w:ascii="仿宋_GB2312" w:eastAsia="仿宋_GB2312"/>
                <w:b/>
                <w:kern w:val="0"/>
                <w:sz w:val="24"/>
                <w:szCs w:val="24"/>
              </w:rPr>
            </w:pPr>
            <w:r>
              <w:rPr>
                <w:rFonts w:hint="eastAsia" w:ascii="仿宋_GB2312" w:eastAsia="仿宋_GB2312"/>
                <w:b/>
                <w:kern w:val="0"/>
                <w:sz w:val="24"/>
                <w:szCs w:val="24"/>
              </w:rPr>
              <w:t>对手方债券交易参与人</w:t>
            </w:r>
          </w:p>
        </w:tc>
        <w:tc>
          <w:tcPr>
            <w:tcW w:w="6018" w:type="dxa"/>
          </w:tcPr>
          <w:p w14:paraId="1FDBEB41">
            <w:pPr>
              <w:adjustRightInd w:val="0"/>
              <w:snapToGrid w:val="0"/>
              <w:rPr>
                <w:rFonts w:ascii="仿宋_GB2312" w:eastAsia="仿宋_GB2312"/>
                <w:kern w:val="0"/>
                <w:sz w:val="24"/>
                <w:szCs w:val="24"/>
              </w:rPr>
            </w:pPr>
            <w:r>
              <w:rPr>
                <w:rFonts w:hint="eastAsia" w:ascii="仿宋_GB2312" w:eastAsia="仿宋_GB2312"/>
                <w:kern w:val="0"/>
                <w:sz w:val="24"/>
                <w:szCs w:val="24"/>
              </w:rPr>
              <w:t>对手方债券交易参与人名称，自动显示</w:t>
            </w:r>
          </w:p>
        </w:tc>
      </w:tr>
      <w:tr w14:paraId="615E8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37" w:type="dxa"/>
          </w:tcPr>
          <w:p w14:paraId="7E1942AD">
            <w:pPr>
              <w:adjustRightInd w:val="0"/>
              <w:snapToGrid w:val="0"/>
              <w:rPr>
                <w:rFonts w:ascii="仿宋_GB2312" w:eastAsia="仿宋_GB2312"/>
                <w:b/>
                <w:kern w:val="0"/>
                <w:sz w:val="24"/>
                <w:szCs w:val="24"/>
              </w:rPr>
            </w:pPr>
            <w:r>
              <w:rPr>
                <w:rFonts w:hint="eastAsia" w:ascii="仿宋_GB2312" w:eastAsia="仿宋_GB2312"/>
                <w:b/>
                <w:kern w:val="0"/>
                <w:sz w:val="24"/>
                <w:szCs w:val="24"/>
              </w:rPr>
              <w:t>质押券总面额合计</w:t>
            </w:r>
          </w:p>
        </w:tc>
        <w:tc>
          <w:tcPr>
            <w:tcW w:w="6018" w:type="dxa"/>
          </w:tcPr>
          <w:p w14:paraId="28EBE4F9">
            <w:pPr>
              <w:adjustRightInd w:val="0"/>
              <w:snapToGrid w:val="0"/>
              <w:rPr>
                <w:rFonts w:ascii="仿宋_GB2312" w:eastAsia="仿宋_GB2312"/>
                <w:kern w:val="0"/>
                <w:sz w:val="24"/>
                <w:szCs w:val="24"/>
              </w:rPr>
            </w:pPr>
            <w:r>
              <w:rPr>
                <w:rFonts w:hint="eastAsia" w:ascii="仿宋_GB2312" w:eastAsia="仿宋_GB2312"/>
                <w:kern w:val="0"/>
                <w:sz w:val="24"/>
                <w:szCs w:val="24"/>
              </w:rPr>
              <w:t>多券申报券总面额合计，自动显示</w:t>
            </w:r>
          </w:p>
        </w:tc>
      </w:tr>
      <w:tr w14:paraId="792A3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37" w:type="dxa"/>
          </w:tcPr>
          <w:p w14:paraId="29FAA733">
            <w:pPr>
              <w:adjustRightInd w:val="0"/>
              <w:snapToGrid w:val="0"/>
              <w:rPr>
                <w:rFonts w:ascii="仿宋_GB2312" w:eastAsia="仿宋_GB2312"/>
                <w:b/>
                <w:kern w:val="0"/>
                <w:sz w:val="24"/>
                <w:szCs w:val="24"/>
              </w:rPr>
            </w:pPr>
            <w:r>
              <w:rPr>
                <w:rFonts w:hint="eastAsia" w:ascii="仿宋_GB2312" w:eastAsia="仿宋_GB2312"/>
                <w:b/>
                <w:kern w:val="0"/>
                <w:sz w:val="24"/>
                <w:szCs w:val="24"/>
              </w:rPr>
              <w:t>成交金额合计</w:t>
            </w:r>
          </w:p>
        </w:tc>
        <w:tc>
          <w:tcPr>
            <w:tcW w:w="6018" w:type="dxa"/>
          </w:tcPr>
          <w:p w14:paraId="513217C3">
            <w:pPr>
              <w:adjustRightInd w:val="0"/>
              <w:snapToGrid w:val="0"/>
              <w:rPr>
                <w:rFonts w:ascii="仿宋_GB2312" w:eastAsia="仿宋_GB2312"/>
                <w:kern w:val="0"/>
                <w:sz w:val="24"/>
                <w:szCs w:val="24"/>
              </w:rPr>
            </w:pPr>
            <w:r>
              <w:rPr>
                <w:rFonts w:hint="eastAsia" w:ascii="仿宋_GB2312" w:eastAsia="仿宋_GB2312"/>
                <w:kern w:val="0"/>
                <w:sz w:val="24"/>
                <w:szCs w:val="24"/>
              </w:rPr>
              <w:t>多券申报正回购方融入的资金额度合计，自动显示</w:t>
            </w:r>
          </w:p>
        </w:tc>
      </w:tr>
      <w:tr w14:paraId="2C2BD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37" w:type="dxa"/>
          </w:tcPr>
          <w:p w14:paraId="4697D984">
            <w:pPr>
              <w:adjustRightInd w:val="0"/>
              <w:snapToGrid w:val="0"/>
              <w:rPr>
                <w:rFonts w:ascii="仿宋_GB2312" w:eastAsia="仿宋_GB2312"/>
                <w:b/>
                <w:kern w:val="0"/>
                <w:sz w:val="24"/>
                <w:szCs w:val="24"/>
              </w:rPr>
            </w:pPr>
            <w:r>
              <w:rPr>
                <w:rFonts w:hint="eastAsia" w:ascii="仿宋_GB2312" w:eastAsia="仿宋_GB2312"/>
                <w:b/>
                <w:kern w:val="0"/>
                <w:sz w:val="24"/>
                <w:szCs w:val="24"/>
              </w:rPr>
              <w:t>回购利息合计</w:t>
            </w:r>
          </w:p>
        </w:tc>
        <w:tc>
          <w:tcPr>
            <w:tcW w:w="6018" w:type="dxa"/>
          </w:tcPr>
          <w:p w14:paraId="769A2624">
            <w:pPr>
              <w:adjustRightInd w:val="0"/>
              <w:snapToGrid w:val="0"/>
              <w:rPr>
                <w:rFonts w:ascii="仿宋_GB2312" w:eastAsia="仿宋_GB2312"/>
                <w:kern w:val="0"/>
                <w:sz w:val="24"/>
                <w:szCs w:val="24"/>
              </w:rPr>
            </w:pPr>
            <w:r>
              <w:rPr>
                <w:rFonts w:hint="eastAsia" w:ascii="仿宋_GB2312" w:eastAsia="仿宋_GB2312"/>
                <w:kern w:val="0"/>
                <w:sz w:val="24"/>
                <w:szCs w:val="24"/>
              </w:rPr>
              <w:t>多券申报成交金额×回购利率×实际占款天数/365</w:t>
            </w:r>
            <w:r>
              <w:rPr>
                <w:rFonts w:ascii="仿宋_GB2312" w:eastAsia="仿宋_GB2312"/>
                <w:kern w:val="0"/>
                <w:sz w:val="24"/>
                <w:szCs w:val="24"/>
              </w:rPr>
              <w:t xml:space="preserve"> </w:t>
            </w:r>
            <w:r>
              <w:rPr>
                <w:rFonts w:hint="eastAsia" w:ascii="仿宋_GB2312" w:eastAsia="仿宋_GB2312"/>
                <w:kern w:val="0"/>
                <w:sz w:val="24"/>
                <w:szCs w:val="24"/>
              </w:rPr>
              <w:t>合计，自动显示</w:t>
            </w:r>
          </w:p>
        </w:tc>
      </w:tr>
      <w:tr w14:paraId="3ADA5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37" w:type="dxa"/>
          </w:tcPr>
          <w:p w14:paraId="7758D396">
            <w:pPr>
              <w:adjustRightInd w:val="0"/>
              <w:snapToGrid w:val="0"/>
              <w:rPr>
                <w:rFonts w:ascii="仿宋_GB2312" w:eastAsia="仿宋_GB2312"/>
                <w:b/>
                <w:kern w:val="0"/>
                <w:sz w:val="24"/>
                <w:szCs w:val="24"/>
              </w:rPr>
            </w:pPr>
            <w:r>
              <w:rPr>
                <w:rFonts w:hint="eastAsia" w:ascii="仿宋_GB2312" w:eastAsia="仿宋_GB2312"/>
                <w:b/>
                <w:kern w:val="0"/>
                <w:sz w:val="24"/>
                <w:szCs w:val="24"/>
              </w:rPr>
              <w:t>到期结算金额合计</w:t>
            </w:r>
          </w:p>
        </w:tc>
        <w:tc>
          <w:tcPr>
            <w:tcW w:w="6018" w:type="dxa"/>
          </w:tcPr>
          <w:p w14:paraId="5F4A8AA4">
            <w:pPr>
              <w:adjustRightInd w:val="0"/>
              <w:snapToGrid w:val="0"/>
              <w:rPr>
                <w:rFonts w:ascii="仿宋_GB2312" w:eastAsia="仿宋_GB2312"/>
                <w:kern w:val="0"/>
                <w:sz w:val="24"/>
                <w:szCs w:val="24"/>
              </w:rPr>
            </w:pPr>
            <w:r>
              <w:rPr>
                <w:rFonts w:hint="eastAsia" w:ascii="仿宋_GB2312" w:eastAsia="仿宋_GB2312"/>
                <w:kern w:val="0"/>
                <w:sz w:val="24"/>
                <w:szCs w:val="24"/>
              </w:rPr>
              <w:t>多券申报为到期日正回购方返回的金额合计，自动显示</w:t>
            </w:r>
          </w:p>
        </w:tc>
      </w:tr>
      <w:tr w14:paraId="67D6E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37" w:type="dxa"/>
          </w:tcPr>
          <w:p w14:paraId="76D70742">
            <w:pPr>
              <w:adjustRightInd w:val="0"/>
              <w:snapToGrid w:val="0"/>
              <w:rPr>
                <w:rFonts w:ascii="仿宋_GB2312" w:eastAsia="仿宋_GB2312"/>
                <w:b/>
                <w:kern w:val="0"/>
                <w:sz w:val="24"/>
                <w:szCs w:val="24"/>
              </w:rPr>
            </w:pPr>
            <w:r>
              <w:rPr>
                <w:rFonts w:hint="eastAsia" w:ascii="仿宋_GB2312" w:eastAsia="仿宋_GB2312"/>
                <w:b/>
                <w:kern w:val="0"/>
                <w:sz w:val="24"/>
                <w:szCs w:val="24"/>
              </w:rPr>
              <w:t>交易员代码</w:t>
            </w:r>
          </w:p>
        </w:tc>
        <w:tc>
          <w:tcPr>
            <w:tcW w:w="6018" w:type="dxa"/>
          </w:tcPr>
          <w:p w14:paraId="65BCC984">
            <w:pPr>
              <w:adjustRightInd w:val="0"/>
              <w:snapToGrid w:val="0"/>
              <w:rPr>
                <w:rFonts w:ascii="仿宋_GB2312" w:eastAsia="仿宋_GB2312"/>
                <w:kern w:val="0"/>
                <w:sz w:val="24"/>
                <w:szCs w:val="24"/>
              </w:rPr>
            </w:pPr>
            <w:r>
              <w:rPr>
                <w:rFonts w:hint="eastAsia" w:ascii="仿宋_GB2312" w:eastAsia="仿宋_GB2312"/>
                <w:kern w:val="0"/>
                <w:sz w:val="24"/>
                <w:szCs w:val="24"/>
              </w:rPr>
              <w:t>正回购方交易员代码，自动显示</w:t>
            </w:r>
          </w:p>
        </w:tc>
      </w:tr>
      <w:tr w14:paraId="031F8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37" w:type="dxa"/>
          </w:tcPr>
          <w:p w14:paraId="023D6098">
            <w:pPr>
              <w:adjustRightInd w:val="0"/>
              <w:snapToGrid w:val="0"/>
              <w:rPr>
                <w:rFonts w:ascii="仿宋_GB2312" w:eastAsia="仿宋_GB2312"/>
                <w:b/>
                <w:kern w:val="0"/>
                <w:sz w:val="24"/>
                <w:szCs w:val="24"/>
              </w:rPr>
            </w:pPr>
            <w:r>
              <w:rPr>
                <w:rFonts w:hint="eastAsia" w:ascii="仿宋_GB2312" w:eastAsia="仿宋_GB2312"/>
                <w:b/>
                <w:kern w:val="0"/>
                <w:sz w:val="24"/>
                <w:szCs w:val="24"/>
              </w:rPr>
              <w:t>交易员名称</w:t>
            </w:r>
          </w:p>
        </w:tc>
        <w:tc>
          <w:tcPr>
            <w:tcW w:w="6018" w:type="dxa"/>
          </w:tcPr>
          <w:p w14:paraId="7EEF59FE">
            <w:pPr>
              <w:adjustRightInd w:val="0"/>
              <w:snapToGrid w:val="0"/>
              <w:rPr>
                <w:rFonts w:ascii="仿宋_GB2312" w:eastAsia="仿宋_GB2312"/>
                <w:kern w:val="0"/>
                <w:sz w:val="24"/>
                <w:szCs w:val="24"/>
              </w:rPr>
            </w:pPr>
            <w:r>
              <w:rPr>
                <w:rFonts w:hint="eastAsia" w:ascii="仿宋_GB2312" w:eastAsia="仿宋_GB2312"/>
                <w:kern w:val="0"/>
                <w:sz w:val="24"/>
                <w:szCs w:val="24"/>
              </w:rPr>
              <w:t>正回购方交易员名称，自动显示</w:t>
            </w:r>
          </w:p>
        </w:tc>
      </w:tr>
      <w:tr w14:paraId="29122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37" w:type="dxa"/>
          </w:tcPr>
          <w:p w14:paraId="23070942">
            <w:pPr>
              <w:adjustRightInd w:val="0"/>
              <w:snapToGrid w:val="0"/>
              <w:rPr>
                <w:rFonts w:ascii="仿宋_GB2312" w:eastAsia="仿宋_GB2312"/>
                <w:b/>
                <w:kern w:val="0"/>
                <w:sz w:val="24"/>
                <w:szCs w:val="24"/>
              </w:rPr>
            </w:pPr>
            <w:r>
              <w:rPr>
                <w:rFonts w:hint="eastAsia" w:ascii="仿宋_GB2312" w:eastAsia="仿宋_GB2312"/>
                <w:b/>
                <w:kern w:val="0"/>
                <w:sz w:val="24"/>
                <w:szCs w:val="24"/>
              </w:rPr>
              <w:t>债券交易参与人</w:t>
            </w:r>
          </w:p>
        </w:tc>
        <w:tc>
          <w:tcPr>
            <w:tcW w:w="6018" w:type="dxa"/>
          </w:tcPr>
          <w:p w14:paraId="5AC15A7B">
            <w:pPr>
              <w:adjustRightInd w:val="0"/>
              <w:snapToGrid w:val="0"/>
              <w:rPr>
                <w:rFonts w:ascii="仿宋_GB2312" w:eastAsia="仿宋_GB2312"/>
                <w:kern w:val="0"/>
                <w:sz w:val="24"/>
                <w:szCs w:val="24"/>
              </w:rPr>
            </w:pPr>
            <w:r>
              <w:rPr>
                <w:rFonts w:hint="eastAsia" w:ascii="仿宋_GB2312" w:eastAsia="仿宋_GB2312"/>
                <w:kern w:val="0"/>
                <w:sz w:val="24"/>
                <w:szCs w:val="24"/>
              </w:rPr>
              <w:t>正回购方债券交易参与人名称，自动显示</w:t>
            </w:r>
          </w:p>
        </w:tc>
      </w:tr>
      <w:tr w14:paraId="3C52A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37" w:type="dxa"/>
          </w:tcPr>
          <w:p w14:paraId="66A92BD0">
            <w:pPr>
              <w:adjustRightInd w:val="0"/>
              <w:snapToGrid w:val="0"/>
              <w:rPr>
                <w:rFonts w:ascii="仿宋_GB2312" w:eastAsia="仿宋_GB2312"/>
                <w:b/>
                <w:kern w:val="0"/>
                <w:sz w:val="24"/>
                <w:szCs w:val="24"/>
              </w:rPr>
            </w:pPr>
            <w:r>
              <w:rPr>
                <w:rFonts w:hint="eastAsia" w:ascii="仿宋_GB2312" w:eastAsia="仿宋_GB2312"/>
                <w:b/>
                <w:kern w:val="0"/>
                <w:sz w:val="24"/>
                <w:szCs w:val="24"/>
              </w:rPr>
              <w:t>质押券简称</w:t>
            </w:r>
          </w:p>
        </w:tc>
        <w:tc>
          <w:tcPr>
            <w:tcW w:w="6018" w:type="dxa"/>
          </w:tcPr>
          <w:p w14:paraId="03941D34">
            <w:pPr>
              <w:adjustRightInd w:val="0"/>
              <w:snapToGrid w:val="0"/>
              <w:rPr>
                <w:rFonts w:ascii="仿宋_GB2312" w:eastAsia="仿宋_GB2312"/>
                <w:kern w:val="0"/>
                <w:sz w:val="24"/>
                <w:szCs w:val="24"/>
              </w:rPr>
            </w:pPr>
            <w:r>
              <w:rPr>
                <w:rFonts w:hint="eastAsia" w:ascii="仿宋_GB2312" w:eastAsia="仿宋_GB2312"/>
                <w:kern w:val="0"/>
                <w:sz w:val="24"/>
                <w:szCs w:val="24"/>
              </w:rPr>
              <w:t>质押债券的简称，自动显示</w:t>
            </w:r>
          </w:p>
        </w:tc>
      </w:tr>
      <w:tr w14:paraId="2A3BB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37" w:type="dxa"/>
          </w:tcPr>
          <w:p w14:paraId="1491A45D">
            <w:pPr>
              <w:adjustRightInd w:val="0"/>
              <w:snapToGrid w:val="0"/>
              <w:rPr>
                <w:rFonts w:ascii="仿宋_GB2312" w:eastAsia="仿宋_GB2312"/>
                <w:b/>
                <w:kern w:val="0"/>
                <w:sz w:val="24"/>
                <w:szCs w:val="24"/>
              </w:rPr>
            </w:pPr>
            <w:r>
              <w:rPr>
                <w:rFonts w:hint="eastAsia" w:ascii="仿宋_GB2312" w:eastAsia="仿宋_GB2312"/>
                <w:b/>
                <w:kern w:val="0"/>
                <w:sz w:val="24"/>
                <w:szCs w:val="24"/>
              </w:rPr>
              <w:t>质押券总面额</w:t>
            </w:r>
          </w:p>
        </w:tc>
        <w:tc>
          <w:tcPr>
            <w:tcW w:w="6018" w:type="dxa"/>
          </w:tcPr>
          <w:p w14:paraId="7CD8BBD4">
            <w:pPr>
              <w:adjustRightInd w:val="0"/>
              <w:snapToGrid w:val="0"/>
              <w:rPr>
                <w:rFonts w:ascii="仿宋_GB2312" w:eastAsia="仿宋_GB2312"/>
                <w:kern w:val="0"/>
                <w:sz w:val="24"/>
                <w:szCs w:val="24"/>
              </w:rPr>
            </w:pPr>
            <w:r>
              <w:rPr>
                <w:rFonts w:hint="eastAsia" w:ascii="仿宋_GB2312" w:eastAsia="仿宋_GB2312"/>
                <w:kern w:val="0"/>
                <w:sz w:val="24"/>
                <w:szCs w:val="24"/>
              </w:rPr>
              <w:t>质押数量*单张质押券面额，自动显示</w:t>
            </w:r>
          </w:p>
        </w:tc>
      </w:tr>
      <w:tr w14:paraId="6B652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37" w:type="dxa"/>
          </w:tcPr>
          <w:p w14:paraId="07F0803F">
            <w:pPr>
              <w:adjustRightInd w:val="0"/>
              <w:snapToGrid w:val="0"/>
              <w:rPr>
                <w:rFonts w:ascii="仿宋_GB2312" w:eastAsia="仿宋_GB2312"/>
                <w:b/>
                <w:kern w:val="0"/>
                <w:sz w:val="24"/>
                <w:szCs w:val="24"/>
              </w:rPr>
            </w:pPr>
            <w:r>
              <w:rPr>
                <w:rFonts w:hint="eastAsia" w:ascii="仿宋_GB2312" w:eastAsia="仿宋_GB2312"/>
                <w:b/>
                <w:kern w:val="0"/>
                <w:sz w:val="24"/>
                <w:szCs w:val="24"/>
              </w:rPr>
              <w:t>回购利息</w:t>
            </w:r>
          </w:p>
        </w:tc>
        <w:tc>
          <w:tcPr>
            <w:tcW w:w="6018" w:type="dxa"/>
          </w:tcPr>
          <w:p w14:paraId="06B33EEB">
            <w:pPr>
              <w:adjustRightInd w:val="0"/>
              <w:snapToGrid w:val="0"/>
              <w:rPr>
                <w:rFonts w:ascii="仿宋_GB2312" w:eastAsia="仿宋_GB2312"/>
                <w:kern w:val="0"/>
                <w:sz w:val="24"/>
                <w:szCs w:val="24"/>
              </w:rPr>
            </w:pPr>
            <w:r>
              <w:rPr>
                <w:rFonts w:hint="eastAsia" w:ascii="仿宋_GB2312" w:eastAsia="仿宋_GB2312"/>
                <w:kern w:val="0"/>
                <w:sz w:val="24"/>
                <w:szCs w:val="24"/>
              </w:rPr>
              <w:t>成交金额×回购利率×实际占款天数/365，自动显示</w:t>
            </w:r>
          </w:p>
        </w:tc>
      </w:tr>
      <w:tr w14:paraId="7C1CC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37" w:type="dxa"/>
          </w:tcPr>
          <w:p w14:paraId="64B2D7DF">
            <w:pPr>
              <w:adjustRightInd w:val="0"/>
              <w:snapToGrid w:val="0"/>
              <w:rPr>
                <w:rFonts w:ascii="仿宋_GB2312" w:eastAsia="仿宋_GB2312"/>
                <w:b/>
                <w:kern w:val="0"/>
                <w:sz w:val="24"/>
                <w:szCs w:val="24"/>
              </w:rPr>
            </w:pPr>
            <w:r>
              <w:rPr>
                <w:rFonts w:hint="eastAsia" w:ascii="仿宋_GB2312" w:eastAsia="仿宋_GB2312"/>
                <w:b/>
                <w:kern w:val="0"/>
                <w:sz w:val="24"/>
                <w:szCs w:val="24"/>
              </w:rPr>
              <w:t>到期结算金额合计</w:t>
            </w:r>
          </w:p>
        </w:tc>
        <w:tc>
          <w:tcPr>
            <w:tcW w:w="6018" w:type="dxa"/>
          </w:tcPr>
          <w:p w14:paraId="0F266625">
            <w:pPr>
              <w:adjustRightInd w:val="0"/>
              <w:snapToGrid w:val="0"/>
              <w:rPr>
                <w:rFonts w:ascii="仿宋_GB2312" w:eastAsia="仿宋_GB2312"/>
                <w:kern w:val="0"/>
                <w:sz w:val="24"/>
                <w:szCs w:val="24"/>
              </w:rPr>
            </w:pPr>
            <w:r>
              <w:rPr>
                <w:rFonts w:hint="eastAsia" w:ascii="仿宋_GB2312" w:eastAsia="仿宋_GB2312"/>
                <w:kern w:val="0"/>
                <w:sz w:val="24"/>
                <w:szCs w:val="24"/>
              </w:rPr>
              <w:t>多券申报为到期日正回购方返回的金额合计，自动显示</w:t>
            </w:r>
          </w:p>
        </w:tc>
      </w:tr>
    </w:tbl>
    <w:p w14:paraId="39625886">
      <w:pPr>
        <w:spacing w:line="600" w:lineRule="exact"/>
        <w:ind w:left="567"/>
        <w:outlineLvl w:val="3"/>
        <w:rPr>
          <w:rFonts w:ascii="仿宋_GB2312" w:eastAsia="仿宋_GB2312"/>
          <w:b/>
          <w:sz w:val="30"/>
          <w:szCs w:val="30"/>
        </w:rPr>
      </w:pPr>
      <w:r>
        <w:rPr>
          <w:rFonts w:hint="eastAsia" w:ascii="仿宋_GB2312" w:eastAsia="仿宋_GB2312"/>
          <w:b/>
          <w:sz w:val="30"/>
          <w:szCs w:val="30"/>
        </w:rPr>
        <w:t>（3）出入库效率</w:t>
      </w:r>
    </w:p>
    <w:p w14:paraId="653BBC0F">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正回购方当日买入的债券，属于非净额结算券种的，当日可以作为协议回购的质押券；属于净额结算券种的，当日不得作为协议回购的质押券。正回购方已经申报用于协议回购的质押券，属于净额结算券种的，当日不得申报卖出。</w:t>
      </w:r>
      <w:bookmarkStart w:id="2038" w:name="19"/>
    </w:p>
    <w:bookmarkEnd w:id="2038"/>
    <w:p w14:paraId="01F9E52C">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正回购方可以通过成交申报批量提交多个质押券，经逆回购方确认申报后，固定收益平台按质押券种分拆逐笔成交。</w:t>
      </w:r>
    </w:p>
    <w:p w14:paraId="750964F6">
      <w:pPr>
        <w:spacing w:line="600" w:lineRule="exact"/>
        <w:ind w:left="567"/>
        <w:outlineLvl w:val="3"/>
        <w:rPr>
          <w:rFonts w:ascii="仿宋_GB2312" w:eastAsia="仿宋_GB2312"/>
          <w:b/>
          <w:sz w:val="30"/>
          <w:szCs w:val="30"/>
        </w:rPr>
      </w:pPr>
      <w:r>
        <w:rPr>
          <w:rFonts w:hint="eastAsia" w:ascii="仿宋_GB2312" w:eastAsia="仿宋_GB2312"/>
          <w:b/>
          <w:sz w:val="30"/>
          <w:szCs w:val="30"/>
        </w:rPr>
        <w:t>（4）到期处理</w:t>
      </w:r>
      <w:bookmarkStart w:id="2039" w:name="21"/>
    </w:p>
    <w:bookmarkEnd w:id="2039"/>
    <w:p w14:paraId="3394FB2A">
      <w:pPr>
        <w:adjustRightInd w:val="0"/>
        <w:snapToGrid w:val="0"/>
        <w:spacing w:line="600" w:lineRule="exact"/>
        <w:ind w:firstLine="600"/>
        <w:rPr>
          <w:rFonts w:ascii="仿宋_GB2312" w:hAnsi="Calibri" w:eastAsia="仿宋_GB2312"/>
          <w:sz w:val="30"/>
          <w:szCs w:val="30"/>
        </w:rPr>
      </w:pPr>
      <w:r>
        <w:rPr>
          <w:rFonts w:hint="eastAsia" w:ascii="仿宋_GB2312" w:hAnsi="Calibri" w:eastAsia="仿宋_GB2312"/>
          <w:sz w:val="30"/>
          <w:szCs w:val="30"/>
        </w:rPr>
        <w:t>协议回购到期结算日，正回购方应当通过固定收益平台进行到期确认申报或者到期续做申报。</w:t>
      </w:r>
    </w:p>
    <w:p w14:paraId="285451CB">
      <w:pPr>
        <w:spacing w:line="600" w:lineRule="exact"/>
        <w:ind w:left="567"/>
        <w:outlineLvl w:val="9"/>
        <w:rPr>
          <w:rFonts w:ascii="仿宋_GB2312" w:hAnsi="黑体" w:eastAsia="仿宋_GB2312"/>
          <w:b/>
          <w:sz w:val="30"/>
          <w:szCs w:val="30"/>
        </w:rPr>
      </w:pPr>
      <w:r>
        <w:rPr>
          <w:rFonts w:hint="eastAsia" w:ascii="仿宋_GB2312" w:hAnsi="黑体" w:eastAsia="仿宋_GB2312"/>
          <w:b/>
          <w:sz w:val="30"/>
          <w:szCs w:val="30"/>
        </w:rPr>
        <w:t>1）</w:t>
      </w:r>
      <w:r>
        <w:rPr>
          <w:rFonts w:hint="eastAsia" w:ascii="仿宋_GB2312" w:eastAsia="仿宋_GB2312"/>
          <w:b/>
          <w:sz w:val="30"/>
          <w:szCs w:val="30"/>
        </w:rPr>
        <w:t>到期确认申报</w:t>
      </w:r>
    </w:p>
    <w:p w14:paraId="5BC7E44B">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到期确认申报是指正回购方确认履行到期回购义务的申报。到期确认申报由正回购方发起，固定收益平台予以确认，逆回购方无需进行确认申报。</w:t>
      </w:r>
    </w:p>
    <w:p w14:paraId="4B169FBD">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到期确认申报的</w:t>
      </w:r>
      <w:r>
        <w:rPr>
          <w:rFonts w:hint="eastAsia" w:ascii="仿宋_GB2312" w:hAnsi="宋体" w:eastAsia="仿宋_GB2312"/>
          <w:sz w:val="30"/>
          <w:szCs w:val="30"/>
        </w:rPr>
        <w:t>具体要素及要素说明如下</w:t>
      </w:r>
      <w:r>
        <w:rPr>
          <w:rFonts w:hint="eastAsia" w:ascii="仿宋_GB2312" w:hAnsi="Calibri" w:eastAsia="仿宋_GB2312"/>
          <w:sz w:val="30"/>
          <w:szCs w:val="30"/>
        </w:rPr>
        <w:t>：</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60"/>
        <w:gridCol w:w="5862"/>
      </w:tblGrid>
      <w:tr w14:paraId="725FC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60" w:type="dxa"/>
          </w:tcPr>
          <w:p w14:paraId="533FE11B">
            <w:pPr>
              <w:adjustRightInd w:val="0"/>
              <w:snapToGrid w:val="0"/>
              <w:rPr>
                <w:rFonts w:ascii="仿宋_GB2312" w:eastAsia="仿宋_GB2312"/>
                <w:b/>
                <w:kern w:val="0"/>
                <w:sz w:val="24"/>
                <w:szCs w:val="24"/>
              </w:rPr>
            </w:pPr>
            <w:r>
              <w:rPr>
                <w:rFonts w:hint="eastAsia" w:ascii="仿宋_GB2312" w:eastAsia="仿宋_GB2312"/>
                <w:b/>
                <w:kern w:val="0"/>
                <w:sz w:val="24"/>
                <w:szCs w:val="24"/>
              </w:rPr>
              <w:t>要素名称</w:t>
            </w:r>
          </w:p>
        </w:tc>
        <w:tc>
          <w:tcPr>
            <w:tcW w:w="5862" w:type="dxa"/>
          </w:tcPr>
          <w:p w14:paraId="053A8174">
            <w:pPr>
              <w:adjustRightInd w:val="0"/>
              <w:snapToGrid w:val="0"/>
              <w:ind w:firstLine="482"/>
              <w:rPr>
                <w:rFonts w:ascii="仿宋_GB2312" w:eastAsia="仿宋_GB2312"/>
                <w:b/>
                <w:kern w:val="0"/>
                <w:sz w:val="24"/>
                <w:szCs w:val="24"/>
              </w:rPr>
            </w:pPr>
            <w:r>
              <w:rPr>
                <w:rFonts w:hint="eastAsia" w:ascii="仿宋_GB2312" w:eastAsia="仿宋_GB2312"/>
                <w:b/>
                <w:kern w:val="0"/>
                <w:sz w:val="24"/>
                <w:szCs w:val="24"/>
              </w:rPr>
              <w:t>要素说明</w:t>
            </w:r>
          </w:p>
        </w:tc>
      </w:tr>
      <w:tr w14:paraId="600E4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660" w:type="dxa"/>
          </w:tcPr>
          <w:p w14:paraId="018B1A8F">
            <w:pPr>
              <w:adjustRightInd w:val="0"/>
              <w:snapToGrid w:val="0"/>
              <w:rPr>
                <w:rFonts w:ascii="仿宋_GB2312" w:eastAsia="仿宋_GB2312"/>
                <w:b/>
                <w:kern w:val="0"/>
                <w:sz w:val="24"/>
                <w:szCs w:val="24"/>
              </w:rPr>
            </w:pPr>
            <w:r>
              <w:rPr>
                <w:rFonts w:hint="eastAsia" w:ascii="仿宋_GB2312" w:eastAsia="仿宋_GB2312"/>
                <w:b/>
                <w:kern w:val="0"/>
                <w:sz w:val="24"/>
                <w:szCs w:val="24"/>
              </w:rPr>
              <w:t>对手方交易员代码</w:t>
            </w:r>
          </w:p>
        </w:tc>
        <w:tc>
          <w:tcPr>
            <w:tcW w:w="5862" w:type="dxa"/>
          </w:tcPr>
          <w:p w14:paraId="6E8C9C8C">
            <w:pPr>
              <w:adjustRightInd w:val="0"/>
              <w:snapToGrid w:val="0"/>
              <w:rPr>
                <w:rFonts w:ascii="仿宋_GB2312" w:eastAsia="仿宋_GB2312"/>
                <w:kern w:val="0"/>
                <w:sz w:val="24"/>
                <w:szCs w:val="24"/>
              </w:rPr>
            </w:pPr>
            <w:r>
              <w:rPr>
                <w:rFonts w:hint="eastAsia" w:ascii="仿宋_GB2312" w:eastAsia="仿宋_GB2312"/>
                <w:kern w:val="0"/>
                <w:sz w:val="24"/>
                <w:szCs w:val="24"/>
              </w:rPr>
              <w:t>默认显示原始申报的对手方交易员代码</w:t>
            </w:r>
          </w:p>
        </w:tc>
      </w:tr>
      <w:tr w14:paraId="53600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60" w:type="dxa"/>
          </w:tcPr>
          <w:p w14:paraId="0A92C5BE">
            <w:pPr>
              <w:adjustRightInd w:val="0"/>
              <w:snapToGrid w:val="0"/>
              <w:rPr>
                <w:rFonts w:ascii="仿宋_GB2312" w:eastAsia="仿宋_GB2312"/>
                <w:b/>
                <w:kern w:val="0"/>
                <w:sz w:val="24"/>
                <w:szCs w:val="24"/>
              </w:rPr>
            </w:pPr>
            <w:r>
              <w:rPr>
                <w:rFonts w:hint="eastAsia" w:ascii="仿宋_GB2312" w:eastAsia="仿宋_GB2312"/>
                <w:b/>
                <w:kern w:val="0"/>
                <w:sz w:val="24"/>
                <w:szCs w:val="24"/>
              </w:rPr>
              <w:t>正回购方交易单元号</w:t>
            </w:r>
          </w:p>
        </w:tc>
        <w:tc>
          <w:tcPr>
            <w:tcW w:w="5862" w:type="dxa"/>
          </w:tcPr>
          <w:p w14:paraId="08C6207A">
            <w:pPr>
              <w:adjustRightInd w:val="0"/>
              <w:snapToGrid w:val="0"/>
              <w:rPr>
                <w:rFonts w:ascii="仿宋_GB2312" w:eastAsia="仿宋_GB2312"/>
                <w:kern w:val="0"/>
                <w:sz w:val="24"/>
                <w:szCs w:val="24"/>
              </w:rPr>
            </w:pPr>
            <w:r>
              <w:rPr>
                <w:rFonts w:hint="eastAsia" w:ascii="仿宋_GB2312" w:eastAsia="仿宋_GB2312"/>
                <w:kern w:val="0"/>
                <w:sz w:val="24"/>
                <w:szCs w:val="24"/>
              </w:rPr>
              <w:t>默认显示正回购方证券账号指定交易单元号</w:t>
            </w:r>
          </w:p>
        </w:tc>
      </w:tr>
      <w:tr w14:paraId="4B515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60" w:type="dxa"/>
          </w:tcPr>
          <w:p w14:paraId="1E2BC564">
            <w:pPr>
              <w:adjustRightInd w:val="0"/>
              <w:snapToGrid w:val="0"/>
              <w:rPr>
                <w:rFonts w:ascii="仿宋_GB2312" w:eastAsia="仿宋_GB2312"/>
                <w:b/>
                <w:kern w:val="0"/>
                <w:sz w:val="24"/>
                <w:szCs w:val="24"/>
              </w:rPr>
            </w:pPr>
            <w:r>
              <w:rPr>
                <w:rFonts w:hint="eastAsia" w:ascii="仿宋_GB2312" w:eastAsia="仿宋_GB2312"/>
                <w:b/>
                <w:kern w:val="0"/>
                <w:sz w:val="24"/>
                <w:szCs w:val="24"/>
              </w:rPr>
              <w:t>补充条款</w:t>
            </w:r>
          </w:p>
        </w:tc>
        <w:tc>
          <w:tcPr>
            <w:tcW w:w="5862" w:type="dxa"/>
          </w:tcPr>
          <w:p w14:paraId="2BF9BE59">
            <w:pPr>
              <w:adjustRightInd w:val="0"/>
              <w:snapToGrid w:val="0"/>
              <w:rPr>
                <w:rFonts w:ascii="仿宋_GB2312" w:eastAsia="仿宋_GB2312"/>
                <w:kern w:val="0"/>
                <w:sz w:val="24"/>
                <w:szCs w:val="24"/>
              </w:rPr>
            </w:pPr>
            <w:r>
              <w:rPr>
                <w:rFonts w:hint="eastAsia" w:ascii="仿宋_GB2312" w:eastAsia="仿宋_GB2312"/>
                <w:kern w:val="0"/>
                <w:sz w:val="24"/>
                <w:szCs w:val="24"/>
              </w:rPr>
              <w:t>交易双方的补充约定条款</w:t>
            </w:r>
          </w:p>
        </w:tc>
      </w:tr>
      <w:tr w14:paraId="47747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60" w:type="dxa"/>
          </w:tcPr>
          <w:p w14:paraId="6543E196">
            <w:pPr>
              <w:adjustRightInd w:val="0"/>
              <w:snapToGrid w:val="0"/>
              <w:rPr>
                <w:rFonts w:ascii="仿宋_GB2312" w:eastAsia="仿宋_GB2312"/>
                <w:b/>
                <w:kern w:val="0"/>
                <w:sz w:val="24"/>
                <w:szCs w:val="24"/>
              </w:rPr>
            </w:pPr>
            <w:r>
              <w:rPr>
                <w:rFonts w:hint="eastAsia" w:ascii="仿宋_GB2312" w:eastAsia="仿宋_GB2312"/>
                <w:b/>
                <w:kern w:val="0"/>
                <w:sz w:val="24"/>
                <w:szCs w:val="24"/>
              </w:rPr>
              <w:t>对手方交易员名称</w:t>
            </w:r>
          </w:p>
        </w:tc>
        <w:tc>
          <w:tcPr>
            <w:tcW w:w="5862" w:type="dxa"/>
          </w:tcPr>
          <w:p w14:paraId="0432F8BF">
            <w:pPr>
              <w:adjustRightInd w:val="0"/>
              <w:snapToGrid w:val="0"/>
              <w:rPr>
                <w:rFonts w:ascii="仿宋_GB2312" w:eastAsia="仿宋_GB2312"/>
                <w:kern w:val="0"/>
                <w:sz w:val="24"/>
                <w:szCs w:val="24"/>
              </w:rPr>
            </w:pPr>
            <w:r>
              <w:rPr>
                <w:rFonts w:hint="eastAsia" w:ascii="仿宋_GB2312" w:eastAsia="仿宋_GB2312"/>
                <w:kern w:val="0"/>
                <w:sz w:val="24"/>
                <w:szCs w:val="24"/>
              </w:rPr>
              <w:t>对手方交易员名称,自动显示，无需输入</w:t>
            </w:r>
          </w:p>
        </w:tc>
      </w:tr>
      <w:tr w14:paraId="51623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60" w:type="dxa"/>
          </w:tcPr>
          <w:p w14:paraId="7EEAA011">
            <w:pPr>
              <w:adjustRightInd w:val="0"/>
              <w:snapToGrid w:val="0"/>
              <w:rPr>
                <w:rFonts w:ascii="仿宋_GB2312" w:eastAsia="仿宋_GB2312"/>
                <w:b/>
                <w:kern w:val="0"/>
                <w:sz w:val="24"/>
                <w:szCs w:val="24"/>
              </w:rPr>
            </w:pPr>
            <w:r>
              <w:rPr>
                <w:rFonts w:hint="eastAsia" w:ascii="仿宋_GB2312" w:eastAsia="仿宋_GB2312"/>
                <w:b/>
                <w:kern w:val="0"/>
                <w:sz w:val="24"/>
                <w:szCs w:val="24"/>
              </w:rPr>
              <w:t>质押券代码</w:t>
            </w:r>
          </w:p>
        </w:tc>
        <w:tc>
          <w:tcPr>
            <w:tcW w:w="5862" w:type="dxa"/>
          </w:tcPr>
          <w:p w14:paraId="3DBB37FC">
            <w:pPr>
              <w:adjustRightInd w:val="0"/>
              <w:snapToGrid w:val="0"/>
              <w:rPr>
                <w:rFonts w:ascii="仿宋_GB2312" w:eastAsia="仿宋_GB2312"/>
                <w:kern w:val="0"/>
                <w:sz w:val="24"/>
                <w:szCs w:val="24"/>
              </w:rPr>
            </w:pPr>
            <w:r>
              <w:rPr>
                <w:rFonts w:hint="eastAsia" w:ascii="仿宋_GB2312" w:eastAsia="仿宋_GB2312"/>
                <w:kern w:val="0"/>
                <w:sz w:val="24"/>
                <w:szCs w:val="24"/>
              </w:rPr>
              <w:t>质押债券的代码</w:t>
            </w:r>
            <w:r>
              <w:rPr>
                <w:rFonts w:ascii="仿宋_GB2312" w:eastAsia="仿宋_GB2312"/>
                <w:kern w:val="0"/>
                <w:sz w:val="24"/>
                <w:szCs w:val="24"/>
              </w:rPr>
              <w:t>,</w:t>
            </w:r>
            <w:r>
              <w:rPr>
                <w:rFonts w:hint="eastAsia" w:ascii="仿宋_GB2312" w:eastAsia="仿宋_GB2312"/>
                <w:kern w:val="0"/>
                <w:sz w:val="24"/>
                <w:szCs w:val="24"/>
              </w:rPr>
              <w:t>自动显示，无需输入</w:t>
            </w:r>
          </w:p>
        </w:tc>
      </w:tr>
      <w:tr w14:paraId="58021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60" w:type="dxa"/>
          </w:tcPr>
          <w:p w14:paraId="35DFCDD0">
            <w:pPr>
              <w:adjustRightInd w:val="0"/>
              <w:snapToGrid w:val="0"/>
              <w:rPr>
                <w:rFonts w:ascii="仿宋_GB2312" w:eastAsia="仿宋_GB2312"/>
                <w:b/>
                <w:kern w:val="0"/>
                <w:sz w:val="24"/>
                <w:szCs w:val="24"/>
              </w:rPr>
            </w:pPr>
            <w:r>
              <w:rPr>
                <w:rFonts w:hint="eastAsia" w:ascii="仿宋_GB2312" w:eastAsia="仿宋_GB2312"/>
                <w:b/>
                <w:kern w:val="0"/>
                <w:sz w:val="24"/>
                <w:szCs w:val="24"/>
              </w:rPr>
              <w:t>质押券简称</w:t>
            </w:r>
          </w:p>
        </w:tc>
        <w:tc>
          <w:tcPr>
            <w:tcW w:w="5862" w:type="dxa"/>
          </w:tcPr>
          <w:p w14:paraId="0202CE41">
            <w:pPr>
              <w:adjustRightInd w:val="0"/>
              <w:snapToGrid w:val="0"/>
              <w:rPr>
                <w:rFonts w:ascii="仿宋_GB2312" w:eastAsia="仿宋_GB2312"/>
                <w:kern w:val="0"/>
                <w:sz w:val="24"/>
                <w:szCs w:val="24"/>
              </w:rPr>
            </w:pPr>
            <w:r>
              <w:rPr>
                <w:rFonts w:hint="eastAsia" w:ascii="仿宋_GB2312" w:eastAsia="仿宋_GB2312"/>
                <w:kern w:val="0"/>
                <w:sz w:val="24"/>
                <w:szCs w:val="24"/>
              </w:rPr>
              <w:t>质押债券的简称，自动显示，无需输入</w:t>
            </w:r>
          </w:p>
        </w:tc>
      </w:tr>
      <w:tr w14:paraId="2EBAA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60" w:type="dxa"/>
          </w:tcPr>
          <w:p w14:paraId="4AA4D40D">
            <w:pPr>
              <w:adjustRightInd w:val="0"/>
              <w:snapToGrid w:val="0"/>
              <w:rPr>
                <w:rFonts w:ascii="仿宋_GB2312" w:eastAsia="仿宋_GB2312"/>
                <w:b/>
                <w:kern w:val="0"/>
                <w:sz w:val="24"/>
                <w:szCs w:val="24"/>
              </w:rPr>
            </w:pPr>
            <w:r>
              <w:rPr>
                <w:rFonts w:hint="eastAsia" w:ascii="仿宋_GB2312" w:eastAsia="仿宋_GB2312"/>
                <w:b/>
                <w:kern w:val="0"/>
                <w:sz w:val="24"/>
                <w:szCs w:val="24"/>
              </w:rPr>
              <w:t>质押数量</w:t>
            </w:r>
          </w:p>
        </w:tc>
        <w:tc>
          <w:tcPr>
            <w:tcW w:w="5862" w:type="dxa"/>
          </w:tcPr>
          <w:p w14:paraId="6B86BB99">
            <w:pPr>
              <w:adjustRightInd w:val="0"/>
              <w:snapToGrid w:val="0"/>
              <w:rPr>
                <w:rFonts w:ascii="仿宋_GB2312" w:eastAsia="仿宋_GB2312"/>
                <w:kern w:val="0"/>
                <w:sz w:val="24"/>
                <w:szCs w:val="24"/>
              </w:rPr>
            </w:pPr>
            <w:r>
              <w:rPr>
                <w:rFonts w:hint="eastAsia" w:ascii="仿宋_GB2312" w:eastAsia="仿宋_GB2312"/>
                <w:kern w:val="0"/>
                <w:sz w:val="24"/>
                <w:szCs w:val="24"/>
              </w:rPr>
              <w:t>质押券数量，以千元面额为单位，自动显示，无需输入</w:t>
            </w:r>
          </w:p>
        </w:tc>
      </w:tr>
      <w:tr w14:paraId="4B9FB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60" w:type="dxa"/>
          </w:tcPr>
          <w:p w14:paraId="77D7E9C2">
            <w:pPr>
              <w:adjustRightInd w:val="0"/>
              <w:snapToGrid w:val="0"/>
              <w:rPr>
                <w:rFonts w:ascii="仿宋_GB2312" w:eastAsia="仿宋_GB2312"/>
                <w:b/>
                <w:kern w:val="0"/>
                <w:sz w:val="24"/>
                <w:szCs w:val="24"/>
              </w:rPr>
            </w:pPr>
            <w:r>
              <w:rPr>
                <w:rFonts w:hint="eastAsia" w:ascii="仿宋_GB2312" w:eastAsia="仿宋_GB2312"/>
                <w:b/>
                <w:kern w:val="0"/>
                <w:sz w:val="24"/>
                <w:szCs w:val="24"/>
              </w:rPr>
              <w:t>质押券总面额</w:t>
            </w:r>
          </w:p>
        </w:tc>
        <w:tc>
          <w:tcPr>
            <w:tcW w:w="5862" w:type="dxa"/>
          </w:tcPr>
          <w:p w14:paraId="06027BBC">
            <w:pPr>
              <w:adjustRightInd w:val="0"/>
              <w:snapToGrid w:val="0"/>
              <w:rPr>
                <w:rFonts w:ascii="仿宋_GB2312" w:eastAsia="仿宋_GB2312"/>
                <w:kern w:val="0"/>
                <w:sz w:val="24"/>
                <w:szCs w:val="24"/>
              </w:rPr>
            </w:pPr>
            <w:r>
              <w:rPr>
                <w:rFonts w:hint="eastAsia" w:ascii="仿宋_GB2312" w:eastAsia="仿宋_GB2312"/>
                <w:kern w:val="0"/>
                <w:sz w:val="24"/>
                <w:szCs w:val="24"/>
              </w:rPr>
              <w:t>质押数量*单张质押券面额，自动显示，无需输入</w:t>
            </w:r>
          </w:p>
        </w:tc>
      </w:tr>
      <w:tr w14:paraId="55340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60" w:type="dxa"/>
          </w:tcPr>
          <w:p w14:paraId="4128C5A1">
            <w:pPr>
              <w:adjustRightInd w:val="0"/>
              <w:snapToGrid w:val="0"/>
              <w:rPr>
                <w:rFonts w:ascii="仿宋_GB2312" w:eastAsia="仿宋_GB2312"/>
                <w:b/>
                <w:kern w:val="0"/>
                <w:sz w:val="24"/>
                <w:szCs w:val="24"/>
              </w:rPr>
            </w:pPr>
            <w:r>
              <w:rPr>
                <w:rFonts w:hint="eastAsia" w:ascii="仿宋_GB2312" w:eastAsia="仿宋_GB2312"/>
                <w:b/>
                <w:kern w:val="0"/>
                <w:sz w:val="24"/>
                <w:szCs w:val="24"/>
              </w:rPr>
              <w:t>实际折算比例</w:t>
            </w:r>
          </w:p>
        </w:tc>
        <w:tc>
          <w:tcPr>
            <w:tcW w:w="5862" w:type="dxa"/>
          </w:tcPr>
          <w:p w14:paraId="1B358ED0">
            <w:pPr>
              <w:adjustRightInd w:val="0"/>
              <w:snapToGrid w:val="0"/>
              <w:rPr>
                <w:rFonts w:ascii="仿宋_GB2312" w:eastAsia="仿宋_GB2312"/>
                <w:kern w:val="0"/>
                <w:sz w:val="24"/>
                <w:szCs w:val="24"/>
              </w:rPr>
            </w:pPr>
            <w:r>
              <w:rPr>
                <w:rFonts w:hint="eastAsia" w:ascii="仿宋_GB2312" w:eastAsia="仿宋_GB2312"/>
                <w:kern w:val="0"/>
                <w:sz w:val="24"/>
                <w:szCs w:val="24"/>
              </w:rPr>
              <w:t>成交金额/质押券总面额*100%，自动显示，无需输入</w:t>
            </w:r>
          </w:p>
        </w:tc>
      </w:tr>
      <w:tr w14:paraId="25781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60" w:type="dxa"/>
          </w:tcPr>
          <w:p w14:paraId="5A5F7241">
            <w:pPr>
              <w:adjustRightInd w:val="0"/>
              <w:snapToGrid w:val="0"/>
              <w:rPr>
                <w:rFonts w:ascii="仿宋_GB2312" w:eastAsia="仿宋_GB2312"/>
                <w:b/>
                <w:kern w:val="0"/>
                <w:sz w:val="24"/>
                <w:szCs w:val="24"/>
              </w:rPr>
            </w:pPr>
            <w:r>
              <w:rPr>
                <w:rFonts w:hint="eastAsia" w:ascii="仿宋_GB2312" w:eastAsia="仿宋_GB2312"/>
                <w:b/>
                <w:kern w:val="0"/>
                <w:sz w:val="24"/>
                <w:szCs w:val="24"/>
              </w:rPr>
              <w:t>回购利率</w:t>
            </w:r>
          </w:p>
        </w:tc>
        <w:tc>
          <w:tcPr>
            <w:tcW w:w="5862" w:type="dxa"/>
          </w:tcPr>
          <w:p w14:paraId="3C467273">
            <w:pPr>
              <w:adjustRightInd w:val="0"/>
              <w:snapToGrid w:val="0"/>
              <w:rPr>
                <w:rFonts w:ascii="仿宋_GB2312" w:eastAsia="仿宋_GB2312"/>
                <w:kern w:val="0"/>
                <w:sz w:val="24"/>
                <w:szCs w:val="24"/>
              </w:rPr>
            </w:pPr>
            <w:r>
              <w:rPr>
                <w:rFonts w:hint="eastAsia" w:ascii="仿宋_GB2312" w:eastAsia="仿宋_GB2312"/>
                <w:kern w:val="0"/>
                <w:sz w:val="24"/>
                <w:szCs w:val="24"/>
              </w:rPr>
              <w:t>正回购方付给逆回购方的资金价格，自动显示，无需输入</w:t>
            </w:r>
          </w:p>
        </w:tc>
      </w:tr>
      <w:tr w14:paraId="0353A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60" w:type="dxa"/>
          </w:tcPr>
          <w:p w14:paraId="72563A38">
            <w:pPr>
              <w:adjustRightInd w:val="0"/>
              <w:snapToGrid w:val="0"/>
              <w:rPr>
                <w:rFonts w:ascii="仿宋_GB2312" w:eastAsia="仿宋_GB2312"/>
                <w:b/>
                <w:kern w:val="0"/>
                <w:sz w:val="24"/>
                <w:szCs w:val="24"/>
              </w:rPr>
            </w:pPr>
            <w:r>
              <w:rPr>
                <w:rFonts w:hint="eastAsia" w:ascii="仿宋_GB2312" w:eastAsia="仿宋_GB2312"/>
                <w:b/>
                <w:kern w:val="0"/>
                <w:sz w:val="24"/>
                <w:szCs w:val="24"/>
              </w:rPr>
              <w:t>回购方向</w:t>
            </w:r>
          </w:p>
        </w:tc>
        <w:tc>
          <w:tcPr>
            <w:tcW w:w="5862" w:type="dxa"/>
          </w:tcPr>
          <w:p w14:paraId="694F9115">
            <w:pPr>
              <w:adjustRightInd w:val="0"/>
              <w:snapToGrid w:val="0"/>
              <w:rPr>
                <w:rFonts w:ascii="仿宋_GB2312" w:eastAsia="仿宋_GB2312"/>
                <w:kern w:val="0"/>
                <w:sz w:val="24"/>
                <w:szCs w:val="24"/>
              </w:rPr>
            </w:pPr>
            <w:r>
              <w:rPr>
                <w:rFonts w:hint="eastAsia" w:ascii="仿宋_GB2312" w:eastAsia="仿宋_GB2312"/>
                <w:kern w:val="0"/>
                <w:sz w:val="24"/>
                <w:szCs w:val="24"/>
              </w:rPr>
              <w:t>默认正回购，到期确认申报只能正回购方发起，自动显示，无需输入</w:t>
            </w:r>
          </w:p>
        </w:tc>
      </w:tr>
      <w:tr w14:paraId="1D1EA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2660" w:type="dxa"/>
          </w:tcPr>
          <w:p w14:paraId="7135510E">
            <w:pPr>
              <w:adjustRightInd w:val="0"/>
              <w:snapToGrid w:val="0"/>
              <w:rPr>
                <w:rFonts w:ascii="仿宋_GB2312" w:eastAsia="仿宋_GB2312"/>
                <w:b/>
                <w:kern w:val="0"/>
                <w:sz w:val="24"/>
                <w:szCs w:val="24"/>
              </w:rPr>
            </w:pPr>
            <w:r>
              <w:rPr>
                <w:rFonts w:hint="eastAsia" w:ascii="仿宋_GB2312" w:eastAsia="仿宋_GB2312"/>
                <w:b/>
                <w:kern w:val="0"/>
                <w:sz w:val="24"/>
                <w:szCs w:val="24"/>
              </w:rPr>
              <w:t>成交编号</w:t>
            </w:r>
          </w:p>
        </w:tc>
        <w:tc>
          <w:tcPr>
            <w:tcW w:w="5862" w:type="dxa"/>
          </w:tcPr>
          <w:p w14:paraId="4CE621B0">
            <w:pPr>
              <w:adjustRightInd w:val="0"/>
              <w:snapToGrid w:val="0"/>
              <w:rPr>
                <w:rFonts w:ascii="仿宋_GB2312" w:eastAsia="仿宋_GB2312"/>
                <w:kern w:val="0"/>
                <w:sz w:val="24"/>
                <w:szCs w:val="24"/>
              </w:rPr>
            </w:pPr>
            <w:r>
              <w:rPr>
                <w:rFonts w:hint="eastAsia" w:ascii="仿宋_GB2312" w:eastAsia="仿宋_GB2312"/>
                <w:kern w:val="0"/>
                <w:sz w:val="24"/>
                <w:szCs w:val="24"/>
              </w:rPr>
              <w:t>系统给成交单分配的唯一标识，自动显示，无需输入</w:t>
            </w:r>
          </w:p>
        </w:tc>
      </w:tr>
      <w:tr w14:paraId="4158E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60" w:type="dxa"/>
          </w:tcPr>
          <w:p w14:paraId="5A0B752F">
            <w:pPr>
              <w:adjustRightInd w:val="0"/>
              <w:snapToGrid w:val="0"/>
              <w:rPr>
                <w:rFonts w:ascii="仿宋_GB2312" w:eastAsia="仿宋_GB2312"/>
                <w:b/>
                <w:kern w:val="0"/>
                <w:sz w:val="24"/>
                <w:szCs w:val="24"/>
              </w:rPr>
            </w:pPr>
            <w:r>
              <w:rPr>
                <w:rFonts w:hint="eastAsia" w:ascii="仿宋_GB2312" w:eastAsia="仿宋_GB2312"/>
                <w:b/>
                <w:kern w:val="0"/>
                <w:sz w:val="24"/>
                <w:szCs w:val="24"/>
              </w:rPr>
              <w:t>首次结算日</w:t>
            </w:r>
          </w:p>
        </w:tc>
        <w:tc>
          <w:tcPr>
            <w:tcW w:w="5862" w:type="dxa"/>
          </w:tcPr>
          <w:p w14:paraId="23A9AE0F">
            <w:pPr>
              <w:adjustRightInd w:val="0"/>
              <w:snapToGrid w:val="0"/>
              <w:rPr>
                <w:rFonts w:ascii="仿宋_GB2312" w:eastAsia="仿宋_GB2312"/>
                <w:kern w:val="0"/>
                <w:sz w:val="24"/>
                <w:szCs w:val="24"/>
              </w:rPr>
            </w:pPr>
            <w:r>
              <w:rPr>
                <w:rFonts w:hint="eastAsia" w:ascii="仿宋_GB2312" w:eastAsia="仿宋_GB2312"/>
                <w:kern w:val="0"/>
                <w:sz w:val="24"/>
                <w:szCs w:val="24"/>
              </w:rPr>
              <w:t>首次结算日，自动显示，无需输入</w:t>
            </w:r>
          </w:p>
        </w:tc>
      </w:tr>
      <w:tr w14:paraId="4BA7C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60" w:type="dxa"/>
          </w:tcPr>
          <w:p w14:paraId="34F4BE9B">
            <w:pPr>
              <w:adjustRightInd w:val="0"/>
              <w:snapToGrid w:val="0"/>
              <w:rPr>
                <w:rFonts w:ascii="仿宋_GB2312" w:eastAsia="仿宋_GB2312"/>
                <w:b/>
                <w:kern w:val="0"/>
                <w:sz w:val="24"/>
                <w:szCs w:val="24"/>
              </w:rPr>
            </w:pPr>
            <w:r>
              <w:rPr>
                <w:rFonts w:hint="eastAsia" w:ascii="仿宋_GB2312" w:eastAsia="仿宋_GB2312"/>
                <w:b/>
                <w:kern w:val="0"/>
                <w:sz w:val="24"/>
                <w:szCs w:val="24"/>
              </w:rPr>
              <w:t>回购到期日</w:t>
            </w:r>
          </w:p>
        </w:tc>
        <w:tc>
          <w:tcPr>
            <w:tcW w:w="5862" w:type="dxa"/>
          </w:tcPr>
          <w:p w14:paraId="41F59807">
            <w:pPr>
              <w:adjustRightInd w:val="0"/>
              <w:snapToGrid w:val="0"/>
              <w:rPr>
                <w:rFonts w:ascii="仿宋_GB2312" w:eastAsia="仿宋_GB2312"/>
                <w:kern w:val="0"/>
                <w:sz w:val="24"/>
                <w:szCs w:val="24"/>
              </w:rPr>
            </w:pPr>
            <w:r>
              <w:rPr>
                <w:rFonts w:hint="eastAsia" w:ascii="仿宋_GB2312" w:eastAsia="仿宋_GB2312"/>
                <w:kern w:val="0"/>
                <w:sz w:val="24"/>
                <w:szCs w:val="24"/>
              </w:rPr>
              <w:t>回购双方确定的回购到期日期，自动显示，无需输入</w:t>
            </w:r>
          </w:p>
        </w:tc>
      </w:tr>
      <w:tr w14:paraId="224A0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60" w:type="dxa"/>
          </w:tcPr>
          <w:p w14:paraId="2D003C11">
            <w:pPr>
              <w:adjustRightInd w:val="0"/>
              <w:snapToGrid w:val="0"/>
              <w:rPr>
                <w:rFonts w:ascii="仿宋_GB2312" w:eastAsia="仿宋_GB2312"/>
                <w:b/>
                <w:kern w:val="0"/>
                <w:sz w:val="24"/>
                <w:szCs w:val="24"/>
              </w:rPr>
            </w:pPr>
            <w:r>
              <w:rPr>
                <w:rFonts w:hint="eastAsia" w:ascii="仿宋_GB2312" w:eastAsia="仿宋_GB2312"/>
                <w:b/>
                <w:kern w:val="0"/>
                <w:sz w:val="24"/>
                <w:szCs w:val="24"/>
              </w:rPr>
              <w:t>到期结算日</w:t>
            </w:r>
          </w:p>
        </w:tc>
        <w:tc>
          <w:tcPr>
            <w:tcW w:w="5862" w:type="dxa"/>
          </w:tcPr>
          <w:p w14:paraId="786DFFD0">
            <w:pPr>
              <w:adjustRightInd w:val="0"/>
              <w:snapToGrid w:val="0"/>
              <w:rPr>
                <w:rFonts w:ascii="仿宋_GB2312" w:eastAsia="仿宋_GB2312"/>
                <w:kern w:val="0"/>
                <w:sz w:val="24"/>
                <w:szCs w:val="24"/>
              </w:rPr>
            </w:pPr>
            <w:r>
              <w:rPr>
                <w:rFonts w:hint="eastAsia" w:ascii="仿宋_GB2312" w:eastAsia="仿宋_GB2312"/>
                <w:kern w:val="0"/>
                <w:sz w:val="24"/>
                <w:szCs w:val="24"/>
              </w:rPr>
              <w:t>到期结算日，自动显示，无需输入</w:t>
            </w:r>
          </w:p>
        </w:tc>
      </w:tr>
      <w:tr w14:paraId="25B32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60" w:type="dxa"/>
          </w:tcPr>
          <w:p w14:paraId="6633F26C">
            <w:pPr>
              <w:adjustRightInd w:val="0"/>
              <w:snapToGrid w:val="0"/>
              <w:rPr>
                <w:rFonts w:ascii="仿宋_GB2312" w:eastAsia="仿宋_GB2312"/>
                <w:b/>
                <w:kern w:val="0"/>
                <w:sz w:val="24"/>
                <w:szCs w:val="24"/>
              </w:rPr>
            </w:pPr>
            <w:r>
              <w:rPr>
                <w:rFonts w:hint="eastAsia" w:ascii="仿宋_GB2312" w:eastAsia="仿宋_GB2312"/>
                <w:b/>
                <w:kern w:val="0"/>
                <w:sz w:val="24"/>
                <w:szCs w:val="24"/>
              </w:rPr>
              <w:t>回购期限</w:t>
            </w:r>
          </w:p>
        </w:tc>
        <w:tc>
          <w:tcPr>
            <w:tcW w:w="5862" w:type="dxa"/>
          </w:tcPr>
          <w:p w14:paraId="2D5665DD">
            <w:pPr>
              <w:adjustRightInd w:val="0"/>
              <w:snapToGrid w:val="0"/>
              <w:rPr>
                <w:rFonts w:ascii="仿宋_GB2312" w:eastAsia="仿宋_GB2312"/>
                <w:kern w:val="0"/>
                <w:sz w:val="24"/>
                <w:szCs w:val="24"/>
              </w:rPr>
            </w:pPr>
            <w:r>
              <w:rPr>
                <w:rFonts w:hint="eastAsia" w:ascii="仿宋_GB2312" w:eastAsia="仿宋_GB2312"/>
                <w:kern w:val="0"/>
                <w:sz w:val="24"/>
                <w:szCs w:val="24"/>
              </w:rPr>
              <w:t>即成交日至回购到期日的实际天数。回购期限按自然日计算，以天为单位，含成交日，不含回购到期日，自动显示，无需输入</w:t>
            </w:r>
          </w:p>
        </w:tc>
      </w:tr>
      <w:tr w14:paraId="66828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60" w:type="dxa"/>
          </w:tcPr>
          <w:p w14:paraId="68AD8EB6">
            <w:pPr>
              <w:adjustRightInd w:val="0"/>
              <w:snapToGrid w:val="0"/>
              <w:rPr>
                <w:rFonts w:ascii="仿宋_GB2312" w:eastAsia="仿宋_GB2312"/>
                <w:b/>
                <w:kern w:val="0"/>
                <w:sz w:val="24"/>
                <w:szCs w:val="24"/>
              </w:rPr>
            </w:pPr>
            <w:r>
              <w:rPr>
                <w:rFonts w:hint="eastAsia" w:ascii="仿宋_GB2312" w:eastAsia="仿宋_GB2312"/>
                <w:b/>
                <w:kern w:val="0"/>
                <w:sz w:val="24"/>
                <w:szCs w:val="24"/>
              </w:rPr>
              <w:t>实际占款天数</w:t>
            </w:r>
          </w:p>
        </w:tc>
        <w:tc>
          <w:tcPr>
            <w:tcW w:w="5862" w:type="dxa"/>
          </w:tcPr>
          <w:p w14:paraId="6E9785B8">
            <w:pPr>
              <w:adjustRightInd w:val="0"/>
              <w:snapToGrid w:val="0"/>
              <w:rPr>
                <w:rFonts w:ascii="仿宋_GB2312" w:eastAsia="仿宋_GB2312"/>
                <w:kern w:val="0"/>
                <w:sz w:val="24"/>
                <w:szCs w:val="24"/>
              </w:rPr>
            </w:pPr>
            <w:r>
              <w:rPr>
                <w:rFonts w:hint="eastAsia" w:ascii="仿宋_GB2312" w:eastAsia="仿宋_GB2312"/>
                <w:kern w:val="0"/>
                <w:sz w:val="24"/>
                <w:szCs w:val="24"/>
              </w:rPr>
              <w:t>到期结算日-首期结算日，自动显示，无需输入</w:t>
            </w:r>
          </w:p>
        </w:tc>
      </w:tr>
      <w:tr w14:paraId="17310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60" w:type="dxa"/>
          </w:tcPr>
          <w:p w14:paraId="0C142257">
            <w:pPr>
              <w:adjustRightInd w:val="0"/>
              <w:snapToGrid w:val="0"/>
              <w:rPr>
                <w:rFonts w:ascii="仿宋_GB2312" w:eastAsia="仿宋_GB2312"/>
                <w:b/>
                <w:kern w:val="0"/>
                <w:sz w:val="24"/>
                <w:szCs w:val="24"/>
              </w:rPr>
            </w:pPr>
            <w:r>
              <w:rPr>
                <w:rFonts w:hint="eastAsia" w:ascii="仿宋_GB2312" w:eastAsia="仿宋_GB2312"/>
                <w:b/>
                <w:kern w:val="0"/>
                <w:sz w:val="24"/>
                <w:szCs w:val="24"/>
              </w:rPr>
              <w:t>成交金额</w:t>
            </w:r>
          </w:p>
        </w:tc>
        <w:tc>
          <w:tcPr>
            <w:tcW w:w="5862" w:type="dxa"/>
          </w:tcPr>
          <w:p w14:paraId="51161DBC">
            <w:pPr>
              <w:adjustRightInd w:val="0"/>
              <w:snapToGrid w:val="0"/>
              <w:rPr>
                <w:rFonts w:ascii="仿宋_GB2312" w:eastAsia="仿宋_GB2312"/>
                <w:kern w:val="0"/>
                <w:sz w:val="24"/>
                <w:szCs w:val="24"/>
              </w:rPr>
            </w:pPr>
            <w:r>
              <w:rPr>
                <w:rFonts w:hint="eastAsia" w:ascii="仿宋_GB2312" w:eastAsia="仿宋_GB2312"/>
                <w:kern w:val="0"/>
                <w:sz w:val="24"/>
                <w:szCs w:val="24"/>
              </w:rPr>
              <w:t>正回购方融入的资金额度，自动显示，无需输入</w:t>
            </w:r>
          </w:p>
        </w:tc>
      </w:tr>
      <w:tr w14:paraId="0616B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60" w:type="dxa"/>
          </w:tcPr>
          <w:p w14:paraId="65FF3442">
            <w:pPr>
              <w:adjustRightInd w:val="0"/>
              <w:snapToGrid w:val="0"/>
              <w:rPr>
                <w:rFonts w:ascii="仿宋_GB2312" w:eastAsia="仿宋_GB2312"/>
                <w:b/>
                <w:kern w:val="0"/>
                <w:sz w:val="24"/>
                <w:szCs w:val="24"/>
              </w:rPr>
            </w:pPr>
            <w:r>
              <w:rPr>
                <w:rFonts w:hint="eastAsia" w:ascii="仿宋_GB2312" w:eastAsia="仿宋_GB2312"/>
                <w:b/>
                <w:kern w:val="0"/>
                <w:sz w:val="24"/>
                <w:szCs w:val="24"/>
              </w:rPr>
              <w:t>回购利息</w:t>
            </w:r>
          </w:p>
        </w:tc>
        <w:tc>
          <w:tcPr>
            <w:tcW w:w="5862" w:type="dxa"/>
          </w:tcPr>
          <w:p w14:paraId="5BF88D35">
            <w:pPr>
              <w:adjustRightInd w:val="0"/>
              <w:snapToGrid w:val="0"/>
              <w:rPr>
                <w:rFonts w:ascii="仿宋_GB2312" w:eastAsia="仿宋_GB2312"/>
                <w:kern w:val="0"/>
                <w:sz w:val="24"/>
                <w:szCs w:val="24"/>
              </w:rPr>
            </w:pPr>
            <w:r>
              <w:rPr>
                <w:rFonts w:hint="eastAsia" w:ascii="仿宋_GB2312" w:eastAsia="仿宋_GB2312"/>
                <w:kern w:val="0"/>
                <w:sz w:val="24"/>
                <w:szCs w:val="24"/>
              </w:rPr>
              <w:t>成交金额×回购利率×实际占款天数/365，自动显示，无需输入</w:t>
            </w:r>
          </w:p>
        </w:tc>
      </w:tr>
      <w:tr w14:paraId="234AB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60" w:type="dxa"/>
          </w:tcPr>
          <w:p w14:paraId="15D2A937">
            <w:pPr>
              <w:adjustRightInd w:val="0"/>
              <w:snapToGrid w:val="0"/>
              <w:rPr>
                <w:rFonts w:ascii="仿宋_GB2312" w:eastAsia="仿宋_GB2312"/>
                <w:b/>
                <w:kern w:val="0"/>
                <w:sz w:val="24"/>
                <w:szCs w:val="24"/>
              </w:rPr>
            </w:pPr>
            <w:r>
              <w:rPr>
                <w:rFonts w:hint="eastAsia" w:ascii="仿宋_GB2312" w:eastAsia="仿宋_GB2312"/>
                <w:b/>
                <w:kern w:val="0"/>
                <w:sz w:val="24"/>
                <w:szCs w:val="24"/>
              </w:rPr>
              <w:t>到期结算金额</w:t>
            </w:r>
          </w:p>
        </w:tc>
        <w:tc>
          <w:tcPr>
            <w:tcW w:w="5862" w:type="dxa"/>
          </w:tcPr>
          <w:p w14:paraId="7D9098A5">
            <w:pPr>
              <w:adjustRightInd w:val="0"/>
              <w:snapToGrid w:val="0"/>
              <w:rPr>
                <w:rFonts w:ascii="仿宋_GB2312" w:eastAsia="仿宋_GB2312"/>
                <w:kern w:val="0"/>
                <w:sz w:val="24"/>
                <w:szCs w:val="24"/>
              </w:rPr>
            </w:pPr>
            <w:r>
              <w:rPr>
                <w:rFonts w:hint="eastAsia" w:ascii="仿宋_GB2312" w:eastAsia="仿宋_GB2312"/>
                <w:kern w:val="0"/>
                <w:sz w:val="24"/>
                <w:szCs w:val="24"/>
              </w:rPr>
              <w:t>到期日正回购方返回的金额，自动显示，无需输入</w:t>
            </w:r>
          </w:p>
        </w:tc>
      </w:tr>
      <w:tr w14:paraId="6F5ED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60" w:type="dxa"/>
          </w:tcPr>
          <w:p w14:paraId="5741D473">
            <w:pPr>
              <w:adjustRightInd w:val="0"/>
              <w:snapToGrid w:val="0"/>
              <w:rPr>
                <w:rFonts w:ascii="仿宋_GB2312" w:eastAsia="仿宋_GB2312"/>
                <w:b/>
                <w:kern w:val="0"/>
                <w:sz w:val="24"/>
                <w:szCs w:val="24"/>
              </w:rPr>
            </w:pPr>
            <w:r>
              <w:rPr>
                <w:rFonts w:hint="eastAsia" w:ascii="仿宋_GB2312" w:eastAsia="仿宋_GB2312"/>
                <w:b/>
                <w:kern w:val="0"/>
                <w:sz w:val="24"/>
                <w:szCs w:val="24"/>
              </w:rPr>
              <w:t>首次结算方式</w:t>
            </w:r>
          </w:p>
        </w:tc>
        <w:tc>
          <w:tcPr>
            <w:tcW w:w="5862" w:type="dxa"/>
          </w:tcPr>
          <w:p w14:paraId="68686744">
            <w:pPr>
              <w:adjustRightInd w:val="0"/>
              <w:snapToGrid w:val="0"/>
              <w:rPr>
                <w:rFonts w:ascii="仿宋_GB2312" w:eastAsia="仿宋_GB2312"/>
                <w:kern w:val="0"/>
                <w:sz w:val="24"/>
                <w:szCs w:val="24"/>
              </w:rPr>
            </w:pPr>
            <w:r>
              <w:rPr>
                <w:rFonts w:hint="eastAsia" w:ascii="仿宋_GB2312" w:eastAsia="仿宋_GB2312"/>
                <w:kern w:val="0"/>
                <w:sz w:val="24"/>
                <w:szCs w:val="24"/>
              </w:rPr>
              <w:t>默认勾选逐笔全额结算方式</w:t>
            </w:r>
            <w:r>
              <w:rPr>
                <w:rFonts w:ascii="仿宋_GB2312" w:eastAsia="仿宋_GB2312"/>
                <w:kern w:val="0"/>
                <w:sz w:val="24"/>
                <w:szCs w:val="24"/>
              </w:rPr>
              <w:t xml:space="preserve">, </w:t>
            </w:r>
            <w:r>
              <w:rPr>
                <w:rFonts w:hint="eastAsia" w:ascii="仿宋_GB2312" w:eastAsia="仿宋_GB2312"/>
                <w:kern w:val="0"/>
                <w:sz w:val="24"/>
                <w:szCs w:val="24"/>
              </w:rPr>
              <w:t>自动显示，无需输入</w:t>
            </w:r>
          </w:p>
        </w:tc>
      </w:tr>
      <w:tr w14:paraId="7C647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60" w:type="dxa"/>
          </w:tcPr>
          <w:p w14:paraId="47EDFD50">
            <w:pPr>
              <w:adjustRightInd w:val="0"/>
              <w:snapToGrid w:val="0"/>
              <w:rPr>
                <w:rFonts w:ascii="仿宋_GB2312" w:eastAsia="仿宋_GB2312"/>
                <w:b/>
                <w:kern w:val="0"/>
                <w:sz w:val="24"/>
                <w:szCs w:val="24"/>
              </w:rPr>
            </w:pPr>
            <w:r>
              <w:rPr>
                <w:rFonts w:hint="eastAsia" w:ascii="仿宋_GB2312" w:eastAsia="仿宋_GB2312"/>
                <w:b/>
                <w:kern w:val="0"/>
                <w:sz w:val="24"/>
                <w:szCs w:val="24"/>
              </w:rPr>
              <w:t>到期结算方式</w:t>
            </w:r>
          </w:p>
        </w:tc>
        <w:tc>
          <w:tcPr>
            <w:tcW w:w="5862" w:type="dxa"/>
          </w:tcPr>
          <w:p w14:paraId="54ADE8EE">
            <w:pPr>
              <w:adjustRightInd w:val="0"/>
              <w:snapToGrid w:val="0"/>
              <w:rPr>
                <w:rFonts w:ascii="仿宋_GB2312" w:eastAsia="仿宋_GB2312"/>
                <w:kern w:val="0"/>
                <w:sz w:val="24"/>
                <w:szCs w:val="24"/>
              </w:rPr>
            </w:pPr>
            <w:r>
              <w:rPr>
                <w:rFonts w:hint="eastAsia" w:ascii="仿宋_GB2312" w:eastAsia="仿宋_GB2312"/>
                <w:kern w:val="0"/>
                <w:sz w:val="24"/>
                <w:szCs w:val="24"/>
              </w:rPr>
              <w:t>默认勾选逐笔全额结算方式</w:t>
            </w:r>
            <w:r>
              <w:rPr>
                <w:rFonts w:ascii="仿宋_GB2312" w:eastAsia="仿宋_GB2312"/>
                <w:kern w:val="0"/>
                <w:sz w:val="24"/>
                <w:szCs w:val="24"/>
              </w:rPr>
              <w:t>,</w:t>
            </w:r>
            <w:r>
              <w:rPr>
                <w:rFonts w:hint="eastAsia" w:ascii="仿宋_GB2312" w:eastAsia="仿宋_GB2312"/>
                <w:kern w:val="0"/>
                <w:sz w:val="24"/>
                <w:szCs w:val="24"/>
              </w:rPr>
              <w:t>自动显示，无需输入</w:t>
            </w:r>
          </w:p>
        </w:tc>
      </w:tr>
      <w:tr w14:paraId="2F8F7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60" w:type="dxa"/>
          </w:tcPr>
          <w:p w14:paraId="1F6CF9BB">
            <w:pPr>
              <w:adjustRightInd w:val="0"/>
              <w:snapToGrid w:val="0"/>
              <w:rPr>
                <w:rFonts w:ascii="仿宋_GB2312" w:eastAsia="仿宋_GB2312"/>
                <w:b/>
                <w:kern w:val="0"/>
                <w:sz w:val="24"/>
                <w:szCs w:val="24"/>
              </w:rPr>
            </w:pPr>
            <w:r>
              <w:rPr>
                <w:rFonts w:hint="eastAsia" w:ascii="仿宋_GB2312" w:eastAsia="仿宋_GB2312"/>
                <w:b/>
                <w:kern w:val="0"/>
                <w:sz w:val="24"/>
                <w:szCs w:val="24"/>
              </w:rPr>
              <w:t>正回购方证券账户</w:t>
            </w:r>
          </w:p>
        </w:tc>
        <w:tc>
          <w:tcPr>
            <w:tcW w:w="5862" w:type="dxa"/>
          </w:tcPr>
          <w:p w14:paraId="6CB76B1F">
            <w:pPr>
              <w:adjustRightInd w:val="0"/>
              <w:snapToGrid w:val="0"/>
              <w:rPr>
                <w:rFonts w:ascii="仿宋_GB2312" w:eastAsia="仿宋_GB2312"/>
                <w:kern w:val="0"/>
                <w:sz w:val="24"/>
                <w:szCs w:val="24"/>
              </w:rPr>
            </w:pPr>
            <w:r>
              <w:rPr>
                <w:rFonts w:hint="eastAsia" w:ascii="仿宋_GB2312" w:eastAsia="仿宋_GB2312"/>
                <w:kern w:val="0"/>
                <w:sz w:val="24"/>
                <w:szCs w:val="24"/>
              </w:rPr>
              <w:t>正回购方证券账户号码，自动显示，无需输入</w:t>
            </w:r>
          </w:p>
        </w:tc>
      </w:tr>
      <w:tr w14:paraId="690C2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60" w:type="dxa"/>
          </w:tcPr>
          <w:p w14:paraId="0845F301">
            <w:pPr>
              <w:adjustRightInd w:val="0"/>
              <w:snapToGrid w:val="0"/>
              <w:rPr>
                <w:rFonts w:ascii="仿宋_GB2312" w:eastAsia="仿宋_GB2312"/>
                <w:b/>
                <w:kern w:val="0"/>
                <w:sz w:val="24"/>
                <w:szCs w:val="24"/>
              </w:rPr>
            </w:pPr>
            <w:r>
              <w:rPr>
                <w:rFonts w:hint="eastAsia" w:ascii="仿宋_GB2312" w:eastAsia="仿宋_GB2312"/>
                <w:b/>
                <w:kern w:val="0"/>
                <w:sz w:val="24"/>
                <w:szCs w:val="24"/>
              </w:rPr>
              <w:t>正回购方债券交易参与人</w:t>
            </w:r>
          </w:p>
        </w:tc>
        <w:tc>
          <w:tcPr>
            <w:tcW w:w="5862" w:type="dxa"/>
          </w:tcPr>
          <w:p w14:paraId="0190F3B3">
            <w:pPr>
              <w:adjustRightInd w:val="0"/>
              <w:snapToGrid w:val="0"/>
              <w:rPr>
                <w:rFonts w:ascii="仿宋_GB2312" w:eastAsia="仿宋_GB2312"/>
                <w:kern w:val="0"/>
                <w:sz w:val="24"/>
                <w:szCs w:val="24"/>
              </w:rPr>
            </w:pPr>
            <w:r>
              <w:rPr>
                <w:rFonts w:hint="eastAsia" w:ascii="仿宋_GB2312" w:eastAsia="仿宋_GB2312"/>
                <w:kern w:val="0"/>
                <w:sz w:val="24"/>
                <w:szCs w:val="24"/>
              </w:rPr>
              <w:t>正回购方交易的结算参与人名称，自动显示，无需输入</w:t>
            </w:r>
          </w:p>
        </w:tc>
      </w:tr>
      <w:tr w14:paraId="3D36D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60" w:type="dxa"/>
          </w:tcPr>
          <w:p w14:paraId="5AD77711">
            <w:pPr>
              <w:adjustRightInd w:val="0"/>
              <w:snapToGrid w:val="0"/>
              <w:rPr>
                <w:rFonts w:ascii="仿宋_GB2312" w:eastAsia="仿宋_GB2312"/>
                <w:b/>
                <w:kern w:val="0"/>
                <w:sz w:val="24"/>
                <w:szCs w:val="24"/>
              </w:rPr>
            </w:pPr>
            <w:r>
              <w:rPr>
                <w:rFonts w:hint="eastAsia" w:ascii="仿宋_GB2312" w:eastAsia="仿宋_GB2312"/>
                <w:b/>
                <w:kern w:val="0"/>
                <w:sz w:val="24"/>
                <w:szCs w:val="24"/>
              </w:rPr>
              <w:t>正回购方交易员代码</w:t>
            </w:r>
          </w:p>
        </w:tc>
        <w:tc>
          <w:tcPr>
            <w:tcW w:w="5862" w:type="dxa"/>
          </w:tcPr>
          <w:p w14:paraId="7F0BA9CF">
            <w:pPr>
              <w:adjustRightInd w:val="0"/>
              <w:snapToGrid w:val="0"/>
              <w:rPr>
                <w:rFonts w:ascii="仿宋_GB2312" w:eastAsia="仿宋_GB2312"/>
                <w:kern w:val="0"/>
                <w:sz w:val="24"/>
                <w:szCs w:val="24"/>
              </w:rPr>
            </w:pPr>
            <w:r>
              <w:rPr>
                <w:rFonts w:hint="eastAsia" w:ascii="仿宋_GB2312" w:eastAsia="仿宋_GB2312"/>
                <w:kern w:val="0"/>
                <w:sz w:val="24"/>
                <w:szCs w:val="24"/>
              </w:rPr>
              <w:t>正回购方交易员代码，自动显示，无需输入</w:t>
            </w:r>
          </w:p>
        </w:tc>
      </w:tr>
      <w:tr w14:paraId="07D87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60" w:type="dxa"/>
          </w:tcPr>
          <w:p w14:paraId="0329F9BA">
            <w:pPr>
              <w:adjustRightInd w:val="0"/>
              <w:snapToGrid w:val="0"/>
              <w:rPr>
                <w:rFonts w:ascii="仿宋_GB2312" w:eastAsia="仿宋_GB2312"/>
                <w:b/>
                <w:kern w:val="0"/>
                <w:sz w:val="24"/>
                <w:szCs w:val="24"/>
              </w:rPr>
            </w:pPr>
            <w:r>
              <w:rPr>
                <w:rFonts w:hint="eastAsia" w:ascii="仿宋_GB2312" w:eastAsia="仿宋_GB2312"/>
                <w:b/>
                <w:kern w:val="0"/>
                <w:sz w:val="24"/>
                <w:szCs w:val="24"/>
              </w:rPr>
              <w:t>正回购方交易员名称</w:t>
            </w:r>
          </w:p>
        </w:tc>
        <w:tc>
          <w:tcPr>
            <w:tcW w:w="5862" w:type="dxa"/>
          </w:tcPr>
          <w:p w14:paraId="571A66BD">
            <w:pPr>
              <w:adjustRightInd w:val="0"/>
              <w:snapToGrid w:val="0"/>
              <w:rPr>
                <w:rFonts w:ascii="仿宋_GB2312" w:eastAsia="仿宋_GB2312"/>
                <w:kern w:val="0"/>
                <w:sz w:val="24"/>
                <w:szCs w:val="24"/>
              </w:rPr>
            </w:pPr>
            <w:r>
              <w:rPr>
                <w:rFonts w:hint="eastAsia" w:ascii="仿宋_GB2312" w:eastAsia="仿宋_GB2312"/>
                <w:kern w:val="0"/>
                <w:sz w:val="24"/>
                <w:szCs w:val="24"/>
              </w:rPr>
              <w:t>正回购方交易员名称，自动显示，无需输入</w:t>
            </w:r>
          </w:p>
        </w:tc>
      </w:tr>
      <w:tr w14:paraId="676B2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60" w:type="dxa"/>
          </w:tcPr>
          <w:p w14:paraId="14541DFB">
            <w:pPr>
              <w:adjustRightInd w:val="0"/>
              <w:snapToGrid w:val="0"/>
              <w:rPr>
                <w:rFonts w:ascii="仿宋_GB2312" w:eastAsia="仿宋_GB2312"/>
                <w:b/>
                <w:kern w:val="0"/>
                <w:sz w:val="24"/>
                <w:szCs w:val="24"/>
              </w:rPr>
            </w:pPr>
            <w:r>
              <w:rPr>
                <w:rFonts w:hint="eastAsia" w:ascii="仿宋_GB2312" w:eastAsia="仿宋_GB2312"/>
                <w:b/>
                <w:kern w:val="0"/>
                <w:sz w:val="24"/>
                <w:szCs w:val="24"/>
              </w:rPr>
              <w:t>逆回购方证券账户</w:t>
            </w:r>
          </w:p>
        </w:tc>
        <w:tc>
          <w:tcPr>
            <w:tcW w:w="5862" w:type="dxa"/>
          </w:tcPr>
          <w:p w14:paraId="0E927F45">
            <w:pPr>
              <w:adjustRightInd w:val="0"/>
              <w:snapToGrid w:val="0"/>
              <w:rPr>
                <w:rFonts w:ascii="仿宋_GB2312" w:eastAsia="仿宋_GB2312"/>
                <w:kern w:val="0"/>
                <w:sz w:val="24"/>
                <w:szCs w:val="24"/>
              </w:rPr>
            </w:pPr>
            <w:r>
              <w:rPr>
                <w:rFonts w:hint="eastAsia" w:ascii="仿宋_GB2312" w:eastAsia="仿宋_GB2312"/>
                <w:kern w:val="0"/>
                <w:sz w:val="24"/>
                <w:szCs w:val="24"/>
              </w:rPr>
              <w:t>逆回购方证券账户号码，自动显示，无需输入</w:t>
            </w:r>
          </w:p>
        </w:tc>
      </w:tr>
      <w:tr w14:paraId="0861C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60" w:type="dxa"/>
          </w:tcPr>
          <w:p w14:paraId="706B3635">
            <w:pPr>
              <w:adjustRightInd w:val="0"/>
              <w:snapToGrid w:val="0"/>
              <w:rPr>
                <w:rFonts w:ascii="仿宋_GB2312" w:eastAsia="仿宋_GB2312"/>
                <w:b/>
                <w:kern w:val="0"/>
                <w:sz w:val="24"/>
                <w:szCs w:val="24"/>
              </w:rPr>
            </w:pPr>
            <w:r>
              <w:rPr>
                <w:rFonts w:hint="eastAsia" w:ascii="仿宋_GB2312" w:eastAsia="仿宋_GB2312"/>
                <w:b/>
                <w:kern w:val="0"/>
                <w:sz w:val="24"/>
                <w:szCs w:val="24"/>
              </w:rPr>
              <w:t>逆回购方交易单元号</w:t>
            </w:r>
          </w:p>
        </w:tc>
        <w:tc>
          <w:tcPr>
            <w:tcW w:w="5862" w:type="dxa"/>
          </w:tcPr>
          <w:p w14:paraId="4FC52A75">
            <w:pPr>
              <w:adjustRightInd w:val="0"/>
              <w:snapToGrid w:val="0"/>
              <w:rPr>
                <w:rFonts w:ascii="仿宋_GB2312" w:eastAsia="仿宋_GB2312"/>
                <w:kern w:val="0"/>
                <w:sz w:val="24"/>
                <w:szCs w:val="24"/>
              </w:rPr>
            </w:pPr>
            <w:r>
              <w:rPr>
                <w:rFonts w:hint="eastAsia" w:ascii="仿宋_GB2312" w:eastAsia="仿宋_GB2312"/>
                <w:kern w:val="0"/>
                <w:sz w:val="24"/>
                <w:szCs w:val="24"/>
              </w:rPr>
              <w:t>逆回购方证券账号指定交易单元号，自动显示，无需输入</w:t>
            </w:r>
          </w:p>
        </w:tc>
      </w:tr>
      <w:tr w14:paraId="320CD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60" w:type="dxa"/>
          </w:tcPr>
          <w:p w14:paraId="4EED0763">
            <w:pPr>
              <w:adjustRightInd w:val="0"/>
              <w:snapToGrid w:val="0"/>
              <w:rPr>
                <w:rFonts w:ascii="仿宋_GB2312" w:eastAsia="仿宋_GB2312"/>
                <w:b/>
                <w:kern w:val="0"/>
                <w:sz w:val="24"/>
                <w:szCs w:val="24"/>
              </w:rPr>
            </w:pPr>
            <w:r>
              <w:rPr>
                <w:rFonts w:hint="eastAsia" w:ascii="仿宋_GB2312" w:eastAsia="仿宋_GB2312"/>
                <w:b/>
                <w:kern w:val="0"/>
                <w:sz w:val="24"/>
                <w:szCs w:val="24"/>
              </w:rPr>
              <w:t>逆回购方债券交易参与人</w:t>
            </w:r>
          </w:p>
        </w:tc>
        <w:tc>
          <w:tcPr>
            <w:tcW w:w="5862" w:type="dxa"/>
          </w:tcPr>
          <w:p w14:paraId="7E5CEADB">
            <w:pPr>
              <w:adjustRightInd w:val="0"/>
              <w:snapToGrid w:val="0"/>
              <w:rPr>
                <w:rFonts w:ascii="仿宋_GB2312" w:eastAsia="仿宋_GB2312"/>
                <w:kern w:val="0"/>
                <w:sz w:val="24"/>
                <w:szCs w:val="24"/>
              </w:rPr>
            </w:pPr>
            <w:r>
              <w:rPr>
                <w:rFonts w:hint="eastAsia" w:ascii="仿宋_GB2312" w:eastAsia="仿宋_GB2312"/>
                <w:kern w:val="0"/>
                <w:sz w:val="24"/>
                <w:szCs w:val="24"/>
              </w:rPr>
              <w:t>逆回购方交易的结算参与人名称，自动显示，无需输入</w:t>
            </w:r>
          </w:p>
        </w:tc>
      </w:tr>
      <w:tr w14:paraId="517F6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60" w:type="dxa"/>
          </w:tcPr>
          <w:p w14:paraId="73E91F5A">
            <w:pPr>
              <w:adjustRightInd w:val="0"/>
              <w:snapToGrid w:val="0"/>
              <w:rPr>
                <w:rFonts w:ascii="仿宋_GB2312" w:eastAsia="仿宋_GB2312"/>
                <w:b/>
                <w:kern w:val="0"/>
                <w:sz w:val="24"/>
                <w:szCs w:val="24"/>
              </w:rPr>
            </w:pPr>
            <w:r>
              <w:rPr>
                <w:rFonts w:hint="eastAsia" w:ascii="仿宋_GB2312" w:eastAsia="仿宋_GB2312"/>
                <w:b/>
                <w:kern w:val="0"/>
                <w:sz w:val="24"/>
                <w:szCs w:val="24"/>
              </w:rPr>
              <w:t>逆回购方交易员代码</w:t>
            </w:r>
          </w:p>
        </w:tc>
        <w:tc>
          <w:tcPr>
            <w:tcW w:w="5862" w:type="dxa"/>
          </w:tcPr>
          <w:p w14:paraId="5858726C">
            <w:pPr>
              <w:adjustRightInd w:val="0"/>
              <w:snapToGrid w:val="0"/>
              <w:rPr>
                <w:rFonts w:ascii="仿宋_GB2312" w:eastAsia="仿宋_GB2312"/>
                <w:kern w:val="0"/>
                <w:sz w:val="24"/>
                <w:szCs w:val="24"/>
              </w:rPr>
            </w:pPr>
            <w:r>
              <w:rPr>
                <w:rFonts w:hint="eastAsia" w:ascii="仿宋_GB2312" w:eastAsia="仿宋_GB2312"/>
                <w:kern w:val="0"/>
                <w:sz w:val="24"/>
                <w:szCs w:val="24"/>
              </w:rPr>
              <w:t>逆回购方交易员代码，自动显示，无需输入</w:t>
            </w:r>
          </w:p>
        </w:tc>
      </w:tr>
      <w:tr w14:paraId="5171E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60" w:type="dxa"/>
          </w:tcPr>
          <w:p w14:paraId="00409FEE">
            <w:pPr>
              <w:adjustRightInd w:val="0"/>
              <w:snapToGrid w:val="0"/>
              <w:rPr>
                <w:rFonts w:ascii="仿宋_GB2312" w:eastAsia="仿宋_GB2312"/>
                <w:b/>
                <w:kern w:val="0"/>
                <w:sz w:val="24"/>
                <w:szCs w:val="24"/>
              </w:rPr>
            </w:pPr>
            <w:r>
              <w:rPr>
                <w:rFonts w:hint="eastAsia" w:ascii="仿宋_GB2312" w:eastAsia="仿宋_GB2312"/>
                <w:b/>
                <w:kern w:val="0"/>
                <w:sz w:val="24"/>
                <w:szCs w:val="24"/>
              </w:rPr>
              <w:t>逆回购方交易员名称</w:t>
            </w:r>
          </w:p>
        </w:tc>
        <w:tc>
          <w:tcPr>
            <w:tcW w:w="5862" w:type="dxa"/>
          </w:tcPr>
          <w:p w14:paraId="4C2203F8">
            <w:pPr>
              <w:adjustRightInd w:val="0"/>
              <w:snapToGrid w:val="0"/>
              <w:rPr>
                <w:rFonts w:ascii="仿宋_GB2312" w:eastAsia="仿宋_GB2312"/>
                <w:kern w:val="0"/>
                <w:sz w:val="24"/>
                <w:szCs w:val="24"/>
              </w:rPr>
            </w:pPr>
            <w:r>
              <w:rPr>
                <w:rFonts w:hint="eastAsia" w:ascii="仿宋_GB2312" w:eastAsia="仿宋_GB2312"/>
                <w:kern w:val="0"/>
                <w:sz w:val="24"/>
                <w:szCs w:val="24"/>
              </w:rPr>
              <w:t>逆回购方交易员名称，自动显示，无需输入</w:t>
            </w:r>
          </w:p>
        </w:tc>
      </w:tr>
      <w:tr w14:paraId="4F07D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60" w:type="dxa"/>
          </w:tcPr>
          <w:p w14:paraId="345B9F36">
            <w:pPr>
              <w:adjustRightInd w:val="0"/>
              <w:snapToGrid w:val="0"/>
              <w:rPr>
                <w:rFonts w:ascii="仿宋_GB2312" w:eastAsia="仿宋_GB2312"/>
                <w:b/>
                <w:kern w:val="0"/>
                <w:sz w:val="24"/>
                <w:szCs w:val="24"/>
              </w:rPr>
            </w:pPr>
            <w:r>
              <w:rPr>
                <w:rFonts w:hint="eastAsia" w:ascii="仿宋_GB2312" w:eastAsia="仿宋_GB2312"/>
                <w:b/>
                <w:kern w:val="0"/>
                <w:sz w:val="24"/>
                <w:szCs w:val="24"/>
              </w:rPr>
              <w:t>质权人名称</w:t>
            </w:r>
          </w:p>
        </w:tc>
        <w:tc>
          <w:tcPr>
            <w:tcW w:w="5862" w:type="dxa"/>
          </w:tcPr>
          <w:p w14:paraId="209355A1">
            <w:pPr>
              <w:adjustRightInd w:val="0"/>
              <w:snapToGrid w:val="0"/>
              <w:rPr>
                <w:rFonts w:ascii="仿宋_GB2312" w:eastAsia="仿宋_GB2312"/>
                <w:kern w:val="0"/>
                <w:sz w:val="24"/>
                <w:szCs w:val="24"/>
              </w:rPr>
            </w:pPr>
            <w:r>
              <w:rPr>
                <w:rFonts w:hint="eastAsia" w:ascii="仿宋_GB2312" w:eastAsia="仿宋_GB2312"/>
                <w:kern w:val="0"/>
                <w:sz w:val="24"/>
                <w:szCs w:val="24"/>
              </w:rPr>
              <w:t>占有质押券的债权人名称，默认显示逆回购方名称，自动显示，无需输入</w:t>
            </w:r>
          </w:p>
        </w:tc>
      </w:tr>
    </w:tbl>
    <w:p w14:paraId="28247ABA">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到期回购的质押券解除质押登记后，属于净额结算券种的，当日不可通过净额结算以及RTGS结算方式卖出；不属于净额结算券种的，当日可卖出。</w:t>
      </w:r>
    </w:p>
    <w:p w14:paraId="2CB64F1D">
      <w:pPr>
        <w:spacing w:line="600" w:lineRule="exact"/>
        <w:ind w:left="567"/>
        <w:outlineLvl w:val="9"/>
        <w:rPr>
          <w:rFonts w:ascii="仿宋_GB2312" w:hAnsi="黑体" w:eastAsia="仿宋_GB2312"/>
          <w:b/>
          <w:sz w:val="30"/>
          <w:szCs w:val="30"/>
        </w:rPr>
      </w:pPr>
      <w:r>
        <w:rPr>
          <w:rFonts w:hint="eastAsia" w:ascii="仿宋_GB2312" w:hAnsi="黑体" w:eastAsia="仿宋_GB2312"/>
          <w:b/>
          <w:sz w:val="30"/>
          <w:szCs w:val="30"/>
        </w:rPr>
        <w:t>2）</w:t>
      </w:r>
      <w:r>
        <w:rPr>
          <w:rFonts w:hint="eastAsia" w:ascii="仿宋_GB2312" w:eastAsia="仿宋_GB2312"/>
          <w:b/>
          <w:sz w:val="30"/>
          <w:szCs w:val="30"/>
        </w:rPr>
        <w:t>到期续做申报</w:t>
      </w:r>
    </w:p>
    <w:p w14:paraId="6093D58C">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到期续做申报是指正回购方确认履行到期回购义务，同时使用到期回购的全部质押券进行一笔新的协议回购，并约定在到期回购的质押券解除质押登记后用于新的协议回购。到期续做申报由正回购方发起，经续做逆回购方进行确认申报后，由固定收益平台确认成交。</w:t>
      </w:r>
    </w:p>
    <w:p w14:paraId="25C1EAD4">
      <w:pPr>
        <w:adjustRightInd w:val="0"/>
        <w:snapToGrid w:val="0"/>
        <w:spacing w:line="600" w:lineRule="exact"/>
        <w:ind w:firstLine="600" w:firstLineChars="200"/>
        <w:rPr>
          <w:rFonts w:ascii="仿宋_GB2312" w:hAnsi="宋体" w:eastAsia="仿宋_GB2312"/>
          <w:sz w:val="30"/>
          <w:szCs w:val="30"/>
        </w:rPr>
      </w:pPr>
      <w:r>
        <w:rPr>
          <w:rFonts w:hint="eastAsia" w:ascii="仿宋_GB2312" w:hAnsi="Calibri" w:eastAsia="仿宋_GB2312"/>
          <w:sz w:val="30"/>
          <w:szCs w:val="30"/>
        </w:rPr>
        <w:t>到期续做申报的</w:t>
      </w:r>
      <w:r>
        <w:rPr>
          <w:rFonts w:hint="eastAsia" w:ascii="仿宋_GB2312" w:hAnsi="宋体" w:eastAsia="仿宋_GB2312"/>
          <w:sz w:val="30"/>
          <w:szCs w:val="30"/>
        </w:rPr>
        <w:t>具体要素及要素说明如下：</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75"/>
        <w:gridCol w:w="5847"/>
      </w:tblGrid>
      <w:tr w14:paraId="01699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5" w:type="dxa"/>
          </w:tcPr>
          <w:p w14:paraId="2C5F23A9">
            <w:pPr>
              <w:adjustRightInd w:val="0"/>
              <w:snapToGrid w:val="0"/>
              <w:rPr>
                <w:rFonts w:ascii="仿宋_GB2312" w:eastAsia="仿宋_GB2312"/>
                <w:b/>
                <w:kern w:val="0"/>
                <w:sz w:val="24"/>
                <w:szCs w:val="24"/>
              </w:rPr>
            </w:pPr>
            <w:r>
              <w:rPr>
                <w:rFonts w:hint="eastAsia" w:ascii="仿宋_GB2312" w:eastAsia="仿宋_GB2312"/>
                <w:b/>
                <w:kern w:val="0"/>
                <w:sz w:val="24"/>
                <w:szCs w:val="24"/>
              </w:rPr>
              <w:t>要素名称</w:t>
            </w:r>
          </w:p>
        </w:tc>
        <w:tc>
          <w:tcPr>
            <w:tcW w:w="5847" w:type="dxa"/>
          </w:tcPr>
          <w:p w14:paraId="236CD250">
            <w:pPr>
              <w:adjustRightInd w:val="0"/>
              <w:snapToGrid w:val="0"/>
              <w:rPr>
                <w:rFonts w:ascii="仿宋_GB2312" w:eastAsia="仿宋_GB2312"/>
                <w:b/>
                <w:kern w:val="0"/>
                <w:sz w:val="24"/>
                <w:szCs w:val="24"/>
              </w:rPr>
            </w:pPr>
            <w:r>
              <w:rPr>
                <w:rFonts w:hint="eastAsia" w:ascii="仿宋_GB2312" w:eastAsia="仿宋_GB2312"/>
                <w:b/>
                <w:kern w:val="0"/>
                <w:sz w:val="24"/>
                <w:szCs w:val="24"/>
              </w:rPr>
              <w:t>要素说明</w:t>
            </w:r>
          </w:p>
        </w:tc>
      </w:tr>
      <w:tr w14:paraId="643C6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5" w:type="dxa"/>
          </w:tcPr>
          <w:p w14:paraId="536A384F">
            <w:pPr>
              <w:adjustRightInd w:val="0"/>
              <w:snapToGrid w:val="0"/>
              <w:rPr>
                <w:rFonts w:ascii="仿宋_GB2312" w:eastAsia="仿宋_GB2312"/>
                <w:b/>
                <w:kern w:val="0"/>
                <w:sz w:val="24"/>
                <w:szCs w:val="24"/>
              </w:rPr>
            </w:pPr>
            <w:r>
              <w:rPr>
                <w:rFonts w:hint="eastAsia" w:ascii="仿宋_GB2312" w:eastAsia="仿宋_GB2312"/>
                <w:b/>
                <w:kern w:val="0"/>
                <w:sz w:val="24"/>
                <w:szCs w:val="24"/>
              </w:rPr>
              <w:t>回购到期日</w:t>
            </w:r>
          </w:p>
        </w:tc>
        <w:tc>
          <w:tcPr>
            <w:tcW w:w="5847" w:type="dxa"/>
          </w:tcPr>
          <w:p w14:paraId="20D007B8">
            <w:pPr>
              <w:adjustRightInd w:val="0"/>
              <w:snapToGrid w:val="0"/>
              <w:rPr>
                <w:rFonts w:ascii="仿宋_GB2312" w:eastAsia="仿宋_GB2312"/>
                <w:kern w:val="0"/>
                <w:sz w:val="24"/>
                <w:szCs w:val="24"/>
              </w:rPr>
            </w:pPr>
            <w:r>
              <w:rPr>
                <w:rFonts w:hint="eastAsia" w:ascii="仿宋_GB2312" w:eastAsia="仿宋_GB2312"/>
                <w:kern w:val="0"/>
                <w:sz w:val="24"/>
                <w:szCs w:val="24"/>
              </w:rPr>
              <w:t>回购双方协商确定的回购到期日期</w:t>
            </w:r>
          </w:p>
        </w:tc>
      </w:tr>
      <w:tr w14:paraId="1BF58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5" w:type="dxa"/>
          </w:tcPr>
          <w:p w14:paraId="5F26302C">
            <w:pPr>
              <w:adjustRightInd w:val="0"/>
              <w:snapToGrid w:val="0"/>
              <w:rPr>
                <w:rFonts w:ascii="仿宋_GB2312" w:eastAsia="仿宋_GB2312"/>
                <w:b/>
                <w:kern w:val="0"/>
                <w:sz w:val="24"/>
                <w:szCs w:val="24"/>
              </w:rPr>
            </w:pPr>
            <w:r>
              <w:rPr>
                <w:rFonts w:hint="eastAsia" w:ascii="仿宋_GB2312" w:eastAsia="仿宋_GB2312"/>
                <w:b/>
                <w:kern w:val="0"/>
                <w:sz w:val="24"/>
                <w:szCs w:val="24"/>
              </w:rPr>
              <w:t>回购期限</w:t>
            </w:r>
          </w:p>
        </w:tc>
        <w:tc>
          <w:tcPr>
            <w:tcW w:w="5847" w:type="dxa"/>
          </w:tcPr>
          <w:p w14:paraId="6B20A29E">
            <w:pPr>
              <w:adjustRightInd w:val="0"/>
              <w:snapToGrid w:val="0"/>
              <w:rPr>
                <w:rFonts w:ascii="仿宋_GB2312" w:eastAsia="仿宋_GB2312"/>
                <w:kern w:val="0"/>
                <w:sz w:val="24"/>
                <w:szCs w:val="24"/>
              </w:rPr>
            </w:pPr>
            <w:r>
              <w:rPr>
                <w:rFonts w:hint="eastAsia" w:ascii="仿宋_GB2312" w:eastAsia="仿宋_GB2312"/>
                <w:kern w:val="0"/>
                <w:sz w:val="24"/>
                <w:szCs w:val="24"/>
              </w:rPr>
              <w:t>即成交日至回购到期日的实际天数。回购期限按自然日计算，以天为单位，含成交日，不含回购到期日；</w:t>
            </w:r>
          </w:p>
        </w:tc>
      </w:tr>
      <w:tr w14:paraId="413D3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675" w:type="dxa"/>
          </w:tcPr>
          <w:p w14:paraId="071E163C">
            <w:pPr>
              <w:adjustRightInd w:val="0"/>
              <w:snapToGrid w:val="0"/>
              <w:rPr>
                <w:rFonts w:ascii="仿宋_GB2312" w:eastAsia="仿宋_GB2312"/>
                <w:b/>
                <w:kern w:val="0"/>
                <w:sz w:val="24"/>
                <w:szCs w:val="24"/>
              </w:rPr>
            </w:pPr>
            <w:r>
              <w:rPr>
                <w:rFonts w:hint="eastAsia" w:ascii="仿宋_GB2312" w:eastAsia="仿宋_GB2312"/>
                <w:b/>
                <w:kern w:val="0"/>
                <w:sz w:val="24"/>
                <w:szCs w:val="24"/>
              </w:rPr>
              <w:t>折算比例</w:t>
            </w:r>
          </w:p>
        </w:tc>
        <w:tc>
          <w:tcPr>
            <w:tcW w:w="5847" w:type="dxa"/>
          </w:tcPr>
          <w:p w14:paraId="1B86C893">
            <w:pPr>
              <w:adjustRightInd w:val="0"/>
              <w:snapToGrid w:val="0"/>
              <w:rPr>
                <w:rFonts w:ascii="仿宋_GB2312" w:eastAsia="仿宋_GB2312"/>
                <w:kern w:val="0"/>
                <w:sz w:val="24"/>
                <w:szCs w:val="24"/>
              </w:rPr>
            </w:pPr>
            <w:r>
              <w:rPr>
                <w:rFonts w:hint="eastAsia" w:ascii="仿宋_GB2312" w:eastAsia="仿宋_GB2312"/>
                <w:kern w:val="0"/>
                <w:sz w:val="24"/>
                <w:szCs w:val="24"/>
              </w:rPr>
              <w:t>成交金额/质押券总面额</w:t>
            </w:r>
            <w:r>
              <w:rPr>
                <w:rFonts w:ascii="仿宋_GB2312" w:eastAsia="仿宋_GB2312"/>
                <w:kern w:val="0"/>
                <w:sz w:val="24"/>
                <w:szCs w:val="24"/>
              </w:rPr>
              <w:t>*100%</w:t>
            </w:r>
          </w:p>
        </w:tc>
      </w:tr>
      <w:tr w14:paraId="21FE5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5" w:type="dxa"/>
          </w:tcPr>
          <w:p w14:paraId="5C6C6B2E">
            <w:pPr>
              <w:adjustRightInd w:val="0"/>
              <w:snapToGrid w:val="0"/>
              <w:rPr>
                <w:rFonts w:ascii="仿宋_GB2312" w:eastAsia="仿宋_GB2312"/>
                <w:b/>
                <w:kern w:val="0"/>
                <w:sz w:val="24"/>
                <w:szCs w:val="24"/>
              </w:rPr>
            </w:pPr>
            <w:r>
              <w:rPr>
                <w:rFonts w:hint="eastAsia" w:ascii="仿宋_GB2312" w:eastAsia="仿宋_GB2312"/>
                <w:b/>
                <w:kern w:val="0"/>
                <w:sz w:val="24"/>
                <w:szCs w:val="24"/>
              </w:rPr>
              <w:t>回购利率</w:t>
            </w:r>
          </w:p>
        </w:tc>
        <w:tc>
          <w:tcPr>
            <w:tcW w:w="5847" w:type="dxa"/>
          </w:tcPr>
          <w:p w14:paraId="68A323C4">
            <w:pPr>
              <w:adjustRightInd w:val="0"/>
              <w:snapToGrid w:val="0"/>
              <w:rPr>
                <w:rFonts w:ascii="仿宋_GB2312" w:eastAsia="仿宋_GB2312"/>
                <w:kern w:val="0"/>
                <w:sz w:val="24"/>
                <w:szCs w:val="24"/>
              </w:rPr>
            </w:pPr>
            <w:r>
              <w:rPr>
                <w:rFonts w:hint="eastAsia" w:ascii="仿宋_GB2312" w:eastAsia="仿宋_GB2312"/>
                <w:kern w:val="0"/>
                <w:sz w:val="24"/>
                <w:szCs w:val="24"/>
              </w:rPr>
              <w:t>正回购方付给逆回购方的资金价格</w:t>
            </w:r>
          </w:p>
        </w:tc>
      </w:tr>
      <w:tr w14:paraId="56436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5" w:type="dxa"/>
          </w:tcPr>
          <w:p w14:paraId="00951E9E">
            <w:pPr>
              <w:adjustRightInd w:val="0"/>
              <w:snapToGrid w:val="0"/>
              <w:rPr>
                <w:rFonts w:ascii="仿宋_GB2312" w:eastAsia="仿宋_GB2312"/>
                <w:b/>
                <w:kern w:val="0"/>
                <w:sz w:val="24"/>
                <w:szCs w:val="24"/>
              </w:rPr>
            </w:pPr>
            <w:r>
              <w:rPr>
                <w:rFonts w:hint="eastAsia" w:ascii="仿宋_GB2312" w:eastAsia="仿宋_GB2312"/>
                <w:b/>
                <w:kern w:val="0"/>
                <w:sz w:val="24"/>
                <w:szCs w:val="24"/>
              </w:rPr>
              <w:t>成交金额</w:t>
            </w:r>
          </w:p>
        </w:tc>
        <w:tc>
          <w:tcPr>
            <w:tcW w:w="5847" w:type="dxa"/>
          </w:tcPr>
          <w:p w14:paraId="25F545F0">
            <w:pPr>
              <w:adjustRightInd w:val="0"/>
              <w:snapToGrid w:val="0"/>
              <w:rPr>
                <w:rFonts w:ascii="仿宋_GB2312" w:eastAsia="仿宋_GB2312"/>
                <w:kern w:val="0"/>
                <w:sz w:val="24"/>
                <w:szCs w:val="24"/>
              </w:rPr>
            </w:pPr>
            <w:r>
              <w:rPr>
                <w:rFonts w:hint="eastAsia" w:ascii="仿宋_GB2312" w:eastAsia="仿宋_GB2312"/>
                <w:kern w:val="0"/>
                <w:sz w:val="24"/>
                <w:szCs w:val="24"/>
              </w:rPr>
              <w:t>正回购方融入的资金额度</w:t>
            </w:r>
          </w:p>
        </w:tc>
      </w:tr>
      <w:tr w14:paraId="16273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5" w:type="dxa"/>
          </w:tcPr>
          <w:p w14:paraId="08AAFD47">
            <w:pPr>
              <w:adjustRightInd w:val="0"/>
              <w:snapToGrid w:val="0"/>
              <w:rPr>
                <w:rFonts w:ascii="仿宋_GB2312" w:eastAsia="仿宋_GB2312"/>
                <w:b/>
                <w:kern w:val="0"/>
                <w:sz w:val="24"/>
                <w:szCs w:val="24"/>
              </w:rPr>
            </w:pPr>
            <w:r>
              <w:rPr>
                <w:rFonts w:hint="eastAsia" w:ascii="仿宋_GB2312" w:eastAsia="仿宋_GB2312"/>
                <w:b/>
                <w:kern w:val="0"/>
                <w:sz w:val="24"/>
                <w:szCs w:val="24"/>
              </w:rPr>
              <w:t>交易单元号</w:t>
            </w:r>
          </w:p>
        </w:tc>
        <w:tc>
          <w:tcPr>
            <w:tcW w:w="5847" w:type="dxa"/>
          </w:tcPr>
          <w:p w14:paraId="4856210D">
            <w:pPr>
              <w:adjustRightInd w:val="0"/>
              <w:snapToGrid w:val="0"/>
              <w:rPr>
                <w:rFonts w:ascii="仿宋_GB2312" w:eastAsia="仿宋_GB2312"/>
                <w:kern w:val="0"/>
                <w:sz w:val="24"/>
                <w:szCs w:val="24"/>
              </w:rPr>
            </w:pPr>
            <w:r>
              <w:rPr>
                <w:rFonts w:hint="eastAsia" w:ascii="仿宋_GB2312" w:eastAsia="仿宋_GB2312"/>
                <w:kern w:val="0"/>
                <w:sz w:val="24"/>
                <w:szCs w:val="24"/>
              </w:rPr>
              <w:t>默认显示正回购方证券账号指定交易单元号</w:t>
            </w:r>
          </w:p>
        </w:tc>
      </w:tr>
      <w:tr w14:paraId="3FF05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675" w:type="dxa"/>
          </w:tcPr>
          <w:p w14:paraId="2DEE5879">
            <w:pPr>
              <w:adjustRightInd w:val="0"/>
              <w:snapToGrid w:val="0"/>
              <w:rPr>
                <w:rFonts w:ascii="仿宋_GB2312" w:eastAsia="仿宋_GB2312"/>
                <w:b/>
                <w:kern w:val="0"/>
                <w:sz w:val="24"/>
                <w:szCs w:val="24"/>
              </w:rPr>
            </w:pPr>
            <w:r>
              <w:rPr>
                <w:rFonts w:hint="eastAsia" w:ascii="仿宋_GB2312" w:eastAsia="仿宋_GB2312"/>
                <w:b/>
                <w:kern w:val="0"/>
                <w:sz w:val="24"/>
                <w:szCs w:val="24"/>
              </w:rPr>
              <w:t>对手方交易员代码</w:t>
            </w:r>
          </w:p>
        </w:tc>
        <w:tc>
          <w:tcPr>
            <w:tcW w:w="5847" w:type="dxa"/>
          </w:tcPr>
          <w:p w14:paraId="4044639C">
            <w:pPr>
              <w:adjustRightInd w:val="0"/>
              <w:snapToGrid w:val="0"/>
              <w:rPr>
                <w:rFonts w:ascii="仿宋_GB2312" w:eastAsia="仿宋_GB2312"/>
                <w:kern w:val="0"/>
                <w:sz w:val="24"/>
                <w:szCs w:val="24"/>
              </w:rPr>
            </w:pPr>
            <w:r>
              <w:rPr>
                <w:rFonts w:hint="eastAsia" w:ascii="仿宋_GB2312" w:eastAsia="仿宋_GB2312"/>
                <w:kern w:val="0"/>
                <w:sz w:val="24"/>
                <w:szCs w:val="24"/>
              </w:rPr>
              <w:t>默认显示原始申报的对手方交易员代码</w:t>
            </w:r>
          </w:p>
        </w:tc>
      </w:tr>
      <w:tr w14:paraId="199C6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5" w:type="dxa"/>
          </w:tcPr>
          <w:p w14:paraId="5D3ED7DC">
            <w:pPr>
              <w:adjustRightInd w:val="0"/>
              <w:snapToGrid w:val="0"/>
              <w:rPr>
                <w:rFonts w:ascii="仿宋_GB2312" w:eastAsia="仿宋_GB2312"/>
                <w:b/>
                <w:kern w:val="0"/>
                <w:sz w:val="24"/>
                <w:szCs w:val="24"/>
              </w:rPr>
            </w:pPr>
            <w:r>
              <w:rPr>
                <w:rFonts w:hint="eastAsia" w:ascii="仿宋_GB2312" w:eastAsia="仿宋_GB2312"/>
                <w:b/>
                <w:kern w:val="0"/>
                <w:sz w:val="24"/>
                <w:szCs w:val="24"/>
              </w:rPr>
              <w:t>账户名称</w:t>
            </w:r>
          </w:p>
        </w:tc>
        <w:tc>
          <w:tcPr>
            <w:tcW w:w="5847" w:type="dxa"/>
          </w:tcPr>
          <w:p w14:paraId="0340BDCB">
            <w:pPr>
              <w:adjustRightInd w:val="0"/>
              <w:snapToGrid w:val="0"/>
              <w:rPr>
                <w:rFonts w:ascii="仿宋_GB2312" w:eastAsia="仿宋_GB2312"/>
                <w:kern w:val="0"/>
                <w:sz w:val="24"/>
                <w:szCs w:val="24"/>
              </w:rPr>
            </w:pPr>
            <w:r>
              <w:rPr>
                <w:rFonts w:hint="eastAsia" w:ascii="仿宋_GB2312" w:eastAsia="仿宋_GB2312"/>
                <w:kern w:val="0"/>
                <w:sz w:val="24"/>
                <w:szCs w:val="24"/>
              </w:rPr>
              <w:t>本方账户名称</w:t>
            </w:r>
          </w:p>
        </w:tc>
      </w:tr>
      <w:tr w14:paraId="7FBC8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5" w:type="dxa"/>
          </w:tcPr>
          <w:p w14:paraId="134B1F5E">
            <w:pPr>
              <w:adjustRightInd w:val="0"/>
              <w:snapToGrid w:val="0"/>
              <w:rPr>
                <w:rFonts w:ascii="仿宋_GB2312" w:eastAsia="仿宋_GB2312"/>
                <w:b/>
                <w:kern w:val="0"/>
                <w:sz w:val="24"/>
                <w:szCs w:val="24"/>
              </w:rPr>
            </w:pPr>
            <w:r>
              <w:rPr>
                <w:rFonts w:hint="eastAsia" w:ascii="仿宋_GB2312" w:eastAsia="仿宋_GB2312"/>
                <w:b/>
                <w:kern w:val="0"/>
                <w:sz w:val="24"/>
                <w:szCs w:val="24"/>
              </w:rPr>
              <w:t>补充约定</w:t>
            </w:r>
          </w:p>
        </w:tc>
        <w:tc>
          <w:tcPr>
            <w:tcW w:w="5847" w:type="dxa"/>
          </w:tcPr>
          <w:p w14:paraId="7CC2D96D">
            <w:pPr>
              <w:adjustRightInd w:val="0"/>
              <w:snapToGrid w:val="0"/>
              <w:rPr>
                <w:rFonts w:ascii="仿宋_GB2312" w:eastAsia="仿宋_GB2312"/>
                <w:kern w:val="0"/>
                <w:sz w:val="24"/>
                <w:szCs w:val="24"/>
              </w:rPr>
            </w:pPr>
            <w:r>
              <w:rPr>
                <w:rFonts w:hint="eastAsia" w:ascii="仿宋_GB2312" w:eastAsia="仿宋_GB2312"/>
                <w:kern w:val="0"/>
                <w:sz w:val="24"/>
                <w:szCs w:val="24"/>
              </w:rPr>
              <w:t>交易双方的补充约定条款</w:t>
            </w:r>
          </w:p>
        </w:tc>
      </w:tr>
      <w:tr w14:paraId="418E6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5" w:type="dxa"/>
          </w:tcPr>
          <w:p w14:paraId="24B604DC">
            <w:pPr>
              <w:adjustRightInd w:val="0"/>
              <w:snapToGrid w:val="0"/>
              <w:rPr>
                <w:rFonts w:ascii="仿宋_GB2312" w:eastAsia="仿宋_GB2312"/>
                <w:b/>
                <w:kern w:val="0"/>
                <w:sz w:val="24"/>
                <w:szCs w:val="24"/>
              </w:rPr>
            </w:pPr>
            <w:r>
              <w:rPr>
                <w:rFonts w:hint="eastAsia" w:ascii="仿宋_GB2312" w:eastAsia="仿宋_GB2312"/>
                <w:b/>
                <w:kern w:val="0"/>
                <w:sz w:val="24"/>
                <w:szCs w:val="24"/>
              </w:rPr>
              <w:t>回购利息</w:t>
            </w:r>
          </w:p>
        </w:tc>
        <w:tc>
          <w:tcPr>
            <w:tcW w:w="5847" w:type="dxa"/>
          </w:tcPr>
          <w:p w14:paraId="78A55CA1">
            <w:pPr>
              <w:adjustRightInd w:val="0"/>
              <w:snapToGrid w:val="0"/>
              <w:rPr>
                <w:rFonts w:ascii="仿宋_GB2312" w:eastAsia="仿宋_GB2312"/>
                <w:kern w:val="0"/>
                <w:sz w:val="24"/>
                <w:szCs w:val="24"/>
              </w:rPr>
            </w:pPr>
            <w:r>
              <w:rPr>
                <w:rFonts w:hint="eastAsia" w:ascii="仿宋_GB2312" w:eastAsia="仿宋_GB2312"/>
                <w:kern w:val="0"/>
                <w:sz w:val="24"/>
                <w:szCs w:val="24"/>
              </w:rPr>
              <w:t>成交金额×回购利率×实际占款天数/365，自动显示，无需输入</w:t>
            </w:r>
          </w:p>
        </w:tc>
      </w:tr>
      <w:tr w14:paraId="4DB38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675" w:type="dxa"/>
          </w:tcPr>
          <w:p w14:paraId="46788684">
            <w:pPr>
              <w:adjustRightInd w:val="0"/>
              <w:snapToGrid w:val="0"/>
              <w:rPr>
                <w:rFonts w:ascii="仿宋_GB2312" w:eastAsia="仿宋_GB2312"/>
                <w:b/>
                <w:kern w:val="0"/>
                <w:sz w:val="24"/>
                <w:szCs w:val="24"/>
              </w:rPr>
            </w:pPr>
            <w:r>
              <w:rPr>
                <w:rFonts w:hint="eastAsia" w:ascii="仿宋_GB2312" w:eastAsia="仿宋_GB2312"/>
                <w:b/>
                <w:kern w:val="0"/>
                <w:sz w:val="24"/>
                <w:szCs w:val="24"/>
              </w:rPr>
              <w:t>到期结算金额</w:t>
            </w:r>
          </w:p>
        </w:tc>
        <w:tc>
          <w:tcPr>
            <w:tcW w:w="5847" w:type="dxa"/>
          </w:tcPr>
          <w:p w14:paraId="19DB89D4">
            <w:pPr>
              <w:adjustRightInd w:val="0"/>
              <w:snapToGrid w:val="0"/>
              <w:rPr>
                <w:rFonts w:ascii="仿宋_GB2312" w:eastAsia="仿宋_GB2312"/>
                <w:kern w:val="0"/>
                <w:sz w:val="24"/>
                <w:szCs w:val="24"/>
              </w:rPr>
            </w:pPr>
            <w:r>
              <w:rPr>
                <w:rFonts w:hint="eastAsia" w:ascii="仿宋_GB2312" w:eastAsia="仿宋_GB2312"/>
                <w:kern w:val="0"/>
                <w:sz w:val="24"/>
                <w:szCs w:val="24"/>
              </w:rPr>
              <w:t>到期日正回购方返回的金额，自动显示，无需输入</w:t>
            </w:r>
          </w:p>
        </w:tc>
      </w:tr>
      <w:tr w14:paraId="4B5ED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5" w:type="dxa"/>
          </w:tcPr>
          <w:p w14:paraId="439EA4B9">
            <w:pPr>
              <w:adjustRightInd w:val="0"/>
              <w:snapToGrid w:val="0"/>
              <w:rPr>
                <w:rFonts w:ascii="仿宋_GB2312" w:eastAsia="仿宋_GB2312"/>
                <w:b/>
                <w:kern w:val="0"/>
                <w:sz w:val="24"/>
                <w:szCs w:val="24"/>
              </w:rPr>
            </w:pPr>
            <w:r>
              <w:rPr>
                <w:rFonts w:hint="eastAsia" w:ascii="仿宋_GB2312" w:eastAsia="仿宋_GB2312"/>
                <w:b/>
                <w:kern w:val="0"/>
                <w:sz w:val="24"/>
                <w:szCs w:val="24"/>
              </w:rPr>
              <w:t>实际占款天数</w:t>
            </w:r>
          </w:p>
        </w:tc>
        <w:tc>
          <w:tcPr>
            <w:tcW w:w="5847" w:type="dxa"/>
          </w:tcPr>
          <w:p w14:paraId="40CEDA84">
            <w:pPr>
              <w:adjustRightInd w:val="0"/>
              <w:snapToGrid w:val="0"/>
              <w:rPr>
                <w:rFonts w:ascii="仿宋_GB2312" w:eastAsia="仿宋_GB2312"/>
                <w:kern w:val="0"/>
                <w:sz w:val="24"/>
                <w:szCs w:val="24"/>
              </w:rPr>
            </w:pPr>
            <w:r>
              <w:rPr>
                <w:rFonts w:hint="eastAsia" w:ascii="仿宋_GB2312" w:eastAsia="仿宋_GB2312"/>
                <w:kern w:val="0"/>
                <w:sz w:val="24"/>
                <w:szCs w:val="24"/>
              </w:rPr>
              <w:t>到期结算日-首期结算日，自动显示，无需输入</w:t>
            </w:r>
          </w:p>
        </w:tc>
      </w:tr>
      <w:tr w14:paraId="560B2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5" w:type="dxa"/>
          </w:tcPr>
          <w:p w14:paraId="7677E531">
            <w:pPr>
              <w:adjustRightInd w:val="0"/>
              <w:snapToGrid w:val="0"/>
              <w:rPr>
                <w:rFonts w:ascii="仿宋_GB2312" w:eastAsia="仿宋_GB2312"/>
                <w:b/>
                <w:kern w:val="0"/>
                <w:sz w:val="24"/>
                <w:szCs w:val="24"/>
              </w:rPr>
            </w:pPr>
            <w:r>
              <w:rPr>
                <w:rFonts w:hint="eastAsia" w:ascii="仿宋_GB2312" w:eastAsia="仿宋_GB2312"/>
                <w:b/>
                <w:kern w:val="0"/>
                <w:sz w:val="24"/>
                <w:szCs w:val="24"/>
              </w:rPr>
              <w:t>对手方交易员名称</w:t>
            </w:r>
          </w:p>
        </w:tc>
        <w:tc>
          <w:tcPr>
            <w:tcW w:w="5847" w:type="dxa"/>
          </w:tcPr>
          <w:p w14:paraId="31744DCE">
            <w:pPr>
              <w:adjustRightInd w:val="0"/>
              <w:snapToGrid w:val="0"/>
              <w:rPr>
                <w:rFonts w:ascii="仿宋_GB2312" w:eastAsia="仿宋_GB2312"/>
                <w:kern w:val="0"/>
                <w:sz w:val="24"/>
                <w:szCs w:val="24"/>
              </w:rPr>
            </w:pPr>
            <w:r>
              <w:rPr>
                <w:rFonts w:hint="eastAsia" w:ascii="仿宋_GB2312" w:eastAsia="仿宋_GB2312"/>
                <w:kern w:val="0"/>
                <w:sz w:val="24"/>
                <w:szCs w:val="24"/>
              </w:rPr>
              <w:t>对手方交易员名称，自动显示，无需输入</w:t>
            </w:r>
          </w:p>
        </w:tc>
      </w:tr>
      <w:tr w14:paraId="0CFB9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5" w:type="dxa"/>
          </w:tcPr>
          <w:p w14:paraId="7E87DAAC">
            <w:pPr>
              <w:adjustRightInd w:val="0"/>
              <w:snapToGrid w:val="0"/>
              <w:rPr>
                <w:rFonts w:ascii="仿宋_GB2312" w:eastAsia="仿宋_GB2312"/>
                <w:b/>
                <w:kern w:val="0"/>
                <w:sz w:val="24"/>
                <w:szCs w:val="24"/>
              </w:rPr>
            </w:pPr>
            <w:r>
              <w:rPr>
                <w:rFonts w:hint="eastAsia" w:ascii="仿宋_GB2312" w:eastAsia="仿宋_GB2312"/>
                <w:b/>
                <w:kern w:val="0"/>
                <w:sz w:val="24"/>
                <w:szCs w:val="24"/>
              </w:rPr>
              <w:t>对手方债券交易参与人</w:t>
            </w:r>
          </w:p>
        </w:tc>
        <w:tc>
          <w:tcPr>
            <w:tcW w:w="5847" w:type="dxa"/>
          </w:tcPr>
          <w:p w14:paraId="2B48D0D9">
            <w:pPr>
              <w:adjustRightInd w:val="0"/>
              <w:snapToGrid w:val="0"/>
              <w:rPr>
                <w:rFonts w:ascii="仿宋_GB2312" w:eastAsia="仿宋_GB2312"/>
                <w:kern w:val="0"/>
                <w:sz w:val="24"/>
                <w:szCs w:val="24"/>
              </w:rPr>
            </w:pPr>
            <w:r>
              <w:rPr>
                <w:rFonts w:hint="eastAsia" w:ascii="仿宋_GB2312" w:eastAsia="仿宋_GB2312"/>
                <w:kern w:val="0"/>
                <w:sz w:val="24"/>
                <w:szCs w:val="24"/>
              </w:rPr>
              <w:t>对手方债券交易参与人名称，自动显示，无需输入</w:t>
            </w:r>
          </w:p>
        </w:tc>
      </w:tr>
      <w:tr w14:paraId="66865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675" w:type="dxa"/>
          </w:tcPr>
          <w:p w14:paraId="5194C3D2">
            <w:pPr>
              <w:adjustRightInd w:val="0"/>
              <w:snapToGrid w:val="0"/>
              <w:rPr>
                <w:rFonts w:ascii="仿宋_GB2312" w:eastAsia="仿宋_GB2312"/>
                <w:b/>
                <w:kern w:val="0"/>
                <w:sz w:val="24"/>
                <w:szCs w:val="24"/>
              </w:rPr>
            </w:pPr>
            <w:r>
              <w:rPr>
                <w:rFonts w:hint="eastAsia" w:ascii="仿宋_GB2312" w:eastAsia="仿宋_GB2312"/>
                <w:b/>
                <w:kern w:val="0"/>
                <w:sz w:val="24"/>
                <w:szCs w:val="24"/>
              </w:rPr>
              <w:t>债券交易参与人</w:t>
            </w:r>
          </w:p>
        </w:tc>
        <w:tc>
          <w:tcPr>
            <w:tcW w:w="5847" w:type="dxa"/>
          </w:tcPr>
          <w:p w14:paraId="3585FE53">
            <w:pPr>
              <w:adjustRightInd w:val="0"/>
              <w:snapToGrid w:val="0"/>
              <w:rPr>
                <w:rFonts w:ascii="仿宋_GB2312" w:eastAsia="仿宋_GB2312"/>
                <w:kern w:val="0"/>
                <w:sz w:val="24"/>
                <w:szCs w:val="24"/>
              </w:rPr>
            </w:pPr>
            <w:r>
              <w:rPr>
                <w:rFonts w:hint="eastAsia" w:ascii="仿宋_GB2312" w:eastAsia="仿宋_GB2312"/>
                <w:kern w:val="0"/>
                <w:sz w:val="24"/>
                <w:szCs w:val="24"/>
              </w:rPr>
              <w:t>本方债券交易参与人名称，自动显示，无需输入</w:t>
            </w:r>
          </w:p>
        </w:tc>
      </w:tr>
      <w:tr w14:paraId="33255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5" w:type="dxa"/>
          </w:tcPr>
          <w:p w14:paraId="3475740F">
            <w:pPr>
              <w:adjustRightInd w:val="0"/>
              <w:snapToGrid w:val="0"/>
              <w:rPr>
                <w:rFonts w:ascii="仿宋_GB2312" w:eastAsia="仿宋_GB2312"/>
                <w:b/>
                <w:kern w:val="0"/>
                <w:sz w:val="24"/>
                <w:szCs w:val="24"/>
              </w:rPr>
            </w:pPr>
            <w:r>
              <w:rPr>
                <w:rFonts w:hint="eastAsia" w:ascii="仿宋_GB2312" w:eastAsia="仿宋_GB2312"/>
                <w:b/>
                <w:kern w:val="0"/>
                <w:sz w:val="24"/>
                <w:szCs w:val="24"/>
              </w:rPr>
              <w:t>交易员代码</w:t>
            </w:r>
          </w:p>
        </w:tc>
        <w:tc>
          <w:tcPr>
            <w:tcW w:w="5847" w:type="dxa"/>
          </w:tcPr>
          <w:p w14:paraId="1EA37233">
            <w:pPr>
              <w:adjustRightInd w:val="0"/>
              <w:snapToGrid w:val="0"/>
              <w:rPr>
                <w:rFonts w:ascii="仿宋_GB2312" w:eastAsia="仿宋_GB2312"/>
                <w:kern w:val="0"/>
                <w:sz w:val="24"/>
                <w:szCs w:val="24"/>
              </w:rPr>
            </w:pPr>
            <w:r>
              <w:rPr>
                <w:rFonts w:hint="eastAsia" w:ascii="仿宋_GB2312" w:eastAsia="仿宋_GB2312"/>
                <w:kern w:val="0"/>
                <w:sz w:val="24"/>
                <w:szCs w:val="24"/>
              </w:rPr>
              <w:t>本方交易员代码，自动显示，无需输入</w:t>
            </w:r>
          </w:p>
        </w:tc>
      </w:tr>
      <w:tr w14:paraId="41DD6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5" w:type="dxa"/>
          </w:tcPr>
          <w:p w14:paraId="426315E4">
            <w:pPr>
              <w:adjustRightInd w:val="0"/>
              <w:snapToGrid w:val="0"/>
              <w:rPr>
                <w:rFonts w:ascii="仿宋_GB2312" w:eastAsia="仿宋_GB2312"/>
                <w:b/>
                <w:kern w:val="0"/>
                <w:sz w:val="24"/>
                <w:szCs w:val="24"/>
              </w:rPr>
            </w:pPr>
            <w:r>
              <w:rPr>
                <w:rFonts w:hint="eastAsia" w:ascii="仿宋_GB2312" w:eastAsia="仿宋_GB2312"/>
                <w:b/>
                <w:kern w:val="0"/>
                <w:sz w:val="24"/>
                <w:szCs w:val="24"/>
              </w:rPr>
              <w:t>交易员名称</w:t>
            </w:r>
          </w:p>
        </w:tc>
        <w:tc>
          <w:tcPr>
            <w:tcW w:w="5847" w:type="dxa"/>
          </w:tcPr>
          <w:p w14:paraId="26E446DF">
            <w:pPr>
              <w:adjustRightInd w:val="0"/>
              <w:snapToGrid w:val="0"/>
              <w:rPr>
                <w:rFonts w:ascii="仿宋_GB2312" w:eastAsia="仿宋_GB2312"/>
                <w:kern w:val="0"/>
                <w:sz w:val="24"/>
                <w:szCs w:val="24"/>
              </w:rPr>
            </w:pPr>
            <w:r>
              <w:rPr>
                <w:rFonts w:hint="eastAsia" w:ascii="仿宋_GB2312" w:eastAsia="仿宋_GB2312"/>
                <w:kern w:val="0"/>
                <w:sz w:val="24"/>
                <w:szCs w:val="24"/>
              </w:rPr>
              <w:t>本方交易员名称，自动显示，无需输入</w:t>
            </w:r>
          </w:p>
        </w:tc>
      </w:tr>
      <w:tr w14:paraId="4162D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5" w:type="dxa"/>
          </w:tcPr>
          <w:p w14:paraId="7DCC5375">
            <w:pPr>
              <w:adjustRightInd w:val="0"/>
              <w:snapToGrid w:val="0"/>
              <w:rPr>
                <w:rFonts w:ascii="仿宋_GB2312" w:eastAsia="仿宋_GB2312"/>
                <w:b/>
                <w:kern w:val="0"/>
                <w:sz w:val="24"/>
                <w:szCs w:val="24"/>
              </w:rPr>
            </w:pPr>
            <w:r>
              <w:rPr>
                <w:rFonts w:hint="eastAsia" w:ascii="仿宋_GB2312" w:eastAsia="仿宋_GB2312"/>
                <w:b/>
                <w:kern w:val="0"/>
                <w:sz w:val="24"/>
                <w:szCs w:val="24"/>
              </w:rPr>
              <w:t>成交日期</w:t>
            </w:r>
          </w:p>
        </w:tc>
        <w:tc>
          <w:tcPr>
            <w:tcW w:w="5847" w:type="dxa"/>
          </w:tcPr>
          <w:p w14:paraId="78AE4915">
            <w:pPr>
              <w:adjustRightInd w:val="0"/>
              <w:snapToGrid w:val="0"/>
              <w:rPr>
                <w:rFonts w:ascii="仿宋_GB2312" w:eastAsia="仿宋_GB2312"/>
                <w:kern w:val="0"/>
                <w:sz w:val="24"/>
                <w:szCs w:val="24"/>
              </w:rPr>
            </w:pPr>
            <w:r>
              <w:rPr>
                <w:rFonts w:hint="eastAsia" w:ascii="仿宋_GB2312" w:eastAsia="仿宋_GB2312"/>
                <w:kern w:val="0"/>
                <w:sz w:val="24"/>
                <w:szCs w:val="24"/>
              </w:rPr>
              <w:t>当前交易日，自动显示，无需输入</w:t>
            </w:r>
          </w:p>
        </w:tc>
      </w:tr>
      <w:tr w14:paraId="6C5ED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675" w:type="dxa"/>
          </w:tcPr>
          <w:p w14:paraId="7F957B63">
            <w:pPr>
              <w:adjustRightInd w:val="0"/>
              <w:snapToGrid w:val="0"/>
              <w:rPr>
                <w:rFonts w:ascii="仿宋_GB2312" w:eastAsia="仿宋_GB2312"/>
                <w:b/>
                <w:kern w:val="0"/>
                <w:sz w:val="24"/>
                <w:szCs w:val="24"/>
              </w:rPr>
            </w:pPr>
            <w:r>
              <w:rPr>
                <w:rFonts w:hint="eastAsia" w:ascii="仿宋_GB2312" w:eastAsia="仿宋_GB2312"/>
                <w:b/>
                <w:kern w:val="0"/>
                <w:sz w:val="24"/>
                <w:szCs w:val="24"/>
              </w:rPr>
              <w:t>到期结算日</w:t>
            </w:r>
          </w:p>
        </w:tc>
        <w:tc>
          <w:tcPr>
            <w:tcW w:w="5847" w:type="dxa"/>
          </w:tcPr>
          <w:p w14:paraId="3C9827B4">
            <w:pPr>
              <w:adjustRightInd w:val="0"/>
              <w:snapToGrid w:val="0"/>
              <w:rPr>
                <w:rFonts w:ascii="仿宋_GB2312" w:eastAsia="仿宋_GB2312"/>
                <w:kern w:val="0"/>
                <w:sz w:val="24"/>
                <w:szCs w:val="24"/>
              </w:rPr>
            </w:pPr>
            <w:r>
              <w:rPr>
                <w:rFonts w:hint="eastAsia" w:ascii="仿宋_GB2312" w:eastAsia="仿宋_GB2312"/>
                <w:kern w:val="0"/>
                <w:sz w:val="24"/>
                <w:szCs w:val="24"/>
              </w:rPr>
              <w:t>到期结算日，自动显示，无需输入</w:t>
            </w:r>
          </w:p>
        </w:tc>
      </w:tr>
      <w:tr w14:paraId="5FC16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75" w:type="dxa"/>
          </w:tcPr>
          <w:p w14:paraId="40FC2863">
            <w:pPr>
              <w:adjustRightInd w:val="0"/>
              <w:snapToGrid w:val="0"/>
              <w:rPr>
                <w:rFonts w:ascii="仿宋_GB2312" w:eastAsia="仿宋_GB2312"/>
                <w:b/>
                <w:kern w:val="0"/>
                <w:sz w:val="24"/>
                <w:szCs w:val="24"/>
              </w:rPr>
            </w:pPr>
            <w:r>
              <w:rPr>
                <w:rFonts w:hint="eastAsia" w:ascii="仿宋_GB2312" w:eastAsia="仿宋_GB2312"/>
                <w:b/>
                <w:kern w:val="0"/>
                <w:sz w:val="24"/>
                <w:szCs w:val="24"/>
              </w:rPr>
              <w:t>质押券代码</w:t>
            </w:r>
          </w:p>
        </w:tc>
        <w:tc>
          <w:tcPr>
            <w:tcW w:w="5847" w:type="dxa"/>
          </w:tcPr>
          <w:p w14:paraId="5320903E">
            <w:pPr>
              <w:adjustRightInd w:val="0"/>
              <w:snapToGrid w:val="0"/>
              <w:rPr>
                <w:rFonts w:ascii="仿宋_GB2312" w:eastAsia="仿宋_GB2312"/>
                <w:kern w:val="0"/>
                <w:sz w:val="24"/>
                <w:szCs w:val="24"/>
              </w:rPr>
            </w:pPr>
            <w:r>
              <w:rPr>
                <w:rFonts w:hint="eastAsia" w:ascii="仿宋_GB2312" w:eastAsia="仿宋_GB2312"/>
                <w:kern w:val="0"/>
                <w:sz w:val="24"/>
                <w:szCs w:val="24"/>
              </w:rPr>
              <w:t>质押债券的代码</w:t>
            </w:r>
            <w:r>
              <w:rPr>
                <w:rFonts w:hint="eastAsia" w:ascii="仿宋_GB2312" w:eastAsia="仿宋_GB2312"/>
                <w:kern w:val="0"/>
                <w:sz w:val="24"/>
                <w:szCs w:val="24"/>
                <w:lang w:eastAsia="zh-CN"/>
              </w:rPr>
              <w:t>，</w:t>
            </w:r>
            <w:r>
              <w:rPr>
                <w:rFonts w:hint="eastAsia" w:ascii="仿宋_GB2312" w:eastAsia="仿宋_GB2312"/>
                <w:kern w:val="0"/>
                <w:sz w:val="24"/>
                <w:szCs w:val="24"/>
              </w:rPr>
              <w:t>自动显示，无需输入</w:t>
            </w:r>
          </w:p>
        </w:tc>
      </w:tr>
      <w:tr w14:paraId="20173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5" w:type="dxa"/>
          </w:tcPr>
          <w:p w14:paraId="04291B1D">
            <w:pPr>
              <w:adjustRightInd w:val="0"/>
              <w:snapToGrid w:val="0"/>
              <w:rPr>
                <w:rFonts w:ascii="仿宋_GB2312" w:eastAsia="仿宋_GB2312"/>
                <w:b/>
                <w:kern w:val="0"/>
                <w:sz w:val="24"/>
                <w:szCs w:val="24"/>
              </w:rPr>
            </w:pPr>
            <w:r>
              <w:rPr>
                <w:rFonts w:hint="eastAsia" w:ascii="仿宋_GB2312" w:eastAsia="仿宋_GB2312"/>
                <w:b/>
                <w:kern w:val="0"/>
                <w:sz w:val="24"/>
                <w:szCs w:val="24"/>
              </w:rPr>
              <w:t>质押券简称</w:t>
            </w:r>
          </w:p>
        </w:tc>
        <w:tc>
          <w:tcPr>
            <w:tcW w:w="5847" w:type="dxa"/>
          </w:tcPr>
          <w:p w14:paraId="14706CD4">
            <w:pPr>
              <w:adjustRightInd w:val="0"/>
              <w:snapToGrid w:val="0"/>
              <w:rPr>
                <w:rFonts w:ascii="仿宋_GB2312" w:eastAsia="仿宋_GB2312"/>
                <w:kern w:val="0"/>
                <w:sz w:val="24"/>
                <w:szCs w:val="24"/>
              </w:rPr>
            </w:pPr>
            <w:r>
              <w:rPr>
                <w:rFonts w:hint="eastAsia" w:ascii="仿宋_GB2312" w:eastAsia="仿宋_GB2312"/>
                <w:kern w:val="0"/>
                <w:sz w:val="24"/>
                <w:szCs w:val="24"/>
              </w:rPr>
              <w:t>质押债券的简称，自动显示，无需输入</w:t>
            </w:r>
          </w:p>
        </w:tc>
      </w:tr>
      <w:tr w14:paraId="67C67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5" w:type="dxa"/>
          </w:tcPr>
          <w:p w14:paraId="6FABB5E0">
            <w:pPr>
              <w:adjustRightInd w:val="0"/>
              <w:snapToGrid w:val="0"/>
              <w:rPr>
                <w:rFonts w:ascii="仿宋_GB2312" w:eastAsia="仿宋_GB2312"/>
                <w:b/>
                <w:kern w:val="0"/>
                <w:sz w:val="24"/>
                <w:szCs w:val="24"/>
              </w:rPr>
            </w:pPr>
            <w:r>
              <w:rPr>
                <w:rFonts w:hint="eastAsia" w:ascii="仿宋_GB2312" w:eastAsia="仿宋_GB2312"/>
                <w:b/>
                <w:kern w:val="0"/>
                <w:sz w:val="24"/>
                <w:szCs w:val="24"/>
              </w:rPr>
              <w:t>质押券数量</w:t>
            </w:r>
          </w:p>
        </w:tc>
        <w:tc>
          <w:tcPr>
            <w:tcW w:w="5847" w:type="dxa"/>
          </w:tcPr>
          <w:p w14:paraId="7C75E59E">
            <w:pPr>
              <w:adjustRightInd w:val="0"/>
              <w:snapToGrid w:val="0"/>
              <w:rPr>
                <w:rFonts w:ascii="仿宋_GB2312" w:eastAsia="仿宋_GB2312"/>
                <w:kern w:val="0"/>
                <w:sz w:val="24"/>
                <w:szCs w:val="24"/>
              </w:rPr>
            </w:pPr>
            <w:r>
              <w:rPr>
                <w:rFonts w:hint="eastAsia" w:ascii="仿宋_GB2312" w:eastAsia="仿宋_GB2312"/>
                <w:kern w:val="0"/>
                <w:sz w:val="24"/>
                <w:szCs w:val="24"/>
              </w:rPr>
              <w:t>质押券数量，以千元面额为单位，自动显示，无需输入</w:t>
            </w:r>
          </w:p>
        </w:tc>
      </w:tr>
      <w:tr w14:paraId="703F6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5" w:type="dxa"/>
          </w:tcPr>
          <w:p w14:paraId="0D2E08C8">
            <w:pPr>
              <w:adjustRightInd w:val="0"/>
              <w:snapToGrid w:val="0"/>
              <w:rPr>
                <w:rFonts w:ascii="仿宋_GB2312" w:eastAsia="仿宋_GB2312"/>
                <w:b/>
                <w:kern w:val="0"/>
                <w:sz w:val="24"/>
                <w:szCs w:val="24"/>
              </w:rPr>
            </w:pPr>
            <w:r>
              <w:rPr>
                <w:rFonts w:hint="eastAsia" w:ascii="仿宋_GB2312" w:eastAsia="仿宋_GB2312"/>
                <w:b/>
                <w:kern w:val="0"/>
                <w:sz w:val="24"/>
                <w:szCs w:val="24"/>
              </w:rPr>
              <w:t>质押券总面额</w:t>
            </w:r>
          </w:p>
        </w:tc>
        <w:tc>
          <w:tcPr>
            <w:tcW w:w="5847" w:type="dxa"/>
          </w:tcPr>
          <w:p w14:paraId="4081EEB7">
            <w:pPr>
              <w:adjustRightInd w:val="0"/>
              <w:snapToGrid w:val="0"/>
              <w:rPr>
                <w:rFonts w:ascii="仿宋_GB2312" w:eastAsia="仿宋_GB2312"/>
                <w:kern w:val="0"/>
                <w:sz w:val="24"/>
                <w:szCs w:val="24"/>
              </w:rPr>
            </w:pPr>
            <w:r>
              <w:rPr>
                <w:rFonts w:hint="eastAsia" w:ascii="仿宋_GB2312" w:eastAsia="仿宋_GB2312"/>
                <w:kern w:val="0"/>
                <w:sz w:val="24"/>
                <w:szCs w:val="24"/>
              </w:rPr>
              <w:t>质押数量*单张质押券面额，自动显示，无需输入</w:t>
            </w:r>
          </w:p>
        </w:tc>
      </w:tr>
      <w:tr w14:paraId="6BD06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5" w:type="dxa"/>
          </w:tcPr>
          <w:p w14:paraId="6FB4696F">
            <w:pPr>
              <w:adjustRightInd w:val="0"/>
              <w:snapToGrid w:val="0"/>
              <w:rPr>
                <w:rFonts w:ascii="仿宋_GB2312" w:eastAsia="仿宋_GB2312"/>
                <w:b/>
                <w:kern w:val="0"/>
                <w:sz w:val="24"/>
                <w:szCs w:val="24"/>
              </w:rPr>
            </w:pPr>
            <w:r>
              <w:rPr>
                <w:rFonts w:hint="eastAsia" w:ascii="仿宋_GB2312" w:eastAsia="仿宋_GB2312"/>
                <w:b/>
                <w:kern w:val="0"/>
                <w:sz w:val="24"/>
                <w:szCs w:val="24"/>
              </w:rPr>
              <w:t>利息参考值</w:t>
            </w:r>
          </w:p>
        </w:tc>
        <w:tc>
          <w:tcPr>
            <w:tcW w:w="5847" w:type="dxa"/>
          </w:tcPr>
          <w:p w14:paraId="0272DC5D">
            <w:pPr>
              <w:adjustRightInd w:val="0"/>
              <w:snapToGrid w:val="0"/>
              <w:rPr>
                <w:rFonts w:ascii="仿宋_GB2312" w:eastAsia="仿宋_GB2312"/>
                <w:kern w:val="0"/>
                <w:sz w:val="24"/>
                <w:szCs w:val="24"/>
              </w:rPr>
            </w:pPr>
            <w:r>
              <w:rPr>
                <w:rFonts w:hint="eastAsia" w:ascii="仿宋_GB2312" w:eastAsia="仿宋_GB2312"/>
                <w:kern w:val="0"/>
                <w:sz w:val="24"/>
                <w:szCs w:val="24"/>
              </w:rPr>
              <w:t>成交金额×回购利率×实际占款天数/365，自动显示，无需输入</w:t>
            </w:r>
          </w:p>
        </w:tc>
      </w:tr>
      <w:tr w14:paraId="24E13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5" w:type="dxa"/>
          </w:tcPr>
          <w:p w14:paraId="53589FFB">
            <w:pPr>
              <w:adjustRightInd w:val="0"/>
              <w:snapToGrid w:val="0"/>
              <w:rPr>
                <w:rFonts w:ascii="仿宋_GB2312" w:eastAsia="仿宋_GB2312"/>
                <w:b/>
                <w:kern w:val="0"/>
                <w:sz w:val="24"/>
                <w:szCs w:val="24"/>
              </w:rPr>
            </w:pPr>
            <w:r>
              <w:rPr>
                <w:rFonts w:hint="eastAsia" w:ascii="仿宋_GB2312" w:eastAsia="仿宋_GB2312"/>
                <w:b/>
                <w:kern w:val="0"/>
                <w:sz w:val="24"/>
                <w:szCs w:val="24"/>
              </w:rPr>
              <w:t>到期结算金额</w:t>
            </w:r>
          </w:p>
        </w:tc>
        <w:tc>
          <w:tcPr>
            <w:tcW w:w="5847" w:type="dxa"/>
          </w:tcPr>
          <w:p w14:paraId="6A55678D">
            <w:pPr>
              <w:adjustRightInd w:val="0"/>
              <w:snapToGrid w:val="0"/>
              <w:rPr>
                <w:rFonts w:ascii="仿宋_GB2312" w:eastAsia="仿宋_GB2312"/>
                <w:kern w:val="0"/>
                <w:sz w:val="24"/>
                <w:szCs w:val="24"/>
              </w:rPr>
            </w:pPr>
            <w:r>
              <w:rPr>
                <w:rFonts w:hint="eastAsia" w:ascii="仿宋_GB2312" w:eastAsia="仿宋_GB2312"/>
                <w:kern w:val="0"/>
                <w:sz w:val="24"/>
                <w:szCs w:val="24"/>
              </w:rPr>
              <w:t>到期日正回购方返回的金额，自动显示，无需输入</w:t>
            </w:r>
          </w:p>
        </w:tc>
      </w:tr>
      <w:tr w14:paraId="69C8B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5" w:type="dxa"/>
          </w:tcPr>
          <w:p w14:paraId="16CD0740">
            <w:pPr>
              <w:adjustRightInd w:val="0"/>
              <w:snapToGrid w:val="0"/>
              <w:rPr>
                <w:rFonts w:ascii="仿宋_GB2312" w:eastAsia="仿宋_GB2312"/>
                <w:b/>
                <w:kern w:val="0"/>
                <w:sz w:val="24"/>
                <w:szCs w:val="24"/>
              </w:rPr>
            </w:pPr>
            <w:r>
              <w:rPr>
                <w:rFonts w:hint="eastAsia" w:ascii="仿宋_GB2312" w:eastAsia="仿宋_GB2312"/>
                <w:b/>
                <w:kern w:val="0"/>
                <w:sz w:val="24"/>
                <w:szCs w:val="24"/>
              </w:rPr>
              <w:t>回购方向</w:t>
            </w:r>
          </w:p>
        </w:tc>
        <w:tc>
          <w:tcPr>
            <w:tcW w:w="5847" w:type="dxa"/>
          </w:tcPr>
          <w:p w14:paraId="44963437">
            <w:pPr>
              <w:adjustRightInd w:val="0"/>
              <w:snapToGrid w:val="0"/>
              <w:rPr>
                <w:rFonts w:ascii="仿宋_GB2312" w:eastAsia="仿宋_GB2312"/>
                <w:kern w:val="0"/>
                <w:sz w:val="24"/>
                <w:szCs w:val="24"/>
              </w:rPr>
            </w:pPr>
            <w:r>
              <w:rPr>
                <w:rFonts w:hint="eastAsia" w:ascii="仿宋_GB2312" w:eastAsia="仿宋_GB2312"/>
                <w:kern w:val="0"/>
                <w:sz w:val="24"/>
                <w:szCs w:val="24"/>
              </w:rPr>
              <w:t>默认正回购，到期确认申报只能正回购方发起，自动显示，无需输入</w:t>
            </w:r>
          </w:p>
        </w:tc>
      </w:tr>
      <w:tr w14:paraId="408C0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5" w:type="dxa"/>
          </w:tcPr>
          <w:p w14:paraId="579C5BA5">
            <w:pPr>
              <w:adjustRightInd w:val="0"/>
              <w:snapToGrid w:val="0"/>
              <w:rPr>
                <w:rFonts w:ascii="仿宋_GB2312" w:eastAsia="仿宋_GB2312"/>
                <w:b/>
                <w:kern w:val="0"/>
                <w:sz w:val="24"/>
                <w:szCs w:val="24"/>
              </w:rPr>
            </w:pPr>
            <w:r>
              <w:rPr>
                <w:rFonts w:hint="eastAsia" w:ascii="仿宋_GB2312" w:eastAsia="仿宋_GB2312"/>
                <w:b/>
                <w:kern w:val="0"/>
                <w:sz w:val="24"/>
                <w:szCs w:val="24"/>
              </w:rPr>
              <w:t>证券账户</w:t>
            </w:r>
          </w:p>
        </w:tc>
        <w:tc>
          <w:tcPr>
            <w:tcW w:w="5847" w:type="dxa"/>
          </w:tcPr>
          <w:p w14:paraId="071ED9A4">
            <w:pPr>
              <w:adjustRightInd w:val="0"/>
              <w:snapToGrid w:val="0"/>
              <w:rPr>
                <w:rFonts w:ascii="仿宋_GB2312" w:eastAsia="仿宋_GB2312"/>
                <w:kern w:val="0"/>
                <w:sz w:val="24"/>
                <w:szCs w:val="24"/>
              </w:rPr>
            </w:pPr>
            <w:r>
              <w:rPr>
                <w:rFonts w:hint="eastAsia" w:ascii="仿宋_GB2312" w:eastAsia="仿宋_GB2312"/>
                <w:kern w:val="0"/>
                <w:sz w:val="24"/>
                <w:szCs w:val="24"/>
              </w:rPr>
              <w:t>本方证券账户号码，自动显示，无需输入</w:t>
            </w:r>
          </w:p>
        </w:tc>
      </w:tr>
      <w:tr w14:paraId="2D526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5" w:type="dxa"/>
          </w:tcPr>
          <w:p w14:paraId="7BE43128">
            <w:pPr>
              <w:adjustRightInd w:val="0"/>
              <w:snapToGrid w:val="0"/>
              <w:rPr>
                <w:rFonts w:ascii="仿宋_GB2312" w:eastAsia="仿宋_GB2312"/>
                <w:b/>
                <w:kern w:val="0"/>
                <w:sz w:val="24"/>
                <w:szCs w:val="24"/>
              </w:rPr>
            </w:pPr>
            <w:r>
              <w:rPr>
                <w:rFonts w:hint="eastAsia" w:ascii="仿宋_GB2312" w:eastAsia="仿宋_GB2312"/>
                <w:b/>
                <w:kern w:val="0"/>
                <w:sz w:val="24"/>
                <w:szCs w:val="24"/>
              </w:rPr>
              <w:t>原成交日期</w:t>
            </w:r>
          </w:p>
        </w:tc>
        <w:tc>
          <w:tcPr>
            <w:tcW w:w="5847" w:type="dxa"/>
          </w:tcPr>
          <w:p w14:paraId="0E6E7B7F">
            <w:pPr>
              <w:adjustRightInd w:val="0"/>
              <w:snapToGrid w:val="0"/>
              <w:rPr>
                <w:rFonts w:ascii="仿宋_GB2312" w:eastAsia="仿宋_GB2312"/>
                <w:kern w:val="0"/>
                <w:sz w:val="24"/>
                <w:szCs w:val="24"/>
              </w:rPr>
            </w:pPr>
            <w:r>
              <w:rPr>
                <w:rFonts w:hint="eastAsia" w:ascii="仿宋_GB2312" w:eastAsia="仿宋_GB2312"/>
                <w:kern w:val="0"/>
                <w:sz w:val="24"/>
                <w:szCs w:val="24"/>
              </w:rPr>
              <w:t>原回购交易成交日期，自动显示，无需输入</w:t>
            </w:r>
          </w:p>
        </w:tc>
      </w:tr>
      <w:tr w14:paraId="0294E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5" w:type="dxa"/>
          </w:tcPr>
          <w:p w14:paraId="5C006890">
            <w:pPr>
              <w:adjustRightInd w:val="0"/>
              <w:snapToGrid w:val="0"/>
              <w:rPr>
                <w:rFonts w:ascii="仿宋_GB2312" w:eastAsia="仿宋_GB2312"/>
                <w:b/>
                <w:kern w:val="0"/>
                <w:sz w:val="24"/>
                <w:szCs w:val="24"/>
              </w:rPr>
            </w:pPr>
            <w:r>
              <w:rPr>
                <w:rFonts w:hint="eastAsia" w:ascii="仿宋_GB2312" w:eastAsia="仿宋_GB2312"/>
                <w:b/>
                <w:kern w:val="0"/>
                <w:sz w:val="24"/>
                <w:szCs w:val="24"/>
              </w:rPr>
              <w:t>原成交编号</w:t>
            </w:r>
          </w:p>
        </w:tc>
        <w:tc>
          <w:tcPr>
            <w:tcW w:w="5847" w:type="dxa"/>
          </w:tcPr>
          <w:p w14:paraId="583A89D9">
            <w:pPr>
              <w:adjustRightInd w:val="0"/>
              <w:snapToGrid w:val="0"/>
              <w:rPr>
                <w:rFonts w:ascii="仿宋_GB2312" w:eastAsia="仿宋_GB2312"/>
                <w:kern w:val="0"/>
                <w:sz w:val="24"/>
                <w:szCs w:val="24"/>
              </w:rPr>
            </w:pPr>
            <w:r>
              <w:rPr>
                <w:rFonts w:hint="eastAsia" w:ascii="仿宋_GB2312" w:eastAsia="仿宋_GB2312"/>
                <w:kern w:val="0"/>
                <w:sz w:val="24"/>
                <w:szCs w:val="24"/>
              </w:rPr>
              <w:t>原回购交易成交编号，自动显示，无需输入</w:t>
            </w:r>
          </w:p>
        </w:tc>
      </w:tr>
    </w:tbl>
    <w:p w14:paraId="27A73124">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到期续做的逆回购方可以为到期回购的逆回购方，也可以为其他第三方。到期续做申报的成交金额、回购利率、回购期限等交易要素由双方自行协商确定。</w:t>
      </w:r>
    </w:p>
    <w:p w14:paraId="2EEC279D">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到期续做达成的新的协议回购独立于到期回购，协议回购各方分别就相应的回购享有权利并履行义务。</w:t>
      </w:r>
      <w:bookmarkStart w:id="2040" w:name="24"/>
    </w:p>
    <w:bookmarkEnd w:id="2040"/>
    <w:p w14:paraId="19509B8C">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存续期管理</w:t>
      </w:r>
      <w:r>
        <w:rPr>
          <w:rFonts w:ascii="仿宋_GB2312" w:eastAsia="仿宋_GB2312"/>
          <w:b/>
          <w:sz w:val="30"/>
          <w:szCs w:val="30"/>
        </w:rPr>
        <w:tab/>
      </w:r>
    </w:p>
    <w:p w14:paraId="03EB1E37">
      <w:pPr>
        <w:spacing w:line="600" w:lineRule="exact"/>
        <w:ind w:left="567"/>
        <w:outlineLvl w:val="3"/>
        <w:rPr>
          <w:rFonts w:ascii="仿宋_GB2312" w:eastAsia="仿宋_GB2312"/>
          <w:b/>
          <w:sz w:val="30"/>
          <w:szCs w:val="30"/>
        </w:rPr>
      </w:pPr>
      <w:r>
        <w:rPr>
          <w:rFonts w:hint="eastAsia" w:ascii="仿宋_GB2312" w:eastAsia="仿宋_GB2312"/>
          <w:b/>
          <w:sz w:val="30"/>
          <w:szCs w:val="30"/>
        </w:rPr>
        <w:t>（1）换券申报</w:t>
      </w:r>
    </w:p>
    <w:p w14:paraId="7F2B95BA">
      <w:pPr>
        <w:adjustRightInd w:val="0"/>
        <w:snapToGrid w:val="0"/>
        <w:spacing w:line="600" w:lineRule="exact"/>
        <w:ind w:firstLine="600"/>
        <w:rPr>
          <w:rFonts w:ascii="仿宋_GB2312" w:hAnsi="Calibri" w:eastAsia="仿宋_GB2312"/>
          <w:sz w:val="30"/>
          <w:szCs w:val="30"/>
        </w:rPr>
      </w:pPr>
      <w:r>
        <w:rPr>
          <w:rFonts w:hint="eastAsia" w:ascii="仿宋_GB2312" w:hAnsi="Calibri" w:eastAsia="仿宋_GB2312"/>
          <w:sz w:val="30"/>
          <w:szCs w:val="30"/>
        </w:rPr>
        <w:t>协议回购确认成交后，在协议回购存续期间（不含首次结算日和到期结算日），经双方协商一致，可以对质押券进行变更。</w:t>
      </w:r>
    </w:p>
    <w:p w14:paraId="41684800">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质押券变更申报由正回购方发起，经逆回购方进行确认申报后，由固定收益平台予以确认。</w:t>
      </w:r>
    </w:p>
    <w:p w14:paraId="2F866E54">
      <w:pPr>
        <w:adjustRightInd w:val="0"/>
        <w:snapToGrid w:val="0"/>
        <w:spacing w:line="600" w:lineRule="exact"/>
        <w:ind w:firstLine="600" w:firstLineChars="200"/>
        <w:rPr>
          <w:rFonts w:ascii="仿宋_GB2312" w:hAnsi="宋体" w:eastAsia="仿宋_GB2312"/>
          <w:sz w:val="30"/>
          <w:szCs w:val="30"/>
        </w:rPr>
      </w:pPr>
      <w:r>
        <w:rPr>
          <w:rFonts w:hint="eastAsia" w:ascii="仿宋_GB2312" w:hAnsi="Calibri" w:eastAsia="仿宋_GB2312"/>
          <w:sz w:val="30"/>
          <w:szCs w:val="30"/>
        </w:rPr>
        <w:t>质押券变更申报的</w:t>
      </w:r>
      <w:r>
        <w:rPr>
          <w:rFonts w:hint="eastAsia" w:ascii="仿宋_GB2312" w:hAnsi="宋体" w:eastAsia="仿宋_GB2312"/>
          <w:sz w:val="30"/>
          <w:szCs w:val="30"/>
        </w:rPr>
        <w:t>具体要素及要素说明如下：</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85"/>
        <w:gridCol w:w="5437"/>
      </w:tblGrid>
      <w:tr w14:paraId="22EDF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5" w:type="dxa"/>
          </w:tcPr>
          <w:p w14:paraId="54D16843">
            <w:pPr>
              <w:adjustRightInd w:val="0"/>
              <w:snapToGrid w:val="0"/>
              <w:rPr>
                <w:rFonts w:ascii="仿宋_GB2312" w:eastAsia="仿宋_GB2312"/>
                <w:b/>
                <w:kern w:val="0"/>
                <w:sz w:val="24"/>
                <w:szCs w:val="24"/>
              </w:rPr>
            </w:pPr>
            <w:r>
              <w:rPr>
                <w:rFonts w:hint="eastAsia" w:ascii="仿宋_GB2312" w:eastAsia="仿宋_GB2312"/>
                <w:b/>
                <w:kern w:val="0"/>
                <w:sz w:val="24"/>
                <w:szCs w:val="24"/>
              </w:rPr>
              <w:t>要素名称</w:t>
            </w:r>
          </w:p>
        </w:tc>
        <w:tc>
          <w:tcPr>
            <w:tcW w:w="5437" w:type="dxa"/>
          </w:tcPr>
          <w:p w14:paraId="20F6450A">
            <w:pPr>
              <w:adjustRightInd w:val="0"/>
              <w:snapToGrid w:val="0"/>
              <w:rPr>
                <w:rFonts w:ascii="仿宋_GB2312" w:eastAsia="仿宋_GB2312"/>
                <w:b/>
                <w:kern w:val="0"/>
                <w:sz w:val="24"/>
                <w:szCs w:val="24"/>
              </w:rPr>
            </w:pPr>
            <w:r>
              <w:rPr>
                <w:rFonts w:hint="eastAsia" w:ascii="仿宋_GB2312" w:eastAsia="仿宋_GB2312"/>
                <w:b/>
                <w:kern w:val="0"/>
                <w:sz w:val="24"/>
                <w:szCs w:val="24"/>
              </w:rPr>
              <w:t>要素说明</w:t>
            </w:r>
          </w:p>
        </w:tc>
      </w:tr>
      <w:tr w14:paraId="5DDD8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2"/>
          </w:tcPr>
          <w:p w14:paraId="22DE1177">
            <w:pPr>
              <w:adjustRightInd w:val="0"/>
              <w:snapToGrid w:val="0"/>
              <w:jc w:val="center"/>
              <w:rPr>
                <w:rFonts w:ascii="仿宋_GB2312" w:eastAsia="仿宋_GB2312"/>
                <w:b/>
                <w:kern w:val="0"/>
                <w:sz w:val="24"/>
                <w:szCs w:val="24"/>
              </w:rPr>
            </w:pPr>
            <w:r>
              <w:rPr>
                <w:rFonts w:hint="eastAsia" w:ascii="仿宋_GB2312" w:eastAsia="仿宋_GB2312"/>
                <w:b/>
                <w:kern w:val="0"/>
                <w:sz w:val="24"/>
                <w:szCs w:val="24"/>
              </w:rPr>
              <w:t>新券申报信息</w:t>
            </w:r>
          </w:p>
        </w:tc>
      </w:tr>
      <w:tr w14:paraId="51274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5" w:type="dxa"/>
          </w:tcPr>
          <w:p w14:paraId="2721AF71">
            <w:pPr>
              <w:adjustRightInd w:val="0"/>
              <w:snapToGrid w:val="0"/>
              <w:jc w:val="left"/>
              <w:rPr>
                <w:rFonts w:ascii="仿宋_GB2312" w:eastAsia="仿宋_GB2312"/>
                <w:b/>
                <w:kern w:val="0"/>
                <w:sz w:val="24"/>
                <w:szCs w:val="24"/>
              </w:rPr>
            </w:pPr>
            <w:r>
              <w:rPr>
                <w:rFonts w:hint="eastAsia" w:ascii="仿宋_GB2312" w:eastAsia="仿宋_GB2312"/>
                <w:b/>
                <w:kern w:val="0"/>
                <w:sz w:val="24"/>
                <w:szCs w:val="24"/>
              </w:rPr>
              <w:t>新质押券代码</w:t>
            </w:r>
          </w:p>
        </w:tc>
        <w:tc>
          <w:tcPr>
            <w:tcW w:w="5437" w:type="dxa"/>
          </w:tcPr>
          <w:p w14:paraId="06A26E14">
            <w:pPr>
              <w:adjustRightInd w:val="0"/>
              <w:snapToGrid w:val="0"/>
              <w:jc w:val="left"/>
              <w:rPr>
                <w:rFonts w:ascii="仿宋_GB2312" w:eastAsia="仿宋_GB2312"/>
                <w:kern w:val="0"/>
                <w:sz w:val="24"/>
                <w:szCs w:val="24"/>
              </w:rPr>
            </w:pPr>
            <w:r>
              <w:rPr>
                <w:rFonts w:hint="eastAsia" w:ascii="仿宋_GB2312" w:eastAsia="仿宋_GB2312"/>
                <w:kern w:val="0"/>
                <w:sz w:val="24"/>
                <w:szCs w:val="24"/>
              </w:rPr>
              <w:t>新质押债券的代码</w:t>
            </w:r>
          </w:p>
        </w:tc>
      </w:tr>
      <w:tr w14:paraId="67958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85" w:type="dxa"/>
          </w:tcPr>
          <w:p w14:paraId="3F19C5C7">
            <w:pPr>
              <w:adjustRightInd w:val="0"/>
              <w:snapToGrid w:val="0"/>
              <w:jc w:val="left"/>
              <w:rPr>
                <w:rFonts w:ascii="仿宋_GB2312" w:eastAsia="仿宋_GB2312"/>
                <w:b/>
                <w:kern w:val="0"/>
                <w:sz w:val="24"/>
                <w:szCs w:val="24"/>
              </w:rPr>
            </w:pPr>
            <w:r>
              <w:rPr>
                <w:rFonts w:hint="eastAsia" w:ascii="仿宋_GB2312" w:eastAsia="仿宋_GB2312"/>
                <w:b/>
                <w:kern w:val="0"/>
                <w:sz w:val="24"/>
                <w:szCs w:val="24"/>
              </w:rPr>
              <w:t>新质押券数量</w:t>
            </w:r>
            <w:r>
              <w:rPr>
                <w:rFonts w:ascii="仿宋_GB2312" w:eastAsia="仿宋_GB2312"/>
                <w:b/>
                <w:kern w:val="0"/>
                <w:sz w:val="24"/>
                <w:szCs w:val="24"/>
              </w:rPr>
              <w:tab/>
            </w:r>
          </w:p>
        </w:tc>
        <w:tc>
          <w:tcPr>
            <w:tcW w:w="5437" w:type="dxa"/>
          </w:tcPr>
          <w:p w14:paraId="680D2248">
            <w:pPr>
              <w:adjustRightInd w:val="0"/>
              <w:snapToGrid w:val="0"/>
              <w:jc w:val="left"/>
              <w:rPr>
                <w:rFonts w:ascii="仿宋_GB2312" w:eastAsia="仿宋_GB2312"/>
                <w:kern w:val="0"/>
                <w:sz w:val="24"/>
                <w:szCs w:val="24"/>
              </w:rPr>
            </w:pPr>
            <w:r>
              <w:rPr>
                <w:rFonts w:hint="eastAsia" w:ascii="仿宋_GB2312" w:eastAsia="仿宋_GB2312"/>
                <w:kern w:val="0"/>
                <w:sz w:val="24"/>
                <w:szCs w:val="24"/>
              </w:rPr>
              <w:t>质押券数量，以千元面额为单位</w:t>
            </w:r>
          </w:p>
        </w:tc>
      </w:tr>
      <w:tr w14:paraId="0C6B2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5" w:type="dxa"/>
          </w:tcPr>
          <w:p w14:paraId="0ACD6015">
            <w:pPr>
              <w:adjustRightInd w:val="0"/>
              <w:snapToGrid w:val="0"/>
              <w:jc w:val="left"/>
              <w:rPr>
                <w:rFonts w:ascii="仿宋_GB2312" w:eastAsia="仿宋_GB2312"/>
                <w:b/>
                <w:kern w:val="0"/>
                <w:sz w:val="24"/>
                <w:szCs w:val="24"/>
              </w:rPr>
            </w:pPr>
            <w:r>
              <w:rPr>
                <w:rFonts w:hint="eastAsia" w:ascii="仿宋_GB2312" w:eastAsia="仿宋_GB2312"/>
                <w:b/>
                <w:kern w:val="0"/>
                <w:sz w:val="24"/>
                <w:szCs w:val="24"/>
              </w:rPr>
              <w:t>对手方交易员代码</w:t>
            </w:r>
          </w:p>
        </w:tc>
        <w:tc>
          <w:tcPr>
            <w:tcW w:w="5437" w:type="dxa"/>
          </w:tcPr>
          <w:p w14:paraId="0EA2084C">
            <w:pPr>
              <w:adjustRightInd w:val="0"/>
              <w:snapToGrid w:val="0"/>
              <w:jc w:val="left"/>
              <w:rPr>
                <w:rFonts w:ascii="仿宋_GB2312" w:eastAsia="仿宋_GB2312"/>
                <w:kern w:val="0"/>
                <w:sz w:val="24"/>
                <w:szCs w:val="24"/>
              </w:rPr>
            </w:pPr>
            <w:r>
              <w:rPr>
                <w:rFonts w:hint="eastAsia" w:ascii="仿宋_GB2312" w:eastAsia="仿宋_GB2312"/>
                <w:kern w:val="0"/>
                <w:sz w:val="24"/>
                <w:szCs w:val="24"/>
              </w:rPr>
              <w:t>默认显示原始申报的对手方交易员代码</w:t>
            </w:r>
          </w:p>
        </w:tc>
      </w:tr>
      <w:tr w14:paraId="62719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5" w:type="dxa"/>
          </w:tcPr>
          <w:p w14:paraId="78CCD68B">
            <w:pPr>
              <w:adjustRightInd w:val="0"/>
              <w:snapToGrid w:val="0"/>
              <w:jc w:val="left"/>
              <w:rPr>
                <w:rFonts w:ascii="仿宋_GB2312" w:eastAsia="仿宋_GB2312"/>
                <w:b/>
                <w:kern w:val="0"/>
                <w:sz w:val="24"/>
                <w:szCs w:val="24"/>
              </w:rPr>
            </w:pPr>
            <w:r>
              <w:rPr>
                <w:rFonts w:hint="eastAsia" w:ascii="仿宋_GB2312" w:eastAsia="仿宋_GB2312"/>
                <w:b/>
                <w:kern w:val="0"/>
                <w:sz w:val="24"/>
                <w:szCs w:val="24"/>
              </w:rPr>
              <w:t>交易单元号</w:t>
            </w:r>
          </w:p>
        </w:tc>
        <w:tc>
          <w:tcPr>
            <w:tcW w:w="5437" w:type="dxa"/>
          </w:tcPr>
          <w:p w14:paraId="43CB31D5">
            <w:pPr>
              <w:adjustRightInd w:val="0"/>
              <w:snapToGrid w:val="0"/>
              <w:jc w:val="left"/>
              <w:rPr>
                <w:rFonts w:ascii="仿宋_GB2312" w:eastAsia="仿宋_GB2312"/>
                <w:kern w:val="0"/>
                <w:sz w:val="24"/>
                <w:szCs w:val="24"/>
              </w:rPr>
            </w:pPr>
            <w:r>
              <w:rPr>
                <w:rFonts w:hint="eastAsia" w:ascii="仿宋_GB2312" w:eastAsia="仿宋_GB2312"/>
                <w:kern w:val="0"/>
                <w:sz w:val="24"/>
                <w:szCs w:val="24"/>
              </w:rPr>
              <w:t>默认显示正回购方证券账号指定交易单元号</w:t>
            </w:r>
          </w:p>
        </w:tc>
      </w:tr>
      <w:tr w14:paraId="31E3D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5" w:type="dxa"/>
          </w:tcPr>
          <w:p w14:paraId="00D1BDF4">
            <w:pPr>
              <w:adjustRightInd w:val="0"/>
              <w:snapToGrid w:val="0"/>
              <w:jc w:val="left"/>
              <w:rPr>
                <w:rFonts w:ascii="仿宋_GB2312" w:eastAsia="仿宋_GB2312"/>
                <w:b/>
                <w:kern w:val="0"/>
                <w:sz w:val="24"/>
                <w:szCs w:val="24"/>
              </w:rPr>
            </w:pPr>
            <w:r>
              <w:rPr>
                <w:rFonts w:hint="eastAsia" w:ascii="仿宋_GB2312" w:eastAsia="仿宋_GB2312"/>
                <w:b/>
                <w:kern w:val="0"/>
                <w:sz w:val="24"/>
                <w:szCs w:val="24"/>
              </w:rPr>
              <w:t>补充条款</w:t>
            </w:r>
          </w:p>
        </w:tc>
        <w:tc>
          <w:tcPr>
            <w:tcW w:w="5437" w:type="dxa"/>
          </w:tcPr>
          <w:p w14:paraId="61A13F21">
            <w:pPr>
              <w:adjustRightInd w:val="0"/>
              <w:snapToGrid w:val="0"/>
              <w:jc w:val="left"/>
              <w:rPr>
                <w:rFonts w:ascii="仿宋_GB2312" w:eastAsia="仿宋_GB2312"/>
                <w:kern w:val="0"/>
                <w:sz w:val="24"/>
                <w:szCs w:val="24"/>
              </w:rPr>
            </w:pPr>
            <w:r>
              <w:rPr>
                <w:rFonts w:hint="eastAsia" w:ascii="仿宋_GB2312" w:eastAsia="仿宋_GB2312"/>
                <w:kern w:val="0"/>
                <w:sz w:val="24"/>
                <w:szCs w:val="24"/>
              </w:rPr>
              <w:t>交易双方的补充约定条款</w:t>
            </w:r>
          </w:p>
        </w:tc>
      </w:tr>
      <w:tr w14:paraId="1E7BF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85" w:type="dxa"/>
          </w:tcPr>
          <w:p w14:paraId="54CB31B8">
            <w:pPr>
              <w:adjustRightInd w:val="0"/>
              <w:snapToGrid w:val="0"/>
              <w:jc w:val="left"/>
              <w:rPr>
                <w:rFonts w:ascii="仿宋_GB2312" w:eastAsia="仿宋_GB2312"/>
                <w:b/>
                <w:kern w:val="0"/>
                <w:sz w:val="24"/>
                <w:szCs w:val="24"/>
              </w:rPr>
            </w:pPr>
            <w:r>
              <w:rPr>
                <w:rFonts w:hint="eastAsia" w:ascii="仿宋_GB2312" w:eastAsia="仿宋_GB2312"/>
                <w:b/>
                <w:kern w:val="0"/>
                <w:sz w:val="24"/>
                <w:szCs w:val="24"/>
              </w:rPr>
              <w:t>新质押券简称</w:t>
            </w:r>
          </w:p>
        </w:tc>
        <w:tc>
          <w:tcPr>
            <w:tcW w:w="5437" w:type="dxa"/>
          </w:tcPr>
          <w:p w14:paraId="3EF28524">
            <w:pPr>
              <w:adjustRightInd w:val="0"/>
              <w:snapToGrid w:val="0"/>
              <w:jc w:val="left"/>
              <w:rPr>
                <w:rFonts w:ascii="仿宋_GB2312" w:eastAsia="仿宋_GB2312"/>
                <w:kern w:val="0"/>
                <w:sz w:val="24"/>
                <w:szCs w:val="24"/>
              </w:rPr>
            </w:pPr>
            <w:r>
              <w:rPr>
                <w:rFonts w:hint="eastAsia" w:ascii="仿宋_GB2312" w:eastAsia="仿宋_GB2312"/>
                <w:kern w:val="0"/>
                <w:sz w:val="24"/>
                <w:szCs w:val="24"/>
              </w:rPr>
              <w:t>新质押债券的简称，自动显示，无需输入</w:t>
            </w:r>
          </w:p>
        </w:tc>
      </w:tr>
      <w:tr w14:paraId="19CA2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5" w:type="dxa"/>
          </w:tcPr>
          <w:p w14:paraId="54BF33CE">
            <w:pPr>
              <w:adjustRightInd w:val="0"/>
              <w:snapToGrid w:val="0"/>
              <w:jc w:val="left"/>
              <w:rPr>
                <w:rFonts w:ascii="仿宋_GB2312" w:eastAsia="仿宋_GB2312"/>
                <w:b/>
                <w:kern w:val="0"/>
                <w:sz w:val="24"/>
                <w:szCs w:val="24"/>
              </w:rPr>
            </w:pPr>
            <w:r>
              <w:rPr>
                <w:rFonts w:hint="eastAsia" w:ascii="仿宋_GB2312" w:eastAsia="仿宋_GB2312"/>
                <w:b/>
                <w:kern w:val="0"/>
                <w:sz w:val="24"/>
                <w:szCs w:val="24"/>
              </w:rPr>
              <w:t>新质押券总面额</w:t>
            </w:r>
          </w:p>
        </w:tc>
        <w:tc>
          <w:tcPr>
            <w:tcW w:w="5437" w:type="dxa"/>
          </w:tcPr>
          <w:p w14:paraId="6BA45E31">
            <w:pPr>
              <w:adjustRightInd w:val="0"/>
              <w:snapToGrid w:val="0"/>
              <w:jc w:val="left"/>
              <w:rPr>
                <w:rFonts w:ascii="仿宋_GB2312" w:eastAsia="仿宋_GB2312"/>
                <w:kern w:val="0"/>
                <w:sz w:val="24"/>
                <w:szCs w:val="24"/>
              </w:rPr>
            </w:pPr>
            <w:r>
              <w:rPr>
                <w:rFonts w:hint="eastAsia" w:ascii="仿宋_GB2312" w:eastAsia="仿宋_GB2312"/>
                <w:kern w:val="0"/>
                <w:sz w:val="24"/>
                <w:szCs w:val="24"/>
              </w:rPr>
              <w:t>新质押券数量*单张质押券面额，自动显示，无需输入</w:t>
            </w:r>
          </w:p>
        </w:tc>
      </w:tr>
      <w:tr w14:paraId="43984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5" w:type="dxa"/>
          </w:tcPr>
          <w:p w14:paraId="3E4B0944">
            <w:pPr>
              <w:adjustRightInd w:val="0"/>
              <w:snapToGrid w:val="0"/>
              <w:jc w:val="left"/>
              <w:rPr>
                <w:rFonts w:ascii="仿宋_GB2312" w:eastAsia="仿宋_GB2312"/>
                <w:b/>
                <w:kern w:val="0"/>
                <w:sz w:val="24"/>
                <w:szCs w:val="24"/>
              </w:rPr>
            </w:pPr>
            <w:r>
              <w:rPr>
                <w:rFonts w:hint="eastAsia" w:ascii="仿宋_GB2312" w:eastAsia="仿宋_GB2312"/>
                <w:b/>
                <w:kern w:val="0"/>
                <w:sz w:val="24"/>
                <w:szCs w:val="24"/>
              </w:rPr>
              <w:t>新折算比例</w:t>
            </w:r>
          </w:p>
        </w:tc>
        <w:tc>
          <w:tcPr>
            <w:tcW w:w="5437" w:type="dxa"/>
          </w:tcPr>
          <w:p w14:paraId="5A950682">
            <w:pPr>
              <w:adjustRightInd w:val="0"/>
              <w:snapToGrid w:val="0"/>
              <w:jc w:val="left"/>
              <w:rPr>
                <w:rFonts w:ascii="仿宋_GB2312" w:eastAsia="仿宋_GB2312"/>
                <w:kern w:val="0"/>
                <w:sz w:val="24"/>
                <w:szCs w:val="24"/>
              </w:rPr>
            </w:pPr>
            <w:r>
              <w:rPr>
                <w:rFonts w:hint="eastAsia" w:ascii="仿宋_GB2312" w:eastAsia="仿宋_GB2312"/>
                <w:kern w:val="0"/>
                <w:sz w:val="24"/>
                <w:szCs w:val="24"/>
              </w:rPr>
              <w:t>成交金额/新质押券总面额*100%，自动显示，无需输入</w:t>
            </w:r>
          </w:p>
        </w:tc>
      </w:tr>
      <w:tr w14:paraId="47ABC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5" w:type="dxa"/>
          </w:tcPr>
          <w:p w14:paraId="15D26FD2">
            <w:pPr>
              <w:adjustRightInd w:val="0"/>
              <w:snapToGrid w:val="0"/>
              <w:jc w:val="left"/>
              <w:rPr>
                <w:rFonts w:ascii="仿宋_GB2312" w:eastAsia="仿宋_GB2312"/>
                <w:b/>
                <w:kern w:val="0"/>
                <w:sz w:val="24"/>
                <w:szCs w:val="24"/>
              </w:rPr>
            </w:pPr>
            <w:r>
              <w:rPr>
                <w:rFonts w:hint="eastAsia" w:ascii="仿宋_GB2312" w:eastAsia="仿宋_GB2312"/>
                <w:b/>
                <w:kern w:val="0"/>
                <w:sz w:val="24"/>
                <w:szCs w:val="24"/>
              </w:rPr>
              <w:t>换券申报日期</w:t>
            </w:r>
          </w:p>
        </w:tc>
        <w:tc>
          <w:tcPr>
            <w:tcW w:w="5437" w:type="dxa"/>
          </w:tcPr>
          <w:p w14:paraId="305F32E1">
            <w:pPr>
              <w:adjustRightInd w:val="0"/>
              <w:snapToGrid w:val="0"/>
              <w:jc w:val="left"/>
              <w:rPr>
                <w:rFonts w:ascii="仿宋_GB2312" w:eastAsia="仿宋_GB2312"/>
                <w:kern w:val="0"/>
                <w:sz w:val="24"/>
                <w:szCs w:val="24"/>
              </w:rPr>
            </w:pPr>
            <w:r>
              <w:rPr>
                <w:rFonts w:hint="eastAsia" w:ascii="仿宋_GB2312" w:eastAsia="仿宋_GB2312"/>
                <w:kern w:val="0"/>
                <w:sz w:val="24"/>
                <w:szCs w:val="24"/>
              </w:rPr>
              <w:t>换券申报日期，自动显示，无需输入</w:t>
            </w:r>
          </w:p>
        </w:tc>
      </w:tr>
      <w:tr w14:paraId="20C8B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85" w:type="dxa"/>
          </w:tcPr>
          <w:p w14:paraId="18A233B7">
            <w:pPr>
              <w:adjustRightInd w:val="0"/>
              <w:snapToGrid w:val="0"/>
              <w:jc w:val="left"/>
              <w:rPr>
                <w:rFonts w:ascii="仿宋_GB2312" w:eastAsia="仿宋_GB2312"/>
                <w:b/>
                <w:kern w:val="0"/>
                <w:sz w:val="24"/>
                <w:szCs w:val="24"/>
              </w:rPr>
            </w:pPr>
            <w:r>
              <w:rPr>
                <w:rFonts w:hint="eastAsia" w:ascii="仿宋_GB2312" w:eastAsia="仿宋_GB2312"/>
                <w:b/>
                <w:kern w:val="0"/>
                <w:sz w:val="24"/>
                <w:szCs w:val="24"/>
              </w:rPr>
              <w:t>对手方交易员名称</w:t>
            </w:r>
          </w:p>
        </w:tc>
        <w:tc>
          <w:tcPr>
            <w:tcW w:w="5437" w:type="dxa"/>
          </w:tcPr>
          <w:p w14:paraId="6BF0233B">
            <w:pPr>
              <w:adjustRightInd w:val="0"/>
              <w:snapToGrid w:val="0"/>
              <w:jc w:val="left"/>
              <w:rPr>
                <w:rFonts w:ascii="仿宋_GB2312" w:eastAsia="仿宋_GB2312"/>
                <w:kern w:val="0"/>
                <w:sz w:val="24"/>
                <w:szCs w:val="24"/>
              </w:rPr>
            </w:pPr>
            <w:r>
              <w:rPr>
                <w:rFonts w:hint="eastAsia" w:ascii="仿宋_GB2312" w:eastAsia="仿宋_GB2312"/>
                <w:kern w:val="0"/>
                <w:sz w:val="24"/>
                <w:szCs w:val="24"/>
              </w:rPr>
              <w:t>对手方交易员名称，自动显示，无需输入</w:t>
            </w:r>
          </w:p>
        </w:tc>
      </w:tr>
      <w:tr w14:paraId="28F76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2"/>
          </w:tcPr>
          <w:p w14:paraId="18146EF4">
            <w:pPr>
              <w:adjustRightInd w:val="0"/>
              <w:snapToGrid w:val="0"/>
              <w:jc w:val="center"/>
              <w:rPr>
                <w:rFonts w:ascii="仿宋_GB2312" w:eastAsia="仿宋_GB2312"/>
                <w:kern w:val="0"/>
                <w:sz w:val="24"/>
                <w:szCs w:val="24"/>
              </w:rPr>
            </w:pPr>
            <w:r>
              <w:rPr>
                <w:rFonts w:hint="eastAsia" w:ascii="仿宋_GB2312" w:eastAsia="仿宋_GB2312"/>
                <w:b/>
                <w:kern w:val="0"/>
                <w:sz w:val="24"/>
                <w:szCs w:val="24"/>
              </w:rPr>
              <w:t>原券申报信息</w:t>
            </w:r>
          </w:p>
        </w:tc>
      </w:tr>
      <w:tr w14:paraId="2AD11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5" w:type="dxa"/>
          </w:tcPr>
          <w:p w14:paraId="2CB5409E">
            <w:pPr>
              <w:adjustRightInd w:val="0"/>
              <w:snapToGrid w:val="0"/>
              <w:rPr>
                <w:rFonts w:ascii="仿宋_GB2312" w:eastAsia="仿宋_GB2312"/>
                <w:b/>
                <w:kern w:val="0"/>
                <w:sz w:val="24"/>
                <w:szCs w:val="24"/>
              </w:rPr>
            </w:pPr>
            <w:r>
              <w:rPr>
                <w:rFonts w:hint="eastAsia" w:ascii="仿宋_GB2312" w:eastAsia="仿宋_GB2312"/>
                <w:b/>
                <w:kern w:val="0"/>
                <w:sz w:val="24"/>
                <w:szCs w:val="24"/>
              </w:rPr>
              <w:t>账户名称</w:t>
            </w:r>
          </w:p>
        </w:tc>
        <w:tc>
          <w:tcPr>
            <w:tcW w:w="5437" w:type="dxa"/>
          </w:tcPr>
          <w:p w14:paraId="072EF509">
            <w:pPr>
              <w:adjustRightInd w:val="0"/>
              <w:snapToGrid w:val="0"/>
              <w:rPr>
                <w:rFonts w:ascii="仿宋_GB2312" w:eastAsia="仿宋_GB2312"/>
                <w:kern w:val="0"/>
                <w:sz w:val="24"/>
                <w:szCs w:val="24"/>
              </w:rPr>
            </w:pPr>
            <w:r>
              <w:rPr>
                <w:rFonts w:hint="eastAsia" w:ascii="仿宋_GB2312" w:eastAsia="仿宋_GB2312"/>
                <w:kern w:val="0"/>
                <w:sz w:val="24"/>
                <w:szCs w:val="24"/>
              </w:rPr>
              <w:t>本方账户名称</w:t>
            </w:r>
          </w:p>
        </w:tc>
      </w:tr>
      <w:tr w14:paraId="69907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3085" w:type="dxa"/>
          </w:tcPr>
          <w:p w14:paraId="223A3458">
            <w:pPr>
              <w:adjustRightInd w:val="0"/>
              <w:snapToGrid w:val="0"/>
              <w:rPr>
                <w:rFonts w:ascii="仿宋_GB2312" w:eastAsia="仿宋_GB2312"/>
                <w:b/>
                <w:kern w:val="0"/>
                <w:sz w:val="24"/>
                <w:szCs w:val="24"/>
              </w:rPr>
            </w:pPr>
            <w:r>
              <w:rPr>
                <w:rFonts w:hint="eastAsia" w:ascii="仿宋_GB2312" w:eastAsia="仿宋_GB2312"/>
                <w:b/>
                <w:kern w:val="0"/>
                <w:sz w:val="24"/>
                <w:szCs w:val="24"/>
              </w:rPr>
              <w:t>原质押券代码</w:t>
            </w:r>
          </w:p>
        </w:tc>
        <w:tc>
          <w:tcPr>
            <w:tcW w:w="5437" w:type="dxa"/>
          </w:tcPr>
          <w:p w14:paraId="60C7368A">
            <w:pPr>
              <w:adjustRightInd w:val="0"/>
              <w:snapToGrid w:val="0"/>
              <w:rPr>
                <w:rFonts w:ascii="仿宋_GB2312" w:eastAsia="仿宋_GB2312"/>
                <w:kern w:val="0"/>
                <w:sz w:val="24"/>
                <w:szCs w:val="24"/>
              </w:rPr>
            </w:pPr>
            <w:r>
              <w:rPr>
                <w:rFonts w:hint="eastAsia" w:ascii="仿宋_GB2312" w:eastAsia="仿宋_GB2312"/>
                <w:kern w:val="0"/>
                <w:sz w:val="24"/>
                <w:szCs w:val="24"/>
              </w:rPr>
              <w:t>原质押债券的代码</w:t>
            </w:r>
            <w:r>
              <w:rPr>
                <w:rFonts w:hint="eastAsia" w:ascii="仿宋_GB2312" w:eastAsia="仿宋_GB2312"/>
                <w:kern w:val="0"/>
                <w:sz w:val="24"/>
                <w:szCs w:val="24"/>
                <w:lang w:eastAsia="zh-CN"/>
              </w:rPr>
              <w:t>，</w:t>
            </w:r>
            <w:r>
              <w:rPr>
                <w:rFonts w:hint="eastAsia" w:ascii="仿宋_GB2312" w:eastAsia="仿宋_GB2312"/>
                <w:kern w:val="0"/>
                <w:sz w:val="24"/>
                <w:szCs w:val="24"/>
              </w:rPr>
              <w:t>自动显示，无需输入</w:t>
            </w:r>
          </w:p>
        </w:tc>
      </w:tr>
      <w:tr w14:paraId="15888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5" w:type="dxa"/>
          </w:tcPr>
          <w:p w14:paraId="0C60D91A">
            <w:pPr>
              <w:adjustRightInd w:val="0"/>
              <w:snapToGrid w:val="0"/>
              <w:rPr>
                <w:rFonts w:ascii="仿宋_GB2312" w:eastAsia="仿宋_GB2312"/>
                <w:b/>
                <w:kern w:val="0"/>
                <w:sz w:val="24"/>
                <w:szCs w:val="24"/>
              </w:rPr>
            </w:pPr>
            <w:r>
              <w:rPr>
                <w:rFonts w:hint="eastAsia" w:ascii="仿宋_GB2312" w:eastAsia="仿宋_GB2312"/>
                <w:b/>
                <w:kern w:val="0"/>
                <w:sz w:val="24"/>
                <w:szCs w:val="24"/>
              </w:rPr>
              <w:t>原质押券简称</w:t>
            </w:r>
          </w:p>
        </w:tc>
        <w:tc>
          <w:tcPr>
            <w:tcW w:w="5437" w:type="dxa"/>
          </w:tcPr>
          <w:p w14:paraId="3BD4E67F">
            <w:pPr>
              <w:adjustRightInd w:val="0"/>
              <w:snapToGrid w:val="0"/>
              <w:rPr>
                <w:rFonts w:ascii="仿宋_GB2312" w:eastAsia="仿宋_GB2312"/>
                <w:kern w:val="0"/>
                <w:sz w:val="24"/>
                <w:szCs w:val="24"/>
              </w:rPr>
            </w:pPr>
            <w:r>
              <w:rPr>
                <w:rFonts w:hint="eastAsia" w:ascii="仿宋_GB2312" w:eastAsia="仿宋_GB2312"/>
                <w:kern w:val="0"/>
                <w:sz w:val="24"/>
                <w:szCs w:val="24"/>
              </w:rPr>
              <w:t>原质押债券的简称，自动显示，无需输入</w:t>
            </w:r>
          </w:p>
        </w:tc>
      </w:tr>
      <w:tr w14:paraId="51A35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5" w:type="dxa"/>
          </w:tcPr>
          <w:p w14:paraId="659F874E">
            <w:pPr>
              <w:adjustRightInd w:val="0"/>
              <w:snapToGrid w:val="0"/>
              <w:rPr>
                <w:rFonts w:ascii="仿宋_GB2312" w:eastAsia="仿宋_GB2312"/>
                <w:b/>
                <w:kern w:val="0"/>
                <w:sz w:val="24"/>
                <w:szCs w:val="24"/>
              </w:rPr>
            </w:pPr>
            <w:r>
              <w:rPr>
                <w:rFonts w:hint="eastAsia" w:ascii="仿宋_GB2312" w:eastAsia="仿宋_GB2312"/>
                <w:b/>
                <w:kern w:val="0"/>
                <w:sz w:val="24"/>
                <w:szCs w:val="24"/>
              </w:rPr>
              <w:t>原质押数量</w:t>
            </w:r>
          </w:p>
        </w:tc>
        <w:tc>
          <w:tcPr>
            <w:tcW w:w="5437" w:type="dxa"/>
          </w:tcPr>
          <w:p w14:paraId="0F9AF09B">
            <w:pPr>
              <w:adjustRightInd w:val="0"/>
              <w:snapToGrid w:val="0"/>
              <w:rPr>
                <w:rFonts w:ascii="仿宋_GB2312" w:eastAsia="仿宋_GB2312"/>
                <w:kern w:val="0"/>
                <w:sz w:val="24"/>
                <w:szCs w:val="24"/>
              </w:rPr>
            </w:pPr>
            <w:r>
              <w:rPr>
                <w:rFonts w:hint="eastAsia" w:ascii="仿宋_GB2312" w:eastAsia="仿宋_GB2312"/>
                <w:kern w:val="0"/>
                <w:sz w:val="24"/>
                <w:szCs w:val="24"/>
              </w:rPr>
              <w:t>原质押券数量，以千元面额为单位，自动显示，无需输入</w:t>
            </w:r>
          </w:p>
        </w:tc>
      </w:tr>
      <w:tr w14:paraId="55208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5" w:type="dxa"/>
          </w:tcPr>
          <w:p w14:paraId="40E72C1B">
            <w:pPr>
              <w:adjustRightInd w:val="0"/>
              <w:snapToGrid w:val="0"/>
              <w:rPr>
                <w:rFonts w:ascii="仿宋_GB2312" w:eastAsia="仿宋_GB2312"/>
                <w:b/>
                <w:kern w:val="0"/>
                <w:sz w:val="24"/>
                <w:szCs w:val="24"/>
              </w:rPr>
            </w:pPr>
            <w:r>
              <w:rPr>
                <w:rFonts w:hint="eastAsia" w:ascii="仿宋_GB2312" w:eastAsia="仿宋_GB2312"/>
                <w:b/>
                <w:kern w:val="0"/>
                <w:sz w:val="24"/>
                <w:szCs w:val="24"/>
              </w:rPr>
              <w:t>原实际折算比例</w:t>
            </w:r>
          </w:p>
        </w:tc>
        <w:tc>
          <w:tcPr>
            <w:tcW w:w="5437" w:type="dxa"/>
          </w:tcPr>
          <w:p w14:paraId="2B843C8E">
            <w:pPr>
              <w:adjustRightInd w:val="0"/>
              <w:snapToGrid w:val="0"/>
              <w:rPr>
                <w:rFonts w:ascii="仿宋_GB2312" w:eastAsia="仿宋_GB2312"/>
                <w:kern w:val="0"/>
                <w:sz w:val="24"/>
                <w:szCs w:val="24"/>
              </w:rPr>
            </w:pPr>
            <w:r>
              <w:rPr>
                <w:rFonts w:hint="eastAsia" w:ascii="仿宋_GB2312" w:eastAsia="仿宋_GB2312"/>
                <w:kern w:val="0"/>
                <w:sz w:val="24"/>
                <w:szCs w:val="24"/>
              </w:rPr>
              <w:t>原成交金额/原质押券总面额*100%，自动显示，无需输入</w:t>
            </w:r>
          </w:p>
        </w:tc>
      </w:tr>
      <w:tr w14:paraId="5FFB8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5" w:type="dxa"/>
          </w:tcPr>
          <w:p w14:paraId="3CBF1F5F">
            <w:pPr>
              <w:adjustRightInd w:val="0"/>
              <w:snapToGrid w:val="0"/>
              <w:rPr>
                <w:rFonts w:ascii="仿宋_GB2312" w:eastAsia="仿宋_GB2312"/>
                <w:b/>
                <w:kern w:val="0"/>
                <w:sz w:val="24"/>
                <w:szCs w:val="24"/>
              </w:rPr>
            </w:pPr>
            <w:r>
              <w:rPr>
                <w:rFonts w:hint="eastAsia" w:ascii="仿宋_GB2312" w:eastAsia="仿宋_GB2312"/>
                <w:b/>
                <w:kern w:val="0"/>
                <w:sz w:val="24"/>
                <w:szCs w:val="24"/>
              </w:rPr>
              <w:t>回购利率</w:t>
            </w:r>
          </w:p>
        </w:tc>
        <w:tc>
          <w:tcPr>
            <w:tcW w:w="5437" w:type="dxa"/>
          </w:tcPr>
          <w:p w14:paraId="3E9DB8D9">
            <w:pPr>
              <w:adjustRightInd w:val="0"/>
              <w:snapToGrid w:val="0"/>
              <w:rPr>
                <w:rFonts w:ascii="仿宋_GB2312" w:eastAsia="仿宋_GB2312"/>
                <w:kern w:val="0"/>
                <w:sz w:val="24"/>
                <w:szCs w:val="24"/>
              </w:rPr>
            </w:pPr>
            <w:r>
              <w:rPr>
                <w:rFonts w:hint="eastAsia" w:ascii="仿宋_GB2312" w:eastAsia="仿宋_GB2312"/>
                <w:kern w:val="0"/>
                <w:sz w:val="24"/>
                <w:szCs w:val="24"/>
              </w:rPr>
              <w:t>正回购方付给逆回购方的资金价格，自动显示，无需输入</w:t>
            </w:r>
          </w:p>
        </w:tc>
      </w:tr>
      <w:tr w14:paraId="30ADF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5" w:type="dxa"/>
          </w:tcPr>
          <w:p w14:paraId="60C9D9EE">
            <w:pPr>
              <w:adjustRightInd w:val="0"/>
              <w:snapToGrid w:val="0"/>
              <w:rPr>
                <w:rFonts w:ascii="仿宋_GB2312" w:eastAsia="仿宋_GB2312"/>
                <w:b/>
                <w:kern w:val="0"/>
                <w:sz w:val="24"/>
                <w:szCs w:val="24"/>
              </w:rPr>
            </w:pPr>
            <w:r>
              <w:rPr>
                <w:rFonts w:hint="eastAsia" w:ascii="仿宋_GB2312" w:eastAsia="仿宋_GB2312"/>
                <w:b/>
                <w:kern w:val="0"/>
                <w:sz w:val="24"/>
                <w:szCs w:val="24"/>
              </w:rPr>
              <w:t>原质押券总面额</w:t>
            </w:r>
          </w:p>
        </w:tc>
        <w:tc>
          <w:tcPr>
            <w:tcW w:w="5437" w:type="dxa"/>
          </w:tcPr>
          <w:p w14:paraId="0885112C">
            <w:pPr>
              <w:adjustRightInd w:val="0"/>
              <w:snapToGrid w:val="0"/>
              <w:rPr>
                <w:rFonts w:ascii="仿宋_GB2312" w:eastAsia="仿宋_GB2312"/>
                <w:kern w:val="0"/>
                <w:sz w:val="24"/>
                <w:szCs w:val="24"/>
              </w:rPr>
            </w:pPr>
            <w:r>
              <w:rPr>
                <w:rFonts w:hint="eastAsia" w:ascii="仿宋_GB2312" w:eastAsia="仿宋_GB2312"/>
                <w:kern w:val="0"/>
                <w:sz w:val="24"/>
                <w:szCs w:val="24"/>
              </w:rPr>
              <w:t>原质押数量*原单张质押券面额，自动显示，无需输入</w:t>
            </w:r>
          </w:p>
        </w:tc>
      </w:tr>
      <w:tr w14:paraId="5A209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5" w:type="dxa"/>
          </w:tcPr>
          <w:p w14:paraId="4B37AD03">
            <w:pPr>
              <w:adjustRightInd w:val="0"/>
              <w:snapToGrid w:val="0"/>
              <w:rPr>
                <w:rFonts w:ascii="仿宋_GB2312" w:eastAsia="仿宋_GB2312"/>
                <w:b/>
                <w:kern w:val="0"/>
                <w:sz w:val="24"/>
                <w:szCs w:val="24"/>
              </w:rPr>
            </w:pPr>
            <w:r>
              <w:rPr>
                <w:rFonts w:hint="eastAsia" w:ascii="仿宋_GB2312" w:eastAsia="仿宋_GB2312"/>
                <w:b/>
                <w:kern w:val="0"/>
                <w:sz w:val="24"/>
                <w:szCs w:val="24"/>
              </w:rPr>
              <w:t>原成交金额</w:t>
            </w:r>
          </w:p>
        </w:tc>
        <w:tc>
          <w:tcPr>
            <w:tcW w:w="5437" w:type="dxa"/>
          </w:tcPr>
          <w:p w14:paraId="262D871F">
            <w:pPr>
              <w:adjustRightInd w:val="0"/>
              <w:snapToGrid w:val="0"/>
              <w:rPr>
                <w:rFonts w:ascii="仿宋_GB2312" w:eastAsia="仿宋_GB2312"/>
                <w:kern w:val="0"/>
                <w:sz w:val="24"/>
                <w:szCs w:val="24"/>
              </w:rPr>
            </w:pPr>
            <w:r>
              <w:rPr>
                <w:rFonts w:hint="eastAsia" w:ascii="仿宋_GB2312" w:eastAsia="仿宋_GB2312"/>
                <w:kern w:val="0"/>
                <w:sz w:val="24"/>
                <w:szCs w:val="24"/>
              </w:rPr>
              <w:t>原正回购方融入的资金额度，自动显示，无需输入</w:t>
            </w:r>
          </w:p>
        </w:tc>
      </w:tr>
      <w:tr w14:paraId="1798D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5" w:type="dxa"/>
          </w:tcPr>
          <w:p w14:paraId="351F8601">
            <w:pPr>
              <w:adjustRightInd w:val="0"/>
              <w:snapToGrid w:val="0"/>
              <w:rPr>
                <w:rFonts w:ascii="仿宋_GB2312" w:eastAsia="仿宋_GB2312"/>
                <w:b/>
                <w:kern w:val="0"/>
                <w:sz w:val="24"/>
                <w:szCs w:val="24"/>
              </w:rPr>
            </w:pPr>
            <w:r>
              <w:rPr>
                <w:rFonts w:hint="eastAsia" w:ascii="仿宋_GB2312" w:eastAsia="仿宋_GB2312"/>
                <w:b/>
                <w:kern w:val="0"/>
                <w:sz w:val="24"/>
                <w:szCs w:val="24"/>
              </w:rPr>
              <w:t>回购方向</w:t>
            </w:r>
          </w:p>
        </w:tc>
        <w:tc>
          <w:tcPr>
            <w:tcW w:w="5437" w:type="dxa"/>
          </w:tcPr>
          <w:p w14:paraId="475F2097">
            <w:pPr>
              <w:adjustRightInd w:val="0"/>
              <w:snapToGrid w:val="0"/>
              <w:rPr>
                <w:rFonts w:ascii="仿宋_GB2312" w:eastAsia="仿宋_GB2312"/>
                <w:kern w:val="0"/>
                <w:sz w:val="24"/>
                <w:szCs w:val="24"/>
              </w:rPr>
            </w:pPr>
            <w:r>
              <w:rPr>
                <w:rFonts w:hint="eastAsia" w:ascii="仿宋_GB2312" w:eastAsia="仿宋_GB2312"/>
                <w:kern w:val="0"/>
                <w:sz w:val="24"/>
                <w:szCs w:val="24"/>
              </w:rPr>
              <w:t>默认正回购，换券申报只能正回购方发起，自动显示，无需输入</w:t>
            </w:r>
          </w:p>
        </w:tc>
      </w:tr>
      <w:tr w14:paraId="57B70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5" w:type="dxa"/>
          </w:tcPr>
          <w:p w14:paraId="362B02B4">
            <w:pPr>
              <w:adjustRightInd w:val="0"/>
              <w:snapToGrid w:val="0"/>
              <w:rPr>
                <w:rFonts w:ascii="仿宋_GB2312" w:eastAsia="仿宋_GB2312"/>
                <w:b/>
                <w:kern w:val="0"/>
                <w:sz w:val="24"/>
                <w:szCs w:val="24"/>
              </w:rPr>
            </w:pPr>
            <w:r>
              <w:rPr>
                <w:rFonts w:hint="eastAsia" w:ascii="仿宋_GB2312" w:eastAsia="仿宋_GB2312"/>
                <w:b/>
                <w:kern w:val="0"/>
                <w:sz w:val="24"/>
                <w:szCs w:val="24"/>
              </w:rPr>
              <w:t>原成交日期</w:t>
            </w:r>
          </w:p>
        </w:tc>
        <w:tc>
          <w:tcPr>
            <w:tcW w:w="5437" w:type="dxa"/>
          </w:tcPr>
          <w:p w14:paraId="415E3B79">
            <w:pPr>
              <w:adjustRightInd w:val="0"/>
              <w:snapToGrid w:val="0"/>
              <w:rPr>
                <w:rFonts w:ascii="仿宋_GB2312" w:eastAsia="仿宋_GB2312"/>
                <w:kern w:val="0"/>
                <w:sz w:val="24"/>
                <w:szCs w:val="24"/>
              </w:rPr>
            </w:pPr>
            <w:r>
              <w:rPr>
                <w:rFonts w:hint="eastAsia" w:ascii="仿宋_GB2312" w:eastAsia="仿宋_GB2312"/>
                <w:kern w:val="0"/>
                <w:sz w:val="24"/>
                <w:szCs w:val="24"/>
              </w:rPr>
              <w:t>原协议回购成交日期，自动显示，无需输入</w:t>
            </w:r>
          </w:p>
        </w:tc>
      </w:tr>
      <w:tr w14:paraId="36A30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5" w:type="dxa"/>
          </w:tcPr>
          <w:p w14:paraId="3E7C9E63">
            <w:pPr>
              <w:adjustRightInd w:val="0"/>
              <w:snapToGrid w:val="0"/>
              <w:rPr>
                <w:rFonts w:ascii="仿宋_GB2312" w:eastAsia="仿宋_GB2312"/>
                <w:b/>
                <w:kern w:val="0"/>
                <w:sz w:val="24"/>
                <w:szCs w:val="24"/>
              </w:rPr>
            </w:pPr>
            <w:r>
              <w:rPr>
                <w:rFonts w:hint="eastAsia" w:ascii="仿宋_GB2312" w:eastAsia="仿宋_GB2312"/>
                <w:b/>
                <w:kern w:val="0"/>
                <w:sz w:val="24"/>
                <w:szCs w:val="24"/>
              </w:rPr>
              <w:t>回购到期日</w:t>
            </w:r>
          </w:p>
        </w:tc>
        <w:tc>
          <w:tcPr>
            <w:tcW w:w="5437" w:type="dxa"/>
          </w:tcPr>
          <w:p w14:paraId="3FC1AFA4">
            <w:pPr>
              <w:adjustRightInd w:val="0"/>
              <w:snapToGrid w:val="0"/>
              <w:rPr>
                <w:rFonts w:ascii="仿宋_GB2312" w:eastAsia="仿宋_GB2312"/>
                <w:kern w:val="0"/>
                <w:sz w:val="24"/>
                <w:szCs w:val="24"/>
              </w:rPr>
            </w:pPr>
            <w:r>
              <w:rPr>
                <w:rFonts w:hint="eastAsia" w:ascii="仿宋_GB2312" w:eastAsia="仿宋_GB2312"/>
                <w:kern w:val="0"/>
                <w:sz w:val="24"/>
                <w:szCs w:val="24"/>
              </w:rPr>
              <w:t>参与人确定的回购到期日期，自动显示，无需输入</w:t>
            </w:r>
          </w:p>
        </w:tc>
      </w:tr>
      <w:tr w14:paraId="7E98E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5" w:type="dxa"/>
          </w:tcPr>
          <w:p w14:paraId="531EF649">
            <w:pPr>
              <w:adjustRightInd w:val="0"/>
              <w:snapToGrid w:val="0"/>
              <w:rPr>
                <w:rFonts w:ascii="仿宋_GB2312" w:eastAsia="仿宋_GB2312"/>
                <w:b/>
                <w:kern w:val="0"/>
                <w:sz w:val="24"/>
                <w:szCs w:val="24"/>
              </w:rPr>
            </w:pPr>
            <w:r>
              <w:rPr>
                <w:rFonts w:hint="eastAsia" w:ascii="仿宋_GB2312" w:eastAsia="仿宋_GB2312"/>
                <w:b/>
                <w:kern w:val="0"/>
                <w:sz w:val="24"/>
                <w:szCs w:val="24"/>
              </w:rPr>
              <w:t>回购期限</w:t>
            </w:r>
          </w:p>
        </w:tc>
        <w:tc>
          <w:tcPr>
            <w:tcW w:w="5437" w:type="dxa"/>
          </w:tcPr>
          <w:p w14:paraId="3D4FC09A">
            <w:pPr>
              <w:adjustRightInd w:val="0"/>
              <w:snapToGrid w:val="0"/>
              <w:rPr>
                <w:rFonts w:ascii="仿宋_GB2312" w:eastAsia="仿宋_GB2312"/>
                <w:kern w:val="0"/>
                <w:sz w:val="24"/>
                <w:szCs w:val="24"/>
              </w:rPr>
            </w:pPr>
            <w:r>
              <w:rPr>
                <w:rFonts w:hint="eastAsia" w:ascii="仿宋_GB2312" w:eastAsia="仿宋_GB2312"/>
                <w:kern w:val="0"/>
                <w:sz w:val="24"/>
                <w:szCs w:val="24"/>
              </w:rPr>
              <w:t>即成交日至回购到期日的实际天数。回购期限按自然日计算，以天为单位，含成交日，不含回购到期日，自动显示，无需输入</w:t>
            </w:r>
          </w:p>
        </w:tc>
      </w:tr>
      <w:tr w14:paraId="63EBC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5" w:type="dxa"/>
          </w:tcPr>
          <w:p w14:paraId="361DE003">
            <w:pPr>
              <w:adjustRightInd w:val="0"/>
              <w:snapToGrid w:val="0"/>
              <w:rPr>
                <w:rFonts w:ascii="仿宋_GB2312" w:eastAsia="仿宋_GB2312"/>
                <w:b/>
                <w:kern w:val="0"/>
                <w:sz w:val="24"/>
                <w:szCs w:val="24"/>
              </w:rPr>
            </w:pPr>
            <w:r>
              <w:rPr>
                <w:rFonts w:hint="eastAsia" w:ascii="仿宋_GB2312" w:eastAsia="仿宋_GB2312"/>
                <w:b/>
                <w:kern w:val="0"/>
                <w:sz w:val="24"/>
                <w:szCs w:val="24"/>
              </w:rPr>
              <w:t>实际占款天数</w:t>
            </w:r>
          </w:p>
        </w:tc>
        <w:tc>
          <w:tcPr>
            <w:tcW w:w="5437" w:type="dxa"/>
          </w:tcPr>
          <w:p w14:paraId="6DD0B610">
            <w:pPr>
              <w:adjustRightInd w:val="0"/>
              <w:snapToGrid w:val="0"/>
              <w:rPr>
                <w:rFonts w:ascii="仿宋_GB2312" w:eastAsia="仿宋_GB2312"/>
                <w:kern w:val="0"/>
                <w:sz w:val="24"/>
                <w:szCs w:val="24"/>
              </w:rPr>
            </w:pPr>
            <w:r>
              <w:rPr>
                <w:rFonts w:hint="eastAsia" w:ascii="仿宋_GB2312" w:eastAsia="仿宋_GB2312"/>
                <w:kern w:val="0"/>
                <w:sz w:val="24"/>
                <w:szCs w:val="24"/>
              </w:rPr>
              <w:t>到期结算日-首期结算日，自动显示，无需输入</w:t>
            </w:r>
          </w:p>
        </w:tc>
      </w:tr>
      <w:tr w14:paraId="4B141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5" w:type="dxa"/>
          </w:tcPr>
          <w:p w14:paraId="69C5FBDA">
            <w:pPr>
              <w:adjustRightInd w:val="0"/>
              <w:snapToGrid w:val="0"/>
              <w:rPr>
                <w:rFonts w:ascii="仿宋_GB2312" w:eastAsia="仿宋_GB2312"/>
                <w:b/>
                <w:kern w:val="0"/>
                <w:sz w:val="24"/>
                <w:szCs w:val="24"/>
              </w:rPr>
            </w:pPr>
            <w:r>
              <w:rPr>
                <w:rFonts w:hint="eastAsia" w:ascii="仿宋_GB2312" w:eastAsia="仿宋_GB2312"/>
                <w:b/>
                <w:kern w:val="0"/>
                <w:sz w:val="24"/>
                <w:szCs w:val="24"/>
              </w:rPr>
              <w:t>到期结算金额</w:t>
            </w:r>
          </w:p>
        </w:tc>
        <w:tc>
          <w:tcPr>
            <w:tcW w:w="5437" w:type="dxa"/>
          </w:tcPr>
          <w:p w14:paraId="50BD01F2">
            <w:pPr>
              <w:adjustRightInd w:val="0"/>
              <w:snapToGrid w:val="0"/>
              <w:rPr>
                <w:rFonts w:ascii="仿宋_GB2312" w:eastAsia="仿宋_GB2312"/>
                <w:kern w:val="0"/>
                <w:sz w:val="24"/>
                <w:szCs w:val="24"/>
              </w:rPr>
            </w:pPr>
            <w:r>
              <w:rPr>
                <w:rFonts w:hint="eastAsia" w:ascii="仿宋_GB2312" w:eastAsia="仿宋_GB2312"/>
                <w:kern w:val="0"/>
                <w:sz w:val="24"/>
                <w:szCs w:val="24"/>
              </w:rPr>
              <w:t>到期日正回购方返回的金额，自动显示，无需输入</w:t>
            </w:r>
          </w:p>
        </w:tc>
      </w:tr>
      <w:tr w14:paraId="533CA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5" w:type="dxa"/>
          </w:tcPr>
          <w:p w14:paraId="3EAA1FEB">
            <w:pPr>
              <w:adjustRightInd w:val="0"/>
              <w:snapToGrid w:val="0"/>
              <w:rPr>
                <w:rFonts w:ascii="仿宋_GB2312" w:eastAsia="仿宋_GB2312"/>
                <w:b/>
                <w:kern w:val="0"/>
                <w:sz w:val="24"/>
                <w:szCs w:val="24"/>
              </w:rPr>
            </w:pPr>
            <w:r>
              <w:rPr>
                <w:rFonts w:hint="eastAsia" w:ascii="仿宋_GB2312" w:eastAsia="仿宋_GB2312"/>
                <w:b/>
                <w:kern w:val="0"/>
                <w:sz w:val="24"/>
                <w:szCs w:val="24"/>
              </w:rPr>
              <w:t>原成交编号</w:t>
            </w:r>
          </w:p>
        </w:tc>
        <w:tc>
          <w:tcPr>
            <w:tcW w:w="5437" w:type="dxa"/>
          </w:tcPr>
          <w:p w14:paraId="75EDB83E">
            <w:pPr>
              <w:adjustRightInd w:val="0"/>
              <w:snapToGrid w:val="0"/>
              <w:rPr>
                <w:rFonts w:ascii="仿宋_GB2312" w:eastAsia="仿宋_GB2312"/>
                <w:kern w:val="0"/>
                <w:sz w:val="24"/>
                <w:szCs w:val="24"/>
              </w:rPr>
            </w:pPr>
            <w:r>
              <w:rPr>
                <w:rFonts w:hint="eastAsia" w:ascii="仿宋_GB2312" w:eastAsia="仿宋_GB2312"/>
                <w:kern w:val="0"/>
                <w:sz w:val="24"/>
                <w:szCs w:val="24"/>
              </w:rPr>
              <w:t>原回购交易成交编号，自动显示，无需输入</w:t>
            </w:r>
          </w:p>
        </w:tc>
      </w:tr>
      <w:tr w14:paraId="370F6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5" w:type="dxa"/>
          </w:tcPr>
          <w:p w14:paraId="4B73F66F">
            <w:pPr>
              <w:adjustRightInd w:val="0"/>
              <w:snapToGrid w:val="0"/>
              <w:rPr>
                <w:rFonts w:ascii="仿宋_GB2312" w:eastAsia="仿宋_GB2312"/>
                <w:b/>
                <w:kern w:val="0"/>
                <w:sz w:val="24"/>
                <w:szCs w:val="24"/>
              </w:rPr>
            </w:pPr>
            <w:r>
              <w:rPr>
                <w:rFonts w:hint="eastAsia" w:ascii="仿宋_GB2312" w:eastAsia="仿宋_GB2312"/>
                <w:b/>
                <w:kern w:val="0"/>
                <w:sz w:val="24"/>
                <w:szCs w:val="24"/>
              </w:rPr>
              <w:t>正回购方证券账户</w:t>
            </w:r>
          </w:p>
        </w:tc>
        <w:tc>
          <w:tcPr>
            <w:tcW w:w="5437" w:type="dxa"/>
          </w:tcPr>
          <w:p w14:paraId="6851C8DA">
            <w:pPr>
              <w:adjustRightInd w:val="0"/>
              <w:snapToGrid w:val="0"/>
              <w:rPr>
                <w:rFonts w:ascii="仿宋_GB2312" w:eastAsia="仿宋_GB2312"/>
                <w:kern w:val="0"/>
                <w:sz w:val="24"/>
                <w:szCs w:val="24"/>
              </w:rPr>
            </w:pPr>
            <w:r>
              <w:rPr>
                <w:rFonts w:hint="eastAsia" w:ascii="仿宋_GB2312" w:eastAsia="仿宋_GB2312"/>
                <w:kern w:val="0"/>
                <w:sz w:val="24"/>
                <w:szCs w:val="24"/>
              </w:rPr>
              <w:t>正回购方证券账户号，自动显示，无需输入</w:t>
            </w:r>
          </w:p>
        </w:tc>
      </w:tr>
      <w:tr w14:paraId="16F6C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5" w:type="dxa"/>
          </w:tcPr>
          <w:p w14:paraId="2589F277">
            <w:pPr>
              <w:adjustRightInd w:val="0"/>
              <w:snapToGrid w:val="0"/>
              <w:rPr>
                <w:rFonts w:ascii="仿宋_GB2312" w:eastAsia="仿宋_GB2312"/>
                <w:b/>
                <w:kern w:val="0"/>
                <w:sz w:val="24"/>
                <w:szCs w:val="24"/>
              </w:rPr>
            </w:pPr>
            <w:r>
              <w:rPr>
                <w:rFonts w:hint="eastAsia" w:ascii="仿宋_GB2312" w:eastAsia="仿宋_GB2312"/>
                <w:b/>
                <w:kern w:val="0"/>
                <w:sz w:val="24"/>
                <w:szCs w:val="24"/>
              </w:rPr>
              <w:t>正回购方债券交易参与人代码</w:t>
            </w:r>
          </w:p>
        </w:tc>
        <w:tc>
          <w:tcPr>
            <w:tcW w:w="5437" w:type="dxa"/>
          </w:tcPr>
          <w:p w14:paraId="1431238F">
            <w:pPr>
              <w:adjustRightInd w:val="0"/>
              <w:snapToGrid w:val="0"/>
              <w:rPr>
                <w:rFonts w:ascii="仿宋_GB2312" w:eastAsia="仿宋_GB2312"/>
                <w:kern w:val="0"/>
                <w:sz w:val="24"/>
                <w:szCs w:val="24"/>
              </w:rPr>
            </w:pPr>
            <w:r>
              <w:rPr>
                <w:rFonts w:hint="eastAsia" w:ascii="仿宋_GB2312" w:eastAsia="仿宋_GB2312"/>
                <w:kern w:val="0"/>
                <w:sz w:val="24"/>
                <w:szCs w:val="24"/>
              </w:rPr>
              <w:t>正回购方债券交易参与人代码，自动显示，无需输入</w:t>
            </w:r>
          </w:p>
        </w:tc>
      </w:tr>
      <w:tr w14:paraId="2D837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5" w:type="dxa"/>
          </w:tcPr>
          <w:p w14:paraId="20AFAFA9">
            <w:pPr>
              <w:adjustRightInd w:val="0"/>
              <w:snapToGrid w:val="0"/>
              <w:rPr>
                <w:rFonts w:ascii="仿宋_GB2312" w:eastAsia="仿宋_GB2312"/>
                <w:b/>
                <w:kern w:val="0"/>
                <w:sz w:val="24"/>
                <w:szCs w:val="24"/>
              </w:rPr>
            </w:pPr>
            <w:r>
              <w:rPr>
                <w:rFonts w:hint="eastAsia" w:ascii="仿宋_GB2312" w:eastAsia="仿宋_GB2312"/>
                <w:b/>
                <w:kern w:val="0"/>
                <w:sz w:val="24"/>
                <w:szCs w:val="24"/>
              </w:rPr>
              <w:t>正回购方债券交易参与人简称</w:t>
            </w:r>
          </w:p>
        </w:tc>
        <w:tc>
          <w:tcPr>
            <w:tcW w:w="5437" w:type="dxa"/>
          </w:tcPr>
          <w:p w14:paraId="0237DAB9">
            <w:pPr>
              <w:adjustRightInd w:val="0"/>
              <w:snapToGrid w:val="0"/>
              <w:rPr>
                <w:rFonts w:ascii="仿宋_GB2312" w:eastAsia="仿宋_GB2312"/>
                <w:kern w:val="0"/>
                <w:sz w:val="24"/>
                <w:szCs w:val="24"/>
              </w:rPr>
            </w:pPr>
            <w:r>
              <w:rPr>
                <w:rFonts w:hint="eastAsia" w:ascii="仿宋_GB2312" w:eastAsia="仿宋_GB2312"/>
                <w:kern w:val="0"/>
                <w:sz w:val="24"/>
                <w:szCs w:val="24"/>
              </w:rPr>
              <w:t>正回购方债券交易参与人简称，自动显示，无需输入</w:t>
            </w:r>
          </w:p>
        </w:tc>
      </w:tr>
      <w:tr w14:paraId="2DE76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5" w:type="dxa"/>
          </w:tcPr>
          <w:p w14:paraId="44DC9031">
            <w:pPr>
              <w:adjustRightInd w:val="0"/>
              <w:snapToGrid w:val="0"/>
              <w:rPr>
                <w:rFonts w:ascii="仿宋_GB2312" w:eastAsia="仿宋_GB2312"/>
                <w:b/>
                <w:kern w:val="0"/>
                <w:sz w:val="24"/>
                <w:szCs w:val="24"/>
              </w:rPr>
            </w:pPr>
            <w:r>
              <w:rPr>
                <w:rFonts w:hint="eastAsia" w:ascii="仿宋_GB2312" w:eastAsia="仿宋_GB2312"/>
                <w:b/>
                <w:kern w:val="0"/>
                <w:sz w:val="24"/>
                <w:szCs w:val="24"/>
              </w:rPr>
              <w:t>正回购方交易员代码</w:t>
            </w:r>
          </w:p>
        </w:tc>
        <w:tc>
          <w:tcPr>
            <w:tcW w:w="5437" w:type="dxa"/>
          </w:tcPr>
          <w:p w14:paraId="4AD82505">
            <w:pPr>
              <w:adjustRightInd w:val="0"/>
              <w:snapToGrid w:val="0"/>
              <w:rPr>
                <w:rFonts w:ascii="仿宋_GB2312" w:eastAsia="仿宋_GB2312"/>
                <w:kern w:val="0"/>
                <w:sz w:val="24"/>
                <w:szCs w:val="24"/>
              </w:rPr>
            </w:pPr>
            <w:r>
              <w:rPr>
                <w:rFonts w:hint="eastAsia" w:ascii="仿宋_GB2312" w:eastAsia="仿宋_GB2312"/>
                <w:kern w:val="0"/>
                <w:sz w:val="24"/>
                <w:szCs w:val="24"/>
              </w:rPr>
              <w:t>正回购方交易员代码，自动显示，无需输入</w:t>
            </w:r>
          </w:p>
        </w:tc>
      </w:tr>
      <w:tr w14:paraId="611B3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5" w:type="dxa"/>
          </w:tcPr>
          <w:p w14:paraId="0610019A">
            <w:pPr>
              <w:adjustRightInd w:val="0"/>
              <w:snapToGrid w:val="0"/>
              <w:rPr>
                <w:rFonts w:ascii="仿宋_GB2312" w:eastAsia="仿宋_GB2312"/>
                <w:b/>
                <w:kern w:val="0"/>
                <w:sz w:val="24"/>
                <w:szCs w:val="24"/>
              </w:rPr>
            </w:pPr>
            <w:r>
              <w:rPr>
                <w:rFonts w:hint="eastAsia" w:ascii="仿宋_GB2312" w:eastAsia="仿宋_GB2312"/>
                <w:b/>
                <w:kern w:val="0"/>
                <w:sz w:val="24"/>
                <w:szCs w:val="24"/>
              </w:rPr>
              <w:t>正回购方交易员名称</w:t>
            </w:r>
          </w:p>
        </w:tc>
        <w:tc>
          <w:tcPr>
            <w:tcW w:w="5437" w:type="dxa"/>
          </w:tcPr>
          <w:p w14:paraId="2D58FF00">
            <w:pPr>
              <w:adjustRightInd w:val="0"/>
              <w:snapToGrid w:val="0"/>
              <w:rPr>
                <w:rFonts w:ascii="仿宋_GB2312" w:eastAsia="仿宋_GB2312"/>
                <w:kern w:val="0"/>
                <w:sz w:val="24"/>
                <w:szCs w:val="24"/>
              </w:rPr>
            </w:pPr>
            <w:r>
              <w:rPr>
                <w:rFonts w:hint="eastAsia" w:ascii="仿宋_GB2312" w:eastAsia="仿宋_GB2312"/>
                <w:kern w:val="0"/>
                <w:sz w:val="24"/>
                <w:szCs w:val="24"/>
              </w:rPr>
              <w:t>正回购方交易员名称，自动显示，无需输入</w:t>
            </w:r>
          </w:p>
        </w:tc>
      </w:tr>
      <w:tr w14:paraId="63ED8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5" w:type="dxa"/>
          </w:tcPr>
          <w:p w14:paraId="69CE025D">
            <w:pPr>
              <w:adjustRightInd w:val="0"/>
              <w:snapToGrid w:val="0"/>
              <w:rPr>
                <w:rFonts w:ascii="仿宋_GB2312" w:eastAsia="仿宋_GB2312"/>
                <w:b/>
                <w:kern w:val="0"/>
                <w:sz w:val="24"/>
                <w:szCs w:val="24"/>
              </w:rPr>
            </w:pPr>
            <w:r>
              <w:rPr>
                <w:rFonts w:hint="eastAsia" w:ascii="仿宋_GB2312" w:eastAsia="仿宋_GB2312"/>
                <w:b/>
                <w:kern w:val="0"/>
                <w:sz w:val="24"/>
                <w:szCs w:val="24"/>
              </w:rPr>
              <w:t>正回购方交易单元号</w:t>
            </w:r>
          </w:p>
        </w:tc>
        <w:tc>
          <w:tcPr>
            <w:tcW w:w="5437" w:type="dxa"/>
          </w:tcPr>
          <w:p w14:paraId="1A5BB4A3">
            <w:pPr>
              <w:adjustRightInd w:val="0"/>
              <w:snapToGrid w:val="0"/>
              <w:rPr>
                <w:rFonts w:ascii="仿宋_GB2312" w:eastAsia="仿宋_GB2312"/>
                <w:kern w:val="0"/>
                <w:sz w:val="24"/>
                <w:szCs w:val="24"/>
              </w:rPr>
            </w:pPr>
            <w:r>
              <w:rPr>
                <w:rFonts w:hint="eastAsia" w:ascii="仿宋_GB2312" w:eastAsia="仿宋_GB2312"/>
                <w:kern w:val="0"/>
                <w:sz w:val="24"/>
                <w:szCs w:val="24"/>
              </w:rPr>
              <w:t>默认显示正回购方证券账号指定交易单元号，自动显示，无需输入</w:t>
            </w:r>
          </w:p>
        </w:tc>
      </w:tr>
      <w:tr w14:paraId="62E29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5" w:type="dxa"/>
          </w:tcPr>
          <w:p w14:paraId="32ED5B76">
            <w:pPr>
              <w:adjustRightInd w:val="0"/>
              <w:snapToGrid w:val="0"/>
              <w:rPr>
                <w:rFonts w:ascii="仿宋_GB2312" w:eastAsia="仿宋_GB2312"/>
                <w:b/>
                <w:kern w:val="0"/>
                <w:sz w:val="24"/>
                <w:szCs w:val="24"/>
              </w:rPr>
            </w:pPr>
            <w:r>
              <w:rPr>
                <w:rFonts w:hint="eastAsia" w:ascii="仿宋_GB2312" w:eastAsia="仿宋_GB2312"/>
                <w:b/>
                <w:kern w:val="0"/>
                <w:sz w:val="24"/>
                <w:szCs w:val="24"/>
              </w:rPr>
              <w:t>逆回购方债券交易参与人代码</w:t>
            </w:r>
          </w:p>
        </w:tc>
        <w:tc>
          <w:tcPr>
            <w:tcW w:w="5437" w:type="dxa"/>
          </w:tcPr>
          <w:p w14:paraId="64B3BFAE">
            <w:pPr>
              <w:adjustRightInd w:val="0"/>
              <w:snapToGrid w:val="0"/>
              <w:rPr>
                <w:rFonts w:ascii="仿宋_GB2312" w:eastAsia="仿宋_GB2312"/>
                <w:kern w:val="0"/>
                <w:sz w:val="24"/>
                <w:szCs w:val="24"/>
              </w:rPr>
            </w:pPr>
            <w:r>
              <w:rPr>
                <w:rFonts w:hint="eastAsia" w:ascii="仿宋_GB2312" w:eastAsia="仿宋_GB2312"/>
                <w:kern w:val="0"/>
                <w:sz w:val="24"/>
                <w:szCs w:val="24"/>
              </w:rPr>
              <w:t>逆回购方债券交易参与人代码，自动显示，无需输入</w:t>
            </w:r>
          </w:p>
        </w:tc>
      </w:tr>
      <w:tr w14:paraId="1194A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5" w:type="dxa"/>
          </w:tcPr>
          <w:p w14:paraId="32143FC2">
            <w:pPr>
              <w:adjustRightInd w:val="0"/>
              <w:snapToGrid w:val="0"/>
              <w:rPr>
                <w:rFonts w:ascii="仿宋_GB2312" w:eastAsia="仿宋_GB2312"/>
                <w:b/>
                <w:kern w:val="0"/>
                <w:sz w:val="24"/>
                <w:szCs w:val="24"/>
              </w:rPr>
            </w:pPr>
            <w:r>
              <w:rPr>
                <w:rFonts w:hint="eastAsia" w:ascii="仿宋_GB2312" w:eastAsia="仿宋_GB2312"/>
                <w:b/>
                <w:kern w:val="0"/>
                <w:sz w:val="24"/>
                <w:szCs w:val="24"/>
              </w:rPr>
              <w:t>逆回购方债券交易参与人简称</w:t>
            </w:r>
          </w:p>
        </w:tc>
        <w:tc>
          <w:tcPr>
            <w:tcW w:w="5437" w:type="dxa"/>
          </w:tcPr>
          <w:p w14:paraId="34188E88">
            <w:pPr>
              <w:adjustRightInd w:val="0"/>
              <w:snapToGrid w:val="0"/>
              <w:rPr>
                <w:rFonts w:ascii="仿宋_GB2312" w:eastAsia="仿宋_GB2312"/>
                <w:kern w:val="0"/>
                <w:sz w:val="24"/>
                <w:szCs w:val="24"/>
              </w:rPr>
            </w:pPr>
            <w:r>
              <w:rPr>
                <w:rFonts w:hint="eastAsia" w:ascii="仿宋_GB2312" w:eastAsia="仿宋_GB2312"/>
                <w:kern w:val="0"/>
                <w:sz w:val="24"/>
                <w:szCs w:val="24"/>
              </w:rPr>
              <w:t>逆回购方债券交易参与人简称，自动显示，无需输入</w:t>
            </w:r>
          </w:p>
        </w:tc>
      </w:tr>
      <w:tr w14:paraId="2969B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5" w:type="dxa"/>
          </w:tcPr>
          <w:p w14:paraId="031546F7">
            <w:pPr>
              <w:adjustRightInd w:val="0"/>
              <w:snapToGrid w:val="0"/>
              <w:rPr>
                <w:rFonts w:ascii="仿宋_GB2312" w:eastAsia="仿宋_GB2312"/>
                <w:b/>
                <w:kern w:val="0"/>
                <w:sz w:val="24"/>
                <w:szCs w:val="24"/>
              </w:rPr>
            </w:pPr>
            <w:r>
              <w:rPr>
                <w:rFonts w:hint="eastAsia" w:ascii="仿宋_GB2312" w:eastAsia="仿宋_GB2312"/>
                <w:b/>
                <w:kern w:val="0"/>
                <w:sz w:val="24"/>
                <w:szCs w:val="24"/>
              </w:rPr>
              <w:t>逆回购方交易员代码</w:t>
            </w:r>
          </w:p>
        </w:tc>
        <w:tc>
          <w:tcPr>
            <w:tcW w:w="5437" w:type="dxa"/>
          </w:tcPr>
          <w:p w14:paraId="7537E164">
            <w:pPr>
              <w:adjustRightInd w:val="0"/>
              <w:snapToGrid w:val="0"/>
              <w:rPr>
                <w:rFonts w:ascii="仿宋_GB2312" w:eastAsia="仿宋_GB2312"/>
                <w:kern w:val="0"/>
                <w:sz w:val="24"/>
                <w:szCs w:val="24"/>
              </w:rPr>
            </w:pPr>
            <w:r>
              <w:rPr>
                <w:rFonts w:hint="eastAsia" w:ascii="仿宋_GB2312" w:eastAsia="仿宋_GB2312"/>
                <w:kern w:val="0"/>
                <w:sz w:val="24"/>
                <w:szCs w:val="24"/>
              </w:rPr>
              <w:t>逆回购方交易员代码，自动显示，无需输入</w:t>
            </w:r>
          </w:p>
        </w:tc>
      </w:tr>
      <w:tr w14:paraId="30C0A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5" w:type="dxa"/>
          </w:tcPr>
          <w:p w14:paraId="54811212">
            <w:pPr>
              <w:adjustRightInd w:val="0"/>
              <w:snapToGrid w:val="0"/>
              <w:rPr>
                <w:rFonts w:ascii="仿宋_GB2312" w:eastAsia="仿宋_GB2312"/>
                <w:b/>
                <w:kern w:val="0"/>
                <w:sz w:val="24"/>
                <w:szCs w:val="24"/>
              </w:rPr>
            </w:pPr>
            <w:r>
              <w:rPr>
                <w:rFonts w:hint="eastAsia" w:ascii="仿宋_GB2312" w:eastAsia="仿宋_GB2312"/>
                <w:b/>
                <w:kern w:val="0"/>
                <w:sz w:val="24"/>
                <w:szCs w:val="24"/>
              </w:rPr>
              <w:t>逆回购方交易员名称</w:t>
            </w:r>
          </w:p>
        </w:tc>
        <w:tc>
          <w:tcPr>
            <w:tcW w:w="5437" w:type="dxa"/>
          </w:tcPr>
          <w:p w14:paraId="7ADEFB3F">
            <w:pPr>
              <w:adjustRightInd w:val="0"/>
              <w:snapToGrid w:val="0"/>
              <w:rPr>
                <w:rFonts w:ascii="仿宋_GB2312" w:eastAsia="仿宋_GB2312"/>
                <w:kern w:val="0"/>
                <w:sz w:val="24"/>
                <w:szCs w:val="24"/>
              </w:rPr>
            </w:pPr>
            <w:r>
              <w:rPr>
                <w:rFonts w:hint="eastAsia" w:ascii="仿宋_GB2312" w:eastAsia="仿宋_GB2312"/>
                <w:kern w:val="0"/>
                <w:sz w:val="24"/>
                <w:szCs w:val="24"/>
              </w:rPr>
              <w:t>逆回购方交易员名称，自动显示，无需输入</w:t>
            </w:r>
          </w:p>
        </w:tc>
      </w:tr>
    </w:tbl>
    <w:p w14:paraId="5BE7921B">
      <w:pPr>
        <w:spacing w:line="600" w:lineRule="exact"/>
        <w:ind w:left="567"/>
        <w:outlineLvl w:val="3"/>
        <w:rPr>
          <w:rFonts w:ascii="仿宋_GB2312" w:eastAsia="仿宋_GB2312"/>
          <w:b/>
          <w:sz w:val="30"/>
          <w:szCs w:val="30"/>
        </w:rPr>
      </w:pPr>
      <w:r>
        <w:rPr>
          <w:rFonts w:hint="eastAsia" w:ascii="仿宋_GB2312" w:eastAsia="仿宋_GB2312"/>
          <w:b/>
          <w:sz w:val="30"/>
          <w:szCs w:val="30"/>
        </w:rPr>
        <w:t>（2）提前终止申报</w:t>
      </w:r>
      <w:bookmarkStart w:id="2041" w:name="26"/>
    </w:p>
    <w:bookmarkEnd w:id="2041"/>
    <w:p w14:paraId="5E6CDF77">
      <w:pPr>
        <w:adjustRightInd w:val="0"/>
        <w:snapToGrid w:val="0"/>
        <w:spacing w:line="600" w:lineRule="exact"/>
        <w:ind w:firstLine="600" w:firstLineChars="200"/>
        <w:rPr>
          <w:rFonts w:ascii="仿宋_GB2312" w:hAnsi="Calibri" w:eastAsia="仿宋_GB2312"/>
          <w:sz w:val="30"/>
          <w:szCs w:val="30"/>
        </w:rPr>
      </w:pPr>
      <w:r>
        <w:rPr>
          <w:rFonts w:hint="eastAsia" w:ascii="仿宋_GB2312" w:eastAsia="仿宋_GB2312"/>
          <w:sz w:val="30"/>
          <w:szCs w:val="30"/>
        </w:rPr>
        <w:t>协议</w:t>
      </w:r>
      <w:r>
        <w:rPr>
          <w:rFonts w:hint="eastAsia" w:ascii="仿宋_GB2312" w:hAnsi="Calibri" w:eastAsia="仿宋_GB2312"/>
          <w:sz w:val="30"/>
          <w:szCs w:val="30"/>
        </w:rPr>
        <w:t>回购达成后，在协议回购存续期间（不含首次结算日和到期结算日），经双方协商一致，协议回购可以提前终止，并按照双方重新商定的回购利率进行结算。</w:t>
      </w:r>
    </w:p>
    <w:p w14:paraId="3411891B">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提前终止申报由正回购方或者逆回购方发起，经对手方进行确认申报后，由固定收益平台予以确认。</w:t>
      </w:r>
    </w:p>
    <w:p w14:paraId="03F56D11">
      <w:pPr>
        <w:adjustRightInd w:val="0"/>
        <w:snapToGrid w:val="0"/>
        <w:spacing w:line="600" w:lineRule="exact"/>
        <w:ind w:firstLine="600" w:firstLineChars="200"/>
        <w:rPr>
          <w:rFonts w:ascii="仿宋_GB2312" w:hAnsi="宋体" w:eastAsia="仿宋_GB2312"/>
          <w:sz w:val="30"/>
          <w:szCs w:val="30"/>
        </w:rPr>
      </w:pPr>
      <w:r>
        <w:rPr>
          <w:rFonts w:hint="eastAsia" w:ascii="仿宋_GB2312" w:hAnsi="Calibri" w:eastAsia="仿宋_GB2312"/>
          <w:sz w:val="30"/>
          <w:szCs w:val="30"/>
        </w:rPr>
        <w:t>提前终止申报的</w:t>
      </w:r>
      <w:r>
        <w:rPr>
          <w:rFonts w:hint="eastAsia" w:ascii="仿宋_GB2312" w:hAnsi="宋体" w:eastAsia="仿宋_GB2312"/>
          <w:sz w:val="30"/>
          <w:szCs w:val="30"/>
        </w:rPr>
        <w:t>具体要素及要素说明如下：</w:t>
      </w:r>
    </w:p>
    <w:tbl>
      <w:tblPr>
        <w:tblStyle w:val="43"/>
        <w:tblW w:w="0" w:type="auto"/>
        <w:tblInd w:w="-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84"/>
        <w:gridCol w:w="5720"/>
      </w:tblGrid>
      <w:tr w14:paraId="27D0B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4" w:type="dxa"/>
          </w:tcPr>
          <w:p w14:paraId="2349BF4B">
            <w:pPr>
              <w:adjustRightInd w:val="0"/>
              <w:snapToGrid w:val="0"/>
              <w:rPr>
                <w:rFonts w:ascii="仿宋_GB2312" w:eastAsia="仿宋_GB2312"/>
                <w:b/>
                <w:kern w:val="0"/>
                <w:sz w:val="24"/>
                <w:szCs w:val="24"/>
              </w:rPr>
            </w:pPr>
            <w:r>
              <w:rPr>
                <w:rFonts w:hint="eastAsia" w:ascii="仿宋_GB2312" w:eastAsia="仿宋_GB2312"/>
                <w:b/>
                <w:kern w:val="0"/>
                <w:sz w:val="24"/>
                <w:szCs w:val="24"/>
              </w:rPr>
              <w:t>要素名称</w:t>
            </w:r>
          </w:p>
        </w:tc>
        <w:tc>
          <w:tcPr>
            <w:tcW w:w="5720" w:type="dxa"/>
          </w:tcPr>
          <w:p w14:paraId="0B2F7DB2">
            <w:pPr>
              <w:adjustRightInd w:val="0"/>
              <w:snapToGrid w:val="0"/>
              <w:rPr>
                <w:rFonts w:ascii="仿宋_GB2312" w:eastAsia="仿宋_GB2312"/>
                <w:b/>
                <w:kern w:val="0"/>
                <w:sz w:val="24"/>
                <w:szCs w:val="24"/>
              </w:rPr>
            </w:pPr>
            <w:r>
              <w:rPr>
                <w:rFonts w:hint="eastAsia" w:ascii="仿宋_GB2312" w:eastAsia="仿宋_GB2312"/>
                <w:b/>
                <w:kern w:val="0"/>
                <w:sz w:val="24"/>
                <w:szCs w:val="24"/>
              </w:rPr>
              <w:t>要素说明</w:t>
            </w:r>
          </w:p>
        </w:tc>
      </w:tr>
      <w:tr w14:paraId="5D32E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4" w:type="dxa"/>
          </w:tcPr>
          <w:p w14:paraId="4CBF99DD">
            <w:pPr>
              <w:adjustRightInd w:val="0"/>
              <w:snapToGrid w:val="0"/>
              <w:rPr>
                <w:rFonts w:ascii="仿宋_GB2312" w:eastAsia="仿宋_GB2312"/>
                <w:b/>
                <w:kern w:val="0"/>
                <w:sz w:val="24"/>
                <w:szCs w:val="24"/>
              </w:rPr>
            </w:pPr>
            <w:r>
              <w:rPr>
                <w:rFonts w:hint="eastAsia" w:ascii="仿宋_GB2312" w:eastAsia="仿宋_GB2312"/>
                <w:b/>
                <w:kern w:val="0"/>
                <w:sz w:val="24"/>
                <w:szCs w:val="24"/>
              </w:rPr>
              <w:t>对手方交易员代码</w:t>
            </w:r>
          </w:p>
        </w:tc>
        <w:tc>
          <w:tcPr>
            <w:tcW w:w="5720" w:type="dxa"/>
          </w:tcPr>
          <w:p w14:paraId="16FB9EA0">
            <w:pPr>
              <w:adjustRightInd w:val="0"/>
              <w:snapToGrid w:val="0"/>
              <w:rPr>
                <w:rFonts w:ascii="仿宋_GB2312" w:eastAsia="仿宋_GB2312"/>
                <w:kern w:val="0"/>
                <w:sz w:val="24"/>
                <w:szCs w:val="24"/>
              </w:rPr>
            </w:pPr>
            <w:r>
              <w:rPr>
                <w:rFonts w:hint="eastAsia" w:ascii="仿宋_GB2312" w:eastAsia="仿宋_GB2312"/>
                <w:kern w:val="0"/>
                <w:sz w:val="24"/>
                <w:szCs w:val="24"/>
              </w:rPr>
              <w:t>默认显示原始申报的对手方交易员代码</w:t>
            </w:r>
          </w:p>
        </w:tc>
      </w:tr>
      <w:tr w14:paraId="54315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4" w:type="dxa"/>
          </w:tcPr>
          <w:p w14:paraId="05B87ABD">
            <w:pPr>
              <w:adjustRightInd w:val="0"/>
              <w:snapToGrid w:val="0"/>
              <w:rPr>
                <w:rFonts w:ascii="仿宋_GB2312" w:eastAsia="仿宋_GB2312"/>
                <w:b/>
                <w:kern w:val="0"/>
                <w:sz w:val="24"/>
                <w:szCs w:val="24"/>
              </w:rPr>
            </w:pPr>
            <w:r>
              <w:rPr>
                <w:rFonts w:hint="eastAsia" w:ascii="仿宋_GB2312" w:eastAsia="仿宋_GB2312"/>
                <w:b/>
                <w:kern w:val="0"/>
                <w:sz w:val="24"/>
                <w:szCs w:val="24"/>
              </w:rPr>
              <w:t>实际回购利率</w:t>
            </w:r>
          </w:p>
        </w:tc>
        <w:tc>
          <w:tcPr>
            <w:tcW w:w="5720" w:type="dxa"/>
          </w:tcPr>
          <w:p w14:paraId="604210D0">
            <w:pPr>
              <w:adjustRightInd w:val="0"/>
              <w:snapToGrid w:val="0"/>
              <w:rPr>
                <w:rFonts w:ascii="仿宋_GB2312" w:eastAsia="仿宋_GB2312"/>
                <w:kern w:val="0"/>
                <w:sz w:val="24"/>
                <w:szCs w:val="24"/>
              </w:rPr>
            </w:pPr>
            <w:r>
              <w:rPr>
                <w:rFonts w:hint="eastAsia" w:ascii="仿宋_GB2312" w:eastAsia="仿宋_GB2312"/>
                <w:kern w:val="0"/>
                <w:sz w:val="24"/>
                <w:szCs w:val="24"/>
              </w:rPr>
              <w:t>正回购方实际付给逆回购方的资金价格</w:t>
            </w:r>
          </w:p>
        </w:tc>
      </w:tr>
      <w:tr w14:paraId="3430F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84" w:type="dxa"/>
          </w:tcPr>
          <w:p w14:paraId="6D0D4EDC">
            <w:pPr>
              <w:adjustRightInd w:val="0"/>
              <w:snapToGrid w:val="0"/>
              <w:rPr>
                <w:rFonts w:ascii="仿宋_GB2312" w:eastAsia="仿宋_GB2312"/>
                <w:b/>
                <w:kern w:val="0"/>
                <w:sz w:val="24"/>
                <w:szCs w:val="24"/>
              </w:rPr>
            </w:pPr>
            <w:r>
              <w:rPr>
                <w:rFonts w:hint="eastAsia" w:ascii="仿宋_GB2312" w:eastAsia="仿宋_GB2312"/>
                <w:b/>
                <w:kern w:val="0"/>
                <w:sz w:val="24"/>
                <w:szCs w:val="24"/>
              </w:rPr>
              <w:t>实际结算金额</w:t>
            </w:r>
          </w:p>
        </w:tc>
        <w:tc>
          <w:tcPr>
            <w:tcW w:w="5720" w:type="dxa"/>
          </w:tcPr>
          <w:p w14:paraId="78541851">
            <w:pPr>
              <w:adjustRightInd w:val="0"/>
              <w:snapToGrid w:val="0"/>
              <w:rPr>
                <w:rFonts w:ascii="仿宋_GB2312" w:eastAsia="仿宋_GB2312"/>
                <w:kern w:val="0"/>
                <w:sz w:val="24"/>
                <w:szCs w:val="24"/>
              </w:rPr>
            </w:pPr>
            <w:r>
              <w:rPr>
                <w:rFonts w:hint="eastAsia" w:ascii="仿宋_GB2312" w:eastAsia="仿宋_GB2312"/>
                <w:kern w:val="0"/>
                <w:sz w:val="24"/>
                <w:szCs w:val="24"/>
              </w:rPr>
              <w:t>为提前到期日正回购方返回的金额</w:t>
            </w:r>
          </w:p>
        </w:tc>
      </w:tr>
      <w:tr w14:paraId="5E6A8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4" w:type="dxa"/>
          </w:tcPr>
          <w:p w14:paraId="04B9B3E0">
            <w:pPr>
              <w:adjustRightInd w:val="0"/>
              <w:snapToGrid w:val="0"/>
              <w:rPr>
                <w:rFonts w:ascii="仿宋_GB2312" w:eastAsia="仿宋_GB2312"/>
                <w:b/>
                <w:kern w:val="0"/>
                <w:sz w:val="24"/>
                <w:szCs w:val="24"/>
              </w:rPr>
            </w:pPr>
            <w:r>
              <w:rPr>
                <w:rFonts w:hint="eastAsia" w:ascii="仿宋_GB2312" w:eastAsia="仿宋_GB2312"/>
                <w:b/>
                <w:kern w:val="0"/>
                <w:sz w:val="24"/>
                <w:szCs w:val="24"/>
              </w:rPr>
              <w:t>交易单元号</w:t>
            </w:r>
          </w:p>
        </w:tc>
        <w:tc>
          <w:tcPr>
            <w:tcW w:w="5720" w:type="dxa"/>
          </w:tcPr>
          <w:p w14:paraId="2174F91A">
            <w:pPr>
              <w:adjustRightInd w:val="0"/>
              <w:snapToGrid w:val="0"/>
              <w:rPr>
                <w:rFonts w:ascii="仿宋_GB2312" w:eastAsia="仿宋_GB2312"/>
                <w:kern w:val="0"/>
                <w:sz w:val="24"/>
                <w:szCs w:val="24"/>
              </w:rPr>
            </w:pPr>
            <w:r>
              <w:rPr>
                <w:rFonts w:hint="eastAsia" w:ascii="仿宋_GB2312" w:eastAsia="仿宋_GB2312"/>
                <w:kern w:val="0"/>
                <w:sz w:val="24"/>
                <w:szCs w:val="24"/>
              </w:rPr>
              <w:t>默认显示证券账号指定交易单元号</w:t>
            </w:r>
          </w:p>
        </w:tc>
      </w:tr>
      <w:tr w14:paraId="052A8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4" w:type="dxa"/>
          </w:tcPr>
          <w:p w14:paraId="10614A19">
            <w:pPr>
              <w:adjustRightInd w:val="0"/>
              <w:snapToGrid w:val="0"/>
              <w:rPr>
                <w:rFonts w:ascii="仿宋_GB2312" w:eastAsia="仿宋_GB2312"/>
                <w:b/>
                <w:kern w:val="0"/>
                <w:sz w:val="24"/>
                <w:szCs w:val="24"/>
              </w:rPr>
            </w:pPr>
            <w:r>
              <w:rPr>
                <w:rFonts w:hint="eastAsia" w:ascii="仿宋_GB2312" w:eastAsia="仿宋_GB2312"/>
                <w:b/>
                <w:kern w:val="0"/>
                <w:sz w:val="24"/>
                <w:szCs w:val="24"/>
              </w:rPr>
              <w:t>补充条款</w:t>
            </w:r>
          </w:p>
        </w:tc>
        <w:tc>
          <w:tcPr>
            <w:tcW w:w="5720" w:type="dxa"/>
          </w:tcPr>
          <w:p w14:paraId="311DD936">
            <w:pPr>
              <w:adjustRightInd w:val="0"/>
              <w:snapToGrid w:val="0"/>
              <w:rPr>
                <w:rFonts w:ascii="仿宋_GB2312" w:eastAsia="仿宋_GB2312"/>
                <w:kern w:val="0"/>
                <w:sz w:val="24"/>
                <w:szCs w:val="24"/>
              </w:rPr>
            </w:pPr>
            <w:r>
              <w:rPr>
                <w:rFonts w:hint="eastAsia" w:ascii="仿宋_GB2312" w:eastAsia="仿宋_GB2312"/>
                <w:kern w:val="0"/>
                <w:sz w:val="24"/>
                <w:szCs w:val="24"/>
              </w:rPr>
              <w:t>交易双方的补充约定条款</w:t>
            </w:r>
          </w:p>
        </w:tc>
      </w:tr>
      <w:tr w14:paraId="5FABE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4" w:type="dxa"/>
          </w:tcPr>
          <w:p w14:paraId="5519BD2F">
            <w:pPr>
              <w:adjustRightInd w:val="0"/>
              <w:snapToGrid w:val="0"/>
              <w:rPr>
                <w:rFonts w:ascii="仿宋_GB2312" w:eastAsia="仿宋_GB2312"/>
                <w:b/>
                <w:kern w:val="0"/>
                <w:sz w:val="24"/>
                <w:szCs w:val="24"/>
              </w:rPr>
            </w:pPr>
            <w:r>
              <w:rPr>
                <w:rFonts w:hint="eastAsia" w:ascii="仿宋_GB2312" w:eastAsia="仿宋_GB2312"/>
                <w:b/>
                <w:kern w:val="0"/>
                <w:sz w:val="24"/>
                <w:szCs w:val="24"/>
              </w:rPr>
              <w:t>对手方交易员名称</w:t>
            </w:r>
          </w:p>
        </w:tc>
        <w:tc>
          <w:tcPr>
            <w:tcW w:w="5720" w:type="dxa"/>
          </w:tcPr>
          <w:p w14:paraId="30F84621">
            <w:pPr>
              <w:adjustRightInd w:val="0"/>
              <w:snapToGrid w:val="0"/>
              <w:rPr>
                <w:rFonts w:ascii="仿宋_GB2312" w:eastAsia="仿宋_GB2312"/>
                <w:kern w:val="0"/>
                <w:sz w:val="24"/>
                <w:szCs w:val="24"/>
              </w:rPr>
            </w:pPr>
            <w:r>
              <w:rPr>
                <w:rFonts w:hint="eastAsia" w:ascii="仿宋_GB2312" w:eastAsia="仿宋_GB2312"/>
                <w:kern w:val="0"/>
                <w:sz w:val="24"/>
                <w:szCs w:val="24"/>
              </w:rPr>
              <w:t>对手方交易员名称，自动显示，无需输入</w:t>
            </w:r>
          </w:p>
        </w:tc>
      </w:tr>
      <w:tr w14:paraId="6240A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84" w:type="dxa"/>
          </w:tcPr>
          <w:p w14:paraId="10D67FE0">
            <w:pPr>
              <w:adjustRightInd w:val="0"/>
              <w:snapToGrid w:val="0"/>
              <w:rPr>
                <w:rFonts w:ascii="仿宋_GB2312" w:eastAsia="仿宋_GB2312"/>
                <w:b/>
                <w:kern w:val="0"/>
                <w:sz w:val="24"/>
                <w:szCs w:val="24"/>
              </w:rPr>
            </w:pPr>
            <w:r>
              <w:rPr>
                <w:rFonts w:hint="eastAsia" w:ascii="仿宋_GB2312" w:eastAsia="仿宋_GB2312"/>
                <w:b/>
                <w:kern w:val="0"/>
                <w:sz w:val="24"/>
                <w:szCs w:val="24"/>
              </w:rPr>
              <w:t>实际回购利息</w:t>
            </w:r>
          </w:p>
        </w:tc>
        <w:tc>
          <w:tcPr>
            <w:tcW w:w="5720" w:type="dxa"/>
          </w:tcPr>
          <w:p w14:paraId="56DAC62E">
            <w:pPr>
              <w:adjustRightInd w:val="0"/>
              <w:snapToGrid w:val="0"/>
              <w:rPr>
                <w:rFonts w:ascii="仿宋_GB2312" w:eastAsia="仿宋_GB2312"/>
                <w:kern w:val="0"/>
                <w:sz w:val="24"/>
                <w:szCs w:val="24"/>
              </w:rPr>
            </w:pPr>
            <w:r>
              <w:rPr>
                <w:rFonts w:hint="eastAsia" w:ascii="仿宋_GB2312" w:eastAsia="仿宋_GB2312"/>
                <w:kern w:val="0"/>
                <w:sz w:val="24"/>
                <w:szCs w:val="24"/>
              </w:rPr>
              <w:t>正回购方实际付给逆回购方的回购利息，自动显示，无需输入</w:t>
            </w:r>
          </w:p>
        </w:tc>
      </w:tr>
      <w:tr w14:paraId="53FF5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4" w:type="dxa"/>
          </w:tcPr>
          <w:p w14:paraId="2500E4AC">
            <w:pPr>
              <w:adjustRightInd w:val="0"/>
              <w:snapToGrid w:val="0"/>
              <w:rPr>
                <w:rFonts w:ascii="仿宋_GB2312" w:eastAsia="仿宋_GB2312"/>
                <w:b/>
                <w:kern w:val="0"/>
                <w:sz w:val="24"/>
                <w:szCs w:val="24"/>
              </w:rPr>
            </w:pPr>
            <w:r>
              <w:rPr>
                <w:rFonts w:hint="eastAsia" w:ascii="仿宋_GB2312" w:eastAsia="仿宋_GB2312"/>
                <w:b/>
                <w:kern w:val="0"/>
                <w:sz w:val="24"/>
                <w:szCs w:val="24"/>
              </w:rPr>
              <w:t>成交金额</w:t>
            </w:r>
          </w:p>
        </w:tc>
        <w:tc>
          <w:tcPr>
            <w:tcW w:w="5720" w:type="dxa"/>
          </w:tcPr>
          <w:p w14:paraId="75F61796">
            <w:pPr>
              <w:adjustRightInd w:val="0"/>
              <w:snapToGrid w:val="0"/>
              <w:rPr>
                <w:rFonts w:ascii="仿宋_GB2312" w:eastAsia="仿宋_GB2312"/>
                <w:kern w:val="0"/>
                <w:sz w:val="24"/>
                <w:szCs w:val="24"/>
              </w:rPr>
            </w:pPr>
            <w:r>
              <w:rPr>
                <w:rFonts w:hint="eastAsia" w:ascii="仿宋_GB2312" w:eastAsia="仿宋_GB2312"/>
                <w:kern w:val="0"/>
                <w:sz w:val="24"/>
                <w:szCs w:val="24"/>
              </w:rPr>
              <w:t>正回购方融入的资金额度，自动显示，无需输入</w:t>
            </w:r>
          </w:p>
        </w:tc>
      </w:tr>
      <w:tr w14:paraId="3C35F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4" w:type="dxa"/>
          </w:tcPr>
          <w:p w14:paraId="4E46FFA4">
            <w:pPr>
              <w:adjustRightInd w:val="0"/>
              <w:snapToGrid w:val="0"/>
              <w:rPr>
                <w:rFonts w:ascii="仿宋_GB2312" w:eastAsia="仿宋_GB2312"/>
                <w:b/>
                <w:kern w:val="0"/>
                <w:sz w:val="24"/>
                <w:szCs w:val="24"/>
              </w:rPr>
            </w:pPr>
            <w:r>
              <w:rPr>
                <w:rFonts w:hint="eastAsia" w:ascii="仿宋_GB2312" w:eastAsia="仿宋_GB2312"/>
                <w:b/>
                <w:kern w:val="0"/>
                <w:sz w:val="24"/>
                <w:szCs w:val="24"/>
              </w:rPr>
              <w:t>到期结算金额</w:t>
            </w:r>
          </w:p>
        </w:tc>
        <w:tc>
          <w:tcPr>
            <w:tcW w:w="5720" w:type="dxa"/>
          </w:tcPr>
          <w:p w14:paraId="71789372">
            <w:pPr>
              <w:adjustRightInd w:val="0"/>
              <w:snapToGrid w:val="0"/>
              <w:rPr>
                <w:rFonts w:ascii="仿宋_GB2312" w:eastAsia="仿宋_GB2312"/>
                <w:kern w:val="0"/>
                <w:sz w:val="24"/>
                <w:szCs w:val="24"/>
              </w:rPr>
            </w:pPr>
            <w:r>
              <w:rPr>
                <w:rFonts w:hint="eastAsia" w:ascii="仿宋_GB2312" w:eastAsia="仿宋_GB2312"/>
                <w:kern w:val="0"/>
                <w:sz w:val="24"/>
                <w:szCs w:val="24"/>
              </w:rPr>
              <w:t>到期日正回购方返回的金额，自动显示，无需输入</w:t>
            </w:r>
          </w:p>
        </w:tc>
      </w:tr>
      <w:tr w14:paraId="52316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4" w:type="dxa"/>
          </w:tcPr>
          <w:p w14:paraId="1E02D8C4">
            <w:pPr>
              <w:adjustRightInd w:val="0"/>
              <w:snapToGrid w:val="0"/>
              <w:rPr>
                <w:rFonts w:ascii="仿宋_GB2312" w:eastAsia="仿宋_GB2312"/>
                <w:b/>
                <w:kern w:val="0"/>
                <w:sz w:val="24"/>
                <w:szCs w:val="24"/>
              </w:rPr>
            </w:pPr>
            <w:r>
              <w:rPr>
                <w:rFonts w:hint="eastAsia" w:ascii="仿宋_GB2312" w:eastAsia="仿宋_GB2312"/>
                <w:b/>
                <w:kern w:val="0"/>
                <w:sz w:val="24"/>
                <w:szCs w:val="24"/>
              </w:rPr>
              <w:t>回购方向</w:t>
            </w:r>
          </w:p>
        </w:tc>
        <w:tc>
          <w:tcPr>
            <w:tcW w:w="5720" w:type="dxa"/>
          </w:tcPr>
          <w:p w14:paraId="470178FB">
            <w:pPr>
              <w:adjustRightInd w:val="0"/>
              <w:snapToGrid w:val="0"/>
              <w:rPr>
                <w:rFonts w:ascii="仿宋_GB2312" w:eastAsia="仿宋_GB2312"/>
                <w:kern w:val="0"/>
                <w:sz w:val="24"/>
                <w:szCs w:val="24"/>
              </w:rPr>
            </w:pPr>
            <w:r>
              <w:rPr>
                <w:rFonts w:hint="eastAsia" w:ascii="仿宋_GB2312" w:eastAsia="仿宋_GB2312"/>
                <w:kern w:val="0"/>
                <w:sz w:val="24"/>
                <w:szCs w:val="24"/>
              </w:rPr>
              <w:t>正回购或逆回购，自动显示，无需输入</w:t>
            </w:r>
          </w:p>
        </w:tc>
      </w:tr>
      <w:tr w14:paraId="7154D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84" w:type="dxa"/>
          </w:tcPr>
          <w:p w14:paraId="301B800F">
            <w:pPr>
              <w:adjustRightInd w:val="0"/>
              <w:snapToGrid w:val="0"/>
              <w:rPr>
                <w:rFonts w:ascii="仿宋_GB2312" w:eastAsia="仿宋_GB2312"/>
                <w:b/>
                <w:kern w:val="0"/>
                <w:sz w:val="24"/>
                <w:szCs w:val="24"/>
              </w:rPr>
            </w:pPr>
            <w:r>
              <w:rPr>
                <w:rFonts w:hint="eastAsia" w:ascii="仿宋_GB2312" w:eastAsia="仿宋_GB2312"/>
                <w:b/>
                <w:kern w:val="0"/>
                <w:sz w:val="24"/>
                <w:szCs w:val="24"/>
              </w:rPr>
              <w:t>质押券代码</w:t>
            </w:r>
          </w:p>
        </w:tc>
        <w:tc>
          <w:tcPr>
            <w:tcW w:w="5720" w:type="dxa"/>
          </w:tcPr>
          <w:p w14:paraId="293A9A13">
            <w:pPr>
              <w:adjustRightInd w:val="0"/>
              <w:snapToGrid w:val="0"/>
              <w:rPr>
                <w:rFonts w:ascii="仿宋_GB2312" w:eastAsia="仿宋_GB2312"/>
                <w:kern w:val="0"/>
                <w:sz w:val="24"/>
                <w:szCs w:val="24"/>
              </w:rPr>
            </w:pPr>
            <w:r>
              <w:rPr>
                <w:rFonts w:hint="eastAsia" w:ascii="仿宋_GB2312" w:eastAsia="仿宋_GB2312"/>
                <w:kern w:val="0"/>
                <w:sz w:val="24"/>
                <w:szCs w:val="24"/>
              </w:rPr>
              <w:t>质押债券的代码</w:t>
            </w:r>
            <w:r>
              <w:rPr>
                <w:rFonts w:hint="eastAsia" w:ascii="仿宋_GB2312" w:eastAsia="仿宋_GB2312"/>
                <w:kern w:val="0"/>
                <w:sz w:val="24"/>
                <w:szCs w:val="24"/>
                <w:lang w:eastAsia="zh-CN"/>
              </w:rPr>
              <w:t>，</w:t>
            </w:r>
            <w:r>
              <w:rPr>
                <w:rFonts w:hint="eastAsia" w:ascii="仿宋_GB2312" w:eastAsia="仿宋_GB2312"/>
                <w:kern w:val="0"/>
                <w:sz w:val="24"/>
                <w:szCs w:val="24"/>
              </w:rPr>
              <w:t>自动显示，无需输入</w:t>
            </w:r>
          </w:p>
        </w:tc>
      </w:tr>
      <w:tr w14:paraId="72DE5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4" w:type="dxa"/>
          </w:tcPr>
          <w:p w14:paraId="05FCDE53">
            <w:pPr>
              <w:adjustRightInd w:val="0"/>
              <w:snapToGrid w:val="0"/>
              <w:rPr>
                <w:rFonts w:ascii="仿宋_GB2312" w:eastAsia="仿宋_GB2312"/>
                <w:b/>
                <w:kern w:val="0"/>
                <w:sz w:val="24"/>
                <w:szCs w:val="24"/>
              </w:rPr>
            </w:pPr>
            <w:r>
              <w:rPr>
                <w:rFonts w:hint="eastAsia" w:ascii="仿宋_GB2312" w:eastAsia="仿宋_GB2312"/>
                <w:b/>
                <w:kern w:val="0"/>
                <w:sz w:val="24"/>
                <w:szCs w:val="24"/>
              </w:rPr>
              <w:t>原成交日期</w:t>
            </w:r>
          </w:p>
        </w:tc>
        <w:tc>
          <w:tcPr>
            <w:tcW w:w="5720" w:type="dxa"/>
          </w:tcPr>
          <w:p w14:paraId="33C38C96">
            <w:pPr>
              <w:adjustRightInd w:val="0"/>
              <w:snapToGrid w:val="0"/>
              <w:rPr>
                <w:rFonts w:ascii="仿宋_GB2312" w:eastAsia="仿宋_GB2312"/>
                <w:kern w:val="0"/>
                <w:sz w:val="24"/>
                <w:szCs w:val="24"/>
              </w:rPr>
            </w:pPr>
            <w:r>
              <w:rPr>
                <w:rFonts w:hint="eastAsia" w:ascii="仿宋_GB2312" w:eastAsia="仿宋_GB2312"/>
                <w:kern w:val="0"/>
                <w:sz w:val="24"/>
                <w:szCs w:val="24"/>
              </w:rPr>
              <w:t>原协议回购成交日期，自动显示，无需输入</w:t>
            </w:r>
          </w:p>
        </w:tc>
      </w:tr>
      <w:tr w14:paraId="399B7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4" w:type="dxa"/>
          </w:tcPr>
          <w:p w14:paraId="4C98BA73">
            <w:pPr>
              <w:adjustRightInd w:val="0"/>
              <w:snapToGrid w:val="0"/>
              <w:rPr>
                <w:rFonts w:ascii="仿宋_GB2312" w:eastAsia="仿宋_GB2312"/>
                <w:b/>
                <w:kern w:val="0"/>
                <w:sz w:val="24"/>
                <w:szCs w:val="24"/>
              </w:rPr>
            </w:pPr>
            <w:r>
              <w:rPr>
                <w:rFonts w:hint="eastAsia" w:ascii="仿宋_GB2312" w:eastAsia="仿宋_GB2312"/>
                <w:b/>
                <w:kern w:val="0"/>
                <w:sz w:val="24"/>
                <w:szCs w:val="24"/>
              </w:rPr>
              <w:t>原回购到期日</w:t>
            </w:r>
          </w:p>
        </w:tc>
        <w:tc>
          <w:tcPr>
            <w:tcW w:w="5720" w:type="dxa"/>
          </w:tcPr>
          <w:p w14:paraId="570C4FEB">
            <w:pPr>
              <w:adjustRightInd w:val="0"/>
              <w:snapToGrid w:val="0"/>
              <w:rPr>
                <w:rFonts w:ascii="仿宋_GB2312" w:eastAsia="仿宋_GB2312"/>
                <w:kern w:val="0"/>
                <w:sz w:val="24"/>
                <w:szCs w:val="24"/>
              </w:rPr>
            </w:pPr>
            <w:r>
              <w:rPr>
                <w:rFonts w:hint="eastAsia" w:ascii="仿宋_GB2312" w:eastAsia="仿宋_GB2312"/>
                <w:kern w:val="0"/>
                <w:sz w:val="24"/>
                <w:szCs w:val="24"/>
              </w:rPr>
              <w:t>原协议回购的回购到期日期，自动显示，无需输入</w:t>
            </w:r>
          </w:p>
        </w:tc>
      </w:tr>
      <w:tr w14:paraId="01241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4" w:type="dxa"/>
          </w:tcPr>
          <w:p w14:paraId="306BA713">
            <w:pPr>
              <w:adjustRightInd w:val="0"/>
              <w:snapToGrid w:val="0"/>
              <w:rPr>
                <w:rFonts w:ascii="仿宋_GB2312" w:eastAsia="仿宋_GB2312"/>
                <w:b/>
                <w:kern w:val="0"/>
                <w:sz w:val="24"/>
                <w:szCs w:val="24"/>
              </w:rPr>
            </w:pPr>
            <w:r>
              <w:rPr>
                <w:rFonts w:hint="eastAsia" w:ascii="仿宋_GB2312" w:eastAsia="仿宋_GB2312"/>
                <w:b/>
                <w:kern w:val="0"/>
                <w:sz w:val="24"/>
                <w:szCs w:val="24"/>
              </w:rPr>
              <w:t>原成交编号</w:t>
            </w:r>
          </w:p>
        </w:tc>
        <w:tc>
          <w:tcPr>
            <w:tcW w:w="5720" w:type="dxa"/>
          </w:tcPr>
          <w:p w14:paraId="672A2942">
            <w:pPr>
              <w:adjustRightInd w:val="0"/>
              <w:snapToGrid w:val="0"/>
              <w:rPr>
                <w:rFonts w:ascii="仿宋_GB2312" w:eastAsia="仿宋_GB2312"/>
                <w:kern w:val="0"/>
                <w:sz w:val="24"/>
                <w:szCs w:val="24"/>
              </w:rPr>
            </w:pPr>
            <w:r>
              <w:rPr>
                <w:rFonts w:hint="eastAsia" w:ascii="仿宋_GB2312" w:eastAsia="仿宋_GB2312"/>
                <w:kern w:val="0"/>
                <w:sz w:val="24"/>
                <w:szCs w:val="24"/>
              </w:rPr>
              <w:t>原回购交易成交编号，自动显示，无需输入</w:t>
            </w:r>
          </w:p>
        </w:tc>
      </w:tr>
      <w:tr w14:paraId="4C452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84" w:type="dxa"/>
          </w:tcPr>
          <w:p w14:paraId="0B84591B">
            <w:pPr>
              <w:adjustRightInd w:val="0"/>
              <w:snapToGrid w:val="0"/>
              <w:rPr>
                <w:rFonts w:ascii="仿宋_GB2312" w:eastAsia="仿宋_GB2312"/>
                <w:b/>
                <w:kern w:val="0"/>
                <w:sz w:val="24"/>
                <w:szCs w:val="24"/>
              </w:rPr>
            </w:pPr>
            <w:r>
              <w:rPr>
                <w:rFonts w:hint="eastAsia" w:ascii="仿宋_GB2312" w:eastAsia="仿宋_GB2312"/>
                <w:b/>
                <w:kern w:val="0"/>
                <w:sz w:val="24"/>
                <w:szCs w:val="24"/>
              </w:rPr>
              <w:t>提前终止日期</w:t>
            </w:r>
          </w:p>
        </w:tc>
        <w:tc>
          <w:tcPr>
            <w:tcW w:w="5720" w:type="dxa"/>
          </w:tcPr>
          <w:p w14:paraId="0E9AD1A8">
            <w:pPr>
              <w:adjustRightInd w:val="0"/>
              <w:snapToGrid w:val="0"/>
              <w:rPr>
                <w:rFonts w:ascii="仿宋_GB2312" w:eastAsia="仿宋_GB2312"/>
                <w:kern w:val="0"/>
                <w:sz w:val="24"/>
                <w:szCs w:val="24"/>
              </w:rPr>
            </w:pPr>
            <w:r>
              <w:rPr>
                <w:rFonts w:hint="eastAsia" w:ascii="仿宋_GB2312" w:eastAsia="仿宋_GB2312"/>
                <w:kern w:val="0"/>
                <w:sz w:val="24"/>
                <w:szCs w:val="24"/>
              </w:rPr>
              <w:t>回购交易的提前终止日期，自动显示，无需输入</w:t>
            </w:r>
          </w:p>
        </w:tc>
      </w:tr>
      <w:tr w14:paraId="6DC7D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4" w:type="dxa"/>
          </w:tcPr>
          <w:p w14:paraId="00AEE52F">
            <w:pPr>
              <w:adjustRightInd w:val="0"/>
              <w:snapToGrid w:val="0"/>
              <w:rPr>
                <w:rFonts w:ascii="仿宋_GB2312" w:eastAsia="仿宋_GB2312"/>
                <w:b/>
                <w:kern w:val="0"/>
                <w:sz w:val="24"/>
                <w:szCs w:val="24"/>
              </w:rPr>
            </w:pPr>
            <w:r>
              <w:rPr>
                <w:rFonts w:hint="eastAsia" w:ascii="仿宋_GB2312" w:eastAsia="仿宋_GB2312"/>
                <w:b/>
                <w:kern w:val="0"/>
                <w:sz w:val="24"/>
                <w:szCs w:val="24"/>
              </w:rPr>
              <w:t>证券账户</w:t>
            </w:r>
          </w:p>
        </w:tc>
        <w:tc>
          <w:tcPr>
            <w:tcW w:w="5720" w:type="dxa"/>
          </w:tcPr>
          <w:p w14:paraId="762ABAFB">
            <w:pPr>
              <w:adjustRightInd w:val="0"/>
              <w:snapToGrid w:val="0"/>
              <w:rPr>
                <w:rFonts w:ascii="仿宋_GB2312" w:eastAsia="仿宋_GB2312"/>
                <w:kern w:val="0"/>
                <w:sz w:val="24"/>
                <w:szCs w:val="24"/>
              </w:rPr>
            </w:pPr>
            <w:r>
              <w:rPr>
                <w:rFonts w:hint="eastAsia" w:ascii="仿宋_GB2312" w:eastAsia="仿宋_GB2312"/>
                <w:kern w:val="0"/>
                <w:sz w:val="24"/>
                <w:szCs w:val="24"/>
              </w:rPr>
              <w:t>本方证券账户号，自动显示，无需输入</w:t>
            </w:r>
          </w:p>
        </w:tc>
      </w:tr>
      <w:tr w14:paraId="15840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4" w:type="dxa"/>
          </w:tcPr>
          <w:p w14:paraId="073D309D">
            <w:pPr>
              <w:adjustRightInd w:val="0"/>
              <w:snapToGrid w:val="0"/>
              <w:rPr>
                <w:rFonts w:ascii="仿宋_GB2312" w:eastAsia="仿宋_GB2312"/>
                <w:b/>
                <w:kern w:val="0"/>
                <w:sz w:val="24"/>
                <w:szCs w:val="24"/>
              </w:rPr>
            </w:pPr>
            <w:r>
              <w:rPr>
                <w:rFonts w:hint="eastAsia" w:ascii="仿宋_GB2312" w:eastAsia="仿宋_GB2312"/>
                <w:b/>
                <w:kern w:val="0"/>
                <w:sz w:val="24"/>
                <w:szCs w:val="24"/>
              </w:rPr>
              <w:t>提前终止后回购期限</w:t>
            </w:r>
          </w:p>
        </w:tc>
        <w:tc>
          <w:tcPr>
            <w:tcW w:w="5720" w:type="dxa"/>
          </w:tcPr>
          <w:p w14:paraId="5F95BC06">
            <w:pPr>
              <w:adjustRightInd w:val="0"/>
              <w:snapToGrid w:val="0"/>
              <w:rPr>
                <w:rFonts w:ascii="仿宋_GB2312" w:eastAsia="仿宋_GB2312"/>
                <w:kern w:val="0"/>
                <w:sz w:val="24"/>
                <w:szCs w:val="24"/>
              </w:rPr>
            </w:pPr>
            <w:r>
              <w:rPr>
                <w:rFonts w:hint="eastAsia" w:ascii="仿宋_GB2312" w:eastAsia="仿宋_GB2312"/>
                <w:kern w:val="0"/>
                <w:sz w:val="24"/>
                <w:szCs w:val="24"/>
              </w:rPr>
              <w:t>即成交日至提前终止日的实际天数。回购期限按自然日计算，以天为单位，含成交日，不含提前终止日，自动显示，无需输入</w:t>
            </w:r>
          </w:p>
        </w:tc>
      </w:tr>
      <w:tr w14:paraId="06E57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4" w:type="dxa"/>
          </w:tcPr>
          <w:p w14:paraId="21D4D2A1">
            <w:pPr>
              <w:adjustRightInd w:val="0"/>
              <w:snapToGrid w:val="0"/>
              <w:rPr>
                <w:rFonts w:ascii="仿宋_GB2312" w:eastAsia="仿宋_GB2312"/>
                <w:b/>
                <w:kern w:val="0"/>
                <w:sz w:val="24"/>
                <w:szCs w:val="24"/>
              </w:rPr>
            </w:pPr>
            <w:r>
              <w:rPr>
                <w:rFonts w:hint="eastAsia" w:ascii="仿宋_GB2312" w:eastAsia="仿宋_GB2312"/>
                <w:b/>
                <w:kern w:val="0"/>
                <w:sz w:val="24"/>
                <w:szCs w:val="24"/>
              </w:rPr>
              <w:t>提前终止后实际占款期限</w:t>
            </w:r>
          </w:p>
        </w:tc>
        <w:tc>
          <w:tcPr>
            <w:tcW w:w="5720" w:type="dxa"/>
          </w:tcPr>
          <w:p w14:paraId="0D0B01E6">
            <w:pPr>
              <w:adjustRightInd w:val="0"/>
              <w:snapToGrid w:val="0"/>
              <w:rPr>
                <w:rFonts w:ascii="仿宋_GB2312" w:eastAsia="仿宋_GB2312"/>
                <w:kern w:val="0"/>
                <w:sz w:val="24"/>
                <w:szCs w:val="24"/>
              </w:rPr>
            </w:pPr>
            <w:r>
              <w:rPr>
                <w:rFonts w:hint="eastAsia" w:ascii="仿宋_GB2312" w:eastAsia="仿宋_GB2312"/>
                <w:kern w:val="0"/>
                <w:sz w:val="24"/>
                <w:szCs w:val="24"/>
              </w:rPr>
              <w:t>提前终止日-首期结算日，自动显示，无需输入</w:t>
            </w:r>
          </w:p>
        </w:tc>
      </w:tr>
    </w:tbl>
    <w:p w14:paraId="25A0D5F9">
      <w:pPr>
        <w:spacing w:line="600" w:lineRule="exact"/>
        <w:ind w:left="567"/>
        <w:outlineLvl w:val="3"/>
        <w:rPr>
          <w:rFonts w:ascii="仿宋_GB2312" w:eastAsia="仿宋_GB2312"/>
          <w:b/>
          <w:sz w:val="30"/>
          <w:szCs w:val="30"/>
        </w:rPr>
      </w:pPr>
      <w:r>
        <w:rPr>
          <w:rFonts w:hint="eastAsia" w:ascii="仿宋_GB2312" w:eastAsia="仿宋_GB2312"/>
          <w:b/>
          <w:sz w:val="30"/>
          <w:szCs w:val="30"/>
        </w:rPr>
        <w:t>（3）异常情况处理</w:t>
      </w:r>
    </w:p>
    <w:p w14:paraId="05387905">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协议回购存续期间发生以下情形的，列为异常情况：</w:t>
      </w:r>
    </w:p>
    <w:p w14:paraId="676E6D27">
      <w:pPr>
        <w:adjustRightInd w:val="0"/>
        <w:snapToGrid w:val="0"/>
        <w:spacing w:line="600" w:lineRule="exact"/>
        <w:ind w:firstLine="600" w:firstLineChars="200"/>
        <w:rPr>
          <w:rFonts w:ascii="仿宋_GB2312" w:hAnsi="Calibri" w:eastAsia="仿宋_GB2312"/>
          <w:sz w:val="30"/>
          <w:szCs w:val="30"/>
        </w:rPr>
      </w:pPr>
      <w:r>
        <w:rPr>
          <w:rFonts w:ascii="仿宋_GB2312" w:hAnsi="Calibri" w:eastAsia="仿宋_GB2312"/>
          <w:sz w:val="30"/>
          <w:szCs w:val="30"/>
        </w:rPr>
        <w:t>1</w:t>
      </w:r>
      <w:r>
        <w:rPr>
          <w:rFonts w:hint="eastAsia" w:ascii="仿宋_GB2312" w:hAnsi="Calibri" w:eastAsia="仿宋_GB2312"/>
          <w:sz w:val="30"/>
          <w:szCs w:val="30"/>
        </w:rPr>
        <w:t>）质押券、证券账户或资金账户被司法等机关冻结或强制执行；</w:t>
      </w:r>
    </w:p>
    <w:p w14:paraId="59AF228C">
      <w:pPr>
        <w:adjustRightInd w:val="0"/>
        <w:snapToGrid w:val="0"/>
        <w:spacing w:line="600" w:lineRule="exact"/>
        <w:ind w:firstLine="600" w:firstLineChars="200"/>
        <w:rPr>
          <w:rFonts w:ascii="仿宋_GB2312" w:hAnsi="Calibri" w:eastAsia="仿宋_GB2312"/>
          <w:sz w:val="30"/>
          <w:szCs w:val="30"/>
        </w:rPr>
      </w:pPr>
      <w:r>
        <w:rPr>
          <w:rFonts w:ascii="仿宋_GB2312" w:hAnsi="Calibri" w:eastAsia="仿宋_GB2312"/>
          <w:sz w:val="30"/>
          <w:szCs w:val="30"/>
        </w:rPr>
        <w:t>2</w:t>
      </w:r>
      <w:r>
        <w:rPr>
          <w:rFonts w:hint="eastAsia" w:ascii="仿宋_GB2312" w:hAnsi="Calibri" w:eastAsia="仿宋_GB2312"/>
          <w:sz w:val="30"/>
          <w:szCs w:val="30"/>
        </w:rPr>
        <w:t>）回购任何一方被暂停或终止协议回购交易权限；</w:t>
      </w:r>
    </w:p>
    <w:p w14:paraId="4CB5AF65">
      <w:pPr>
        <w:adjustRightInd w:val="0"/>
        <w:snapToGrid w:val="0"/>
        <w:spacing w:line="600" w:lineRule="exact"/>
        <w:ind w:firstLine="600" w:firstLineChars="200"/>
        <w:rPr>
          <w:rFonts w:ascii="仿宋_GB2312" w:hAnsi="Calibri" w:eastAsia="仿宋_GB2312"/>
          <w:sz w:val="30"/>
          <w:szCs w:val="30"/>
        </w:rPr>
      </w:pPr>
      <w:r>
        <w:rPr>
          <w:rFonts w:ascii="仿宋_GB2312" w:hAnsi="Calibri" w:eastAsia="仿宋_GB2312"/>
          <w:sz w:val="30"/>
          <w:szCs w:val="30"/>
        </w:rPr>
        <w:t>3</w:t>
      </w:r>
      <w:r>
        <w:rPr>
          <w:rFonts w:hint="eastAsia" w:ascii="仿宋_GB2312" w:hAnsi="Calibri" w:eastAsia="仿宋_GB2312"/>
          <w:sz w:val="30"/>
          <w:szCs w:val="30"/>
        </w:rPr>
        <w:t>）回购任何一方或代理证券公司进入风险处置、终止清算、破产程序或者理财产品提前终止；</w:t>
      </w:r>
    </w:p>
    <w:p w14:paraId="44C972AB">
      <w:pPr>
        <w:adjustRightInd w:val="0"/>
        <w:snapToGrid w:val="0"/>
        <w:spacing w:line="600" w:lineRule="exact"/>
        <w:ind w:firstLine="600" w:firstLineChars="200"/>
        <w:rPr>
          <w:rFonts w:ascii="仿宋_GB2312" w:hAnsi="Calibri" w:eastAsia="仿宋_GB2312"/>
          <w:sz w:val="30"/>
          <w:szCs w:val="30"/>
        </w:rPr>
      </w:pPr>
      <w:r>
        <w:rPr>
          <w:rFonts w:ascii="仿宋_GB2312" w:hAnsi="Calibri" w:eastAsia="仿宋_GB2312"/>
          <w:sz w:val="30"/>
          <w:szCs w:val="30"/>
        </w:rPr>
        <w:t>4</w:t>
      </w:r>
      <w:r>
        <w:rPr>
          <w:rFonts w:hint="eastAsia" w:ascii="仿宋_GB2312" w:hAnsi="Calibri" w:eastAsia="仿宋_GB2312"/>
          <w:sz w:val="30"/>
          <w:szCs w:val="30"/>
        </w:rPr>
        <w:t>）质押券被暂停、终止上市或者转让；</w:t>
      </w:r>
    </w:p>
    <w:p w14:paraId="5349B809">
      <w:pPr>
        <w:adjustRightInd w:val="0"/>
        <w:snapToGrid w:val="0"/>
        <w:spacing w:line="600" w:lineRule="exact"/>
        <w:ind w:firstLine="600" w:firstLineChars="200"/>
        <w:rPr>
          <w:rFonts w:ascii="仿宋_GB2312" w:hAnsi="Calibri" w:eastAsia="仿宋_GB2312"/>
          <w:sz w:val="30"/>
          <w:szCs w:val="30"/>
        </w:rPr>
      </w:pPr>
      <w:r>
        <w:rPr>
          <w:rFonts w:ascii="仿宋_GB2312" w:hAnsi="Calibri" w:eastAsia="仿宋_GB2312"/>
          <w:sz w:val="30"/>
          <w:szCs w:val="30"/>
        </w:rPr>
        <w:t>5</w:t>
      </w:r>
      <w:r>
        <w:rPr>
          <w:rFonts w:hint="eastAsia" w:ascii="仿宋_GB2312" w:hAnsi="Calibri" w:eastAsia="仿宋_GB2312"/>
          <w:sz w:val="30"/>
          <w:szCs w:val="30"/>
        </w:rPr>
        <w:t>）本所认定的其他异常情况。</w:t>
      </w:r>
    </w:p>
    <w:p w14:paraId="685DBBB0">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发生异常情况的，一方应当在异常情况发生时及时通知对手方，并及时协商解决。回购双方可以采取以下方式进行处理：</w:t>
      </w:r>
    </w:p>
    <w:p w14:paraId="7F8E791B">
      <w:pPr>
        <w:adjustRightInd w:val="0"/>
        <w:snapToGrid w:val="0"/>
        <w:spacing w:line="600" w:lineRule="exact"/>
        <w:ind w:firstLine="600" w:firstLineChars="200"/>
        <w:rPr>
          <w:rFonts w:ascii="仿宋_GB2312" w:hAnsi="Calibri" w:eastAsia="仿宋_GB2312"/>
          <w:sz w:val="30"/>
          <w:szCs w:val="30"/>
        </w:rPr>
      </w:pPr>
      <w:r>
        <w:rPr>
          <w:rFonts w:ascii="仿宋_GB2312" w:hAnsi="Calibri" w:eastAsia="仿宋_GB2312"/>
          <w:sz w:val="30"/>
          <w:szCs w:val="30"/>
        </w:rPr>
        <w:t>1</w:t>
      </w:r>
      <w:r>
        <w:rPr>
          <w:rFonts w:hint="eastAsia" w:ascii="仿宋_GB2312" w:hAnsi="Calibri" w:eastAsia="仿宋_GB2312"/>
          <w:sz w:val="30"/>
          <w:szCs w:val="30"/>
        </w:rPr>
        <w:t>）提前终止；</w:t>
      </w:r>
    </w:p>
    <w:p w14:paraId="4C901BB3">
      <w:pPr>
        <w:adjustRightInd w:val="0"/>
        <w:snapToGrid w:val="0"/>
        <w:spacing w:line="600" w:lineRule="exact"/>
        <w:ind w:firstLine="600" w:firstLineChars="200"/>
        <w:rPr>
          <w:rFonts w:ascii="仿宋_GB2312" w:hAnsi="Calibri" w:eastAsia="仿宋_GB2312"/>
          <w:sz w:val="30"/>
          <w:szCs w:val="30"/>
        </w:rPr>
      </w:pPr>
      <w:r>
        <w:rPr>
          <w:rFonts w:ascii="仿宋_GB2312" w:hAnsi="Calibri" w:eastAsia="仿宋_GB2312"/>
          <w:sz w:val="30"/>
          <w:szCs w:val="30"/>
        </w:rPr>
        <w:t>2</w:t>
      </w:r>
      <w:r>
        <w:rPr>
          <w:rFonts w:hint="eastAsia" w:ascii="仿宋_GB2312" w:hAnsi="Calibri" w:eastAsia="仿宋_GB2312"/>
          <w:sz w:val="30"/>
          <w:szCs w:val="30"/>
        </w:rPr>
        <w:t>）变更质押券；</w:t>
      </w:r>
    </w:p>
    <w:p w14:paraId="36E44F1F">
      <w:pPr>
        <w:adjustRightInd w:val="0"/>
        <w:snapToGrid w:val="0"/>
        <w:spacing w:line="600" w:lineRule="exact"/>
        <w:ind w:firstLine="600" w:firstLineChars="200"/>
        <w:rPr>
          <w:rFonts w:ascii="仿宋_GB2312" w:hAnsi="Calibri" w:eastAsia="仿宋_GB2312"/>
          <w:sz w:val="30"/>
          <w:szCs w:val="30"/>
        </w:rPr>
      </w:pPr>
      <w:r>
        <w:rPr>
          <w:rFonts w:ascii="仿宋_GB2312" w:hAnsi="Calibri" w:eastAsia="仿宋_GB2312"/>
          <w:sz w:val="30"/>
          <w:szCs w:val="30"/>
        </w:rPr>
        <w:t>3</w:t>
      </w:r>
      <w:r>
        <w:rPr>
          <w:rFonts w:hint="eastAsia" w:ascii="仿宋_GB2312" w:hAnsi="Calibri" w:eastAsia="仿宋_GB2312"/>
          <w:sz w:val="30"/>
          <w:szCs w:val="30"/>
        </w:rPr>
        <w:t>）继续履行；</w:t>
      </w:r>
    </w:p>
    <w:p w14:paraId="4CA29146">
      <w:pPr>
        <w:adjustRightInd w:val="0"/>
        <w:snapToGrid w:val="0"/>
        <w:spacing w:line="600" w:lineRule="exact"/>
        <w:ind w:firstLine="600" w:firstLineChars="200"/>
        <w:rPr>
          <w:rFonts w:ascii="仿宋_GB2312" w:hAnsi="Calibri" w:eastAsia="仿宋_GB2312"/>
          <w:sz w:val="30"/>
          <w:szCs w:val="30"/>
        </w:rPr>
      </w:pPr>
      <w:r>
        <w:rPr>
          <w:rFonts w:ascii="仿宋_GB2312" w:hAnsi="Calibri" w:eastAsia="仿宋_GB2312"/>
          <w:sz w:val="30"/>
          <w:szCs w:val="30"/>
        </w:rPr>
        <w:t>4</w:t>
      </w:r>
      <w:r>
        <w:rPr>
          <w:rFonts w:hint="eastAsia" w:ascii="仿宋_GB2312" w:hAnsi="Calibri" w:eastAsia="仿宋_GB2312"/>
          <w:sz w:val="30"/>
          <w:szCs w:val="30"/>
        </w:rPr>
        <w:t>）本</w:t>
      </w:r>
      <w:r>
        <w:rPr>
          <w:rFonts w:hint="eastAsia" w:ascii="仿宋_GB2312" w:hAnsi="Calibri" w:eastAsia="仿宋_GB2312"/>
          <w:sz w:val="30"/>
          <w:szCs w:val="30"/>
          <w:lang w:eastAsia="zh-CN"/>
        </w:rPr>
        <w:t>所</w:t>
      </w:r>
      <w:r>
        <w:rPr>
          <w:rFonts w:hint="eastAsia" w:ascii="仿宋_GB2312" w:hAnsi="Calibri" w:eastAsia="仿宋_GB2312"/>
          <w:sz w:val="30"/>
          <w:szCs w:val="30"/>
        </w:rPr>
        <w:t>认可的其他方式。</w:t>
      </w:r>
    </w:p>
    <w:p w14:paraId="0DB1938B">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违约处置</w:t>
      </w:r>
      <w:bookmarkStart w:id="2042" w:name="31"/>
    </w:p>
    <w:bookmarkEnd w:id="2042"/>
    <w:p w14:paraId="7CB2CBF6">
      <w:pPr>
        <w:spacing w:line="600" w:lineRule="exact"/>
        <w:ind w:left="567"/>
        <w:outlineLvl w:val="3"/>
        <w:rPr>
          <w:rFonts w:ascii="仿宋_GB2312" w:eastAsia="仿宋_GB2312"/>
          <w:b/>
          <w:sz w:val="30"/>
          <w:szCs w:val="30"/>
        </w:rPr>
      </w:pPr>
      <w:r>
        <w:rPr>
          <w:rFonts w:hint="eastAsia" w:ascii="仿宋_GB2312" w:eastAsia="仿宋_GB2312"/>
          <w:b/>
          <w:sz w:val="30"/>
          <w:szCs w:val="30"/>
        </w:rPr>
        <w:t>（1）一般规定</w:t>
      </w:r>
    </w:p>
    <w:p w14:paraId="60E15FA0">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协议回购发生违约，回购双方应当首先协商解决，守约方有权要求违约方继续履行回购协议，也有权终止回购协议，并可要求违约方根据《上海证券交易所债券质押式协议回购交易暂行办法》《上海证券交易所债券质押式协议回购交易业务指引》</w:t>
      </w:r>
      <w:r>
        <w:rPr>
          <w:rFonts w:hint="eastAsia" w:ascii="仿宋_GB2312" w:hAnsi="宋体" w:eastAsia="仿宋_GB2312" w:cs="宋体"/>
          <w:color w:val="000000"/>
          <w:kern w:val="0"/>
          <w:sz w:val="30"/>
          <w:szCs w:val="30"/>
        </w:rPr>
        <w:t>《上海证券交易所债券交易规则适用指引第4号——债券质押式协议回购风险管理》</w:t>
      </w:r>
      <w:r>
        <w:rPr>
          <w:rFonts w:hint="eastAsia" w:ascii="仿宋_GB2312" w:hAnsi="Calibri" w:eastAsia="仿宋_GB2312"/>
          <w:sz w:val="30"/>
          <w:szCs w:val="30"/>
        </w:rPr>
        <w:t>以及主协议和补充协议等，采取收取补息、罚息等方式进行赔偿。回购双方经协商无法达成一致的，可以采取仲裁、诉讼等违约救济方式。</w:t>
      </w:r>
      <w:bookmarkStart w:id="2043" w:name="32"/>
    </w:p>
    <w:bookmarkEnd w:id="2043"/>
    <w:p w14:paraId="69B91C6A">
      <w:pPr>
        <w:spacing w:line="600" w:lineRule="exact"/>
        <w:ind w:left="567"/>
        <w:outlineLvl w:val="3"/>
        <w:rPr>
          <w:rFonts w:ascii="仿宋_GB2312" w:eastAsia="仿宋_GB2312"/>
          <w:b/>
          <w:sz w:val="30"/>
          <w:szCs w:val="30"/>
        </w:rPr>
      </w:pPr>
      <w:r>
        <w:rPr>
          <w:rFonts w:hint="eastAsia" w:ascii="仿宋_GB2312" w:eastAsia="仿宋_GB2312"/>
          <w:b/>
          <w:sz w:val="30"/>
          <w:szCs w:val="30"/>
        </w:rPr>
        <w:t>（2）违约处置</w:t>
      </w:r>
    </w:p>
    <w:p w14:paraId="5C0AE574">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协议回购发生违约，回购双方对质押券处置达成一致的，可通过固定收益平台进行申报、对质押券解除质押登记</w:t>
      </w:r>
      <w:r>
        <w:rPr>
          <w:rFonts w:ascii="仿宋_GB2312" w:hAnsi="Calibri" w:eastAsia="仿宋_GB2312"/>
          <w:sz w:val="30"/>
          <w:szCs w:val="30"/>
        </w:rPr>
        <w:t>，</w:t>
      </w:r>
      <w:r>
        <w:rPr>
          <w:rFonts w:hint="eastAsia" w:ascii="仿宋_GB2312" w:hAnsi="Calibri" w:eastAsia="仿宋_GB2312"/>
          <w:sz w:val="30"/>
          <w:szCs w:val="30"/>
        </w:rPr>
        <w:t>或申请质押证券处置过户至质权人或拍卖变卖的受让人。</w:t>
      </w:r>
      <w:r>
        <w:rPr>
          <w:rFonts w:ascii="仿宋_GB2312" w:hAnsi="Calibri" w:eastAsia="仿宋_GB2312"/>
          <w:sz w:val="30"/>
          <w:szCs w:val="30"/>
        </w:rPr>
        <w:t>申报解除质押登记的，</w:t>
      </w:r>
      <w:r>
        <w:rPr>
          <w:rFonts w:hint="eastAsia" w:ascii="仿宋_GB2312" w:hAnsi="Calibri" w:eastAsia="仿宋_GB2312"/>
          <w:sz w:val="30"/>
          <w:szCs w:val="30"/>
        </w:rPr>
        <w:t>解除质押申报由正回购方或者逆回购方发起，经对手方进行确认申报后，由固定收益平台予以确认。解除质押申报的交易要素应当包括质押券代码、解除质押登记的数量、解除质押日等内容。</w:t>
      </w:r>
    </w:p>
    <w:p w14:paraId="136C8693">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质押券解除质押后，按照交易双方约定的方式进行处置。涉及场外资金结算的，交易双方应当各自承诺合规开展场外资金结算，不存在从事欺诈、内幕交易、市场操纵、利益输送，以及直接或间接损害其他投资者合法权益、破坏市场秩序的行为；并在场外资金完成划转的5个</w:t>
      </w:r>
      <w:r>
        <w:rPr>
          <w:rFonts w:hint="eastAsia" w:ascii="仿宋_GB2312" w:hAnsi="Calibri" w:eastAsia="仿宋_GB2312"/>
          <w:sz w:val="30"/>
          <w:szCs w:val="30"/>
          <w:lang w:eastAsia="zh-CN"/>
        </w:rPr>
        <w:t>交易日</w:t>
      </w:r>
      <w:r>
        <w:rPr>
          <w:rFonts w:hint="eastAsia" w:ascii="仿宋_GB2312" w:hAnsi="Calibri" w:eastAsia="仿宋_GB2312"/>
          <w:sz w:val="30"/>
          <w:szCs w:val="30"/>
        </w:rPr>
        <w:t>内将加盖本机构公章的承诺函扫描成PDF文件发送至bondtrading@sse.com.cn，邮件标题格式为“XXX(</w:t>
      </w:r>
      <w:r>
        <w:rPr>
          <w:rFonts w:hint="eastAsia" w:ascii="仿宋_GB2312" w:hAnsi="Calibri" w:eastAsia="仿宋_GB2312"/>
          <w:sz w:val="30"/>
          <w:szCs w:val="30"/>
          <w:lang w:eastAsia="zh-CN"/>
        </w:rPr>
        <w:t>邮件发送方名称</w:t>
      </w:r>
      <w:r>
        <w:rPr>
          <w:rFonts w:hint="eastAsia" w:ascii="仿宋_GB2312" w:hAnsi="Calibri" w:eastAsia="仿宋_GB2312"/>
          <w:sz w:val="30"/>
          <w:szCs w:val="30"/>
        </w:rPr>
        <w:t>)协议回购场外资金结算合规性承诺函</w:t>
      </w:r>
      <w:r>
        <w:rPr>
          <w:rFonts w:hint="eastAsia" w:ascii="仿宋_GB2312" w:hAnsi="Calibri" w:eastAsia="仿宋_GB2312"/>
          <w:sz w:val="30"/>
          <w:szCs w:val="30"/>
          <w:lang w:eastAsia="zh-CN"/>
        </w:rPr>
        <w:t>（</w:t>
      </w:r>
      <w:r>
        <w:rPr>
          <w:rFonts w:hint="eastAsia" w:ascii="仿宋_GB2312" w:hAnsi="Calibri" w:eastAsia="仿宋_GB2312"/>
          <w:sz w:val="30"/>
          <w:szCs w:val="30"/>
          <w:lang w:val="en-US" w:eastAsia="zh-CN"/>
        </w:rPr>
        <w:t>正/逆回购</w:t>
      </w:r>
      <w:r>
        <w:rPr>
          <w:rFonts w:hint="eastAsia" w:ascii="仿宋_GB2312" w:hAnsi="Calibri" w:eastAsia="仿宋_GB2312"/>
          <w:sz w:val="30"/>
          <w:szCs w:val="30"/>
          <w:lang w:eastAsia="zh-CN"/>
        </w:rPr>
        <w:t>）</w:t>
      </w:r>
      <w:r>
        <w:rPr>
          <w:rFonts w:hint="eastAsia" w:ascii="仿宋_GB2312" w:hAnsi="Calibri" w:eastAsia="仿宋_GB2312"/>
          <w:sz w:val="30"/>
          <w:szCs w:val="30"/>
        </w:rPr>
        <w:t>”</w:t>
      </w:r>
      <w:r>
        <w:rPr>
          <w:rFonts w:hint="eastAsia" w:ascii="仿宋_GB2312" w:hAnsi="Calibri" w:eastAsia="仿宋_GB2312"/>
          <w:sz w:val="30"/>
          <w:szCs w:val="30"/>
          <w:lang w:eastAsia="zh-CN"/>
        </w:rPr>
        <w:t>，主要内容包含合约情况、资金结算划款情况、合规性承诺事项等</w:t>
      </w:r>
      <w:r>
        <w:rPr>
          <w:rFonts w:hint="eastAsia" w:ascii="仿宋_GB2312" w:hAnsi="Calibri" w:eastAsia="仿宋_GB2312"/>
          <w:sz w:val="30"/>
          <w:szCs w:val="30"/>
        </w:rPr>
        <w:t>。</w:t>
      </w:r>
    </w:p>
    <w:p w14:paraId="6C43C821">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申请质押证券处置过户至质权人或拍卖变卖的受让人的，登记结算机构根据证券过户指令，于日终逐笔办理质押证券的处置过户</w:t>
      </w:r>
      <w:r>
        <w:rPr>
          <w:rFonts w:ascii="仿宋_GB2312" w:hAnsi="Calibri" w:eastAsia="仿宋_GB2312"/>
          <w:sz w:val="30"/>
          <w:szCs w:val="30"/>
        </w:rPr>
        <w:t>。</w:t>
      </w:r>
    </w:p>
    <w:p w14:paraId="77088B21">
      <w:pPr>
        <w:numPr>
          <w:ilvl w:val="1"/>
          <w:numId w:val="4"/>
        </w:numPr>
        <w:spacing w:line="600" w:lineRule="exact"/>
        <w:ind w:left="0" w:firstLine="0"/>
        <w:outlineLvl w:val="1"/>
        <w:rPr>
          <w:rFonts w:ascii="仿宋_GB2312" w:eastAsia="仿宋_GB2312"/>
          <w:b/>
          <w:sz w:val="30"/>
          <w:szCs w:val="30"/>
        </w:rPr>
      </w:pPr>
      <w:bookmarkStart w:id="2044" w:name="_Toc56166287"/>
      <w:bookmarkStart w:id="2045" w:name="_Toc1016699898"/>
      <w:bookmarkStart w:id="2046" w:name="_Toc570549645"/>
      <w:bookmarkStart w:id="2047" w:name="_Toc1445678817"/>
      <w:bookmarkStart w:id="2048" w:name="_Toc56166098"/>
      <w:bookmarkStart w:id="2049" w:name="_Toc1429580324"/>
      <w:bookmarkStart w:id="2050" w:name="_Toc151136916"/>
      <w:r>
        <w:rPr>
          <w:rFonts w:hint="eastAsia" w:ascii="仿宋_GB2312" w:eastAsia="仿宋_GB2312"/>
          <w:b/>
          <w:sz w:val="30"/>
          <w:szCs w:val="30"/>
        </w:rPr>
        <w:t>债券质押式三方回购</w:t>
      </w:r>
      <w:bookmarkEnd w:id="2044"/>
      <w:bookmarkEnd w:id="2045"/>
      <w:bookmarkEnd w:id="2046"/>
      <w:bookmarkEnd w:id="2047"/>
      <w:bookmarkEnd w:id="2048"/>
      <w:bookmarkEnd w:id="2049"/>
      <w:bookmarkEnd w:id="2050"/>
      <w:r>
        <w:rPr>
          <w:rFonts w:ascii="仿宋_GB2312" w:eastAsia="仿宋_GB2312"/>
          <w:b/>
          <w:sz w:val="30"/>
          <w:szCs w:val="30"/>
        </w:rPr>
        <w:tab/>
      </w:r>
      <w:bookmarkStart w:id="2051" w:name="_Toc500840217"/>
      <w:bookmarkStart w:id="2052" w:name="_Toc501552788"/>
    </w:p>
    <w:p w14:paraId="6FA65A61">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业务概述</w:t>
      </w:r>
      <w:bookmarkEnd w:id="2051"/>
      <w:bookmarkEnd w:id="2052"/>
    </w:p>
    <w:p w14:paraId="69278B82">
      <w:pPr>
        <w:widowControl/>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债券质押式三方回购（以下简称三方回购）是指资金融入方（以下简称正回购方）将债券出质给资金融出方（以下简称逆回购方）以融入资金，约定在未来返还资金和支付回购利息，同时解除债券质押，并由第三方机构提供相关的担保品管理服务的交易。</w:t>
      </w:r>
    </w:p>
    <w:p w14:paraId="6B4C9C6D">
      <w:pPr>
        <w:widowControl/>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本所组织开展三方回购，提供交易申报及成交确认平台，并制定担保品管理的相关标准，开展对三方回购参与者和质押券篮子的管理。</w:t>
      </w:r>
      <w:r>
        <w:rPr>
          <w:rFonts w:hint="eastAsia" w:ascii="仿宋_GB2312" w:hAnsi="宋体" w:eastAsia="仿宋_GB2312" w:cs="宋体"/>
          <w:color w:val="000000"/>
          <w:kern w:val="0"/>
          <w:sz w:val="30"/>
          <w:szCs w:val="30"/>
        </w:rPr>
        <w:t>登记结算机构</w:t>
      </w:r>
      <w:r>
        <w:rPr>
          <w:rFonts w:hint="eastAsia" w:ascii="仿宋_GB2312" w:hAnsi="Calibri" w:eastAsia="仿宋_GB2312"/>
          <w:sz w:val="30"/>
          <w:szCs w:val="30"/>
        </w:rPr>
        <w:t>对三方回购进行集中登记、存管、结算，并根据相关业务规则规定提供担保品的选取分配、质押登记等服务。</w:t>
      </w:r>
    </w:p>
    <w:p w14:paraId="6E1BDD70">
      <w:pPr>
        <w:widowControl/>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在三方回购交易中，回购双方在交易环节主要协商回购交易的金额、回购期限、回购利率、质押券篮子等基本要素，双方可不指定具体质押券及折扣率，质押券由登记结算机构根据相关规则及约定事后选取并进行存续期管理。</w:t>
      </w:r>
    </w:p>
    <w:p w14:paraId="6A4807BA">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相关规则</w:t>
      </w:r>
    </w:p>
    <w:p w14:paraId="72452D58">
      <w:pPr>
        <w:widowControl/>
        <w:numPr>
          <w:ilvl w:val="0"/>
          <w:numId w:val="18"/>
        </w:num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《上海证券交易所 中国证券登记结算有限责任公司债券质押式三方回购交易及结算暂行办法》（上证发〔2018〕22号）</w:t>
      </w:r>
    </w:p>
    <w:p w14:paraId="2752F9D2">
      <w:pPr>
        <w:widowControl/>
        <w:numPr>
          <w:ilvl w:val="0"/>
          <w:numId w:val="18"/>
        </w:num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w:t>
      </w:r>
      <w:r>
        <w:rPr>
          <w:rFonts w:ascii="仿宋_GB2312" w:hAnsi="Calibri" w:eastAsia="仿宋_GB2312"/>
          <w:sz w:val="30"/>
          <w:szCs w:val="30"/>
        </w:rPr>
        <w:t>中国证券登记结算有限责任公司上海分公司债券质押式三方回购登记结算业务指南</w:t>
      </w:r>
      <w:r>
        <w:rPr>
          <w:rFonts w:hint="eastAsia" w:ascii="仿宋_GB2312" w:hAnsi="Calibri" w:eastAsia="仿宋_GB2312"/>
          <w:sz w:val="30"/>
          <w:szCs w:val="30"/>
        </w:rPr>
        <w:t>》（</w:t>
      </w:r>
      <w:r>
        <w:rPr>
          <w:rFonts w:ascii="仿宋_GB2312" w:hAnsi="Calibri" w:eastAsia="仿宋_GB2312"/>
          <w:sz w:val="30"/>
          <w:szCs w:val="30"/>
        </w:rPr>
        <w:t>中国结算沪业字〔2021〕42 号</w:t>
      </w:r>
      <w:r>
        <w:rPr>
          <w:rFonts w:hint="eastAsia" w:ascii="仿宋_GB2312" w:hAnsi="Calibri" w:eastAsia="仿宋_GB2312"/>
          <w:sz w:val="30"/>
          <w:szCs w:val="30"/>
        </w:rPr>
        <w:t>）</w:t>
      </w:r>
    </w:p>
    <w:p w14:paraId="5F765DBA">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开展前准备</w:t>
      </w:r>
      <w:bookmarkStart w:id="2053" w:name="_Toc499850129"/>
      <w:bookmarkEnd w:id="2053"/>
      <w:bookmarkStart w:id="2054" w:name="_Toc499849932"/>
      <w:bookmarkEnd w:id="2054"/>
    </w:p>
    <w:p w14:paraId="28D9DF50">
      <w:pPr>
        <w:spacing w:line="600" w:lineRule="exact"/>
        <w:ind w:left="567"/>
        <w:outlineLvl w:val="3"/>
        <w:rPr>
          <w:rFonts w:ascii="仿宋_GB2312" w:eastAsia="仿宋_GB2312"/>
          <w:b/>
          <w:sz w:val="30"/>
          <w:szCs w:val="30"/>
        </w:rPr>
      </w:pPr>
      <w:r>
        <w:rPr>
          <w:rFonts w:hint="eastAsia" w:ascii="仿宋_GB2312" w:eastAsia="仿宋_GB2312"/>
          <w:b/>
          <w:sz w:val="30"/>
          <w:szCs w:val="30"/>
        </w:rPr>
        <w:t>（1）签署主协议</w:t>
      </w:r>
    </w:p>
    <w:p w14:paraId="38F30A59">
      <w:pPr>
        <w:widowControl/>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市场参与者在参与三方回购之前，应签署《上海证券交易所债券质押式三方回购主协议》（以下简称主协议）。主协议为开放式协议，签署后在各签署人之间生效。</w:t>
      </w:r>
    </w:p>
    <w:p w14:paraId="67940A3D">
      <w:pPr>
        <w:widowControl/>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市场参与者为法人机构的，主协议由法定代表人或授权代理人进行签署；市场参与者为证券投资基金、银行理财等理财产品的，由管理人的法定代表人或授权代理人代为签署。同一个管理人管理的理财产品，应分别签署主协议。</w:t>
      </w:r>
    </w:p>
    <w:p w14:paraId="426B50C0">
      <w:pPr>
        <w:widowControl/>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三方回购主协议签署后电子扫描件应当提交本所备案,具体备案方式见投资者适当性备案相关介绍。证券公司经纪客户以书面方式签署的，应当一式两份，一份由签署人留存，一份由所在证券公司留存备查。</w:t>
      </w:r>
    </w:p>
    <w:p w14:paraId="4B744125">
      <w:pPr>
        <w:widowControl/>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业务初期，三方回购主协议以书面方式签署，开通电子方式签署的具体时间由本所另行通知。</w:t>
      </w:r>
    </w:p>
    <w:p w14:paraId="0DD588FD">
      <w:pPr>
        <w:numPr>
          <w:ilvl w:val="0"/>
          <w:numId w:val="19"/>
        </w:numPr>
        <w:spacing w:line="600" w:lineRule="exact"/>
        <w:ind w:left="0" w:firstLine="567"/>
        <w:outlineLvl w:val="3"/>
        <w:rPr>
          <w:rFonts w:ascii="仿宋_GB2312" w:eastAsia="仿宋_GB2312"/>
          <w:b/>
          <w:sz w:val="30"/>
          <w:szCs w:val="30"/>
        </w:rPr>
      </w:pPr>
      <w:r>
        <w:rPr>
          <w:rFonts w:hint="eastAsia" w:ascii="仿宋_GB2312" w:eastAsia="仿宋_GB2312"/>
          <w:b/>
          <w:sz w:val="30"/>
          <w:szCs w:val="30"/>
        </w:rPr>
        <w:t>证券账户</w:t>
      </w:r>
    </w:p>
    <w:p w14:paraId="67919CBB">
      <w:pPr>
        <w:spacing w:line="600" w:lineRule="exact"/>
        <w:ind w:firstLine="750" w:firstLineChars="250"/>
        <w:rPr>
          <w:rFonts w:ascii="仿宋_GB2312" w:hAnsi="黑体" w:eastAsia="仿宋_GB2312"/>
          <w:sz w:val="30"/>
          <w:szCs w:val="30"/>
        </w:rPr>
      </w:pPr>
      <w:r>
        <w:rPr>
          <w:rFonts w:hint="eastAsia" w:ascii="仿宋_GB2312" w:hAnsi="黑体" w:eastAsia="仿宋_GB2312"/>
          <w:sz w:val="30"/>
          <w:szCs w:val="30"/>
        </w:rPr>
        <w:t>1）三方回购专用证券账户</w:t>
      </w:r>
    </w:p>
    <w:p w14:paraId="027DB81F">
      <w:pPr>
        <w:widowControl/>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正回购方进行三方回购业务需要向证券登记结算机构申请开通三方回购专用证券账户或将持有的证券账户指定为三方回购专用证券账户。无持有的证券账户是指没有任何证券持仓且没有在途交易或结算业务的证券账户。具体按《中国证券登记结算有限责任公司特殊机构及产品证券账户业务指南》及《登记结算业务指南》规定流程办理。</w:t>
      </w:r>
    </w:p>
    <w:p w14:paraId="56BA17E4">
      <w:pPr>
        <w:widowControl/>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初期，每个市场参与者只能开立一个三方回购专用证券账户。正回购方不得将三方回购专用证券账户用于三方回购以外的证券交易或其他用途。</w:t>
      </w:r>
    </w:p>
    <w:p w14:paraId="2C59648F">
      <w:pPr>
        <w:adjustRightInd w:val="0"/>
        <w:snapToGri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三方回购专用证券账户开立后未在6个月内完成投资者适当性备案或被本所取消三方回购投资者适当性备案的，正回购方应当在15个工作日内按照登记结算机构的相关规定注销专用账户。未按要求注销的，登记结算机构有权注销或限制该账户的使用。</w:t>
      </w:r>
    </w:p>
    <w:p w14:paraId="09FAB5F8">
      <w:pPr>
        <w:spacing w:line="600" w:lineRule="exact"/>
        <w:ind w:firstLine="600" w:firstLineChars="200"/>
        <w:rPr>
          <w:rFonts w:ascii="仿宋_GB2312" w:hAnsi="黑体" w:eastAsia="仿宋_GB2312"/>
          <w:sz w:val="30"/>
          <w:szCs w:val="30"/>
        </w:rPr>
      </w:pPr>
      <w:r>
        <w:rPr>
          <w:rFonts w:hint="eastAsia" w:ascii="仿宋_GB2312" w:hAnsi="黑体" w:eastAsia="仿宋_GB2312"/>
          <w:sz w:val="30"/>
          <w:szCs w:val="30"/>
        </w:rPr>
        <w:t>2）指定普通证券账户</w:t>
      </w:r>
    </w:p>
    <w:p w14:paraId="5A237326">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正回购方同时还需指定且仅能指定一个普通证券账户用于开展三方回购交易，普通证券账户和三方回购专用证券账户一一对应，从而进行担保品在普通证券账户和三方回购专用证券账户的双向划拨。拟用作担保品的债券只能从该普通证券账户中转入对应的三方回购专用证券账户，三方回购专用证券账户中未被质押的债券只能转出至该普通证券账户。三方回购专用证券账户开通后，市场参与者完成该账户的指定交易，须和用于三方回购的普通证券账户指定在相同的交易单元上。</w:t>
      </w:r>
    </w:p>
    <w:p w14:paraId="2A1508F9">
      <w:pPr>
        <w:adjustRightInd w:val="0"/>
        <w:snapToGri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投资者适当性备案完成后，市场参与者原则上不可进行普通证券账户的变更。确需变更的，需向本所提交书面申请。</w:t>
      </w:r>
    </w:p>
    <w:p w14:paraId="1AD95F2B">
      <w:pPr>
        <w:spacing w:line="600" w:lineRule="exact"/>
        <w:ind w:left="567"/>
        <w:outlineLvl w:val="3"/>
        <w:rPr>
          <w:rFonts w:ascii="仿宋_GB2312" w:eastAsia="仿宋_GB2312"/>
          <w:b/>
          <w:sz w:val="30"/>
          <w:szCs w:val="30"/>
        </w:rPr>
      </w:pPr>
      <w:r>
        <w:rPr>
          <w:rFonts w:hint="eastAsia" w:ascii="仿宋_GB2312" w:eastAsia="仿宋_GB2312"/>
          <w:b/>
          <w:sz w:val="30"/>
          <w:szCs w:val="30"/>
        </w:rPr>
        <w:t>（3）投资者适当性管理</w:t>
      </w:r>
    </w:p>
    <w:p w14:paraId="22233F15">
      <w:pPr>
        <w:widowControl/>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三方回购交易按照《上海证券交易所</w:t>
      </w:r>
      <w:r>
        <w:rPr>
          <w:rFonts w:ascii="仿宋_GB2312" w:hAnsi="Calibri" w:eastAsia="仿宋_GB2312"/>
          <w:sz w:val="30"/>
          <w:szCs w:val="30"/>
        </w:rPr>
        <w:t xml:space="preserve"> </w:t>
      </w:r>
      <w:r>
        <w:rPr>
          <w:rFonts w:hint="eastAsia" w:ascii="仿宋_GB2312" w:hAnsi="Calibri" w:eastAsia="仿宋_GB2312"/>
          <w:sz w:val="30"/>
          <w:szCs w:val="30"/>
        </w:rPr>
        <w:t>中国证券登记结算有限责任公司债券质押式三方回购交易及结算暂行办法》（以下简称《暂行办法》）《上海证券交易所债券市场投资者适当性管理办法》等相关规定，实行投资者适当性管理。</w:t>
      </w:r>
    </w:p>
    <w:p w14:paraId="36D7FD7D">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参与三方回购的债券投资者应当符合下列条件：</w:t>
      </w:r>
    </w:p>
    <w:p w14:paraId="26D733E7">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1）经有关金融监管部门批准设立的金融机构，包括证券公司、期货公司、基金管理公司及其子公司、商业银行、保险公司、信托公司、财务公司等；经行业协会备案或者登记的证券公司子公司、期货公司子公司、私募基金管理人。</w:t>
      </w:r>
    </w:p>
    <w:p w14:paraId="61FC5F4B">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2）上述机构面向投资者发行的理财产品，包括但不限于证券公司资产管理产品、基金管理公司及其子公司产品、期货公司资产管理产品、银行理财产品、保险产品、信托产品、经行业协会备案的私募基金。</w:t>
      </w:r>
    </w:p>
    <w:p w14:paraId="2B516272">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3）社会保障基金、企业年金等养老基金，慈善基金等社会公益基金，合格境外机构投资者（QFII）、人民币合格境外机构投资者（RQFII）。</w:t>
      </w:r>
    </w:p>
    <w:p w14:paraId="62FE2CD3">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4）同时符合下列条件的法人或者其他组织：</w:t>
      </w:r>
    </w:p>
    <w:p w14:paraId="31DDDBC6">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最近1年末净资产不低于2000万元；最近1年末金融资产不低于1000万元；具有2年以上证券、基金、期货、黄金、外汇等投资经历。</w:t>
      </w:r>
    </w:p>
    <w:p w14:paraId="5E9B2E42">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5）中国证监会和本所认可的其他投资者。</w:t>
      </w:r>
    </w:p>
    <w:p w14:paraId="1EEB94D2">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前款所称金融资产，是指银行存款、股票、债券、基金份额、资产管理计划、银行理财产品、信托计划、保险产品、期货及其他衍生产品等。</w:t>
      </w:r>
    </w:p>
    <w:p w14:paraId="44F6D151">
      <w:pPr>
        <w:widowControl/>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作为正回购方的债券投资者还应当符合下列条件：</w:t>
      </w:r>
    </w:p>
    <w:p w14:paraId="0BDACB0B">
      <w:pPr>
        <w:widowControl/>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1）具有较强风险管理及承担能力的金融机构或其理财产品或本所认可的其他机构投资者；</w:t>
      </w:r>
    </w:p>
    <w:p w14:paraId="20E914D3">
      <w:pPr>
        <w:widowControl/>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2）已建立完善健全的内部业务管理流程和风险管理制度；</w:t>
      </w:r>
    </w:p>
    <w:p w14:paraId="3B29D9D1">
      <w:pPr>
        <w:widowControl/>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3）具备支持三方回购业务开展的相关技术系统；</w:t>
      </w:r>
    </w:p>
    <w:p w14:paraId="2716CA0D">
      <w:pPr>
        <w:widowControl/>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4）近两年内未发生过重大回购违约</w:t>
      </w:r>
      <w:r>
        <w:rPr>
          <w:rFonts w:hint="eastAsia" w:eastAsia="仿宋_GB2312"/>
          <w:sz w:val="28"/>
          <w:szCs w:val="28"/>
        </w:rPr>
        <w:t>（成立不足两年的，从成立之日起计算）</w:t>
      </w:r>
      <w:r>
        <w:rPr>
          <w:rFonts w:hint="eastAsia" w:ascii="仿宋_GB2312" w:hAnsi="Calibri" w:eastAsia="仿宋_GB2312"/>
          <w:sz w:val="30"/>
          <w:szCs w:val="30"/>
        </w:rPr>
        <w:t>；</w:t>
      </w:r>
    </w:p>
    <w:p w14:paraId="08689E64">
      <w:pPr>
        <w:widowControl/>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5）本所要求的其他条件。</w:t>
      </w:r>
    </w:p>
    <w:p w14:paraId="11324767">
      <w:pPr>
        <w:widowControl/>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业务开展初期，三方回购的正回购方限于以下机构或产品：经有关金融监管部门批准设立的金融机构；公募证券投资基金；商业银行的理财产品（含大型国有商业银行和全国股份制商业银行作为委托人的资产管理产品）。</w:t>
      </w:r>
    </w:p>
    <w:p w14:paraId="5D98384A">
      <w:pPr>
        <w:spacing w:line="600" w:lineRule="exact"/>
        <w:ind w:firstLine="602" w:firstLineChars="200"/>
        <w:outlineLvl w:val="3"/>
        <w:rPr>
          <w:rFonts w:ascii="仿宋_GB2312" w:hAnsi="黑体" w:eastAsia="仿宋_GB2312"/>
          <w:b/>
          <w:sz w:val="30"/>
          <w:szCs w:val="30"/>
        </w:rPr>
      </w:pPr>
      <w:r>
        <w:rPr>
          <w:rFonts w:hint="eastAsia" w:ascii="仿宋_GB2312" w:hAnsi="黑体" w:eastAsia="仿宋_GB2312"/>
          <w:b/>
          <w:sz w:val="30"/>
          <w:szCs w:val="30"/>
        </w:rPr>
        <w:t>（4）经纪客户</w:t>
      </w:r>
    </w:p>
    <w:p w14:paraId="0981593E">
      <w:pPr>
        <w:widowControl/>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证券公司应当按照《上海证券交易所债券市场投资者适当性管理办法》的规定对经纪客户进行管理。证券公司应当建立健全经纪客户参与三方回购相关的业务流程和风险控制制度。</w:t>
      </w:r>
    </w:p>
    <w:p w14:paraId="1BBF800F">
      <w:pPr>
        <w:widowControl/>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证券公司应当对经纪客户资质进行审查，确保参与三方回购的经纪客户符合投资者适当性管理要求，在经纪客户参与三方回购前，向其全面介绍三方回购的相关业务规则及协议，充分揭示可能产生的风险，并要求其签署风险揭示书。风险揭示书应当包含本所确定的风险揭示书必备条款。</w:t>
      </w:r>
    </w:p>
    <w:p w14:paraId="6D158723">
      <w:pPr>
        <w:spacing w:line="600" w:lineRule="exact"/>
        <w:ind w:left="567"/>
        <w:outlineLvl w:val="3"/>
        <w:rPr>
          <w:rFonts w:ascii="仿宋_GB2312" w:eastAsia="仿宋_GB2312"/>
          <w:b/>
          <w:sz w:val="30"/>
          <w:szCs w:val="30"/>
        </w:rPr>
      </w:pPr>
      <w:r>
        <w:rPr>
          <w:rFonts w:hint="eastAsia" w:ascii="仿宋_GB2312" w:eastAsia="仿宋_GB2312"/>
          <w:b/>
          <w:sz w:val="30"/>
          <w:szCs w:val="30"/>
        </w:rPr>
        <w:t>（5）投资者适当性备案</w:t>
      </w:r>
    </w:p>
    <w:p w14:paraId="17CD6AF5">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市场参与者参与三方回购业务需提前向本所进行投资者适当性备案，备案通过的方可参与三方回购。</w:t>
      </w:r>
      <w:bookmarkStart w:id="2055" w:name="_Toc492555469"/>
      <w:bookmarkEnd w:id="2055"/>
      <w:bookmarkStart w:id="2056" w:name="_Toc492555862"/>
      <w:bookmarkEnd w:id="2056"/>
      <w:bookmarkStart w:id="2057" w:name="_Toc492555861"/>
      <w:bookmarkEnd w:id="2057"/>
      <w:bookmarkStart w:id="2058" w:name="_Toc492555468"/>
      <w:bookmarkEnd w:id="2058"/>
      <w:r>
        <w:rPr>
          <w:rFonts w:hint="eastAsia" w:ascii="仿宋_GB2312" w:hAnsi="Calibri" w:eastAsia="仿宋_GB2312"/>
          <w:sz w:val="30"/>
          <w:szCs w:val="30"/>
        </w:rPr>
        <w:t>市场参与者参与三方回购业务前，应当向本所提交以下投资者适当性备案文件，备案材料均应加盖机构（或管理人）公章：</w:t>
      </w:r>
    </w:p>
    <w:p w14:paraId="0AFE15B1">
      <w:pPr>
        <w:adjustRightInd w:val="0"/>
        <w:snapToGrid w:val="0"/>
        <w:spacing w:line="600" w:lineRule="exact"/>
        <w:ind w:firstLine="600" w:firstLineChars="200"/>
        <w:rPr>
          <w:rFonts w:ascii="仿宋_GB2312" w:eastAsia="仿宋_GB2312"/>
          <w:sz w:val="30"/>
          <w:szCs w:val="30"/>
        </w:rPr>
      </w:pPr>
      <w:r>
        <w:rPr>
          <w:rFonts w:hint="eastAsia" w:ascii="仿宋_GB2312" w:eastAsia="仿宋_GB2312"/>
          <w:sz w:val="30"/>
          <w:szCs w:val="30"/>
        </w:rPr>
        <w:t>1）三方回购投资者适当性备案表（附件18）；</w:t>
      </w:r>
    </w:p>
    <w:p w14:paraId="48AC820B">
      <w:pPr>
        <w:adjustRightInd w:val="0"/>
        <w:snapToGrid w:val="0"/>
        <w:spacing w:line="600" w:lineRule="exact"/>
        <w:ind w:firstLine="600" w:firstLineChars="200"/>
        <w:rPr>
          <w:rFonts w:ascii="仿宋_GB2312" w:eastAsia="仿宋_GB2312"/>
          <w:sz w:val="30"/>
          <w:szCs w:val="30"/>
        </w:rPr>
      </w:pPr>
      <w:r>
        <w:rPr>
          <w:rFonts w:hint="eastAsia" w:ascii="仿宋_GB2312" w:eastAsia="仿宋_GB2312"/>
          <w:sz w:val="30"/>
          <w:szCs w:val="30"/>
        </w:rPr>
        <w:t>2）三方回购主协议；</w:t>
      </w:r>
    </w:p>
    <w:p w14:paraId="407CCED8">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正回购方还需要向本所提交以下投资者适当性备案文件：</w:t>
      </w:r>
    </w:p>
    <w:p w14:paraId="259C5457">
      <w:pPr>
        <w:widowControl/>
        <w:adjustRightInd w:val="0"/>
        <w:snapToGrid w:val="0"/>
        <w:spacing w:line="600" w:lineRule="exact"/>
        <w:ind w:firstLine="600" w:firstLineChars="200"/>
        <w:rPr>
          <w:rFonts w:ascii="仿宋_GB2312" w:eastAsia="仿宋_GB2312"/>
          <w:sz w:val="30"/>
          <w:szCs w:val="30"/>
        </w:rPr>
      </w:pPr>
      <w:r>
        <w:rPr>
          <w:rFonts w:hint="eastAsia" w:ascii="仿宋_GB2312" w:eastAsia="仿宋_GB2312"/>
          <w:sz w:val="30"/>
          <w:szCs w:val="30"/>
        </w:rPr>
        <w:t>1）最近一个会计年度的总资产、净资产或资产管理规模的说明及相关证明文件；</w:t>
      </w:r>
    </w:p>
    <w:p w14:paraId="3D1A79C8">
      <w:pPr>
        <w:widowControl/>
        <w:adjustRightInd w:val="0"/>
        <w:snapToGrid w:val="0"/>
        <w:spacing w:line="600" w:lineRule="exact"/>
        <w:ind w:firstLine="600" w:firstLineChars="200"/>
        <w:rPr>
          <w:rFonts w:ascii="仿宋_GB2312" w:eastAsia="仿宋_GB2312"/>
          <w:sz w:val="30"/>
          <w:szCs w:val="30"/>
        </w:rPr>
      </w:pPr>
      <w:r>
        <w:rPr>
          <w:rFonts w:hint="eastAsia" w:ascii="仿宋_GB2312" w:eastAsia="仿宋_GB2312"/>
          <w:sz w:val="30"/>
          <w:szCs w:val="30"/>
        </w:rPr>
        <w:t>2）公司内部三方回购相关的业务管理制度、风险管理制度文件；</w:t>
      </w:r>
    </w:p>
    <w:p w14:paraId="08389D27">
      <w:pPr>
        <w:widowControl/>
        <w:adjustRightInd w:val="0"/>
        <w:snapToGrid w:val="0"/>
        <w:spacing w:line="600" w:lineRule="exact"/>
        <w:ind w:firstLine="600" w:firstLineChars="200"/>
        <w:rPr>
          <w:rFonts w:ascii="仿宋_GB2312" w:eastAsia="仿宋_GB2312"/>
          <w:sz w:val="30"/>
          <w:szCs w:val="30"/>
        </w:rPr>
      </w:pPr>
      <w:r>
        <w:rPr>
          <w:rFonts w:hint="eastAsia" w:ascii="仿宋_GB2312" w:eastAsia="仿宋_GB2312"/>
          <w:sz w:val="30"/>
          <w:szCs w:val="30"/>
        </w:rPr>
        <w:t>3）关于技术系统准备情况的说明；</w:t>
      </w:r>
    </w:p>
    <w:p w14:paraId="0B0F284B">
      <w:pPr>
        <w:widowControl/>
        <w:adjustRightInd w:val="0"/>
        <w:snapToGrid w:val="0"/>
        <w:spacing w:line="600" w:lineRule="exact"/>
        <w:ind w:firstLine="600" w:firstLineChars="200"/>
        <w:rPr>
          <w:rFonts w:ascii="仿宋_GB2312" w:eastAsia="仿宋_GB2312"/>
          <w:sz w:val="30"/>
          <w:szCs w:val="30"/>
        </w:rPr>
      </w:pPr>
      <w:r>
        <w:rPr>
          <w:rFonts w:hint="eastAsia" w:ascii="仿宋_GB2312" w:eastAsia="仿宋_GB2312"/>
          <w:sz w:val="30"/>
          <w:szCs w:val="30"/>
        </w:rPr>
        <w:t>4）本所要求的其他材料。</w:t>
      </w:r>
    </w:p>
    <w:p w14:paraId="0F1156C4">
      <w:pPr>
        <w:widowControl/>
        <w:adjustRightInd w:val="0"/>
        <w:snapToGrid w:val="0"/>
        <w:spacing w:line="600" w:lineRule="exact"/>
        <w:ind w:firstLine="600" w:firstLineChars="200"/>
        <w:rPr>
          <w:rFonts w:ascii="仿宋_GB2312" w:eastAsia="仿宋_GB2312"/>
          <w:sz w:val="30"/>
          <w:szCs w:val="30"/>
        </w:rPr>
      </w:pPr>
      <w:r>
        <w:rPr>
          <w:rFonts w:hint="eastAsia" w:ascii="仿宋_GB2312" w:hAnsi="Calibri" w:eastAsia="仿宋_GB2312"/>
          <w:sz w:val="30"/>
          <w:szCs w:val="30"/>
        </w:rPr>
        <w:t>投资者适当性备案材料可通过债券业务管理系统或电子邮件两种方式提交本所。其中，债券业务管理系统为主要的备案渠道，初期未接入债券业务管理系统的市场参与者可通过电子邮件（</w:t>
      </w:r>
      <w:r>
        <w:rPr>
          <w:rFonts w:ascii="仿宋_GB2312" w:hAnsi="Calibri" w:eastAsia="仿宋_GB2312"/>
          <w:sz w:val="30"/>
          <w:szCs w:val="30"/>
        </w:rPr>
        <w:t>ssebond@sse.com.cn</w:t>
      </w:r>
      <w:r>
        <w:rPr>
          <w:rFonts w:hint="eastAsia" w:ascii="仿宋_GB2312" w:hAnsi="Calibri" w:eastAsia="仿宋_GB2312"/>
          <w:sz w:val="30"/>
          <w:szCs w:val="30"/>
        </w:rPr>
        <w:t>）方式进行备案。（详见附件19的第二部分）</w:t>
      </w:r>
    </w:p>
    <w:p w14:paraId="3BE4D58E">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直接通过固定收益平台进行交易的回购双方直接向本所备案。理财产品由管理人提交投资者适当性备案文件，同一个管理人管理的多个理财产品视为不同主体，应当分别提交投资者适当性备案文件。</w:t>
      </w:r>
      <w:r>
        <w:rPr>
          <w:rFonts w:hint="eastAsia" w:ascii="仿宋_GB2312" w:hAnsi="Calibri" w:eastAsia="仿宋_GB2312"/>
          <w:kern w:val="0"/>
          <w:sz w:val="30"/>
          <w:szCs w:val="30"/>
          <w:lang w:bidi="en-US"/>
        </w:rPr>
        <w:t>商业银行作为委托人的资产管理产品，参与三方回购正回购业务，应由作为委托人的商业银行相关部门出具书面证明。</w:t>
      </w:r>
      <w:r>
        <w:rPr>
          <w:rFonts w:hint="eastAsia" w:ascii="仿宋_GB2312" w:hAnsi="Calibri" w:eastAsia="仿宋_GB2312"/>
          <w:sz w:val="30"/>
          <w:szCs w:val="30"/>
        </w:rPr>
        <w:t>证券公司经纪客户由证券公司确认其符合投资者适当性管理要求，并向本所提交规定的备案文件。</w:t>
      </w:r>
    </w:p>
    <w:p w14:paraId="32BFFA9F">
      <w:pPr>
        <w:adjustRightInd w:val="0"/>
        <w:snapToGrid w:val="0"/>
        <w:spacing w:line="600" w:lineRule="exact"/>
        <w:ind w:firstLine="600"/>
        <w:rPr>
          <w:rFonts w:ascii="仿宋_GB2312" w:hAnsi="Calibri" w:eastAsia="仿宋_GB2312"/>
          <w:sz w:val="30"/>
          <w:szCs w:val="30"/>
        </w:rPr>
      </w:pPr>
      <w:r>
        <w:rPr>
          <w:rFonts w:hint="eastAsia" w:ascii="仿宋_GB2312" w:hAnsi="Calibri" w:eastAsia="仿宋_GB2312"/>
          <w:sz w:val="30"/>
          <w:szCs w:val="30"/>
        </w:rPr>
        <w:t>市场参与者可以对逆回购权限、正回购权限分别进行投资者适当性备案。已经进行逆回购方（正回购方）投资者适当性备案的，再次提交正回购方（逆回购方）投资者适当性备案材料时应确保前后信息的一致性。</w:t>
      </w:r>
    </w:p>
    <w:p w14:paraId="5FEA94CB">
      <w:pPr>
        <w:spacing w:line="600" w:lineRule="exact"/>
        <w:ind w:firstLine="452" w:firstLineChars="150"/>
        <w:outlineLvl w:val="3"/>
        <w:rPr>
          <w:rFonts w:ascii="仿宋_GB2312" w:eastAsia="仿宋_GB2312"/>
          <w:b/>
          <w:sz w:val="30"/>
          <w:szCs w:val="30"/>
        </w:rPr>
      </w:pPr>
      <w:r>
        <w:rPr>
          <w:rFonts w:hint="eastAsia" w:ascii="仿宋_GB2312" w:eastAsia="仿宋_GB2312"/>
          <w:b/>
          <w:sz w:val="30"/>
          <w:szCs w:val="30"/>
        </w:rPr>
        <w:t>（6）签署补充协议</w:t>
      </w:r>
    </w:p>
    <w:p w14:paraId="4D767DD8">
      <w:pPr>
        <w:widowControl/>
        <w:adjustRightInd w:val="0"/>
        <w:snapToGrid w:val="0"/>
        <w:spacing w:line="600" w:lineRule="exact"/>
        <w:ind w:firstLine="600" w:firstLineChars="200"/>
        <w:rPr>
          <w:rFonts w:ascii="仿宋_GB2312" w:hAnsi="Calibri" w:eastAsia="仿宋_GB2312"/>
          <w:kern w:val="0"/>
          <w:sz w:val="30"/>
          <w:szCs w:val="30"/>
        </w:rPr>
      </w:pPr>
      <w:bookmarkStart w:id="2059" w:name="_Toc499849942"/>
      <w:bookmarkEnd w:id="2059"/>
      <w:bookmarkStart w:id="2060" w:name="_Toc499849943"/>
      <w:bookmarkEnd w:id="2060"/>
      <w:bookmarkStart w:id="2061" w:name="_Toc499850027"/>
      <w:bookmarkEnd w:id="2061"/>
      <w:bookmarkStart w:id="2062" w:name="_Toc499849953"/>
      <w:bookmarkEnd w:id="2062"/>
      <w:bookmarkStart w:id="2063" w:name="_Toc499850028"/>
      <w:bookmarkEnd w:id="2063"/>
      <w:bookmarkStart w:id="2064" w:name="_Toc499850136"/>
      <w:bookmarkEnd w:id="2064"/>
      <w:bookmarkStart w:id="2065" w:name="_Toc499850221"/>
      <w:bookmarkEnd w:id="2065"/>
      <w:bookmarkStart w:id="2066" w:name="_Toc499849947"/>
      <w:bookmarkEnd w:id="2066"/>
      <w:bookmarkStart w:id="2067" w:name="_Toc499850216"/>
      <w:bookmarkEnd w:id="2067"/>
      <w:bookmarkStart w:id="2068" w:name="_Toc499849950"/>
      <w:bookmarkEnd w:id="2068"/>
      <w:bookmarkStart w:id="2069" w:name="_Toc499850137"/>
      <w:bookmarkEnd w:id="2069"/>
      <w:bookmarkStart w:id="2070" w:name="_Toc499850140"/>
      <w:bookmarkEnd w:id="2070"/>
      <w:bookmarkStart w:id="2071" w:name="_Toc499850139"/>
      <w:bookmarkEnd w:id="2071"/>
      <w:bookmarkStart w:id="2072" w:name="_Toc499850029"/>
      <w:bookmarkEnd w:id="2072"/>
      <w:bookmarkStart w:id="2073" w:name="_Toc499849951"/>
      <w:bookmarkEnd w:id="2073"/>
      <w:bookmarkStart w:id="2074" w:name="_Toc499850145"/>
      <w:bookmarkEnd w:id="2074"/>
      <w:bookmarkStart w:id="2075" w:name="_Toc499850025"/>
      <w:bookmarkEnd w:id="2075"/>
      <w:bookmarkStart w:id="2076" w:name="_Toc499850143"/>
      <w:bookmarkEnd w:id="2076"/>
      <w:bookmarkStart w:id="2077" w:name="_Toc499850138"/>
      <w:bookmarkEnd w:id="2077"/>
      <w:bookmarkStart w:id="2078" w:name="_Toc499849946"/>
      <w:bookmarkEnd w:id="2078"/>
      <w:bookmarkStart w:id="2079" w:name="_Toc499850218"/>
      <w:bookmarkEnd w:id="2079"/>
      <w:bookmarkStart w:id="2080" w:name="_Toc499850220"/>
      <w:bookmarkEnd w:id="2080"/>
      <w:bookmarkStart w:id="2081" w:name="_Toc499850219"/>
      <w:bookmarkEnd w:id="2081"/>
      <w:bookmarkStart w:id="2082" w:name="_Toc499850023"/>
      <w:bookmarkEnd w:id="2082"/>
      <w:bookmarkStart w:id="2083" w:name="_Toc499850026"/>
      <w:bookmarkEnd w:id="2083"/>
      <w:bookmarkStart w:id="2084" w:name="_Toc499850144"/>
      <w:bookmarkEnd w:id="2084"/>
      <w:bookmarkStart w:id="2085" w:name="_Toc499850134"/>
      <w:bookmarkEnd w:id="2085"/>
      <w:bookmarkStart w:id="2086" w:name="_Toc499849948"/>
      <w:bookmarkEnd w:id="2086"/>
      <w:bookmarkStart w:id="2087" w:name="_Toc499850133"/>
      <w:bookmarkEnd w:id="2087"/>
      <w:bookmarkStart w:id="2088" w:name="_Toc499850142"/>
      <w:bookmarkEnd w:id="2088"/>
      <w:bookmarkStart w:id="2089" w:name="_Toc499850215"/>
      <w:bookmarkEnd w:id="2089"/>
      <w:bookmarkStart w:id="2090" w:name="_Toc499850217"/>
      <w:bookmarkEnd w:id="2090"/>
      <w:bookmarkStart w:id="2091" w:name="_Toc499849941"/>
      <w:bookmarkEnd w:id="2091"/>
      <w:bookmarkStart w:id="2092" w:name="_Toc499850135"/>
      <w:bookmarkEnd w:id="2092"/>
      <w:bookmarkStart w:id="2093" w:name="_Toc499849945"/>
      <w:bookmarkEnd w:id="2093"/>
      <w:bookmarkStart w:id="2094" w:name="_Toc499850024"/>
      <w:bookmarkEnd w:id="2094"/>
      <w:bookmarkStart w:id="2095" w:name="_Toc499850022"/>
      <w:bookmarkEnd w:id="2095"/>
      <w:bookmarkStart w:id="2096" w:name="_Toc499849944"/>
      <w:bookmarkEnd w:id="2096"/>
      <w:bookmarkStart w:id="2097" w:name="_Toc499850214"/>
      <w:bookmarkEnd w:id="2097"/>
      <w:bookmarkStart w:id="2098" w:name="_Toc499849949"/>
      <w:bookmarkEnd w:id="2098"/>
      <w:bookmarkStart w:id="2099" w:name="_Toc499849952"/>
      <w:bookmarkEnd w:id="2099"/>
      <w:bookmarkStart w:id="2100" w:name="_Toc499850141"/>
      <w:bookmarkEnd w:id="2100"/>
      <w:r>
        <w:rPr>
          <w:rFonts w:hint="eastAsia" w:ascii="仿宋_GB2312" w:hAnsi="Calibri" w:eastAsia="仿宋_GB2312"/>
          <w:kern w:val="0"/>
          <w:sz w:val="30"/>
          <w:szCs w:val="30"/>
        </w:rPr>
        <w:t>回购双方可以就三方回购相关事宜签订补充协议，约定质押券篮子标准、授信、违约处置等内容，但不得违反法律、行政法规、部门规章、其他规范性文件、《暂行办法》以及本所、登记结算机构的其他相关规定，且不得与主协议以及成交记录相冲突。补充协议的格式由回购双方自行协商，补充协议的内容由回购双方自行履行。补充协议由双方自行留存，无需向本所备案。</w:t>
      </w:r>
    </w:p>
    <w:p w14:paraId="7D410F08">
      <w:pPr>
        <w:spacing w:line="600" w:lineRule="exact"/>
        <w:ind w:left="567"/>
        <w:outlineLvl w:val="3"/>
        <w:rPr>
          <w:rFonts w:ascii="仿宋_GB2312" w:eastAsia="仿宋_GB2312"/>
          <w:b/>
          <w:sz w:val="30"/>
          <w:szCs w:val="30"/>
        </w:rPr>
      </w:pPr>
      <w:r>
        <w:rPr>
          <w:rFonts w:hint="eastAsia" w:ascii="仿宋_GB2312" w:eastAsia="仿宋_GB2312"/>
          <w:b/>
          <w:sz w:val="30"/>
          <w:szCs w:val="30"/>
        </w:rPr>
        <w:t>（7）授信白名单</w:t>
      </w:r>
    </w:p>
    <w:p w14:paraId="60376A72">
      <w:pPr>
        <w:widowControl/>
        <w:adjustRightInd w:val="0"/>
        <w:snapToGri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sz w:val="30"/>
          <w:szCs w:val="30"/>
        </w:rPr>
        <w:t>三方回购支持设置授信白名单。市场参与者可在固定收益平台中设置授信白名单。正回购方在逆回购方的授信白名单内的情况下，双方才能达成回购交易，固定收益平台仅对符合授信白名单要求的交易予以确认。对法人类参与主体，按主体进行授信；对非法人类产品，按管理人进行授信。对经纪客户，按所在证券公司进行授信。</w:t>
      </w:r>
    </w:p>
    <w:p w14:paraId="6D336C0C">
      <w:pPr>
        <w:widowControl/>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授信可以由正回购方或逆回购方发起。正回购方通过固定收益平台向逆回购方发起授信请求，经逆回购方确认，加入到逆回购方的授信白名单。逆回购方也可以自行发起授信请求，无需正回购方确认。授信确认后实时生效。</w:t>
      </w:r>
    </w:p>
    <w:p w14:paraId="4E19771F">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逆回购方可以通过固定收益平台取消授信关系，无需正回购方确认。逆回购方调整授信名单的，后续回购交易均需在逆回购方新的授信白名单内达成，已经达成的交易不受新的授信白名单约束。</w:t>
      </w:r>
    </w:p>
    <w:p w14:paraId="787A3294">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担保品管理</w:t>
      </w:r>
      <w:r>
        <w:rPr>
          <w:rFonts w:ascii="仿宋_GB2312" w:eastAsia="仿宋_GB2312"/>
          <w:b/>
          <w:sz w:val="30"/>
          <w:szCs w:val="30"/>
        </w:rPr>
        <w:tab/>
      </w:r>
    </w:p>
    <w:p w14:paraId="72514F94">
      <w:pPr>
        <w:spacing w:line="600" w:lineRule="exact"/>
        <w:ind w:left="567"/>
        <w:outlineLvl w:val="3"/>
        <w:rPr>
          <w:rFonts w:ascii="仿宋_GB2312" w:eastAsia="仿宋_GB2312"/>
          <w:b/>
          <w:sz w:val="30"/>
          <w:szCs w:val="30"/>
        </w:rPr>
      </w:pPr>
      <w:r>
        <w:rPr>
          <w:rFonts w:hint="eastAsia" w:ascii="仿宋_GB2312" w:eastAsia="仿宋_GB2312"/>
          <w:b/>
          <w:sz w:val="30"/>
          <w:szCs w:val="30"/>
        </w:rPr>
        <w:t>（1）担保品范围</w:t>
      </w:r>
    </w:p>
    <w:p w14:paraId="29B3E92E">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三方回购的担保品范围为本所上市交易或者挂牌转让的债券（以下简称挂牌债券），包括公开发行债券、非公开发行债券和资产支持证券。本所可以根据市场情况调整用于三方回购的担保品品种。</w:t>
      </w:r>
    </w:p>
    <w:p w14:paraId="7B0E4B1F">
      <w:pPr>
        <w:adjustRightInd w:val="0"/>
        <w:snapToGrid w:val="0"/>
        <w:spacing w:line="600" w:lineRule="exact"/>
        <w:ind w:firstLine="600" w:firstLineChars="200"/>
        <w:rPr>
          <w:rFonts w:ascii="仿宋_GB2312" w:eastAsia="仿宋_GB2312"/>
          <w:b/>
          <w:sz w:val="30"/>
          <w:szCs w:val="30"/>
        </w:rPr>
      </w:pPr>
      <w:r>
        <w:rPr>
          <w:rFonts w:hint="eastAsia" w:ascii="仿宋_GB2312" w:hAnsi="Calibri" w:eastAsia="仿宋_GB2312"/>
          <w:sz w:val="30"/>
          <w:szCs w:val="30"/>
        </w:rPr>
        <w:t>资产支持证券次级档、已经发生违约或经披露其还本付息存在重大风险的债券和资产支持证券或本所认为不适合充当回购担保品的其他债券不得作为三方回购担保品。</w:t>
      </w:r>
    </w:p>
    <w:p w14:paraId="749801E9">
      <w:pPr>
        <w:spacing w:line="600" w:lineRule="exact"/>
        <w:ind w:firstLine="602" w:firstLineChars="200"/>
        <w:outlineLvl w:val="3"/>
        <w:rPr>
          <w:rFonts w:ascii="仿宋_GB2312" w:eastAsia="仿宋_GB2312"/>
          <w:b/>
          <w:sz w:val="30"/>
          <w:szCs w:val="30"/>
        </w:rPr>
      </w:pPr>
      <w:r>
        <w:rPr>
          <w:rFonts w:hint="eastAsia" w:ascii="仿宋_GB2312" w:eastAsia="仿宋_GB2312"/>
          <w:b/>
          <w:sz w:val="30"/>
          <w:szCs w:val="30"/>
        </w:rPr>
        <w:t>（2）质押券转入转出</w:t>
      </w:r>
    </w:p>
    <w:p w14:paraId="24631B7B">
      <w:pPr>
        <w:spacing w:line="600" w:lineRule="exact"/>
        <w:ind w:firstLine="600" w:firstLineChars="200"/>
        <w:outlineLvl w:val="3"/>
        <w:rPr>
          <w:rFonts w:ascii="仿宋_GB2312" w:eastAsia="仿宋_GB2312"/>
          <w:vanish/>
          <w:sz w:val="30"/>
          <w:szCs w:val="30"/>
        </w:rPr>
      </w:pPr>
    </w:p>
    <w:p w14:paraId="2F9363B3">
      <w:pPr>
        <w:tabs>
          <w:tab w:val="left" w:pos="0"/>
        </w:tabs>
        <w:adjustRightInd w:val="0"/>
        <w:snapToGrid w:val="0"/>
        <w:spacing w:line="600" w:lineRule="exact"/>
        <w:ind w:firstLine="600" w:firstLineChars="200"/>
        <w:jc w:val="left"/>
        <w:rPr>
          <w:rFonts w:ascii="仿宋_GB2312" w:hAnsi="Calibri" w:eastAsia="仿宋_GB2312"/>
          <w:sz w:val="30"/>
          <w:szCs w:val="30"/>
        </w:rPr>
      </w:pPr>
      <w:r>
        <w:rPr>
          <w:rFonts w:hint="eastAsia" w:ascii="仿宋_GB2312" w:hAnsi="Calibri" w:eastAsia="仿宋_GB2312"/>
          <w:kern w:val="0"/>
          <w:sz w:val="30"/>
          <w:szCs w:val="30"/>
        </w:rPr>
        <w:t>正回购方可以将拟用于三方回购的担保品从普通证券账户</w:t>
      </w:r>
      <w:r>
        <w:rPr>
          <w:rFonts w:hint="eastAsia" w:ascii="仿宋_GB2312" w:hAnsi="Calibri" w:eastAsia="仿宋_GB2312"/>
          <w:sz w:val="30"/>
          <w:szCs w:val="30"/>
        </w:rPr>
        <w:t>转入三方回购专用证券账户，或将未处于质押状态的担保品从三方回购专用证券账户转出至普通证券账户。</w:t>
      </w:r>
    </w:p>
    <w:p w14:paraId="16FBE2B5">
      <w:pPr>
        <w:adjustRightInd w:val="0"/>
        <w:snapToGri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转入成功的债券将从普通证券账户过户至三方回购专用证券账户，不能卖出，也不能充当三方回购以外业务的担保品。转入成功后，下一个交易日起可用于三方回购交易。不在质押券篮子内的债券不能从普通证券账户转入三方回购专用证券账户。</w:t>
      </w:r>
    </w:p>
    <w:p w14:paraId="63BAA0C8">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kern w:val="0"/>
          <w:sz w:val="30"/>
          <w:szCs w:val="30"/>
        </w:rPr>
        <w:t>转出时，</w:t>
      </w:r>
      <w:r>
        <w:rPr>
          <w:rFonts w:hint="eastAsia" w:ascii="仿宋_GB2312" w:hAnsi="Calibri" w:eastAsia="仿宋_GB2312"/>
          <w:sz w:val="30"/>
          <w:szCs w:val="30"/>
        </w:rPr>
        <w:t>三方回购专用证券账户内的债券仅可转出至原转入证券账户。转出成功的，下一个交易日方可卖出或用于其他类型的交易。</w:t>
      </w:r>
    </w:p>
    <w:p w14:paraId="2A2BE477">
      <w:pPr>
        <w:spacing w:line="600" w:lineRule="exact"/>
        <w:ind w:left="567"/>
        <w:outlineLvl w:val="3"/>
        <w:rPr>
          <w:rFonts w:ascii="仿宋_GB2312" w:eastAsia="仿宋_GB2312"/>
          <w:b/>
          <w:sz w:val="30"/>
          <w:szCs w:val="30"/>
        </w:rPr>
      </w:pPr>
      <w:r>
        <w:rPr>
          <w:rFonts w:hint="eastAsia" w:ascii="仿宋_GB2312" w:eastAsia="仿宋_GB2312"/>
          <w:b/>
          <w:sz w:val="30"/>
          <w:szCs w:val="30"/>
        </w:rPr>
        <w:t>（3）质押券篮子</w:t>
      </w:r>
    </w:p>
    <w:p w14:paraId="64D6E9F7">
      <w:pPr>
        <w:adjustRightInd w:val="0"/>
        <w:snapToGrid w:val="0"/>
        <w:spacing w:line="600" w:lineRule="exact"/>
        <w:ind w:firstLine="600"/>
        <w:rPr>
          <w:rFonts w:ascii="仿宋_GB2312" w:hAnsi="Calibri" w:eastAsia="仿宋_GB2312"/>
          <w:sz w:val="30"/>
          <w:szCs w:val="30"/>
        </w:rPr>
      </w:pPr>
      <w:r>
        <w:rPr>
          <w:rFonts w:hint="eastAsia" w:ascii="仿宋_GB2312" w:hAnsi="Calibri" w:eastAsia="仿宋_GB2312"/>
          <w:sz w:val="30"/>
          <w:szCs w:val="30"/>
        </w:rPr>
        <w:t>为区分信用资质，根据债券类型、债券评级和发行方式，将债券按资质从高到低将本所挂牌债券分为八个“质押券篮子”。</w:t>
      </w:r>
    </w:p>
    <w:p w14:paraId="0346BD46">
      <w:pPr>
        <w:adjustRightInd w:val="0"/>
        <w:snapToGrid w:val="0"/>
        <w:spacing w:line="600" w:lineRule="exact"/>
        <w:ind w:firstLine="600"/>
        <w:rPr>
          <w:rFonts w:ascii="仿宋_GB2312" w:hAnsi="Calibri" w:eastAsia="仿宋_GB2312"/>
          <w:b/>
          <w:sz w:val="30"/>
          <w:szCs w:val="30"/>
        </w:rPr>
      </w:pPr>
      <w:r>
        <w:rPr>
          <w:rFonts w:hint="eastAsia" w:ascii="仿宋_GB2312" w:hAnsi="Calibri" w:eastAsia="仿宋_GB2312"/>
          <w:sz w:val="30"/>
          <w:szCs w:val="30"/>
        </w:rPr>
        <w:t>具体“质押券篮子”信息如下：</w:t>
      </w:r>
    </w:p>
    <w:tbl>
      <w:tblPr>
        <w:tblStyle w:val="43"/>
        <w:tblW w:w="5074"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0"/>
        <w:gridCol w:w="1131"/>
        <w:gridCol w:w="4950"/>
        <w:gridCol w:w="1007"/>
      </w:tblGrid>
      <w:tr w14:paraId="4932D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2" w:type="pct"/>
          </w:tcPr>
          <w:p w14:paraId="3E1EFF1B">
            <w:pPr>
              <w:adjustRightInd w:val="0"/>
              <w:snapToGrid w:val="0"/>
              <w:rPr>
                <w:rFonts w:ascii="仿宋_GB2312" w:eastAsia="仿宋_GB2312"/>
                <w:b/>
                <w:sz w:val="24"/>
                <w:szCs w:val="24"/>
              </w:rPr>
            </w:pPr>
            <w:r>
              <w:rPr>
                <w:rFonts w:hint="eastAsia" w:ascii="仿宋_GB2312" w:eastAsia="仿宋_GB2312"/>
                <w:b/>
                <w:sz w:val="24"/>
                <w:szCs w:val="24"/>
              </w:rPr>
              <w:t>质押券篮子</w:t>
            </w:r>
          </w:p>
        </w:tc>
        <w:tc>
          <w:tcPr>
            <w:tcW w:w="654" w:type="pct"/>
          </w:tcPr>
          <w:p w14:paraId="54E943DD">
            <w:pPr>
              <w:adjustRightInd w:val="0"/>
              <w:snapToGrid w:val="0"/>
              <w:rPr>
                <w:rFonts w:ascii="仿宋_GB2312" w:eastAsia="仿宋_GB2312"/>
                <w:b/>
                <w:sz w:val="24"/>
                <w:szCs w:val="24"/>
              </w:rPr>
            </w:pPr>
            <w:r>
              <w:rPr>
                <w:rFonts w:hint="eastAsia" w:ascii="仿宋_GB2312" w:eastAsia="仿宋_GB2312"/>
                <w:b/>
                <w:sz w:val="24"/>
                <w:szCs w:val="24"/>
              </w:rPr>
              <w:t>简称</w:t>
            </w:r>
          </w:p>
        </w:tc>
        <w:tc>
          <w:tcPr>
            <w:tcW w:w="2862" w:type="pct"/>
          </w:tcPr>
          <w:p w14:paraId="6E0898BF">
            <w:pPr>
              <w:adjustRightInd w:val="0"/>
              <w:snapToGrid w:val="0"/>
              <w:rPr>
                <w:rFonts w:ascii="仿宋_GB2312" w:eastAsia="仿宋_GB2312"/>
                <w:b/>
                <w:sz w:val="24"/>
                <w:szCs w:val="24"/>
              </w:rPr>
            </w:pPr>
            <w:r>
              <w:rPr>
                <w:rFonts w:hint="eastAsia" w:ascii="仿宋_GB2312" w:eastAsia="仿宋_GB2312"/>
                <w:b/>
                <w:sz w:val="24"/>
                <w:szCs w:val="24"/>
              </w:rPr>
              <w:t>篮子标准</w:t>
            </w:r>
          </w:p>
        </w:tc>
        <w:tc>
          <w:tcPr>
            <w:tcW w:w="582" w:type="pct"/>
          </w:tcPr>
          <w:p w14:paraId="495F9859">
            <w:pPr>
              <w:adjustRightInd w:val="0"/>
              <w:snapToGrid w:val="0"/>
              <w:rPr>
                <w:rFonts w:ascii="仿宋_GB2312" w:eastAsia="仿宋_GB2312"/>
                <w:b/>
                <w:sz w:val="24"/>
                <w:szCs w:val="24"/>
              </w:rPr>
            </w:pPr>
            <w:r>
              <w:rPr>
                <w:rFonts w:hint="eastAsia" w:ascii="仿宋_GB2312" w:eastAsia="仿宋_GB2312"/>
                <w:b/>
                <w:sz w:val="24"/>
                <w:szCs w:val="24"/>
              </w:rPr>
              <w:t>折扣率</w:t>
            </w:r>
          </w:p>
        </w:tc>
      </w:tr>
      <w:tr w14:paraId="1623F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2" w:type="pct"/>
          </w:tcPr>
          <w:p w14:paraId="5ADE6718">
            <w:pPr>
              <w:adjustRightInd w:val="0"/>
              <w:snapToGrid w:val="0"/>
              <w:rPr>
                <w:rFonts w:ascii="仿宋_GB2312" w:eastAsia="仿宋_GB2312"/>
                <w:b/>
                <w:sz w:val="24"/>
                <w:szCs w:val="24"/>
              </w:rPr>
            </w:pPr>
            <w:r>
              <w:rPr>
                <w:rFonts w:hint="eastAsia" w:ascii="仿宋_GB2312" w:eastAsia="仿宋_GB2312"/>
                <w:b/>
                <w:sz w:val="24"/>
                <w:szCs w:val="24"/>
              </w:rPr>
              <w:t>篮子1</w:t>
            </w:r>
          </w:p>
        </w:tc>
        <w:tc>
          <w:tcPr>
            <w:tcW w:w="654" w:type="pct"/>
          </w:tcPr>
          <w:p w14:paraId="34E1F385">
            <w:pPr>
              <w:adjustRightInd w:val="0"/>
              <w:snapToGrid w:val="0"/>
              <w:rPr>
                <w:rFonts w:ascii="仿宋_GB2312" w:eastAsia="仿宋_GB2312"/>
                <w:sz w:val="24"/>
                <w:szCs w:val="24"/>
              </w:rPr>
            </w:pPr>
            <w:r>
              <w:rPr>
                <w:rFonts w:hint="eastAsia" w:ascii="仿宋_GB2312" w:eastAsia="仿宋_GB2312"/>
                <w:sz w:val="24"/>
                <w:szCs w:val="24"/>
              </w:rPr>
              <w:t>利率债</w:t>
            </w:r>
          </w:p>
        </w:tc>
        <w:tc>
          <w:tcPr>
            <w:tcW w:w="2862" w:type="pct"/>
          </w:tcPr>
          <w:p w14:paraId="471ED1D6">
            <w:pPr>
              <w:adjustRightInd w:val="0"/>
              <w:snapToGrid w:val="0"/>
              <w:rPr>
                <w:rFonts w:ascii="仿宋_GB2312" w:eastAsia="仿宋_GB2312"/>
                <w:sz w:val="24"/>
                <w:szCs w:val="24"/>
              </w:rPr>
            </w:pPr>
            <w:r>
              <w:rPr>
                <w:rFonts w:hint="eastAsia" w:ascii="仿宋_GB2312" w:eastAsia="仿宋_GB2312"/>
                <w:sz w:val="24"/>
                <w:szCs w:val="24"/>
              </w:rPr>
              <w:t>政府债券（含国债、地方政府债券）、政策性金融机构债券、政府支持机构债券</w:t>
            </w:r>
          </w:p>
        </w:tc>
        <w:tc>
          <w:tcPr>
            <w:tcW w:w="582" w:type="pct"/>
          </w:tcPr>
          <w:p w14:paraId="4A91DBA9">
            <w:pPr>
              <w:adjustRightInd w:val="0"/>
              <w:snapToGrid w:val="0"/>
              <w:rPr>
                <w:rFonts w:ascii="仿宋_GB2312" w:eastAsia="仿宋_GB2312"/>
                <w:sz w:val="24"/>
                <w:szCs w:val="24"/>
              </w:rPr>
            </w:pPr>
            <w:r>
              <w:rPr>
                <w:rFonts w:ascii="仿宋_GB2312" w:eastAsia="仿宋_GB2312"/>
                <w:sz w:val="24"/>
                <w:szCs w:val="24"/>
              </w:rPr>
              <w:t>0%</w:t>
            </w:r>
          </w:p>
        </w:tc>
      </w:tr>
      <w:tr w14:paraId="75D2F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2" w:type="pct"/>
          </w:tcPr>
          <w:p w14:paraId="00801215">
            <w:pPr>
              <w:adjustRightInd w:val="0"/>
              <w:snapToGrid w:val="0"/>
              <w:rPr>
                <w:rFonts w:ascii="仿宋_GB2312" w:eastAsia="仿宋_GB2312"/>
                <w:b/>
                <w:sz w:val="24"/>
                <w:szCs w:val="24"/>
              </w:rPr>
            </w:pPr>
            <w:r>
              <w:rPr>
                <w:rFonts w:hint="eastAsia" w:ascii="仿宋_GB2312" w:eastAsia="仿宋_GB2312"/>
                <w:b/>
                <w:sz w:val="24"/>
                <w:szCs w:val="24"/>
              </w:rPr>
              <w:t>篮子2</w:t>
            </w:r>
          </w:p>
        </w:tc>
        <w:tc>
          <w:tcPr>
            <w:tcW w:w="654" w:type="pct"/>
          </w:tcPr>
          <w:p w14:paraId="2A800217">
            <w:pPr>
              <w:adjustRightInd w:val="0"/>
              <w:snapToGrid w:val="0"/>
              <w:rPr>
                <w:rFonts w:ascii="仿宋_GB2312" w:eastAsia="仿宋_GB2312"/>
                <w:sz w:val="24"/>
                <w:szCs w:val="24"/>
              </w:rPr>
            </w:pPr>
            <w:r>
              <w:rPr>
                <w:rFonts w:hint="eastAsia" w:ascii="仿宋_GB2312" w:eastAsia="仿宋_GB2312"/>
                <w:sz w:val="24"/>
                <w:szCs w:val="24"/>
              </w:rPr>
              <w:t>AAA（公）</w:t>
            </w:r>
          </w:p>
        </w:tc>
        <w:tc>
          <w:tcPr>
            <w:tcW w:w="2862" w:type="pct"/>
          </w:tcPr>
          <w:p w14:paraId="080395E7">
            <w:pPr>
              <w:adjustRightInd w:val="0"/>
              <w:snapToGrid w:val="0"/>
              <w:rPr>
                <w:rFonts w:ascii="仿宋_GB2312" w:eastAsia="仿宋_GB2312"/>
                <w:sz w:val="24"/>
                <w:szCs w:val="24"/>
              </w:rPr>
            </w:pPr>
            <w:r>
              <w:rPr>
                <w:rFonts w:hint="eastAsia" w:ascii="仿宋_GB2312" w:eastAsia="仿宋_GB2312"/>
                <w:sz w:val="24"/>
                <w:szCs w:val="24"/>
              </w:rPr>
              <w:t>公开发行的、评级AAA信用债</w:t>
            </w:r>
          </w:p>
        </w:tc>
        <w:tc>
          <w:tcPr>
            <w:tcW w:w="582" w:type="pct"/>
          </w:tcPr>
          <w:p w14:paraId="3C132ECF">
            <w:pPr>
              <w:adjustRightInd w:val="0"/>
              <w:snapToGrid w:val="0"/>
              <w:rPr>
                <w:rFonts w:ascii="仿宋_GB2312" w:eastAsia="仿宋_GB2312"/>
                <w:sz w:val="24"/>
                <w:szCs w:val="24"/>
              </w:rPr>
            </w:pPr>
            <w:r>
              <w:rPr>
                <w:rFonts w:ascii="仿宋_GB2312" w:eastAsia="仿宋_GB2312"/>
                <w:sz w:val="24"/>
                <w:szCs w:val="24"/>
              </w:rPr>
              <w:t>3%</w:t>
            </w:r>
          </w:p>
        </w:tc>
      </w:tr>
      <w:tr w14:paraId="23F28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2" w:type="pct"/>
          </w:tcPr>
          <w:p w14:paraId="7A2A215C">
            <w:pPr>
              <w:adjustRightInd w:val="0"/>
              <w:snapToGrid w:val="0"/>
              <w:rPr>
                <w:rFonts w:ascii="仿宋_GB2312" w:eastAsia="仿宋_GB2312"/>
                <w:b/>
                <w:sz w:val="24"/>
                <w:szCs w:val="24"/>
              </w:rPr>
            </w:pPr>
            <w:r>
              <w:rPr>
                <w:rFonts w:hint="eastAsia" w:ascii="仿宋_GB2312" w:eastAsia="仿宋_GB2312"/>
                <w:b/>
                <w:sz w:val="24"/>
                <w:szCs w:val="24"/>
              </w:rPr>
              <w:t>篮子3</w:t>
            </w:r>
          </w:p>
        </w:tc>
        <w:tc>
          <w:tcPr>
            <w:tcW w:w="654" w:type="pct"/>
          </w:tcPr>
          <w:p w14:paraId="2EAE3E8F">
            <w:pPr>
              <w:adjustRightInd w:val="0"/>
              <w:snapToGrid w:val="0"/>
              <w:rPr>
                <w:rFonts w:ascii="仿宋_GB2312" w:eastAsia="仿宋_GB2312"/>
                <w:sz w:val="24"/>
                <w:szCs w:val="24"/>
              </w:rPr>
            </w:pPr>
            <w:r>
              <w:rPr>
                <w:rFonts w:hint="eastAsia" w:ascii="仿宋_GB2312" w:eastAsia="仿宋_GB2312"/>
                <w:sz w:val="24"/>
                <w:szCs w:val="24"/>
              </w:rPr>
              <w:t>AA+（公）</w:t>
            </w:r>
          </w:p>
        </w:tc>
        <w:tc>
          <w:tcPr>
            <w:tcW w:w="2862" w:type="pct"/>
          </w:tcPr>
          <w:p w14:paraId="5AD7C251">
            <w:pPr>
              <w:adjustRightInd w:val="0"/>
              <w:snapToGrid w:val="0"/>
              <w:rPr>
                <w:rFonts w:ascii="仿宋_GB2312" w:eastAsia="仿宋_GB2312"/>
                <w:sz w:val="24"/>
                <w:szCs w:val="24"/>
              </w:rPr>
            </w:pPr>
            <w:r>
              <w:rPr>
                <w:rFonts w:hint="eastAsia" w:ascii="仿宋_GB2312" w:eastAsia="仿宋_GB2312"/>
                <w:sz w:val="24"/>
                <w:szCs w:val="24"/>
              </w:rPr>
              <w:t>公开发行的、评级AA+信用债</w:t>
            </w:r>
          </w:p>
        </w:tc>
        <w:tc>
          <w:tcPr>
            <w:tcW w:w="582" w:type="pct"/>
          </w:tcPr>
          <w:p w14:paraId="3C65657E">
            <w:pPr>
              <w:adjustRightInd w:val="0"/>
              <w:snapToGrid w:val="0"/>
              <w:rPr>
                <w:rFonts w:ascii="仿宋_GB2312" w:eastAsia="仿宋_GB2312"/>
                <w:sz w:val="24"/>
                <w:szCs w:val="24"/>
              </w:rPr>
            </w:pPr>
            <w:r>
              <w:rPr>
                <w:rFonts w:ascii="仿宋_GB2312" w:eastAsia="仿宋_GB2312"/>
                <w:sz w:val="24"/>
                <w:szCs w:val="24"/>
              </w:rPr>
              <w:t>8%</w:t>
            </w:r>
          </w:p>
        </w:tc>
      </w:tr>
      <w:tr w14:paraId="08AF6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2" w:type="pct"/>
          </w:tcPr>
          <w:p w14:paraId="7F2E34D0">
            <w:pPr>
              <w:adjustRightInd w:val="0"/>
              <w:snapToGrid w:val="0"/>
              <w:rPr>
                <w:rFonts w:ascii="仿宋_GB2312" w:eastAsia="仿宋_GB2312"/>
                <w:b/>
                <w:sz w:val="24"/>
                <w:szCs w:val="24"/>
              </w:rPr>
            </w:pPr>
            <w:r>
              <w:rPr>
                <w:rFonts w:hint="eastAsia" w:ascii="仿宋_GB2312" w:eastAsia="仿宋_GB2312"/>
                <w:b/>
                <w:sz w:val="24"/>
                <w:szCs w:val="24"/>
              </w:rPr>
              <w:t>篮子4</w:t>
            </w:r>
          </w:p>
        </w:tc>
        <w:tc>
          <w:tcPr>
            <w:tcW w:w="654" w:type="pct"/>
          </w:tcPr>
          <w:p w14:paraId="12865C2A">
            <w:pPr>
              <w:adjustRightInd w:val="0"/>
              <w:snapToGrid w:val="0"/>
              <w:rPr>
                <w:rFonts w:ascii="仿宋_GB2312" w:eastAsia="仿宋_GB2312"/>
                <w:sz w:val="24"/>
                <w:szCs w:val="24"/>
              </w:rPr>
            </w:pPr>
            <w:r>
              <w:rPr>
                <w:rFonts w:hint="eastAsia" w:ascii="仿宋_GB2312" w:eastAsia="仿宋_GB2312"/>
                <w:sz w:val="24"/>
                <w:szCs w:val="24"/>
              </w:rPr>
              <w:t>AA（公）</w:t>
            </w:r>
          </w:p>
        </w:tc>
        <w:tc>
          <w:tcPr>
            <w:tcW w:w="2862" w:type="pct"/>
          </w:tcPr>
          <w:p w14:paraId="7D1BE6B1">
            <w:pPr>
              <w:adjustRightInd w:val="0"/>
              <w:snapToGrid w:val="0"/>
              <w:rPr>
                <w:rFonts w:ascii="仿宋_GB2312" w:eastAsia="仿宋_GB2312"/>
                <w:sz w:val="24"/>
                <w:szCs w:val="24"/>
              </w:rPr>
            </w:pPr>
            <w:r>
              <w:rPr>
                <w:rFonts w:hint="eastAsia" w:ascii="仿宋_GB2312" w:eastAsia="仿宋_GB2312"/>
                <w:sz w:val="24"/>
                <w:szCs w:val="24"/>
              </w:rPr>
              <w:t>公开发行的、评级AA信用债</w:t>
            </w:r>
          </w:p>
        </w:tc>
        <w:tc>
          <w:tcPr>
            <w:tcW w:w="582" w:type="pct"/>
          </w:tcPr>
          <w:p w14:paraId="0AFA9A94">
            <w:pPr>
              <w:adjustRightInd w:val="0"/>
              <w:snapToGrid w:val="0"/>
              <w:rPr>
                <w:rFonts w:ascii="仿宋_GB2312" w:eastAsia="仿宋_GB2312"/>
                <w:sz w:val="24"/>
                <w:szCs w:val="24"/>
              </w:rPr>
            </w:pPr>
            <w:r>
              <w:rPr>
                <w:rFonts w:ascii="仿宋_GB2312" w:eastAsia="仿宋_GB2312"/>
                <w:sz w:val="24"/>
                <w:szCs w:val="24"/>
              </w:rPr>
              <w:t>15%</w:t>
            </w:r>
          </w:p>
        </w:tc>
      </w:tr>
      <w:tr w14:paraId="53980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2" w:type="pct"/>
          </w:tcPr>
          <w:p w14:paraId="4694AAE6">
            <w:pPr>
              <w:adjustRightInd w:val="0"/>
              <w:snapToGrid w:val="0"/>
              <w:rPr>
                <w:rFonts w:ascii="仿宋_GB2312" w:eastAsia="仿宋_GB2312"/>
                <w:b/>
                <w:sz w:val="24"/>
                <w:szCs w:val="24"/>
              </w:rPr>
            </w:pPr>
            <w:r>
              <w:rPr>
                <w:rFonts w:hint="eastAsia" w:ascii="仿宋_GB2312" w:eastAsia="仿宋_GB2312"/>
                <w:b/>
                <w:sz w:val="24"/>
                <w:szCs w:val="24"/>
              </w:rPr>
              <w:t>篮子5</w:t>
            </w:r>
          </w:p>
        </w:tc>
        <w:tc>
          <w:tcPr>
            <w:tcW w:w="654" w:type="pct"/>
          </w:tcPr>
          <w:p w14:paraId="63BA6894">
            <w:pPr>
              <w:adjustRightInd w:val="0"/>
              <w:snapToGrid w:val="0"/>
              <w:rPr>
                <w:rFonts w:ascii="仿宋_GB2312" w:eastAsia="仿宋_GB2312"/>
                <w:sz w:val="24"/>
                <w:szCs w:val="24"/>
              </w:rPr>
            </w:pPr>
            <w:r>
              <w:rPr>
                <w:rFonts w:hint="eastAsia" w:ascii="仿宋_GB2312" w:eastAsia="仿宋_GB2312"/>
                <w:sz w:val="24"/>
                <w:szCs w:val="24"/>
              </w:rPr>
              <w:t>AAA（私）</w:t>
            </w:r>
          </w:p>
        </w:tc>
        <w:tc>
          <w:tcPr>
            <w:tcW w:w="2862" w:type="pct"/>
          </w:tcPr>
          <w:p w14:paraId="39BA1267">
            <w:pPr>
              <w:adjustRightInd w:val="0"/>
              <w:snapToGrid w:val="0"/>
              <w:rPr>
                <w:rFonts w:ascii="仿宋_GB2312" w:eastAsia="仿宋_GB2312"/>
                <w:sz w:val="24"/>
                <w:szCs w:val="24"/>
              </w:rPr>
            </w:pPr>
            <w:r>
              <w:rPr>
                <w:rFonts w:hint="eastAsia" w:ascii="仿宋_GB2312" w:eastAsia="仿宋_GB2312"/>
                <w:sz w:val="24"/>
                <w:szCs w:val="24"/>
              </w:rPr>
              <w:t>非公开发行的、评级AAA的信用债</w:t>
            </w:r>
          </w:p>
        </w:tc>
        <w:tc>
          <w:tcPr>
            <w:tcW w:w="582" w:type="pct"/>
          </w:tcPr>
          <w:p w14:paraId="0D39043B">
            <w:pPr>
              <w:adjustRightInd w:val="0"/>
              <w:snapToGrid w:val="0"/>
              <w:rPr>
                <w:rFonts w:ascii="仿宋_GB2312" w:eastAsia="仿宋_GB2312"/>
                <w:sz w:val="24"/>
                <w:szCs w:val="24"/>
              </w:rPr>
            </w:pPr>
            <w:r>
              <w:rPr>
                <w:rFonts w:ascii="仿宋_GB2312" w:eastAsia="仿宋_GB2312"/>
                <w:sz w:val="24"/>
                <w:szCs w:val="24"/>
              </w:rPr>
              <w:t>8%</w:t>
            </w:r>
          </w:p>
        </w:tc>
      </w:tr>
      <w:tr w14:paraId="55704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2" w:type="pct"/>
          </w:tcPr>
          <w:p w14:paraId="5637E709">
            <w:pPr>
              <w:adjustRightInd w:val="0"/>
              <w:snapToGrid w:val="0"/>
              <w:rPr>
                <w:rFonts w:ascii="仿宋_GB2312" w:eastAsia="仿宋_GB2312"/>
                <w:b/>
                <w:sz w:val="24"/>
                <w:szCs w:val="24"/>
              </w:rPr>
            </w:pPr>
            <w:r>
              <w:rPr>
                <w:rFonts w:hint="eastAsia" w:ascii="仿宋_GB2312" w:eastAsia="仿宋_GB2312"/>
                <w:b/>
                <w:sz w:val="24"/>
                <w:szCs w:val="24"/>
              </w:rPr>
              <w:t>篮子6</w:t>
            </w:r>
          </w:p>
        </w:tc>
        <w:tc>
          <w:tcPr>
            <w:tcW w:w="654" w:type="pct"/>
          </w:tcPr>
          <w:p w14:paraId="7966A700">
            <w:pPr>
              <w:adjustRightInd w:val="0"/>
              <w:snapToGrid w:val="0"/>
              <w:rPr>
                <w:rFonts w:ascii="仿宋_GB2312" w:eastAsia="仿宋_GB2312"/>
                <w:sz w:val="24"/>
                <w:szCs w:val="24"/>
              </w:rPr>
            </w:pPr>
            <w:r>
              <w:rPr>
                <w:rFonts w:hint="eastAsia" w:ascii="仿宋_GB2312" w:eastAsia="仿宋_GB2312"/>
                <w:sz w:val="24"/>
                <w:szCs w:val="24"/>
              </w:rPr>
              <w:t>AA+（私）</w:t>
            </w:r>
          </w:p>
        </w:tc>
        <w:tc>
          <w:tcPr>
            <w:tcW w:w="2862" w:type="pct"/>
          </w:tcPr>
          <w:p w14:paraId="15FAFCC4">
            <w:pPr>
              <w:adjustRightInd w:val="0"/>
              <w:snapToGrid w:val="0"/>
              <w:rPr>
                <w:rFonts w:ascii="仿宋_GB2312" w:eastAsia="仿宋_GB2312"/>
                <w:sz w:val="24"/>
                <w:szCs w:val="24"/>
              </w:rPr>
            </w:pPr>
            <w:r>
              <w:rPr>
                <w:rFonts w:hint="eastAsia" w:ascii="仿宋_GB2312" w:eastAsia="仿宋_GB2312"/>
                <w:sz w:val="24"/>
                <w:szCs w:val="24"/>
              </w:rPr>
              <w:t>非公开发行的、评级AA+的信用债</w:t>
            </w:r>
          </w:p>
        </w:tc>
        <w:tc>
          <w:tcPr>
            <w:tcW w:w="582" w:type="pct"/>
          </w:tcPr>
          <w:p w14:paraId="72C08131">
            <w:pPr>
              <w:adjustRightInd w:val="0"/>
              <w:snapToGrid w:val="0"/>
              <w:rPr>
                <w:rFonts w:ascii="仿宋_GB2312" w:eastAsia="仿宋_GB2312"/>
                <w:sz w:val="24"/>
                <w:szCs w:val="24"/>
              </w:rPr>
            </w:pPr>
            <w:r>
              <w:rPr>
                <w:rFonts w:ascii="仿宋_GB2312" w:eastAsia="仿宋_GB2312"/>
                <w:sz w:val="24"/>
                <w:szCs w:val="24"/>
              </w:rPr>
              <w:t>15%</w:t>
            </w:r>
          </w:p>
        </w:tc>
      </w:tr>
      <w:tr w14:paraId="3C807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2" w:type="pct"/>
          </w:tcPr>
          <w:p w14:paraId="2B5857DB">
            <w:pPr>
              <w:adjustRightInd w:val="0"/>
              <w:snapToGrid w:val="0"/>
              <w:rPr>
                <w:rFonts w:ascii="仿宋_GB2312" w:eastAsia="仿宋_GB2312"/>
                <w:b/>
                <w:sz w:val="24"/>
                <w:szCs w:val="24"/>
              </w:rPr>
            </w:pPr>
            <w:r>
              <w:rPr>
                <w:rFonts w:hint="eastAsia" w:ascii="仿宋_GB2312" w:eastAsia="仿宋_GB2312"/>
                <w:b/>
                <w:sz w:val="24"/>
                <w:szCs w:val="24"/>
              </w:rPr>
              <w:t>篮子7</w:t>
            </w:r>
          </w:p>
        </w:tc>
        <w:tc>
          <w:tcPr>
            <w:tcW w:w="654" w:type="pct"/>
          </w:tcPr>
          <w:p w14:paraId="70A9C719">
            <w:pPr>
              <w:adjustRightInd w:val="0"/>
              <w:snapToGrid w:val="0"/>
              <w:rPr>
                <w:rFonts w:ascii="仿宋_GB2312" w:eastAsia="仿宋_GB2312"/>
                <w:sz w:val="24"/>
                <w:szCs w:val="24"/>
              </w:rPr>
            </w:pPr>
            <w:r>
              <w:rPr>
                <w:rFonts w:hint="eastAsia" w:ascii="仿宋_GB2312" w:eastAsia="仿宋_GB2312"/>
                <w:sz w:val="24"/>
                <w:szCs w:val="24"/>
              </w:rPr>
              <w:t>AA（私）</w:t>
            </w:r>
          </w:p>
        </w:tc>
        <w:tc>
          <w:tcPr>
            <w:tcW w:w="2862" w:type="pct"/>
          </w:tcPr>
          <w:p w14:paraId="6C1BA148">
            <w:pPr>
              <w:adjustRightInd w:val="0"/>
              <w:snapToGrid w:val="0"/>
              <w:rPr>
                <w:rFonts w:ascii="仿宋_GB2312" w:eastAsia="仿宋_GB2312"/>
                <w:sz w:val="24"/>
                <w:szCs w:val="24"/>
              </w:rPr>
            </w:pPr>
            <w:r>
              <w:rPr>
                <w:rFonts w:hint="eastAsia" w:ascii="仿宋_GB2312" w:eastAsia="仿宋_GB2312"/>
                <w:sz w:val="24"/>
                <w:szCs w:val="24"/>
              </w:rPr>
              <w:t>非公开发行的、评级AA的信用债</w:t>
            </w:r>
          </w:p>
        </w:tc>
        <w:tc>
          <w:tcPr>
            <w:tcW w:w="582" w:type="pct"/>
          </w:tcPr>
          <w:p w14:paraId="4B7DBD78">
            <w:pPr>
              <w:adjustRightInd w:val="0"/>
              <w:snapToGrid w:val="0"/>
              <w:rPr>
                <w:rFonts w:ascii="仿宋_GB2312" w:eastAsia="仿宋_GB2312"/>
                <w:sz w:val="24"/>
                <w:szCs w:val="24"/>
              </w:rPr>
            </w:pPr>
            <w:r>
              <w:rPr>
                <w:rFonts w:ascii="仿宋_GB2312" w:eastAsia="仿宋_GB2312"/>
                <w:sz w:val="24"/>
                <w:szCs w:val="24"/>
              </w:rPr>
              <w:t>25%</w:t>
            </w:r>
          </w:p>
        </w:tc>
      </w:tr>
      <w:tr w14:paraId="04E6D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2" w:type="pct"/>
          </w:tcPr>
          <w:p w14:paraId="505E5FAE">
            <w:pPr>
              <w:adjustRightInd w:val="0"/>
              <w:snapToGrid w:val="0"/>
              <w:rPr>
                <w:rFonts w:ascii="仿宋_GB2312" w:eastAsia="仿宋_GB2312"/>
                <w:b/>
                <w:sz w:val="24"/>
                <w:szCs w:val="24"/>
              </w:rPr>
            </w:pPr>
            <w:r>
              <w:rPr>
                <w:rFonts w:hint="eastAsia" w:ascii="仿宋_GB2312" w:eastAsia="仿宋_GB2312"/>
                <w:b/>
                <w:sz w:val="24"/>
                <w:szCs w:val="24"/>
              </w:rPr>
              <w:t>篮子8</w:t>
            </w:r>
          </w:p>
        </w:tc>
        <w:tc>
          <w:tcPr>
            <w:tcW w:w="654" w:type="pct"/>
          </w:tcPr>
          <w:p w14:paraId="7FD4314A">
            <w:pPr>
              <w:adjustRightInd w:val="0"/>
              <w:snapToGrid w:val="0"/>
              <w:rPr>
                <w:rFonts w:ascii="仿宋_GB2312" w:eastAsia="仿宋_GB2312"/>
                <w:sz w:val="24"/>
                <w:szCs w:val="24"/>
              </w:rPr>
            </w:pPr>
            <w:r>
              <w:rPr>
                <w:rFonts w:hint="eastAsia" w:ascii="仿宋_GB2312" w:eastAsia="仿宋_GB2312"/>
                <w:sz w:val="24"/>
                <w:szCs w:val="24"/>
              </w:rPr>
              <w:t>其他</w:t>
            </w:r>
          </w:p>
        </w:tc>
        <w:tc>
          <w:tcPr>
            <w:tcW w:w="2862" w:type="pct"/>
          </w:tcPr>
          <w:p w14:paraId="130C0B5B">
            <w:pPr>
              <w:adjustRightInd w:val="0"/>
              <w:snapToGrid w:val="0"/>
              <w:rPr>
                <w:rFonts w:ascii="仿宋_GB2312" w:eastAsia="仿宋_GB2312"/>
                <w:sz w:val="24"/>
                <w:szCs w:val="24"/>
              </w:rPr>
            </w:pPr>
            <w:r>
              <w:rPr>
                <w:rFonts w:hint="eastAsia" w:ascii="仿宋_GB2312" w:eastAsia="仿宋_GB2312"/>
                <w:sz w:val="24"/>
                <w:szCs w:val="24"/>
              </w:rPr>
              <w:t>篮子1-7以外的本所挂牌交易或转让信用债</w:t>
            </w:r>
          </w:p>
        </w:tc>
        <w:tc>
          <w:tcPr>
            <w:tcW w:w="582" w:type="pct"/>
          </w:tcPr>
          <w:p w14:paraId="7523072B">
            <w:pPr>
              <w:adjustRightInd w:val="0"/>
              <w:snapToGrid w:val="0"/>
              <w:rPr>
                <w:rFonts w:ascii="仿宋_GB2312" w:eastAsia="仿宋_GB2312"/>
                <w:sz w:val="24"/>
                <w:szCs w:val="24"/>
              </w:rPr>
            </w:pPr>
            <w:r>
              <w:rPr>
                <w:rFonts w:ascii="仿宋_GB2312" w:eastAsia="仿宋_GB2312"/>
                <w:sz w:val="24"/>
                <w:szCs w:val="24"/>
              </w:rPr>
              <w:t>40%</w:t>
            </w:r>
          </w:p>
        </w:tc>
      </w:tr>
    </w:tbl>
    <w:p w14:paraId="082F3DBC">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表格中的信用债含资产支持证券（次级档例外）。</w:t>
      </w:r>
    </w:p>
    <w:p w14:paraId="5E33B279">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评级信息在主体评级（若有）和债项评级（若有）中取孰高者。债券存在双评级的，按孰低原则办理。</w:t>
      </w:r>
    </w:p>
    <w:p w14:paraId="7E637916">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相同的质押券篮子内的所有债券实行相同的折扣率。本所可以根据市场情况对质押券篮子的内容及折扣率进行调整,有权将违约或存在信用风险事件的债券调出质押品范围。</w:t>
      </w:r>
    </w:p>
    <w:p w14:paraId="5E8B02E4">
      <w:pPr>
        <w:adjustRightInd w:val="0"/>
        <w:snapToGrid w:val="0"/>
        <w:spacing w:line="600" w:lineRule="exact"/>
        <w:ind w:firstLine="600"/>
        <w:rPr>
          <w:rFonts w:ascii="仿宋_GB2312" w:hAnsi="Calibri" w:eastAsia="仿宋_GB2312"/>
          <w:b/>
          <w:sz w:val="30"/>
          <w:szCs w:val="30"/>
        </w:rPr>
      </w:pPr>
      <w:r>
        <w:rPr>
          <w:rFonts w:hint="eastAsia" w:ascii="仿宋_GB2312" w:hAnsi="Calibri" w:eastAsia="仿宋_GB2312"/>
          <w:sz w:val="30"/>
          <w:szCs w:val="30"/>
        </w:rPr>
        <w:t xml:space="preserve">三方回购交易可指定多个质押券篮子。篮子选择可以是连续（如选择篮子1、2、3、4、5），也可以是非连续（如选择篮子1、2、5）。      </w:t>
      </w:r>
    </w:p>
    <w:p w14:paraId="14EEB7C6">
      <w:pPr>
        <w:spacing w:line="600" w:lineRule="exact"/>
        <w:ind w:left="567"/>
        <w:outlineLvl w:val="3"/>
        <w:rPr>
          <w:rFonts w:ascii="仿宋_GB2312" w:eastAsia="仿宋_GB2312"/>
          <w:b/>
          <w:sz w:val="30"/>
          <w:szCs w:val="30"/>
        </w:rPr>
      </w:pPr>
      <w:r>
        <w:rPr>
          <w:rFonts w:hint="eastAsia" w:ascii="仿宋_GB2312" w:eastAsia="仿宋_GB2312"/>
          <w:b/>
          <w:sz w:val="30"/>
          <w:szCs w:val="30"/>
        </w:rPr>
        <w:t>（4）自行指定质押券</w:t>
      </w:r>
    </w:p>
    <w:p w14:paraId="553DD8D7">
      <w:pPr>
        <w:adjustRightInd w:val="0"/>
        <w:snapToGri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sz w:val="30"/>
          <w:szCs w:val="30"/>
        </w:rPr>
        <w:t>回购交易双方可以自行指定具体质押券，指定的质押券应在交易申报确定的质押券篮子范围内，且指定质押券到期日应晚于回购到期日。初期，</w:t>
      </w:r>
      <w:r>
        <w:rPr>
          <w:rFonts w:hint="eastAsia" w:ascii="仿宋_GB2312" w:hAnsi="Calibri" w:eastAsia="仿宋_GB2312"/>
          <w:kern w:val="0"/>
          <w:sz w:val="30"/>
          <w:szCs w:val="30"/>
        </w:rPr>
        <w:t>自行指定的质押券不能超过3只。</w:t>
      </w:r>
    </w:p>
    <w:p w14:paraId="529EA883">
      <w:pPr>
        <w:spacing w:line="600" w:lineRule="exact"/>
        <w:ind w:firstLine="602" w:firstLineChars="200"/>
        <w:outlineLvl w:val="3"/>
        <w:rPr>
          <w:rFonts w:ascii="仿宋_GB2312" w:eastAsia="仿宋_GB2312"/>
          <w:b/>
          <w:sz w:val="30"/>
          <w:szCs w:val="30"/>
        </w:rPr>
      </w:pPr>
      <w:r>
        <w:rPr>
          <w:rFonts w:hint="eastAsia" w:ascii="仿宋_GB2312" w:eastAsia="仿宋_GB2312"/>
          <w:b/>
          <w:sz w:val="30"/>
          <w:szCs w:val="30"/>
        </w:rPr>
        <w:t>（5）质押券选取</w:t>
      </w:r>
    </w:p>
    <w:p w14:paraId="42C15A16">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证券登记结算机构将依据回购双方的交易申报数据进行实时逐笔结算并进行质押券选取。首次结算，登记结算机构从正回购方三方回购专用账户内按以下原则选取质押债券：</w:t>
      </w:r>
    </w:p>
    <w:p w14:paraId="11A3DE8E">
      <w:pPr>
        <w:adjustRightInd w:val="0"/>
        <w:snapToGrid w:val="0"/>
        <w:spacing w:line="600" w:lineRule="exact"/>
        <w:ind w:firstLine="600"/>
        <w:rPr>
          <w:rFonts w:ascii="仿宋_GB2312" w:hAnsi="Calibri" w:eastAsia="仿宋_GB2312"/>
          <w:sz w:val="30"/>
          <w:szCs w:val="30"/>
        </w:rPr>
      </w:pPr>
      <w:r>
        <w:rPr>
          <w:rFonts w:hint="eastAsia" w:ascii="仿宋_GB2312" w:hAnsi="Calibri" w:eastAsia="仿宋_GB2312"/>
          <w:sz w:val="30"/>
          <w:szCs w:val="30"/>
        </w:rPr>
        <w:t>1）如回购双方自行指定质押债券品种和对应数量，登记结算机构将优先选取双方指定的质押券品种。指定的任意一只质押券数量不足,交收失败。</w:t>
      </w:r>
    </w:p>
    <w:p w14:paraId="00EB18A8">
      <w:pPr>
        <w:adjustRightInd w:val="0"/>
        <w:snapToGrid w:val="0"/>
        <w:spacing w:line="600" w:lineRule="exact"/>
        <w:ind w:firstLine="600"/>
        <w:rPr>
          <w:rFonts w:ascii="仿宋_GB2312" w:hAnsi="Calibri" w:eastAsia="仿宋_GB2312"/>
          <w:sz w:val="30"/>
          <w:szCs w:val="30"/>
        </w:rPr>
      </w:pPr>
      <w:r>
        <w:rPr>
          <w:rFonts w:hint="eastAsia" w:ascii="仿宋_GB2312" w:hAnsi="Calibri" w:eastAsia="仿宋_GB2312"/>
          <w:sz w:val="30"/>
          <w:szCs w:val="30"/>
        </w:rPr>
        <w:t>2）若双方未指定具体质押券品种或者已经指定的具体质押券品种担保品价值低于回购金额，对差额部分则按指定质押券篮子编号从大到小的顺序依次选取。编号大的篮子全部选取完依旧担保品不足额的，则到下一个质押券篮子中去选取，以此类推，直至足额为止。</w:t>
      </w:r>
    </w:p>
    <w:p w14:paraId="3B69CF5A">
      <w:pPr>
        <w:adjustRightInd w:val="0"/>
        <w:snapToGrid w:val="0"/>
        <w:spacing w:line="600" w:lineRule="exact"/>
        <w:ind w:firstLine="600"/>
        <w:rPr>
          <w:rFonts w:ascii="仿宋_GB2312" w:hAnsi="Calibri" w:eastAsia="仿宋_GB2312"/>
          <w:sz w:val="30"/>
          <w:szCs w:val="30"/>
        </w:rPr>
      </w:pPr>
      <w:r>
        <w:rPr>
          <w:rFonts w:hint="eastAsia" w:ascii="仿宋_GB2312" w:hAnsi="Calibri" w:eastAsia="仿宋_GB2312"/>
          <w:sz w:val="30"/>
          <w:szCs w:val="30"/>
        </w:rPr>
        <w:t>3）</w:t>
      </w:r>
      <w:r>
        <w:rPr>
          <w:rFonts w:ascii="仿宋_GB2312" w:hAnsi="Calibri" w:eastAsia="仿宋_GB2312"/>
          <w:sz w:val="30"/>
          <w:szCs w:val="30"/>
        </w:rPr>
        <w:tab/>
      </w:r>
      <w:r>
        <w:rPr>
          <w:rFonts w:hint="eastAsia" w:ascii="仿宋_GB2312" w:hAnsi="Calibri" w:eastAsia="仿宋_GB2312"/>
          <w:sz w:val="30"/>
          <w:szCs w:val="30"/>
        </w:rPr>
        <w:t>同一质押券篮子中按可用数量由多到少的原则选取质押券，数量相同时按照代码由小到大原则选取，第一个选中的债券托管数量若足额则选取过程结束，否则继续按数量由多到少的原则选取下一个债券，直至足额为止。选取的质押券的到期日不得早于回购到期日。</w:t>
      </w:r>
    </w:p>
    <w:p w14:paraId="3E377737">
      <w:pPr>
        <w:adjustRightInd w:val="0"/>
        <w:snapToGrid w:val="0"/>
        <w:spacing w:line="600" w:lineRule="exact"/>
        <w:ind w:firstLine="600"/>
        <w:rPr>
          <w:rFonts w:ascii="仿宋_GB2312" w:hAnsi="Calibri" w:eastAsia="仿宋_GB2312"/>
          <w:sz w:val="30"/>
          <w:szCs w:val="30"/>
        </w:rPr>
      </w:pPr>
      <w:r>
        <w:rPr>
          <w:rFonts w:hint="eastAsia" w:ascii="仿宋_GB2312" w:hAnsi="Calibri" w:eastAsia="仿宋_GB2312"/>
          <w:sz w:val="30"/>
          <w:szCs w:val="30"/>
        </w:rPr>
        <w:t>4）若最终指定的所有质押券篮子中可供选择的债券仍不足额，则结算失败。</w:t>
      </w:r>
    </w:p>
    <w:p w14:paraId="5334C4AB">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交易流程</w:t>
      </w:r>
      <w:r>
        <w:rPr>
          <w:rFonts w:ascii="仿宋_GB2312" w:eastAsia="仿宋_GB2312"/>
          <w:b/>
          <w:sz w:val="30"/>
          <w:szCs w:val="30"/>
        </w:rPr>
        <w:tab/>
      </w:r>
      <w:bookmarkStart w:id="2101" w:name="_Toc499850039"/>
      <w:bookmarkEnd w:id="2101"/>
      <w:bookmarkStart w:id="2102" w:name="_Toc499850227"/>
      <w:bookmarkEnd w:id="2102"/>
      <w:bookmarkStart w:id="2103" w:name="_Toc482797673"/>
      <w:bookmarkStart w:id="2104" w:name="_Toc480273651"/>
      <w:bookmarkStart w:id="2105" w:name="_Toc480273855"/>
      <w:bookmarkStart w:id="2106" w:name="_Toc480271907"/>
    </w:p>
    <w:p w14:paraId="0C660267">
      <w:pPr>
        <w:spacing w:line="600" w:lineRule="exact"/>
        <w:ind w:left="567"/>
        <w:outlineLvl w:val="3"/>
        <w:rPr>
          <w:rFonts w:ascii="仿宋_GB2312" w:eastAsia="仿宋_GB2312"/>
          <w:b/>
          <w:sz w:val="30"/>
          <w:szCs w:val="30"/>
        </w:rPr>
      </w:pPr>
      <w:r>
        <w:rPr>
          <w:rFonts w:hint="eastAsia" w:ascii="仿宋_GB2312" w:eastAsia="仿宋_GB2312"/>
          <w:b/>
          <w:sz w:val="30"/>
          <w:szCs w:val="30"/>
        </w:rPr>
        <w:t>（1）交易平台</w:t>
      </w:r>
    </w:p>
    <w:p w14:paraId="3CEDA3EB">
      <w:pPr>
        <w:adjustRightInd w:val="0"/>
        <w:snapToGri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三方回购的交易申报在固定收益平台进行。市场参与者为本所债券交易参与人的，可直接通过固定收益平台进行三方回购交易申报；市场参与者为经纪客户的，由证券公司根据客户的委托和真实意思表示在固定收益平台上代为申报。</w:t>
      </w:r>
    </w:p>
    <w:p w14:paraId="58A6E619">
      <w:pPr>
        <w:adjustRightInd w:val="0"/>
        <w:snapToGri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初期，申报通过固定收益平台的客户端完成。后续本所还将对三方回购的各类申报提供交易端电子接口接入方式，降低市场参与者的操作风险。</w:t>
      </w:r>
    </w:p>
    <w:p w14:paraId="3F4B6515">
      <w:pPr>
        <w:spacing w:line="600" w:lineRule="exact"/>
        <w:ind w:left="567"/>
        <w:outlineLvl w:val="3"/>
        <w:rPr>
          <w:rFonts w:ascii="仿宋_GB2312" w:eastAsia="仿宋_GB2312"/>
          <w:b/>
          <w:sz w:val="30"/>
          <w:szCs w:val="30"/>
        </w:rPr>
      </w:pPr>
      <w:r>
        <w:rPr>
          <w:rFonts w:hint="eastAsia" w:ascii="仿宋_GB2312" w:eastAsia="仿宋_GB2312"/>
          <w:b/>
          <w:sz w:val="30"/>
          <w:szCs w:val="30"/>
        </w:rPr>
        <w:t>（2）申报要素</w:t>
      </w:r>
      <w:bookmarkEnd w:id="2103"/>
      <w:bookmarkEnd w:id="2104"/>
      <w:bookmarkEnd w:id="2105"/>
      <w:bookmarkEnd w:id="2106"/>
    </w:p>
    <w:p w14:paraId="4B584527">
      <w:pPr>
        <w:adjustRightInd w:val="0"/>
        <w:snapToGrid w:val="0"/>
        <w:spacing w:line="600" w:lineRule="exact"/>
        <w:ind w:firstLine="600"/>
        <w:rPr>
          <w:rFonts w:ascii="仿宋_GB2312" w:hAnsi="Calibri" w:eastAsia="仿宋_GB2312"/>
          <w:sz w:val="30"/>
          <w:szCs w:val="30"/>
        </w:rPr>
      </w:pPr>
      <w:r>
        <w:rPr>
          <w:rFonts w:hint="eastAsia" w:ascii="仿宋_GB2312" w:hAnsi="Calibri" w:eastAsia="仿宋_GB2312"/>
          <w:sz w:val="30"/>
          <w:szCs w:val="30"/>
        </w:rPr>
        <w:t>三方回购的交易要素包括但不限于交易方向、回购利率、质押券篮子、质押券数量、质押券总面额、质权人、成交金额、折算比例、首次结算日、回购到期日、回购期限、到期结算日、实际占款天数、到期结算金额等。</w:t>
      </w:r>
    </w:p>
    <w:p w14:paraId="59BF1E05">
      <w:pPr>
        <w:adjustRightInd w:val="0"/>
        <w:snapToGri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正回购方申报的账户为三方回购专用证券账户，逆回购方为普通证券账户。</w:t>
      </w:r>
    </w:p>
    <w:p w14:paraId="50C4D3F8">
      <w:pPr>
        <w:adjustRightInd w:val="0"/>
        <w:snapToGri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sz w:val="30"/>
          <w:szCs w:val="30"/>
        </w:rPr>
        <w:t>三方回购品种期限可以由</w:t>
      </w:r>
      <w:r>
        <w:rPr>
          <w:rFonts w:hint="eastAsia" w:ascii="仿宋_GB2312" w:hAnsi="Calibri" w:eastAsia="仿宋_GB2312"/>
          <w:kern w:val="0"/>
          <w:sz w:val="30"/>
          <w:szCs w:val="30"/>
        </w:rPr>
        <w:t>回购</w:t>
      </w:r>
      <w:r>
        <w:rPr>
          <w:rFonts w:hint="eastAsia" w:ascii="仿宋_GB2312" w:hAnsi="Calibri" w:eastAsia="仿宋_GB2312"/>
          <w:sz w:val="30"/>
          <w:szCs w:val="30"/>
        </w:rPr>
        <w:t>双方在1-365天的范围内自行商定；回购</w:t>
      </w:r>
      <w:r>
        <w:rPr>
          <w:rFonts w:hint="eastAsia" w:ascii="仿宋_GB2312" w:hAnsi="Calibri" w:eastAsia="仿宋_GB2312"/>
          <w:kern w:val="0"/>
          <w:sz w:val="30"/>
          <w:szCs w:val="30"/>
        </w:rPr>
        <w:t>金额为100万元及其整数倍；回购利率不能超过24%，超过10%的交易提醒回购双方二次确认。</w:t>
      </w:r>
    </w:p>
    <w:p w14:paraId="215E32EE">
      <w:pPr>
        <w:spacing w:line="600" w:lineRule="exact"/>
        <w:ind w:left="567"/>
        <w:outlineLvl w:val="3"/>
        <w:rPr>
          <w:rFonts w:ascii="仿宋_GB2312" w:eastAsia="仿宋_GB2312"/>
          <w:b/>
          <w:sz w:val="30"/>
          <w:szCs w:val="30"/>
        </w:rPr>
      </w:pPr>
      <w:r>
        <w:rPr>
          <w:rFonts w:hint="eastAsia" w:ascii="仿宋_GB2312" w:eastAsia="仿宋_GB2312"/>
          <w:b/>
          <w:sz w:val="30"/>
          <w:szCs w:val="30"/>
        </w:rPr>
        <w:t>（3）回购交易申报</w:t>
      </w:r>
    </w:p>
    <w:p w14:paraId="3851017A">
      <w:pPr>
        <w:adjustRightInd w:val="0"/>
        <w:snapToGri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本所接受三方回购申报的时间为每个交易日的9：00至11：30，13：00至</w:t>
      </w:r>
      <w:r>
        <w:rPr>
          <w:rFonts w:ascii="仿宋_GB2312" w:hAnsi="Calibri" w:eastAsia="仿宋_GB2312"/>
          <w:kern w:val="0"/>
          <w:sz w:val="30"/>
          <w:szCs w:val="30"/>
        </w:rPr>
        <w:t>15</w:t>
      </w:r>
      <w:r>
        <w:rPr>
          <w:rFonts w:hint="eastAsia" w:ascii="仿宋_GB2312" w:hAnsi="Calibri" w:eastAsia="仿宋_GB2312"/>
          <w:kern w:val="0"/>
          <w:sz w:val="30"/>
          <w:szCs w:val="30"/>
        </w:rPr>
        <w:t>：</w:t>
      </w:r>
      <w:r>
        <w:rPr>
          <w:rFonts w:ascii="仿宋_GB2312" w:hAnsi="Calibri" w:eastAsia="仿宋_GB2312"/>
          <w:kern w:val="0"/>
          <w:sz w:val="30"/>
          <w:szCs w:val="30"/>
        </w:rPr>
        <w:t>30</w:t>
      </w:r>
      <w:r>
        <w:rPr>
          <w:rFonts w:hint="eastAsia" w:ascii="仿宋_GB2312" w:hAnsi="Calibri" w:eastAsia="仿宋_GB2312"/>
          <w:kern w:val="0"/>
          <w:sz w:val="30"/>
          <w:szCs w:val="30"/>
        </w:rPr>
        <w:t>。本所可以根据市场需要调整三方回购的申报时间。</w:t>
      </w:r>
    </w:p>
    <w:p w14:paraId="60DE09E8">
      <w:pPr>
        <w:adjustRightInd w:val="0"/>
        <w:snapToGri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首次回购交易可以采用点击成交、询价成交及协商成交等方式达成交易。三方回购参与方可通过提交意向申报等方式自行寻找对手方或通过货币经纪公司寻找对手方。业务初期，固定收益平台仅支持协商成交方式达成交易。</w:t>
      </w:r>
    </w:p>
    <w:p w14:paraId="1795279E">
      <w:pPr>
        <w:adjustRightInd w:val="0"/>
        <w:snapToGri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首次交易申报双方需指定质押券篮子，同时双方在质押券篮子的基础上可以自行指定质押券，且指定质押券的到期日不得早于回购到期日。</w:t>
      </w:r>
    </w:p>
    <w:p w14:paraId="2803D03E">
      <w:pPr>
        <w:adjustRightInd w:val="0"/>
        <w:snapToGri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回购双方可以在进行回购交易申报时填写交易补充约定，约定质押价值变动、违约处置等内容，但不得违反法律、行政法规、部门规章、其他规范性文件、《暂行办法》以及本所、证券登记结算机构的其他相关规定，且不得与主协议以及成交记录相冲突。交易补充约定的内容由回购双方自行履行。</w:t>
      </w:r>
    </w:p>
    <w:p w14:paraId="19C94096">
      <w:pPr>
        <w:spacing w:line="600" w:lineRule="exact"/>
        <w:ind w:firstLine="602" w:firstLineChars="200"/>
        <w:outlineLvl w:val="3"/>
        <w:rPr>
          <w:rFonts w:ascii="仿宋_GB2312" w:hAnsi="黑体" w:eastAsia="仿宋_GB2312"/>
          <w:b/>
          <w:sz w:val="30"/>
          <w:szCs w:val="30"/>
        </w:rPr>
      </w:pPr>
      <w:r>
        <w:rPr>
          <w:rFonts w:hint="eastAsia" w:ascii="仿宋_GB2312" w:eastAsia="仿宋_GB2312"/>
          <w:b/>
          <w:sz w:val="30"/>
          <w:szCs w:val="30"/>
        </w:rPr>
        <w:t>（4）</w:t>
      </w:r>
      <w:r>
        <w:rPr>
          <w:rFonts w:hint="eastAsia" w:ascii="仿宋_GB2312" w:hAnsi="黑体" w:eastAsia="仿宋_GB2312"/>
          <w:b/>
          <w:sz w:val="30"/>
          <w:szCs w:val="30"/>
        </w:rPr>
        <w:t>意向申报</w:t>
      </w:r>
    </w:p>
    <w:p w14:paraId="3244DC89">
      <w:pPr>
        <w:adjustRightInd w:val="0"/>
        <w:snapToGri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三方回购市场参与者可面向全市场提交意向申报。</w:t>
      </w:r>
    </w:p>
    <w:p w14:paraId="3CEDC5FD">
      <w:pPr>
        <w:adjustRightInd w:val="0"/>
        <w:snapToGrid w:val="0"/>
        <w:spacing w:line="600" w:lineRule="exact"/>
        <w:ind w:firstLine="600" w:firstLineChars="200"/>
        <w:rPr>
          <w:rFonts w:ascii="仿宋_GB2312" w:hAnsi="宋体" w:eastAsia="仿宋_GB2312"/>
          <w:sz w:val="30"/>
          <w:szCs w:val="30"/>
        </w:rPr>
      </w:pPr>
      <w:r>
        <w:rPr>
          <w:rFonts w:hint="eastAsia" w:ascii="仿宋_GB2312" w:hAnsi="Calibri" w:eastAsia="仿宋_GB2312"/>
          <w:kern w:val="0"/>
          <w:sz w:val="30"/>
          <w:szCs w:val="30"/>
        </w:rPr>
        <w:t>意向申报的</w:t>
      </w:r>
      <w:r>
        <w:rPr>
          <w:rFonts w:hint="eastAsia" w:ascii="仿宋_GB2312" w:hAnsi="宋体" w:eastAsia="仿宋_GB2312"/>
          <w:sz w:val="30"/>
          <w:szCs w:val="30"/>
        </w:rPr>
        <w:t>具体要素及要素说明如下：</w:t>
      </w:r>
    </w:p>
    <w:tbl>
      <w:tblPr>
        <w:tblStyle w:val="4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13"/>
        <w:gridCol w:w="5506"/>
      </w:tblGrid>
      <w:tr w14:paraId="64881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8" w:type="pct"/>
          </w:tcPr>
          <w:p w14:paraId="4021E985">
            <w:pPr>
              <w:adjustRightInd w:val="0"/>
              <w:snapToGrid w:val="0"/>
              <w:rPr>
                <w:rFonts w:ascii="仿宋_GB2312" w:eastAsia="仿宋_GB2312"/>
                <w:b/>
                <w:kern w:val="0"/>
                <w:sz w:val="24"/>
                <w:szCs w:val="24"/>
              </w:rPr>
            </w:pPr>
            <w:r>
              <w:rPr>
                <w:rFonts w:hint="eastAsia" w:ascii="仿宋_GB2312" w:eastAsia="仿宋_GB2312"/>
                <w:b/>
                <w:kern w:val="0"/>
                <w:sz w:val="24"/>
                <w:szCs w:val="24"/>
              </w:rPr>
              <w:t>要素名称</w:t>
            </w:r>
          </w:p>
        </w:tc>
        <w:tc>
          <w:tcPr>
            <w:tcW w:w="3231" w:type="pct"/>
          </w:tcPr>
          <w:p w14:paraId="5230F799">
            <w:pPr>
              <w:adjustRightInd w:val="0"/>
              <w:snapToGrid w:val="0"/>
              <w:rPr>
                <w:rFonts w:ascii="仿宋_GB2312" w:eastAsia="仿宋_GB2312"/>
                <w:b/>
                <w:kern w:val="0"/>
                <w:sz w:val="24"/>
                <w:szCs w:val="24"/>
              </w:rPr>
            </w:pPr>
            <w:r>
              <w:rPr>
                <w:rFonts w:hint="eastAsia" w:ascii="仿宋_GB2312" w:eastAsia="仿宋_GB2312"/>
                <w:b/>
                <w:kern w:val="0"/>
                <w:sz w:val="24"/>
                <w:szCs w:val="24"/>
              </w:rPr>
              <w:t>要素说明</w:t>
            </w:r>
          </w:p>
        </w:tc>
      </w:tr>
      <w:tr w14:paraId="05059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8" w:type="pct"/>
          </w:tcPr>
          <w:p w14:paraId="31970E17">
            <w:pPr>
              <w:adjustRightInd w:val="0"/>
              <w:snapToGrid w:val="0"/>
              <w:rPr>
                <w:rFonts w:ascii="仿宋_GB2312" w:eastAsia="仿宋_GB2312"/>
                <w:b/>
                <w:kern w:val="0"/>
                <w:sz w:val="24"/>
                <w:szCs w:val="24"/>
              </w:rPr>
            </w:pPr>
            <w:r>
              <w:rPr>
                <w:rFonts w:hint="eastAsia" w:ascii="仿宋_GB2312" w:eastAsia="仿宋_GB2312"/>
                <w:b/>
                <w:kern w:val="0"/>
                <w:sz w:val="24"/>
                <w:szCs w:val="24"/>
              </w:rPr>
              <w:t>回购方向</w:t>
            </w:r>
          </w:p>
        </w:tc>
        <w:tc>
          <w:tcPr>
            <w:tcW w:w="3231" w:type="pct"/>
          </w:tcPr>
          <w:p w14:paraId="301D3306">
            <w:pPr>
              <w:adjustRightInd w:val="0"/>
              <w:snapToGrid w:val="0"/>
              <w:rPr>
                <w:rFonts w:ascii="仿宋_GB2312" w:eastAsia="仿宋_GB2312"/>
                <w:kern w:val="0"/>
                <w:sz w:val="24"/>
                <w:szCs w:val="24"/>
              </w:rPr>
            </w:pPr>
            <w:r>
              <w:rPr>
                <w:rFonts w:hint="eastAsia" w:ascii="仿宋_GB2312" w:eastAsia="仿宋_GB2312"/>
                <w:kern w:val="0"/>
                <w:sz w:val="24"/>
                <w:szCs w:val="24"/>
              </w:rPr>
              <w:t>正回购或逆回购</w:t>
            </w:r>
          </w:p>
        </w:tc>
      </w:tr>
      <w:tr w14:paraId="4129E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8" w:type="pct"/>
          </w:tcPr>
          <w:p w14:paraId="254AB5BA">
            <w:pPr>
              <w:adjustRightInd w:val="0"/>
              <w:snapToGrid w:val="0"/>
              <w:rPr>
                <w:rFonts w:ascii="仿宋_GB2312" w:eastAsia="仿宋_GB2312"/>
                <w:b/>
                <w:kern w:val="0"/>
                <w:sz w:val="24"/>
                <w:szCs w:val="24"/>
              </w:rPr>
            </w:pPr>
            <w:r>
              <w:rPr>
                <w:rFonts w:hint="eastAsia" w:ascii="仿宋_GB2312" w:eastAsia="仿宋_GB2312"/>
                <w:b/>
                <w:kern w:val="0"/>
                <w:sz w:val="24"/>
                <w:szCs w:val="24"/>
              </w:rPr>
              <w:t>三方回购专用账户</w:t>
            </w:r>
          </w:p>
        </w:tc>
        <w:tc>
          <w:tcPr>
            <w:tcW w:w="3231" w:type="pct"/>
          </w:tcPr>
          <w:p w14:paraId="10F615F9">
            <w:pPr>
              <w:adjustRightInd w:val="0"/>
              <w:snapToGrid w:val="0"/>
              <w:rPr>
                <w:rFonts w:ascii="仿宋_GB2312" w:eastAsia="仿宋_GB2312"/>
                <w:kern w:val="0"/>
                <w:sz w:val="24"/>
                <w:szCs w:val="24"/>
              </w:rPr>
            </w:pPr>
            <w:r>
              <w:rPr>
                <w:rFonts w:hint="eastAsia" w:ascii="仿宋_GB2312" w:eastAsia="仿宋_GB2312"/>
                <w:kern w:val="0"/>
                <w:sz w:val="24"/>
                <w:szCs w:val="24"/>
              </w:rPr>
              <w:t>正回购方账户</w:t>
            </w:r>
          </w:p>
        </w:tc>
      </w:tr>
      <w:tr w14:paraId="0B149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68" w:type="pct"/>
          </w:tcPr>
          <w:p w14:paraId="27C01BFE">
            <w:pPr>
              <w:adjustRightInd w:val="0"/>
              <w:snapToGrid w:val="0"/>
              <w:rPr>
                <w:rFonts w:ascii="仿宋_GB2312" w:eastAsia="仿宋_GB2312"/>
                <w:b/>
                <w:kern w:val="0"/>
                <w:sz w:val="24"/>
                <w:szCs w:val="24"/>
              </w:rPr>
            </w:pPr>
            <w:r>
              <w:rPr>
                <w:rFonts w:hint="eastAsia" w:ascii="仿宋_GB2312" w:eastAsia="仿宋_GB2312"/>
                <w:b/>
                <w:kern w:val="0"/>
                <w:sz w:val="24"/>
                <w:szCs w:val="24"/>
              </w:rPr>
              <w:t>回购期限</w:t>
            </w:r>
          </w:p>
        </w:tc>
        <w:tc>
          <w:tcPr>
            <w:tcW w:w="3231" w:type="pct"/>
          </w:tcPr>
          <w:p w14:paraId="6E33F65C">
            <w:pPr>
              <w:adjustRightInd w:val="0"/>
              <w:snapToGrid w:val="0"/>
              <w:rPr>
                <w:rFonts w:ascii="仿宋_GB2312" w:eastAsia="仿宋_GB2312"/>
                <w:kern w:val="0"/>
                <w:sz w:val="24"/>
                <w:szCs w:val="24"/>
              </w:rPr>
            </w:pPr>
            <w:r>
              <w:rPr>
                <w:rFonts w:hint="eastAsia" w:ascii="仿宋_GB2312" w:eastAsia="仿宋_GB2312"/>
                <w:kern w:val="0"/>
                <w:sz w:val="24"/>
                <w:szCs w:val="24"/>
              </w:rPr>
              <w:t>回购到期日－成交日期</w:t>
            </w:r>
          </w:p>
        </w:tc>
      </w:tr>
      <w:tr w14:paraId="6589C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8" w:type="pct"/>
          </w:tcPr>
          <w:p w14:paraId="627412B9">
            <w:pPr>
              <w:adjustRightInd w:val="0"/>
              <w:snapToGrid w:val="0"/>
              <w:rPr>
                <w:rFonts w:ascii="仿宋_GB2312" w:eastAsia="仿宋_GB2312"/>
                <w:b/>
                <w:kern w:val="0"/>
                <w:sz w:val="24"/>
                <w:szCs w:val="24"/>
              </w:rPr>
            </w:pPr>
            <w:r>
              <w:rPr>
                <w:rFonts w:hint="eastAsia" w:ascii="仿宋_GB2312" w:eastAsia="仿宋_GB2312"/>
                <w:b/>
                <w:kern w:val="0"/>
                <w:sz w:val="24"/>
                <w:szCs w:val="24"/>
              </w:rPr>
              <w:t>回购利率</w:t>
            </w:r>
          </w:p>
        </w:tc>
        <w:tc>
          <w:tcPr>
            <w:tcW w:w="3231" w:type="pct"/>
          </w:tcPr>
          <w:p w14:paraId="2241BC12">
            <w:pPr>
              <w:adjustRightInd w:val="0"/>
              <w:snapToGrid w:val="0"/>
              <w:rPr>
                <w:rFonts w:ascii="仿宋_GB2312" w:eastAsia="仿宋_GB2312"/>
                <w:kern w:val="0"/>
                <w:sz w:val="24"/>
                <w:szCs w:val="24"/>
              </w:rPr>
            </w:pPr>
            <w:r>
              <w:rPr>
                <w:rFonts w:hint="eastAsia" w:ascii="仿宋_GB2312" w:eastAsia="仿宋_GB2312"/>
                <w:kern w:val="0"/>
                <w:sz w:val="24"/>
                <w:szCs w:val="24"/>
              </w:rPr>
              <w:t>正回购方付给逆回购方的资金价格</w:t>
            </w:r>
          </w:p>
        </w:tc>
      </w:tr>
      <w:tr w14:paraId="04353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8" w:type="pct"/>
          </w:tcPr>
          <w:p w14:paraId="7919218A">
            <w:pPr>
              <w:adjustRightInd w:val="0"/>
              <w:snapToGrid w:val="0"/>
              <w:rPr>
                <w:rFonts w:ascii="仿宋_GB2312" w:eastAsia="仿宋_GB2312"/>
                <w:b/>
                <w:kern w:val="0"/>
                <w:sz w:val="24"/>
                <w:szCs w:val="24"/>
              </w:rPr>
            </w:pPr>
            <w:r>
              <w:rPr>
                <w:rFonts w:hint="eastAsia" w:ascii="仿宋_GB2312" w:eastAsia="仿宋_GB2312"/>
                <w:b/>
                <w:kern w:val="0"/>
                <w:sz w:val="24"/>
                <w:szCs w:val="24"/>
              </w:rPr>
              <w:t>质押券篮子</w:t>
            </w:r>
          </w:p>
        </w:tc>
        <w:tc>
          <w:tcPr>
            <w:tcW w:w="3231" w:type="pct"/>
          </w:tcPr>
          <w:p w14:paraId="3B61A26C">
            <w:pPr>
              <w:adjustRightInd w:val="0"/>
              <w:snapToGrid w:val="0"/>
              <w:rPr>
                <w:rFonts w:ascii="仿宋_GB2312" w:eastAsia="仿宋_GB2312"/>
                <w:kern w:val="0"/>
                <w:sz w:val="24"/>
                <w:szCs w:val="24"/>
              </w:rPr>
            </w:pPr>
            <w:r>
              <w:rPr>
                <w:rFonts w:hint="eastAsia" w:ascii="仿宋_GB2312" w:eastAsia="仿宋_GB2312"/>
                <w:kern w:val="0"/>
                <w:sz w:val="24"/>
                <w:szCs w:val="24"/>
              </w:rPr>
              <w:t>勾选质押券篮子编码</w:t>
            </w:r>
          </w:p>
        </w:tc>
      </w:tr>
      <w:tr w14:paraId="18CD3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8" w:type="pct"/>
          </w:tcPr>
          <w:p w14:paraId="1D89D543">
            <w:pPr>
              <w:adjustRightInd w:val="0"/>
              <w:snapToGrid w:val="0"/>
              <w:rPr>
                <w:rFonts w:ascii="仿宋_GB2312" w:eastAsia="仿宋_GB2312"/>
                <w:b/>
                <w:kern w:val="0"/>
                <w:sz w:val="24"/>
                <w:szCs w:val="24"/>
              </w:rPr>
            </w:pPr>
            <w:r>
              <w:rPr>
                <w:rFonts w:hint="eastAsia" w:ascii="仿宋_GB2312" w:eastAsia="仿宋_GB2312"/>
                <w:b/>
                <w:kern w:val="0"/>
                <w:sz w:val="24"/>
                <w:szCs w:val="24"/>
              </w:rPr>
              <w:t>金额</w:t>
            </w:r>
          </w:p>
        </w:tc>
        <w:tc>
          <w:tcPr>
            <w:tcW w:w="3231" w:type="pct"/>
          </w:tcPr>
          <w:p w14:paraId="6F84745A">
            <w:pPr>
              <w:adjustRightInd w:val="0"/>
              <w:snapToGrid w:val="0"/>
              <w:rPr>
                <w:rFonts w:ascii="仿宋_GB2312" w:eastAsia="仿宋_GB2312"/>
                <w:kern w:val="0"/>
                <w:sz w:val="24"/>
                <w:szCs w:val="24"/>
              </w:rPr>
            </w:pPr>
            <w:r>
              <w:rPr>
                <w:rFonts w:hint="eastAsia" w:ascii="仿宋_GB2312" w:eastAsia="仿宋_GB2312"/>
                <w:kern w:val="0"/>
                <w:sz w:val="24"/>
                <w:szCs w:val="24"/>
              </w:rPr>
              <w:t>正回购方融入的资金额度</w:t>
            </w:r>
          </w:p>
        </w:tc>
      </w:tr>
      <w:tr w14:paraId="02409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68" w:type="pct"/>
          </w:tcPr>
          <w:p w14:paraId="29E8507E">
            <w:pPr>
              <w:adjustRightInd w:val="0"/>
              <w:snapToGrid w:val="0"/>
              <w:rPr>
                <w:rFonts w:ascii="仿宋_GB2312" w:eastAsia="仿宋_GB2312"/>
                <w:b/>
                <w:kern w:val="0"/>
                <w:sz w:val="24"/>
                <w:szCs w:val="24"/>
              </w:rPr>
            </w:pPr>
            <w:r>
              <w:rPr>
                <w:rFonts w:hint="eastAsia" w:ascii="仿宋_GB2312" w:eastAsia="仿宋_GB2312"/>
                <w:b/>
                <w:kern w:val="0"/>
                <w:sz w:val="24"/>
                <w:szCs w:val="24"/>
              </w:rPr>
              <w:t>三方回购专用账户名称</w:t>
            </w:r>
          </w:p>
        </w:tc>
        <w:tc>
          <w:tcPr>
            <w:tcW w:w="3231" w:type="pct"/>
          </w:tcPr>
          <w:p w14:paraId="5D9420FE">
            <w:pPr>
              <w:adjustRightInd w:val="0"/>
              <w:snapToGrid w:val="0"/>
              <w:rPr>
                <w:rFonts w:ascii="仿宋_GB2312" w:eastAsia="仿宋_GB2312"/>
                <w:kern w:val="0"/>
                <w:sz w:val="24"/>
                <w:szCs w:val="24"/>
              </w:rPr>
            </w:pPr>
            <w:r>
              <w:rPr>
                <w:rFonts w:hint="eastAsia" w:ascii="仿宋_GB2312" w:eastAsia="仿宋_GB2312"/>
                <w:kern w:val="0"/>
                <w:sz w:val="24"/>
                <w:szCs w:val="24"/>
              </w:rPr>
              <w:t>正回购方账户名称，自动显示，无需输入</w:t>
            </w:r>
          </w:p>
        </w:tc>
      </w:tr>
      <w:tr w14:paraId="2EE8A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8" w:type="pct"/>
          </w:tcPr>
          <w:p w14:paraId="0692F064">
            <w:pPr>
              <w:adjustRightInd w:val="0"/>
              <w:snapToGrid w:val="0"/>
              <w:rPr>
                <w:rFonts w:ascii="仿宋_GB2312" w:eastAsia="仿宋_GB2312"/>
                <w:b/>
                <w:kern w:val="0"/>
                <w:sz w:val="24"/>
                <w:szCs w:val="24"/>
              </w:rPr>
            </w:pPr>
            <w:r>
              <w:rPr>
                <w:rFonts w:hint="eastAsia" w:ascii="仿宋_GB2312" w:eastAsia="仿宋_GB2312"/>
                <w:b/>
                <w:kern w:val="0"/>
                <w:sz w:val="24"/>
                <w:szCs w:val="24"/>
              </w:rPr>
              <w:t>交易单元</w:t>
            </w:r>
          </w:p>
        </w:tc>
        <w:tc>
          <w:tcPr>
            <w:tcW w:w="3231" w:type="pct"/>
          </w:tcPr>
          <w:p w14:paraId="3A4D7E2C">
            <w:pPr>
              <w:adjustRightInd w:val="0"/>
              <w:snapToGrid w:val="0"/>
              <w:rPr>
                <w:rFonts w:ascii="仿宋_GB2312" w:eastAsia="仿宋_GB2312"/>
                <w:kern w:val="0"/>
                <w:sz w:val="24"/>
                <w:szCs w:val="24"/>
              </w:rPr>
            </w:pPr>
            <w:r>
              <w:rPr>
                <w:rFonts w:hint="eastAsia" w:ascii="仿宋_GB2312" w:eastAsia="仿宋_GB2312"/>
                <w:kern w:val="0"/>
                <w:sz w:val="24"/>
                <w:szCs w:val="24"/>
              </w:rPr>
              <w:t>证券账号指定交易单元号，自动显示，无需输入</w:t>
            </w:r>
          </w:p>
        </w:tc>
      </w:tr>
      <w:tr w14:paraId="53688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8" w:type="pct"/>
          </w:tcPr>
          <w:p w14:paraId="3E6F944E">
            <w:pPr>
              <w:adjustRightInd w:val="0"/>
              <w:snapToGrid w:val="0"/>
              <w:rPr>
                <w:rFonts w:ascii="仿宋_GB2312" w:eastAsia="仿宋_GB2312"/>
                <w:b/>
                <w:kern w:val="0"/>
                <w:sz w:val="24"/>
                <w:szCs w:val="24"/>
              </w:rPr>
            </w:pPr>
            <w:r>
              <w:rPr>
                <w:rFonts w:hint="eastAsia" w:ascii="仿宋_GB2312" w:eastAsia="仿宋_GB2312"/>
                <w:b/>
                <w:kern w:val="0"/>
                <w:sz w:val="24"/>
                <w:szCs w:val="24"/>
              </w:rPr>
              <w:t>交易员代码</w:t>
            </w:r>
          </w:p>
        </w:tc>
        <w:tc>
          <w:tcPr>
            <w:tcW w:w="3231" w:type="pct"/>
          </w:tcPr>
          <w:p w14:paraId="0556ACBE">
            <w:pPr>
              <w:adjustRightInd w:val="0"/>
              <w:snapToGrid w:val="0"/>
              <w:rPr>
                <w:rFonts w:ascii="仿宋_GB2312" w:eastAsia="仿宋_GB2312"/>
                <w:kern w:val="0"/>
                <w:sz w:val="24"/>
                <w:szCs w:val="24"/>
              </w:rPr>
            </w:pPr>
            <w:r>
              <w:rPr>
                <w:rFonts w:hint="eastAsia" w:ascii="仿宋_GB2312" w:eastAsia="仿宋_GB2312"/>
                <w:kern w:val="0"/>
                <w:sz w:val="24"/>
                <w:szCs w:val="24"/>
              </w:rPr>
              <w:t>交易员代码，自动显示，无需输入</w:t>
            </w:r>
          </w:p>
        </w:tc>
      </w:tr>
      <w:tr w14:paraId="2DDDD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8" w:type="pct"/>
          </w:tcPr>
          <w:p w14:paraId="14A8C675">
            <w:pPr>
              <w:adjustRightInd w:val="0"/>
              <w:snapToGrid w:val="0"/>
              <w:rPr>
                <w:rFonts w:ascii="仿宋_GB2312" w:eastAsia="仿宋_GB2312"/>
                <w:b/>
                <w:kern w:val="0"/>
                <w:sz w:val="24"/>
                <w:szCs w:val="24"/>
              </w:rPr>
            </w:pPr>
            <w:r>
              <w:rPr>
                <w:rFonts w:hint="eastAsia" w:ascii="仿宋_GB2312" w:eastAsia="仿宋_GB2312"/>
                <w:b/>
                <w:kern w:val="0"/>
                <w:sz w:val="24"/>
                <w:szCs w:val="24"/>
              </w:rPr>
              <w:t>交易员名称</w:t>
            </w:r>
          </w:p>
        </w:tc>
        <w:tc>
          <w:tcPr>
            <w:tcW w:w="3231" w:type="pct"/>
          </w:tcPr>
          <w:p w14:paraId="52BEC0BA">
            <w:pPr>
              <w:adjustRightInd w:val="0"/>
              <w:snapToGrid w:val="0"/>
              <w:rPr>
                <w:rFonts w:ascii="仿宋_GB2312" w:eastAsia="仿宋_GB2312"/>
                <w:kern w:val="0"/>
                <w:sz w:val="24"/>
                <w:szCs w:val="24"/>
              </w:rPr>
            </w:pPr>
            <w:r>
              <w:rPr>
                <w:rFonts w:hint="eastAsia" w:ascii="仿宋_GB2312" w:eastAsia="仿宋_GB2312"/>
                <w:kern w:val="0"/>
                <w:sz w:val="24"/>
                <w:szCs w:val="24"/>
              </w:rPr>
              <w:t>交易员名称，自动显示，无需输入</w:t>
            </w:r>
          </w:p>
        </w:tc>
      </w:tr>
      <w:tr w14:paraId="11635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68" w:type="pct"/>
          </w:tcPr>
          <w:p w14:paraId="6F7EFF71">
            <w:pPr>
              <w:adjustRightInd w:val="0"/>
              <w:snapToGrid w:val="0"/>
              <w:rPr>
                <w:rFonts w:ascii="仿宋_GB2312" w:eastAsia="仿宋_GB2312"/>
                <w:b/>
                <w:kern w:val="0"/>
                <w:sz w:val="24"/>
                <w:szCs w:val="24"/>
              </w:rPr>
            </w:pPr>
            <w:r>
              <w:rPr>
                <w:rFonts w:hint="eastAsia" w:ascii="仿宋_GB2312" w:eastAsia="仿宋_GB2312"/>
                <w:b/>
                <w:kern w:val="0"/>
                <w:sz w:val="24"/>
                <w:szCs w:val="24"/>
              </w:rPr>
              <w:t>债券交易参与人</w:t>
            </w:r>
          </w:p>
        </w:tc>
        <w:tc>
          <w:tcPr>
            <w:tcW w:w="3231" w:type="pct"/>
          </w:tcPr>
          <w:p w14:paraId="02E827BC">
            <w:pPr>
              <w:adjustRightInd w:val="0"/>
              <w:snapToGrid w:val="0"/>
              <w:rPr>
                <w:rFonts w:ascii="仿宋_GB2312" w:eastAsia="仿宋_GB2312"/>
                <w:kern w:val="0"/>
                <w:sz w:val="24"/>
                <w:szCs w:val="24"/>
              </w:rPr>
            </w:pPr>
            <w:r>
              <w:rPr>
                <w:rFonts w:hint="eastAsia" w:ascii="仿宋_GB2312" w:eastAsia="仿宋_GB2312"/>
                <w:kern w:val="0"/>
                <w:sz w:val="24"/>
                <w:szCs w:val="24"/>
              </w:rPr>
              <w:t>债券交易参与人简称，自动显示，无需输入</w:t>
            </w:r>
          </w:p>
        </w:tc>
      </w:tr>
      <w:tr w14:paraId="629FA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8" w:type="pct"/>
          </w:tcPr>
          <w:p w14:paraId="5E9B9DE3">
            <w:pPr>
              <w:adjustRightInd w:val="0"/>
              <w:snapToGrid w:val="0"/>
              <w:rPr>
                <w:rFonts w:ascii="仿宋_GB2312" w:eastAsia="仿宋_GB2312"/>
                <w:b/>
                <w:kern w:val="0"/>
                <w:sz w:val="24"/>
                <w:szCs w:val="24"/>
              </w:rPr>
            </w:pPr>
            <w:r>
              <w:rPr>
                <w:rFonts w:hint="eastAsia" w:ascii="仿宋_GB2312" w:eastAsia="仿宋_GB2312"/>
                <w:b/>
                <w:kern w:val="0"/>
                <w:sz w:val="24"/>
                <w:szCs w:val="24"/>
              </w:rPr>
              <w:t>债券投资者名称</w:t>
            </w:r>
          </w:p>
        </w:tc>
        <w:tc>
          <w:tcPr>
            <w:tcW w:w="3231" w:type="pct"/>
          </w:tcPr>
          <w:p w14:paraId="19120F24">
            <w:pPr>
              <w:adjustRightInd w:val="0"/>
              <w:snapToGrid w:val="0"/>
              <w:rPr>
                <w:rFonts w:ascii="仿宋_GB2312" w:eastAsia="仿宋_GB2312"/>
                <w:kern w:val="0"/>
                <w:sz w:val="24"/>
                <w:szCs w:val="24"/>
              </w:rPr>
            </w:pPr>
            <w:r>
              <w:rPr>
                <w:rFonts w:hint="eastAsia" w:ascii="仿宋_GB2312" w:eastAsia="仿宋_GB2312"/>
                <w:kern w:val="0"/>
                <w:sz w:val="24"/>
                <w:szCs w:val="24"/>
              </w:rPr>
              <w:t>债券投资者名称，自动显示，无需输入</w:t>
            </w:r>
          </w:p>
        </w:tc>
      </w:tr>
    </w:tbl>
    <w:p w14:paraId="387C1E8E">
      <w:pPr>
        <w:adjustRightInd w:val="0"/>
        <w:snapToGri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意向申报可不指定回购利率，但应当至少包含回购方向、质押券篮子等交易要素信息。意向申报不能直接成交。意向申报可以由回购双方任一交易员发起，意向申报的撤销只能由该笔申报的发起交易员进行。</w:t>
      </w:r>
    </w:p>
    <w:p w14:paraId="6842560C">
      <w:pPr>
        <w:spacing w:line="600" w:lineRule="exact"/>
        <w:ind w:firstLine="602" w:firstLineChars="200"/>
        <w:outlineLvl w:val="3"/>
        <w:rPr>
          <w:rFonts w:ascii="仿宋_GB2312" w:hAnsi="黑体" w:eastAsia="仿宋_GB2312"/>
          <w:b/>
          <w:sz w:val="30"/>
          <w:szCs w:val="30"/>
        </w:rPr>
      </w:pPr>
      <w:r>
        <w:rPr>
          <w:rFonts w:hint="eastAsia" w:ascii="仿宋_GB2312" w:eastAsia="仿宋_GB2312"/>
          <w:b/>
          <w:sz w:val="30"/>
          <w:szCs w:val="30"/>
        </w:rPr>
        <w:t>（5）协商成交申报</w:t>
      </w:r>
    </w:p>
    <w:p w14:paraId="48E7D151">
      <w:pPr>
        <w:adjustRightInd w:val="0"/>
        <w:snapToGri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协商成交申报是向特定的交易对手方发起一对一的申报。三方回购交易经双方协商一致后，由正回购方发起定向的协商成交申报，填妥交易要素后发送到逆回购方，逆回购方确认后成交。协商成交申报的撤销和确认/拒绝只能由该笔申报的发起交易员进行。协商成交申报时，正回购方必须在逆回购方的授信白名单内。</w:t>
      </w:r>
    </w:p>
    <w:p w14:paraId="66164874">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协商成交申报的具体要素及要素说明如下：</w:t>
      </w:r>
    </w:p>
    <w:tbl>
      <w:tblPr>
        <w:tblStyle w:val="43"/>
        <w:tblW w:w="88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89"/>
        <w:gridCol w:w="6125"/>
      </w:tblGrid>
      <w:tr w14:paraId="01829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tcPr>
          <w:p w14:paraId="25E673D3">
            <w:pPr>
              <w:adjustRightInd w:val="0"/>
              <w:snapToGrid w:val="0"/>
              <w:rPr>
                <w:rFonts w:ascii="仿宋_GB2312" w:eastAsia="仿宋_GB2312"/>
                <w:b/>
                <w:kern w:val="0"/>
                <w:sz w:val="24"/>
                <w:szCs w:val="24"/>
              </w:rPr>
            </w:pPr>
            <w:bookmarkStart w:id="2107" w:name="_Toc499850049"/>
            <w:bookmarkEnd w:id="2107"/>
            <w:bookmarkStart w:id="2108" w:name="_Toc499850233"/>
            <w:bookmarkEnd w:id="2108"/>
            <w:r>
              <w:rPr>
                <w:rFonts w:hint="eastAsia" w:ascii="仿宋_GB2312" w:eastAsia="仿宋_GB2312"/>
                <w:b/>
                <w:kern w:val="0"/>
                <w:sz w:val="24"/>
                <w:szCs w:val="24"/>
              </w:rPr>
              <w:t>要素名称</w:t>
            </w:r>
          </w:p>
        </w:tc>
        <w:tc>
          <w:tcPr>
            <w:tcW w:w="6125" w:type="dxa"/>
          </w:tcPr>
          <w:p w14:paraId="3189C0BA">
            <w:pPr>
              <w:adjustRightInd w:val="0"/>
              <w:snapToGrid w:val="0"/>
              <w:rPr>
                <w:rFonts w:ascii="仿宋_GB2312" w:eastAsia="仿宋_GB2312"/>
                <w:b/>
                <w:kern w:val="0"/>
                <w:sz w:val="24"/>
                <w:szCs w:val="24"/>
              </w:rPr>
            </w:pPr>
            <w:r>
              <w:rPr>
                <w:rFonts w:hint="eastAsia" w:ascii="仿宋_GB2312" w:eastAsia="仿宋_GB2312"/>
                <w:b/>
                <w:kern w:val="0"/>
                <w:sz w:val="24"/>
                <w:szCs w:val="24"/>
              </w:rPr>
              <w:t>要素说明</w:t>
            </w:r>
          </w:p>
        </w:tc>
      </w:tr>
      <w:tr w14:paraId="257A9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tcPr>
          <w:p w14:paraId="5BABEFFE">
            <w:pPr>
              <w:adjustRightInd w:val="0"/>
              <w:snapToGrid w:val="0"/>
              <w:rPr>
                <w:rFonts w:ascii="仿宋_GB2312" w:eastAsia="仿宋_GB2312"/>
                <w:b/>
                <w:kern w:val="0"/>
                <w:sz w:val="24"/>
                <w:szCs w:val="24"/>
              </w:rPr>
            </w:pPr>
            <w:r>
              <w:rPr>
                <w:rFonts w:hint="eastAsia" w:ascii="仿宋_GB2312" w:eastAsia="仿宋_GB2312"/>
                <w:b/>
                <w:kern w:val="0"/>
                <w:sz w:val="24"/>
                <w:szCs w:val="24"/>
              </w:rPr>
              <w:t>三方回购专用账户</w:t>
            </w:r>
          </w:p>
        </w:tc>
        <w:tc>
          <w:tcPr>
            <w:tcW w:w="6125" w:type="dxa"/>
          </w:tcPr>
          <w:p w14:paraId="583189D7">
            <w:pPr>
              <w:adjustRightInd w:val="0"/>
              <w:snapToGrid w:val="0"/>
              <w:rPr>
                <w:rFonts w:ascii="仿宋_GB2312" w:eastAsia="仿宋_GB2312"/>
                <w:kern w:val="0"/>
                <w:sz w:val="24"/>
                <w:szCs w:val="24"/>
              </w:rPr>
            </w:pPr>
            <w:r>
              <w:rPr>
                <w:rFonts w:hint="eastAsia" w:ascii="仿宋_GB2312" w:eastAsia="仿宋_GB2312"/>
                <w:kern w:val="0"/>
                <w:sz w:val="24"/>
                <w:szCs w:val="24"/>
              </w:rPr>
              <w:t>正回购方的证券账户号</w:t>
            </w:r>
          </w:p>
        </w:tc>
      </w:tr>
      <w:tr w14:paraId="40C60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tcPr>
          <w:p w14:paraId="298E634D">
            <w:pPr>
              <w:adjustRightInd w:val="0"/>
              <w:snapToGrid w:val="0"/>
              <w:rPr>
                <w:rFonts w:ascii="仿宋_GB2312" w:eastAsia="仿宋_GB2312"/>
                <w:b/>
                <w:kern w:val="0"/>
                <w:sz w:val="24"/>
                <w:szCs w:val="24"/>
              </w:rPr>
            </w:pPr>
            <w:r>
              <w:rPr>
                <w:rFonts w:hint="eastAsia" w:ascii="仿宋_GB2312" w:eastAsia="仿宋_GB2312"/>
                <w:b/>
                <w:kern w:val="0"/>
                <w:sz w:val="24"/>
                <w:szCs w:val="24"/>
              </w:rPr>
              <w:t>对手方交易员代码</w:t>
            </w:r>
          </w:p>
        </w:tc>
        <w:tc>
          <w:tcPr>
            <w:tcW w:w="6125" w:type="dxa"/>
          </w:tcPr>
          <w:p w14:paraId="00FBE095">
            <w:pPr>
              <w:adjustRightInd w:val="0"/>
              <w:snapToGrid w:val="0"/>
              <w:rPr>
                <w:rFonts w:ascii="仿宋_GB2312" w:eastAsia="仿宋_GB2312"/>
                <w:kern w:val="0"/>
                <w:sz w:val="24"/>
                <w:szCs w:val="24"/>
              </w:rPr>
            </w:pPr>
            <w:r>
              <w:rPr>
                <w:rFonts w:hint="eastAsia" w:ascii="仿宋_GB2312" w:eastAsia="仿宋_GB2312"/>
                <w:kern w:val="0"/>
                <w:sz w:val="24"/>
                <w:szCs w:val="24"/>
              </w:rPr>
              <w:t>对手方交易员代码</w:t>
            </w:r>
          </w:p>
        </w:tc>
      </w:tr>
      <w:tr w14:paraId="5B715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689" w:type="dxa"/>
          </w:tcPr>
          <w:p w14:paraId="7EAD06BB">
            <w:pPr>
              <w:adjustRightInd w:val="0"/>
              <w:snapToGrid w:val="0"/>
              <w:rPr>
                <w:rFonts w:ascii="仿宋_GB2312" w:eastAsia="仿宋_GB2312"/>
                <w:b/>
                <w:kern w:val="0"/>
                <w:sz w:val="24"/>
                <w:szCs w:val="24"/>
              </w:rPr>
            </w:pPr>
            <w:r>
              <w:rPr>
                <w:rFonts w:hint="eastAsia" w:ascii="仿宋_GB2312" w:eastAsia="仿宋_GB2312"/>
                <w:b/>
                <w:kern w:val="0"/>
                <w:sz w:val="24"/>
                <w:szCs w:val="24"/>
              </w:rPr>
              <w:t>回购期限</w:t>
            </w:r>
          </w:p>
        </w:tc>
        <w:tc>
          <w:tcPr>
            <w:tcW w:w="6125" w:type="dxa"/>
          </w:tcPr>
          <w:p w14:paraId="54A1EE8B">
            <w:pPr>
              <w:adjustRightInd w:val="0"/>
              <w:snapToGrid w:val="0"/>
              <w:rPr>
                <w:rFonts w:ascii="仿宋_GB2312" w:eastAsia="仿宋_GB2312"/>
                <w:kern w:val="0"/>
                <w:sz w:val="24"/>
                <w:szCs w:val="24"/>
              </w:rPr>
            </w:pPr>
            <w:r>
              <w:rPr>
                <w:rFonts w:hint="eastAsia" w:ascii="仿宋_GB2312" w:eastAsia="仿宋_GB2312"/>
                <w:kern w:val="0"/>
                <w:sz w:val="24"/>
                <w:szCs w:val="24"/>
              </w:rPr>
              <w:t>回购到期日-成交日期</w:t>
            </w:r>
          </w:p>
        </w:tc>
      </w:tr>
      <w:tr w14:paraId="3EC95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tcPr>
          <w:p w14:paraId="2D65FE3B">
            <w:pPr>
              <w:adjustRightInd w:val="0"/>
              <w:snapToGrid w:val="0"/>
              <w:rPr>
                <w:rFonts w:ascii="仿宋_GB2312" w:eastAsia="仿宋_GB2312"/>
                <w:b/>
                <w:kern w:val="0"/>
                <w:sz w:val="24"/>
                <w:szCs w:val="24"/>
              </w:rPr>
            </w:pPr>
            <w:r>
              <w:rPr>
                <w:rFonts w:hint="eastAsia" w:ascii="仿宋_GB2312" w:eastAsia="仿宋_GB2312"/>
                <w:b/>
                <w:kern w:val="0"/>
                <w:sz w:val="24"/>
                <w:szCs w:val="24"/>
              </w:rPr>
              <w:t>回购到期日</w:t>
            </w:r>
          </w:p>
        </w:tc>
        <w:tc>
          <w:tcPr>
            <w:tcW w:w="6125" w:type="dxa"/>
          </w:tcPr>
          <w:p w14:paraId="217768C0">
            <w:pPr>
              <w:adjustRightInd w:val="0"/>
              <w:snapToGrid w:val="0"/>
              <w:rPr>
                <w:rFonts w:ascii="仿宋_GB2312" w:eastAsia="仿宋_GB2312"/>
                <w:kern w:val="0"/>
                <w:sz w:val="24"/>
                <w:szCs w:val="24"/>
              </w:rPr>
            </w:pPr>
            <w:r>
              <w:rPr>
                <w:rFonts w:hint="eastAsia" w:ascii="仿宋_GB2312" w:eastAsia="仿宋_GB2312"/>
                <w:kern w:val="0"/>
                <w:sz w:val="24"/>
                <w:szCs w:val="24"/>
              </w:rPr>
              <w:t>参与人确定的回购到期日期</w:t>
            </w:r>
          </w:p>
        </w:tc>
      </w:tr>
      <w:tr w14:paraId="7060A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tcPr>
          <w:p w14:paraId="07ADC1FA">
            <w:pPr>
              <w:adjustRightInd w:val="0"/>
              <w:snapToGrid w:val="0"/>
              <w:rPr>
                <w:rFonts w:ascii="仿宋_GB2312" w:eastAsia="仿宋_GB2312"/>
                <w:b/>
                <w:kern w:val="0"/>
                <w:sz w:val="24"/>
                <w:szCs w:val="24"/>
              </w:rPr>
            </w:pPr>
            <w:r>
              <w:rPr>
                <w:rFonts w:hint="eastAsia" w:ascii="仿宋_GB2312" w:eastAsia="仿宋_GB2312"/>
                <w:b/>
                <w:kern w:val="0"/>
                <w:sz w:val="24"/>
                <w:szCs w:val="24"/>
              </w:rPr>
              <w:t>回购利率</w:t>
            </w:r>
          </w:p>
        </w:tc>
        <w:tc>
          <w:tcPr>
            <w:tcW w:w="6125" w:type="dxa"/>
          </w:tcPr>
          <w:p w14:paraId="37779B1D">
            <w:pPr>
              <w:adjustRightInd w:val="0"/>
              <w:snapToGrid w:val="0"/>
              <w:rPr>
                <w:rFonts w:ascii="仿宋_GB2312" w:eastAsia="仿宋_GB2312"/>
                <w:kern w:val="0"/>
                <w:sz w:val="24"/>
                <w:szCs w:val="24"/>
              </w:rPr>
            </w:pPr>
            <w:r>
              <w:rPr>
                <w:rFonts w:hint="eastAsia" w:ascii="仿宋_GB2312" w:eastAsia="仿宋_GB2312"/>
                <w:kern w:val="0"/>
                <w:sz w:val="24"/>
                <w:szCs w:val="24"/>
              </w:rPr>
              <w:t>正回购方付给逆回购方的资金价格</w:t>
            </w:r>
          </w:p>
        </w:tc>
      </w:tr>
      <w:tr w14:paraId="15161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tcPr>
          <w:p w14:paraId="0DEC8B04">
            <w:pPr>
              <w:adjustRightInd w:val="0"/>
              <w:snapToGrid w:val="0"/>
              <w:rPr>
                <w:rFonts w:ascii="仿宋_GB2312" w:eastAsia="仿宋_GB2312"/>
                <w:b/>
                <w:kern w:val="0"/>
                <w:sz w:val="24"/>
                <w:szCs w:val="24"/>
              </w:rPr>
            </w:pPr>
            <w:r>
              <w:rPr>
                <w:rFonts w:hint="eastAsia" w:ascii="仿宋_GB2312" w:eastAsia="仿宋_GB2312"/>
                <w:b/>
                <w:kern w:val="0"/>
                <w:sz w:val="24"/>
                <w:szCs w:val="24"/>
              </w:rPr>
              <w:t>回购金额</w:t>
            </w:r>
          </w:p>
        </w:tc>
        <w:tc>
          <w:tcPr>
            <w:tcW w:w="6125" w:type="dxa"/>
          </w:tcPr>
          <w:p w14:paraId="656AA7FA">
            <w:pPr>
              <w:adjustRightInd w:val="0"/>
              <w:snapToGrid w:val="0"/>
              <w:rPr>
                <w:rFonts w:ascii="仿宋_GB2312" w:eastAsia="仿宋_GB2312"/>
                <w:kern w:val="0"/>
                <w:sz w:val="24"/>
                <w:szCs w:val="24"/>
              </w:rPr>
            </w:pPr>
            <w:r>
              <w:rPr>
                <w:rFonts w:hint="eastAsia" w:ascii="仿宋_GB2312" w:eastAsia="仿宋_GB2312"/>
                <w:kern w:val="0"/>
                <w:sz w:val="24"/>
                <w:szCs w:val="24"/>
              </w:rPr>
              <w:t>多券申报正回购方融入的资金额度</w:t>
            </w:r>
          </w:p>
        </w:tc>
      </w:tr>
      <w:tr w14:paraId="685C7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689" w:type="dxa"/>
          </w:tcPr>
          <w:p w14:paraId="5FA7EE69">
            <w:pPr>
              <w:adjustRightInd w:val="0"/>
              <w:snapToGrid w:val="0"/>
              <w:rPr>
                <w:rFonts w:ascii="仿宋_GB2312" w:eastAsia="仿宋_GB2312"/>
                <w:b/>
                <w:kern w:val="0"/>
                <w:sz w:val="24"/>
                <w:szCs w:val="24"/>
              </w:rPr>
            </w:pPr>
            <w:r>
              <w:rPr>
                <w:rFonts w:hint="eastAsia" w:ascii="仿宋_GB2312" w:eastAsia="仿宋_GB2312"/>
                <w:b/>
                <w:kern w:val="0"/>
                <w:sz w:val="24"/>
                <w:szCs w:val="24"/>
              </w:rPr>
              <w:t>补充约定</w:t>
            </w:r>
          </w:p>
        </w:tc>
        <w:tc>
          <w:tcPr>
            <w:tcW w:w="6125" w:type="dxa"/>
          </w:tcPr>
          <w:p w14:paraId="75709099">
            <w:pPr>
              <w:adjustRightInd w:val="0"/>
              <w:snapToGrid w:val="0"/>
              <w:rPr>
                <w:rFonts w:ascii="仿宋_GB2312" w:eastAsia="仿宋_GB2312"/>
                <w:kern w:val="0"/>
                <w:sz w:val="24"/>
                <w:szCs w:val="24"/>
              </w:rPr>
            </w:pPr>
            <w:r>
              <w:rPr>
                <w:rFonts w:hint="eastAsia" w:ascii="仿宋_GB2312" w:eastAsia="仿宋_GB2312"/>
                <w:kern w:val="0"/>
                <w:sz w:val="24"/>
                <w:szCs w:val="24"/>
              </w:rPr>
              <w:t>交易双方的补充约定</w:t>
            </w:r>
          </w:p>
        </w:tc>
      </w:tr>
      <w:tr w14:paraId="50DA3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tcPr>
          <w:p w14:paraId="60649839">
            <w:pPr>
              <w:adjustRightInd w:val="0"/>
              <w:snapToGrid w:val="0"/>
              <w:rPr>
                <w:rFonts w:ascii="仿宋_GB2312" w:eastAsia="仿宋_GB2312"/>
                <w:b/>
                <w:kern w:val="0"/>
                <w:sz w:val="24"/>
                <w:szCs w:val="24"/>
              </w:rPr>
            </w:pPr>
            <w:r>
              <w:rPr>
                <w:rFonts w:hint="eastAsia" w:ascii="仿宋_GB2312" w:eastAsia="仿宋_GB2312"/>
                <w:b/>
                <w:kern w:val="0"/>
                <w:sz w:val="24"/>
                <w:szCs w:val="24"/>
              </w:rPr>
              <w:t>违约后担保品是否由质权人处置</w:t>
            </w:r>
          </w:p>
        </w:tc>
        <w:tc>
          <w:tcPr>
            <w:tcW w:w="6125" w:type="dxa"/>
          </w:tcPr>
          <w:p w14:paraId="5F4497DC">
            <w:pPr>
              <w:adjustRightInd w:val="0"/>
              <w:snapToGrid w:val="0"/>
              <w:rPr>
                <w:rFonts w:ascii="仿宋_GB2312" w:eastAsia="仿宋_GB2312"/>
                <w:kern w:val="0"/>
                <w:sz w:val="24"/>
                <w:szCs w:val="24"/>
              </w:rPr>
            </w:pPr>
            <w:r>
              <w:rPr>
                <w:rFonts w:hint="eastAsia" w:ascii="仿宋_GB2312" w:eastAsia="仿宋_GB2312"/>
                <w:kern w:val="0"/>
                <w:sz w:val="24"/>
                <w:szCs w:val="24"/>
              </w:rPr>
              <w:t>违约后担保品是否由质权人处置</w:t>
            </w:r>
          </w:p>
        </w:tc>
      </w:tr>
      <w:tr w14:paraId="46F55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tcPr>
          <w:p w14:paraId="4B957252">
            <w:pPr>
              <w:adjustRightInd w:val="0"/>
              <w:snapToGrid w:val="0"/>
              <w:rPr>
                <w:rFonts w:ascii="仿宋_GB2312" w:eastAsia="仿宋_GB2312"/>
                <w:b/>
                <w:kern w:val="0"/>
                <w:sz w:val="24"/>
                <w:szCs w:val="24"/>
              </w:rPr>
            </w:pPr>
            <w:r>
              <w:rPr>
                <w:rFonts w:hint="eastAsia" w:ascii="仿宋_GB2312" w:eastAsia="仿宋_GB2312"/>
                <w:b/>
                <w:kern w:val="0"/>
                <w:sz w:val="24"/>
                <w:szCs w:val="24"/>
              </w:rPr>
              <w:t>质押券代码</w:t>
            </w:r>
          </w:p>
        </w:tc>
        <w:tc>
          <w:tcPr>
            <w:tcW w:w="6125" w:type="dxa"/>
          </w:tcPr>
          <w:p w14:paraId="0F4735E3">
            <w:pPr>
              <w:adjustRightInd w:val="0"/>
              <w:snapToGrid w:val="0"/>
              <w:rPr>
                <w:rFonts w:ascii="仿宋_GB2312" w:eastAsia="仿宋_GB2312"/>
                <w:kern w:val="0"/>
                <w:sz w:val="24"/>
                <w:szCs w:val="24"/>
              </w:rPr>
            </w:pPr>
            <w:r>
              <w:rPr>
                <w:rFonts w:hint="eastAsia" w:ascii="仿宋_GB2312" w:eastAsia="仿宋_GB2312"/>
                <w:kern w:val="0"/>
                <w:sz w:val="24"/>
                <w:szCs w:val="24"/>
              </w:rPr>
              <w:t>质押债券的代码</w:t>
            </w:r>
          </w:p>
        </w:tc>
      </w:tr>
      <w:tr w14:paraId="0FD7F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tcPr>
          <w:p w14:paraId="51B52404">
            <w:pPr>
              <w:adjustRightInd w:val="0"/>
              <w:snapToGrid w:val="0"/>
              <w:rPr>
                <w:rFonts w:ascii="仿宋_GB2312" w:eastAsia="仿宋_GB2312"/>
                <w:b/>
                <w:kern w:val="0"/>
                <w:sz w:val="24"/>
                <w:szCs w:val="24"/>
              </w:rPr>
            </w:pPr>
            <w:r>
              <w:rPr>
                <w:rFonts w:hint="eastAsia" w:ascii="仿宋_GB2312" w:eastAsia="仿宋_GB2312"/>
                <w:b/>
                <w:kern w:val="0"/>
                <w:sz w:val="24"/>
                <w:szCs w:val="24"/>
              </w:rPr>
              <w:t>质押券数量</w:t>
            </w:r>
          </w:p>
        </w:tc>
        <w:tc>
          <w:tcPr>
            <w:tcW w:w="6125" w:type="dxa"/>
          </w:tcPr>
          <w:p w14:paraId="708D7FC3">
            <w:pPr>
              <w:adjustRightInd w:val="0"/>
              <w:snapToGrid w:val="0"/>
              <w:rPr>
                <w:rFonts w:ascii="仿宋_GB2312" w:eastAsia="仿宋_GB2312"/>
                <w:kern w:val="0"/>
                <w:sz w:val="24"/>
                <w:szCs w:val="24"/>
              </w:rPr>
            </w:pPr>
            <w:r>
              <w:rPr>
                <w:rFonts w:hint="eastAsia" w:ascii="仿宋_GB2312" w:eastAsia="仿宋_GB2312"/>
                <w:kern w:val="0"/>
                <w:sz w:val="24"/>
                <w:szCs w:val="24"/>
              </w:rPr>
              <w:t>质押券数量，以千元面额为单位</w:t>
            </w:r>
          </w:p>
        </w:tc>
      </w:tr>
      <w:tr w14:paraId="1D1C1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689" w:type="dxa"/>
          </w:tcPr>
          <w:p w14:paraId="08BCAA0E">
            <w:pPr>
              <w:adjustRightInd w:val="0"/>
              <w:snapToGrid w:val="0"/>
              <w:rPr>
                <w:rFonts w:ascii="仿宋_GB2312" w:eastAsia="仿宋_GB2312"/>
                <w:b/>
                <w:kern w:val="0"/>
                <w:sz w:val="24"/>
                <w:szCs w:val="24"/>
              </w:rPr>
            </w:pPr>
            <w:r>
              <w:rPr>
                <w:rFonts w:hint="eastAsia" w:ascii="仿宋_GB2312" w:eastAsia="仿宋_GB2312"/>
                <w:b/>
                <w:kern w:val="0"/>
                <w:sz w:val="24"/>
                <w:szCs w:val="24"/>
              </w:rPr>
              <w:t>质押券所属篮子</w:t>
            </w:r>
          </w:p>
        </w:tc>
        <w:tc>
          <w:tcPr>
            <w:tcW w:w="6125" w:type="dxa"/>
          </w:tcPr>
          <w:p w14:paraId="3CDB25CE">
            <w:pPr>
              <w:adjustRightInd w:val="0"/>
              <w:snapToGrid w:val="0"/>
              <w:rPr>
                <w:rFonts w:ascii="仿宋_GB2312" w:eastAsia="仿宋_GB2312"/>
                <w:kern w:val="0"/>
                <w:sz w:val="24"/>
                <w:szCs w:val="24"/>
              </w:rPr>
            </w:pPr>
            <w:r>
              <w:rPr>
                <w:rFonts w:hint="eastAsia" w:ascii="仿宋_GB2312" w:eastAsia="仿宋_GB2312"/>
                <w:kern w:val="0"/>
                <w:sz w:val="24"/>
                <w:szCs w:val="24"/>
              </w:rPr>
              <w:t>质押券所属篮子</w:t>
            </w:r>
          </w:p>
        </w:tc>
      </w:tr>
      <w:tr w14:paraId="516F7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tcPr>
          <w:p w14:paraId="18230411">
            <w:pPr>
              <w:adjustRightInd w:val="0"/>
              <w:snapToGrid w:val="0"/>
              <w:rPr>
                <w:rFonts w:ascii="仿宋_GB2312" w:eastAsia="仿宋_GB2312"/>
                <w:b/>
                <w:kern w:val="0"/>
                <w:sz w:val="24"/>
                <w:szCs w:val="24"/>
              </w:rPr>
            </w:pPr>
            <w:r>
              <w:rPr>
                <w:rFonts w:hint="eastAsia" w:ascii="仿宋_GB2312" w:eastAsia="仿宋_GB2312"/>
                <w:b/>
                <w:kern w:val="0"/>
                <w:sz w:val="24"/>
                <w:szCs w:val="24"/>
              </w:rPr>
              <w:t>回购方向</w:t>
            </w:r>
          </w:p>
        </w:tc>
        <w:tc>
          <w:tcPr>
            <w:tcW w:w="6125" w:type="dxa"/>
          </w:tcPr>
          <w:p w14:paraId="6900AE98">
            <w:pPr>
              <w:adjustRightInd w:val="0"/>
              <w:snapToGrid w:val="0"/>
              <w:rPr>
                <w:rFonts w:ascii="仿宋_GB2312" w:eastAsia="仿宋_GB2312"/>
                <w:kern w:val="0"/>
                <w:sz w:val="24"/>
                <w:szCs w:val="24"/>
              </w:rPr>
            </w:pPr>
            <w:r>
              <w:rPr>
                <w:rFonts w:hint="eastAsia" w:ascii="仿宋_GB2312" w:eastAsia="仿宋_GB2312"/>
                <w:kern w:val="0"/>
                <w:sz w:val="24"/>
                <w:szCs w:val="24"/>
              </w:rPr>
              <w:t>正回购/逆回购，自动显示，无需输入</w:t>
            </w:r>
          </w:p>
        </w:tc>
      </w:tr>
      <w:tr w14:paraId="1C452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tcPr>
          <w:p w14:paraId="0F06A875">
            <w:pPr>
              <w:adjustRightInd w:val="0"/>
              <w:snapToGrid w:val="0"/>
              <w:rPr>
                <w:rFonts w:ascii="仿宋_GB2312" w:eastAsia="仿宋_GB2312"/>
                <w:b/>
                <w:kern w:val="0"/>
                <w:sz w:val="24"/>
                <w:szCs w:val="24"/>
              </w:rPr>
            </w:pPr>
            <w:r>
              <w:rPr>
                <w:rFonts w:hint="eastAsia" w:ascii="仿宋_GB2312" w:eastAsia="仿宋_GB2312"/>
                <w:b/>
                <w:kern w:val="0"/>
                <w:sz w:val="24"/>
                <w:szCs w:val="24"/>
              </w:rPr>
              <w:t>债券交易参与人</w:t>
            </w:r>
          </w:p>
        </w:tc>
        <w:tc>
          <w:tcPr>
            <w:tcW w:w="6125" w:type="dxa"/>
          </w:tcPr>
          <w:p w14:paraId="7CDAAEAB">
            <w:pPr>
              <w:adjustRightInd w:val="0"/>
              <w:snapToGrid w:val="0"/>
              <w:rPr>
                <w:rFonts w:ascii="仿宋_GB2312" w:eastAsia="仿宋_GB2312"/>
                <w:kern w:val="0"/>
                <w:sz w:val="24"/>
                <w:szCs w:val="24"/>
              </w:rPr>
            </w:pPr>
            <w:r>
              <w:rPr>
                <w:rFonts w:hint="eastAsia" w:ascii="仿宋_GB2312" w:eastAsia="仿宋_GB2312"/>
                <w:kern w:val="0"/>
                <w:sz w:val="24"/>
                <w:szCs w:val="24"/>
              </w:rPr>
              <w:t>债券交易参与人名称，自动显示，无需输入</w:t>
            </w:r>
          </w:p>
        </w:tc>
      </w:tr>
      <w:tr w14:paraId="519E0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tcPr>
          <w:p w14:paraId="1423EE72">
            <w:pPr>
              <w:adjustRightInd w:val="0"/>
              <w:snapToGrid w:val="0"/>
              <w:rPr>
                <w:rFonts w:ascii="仿宋_GB2312" w:eastAsia="仿宋_GB2312"/>
                <w:b/>
                <w:kern w:val="0"/>
                <w:sz w:val="24"/>
                <w:szCs w:val="24"/>
              </w:rPr>
            </w:pPr>
            <w:r>
              <w:rPr>
                <w:rFonts w:hint="eastAsia" w:ascii="仿宋_GB2312" w:eastAsia="仿宋_GB2312"/>
                <w:b/>
                <w:kern w:val="0"/>
                <w:sz w:val="24"/>
                <w:szCs w:val="24"/>
              </w:rPr>
              <w:t>交易员代码</w:t>
            </w:r>
          </w:p>
        </w:tc>
        <w:tc>
          <w:tcPr>
            <w:tcW w:w="6125" w:type="dxa"/>
          </w:tcPr>
          <w:p w14:paraId="1B068EC6">
            <w:pPr>
              <w:adjustRightInd w:val="0"/>
              <w:snapToGrid w:val="0"/>
              <w:rPr>
                <w:rFonts w:ascii="仿宋_GB2312" w:eastAsia="仿宋_GB2312"/>
                <w:kern w:val="0"/>
                <w:sz w:val="24"/>
                <w:szCs w:val="24"/>
              </w:rPr>
            </w:pPr>
            <w:r>
              <w:rPr>
                <w:rFonts w:hint="eastAsia" w:ascii="仿宋_GB2312" w:eastAsia="仿宋_GB2312"/>
                <w:kern w:val="0"/>
                <w:sz w:val="24"/>
                <w:szCs w:val="24"/>
              </w:rPr>
              <w:t>交易员代码，自动显示，无需输入</w:t>
            </w:r>
          </w:p>
        </w:tc>
      </w:tr>
      <w:tr w14:paraId="40F89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689" w:type="dxa"/>
          </w:tcPr>
          <w:p w14:paraId="6471A9E6">
            <w:pPr>
              <w:adjustRightInd w:val="0"/>
              <w:snapToGrid w:val="0"/>
              <w:rPr>
                <w:rFonts w:ascii="仿宋_GB2312" w:eastAsia="仿宋_GB2312"/>
                <w:b/>
                <w:kern w:val="0"/>
                <w:sz w:val="24"/>
                <w:szCs w:val="24"/>
              </w:rPr>
            </w:pPr>
            <w:r>
              <w:rPr>
                <w:rFonts w:hint="eastAsia" w:ascii="仿宋_GB2312" w:eastAsia="仿宋_GB2312"/>
                <w:b/>
                <w:kern w:val="0"/>
                <w:sz w:val="24"/>
                <w:szCs w:val="24"/>
              </w:rPr>
              <w:t>交易员名称</w:t>
            </w:r>
          </w:p>
        </w:tc>
        <w:tc>
          <w:tcPr>
            <w:tcW w:w="6125" w:type="dxa"/>
          </w:tcPr>
          <w:p w14:paraId="0FB67C13">
            <w:pPr>
              <w:adjustRightInd w:val="0"/>
              <w:snapToGrid w:val="0"/>
              <w:rPr>
                <w:rFonts w:ascii="仿宋_GB2312" w:eastAsia="仿宋_GB2312"/>
                <w:kern w:val="0"/>
                <w:sz w:val="24"/>
                <w:szCs w:val="24"/>
              </w:rPr>
            </w:pPr>
            <w:r>
              <w:rPr>
                <w:rFonts w:hint="eastAsia" w:ascii="仿宋_GB2312" w:eastAsia="仿宋_GB2312"/>
                <w:kern w:val="0"/>
                <w:sz w:val="24"/>
                <w:szCs w:val="24"/>
              </w:rPr>
              <w:t>交易员名称，自动显示，无需输入</w:t>
            </w:r>
          </w:p>
        </w:tc>
      </w:tr>
      <w:tr w14:paraId="4DFD0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tcPr>
          <w:p w14:paraId="00058D00">
            <w:pPr>
              <w:adjustRightInd w:val="0"/>
              <w:snapToGrid w:val="0"/>
              <w:rPr>
                <w:rFonts w:ascii="仿宋_GB2312" w:eastAsia="仿宋_GB2312"/>
                <w:b/>
                <w:kern w:val="0"/>
                <w:sz w:val="24"/>
                <w:szCs w:val="24"/>
              </w:rPr>
            </w:pPr>
            <w:r>
              <w:rPr>
                <w:rFonts w:hint="eastAsia" w:ascii="仿宋_GB2312" w:eastAsia="仿宋_GB2312"/>
                <w:b/>
                <w:kern w:val="0"/>
                <w:sz w:val="24"/>
                <w:szCs w:val="24"/>
              </w:rPr>
              <w:t>三方回购专用账户名称</w:t>
            </w:r>
          </w:p>
        </w:tc>
        <w:tc>
          <w:tcPr>
            <w:tcW w:w="6125" w:type="dxa"/>
          </w:tcPr>
          <w:p w14:paraId="32C89369">
            <w:pPr>
              <w:adjustRightInd w:val="0"/>
              <w:snapToGrid w:val="0"/>
              <w:rPr>
                <w:rFonts w:ascii="仿宋_GB2312" w:eastAsia="仿宋_GB2312"/>
                <w:kern w:val="0"/>
                <w:sz w:val="24"/>
                <w:szCs w:val="24"/>
              </w:rPr>
            </w:pPr>
            <w:r>
              <w:rPr>
                <w:rFonts w:hint="eastAsia" w:ascii="仿宋_GB2312" w:eastAsia="仿宋_GB2312"/>
                <w:kern w:val="0"/>
                <w:sz w:val="24"/>
                <w:szCs w:val="24"/>
              </w:rPr>
              <w:t>正回购方的证券账户名称，自动显示，无需输入</w:t>
            </w:r>
          </w:p>
        </w:tc>
      </w:tr>
      <w:tr w14:paraId="15537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tcPr>
          <w:p w14:paraId="463774BF">
            <w:pPr>
              <w:adjustRightInd w:val="0"/>
              <w:snapToGrid w:val="0"/>
              <w:rPr>
                <w:rFonts w:ascii="仿宋_GB2312" w:eastAsia="仿宋_GB2312"/>
                <w:b/>
                <w:kern w:val="0"/>
                <w:sz w:val="24"/>
                <w:szCs w:val="24"/>
              </w:rPr>
            </w:pPr>
            <w:r>
              <w:rPr>
                <w:rFonts w:hint="eastAsia" w:ascii="仿宋_GB2312" w:eastAsia="仿宋_GB2312"/>
                <w:b/>
                <w:kern w:val="0"/>
                <w:sz w:val="24"/>
                <w:szCs w:val="24"/>
              </w:rPr>
              <w:t>专用账户交易单元</w:t>
            </w:r>
          </w:p>
        </w:tc>
        <w:tc>
          <w:tcPr>
            <w:tcW w:w="6125" w:type="dxa"/>
          </w:tcPr>
          <w:p w14:paraId="70E0840C">
            <w:pPr>
              <w:adjustRightInd w:val="0"/>
              <w:snapToGrid w:val="0"/>
              <w:rPr>
                <w:rFonts w:ascii="仿宋_GB2312" w:eastAsia="仿宋_GB2312"/>
                <w:kern w:val="0"/>
                <w:sz w:val="24"/>
                <w:szCs w:val="24"/>
              </w:rPr>
            </w:pPr>
            <w:r>
              <w:rPr>
                <w:rFonts w:hint="eastAsia" w:ascii="仿宋_GB2312" w:eastAsia="仿宋_GB2312"/>
                <w:kern w:val="0"/>
                <w:sz w:val="24"/>
                <w:szCs w:val="24"/>
              </w:rPr>
              <w:t>专用证券账号的指定交易单元号，自动显示，无需输入</w:t>
            </w:r>
          </w:p>
        </w:tc>
      </w:tr>
      <w:tr w14:paraId="4ECFE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tcPr>
          <w:p w14:paraId="226B687E">
            <w:pPr>
              <w:adjustRightInd w:val="0"/>
              <w:snapToGrid w:val="0"/>
              <w:rPr>
                <w:rFonts w:ascii="仿宋_GB2312" w:eastAsia="仿宋_GB2312"/>
                <w:b/>
                <w:kern w:val="0"/>
                <w:sz w:val="24"/>
                <w:szCs w:val="24"/>
              </w:rPr>
            </w:pPr>
            <w:r>
              <w:rPr>
                <w:rFonts w:hint="eastAsia" w:ascii="仿宋_GB2312" w:eastAsia="仿宋_GB2312"/>
                <w:b/>
                <w:kern w:val="0"/>
                <w:sz w:val="24"/>
                <w:szCs w:val="24"/>
              </w:rPr>
              <w:t>投资者名称</w:t>
            </w:r>
          </w:p>
        </w:tc>
        <w:tc>
          <w:tcPr>
            <w:tcW w:w="6125" w:type="dxa"/>
          </w:tcPr>
          <w:p w14:paraId="62D1EBDC">
            <w:pPr>
              <w:adjustRightInd w:val="0"/>
              <w:snapToGrid w:val="0"/>
              <w:rPr>
                <w:rFonts w:ascii="仿宋_GB2312" w:eastAsia="仿宋_GB2312"/>
                <w:kern w:val="0"/>
                <w:sz w:val="24"/>
                <w:szCs w:val="24"/>
              </w:rPr>
            </w:pPr>
            <w:r>
              <w:rPr>
                <w:rFonts w:hint="eastAsia" w:ascii="仿宋_GB2312" w:eastAsia="仿宋_GB2312"/>
                <w:kern w:val="0"/>
                <w:sz w:val="24"/>
                <w:szCs w:val="24"/>
              </w:rPr>
              <w:t>投资者名称，自动显示，无需输入</w:t>
            </w:r>
          </w:p>
        </w:tc>
      </w:tr>
      <w:tr w14:paraId="414DD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689" w:type="dxa"/>
          </w:tcPr>
          <w:p w14:paraId="6325BDF4">
            <w:pPr>
              <w:adjustRightInd w:val="0"/>
              <w:snapToGrid w:val="0"/>
              <w:rPr>
                <w:rFonts w:ascii="仿宋_GB2312" w:eastAsia="仿宋_GB2312"/>
                <w:b/>
                <w:kern w:val="0"/>
                <w:sz w:val="24"/>
                <w:szCs w:val="24"/>
              </w:rPr>
            </w:pPr>
            <w:r>
              <w:rPr>
                <w:rFonts w:hint="eastAsia" w:ascii="仿宋_GB2312" w:eastAsia="仿宋_GB2312"/>
                <w:b/>
                <w:kern w:val="0"/>
                <w:sz w:val="24"/>
                <w:szCs w:val="24"/>
              </w:rPr>
              <w:t>产品委托人</w:t>
            </w:r>
          </w:p>
        </w:tc>
        <w:tc>
          <w:tcPr>
            <w:tcW w:w="6125" w:type="dxa"/>
          </w:tcPr>
          <w:p w14:paraId="62E4F716">
            <w:pPr>
              <w:adjustRightInd w:val="0"/>
              <w:snapToGrid w:val="0"/>
              <w:rPr>
                <w:rFonts w:ascii="仿宋_GB2312" w:eastAsia="仿宋_GB2312"/>
                <w:kern w:val="0"/>
                <w:sz w:val="24"/>
                <w:szCs w:val="24"/>
              </w:rPr>
            </w:pPr>
            <w:r>
              <w:rPr>
                <w:rFonts w:hint="eastAsia" w:ascii="仿宋_GB2312" w:eastAsia="仿宋_GB2312"/>
                <w:kern w:val="0"/>
                <w:sz w:val="24"/>
                <w:szCs w:val="24"/>
              </w:rPr>
              <w:t>产品委托人名称，自动显示，无需输入</w:t>
            </w:r>
          </w:p>
        </w:tc>
      </w:tr>
      <w:tr w14:paraId="3A08E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tcPr>
          <w:p w14:paraId="10511551">
            <w:pPr>
              <w:adjustRightInd w:val="0"/>
              <w:snapToGrid w:val="0"/>
              <w:rPr>
                <w:rFonts w:ascii="仿宋_GB2312" w:eastAsia="仿宋_GB2312"/>
                <w:b/>
                <w:kern w:val="0"/>
                <w:sz w:val="24"/>
                <w:szCs w:val="24"/>
              </w:rPr>
            </w:pPr>
            <w:r>
              <w:rPr>
                <w:rFonts w:hint="eastAsia" w:ascii="仿宋_GB2312" w:eastAsia="仿宋_GB2312"/>
                <w:b/>
                <w:kern w:val="0"/>
                <w:sz w:val="24"/>
                <w:szCs w:val="24"/>
              </w:rPr>
              <w:t>杠杆运作限制</w:t>
            </w:r>
          </w:p>
        </w:tc>
        <w:tc>
          <w:tcPr>
            <w:tcW w:w="6125" w:type="dxa"/>
          </w:tcPr>
          <w:p w14:paraId="19EBDCCB">
            <w:pPr>
              <w:adjustRightInd w:val="0"/>
              <w:snapToGrid w:val="0"/>
              <w:rPr>
                <w:rFonts w:ascii="仿宋_GB2312" w:eastAsia="仿宋_GB2312"/>
                <w:kern w:val="0"/>
                <w:sz w:val="24"/>
                <w:szCs w:val="24"/>
              </w:rPr>
            </w:pPr>
            <w:r>
              <w:rPr>
                <w:rFonts w:hint="eastAsia" w:ascii="仿宋_GB2312" w:eastAsia="仿宋_GB2312"/>
                <w:kern w:val="0"/>
                <w:sz w:val="24"/>
                <w:szCs w:val="24"/>
              </w:rPr>
              <w:t>杠杆运作限制，自动显示，无需输入</w:t>
            </w:r>
          </w:p>
        </w:tc>
      </w:tr>
      <w:tr w14:paraId="176C5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tcPr>
          <w:p w14:paraId="15711F0A">
            <w:pPr>
              <w:adjustRightInd w:val="0"/>
              <w:snapToGrid w:val="0"/>
              <w:rPr>
                <w:rFonts w:ascii="仿宋_GB2312" w:eastAsia="仿宋_GB2312"/>
                <w:b/>
                <w:kern w:val="0"/>
                <w:sz w:val="24"/>
                <w:szCs w:val="24"/>
              </w:rPr>
            </w:pPr>
            <w:r>
              <w:rPr>
                <w:rFonts w:hint="eastAsia" w:ascii="仿宋_GB2312" w:eastAsia="仿宋_GB2312"/>
                <w:b/>
                <w:kern w:val="0"/>
                <w:sz w:val="24"/>
                <w:szCs w:val="24"/>
              </w:rPr>
              <w:t>对手方债券交易参与人</w:t>
            </w:r>
          </w:p>
        </w:tc>
        <w:tc>
          <w:tcPr>
            <w:tcW w:w="6125" w:type="dxa"/>
          </w:tcPr>
          <w:p w14:paraId="2E6D4227">
            <w:pPr>
              <w:adjustRightInd w:val="0"/>
              <w:snapToGrid w:val="0"/>
              <w:rPr>
                <w:rFonts w:ascii="仿宋_GB2312" w:eastAsia="仿宋_GB2312"/>
                <w:kern w:val="0"/>
                <w:sz w:val="24"/>
                <w:szCs w:val="24"/>
              </w:rPr>
            </w:pPr>
            <w:r>
              <w:rPr>
                <w:rFonts w:hint="eastAsia" w:ascii="仿宋_GB2312" w:eastAsia="仿宋_GB2312"/>
                <w:kern w:val="0"/>
                <w:sz w:val="24"/>
                <w:szCs w:val="24"/>
              </w:rPr>
              <w:t>对手方债券交易参与人名称，自动显示，无需输入</w:t>
            </w:r>
          </w:p>
        </w:tc>
      </w:tr>
      <w:tr w14:paraId="140E0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tcPr>
          <w:p w14:paraId="5E7E6347">
            <w:pPr>
              <w:adjustRightInd w:val="0"/>
              <w:snapToGrid w:val="0"/>
              <w:rPr>
                <w:rFonts w:ascii="仿宋_GB2312" w:eastAsia="仿宋_GB2312"/>
                <w:b/>
                <w:kern w:val="0"/>
                <w:sz w:val="24"/>
                <w:szCs w:val="24"/>
              </w:rPr>
            </w:pPr>
            <w:r>
              <w:rPr>
                <w:rFonts w:hint="eastAsia" w:ascii="仿宋_GB2312" w:eastAsia="仿宋_GB2312"/>
                <w:b/>
                <w:kern w:val="0"/>
                <w:sz w:val="24"/>
                <w:szCs w:val="24"/>
              </w:rPr>
              <w:t>对手方交易员名称</w:t>
            </w:r>
          </w:p>
        </w:tc>
        <w:tc>
          <w:tcPr>
            <w:tcW w:w="6125" w:type="dxa"/>
          </w:tcPr>
          <w:p w14:paraId="5267CBBD">
            <w:pPr>
              <w:adjustRightInd w:val="0"/>
              <w:snapToGrid w:val="0"/>
              <w:rPr>
                <w:rFonts w:ascii="仿宋_GB2312" w:eastAsia="仿宋_GB2312"/>
                <w:kern w:val="0"/>
                <w:sz w:val="24"/>
                <w:szCs w:val="24"/>
              </w:rPr>
            </w:pPr>
            <w:r>
              <w:rPr>
                <w:rFonts w:hint="eastAsia" w:ascii="仿宋_GB2312" w:eastAsia="仿宋_GB2312"/>
                <w:kern w:val="0"/>
                <w:sz w:val="24"/>
                <w:szCs w:val="24"/>
              </w:rPr>
              <w:t>对手方交易员名称，自动显示，无需输入</w:t>
            </w:r>
          </w:p>
        </w:tc>
      </w:tr>
      <w:tr w14:paraId="0935B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689" w:type="dxa"/>
          </w:tcPr>
          <w:p w14:paraId="7AC654FE">
            <w:pPr>
              <w:adjustRightInd w:val="0"/>
              <w:snapToGrid w:val="0"/>
              <w:rPr>
                <w:rFonts w:ascii="仿宋_GB2312" w:eastAsia="仿宋_GB2312"/>
                <w:b/>
                <w:kern w:val="0"/>
                <w:sz w:val="24"/>
                <w:szCs w:val="24"/>
              </w:rPr>
            </w:pPr>
            <w:r>
              <w:rPr>
                <w:rFonts w:hint="eastAsia" w:ascii="仿宋_GB2312" w:eastAsia="仿宋_GB2312"/>
                <w:b/>
                <w:kern w:val="0"/>
                <w:sz w:val="24"/>
                <w:szCs w:val="24"/>
              </w:rPr>
              <w:t>成交日</w:t>
            </w:r>
          </w:p>
        </w:tc>
        <w:tc>
          <w:tcPr>
            <w:tcW w:w="6125" w:type="dxa"/>
          </w:tcPr>
          <w:p w14:paraId="727518CD">
            <w:pPr>
              <w:adjustRightInd w:val="0"/>
              <w:snapToGrid w:val="0"/>
              <w:rPr>
                <w:rFonts w:ascii="仿宋_GB2312" w:eastAsia="仿宋_GB2312"/>
                <w:kern w:val="0"/>
                <w:sz w:val="24"/>
                <w:szCs w:val="24"/>
              </w:rPr>
            </w:pPr>
            <w:r>
              <w:rPr>
                <w:rFonts w:hint="eastAsia" w:ascii="仿宋_GB2312" w:eastAsia="仿宋_GB2312"/>
                <w:kern w:val="0"/>
                <w:sz w:val="24"/>
                <w:szCs w:val="24"/>
              </w:rPr>
              <w:t>当前交易日，自动显示，无需输入</w:t>
            </w:r>
          </w:p>
        </w:tc>
      </w:tr>
      <w:tr w14:paraId="21FE8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tcPr>
          <w:p w14:paraId="72CC0B7C">
            <w:pPr>
              <w:adjustRightInd w:val="0"/>
              <w:snapToGrid w:val="0"/>
              <w:rPr>
                <w:rFonts w:ascii="仿宋_GB2312" w:eastAsia="仿宋_GB2312"/>
                <w:b/>
                <w:kern w:val="0"/>
                <w:sz w:val="24"/>
                <w:szCs w:val="24"/>
              </w:rPr>
            </w:pPr>
            <w:r>
              <w:rPr>
                <w:rFonts w:hint="eastAsia" w:ascii="仿宋_GB2312" w:eastAsia="仿宋_GB2312"/>
                <w:b/>
                <w:kern w:val="0"/>
                <w:sz w:val="24"/>
                <w:szCs w:val="24"/>
              </w:rPr>
              <w:t>首次结算日</w:t>
            </w:r>
          </w:p>
        </w:tc>
        <w:tc>
          <w:tcPr>
            <w:tcW w:w="6125" w:type="dxa"/>
          </w:tcPr>
          <w:p w14:paraId="4C684DAB">
            <w:pPr>
              <w:adjustRightInd w:val="0"/>
              <w:snapToGrid w:val="0"/>
              <w:rPr>
                <w:rFonts w:ascii="仿宋_GB2312" w:eastAsia="仿宋_GB2312"/>
                <w:kern w:val="0"/>
                <w:sz w:val="24"/>
                <w:szCs w:val="24"/>
              </w:rPr>
            </w:pPr>
            <w:r>
              <w:rPr>
                <w:rFonts w:ascii="仿宋_GB2312" w:eastAsia="仿宋_GB2312"/>
                <w:kern w:val="0"/>
                <w:sz w:val="24"/>
                <w:szCs w:val="24"/>
              </w:rPr>
              <w:t>T+0</w:t>
            </w:r>
            <w:r>
              <w:rPr>
                <w:rFonts w:hint="eastAsia" w:ascii="仿宋_GB2312" w:eastAsia="仿宋_GB2312"/>
                <w:kern w:val="0"/>
                <w:sz w:val="24"/>
                <w:szCs w:val="24"/>
              </w:rPr>
              <w:t>，自动显示，无需输入</w:t>
            </w:r>
          </w:p>
        </w:tc>
      </w:tr>
      <w:tr w14:paraId="20F0E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tcPr>
          <w:p w14:paraId="25DA12ED">
            <w:pPr>
              <w:adjustRightInd w:val="0"/>
              <w:snapToGrid w:val="0"/>
              <w:rPr>
                <w:rFonts w:ascii="仿宋_GB2312" w:eastAsia="仿宋_GB2312"/>
                <w:b/>
                <w:kern w:val="0"/>
                <w:sz w:val="24"/>
                <w:szCs w:val="24"/>
              </w:rPr>
            </w:pPr>
            <w:r>
              <w:rPr>
                <w:rFonts w:hint="eastAsia" w:ascii="仿宋_GB2312" w:eastAsia="仿宋_GB2312"/>
                <w:b/>
                <w:kern w:val="0"/>
                <w:sz w:val="24"/>
                <w:szCs w:val="24"/>
              </w:rPr>
              <w:t>到期结算日</w:t>
            </w:r>
          </w:p>
        </w:tc>
        <w:tc>
          <w:tcPr>
            <w:tcW w:w="6125" w:type="dxa"/>
          </w:tcPr>
          <w:p w14:paraId="53FE5F07">
            <w:pPr>
              <w:adjustRightInd w:val="0"/>
              <w:snapToGrid w:val="0"/>
              <w:rPr>
                <w:rFonts w:ascii="仿宋_GB2312" w:eastAsia="仿宋_GB2312"/>
                <w:kern w:val="0"/>
                <w:sz w:val="24"/>
                <w:szCs w:val="24"/>
              </w:rPr>
            </w:pPr>
            <w:r>
              <w:rPr>
                <w:rFonts w:hint="eastAsia" w:ascii="仿宋_GB2312" w:eastAsia="仿宋_GB2312"/>
                <w:kern w:val="0"/>
                <w:sz w:val="24"/>
                <w:szCs w:val="24"/>
              </w:rPr>
              <w:t>到期结算日，自动显示，无需输入</w:t>
            </w:r>
          </w:p>
        </w:tc>
      </w:tr>
      <w:tr w14:paraId="41220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tcPr>
          <w:p w14:paraId="7635460A">
            <w:pPr>
              <w:adjustRightInd w:val="0"/>
              <w:snapToGrid w:val="0"/>
              <w:rPr>
                <w:rFonts w:ascii="仿宋_GB2312" w:eastAsia="仿宋_GB2312"/>
                <w:b/>
                <w:kern w:val="0"/>
                <w:sz w:val="24"/>
                <w:szCs w:val="24"/>
              </w:rPr>
            </w:pPr>
            <w:r>
              <w:rPr>
                <w:rFonts w:hint="eastAsia" w:ascii="仿宋_GB2312" w:eastAsia="仿宋_GB2312"/>
                <w:b/>
                <w:kern w:val="0"/>
                <w:sz w:val="24"/>
                <w:szCs w:val="24"/>
              </w:rPr>
              <w:t>实际占款天数</w:t>
            </w:r>
          </w:p>
        </w:tc>
        <w:tc>
          <w:tcPr>
            <w:tcW w:w="6125" w:type="dxa"/>
          </w:tcPr>
          <w:p w14:paraId="1569CFF2">
            <w:pPr>
              <w:adjustRightInd w:val="0"/>
              <w:snapToGrid w:val="0"/>
              <w:rPr>
                <w:rFonts w:ascii="仿宋_GB2312" w:eastAsia="仿宋_GB2312"/>
                <w:kern w:val="0"/>
                <w:sz w:val="24"/>
                <w:szCs w:val="24"/>
              </w:rPr>
            </w:pPr>
            <w:r>
              <w:rPr>
                <w:rFonts w:hint="eastAsia" w:ascii="仿宋_GB2312" w:eastAsia="仿宋_GB2312"/>
                <w:kern w:val="0"/>
                <w:sz w:val="24"/>
                <w:szCs w:val="24"/>
              </w:rPr>
              <w:t>到期结算日-首次结算日，自动显示，无需输入</w:t>
            </w:r>
          </w:p>
        </w:tc>
      </w:tr>
      <w:tr w14:paraId="05338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689" w:type="dxa"/>
          </w:tcPr>
          <w:p w14:paraId="07B4C279">
            <w:pPr>
              <w:adjustRightInd w:val="0"/>
              <w:snapToGrid w:val="0"/>
              <w:rPr>
                <w:rFonts w:ascii="仿宋_GB2312" w:eastAsia="仿宋_GB2312"/>
                <w:b/>
                <w:kern w:val="0"/>
                <w:sz w:val="24"/>
                <w:szCs w:val="24"/>
              </w:rPr>
            </w:pPr>
            <w:r>
              <w:rPr>
                <w:rFonts w:hint="eastAsia" w:ascii="仿宋_GB2312" w:eastAsia="仿宋_GB2312"/>
                <w:b/>
                <w:kern w:val="0"/>
                <w:sz w:val="24"/>
                <w:szCs w:val="24"/>
              </w:rPr>
              <w:t>回购利息</w:t>
            </w:r>
          </w:p>
        </w:tc>
        <w:tc>
          <w:tcPr>
            <w:tcW w:w="6125" w:type="dxa"/>
          </w:tcPr>
          <w:p w14:paraId="6CCA2D61">
            <w:pPr>
              <w:adjustRightInd w:val="0"/>
              <w:snapToGrid w:val="0"/>
              <w:rPr>
                <w:rFonts w:ascii="仿宋_GB2312" w:eastAsia="仿宋_GB2312"/>
                <w:kern w:val="0"/>
                <w:sz w:val="24"/>
                <w:szCs w:val="24"/>
              </w:rPr>
            </w:pPr>
            <w:r>
              <w:rPr>
                <w:rFonts w:hint="eastAsia" w:ascii="仿宋_GB2312" w:eastAsia="仿宋_GB2312"/>
                <w:kern w:val="0"/>
                <w:sz w:val="24"/>
                <w:szCs w:val="24"/>
              </w:rPr>
              <w:t>多券申报成交金额×回购利率×实际占款天数/365合计，自动显示，无需输入</w:t>
            </w:r>
          </w:p>
        </w:tc>
      </w:tr>
      <w:tr w14:paraId="37DD3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tcPr>
          <w:p w14:paraId="1D3B3D1F">
            <w:pPr>
              <w:adjustRightInd w:val="0"/>
              <w:snapToGrid w:val="0"/>
              <w:rPr>
                <w:rFonts w:ascii="仿宋_GB2312" w:eastAsia="仿宋_GB2312"/>
                <w:b/>
                <w:kern w:val="0"/>
                <w:sz w:val="24"/>
                <w:szCs w:val="24"/>
              </w:rPr>
            </w:pPr>
            <w:r>
              <w:rPr>
                <w:rFonts w:hint="eastAsia" w:ascii="仿宋_GB2312" w:eastAsia="仿宋_GB2312"/>
                <w:b/>
                <w:kern w:val="0"/>
                <w:sz w:val="24"/>
                <w:szCs w:val="24"/>
              </w:rPr>
              <w:t>到期结算金额</w:t>
            </w:r>
          </w:p>
        </w:tc>
        <w:tc>
          <w:tcPr>
            <w:tcW w:w="6125" w:type="dxa"/>
          </w:tcPr>
          <w:p w14:paraId="495238AB">
            <w:pPr>
              <w:adjustRightInd w:val="0"/>
              <w:snapToGrid w:val="0"/>
              <w:rPr>
                <w:rFonts w:ascii="仿宋_GB2312" w:eastAsia="仿宋_GB2312"/>
                <w:kern w:val="0"/>
                <w:sz w:val="24"/>
                <w:szCs w:val="24"/>
              </w:rPr>
            </w:pPr>
            <w:r>
              <w:rPr>
                <w:rFonts w:hint="eastAsia" w:ascii="仿宋_GB2312" w:eastAsia="仿宋_GB2312"/>
                <w:kern w:val="0"/>
                <w:sz w:val="24"/>
                <w:szCs w:val="24"/>
              </w:rPr>
              <w:t>到期日正回购方返回的金额合计，自动显示，无需输入</w:t>
            </w:r>
          </w:p>
        </w:tc>
      </w:tr>
      <w:tr w14:paraId="5677A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tcPr>
          <w:p w14:paraId="2D5C6BEC">
            <w:pPr>
              <w:adjustRightInd w:val="0"/>
              <w:snapToGrid w:val="0"/>
              <w:rPr>
                <w:rFonts w:ascii="仿宋_GB2312" w:eastAsia="仿宋_GB2312"/>
                <w:b/>
                <w:kern w:val="0"/>
                <w:sz w:val="24"/>
                <w:szCs w:val="24"/>
              </w:rPr>
            </w:pPr>
            <w:r>
              <w:rPr>
                <w:rFonts w:hint="eastAsia" w:ascii="仿宋_GB2312" w:eastAsia="仿宋_GB2312"/>
                <w:b/>
                <w:kern w:val="0"/>
                <w:sz w:val="24"/>
                <w:szCs w:val="24"/>
              </w:rPr>
              <w:t>质押券篮子</w:t>
            </w:r>
          </w:p>
        </w:tc>
        <w:tc>
          <w:tcPr>
            <w:tcW w:w="6125" w:type="dxa"/>
          </w:tcPr>
          <w:p w14:paraId="7CBBD278">
            <w:pPr>
              <w:adjustRightInd w:val="0"/>
              <w:snapToGrid w:val="0"/>
              <w:rPr>
                <w:rFonts w:ascii="仿宋_GB2312" w:eastAsia="仿宋_GB2312"/>
                <w:kern w:val="0"/>
                <w:sz w:val="24"/>
                <w:szCs w:val="24"/>
              </w:rPr>
            </w:pPr>
            <w:r>
              <w:rPr>
                <w:rFonts w:hint="eastAsia" w:ascii="仿宋_GB2312" w:eastAsia="仿宋_GB2312"/>
                <w:kern w:val="0"/>
                <w:sz w:val="24"/>
                <w:szCs w:val="24"/>
              </w:rPr>
              <w:t>各等级债券对应的质押券篮子信息，自动显示，无需输入</w:t>
            </w:r>
          </w:p>
        </w:tc>
      </w:tr>
      <w:tr w14:paraId="6671D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tcPr>
          <w:p w14:paraId="21074F6D">
            <w:pPr>
              <w:adjustRightInd w:val="0"/>
              <w:snapToGrid w:val="0"/>
              <w:rPr>
                <w:rFonts w:ascii="仿宋_GB2312" w:eastAsia="仿宋_GB2312"/>
                <w:b/>
                <w:kern w:val="0"/>
                <w:sz w:val="24"/>
                <w:szCs w:val="24"/>
              </w:rPr>
            </w:pPr>
            <w:r>
              <w:rPr>
                <w:rFonts w:hint="eastAsia" w:ascii="仿宋_GB2312" w:eastAsia="仿宋_GB2312"/>
                <w:b/>
                <w:kern w:val="0"/>
                <w:sz w:val="24"/>
                <w:szCs w:val="24"/>
              </w:rPr>
              <w:t>质押券简称</w:t>
            </w:r>
          </w:p>
        </w:tc>
        <w:tc>
          <w:tcPr>
            <w:tcW w:w="6125" w:type="dxa"/>
          </w:tcPr>
          <w:p w14:paraId="384CBB40">
            <w:pPr>
              <w:adjustRightInd w:val="0"/>
              <w:snapToGrid w:val="0"/>
              <w:rPr>
                <w:rFonts w:ascii="仿宋_GB2312" w:eastAsia="仿宋_GB2312"/>
                <w:kern w:val="0"/>
                <w:sz w:val="24"/>
                <w:szCs w:val="24"/>
              </w:rPr>
            </w:pPr>
            <w:r>
              <w:rPr>
                <w:rFonts w:hint="eastAsia" w:ascii="仿宋_GB2312" w:eastAsia="仿宋_GB2312"/>
                <w:kern w:val="0"/>
                <w:sz w:val="24"/>
                <w:szCs w:val="24"/>
              </w:rPr>
              <w:t>质押债券的简称，自动显示，无需输入</w:t>
            </w:r>
          </w:p>
        </w:tc>
      </w:tr>
      <w:tr w14:paraId="0B449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689" w:type="dxa"/>
          </w:tcPr>
          <w:p w14:paraId="0FAC5EB5">
            <w:pPr>
              <w:adjustRightInd w:val="0"/>
              <w:snapToGrid w:val="0"/>
              <w:rPr>
                <w:rFonts w:ascii="仿宋_GB2312" w:eastAsia="仿宋_GB2312"/>
                <w:b/>
                <w:kern w:val="0"/>
                <w:sz w:val="24"/>
                <w:szCs w:val="24"/>
              </w:rPr>
            </w:pPr>
            <w:r>
              <w:rPr>
                <w:rFonts w:hint="eastAsia" w:ascii="仿宋_GB2312" w:eastAsia="仿宋_GB2312"/>
                <w:b/>
                <w:kern w:val="0"/>
                <w:sz w:val="24"/>
                <w:szCs w:val="24"/>
              </w:rPr>
              <w:t>全价估值</w:t>
            </w:r>
          </w:p>
        </w:tc>
        <w:tc>
          <w:tcPr>
            <w:tcW w:w="6125" w:type="dxa"/>
          </w:tcPr>
          <w:p w14:paraId="7EDBC1A0">
            <w:pPr>
              <w:adjustRightInd w:val="0"/>
              <w:snapToGrid w:val="0"/>
              <w:rPr>
                <w:rFonts w:ascii="仿宋_GB2312" w:eastAsia="仿宋_GB2312"/>
                <w:kern w:val="0"/>
                <w:sz w:val="24"/>
                <w:szCs w:val="24"/>
              </w:rPr>
            </w:pPr>
            <w:r>
              <w:rPr>
                <w:rFonts w:hint="eastAsia" w:ascii="仿宋_GB2312" w:eastAsia="仿宋_GB2312"/>
                <w:kern w:val="0"/>
                <w:sz w:val="24"/>
                <w:szCs w:val="24"/>
              </w:rPr>
              <w:t>质押券的当前全价估值，自动显示，无需输入</w:t>
            </w:r>
          </w:p>
        </w:tc>
      </w:tr>
      <w:tr w14:paraId="269AD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tcPr>
          <w:p w14:paraId="09DDA272">
            <w:pPr>
              <w:adjustRightInd w:val="0"/>
              <w:snapToGrid w:val="0"/>
              <w:rPr>
                <w:rFonts w:ascii="仿宋_GB2312" w:eastAsia="仿宋_GB2312"/>
                <w:b/>
                <w:kern w:val="0"/>
                <w:sz w:val="24"/>
                <w:szCs w:val="24"/>
              </w:rPr>
            </w:pPr>
            <w:r>
              <w:rPr>
                <w:rFonts w:hint="eastAsia" w:ascii="仿宋_GB2312" w:eastAsia="仿宋_GB2312"/>
                <w:b/>
                <w:kern w:val="0"/>
                <w:sz w:val="24"/>
                <w:szCs w:val="24"/>
              </w:rPr>
              <w:t>折扣率</w:t>
            </w:r>
          </w:p>
        </w:tc>
        <w:tc>
          <w:tcPr>
            <w:tcW w:w="6125" w:type="dxa"/>
          </w:tcPr>
          <w:p w14:paraId="57FA7CBB">
            <w:pPr>
              <w:adjustRightInd w:val="0"/>
              <w:snapToGrid w:val="0"/>
              <w:rPr>
                <w:rFonts w:ascii="仿宋_GB2312" w:eastAsia="仿宋_GB2312"/>
                <w:kern w:val="0"/>
                <w:sz w:val="24"/>
                <w:szCs w:val="24"/>
              </w:rPr>
            </w:pPr>
            <w:r>
              <w:rPr>
                <w:rFonts w:hint="eastAsia" w:ascii="仿宋_GB2312" w:eastAsia="仿宋_GB2312"/>
                <w:kern w:val="0"/>
                <w:sz w:val="24"/>
                <w:szCs w:val="24"/>
              </w:rPr>
              <w:t>所属质押券篮子的折扣率，自动显示，无需输入</w:t>
            </w:r>
          </w:p>
        </w:tc>
      </w:tr>
      <w:tr w14:paraId="3870B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tcPr>
          <w:p w14:paraId="2886D35A">
            <w:pPr>
              <w:adjustRightInd w:val="0"/>
              <w:snapToGrid w:val="0"/>
              <w:rPr>
                <w:rFonts w:ascii="仿宋_GB2312" w:eastAsia="仿宋_GB2312"/>
                <w:b/>
                <w:kern w:val="0"/>
                <w:sz w:val="24"/>
                <w:szCs w:val="24"/>
              </w:rPr>
            </w:pPr>
            <w:r>
              <w:rPr>
                <w:rFonts w:hint="eastAsia" w:ascii="仿宋_GB2312" w:eastAsia="仿宋_GB2312"/>
                <w:b/>
                <w:kern w:val="0"/>
                <w:sz w:val="24"/>
                <w:szCs w:val="24"/>
              </w:rPr>
              <w:t>担保价值</w:t>
            </w:r>
          </w:p>
        </w:tc>
        <w:tc>
          <w:tcPr>
            <w:tcW w:w="6125" w:type="dxa"/>
          </w:tcPr>
          <w:p w14:paraId="786886DB">
            <w:pPr>
              <w:adjustRightInd w:val="0"/>
              <w:snapToGrid w:val="0"/>
              <w:rPr>
                <w:rFonts w:ascii="仿宋_GB2312" w:eastAsia="仿宋_GB2312"/>
                <w:kern w:val="0"/>
                <w:sz w:val="24"/>
                <w:szCs w:val="24"/>
              </w:rPr>
            </w:pPr>
            <w:r>
              <w:rPr>
                <w:rFonts w:hint="eastAsia" w:ascii="仿宋_GB2312" w:eastAsia="仿宋_GB2312"/>
                <w:kern w:val="0"/>
                <w:sz w:val="24"/>
                <w:szCs w:val="24"/>
              </w:rPr>
              <w:t>全价估值*数量*（1-折扣率/100），自动显示，无需输入</w:t>
            </w:r>
          </w:p>
        </w:tc>
      </w:tr>
      <w:tr w14:paraId="72588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tcPr>
          <w:p w14:paraId="13F68E1C">
            <w:pPr>
              <w:adjustRightInd w:val="0"/>
              <w:snapToGrid w:val="0"/>
              <w:rPr>
                <w:rFonts w:ascii="仿宋_GB2312" w:eastAsia="仿宋_GB2312"/>
                <w:b/>
                <w:kern w:val="0"/>
                <w:sz w:val="24"/>
                <w:szCs w:val="24"/>
              </w:rPr>
            </w:pPr>
            <w:r>
              <w:rPr>
                <w:rFonts w:hint="eastAsia" w:ascii="仿宋_GB2312" w:eastAsia="仿宋_GB2312"/>
                <w:b/>
                <w:kern w:val="0"/>
                <w:sz w:val="24"/>
                <w:szCs w:val="24"/>
              </w:rPr>
              <w:t>担保价值合计</w:t>
            </w:r>
          </w:p>
        </w:tc>
        <w:tc>
          <w:tcPr>
            <w:tcW w:w="6125" w:type="dxa"/>
          </w:tcPr>
          <w:p w14:paraId="00231ED2">
            <w:pPr>
              <w:adjustRightInd w:val="0"/>
              <w:snapToGrid w:val="0"/>
              <w:rPr>
                <w:rFonts w:ascii="仿宋_GB2312" w:eastAsia="仿宋_GB2312"/>
                <w:kern w:val="0"/>
                <w:sz w:val="24"/>
                <w:szCs w:val="24"/>
              </w:rPr>
            </w:pPr>
            <w:r>
              <w:rPr>
                <w:rFonts w:hint="eastAsia" w:ascii="仿宋_GB2312" w:eastAsia="仿宋_GB2312"/>
                <w:kern w:val="0"/>
                <w:sz w:val="24"/>
                <w:szCs w:val="24"/>
              </w:rPr>
              <w:t>多券申报质押券的合计担保价值，自动显示，无需输入</w:t>
            </w:r>
          </w:p>
        </w:tc>
      </w:tr>
    </w:tbl>
    <w:p w14:paraId="09DAB89F">
      <w:pPr>
        <w:spacing w:line="600" w:lineRule="exact"/>
        <w:ind w:firstLine="602" w:firstLineChars="200"/>
        <w:outlineLvl w:val="3"/>
        <w:rPr>
          <w:rFonts w:ascii="仿宋_GB2312" w:eastAsia="仿宋_GB2312"/>
          <w:b/>
          <w:sz w:val="30"/>
          <w:szCs w:val="30"/>
        </w:rPr>
      </w:pPr>
      <w:bookmarkStart w:id="2109" w:name="_Toc499850051"/>
      <w:bookmarkEnd w:id="2109"/>
      <w:r>
        <w:rPr>
          <w:rFonts w:hint="eastAsia" w:ascii="仿宋_GB2312" w:eastAsia="仿宋_GB2312"/>
          <w:b/>
          <w:sz w:val="30"/>
          <w:szCs w:val="30"/>
        </w:rPr>
        <w:t>（6）到期购回交易申报</w:t>
      </w:r>
    </w:p>
    <w:p w14:paraId="6DC11442">
      <w:pPr>
        <w:adjustRightInd w:val="0"/>
        <w:snapToGri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三方回购到期日，正回购方可进行到期购回。到期购回申报指回购双方在回购到期日针对到期回购按照约定返还资金、解除质押券及相应孳息质押登记的申报。到期购回申报由正回购方的任一交易员发起，无需逆回购方确认。到期购回申报一经提交，不可撤销。</w:t>
      </w:r>
      <w:bookmarkStart w:id="2110" w:name="_Toc499850053"/>
      <w:bookmarkEnd w:id="2110"/>
    </w:p>
    <w:p w14:paraId="58C2BB40">
      <w:pPr>
        <w:adjustRightInd w:val="0"/>
        <w:snapToGrid w:val="0"/>
        <w:spacing w:line="600" w:lineRule="exact"/>
        <w:ind w:firstLine="600" w:firstLineChars="200"/>
        <w:rPr>
          <w:rFonts w:ascii="仿宋_GB2312" w:hAnsi="宋体" w:eastAsia="仿宋_GB2312"/>
          <w:sz w:val="30"/>
          <w:szCs w:val="30"/>
        </w:rPr>
      </w:pPr>
      <w:r>
        <w:rPr>
          <w:rFonts w:hint="eastAsia" w:ascii="仿宋_GB2312" w:hAnsi="Calibri" w:eastAsia="仿宋_GB2312"/>
          <w:kern w:val="0"/>
          <w:sz w:val="30"/>
          <w:szCs w:val="30"/>
        </w:rPr>
        <w:t>到期购回申报的</w:t>
      </w:r>
      <w:r>
        <w:rPr>
          <w:rFonts w:hint="eastAsia" w:ascii="仿宋_GB2312" w:hAnsi="宋体" w:eastAsia="仿宋_GB2312"/>
          <w:sz w:val="30"/>
          <w:szCs w:val="30"/>
        </w:rPr>
        <w:t>具体要素及要素说明如下：</w:t>
      </w:r>
    </w:p>
    <w:tbl>
      <w:tblPr>
        <w:tblStyle w:val="4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00"/>
        <w:gridCol w:w="6322"/>
      </w:tblGrid>
      <w:tr w14:paraId="65CD2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1" w:type="pct"/>
          </w:tcPr>
          <w:p w14:paraId="48091F99">
            <w:pPr>
              <w:adjustRightInd w:val="0"/>
              <w:snapToGrid w:val="0"/>
              <w:rPr>
                <w:rFonts w:ascii="仿宋_GB2312" w:eastAsia="仿宋_GB2312"/>
                <w:b/>
                <w:kern w:val="0"/>
                <w:sz w:val="24"/>
                <w:szCs w:val="24"/>
              </w:rPr>
            </w:pPr>
            <w:r>
              <w:rPr>
                <w:rFonts w:hint="eastAsia" w:ascii="仿宋_GB2312" w:eastAsia="仿宋_GB2312"/>
                <w:b/>
                <w:kern w:val="0"/>
                <w:sz w:val="24"/>
                <w:szCs w:val="24"/>
              </w:rPr>
              <w:t>要素名称</w:t>
            </w:r>
          </w:p>
        </w:tc>
        <w:tc>
          <w:tcPr>
            <w:tcW w:w="3709" w:type="pct"/>
          </w:tcPr>
          <w:p w14:paraId="79F13268">
            <w:pPr>
              <w:adjustRightInd w:val="0"/>
              <w:snapToGrid w:val="0"/>
              <w:rPr>
                <w:rFonts w:ascii="仿宋_GB2312" w:eastAsia="仿宋_GB2312"/>
                <w:b/>
                <w:kern w:val="0"/>
                <w:sz w:val="24"/>
                <w:szCs w:val="24"/>
              </w:rPr>
            </w:pPr>
            <w:r>
              <w:rPr>
                <w:rFonts w:hint="eastAsia" w:ascii="仿宋_GB2312" w:eastAsia="仿宋_GB2312"/>
                <w:b/>
                <w:kern w:val="0"/>
                <w:sz w:val="24"/>
                <w:szCs w:val="24"/>
              </w:rPr>
              <w:t>要素说明</w:t>
            </w:r>
          </w:p>
        </w:tc>
      </w:tr>
      <w:tr w14:paraId="4AFE3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1" w:type="pct"/>
          </w:tcPr>
          <w:p w14:paraId="3F4ABBE5">
            <w:pPr>
              <w:adjustRightInd w:val="0"/>
              <w:snapToGrid w:val="0"/>
              <w:rPr>
                <w:rFonts w:ascii="仿宋_GB2312" w:eastAsia="仿宋_GB2312"/>
                <w:b/>
                <w:kern w:val="0"/>
                <w:sz w:val="24"/>
                <w:szCs w:val="24"/>
              </w:rPr>
            </w:pPr>
            <w:r>
              <w:rPr>
                <w:rFonts w:hint="eastAsia" w:ascii="仿宋_GB2312" w:eastAsia="仿宋_GB2312"/>
                <w:b/>
                <w:kern w:val="0"/>
                <w:sz w:val="24"/>
                <w:szCs w:val="24"/>
              </w:rPr>
              <w:t>对手方交易员代码</w:t>
            </w:r>
          </w:p>
        </w:tc>
        <w:tc>
          <w:tcPr>
            <w:tcW w:w="3709" w:type="pct"/>
          </w:tcPr>
          <w:p w14:paraId="7BFFBE23">
            <w:pPr>
              <w:adjustRightInd w:val="0"/>
              <w:snapToGrid w:val="0"/>
              <w:rPr>
                <w:rFonts w:ascii="仿宋_GB2312" w:eastAsia="仿宋_GB2312"/>
                <w:kern w:val="0"/>
                <w:sz w:val="24"/>
                <w:szCs w:val="24"/>
              </w:rPr>
            </w:pPr>
            <w:r>
              <w:rPr>
                <w:rFonts w:hint="eastAsia" w:ascii="仿宋_GB2312" w:eastAsia="仿宋_GB2312"/>
                <w:kern w:val="0"/>
                <w:sz w:val="24"/>
                <w:szCs w:val="24"/>
              </w:rPr>
              <w:t>对手方交易员代码</w:t>
            </w:r>
          </w:p>
        </w:tc>
      </w:tr>
      <w:tr w14:paraId="5FA1C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1" w:type="pct"/>
          </w:tcPr>
          <w:p w14:paraId="799EC62C">
            <w:pPr>
              <w:adjustRightInd w:val="0"/>
              <w:snapToGrid w:val="0"/>
              <w:rPr>
                <w:rFonts w:ascii="仿宋_GB2312" w:eastAsia="仿宋_GB2312"/>
                <w:b/>
                <w:kern w:val="0"/>
                <w:sz w:val="24"/>
                <w:szCs w:val="24"/>
              </w:rPr>
            </w:pPr>
            <w:r>
              <w:rPr>
                <w:rFonts w:hint="eastAsia" w:ascii="仿宋_GB2312" w:eastAsia="仿宋_GB2312"/>
                <w:b/>
                <w:kern w:val="0"/>
                <w:sz w:val="24"/>
                <w:szCs w:val="24"/>
              </w:rPr>
              <w:t>债券交易参与人</w:t>
            </w:r>
          </w:p>
        </w:tc>
        <w:tc>
          <w:tcPr>
            <w:tcW w:w="3709" w:type="pct"/>
          </w:tcPr>
          <w:p w14:paraId="051CF6B1">
            <w:pPr>
              <w:adjustRightInd w:val="0"/>
              <w:snapToGrid w:val="0"/>
              <w:rPr>
                <w:rFonts w:ascii="仿宋_GB2312" w:eastAsia="仿宋_GB2312"/>
                <w:kern w:val="0"/>
                <w:sz w:val="24"/>
                <w:szCs w:val="24"/>
              </w:rPr>
            </w:pPr>
            <w:r>
              <w:rPr>
                <w:rFonts w:hint="eastAsia" w:ascii="仿宋_GB2312" w:eastAsia="仿宋_GB2312"/>
                <w:kern w:val="0"/>
                <w:sz w:val="24"/>
                <w:szCs w:val="24"/>
              </w:rPr>
              <w:t>债券交易参与人名称，自动显示，无需输入</w:t>
            </w:r>
          </w:p>
        </w:tc>
      </w:tr>
      <w:tr w14:paraId="303F6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91" w:type="pct"/>
          </w:tcPr>
          <w:p w14:paraId="49FA946D">
            <w:pPr>
              <w:adjustRightInd w:val="0"/>
              <w:snapToGrid w:val="0"/>
              <w:rPr>
                <w:rFonts w:ascii="仿宋_GB2312" w:eastAsia="仿宋_GB2312"/>
                <w:b/>
                <w:kern w:val="0"/>
                <w:sz w:val="24"/>
                <w:szCs w:val="24"/>
              </w:rPr>
            </w:pPr>
            <w:r>
              <w:rPr>
                <w:rFonts w:hint="eastAsia" w:ascii="仿宋_GB2312" w:eastAsia="仿宋_GB2312"/>
                <w:b/>
                <w:kern w:val="0"/>
                <w:sz w:val="24"/>
                <w:szCs w:val="24"/>
              </w:rPr>
              <w:t>交易员代码</w:t>
            </w:r>
          </w:p>
        </w:tc>
        <w:tc>
          <w:tcPr>
            <w:tcW w:w="3709" w:type="pct"/>
          </w:tcPr>
          <w:p w14:paraId="13004AA5">
            <w:pPr>
              <w:adjustRightInd w:val="0"/>
              <w:snapToGrid w:val="0"/>
              <w:rPr>
                <w:rFonts w:ascii="仿宋_GB2312" w:eastAsia="仿宋_GB2312"/>
                <w:kern w:val="0"/>
                <w:sz w:val="24"/>
                <w:szCs w:val="24"/>
              </w:rPr>
            </w:pPr>
            <w:r>
              <w:rPr>
                <w:rFonts w:hint="eastAsia" w:ascii="仿宋_GB2312" w:eastAsia="仿宋_GB2312"/>
                <w:kern w:val="0"/>
                <w:sz w:val="24"/>
                <w:szCs w:val="24"/>
              </w:rPr>
              <w:t>交易员代码，自动显示，无需输入</w:t>
            </w:r>
          </w:p>
        </w:tc>
      </w:tr>
      <w:tr w14:paraId="3FDDE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1" w:type="pct"/>
          </w:tcPr>
          <w:p w14:paraId="1BA8262F">
            <w:pPr>
              <w:adjustRightInd w:val="0"/>
              <w:snapToGrid w:val="0"/>
              <w:rPr>
                <w:rFonts w:ascii="仿宋_GB2312" w:eastAsia="仿宋_GB2312"/>
                <w:b/>
                <w:kern w:val="0"/>
                <w:sz w:val="24"/>
                <w:szCs w:val="24"/>
              </w:rPr>
            </w:pPr>
            <w:r>
              <w:rPr>
                <w:rFonts w:hint="eastAsia" w:ascii="仿宋_GB2312" w:eastAsia="仿宋_GB2312"/>
                <w:b/>
                <w:kern w:val="0"/>
                <w:sz w:val="24"/>
                <w:szCs w:val="24"/>
              </w:rPr>
              <w:t>交易员名称</w:t>
            </w:r>
          </w:p>
        </w:tc>
        <w:tc>
          <w:tcPr>
            <w:tcW w:w="3709" w:type="pct"/>
          </w:tcPr>
          <w:p w14:paraId="510EAF96">
            <w:pPr>
              <w:adjustRightInd w:val="0"/>
              <w:snapToGrid w:val="0"/>
              <w:rPr>
                <w:rFonts w:ascii="仿宋_GB2312" w:eastAsia="仿宋_GB2312"/>
                <w:kern w:val="0"/>
                <w:sz w:val="24"/>
                <w:szCs w:val="24"/>
              </w:rPr>
            </w:pPr>
            <w:r>
              <w:rPr>
                <w:rFonts w:hint="eastAsia" w:ascii="仿宋_GB2312" w:eastAsia="仿宋_GB2312"/>
                <w:kern w:val="0"/>
                <w:sz w:val="24"/>
                <w:szCs w:val="24"/>
              </w:rPr>
              <w:t>交易员名称，自动显示，无需输入</w:t>
            </w:r>
          </w:p>
        </w:tc>
      </w:tr>
      <w:tr w14:paraId="05636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1" w:type="pct"/>
          </w:tcPr>
          <w:p w14:paraId="50437737">
            <w:pPr>
              <w:adjustRightInd w:val="0"/>
              <w:snapToGrid w:val="0"/>
              <w:rPr>
                <w:rFonts w:ascii="仿宋_GB2312" w:eastAsia="仿宋_GB2312"/>
                <w:b/>
                <w:kern w:val="0"/>
                <w:sz w:val="24"/>
                <w:szCs w:val="24"/>
              </w:rPr>
            </w:pPr>
            <w:r>
              <w:rPr>
                <w:rFonts w:hint="eastAsia" w:ascii="仿宋_GB2312" w:eastAsia="仿宋_GB2312"/>
                <w:b/>
                <w:kern w:val="0"/>
                <w:sz w:val="24"/>
                <w:szCs w:val="24"/>
              </w:rPr>
              <w:t>三方回购专用账户</w:t>
            </w:r>
          </w:p>
        </w:tc>
        <w:tc>
          <w:tcPr>
            <w:tcW w:w="3709" w:type="pct"/>
          </w:tcPr>
          <w:p w14:paraId="619CC3F4">
            <w:pPr>
              <w:adjustRightInd w:val="0"/>
              <w:snapToGrid w:val="0"/>
              <w:rPr>
                <w:rFonts w:ascii="仿宋_GB2312" w:eastAsia="仿宋_GB2312"/>
                <w:kern w:val="0"/>
                <w:sz w:val="24"/>
                <w:szCs w:val="24"/>
              </w:rPr>
            </w:pPr>
            <w:r>
              <w:rPr>
                <w:rFonts w:hint="eastAsia" w:ascii="仿宋_GB2312" w:eastAsia="仿宋_GB2312"/>
                <w:kern w:val="0"/>
                <w:sz w:val="24"/>
                <w:szCs w:val="24"/>
              </w:rPr>
              <w:t>正回购方的证券账户，自动显示，无需输入</w:t>
            </w:r>
          </w:p>
        </w:tc>
      </w:tr>
      <w:tr w14:paraId="3C1AB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1" w:type="pct"/>
          </w:tcPr>
          <w:p w14:paraId="76823957">
            <w:pPr>
              <w:adjustRightInd w:val="0"/>
              <w:snapToGrid w:val="0"/>
              <w:rPr>
                <w:rFonts w:ascii="仿宋_GB2312" w:eastAsia="仿宋_GB2312"/>
                <w:b/>
                <w:kern w:val="0"/>
                <w:sz w:val="24"/>
                <w:szCs w:val="24"/>
              </w:rPr>
            </w:pPr>
            <w:r>
              <w:rPr>
                <w:rFonts w:hint="eastAsia" w:ascii="仿宋_GB2312" w:eastAsia="仿宋_GB2312"/>
                <w:b/>
                <w:kern w:val="0"/>
                <w:sz w:val="24"/>
                <w:szCs w:val="24"/>
              </w:rPr>
              <w:t>三方回购专用账户名称</w:t>
            </w:r>
          </w:p>
        </w:tc>
        <w:tc>
          <w:tcPr>
            <w:tcW w:w="3709" w:type="pct"/>
          </w:tcPr>
          <w:p w14:paraId="378AB6BC">
            <w:pPr>
              <w:adjustRightInd w:val="0"/>
              <w:snapToGrid w:val="0"/>
              <w:rPr>
                <w:rFonts w:ascii="仿宋_GB2312" w:eastAsia="仿宋_GB2312"/>
                <w:kern w:val="0"/>
                <w:sz w:val="24"/>
                <w:szCs w:val="24"/>
              </w:rPr>
            </w:pPr>
            <w:r>
              <w:rPr>
                <w:rFonts w:hint="eastAsia" w:ascii="仿宋_GB2312" w:eastAsia="仿宋_GB2312"/>
                <w:kern w:val="0"/>
                <w:sz w:val="24"/>
                <w:szCs w:val="24"/>
              </w:rPr>
              <w:t>正回购方的证券账户名称，自动显示，无需输入</w:t>
            </w:r>
          </w:p>
        </w:tc>
      </w:tr>
      <w:tr w14:paraId="53EBF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91" w:type="pct"/>
          </w:tcPr>
          <w:p w14:paraId="13C49E45">
            <w:pPr>
              <w:adjustRightInd w:val="0"/>
              <w:snapToGrid w:val="0"/>
              <w:rPr>
                <w:rFonts w:ascii="仿宋_GB2312" w:eastAsia="仿宋_GB2312"/>
                <w:b/>
                <w:kern w:val="0"/>
                <w:sz w:val="24"/>
                <w:szCs w:val="24"/>
              </w:rPr>
            </w:pPr>
            <w:r>
              <w:rPr>
                <w:rFonts w:hint="eastAsia" w:ascii="仿宋_GB2312" w:eastAsia="仿宋_GB2312"/>
                <w:b/>
                <w:kern w:val="0"/>
                <w:sz w:val="24"/>
                <w:szCs w:val="24"/>
              </w:rPr>
              <w:t>专用账户交易单元</w:t>
            </w:r>
          </w:p>
        </w:tc>
        <w:tc>
          <w:tcPr>
            <w:tcW w:w="3709" w:type="pct"/>
          </w:tcPr>
          <w:p w14:paraId="6D6BDA4A">
            <w:pPr>
              <w:adjustRightInd w:val="0"/>
              <w:snapToGrid w:val="0"/>
              <w:rPr>
                <w:rFonts w:ascii="仿宋_GB2312" w:eastAsia="仿宋_GB2312"/>
                <w:kern w:val="0"/>
                <w:sz w:val="24"/>
                <w:szCs w:val="24"/>
              </w:rPr>
            </w:pPr>
            <w:r>
              <w:rPr>
                <w:rFonts w:hint="eastAsia" w:ascii="仿宋_GB2312" w:eastAsia="仿宋_GB2312"/>
                <w:kern w:val="0"/>
                <w:sz w:val="24"/>
                <w:szCs w:val="24"/>
              </w:rPr>
              <w:t>专用证券账号的指定交易单元号，自动显示，无需输入</w:t>
            </w:r>
          </w:p>
        </w:tc>
      </w:tr>
      <w:tr w14:paraId="236CA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1" w:type="pct"/>
          </w:tcPr>
          <w:p w14:paraId="6F013292">
            <w:pPr>
              <w:adjustRightInd w:val="0"/>
              <w:snapToGrid w:val="0"/>
              <w:rPr>
                <w:rFonts w:ascii="仿宋_GB2312" w:eastAsia="仿宋_GB2312"/>
                <w:b/>
                <w:kern w:val="0"/>
                <w:sz w:val="24"/>
                <w:szCs w:val="24"/>
              </w:rPr>
            </w:pPr>
            <w:r>
              <w:rPr>
                <w:rFonts w:hint="eastAsia" w:ascii="仿宋_GB2312" w:eastAsia="仿宋_GB2312"/>
                <w:b/>
                <w:kern w:val="0"/>
                <w:sz w:val="24"/>
                <w:szCs w:val="24"/>
              </w:rPr>
              <w:t>投资者名称</w:t>
            </w:r>
          </w:p>
        </w:tc>
        <w:tc>
          <w:tcPr>
            <w:tcW w:w="3709" w:type="pct"/>
          </w:tcPr>
          <w:p w14:paraId="004BAD7D">
            <w:pPr>
              <w:adjustRightInd w:val="0"/>
              <w:snapToGrid w:val="0"/>
              <w:rPr>
                <w:rFonts w:ascii="仿宋_GB2312" w:eastAsia="仿宋_GB2312"/>
                <w:kern w:val="0"/>
                <w:sz w:val="24"/>
                <w:szCs w:val="24"/>
              </w:rPr>
            </w:pPr>
            <w:r>
              <w:rPr>
                <w:rFonts w:hint="eastAsia" w:ascii="仿宋_GB2312" w:eastAsia="仿宋_GB2312"/>
                <w:kern w:val="0"/>
                <w:sz w:val="24"/>
                <w:szCs w:val="24"/>
              </w:rPr>
              <w:t>投资者名称，自动显示，无需输入</w:t>
            </w:r>
          </w:p>
        </w:tc>
      </w:tr>
      <w:tr w14:paraId="1E948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1" w:type="pct"/>
          </w:tcPr>
          <w:p w14:paraId="4291F851">
            <w:pPr>
              <w:adjustRightInd w:val="0"/>
              <w:snapToGrid w:val="0"/>
              <w:rPr>
                <w:rFonts w:ascii="仿宋_GB2312" w:eastAsia="仿宋_GB2312"/>
                <w:b/>
                <w:kern w:val="0"/>
                <w:sz w:val="24"/>
                <w:szCs w:val="24"/>
              </w:rPr>
            </w:pPr>
            <w:r>
              <w:rPr>
                <w:rFonts w:hint="eastAsia" w:ascii="仿宋_GB2312" w:eastAsia="仿宋_GB2312"/>
                <w:b/>
                <w:kern w:val="0"/>
                <w:sz w:val="24"/>
                <w:szCs w:val="24"/>
              </w:rPr>
              <w:t>产品委托人</w:t>
            </w:r>
          </w:p>
        </w:tc>
        <w:tc>
          <w:tcPr>
            <w:tcW w:w="3709" w:type="pct"/>
          </w:tcPr>
          <w:p w14:paraId="1D223658">
            <w:pPr>
              <w:adjustRightInd w:val="0"/>
              <w:snapToGrid w:val="0"/>
              <w:rPr>
                <w:rFonts w:ascii="仿宋_GB2312" w:eastAsia="仿宋_GB2312"/>
                <w:kern w:val="0"/>
                <w:sz w:val="24"/>
                <w:szCs w:val="24"/>
              </w:rPr>
            </w:pPr>
            <w:r>
              <w:rPr>
                <w:rFonts w:hint="eastAsia" w:ascii="仿宋_GB2312" w:eastAsia="仿宋_GB2312"/>
                <w:kern w:val="0"/>
                <w:sz w:val="24"/>
                <w:szCs w:val="24"/>
              </w:rPr>
              <w:t>产品委托人名称，自动显示，无需输入</w:t>
            </w:r>
          </w:p>
        </w:tc>
      </w:tr>
      <w:tr w14:paraId="50942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1" w:type="pct"/>
          </w:tcPr>
          <w:p w14:paraId="440CB14E">
            <w:pPr>
              <w:adjustRightInd w:val="0"/>
              <w:snapToGrid w:val="0"/>
              <w:rPr>
                <w:rFonts w:ascii="仿宋_GB2312" w:eastAsia="仿宋_GB2312"/>
                <w:b/>
                <w:kern w:val="0"/>
                <w:sz w:val="24"/>
                <w:szCs w:val="24"/>
              </w:rPr>
            </w:pPr>
            <w:r>
              <w:rPr>
                <w:rFonts w:hint="eastAsia" w:ascii="仿宋_GB2312" w:eastAsia="仿宋_GB2312"/>
                <w:b/>
                <w:kern w:val="0"/>
                <w:sz w:val="24"/>
                <w:szCs w:val="24"/>
              </w:rPr>
              <w:t>杠杆运作限制</w:t>
            </w:r>
          </w:p>
        </w:tc>
        <w:tc>
          <w:tcPr>
            <w:tcW w:w="3709" w:type="pct"/>
          </w:tcPr>
          <w:p w14:paraId="604DEA80">
            <w:pPr>
              <w:adjustRightInd w:val="0"/>
              <w:snapToGrid w:val="0"/>
              <w:rPr>
                <w:rFonts w:ascii="仿宋_GB2312" w:eastAsia="仿宋_GB2312"/>
                <w:kern w:val="0"/>
                <w:sz w:val="24"/>
                <w:szCs w:val="24"/>
              </w:rPr>
            </w:pPr>
            <w:r>
              <w:rPr>
                <w:rFonts w:hint="eastAsia" w:ascii="仿宋_GB2312" w:eastAsia="仿宋_GB2312"/>
                <w:kern w:val="0"/>
                <w:sz w:val="24"/>
                <w:szCs w:val="24"/>
              </w:rPr>
              <w:t>杠杆运作限制，自动显示，无需输入</w:t>
            </w:r>
          </w:p>
        </w:tc>
      </w:tr>
      <w:tr w14:paraId="5CE81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91" w:type="pct"/>
          </w:tcPr>
          <w:p w14:paraId="0B31B1B6">
            <w:pPr>
              <w:adjustRightInd w:val="0"/>
              <w:snapToGrid w:val="0"/>
              <w:rPr>
                <w:rFonts w:ascii="仿宋_GB2312" w:eastAsia="仿宋_GB2312"/>
                <w:b/>
                <w:kern w:val="0"/>
                <w:sz w:val="24"/>
                <w:szCs w:val="24"/>
              </w:rPr>
            </w:pPr>
            <w:r>
              <w:rPr>
                <w:rFonts w:hint="eastAsia" w:ascii="仿宋_GB2312" w:eastAsia="仿宋_GB2312"/>
                <w:b/>
                <w:kern w:val="0"/>
                <w:sz w:val="24"/>
                <w:szCs w:val="24"/>
              </w:rPr>
              <w:t>对手方债券交易参与人</w:t>
            </w:r>
          </w:p>
        </w:tc>
        <w:tc>
          <w:tcPr>
            <w:tcW w:w="3709" w:type="pct"/>
          </w:tcPr>
          <w:p w14:paraId="3723A7B6">
            <w:pPr>
              <w:adjustRightInd w:val="0"/>
              <w:snapToGrid w:val="0"/>
              <w:rPr>
                <w:rFonts w:ascii="仿宋_GB2312" w:eastAsia="仿宋_GB2312"/>
                <w:kern w:val="0"/>
                <w:sz w:val="24"/>
                <w:szCs w:val="24"/>
              </w:rPr>
            </w:pPr>
            <w:r>
              <w:rPr>
                <w:rFonts w:hint="eastAsia" w:ascii="仿宋_GB2312" w:eastAsia="仿宋_GB2312"/>
                <w:kern w:val="0"/>
                <w:sz w:val="24"/>
                <w:szCs w:val="24"/>
              </w:rPr>
              <w:t>对手方债券交易参与人名称，自动显示，无需输入</w:t>
            </w:r>
          </w:p>
        </w:tc>
      </w:tr>
      <w:tr w14:paraId="6C2C8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1" w:type="pct"/>
          </w:tcPr>
          <w:p w14:paraId="16223B2E">
            <w:pPr>
              <w:adjustRightInd w:val="0"/>
              <w:snapToGrid w:val="0"/>
              <w:rPr>
                <w:rFonts w:ascii="仿宋_GB2312" w:eastAsia="仿宋_GB2312"/>
                <w:b/>
                <w:kern w:val="0"/>
                <w:sz w:val="24"/>
                <w:szCs w:val="24"/>
              </w:rPr>
            </w:pPr>
            <w:r>
              <w:rPr>
                <w:rFonts w:hint="eastAsia" w:ascii="仿宋_GB2312" w:eastAsia="仿宋_GB2312"/>
                <w:b/>
                <w:kern w:val="0"/>
                <w:sz w:val="24"/>
                <w:szCs w:val="24"/>
              </w:rPr>
              <w:t>对手方交易员名称</w:t>
            </w:r>
          </w:p>
        </w:tc>
        <w:tc>
          <w:tcPr>
            <w:tcW w:w="3709" w:type="pct"/>
          </w:tcPr>
          <w:p w14:paraId="66CC3554">
            <w:pPr>
              <w:adjustRightInd w:val="0"/>
              <w:snapToGrid w:val="0"/>
              <w:rPr>
                <w:rFonts w:ascii="仿宋_GB2312" w:eastAsia="仿宋_GB2312"/>
                <w:kern w:val="0"/>
                <w:sz w:val="24"/>
                <w:szCs w:val="24"/>
              </w:rPr>
            </w:pPr>
            <w:r>
              <w:rPr>
                <w:rFonts w:hint="eastAsia" w:ascii="仿宋_GB2312" w:eastAsia="仿宋_GB2312"/>
                <w:kern w:val="0"/>
                <w:sz w:val="24"/>
                <w:szCs w:val="24"/>
              </w:rPr>
              <w:t>对手方交易员名称，自动显示，无需输入</w:t>
            </w:r>
          </w:p>
        </w:tc>
      </w:tr>
      <w:tr w14:paraId="1E448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1" w:type="pct"/>
          </w:tcPr>
          <w:p w14:paraId="447FFDEC">
            <w:pPr>
              <w:adjustRightInd w:val="0"/>
              <w:snapToGrid w:val="0"/>
              <w:rPr>
                <w:rFonts w:ascii="仿宋_GB2312" w:eastAsia="仿宋_GB2312"/>
                <w:b/>
                <w:kern w:val="0"/>
                <w:sz w:val="24"/>
                <w:szCs w:val="24"/>
              </w:rPr>
            </w:pPr>
            <w:r>
              <w:rPr>
                <w:rFonts w:hint="eastAsia" w:ascii="仿宋_GB2312" w:eastAsia="仿宋_GB2312"/>
                <w:b/>
                <w:kern w:val="0"/>
                <w:sz w:val="24"/>
                <w:szCs w:val="24"/>
              </w:rPr>
              <w:t>对手方账户名称</w:t>
            </w:r>
          </w:p>
        </w:tc>
        <w:tc>
          <w:tcPr>
            <w:tcW w:w="3709" w:type="pct"/>
          </w:tcPr>
          <w:p w14:paraId="711B54D5">
            <w:pPr>
              <w:adjustRightInd w:val="0"/>
              <w:snapToGrid w:val="0"/>
              <w:rPr>
                <w:rFonts w:ascii="仿宋_GB2312" w:eastAsia="仿宋_GB2312"/>
                <w:kern w:val="0"/>
                <w:sz w:val="24"/>
                <w:szCs w:val="24"/>
              </w:rPr>
            </w:pPr>
            <w:r>
              <w:rPr>
                <w:rFonts w:hint="eastAsia" w:ascii="仿宋_GB2312" w:eastAsia="仿宋_GB2312"/>
                <w:kern w:val="0"/>
                <w:sz w:val="24"/>
                <w:szCs w:val="24"/>
              </w:rPr>
              <w:t>对手方证券账户名称，自动显示，无需输入</w:t>
            </w:r>
          </w:p>
        </w:tc>
      </w:tr>
      <w:tr w14:paraId="5F2EE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1" w:type="pct"/>
          </w:tcPr>
          <w:p w14:paraId="34D46634">
            <w:pPr>
              <w:adjustRightInd w:val="0"/>
              <w:snapToGrid w:val="0"/>
              <w:rPr>
                <w:rFonts w:ascii="仿宋_GB2312" w:eastAsia="仿宋_GB2312"/>
                <w:b/>
                <w:kern w:val="0"/>
                <w:sz w:val="24"/>
                <w:szCs w:val="24"/>
              </w:rPr>
            </w:pPr>
            <w:r>
              <w:rPr>
                <w:rFonts w:hint="eastAsia" w:ascii="仿宋_GB2312" w:eastAsia="仿宋_GB2312"/>
                <w:b/>
                <w:kern w:val="0"/>
                <w:sz w:val="24"/>
                <w:szCs w:val="24"/>
              </w:rPr>
              <w:t>质权人名称</w:t>
            </w:r>
          </w:p>
        </w:tc>
        <w:tc>
          <w:tcPr>
            <w:tcW w:w="3709" w:type="pct"/>
          </w:tcPr>
          <w:p w14:paraId="4440DCAA">
            <w:pPr>
              <w:adjustRightInd w:val="0"/>
              <w:snapToGrid w:val="0"/>
              <w:rPr>
                <w:rFonts w:ascii="仿宋_GB2312" w:eastAsia="仿宋_GB2312"/>
                <w:kern w:val="0"/>
                <w:sz w:val="24"/>
                <w:szCs w:val="24"/>
              </w:rPr>
            </w:pPr>
            <w:r>
              <w:rPr>
                <w:rFonts w:hint="eastAsia" w:ascii="仿宋_GB2312" w:eastAsia="仿宋_GB2312"/>
                <w:kern w:val="0"/>
                <w:sz w:val="24"/>
                <w:szCs w:val="24"/>
              </w:rPr>
              <w:t>占有质押券的债权人名称，默认显示逆回购方债券交易参与人名称，自动显示，无需输入</w:t>
            </w:r>
          </w:p>
        </w:tc>
      </w:tr>
      <w:tr w14:paraId="07BDD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91" w:type="pct"/>
          </w:tcPr>
          <w:p w14:paraId="5BFACE91">
            <w:pPr>
              <w:adjustRightInd w:val="0"/>
              <w:snapToGrid w:val="0"/>
              <w:rPr>
                <w:rFonts w:ascii="仿宋_GB2312" w:eastAsia="仿宋_GB2312"/>
                <w:b/>
                <w:kern w:val="0"/>
                <w:sz w:val="24"/>
                <w:szCs w:val="24"/>
              </w:rPr>
            </w:pPr>
            <w:r>
              <w:rPr>
                <w:rFonts w:hint="eastAsia" w:ascii="仿宋_GB2312" w:eastAsia="仿宋_GB2312"/>
                <w:b/>
                <w:kern w:val="0"/>
                <w:sz w:val="24"/>
                <w:szCs w:val="24"/>
              </w:rPr>
              <w:t>回购期限</w:t>
            </w:r>
          </w:p>
        </w:tc>
        <w:tc>
          <w:tcPr>
            <w:tcW w:w="3709" w:type="pct"/>
          </w:tcPr>
          <w:p w14:paraId="23F8FD16">
            <w:pPr>
              <w:adjustRightInd w:val="0"/>
              <w:snapToGrid w:val="0"/>
              <w:rPr>
                <w:rFonts w:ascii="仿宋_GB2312" w:eastAsia="仿宋_GB2312"/>
                <w:kern w:val="0"/>
                <w:sz w:val="24"/>
                <w:szCs w:val="24"/>
              </w:rPr>
            </w:pPr>
            <w:r>
              <w:rPr>
                <w:rFonts w:hint="eastAsia" w:ascii="仿宋_GB2312" w:eastAsia="仿宋_GB2312"/>
                <w:kern w:val="0"/>
                <w:sz w:val="24"/>
                <w:szCs w:val="24"/>
              </w:rPr>
              <w:t>回购到期日-成交日期，自动显示，无需输入</w:t>
            </w:r>
          </w:p>
        </w:tc>
      </w:tr>
      <w:tr w14:paraId="2AD40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1" w:type="pct"/>
          </w:tcPr>
          <w:p w14:paraId="4BEADA29">
            <w:pPr>
              <w:adjustRightInd w:val="0"/>
              <w:snapToGrid w:val="0"/>
              <w:rPr>
                <w:rFonts w:ascii="仿宋_GB2312" w:eastAsia="仿宋_GB2312"/>
                <w:b/>
                <w:kern w:val="0"/>
                <w:sz w:val="24"/>
                <w:szCs w:val="24"/>
              </w:rPr>
            </w:pPr>
            <w:r>
              <w:rPr>
                <w:rFonts w:hint="eastAsia" w:ascii="仿宋_GB2312" w:eastAsia="仿宋_GB2312"/>
                <w:b/>
                <w:kern w:val="0"/>
                <w:sz w:val="24"/>
                <w:szCs w:val="24"/>
              </w:rPr>
              <w:t>成交编号</w:t>
            </w:r>
          </w:p>
        </w:tc>
        <w:tc>
          <w:tcPr>
            <w:tcW w:w="3709" w:type="pct"/>
          </w:tcPr>
          <w:p w14:paraId="0AAA82F6">
            <w:pPr>
              <w:adjustRightInd w:val="0"/>
              <w:snapToGrid w:val="0"/>
              <w:rPr>
                <w:rFonts w:ascii="仿宋_GB2312" w:eastAsia="仿宋_GB2312"/>
                <w:kern w:val="0"/>
                <w:sz w:val="24"/>
                <w:szCs w:val="24"/>
              </w:rPr>
            </w:pPr>
            <w:r>
              <w:rPr>
                <w:rFonts w:hint="eastAsia" w:ascii="仿宋_GB2312" w:eastAsia="仿宋_GB2312"/>
                <w:kern w:val="0"/>
                <w:sz w:val="24"/>
                <w:szCs w:val="24"/>
              </w:rPr>
              <w:t>回购交易成交编号，自动显示，无需输入</w:t>
            </w:r>
          </w:p>
        </w:tc>
      </w:tr>
      <w:tr w14:paraId="0C68F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1" w:type="pct"/>
          </w:tcPr>
          <w:p w14:paraId="693BA6E9">
            <w:pPr>
              <w:adjustRightInd w:val="0"/>
              <w:snapToGrid w:val="0"/>
              <w:rPr>
                <w:rFonts w:ascii="仿宋_GB2312" w:eastAsia="仿宋_GB2312"/>
                <w:b/>
                <w:kern w:val="0"/>
                <w:sz w:val="24"/>
                <w:szCs w:val="24"/>
              </w:rPr>
            </w:pPr>
            <w:r>
              <w:rPr>
                <w:rFonts w:hint="eastAsia" w:ascii="仿宋_GB2312" w:eastAsia="仿宋_GB2312"/>
                <w:b/>
                <w:kern w:val="0"/>
                <w:sz w:val="24"/>
                <w:szCs w:val="24"/>
              </w:rPr>
              <w:t>成交日</w:t>
            </w:r>
          </w:p>
        </w:tc>
        <w:tc>
          <w:tcPr>
            <w:tcW w:w="3709" w:type="pct"/>
          </w:tcPr>
          <w:p w14:paraId="325B018E">
            <w:pPr>
              <w:adjustRightInd w:val="0"/>
              <w:snapToGrid w:val="0"/>
              <w:rPr>
                <w:rFonts w:ascii="仿宋_GB2312" w:eastAsia="仿宋_GB2312"/>
                <w:kern w:val="0"/>
                <w:sz w:val="24"/>
                <w:szCs w:val="24"/>
              </w:rPr>
            </w:pPr>
            <w:r>
              <w:rPr>
                <w:rFonts w:hint="eastAsia" w:ascii="仿宋_GB2312" w:eastAsia="仿宋_GB2312"/>
                <w:kern w:val="0"/>
                <w:sz w:val="24"/>
                <w:szCs w:val="24"/>
              </w:rPr>
              <w:t>当前交易日，自动显示，无需输入</w:t>
            </w:r>
          </w:p>
        </w:tc>
      </w:tr>
      <w:tr w14:paraId="065F0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1" w:type="pct"/>
          </w:tcPr>
          <w:p w14:paraId="488672FC">
            <w:pPr>
              <w:adjustRightInd w:val="0"/>
              <w:snapToGrid w:val="0"/>
              <w:rPr>
                <w:rFonts w:ascii="仿宋_GB2312" w:eastAsia="仿宋_GB2312"/>
                <w:b/>
                <w:kern w:val="0"/>
                <w:sz w:val="24"/>
                <w:szCs w:val="24"/>
              </w:rPr>
            </w:pPr>
            <w:r>
              <w:rPr>
                <w:rFonts w:hint="eastAsia" w:ascii="仿宋_GB2312" w:eastAsia="仿宋_GB2312"/>
                <w:b/>
                <w:kern w:val="0"/>
                <w:sz w:val="24"/>
                <w:szCs w:val="24"/>
              </w:rPr>
              <w:t>首次结算日</w:t>
            </w:r>
          </w:p>
        </w:tc>
        <w:tc>
          <w:tcPr>
            <w:tcW w:w="3709" w:type="pct"/>
          </w:tcPr>
          <w:p w14:paraId="6A887509">
            <w:pPr>
              <w:adjustRightInd w:val="0"/>
              <w:snapToGrid w:val="0"/>
              <w:rPr>
                <w:rFonts w:ascii="仿宋_GB2312" w:eastAsia="仿宋_GB2312"/>
                <w:kern w:val="0"/>
                <w:sz w:val="24"/>
                <w:szCs w:val="24"/>
              </w:rPr>
            </w:pPr>
            <w:r>
              <w:rPr>
                <w:rFonts w:hint="eastAsia" w:ascii="仿宋_GB2312" w:eastAsia="仿宋_GB2312"/>
                <w:kern w:val="0"/>
                <w:sz w:val="24"/>
                <w:szCs w:val="24"/>
              </w:rPr>
              <w:t>首次结算日，自动显示，无需输入</w:t>
            </w:r>
          </w:p>
        </w:tc>
      </w:tr>
      <w:tr w14:paraId="50267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91" w:type="pct"/>
          </w:tcPr>
          <w:p w14:paraId="7EE23F19">
            <w:pPr>
              <w:adjustRightInd w:val="0"/>
              <w:snapToGrid w:val="0"/>
              <w:rPr>
                <w:rFonts w:ascii="仿宋_GB2312" w:eastAsia="仿宋_GB2312"/>
                <w:b/>
                <w:kern w:val="0"/>
                <w:sz w:val="24"/>
                <w:szCs w:val="24"/>
              </w:rPr>
            </w:pPr>
            <w:r>
              <w:rPr>
                <w:rFonts w:hint="eastAsia" w:ascii="仿宋_GB2312" w:eastAsia="仿宋_GB2312"/>
                <w:b/>
                <w:kern w:val="0"/>
                <w:sz w:val="24"/>
                <w:szCs w:val="24"/>
              </w:rPr>
              <w:t>回购到期日</w:t>
            </w:r>
          </w:p>
        </w:tc>
        <w:tc>
          <w:tcPr>
            <w:tcW w:w="3709" w:type="pct"/>
          </w:tcPr>
          <w:p w14:paraId="5573094B">
            <w:pPr>
              <w:adjustRightInd w:val="0"/>
              <w:snapToGrid w:val="0"/>
              <w:rPr>
                <w:rFonts w:ascii="仿宋_GB2312" w:eastAsia="仿宋_GB2312"/>
                <w:kern w:val="0"/>
                <w:sz w:val="24"/>
                <w:szCs w:val="24"/>
              </w:rPr>
            </w:pPr>
            <w:r>
              <w:rPr>
                <w:rFonts w:hint="eastAsia" w:ascii="仿宋_GB2312" w:eastAsia="仿宋_GB2312"/>
                <w:kern w:val="0"/>
                <w:sz w:val="24"/>
                <w:szCs w:val="24"/>
              </w:rPr>
              <w:t>参与人确定的回购到期日期，自动显示，无需输入</w:t>
            </w:r>
          </w:p>
        </w:tc>
      </w:tr>
      <w:tr w14:paraId="59ED1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1" w:type="pct"/>
          </w:tcPr>
          <w:p w14:paraId="12B712B1">
            <w:pPr>
              <w:adjustRightInd w:val="0"/>
              <w:snapToGrid w:val="0"/>
              <w:rPr>
                <w:rFonts w:ascii="仿宋_GB2312" w:eastAsia="仿宋_GB2312"/>
                <w:b/>
                <w:kern w:val="0"/>
                <w:sz w:val="24"/>
                <w:szCs w:val="24"/>
              </w:rPr>
            </w:pPr>
            <w:r>
              <w:rPr>
                <w:rFonts w:hint="eastAsia" w:ascii="仿宋_GB2312" w:eastAsia="仿宋_GB2312"/>
                <w:b/>
                <w:kern w:val="0"/>
                <w:sz w:val="24"/>
                <w:szCs w:val="24"/>
              </w:rPr>
              <w:t>到期结算日</w:t>
            </w:r>
          </w:p>
        </w:tc>
        <w:tc>
          <w:tcPr>
            <w:tcW w:w="3709" w:type="pct"/>
          </w:tcPr>
          <w:p w14:paraId="58095E41">
            <w:pPr>
              <w:adjustRightInd w:val="0"/>
              <w:snapToGrid w:val="0"/>
              <w:rPr>
                <w:rFonts w:ascii="仿宋_GB2312" w:eastAsia="仿宋_GB2312"/>
                <w:kern w:val="0"/>
                <w:sz w:val="24"/>
                <w:szCs w:val="24"/>
              </w:rPr>
            </w:pPr>
            <w:r>
              <w:rPr>
                <w:rFonts w:hint="eastAsia" w:ascii="仿宋_GB2312" w:eastAsia="仿宋_GB2312"/>
                <w:kern w:val="0"/>
                <w:sz w:val="24"/>
                <w:szCs w:val="24"/>
              </w:rPr>
              <w:t>到期结算日，自动显示，无需输入</w:t>
            </w:r>
          </w:p>
        </w:tc>
      </w:tr>
      <w:tr w14:paraId="458BA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1" w:type="pct"/>
          </w:tcPr>
          <w:p w14:paraId="0E71023C">
            <w:pPr>
              <w:adjustRightInd w:val="0"/>
              <w:snapToGrid w:val="0"/>
              <w:rPr>
                <w:rFonts w:ascii="仿宋_GB2312" w:eastAsia="仿宋_GB2312"/>
                <w:b/>
                <w:kern w:val="0"/>
                <w:sz w:val="24"/>
                <w:szCs w:val="24"/>
              </w:rPr>
            </w:pPr>
            <w:r>
              <w:rPr>
                <w:rFonts w:hint="eastAsia" w:ascii="仿宋_GB2312" w:eastAsia="仿宋_GB2312"/>
                <w:b/>
                <w:kern w:val="0"/>
                <w:sz w:val="24"/>
                <w:szCs w:val="24"/>
              </w:rPr>
              <w:t>实际占款天数</w:t>
            </w:r>
          </w:p>
        </w:tc>
        <w:tc>
          <w:tcPr>
            <w:tcW w:w="3709" w:type="pct"/>
          </w:tcPr>
          <w:p w14:paraId="489C1C24">
            <w:pPr>
              <w:adjustRightInd w:val="0"/>
              <w:snapToGrid w:val="0"/>
              <w:rPr>
                <w:rFonts w:ascii="仿宋_GB2312" w:eastAsia="仿宋_GB2312"/>
                <w:kern w:val="0"/>
                <w:sz w:val="24"/>
                <w:szCs w:val="24"/>
              </w:rPr>
            </w:pPr>
            <w:r>
              <w:rPr>
                <w:rFonts w:hint="eastAsia" w:ascii="仿宋_GB2312" w:eastAsia="仿宋_GB2312"/>
                <w:kern w:val="0"/>
                <w:sz w:val="24"/>
                <w:szCs w:val="24"/>
              </w:rPr>
              <w:t>到期结算日-首次结算日，自动显示，无需输入</w:t>
            </w:r>
          </w:p>
        </w:tc>
      </w:tr>
      <w:tr w14:paraId="28066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1" w:type="pct"/>
          </w:tcPr>
          <w:p w14:paraId="1E84E353">
            <w:pPr>
              <w:adjustRightInd w:val="0"/>
              <w:snapToGrid w:val="0"/>
              <w:rPr>
                <w:rFonts w:ascii="仿宋_GB2312" w:eastAsia="仿宋_GB2312"/>
                <w:b/>
                <w:kern w:val="0"/>
                <w:sz w:val="24"/>
                <w:szCs w:val="24"/>
              </w:rPr>
            </w:pPr>
            <w:r>
              <w:rPr>
                <w:rFonts w:hint="eastAsia" w:ascii="仿宋_GB2312" w:eastAsia="仿宋_GB2312"/>
                <w:b/>
                <w:kern w:val="0"/>
                <w:sz w:val="24"/>
                <w:szCs w:val="24"/>
              </w:rPr>
              <w:t>回购利率</w:t>
            </w:r>
          </w:p>
        </w:tc>
        <w:tc>
          <w:tcPr>
            <w:tcW w:w="3709" w:type="pct"/>
          </w:tcPr>
          <w:p w14:paraId="21CBAE10">
            <w:pPr>
              <w:adjustRightInd w:val="0"/>
              <w:snapToGrid w:val="0"/>
              <w:rPr>
                <w:rFonts w:ascii="仿宋_GB2312" w:eastAsia="仿宋_GB2312"/>
                <w:kern w:val="0"/>
                <w:sz w:val="24"/>
                <w:szCs w:val="24"/>
              </w:rPr>
            </w:pPr>
            <w:r>
              <w:rPr>
                <w:rFonts w:hint="eastAsia" w:ascii="仿宋_GB2312" w:eastAsia="仿宋_GB2312"/>
                <w:kern w:val="0"/>
                <w:sz w:val="24"/>
                <w:szCs w:val="24"/>
              </w:rPr>
              <w:t>正回购方付给逆回购方的资金价格，自动显示，无需输入</w:t>
            </w:r>
          </w:p>
        </w:tc>
      </w:tr>
      <w:tr w14:paraId="21C8E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91" w:type="pct"/>
          </w:tcPr>
          <w:p w14:paraId="180D9DF7">
            <w:pPr>
              <w:adjustRightInd w:val="0"/>
              <w:snapToGrid w:val="0"/>
              <w:rPr>
                <w:rFonts w:ascii="仿宋_GB2312" w:eastAsia="仿宋_GB2312"/>
                <w:b/>
                <w:kern w:val="0"/>
                <w:sz w:val="24"/>
                <w:szCs w:val="24"/>
              </w:rPr>
            </w:pPr>
            <w:r>
              <w:rPr>
                <w:rFonts w:hint="eastAsia" w:ascii="仿宋_GB2312" w:eastAsia="仿宋_GB2312"/>
                <w:b/>
                <w:kern w:val="0"/>
                <w:sz w:val="24"/>
                <w:szCs w:val="24"/>
              </w:rPr>
              <w:t>回购金额</w:t>
            </w:r>
          </w:p>
        </w:tc>
        <w:tc>
          <w:tcPr>
            <w:tcW w:w="3709" w:type="pct"/>
          </w:tcPr>
          <w:p w14:paraId="5A58E237">
            <w:pPr>
              <w:adjustRightInd w:val="0"/>
              <w:snapToGrid w:val="0"/>
              <w:rPr>
                <w:rFonts w:ascii="仿宋_GB2312" w:eastAsia="仿宋_GB2312"/>
                <w:kern w:val="0"/>
                <w:sz w:val="24"/>
                <w:szCs w:val="24"/>
              </w:rPr>
            </w:pPr>
            <w:r>
              <w:rPr>
                <w:rFonts w:hint="eastAsia" w:ascii="仿宋_GB2312" w:eastAsia="仿宋_GB2312"/>
                <w:kern w:val="0"/>
                <w:sz w:val="24"/>
                <w:szCs w:val="24"/>
              </w:rPr>
              <w:t>多券申报正回购方融入的资金额度，自动显示，无需输入</w:t>
            </w:r>
          </w:p>
        </w:tc>
      </w:tr>
      <w:tr w14:paraId="428BE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1" w:type="pct"/>
          </w:tcPr>
          <w:p w14:paraId="4CD84138">
            <w:pPr>
              <w:adjustRightInd w:val="0"/>
              <w:snapToGrid w:val="0"/>
              <w:rPr>
                <w:rFonts w:ascii="仿宋_GB2312" w:eastAsia="仿宋_GB2312"/>
                <w:b/>
                <w:kern w:val="0"/>
                <w:sz w:val="24"/>
                <w:szCs w:val="24"/>
              </w:rPr>
            </w:pPr>
            <w:r>
              <w:rPr>
                <w:rFonts w:hint="eastAsia" w:ascii="仿宋_GB2312" w:eastAsia="仿宋_GB2312"/>
                <w:b/>
                <w:kern w:val="0"/>
                <w:sz w:val="24"/>
                <w:szCs w:val="24"/>
              </w:rPr>
              <w:t>回购利息</w:t>
            </w:r>
          </w:p>
        </w:tc>
        <w:tc>
          <w:tcPr>
            <w:tcW w:w="3709" w:type="pct"/>
          </w:tcPr>
          <w:p w14:paraId="4F27ED3C">
            <w:pPr>
              <w:adjustRightInd w:val="0"/>
              <w:snapToGrid w:val="0"/>
              <w:rPr>
                <w:rFonts w:ascii="仿宋_GB2312" w:eastAsia="仿宋_GB2312"/>
                <w:kern w:val="0"/>
                <w:sz w:val="24"/>
                <w:szCs w:val="24"/>
              </w:rPr>
            </w:pPr>
            <w:r>
              <w:rPr>
                <w:rFonts w:hint="eastAsia" w:ascii="仿宋_GB2312" w:eastAsia="仿宋_GB2312"/>
                <w:kern w:val="0"/>
                <w:sz w:val="24"/>
                <w:szCs w:val="24"/>
              </w:rPr>
              <w:t>多券申报成交金额×回购利率×实际占款天数/365合计，自动显示，无需输入</w:t>
            </w:r>
          </w:p>
        </w:tc>
      </w:tr>
      <w:tr w14:paraId="27D51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1" w:type="pct"/>
          </w:tcPr>
          <w:p w14:paraId="24A5BFEE">
            <w:pPr>
              <w:adjustRightInd w:val="0"/>
              <w:snapToGrid w:val="0"/>
              <w:rPr>
                <w:rFonts w:ascii="仿宋_GB2312" w:eastAsia="仿宋_GB2312"/>
                <w:b/>
                <w:kern w:val="0"/>
                <w:sz w:val="24"/>
                <w:szCs w:val="24"/>
              </w:rPr>
            </w:pPr>
            <w:r>
              <w:rPr>
                <w:rFonts w:hint="eastAsia" w:ascii="仿宋_GB2312" w:eastAsia="仿宋_GB2312"/>
                <w:b/>
                <w:kern w:val="0"/>
                <w:sz w:val="24"/>
                <w:szCs w:val="24"/>
              </w:rPr>
              <w:t>到期结算金额</w:t>
            </w:r>
          </w:p>
        </w:tc>
        <w:tc>
          <w:tcPr>
            <w:tcW w:w="3709" w:type="pct"/>
          </w:tcPr>
          <w:p w14:paraId="4A514AC4">
            <w:pPr>
              <w:adjustRightInd w:val="0"/>
              <w:snapToGrid w:val="0"/>
              <w:rPr>
                <w:rFonts w:ascii="仿宋_GB2312" w:eastAsia="仿宋_GB2312"/>
                <w:kern w:val="0"/>
                <w:sz w:val="24"/>
                <w:szCs w:val="24"/>
              </w:rPr>
            </w:pPr>
            <w:r>
              <w:rPr>
                <w:rFonts w:hint="eastAsia" w:ascii="仿宋_GB2312" w:eastAsia="仿宋_GB2312"/>
                <w:kern w:val="0"/>
                <w:sz w:val="24"/>
                <w:szCs w:val="24"/>
              </w:rPr>
              <w:t>到期日正回购方返回的金额合计，自动显示，无需输入</w:t>
            </w:r>
          </w:p>
        </w:tc>
      </w:tr>
      <w:tr w14:paraId="6B0F0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1" w:type="pct"/>
          </w:tcPr>
          <w:p w14:paraId="117C42E9">
            <w:pPr>
              <w:adjustRightInd w:val="0"/>
              <w:snapToGrid w:val="0"/>
              <w:rPr>
                <w:rFonts w:ascii="仿宋_GB2312" w:eastAsia="仿宋_GB2312"/>
                <w:b/>
                <w:kern w:val="0"/>
                <w:sz w:val="24"/>
                <w:szCs w:val="24"/>
              </w:rPr>
            </w:pPr>
            <w:r>
              <w:rPr>
                <w:rFonts w:hint="eastAsia" w:ascii="仿宋_GB2312" w:eastAsia="仿宋_GB2312"/>
                <w:b/>
                <w:kern w:val="0"/>
                <w:sz w:val="24"/>
                <w:szCs w:val="24"/>
              </w:rPr>
              <w:t>担保价值合计</w:t>
            </w:r>
          </w:p>
        </w:tc>
        <w:tc>
          <w:tcPr>
            <w:tcW w:w="3709" w:type="pct"/>
          </w:tcPr>
          <w:p w14:paraId="7D520CEB">
            <w:pPr>
              <w:adjustRightInd w:val="0"/>
              <w:snapToGrid w:val="0"/>
              <w:rPr>
                <w:rFonts w:ascii="仿宋_GB2312" w:eastAsia="仿宋_GB2312"/>
                <w:kern w:val="0"/>
                <w:sz w:val="24"/>
                <w:szCs w:val="24"/>
              </w:rPr>
            </w:pPr>
            <w:r>
              <w:rPr>
                <w:rFonts w:hint="eastAsia" w:ascii="仿宋_GB2312" w:eastAsia="仿宋_GB2312"/>
                <w:kern w:val="0"/>
                <w:sz w:val="24"/>
                <w:szCs w:val="24"/>
              </w:rPr>
              <w:t>多券申报质押券的合计担保价值，自动显示，无需输入</w:t>
            </w:r>
          </w:p>
        </w:tc>
      </w:tr>
      <w:tr w14:paraId="1957B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91" w:type="pct"/>
          </w:tcPr>
          <w:p w14:paraId="46737F4F">
            <w:pPr>
              <w:adjustRightInd w:val="0"/>
              <w:snapToGrid w:val="0"/>
              <w:rPr>
                <w:rFonts w:ascii="仿宋_GB2312" w:eastAsia="仿宋_GB2312"/>
                <w:b/>
                <w:kern w:val="0"/>
                <w:sz w:val="24"/>
                <w:szCs w:val="24"/>
              </w:rPr>
            </w:pPr>
            <w:r>
              <w:rPr>
                <w:rFonts w:hint="eastAsia" w:ascii="仿宋_GB2312" w:eastAsia="仿宋_GB2312"/>
                <w:b/>
                <w:kern w:val="0"/>
                <w:sz w:val="24"/>
                <w:szCs w:val="24"/>
              </w:rPr>
              <w:t>质押券篮子</w:t>
            </w:r>
          </w:p>
        </w:tc>
        <w:tc>
          <w:tcPr>
            <w:tcW w:w="3709" w:type="pct"/>
          </w:tcPr>
          <w:p w14:paraId="73130E1B">
            <w:pPr>
              <w:adjustRightInd w:val="0"/>
              <w:snapToGrid w:val="0"/>
              <w:rPr>
                <w:rFonts w:ascii="仿宋_GB2312" w:eastAsia="仿宋_GB2312"/>
                <w:kern w:val="0"/>
                <w:sz w:val="24"/>
                <w:szCs w:val="24"/>
              </w:rPr>
            </w:pPr>
            <w:r>
              <w:rPr>
                <w:rFonts w:hint="eastAsia" w:ascii="仿宋_GB2312" w:eastAsia="仿宋_GB2312"/>
                <w:kern w:val="0"/>
                <w:sz w:val="24"/>
                <w:szCs w:val="24"/>
              </w:rPr>
              <w:t>质押券所属篮子，自动显示，无需输入</w:t>
            </w:r>
          </w:p>
        </w:tc>
      </w:tr>
    </w:tbl>
    <w:p w14:paraId="68201AD0">
      <w:pPr>
        <w:spacing w:line="600" w:lineRule="exact"/>
        <w:ind w:firstLine="602" w:firstLineChars="200"/>
        <w:outlineLvl w:val="3"/>
        <w:rPr>
          <w:rFonts w:ascii="仿宋_GB2312" w:hAnsi="黑体" w:eastAsia="仿宋_GB2312"/>
          <w:b/>
          <w:sz w:val="30"/>
          <w:szCs w:val="30"/>
        </w:rPr>
      </w:pPr>
      <w:r>
        <w:rPr>
          <w:rFonts w:hint="eastAsia" w:ascii="仿宋_GB2312" w:eastAsia="仿宋_GB2312"/>
          <w:b/>
          <w:sz w:val="30"/>
          <w:szCs w:val="30"/>
        </w:rPr>
        <w:t>（7）</w:t>
      </w:r>
      <w:r>
        <w:rPr>
          <w:rFonts w:hint="eastAsia" w:ascii="仿宋_GB2312" w:hAnsi="黑体" w:eastAsia="仿宋_GB2312"/>
          <w:b/>
          <w:sz w:val="30"/>
          <w:szCs w:val="30"/>
        </w:rPr>
        <w:t>到期续做交易申报</w:t>
      </w:r>
    </w:p>
    <w:p w14:paraId="22A172C2">
      <w:pPr>
        <w:adjustRightInd w:val="0"/>
        <w:snapToGri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三方回购到期日，正回购方可进行到期续做。到期续做申报是指回购到期日，双方可基于原质押券申报回购续做，通过缔结新的回购合约来了结到期合约。正回购方的到期续做申报经续做逆回购方确认后生成新的回购合约，原到期回购合约终结。续做逆回购方必须是原回购逆回购方，续做的金额、期限、利率等要素和原回购可以不同。初期，续做的金额不能超过原回购金额。到期续做申报由</w:t>
      </w:r>
      <w:r>
        <w:rPr>
          <w:rFonts w:hint="eastAsia" w:ascii="仿宋_GB2312" w:hAnsi="Calibri" w:eastAsia="仿宋_GB2312"/>
          <w:kern w:val="0"/>
          <w:sz w:val="30"/>
          <w:szCs w:val="30"/>
          <w:lang w:eastAsia="zh-CN"/>
        </w:rPr>
        <w:t>正回购</w:t>
      </w:r>
      <w:r>
        <w:rPr>
          <w:rFonts w:hint="eastAsia" w:ascii="仿宋_GB2312" w:hAnsi="Calibri" w:eastAsia="仿宋_GB2312"/>
          <w:kern w:val="0"/>
          <w:sz w:val="30"/>
          <w:szCs w:val="30"/>
        </w:rPr>
        <w:t>的任一交易员发起，对手方任一交易员确认或拒绝。到期续做申报的撤销只能由发起的交易员进行。</w:t>
      </w:r>
    </w:p>
    <w:p w14:paraId="14EE61C3">
      <w:pPr>
        <w:adjustRightInd w:val="0"/>
        <w:snapToGrid w:val="0"/>
        <w:spacing w:line="600" w:lineRule="exact"/>
        <w:ind w:firstLine="600" w:firstLineChars="200"/>
        <w:rPr>
          <w:rFonts w:ascii="仿宋_GB2312" w:hAnsi="宋体" w:eastAsia="仿宋_GB2312"/>
          <w:sz w:val="30"/>
          <w:szCs w:val="30"/>
        </w:rPr>
      </w:pPr>
      <w:r>
        <w:rPr>
          <w:rFonts w:hint="eastAsia" w:ascii="仿宋_GB2312" w:hAnsi="Calibri" w:eastAsia="仿宋_GB2312"/>
          <w:kern w:val="0"/>
          <w:sz w:val="30"/>
          <w:szCs w:val="30"/>
        </w:rPr>
        <w:t>到期续作申报的</w:t>
      </w:r>
      <w:r>
        <w:rPr>
          <w:rFonts w:hint="eastAsia" w:ascii="仿宋_GB2312" w:hAnsi="宋体" w:eastAsia="仿宋_GB2312"/>
          <w:sz w:val="30"/>
          <w:szCs w:val="30"/>
        </w:rPr>
        <w:t>具体要素及要素说明如下：</w:t>
      </w:r>
    </w:p>
    <w:tbl>
      <w:tblPr>
        <w:tblStyle w:val="43"/>
        <w:tblW w:w="510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23"/>
        <w:gridCol w:w="4975"/>
      </w:tblGrid>
      <w:tr w14:paraId="75739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40" w:type="pct"/>
          </w:tcPr>
          <w:p w14:paraId="2F86BF27">
            <w:pPr>
              <w:adjustRightInd w:val="0"/>
              <w:snapToGrid w:val="0"/>
              <w:rPr>
                <w:rFonts w:ascii="仿宋_GB2312" w:eastAsia="仿宋_GB2312"/>
                <w:b/>
                <w:kern w:val="0"/>
                <w:sz w:val="24"/>
                <w:szCs w:val="24"/>
              </w:rPr>
            </w:pPr>
            <w:r>
              <w:rPr>
                <w:rFonts w:hint="eastAsia" w:ascii="仿宋_GB2312" w:eastAsia="仿宋_GB2312"/>
                <w:b/>
                <w:kern w:val="0"/>
                <w:sz w:val="24"/>
                <w:szCs w:val="24"/>
              </w:rPr>
              <w:t>要素名称</w:t>
            </w:r>
          </w:p>
        </w:tc>
        <w:tc>
          <w:tcPr>
            <w:tcW w:w="2859" w:type="pct"/>
          </w:tcPr>
          <w:p w14:paraId="29A465ED">
            <w:pPr>
              <w:adjustRightInd w:val="0"/>
              <w:snapToGrid w:val="0"/>
              <w:rPr>
                <w:rFonts w:ascii="仿宋_GB2312" w:eastAsia="仿宋_GB2312"/>
                <w:b/>
                <w:kern w:val="0"/>
                <w:sz w:val="24"/>
                <w:szCs w:val="24"/>
              </w:rPr>
            </w:pPr>
            <w:r>
              <w:rPr>
                <w:rFonts w:hint="eastAsia" w:ascii="仿宋_GB2312" w:eastAsia="仿宋_GB2312"/>
                <w:b/>
                <w:kern w:val="0"/>
                <w:sz w:val="24"/>
                <w:szCs w:val="24"/>
              </w:rPr>
              <w:t>要素说明</w:t>
            </w:r>
          </w:p>
        </w:tc>
      </w:tr>
      <w:tr w14:paraId="0AD0C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2"/>
          </w:tcPr>
          <w:p w14:paraId="62F54F71">
            <w:pPr>
              <w:adjustRightInd w:val="0"/>
              <w:snapToGrid w:val="0"/>
              <w:jc w:val="center"/>
              <w:rPr>
                <w:rFonts w:ascii="仿宋_GB2312" w:eastAsia="仿宋_GB2312"/>
                <w:kern w:val="0"/>
                <w:sz w:val="24"/>
                <w:szCs w:val="24"/>
              </w:rPr>
            </w:pPr>
            <w:r>
              <w:rPr>
                <w:rFonts w:hint="eastAsia" w:ascii="仿宋_GB2312" w:eastAsia="仿宋_GB2312"/>
                <w:b/>
                <w:bCs/>
                <w:kern w:val="0"/>
                <w:sz w:val="24"/>
                <w:szCs w:val="24"/>
              </w:rPr>
              <w:t>新续作信息</w:t>
            </w:r>
          </w:p>
        </w:tc>
      </w:tr>
      <w:tr w14:paraId="291E8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40" w:type="pct"/>
          </w:tcPr>
          <w:p w14:paraId="0CA63D7E">
            <w:pPr>
              <w:adjustRightInd w:val="0"/>
              <w:snapToGrid w:val="0"/>
              <w:rPr>
                <w:rFonts w:ascii="仿宋_GB2312" w:eastAsia="仿宋_GB2312"/>
                <w:b/>
                <w:kern w:val="0"/>
                <w:sz w:val="24"/>
                <w:szCs w:val="24"/>
              </w:rPr>
            </w:pPr>
            <w:r>
              <w:rPr>
                <w:rFonts w:hint="eastAsia" w:ascii="仿宋_GB2312" w:eastAsia="仿宋_GB2312"/>
                <w:b/>
                <w:kern w:val="0"/>
                <w:sz w:val="24"/>
                <w:szCs w:val="24"/>
              </w:rPr>
              <w:t>对手方交易员代码</w:t>
            </w:r>
          </w:p>
        </w:tc>
        <w:tc>
          <w:tcPr>
            <w:tcW w:w="2859" w:type="pct"/>
          </w:tcPr>
          <w:p w14:paraId="102073C7">
            <w:pPr>
              <w:adjustRightInd w:val="0"/>
              <w:snapToGrid w:val="0"/>
              <w:rPr>
                <w:rFonts w:ascii="仿宋_GB2312" w:eastAsia="仿宋_GB2312"/>
                <w:kern w:val="0"/>
                <w:sz w:val="24"/>
                <w:szCs w:val="24"/>
              </w:rPr>
            </w:pPr>
            <w:r>
              <w:rPr>
                <w:rFonts w:hint="eastAsia" w:ascii="仿宋_GB2312" w:eastAsia="仿宋_GB2312"/>
                <w:kern w:val="0"/>
                <w:sz w:val="24"/>
                <w:szCs w:val="24"/>
              </w:rPr>
              <w:t>默认显示原始申报的对手方交易员代码</w:t>
            </w:r>
          </w:p>
        </w:tc>
      </w:tr>
      <w:tr w14:paraId="59302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140" w:type="pct"/>
          </w:tcPr>
          <w:p w14:paraId="2BEAE6C7">
            <w:pPr>
              <w:adjustRightInd w:val="0"/>
              <w:snapToGrid w:val="0"/>
              <w:rPr>
                <w:rFonts w:ascii="仿宋_GB2312" w:eastAsia="仿宋_GB2312"/>
                <w:b/>
                <w:kern w:val="0"/>
                <w:sz w:val="24"/>
                <w:szCs w:val="24"/>
              </w:rPr>
            </w:pPr>
            <w:r>
              <w:rPr>
                <w:rFonts w:hint="eastAsia" w:ascii="仿宋_GB2312" w:eastAsia="仿宋_GB2312"/>
                <w:b/>
                <w:kern w:val="0"/>
                <w:sz w:val="24"/>
                <w:szCs w:val="24"/>
              </w:rPr>
              <w:t>续做期限</w:t>
            </w:r>
          </w:p>
        </w:tc>
        <w:tc>
          <w:tcPr>
            <w:tcW w:w="2859" w:type="pct"/>
          </w:tcPr>
          <w:p w14:paraId="5F39AAC6">
            <w:pPr>
              <w:adjustRightInd w:val="0"/>
              <w:snapToGrid w:val="0"/>
              <w:rPr>
                <w:rFonts w:ascii="仿宋_GB2312" w:eastAsia="仿宋_GB2312"/>
                <w:kern w:val="0"/>
                <w:sz w:val="24"/>
                <w:szCs w:val="24"/>
              </w:rPr>
            </w:pPr>
            <w:r>
              <w:rPr>
                <w:rFonts w:hint="eastAsia" w:ascii="仿宋_GB2312" w:eastAsia="仿宋_GB2312"/>
                <w:kern w:val="0"/>
                <w:sz w:val="24"/>
                <w:szCs w:val="24"/>
              </w:rPr>
              <w:t>续作到期日-续作成交日</w:t>
            </w:r>
          </w:p>
        </w:tc>
      </w:tr>
      <w:tr w14:paraId="095CB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40" w:type="pct"/>
          </w:tcPr>
          <w:p w14:paraId="26B92479">
            <w:pPr>
              <w:adjustRightInd w:val="0"/>
              <w:snapToGrid w:val="0"/>
              <w:rPr>
                <w:rFonts w:ascii="仿宋_GB2312" w:eastAsia="仿宋_GB2312"/>
                <w:b/>
                <w:kern w:val="0"/>
                <w:sz w:val="24"/>
                <w:szCs w:val="24"/>
              </w:rPr>
            </w:pPr>
            <w:r>
              <w:rPr>
                <w:rFonts w:hint="eastAsia" w:ascii="仿宋_GB2312" w:eastAsia="仿宋_GB2312"/>
                <w:b/>
                <w:kern w:val="0"/>
                <w:sz w:val="24"/>
                <w:szCs w:val="24"/>
              </w:rPr>
              <w:t>续做回购到期日</w:t>
            </w:r>
          </w:p>
        </w:tc>
        <w:tc>
          <w:tcPr>
            <w:tcW w:w="2859" w:type="pct"/>
          </w:tcPr>
          <w:p w14:paraId="5E777203">
            <w:pPr>
              <w:adjustRightInd w:val="0"/>
              <w:snapToGrid w:val="0"/>
              <w:rPr>
                <w:rFonts w:ascii="仿宋_GB2312" w:eastAsia="仿宋_GB2312"/>
                <w:kern w:val="0"/>
                <w:sz w:val="24"/>
                <w:szCs w:val="24"/>
              </w:rPr>
            </w:pPr>
            <w:r>
              <w:rPr>
                <w:rFonts w:hint="eastAsia" w:ascii="仿宋_GB2312" w:eastAsia="仿宋_GB2312"/>
                <w:kern w:val="0"/>
                <w:sz w:val="24"/>
                <w:szCs w:val="24"/>
              </w:rPr>
              <w:t>参与人确定的回购到期日期</w:t>
            </w:r>
          </w:p>
        </w:tc>
      </w:tr>
      <w:tr w14:paraId="60D73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40" w:type="pct"/>
          </w:tcPr>
          <w:p w14:paraId="3ADBF9C0">
            <w:pPr>
              <w:adjustRightInd w:val="0"/>
              <w:snapToGrid w:val="0"/>
              <w:rPr>
                <w:rFonts w:ascii="仿宋_GB2312" w:eastAsia="仿宋_GB2312"/>
                <w:b/>
                <w:kern w:val="0"/>
                <w:sz w:val="24"/>
                <w:szCs w:val="24"/>
              </w:rPr>
            </w:pPr>
            <w:r>
              <w:rPr>
                <w:rFonts w:hint="eastAsia" w:ascii="仿宋_GB2312" w:eastAsia="仿宋_GB2312"/>
                <w:b/>
                <w:kern w:val="0"/>
                <w:sz w:val="24"/>
                <w:szCs w:val="24"/>
              </w:rPr>
              <w:t>续做利率</w:t>
            </w:r>
          </w:p>
        </w:tc>
        <w:tc>
          <w:tcPr>
            <w:tcW w:w="2859" w:type="pct"/>
          </w:tcPr>
          <w:p w14:paraId="0E80E5D7">
            <w:pPr>
              <w:adjustRightInd w:val="0"/>
              <w:snapToGrid w:val="0"/>
              <w:rPr>
                <w:rFonts w:ascii="仿宋_GB2312" w:eastAsia="仿宋_GB2312"/>
                <w:kern w:val="0"/>
                <w:sz w:val="24"/>
                <w:szCs w:val="24"/>
              </w:rPr>
            </w:pPr>
            <w:r>
              <w:rPr>
                <w:rFonts w:hint="eastAsia" w:ascii="仿宋_GB2312" w:eastAsia="仿宋_GB2312"/>
                <w:kern w:val="0"/>
                <w:sz w:val="24"/>
                <w:szCs w:val="24"/>
              </w:rPr>
              <w:t>正回购方付给逆回购方的资金价格</w:t>
            </w:r>
          </w:p>
        </w:tc>
      </w:tr>
      <w:tr w14:paraId="5BFE9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40" w:type="pct"/>
          </w:tcPr>
          <w:p w14:paraId="44E037EB">
            <w:pPr>
              <w:adjustRightInd w:val="0"/>
              <w:snapToGrid w:val="0"/>
              <w:rPr>
                <w:rFonts w:ascii="仿宋_GB2312" w:eastAsia="仿宋_GB2312"/>
                <w:b/>
                <w:kern w:val="0"/>
                <w:sz w:val="24"/>
                <w:szCs w:val="24"/>
              </w:rPr>
            </w:pPr>
            <w:r>
              <w:rPr>
                <w:rFonts w:hint="eastAsia" w:ascii="仿宋_GB2312" w:eastAsia="仿宋_GB2312"/>
                <w:b/>
                <w:kern w:val="0"/>
                <w:sz w:val="24"/>
                <w:szCs w:val="24"/>
              </w:rPr>
              <w:t>续做金额</w:t>
            </w:r>
          </w:p>
        </w:tc>
        <w:tc>
          <w:tcPr>
            <w:tcW w:w="2859" w:type="pct"/>
          </w:tcPr>
          <w:p w14:paraId="7F999D83">
            <w:pPr>
              <w:adjustRightInd w:val="0"/>
              <w:snapToGrid w:val="0"/>
              <w:rPr>
                <w:rFonts w:ascii="仿宋_GB2312" w:eastAsia="仿宋_GB2312"/>
                <w:kern w:val="0"/>
                <w:sz w:val="24"/>
                <w:szCs w:val="24"/>
              </w:rPr>
            </w:pPr>
            <w:r>
              <w:rPr>
                <w:rFonts w:hint="eastAsia" w:ascii="仿宋_GB2312" w:eastAsia="仿宋_GB2312"/>
                <w:kern w:val="0"/>
                <w:sz w:val="24"/>
                <w:szCs w:val="24"/>
              </w:rPr>
              <w:t>正回购方融入的资金额度</w:t>
            </w:r>
          </w:p>
        </w:tc>
      </w:tr>
      <w:tr w14:paraId="53128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140" w:type="pct"/>
          </w:tcPr>
          <w:p w14:paraId="3A677A07">
            <w:pPr>
              <w:adjustRightInd w:val="0"/>
              <w:snapToGrid w:val="0"/>
              <w:rPr>
                <w:rFonts w:ascii="仿宋_GB2312" w:eastAsia="仿宋_GB2312"/>
                <w:b/>
                <w:kern w:val="0"/>
                <w:sz w:val="24"/>
                <w:szCs w:val="24"/>
              </w:rPr>
            </w:pPr>
            <w:r>
              <w:rPr>
                <w:rFonts w:hint="eastAsia" w:ascii="仿宋_GB2312" w:eastAsia="仿宋_GB2312"/>
                <w:b/>
                <w:kern w:val="0"/>
                <w:sz w:val="24"/>
                <w:szCs w:val="24"/>
              </w:rPr>
              <w:t>补充约定</w:t>
            </w:r>
          </w:p>
        </w:tc>
        <w:tc>
          <w:tcPr>
            <w:tcW w:w="2859" w:type="pct"/>
          </w:tcPr>
          <w:p w14:paraId="58E0585E">
            <w:pPr>
              <w:adjustRightInd w:val="0"/>
              <w:snapToGrid w:val="0"/>
              <w:rPr>
                <w:rFonts w:ascii="仿宋_GB2312" w:eastAsia="仿宋_GB2312"/>
                <w:kern w:val="0"/>
                <w:sz w:val="24"/>
                <w:szCs w:val="24"/>
              </w:rPr>
            </w:pPr>
            <w:r>
              <w:rPr>
                <w:rFonts w:hint="eastAsia" w:ascii="仿宋_GB2312" w:eastAsia="仿宋_GB2312"/>
                <w:kern w:val="0"/>
                <w:sz w:val="24"/>
                <w:szCs w:val="24"/>
              </w:rPr>
              <w:t>交易双方的补充约定</w:t>
            </w:r>
          </w:p>
        </w:tc>
      </w:tr>
      <w:tr w14:paraId="42586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40" w:type="pct"/>
          </w:tcPr>
          <w:p w14:paraId="4A0AEA8B">
            <w:pPr>
              <w:adjustRightInd w:val="0"/>
              <w:snapToGrid w:val="0"/>
              <w:rPr>
                <w:rFonts w:ascii="仿宋_GB2312" w:eastAsia="仿宋_GB2312"/>
                <w:b/>
                <w:kern w:val="0"/>
                <w:sz w:val="24"/>
                <w:szCs w:val="24"/>
              </w:rPr>
            </w:pPr>
            <w:r>
              <w:rPr>
                <w:rFonts w:hint="eastAsia" w:ascii="仿宋_GB2312" w:eastAsia="仿宋_GB2312"/>
                <w:b/>
                <w:kern w:val="0"/>
                <w:sz w:val="24"/>
                <w:szCs w:val="24"/>
              </w:rPr>
              <w:t>债券交易参与人</w:t>
            </w:r>
          </w:p>
        </w:tc>
        <w:tc>
          <w:tcPr>
            <w:tcW w:w="2859" w:type="pct"/>
          </w:tcPr>
          <w:p w14:paraId="688CFD4C">
            <w:pPr>
              <w:adjustRightInd w:val="0"/>
              <w:snapToGrid w:val="0"/>
              <w:rPr>
                <w:rFonts w:ascii="仿宋_GB2312" w:eastAsia="仿宋_GB2312"/>
                <w:kern w:val="0"/>
                <w:sz w:val="24"/>
                <w:szCs w:val="24"/>
              </w:rPr>
            </w:pPr>
            <w:r>
              <w:rPr>
                <w:rFonts w:hint="eastAsia" w:ascii="仿宋_GB2312" w:eastAsia="仿宋_GB2312"/>
                <w:kern w:val="0"/>
                <w:sz w:val="24"/>
                <w:szCs w:val="24"/>
              </w:rPr>
              <w:t>债券交易参与人名称，自动显示，无需输入</w:t>
            </w:r>
          </w:p>
        </w:tc>
      </w:tr>
      <w:tr w14:paraId="4A81A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40" w:type="pct"/>
          </w:tcPr>
          <w:p w14:paraId="3EE30AC8">
            <w:pPr>
              <w:adjustRightInd w:val="0"/>
              <w:snapToGrid w:val="0"/>
              <w:rPr>
                <w:rFonts w:ascii="仿宋_GB2312" w:eastAsia="仿宋_GB2312"/>
                <w:b/>
                <w:kern w:val="0"/>
                <w:sz w:val="24"/>
                <w:szCs w:val="24"/>
              </w:rPr>
            </w:pPr>
            <w:r>
              <w:rPr>
                <w:rFonts w:hint="eastAsia" w:ascii="仿宋_GB2312" w:eastAsia="仿宋_GB2312"/>
                <w:b/>
                <w:kern w:val="0"/>
                <w:sz w:val="24"/>
                <w:szCs w:val="24"/>
              </w:rPr>
              <w:t>交易员代码</w:t>
            </w:r>
          </w:p>
        </w:tc>
        <w:tc>
          <w:tcPr>
            <w:tcW w:w="2859" w:type="pct"/>
          </w:tcPr>
          <w:p w14:paraId="277DA6FE">
            <w:pPr>
              <w:adjustRightInd w:val="0"/>
              <w:snapToGrid w:val="0"/>
              <w:rPr>
                <w:rFonts w:ascii="仿宋_GB2312" w:eastAsia="仿宋_GB2312"/>
                <w:kern w:val="0"/>
                <w:sz w:val="24"/>
                <w:szCs w:val="24"/>
              </w:rPr>
            </w:pPr>
            <w:r>
              <w:rPr>
                <w:rFonts w:hint="eastAsia" w:ascii="仿宋_GB2312" w:eastAsia="仿宋_GB2312"/>
                <w:kern w:val="0"/>
                <w:sz w:val="24"/>
                <w:szCs w:val="24"/>
              </w:rPr>
              <w:t>交易员代码，自动显示，无需输入</w:t>
            </w:r>
          </w:p>
        </w:tc>
      </w:tr>
      <w:tr w14:paraId="33154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40" w:type="pct"/>
          </w:tcPr>
          <w:p w14:paraId="425AB711">
            <w:pPr>
              <w:adjustRightInd w:val="0"/>
              <w:snapToGrid w:val="0"/>
              <w:rPr>
                <w:rFonts w:ascii="仿宋_GB2312" w:eastAsia="仿宋_GB2312"/>
                <w:b/>
                <w:kern w:val="0"/>
                <w:sz w:val="24"/>
                <w:szCs w:val="24"/>
              </w:rPr>
            </w:pPr>
            <w:r>
              <w:rPr>
                <w:rFonts w:hint="eastAsia" w:ascii="仿宋_GB2312" w:eastAsia="仿宋_GB2312"/>
                <w:b/>
                <w:kern w:val="0"/>
                <w:sz w:val="24"/>
                <w:szCs w:val="24"/>
              </w:rPr>
              <w:t>交易员名称</w:t>
            </w:r>
          </w:p>
        </w:tc>
        <w:tc>
          <w:tcPr>
            <w:tcW w:w="2859" w:type="pct"/>
          </w:tcPr>
          <w:p w14:paraId="6D0CCFF7">
            <w:pPr>
              <w:adjustRightInd w:val="0"/>
              <w:snapToGrid w:val="0"/>
              <w:rPr>
                <w:rFonts w:ascii="仿宋_GB2312" w:eastAsia="仿宋_GB2312"/>
                <w:kern w:val="0"/>
                <w:sz w:val="24"/>
                <w:szCs w:val="24"/>
              </w:rPr>
            </w:pPr>
            <w:r>
              <w:rPr>
                <w:rFonts w:hint="eastAsia" w:ascii="仿宋_GB2312" w:eastAsia="仿宋_GB2312"/>
                <w:kern w:val="0"/>
                <w:sz w:val="24"/>
                <w:szCs w:val="24"/>
              </w:rPr>
              <w:t>交易员名称，自动显示，无需输入</w:t>
            </w:r>
          </w:p>
        </w:tc>
      </w:tr>
      <w:tr w14:paraId="44023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140" w:type="pct"/>
          </w:tcPr>
          <w:p w14:paraId="722B584D">
            <w:pPr>
              <w:adjustRightInd w:val="0"/>
              <w:snapToGrid w:val="0"/>
              <w:rPr>
                <w:rFonts w:ascii="仿宋_GB2312" w:eastAsia="仿宋_GB2312"/>
                <w:b/>
                <w:kern w:val="0"/>
                <w:sz w:val="24"/>
                <w:szCs w:val="24"/>
              </w:rPr>
            </w:pPr>
            <w:r>
              <w:rPr>
                <w:rFonts w:hint="eastAsia" w:ascii="仿宋_GB2312" w:eastAsia="仿宋_GB2312"/>
                <w:b/>
                <w:kern w:val="0"/>
                <w:sz w:val="24"/>
                <w:szCs w:val="24"/>
              </w:rPr>
              <w:t>三方回购专用账户</w:t>
            </w:r>
          </w:p>
        </w:tc>
        <w:tc>
          <w:tcPr>
            <w:tcW w:w="2859" w:type="pct"/>
          </w:tcPr>
          <w:p w14:paraId="6B15C75E">
            <w:pPr>
              <w:adjustRightInd w:val="0"/>
              <w:snapToGrid w:val="0"/>
              <w:rPr>
                <w:rFonts w:ascii="仿宋_GB2312" w:eastAsia="仿宋_GB2312"/>
                <w:kern w:val="0"/>
                <w:sz w:val="24"/>
                <w:szCs w:val="24"/>
              </w:rPr>
            </w:pPr>
            <w:r>
              <w:rPr>
                <w:rFonts w:hint="eastAsia" w:ascii="仿宋_GB2312" w:eastAsia="仿宋_GB2312"/>
                <w:kern w:val="0"/>
                <w:sz w:val="24"/>
                <w:szCs w:val="24"/>
              </w:rPr>
              <w:t>正回购方的证券账户，自动显示，无需输入</w:t>
            </w:r>
          </w:p>
        </w:tc>
      </w:tr>
      <w:tr w14:paraId="27662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40" w:type="pct"/>
          </w:tcPr>
          <w:p w14:paraId="6B9EF625">
            <w:pPr>
              <w:adjustRightInd w:val="0"/>
              <w:snapToGrid w:val="0"/>
              <w:rPr>
                <w:rFonts w:ascii="仿宋_GB2312" w:eastAsia="仿宋_GB2312"/>
                <w:b/>
                <w:kern w:val="0"/>
                <w:sz w:val="24"/>
                <w:szCs w:val="24"/>
              </w:rPr>
            </w:pPr>
            <w:r>
              <w:rPr>
                <w:rFonts w:hint="eastAsia" w:ascii="仿宋_GB2312" w:eastAsia="仿宋_GB2312"/>
                <w:b/>
                <w:kern w:val="0"/>
                <w:sz w:val="24"/>
                <w:szCs w:val="24"/>
              </w:rPr>
              <w:t>三方回购专用账户名称</w:t>
            </w:r>
          </w:p>
        </w:tc>
        <w:tc>
          <w:tcPr>
            <w:tcW w:w="2859" w:type="pct"/>
          </w:tcPr>
          <w:p w14:paraId="3385B7A6">
            <w:pPr>
              <w:adjustRightInd w:val="0"/>
              <w:snapToGrid w:val="0"/>
              <w:rPr>
                <w:rFonts w:ascii="仿宋_GB2312" w:eastAsia="仿宋_GB2312"/>
                <w:kern w:val="0"/>
                <w:sz w:val="24"/>
                <w:szCs w:val="24"/>
              </w:rPr>
            </w:pPr>
            <w:r>
              <w:rPr>
                <w:rFonts w:hint="eastAsia" w:ascii="仿宋_GB2312" w:eastAsia="仿宋_GB2312"/>
                <w:kern w:val="0"/>
                <w:sz w:val="24"/>
                <w:szCs w:val="24"/>
              </w:rPr>
              <w:t>正回购方的证券账户名称，自动显示，无需输入</w:t>
            </w:r>
          </w:p>
        </w:tc>
      </w:tr>
      <w:tr w14:paraId="70FAA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40" w:type="pct"/>
          </w:tcPr>
          <w:p w14:paraId="21D13632">
            <w:pPr>
              <w:adjustRightInd w:val="0"/>
              <w:snapToGrid w:val="0"/>
              <w:rPr>
                <w:rFonts w:ascii="仿宋_GB2312" w:eastAsia="仿宋_GB2312"/>
                <w:b/>
                <w:kern w:val="0"/>
                <w:sz w:val="24"/>
                <w:szCs w:val="24"/>
              </w:rPr>
            </w:pPr>
            <w:r>
              <w:rPr>
                <w:rFonts w:hint="eastAsia" w:ascii="仿宋_GB2312" w:eastAsia="仿宋_GB2312"/>
                <w:b/>
                <w:kern w:val="0"/>
                <w:sz w:val="24"/>
                <w:szCs w:val="24"/>
              </w:rPr>
              <w:t>专用账户交易单元</w:t>
            </w:r>
          </w:p>
        </w:tc>
        <w:tc>
          <w:tcPr>
            <w:tcW w:w="2859" w:type="pct"/>
          </w:tcPr>
          <w:p w14:paraId="57BE4A12">
            <w:pPr>
              <w:adjustRightInd w:val="0"/>
              <w:snapToGrid w:val="0"/>
              <w:rPr>
                <w:rFonts w:ascii="仿宋_GB2312" w:eastAsia="仿宋_GB2312"/>
                <w:kern w:val="0"/>
                <w:sz w:val="24"/>
                <w:szCs w:val="24"/>
              </w:rPr>
            </w:pPr>
            <w:r>
              <w:rPr>
                <w:rFonts w:hint="eastAsia" w:ascii="仿宋_GB2312" w:eastAsia="仿宋_GB2312"/>
                <w:kern w:val="0"/>
                <w:sz w:val="24"/>
                <w:szCs w:val="24"/>
              </w:rPr>
              <w:t>专用证券账号的指定交易单元号，自动显示，无需输入</w:t>
            </w:r>
          </w:p>
        </w:tc>
      </w:tr>
      <w:tr w14:paraId="2ABFA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40" w:type="pct"/>
          </w:tcPr>
          <w:p w14:paraId="39E09C6B">
            <w:pPr>
              <w:adjustRightInd w:val="0"/>
              <w:snapToGrid w:val="0"/>
              <w:rPr>
                <w:rFonts w:ascii="仿宋_GB2312" w:eastAsia="仿宋_GB2312"/>
                <w:b/>
                <w:kern w:val="0"/>
                <w:sz w:val="24"/>
                <w:szCs w:val="24"/>
              </w:rPr>
            </w:pPr>
            <w:r>
              <w:rPr>
                <w:rFonts w:hint="eastAsia" w:ascii="仿宋_GB2312" w:eastAsia="仿宋_GB2312"/>
                <w:b/>
                <w:kern w:val="0"/>
                <w:sz w:val="24"/>
                <w:szCs w:val="24"/>
              </w:rPr>
              <w:t>投资者名称</w:t>
            </w:r>
          </w:p>
        </w:tc>
        <w:tc>
          <w:tcPr>
            <w:tcW w:w="2859" w:type="pct"/>
          </w:tcPr>
          <w:p w14:paraId="0268B3D5">
            <w:pPr>
              <w:adjustRightInd w:val="0"/>
              <w:snapToGrid w:val="0"/>
              <w:rPr>
                <w:rFonts w:ascii="仿宋_GB2312" w:eastAsia="仿宋_GB2312"/>
                <w:kern w:val="0"/>
                <w:sz w:val="24"/>
                <w:szCs w:val="24"/>
              </w:rPr>
            </w:pPr>
            <w:r>
              <w:rPr>
                <w:rFonts w:hint="eastAsia" w:ascii="仿宋_GB2312" w:eastAsia="仿宋_GB2312"/>
                <w:kern w:val="0"/>
                <w:sz w:val="24"/>
                <w:szCs w:val="24"/>
              </w:rPr>
              <w:t>投资者名称，自动显示，无需输入</w:t>
            </w:r>
          </w:p>
        </w:tc>
      </w:tr>
      <w:tr w14:paraId="6A925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140" w:type="pct"/>
          </w:tcPr>
          <w:p w14:paraId="1E35B3C7">
            <w:pPr>
              <w:adjustRightInd w:val="0"/>
              <w:snapToGrid w:val="0"/>
              <w:rPr>
                <w:rFonts w:ascii="仿宋_GB2312" w:eastAsia="仿宋_GB2312"/>
                <w:b/>
                <w:kern w:val="0"/>
                <w:sz w:val="24"/>
                <w:szCs w:val="24"/>
              </w:rPr>
            </w:pPr>
            <w:r>
              <w:rPr>
                <w:rFonts w:hint="eastAsia" w:ascii="仿宋_GB2312" w:eastAsia="仿宋_GB2312"/>
                <w:b/>
                <w:kern w:val="0"/>
                <w:sz w:val="24"/>
                <w:szCs w:val="24"/>
              </w:rPr>
              <w:t>产品委托人</w:t>
            </w:r>
          </w:p>
        </w:tc>
        <w:tc>
          <w:tcPr>
            <w:tcW w:w="2859" w:type="pct"/>
          </w:tcPr>
          <w:p w14:paraId="6A62AB3B">
            <w:pPr>
              <w:adjustRightInd w:val="0"/>
              <w:snapToGrid w:val="0"/>
              <w:rPr>
                <w:rFonts w:ascii="仿宋_GB2312" w:eastAsia="仿宋_GB2312"/>
                <w:kern w:val="0"/>
                <w:sz w:val="24"/>
                <w:szCs w:val="24"/>
              </w:rPr>
            </w:pPr>
            <w:r>
              <w:rPr>
                <w:rFonts w:hint="eastAsia" w:ascii="仿宋_GB2312" w:eastAsia="仿宋_GB2312"/>
                <w:kern w:val="0"/>
                <w:sz w:val="24"/>
                <w:szCs w:val="24"/>
              </w:rPr>
              <w:t>产品委托人名称，自动显示，无需输入</w:t>
            </w:r>
          </w:p>
        </w:tc>
      </w:tr>
      <w:tr w14:paraId="58410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40" w:type="pct"/>
          </w:tcPr>
          <w:p w14:paraId="2945FBC5">
            <w:pPr>
              <w:adjustRightInd w:val="0"/>
              <w:snapToGrid w:val="0"/>
              <w:rPr>
                <w:rFonts w:ascii="仿宋_GB2312" w:eastAsia="仿宋_GB2312"/>
                <w:b/>
                <w:kern w:val="0"/>
                <w:sz w:val="24"/>
                <w:szCs w:val="24"/>
              </w:rPr>
            </w:pPr>
            <w:r>
              <w:rPr>
                <w:rFonts w:hint="eastAsia" w:ascii="仿宋_GB2312" w:eastAsia="仿宋_GB2312"/>
                <w:b/>
                <w:kern w:val="0"/>
                <w:sz w:val="24"/>
                <w:szCs w:val="24"/>
              </w:rPr>
              <w:t>杠杆运作限制</w:t>
            </w:r>
          </w:p>
        </w:tc>
        <w:tc>
          <w:tcPr>
            <w:tcW w:w="2859" w:type="pct"/>
          </w:tcPr>
          <w:p w14:paraId="6290721A">
            <w:pPr>
              <w:adjustRightInd w:val="0"/>
              <w:snapToGrid w:val="0"/>
              <w:rPr>
                <w:rFonts w:ascii="仿宋_GB2312" w:eastAsia="仿宋_GB2312"/>
                <w:kern w:val="0"/>
                <w:sz w:val="24"/>
                <w:szCs w:val="24"/>
              </w:rPr>
            </w:pPr>
            <w:r>
              <w:rPr>
                <w:rFonts w:hint="eastAsia" w:ascii="仿宋_GB2312" w:eastAsia="仿宋_GB2312"/>
                <w:kern w:val="0"/>
                <w:sz w:val="24"/>
                <w:szCs w:val="24"/>
              </w:rPr>
              <w:t>杠杆运作限制，自动显示，无需输入</w:t>
            </w:r>
          </w:p>
        </w:tc>
      </w:tr>
      <w:tr w14:paraId="4ABB9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40" w:type="pct"/>
          </w:tcPr>
          <w:p w14:paraId="39ABEBB3">
            <w:pPr>
              <w:adjustRightInd w:val="0"/>
              <w:snapToGrid w:val="0"/>
              <w:rPr>
                <w:rFonts w:ascii="仿宋_GB2312" w:eastAsia="仿宋_GB2312"/>
                <w:b/>
                <w:kern w:val="0"/>
                <w:sz w:val="24"/>
                <w:szCs w:val="24"/>
              </w:rPr>
            </w:pPr>
            <w:r>
              <w:rPr>
                <w:rFonts w:hint="eastAsia" w:ascii="仿宋_GB2312" w:eastAsia="仿宋_GB2312"/>
                <w:b/>
                <w:kern w:val="0"/>
                <w:sz w:val="24"/>
                <w:szCs w:val="24"/>
              </w:rPr>
              <w:t>对手方债券交易参与人</w:t>
            </w:r>
          </w:p>
        </w:tc>
        <w:tc>
          <w:tcPr>
            <w:tcW w:w="2859" w:type="pct"/>
          </w:tcPr>
          <w:p w14:paraId="2A33EB49">
            <w:pPr>
              <w:adjustRightInd w:val="0"/>
              <w:snapToGrid w:val="0"/>
              <w:rPr>
                <w:rFonts w:ascii="仿宋_GB2312" w:eastAsia="仿宋_GB2312"/>
                <w:kern w:val="0"/>
                <w:sz w:val="24"/>
                <w:szCs w:val="24"/>
              </w:rPr>
            </w:pPr>
            <w:r>
              <w:rPr>
                <w:rFonts w:hint="eastAsia" w:ascii="仿宋_GB2312" w:eastAsia="仿宋_GB2312"/>
                <w:kern w:val="0"/>
                <w:sz w:val="24"/>
                <w:szCs w:val="24"/>
              </w:rPr>
              <w:t>对手方债券交易参与人名称，自动显示，无需输入</w:t>
            </w:r>
          </w:p>
        </w:tc>
      </w:tr>
      <w:tr w14:paraId="5A3AA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40" w:type="pct"/>
          </w:tcPr>
          <w:p w14:paraId="007ADFF5">
            <w:pPr>
              <w:adjustRightInd w:val="0"/>
              <w:snapToGrid w:val="0"/>
              <w:rPr>
                <w:rFonts w:ascii="仿宋_GB2312" w:eastAsia="仿宋_GB2312"/>
                <w:b/>
                <w:kern w:val="0"/>
                <w:sz w:val="24"/>
                <w:szCs w:val="24"/>
              </w:rPr>
            </w:pPr>
            <w:r>
              <w:rPr>
                <w:rFonts w:hint="eastAsia" w:ascii="仿宋_GB2312" w:eastAsia="仿宋_GB2312"/>
                <w:b/>
                <w:kern w:val="0"/>
                <w:sz w:val="24"/>
                <w:szCs w:val="24"/>
              </w:rPr>
              <w:t>对手方交易员名称</w:t>
            </w:r>
          </w:p>
        </w:tc>
        <w:tc>
          <w:tcPr>
            <w:tcW w:w="2859" w:type="pct"/>
          </w:tcPr>
          <w:p w14:paraId="0A421D9E">
            <w:pPr>
              <w:adjustRightInd w:val="0"/>
              <w:snapToGrid w:val="0"/>
              <w:rPr>
                <w:rFonts w:ascii="仿宋_GB2312" w:eastAsia="仿宋_GB2312"/>
                <w:kern w:val="0"/>
                <w:sz w:val="24"/>
                <w:szCs w:val="24"/>
              </w:rPr>
            </w:pPr>
            <w:r>
              <w:rPr>
                <w:rFonts w:hint="eastAsia" w:ascii="仿宋_GB2312" w:eastAsia="仿宋_GB2312"/>
                <w:kern w:val="0"/>
                <w:sz w:val="24"/>
                <w:szCs w:val="24"/>
              </w:rPr>
              <w:t>对手方交易员名称，自动显示，无需输入</w:t>
            </w:r>
          </w:p>
        </w:tc>
      </w:tr>
      <w:tr w14:paraId="11D08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140" w:type="pct"/>
          </w:tcPr>
          <w:p w14:paraId="7E74C3CA">
            <w:pPr>
              <w:adjustRightInd w:val="0"/>
              <w:snapToGrid w:val="0"/>
              <w:rPr>
                <w:rFonts w:ascii="仿宋_GB2312" w:eastAsia="仿宋_GB2312"/>
                <w:b/>
                <w:kern w:val="0"/>
                <w:sz w:val="24"/>
                <w:szCs w:val="24"/>
              </w:rPr>
            </w:pPr>
            <w:r>
              <w:rPr>
                <w:rFonts w:hint="eastAsia" w:ascii="仿宋_GB2312" w:eastAsia="仿宋_GB2312"/>
                <w:b/>
                <w:kern w:val="0"/>
                <w:sz w:val="24"/>
                <w:szCs w:val="24"/>
              </w:rPr>
              <w:t>对手方账户名称</w:t>
            </w:r>
          </w:p>
        </w:tc>
        <w:tc>
          <w:tcPr>
            <w:tcW w:w="2859" w:type="pct"/>
          </w:tcPr>
          <w:p w14:paraId="4C2B1AD4">
            <w:pPr>
              <w:adjustRightInd w:val="0"/>
              <w:snapToGrid w:val="0"/>
              <w:rPr>
                <w:rFonts w:ascii="仿宋_GB2312" w:eastAsia="仿宋_GB2312"/>
                <w:kern w:val="0"/>
                <w:sz w:val="24"/>
                <w:szCs w:val="24"/>
              </w:rPr>
            </w:pPr>
            <w:r>
              <w:rPr>
                <w:rFonts w:hint="eastAsia" w:ascii="仿宋_GB2312" w:eastAsia="仿宋_GB2312"/>
                <w:kern w:val="0"/>
                <w:sz w:val="24"/>
                <w:szCs w:val="24"/>
              </w:rPr>
              <w:t>对手方证券账户名称，自动显示，无需输入</w:t>
            </w:r>
          </w:p>
        </w:tc>
      </w:tr>
      <w:tr w14:paraId="4F06A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40" w:type="pct"/>
          </w:tcPr>
          <w:p w14:paraId="4B114851">
            <w:pPr>
              <w:adjustRightInd w:val="0"/>
              <w:snapToGrid w:val="0"/>
              <w:rPr>
                <w:rFonts w:ascii="仿宋_GB2312" w:eastAsia="仿宋_GB2312"/>
                <w:b/>
                <w:kern w:val="0"/>
                <w:sz w:val="24"/>
                <w:szCs w:val="24"/>
              </w:rPr>
            </w:pPr>
            <w:r>
              <w:rPr>
                <w:rFonts w:hint="eastAsia" w:ascii="仿宋_GB2312" w:eastAsia="仿宋_GB2312"/>
                <w:b/>
                <w:kern w:val="0"/>
                <w:sz w:val="24"/>
                <w:szCs w:val="24"/>
              </w:rPr>
              <w:t>续做日期</w:t>
            </w:r>
          </w:p>
        </w:tc>
        <w:tc>
          <w:tcPr>
            <w:tcW w:w="2859" w:type="pct"/>
          </w:tcPr>
          <w:p w14:paraId="337265EC">
            <w:pPr>
              <w:adjustRightInd w:val="0"/>
              <w:snapToGrid w:val="0"/>
              <w:rPr>
                <w:rFonts w:ascii="仿宋_GB2312" w:eastAsia="仿宋_GB2312"/>
                <w:kern w:val="0"/>
                <w:sz w:val="24"/>
                <w:szCs w:val="24"/>
              </w:rPr>
            </w:pPr>
            <w:r>
              <w:rPr>
                <w:rFonts w:hint="eastAsia" w:ascii="仿宋_GB2312" w:eastAsia="仿宋_GB2312"/>
                <w:kern w:val="0"/>
                <w:sz w:val="24"/>
                <w:szCs w:val="24"/>
              </w:rPr>
              <w:t>续做交易生效日，自动显示，无需输入</w:t>
            </w:r>
          </w:p>
        </w:tc>
      </w:tr>
      <w:tr w14:paraId="5FFD9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40" w:type="pct"/>
          </w:tcPr>
          <w:p w14:paraId="1119407E">
            <w:pPr>
              <w:adjustRightInd w:val="0"/>
              <w:snapToGrid w:val="0"/>
              <w:rPr>
                <w:rFonts w:ascii="仿宋_GB2312" w:eastAsia="仿宋_GB2312"/>
                <w:b/>
                <w:kern w:val="0"/>
                <w:sz w:val="24"/>
                <w:szCs w:val="24"/>
              </w:rPr>
            </w:pPr>
            <w:r>
              <w:rPr>
                <w:rFonts w:hint="eastAsia" w:ascii="仿宋_GB2312" w:eastAsia="仿宋_GB2312"/>
                <w:b/>
                <w:kern w:val="0"/>
                <w:sz w:val="24"/>
                <w:szCs w:val="24"/>
              </w:rPr>
              <w:t>续做到期结算日</w:t>
            </w:r>
          </w:p>
        </w:tc>
        <w:tc>
          <w:tcPr>
            <w:tcW w:w="2859" w:type="pct"/>
          </w:tcPr>
          <w:p w14:paraId="34F04A96">
            <w:pPr>
              <w:adjustRightInd w:val="0"/>
              <w:snapToGrid w:val="0"/>
              <w:rPr>
                <w:rFonts w:ascii="仿宋_GB2312" w:eastAsia="仿宋_GB2312"/>
                <w:kern w:val="0"/>
                <w:sz w:val="24"/>
                <w:szCs w:val="24"/>
              </w:rPr>
            </w:pPr>
            <w:r>
              <w:rPr>
                <w:rFonts w:hint="eastAsia" w:ascii="仿宋_GB2312" w:eastAsia="仿宋_GB2312"/>
                <w:kern w:val="0"/>
                <w:sz w:val="24"/>
                <w:szCs w:val="24"/>
              </w:rPr>
              <w:t>续做交易到</w:t>
            </w:r>
            <w:r>
              <w:rPr>
                <w:rFonts w:hint="eastAsia" w:ascii="仿宋_GB2312" w:eastAsia="仿宋_GB2312"/>
                <w:kern w:val="0"/>
                <w:sz w:val="24"/>
                <w:szCs w:val="24"/>
                <w:lang w:eastAsia="zh-CN"/>
              </w:rPr>
              <w:t>期</w:t>
            </w:r>
            <w:r>
              <w:rPr>
                <w:rFonts w:hint="eastAsia" w:ascii="仿宋_GB2312" w:eastAsia="仿宋_GB2312"/>
                <w:kern w:val="0"/>
                <w:sz w:val="24"/>
                <w:szCs w:val="24"/>
              </w:rPr>
              <w:t>结算日，自动显示，无需输入</w:t>
            </w:r>
          </w:p>
        </w:tc>
      </w:tr>
      <w:tr w14:paraId="395EB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40" w:type="pct"/>
          </w:tcPr>
          <w:p w14:paraId="7B79FE0A">
            <w:pPr>
              <w:adjustRightInd w:val="0"/>
              <w:snapToGrid w:val="0"/>
              <w:rPr>
                <w:rFonts w:ascii="仿宋_GB2312" w:eastAsia="仿宋_GB2312"/>
                <w:b/>
                <w:kern w:val="0"/>
                <w:sz w:val="24"/>
                <w:szCs w:val="24"/>
              </w:rPr>
            </w:pPr>
            <w:r>
              <w:rPr>
                <w:rFonts w:hint="eastAsia" w:ascii="仿宋_GB2312" w:eastAsia="仿宋_GB2312"/>
                <w:b/>
                <w:kern w:val="0"/>
                <w:sz w:val="24"/>
                <w:szCs w:val="24"/>
              </w:rPr>
              <w:t>续做实际占款天数</w:t>
            </w:r>
          </w:p>
        </w:tc>
        <w:tc>
          <w:tcPr>
            <w:tcW w:w="2859" w:type="pct"/>
          </w:tcPr>
          <w:p w14:paraId="4A417C6A">
            <w:pPr>
              <w:adjustRightInd w:val="0"/>
              <w:snapToGrid w:val="0"/>
              <w:rPr>
                <w:rFonts w:ascii="仿宋_GB2312" w:eastAsia="仿宋_GB2312"/>
                <w:kern w:val="0"/>
                <w:sz w:val="24"/>
                <w:szCs w:val="24"/>
              </w:rPr>
            </w:pPr>
            <w:r>
              <w:rPr>
                <w:rFonts w:hint="eastAsia" w:ascii="仿宋_GB2312" w:eastAsia="仿宋_GB2312"/>
                <w:kern w:val="0"/>
                <w:sz w:val="24"/>
                <w:szCs w:val="24"/>
              </w:rPr>
              <w:t>续做到期结算日-续做日期，自动显示，无需输入</w:t>
            </w:r>
          </w:p>
        </w:tc>
      </w:tr>
      <w:tr w14:paraId="26CC8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140" w:type="pct"/>
          </w:tcPr>
          <w:p w14:paraId="16E13CEE">
            <w:pPr>
              <w:adjustRightInd w:val="0"/>
              <w:snapToGrid w:val="0"/>
              <w:rPr>
                <w:rFonts w:ascii="仿宋_GB2312" w:eastAsia="仿宋_GB2312"/>
                <w:b/>
                <w:kern w:val="0"/>
                <w:sz w:val="24"/>
                <w:szCs w:val="24"/>
              </w:rPr>
            </w:pPr>
            <w:r>
              <w:rPr>
                <w:rFonts w:hint="eastAsia" w:ascii="仿宋_GB2312" w:eastAsia="仿宋_GB2312"/>
                <w:b/>
                <w:kern w:val="0"/>
                <w:sz w:val="24"/>
                <w:szCs w:val="24"/>
              </w:rPr>
              <w:t>续做利息</w:t>
            </w:r>
          </w:p>
        </w:tc>
        <w:tc>
          <w:tcPr>
            <w:tcW w:w="2859" w:type="pct"/>
          </w:tcPr>
          <w:p w14:paraId="72367F20">
            <w:pPr>
              <w:adjustRightInd w:val="0"/>
              <w:snapToGrid w:val="0"/>
              <w:rPr>
                <w:rFonts w:ascii="仿宋_GB2312" w:eastAsia="仿宋_GB2312"/>
                <w:kern w:val="0"/>
                <w:sz w:val="24"/>
                <w:szCs w:val="24"/>
              </w:rPr>
            </w:pPr>
            <w:r>
              <w:rPr>
                <w:rFonts w:hint="eastAsia" w:ascii="仿宋_GB2312" w:eastAsia="仿宋_GB2312"/>
                <w:kern w:val="0"/>
                <w:sz w:val="24"/>
                <w:szCs w:val="24"/>
              </w:rPr>
              <w:t>续做金额×续做利率×续做实际占款天数/365，自动显示，无需输入</w:t>
            </w:r>
          </w:p>
        </w:tc>
      </w:tr>
      <w:tr w14:paraId="633DF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40" w:type="pct"/>
          </w:tcPr>
          <w:p w14:paraId="7F707EDF">
            <w:pPr>
              <w:adjustRightInd w:val="0"/>
              <w:snapToGrid w:val="0"/>
              <w:rPr>
                <w:rFonts w:ascii="仿宋_GB2312" w:eastAsia="仿宋_GB2312"/>
                <w:b/>
                <w:kern w:val="0"/>
                <w:sz w:val="24"/>
                <w:szCs w:val="24"/>
              </w:rPr>
            </w:pPr>
            <w:r>
              <w:rPr>
                <w:rFonts w:hint="eastAsia" w:ascii="仿宋_GB2312" w:eastAsia="仿宋_GB2312"/>
                <w:b/>
                <w:kern w:val="0"/>
                <w:sz w:val="24"/>
                <w:szCs w:val="24"/>
              </w:rPr>
              <w:t>续做到期结算金额</w:t>
            </w:r>
          </w:p>
        </w:tc>
        <w:tc>
          <w:tcPr>
            <w:tcW w:w="2859" w:type="pct"/>
          </w:tcPr>
          <w:p w14:paraId="5FE91F66">
            <w:pPr>
              <w:adjustRightInd w:val="0"/>
              <w:snapToGrid w:val="0"/>
              <w:rPr>
                <w:rFonts w:ascii="仿宋_GB2312" w:eastAsia="仿宋_GB2312"/>
                <w:kern w:val="0"/>
                <w:sz w:val="24"/>
                <w:szCs w:val="24"/>
              </w:rPr>
            </w:pPr>
            <w:r>
              <w:rPr>
                <w:rFonts w:hint="eastAsia" w:ascii="仿宋_GB2312" w:eastAsia="仿宋_GB2312"/>
                <w:kern w:val="0"/>
                <w:sz w:val="24"/>
                <w:szCs w:val="24"/>
              </w:rPr>
              <w:t>到期日正回购方返回的金额合计，自动显示，无需输入</w:t>
            </w:r>
          </w:p>
        </w:tc>
      </w:tr>
      <w:tr w14:paraId="1151A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40" w:type="pct"/>
          </w:tcPr>
          <w:p w14:paraId="21E68AB2">
            <w:pPr>
              <w:adjustRightInd w:val="0"/>
              <w:snapToGrid w:val="0"/>
              <w:rPr>
                <w:rFonts w:ascii="仿宋_GB2312" w:eastAsia="仿宋_GB2312"/>
                <w:b/>
                <w:kern w:val="0"/>
                <w:sz w:val="24"/>
                <w:szCs w:val="24"/>
              </w:rPr>
            </w:pPr>
            <w:r>
              <w:rPr>
                <w:rFonts w:hint="eastAsia" w:ascii="仿宋_GB2312" w:eastAsia="仿宋_GB2312"/>
                <w:b/>
                <w:kern w:val="0"/>
                <w:sz w:val="24"/>
                <w:szCs w:val="24"/>
              </w:rPr>
              <w:t>质押券篮子</w:t>
            </w:r>
          </w:p>
        </w:tc>
        <w:tc>
          <w:tcPr>
            <w:tcW w:w="2859" w:type="pct"/>
          </w:tcPr>
          <w:p w14:paraId="77EDEDA9">
            <w:pPr>
              <w:adjustRightInd w:val="0"/>
              <w:snapToGrid w:val="0"/>
              <w:rPr>
                <w:rFonts w:ascii="仿宋_GB2312" w:eastAsia="仿宋_GB2312"/>
                <w:kern w:val="0"/>
                <w:sz w:val="24"/>
                <w:szCs w:val="24"/>
              </w:rPr>
            </w:pPr>
            <w:r>
              <w:rPr>
                <w:rFonts w:hint="eastAsia" w:ascii="仿宋_GB2312" w:eastAsia="仿宋_GB2312"/>
                <w:kern w:val="0"/>
                <w:sz w:val="24"/>
                <w:szCs w:val="24"/>
              </w:rPr>
              <w:t>质押券所属篮子，自动显示，无需输入</w:t>
            </w:r>
          </w:p>
        </w:tc>
      </w:tr>
      <w:tr w14:paraId="08B6A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40" w:type="pct"/>
          </w:tcPr>
          <w:p w14:paraId="2DE0634A">
            <w:pPr>
              <w:adjustRightInd w:val="0"/>
              <w:snapToGrid w:val="0"/>
              <w:rPr>
                <w:rFonts w:ascii="仿宋_GB2312" w:eastAsia="仿宋_GB2312"/>
                <w:b/>
                <w:kern w:val="0"/>
                <w:sz w:val="24"/>
                <w:szCs w:val="24"/>
              </w:rPr>
            </w:pPr>
            <w:r>
              <w:rPr>
                <w:rFonts w:hint="eastAsia" w:ascii="仿宋_GB2312" w:eastAsia="仿宋_GB2312"/>
                <w:b/>
                <w:kern w:val="0"/>
                <w:sz w:val="24"/>
                <w:szCs w:val="24"/>
              </w:rPr>
              <w:t>回购方向</w:t>
            </w:r>
          </w:p>
        </w:tc>
        <w:tc>
          <w:tcPr>
            <w:tcW w:w="2859" w:type="pct"/>
          </w:tcPr>
          <w:p w14:paraId="1CB4CAE0">
            <w:pPr>
              <w:adjustRightInd w:val="0"/>
              <w:snapToGrid w:val="0"/>
              <w:rPr>
                <w:rFonts w:ascii="仿宋_GB2312" w:eastAsia="仿宋_GB2312"/>
                <w:kern w:val="0"/>
                <w:sz w:val="24"/>
                <w:szCs w:val="24"/>
              </w:rPr>
            </w:pPr>
            <w:r>
              <w:rPr>
                <w:rFonts w:hint="eastAsia" w:ascii="仿宋_GB2312" w:eastAsia="仿宋_GB2312"/>
                <w:kern w:val="0"/>
                <w:sz w:val="24"/>
                <w:szCs w:val="24"/>
              </w:rPr>
              <w:t>正回购/逆回购，自动显示，无需输入</w:t>
            </w:r>
          </w:p>
        </w:tc>
      </w:tr>
      <w:tr w14:paraId="43663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000" w:type="pct"/>
            <w:gridSpan w:val="2"/>
          </w:tcPr>
          <w:p w14:paraId="789C7912">
            <w:pPr>
              <w:adjustRightInd w:val="0"/>
              <w:snapToGrid w:val="0"/>
              <w:jc w:val="center"/>
              <w:rPr>
                <w:rFonts w:ascii="仿宋_GB2312" w:eastAsia="仿宋_GB2312"/>
                <w:b/>
                <w:bCs/>
                <w:kern w:val="0"/>
                <w:sz w:val="24"/>
                <w:szCs w:val="24"/>
              </w:rPr>
            </w:pPr>
            <w:r>
              <w:rPr>
                <w:rFonts w:hint="eastAsia" w:ascii="仿宋_GB2312" w:eastAsia="仿宋_GB2312"/>
                <w:b/>
                <w:bCs/>
                <w:kern w:val="0"/>
                <w:sz w:val="24"/>
                <w:szCs w:val="24"/>
              </w:rPr>
              <w:t>原申报信息</w:t>
            </w:r>
          </w:p>
        </w:tc>
      </w:tr>
      <w:tr w14:paraId="770B9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40" w:type="pct"/>
          </w:tcPr>
          <w:p w14:paraId="5935BE2D">
            <w:pPr>
              <w:adjustRightInd w:val="0"/>
              <w:snapToGrid w:val="0"/>
              <w:rPr>
                <w:rFonts w:ascii="仿宋_GB2312" w:eastAsia="仿宋_GB2312"/>
                <w:b/>
                <w:kern w:val="0"/>
                <w:sz w:val="24"/>
                <w:szCs w:val="24"/>
              </w:rPr>
            </w:pPr>
            <w:r>
              <w:rPr>
                <w:rFonts w:hint="eastAsia" w:ascii="仿宋_GB2312" w:eastAsia="仿宋_GB2312"/>
                <w:b/>
                <w:kern w:val="0"/>
                <w:sz w:val="24"/>
                <w:szCs w:val="24"/>
              </w:rPr>
              <w:t>原回购利率</w:t>
            </w:r>
          </w:p>
        </w:tc>
        <w:tc>
          <w:tcPr>
            <w:tcW w:w="2859" w:type="pct"/>
          </w:tcPr>
          <w:p w14:paraId="5360A971">
            <w:pPr>
              <w:adjustRightInd w:val="0"/>
              <w:snapToGrid w:val="0"/>
              <w:rPr>
                <w:rFonts w:ascii="仿宋_GB2312" w:eastAsia="仿宋_GB2312"/>
                <w:kern w:val="0"/>
                <w:sz w:val="24"/>
                <w:szCs w:val="24"/>
              </w:rPr>
            </w:pPr>
            <w:r>
              <w:rPr>
                <w:rFonts w:hint="eastAsia" w:ascii="仿宋_GB2312" w:eastAsia="仿宋_GB2312"/>
                <w:kern w:val="0"/>
                <w:sz w:val="24"/>
                <w:szCs w:val="24"/>
              </w:rPr>
              <w:t>原回购交易正回购方付给逆回购方的资金价格，自动显示，无需输入</w:t>
            </w:r>
          </w:p>
        </w:tc>
      </w:tr>
      <w:tr w14:paraId="323A7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40" w:type="pct"/>
          </w:tcPr>
          <w:p w14:paraId="253E6336">
            <w:pPr>
              <w:adjustRightInd w:val="0"/>
              <w:snapToGrid w:val="0"/>
              <w:rPr>
                <w:rFonts w:ascii="仿宋_GB2312" w:eastAsia="仿宋_GB2312"/>
                <w:b/>
                <w:kern w:val="0"/>
                <w:sz w:val="24"/>
                <w:szCs w:val="24"/>
              </w:rPr>
            </w:pPr>
            <w:r>
              <w:rPr>
                <w:rFonts w:hint="eastAsia" w:ascii="仿宋_GB2312" w:eastAsia="仿宋_GB2312"/>
                <w:b/>
                <w:kern w:val="0"/>
                <w:sz w:val="24"/>
                <w:szCs w:val="24"/>
              </w:rPr>
              <w:t>原回购金额</w:t>
            </w:r>
          </w:p>
        </w:tc>
        <w:tc>
          <w:tcPr>
            <w:tcW w:w="2859" w:type="pct"/>
          </w:tcPr>
          <w:p w14:paraId="155C9ABB">
            <w:pPr>
              <w:adjustRightInd w:val="0"/>
              <w:snapToGrid w:val="0"/>
              <w:rPr>
                <w:rFonts w:ascii="仿宋_GB2312" w:eastAsia="仿宋_GB2312"/>
                <w:kern w:val="0"/>
                <w:sz w:val="24"/>
                <w:szCs w:val="24"/>
              </w:rPr>
            </w:pPr>
            <w:r>
              <w:rPr>
                <w:rFonts w:hint="eastAsia" w:ascii="仿宋_GB2312" w:eastAsia="仿宋_GB2312"/>
                <w:kern w:val="0"/>
                <w:sz w:val="24"/>
                <w:szCs w:val="24"/>
              </w:rPr>
              <w:t>原回购交易正回购方融入的资金额度，自动显示，无需输入</w:t>
            </w:r>
          </w:p>
        </w:tc>
      </w:tr>
      <w:tr w14:paraId="22913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40" w:type="pct"/>
          </w:tcPr>
          <w:p w14:paraId="79491864">
            <w:pPr>
              <w:adjustRightInd w:val="0"/>
              <w:snapToGrid w:val="0"/>
              <w:rPr>
                <w:rFonts w:ascii="仿宋_GB2312" w:eastAsia="仿宋_GB2312"/>
                <w:b/>
                <w:kern w:val="0"/>
                <w:sz w:val="24"/>
                <w:szCs w:val="24"/>
              </w:rPr>
            </w:pPr>
            <w:r>
              <w:rPr>
                <w:rFonts w:hint="eastAsia" w:ascii="仿宋_GB2312" w:eastAsia="仿宋_GB2312"/>
                <w:b/>
                <w:kern w:val="0"/>
                <w:sz w:val="24"/>
                <w:szCs w:val="24"/>
              </w:rPr>
              <w:t>原回购利息</w:t>
            </w:r>
          </w:p>
        </w:tc>
        <w:tc>
          <w:tcPr>
            <w:tcW w:w="2859" w:type="pct"/>
          </w:tcPr>
          <w:p w14:paraId="6F94C56E">
            <w:pPr>
              <w:adjustRightInd w:val="0"/>
              <w:snapToGrid w:val="0"/>
              <w:rPr>
                <w:rFonts w:ascii="仿宋_GB2312" w:eastAsia="仿宋_GB2312"/>
                <w:kern w:val="0"/>
                <w:sz w:val="24"/>
                <w:szCs w:val="24"/>
              </w:rPr>
            </w:pPr>
            <w:r>
              <w:rPr>
                <w:rFonts w:hint="eastAsia" w:ascii="仿宋_GB2312" w:eastAsia="仿宋_GB2312"/>
                <w:kern w:val="0"/>
                <w:sz w:val="24"/>
                <w:szCs w:val="24"/>
              </w:rPr>
              <w:t>原回购交易的成交金额×回购利率×实际占款天数/365，自动显示，无需输入</w:t>
            </w:r>
          </w:p>
        </w:tc>
      </w:tr>
      <w:tr w14:paraId="52E98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140" w:type="pct"/>
          </w:tcPr>
          <w:p w14:paraId="7F03B057">
            <w:pPr>
              <w:adjustRightInd w:val="0"/>
              <w:snapToGrid w:val="0"/>
              <w:rPr>
                <w:rFonts w:ascii="仿宋_GB2312" w:eastAsia="仿宋_GB2312"/>
                <w:b/>
                <w:kern w:val="0"/>
                <w:sz w:val="24"/>
                <w:szCs w:val="24"/>
              </w:rPr>
            </w:pPr>
            <w:r>
              <w:rPr>
                <w:rFonts w:hint="eastAsia" w:ascii="仿宋_GB2312" w:eastAsia="仿宋_GB2312"/>
                <w:b/>
                <w:kern w:val="0"/>
                <w:sz w:val="24"/>
                <w:szCs w:val="24"/>
              </w:rPr>
              <w:t>原到期结算金额</w:t>
            </w:r>
          </w:p>
        </w:tc>
        <w:tc>
          <w:tcPr>
            <w:tcW w:w="2859" w:type="pct"/>
          </w:tcPr>
          <w:p w14:paraId="45436F8B">
            <w:pPr>
              <w:adjustRightInd w:val="0"/>
              <w:snapToGrid w:val="0"/>
              <w:rPr>
                <w:rFonts w:ascii="仿宋_GB2312" w:eastAsia="仿宋_GB2312"/>
                <w:kern w:val="0"/>
                <w:sz w:val="24"/>
                <w:szCs w:val="24"/>
              </w:rPr>
            </w:pPr>
            <w:r>
              <w:rPr>
                <w:rFonts w:hint="eastAsia" w:ascii="仿宋_GB2312" w:eastAsia="仿宋_GB2312"/>
                <w:kern w:val="0"/>
                <w:sz w:val="24"/>
                <w:szCs w:val="24"/>
              </w:rPr>
              <w:t>原回购交易到期日正回购方返回的金额合计，自动显示，无需输入</w:t>
            </w:r>
          </w:p>
        </w:tc>
      </w:tr>
      <w:tr w14:paraId="74E1B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40" w:type="pct"/>
          </w:tcPr>
          <w:p w14:paraId="342EDFB2">
            <w:pPr>
              <w:pBdr>
                <w:bottom w:val="single" w:color="auto" w:sz="6" w:space="1"/>
              </w:pBdr>
              <w:adjustRightInd w:val="0"/>
              <w:snapToGrid w:val="0"/>
              <w:rPr>
                <w:rFonts w:ascii="仿宋_GB2312" w:eastAsia="仿宋_GB2312"/>
                <w:b/>
                <w:kern w:val="0"/>
                <w:sz w:val="24"/>
                <w:szCs w:val="24"/>
              </w:rPr>
            </w:pPr>
            <w:r>
              <w:rPr>
                <w:rFonts w:hint="eastAsia" w:ascii="仿宋_GB2312" w:eastAsia="仿宋_GB2312"/>
                <w:b/>
                <w:kern w:val="0"/>
                <w:sz w:val="24"/>
                <w:szCs w:val="24"/>
              </w:rPr>
              <w:t>原回购期限</w:t>
            </w:r>
          </w:p>
        </w:tc>
        <w:tc>
          <w:tcPr>
            <w:tcW w:w="2859" w:type="pct"/>
          </w:tcPr>
          <w:p w14:paraId="1504E03F">
            <w:pPr>
              <w:adjustRightInd w:val="0"/>
              <w:snapToGrid w:val="0"/>
              <w:rPr>
                <w:rFonts w:ascii="仿宋_GB2312" w:eastAsia="仿宋_GB2312"/>
                <w:kern w:val="0"/>
                <w:sz w:val="24"/>
                <w:szCs w:val="24"/>
              </w:rPr>
            </w:pPr>
            <w:r>
              <w:rPr>
                <w:rFonts w:hint="eastAsia" w:ascii="仿宋_GB2312" w:eastAsia="仿宋_GB2312"/>
                <w:kern w:val="0"/>
                <w:sz w:val="24"/>
                <w:szCs w:val="24"/>
              </w:rPr>
              <w:t>原回购交易的到期结算日-首次结算日，自动显示，无需输入</w:t>
            </w:r>
          </w:p>
        </w:tc>
      </w:tr>
      <w:tr w14:paraId="38567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40" w:type="pct"/>
          </w:tcPr>
          <w:p w14:paraId="0824963B">
            <w:pPr>
              <w:adjustRightInd w:val="0"/>
              <w:snapToGrid w:val="0"/>
              <w:rPr>
                <w:rFonts w:ascii="仿宋_GB2312" w:eastAsia="仿宋_GB2312"/>
                <w:b/>
                <w:kern w:val="0"/>
                <w:sz w:val="24"/>
                <w:szCs w:val="24"/>
              </w:rPr>
            </w:pPr>
            <w:r>
              <w:rPr>
                <w:rFonts w:hint="eastAsia" w:ascii="仿宋_GB2312" w:eastAsia="仿宋_GB2312"/>
                <w:b/>
                <w:kern w:val="0"/>
                <w:sz w:val="24"/>
                <w:szCs w:val="24"/>
              </w:rPr>
              <w:t>原成交编号</w:t>
            </w:r>
          </w:p>
        </w:tc>
        <w:tc>
          <w:tcPr>
            <w:tcW w:w="2859" w:type="pct"/>
          </w:tcPr>
          <w:p w14:paraId="2D47A76B">
            <w:pPr>
              <w:adjustRightInd w:val="0"/>
              <w:snapToGrid w:val="0"/>
              <w:rPr>
                <w:rFonts w:ascii="仿宋_GB2312" w:eastAsia="仿宋_GB2312"/>
                <w:kern w:val="0"/>
                <w:sz w:val="24"/>
                <w:szCs w:val="24"/>
              </w:rPr>
            </w:pPr>
            <w:r>
              <w:rPr>
                <w:rFonts w:hint="eastAsia" w:ascii="仿宋_GB2312" w:eastAsia="仿宋_GB2312"/>
                <w:kern w:val="0"/>
                <w:sz w:val="24"/>
                <w:szCs w:val="24"/>
              </w:rPr>
              <w:t>原回购交易成交编号，自动显示，无需输入</w:t>
            </w:r>
          </w:p>
        </w:tc>
      </w:tr>
      <w:tr w14:paraId="3FDE5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40" w:type="pct"/>
          </w:tcPr>
          <w:p w14:paraId="115C9702">
            <w:pPr>
              <w:adjustRightInd w:val="0"/>
              <w:snapToGrid w:val="0"/>
              <w:rPr>
                <w:rFonts w:ascii="仿宋_GB2312" w:eastAsia="仿宋_GB2312"/>
                <w:b/>
                <w:kern w:val="0"/>
                <w:sz w:val="24"/>
                <w:szCs w:val="24"/>
              </w:rPr>
            </w:pPr>
            <w:r>
              <w:rPr>
                <w:rFonts w:hint="eastAsia" w:ascii="仿宋_GB2312" w:eastAsia="仿宋_GB2312"/>
                <w:b/>
                <w:kern w:val="0"/>
                <w:sz w:val="24"/>
                <w:szCs w:val="24"/>
              </w:rPr>
              <w:t>原成交日期</w:t>
            </w:r>
          </w:p>
        </w:tc>
        <w:tc>
          <w:tcPr>
            <w:tcW w:w="2859" w:type="pct"/>
          </w:tcPr>
          <w:p w14:paraId="260C4369">
            <w:pPr>
              <w:adjustRightInd w:val="0"/>
              <w:snapToGrid w:val="0"/>
              <w:rPr>
                <w:rFonts w:ascii="仿宋_GB2312" w:eastAsia="仿宋_GB2312"/>
                <w:kern w:val="0"/>
                <w:sz w:val="24"/>
                <w:szCs w:val="24"/>
              </w:rPr>
            </w:pPr>
            <w:r>
              <w:rPr>
                <w:rFonts w:hint="eastAsia" w:ascii="仿宋_GB2312" w:eastAsia="仿宋_GB2312"/>
                <w:kern w:val="0"/>
                <w:sz w:val="24"/>
                <w:szCs w:val="24"/>
              </w:rPr>
              <w:t>原回购交易的成交日期，自动显示，无需输入</w:t>
            </w:r>
          </w:p>
        </w:tc>
      </w:tr>
      <w:tr w14:paraId="34ED9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140" w:type="pct"/>
          </w:tcPr>
          <w:p w14:paraId="69928D6E">
            <w:pPr>
              <w:adjustRightInd w:val="0"/>
              <w:snapToGrid w:val="0"/>
              <w:rPr>
                <w:rFonts w:ascii="仿宋_GB2312" w:eastAsia="仿宋_GB2312"/>
                <w:b/>
                <w:kern w:val="0"/>
                <w:sz w:val="24"/>
                <w:szCs w:val="24"/>
              </w:rPr>
            </w:pPr>
            <w:r>
              <w:rPr>
                <w:rFonts w:hint="eastAsia" w:ascii="仿宋_GB2312" w:eastAsia="仿宋_GB2312"/>
                <w:b/>
                <w:kern w:val="0"/>
                <w:sz w:val="24"/>
                <w:szCs w:val="24"/>
              </w:rPr>
              <w:t>原回购到期日</w:t>
            </w:r>
          </w:p>
        </w:tc>
        <w:tc>
          <w:tcPr>
            <w:tcW w:w="2859" w:type="pct"/>
          </w:tcPr>
          <w:p w14:paraId="09A41E7C">
            <w:pPr>
              <w:adjustRightInd w:val="0"/>
              <w:snapToGrid w:val="0"/>
              <w:rPr>
                <w:rFonts w:ascii="仿宋_GB2312" w:eastAsia="仿宋_GB2312"/>
                <w:kern w:val="0"/>
                <w:sz w:val="24"/>
                <w:szCs w:val="24"/>
              </w:rPr>
            </w:pPr>
            <w:r>
              <w:rPr>
                <w:rFonts w:hint="eastAsia" w:ascii="仿宋_GB2312" w:eastAsia="仿宋_GB2312"/>
                <w:kern w:val="0"/>
                <w:sz w:val="24"/>
                <w:szCs w:val="24"/>
              </w:rPr>
              <w:t>原回购交易的到期日，自动显示，无需输入</w:t>
            </w:r>
          </w:p>
        </w:tc>
      </w:tr>
      <w:tr w14:paraId="5C5A7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40" w:type="pct"/>
          </w:tcPr>
          <w:p w14:paraId="185A615C">
            <w:pPr>
              <w:adjustRightInd w:val="0"/>
              <w:snapToGrid w:val="0"/>
              <w:rPr>
                <w:rFonts w:ascii="仿宋_GB2312" w:eastAsia="仿宋_GB2312"/>
                <w:b/>
                <w:kern w:val="0"/>
                <w:sz w:val="24"/>
                <w:szCs w:val="24"/>
              </w:rPr>
            </w:pPr>
            <w:r>
              <w:rPr>
                <w:rFonts w:hint="eastAsia" w:ascii="仿宋_GB2312" w:eastAsia="仿宋_GB2312"/>
                <w:b/>
                <w:kern w:val="0"/>
                <w:sz w:val="24"/>
                <w:szCs w:val="24"/>
              </w:rPr>
              <w:t>原到期结算日</w:t>
            </w:r>
          </w:p>
        </w:tc>
        <w:tc>
          <w:tcPr>
            <w:tcW w:w="2859" w:type="pct"/>
          </w:tcPr>
          <w:p w14:paraId="51B5BB86">
            <w:pPr>
              <w:adjustRightInd w:val="0"/>
              <w:snapToGrid w:val="0"/>
              <w:rPr>
                <w:rFonts w:ascii="仿宋_GB2312" w:eastAsia="仿宋_GB2312"/>
                <w:kern w:val="0"/>
                <w:sz w:val="24"/>
                <w:szCs w:val="24"/>
              </w:rPr>
            </w:pPr>
            <w:r>
              <w:rPr>
                <w:rFonts w:hint="eastAsia" w:ascii="仿宋_GB2312" w:eastAsia="仿宋_GB2312"/>
                <w:kern w:val="0"/>
                <w:sz w:val="24"/>
                <w:szCs w:val="24"/>
              </w:rPr>
              <w:t>原回购交易的到期结算日，自动显示，无需输入</w:t>
            </w:r>
          </w:p>
        </w:tc>
      </w:tr>
      <w:tr w14:paraId="10E69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40" w:type="pct"/>
          </w:tcPr>
          <w:p w14:paraId="2495596E">
            <w:pPr>
              <w:adjustRightInd w:val="0"/>
              <w:snapToGrid w:val="0"/>
              <w:rPr>
                <w:rFonts w:ascii="仿宋_GB2312" w:eastAsia="仿宋_GB2312"/>
                <w:b/>
                <w:kern w:val="0"/>
                <w:sz w:val="24"/>
                <w:szCs w:val="24"/>
              </w:rPr>
            </w:pPr>
            <w:r>
              <w:rPr>
                <w:rFonts w:hint="eastAsia" w:ascii="仿宋_GB2312" w:eastAsia="仿宋_GB2312"/>
                <w:b/>
                <w:kern w:val="0"/>
                <w:sz w:val="24"/>
                <w:szCs w:val="24"/>
              </w:rPr>
              <w:t>原实际占款天数</w:t>
            </w:r>
          </w:p>
        </w:tc>
        <w:tc>
          <w:tcPr>
            <w:tcW w:w="2859" w:type="pct"/>
          </w:tcPr>
          <w:p w14:paraId="30AF200A">
            <w:pPr>
              <w:adjustRightInd w:val="0"/>
              <w:snapToGrid w:val="0"/>
              <w:rPr>
                <w:rFonts w:ascii="仿宋_GB2312" w:eastAsia="仿宋_GB2312"/>
                <w:kern w:val="0"/>
                <w:sz w:val="24"/>
                <w:szCs w:val="24"/>
              </w:rPr>
            </w:pPr>
            <w:r>
              <w:rPr>
                <w:rFonts w:hint="eastAsia" w:ascii="仿宋_GB2312" w:eastAsia="仿宋_GB2312"/>
                <w:kern w:val="0"/>
                <w:sz w:val="24"/>
                <w:szCs w:val="24"/>
              </w:rPr>
              <w:t>原回购交易的到期结算日-首次结算日，自动显示，无需输入</w:t>
            </w:r>
          </w:p>
        </w:tc>
      </w:tr>
      <w:tr w14:paraId="6C5B0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40" w:type="pct"/>
          </w:tcPr>
          <w:p w14:paraId="2774E1BD">
            <w:pPr>
              <w:adjustRightInd w:val="0"/>
              <w:snapToGrid w:val="0"/>
              <w:rPr>
                <w:rFonts w:ascii="仿宋_GB2312" w:eastAsia="仿宋_GB2312"/>
                <w:b/>
                <w:kern w:val="0"/>
                <w:sz w:val="24"/>
                <w:szCs w:val="24"/>
              </w:rPr>
            </w:pPr>
            <w:r>
              <w:rPr>
                <w:rFonts w:hint="eastAsia" w:ascii="仿宋_GB2312" w:eastAsia="仿宋_GB2312"/>
                <w:b/>
                <w:kern w:val="0"/>
                <w:sz w:val="24"/>
                <w:szCs w:val="24"/>
              </w:rPr>
              <w:t>担保价值合计</w:t>
            </w:r>
          </w:p>
        </w:tc>
        <w:tc>
          <w:tcPr>
            <w:tcW w:w="2859" w:type="pct"/>
          </w:tcPr>
          <w:p w14:paraId="3C8738C4">
            <w:pPr>
              <w:adjustRightInd w:val="0"/>
              <w:snapToGrid w:val="0"/>
              <w:rPr>
                <w:rFonts w:ascii="仿宋_GB2312" w:eastAsia="仿宋_GB2312"/>
                <w:kern w:val="0"/>
                <w:sz w:val="24"/>
                <w:szCs w:val="24"/>
              </w:rPr>
            </w:pPr>
            <w:r>
              <w:rPr>
                <w:rFonts w:hint="eastAsia" w:ascii="仿宋_GB2312" w:eastAsia="仿宋_GB2312"/>
                <w:kern w:val="0"/>
                <w:sz w:val="24"/>
                <w:szCs w:val="24"/>
              </w:rPr>
              <w:t>该笔三方回购交易所有担保债券的担保价值合计，自动显示，无需输入</w:t>
            </w:r>
          </w:p>
        </w:tc>
      </w:tr>
      <w:tr w14:paraId="459DC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140" w:type="pct"/>
          </w:tcPr>
          <w:p w14:paraId="0C8AB226">
            <w:pPr>
              <w:adjustRightInd w:val="0"/>
              <w:snapToGrid w:val="0"/>
              <w:rPr>
                <w:rFonts w:ascii="仿宋_GB2312" w:eastAsia="仿宋_GB2312"/>
                <w:b/>
                <w:kern w:val="0"/>
                <w:sz w:val="24"/>
                <w:szCs w:val="24"/>
              </w:rPr>
            </w:pPr>
            <w:r>
              <w:rPr>
                <w:rFonts w:hint="eastAsia" w:ascii="仿宋_GB2312" w:eastAsia="仿宋_GB2312"/>
                <w:b/>
                <w:kern w:val="0"/>
                <w:sz w:val="24"/>
                <w:szCs w:val="24"/>
              </w:rPr>
              <w:t>违约后担保品是否由质权人处置</w:t>
            </w:r>
          </w:p>
        </w:tc>
        <w:tc>
          <w:tcPr>
            <w:tcW w:w="2859" w:type="pct"/>
          </w:tcPr>
          <w:p w14:paraId="63B8FEC9">
            <w:pPr>
              <w:adjustRightInd w:val="0"/>
              <w:snapToGrid w:val="0"/>
              <w:rPr>
                <w:rFonts w:ascii="仿宋_GB2312" w:eastAsia="仿宋_GB2312"/>
                <w:kern w:val="0"/>
                <w:sz w:val="24"/>
                <w:szCs w:val="24"/>
              </w:rPr>
            </w:pPr>
            <w:r>
              <w:rPr>
                <w:rFonts w:hint="eastAsia" w:ascii="仿宋_GB2312" w:eastAsia="仿宋_GB2312"/>
                <w:kern w:val="0"/>
                <w:sz w:val="24"/>
                <w:szCs w:val="24"/>
              </w:rPr>
              <w:t>默认勾选是，自动显示，无需输入</w:t>
            </w:r>
          </w:p>
        </w:tc>
      </w:tr>
    </w:tbl>
    <w:p w14:paraId="5155C728">
      <w:pPr>
        <w:spacing w:line="600" w:lineRule="exact"/>
        <w:ind w:left="567"/>
        <w:outlineLvl w:val="3"/>
        <w:rPr>
          <w:rFonts w:ascii="仿宋_GB2312" w:eastAsia="仿宋_GB2312"/>
          <w:b/>
          <w:sz w:val="30"/>
          <w:szCs w:val="30"/>
        </w:rPr>
      </w:pPr>
      <w:r>
        <w:rPr>
          <w:rFonts w:hint="eastAsia" w:ascii="仿宋_GB2312" w:eastAsia="仿宋_GB2312"/>
          <w:b/>
          <w:sz w:val="30"/>
          <w:szCs w:val="30"/>
        </w:rPr>
        <w:t>（8）提前终止</w:t>
      </w:r>
    </w:p>
    <w:p w14:paraId="719EA71B">
      <w:pPr>
        <w:adjustRightInd w:val="0"/>
        <w:snapToGrid w:val="0"/>
        <w:spacing w:line="600" w:lineRule="exact"/>
        <w:ind w:firstLine="600"/>
        <w:rPr>
          <w:rFonts w:ascii="仿宋_GB2312" w:hAnsi="Calibri" w:eastAsia="仿宋_GB2312"/>
          <w:kern w:val="0"/>
          <w:sz w:val="30"/>
          <w:szCs w:val="30"/>
        </w:rPr>
      </w:pPr>
      <w:r>
        <w:rPr>
          <w:rFonts w:hint="eastAsia" w:ascii="仿宋_GB2312" w:hAnsi="Calibri" w:eastAsia="仿宋_GB2312"/>
          <w:kern w:val="0"/>
          <w:sz w:val="30"/>
          <w:szCs w:val="30"/>
        </w:rPr>
        <w:t>三方回购存续期间，经回购双方协商一致可以提前终止，交易一方可以发起提前终止申报，并由对手方确认。提前终止申报须填写提前终止的结算金额和对应的提前终止利率。初期，提前终止结算金额不得低于回购的成交金额，暂不支持部分提前终止。</w:t>
      </w:r>
    </w:p>
    <w:p w14:paraId="2BD80CAB">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提交终止申报的具体要素及要素说明如下：</w:t>
      </w:r>
    </w:p>
    <w:tbl>
      <w:tblPr>
        <w:tblStyle w:val="43"/>
        <w:tblW w:w="51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53"/>
        <w:gridCol w:w="5203"/>
      </w:tblGrid>
      <w:tr w14:paraId="25EFC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29" w:type="pct"/>
          </w:tcPr>
          <w:p w14:paraId="7F2AFE01">
            <w:pPr>
              <w:adjustRightInd w:val="0"/>
              <w:snapToGrid w:val="0"/>
              <w:rPr>
                <w:rFonts w:ascii="仿宋_GB2312" w:eastAsia="仿宋_GB2312"/>
                <w:b/>
                <w:kern w:val="0"/>
                <w:sz w:val="24"/>
                <w:szCs w:val="24"/>
              </w:rPr>
            </w:pPr>
            <w:r>
              <w:rPr>
                <w:rFonts w:hint="eastAsia" w:ascii="仿宋_GB2312" w:eastAsia="仿宋_GB2312"/>
                <w:b/>
                <w:kern w:val="0"/>
                <w:sz w:val="24"/>
                <w:szCs w:val="24"/>
              </w:rPr>
              <w:t>要素名称</w:t>
            </w:r>
          </w:p>
        </w:tc>
        <w:tc>
          <w:tcPr>
            <w:tcW w:w="2971" w:type="pct"/>
          </w:tcPr>
          <w:p w14:paraId="6E286F21">
            <w:pPr>
              <w:adjustRightInd w:val="0"/>
              <w:snapToGrid w:val="0"/>
              <w:rPr>
                <w:rFonts w:ascii="仿宋_GB2312" w:eastAsia="仿宋_GB2312"/>
                <w:b/>
                <w:kern w:val="0"/>
                <w:sz w:val="24"/>
                <w:szCs w:val="24"/>
              </w:rPr>
            </w:pPr>
            <w:r>
              <w:rPr>
                <w:rFonts w:hint="eastAsia" w:ascii="仿宋_GB2312" w:eastAsia="仿宋_GB2312"/>
                <w:b/>
                <w:kern w:val="0"/>
                <w:sz w:val="24"/>
                <w:szCs w:val="24"/>
              </w:rPr>
              <w:t>要素说明</w:t>
            </w:r>
          </w:p>
        </w:tc>
      </w:tr>
      <w:tr w14:paraId="2AA74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29" w:type="pct"/>
          </w:tcPr>
          <w:p w14:paraId="37A57AAB">
            <w:pPr>
              <w:adjustRightInd w:val="0"/>
              <w:snapToGrid w:val="0"/>
              <w:rPr>
                <w:rFonts w:ascii="仿宋_GB2312" w:eastAsia="仿宋_GB2312"/>
                <w:b/>
                <w:kern w:val="0"/>
                <w:sz w:val="24"/>
                <w:szCs w:val="24"/>
              </w:rPr>
            </w:pPr>
            <w:r>
              <w:rPr>
                <w:rFonts w:hint="eastAsia" w:ascii="仿宋_GB2312" w:eastAsia="仿宋_GB2312"/>
                <w:b/>
                <w:kern w:val="0"/>
                <w:sz w:val="24"/>
                <w:szCs w:val="24"/>
              </w:rPr>
              <w:t>对手方交易员代码</w:t>
            </w:r>
          </w:p>
        </w:tc>
        <w:tc>
          <w:tcPr>
            <w:tcW w:w="2971" w:type="pct"/>
          </w:tcPr>
          <w:p w14:paraId="5624CF93">
            <w:pPr>
              <w:adjustRightInd w:val="0"/>
              <w:snapToGrid w:val="0"/>
              <w:rPr>
                <w:rFonts w:ascii="仿宋_GB2312" w:eastAsia="仿宋_GB2312"/>
                <w:kern w:val="0"/>
                <w:sz w:val="24"/>
                <w:szCs w:val="24"/>
              </w:rPr>
            </w:pPr>
            <w:r>
              <w:rPr>
                <w:rFonts w:hint="eastAsia" w:ascii="仿宋_GB2312" w:eastAsia="仿宋_GB2312"/>
                <w:kern w:val="0"/>
                <w:sz w:val="24"/>
                <w:szCs w:val="24"/>
              </w:rPr>
              <w:t>默认显示原始申报的对手方交易员代码</w:t>
            </w:r>
          </w:p>
        </w:tc>
      </w:tr>
      <w:tr w14:paraId="1818B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29" w:type="pct"/>
          </w:tcPr>
          <w:p w14:paraId="7F1D08A5">
            <w:pPr>
              <w:adjustRightInd w:val="0"/>
              <w:snapToGrid w:val="0"/>
              <w:rPr>
                <w:rFonts w:ascii="仿宋_GB2312" w:eastAsia="仿宋_GB2312"/>
                <w:b/>
                <w:kern w:val="0"/>
                <w:sz w:val="24"/>
                <w:szCs w:val="24"/>
              </w:rPr>
            </w:pPr>
            <w:r>
              <w:rPr>
                <w:rFonts w:hint="eastAsia" w:ascii="仿宋_GB2312" w:eastAsia="仿宋_GB2312"/>
                <w:b/>
                <w:kern w:val="0"/>
                <w:sz w:val="24"/>
                <w:szCs w:val="24"/>
              </w:rPr>
              <w:t>提前终止回购利率</w:t>
            </w:r>
          </w:p>
        </w:tc>
        <w:tc>
          <w:tcPr>
            <w:tcW w:w="2971" w:type="pct"/>
          </w:tcPr>
          <w:p w14:paraId="729F9089">
            <w:pPr>
              <w:adjustRightInd w:val="0"/>
              <w:snapToGrid w:val="0"/>
              <w:rPr>
                <w:rFonts w:ascii="仿宋_GB2312" w:eastAsia="仿宋_GB2312"/>
                <w:kern w:val="0"/>
                <w:sz w:val="24"/>
                <w:szCs w:val="24"/>
              </w:rPr>
            </w:pPr>
            <w:r>
              <w:rPr>
                <w:rFonts w:hint="eastAsia" w:ascii="仿宋_GB2312" w:eastAsia="仿宋_GB2312"/>
                <w:kern w:val="0"/>
                <w:sz w:val="24"/>
                <w:szCs w:val="24"/>
              </w:rPr>
              <w:t>正回购方实际付给逆回购方的资金价格</w:t>
            </w:r>
          </w:p>
        </w:tc>
      </w:tr>
      <w:tr w14:paraId="2182D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29" w:type="pct"/>
          </w:tcPr>
          <w:p w14:paraId="56105AF0">
            <w:pPr>
              <w:adjustRightInd w:val="0"/>
              <w:snapToGrid w:val="0"/>
              <w:rPr>
                <w:rFonts w:ascii="仿宋_GB2312" w:eastAsia="仿宋_GB2312"/>
                <w:b/>
                <w:kern w:val="0"/>
                <w:sz w:val="24"/>
                <w:szCs w:val="24"/>
              </w:rPr>
            </w:pPr>
            <w:r>
              <w:rPr>
                <w:rFonts w:hint="eastAsia" w:ascii="仿宋_GB2312" w:eastAsia="仿宋_GB2312"/>
                <w:b/>
                <w:kern w:val="0"/>
                <w:sz w:val="24"/>
                <w:szCs w:val="24"/>
              </w:rPr>
              <w:t>债券交易参与人</w:t>
            </w:r>
          </w:p>
        </w:tc>
        <w:tc>
          <w:tcPr>
            <w:tcW w:w="2971" w:type="pct"/>
          </w:tcPr>
          <w:p w14:paraId="60BA1DDE">
            <w:pPr>
              <w:adjustRightInd w:val="0"/>
              <w:snapToGrid w:val="0"/>
              <w:rPr>
                <w:rFonts w:ascii="仿宋_GB2312" w:eastAsia="仿宋_GB2312"/>
                <w:kern w:val="0"/>
                <w:sz w:val="24"/>
                <w:szCs w:val="24"/>
              </w:rPr>
            </w:pPr>
            <w:r>
              <w:rPr>
                <w:rFonts w:hint="eastAsia" w:ascii="仿宋_GB2312" w:eastAsia="仿宋_GB2312"/>
                <w:kern w:val="0"/>
                <w:sz w:val="24"/>
                <w:szCs w:val="24"/>
              </w:rPr>
              <w:t>债券交易参与人名称，自动显示，无需输入</w:t>
            </w:r>
          </w:p>
        </w:tc>
      </w:tr>
      <w:tr w14:paraId="0703E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29" w:type="pct"/>
          </w:tcPr>
          <w:p w14:paraId="41FC6FA1">
            <w:pPr>
              <w:adjustRightInd w:val="0"/>
              <w:snapToGrid w:val="0"/>
              <w:rPr>
                <w:rFonts w:ascii="仿宋_GB2312" w:eastAsia="仿宋_GB2312"/>
                <w:b/>
                <w:kern w:val="0"/>
                <w:sz w:val="24"/>
                <w:szCs w:val="24"/>
              </w:rPr>
            </w:pPr>
            <w:r>
              <w:rPr>
                <w:rFonts w:hint="eastAsia" w:ascii="仿宋_GB2312" w:eastAsia="仿宋_GB2312"/>
                <w:b/>
                <w:kern w:val="0"/>
                <w:sz w:val="24"/>
                <w:szCs w:val="24"/>
              </w:rPr>
              <w:t>交易员代码</w:t>
            </w:r>
          </w:p>
        </w:tc>
        <w:tc>
          <w:tcPr>
            <w:tcW w:w="2971" w:type="pct"/>
          </w:tcPr>
          <w:p w14:paraId="4B6B54D4">
            <w:pPr>
              <w:adjustRightInd w:val="0"/>
              <w:snapToGrid w:val="0"/>
              <w:rPr>
                <w:rFonts w:ascii="仿宋_GB2312" w:eastAsia="仿宋_GB2312"/>
                <w:kern w:val="0"/>
                <w:sz w:val="24"/>
                <w:szCs w:val="24"/>
              </w:rPr>
            </w:pPr>
            <w:r>
              <w:rPr>
                <w:rFonts w:hint="eastAsia" w:ascii="仿宋_GB2312" w:eastAsia="仿宋_GB2312"/>
                <w:kern w:val="0"/>
                <w:sz w:val="24"/>
                <w:szCs w:val="24"/>
              </w:rPr>
              <w:t>交易员代码，自动显示，无需输入</w:t>
            </w:r>
          </w:p>
        </w:tc>
      </w:tr>
      <w:tr w14:paraId="69D70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29" w:type="pct"/>
          </w:tcPr>
          <w:p w14:paraId="304CFB30">
            <w:pPr>
              <w:adjustRightInd w:val="0"/>
              <w:snapToGrid w:val="0"/>
              <w:rPr>
                <w:rFonts w:ascii="仿宋_GB2312" w:eastAsia="仿宋_GB2312"/>
                <w:b/>
                <w:kern w:val="0"/>
                <w:sz w:val="24"/>
                <w:szCs w:val="24"/>
              </w:rPr>
            </w:pPr>
            <w:r>
              <w:rPr>
                <w:rFonts w:hint="eastAsia" w:ascii="仿宋_GB2312" w:eastAsia="仿宋_GB2312"/>
                <w:b/>
                <w:kern w:val="0"/>
                <w:sz w:val="24"/>
                <w:szCs w:val="24"/>
              </w:rPr>
              <w:t>交易员名称</w:t>
            </w:r>
          </w:p>
        </w:tc>
        <w:tc>
          <w:tcPr>
            <w:tcW w:w="2971" w:type="pct"/>
          </w:tcPr>
          <w:p w14:paraId="6C19A9FE">
            <w:pPr>
              <w:adjustRightInd w:val="0"/>
              <w:snapToGrid w:val="0"/>
              <w:rPr>
                <w:rFonts w:ascii="仿宋_GB2312" w:eastAsia="仿宋_GB2312"/>
                <w:kern w:val="0"/>
                <w:sz w:val="24"/>
                <w:szCs w:val="24"/>
              </w:rPr>
            </w:pPr>
            <w:r>
              <w:rPr>
                <w:rFonts w:hint="eastAsia" w:ascii="仿宋_GB2312" w:eastAsia="仿宋_GB2312"/>
                <w:kern w:val="0"/>
                <w:sz w:val="24"/>
                <w:szCs w:val="24"/>
              </w:rPr>
              <w:t>交易员名称，自动显示，无需输入</w:t>
            </w:r>
          </w:p>
        </w:tc>
      </w:tr>
      <w:tr w14:paraId="0105C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29" w:type="pct"/>
          </w:tcPr>
          <w:p w14:paraId="5FD6AA0B">
            <w:pPr>
              <w:adjustRightInd w:val="0"/>
              <w:snapToGrid w:val="0"/>
              <w:rPr>
                <w:rFonts w:ascii="仿宋_GB2312" w:eastAsia="仿宋_GB2312"/>
                <w:b/>
                <w:kern w:val="0"/>
                <w:sz w:val="24"/>
                <w:szCs w:val="24"/>
              </w:rPr>
            </w:pPr>
            <w:r>
              <w:rPr>
                <w:rFonts w:hint="eastAsia" w:ascii="仿宋_GB2312" w:eastAsia="仿宋_GB2312"/>
                <w:b/>
                <w:kern w:val="0"/>
                <w:sz w:val="24"/>
                <w:szCs w:val="24"/>
              </w:rPr>
              <w:t>三方回购专用账户</w:t>
            </w:r>
          </w:p>
        </w:tc>
        <w:tc>
          <w:tcPr>
            <w:tcW w:w="2971" w:type="pct"/>
          </w:tcPr>
          <w:p w14:paraId="4B409DC4">
            <w:pPr>
              <w:adjustRightInd w:val="0"/>
              <w:snapToGrid w:val="0"/>
              <w:rPr>
                <w:rFonts w:ascii="仿宋_GB2312" w:eastAsia="仿宋_GB2312"/>
                <w:kern w:val="0"/>
                <w:sz w:val="24"/>
                <w:szCs w:val="24"/>
              </w:rPr>
            </w:pPr>
            <w:r>
              <w:rPr>
                <w:rFonts w:hint="eastAsia" w:ascii="仿宋_GB2312" w:eastAsia="仿宋_GB2312"/>
                <w:kern w:val="0"/>
                <w:sz w:val="24"/>
                <w:szCs w:val="24"/>
              </w:rPr>
              <w:t>正回购方的证券账户，自动显示，无需输入</w:t>
            </w:r>
          </w:p>
        </w:tc>
      </w:tr>
      <w:tr w14:paraId="3781A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29" w:type="pct"/>
          </w:tcPr>
          <w:p w14:paraId="6AB158AF">
            <w:pPr>
              <w:adjustRightInd w:val="0"/>
              <w:snapToGrid w:val="0"/>
              <w:rPr>
                <w:rFonts w:ascii="仿宋_GB2312" w:eastAsia="仿宋_GB2312"/>
                <w:b/>
                <w:kern w:val="0"/>
                <w:sz w:val="24"/>
                <w:szCs w:val="24"/>
              </w:rPr>
            </w:pPr>
            <w:r>
              <w:rPr>
                <w:rFonts w:hint="eastAsia" w:ascii="仿宋_GB2312" w:eastAsia="仿宋_GB2312"/>
                <w:b/>
                <w:kern w:val="0"/>
                <w:sz w:val="24"/>
                <w:szCs w:val="24"/>
              </w:rPr>
              <w:t>三方回购专用账户名称</w:t>
            </w:r>
          </w:p>
        </w:tc>
        <w:tc>
          <w:tcPr>
            <w:tcW w:w="2971" w:type="pct"/>
          </w:tcPr>
          <w:p w14:paraId="6D781576">
            <w:pPr>
              <w:adjustRightInd w:val="0"/>
              <w:snapToGrid w:val="0"/>
              <w:rPr>
                <w:rFonts w:ascii="仿宋_GB2312" w:eastAsia="仿宋_GB2312"/>
                <w:kern w:val="0"/>
                <w:sz w:val="24"/>
                <w:szCs w:val="24"/>
              </w:rPr>
            </w:pPr>
            <w:r>
              <w:rPr>
                <w:rFonts w:hint="eastAsia" w:ascii="仿宋_GB2312" w:eastAsia="仿宋_GB2312"/>
                <w:kern w:val="0"/>
                <w:sz w:val="24"/>
                <w:szCs w:val="24"/>
              </w:rPr>
              <w:t>正回购方的证券账户名称，自动显示，无需输入</w:t>
            </w:r>
          </w:p>
        </w:tc>
      </w:tr>
      <w:tr w14:paraId="532E4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29" w:type="pct"/>
          </w:tcPr>
          <w:p w14:paraId="40BCA013">
            <w:pPr>
              <w:adjustRightInd w:val="0"/>
              <w:snapToGrid w:val="0"/>
              <w:rPr>
                <w:rFonts w:ascii="仿宋_GB2312" w:eastAsia="仿宋_GB2312"/>
                <w:b/>
                <w:kern w:val="0"/>
                <w:sz w:val="24"/>
                <w:szCs w:val="24"/>
              </w:rPr>
            </w:pPr>
            <w:r>
              <w:rPr>
                <w:rFonts w:hint="eastAsia" w:ascii="仿宋_GB2312" w:eastAsia="仿宋_GB2312"/>
                <w:b/>
                <w:kern w:val="0"/>
                <w:sz w:val="24"/>
                <w:szCs w:val="24"/>
              </w:rPr>
              <w:t>专用账户交易单元</w:t>
            </w:r>
          </w:p>
        </w:tc>
        <w:tc>
          <w:tcPr>
            <w:tcW w:w="2971" w:type="pct"/>
          </w:tcPr>
          <w:p w14:paraId="5E9BD4F1">
            <w:pPr>
              <w:adjustRightInd w:val="0"/>
              <w:snapToGrid w:val="0"/>
              <w:rPr>
                <w:rFonts w:ascii="仿宋_GB2312" w:eastAsia="仿宋_GB2312"/>
                <w:kern w:val="0"/>
                <w:sz w:val="24"/>
                <w:szCs w:val="24"/>
              </w:rPr>
            </w:pPr>
            <w:r>
              <w:rPr>
                <w:rFonts w:hint="eastAsia" w:ascii="仿宋_GB2312" w:eastAsia="仿宋_GB2312"/>
                <w:kern w:val="0"/>
                <w:sz w:val="24"/>
                <w:szCs w:val="24"/>
              </w:rPr>
              <w:t>专用证券账号的指定交易单元号，自动显示，无需输入</w:t>
            </w:r>
          </w:p>
        </w:tc>
      </w:tr>
      <w:tr w14:paraId="7AB85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29" w:type="pct"/>
          </w:tcPr>
          <w:p w14:paraId="48792C7C">
            <w:pPr>
              <w:adjustRightInd w:val="0"/>
              <w:snapToGrid w:val="0"/>
              <w:rPr>
                <w:rFonts w:ascii="仿宋_GB2312" w:eastAsia="仿宋_GB2312"/>
                <w:b/>
                <w:kern w:val="0"/>
                <w:sz w:val="24"/>
                <w:szCs w:val="24"/>
              </w:rPr>
            </w:pPr>
            <w:r>
              <w:rPr>
                <w:rFonts w:hint="eastAsia" w:ascii="仿宋_GB2312" w:eastAsia="仿宋_GB2312"/>
                <w:b/>
                <w:kern w:val="0"/>
                <w:sz w:val="24"/>
                <w:szCs w:val="24"/>
              </w:rPr>
              <w:t>对手方债券交易参与人</w:t>
            </w:r>
          </w:p>
        </w:tc>
        <w:tc>
          <w:tcPr>
            <w:tcW w:w="2971" w:type="pct"/>
          </w:tcPr>
          <w:p w14:paraId="1B3F8C7B">
            <w:pPr>
              <w:adjustRightInd w:val="0"/>
              <w:snapToGrid w:val="0"/>
              <w:rPr>
                <w:rFonts w:ascii="仿宋_GB2312" w:eastAsia="仿宋_GB2312"/>
                <w:kern w:val="0"/>
                <w:sz w:val="24"/>
                <w:szCs w:val="24"/>
              </w:rPr>
            </w:pPr>
            <w:r>
              <w:rPr>
                <w:rFonts w:hint="eastAsia" w:ascii="仿宋_GB2312" w:eastAsia="仿宋_GB2312"/>
                <w:kern w:val="0"/>
                <w:sz w:val="24"/>
                <w:szCs w:val="24"/>
              </w:rPr>
              <w:t>对手方债券交易参与人名称，自动显示，无需输入</w:t>
            </w:r>
          </w:p>
        </w:tc>
      </w:tr>
      <w:tr w14:paraId="0D04E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29" w:type="pct"/>
          </w:tcPr>
          <w:p w14:paraId="6E275740">
            <w:pPr>
              <w:adjustRightInd w:val="0"/>
              <w:snapToGrid w:val="0"/>
              <w:rPr>
                <w:rFonts w:ascii="仿宋_GB2312" w:eastAsia="仿宋_GB2312"/>
                <w:b/>
                <w:kern w:val="0"/>
                <w:sz w:val="24"/>
                <w:szCs w:val="24"/>
              </w:rPr>
            </w:pPr>
            <w:r>
              <w:rPr>
                <w:rFonts w:hint="eastAsia" w:ascii="仿宋_GB2312" w:eastAsia="仿宋_GB2312"/>
                <w:b/>
                <w:kern w:val="0"/>
                <w:sz w:val="24"/>
                <w:szCs w:val="24"/>
              </w:rPr>
              <w:t>对手方交易员名称</w:t>
            </w:r>
          </w:p>
        </w:tc>
        <w:tc>
          <w:tcPr>
            <w:tcW w:w="2971" w:type="pct"/>
          </w:tcPr>
          <w:p w14:paraId="5AD739AF">
            <w:pPr>
              <w:adjustRightInd w:val="0"/>
              <w:snapToGrid w:val="0"/>
              <w:rPr>
                <w:rFonts w:ascii="仿宋_GB2312" w:eastAsia="仿宋_GB2312"/>
                <w:kern w:val="0"/>
                <w:sz w:val="24"/>
                <w:szCs w:val="24"/>
              </w:rPr>
            </w:pPr>
            <w:r>
              <w:rPr>
                <w:rFonts w:hint="eastAsia" w:ascii="仿宋_GB2312" w:eastAsia="仿宋_GB2312"/>
                <w:kern w:val="0"/>
                <w:sz w:val="24"/>
                <w:szCs w:val="24"/>
              </w:rPr>
              <w:t>对手方交易员名称，自动显示，无需输入</w:t>
            </w:r>
          </w:p>
        </w:tc>
      </w:tr>
      <w:tr w14:paraId="5486D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29" w:type="pct"/>
          </w:tcPr>
          <w:p w14:paraId="05D7D379">
            <w:pPr>
              <w:adjustRightInd w:val="0"/>
              <w:snapToGrid w:val="0"/>
              <w:rPr>
                <w:rFonts w:ascii="仿宋_GB2312" w:eastAsia="仿宋_GB2312"/>
                <w:b/>
                <w:kern w:val="0"/>
                <w:sz w:val="24"/>
                <w:szCs w:val="24"/>
              </w:rPr>
            </w:pPr>
            <w:r>
              <w:rPr>
                <w:rFonts w:hint="eastAsia" w:ascii="仿宋_GB2312" w:eastAsia="仿宋_GB2312"/>
                <w:b/>
                <w:kern w:val="0"/>
                <w:sz w:val="24"/>
                <w:szCs w:val="24"/>
              </w:rPr>
              <w:t>质押券篮子</w:t>
            </w:r>
          </w:p>
        </w:tc>
        <w:tc>
          <w:tcPr>
            <w:tcW w:w="2971" w:type="pct"/>
          </w:tcPr>
          <w:p w14:paraId="1AF297F9">
            <w:pPr>
              <w:adjustRightInd w:val="0"/>
              <w:snapToGrid w:val="0"/>
              <w:rPr>
                <w:rFonts w:ascii="仿宋_GB2312" w:eastAsia="仿宋_GB2312"/>
                <w:kern w:val="0"/>
                <w:sz w:val="24"/>
                <w:szCs w:val="24"/>
              </w:rPr>
            </w:pPr>
            <w:r>
              <w:rPr>
                <w:rFonts w:hint="eastAsia" w:ascii="仿宋_GB2312" w:eastAsia="仿宋_GB2312"/>
                <w:kern w:val="0"/>
                <w:sz w:val="24"/>
                <w:szCs w:val="24"/>
              </w:rPr>
              <w:t>质押券所属篮子，自动显示，无需输入</w:t>
            </w:r>
          </w:p>
        </w:tc>
      </w:tr>
      <w:tr w14:paraId="3E3C3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29" w:type="pct"/>
          </w:tcPr>
          <w:p w14:paraId="0BC380BA">
            <w:pPr>
              <w:adjustRightInd w:val="0"/>
              <w:snapToGrid w:val="0"/>
              <w:rPr>
                <w:rFonts w:ascii="仿宋_GB2312" w:eastAsia="仿宋_GB2312"/>
                <w:b/>
                <w:kern w:val="0"/>
                <w:sz w:val="24"/>
                <w:szCs w:val="24"/>
              </w:rPr>
            </w:pPr>
            <w:r>
              <w:rPr>
                <w:rFonts w:hint="eastAsia" w:ascii="仿宋_GB2312" w:eastAsia="仿宋_GB2312"/>
                <w:b/>
                <w:kern w:val="0"/>
                <w:sz w:val="24"/>
                <w:szCs w:val="24"/>
              </w:rPr>
              <w:t>回购金额</w:t>
            </w:r>
          </w:p>
        </w:tc>
        <w:tc>
          <w:tcPr>
            <w:tcW w:w="2971" w:type="pct"/>
          </w:tcPr>
          <w:p w14:paraId="07855F72">
            <w:pPr>
              <w:adjustRightInd w:val="0"/>
              <w:snapToGrid w:val="0"/>
              <w:rPr>
                <w:rFonts w:ascii="仿宋_GB2312" w:eastAsia="仿宋_GB2312"/>
                <w:kern w:val="0"/>
                <w:sz w:val="24"/>
                <w:szCs w:val="24"/>
              </w:rPr>
            </w:pPr>
            <w:r>
              <w:rPr>
                <w:rFonts w:hint="eastAsia" w:ascii="仿宋_GB2312" w:eastAsia="仿宋_GB2312"/>
                <w:kern w:val="0"/>
                <w:sz w:val="24"/>
                <w:szCs w:val="24"/>
              </w:rPr>
              <w:t>正回购方融入的资金额度，自动显示，无需输入</w:t>
            </w:r>
          </w:p>
        </w:tc>
      </w:tr>
      <w:tr w14:paraId="19BC4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29" w:type="pct"/>
          </w:tcPr>
          <w:p w14:paraId="27E59F02">
            <w:pPr>
              <w:adjustRightInd w:val="0"/>
              <w:snapToGrid w:val="0"/>
              <w:rPr>
                <w:rFonts w:ascii="仿宋_GB2312" w:eastAsia="仿宋_GB2312"/>
                <w:b/>
                <w:kern w:val="0"/>
                <w:sz w:val="24"/>
                <w:szCs w:val="24"/>
              </w:rPr>
            </w:pPr>
            <w:r>
              <w:rPr>
                <w:rFonts w:hint="eastAsia" w:ascii="仿宋_GB2312" w:eastAsia="仿宋_GB2312"/>
                <w:b/>
                <w:kern w:val="0"/>
                <w:sz w:val="24"/>
                <w:szCs w:val="24"/>
              </w:rPr>
              <w:t>提前终止回购利息</w:t>
            </w:r>
          </w:p>
        </w:tc>
        <w:tc>
          <w:tcPr>
            <w:tcW w:w="2971" w:type="pct"/>
          </w:tcPr>
          <w:p w14:paraId="15B752B5">
            <w:pPr>
              <w:adjustRightInd w:val="0"/>
              <w:snapToGrid w:val="0"/>
              <w:rPr>
                <w:rFonts w:ascii="仿宋_GB2312" w:eastAsia="仿宋_GB2312"/>
                <w:kern w:val="0"/>
                <w:sz w:val="24"/>
                <w:szCs w:val="24"/>
              </w:rPr>
            </w:pPr>
            <w:r>
              <w:rPr>
                <w:rFonts w:hint="eastAsia" w:ascii="仿宋_GB2312" w:eastAsia="仿宋_GB2312"/>
                <w:kern w:val="0"/>
                <w:sz w:val="24"/>
                <w:szCs w:val="24"/>
              </w:rPr>
              <w:t>提前终止后正回购实际支付给逆回购方的利息，自动显示，无需输入</w:t>
            </w:r>
          </w:p>
        </w:tc>
      </w:tr>
      <w:tr w14:paraId="40EB4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29" w:type="pct"/>
          </w:tcPr>
          <w:p w14:paraId="445092F1">
            <w:pPr>
              <w:adjustRightInd w:val="0"/>
              <w:snapToGrid w:val="0"/>
              <w:rPr>
                <w:rFonts w:ascii="仿宋_GB2312" w:eastAsia="仿宋_GB2312"/>
                <w:b/>
                <w:kern w:val="0"/>
                <w:sz w:val="24"/>
                <w:szCs w:val="24"/>
              </w:rPr>
            </w:pPr>
            <w:r>
              <w:rPr>
                <w:rFonts w:hint="eastAsia" w:ascii="仿宋_GB2312" w:eastAsia="仿宋_GB2312"/>
                <w:b/>
                <w:kern w:val="0"/>
                <w:sz w:val="24"/>
                <w:szCs w:val="24"/>
              </w:rPr>
              <w:t>到期结算金额</w:t>
            </w:r>
          </w:p>
        </w:tc>
        <w:tc>
          <w:tcPr>
            <w:tcW w:w="2971" w:type="pct"/>
          </w:tcPr>
          <w:p w14:paraId="6180F347">
            <w:pPr>
              <w:adjustRightInd w:val="0"/>
              <w:snapToGrid w:val="0"/>
              <w:rPr>
                <w:rFonts w:ascii="仿宋_GB2312" w:eastAsia="仿宋_GB2312"/>
                <w:kern w:val="0"/>
                <w:sz w:val="24"/>
                <w:szCs w:val="24"/>
              </w:rPr>
            </w:pPr>
            <w:r>
              <w:rPr>
                <w:rFonts w:hint="eastAsia" w:ascii="仿宋_GB2312" w:eastAsia="仿宋_GB2312"/>
                <w:kern w:val="0"/>
                <w:sz w:val="24"/>
                <w:szCs w:val="24"/>
              </w:rPr>
              <w:t>原回购交易到期日正回购方返回的金额合计，自动显示，无需输入</w:t>
            </w:r>
          </w:p>
        </w:tc>
      </w:tr>
      <w:tr w14:paraId="6AC4B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29" w:type="pct"/>
          </w:tcPr>
          <w:p w14:paraId="4BBBA305">
            <w:pPr>
              <w:adjustRightInd w:val="0"/>
              <w:snapToGrid w:val="0"/>
              <w:rPr>
                <w:rFonts w:ascii="仿宋_GB2312" w:eastAsia="仿宋_GB2312"/>
                <w:b/>
                <w:kern w:val="0"/>
                <w:sz w:val="24"/>
                <w:szCs w:val="24"/>
              </w:rPr>
            </w:pPr>
            <w:r>
              <w:rPr>
                <w:rFonts w:hint="eastAsia" w:ascii="仿宋_GB2312" w:eastAsia="仿宋_GB2312"/>
                <w:b/>
                <w:kern w:val="0"/>
                <w:sz w:val="24"/>
                <w:szCs w:val="24"/>
              </w:rPr>
              <w:t>提前终止结算金额</w:t>
            </w:r>
          </w:p>
        </w:tc>
        <w:tc>
          <w:tcPr>
            <w:tcW w:w="2971" w:type="pct"/>
          </w:tcPr>
          <w:p w14:paraId="28E30FE5">
            <w:pPr>
              <w:adjustRightInd w:val="0"/>
              <w:snapToGrid w:val="0"/>
              <w:rPr>
                <w:rFonts w:ascii="仿宋_GB2312" w:eastAsia="仿宋_GB2312"/>
                <w:kern w:val="0"/>
                <w:sz w:val="24"/>
                <w:szCs w:val="24"/>
              </w:rPr>
            </w:pPr>
            <w:r>
              <w:rPr>
                <w:rFonts w:hint="eastAsia" w:ascii="仿宋_GB2312" w:eastAsia="仿宋_GB2312"/>
                <w:kern w:val="0"/>
                <w:sz w:val="24"/>
                <w:szCs w:val="24"/>
              </w:rPr>
              <w:t>提前终止日正回购方返回的金额合计，自动显示，无需输入</w:t>
            </w:r>
          </w:p>
        </w:tc>
      </w:tr>
      <w:tr w14:paraId="2879E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29" w:type="pct"/>
          </w:tcPr>
          <w:p w14:paraId="0098D5B2">
            <w:pPr>
              <w:adjustRightInd w:val="0"/>
              <w:snapToGrid w:val="0"/>
              <w:rPr>
                <w:rFonts w:ascii="仿宋_GB2312" w:eastAsia="仿宋_GB2312"/>
                <w:b/>
                <w:kern w:val="0"/>
                <w:sz w:val="24"/>
                <w:szCs w:val="24"/>
              </w:rPr>
            </w:pPr>
            <w:r>
              <w:rPr>
                <w:rFonts w:hint="eastAsia" w:ascii="仿宋_GB2312" w:eastAsia="仿宋_GB2312"/>
                <w:b/>
                <w:kern w:val="0"/>
                <w:sz w:val="24"/>
                <w:szCs w:val="24"/>
              </w:rPr>
              <w:t>提前终止后回购期限</w:t>
            </w:r>
          </w:p>
        </w:tc>
        <w:tc>
          <w:tcPr>
            <w:tcW w:w="2971" w:type="pct"/>
          </w:tcPr>
          <w:p w14:paraId="6EE59D56">
            <w:pPr>
              <w:adjustRightInd w:val="0"/>
              <w:snapToGrid w:val="0"/>
              <w:rPr>
                <w:rFonts w:ascii="仿宋_GB2312" w:eastAsia="仿宋_GB2312"/>
                <w:kern w:val="0"/>
                <w:sz w:val="24"/>
                <w:szCs w:val="24"/>
              </w:rPr>
            </w:pPr>
            <w:r>
              <w:rPr>
                <w:rFonts w:hint="eastAsia" w:ascii="仿宋_GB2312" w:eastAsia="仿宋_GB2312"/>
                <w:kern w:val="0"/>
                <w:sz w:val="24"/>
                <w:szCs w:val="24"/>
              </w:rPr>
              <w:t>提前终止日-首次结算日，自动显示，无需输入</w:t>
            </w:r>
          </w:p>
        </w:tc>
      </w:tr>
      <w:tr w14:paraId="778B4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29" w:type="pct"/>
          </w:tcPr>
          <w:p w14:paraId="22308C68">
            <w:pPr>
              <w:adjustRightInd w:val="0"/>
              <w:snapToGrid w:val="0"/>
              <w:rPr>
                <w:rFonts w:ascii="仿宋_GB2312" w:eastAsia="仿宋_GB2312"/>
                <w:b/>
                <w:kern w:val="0"/>
                <w:sz w:val="24"/>
                <w:szCs w:val="24"/>
              </w:rPr>
            </w:pPr>
            <w:r>
              <w:rPr>
                <w:rFonts w:hint="eastAsia" w:ascii="仿宋_GB2312" w:eastAsia="仿宋_GB2312"/>
                <w:b/>
                <w:kern w:val="0"/>
                <w:sz w:val="24"/>
                <w:szCs w:val="24"/>
              </w:rPr>
              <w:t>原成交编号</w:t>
            </w:r>
          </w:p>
        </w:tc>
        <w:tc>
          <w:tcPr>
            <w:tcW w:w="2971" w:type="pct"/>
          </w:tcPr>
          <w:p w14:paraId="46A64C8E">
            <w:pPr>
              <w:adjustRightInd w:val="0"/>
              <w:snapToGrid w:val="0"/>
              <w:rPr>
                <w:rFonts w:ascii="仿宋_GB2312" w:eastAsia="仿宋_GB2312"/>
                <w:kern w:val="0"/>
                <w:sz w:val="24"/>
                <w:szCs w:val="24"/>
              </w:rPr>
            </w:pPr>
            <w:r>
              <w:rPr>
                <w:rFonts w:hint="eastAsia" w:ascii="仿宋_GB2312" w:eastAsia="仿宋_GB2312"/>
                <w:kern w:val="0"/>
                <w:sz w:val="24"/>
                <w:szCs w:val="24"/>
              </w:rPr>
              <w:t>原回购交易成交编号，自动显示，无需输入</w:t>
            </w:r>
          </w:p>
        </w:tc>
      </w:tr>
      <w:tr w14:paraId="7ED24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29" w:type="pct"/>
          </w:tcPr>
          <w:p w14:paraId="200FCB2D">
            <w:pPr>
              <w:adjustRightInd w:val="0"/>
              <w:snapToGrid w:val="0"/>
              <w:rPr>
                <w:rFonts w:ascii="仿宋_GB2312" w:eastAsia="仿宋_GB2312"/>
                <w:b/>
                <w:kern w:val="0"/>
                <w:sz w:val="24"/>
                <w:szCs w:val="24"/>
              </w:rPr>
            </w:pPr>
            <w:r>
              <w:rPr>
                <w:rFonts w:hint="eastAsia" w:ascii="仿宋_GB2312" w:eastAsia="仿宋_GB2312"/>
                <w:b/>
                <w:kern w:val="0"/>
                <w:sz w:val="24"/>
                <w:szCs w:val="24"/>
              </w:rPr>
              <w:t>原成交日期</w:t>
            </w:r>
          </w:p>
        </w:tc>
        <w:tc>
          <w:tcPr>
            <w:tcW w:w="2971" w:type="pct"/>
          </w:tcPr>
          <w:p w14:paraId="101797F3">
            <w:pPr>
              <w:adjustRightInd w:val="0"/>
              <w:snapToGrid w:val="0"/>
              <w:rPr>
                <w:rFonts w:ascii="仿宋_GB2312" w:eastAsia="仿宋_GB2312"/>
                <w:kern w:val="0"/>
                <w:sz w:val="24"/>
                <w:szCs w:val="24"/>
              </w:rPr>
            </w:pPr>
            <w:r>
              <w:rPr>
                <w:rFonts w:hint="eastAsia" w:ascii="仿宋_GB2312" w:eastAsia="仿宋_GB2312"/>
                <w:kern w:val="0"/>
                <w:sz w:val="24"/>
                <w:szCs w:val="24"/>
              </w:rPr>
              <w:t>原回购交易的成交日期，自动显示，无需输入</w:t>
            </w:r>
          </w:p>
        </w:tc>
      </w:tr>
      <w:tr w14:paraId="18EE1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29" w:type="pct"/>
          </w:tcPr>
          <w:p w14:paraId="1F1AB403">
            <w:pPr>
              <w:adjustRightInd w:val="0"/>
              <w:snapToGrid w:val="0"/>
              <w:rPr>
                <w:rFonts w:ascii="仿宋_GB2312" w:eastAsia="仿宋_GB2312"/>
                <w:b/>
                <w:kern w:val="0"/>
                <w:sz w:val="24"/>
                <w:szCs w:val="24"/>
              </w:rPr>
            </w:pPr>
            <w:r>
              <w:rPr>
                <w:rFonts w:hint="eastAsia" w:ascii="仿宋_GB2312" w:eastAsia="仿宋_GB2312"/>
                <w:b/>
                <w:kern w:val="0"/>
                <w:sz w:val="24"/>
                <w:szCs w:val="24"/>
              </w:rPr>
              <w:t>原回购到期日</w:t>
            </w:r>
          </w:p>
        </w:tc>
        <w:tc>
          <w:tcPr>
            <w:tcW w:w="2971" w:type="pct"/>
          </w:tcPr>
          <w:p w14:paraId="5D1850E8">
            <w:pPr>
              <w:adjustRightInd w:val="0"/>
              <w:snapToGrid w:val="0"/>
              <w:rPr>
                <w:rFonts w:ascii="仿宋_GB2312" w:eastAsia="仿宋_GB2312"/>
                <w:kern w:val="0"/>
                <w:sz w:val="24"/>
                <w:szCs w:val="24"/>
              </w:rPr>
            </w:pPr>
            <w:r>
              <w:rPr>
                <w:rFonts w:hint="eastAsia" w:ascii="仿宋_GB2312" w:eastAsia="仿宋_GB2312"/>
                <w:kern w:val="0"/>
                <w:sz w:val="24"/>
                <w:szCs w:val="24"/>
              </w:rPr>
              <w:t>原回购交易的到期日，自动显示，无需输入</w:t>
            </w:r>
          </w:p>
        </w:tc>
      </w:tr>
      <w:tr w14:paraId="37404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29" w:type="pct"/>
          </w:tcPr>
          <w:p w14:paraId="5E0B776C">
            <w:pPr>
              <w:adjustRightInd w:val="0"/>
              <w:snapToGrid w:val="0"/>
              <w:rPr>
                <w:rFonts w:ascii="仿宋_GB2312" w:eastAsia="仿宋_GB2312"/>
                <w:b/>
                <w:kern w:val="0"/>
                <w:sz w:val="24"/>
                <w:szCs w:val="24"/>
              </w:rPr>
            </w:pPr>
            <w:r>
              <w:rPr>
                <w:rFonts w:hint="eastAsia" w:ascii="仿宋_GB2312" w:eastAsia="仿宋_GB2312"/>
                <w:b/>
                <w:kern w:val="0"/>
                <w:sz w:val="24"/>
                <w:szCs w:val="24"/>
              </w:rPr>
              <w:t>提前终止日期</w:t>
            </w:r>
          </w:p>
        </w:tc>
        <w:tc>
          <w:tcPr>
            <w:tcW w:w="2971" w:type="pct"/>
          </w:tcPr>
          <w:p w14:paraId="4540BDDB">
            <w:pPr>
              <w:adjustRightInd w:val="0"/>
              <w:snapToGrid w:val="0"/>
              <w:rPr>
                <w:rFonts w:ascii="仿宋_GB2312" w:eastAsia="仿宋_GB2312"/>
                <w:kern w:val="0"/>
                <w:sz w:val="24"/>
                <w:szCs w:val="24"/>
              </w:rPr>
            </w:pPr>
            <w:r>
              <w:rPr>
                <w:rFonts w:hint="eastAsia" w:ascii="仿宋_GB2312" w:eastAsia="仿宋_GB2312"/>
                <w:kern w:val="0"/>
                <w:sz w:val="24"/>
                <w:szCs w:val="24"/>
              </w:rPr>
              <w:t>提前终止日期，自动显示，无需输入</w:t>
            </w:r>
          </w:p>
        </w:tc>
      </w:tr>
      <w:tr w14:paraId="58C9C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29" w:type="pct"/>
          </w:tcPr>
          <w:p w14:paraId="72459B3C">
            <w:pPr>
              <w:adjustRightInd w:val="0"/>
              <w:snapToGrid w:val="0"/>
              <w:rPr>
                <w:rFonts w:ascii="仿宋_GB2312" w:eastAsia="仿宋_GB2312"/>
                <w:b/>
                <w:kern w:val="0"/>
                <w:sz w:val="24"/>
                <w:szCs w:val="24"/>
              </w:rPr>
            </w:pPr>
            <w:r>
              <w:rPr>
                <w:rFonts w:hint="eastAsia" w:ascii="仿宋_GB2312" w:eastAsia="仿宋_GB2312"/>
                <w:b/>
                <w:kern w:val="0"/>
                <w:sz w:val="24"/>
                <w:szCs w:val="24"/>
              </w:rPr>
              <w:t>终止后实际占款天数</w:t>
            </w:r>
          </w:p>
        </w:tc>
        <w:tc>
          <w:tcPr>
            <w:tcW w:w="2971" w:type="pct"/>
          </w:tcPr>
          <w:p w14:paraId="10B9B0C6">
            <w:pPr>
              <w:adjustRightInd w:val="0"/>
              <w:snapToGrid w:val="0"/>
              <w:rPr>
                <w:rFonts w:ascii="仿宋_GB2312" w:eastAsia="仿宋_GB2312"/>
                <w:kern w:val="0"/>
                <w:sz w:val="24"/>
                <w:szCs w:val="24"/>
              </w:rPr>
            </w:pPr>
            <w:r>
              <w:rPr>
                <w:rFonts w:hint="eastAsia" w:ascii="仿宋_GB2312" w:eastAsia="仿宋_GB2312"/>
                <w:kern w:val="0"/>
                <w:sz w:val="24"/>
                <w:szCs w:val="24"/>
              </w:rPr>
              <w:t>提前终止日-首次结算日，自动显示，无需输入</w:t>
            </w:r>
          </w:p>
        </w:tc>
      </w:tr>
    </w:tbl>
    <w:p w14:paraId="7EBC81E7">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存续期管理</w:t>
      </w:r>
      <w:bookmarkStart w:id="2111" w:name="_Toc499850060"/>
      <w:bookmarkEnd w:id="2111"/>
      <w:bookmarkStart w:id="2112" w:name="_Toc499850065"/>
      <w:bookmarkEnd w:id="2112"/>
      <w:bookmarkStart w:id="2113" w:name="_Toc501552794"/>
      <w:bookmarkEnd w:id="2113"/>
      <w:bookmarkStart w:id="2114" w:name="_Toc501542017"/>
      <w:bookmarkEnd w:id="2114"/>
      <w:bookmarkStart w:id="2115" w:name="_Toc499850059"/>
      <w:bookmarkEnd w:id="2115"/>
      <w:bookmarkStart w:id="2116" w:name="_Toc499850246"/>
      <w:bookmarkEnd w:id="2116"/>
      <w:bookmarkStart w:id="2117" w:name="_Toc499850067"/>
      <w:bookmarkEnd w:id="2117"/>
      <w:bookmarkStart w:id="2118" w:name="_Toc499850066"/>
      <w:bookmarkEnd w:id="2118"/>
      <w:bookmarkStart w:id="2119" w:name="_Toc499850241"/>
      <w:bookmarkEnd w:id="2119"/>
      <w:bookmarkStart w:id="2120" w:name="_Toc499850240"/>
      <w:bookmarkEnd w:id="2120"/>
      <w:bookmarkStart w:id="2121" w:name="_Toc501552795"/>
      <w:bookmarkEnd w:id="2121"/>
      <w:bookmarkStart w:id="2122" w:name="_Toc499850239"/>
      <w:bookmarkEnd w:id="2122"/>
      <w:bookmarkStart w:id="2123" w:name="_Toc499850247"/>
      <w:bookmarkEnd w:id="2123"/>
      <w:bookmarkStart w:id="2124" w:name="_Toc499850237"/>
      <w:bookmarkEnd w:id="2124"/>
      <w:bookmarkStart w:id="2125" w:name="_Toc501552793"/>
      <w:bookmarkEnd w:id="2125"/>
      <w:bookmarkStart w:id="2126" w:name="_Toc499850062"/>
      <w:bookmarkEnd w:id="2126"/>
      <w:bookmarkStart w:id="2127" w:name="_Toc501542016"/>
      <w:bookmarkEnd w:id="2127"/>
      <w:bookmarkStart w:id="2128" w:name="_Toc499850061"/>
      <w:bookmarkEnd w:id="2128"/>
      <w:bookmarkStart w:id="2129" w:name="_Toc499850063"/>
      <w:bookmarkEnd w:id="2129"/>
      <w:bookmarkStart w:id="2130" w:name="_Toc501552792"/>
      <w:bookmarkEnd w:id="2130"/>
      <w:bookmarkStart w:id="2131" w:name="_Toc501552796"/>
      <w:bookmarkEnd w:id="2131"/>
      <w:bookmarkStart w:id="2132" w:name="_Toc499850058"/>
      <w:bookmarkEnd w:id="2132"/>
      <w:bookmarkStart w:id="2133" w:name="_Toc499850238"/>
      <w:bookmarkEnd w:id="2133"/>
      <w:bookmarkStart w:id="2134" w:name="_Toc501542020"/>
      <w:bookmarkEnd w:id="2134"/>
      <w:bookmarkStart w:id="2135" w:name="_Toc499850057"/>
      <w:bookmarkEnd w:id="2135"/>
      <w:bookmarkStart w:id="2136" w:name="_Toc499850242"/>
      <w:bookmarkEnd w:id="2136"/>
      <w:bookmarkStart w:id="2137" w:name="_Toc499850243"/>
      <w:bookmarkEnd w:id="2137"/>
      <w:bookmarkStart w:id="2138" w:name="_Toc501542018"/>
      <w:bookmarkEnd w:id="2138"/>
      <w:bookmarkStart w:id="2139" w:name="_Toc501542019"/>
      <w:bookmarkEnd w:id="2139"/>
      <w:bookmarkStart w:id="2140" w:name="_Toc499850245"/>
      <w:bookmarkEnd w:id="2140"/>
    </w:p>
    <w:p w14:paraId="5AAAEE8F">
      <w:pPr>
        <w:spacing w:line="600" w:lineRule="exact"/>
        <w:ind w:left="567"/>
        <w:outlineLvl w:val="3"/>
        <w:rPr>
          <w:rFonts w:ascii="仿宋_GB2312" w:eastAsia="仿宋_GB2312"/>
          <w:b/>
          <w:sz w:val="30"/>
          <w:szCs w:val="30"/>
        </w:rPr>
      </w:pPr>
      <w:r>
        <w:rPr>
          <w:rFonts w:hint="eastAsia" w:ascii="仿宋_GB2312" w:eastAsia="仿宋_GB2312"/>
          <w:b/>
          <w:sz w:val="30"/>
          <w:szCs w:val="30"/>
        </w:rPr>
        <w:t>（1）担保品价值计算</w:t>
      </w:r>
    </w:p>
    <w:p w14:paraId="0CDB15B1">
      <w:pPr>
        <w:adjustRightInd w:val="0"/>
        <w:snapToGri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本所、证券登记结算机构逐日计算每笔三方回购交易担保品的担保价值，并通过固定收益平台向交易双方展示，便于回购双方进行逐日盯市。</w:t>
      </w:r>
    </w:p>
    <w:p w14:paraId="0BD5B131">
      <w:pPr>
        <w:adjustRightInd w:val="0"/>
        <w:snapToGrid w:val="0"/>
        <w:spacing w:line="600" w:lineRule="exact"/>
        <w:ind w:firstLine="600" w:firstLineChars="200"/>
        <w:rPr>
          <w:rFonts w:ascii="仿宋_GB2312" w:hAnsi="Calibri" w:eastAsia="仿宋_GB2312"/>
          <w:color w:val="000000"/>
          <w:sz w:val="30"/>
          <w:szCs w:val="30"/>
        </w:rPr>
      </w:pPr>
      <w:r>
        <w:rPr>
          <w:rFonts w:hint="eastAsia" w:ascii="仿宋_GB2312" w:hAnsi="Calibri" w:eastAsia="仿宋_GB2312"/>
          <w:kern w:val="0"/>
          <w:sz w:val="30"/>
          <w:szCs w:val="30"/>
        </w:rPr>
        <w:t>本所根据评级公司提交的债券评级信息每日更新各质押券篮子的债券清单。证券登记结算机构根据本所提供的各篮子债券清单、折扣率以及中证债券估值于每日闭市后核算每笔未到期及已到期未了结三方回购各只质押券的担保价值，并于日终发送至本所。固定收益平台向回购双方展示每笔回购的质押券担保价值。</w:t>
      </w:r>
    </w:p>
    <w:p w14:paraId="664D7178">
      <w:pPr>
        <w:adjustRightInd w:val="0"/>
        <w:snapToGri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担保价值=∑</w:t>
      </w:r>
      <w:r>
        <w:rPr>
          <w:rFonts w:ascii="仿宋_GB2312" w:hAnsi="Calibri" w:eastAsia="仿宋_GB2312"/>
          <w:kern w:val="0"/>
          <w:sz w:val="30"/>
          <w:szCs w:val="30"/>
        </w:rPr>
        <w:t xml:space="preserve"> </w:t>
      </w:r>
      <w:r>
        <w:rPr>
          <w:rFonts w:hint="eastAsia" w:ascii="仿宋_GB2312" w:hAnsi="Calibri" w:eastAsia="仿宋_GB2312"/>
          <w:kern w:val="0"/>
          <w:sz w:val="30"/>
          <w:szCs w:val="30"/>
        </w:rPr>
        <w:t>质押券</w:t>
      </w:r>
      <w:r>
        <w:rPr>
          <w:rFonts w:ascii="仿宋_GB2312" w:hAnsi="Calibri" w:eastAsia="仿宋_GB2312"/>
          <w:kern w:val="0"/>
          <w:sz w:val="30"/>
          <w:szCs w:val="30"/>
        </w:rPr>
        <w:t>i</w:t>
      </w:r>
      <w:r>
        <w:rPr>
          <w:rFonts w:hint="eastAsia" w:ascii="仿宋_GB2312" w:hAnsi="Calibri" w:eastAsia="仿宋_GB2312"/>
          <w:kern w:val="0"/>
          <w:sz w:val="30"/>
          <w:szCs w:val="30"/>
        </w:rPr>
        <w:t>的全价估值×质押</w:t>
      </w:r>
      <w:r>
        <w:rPr>
          <w:rFonts w:ascii="仿宋_GB2312" w:hAnsi="Calibri" w:eastAsia="仿宋_GB2312"/>
          <w:kern w:val="0"/>
          <w:sz w:val="30"/>
          <w:szCs w:val="30"/>
        </w:rPr>
        <w:t>i</w:t>
      </w:r>
      <w:r>
        <w:rPr>
          <w:rFonts w:hint="eastAsia" w:ascii="仿宋_GB2312" w:hAnsi="Calibri" w:eastAsia="仿宋_GB2312"/>
          <w:kern w:val="0"/>
          <w:sz w:val="30"/>
          <w:szCs w:val="30"/>
        </w:rPr>
        <w:t>数量×（1－质押券</w:t>
      </w:r>
      <w:r>
        <w:rPr>
          <w:rFonts w:ascii="仿宋_GB2312" w:hAnsi="Calibri" w:eastAsia="仿宋_GB2312"/>
          <w:kern w:val="0"/>
          <w:sz w:val="30"/>
          <w:szCs w:val="30"/>
        </w:rPr>
        <w:t>i</w:t>
      </w:r>
      <w:r>
        <w:rPr>
          <w:rFonts w:hint="eastAsia" w:ascii="仿宋_GB2312" w:hAnsi="Calibri" w:eastAsia="仿宋_GB2312"/>
          <w:kern w:val="0"/>
          <w:sz w:val="30"/>
          <w:szCs w:val="30"/>
        </w:rPr>
        <w:t>的折扣率%）×10。</w:t>
      </w:r>
    </w:p>
    <w:p w14:paraId="2F0D4FA9">
      <w:pPr>
        <w:adjustRightInd w:val="0"/>
        <w:snapToGri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担保价值计算时，需注意以下事项：</w:t>
      </w:r>
    </w:p>
    <w:p w14:paraId="50C81AC0">
      <w:pPr>
        <w:adjustRightInd w:val="0"/>
        <w:snapToGri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1）数量单位为千元面额,估值采用的是T-2日收盘后中证指数有限公司发布的中证估值（全价估值），并根据质押券T-1日的债券评级确定其所属的质押券篮子，从而确定其适用的折扣率。</w:t>
      </w:r>
    </w:p>
    <w:p w14:paraId="51681D23">
      <w:pPr>
        <w:adjustRightInd w:val="0"/>
        <w:snapToGrid w:val="0"/>
        <w:spacing w:line="600" w:lineRule="exact"/>
        <w:ind w:firstLine="600" w:firstLineChars="200"/>
        <w:rPr>
          <w:rFonts w:ascii="仿宋_GB2312" w:hAnsi="Calibri" w:eastAsia="仿宋_GB2312"/>
          <w:color w:val="000000"/>
          <w:sz w:val="30"/>
          <w:szCs w:val="30"/>
        </w:rPr>
      </w:pPr>
      <w:r>
        <w:rPr>
          <w:rFonts w:hint="eastAsia" w:ascii="仿宋_GB2312" w:hAnsi="Calibri" w:eastAsia="仿宋_GB2312"/>
          <w:kern w:val="0"/>
          <w:sz w:val="30"/>
          <w:szCs w:val="30"/>
        </w:rPr>
        <w:t>2）</w:t>
      </w:r>
      <w:r>
        <w:rPr>
          <w:rFonts w:ascii="仿宋_GB2312" w:hAnsi="Calibri" w:eastAsia="仿宋_GB2312"/>
          <w:kern w:val="0"/>
          <w:sz w:val="30"/>
          <w:szCs w:val="30"/>
        </w:rPr>
        <w:t xml:space="preserve"> </w:t>
      </w:r>
      <w:r>
        <w:rPr>
          <w:rFonts w:hint="eastAsia" w:ascii="仿宋_GB2312" w:hAnsi="Calibri" w:eastAsia="仿宋_GB2312"/>
          <w:kern w:val="0"/>
          <w:sz w:val="30"/>
          <w:szCs w:val="30"/>
        </w:rPr>
        <w:t>发生</w:t>
      </w:r>
      <w:r>
        <w:rPr>
          <w:rFonts w:hint="eastAsia" w:ascii="仿宋_GB2312" w:hAnsi="Calibri" w:eastAsia="仿宋_GB2312"/>
          <w:color w:val="000000"/>
          <w:sz w:val="30"/>
          <w:szCs w:val="30"/>
        </w:rPr>
        <w:t>提前赎回或到期兑付的，质押券的赎回款或兑付资金，其担保价值</w:t>
      </w:r>
      <w:r>
        <w:rPr>
          <w:rFonts w:hint="eastAsia" w:ascii="仿宋_GB2312" w:hAnsi="Calibri" w:eastAsia="仿宋_GB2312"/>
          <w:kern w:val="0"/>
          <w:sz w:val="30"/>
          <w:szCs w:val="30"/>
        </w:rPr>
        <w:t>固定收益平台不再计算，</w:t>
      </w:r>
      <w:r>
        <w:rPr>
          <w:rFonts w:hint="eastAsia" w:ascii="仿宋_GB2312" w:hAnsi="Calibri" w:eastAsia="仿宋_GB2312"/>
          <w:color w:val="000000"/>
          <w:sz w:val="30"/>
          <w:szCs w:val="30"/>
        </w:rPr>
        <w:t>由回购双方自行跟踪。</w:t>
      </w:r>
    </w:p>
    <w:p w14:paraId="573A3EA0">
      <w:pPr>
        <w:adjustRightInd w:val="0"/>
        <w:snapToGrid w:val="0"/>
        <w:spacing w:line="600" w:lineRule="exact"/>
        <w:ind w:firstLine="600" w:firstLineChars="200"/>
        <w:rPr>
          <w:rFonts w:ascii="仿宋_GB2312" w:hAnsi="Calibri" w:eastAsia="仿宋_GB2312"/>
          <w:color w:val="000000"/>
          <w:sz w:val="30"/>
          <w:szCs w:val="30"/>
        </w:rPr>
      </w:pPr>
      <w:r>
        <w:rPr>
          <w:rFonts w:hint="eastAsia" w:ascii="仿宋_GB2312" w:hAnsi="Calibri" w:eastAsia="仿宋_GB2312"/>
          <w:kern w:val="0"/>
          <w:sz w:val="30"/>
          <w:szCs w:val="30"/>
        </w:rPr>
        <w:t>3）担保品债券评级或资质发生变化，导致其被剔出篮子或不再符合质押券篮子要求的，</w:t>
      </w:r>
      <w:r>
        <w:rPr>
          <w:rFonts w:hint="eastAsia" w:ascii="仿宋_GB2312" w:hAnsi="Calibri" w:eastAsia="仿宋_GB2312"/>
          <w:color w:val="000000"/>
          <w:sz w:val="30"/>
          <w:szCs w:val="30"/>
        </w:rPr>
        <w:t>本所</w:t>
      </w:r>
      <w:r>
        <w:rPr>
          <w:rFonts w:hint="eastAsia" w:ascii="仿宋_GB2312" w:hAnsi="Calibri" w:eastAsia="仿宋_GB2312"/>
          <w:kern w:val="0"/>
          <w:sz w:val="30"/>
          <w:szCs w:val="30"/>
        </w:rPr>
        <w:t>固定收益平台不再将其计入</w:t>
      </w:r>
      <w:r>
        <w:rPr>
          <w:rFonts w:hint="eastAsia" w:ascii="仿宋_GB2312" w:hAnsi="Calibri" w:eastAsia="仿宋_GB2312"/>
          <w:color w:val="000000"/>
          <w:sz w:val="30"/>
          <w:szCs w:val="30"/>
        </w:rPr>
        <w:t xml:space="preserve">担保价值。    </w:t>
      </w:r>
    </w:p>
    <w:p w14:paraId="5A531909">
      <w:pPr>
        <w:spacing w:line="600" w:lineRule="exact"/>
        <w:ind w:left="567"/>
        <w:outlineLvl w:val="3"/>
        <w:rPr>
          <w:rFonts w:ascii="仿宋_GB2312" w:eastAsia="仿宋_GB2312"/>
          <w:b/>
          <w:sz w:val="30"/>
          <w:szCs w:val="30"/>
        </w:rPr>
      </w:pPr>
      <w:r>
        <w:rPr>
          <w:rFonts w:hint="eastAsia" w:ascii="仿宋_GB2312" w:eastAsia="仿宋_GB2312"/>
          <w:b/>
          <w:sz w:val="30"/>
          <w:szCs w:val="30"/>
        </w:rPr>
        <w:t>（2）换券</w:t>
      </w:r>
    </w:p>
    <w:p w14:paraId="2B59347A">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color w:val="000000"/>
          <w:sz w:val="30"/>
          <w:szCs w:val="30"/>
        </w:rPr>
        <w:t>三方回购存续期间</w:t>
      </w:r>
      <w:r>
        <w:rPr>
          <w:rFonts w:hint="eastAsia" w:ascii="仿宋_GB2312" w:hAnsi="Calibri" w:eastAsia="仿宋_GB2312"/>
          <w:sz w:val="30"/>
          <w:szCs w:val="30"/>
        </w:rPr>
        <w:t>（不含首次交易日和回购到期日）</w:t>
      </w:r>
      <w:r>
        <w:rPr>
          <w:rFonts w:hint="eastAsia" w:ascii="仿宋_GB2312" w:hAnsi="Calibri" w:eastAsia="仿宋_GB2312"/>
          <w:color w:val="000000"/>
          <w:sz w:val="30"/>
          <w:szCs w:val="30"/>
        </w:rPr>
        <w:t>，回购双方协商一致后可以通过</w:t>
      </w:r>
      <w:r>
        <w:rPr>
          <w:rFonts w:hint="eastAsia" w:ascii="仿宋_GB2312" w:hAnsi="Calibri" w:eastAsia="仿宋_GB2312"/>
          <w:kern w:val="0"/>
          <w:sz w:val="30"/>
          <w:szCs w:val="30"/>
        </w:rPr>
        <w:t>固定收益平台</w:t>
      </w:r>
      <w:r>
        <w:rPr>
          <w:rFonts w:hint="eastAsia" w:ascii="仿宋_GB2312" w:hAnsi="Calibri" w:eastAsia="仿宋_GB2312"/>
          <w:color w:val="000000"/>
          <w:sz w:val="30"/>
          <w:szCs w:val="30"/>
        </w:rPr>
        <w:t>申报质押券变更。</w:t>
      </w:r>
      <w:r>
        <w:rPr>
          <w:rFonts w:hint="eastAsia" w:ascii="仿宋_GB2312" w:hAnsi="Calibri" w:eastAsia="仿宋_GB2312"/>
          <w:sz w:val="30"/>
          <w:szCs w:val="30"/>
        </w:rPr>
        <w:t>正回购方发起换券申报，经对手方确认后，可实现质押券替换。</w:t>
      </w:r>
    </w:p>
    <w:p w14:paraId="1B896C45">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换券申报的具体要素及要素说明如下：</w:t>
      </w:r>
    </w:p>
    <w:tbl>
      <w:tblPr>
        <w:tblStyle w:val="43"/>
        <w:tblW w:w="505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42"/>
        <w:gridCol w:w="5669"/>
      </w:tblGrid>
      <w:tr w14:paraId="29882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pct"/>
          </w:tcPr>
          <w:p w14:paraId="24C756C5">
            <w:pPr>
              <w:adjustRightInd w:val="0"/>
              <w:snapToGrid w:val="0"/>
              <w:rPr>
                <w:rFonts w:ascii="仿宋_GB2312" w:eastAsia="仿宋_GB2312"/>
                <w:b/>
                <w:kern w:val="0"/>
                <w:sz w:val="24"/>
                <w:szCs w:val="24"/>
              </w:rPr>
            </w:pPr>
            <w:r>
              <w:rPr>
                <w:rFonts w:hint="eastAsia" w:ascii="仿宋_GB2312" w:eastAsia="仿宋_GB2312"/>
                <w:b/>
                <w:kern w:val="0"/>
                <w:sz w:val="24"/>
                <w:szCs w:val="24"/>
              </w:rPr>
              <w:t>要素名称</w:t>
            </w:r>
          </w:p>
        </w:tc>
        <w:tc>
          <w:tcPr>
            <w:tcW w:w="3291" w:type="pct"/>
          </w:tcPr>
          <w:p w14:paraId="3B3C1110">
            <w:pPr>
              <w:adjustRightInd w:val="0"/>
              <w:snapToGrid w:val="0"/>
              <w:rPr>
                <w:rFonts w:ascii="仿宋_GB2312" w:eastAsia="仿宋_GB2312"/>
                <w:b/>
                <w:kern w:val="0"/>
                <w:sz w:val="24"/>
                <w:szCs w:val="24"/>
              </w:rPr>
            </w:pPr>
            <w:r>
              <w:rPr>
                <w:rFonts w:hint="eastAsia" w:ascii="仿宋_GB2312" w:eastAsia="仿宋_GB2312"/>
                <w:b/>
                <w:kern w:val="0"/>
                <w:sz w:val="24"/>
                <w:szCs w:val="24"/>
              </w:rPr>
              <w:t>要素说明</w:t>
            </w:r>
          </w:p>
        </w:tc>
      </w:tr>
      <w:tr w14:paraId="5A0EB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2"/>
          </w:tcPr>
          <w:p w14:paraId="7D060DBA">
            <w:pPr>
              <w:adjustRightInd w:val="0"/>
              <w:snapToGrid w:val="0"/>
              <w:jc w:val="center"/>
              <w:rPr>
                <w:rFonts w:ascii="仿宋_GB2312" w:eastAsia="仿宋_GB2312"/>
                <w:b/>
                <w:kern w:val="0"/>
                <w:sz w:val="24"/>
                <w:szCs w:val="24"/>
              </w:rPr>
            </w:pPr>
            <w:r>
              <w:rPr>
                <w:rFonts w:hint="eastAsia" w:ascii="仿宋_GB2312" w:eastAsia="仿宋_GB2312"/>
                <w:b/>
                <w:kern w:val="0"/>
                <w:sz w:val="24"/>
                <w:szCs w:val="24"/>
              </w:rPr>
              <w:t>新券申报信息</w:t>
            </w:r>
          </w:p>
        </w:tc>
      </w:tr>
      <w:tr w14:paraId="53184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pct"/>
          </w:tcPr>
          <w:p w14:paraId="55A699CE">
            <w:pPr>
              <w:adjustRightInd w:val="0"/>
              <w:snapToGrid w:val="0"/>
              <w:rPr>
                <w:rFonts w:ascii="仿宋_GB2312" w:eastAsia="仿宋_GB2312"/>
                <w:b/>
                <w:kern w:val="0"/>
                <w:sz w:val="24"/>
                <w:szCs w:val="24"/>
              </w:rPr>
            </w:pPr>
            <w:r>
              <w:rPr>
                <w:rFonts w:hint="eastAsia" w:ascii="仿宋_GB2312" w:eastAsia="仿宋_GB2312"/>
                <w:b/>
                <w:kern w:val="0"/>
                <w:sz w:val="24"/>
                <w:szCs w:val="24"/>
              </w:rPr>
              <w:t>换出质押券代码</w:t>
            </w:r>
          </w:p>
        </w:tc>
        <w:tc>
          <w:tcPr>
            <w:tcW w:w="3291" w:type="pct"/>
          </w:tcPr>
          <w:p w14:paraId="53B6A8AF">
            <w:pPr>
              <w:adjustRightInd w:val="0"/>
              <w:snapToGrid w:val="0"/>
              <w:rPr>
                <w:rFonts w:ascii="仿宋_GB2312" w:eastAsia="仿宋_GB2312"/>
                <w:kern w:val="0"/>
                <w:sz w:val="24"/>
                <w:szCs w:val="24"/>
              </w:rPr>
            </w:pPr>
            <w:r>
              <w:rPr>
                <w:rFonts w:hint="eastAsia" w:ascii="仿宋_GB2312" w:eastAsia="仿宋_GB2312"/>
                <w:kern w:val="0"/>
                <w:sz w:val="24"/>
                <w:szCs w:val="24"/>
              </w:rPr>
              <w:t>换出质押券代码</w:t>
            </w:r>
          </w:p>
        </w:tc>
      </w:tr>
      <w:tr w14:paraId="3E367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8" w:type="pct"/>
          </w:tcPr>
          <w:p w14:paraId="6FF7125A">
            <w:pPr>
              <w:adjustRightInd w:val="0"/>
              <w:snapToGrid w:val="0"/>
              <w:rPr>
                <w:rFonts w:ascii="仿宋_GB2312" w:eastAsia="仿宋_GB2312"/>
                <w:b/>
                <w:kern w:val="0"/>
                <w:sz w:val="24"/>
                <w:szCs w:val="24"/>
              </w:rPr>
            </w:pPr>
            <w:r>
              <w:rPr>
                <w:rFonts w:hint="eastAsia" w:ascii="仿宋_GB2312" w:eastAsia="仿宋_GB2312"/>
                <w:b/>
                <w:kern w:val="0"/>
                <w:sz w:val="24"/>
                <w:szCs w:val="24"/>
              </w:rPr>
              <w:t>换出质押券数量</w:t>
            </w:r>
          </w:p>
        </w:tc>
        <w:tc>
          <w:tcPr>
            <w:tcW w:w="3291" w:type="pct"/>
          </w:tcPr>
          <w:p w14:paraId="678EE4F9">
            <w:pPr>
              <w:adjustRightInd w:val="0"/>
              <w:snapToGrid w:val="0"/>
              <w:rPr>
                <w:rFonts w:ascii="仿宋_GB2312" w:eastAsia="仿宋_GB2312"/>
                <w:kern w:val="0"/>
                <w:sz w:val="24"/>
                <w:szCs w:val="24"/>
              </w:rPr>
            </w:pPr>
            <w:r>
              <w:rPr>
                <w:rFonts w:hint="eastAsia" w:ascii="仿宋_GB2312" w:eastAsia="仿宋_GB2312"/>
                <w:kern w:val="0"/>
                <w:sz w:val="24"/>
                <w:szCs w:val="24"/>
              </w:rPr>
              <w:t>质押券数量，以千元面额为单位</w:t>
            </w:r>
          </w:p>
        </w:tc>
      </w:tr>
      <w:tr w14:paraId="01CEF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pct"/>
          </w:tcPr>
          <w:p w14:paraId="21CA8910">
            <w:pPr>
              <w:adjustRightInd w:val="0"/>
              <w:snapToGrid w:val="0"/>
              <w:rPr>
                <w:rFonts w:ascii="仿宋_GB2312" w:eastAsia="仿宋_GB2312"/>
                <w:b/>
                <w:kern w:val="0"/>
                <w:sz w:val="24"/>
                <w:szCs w:val="24"/>
              </w:rPr>
            </w:pPr>
            <w:r>
              <w:rPr>
                <w:rFonts w:hint="eastAsia" w:ascii="仿宋_GB2312" w:eastAsia="仿宋_GB2312"/>
                <w:b/>
                <w:kern w:val="0"/>
                <w:sz w:val="24"/>
                <w:szCs w:val="24"/>
              </w:rPr>
              <w:t>换入质押券代码</w:t>
            </w:r>
          </w:p>
        </w:tc>
        <w:tc>
          <w:tcPr>
            <w:tcW w:w="3291" w:type="pct"/>
          </w:tcPr>
          <w:p w14:paraId="5541EDD5">
            <w:pPr>
              <w:adjustRightInd w:val="0"/>
              <w:snapToGrid w:val="0"/>
              <w:rPr>
                <w:rFonts w:ascii="仿宋_GB2312" w:eastAsia="仿宋_GB2312"/>
                <w:kern w:val="0"/>
                <w:sz w:val="24"/>
                <w:szCs w:val="24"/>
              </w:rPr>
            </w:pPr>
            <w:r>
              <w:rPr>
                <w:rFonts w:hint="eastAsia" w:ascii="仿宋_GB2312" w:eastAsia="仿宋_GB2312"/>
                <w:kern w:val="0"/>
                <w:sz w:val="24"/>
                <w:szCs w:val="24"/>
              </w:rPr>
              <w:t>换入质押券代码</w:t>
            </w:r>
          </w:p>
        </w:tc>
      </w:tr>
      <w:tr w14:paraId="28939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pct"/>
          </w:tcPr>
          <w:p w14:paraId="46FAB95B">
            <w:pPr>
              <w:adjustRightInd w:val="0"/>
              <w:snapToGrid w:val="0"/>
              <w:rPr>
                <w:rFonts w:ascii="仿宋_GB2312" w:eastAsia="仿宋_GB2312"/>
                <w:b/>
                <w:kern w:val="0"/>
                <w:sz w:val="24"/>
                <w:szCs w:val="24"/>
              </w:rPr>
            </w:pPr>
            <w:r>
              <w:rPr>
                <w:rFonts w:hint="eastAsia" w:ascii="仿宋_GB2312" w:eastAsia="仿宋_GB2312"/>
                <w:b/>
                <w:kern w:val="0"/>
                <w:sz w:val="24"/>
                <w:szCs w:val="24"/>
              </w:rPr>
              <w:t>换入质押券数量</w:t>
            </w:r>
          </w:p>
        </w:tc>
        <w:tc>
          <w:tcPr>
            <w:tcW w:w="3291" w:type="pct"/>
          </w:tcPr>
          <w:p w14:paraId="47DB25F9">
            <w:pPr>
              <w:adjustRightInd w:val="0"/>
              <w:snapToGrid w:val="0"/>
              <w:rPr>
                <w:rFonts w:ascii="仿宋_GB2312" w:eastAsia="仿宋_GB2312"/>
                <w:kern w:val="0"/>
                <w:sz w:val="24"/>
                <w:szCs w:val="24"/>
              </w:rPr>
            </w:pPr>
            <w:r>
              <w:rPr>
                <w:rFonts w:hint="eastAsia" w:ascii="仿宋_GB2312" w:eastAsia="仿宋_GB2312"/>
                <w:kern w:val="0"/>
                <w:sz w:val="24"/>
                <w:szCs w:val="24"/>
              </w:rPr>
              <w:t>质押券数量，以千元面额为单位</w:t>
            </w:r>
          </w:p>
        </w:tc>
      </w:tr>
      <w:tr w14:paraId="5FA34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pct"/>
          </w:tcPr>
          <w:p w14:paraId="7147D098">
            <w:pPr>
              <w:adjustRightInd w:val="0"/>
              <w:snapToGrid w:val="0"/>
              <w:rPr>
                <w:rFonts w:ascii="仿宋_GB2312" w:eastAsia="仿宋_GB2312"/>
                <w:b/>
                <w:kern w:val="0"/>
                <w:sz w:val="24"/>
                <w:szCs w:val="24"/>
              </w:rPr>
            </w:pPr>
            <w:r>
              <w:rPr>
                <w:rFonts w:hint="eastAsia" w:ascii="仿宋_GB2312" w:eastAsia="仿宋_GB2312"/>
                <w:b/>
                <w:kern w:val="0"/>
                <w:sz w:val="24"/>
                <w:szCs w:val="24"/>
              </w:rPr>
              <w:t>对手方交易员代码</w:t>
            </w:r>
          </w:p>
        </w:tc>
        <w:tc>
          <w:tcPr>
            <w:tcW w:w="3291" w:type="pct"/>
          </w:tcPr>
          <w:p w14:paraId="6198470A">
            <w:pPr>
              <w:adjustRightInd w:val="0"/>
              <w:snapToGrid w:val="0"/>
              <w:rPr>
                <w:rFonts w:ascii="仿宋_GB2312" w:eastAsia="仿宋_GB2312"/>
                <w:kern w:val="0"/>
                <w:sz w:val="24"/>
                <w:szCs w:val="24"/>
              </w:rPr>
            </w:pPr>
            <w:r>
              <w:rPr>
                <w:rFonts w:hint="eastAsia" w:ascii="仿宋_GB2312" w:eastAsia="仿宋_GB2312"/>
                <w:kern w:val="0"/>
                <w:sz w:val="24"/>
                <w:szCs w:val="24"/>
              </w:rPr>
              <w:t>对手方交易员代码</w:t>
            </w:r>
          </w:p>
        </w:tc>
      </w:tr>
      <w:tr w14:paraId="36C12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8" w:type="pct"/>
          </w:tcPr>
          <w:p w14:paraId="31A5A777">
            <w:pPr>
              <w:adjustRightInd w:val="0"/>
              <w:snapToGrid w:val="0"/>
              <w:rPr>
                <w:rFonts w:ascii="仿宋_GB2312" w:eastAsia="仿宋_GB2312"/>
                <w:b/>
                <w:kern w:val="0"/>
                <w:sz w:val="24"/>
                <w:szCs w:val="24"/>
              </w:rPr>
            </w:pPr>
            <w:r>
              <w:rPr>
                <w:rFonts w:hint="eastAsia" w:ascii="仿宋_GB2312" w:eastAsia="仿宋_GB2312"/>
                <w:b/>
                <w:kern w:val="0"/>
                <w:sz w:val="24"/>
                <w:szCs w:val="24"/>
              </w:rPr>
              <w:t>换出质押券简称</w:t>
            </w:r>
          </w:p>
        </w:tc>
        <w:tc>
          <w:tcPr>
            <w:tcW w:w="3291" w:type="pct"/>
          </w:tcPr>
          <w:p w14:paraId="7282E27B">
            <w:pPr>
              <w:adjustRightInd w:val="0"/>
              <w:snapToGrid w:val="0"/>
              <w:rPr>
                <w:rFonts w:ascii="仿宋_GB2312" w:eastAsia="仿宋_GB2312"/>
                <w:kern w:val="0"/>
                <w:sz w:val="24"/>
                <w:szCs w:val="24"/>
              </w:rPr>
            </w:pPr>
            <w:r>
              <w:rPr>
                <w:rFonts w:hint="eastAsia" w:ascii="仿宋_GB2312" w:eastAsia="仿宋_GB2312"/>
                <w:kern w:val="0"/>
                <w:sz w:val="24"/>
                <w:szCs w:val="24"/>
              </w:rPr>
              <w:t>换出质押券简称，自动显示，无需输入</w:t>
            </w:r>
          </w:p>
        </w:tc>
      </w:tr>
      <w:tr w14:paraId="74B70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pct"/>
          </w:tcPr>
          <w:p w14:paraId="1495B06C">
            <w:pPr>
              <w:adjustRightInd w:val="0"/>
              <w:snapToGrid w:val="0"/>
              <w:rPr>
                <w:rFonts w:ascii="仿宋_GB2312" w:eastAsia="仿宋_GB2312"/>
                <w:b/>
                <w:kern w:val="0"/>
                <w:sz w:val="24"/>
                <w:szCs w:val="24"/>
              </w:rPr>
            </w:pPr>
            <w:r>
              <w:rPr>
                <w:rFonts w:hint="eastAsia" w:ascii="仿宋_GB2312" w:eastAsia="仿宋_GB2312"/>
                <w:b/>
                <w:kern w:val="0"/>
                <w:sz w:val="24"/>
                <w:szCs w:val="24"/>
              </w:rPr>
              <w:t>换出质押券所属篮子</w:t>
            </w:r>
          </w:p>
        </w:tc>
        <w:tc>
          <w:tcPr>
            <w:tcW w:w="3291" w:type="pct"/>
          </w:tcPr>
          <w:p w14:paraId="7C5425EF">
            <w:pPr>
              <w:adjustRightInd w:val="0"/>
              <w:snapToGrid w:val="0"/>
              <w:rPr>
                <w:rFonts w:ascii="仿宋_GB2312" w:eastAsia="仿宋_GB2312"/>
                <w:kern w:val="0"/>
                <w:sz w:val="24"/>
                <w:szCs w:val="24"/>
              </w:rPr>
            </w:pPr>
            <w:r>
              <w:rPr>
                <w:rFonts w:hint="eastAsia" w:ascii="仿宋_GB2312" w:eastAsia="仿宋_GB2312"/>
                <w:kern w:val="0"/>
                <w:sz w:val="24"/>
                <w:szCs w:val="24"/>
              </w:rPr>
              <w:t>换出质押券所属篮子，自动显示，无需输入</w:t>
            </w:r>
          </w:p>
        </w:tc>
      </w:tr>
      <w:tr w14:paraId="4E671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pct"/>
          </w:tcPr>
          <w:p w14:paraId="03EE8922">
            <w:pPr>
              <w:adjustRightInd w:val="0"/>
              <w:snapToGrid w:val="0"/>
              <w:rPr>
                <w:rFonts w:ascii="仿宋_GB2312" w:eastAsia="仿宋_GB2312"/>
                <w:b/>
                <w:kern w:val="0"/>
                <w:sz w:val="24"/>
                <w:szCs w:val="24"/>
              </w:rPr>
            </w:pPr>
            <w:r>
              <w:rPr>
                <w:rFonts w:hint="eastAsia" w:ascii="仿宋_GB2312" w:eastAsia="仿宋_GB2312"/>
                <w:b/>
                <w:kern w:val="0"/>
                <w:sz w:val="24"/>
                <w:szCs w:val="24"/>
              </w:rPr>
              <w:t>换出折扣率</w:t>
            </w:r>
          </w:p>
        </w:tc>
        <w:tc>
          <w:tcPr>
            <w:tcW w:w="3291" w:type="pct"/>
          </w:tcPr>
          <w:p w14:paraId="4295108D">
            <w:pPr>
              <w:adjustRightInd w:val="0"/>
              <w:snapToGrid w:val="0"/>
              <w:rPr>
                <w:rFonts w:ascii="仿宋_GB2312" w:eastAsia="仿宋_GB2312"/>
                <w:kern w:val="0"/>
                <w:sz w:val="24"/>
                <w:szCs w:val="24"/>
              </w:rPr>
            </w:pPr>
            <w:r>
              <w:rPr>
                <w:rFonts w:hint="eastAsia" w:ascii="仿宋_GB2312" w:eastAsia="仿宋_GB2312"/>
                <w:kern w:val="0"/>
                <w:sz w:val="24"/>
                <w:szCs w:val="24"/>
              </w:rPr>
              <w:t>换出质押券原有回购折扣率，自动显示，无需输入</w:t>
            </w:r>
          </w:p>
        </w:tc>
      </w:tr>
      <w:tr w14:paraId="7B5AB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pct"/>
          </w:tcPr>
          <w:p w14:paraId="5FD8223C">
            <w:pPr>
              <w:adjustRightInd w:val="0"/>
              <w:snapToGrid w:val="0"/>
              <w:rPr>
                <w:rFonts w:ascii="仿宋_GB2312" w:eastAsia="仿宋_GB2312"/>
                <w:b/>
                <w:kern w:val="0"/>
                <w:sz w:val="24"/>
                <w:szCs w:val="24"/>
              </w:rPr>
            </w:pPr>
            <w:r>
              <w:rPr>
                <w:rFonts w:hint="eastAsia" w:ascii="仿宋_GB2312" w:eastAsia="仿宋_GB2312"/>
                <w:b/>
                <w:kern w:val="0"/>
                <w:sz w:val="24"/>
                <w:szCs w:val="24"/>
              </w:rPr>
              <w:t>换出全价估值</w:t>
            </w:r>
          </w:p>
        </w:tc>
        <w:tc>
          <w:tcPr>
            <w:tcW w:w="3291" w:type="pct"/>
          </w:tcPr>
          <w:p w14:paraId="4B423C18">
            <w:pPr>
              <w:adjustRightInd w:val="0"/>
              <w:snapToGrid w:val="0"/>
              <w:rPr>
                <w:rFonts w:ascii="仿宋_GB2312" w:eastAsia="仿宋_GB2312"/>
                <w:kern w:val="0"/>
                <w:sz w:val="24"/>
                <w:szCs w:val="24"/>
              </w:rPr>
            </w:pPr>
            <w:r>
              <w:rPr>
                <w:rFonts w:hint="eastAsia" w:ascii="仿宋_GB2312" w:eastAsia="仿宋_GB2312"/>
                <w:kern w:val="0"/>
                <w:sz w:val="24"/>
                <w:szCs w:val="24"/>
              </w:rPr>
              <w:t>换出质押券的当前全价估值，自动显示，无需输入</w:t>
            </w:r>
          </w:p>
        </w:tc>
      </w:tr>
      <w:tr w14:paraId="29E5C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8" w:type="pct"/>
          </w:tcPr>
          <w:p w14:paraId="4E68436E">
            <w:pPr>
              <w:adjustRightInd w:val="0"/>
              <w:snapToGrid w:val="0"/>
              <w:rPr>
                <w:rFonts w:ascii="仿宋_GB2312" w:eastAsia="仿宋_GB2312"/>
                <w:b/>
                <w:kern w:val="0"/>
                <w:sz w:val="24"/>
                <w:szCs w:val="24"/>
              </w:rPr>
            </w:pPr>
            <w:r>
              <w:rPr>
                <w:rFonts w:hint="eastAsia" w:ascii="仿宋_GB2312" w:eastAsia="仿宋_GB2312"/>
                <w:b/>
                <w:kern w:val="0"/>
                <w:sz w:val="24"/>
                <w:szCs w:val="24"/>
              </w:rPr>
              <w:t>换出债券担保价值</w:t>
            </w:r>
          </w:p>
        </w:tc>
        <w:tc>
          <w:tcPr>
            <w:tcW w:w="3291" w:type="pct"/>
          </w:tcPr>
          <w:p w14:paraId="01D544A1">
            <w:pPr>
              <w:adjustRightInd w:val="0"/>
              <w:snapToGrid w:val="0"/>
              <w:rPr>
                <w:rFonts w:ascii="仿宋_GB2312" w:eastAsia="仿宋_GB2312"/>
                <w:kern w:val="0"/>
                <w:sz w:val="24"/>
                <w:szCs w:val="24"/>
              </w:rPr>
            </w:pPr>
            <w:r>
              <w:rPr>
                <w:rFonts w:hint="eastAsia" w:ascii="仿宋_GB2312" w:eastAsia="仿宋_GB2312"/>
                <w:kern w:val="0"/>
                <w:sz w:val="24"/>
                <w:szCs w:val="24"/>
              </w:rPr>
              <w:t>换出质押债券的担保价值，自动显示，无需输入</w:t>
            </w:r>
          </w:p>
        </w:tc>
      </w:tr>
      <w:tr w14:paraId="1AABD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pct"/>
          </w:tcPr>
          <w:p w14:paraId="3690E2BF">
            <w:pPr>
              <w:adjustRightInd w:val="0"/>
              <w:snapToGrid w:val="0"/>
              <w:rPr>
                <w:rFonts w:ascii="仿宋_GB2312" w:eastAsia="仿宋_GB2312"/>
                <w:b/>
                <w:kern w:val="0"/>
                <w:sz w:val="24"/>
                <w:szCs w:val="24"/>
              </w:rPr>
            </w:pPr>
            <w:r>
              <w:rPr>
                <w:rFonts w:hint="eastAsia" w:ascii="仿宋_GB2312" w:eastAsia="仿宋_GB2312"/>
                <w:b/>
                <w:kern w:val="0"/>
                <w:sz w:val="24"/>
                <w:szCs w:val="24"/>
              </w:rPr>
              <w:t>换出担保价值合计</w:t>
            </w:r>
          </w:p>
        </w:tc>
        <w:tc>
          <w:tcPr>
            <w:tcW w:w="3291" w:type="pct"/>
          </w:tcPr>
          <w:p w14:paraId="4613C055">
            <w:pPr>
              <w:adjustRightInd w:val="0"/>
              <w:snapToGrid w:val="0"/>
              <w:rPr>
                <w:rFonts w:ascii="仿宋_GB2312" w:eastAsia="仿宋_GB2312"/>
                <w:kern w:val="0"/>
                <w:sz w:val="24"/>
                <w:szCs w:val="24"/>
              </w:rPr>
            </w:pPr>
            <w:r>
              <w:rPr>
                <w:rFonts w:hint="eastAsia" w:ascii="仿宋_GB2312" w:eastAsia="仿宋_GB2312"/>
                <w:kern w:val="0"/>
                <w:sz w:val="24"/>
                <w:szCs w:val="24"/>
              </w:rPr>
              <w:t>换出质押债券的担保价值合计，自动显示，无需输入</w:t>
            </w:r>
          </w:p>
        </w:tc>
      </w:tr>
      <w:tr w14:paraId="18A24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pct"/>
          </w:tcPr>
          <w:p w14:paraId="54881439">
            <w:pPr>
              <w:adjustRightInd w:val="0"/>
              <w:snapToGrid w:val="0"/>
              <w:rPr>
                <w:rFonts w:ascii="仿宋_GB2312" w:eastAsia="仿宋_GB2312"/>
                <w:b/>
                <w:kern w:val="0"/>
                <w:sz w:val="24"/>
                <w:szCs w:val="24"/>
              </w:rPr>
            </w:pPr>
            <w:r>
              <w:rPr>
                <w:rFonts w:hint="eastAsia" w:ascii="仿宋_GB2312" w:eastAsia="仿宋_GB2312"/>
                <w:b/>
                <w:kern w:val="0"/>
                <w:sz w:val="24"/>
                <w:szCs w:val="24"/>
              </w:rPr>
              <w:t>换入质押券简称</w:t>
            </w:r>
          </w:p>
        </w:tc>
        <w:tc>
          <w:tcPr>
            <w:tcW w:w="3291" w:type="pct"/>
          </w:tcPr>
          <w:p w14:paraId="63B89815">
            <w:pPr>
              <w:adjustRightInd w:val="0"/>
              <w:snapToGrid w:val="0"/>
              <w:rPr>
                <w:rFonts w:ascii="仿宋_GB2312" w:eastAsia="仿宋_GB2312"/>
                <w:kern w:val="0"/>
                <w:sz w:val="24"/>
                <w:szCs w:val="24"/>
              </w:rPr>
            </w:pPr>
            <w:r>
              <w:rPr>
                <w:rFonts w:hint="eastAsia" w:ascii="仿宋_GB2312" w:eastAsia="仿宋_GB2312"/>
                <w:kern w:val="0"/>
                <w:sz w:val="24"/>
                <w:szCs w:val="24"/>
              </w:rPr>
              <w:t>换入质押券简称，自动显示，无需输入</w:t>
            </w:r>
          </w:p>
        </w:tc>
      </w:tr>
      <w:tr w14:paraId="53E1F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pct"/>
          </w:tcPr>
          <w:p w14:paraId="6461C5A9">
            <w:pPr>
              <w:adjustRightInd w:val="0"/>
              <w:snapToGrid w:val="0"/>
              <w:rPr>
                <w:rFonts w:ascii="仿宋_GB2312" w:eastAsia="仿宋_GB2312"/>
                <w:b/>
                <w:kern w:val="0"/>
                <w:sz w:val="24"/>
                <w:szCs w:val="24"/>
              </w:rPr>
            </w:pPr>
            <w:r>
              <w:rPr>
                <w:rFonts w:hint="eastAsia" w:ascii="仿宋_GB2312" w:eastAsia="仿宋_GB2312"/>
                <w:b/>
                <w:kern w:val="0"/>
                <w:sz w:val="24"/>
                <w:szCs w:val="24"/>
              </w:rPr>
              <w:t>换入质押券所属篮子</w:t>
            </w:r>
          </w:p>
        </w:tc>
        <w:tc>
          <w:tcPr>
            <w:tcW w:w="3291" w:type="pct"/>
          </w:tcPr>
          <w:p w14:paraId="6E9D8628">
            <w:pPr>
              <w:adjustRightInd w:val="0"/>
              <w:snapToGrid w:val="0"/>
              <w:rPr>
                <w:rFonts w:ascii="仿宋_GB2312" w:eastAsia="仿宋_GB2312"/>
                <w:kern w:val="0"/>
                <w:sz w:val="24"/>
                <w:szCs w:val="24"/>
              </w:rPr>
            </w:pPr>
            <w:r>
              <w:rPr>
                <w:rFonts w:hint="eastAsia" w:ascii="仿宋_GB2312" w:eastAsia="仿宋_GB2312"/>
                <w:kern w:val="0"/>
                <w:sz w:val="24"/>
                <w:szCs w:val="24"/>
              </w:rPr>
              <w:t>换入质押券所属篮子，自动显示，无需输入</w:t>
            </w:r>
          </w:p>
        </w:tc>
      </w:tr>
      <w:tr w14:paraId="28365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8" w:type="pct"/>
          </w:tcPr>
          <w:p w14:paraId="5528EDBC">
            <w:pPr>
              <w:adjustRightInd w:val="0"/>
              <w:snapToGrid w:val="0"/>
              <w:rPr>
                <w:rFonts w:ascii="仿宋_GB2312" w:eastAsia="仿宋_GB2312"/>
                <w:b/>
                <w:kern w:val="0"/>
                <w:sz w:val="24"/>
                <w:szCs w:val="24"/>
              </w:rPr>
            </w:pPr>
            <w:r>
              <w:rPr>
                <w:rFonts w:hint="eastAsia" w:ascii="仿宋_GB2312" w:eastAsia="仿宋_GB2312"/>
                <w:b/>
                <w:kern w:val="0"/>
                <w:sz w:val="24"/>
                <w:szCs w:val="24"/>
              </w:rPr>
              <w:t>换入折扣率</w:t>
            </w:r>
          </w:p>
        </w:tc>
        <w:tc>
          <w:tcPr>
            <w:tcW w:w="3291" w:type="pct"/>
          </w:tcPr>
          <w:p w14:paraId="340D5610">
            <w:pPr>
              <w:adjustRightInd w:val="0"/>
              <w:snapToGrid w:val="0"/>
              <w:rPr>
                <w:rFonts w:ascii="仿宋_GB2312" w:eastAsia="仿宋_GB2312"/>
                <w:kern w:val="0"/>
                <w:sz w:val="24"/>
                <w:szCs w:val="24"/>
              </w:rPr>
            </w:pPr>
            <w:r>
              <w:rPr>
                <w:rFonts w:hint="eastAsia" w:ascii="仿宋_GB2312" w:eastAsia="仿宋_GB2312"/>
                <w:kern w:val="0"/>
                <w:sz w:val="24"/>
                <w:szCs w:val="24"/>
              </w:rPr>
              <w:t>换入质押券原有回购折扣率，自动显示，无需输入</w:t>
            </w:r>
          </w:p>
        </w:tc>
      </w:tr>
      <w:tr w14:paraId="74366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pct"/>
          </w:tcPr>
          <w:p w14:paraId="594F8016">
            <w:pPr>
              <w:adjustRightInd w:val="0"/>
              <w:snapToGrid w:val="0"/>
              <w:rPr>
                <w:rFonts w:ascii="仿宋_GB2312" w:eastAsia="仿宋_GB2312"/>
                <w:b/>
                <w:kern w:val="0"/>
                <w:sz w:val="24"/>
                <w:szCs w:val="24"/>
              </w:rPr>
            </w:pPr>
            <w:r>
              <w:rPr>
                <w:rFonts w:hint="eastAsia" w:ascii="仿宋_GB2312" w:eastAsia="仿宋_GB2312"/>
                <w:b/>
                <w:kern w:val="0"/>
                <w:sz w:val="24"/>
                <w:szCs w:val="24"/>
              </w:rPr>
              <w:t>换入全价估值</w:t>
            </w:r>
          </w:p>
        </w:tc>
        <w:tc>
          <w:tcPr>
            <w:tcW w:w="3291" w:type="pct"/>
          </w:tcPr>
          <w:p w14:paraId="40563151">
            <w:pPr>
              <w:adjustRightInd w:val="0"/>
              <w:snapToGrid w:val="0"/>
              <w:rPr>
                <w:rFonts w:ascii="仿宋_GB2312" w:eastAsia="仿宋_GB2312"/>
                <w:kern w:val="0"/>
                <w:sz w:val="24"/>
                <w:szCs w:val="24"/>
              </w:rPr>
            </w:pPr>
            <w:r>
              <w:rPr>
                <w:rFonts w:hint="eastAsia" w:ascii="仿宋_GB2312" w:eastAsia="仿宋_GB2312"/>
                <w:kern w:val="0"/>
                <w:sz w:val="24"/>
                <w:szCs w:val="24"/>
              </w:rPr>
              <w:t>换入质押券的当前全价估值，自动显示，无需输入</w:t>
            </w:r>
          </w:p>
        </w:tc>
      </w:tr>
      <w:tr w14:paraId="0FEC3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pct"/>
          </w:tcPr>
          <w:p w14:paraId="6C39EC67">
            <w:pPr>
              <w:adjustRightInd w:val="0"/>
              <w:snapToGrid w:val="0"/>
              <w:rPr>
                <w:rFonts w:ascii="仿宋_GB2312" w:eastAsia="仿宋_GB2312"/>
                <w:b/>
                <w:kern w:val="0"/>
                <w:sz w:val="24"/>
                <w:szCs w:val="24"/>
              </w:rPr>
            </w:pPr>
            <w:r>
              <w:rPr>
                <w:rFonts w:hint="eastAsia" w:ascii="仿宋_GB2312" w:eastAsia="仿宋_GB2312"/>
                <w:b/>
                <w:kern w:val="0"/>
                <w:sz w:val="24"/>
                <w:szCs w:val="24"/>
              </w:rPr>
              <w:t>换入债券担保价值</w:t>
            </w:r>
          </w:p>
        </w:tc>
        <w:tc>
          <w:tcPr>
            <w:tcW w:w="3291" w:type="pct"/>
          </w:tcPr>
          <w:p w14:paraId="1E8E5E92">
            <w:pPr>
              <w:adjustRightInd w:val="0"/>
              <w:snapToGrid w:val="0"/>
              <w:rPr>
                <w:rFonts w:ascii="仿宋_GB2312" w:eastAsia="仿宋_GB2312"/>
                <w:kern w:val="0"/>
                <w:sz w:val="24"/>
                <w:szCs w:val="24"/>
              </w:rPr>
            </w:pPr>
            <w:r>
              <w:rPr>
                <w:rFonts w:hint="eastAsia" w:ascii="仿宋_GB2312" w:eastAsia="仿宋_GB2312"/>
                <w:kern w:val="0"/>
                <w:sz w:val="24"/>
                <w:szCs w:val="24"/>
              </w:rPr>
              <w:t>换入质押债券的担保价值，自动显示，无需输入</w:t>
            </w:r>
          </w:p>
        </w:tc>
      </w:tr>
      <w:tr w14:paraId="63A00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pct"/>
          </w:tcPr>
          <w:p w14:paraId="199875AE">
            <w:pPr>
              <w:adjustRightInd w:val="0"/>
              <w:snapToGrid w:val="0"/>
              <w:rPr>
                <w:rFonts w:ascii="仿宋_GB2312" w:eastAsia="仿宋_GB2312"/>
                <w:b/>
                <w:kern w:val="0"/>
                <w:sz w:val="24"/>
                <w:szCs w:val="24"/>
              </w:rPr>
            </w:pPr>
            <w:r>
              <w:rPr>
                <w:rFonts w:hint="eastAsia" w:ascii="仿宋_GB2312" w:eastAsia="仿宋_GB2312"/>
                <w:b/>
                <w:kern w:val="0"/>
                <w:sz w:val="24"/>
                <w:szCs w:val="24"/>
              </w:rPr>
              <w:t>换入担保价值合计</w:t>
            </w:r>
          </w:p>
        </w:tc>
        <w:tc>
          <w:tcPr>
            <w:tcW w:w="3291" w:type="pct"/>
          </w:tcPr>
          <w:p w14:paraId="6AF803C9">
            <w:pPr>
              <w:adjustRightInd w:val="0"/>
              <w:snapToGrid w:val="0"/>
              <w:rPr>
                <w:rFonts w:ascii="仿宋_GB2312" w:eastAsia="仿宋_GB2312"/>
                <w:kern w:val="0"/>
                <w:sz w:val="24"/>
                <w:szCs w:val="24"/>
              </w:rPr>
            </w:pPr>
            <w:r>
              <w:rPr>
                <w:rFonts w:hint="eastAsia" w:ascii="仿宋_GB2312" w:eastAsia="仿宋_GB2312"/>
                <w:kern w:val="0"/>
                <w:sz w:val="24"/>
                <w:szCs w:val="24"/>
              </w:rPr>
              <w:t>换入质押债券的担保价值合计，自动显示，无需输入</w:t>
            </w:r>
          </w:p>
        </w:tc>
      </w:tr>
      <w:tr w14:paraId="74D07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8" w:type="pct"/>
          </w:tcPr>
          <w:p w14:paraId="3505D58B">
            <w:pPr>
              <w:adjustRightInd w:val="0"/>
              <w:snapToGrid w:val="0"/>
              <w:rPr>
                <w:rFonts w:ascii="仿宋_GB2312" w:eastAsia="仿宋_GB2312"/>
                <w:b/>
                <w:kern w:val="0"/>
                <w:sz w:val="24"/>
                <w:szCs w:val="24"/>
              </w:rPr>
            </w:pPr>
            <w:r>
              <w:rPr>
                <w:rFonts w:hint="eastAsia" w:ascii="仿宋_GB2312" w:eastAsia="仿宋_GB2312"/>
                <w:b/>
                <w:kern w:val="0"/>
                <w:sz w:val="24"/>
                <w:szCs w:val="24"/>
              </w:rPr>
              <w:t>质押券篮子</w:t>
            </w:r>
          </w:p>
        </w:tc>
        <w:tc>
          <w:tcPr>
            <w:tcW w:w="3291" w:type="pct"/>
          </w:tcPr>
          <w:p w14:paraId="452F48AA">
            <w:pPr>
              <w:adjustRightInd w:val="0"/>
              <w:snapToGrid w:val="0"/>
              <w:rPr>
                <w:rFonts w:ascii="仿宋_GB2312" w:eastAsia="仿宋_GB2312"/>
                <w:kern w:val="0"/>
                <w:sz w:val="24"/>
                <w:szCs w:val="24"/>
              </w:rPr>
            </w:pPr>
            <w:r>
              <w:rPr>
                <w:rFonts w:hint="eastAsia" w:ascii="仿宋_GB2312" w:eastAsia="仿宋_GB2312"/>
                <w:kern w:val="0"/>
                <w:sz w:val="24"/>
                <w:szCs w:val="24"/>
              </w:rPr>
              <w:t>质押券所属篮子，自动显示，无需输入</w:t>
            </w:r>
          </w:p>
        </w:tc>
      </w:tr>
      <w:tr w14:paraId="71823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pct"/>
          </w:tcPr>
          <w:p w14:paraId="351B4A7E">
            <w:pPr>
              <w:adjustRightInd w:val="0"/>
              <w:snapToGrid w:val="0"/>
              <w:rPr>
                <w:rFonts w:ascii="仿宋_GB2312" w:eastAsia="仿宋_GB2312"/>
                <w:b/>
                <w:kern w:val="0"/>
                <w:sz w:val="24"/>
                <w:szCs w:val="24"/>
              </w:rPr>
            </w:pPr>
            <w:r>
              <w:rPr>
                <w:rFonts w:hint="eastAsia" w:ascii="仿宋_GB2312" w:eastAsia="仿宋_GB2312"/>
                <w:b/>
                <w:kern w:val="0"/>
                <w:sz w:val="24"/>
                <w:szCs w:val="24"/>
              </w:rPr>
              <w:t>对手方债券交易参与人</w:t>
            </w:r>
          </w:p>
        </w:tc>
        <w:tc>
          <w:tcPr>
            <w:tcW w:w="3291" w:type="pct"/>
          </w:tcPr>
          <w:p w14:paraId="505CA292">
            <w:pPr>
              <w:adjustRightInd w:val="0"/>
              <w:snapToGrid w:val="0"/>
              <w:rPr>
                <w:rFonts w:ascii="仿宋_GB2312" w:eastAsia="仿宋_GB2312"/>
                <w:kern w:val="0"/>
                <w:sz w:val="24"/>
                <w:szCs w:val="24"/>
              </w:rPr>
            </w:pPr>
            <w:r>
              <w:rPr>
                <w:rFonts w:hint="eastAsia" w:ascii="仿宋_GB2312" w:eastAsia="仿宋_GB2312"/>
                <w:kern w:val="0"/>
                <w:sz w:val="24"/>
                <w:szCs w:val="24"/>
              </w:rPr>
              <w:t>对手方债券交易参与人名称，自动显示，无需输入</w:t>
            </w:r>
          </w:p>
        </w:tc>
      </w:tr>
      <w:tr w14:paraId="76085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pct"/>
          </w:tcPr>
          <w:p w14:paraId="01F567D3">
            <w:pPr>
              <w:adjustRightInd w:val="0"/>
              <w:snapToGrid w:val="0"/>
              <w:rPr>
                <w:rFonts w:ascii="仿宋_GB2312" w:eastAsia="仿宋_GB2312"/>
                <w:b/>
                <w:kern w:val="0"/>
                <w:sz w:val="24"/>
                <w:szCs w:val="24"/>
              </w:rPr>
            </w:pPr>
            <w:r>
              <w:rPr>
                <w:rFonts w:hint="eastAsia" w:ascii="仿宋_GB2312" w:eastAsia="仿宋_GB2312"/>
                <w:b/>
                <w:kern w:val="0"/>
                <w:sz w:val="24"/>
                <w:szCs w:val="24"/>
              </w:rPr>
              <w:t>对手方交易员名称</w:t>
            </w:r>
          </w:p>
        </w:tc>
        <w:tc>
          <w:tcPr>
            <w:tcW w:w="3291" w:type="pct"/>
          </w:tcPr>
          <w:p w14:paraId="411F884B">
            <w:pPr>
              <w:adjustRightInd w:val="0"/>
              <w:snapToGrid w:val="0"/>
              <w:rPr>
                <w:rFonts w:ascii="仿宋_GB2312" w:eastAsia="仿宋_GB2312"/>
                <w:kern w:val="0"/>
                <w:sz w:val="24"/>
                <w:szCs w:val="24"/>
              </w:rPr>
            </w:pPr>
            <w:r>
              <w:rPr>
                <w:rFonts w:hint="eastAsia" w:ascii="仿宋_GB2312" w:eastAsia="仿宋_GB2312"/>
                <w:kern w:val="0"/>
                <w:sz w:val="24"/>
                <w:szCs w:val="24"/>
              </w:rPr>
              <w:t>对手方交易员名称，自动显示，无需输入</w:t>
            </w:r>
          </w:p>
        </w:tc>
      </w:tr>
      <w:tr w14:paraId="50485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2"/>
          </w:tcPr>
          <w:p w14:paraId="277E8CAC">
            <w:pPr>
              <w:adjustRightInd w:val="0"/>
              <w:snapToGrid w:val="0"/>
              <w:jc w:val="center"/>
              <w:rPr>
                <w:rFonts w:ascii="仿宋_GB2312" w:eastAsia="仿宋_GB2312"/>
                <w:kern w:val="0"/>
                <w:sz w:val="24"/>
                <w:szCs w:val="24"/>
              </w:rPr>
            </w:pPr>
            <w:r>
              <w:rPr>
                <w:rFonts w:hint="eastAsia" w:ascii="仿宋_GB2312" w:eastAsia="仿宋_GB2312"/>
                <w:b/>
                <w:bCs/>
                <w:kern w:val="0"/>
                <w:sz w:val="24"/>
                <w:szCs w:val="24"/>
              </w:rPr>
              <w:t>原券申报信息</w:t>
            </w:r>
          </w:p>
        </w:tc>
      </w:tr>
      <w:tr w14:paraId="4F3AB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8" w:type="pct"/>
          </w:tcPr>
          <w:p w14:paraId="4CEE9BEB">
            <w:pPr>
              <w:adjustRightInd w:val="0"/>
              <w:snapToGrid w:val="0"/>
              <w:rPr>
                <w:rFonts w:ascii="仿宋_GB2312" w:eastAsia="仿宋_GB2312"/>
                <w:b/>
                <w:kern w:val="0"/>
                <w:sz w:val="24"/>
                <w:szCs w:val="24"/>
              </w:rPr>
            </w:pPr>
            <w:r>
              <w:rPr>
                <w:rFonts w:hint="eastAsia" w:ascii="仿宋_GB2312" w:eastAsia="仿宋_GB2312"/>
                <w:b/>
                <w:kern w:val="0"/>
                <w:sz w:val="24"/>
                <w:szCs w:val="24"/>
              </w:rPr>
              <w:t>债券交易参与人</w:t>
            </w:r>
          </w:p>
        </w:tc>
        <w:tc>
          <w:tcPr>
            <w:tcW w:w="3291" w:type="pct"/>
          </w:tcPr>
          <w:p w14:paraId="77D4DF47">
            <w:pPr>
              <w:adjustRightInd w:val="0"/>
              <w:snapToGrid w:val="0"/>
              <w:rPr>
                <w:rFonts w:ascii="仿宋_GB2312" w:eastAsia="仿宋_GB2312"/>
                <w:kern w:val="0"/>
                <w:sz w:val="24"/>
                <w:szCs w:val="24"/>
              </w:rPr>
            </w:pPr>
            <w:r>
              <w:rPr>
                <w:rFonts w:hint="eastAsia" w:ascii="仿宋_GB2312" w:eastAsia="仿宋_GB2312"/>
                <w:kern w:val="0"/>
                <w:sz w:val="24"/>
                <w:szCs w:val="24"/>
              </w:rPr>
              <w:t>本方债券交易参与人名称，自动显示，无需输入</w:t>
            </w:r>
          </w:p>
        </w:tc>
      </w:tr>
      <w:tr w14:paraId="2158B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pct"/>
          </w:tcPr>
          <w:p w14:paraId="3136096A">
            <w:pPr>
              <w:adjustRightInd w:val="0"/>
              <w:snapToGrid w:val="0"/>
              <w:rPr>
                <w:rFonts w:ascii="仿宋_GB2312" w:eastAsia="仿宋_GB2312"/>
                <w:b/>
                <w:kern w:val="0"/>
                <w:sz w:val="24"/>
                <w:szCs w:val="24"/>
              </w:rPr>
            </w:pPr>
            <w:r>
              <w:rPr>
                <w:rFonts w:hint="eastAsia" w:ascii="仿宋_GB2312" w:eastAsia="仿宋_GB2312"/>
                <w:b/>
                <w:kern w:val="0"/>
                <w:sz w:val="24"/>
                <w:szCs w:val="24"/>
              </w:rPr>
              <w:t>交易员代码</w:t>
            </w:r>
          </w:p>
        </w:tc>
        <w:tc>
          <w:tcPr>
            <w:tcW w:w="3291" w:type="pct"/>
          </w:tcPr>
          <w:p w14:paraId="3A8BEB46">
            <w:pPr>
              <w:adjustRightInd w:val="0"/>
              <w:snapToGrid w:val="0"/>
              <w:rPr>
                <w:rFonts w:ascii="仿宋_GB2312" w:eastAsia="仿宋_GB2312"/>
                <w:kern w:val="0"/>
                <w:sz w:val="24"/>
                <w:szCs w:val="24"/>
              </w:rPr>
            </w:pPr>
            <w:r>
              <w:rPr>
                <w:rFonts w:hint="eastAsia" w:ascii="仿宋_GB2312" w:eastAsia="仿宋_GB2312"/>
                <w:kern w:val="0"/>
                <w:sz w:val="24"/>
                <w:szCs w:val="24"/>
              </w:rPr>
              <w:t>本方交易员代码，自动显示，无需输入</w:t>
            </w:r>
          </w:p>
        </w:tc>
      </w:tr>
      <w:tr w14:paraId="76DB8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pct"/>
          </w:tcPr>
          <w:p w14:paraId="109AF98C">
            <w:pPr>
              <w:adjustRightInd w:val="0"/>
              <w:snapToGrid w:val="0"/>
              <w:rPr>
                <w:rFonts w:ascii="仿宋_GB2312" w:eastAsia="仿宋_GB2312"/>
                <w:b/>
                <w:kern w:val="0"/>
                <w:sz w:val="24"/>
                <w:szCs w:val="24"/>
              </w:rPr>
            </w:pPr>
            <w:r>
              <w:rPr>
                <w:rFonts w:hint="eastAsia" w:ascii="仿宋_GB2312" w:eastAsia="仿宋_GB2312"/>
                <w:b/>
                <w:kern w:val="0"/>
                <w:sz w:val="24"/>
                <w:szCs w:val="24"/>
              </w:rPr>
              <w:t>交易员名称</w:t>
            </w:r>
          </w:p>
        </w:tc>
        <w:tc>
          <w:tcPr>
            <w:tcW w:w="3291" w:type="pct"/>
          </w:tcPr>
          <w:p w14:paraId="2BF8505A">
            <w:pPr>
              <w:adjustRightInd w:val="0"/>
              <w:snapToGrid w:val="0"/>
              <w:rPr>
                <w:rFonts w:ascii="仿宋_GB2312" w:eastAsia="仿宋_GB2312"/>
                <w:kern w:val="0"/>
                <w:sz w:val="24"/>
                <w:szCs w:val="24"/>
              </w:rPr>
            </w:pPr>
            <w:r>
              <w:rPr>
                <w:rFonts w:hint="eastAsia" w:ascii="仿宋_GB2312" w:eastAsia="仿宋_GB2312"/>
                <w:kern w:val="0"/>
                <w:sz w:val="24"/>
                <w:szCs w:val="24"/>
              </w:rPr>
              <w:t>本方交易员名称，自动显示，无需输入</w:t>
            </w:r>
          </w:p>
        </w:tc>
      </w:tr>
      <w:tr w14:paraId="24F2E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pct"/>
          </w:tcPr>
          <w:p w14:paraId="39CE0193">
            <w:pPr>
              <w:adjustRightInd w:val="0"/>
              <w:snapToGrid w:val="0"/>
              <w:rPr>
                <w:rFonts w:ascii="仿宋_GB2312" w:eastAsia="仿宋_GB2312"/>
                <w:b/>
                <w:kern w:val="0"/>
                <w:sz w:val="24"/>
                <w:szCs w:val="24"/>
              </w:rPr>
            </w:pPr>
            <w:r>
              <w:rPr>
                <w:rFonts w:hint="eastAsia" w:ascii="仿宋_GB2312" w:eastAsia="仿宋_GB2312"/>
                <w:b/>
                <w:kern w:val="0"/>
                <w:sz w:val="24"/>
                <w:szCs w:val="24"/>
              </w:rPr>
              <w:t>证券账户</w:t>
            </w:r>
          </w:p>
        </w:tc>
        <w:tc>
          <w:tcPr>
            <w:tcW w:w="3291" w:type="pct"/>
          </w:tcPr>
          <w:p w14:paraId="7DE8B3E2">
            <w:pPr>
              <w:adjustRightInd w:val="0"/>
              <w:snapToGrid w:val="0"/>
              <w:rPr>
                <w:rFonts w:ascii="仿宋_GB2312" w:eastAsia="仿宋_GB2312"/>
                <w:kern w:val="0"/>
                <w:sz w:val="24"/>
                <w:szCs w:val="24"/>
              </w:rPr>
            </w:pPr>
            <w:r>
              <w:rPr>
                <w:rFonts w:hint="eastAsia" w:ascii="仿宋_GB2312" w:eastAsia="仿宋_GB2312"/>
                <w:kern w:val="0"/>
                <w:sz w:val="24"/>
                <w:szCs w:val="24"/>
              </w:rPr>
              <w:t>正回购方证券账户号，自动显示，无需输入</w:t>
            </w:r>
          </w:p>
        </w:tc>
      </w:tr>
      <w:tr w14:paraId="5DC5B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8" w:type="pct"/>
          </w:tcPr>
          <w:p w14:paraId="7F169B9B">
            <w:pPr>
              <w:adjustRightInd w:val="0"/>
              <w:snapToGrid w:val="0"/>
              <w:rPr>
                <w:rFonts w:ascii="仿宋_GB2312" w:eastAsia="仿宋_GB2312"/>
                <w:b/>
                <w:kern w:val="0"/>
                <w:sz w:val="24"/>
                <w:szCs w:val="24"/>
              </w:rPr>
            </w:pPr>
            <w:r>
              <w:rPr>
                <w:rFonts w:hint="eastAsia" w:ascii="仿宋_GB2312" w:eastAsia="仿宋_GB2312"/>
                <w:b/>
                <w:kern w:val="0"/>
                <w:sz w:val="24"/>
                <w:szCs w:val="24"/>
              </w:rPr>
              <w:t>账户名称</w:t>
            </w:r>
          </w:p>
        </w:tc>
        <w:tc>
          <w:tcPr>
            <w:tcW w:w="3291" w:type="pct"/>
          </w:tcPr>
          <w:p w14:paraId="1A61063A">
            <w:pPr>
              <w:adjustRightInd w:val="0"/>
              <w:snapToGrid w:val="0"/>
              <w:rPr>
                <w:rFonts w:ascii="仿宋_GB2312" w:eastAsia="仿宋_GB2312"/>
                <w:kern w:val="0"/>
                <w:sz w:val="24"/>
                <w:szCs w:val="24"/>
              </w:rPr>
            </w:pPr>
            <w:r>
              <w:rPr>
                <w:rFonts w:hint="eastAsia" w:ascii="仿宋_GB2312" w:eastAsia="仿宋_GB2312"/>
                <w:kern w:val="0"/>
                <w:sz w:val="24"/>
                <w:szCs w:val="24"/>
              </w:rPr>
              <w:t>正回购方证券账户名称，自动显示，无需输入</w:t>
            </w:r>
          </w:p>
        </w:tc>
      </w:tr>
      <w:tr w14:paraId="165BD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pct"/>
          </w:tcPr>
          <w:p w14:paraId="04EA09A7">
            <w:pPr>
              <w:adjustRightInd w:val="0"/>
              <w:snapToGrid w:val="0"/>
              <w:rPr>
                <w:rFonts w:ascii="仿宋_GB2312" w:eastAsia="仿宋_GB2312"/>
                <w:b/>
                <w:kern w:val="0"/>
                <w:sz w:val="24"/>
                <w:szCs w:val="24"/>
              </w:rPr>
            </w:pPr>
            <w:r>
              <w:rPr>
                <w:rFonts w:hint="eastAsia" w:ascii="仿宋_GB2312" w:eastAsia="仿宋_GB2312"/>
                <w:b/>
                <w:kern w:val="0"/>
                <w:sz w:val="24"/>
                <w:szCs w:val="24"/>
              </w:rPr>
              <w:t>交易单元</w:t>
            </w:r>
          </w:p>
        </w:tc>
        <w:tc>
          <w:tcPr>
            <w:tcW w:w="3291" w:type="pct"/>
          </w:tcPr>
          <w:p w14:paraId="21A3B05B">
            <w:pPr>
              <w:adjustRightInd w:val="0"/>
              <w:snapToGrid w:val="0"/>
              <w:rPr>
                <w:rFonts w:ascii="仿宋_GB2312" w:eastAsia="仿宋_GB2312"/>
                <w:kern w:val="0"/>
                <w:sz w:val="24"/>
                <w:szCs w:val="24"/>
              </w:rPr>
            </w:pPr>
            <w:r>
              <w:rPr>
                <w:rFonts w:hint="eastAsia" w:ascii="仿宋_GB2312" w:eastAsia="仿宋_GB2312"/>
                <w:kern w:val="0"/>
                <w:sz w:val="24"/>
                <w:szCs w:val="24"/>
              </w:rPr>
              <w:t>正回购方证券账号的指定交易单元号，自动显示，无需输入</w:t>
            </w:r>
          </w:p>
        </w:tc>
      </w:tr>
      <w:tr w14:paraId="16AE9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pct"/>
          </w:tcPr>
          <w:p w14:paraId="3CFCC2D4">
            <w:pPr>
              <w:adjustRightInd w:val="0"/>
              <w:snapToGrid w:val="0"/>
              <w:rPr>
                <w:rFonts w:ascii="仿宋_GB2312" w:eastAsia="仿宋_GB2312"/>
                <w:b/>
                <w:kern w:val="0"/>
                <w:sz w:val="24"/>
                <w:szCs w:val="24"/>
              </w:rPr>
            </w:pPr>
            <w:r>
              <w:rPr>
                <w:rFonts w:hint="eastAsia" w:ascii="仿宋_GB2312" w:eastAsia="仿宋_GB2312"/>
                <w:b/>
                <w:kern w:val="0"/>
                <w:sz w:val="24"/>
                <w:szCs w:val="24"/>
              </w:rPr>
              <w:t>回购期限</w:t>
            </w:r>
          </w:p>
        </w:tc>
        <w:tc>
          <w:tcPr>
            <w:tcW w:w="3291" w:type="pct"/>
          </w:tcPr>
          <w:p w14:paraId="38CD248D">
            <w:pPr>
              <w:adjustRightInd w:val="0"/>
              <w:snapToGrid w:val="0"/>
              <w:rPr>
                <w:rFonts w:ascii="仿宋_GB2312" w:eastAsia="仿宋_GB2312"/>
                <w:kern w:val="0"/>
                <w:sz w:val="24"/>
                <w:szCs w:val="24"/>
              </w:rPr>
            </w:pPr>
            <w:r>
              <w:rPr>
                <w:rFonts w:hint="eastAsia" w:ascii="仿宋_GB2312" w:eastAsia="仿宋_GB2312"/>
                <w:kern w:val="0"/>
                <w:sz w:val="24"/>
                <w:szCs w:val="24"/>
              </w:rPr>
              <w:t>即成交日至回购到期日的实际天数。回购期限按自然日计算，以天为单位，含成交日，不含回购到期日，自动显示，无需输入</w:t>
            </w:r>
          </w:p>
        </w:tc>
      </w:tr>
      <w:tr w14:paraId="32CE8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pct"/>
          </w:tcPr>
          <w:p w14:paraId="05F3355F">
            <w:pPr>
              <w:adjustRightInd w:val="0"/>
              <w:snapToGrid w:val="0"/>
              <w:rPr>
                <w:rFonts w:ascii="仿宋_GB2312" w:eastAsia="仿宋_GB2312"/>
                <w:b/>
                <w:kern w:val="0"/>
                <w:sz w:val="24"/>
                <w:szCs w:val="24"/>
              </w:rPr>
            </w:pPr>
            <w:r>
              <w:rPr>
                <w:rFonts w:hint="eastAsia" w:ascii="仿宋_GB2312" w:eastAsia="仿宋_GB2312"/>
                <w:b/>
                <w:kern w:val="0"/>
                <w:sz w:val="24"/>
                <w:szCs w:val="24"/>
              </w:rPr>
              <w:t>回购利率</w:t>
            </w:r>
          </w:p>
        </w:tc>
        <w:tc>
          <w:tcPr>
            <w:tcW w:w="3291" w:type="pct"/>
          </w:tcPr>
          <w:p w14:paraId="6F71ED9D">
            <w:pPr>
              <w:adjustRightInd w:val="0"/>
              <w:snapToGrid w:val="0"/>
              <w:rPr>
                <w:rFonts w:ascii="仿宋_GB2312" w:eastAsia="仿宋_GB2312"/>
                <w:kern w:val="0"/>
                <w:sz w:val="24"/>
                <w:szCs w:val="24"/>
              </w:rPr>
            </w:pPr>
            <w:r>
              <w:rPr>
                <w:rFonts w:hint="eastAsia" w:ascii="仿宋_GB2312" w:eastAsia="仿宋_GB2312"/>
                <w:kern w:val="0"/>
                <w:sz w:val="24"/>
                <w:szCs w:val="24"/>
              </w:rPr>
              <w:t>正回购方付给逆回购方的资金价格，自动显示，无需输入</w:t>
            </w:r>
          </w:p>
        </w:tc>
      </w:tr>
      <w:tr w14:paraId="006C8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8" w:type="pct"/>
          </w:tcPr>
          <w:p w14:paraId="0AA95981">
            <w:pPr>
              <w:adjustRightInd w:val="0"/>
              <w:snapToGrid w:val="0"/>
              <w:rPr>
                <w:rFonts w:ascii="仿宋_GB2312" w:eastAsia="仿宋_GB2312"/>
                <w:b/>
                <w:kern w:val="0"/>
                <w:sz w:val="24"/>
                <w:szCs w:val="24"/>
              </w:rPr>
            </w:pPr>
            <w:r>
              <w:rPr>
                <w:rFonts w:hint="eastAsia" w:ascii="仿宋_GB2312" w:eastAsia="仿宋_GB2312"/>
                <w:b/>
                <w:kern w:val="0"/>
                <w:sz w:val="24"/>
                <w:szCs w:val="24"/>
              </w:rPr>
              <w:t>回购金额</w:t>
            </w:r>
          </w:p>
        </w:tc>
        <w:tc>
          <w:tcPr>
            <w:tcW w:w="3291" w:type="pct"/>
          </w:tcPr>
          <w:p w14:paraId="01049861">
            <w:pPr>
              <w:adjustRightInd w:val="0"/>
              <w:snapToGrid w:val="0"/>
              <w:rPr>
                <w:rFonts w:ascii="仿宋_GB2312" w:eastAsia="仿宋_GB2312"/>
                <w:kern w:val="0"/>
                <w:sz w:val="24"/>
                <w:szCs w:val="24"/>
              </w:rPr>
            </w:pPr>
            <w:r>
              <w:rPr>
                <w:rFonts w:hint="eastAsia" w:ascii="仿宋_GB2312" w:eastAsia="仿宋_GB2312"/>
                <w:kern w:val="0"/>
                <w:sz w:val="24"/>
                <w:szCs w:val="24"/>
              </w:rPr>
              <w:t>正回购方融入的资金额度，自动显示，无需输入</w:t>
            </w:r>
          </w:p>
        </w:tc>
      </w:tr>
      <w:tr w14:paraId="6FE1C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pct"/>
          </w:tcPr>
          <w:p w14:paraId="4C314167">
            <w:pPr>
              <w:adjustRightInd w:val="0"/>
              <w:snapToGrid w:val="0"/>
              <w:rPr>
                <w:rFonts w:ascii="仿宋_GB2312" w:eastAsia="仿宋_GB2312"/>
                <w:b/>
                <w:kern w:val="0"/>
                <w:sz w:val="24"/>
                <w:szCs w:val="24"/>
              </w:rPr>
            </w:pPr>
            <w:r>
              <w:rPr>
                <w:rFonts w:hint="eastAsia" w:ascii="仿宋_GB2312" w:eastAsia="仿宋_GB2312"/>
                <w:b/>
                <w:kern w:val="0"/>
                <w:sz w:val="24"/>
                <w:szCs w:val="24"/>
              </w:rPr>
              <w:t>回购利息</w:t>
            </w:r>
          </w:p>
        </w:tc>
        <w:tc>
          <w:tcPr>
            <w:tcW w:w="3291" w:type="pct"/>
          </w:tcPr>
          <w:p w14:paraId="1AEBAA10">
            <w:pPr>
              <w:adjustRightInd w:val="0"/>
              <w:snapToGrid w:val="0"/>
              <w:rPr>
                <w:rFonts w:ascii="仿宋_GB2312" w:eastAsia="仿宋_GB2312"/>
                <w:kern w:val="0"/>
                <w:sz w:val="24"/>
                <w:szCs w:val="24"/>
              </w:rPr>
            </w:pPr>
            <w:r>
              <w:rPr>
                <w:rFonts w:hint="eastAsia" w:ascii="仿宋_GB2312" w:eastAsia="仿宋_GB2312"/>
                <w:kern w:val="0"/>
                <w:sz w:val="24"/>
                <w:szCs w:val="24"/>
              </w:rPr>
              <w:t>成交金额×回购利率×实际占款天数/365，自动显示，无需输入</w:t>
            </w:r>
          </w:p>
        </w:tc>
      </w:tr>
      <w:tr w14:paraId="035E6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pct"/>
          </w:tcPr>
          <w:p w14:paraId="040807B9">
            <w:pPr>
              <w:adjustRightInd w:val="0"/>
              <w:snapToGrid w:val="0"/>
              <w:rPr>
                <w:rFonts w:ascii="仿宋_GB2312" w:eastAsia="仿宋_GB2312"/>
                <w:b/>
                <w:kern w:val="0"/>
                <w:sz w:val="24"/>
                <w:szCs w:val="24"/>
              </w:rPr>
            </w:pPr>
            <w:r>
              <w:rPr>
                <w:rFonts w:hint="eastAsia" w:ascii="仿宋_GB2312" w:eastAsia="仿宋_GB2312"/>
                <w:b/>
                <w:kern w:val="0"/>
                <w:sz w:val="24"/>
                <w:szCs w:val="24"/>
              </w:rPr>
              <w:t>到期结算金额</w:t>
            </w:r>
          </w:p>
        </w:tc>
        <w:tc>
          <w:tcPr>
            <w:tcW w:w="3291" w:type="pct"/>
          </w:tcPr>
          <w:p w14:paraId="26545402">
            <w:pPr>
              <w:adjustRightInd w:val="0"/>
              <w:snapToGrid w:val="0"/>
              <w:rPr>
                <w:rFonts w:ascii="仿宋_GB2312" w:eastAsia="仿宋_GB2312"/>
                <w:kern w:val="0"/>
                <w:sz w:val="24"/>
                <w:szCs w:val="24"/>
              </w:rPr>
            </w:pPr>
            <w:r>
              <w:rPr>
                <w:rFonts w:hint="eastAsia" w:ascii="仿宋_GB2312" w:eastAsia="仿宋_GB2312"/>
                <w:kern w:val="0"/>
                <w:sz w:val="24"/>
                <w:szCs w:val="24"/>
              </w:rPr>
              <w:t>到期日正回购方返回的金额，自动显示，无需输入</w:t>
            </w:r>
          </w:p>
        </w:tc>
      </w:tr>
      <w:tr w14:paraId="52449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pct"/>
          </w:tcPr>
          <w:p w14:paraId="1D2BA40C">
            <w:pPr>
              <w:adjustRightInd w:val="0"/>
              <w:snapToGrid w:val="0"/>
              <w:rPr>
                <w:rFonts w:ascii="仿宋_GB2312" w:eastAsia="仿宋_GB2312"/>
                <w:b/>
                <w:kern w:val="0"/>
                <w:sz w:val="24"/>
                <w:szCs w:val="24"/>
              </w:rPr>
            </w:pPr>
            <w:r>
              <w:rPr>
                <w:rFonts w:hint="eastAsia" w:ascii="仿宋_GB2312" w:eastAsia="仿宋_GB2312"/>
                <w:b/>
                <w:kern w:val="0"/>
                <w:sz w:val="24"/>
                <w:szCs w:val="24"/>
              </w:rPr>
              <w:t>原成交编号</w:t>
            </w:r>
          </w:p>
        </w:tc>
        <w:tc>
          <w:tcPr>
            <w:tcW w:w="3291" w:type="pct"/>
          </w:tcPr>
          <w:p w14:paraId="6DED86D8">
            <w:pPr>
              <w:adjustRightInd w:val="0"/>
              <w:snapToGrid w:val="0"/>
              <w:rPr>
                <w:rFonts w:ascii="仿宋_GB2312" w:eastAsia="仿宋_GB2312"/>
                <w:kern w:val="0"/>
                <w:sz w:val="24"/>
                <w:szCs w:val="24"/>
              </w:rPr>
            </w:pPr>
            <w:r>
              <w:rPr>
                <w:rFonts w:hint="eastAsia" w:ascii="仿宋_GB2312" w:eastAsia="仿宋_GB2312"/>
                <w:kern w:val="0"/>
                <w:sz w:val="24"/>
                <w:szCs w:val="24"/>
              </w:rPr>
              <w:t>原回购交易成交编号，自动显示，无需输入</w:t>
            </w:r>
          </w:p>
        </w:tc>
      </w:tr>
      <w:tr w14:paraId="01A8D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8" w:type="pct"/>
          </w:tcPr>
          <w:p w14:paraId="50E2A712">
            <w:pPr>
              <w:adjustRightInd w:val="0"/>
              <w:snapToGrid w:val="0"/>
              <w:rPr>
                <w:rFonts w:ascii="仿宋_GB2312" w:eastAsia="仿宋_GB2312"/>
                <w:b/>
                <w:kern w:val="0"/>
                <w:sz w:val="24"/>
                <w:szCs w:val="24"/>
              </w:rPr>
            </w:pPr>
            <w:r>
              <w:rPr>
                <w:rFonts w:hint="eastAsia" w:ascii="仿宋_GB2312" w:eastAsia="仿宋_GB2312"/>
                <w:b/>
                <w:kern w:val="0"/>
                <w:sz w:val="24"/>
                <w:szCs w:val="24"/>
              </w:rPr>
              <w:t>原成交日期</w:t>
            </w:r>
          </w:p>
        </w:tc>
        <w:tc>
          <w:tcPr>
            <w:tcW w:w="3291" w:type="pct"/>
          </w:tcPr>
          <w:p w14:paraId="1FDB9ED9">
            <w:pPr>
              <w:adjustRightInd w:val="0"/>
              <w:snapToGrid w:val="0"/>
              <w:rPr>
                <w:rFonts w:ascii="仿宋_GB2312" w:eastAsia="仿宋_GB2312"/>
                <w:kern w:val="0"/>
                <w:sz w:val="24"/>
                <w:szCs w:val="24"/>
              </w:rPr>
            </w:pPr>
            <w:r>
              <w:rPr>
                <w:rFonts w:hint="eastAsia" w:ascii="仿宋_GB2312" w:eastAsia="仿宋_GB2312"/>
                <w:kern w:val="0"/>
                <w:sz w:val="24"/>
                <w:szCs w:val="24"/>
              </w:rPr>
              <w:t>原回购交易成交日期，自动显示，无需输入</w:t>
            </w:r>
          </w:p>
        </w:tc>
      </w:tr>
      <w:tr w14:paraId="30DA6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pct"/>
          </w:tcPr>
          <w:p w14:paraId="54BDA24A">
            <w:pPr>
              <w:adjustRightInd w:val="0"/>
              <w:snapToGrid w:val="0"/>
              <w:rPr>
                <w:rFonts w:ascii="仿宋_GB2312" w:eastAsia="仿宋_GB2312"/>
                <w:b/>
                <w:kern w:val="0"/>
                <w:sz w:val="24"/>
                <w:szCs w:val="24"/>
              </w:rPr>
            </w:pPr>
            <w:r>
              <w:rPr>
                <w:rFonts w:hint="eastAsia" w:ascii="仿宋_GB2312" w:eastAsia="仿宋_GB2312"/>
                <w:b/>
                <w:kern w:val="0"/>
                <w:sz w:val="24"/>
                <w:szCs w:val="24"/>
              </w:rPr>
              <w:t>回购到期日</w:t>
            </w:r>
          </w:p>
        </w:tc>
        <w:tc>
          <w:tcPr>
            <w:tcW w:w="3291" w:type="pct"/>
          </w:tcPr>
          <w:p w14:paraId="171FEE1F">
            <w:pPr>
              <w:adjustRightInd w:val="0"/>
              <w:snapToGrid w:val="0"/>
              <w:rPr>
                <w:rFonts w:ascii="仿宋_GB2312" w:eastAsia="仿宋_GB2312"/>
                <w:kern w:val="0"/>
                <w:sz w:val="24"/>
                <w:szCs w:val="24"/>
              </w:rPr>
            </w:pPr>
            <w:r>
              <w:rPr>
                <w:rFonts w:hint="eastAsia" w:ascii="仿宋_GB2312" w:eastAsia="仿宋_GB2312"/>
                <w:kern w:val="0"/>
                <w:sz w:val="24"/>
                <w:szCs w:val="24"/>
              </w:rPr>
              <w:t>参与人确定的回购到期日期，自动显示，无需输入</w:t>
            </w:r>
          </w:p>
        </w:tc>
      </w:tr>
      <w:tr w14:paraId="06130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pct"/>
          </w:tcPr>
          <w:p w14:paraId="00083C91">
            <w:pPr>
              <w:adjustRightInd w:val="0"/>
              <w:snapToGrid w:val="0"/>
              <w:rPr>
                <w:rFonts w:ascii="仿宋_GB2312" w:eastAsia="仿宋_GB2312"/>
                <w:b/>
                <w:kern w:val="0"/>
                <w:sz w:val="24"/>
                <w:szCs w:val="24"/>
              </w:rPr>
            </w:pPr>
            <w:r>
              <w:rPr>
                <w:rFonts w:hint="eastAsia" w:ascii="仿宋_GB2312" w:eastAsia="仿宋_GB2312"/>
                <w:b/>
                <w:kern w:val="0"/>
                <w:sz w:val="24"/>
                <w:szCs w:val="24"/>
              </w:rPr>
              <w:t>换券申报日期</w:t>
            </w:r>
          </w:p>
        </w:tc>
        <w:tc>
          <w:tcPr>
            <w:tcW w:w="3291" w:type="pct"/>
          </w:tcPr>
          <w:p w14:paraId="122945A3">
            <w:pPr>
              <w:adjustRightInd w:val="0"/>
              <w:snapToGrid w:val="0"/>
              <w:rPr>
                <w:rFonts w:ascii="仿宋_GB2312" w:eastAsia="仿宋_GB2312"/>
                <w:kern w:val="0"/>
                <w:sz w:val="24"/>
                <w:szCs w:val="24"/>
              </w:rPr>
            </w:pPr>
            <w:r>
              <w:rPr>
                <w:rFonts w:hint="eastAsia" w:ascii="仿宋_GB2312" w:eastAsia="仿宋_GB2312"/>
                <w:kern w:val="0"/>
                <w:sz w:val="24"/>
                <w:szCs w:val="24"/>
              </w:rPr>
              <w:t>换券申报日期，自动显示，无需输入</w:t>
            </w:r>
          </w:p>
        </w:tc>
      </w:tr>
      <w:tr w14:paraId="423C9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pct"/>
          </w:tcPr>
          <w:p w14:paraId="20E8D545">
            <w:pPr>
              <w:adjustRightInd w:val="0"/>
              <w:snapToGrid w:val="0"/>
              <w:rPr>
                <w:rFonts w:ascii="仿宋_GB2312" w:eastAsia="仿宋_GB2312"/>
                <w:b/>
                <w:kern w:val="0"/>
                <w:sz w:val="24"/>
                <w:szCs w:val="24"/>
              </w:rPr>
            </w:pPr>
            <w:r>
              <w:rPr>
                <w:rFonts w:hint="eastAsia" w:ascii="仿宋_GB2312" w:eastAsia="仿宋_GB2312"/>
                <w:b/>
                <w:kern w:val="0"/>
                <w:sz w:val="24"/>
                <w:szCs w:val="24"/>
              </w:rPr>
              <w:t>实际占款天数</w:t>
            </w:r>
          </w:p>
        </w:tc>
        <w:tc>
          <w:tcPr>
            <w:tcW w:w="3291" w:type="pct"/>
          </w:tcPr>
          <w:p w14:paraId="295F0395">
            <w:pPr>
              <w:adjustRightInd w:val="0"/>
              <w:snapToGrid w:val="0"/>
              <w:rPr>
                <w:rFonts w:ascii="仿宋_GB2312" w:eastAsia="仿宋_GB2312"/>
                <w:kern w:val="0"/>
                <w:sz w:val="24"/>
                <w:szCs w:val="24"/>
              </w:rPr>
            </w:pPr>
            <w:r>
              <w:rPr>
                <w:rFonts w:hint="eastAsia" w:ascii="仿宋_GB2312" w:eastAsia="仿宋_GB2312"/>
                <w:kern w:val="0"/>
                <w:sz w:val="24"/>
                <w:szCs w:val="24"/>
              </w:rPr>
              <w:t>到期结算日-首期结算日，自动显示，无需输入</w:t>
            </w:r>
          </w:p>
        </w:tc>
      </w:tr>
    </w:tbl>
    <w:p w14:paraId="1580B406">
      <w:pPr>
        <w:adjustRightInd w:val="0"/>
        <w:snapToGrid w:val="0"/>
        <w:spacing w:line="600" w:lineRule="exact"/>
        <w:ind w:firstLine="600" w:firstLineChars="200"/>
        <w:rPr>
          <w:rFonts w:ascii="仿宋_GB2312" w:hAnsi="Calibri" w:eastAsia="仿宋_GB2312"/>
          <w:color w:val="000000"/>
          <w:sz w:val="30"/>
          <w:szCs w:val="30"/>
        </w:rPr>
      </w:pPr>
      <w:r>
        <w:rPr>
          <w:rFonts w:hint="eastAsia" w:ascii="仿宋_GB2312" w:hAnsi="Calibri" w:eastAsia="仿宋_GB2312"/>
          <w:sz w:val="30"/>
          <w:szCs w:val="30"/>
        </w:rPr>
        <w:t>每次换券只能替换一只债券，换入的债券和换出的债券需要指定具体数量，换入的债券需要满足回购合约的质押券篮子要求，且换入的质押券的到期日不得早于回购到期日，否则换券申报失败。若换入债券的数量为0，则表示仅进行债券的换出，不进行换入，</w:t>
      </w:r>
      <w:r>
        <w:rPr>
          <w:rFonts w:hint="eastAsia" w:ascii="仿宋_GB2312" w:hAnsi="Calibri" w:eastAsia="仿宋_GB2312"/>
          <w:color w:val="000000"/>
          <w:sz w:val="30"/>
          <w:szCs w:val="30"/>
        </w:rPr>
        <w:t>登记结算机构只对换出的质押券解除质押登记。因换入债券数量不足等原因导致变更质押登记失败的，原质押券的质押状态不变。</w:t>
      </w:r>
      <w:bookmarkStart w:id="2141" w:name="_Toc489369977"/>
      <w:bookmarkEnd w:id="2141"/>
      <w:bookmarkStart w:id="2142" w:name="_Toc489369982"/>
      <w:bookmarkEnd w:id="2142"/>
      <w:bookmarkStart w:id="2143" w:name="_Toc489369980"/>
      <w:bookmarkEnd w:id="2143"/>
      <w:bookmarkStart w:id="2144" w:name="_Toc489369981"/>
      <w:bookmarkEnd w:id="2144"/>
      <w:bookmarkStart w:id="2145" w:name="_Toc489369912"/>
      <w:bookmarkEnd w:id="2145"/>
      <w:bookmarkStart w:id="2146" w:name="_Toc489369979"/>
      <w:bookmarkEnd w:id="2146"/>
      <w:bookmarkStart w:id="2147" w:name="_Toc489369916"/>
      <w:bookmarkEnd w:id="2147"/>
      <w:bookmarkStart w:id="2148" w:name="_Toc489369911"/>
      <w:bookmarkEnd w:id="2148"/>
      <w:bookmarkStart w:id="2149" w:name="_Toc489369915"/>
      <w:bookmarkEnd w:id="2149"/>
      <w:bookmarkStart w:id="2150" w:name="_Toc489369914"/>
      <w:bookmarkEnd w:id="2150"/>
      <w:bookmarkStart w:id="2151" w:name="_Toc489369978"/>
      <w:bookmarkEnd w:id="2151"/>
      <w:bookmarkStart w:id="2152" w:name="_Toc489369913"/>
      <w:bookmarkEnd w:id="2152"/>
    </w:p>
    <w:p w14:paraId="2D296196">
      <w:pPr>
        <w:spacing w:line="600" w:lineRule="exact"/>
        <w:ind w:left="567"/>
        <w:outlineLvl w:val="3"/>
        <w:rPr>
          <w:rFonts w:ascii="仿宋_GB2312" w:eastAsia="仿宋_GB2312"/>
          <w:b/>
          <w:sz w:val="30"/>
          <w:szCs w:val="30"/>
        </w:rPr>
      </w:pPr>
      <w:r>
        <w:rPr>
          <w:rFonts w:hint="eastAsia" w:ascii="仿宋_GB2312" w:eastAsia="仿宋_GB2312"/>
          <w:b/>
          <w:sz w:val="30"/>
          <w:szCs w:val="30"/>
        </w:rPr>
        <w:t>（3）补券</w:t>
      </w:r>
    </w:p>
    <w:p w14:paraId="481D23A3">
      <w:pPr>
        <w:adjustRightInd w:val="0"/>
        <w:snapToGri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在质押券担保价值与回购金额相比出现不足且达到一定比例（暂定为5%）时，由固定收益平台对回购双方进行提示，逆回购方有权根据主协议、补充协议及交易补充约定要求正回购方补充、变更相应的质押券或提供其他相应担保，正回购方可通过固定收益平台申报补充质押券。</w:t>
      </w:r>
    </w:p>
    <w:p w14:paraId="55AB0C22">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补券申报的具体要素及要素说明如下：</w:t>
      </w:r>
    </w:p>
    <w:tbl>
      <w:tblPr>
        <w:tblStyle w:val="4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6"/>
        <w:gridCol w:w="6006"/>
      </w:tblGrid>
      <w:tr w14:paraId="24A9A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6" w:type="pct"/>
          </w:tcPr>
          <w:p w14:paraId="7BA8FFBC">
            <w:pPr>
              <w:adjustRightInd w:val="0"/>
              <w:snapToGrid w:val="0"/>
              <w:rPr>
                <w:rFonts w:ascii="仿宋_GB2312" w:eastAsia="仿宋_GB2312"/>
                <w:b/>
                <w:kern w:val="0"/>
                <w:sz w:val="24"/>
                <w:szCs w:val="24"/>
              </w:rPr>
            </w:pPr>
            <w:r>
              <w:rPr>
                <w:rFonts w:hint="eastAsia" w:ascii="仿宋_GB2312" w:eastAsia="仿宋_GB2312"/>
                <w:b/>
                <w:kern w:val="0"/>
                <w:sz w:val="24"/>
                <w:szCs w:val="24"/>
              </w:rPr>
              <w:t>要素名称</w:t>
            </w:r>
          </w:p>
        </w:tc>
        <w:tc>
          <w:tcPr>
            <w:tcW w:w="3523" w:type="pct"/>
          </w:tcPr>
          <w:p w14:paraId="7D3BF079">
            <w:pPr>
              <w:adjustRightInd w:val="0"/>
              <w:snapToGrid w:val="0"/>
              <w:rPr>
                <w:rFonts w:ascii="仿宋_GB2312" w:eastAsia="仿宋_GB2312"/>
                <w:b/>
                <w:kern w:val="0"/>
                <w:sz w:val="24"/>
                <w:szCs w:val="24"/>
              </w:rPr>
            </w:pPr>
            <w:r>
              <w:rPr>
                <w:rFonts w:hint="eastAsia" w:ascii="仿宋_GB2312" w:eastAsia="仿宋_GB2312"/>
                <w:b/>
                <w:kern w:val="0"/>
                <w:sz w:val="24"/>
                <w:szCs w:val="24"/>
              </w:rPr>
              <w:t>要素说明</w:t>
            </w:r>
          </w:p>
        </w:tc>
      </w:tr>
      <w:tr w14:paraId="4CF5C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2"/>
          </w:tcPr>
          <w:p w14:paraId="6B28A797">
            <w:pPr>
              <w:adjustRightInd w:val="0"/>
              <w:snapToGrid w:val="0"/>
              <w:jc w:val="center"/>
              <w:rPr>
                <w:rFonts w:ascii="仿宋_GB2312" w:eastAsia="仿宋_GB2312"/>
                <w:b/>
                <w:kern w:val="0"/>
                <w:sz w:val="24"/>
                <w:szCs w:val="24"/>
              </w:rPr>
            </w:pPr>
            <w:r>
              <w:rPr>
                <w:rFonts w:hint="eastAsia" w:ascii="仿宋_GB2312" w:eastAsia="仿宋_GB2312"/>
                <w:b/>
                <w:kern w:val="0"/>
                <w:sz w:val="24"/>
                <w:szCs w:val="24"/>
              </w:rPr>
              <w:t>新券申报信息</w:t>
            </w:r>
          </w:p>
        </w:tc>
      </w:tr>
      <w:tr w14:paraId="697A9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6" w:type="pct"/>
          </w:tcPr>
          <w:p w14:paraId="36853AFC">
            <w:pPr>
              <w:adjustRightInd w:val="0"/>
              <w:snapToGrid w:val="0"/>
              <w:rPr>
                <w:rFonts w:ascii="仿宋_GB2312" w:eastAsia="仿宋_GB2312"/>
                <w:b/>
                <w:kern w:val="0"/>
                <w:sz w:val="24"/>
                <w:szCs w:val="24"/>
              </w:rPr>
            </w:pPr>
            <w:r>
              <w:rPr>
                <w:rFonts w:hint="eastAsia" w:ascii="仿宋_GB2312" w:eastAsia="仿宋_GB2312"/>
                <w:b/>
                <w:kern w:val="0"/>
                <w:sz w:val="24"/>
                <w:szCs w:val="24"/>
              </w:rPr>
              <w:t>质押券代码</w:t>
            </w:r>
          </w:p>
        </w:tc>
        <w:tc>
          <w:tcPr>
            <w:tcW w:w="3523" w:type="pct"/>
          </w:tcPr>
          <w:p w14:paraId="0EADBF17">
            <w:pPr>
              <w:adjustRightInd w:val="0"/>
              <w:snapToGrid w:val="0"/>
              <w:rPr>
                <w:rFonts w:ascii="仿宋_GB2312" w:eastAsia="仿宋_GB2312"/>
                <w:kern w:val="0"/>
                <w:sz w:val="24"/>
                <w:szCs w:val="24"/>
              </w:rPr>
            </w:pPr>
            <w:r>
              <w:rPr>
                <w:rFonts w:hint="eastAsia" w:ascii="仿宋_GB2312" w:eastAsia="仿宋_GB2312"/>
                <w:kern w:val="0"/>
                <w:sz w:val="24"/>
                <w:szCs w:val="24"/>
              </w:rPr>
              <w:t>质押券代码</w:t>
            </w:r>
          </w:p>
        </w:tc>
      </w:tr>
      <w:tr w14:paraId="76493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76" w:type="pct"/>
          </w:tcPr>
          <w:p w14:paraId="73C0F50C">
            <w:pPr>
              <w:adjustRightInd w:val="0"/>
              <w:snapToGrid w:val="0"/>
              <w:rPr>
                <w:rFonts w:ascii="仿宋_GB2312" w:eastAsia="仿宋_GB2312"/>
                <w:b/>
                <w:kern w:val="0"/>
                <w:sz w:val="24"/>
                <w:szCs w:val="24"/>
              </w:rPr>
            </w:pPr>
            <w:r>
              <w:rPr>
                <w:rFonts w:hint="eastAsia" w:ascii="仿宋_GB2312" w:eastAsia="仿宋_GB2312"/>
                <w:b/>
                <w:kern w:val="0"/>
                <w:sz w:val="24"/>
                <w:szCs w:val="24"/>
              </w:rPr>
              <w:t>质押券数量</w:t>
            </w:r>
          </w:p>
        </w:tc>
        <w:tc>
          <w:tcPr>
            <w:tcW w:w="3523" w:type="pct"/>
          </w:tcPr>
          <w:p w14:paraId="48450CCD">
            <w:pPr>
              <w:adjustRightInd w:val="0"/>
              <w:snapToGrid w:val="0"/>
              <w:rPr>
                <w:rFonts w:ascii="仿宋_GB2312" w:eastAsia="仿宋_GB2312"/>
                <w:kern w:val="0"/>
                <w:sz w:val="24"/>
                <w:szCs w:val="24"/>
              </w:rPr>
            </w:pPr>
            <w:r>
              <w:rPr>
                <w:rFonts w:hint="eastAsia" w:ascii="仿宋_GB2312" w:eastAsia="仿宋_GB2312"/>
                <w:kern w:val="0"/>
                <w:sz w:val="24"/>
                <w:szCs w:val="24"/>
              </w:rPr>
              <w:t>质押券数量，以千元面额为单位</w:t>
            </w:r>
          </w:p>
        </w:tc>
      </w:tr>
      <w:tr w14:paraId="70BF6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6" w:type="pct"/>
          </w:tcPr>
          <w:p w14:paraId="2209EB4B">
            <w:pPr>
              <w:adjustRightInd w:val="0"/>
              <w:snapToGrid w:val="0"/>
              <w:rPr>
                <w:rFonts w:ascii="仿宋_GB2312" w:eastAsia="仿宋_GB2312"/>
                <w:b/>
                <w:kern w:val="0"/>
                <w:sz w:val="24"/>
                <w:szCs w:val="24"/>
              </w:rPr>
            </w:pPr>
            <w:r>
              <w:rPr>
                <w:rFonts w:hint="eastAsia" w:ascii="仿宋_GB2312" w:eastAsia="仿宋_GB2312"/>
                <w:b/>
                <w:kern w:val="0"/>
                <w:sz w:val="24"/>
                <w:szCs w:val="24"/>
              </w:rPr>
              <w:t>对手方交易员代码</w:t>
            </w:r>
          </w:p>
        </w:tc>
        <w:tc>
          <w:tcPr>
            <w:tcW w:w="3523" w:type="pct"/>
          </w:tcPr>
          <w:p w14:paraId="4FB83ACA">
            <w:pPr>
              <w:adjustRightInd w:val="0"/>
              <w:snapToGrid w:val="0"/>
              <w:rPr>
                <w:rFonts w:ascii="仿宋_GB2312" w:eastAsia="仿宋_GB2312"/>
                <w:kern w:val="0"/>
                <w:sz w:val="24"/>
                <w:szCs w:val="24"/>
              </w:rPr>
            </w:pPr>
            <w:r>
              <w:rPr>
                <w:rFonts w:hint="eastAsia" w:ascii="仿宋_GB2312" w:eastAsia="仿宋_GB2312"/>
                <w:kern w:val="0"/>
                <w:sz w:val="24"/>
                <w:szCs w:val="24"/>
              </w:rPr>
              <w:t>默认显示原始申报的对手方交易员代码</w:t>
            </w:r>
          </w:p>
        </w:tc>
      </w:tr>
      <w:tr w14:paraId="5C4D7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6" w:type="pct"/>
          </w:tcPr>
          <w:p w14:paraId="1BBADF4B">
            <w:pPr>
              <w:adjustRightInd w:val="0"/>
              <w:snapToGrid w:val="0"/>
              <w:rPr>
                <w:rFonts w:ascii="仿宋_GB2312" w:eastAsia="仿宋_GB2312"/>
                <w:b/>
                <w:kern w:val="0"/>
                <w:sz w:val="24"/>
                <w:szCs w:val="24"/>
              </w:rPr>
            </w:pPr>
            <w:r>
              <w:rPr>
                <w:rFonts w:hint="eastAsia" w:ascii="仿宋_GB2312" w:eastAsia="仿宋_GB2312"/>
                <w:b/>
                <w:kern w:val="0"/>
                <w:sz w:val="24"/>
                <w:szCs w:val="24"/>
              </w:rPr>
              <w:t>质押券简称</w:t>
            </w:r>
          </w:p>
        </w:tc>
        <w:tc>
          <w:tcPr>
            <w:tcW w:w="3523" w:type="pct"/>
          </w:tcPr>
          <w:p w14:paraId="0945497E">
            <w:pPr>
              <w:adjustRightInd w:val="0"/>
              <w:snapToGrid w:val="0"/>
              <w:rPr>
                <w:rFonts w:ascii="仿宋_GB2312" w:eastAsia="仿宋_GB2312"/>
                <w:kern w:val="0"/>
                <w:sz w:val="24"/>
                <w:szCs w:val="24"/>
              </w:rPr>
            </w:pPr>
            <w:r>
              <w:rPr>
                <w:rFonts w:hint="eastAsia" w:ascii="仿宋_GB2312" w:eastAsia="仿宋_GB2312"/>
                <w:kern w:val="0"/>
                <w:sz w:val="24"/>
                <w:szCs w:val="24"/>
              </w:rPr>
              <w:t>质押券简称，自动显示，无需输入</w:t>
            </w:r>
          </w:p>
        </w:tc>
      </w:tr>
      <w:tr w14:paraId="69300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6" w:type="pct"/>
          </w:tcPr>
          <w:p w14:paraId="26924D1F">
            <w:pPr>
              <w:adjustRightInd w:val="0"/>
              <w:snapToGrid w:val="0"/>
              <w:rPr>
                <w:rFonts w:ascii="仿宋_GB2312" w:eastAsia="仿宋_GB2312"/>
                <w:b/>
                <w:kern w:val="0"/>
                <w:sz w:val="24"/>
                <w:szCs w:val="24"/>
              </w:rPr>
            </w:pPr>
            <w:r>
              <w:rPr>
                <w:rFonts w:hint="eastAsia" w:ascii="仿宋_GB2312" w:eastAsia="仿宋_GB2312"/>
                <w:b/>
                <w:kern w:val="0"/>
                <w:sz w:val="24"/>
                <w:szCs w:val="24"/>
              </w:rPr>
              <w:t>质押券所属篮子</w:t>
            </w:r>
          </w:p>
        </w:tc>
        <w:tc>
          <w:tcPr>
            <w:tcW w:w="3523" w:type="pct"/>
          </w:tcPr>
          <w:p w14:paraId="15C0FD70">
            <w:pPr>
              <w:adjustRightInd w:val="0"/>
              <w:snapToGrid w:val="0"/>
              <w:rPr>
                <w:rFonts w:ascii="仿宋_GB2312" w:eastAsia="仿宋_GB2312"/>
                <w:kern w:val="0"/>
                <w:sz w:val="24"/>
                <w:szCs w:val="24"/>
              </w:rPr>
            </w:pPr>
            <w:r>
              <w:rPr>
                <w:rFonts w:hint="eastAsia" w:ascii="仿宋_GB2312" w:eastAsia="仿宋_GB2312"/>
                <w:kern w:val="0"/>
                <w:sz w:val="24"/>
                <w:szCs w:val="24"/>
              </w:rPr>
              <w:t>补充质押券所属篮子，自动显示，无需输入</w:t>
            </w:r>
          </w:p>
        </w:tc>
      </w:tr>
      <w:tr w14:paraId="4A7FC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76" w:type="pct"/>
          </w:tcPr>
          <w:p w14:paraId="5DC2E3AC">
            <w:pPr>
              <w:adjustRightInd w:val="0"/>
              <w:snapToGrid w:val="0"/>
              <w:rPr>
                <w:rFonts w:ascii="仿宋_GB2312" w:eastAsia="仿宋_GB2312"/>
                <w:b/>
                <w:kern w:val="0"/>
                <w:sz w:val="24"/>
                <w:szCs w:val="24"/>
              </w:rPr>
            </w:pPr>
            <w:r>
              <w:rPr>
                <w:rFonts w:hint="eastAsia" w:ascii="仿宋_GB2312" w:eastAsia="仿宋_GB2312"/>
                <w:b/>
                <w:kern w:val="0"/>
                <w:sz w:val="24"/>
                <w:szCs w:val="24"/>
              </w:rPr>
              <w:t>折扣率</w:t>
            </w:r>
          </w:p>
        </w:tc>
        <w:tc>
          <w:tcPr>
            <w:tcW w:w="3523" w:type="pct"/>
          </w:tcPr>
          <w:p w14:paraId="46F6C88F">
            <w:pPr>
              <w:adjustRightInd w:val="0"/>
              <w:snapToGrid w:val="0"/>
              <w:rPr>
                <w:rFonts w:ascii="仿宋_GB2312" w:eastAsia="仿宋_GB2312"/>
                <w:kern w:val="0"/>
                <w:sz w:val="24"/>
                <w:szCs w:val="24"/>
              </w:rPr>
            </w:pPr>
            <w:r>
              <w:rPr>
                <w:rFonts w:hint="eastAsia" w:ascii="仿宋_GB2312" w:eastAsia="仿宋_GB2312"/>
                <w:kern w:val="0"/>
                <w:sz w:val="24"/>
                <w:szCs w:val="24"/>
              </w:rPr>
              <w:t>补充质押券折扣率，自动显示，无需输入</w:t>
            </w:r>
          </w:p>
        </w:tc>
      </w:tr>
      <w:tr w14:paraId="32598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6" w:type="pct"/>
          </w:tcPr>
          <w:p w14:paraId="765468E7">
            <w:pPr>
              <w:adjustRightInd w:val="0"/>
              <w:snapToGrid w:val="0"/>
              <w:rPr>
                <w:rFonts w:ascii="仿宋_GB2312" w:eastAsia="仿宋_GB2312"/>
                <w:b/>
                <w:kern w:val="0"/>
                <w:sz w:val="24"/>
                <w:szCs w:val="24"/>
              </w:rPr>
            </w:pPr>
            <w:r>
              <w:rPr>
                <w:rFonts w:hint="eastAsia" w:ascii="仿宋_GB2312" w:eastAsia="仿宋_GB2312"/>
                <w:b/>
                <w:kern w:val="0"/>
                <w:sz w:val="24"/>
                <w:szCs w:val="24"/>
              </w:rPr>
              <w:t>全价估值</w:t>
            </w:r>
          </w:p>
        </w:tc>
        <w:tc>
          <w:tcPr>
            <w:tcW w:w="3523" w:type="pct"/>
          </w:tcPr>
          <w:p w14:paraId="2B9F3B26">
            <w:pPr>
              <w:adjustRightInd w:val="0"/>
              <w:snapToGrid w:val="0"/>
              <w:rPr>
                <w:rFonts w:ascii="仿宋_GB2312" w:eastAsia="仿宋_GB2312"/>
                <w:kern w:val="0"/>
                <w:sz w:val="24"/>
                <w:szCs w:val="24"/>
              </w:rPr>
            </w:pPr>
            <w:r>
              <w:rPr>
                <w:rFonts w:hint="eastAsia" w:ascii="仿宋_GB2312" w:eastAsia="仿宋_GB2312"/>
                <w:kern w:val="0"/>
                <w:sz w:val="24"/>
                <w:szCs w:val="24"/>
              </w:rPr>
              <w:t>补充质押券的全价估值，自动显示，无需输入</w:t>
            </w:r>
          </w:p>
        </w:tc>
      </w:tr>
      <w:tr w14:paraId="25C59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6" w:type="pct"/>
          </w:tcPr>
          <w:p w14:paraId="1FF32942">
            <w:pPr>
              <w:adjustRightInd w:val="0"/>
              <w:snapToGrid w:val="0"/>
              <w:rPr>
                <w:rFonts w:ascii="仿宋_GB2312" w:eastAsia="仿宋_GB2312"/>
                <w:b/>
                <w:kern w:val="0"/>
                <w:sz w:val="24"/>
                <w:szCs w:val="24"/>
              </w:rPr>
            </w:pPr>
            <w:r>
              <w:rPr>
                <w:rFonts w:hint="eastAsia" w:ascii="仿宋_GB2312" w:eastAsia="仿宋_GB2312"/>
                <w:b/>
                <w:kern w:val="0"/>
                <w:sz w:val="24"/>
                <w:szCs w:val="24"/>
              </w:rPr>
              <w:t>担保价值</w:t>
            </w:r>
          </w:p>
        </w:tc>
        <w:tc>
          <w:tcPr>
            <w:tcW w:w="3523" w:type="pct"/>
          </w:tcPr>
          <w:p w14:paraId="271EA788">
            <w:pPr>
              <w:adjustRightInd w:val="0"/>
              <w:snapToGrid w:val="0"/>
              <w:rPr>
                <w:rFonts w:ascii="仿宋_GB2312" w:eastAsia="仿宋_GB2312"/>
                <w:kern w:val="0"/>
                <w:sz w:val="24"/>
                <w:szCs w:val="24"/>
              </w:rPr>
            </w:pPr>
            <w:r>
              <w:rPr>
                <w:rFonts w:hint="eastAsia" w:ascii="仿宋_GB2312" w:eastAsia="仿宋_GB2312"/>
                <w:kern w:val="0"/>
                <w:sz w:val="24"/>
                <w:szCs w:val="24"/>
              </w:rPr>
              <w:t>补充质押券的担保价值，自动显示，无需输入</w:t>
            </w:r>
          </w:p>
        </w:tc>
      </w:tr>
      <w:tr w14:paraId="747AD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6" w:type="pct"/>
          </w:tcPr>
          <w:p w14:paraId="1B58F670">
            <w:pPr>
              <w:adjustRightInd w:val="0"/>
              <w:snapToGrid w:val="0"/>
              <w:rPr>
                <w:rFonts w:ascii="仿宋_GB2312" w:eastAsia="仿宋_GB2312"/>
                <w:b/>
                <w:kern w:val="0"/>
                <w:sz w:val="24"/>
                <w:szCs w:val="24"/>
              </w:rPr>
            </w:pPr>
            <w:r>
              <w:rPr>
                <w:rFonts w:hint="eastAsia" w:ascii="仿宋_GB2312" w:eastAsia="仿宋_GB2312"/>
                <w:b/>
                <w:kern w:val="0"/>
                <w:sz w:val="24"/>
                <w:szCs w:val="24"/>
              </w:rPr>
              <w:t>原合计担保值</w:t>
            </w:r>
          </w:p>
        </w:tc>
        <w:tc>
          <w:tcPr>
            <w:tcW w:w="3523" w:type="pct"/>
          </w:tcPr>
          <w:p w14:paraId="5642E731">
            <w:pPr>
              <w:adjustRightInd w:val="0"/>
              <w:snapToGrid w:val="0"/>
              <w:rPr>
                <w:rFonts w:ascii="仿宋_GB2312" w:eastAsia="仿宋_GB2312"/>
                <w:kern w:val="0"/>
                <w:sz w:val="24"/>
                <w:szCs w:val="24"/>
              </w:rPr>
            </w:pPr>
            <w:r>
              <w:rPr>
                <w:rFonts w:hint="eastAsia" w:ascii="仿宋_GB2312" w:eastAsia="仿宋_GB2312"/>
                <w:kern w:val="0"/>
                <w:sz w:val="24"/>
                <w:szCs w:val="24"/>
              </w:rPr>
              <w:t>原回购交易的质押券合计担保值，自动显示，无需输入</w:t>
            </w:r>
          </w:p>
        </w:tc>
      </w:tr>
      <w:tr w14:paraId="46B4A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76" w:type="pct"/>
          </w:tcPr>
          <w:p w14:paraId="51CAC0B5">
            <w:pPr>
              <w:adjustRightInd w:val="0"/>
              <w:snapToGrid w:val="0"/>
              <w:rPr>
                <w:rFonts w:ascii="仿宋_GB2312" w:eastAsia="仿宋_GB2312"/>
                <w:b/>
                <w:kern w:val="0"/>
                <w:sz w:val="24"/>
                <w:szCs w:val="24"/>
              </w:rPr>
            </w:pPr>
            <w:r>
              <w:rPr>
                <w:rFonts w:hint="eastAsia" w:ascii="仿宋_GB2312" w:eastAsia="仿宋_GB2312"/>
                <w:b/>
                <w:kern w:val="0"/>
                <w:sz w:val="24"/>
                <w:szCs w:val="24"/>
              </w:rPr>
              <w:t>新合计担保值</w:t>
            </w:r>
          </w:p>
        </w:tc>
        <w:tc>
          <w:tcPr>
            <w:tcW w:w="3523" w:type="pct"/>
          </w:tcPr>
          <w:p w14:paraId="7793CB30">
            <w:pPr>
              <w:adjustRightInd w:val="0"/>
              <w:snapToGrid w:val="0"/>
              <w:rPr>
                <w:rFonts w:ascii="仿宋_GB2312" w:eastAsia="仿宋_GB2312"/>
                <w:kern w:val="0"/>
                <w:sz w:val="24"/>
                <w:szCs w:val="24"/>
              </w:rPr>
            </w:pPr>
            <w:r>
              <w:rPr>
                <w:rFonts w:hint="eastAsia" w:ascii="仿宋_GB2312" w:eastAsia="仿宋_GB2312"/>
                <w:kern w:val="0"/>
                <w:sz w:val="24"/>
                <w:szCs w:val="24"/>
              </w:rPr>
              <w:t>补券后质押券合计担保值，自动显示，无需输入</w:t>
            </w:r>
          </w:p>
        </w:tc>
      </w:tr>
      <w:tr w14:paraId="07AC0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6" w:type="pct"/>
          </w:tcPr>
          <w:p w14:paraId="170E13D8">
            <w:pPr>
              <w:adjustRightInd w:val="0"/>
              <w:snapToGrid w:val="0"/>
              <w:rPr>
                <w:rFonts w:ascii="仿宋_GB2312" w:eastAsia="仿宋_GB2312"/>
                <w:b/>
                <w:kern w:val="0"/>
                <w:sz w:val="24"/>
                <w:szCs w:val="24"/>
              </w:rPr>
            </w:pPr>
            <w:r>
              <w:rPr>
                <w:rFonts w:hint="eastAsia" w:ascii="仿宋_GB2312" w:eastAsia="仿宋_GB2312"/>
                <w:b/>
                <w:kern w:val="0"/>
                <w:sz w:val="24"/>
                <w:szCs w:val="24"/>
              </w:rPr>
              <w:t>担保值差额</w:t>
            </w:r>
          </w:p>
        </w:tc>
        <w:tc>
          <w:tcPr>
            <w:tcW w:w="3523" w:type="pct"/>
          </w:tcPr>
          <w:p w14:paraId="439512D9">
            <w:pPr>
              <w:adjustRightInd w:val="0"/>
              <w:snapToGrid w:val="0"/>
              <w:rPr>
                <w:rFonts w:ascii="仿宋_GB2312" w:eastAsia="仿宋_GB2312"/>
                <w:kern w:val="0"/>
                <w:sz w:val="24"/>
                <w:szCs w:val="24"/>
              </w:rPr>
            </w:pPr>
            <w:r>
              <w:rPr>
                <w:rFonts w:hint="eastAsia" w:ascii="仿宋_GB2312" w:eastAsia="仿宋_GB2312"/>
                <w:kern w:val="0"/>
                <w:sz w:val="24"/>
                <w:szCs w:val="24"/>
              </w:rPr>
              <w:t>新合计担保值-原合计担保值，自动显示，无需输入</w:t>
            </w:r>
          </w:p>
        </w:tc>
      </w:tr>
      <w:tr w14:paraId="1B85A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6" w:type="pct"/>
          </w:tcPr>
          <w:p w14:paraId="231EE4A3">
            <w:pPr>
              <w:adjustRightInd w:val="0"/>
              <w:snapToGrid w:val="0"/>
              <w:rPr>
                <w:rFonts w:ascii="仿宋_GB2312" w:eastAsia="仿宋_GB2312"/>
                <w:b/>
                <w:kern w:val="0"/>
                <w:sz w:val="24"/>
                <w:szCs w:val="24"/>
              </w:rPr>
            </w:pPr>
            <w:r>
              <w:rPr>
                <w:rFonts w:hint="eastAsia" w:ascii="仿宋_GB2312" w:eastAsia="仿宋_GB2312"/>
                <w:b/>
                <w:kern w:val="0"/>
                <w:sz w:val="24"/>
                <w:szCs w:val="24"/>
              </w:rPr>
              <w:t>对手方债券交易参与人</w:t>
            </w:r>
          </w:p>
        </w:tc>
        <w:tc>
          <w:tcPr>
            <w:tcW w:w="3523" w:type="pct"/>
          </w:tcPr>
          <w:p w14:paraId="1A91CFBE">
            <w:pPr>
              <w:adjustRightInd w:val="0"/>
              <w:snapToGrid w:val="0"/>
              <w:rPr>
                <w:rFonts w:ascii="仿宋_GB2312" w:eastAsia="仿宋_GB2312"/>
                <w:kern w:val="0"/>
                <w:sz w:val="24"/>
                <w:szCs w:val="24"/>
              </w:rPr>
            </w:pPr>
            <w:r>
              <w:rPr>
                <w:rFonts w:hint="eastAsia" w:ascii="仿宋_GB2312" w:eastAsia="仿宋_GB2312"/>
                <w:kern w:val="0"/>
                <w:sz w:val="24"/>
                <w:szCs w:val="24"/>
              </w:rPr>
              <w:t>对手方债券交易参与人名称，自动显示，无需输入</w:t>
            </w:r>
          </w:p>
        </w:tc>
      </w:tr>
      <w:tr w14:paraId="7A9FF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6" w:type="pct"/>
          </w:tcPr>
          <w:p w14:paraId="54F76442">
            <w:pPr>
              <w:adjustRightInd w:val="0"/>
              <w:snapToGrid w:val="0"/>
              <w:rPr>
                <w:rFonts w:ascii="仿宋_GB2312" w:eastAsia="仿宋_GB2312"/>
                <w:b/>
                <w:kern w:val="0"/>
                <w:sz w:val="24"/>
                <w:szCs w:val="24"/>
              </w:rPr>
            </w:pPr>
            <w:r>
              <w:rPr>
                <w:rFonts w:hint="eastAsia" w:ascii="仿宋_GB2312" w:eastAsia="仿宋_GB2312"/>
                <w:b/>
                <w:kern w:val="0"/>
                <w:sz w:val="24"/>
                <w:szCs w:val="24"/>
              </w:rPr>
              <w:t>对手方交易员名称</w:t>
            </w:r>
          </w:p>
        </w:tc>
        <w:tc>
          <w:tcPr>
            <w:tcW w:w="3523" w:type="pct"/>
          </w:tcPr>
          <w:p w14:paraId="359C4D15">
            <w:pPr>
              <w:adjustRightInd w:val="0"/>
              <w:snapToGrid w:val="0"/>
              <w:rPr>
                <w:rFonts w:ascii="仿宋_GB2312" w:eastAsia="仿宋_GB2312"/>
                <w:kern w:val="0"/>
                <w:sz w:val="24"/>
                <w:szCs w:val="24"/>
              </w:rPr>
            </w:pPr>
            <w:r>
              <w:rPr>
                <w:rFonts w:hint="eastAsia" w:ascii="仿宋_GB2312" w:eastAsia="仿宋_GB2312"/>
                <w:kern w:val="0"/>
                <w:sz w:val="24"/>
                <w:szCs w:val="24"/>
              </w:rPr>
              <w:t>对手方交易员名称，自动显示，无需输入</w:t>
            </w:r>
          </w:p>
        </w:tc>
      </w:tr>
      <w:tr w14:paraId="4AA50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76" w:type="pct"/>
          </w:tcPr>
          <w:p w14:paraId="363F6B21">
            <w:pPr>
              <w:adjustRightInd w:val="0"/>
              <w:snapToGrid w:val="0"/>
              <w:rPr>
                <w:rFonts w:ascii="仿宋_GB2312" w:eastAsia="仿宋_GB2312"/>
                <w:b/>
                <w:kern w:val="0"/>
                <w:sz w:val="24"/>
                <w:szCs w:val="24"/>
              </w:rPr>
            </w:pPr>
            <w:r>
              <w:rPr>
                <w:rFonts w:hint="eastAsia" w:ascii="仿宋_GB2312" w:eastAsia="仿宋_GB2312"/>
                <w:b/>
                <w:kern w:val="0"/>
                <w:sz w:val="24"/>
                <w:szCs w:val="24"/>
              </w:rPr>
              <w:t>补券申报日期</w:t>
            </w:r>
          </w:p>
        </w:tc>
        <w:tc>
          <w:tcPr>
            <w:tcW w:w="3523" w:type="pct"/>
          </w:tcPr>
          <w:p w14:paraId="72237D96">
            <w:pPr>
              <w:adjustRightInd w:val="0"/>
              <w:snapToGrid w:val="0"/>
              <w:rPr>
                <w:rFonts w:ascii="仿宋_GB2312" w:eastAsia="仿宋_GB2312"/>
                <w:kern w:val="0"/>
                <w:sz w:val="24"/>
                <w:szCs w:val="24"/>
              </w:rPr>
            </w:pPr>
            <w:r>
              <w:rPr>
                <w:rFonts w:hint="eastAsia" w:ascii="仿宋_GB2312" w:eastAsia="仿宋_GB2312"/>
                <w:kern w:val="0"/>
                <w:sz w:val="24"/>
                <w:szCs w:val="24"/>
              </w:rPr>
              <w:t>补券申报日期，自动显示，无需输入</w:t>
            </w:r>
          </w:p>
        </w:tc>
      </w:tr>
      <w:tr w14:paraId="21CC6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6" w:type="pct"/>
          </w:tcPr>
          <w:p w14:paraId="48F84D6E">
            <w:pPr>
              <w:adjustRightInd w:val="0"/>
              <w:snapToGrid w:val="0"/>
              <w:rPr>
                <w:rFonts w:ascii="仿宋_GB2312" w:eastAsia="仿宋_GB2312"/>
                <w:b/>
                <w:kern w:val="0"/>
                <w:sz w:val="24"/>
                <w:szCs w:val="24"/>
              </w:rPr>
            </w:pPr>
            <w:r>
              <w:rPr>
                <w:rFonts w:hint="eastAsia" w:ascii="仿宋_GB2312" w:eastAsia="仿宋_GB2312"/>
                <w:b/>
                <w:kern w:val="0"/>
                <w:sz w:val="24"/>
                <w:szCs w:val="24"/>
              </w:rPr>
              <w:t>质押券篮子</w:t>
            </w:r>
          </w:p>
        </w:tc>
        <w:tc>
          <w:tcPr>
            <w:tcW w:w="3523" w:type="pct"/>
          </w:tcPr>
          <w:p w14:paraId="778819D2">
            <w:pPr>
              <w:adjustRightInd w:val="0"/>
              <w:snapToGrid w:val="0"/>
              <w:rPr>
                <w:rFonts w:ascii="仿宋_GB2312" w:eastAsia="仿宋_GB2312"/>
                <w:kern w:val="0"/>
                <w:sz w:val="24"/>
                <w:szCs w:val="24"/>
              </w:rPr>
            </w:pPr>
            <w:r>
              <w:rPr>
                <w:rFonts w:hint="eastAsia" w:ascii="仿宋_GB2312" w:eastAsia="仿宋_GB2312"/>
                <w:kern w:val="0"/>
                <w:sz w:val="24"/>
                <w:szCs w:val="24"/>
              </w:rPr>
              <w:t>各等级债券对应的质押券篮子信息，自动显示，无需输入</w:t>
            </w:r>
          </w:p>
        </w:tc>
      </w:tr>
      <w:tr w14:paraId="7732A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2"/>
          </w:tcPr>
          <w:p w14:paraId="1B3018A1">
            <w:pPr>
              <w:adjustRightInd w:val="0"/>
              <w:snapToGrid w:val="0"/>
              <w:jc w:val="center"/>
              <w:rPr>
                <w:rFonts w:ascii="仿宋_GB2312" w:eastAsia="仿宋_GB2312"/>
                <w:kern w:val="0"/>
                <w:sz w:val="24"/>
                <w:szCs w:val="24"/>
              </w:rPr>
            </w:pPr>
            <w:r>
              <w:rPr>
                <w:rFonts w:hint="eastAsia" w:ascii="仿宋_GB2312" w:eastAsia="仿宋_GB2312"/>
                <w:b/>
                <w:bCs/>
                <w:kern w:val="0"/>
                <w:sz w:val="24"/>
                <w:szCs w:val="24"/>
              </w:rPr>
              <w:t>原券申报信息</w:t>
            </w:r>
          </w:p>
        </w:tc>
      </w:tr>
      <w:tr w14:paraId="472DB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6" w:type="pct"/>
          </w:tcPr>
          <w:p w14:paraId="5C1E92D8">
            <w:pPr>
              <w:adjustRightInd w:val="0"/>
              <w:snapToGrid w:val="0"/>
              <w:rPr>
                <w:rFonts w:ascii="仿宋_GB2312" w:eastAsia="仿宋_GB2312"/>
                <w:b/>
                <w:kern w:val="0"/>
                <w:sz w:val="24"/>
                <w:szCs w:val="24"/>
              </w:rPr>
            </w:pPr>
            <w:r>
              <w:rPr>
                <w:rFonts w:hint="eastAsia" w:ascii="仿宋_GB2312" w:eastAsia="仿宋_GB2312"/>
                <w:b/>
                <w:kern w:val="0"/>
                <w:sz w:val="24"/>
                <w:szCs w:val="24"/>
              </w:rPr>
              <w:t>债券交易参与人</w:t>
            </w:r>
          </w:p>
        </w:tc>
        <w:tc>
          <w:tcPr>
            <w:tcW w:w="3523" w:type="pct"/>
          </w:tcPr>
          <w:p w14:paraId="77D2272D">
            <w:pPr>
              <w:adjustRightInd w:val="0"/>
              <w:snapToGrid w:val="0"/>
              <w:rPr>
                <w:rFonts w:ascii="仿宋_GB2312" w:eastAsia="仿宋_GB2312"/>
                <w:kern w:val="0"/>
                <w:sz w:val="24"/>
                <w:szCs w:val="24"/>
              </w:rPr>
            </w:pPr>
            <w:r>
              <w:rPr>
                <w:rFonts w:hint="eastAsia" w:ascii="仿宋_GB2312" w:eastAsia="仿宋_GB2312"/>
                <w:kern w:val="0"/>
                <w:sz w:val="24"/>
                <w:szCs w:val="24"/>
              </w:rPr>
              <w:t>本方债券交易参与人名称，自动显示，无需输入</w:t>
            </w:r>
          </w:p>
        </w:tc>
      </w:tr>
      <w:tr w14:paraId="6DA86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76" w:type="pct"/>
          </w:tcPr>
          <w:p w14:paraId="34284910">
            <w:pPr>
              <w:adjustRightInd w:val="0"/>
              <w:snapToGrid w:val="0"/>
              <w:rPr>
                <w:rFonts w:ascii="仿宋_GB2312" w:eastAsia="仿宋_GB2312"/>
                <w:b/>
                <w:kern w:val="0"/>
                <w:sz w:val="24"/>
                <w:szCs w:val="24"/>
              </w:rPr>
            </w:pPr>
            <w:r>
              <w:rPr>
                <w:rFonts w:hint="eastAsia" w:ascii="仿宋_GB2312" w:eastAsia="仿宋_GB2312"/>
                <w:b/>
                <w:kern w:val="0"/>
                <w:sz w:val="24"/>
                <w:szCs w:val="24"/>
              </w:rPr>
              <w:t>交易员代码</w:t>
            </w:r>
          </w:p>
        </w:tc>
        <w:tc>
          <w:tcPr>
            <w:tcW w:w="3523" w:type="pct"/>
          </w:tcPr>
          <w:p w14:paraId="3060C88B">
            <w:pPr>
              <w:adjustRightInd w:val="0"/>
              <w:snapToGrid w:val="0"/>
              <w:rPr>
                <w:rFonts w:ascii="仿宋_GB2312" w:eastAsia="仿宋_GB2312"/>
                <w:kern w:val="0"/>
                <w:sz w:val="24"/>
                <w:szCs w:val="24"/>
              </w:rPr>
            </w:pPr>
            <w:r>
              <w:rPr>
                <w:rFonts w:hint="eastAsia" w:ascii="仿宋_GB2312" w:eastAsia="仿宋_GB2312"/>
                <w:kern w:val="0"/>
                <w:sz w:val="24"/>
                <w:szCs w:val="24"/>
              </w:rPr>
              <w:t>本方交易员代码，自动显示，无需输入</w:t>
            </w:r>
          </w:p>
        </w:tc>
      </w:tr>
      <w:tr w14:paraId="25EB5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6" w:type="pct"/>
          </w:tcPr>
          <w:p w14:paraId="5B7DF47B">
            <w:pPr>
              <w:adjustRightInd w:val="0"/>
              <w:snapToGrid w:val="0"/>
              <w:rPr>
                <w:rFonts w:ascii="仿宋_GB2312" w:eastAsia="仿宋_GB2312"/>
                <w:b/>
                <w:kern w:val="0"/>
                <w:sz w:val="24"/>
                <w:szCs w:val="24"/>
              </w:rPr>
            </w:pPr>
            <w:r>
              <w:rPr>
                <w:rFonts w:hint="eastAsia" w:ascii="仿宋_GB2312" w:eastAsia="仿宋_GB2312"/>
                <w:b/>
                <w:kern w:val="0"/>
                <w:sz w:val="24"/>
                <w:szCs w:val="24"/>
              </w:rPr>
              <w:t>交易员名称</w:t>
            </w:r>
          </w:p>
        </w:tc>
        <w:tc>
          <w:tcPr>
            <w:tcW w:w="3523" w:type="pct"/>
          </w:tcPr>
          <w:p w14:paraId="35A59B29">
            <w:pPr>
              <w:adjustRightInd w:val="0"/>
              <w:snapToGrid w:val="0"/>
              <w:rPr>
                <w:rFonts w:ascii="仿宋_GB2312" w:eastAsia="仿宋_GB2312"/>
                <w:kern w:val="0"/>
                <w:sz w:val="24"/>
                <w:szCs w:val="24"/>
              </w:rPr>
            </w:pPr>
            <w:r>
              <w:rPr>
                <w:rFonts w:hint="eastAsia" w:ascii="仿宋_GB2312" w:eastAsia="仿宋_GB2312"/>
                <w:kern w:val="0"/>
                <w:sz w:val="24"/>
                <w:szCs w:val="24"/>
              </w:rPr>
              <w:t>本方交易员名称，自动显示，无需输入</w:t>
            </w:r>
          </w:p>
        </w:tc>
      </w:tr>
      <w:tr w14:paraId="320D1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6" w:type="pct"/>
          </w:tcPr>
          <w:p w14:paraId="2B78C1A6">
            <w:pPr>
              <w:adjustRightInd w:val="0"/>
              <w:snapToGrid w:val="0"/>
              <w:rPr>
                <w:rFonts w:ascii="仿宋_GB2312" w:eastAsia="仿宋_GB2312"/>
                <w:b/>
                <w:kern w:val="0"/>
                <w:sz w:val="24"/>
                <w:szCs w:val="24"/>
              </w:rPr>
            </w:pPr>
            <w:r>
              <w:rPr>
                <w:rFonts w:hint="eastAsia" w:ascii="仿宋_GB2312" w:eastAsia="仿宋_GB2312"/>
                <w:b/>
                <w:kern w:val="0"/>
                <w:sz w:val="24"/>
                <w:szCs w:val="24"/>
              </w:rPr>
              <w:t>证券账户</w:t>
            </w:r>
          </w:p>
        </w:tc>
        <w:tc>
          <w:tcPr>
            <w:tcW w:w="3523" w:type="pct"/>
          </w:tcPr>
          <w:p w14:paraId="74428EF5">
            <w:pPr>
              <w:adjustRightInd w:val="0"/>
              <w:snapToGrid w:val="0"/>
              <w:rPr>
                <w:rFonts w:ascii="仿宋_GB2312" w:eastAsia="仿宋_GB2312"/>
                <w:kern w:val="0"/>
                <w:sz w:val="24"/>
                <w:szCs w:val="24"/>
              </w:rPr>
            </w:pPr>
            <w:r>
              <w:rPr>
                <w:rFonts w:hint="eastAsia" w:ascii="仿宋_GB2312" w:eastAsia="仿宋_GB2312"/>
                <w:kern w:val="0"/>
                <w:sz w:val="24"/>
                <w:szCs w:val="24"/>
              </w:rPr>
              <w:t>正回购方证券账户号，自动显示，无需输入</w:t>
            </w:r>
          </w:p>
        </w:tc>
      </w:tr>
      <w:tr w14:paraId="6FCF8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6" w:type="pct"/>
          </w:tcPr>
          <w:p w14:paraId="08917C37">
            <w:pPr>
              <w:adjustRightInd w:val="0"/>
              <w:snapToGrid w:val="0"/>
              <w:rPr>
                <w:rFonts w:ascii="仿宋_GB2312" w:eastAsia="仿宋_GB2312"/>
                <w:b/>
                <w:kern w:val="0"/>
                <w:sz w:val="24"/>
                <w:szCs w:val="24"/>
              </w:rPr>
            </w:pPr>
            <w:r>
              <w:rPr>
                <w:rFonts w:hint="eastAsia" w:ascii="仿宋_GB2312" w:eastAsia="仿宋_GB2312"/>
                <w:b/>
                <w:kern w:val="0"/>
                <w:sz w:val="24"/>
                <w:szCs w:val="24"/>
              </w:rPr>
              <w:t>账户名称</w:t>
            </w:r>
          </w:p>
        </w:tc>
        <w:tc>
          <w:tcPr>
            <w:tcW w:w="3523" w:type="pct"/>
          </w:tcPr>
          <w:p w14:paraId="01E8A557">
            <w:pPr>
              <w:adjustRightInd w:val="0"/>
              <w:snapToGrid w:val="0"/>
              <w:rPr>
                <w:rFonts w:ascii="仿宋_GB2312" w:eastAsia="仿宋_GB2312"/>
                <w:kern w:val="0"/>
                <w:sz w:val="24"/>
                <w:szCs w:val="24"/>
              </w:rPr>
            </w:pPr>
            <w:r>
              <w:rPr>
                <w:rFonts w:hint="eastAsia" w:ascii="仿宋_GB2312" w:eastAsia="仿宋_GB2312"/>
                <w:kern w:val="0"/>
                <w:sz w:val="24"/>
                <w:szCs w:val="24"/>
              </w:rPr>
              <w:t>正回购方证券账户名称，自动显示，无需输入</w:t>
            </w:r>
          </w:p>
        </w:tc>
      </w:tr>
      <w:tr w14:paraId="5337D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76" w:type="pct"/>
          </w:tcPr>
          <w:p w14:paraId="479E4FDB">
            <w:pPr>
              <w:adjustRightInd w:val="0"/>
              <w:snapToGrid w:val="0"/>
              <w:rPr>
                <w:rFonts w:ascii="仿宋_GB2312" w:eastAsia="仿宋_GB2312"/>
                <w:b/>
                <w:kern w:val="0"/>
                <w:sz w:val="24"/>
                <w:szCs w:val="24"/>
              </w:rPr>
            </w:pPr>
            <w:r>
              <w:rPr>
                <w:rFonts w:hint="eastAsia" w:ascii="仿宋_GB2312" w:eastAsia="仿宋_GB2312"/>
                <w:b/>
                <w:kern w:val="0"/>
                <w:sz w:val="24"/>
                <w:szCs w:val="24"/>
              </w:rPr>
              <w:t>交易单元</w:t>
            </w:r>
          </w:p>
        </w:tc>
        <w:tc>
          <w:tcPr>
            <w:tcW w:w="3523" w:type="pct"/>
          </w:tcPr>
          <w:p w14:paraId="3CC62D01">
            <w:pPr>
              <w:adjustRightInd w:val="0"/>
              <w:snapToGrid w:val="0"/>
              <w:rPr>
                <w:rFonts w:ascii="仿宋_GB2312" w:eastAsia="仿宋_GB2312"/>
                <w:kern w:val="0"/>
                <w:sz w:val="24"/>
                <w:szCs w:val="24"/>
              </w:rPr>
            </w:pPr>
            <w:r>
              <w:rPr>
                <w:rFonts w:hint="eastAsia" w:ascii="仿宋_GB2312" w:eastAsia="仿宋_GB2312"/>
                <w:kern w:val="0"/>
                <w:sz w:val="24"/>
                <w:szCs w:val="24"/>
              </w:rPr>
              <w:t>正回购方证券账号的指定交易单元号，自动显示，无需输入</w:t>
            </w:r>
          </w:p>
        </w:tc>
      </w:tr>
      <w:tr w14:paraId="1F9B2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6" w:type="pct"/>
          </w:tcPr>
          <w:p w14:paraId="067B9232">
            <w:pPr>
              <w:adjustRightInd w:val="0"/>
              <w:snapToGrid w:val="0"/>
              <w:rPr>
                <w:rFonts w:ascii="仿宋_GB2312" w:eastAsia="仿宋_GB2312"/>
                <w:b/>
                <w:kern w:val="0"/>
                <w:sz w:val="24"/>
                <w:szCs w:val="24"/>
              </w:rPr>
            </w:pPr>
            <w:r>
              <w:rPr>
                <w:rFonts w:hint="eastAsia" w:ascii="仿宋_GB2312" w:eastAsia="仿宋_GB2312"/>
                <w:b/>
                <w:kern w:val="0"/>
                <w:sz w:val="24"/>
                <w:szCs w:val="24"/>
              </w:rPr>
              <w:t>回购期限</w:t>
            </w:r>
          </w:p>
        </w:tc>
        <w:tc>
          <w:tcPr>
            <w:tcW w:w="3523" w:type="pct"/>
          </w:tcPr>
          <w:p w14:paraId="41AB3953">
            <w:pPr>
              <w:adjustRightInd w:val="0"/>
              <w:snapToGrid w:val="0"/>
              <w:rPr>
                <w:rFonts w:ascii="仿宋_GB2312" w:eastAsia="仿宋_GB2312"/>
                <w:kern w:val="0"/>
                <w:sz w:val="24"/>
                <w:szCs w:val="24"/>
              </w:rPr>
            </w:pPr>
            <w:r>
              <w:rPr>
                <w:rFonts w:hint="eastAsia" w:ascii="仿宋_GB2312" w:eastAsia="仿宋_GB2312"/>
                <w:kern w:val="0"/>
                <w:sz w:val="24"/>
                <w:szCs w:val="24"/>
              </w:rPr>
              <w:t>即成交日至回购到期日的实际天数。回购期限按自然日计算，以天为单位，含成交日，不含回购到期日，自动显示，无需输入</w:t>
            </w:r>
          </w:p>
        </w:tc>
      </w:tr>
      <w:tr w14:paraId="2B5F8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6" w:type="pct"/>
          </w:tcPr>
          <w:p w14:paraId="7A738883">
            <w:pPr>
              <w:adjustRightInd w:val="0"/>
              <w:snapToGrid w:val="0"/>
              <w:rPr>
                <w:rFonts w:ascii="仿宋_GB2312" w:eastAsia="仿宋_GB2312"/>
                <w:b/>
                <w:kern w:val="0"/>
                <w:sz w:val="24"/>
                <w:szCs w:val="24"/>
              </w:rPr>
            </w:pPr>
            <w:r>
              <w:rPr>
                <w:rFonts w:hint="eastAsia" w:ascii="仿宋_GB2312" w:eastAsia="仿宋_GB2312"/>
                <w:b/>
                <w:kern w:val="0"/>
                <w:sz w:val="24"/>
                <w:szCs w:val="24"/>
              </w:rPr>
              <w:t>回购利率</w:t>
            </w:r>
          </w:p>
        </w:tc>
        <w:tc>
          <w:tcPr>
            <w:tcW w:w="3523" w:type="pct"/>
          </w:tcPr>
          <w:p w14:paraId="0F60CC57">
            <w:pPr>
              <w:adjustRightInd w:val="0"/>
              <w:snapToGrid w:val="0"/>
              <w:rPr>
                <w:rFonts w:ascii="仿宋_GB2312" w:eastAsia="仿宋_GB2312"/>
                <w:kern w:val="0"/>
                <w:sz w:val="24"/>
                <w:szCs w:val="24"/>
              </w:rPr>
            </w:pPr>
            <w:r>
              <w:rPr>
                <w:rFonts w:hint="eastAsia" w:ascii="仿宋_GB2312" w:eastAsia="仿宋_GB2312"/>
                <w:kern w:val="0"/>
                <w:sz w:val="24"/>
                <w:szCs w:val="24"/>
              </w:rPr>
              <w:t>正回购方付给逆回购方的资金价格，自动显示，无需输入</w:t>
            </w:r>
          </w:p>
        </w:tc>
      </w:tr>
      <w:tr w14:paraId="2B5AE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6" w:type="pct"/>
          </w:tcPr>
          <w:p w14:paraId="5025C16A">
            <w:pPr>
              <w:adjustRightInd w:val="0"/>
              <w:snapToGrid w:val="0"/>
              <w:rPr>
                <w:rFonts w:ascii="仿宋_GB2312" w:eastAsia="仿宋_GB2312"/>
                <w:b/>
                <w:kern w:val="0"/>
                <w:sz w:val="24"/>
                <w:szCs w:val="24"/>
              </w:rPr>
            </w:pPr>
            <w:r>
              <w:rPr>
                <w:rFonts w:hint="eastAsia" w:ascii="仿宋_GB2312" w:eastAsia="仿宋_GB2312"/>
                <w:b/>
                <w:kern w:val="0"/>
                <w:sz w:val="24"/>
                <w:szCs w:val="24"/>
              </w:rPr>
              <w:t>回购金额</w:t>
            </w:r>
          </w:p>
        </w:tc>
        <w:tc>
          <w:tcPr>
            <w:tcW w:w="3523" w:type="pct"/>
          </w:tcPr>
          <w:p w14:paraId="1EB8F277">
            <w:pPr>
              <w:adjustRightInd w:val="0"/>
              <w:snapToGrid w:val="0"/>
              <w:rPr>
                <w:rFonts w:ascii="仿宋_GB2312" w:eastAsia="仿宋_GB2312"/>
                <w:kern w:val="0"/>
                <w:sz w:val="24"/>
                <w:szCs w:val="24"/>
              </w:rPr>
            </w:pPr>
            <w:r>
              <w:rPr>
                <w:rFonts w:hint="eastAsia" w:ascii="仿宋_GB2312" w:eastAsia="仿宋_GB2312"/>
                <w:kern w:val="0"/>
                <w:sz w:val="24"/>
                <w:szCs w:val="24"/>
              </w:rPr>
              <w:t>正回购方融入的资金额度，自动显示，无需输入</w:t>
            </w:r>
          </w:p>
        </w:tc>
      </w:tr>
      <w:tr w14:paraId="0746B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76" w:type="pct"/>
          </w:tcPr>
          <w:p w14:paraId="4BAF1ECB">
            <w:pPr>
              <w:adjustRightInd w:val="0"/>
              <w:snapToGrid w:val="0"/>
              <w:rPr>
                <w:rFonts w:ascii="仿宋_GB2312" w:eastAsia="仿宋_GB2312"/>
                <w:b/>
                <w:kern w:val="0"/>
                <w:sz w:val="24"/>
                <w:szCs w:val="24"/>
              </w:rPr>
            </w:pPr>
            <w:r>
              <w:rPr>
                <w:rFonts w:hint="eastAsia" w:ascii="仿宋_GB2312" w:eastAsia="仿宋_GB2312"/>
                <w:b/>
                <w:kern w:val="0"/>
                <w:sz w:val="24"/>
                <w:szCs w:val="24"/>
              </w:rPr>
              <w:t>回购利息</w:t>
            </w:r>
          </w:p>
        </w:tc>
        <w:tc>
          <w:tcPr>
            <w:tcW w:w="3523" w:type="pct"/>
          </w:tcPr>
          <w:p w14:paraId="255A9705">
            <w:pPr>
              <w:adjustRightInd w:val="0"/>
              <w:snapToGrid w:val="0"/>
              <w:rPr>
                <w:rFonts w:ascii="仿宋_GB2312" w:eastAsia="仿宋_GB2312"/>
                <w:kern w:val="0"/>
                <w:sz w:val="24"/>
                <w:szCs w:val="24"/>
              </w:rPr>
            </w:pPr>
            <w:r>
              <w:rPr>
                <w:rFonts w:hint="eastAsia" w:ascii="仿宋_GB2312" w:eastAsia="仿宋_GB2312"/>
                <w:kern w:val="0"/>
                <w:sz w:val="24"/>
                <w:szCs w:val="24"/>
              </w:rPr>
              <w:t>成交金额×回购利率×实际占款天数/365，自动显示，无需输入</w:t>
            </w:r>
          </w:p>
        </w:tc>
      </w:tr>
      <w:tr w14:paraId="20BF6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6" w:type="pct"/>
          </w:tcPr>
          <w:p w14:paraId="22804127">
            <w:pPr>
              <w:adjustRightInd w:val="0"/>
              <w:snapToGrid w:val="0"/>
              <w:rPr>
                <w:rFonts w:ascii="仿宋_GB2312" w:eastAsia="仿宋_GB2312"/>
                <w:b/>
                <w:kern w:val="0"/>
                <w:sz w:val="24"/>
                <w:szCs w:val="24"/>
              </w:rPr>
            </w:pPr>
            <w:r>
              <w:rPr>
                <w:rFonts w:hint="eastAsia" w:ascii="仿宋_GB2312" w:eastAsia="仿宋_GB2312"/>
                <w:b/>
                <w:kern w:val="0"/>
                <w:sz w:val="24"/>
                <w:szCs w:val="24"/>
              </w:rPr>
              <w:t>到期结算金额</w:t>
            </w:r>
          </w:p>
        </w:tc>
        <w:tc>
          <w:tcPr>
            <w:tcW w:w="3523" w:type="pct"/>
          </w:tcPr>
          <w:p w14:paraId="2055591D">
            <w:pPr>
              <w:adjustRightInd w:val="0"/>
              <w:snapToGrid w:val="0"/>
              <w:rPr>
                <w:rFonts w:ascii="仿宋_GB2312" w:eastAsia="仿宋_GB2312"/>
                <w:kern w:val="0"/>
                <w:sz w:val="24"/>
                <w:szCs w:val="24"/>
              </w:rPr>
            </w:pPr>
            <w:r>
              <w:rPr>
                <w:rFonts w:hint="eastAsia" w:ascii="仿宋_GB2312" w:eastAsia="仿宋_GB2312"/>
                <w:kern w:val="0"/>
                <w:sz w:val="24"/>
                <w:szCs w:val="24"/>
              </w:rPr>
              <w:t>到期日正回购方返回的金额，自动显示，无需输入</w:t>
            </w:r>
          </w:p>
        </w:tc>
      </w:tr>
      <w:tr w14:paraId="7D6DE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6" w:type="pct"/>
          </w:tcPr>
          <w:p w14:paraId="6E39200C">
            <w:pPr>
              <w:adjustRightInd w:val="0"/>
              <w:snapToGrid w:val="0"/>
              <w:rPr>
                <w:rFonts w:ascii="仿宋_GB2312" w:eastAsia="仿宋_GB2312"/>
                <w:b/>
                <w:kern w:val="0"/>
                <w:sz w:val="24"/>
                <w:szCs w:val="24"/>
              </w:rPr>
            </w:pPr>
            <w:r>
              <w:rPr>
                <w:rFonts w:hint="eastAsia" w:ascii="仿宋_GB2312" w:eastAsia="仿宋_GB2312"/>
                <w:b/>
                <w:kern w:val="0"/>
                <w:sz w:val="24"/>
                <w:szCs w:val="24"/>
              </w:rPr>
              <w:t>原成交编号</w:t>
            </w:r>
          </w:p>
        </w:tc>
        <w:tc>
          <w:tcPr>
            <w:tcW w:w="3523" w:type="pct"/>
          </w:tcPr>
          <w:p w14:paraId="4DFDF163">
            <w:pPr>
              <w:adjustRightInd w:val="0"/>
              <w:snapToGrid w:val="0"/>
              <w:rPr>
                <w:rFonts w:ascii="仿宋_GB2312" w:eastAsia="仿宋_GB2312"/>
                <w:kern w:val="0"/>
                <w:sz w:val="24"/>
                <w:szCs w:val="24"/>
              </w:rPr>
            </w:pPr>
            <w:r>
              <w:rPr>
                <w:rFonts w:hint="eastAsia" w:ascii="仿宋_GB2312" w:eastAsia="仿宋_GB2312"/>
                <w:kern w:val="0"/>
                <w:sz w:val="24"/>
                <w:szCs w:val="24"/>
              </w:rPr>
              <w:t>原回购交易成交编号，自动显示，无需输入</w:t>
            </w:r>
          </w:p>
        </w:tc>
      </w:tr>
      <w:tr w14:paraId="30A0A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6" w:type="pct"/>
          </w:tcPr>
          <w:p w14:paraId="335A7017">
            <w:pPr>
              <w:adjustRightInd w:val="0"/>
              <w:snapToGrid w:val="0"/>
              <w:rPr>
                <w:rFonts w:ascii="仿宋_GB2312" w:eastAsia="仿宋_GB2312"/>
                <w:b/>
                <w:kern w:val="0"/>
                <w:sz w:val="24"/>
                <w:szCs w:val="24"/>
              </w:rPr>
            </w:pPr>
            <w:r>
              <w:rPr>
                <w:rFonts w:hint="eastAsia" w:ascii="仿宋_GB2312" w:eastAsia="仿宋_GB2312"/>
                <w:b/>
                <w:kern w:val="0"/>
                <w:sz w:val="24"/>
                <w:szCs w:val="24"/>
              </w:rPr>
              <w:t>原成交日期</w:t>
            </w:r>
          </w:p>
        </w:tc>
        <w:tc>
          <w:tcPr>
            <w:tcW w:w="3523" w:type="pct"/>
          </w:tcPr>
          <w:p w14:paraId="5097689B">
            <w:pPr>
              <w:adjustRightInd w:val="0"/>
              <w:snapToGrid w:val="0"/>
              <w:rPr>
                <w:rFonts w:ascii="仿宋_GB2312" w:eastAsia="仿宋_GB2312"/>
                <w:kern w:val="0"/>
                <w:sz w:val="24"/>
                <w:szCs w:val="24"/>
              </w:rPr>
            </w:pPr>
            <w:r>
              <w:rPr>
                <w:rFonts w:hint="eastAsia" w:ascii="仿宋_GB2312" w:eastAsia="仿宋_GB2312"/>
                <w:kern w:val="0"/>
                <w:sz w:val="24"/>
                <w:szCs w:val="24"/>
              </w:rPr>
              <w:t>原回购交易成交日期，自动显示，无需输入</w:t>
            </w:r>
          </w:p>
        </w:tc>
      </w:tr>
      <w:tr w14:paraId="00BE7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76" w:type="pct"/>
          </w:tcPr>
          <w:p w14:paraId="42DCF8A0">
            <w:pPr>
              <w:adjustRightInd w:val="0"/>
              <w:snapToGrid w:val="0"/>
              <w:rPr>
                <w:rFonts w:ascii="仿宋_GB2312" w:eastAsia="仿宋_GB2312"/>
                <w:b/>
                <w:kern w:val="0"/>
                <w:sz w:val="24"/>
                <w:szCs w:val="24"/>
              </w:rPr>
            </w:pPr>
            <w:r>
              <w:rPr>
                <w:rFonts w:hint="eastAsia" w:ascii="仿宋_GB2312" w:eastAsia="仿宋_GB2312"/>
                <w:b/>
                <w:kern w:val="0"/>
                <w:sz w:val="24"/>
                <w:szCs w:val="24"/>
              </w:rPr>
              <w:t>回购到期日</w:t>
            </w:r>
          </w:p>
        </w:tc>
        <w:tc>
          <w:tcPr>
            <w:tcW w:w="3523" w:type="pct"/>
          </w:tcPr>
          <w:p w14:paraId="578D7BF1">
            <w:pPr>
              <w:adjustRightInd w:val="0"/>
              <w:snapToGrid w:val="0"/>
              <w:rPr>
                <w:rFonts w:ascii="仿宋_GB2312" w:eastAsia="仿宋_GB2312"/>
                <w:kern w:val="0"/>
                <w:sz w:val="24"/>
                <w:szCs w:val="24"/>
              </w:rPr>
            </w:pPr>
            <w:r>
              <w:rPr>
                <w:rFonts w:hint="eastAsia" w:ascii="仿宋_GB2312" w:eastAsia="仿宋_GB2312"/>
                <w:kern w:val="0"/>
                <w:sz w:val="24"/>
                <w:szCs w:val="24"/>
              </w:rPr>
              <w:t>参与人确定的回购到期日期，自动显示，无需输入</w:t>
            </w:r>
          </w:p>
        </w:tc>
      </w:tr>
      <w:tr w14:paraId="27D13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6" w:type="pct"/>
          </w:tcPr>
          <w:p w14:paraId="4C9D7C20">
            <w:pPr>
              <w:adjustRightInd w:val="0"/>
              <w:snapToGrid w:val="0"/>
              <w:rPr>
                <w:rFonts w:ascii="仿宋_GB2312" w:eastAsia="仿宋_GB2312"/>
                <w:b/>
                <w:kern w:val="0"/>
                <w:sz w:val="24"/>
                <w:szCs w:val="24"/>
              </w:rPr>
            </w:pPr>
            <w:r>
              <w:rPr>
                <w:rFonts w:hint="eastAsia" w:ascii="仿宋_GB2312" w:eastAsia="仿宋_GB2312"/>
                <w:b/>
                <w:kern w:val="0"/>
                <w:sz w:val="24"/>
                <w:szCs w:val="24"/>
              </w:rPr>
              <w:t>实际占款天数</w:t>
            </w:r>
          </w:p>
        </w:tc>
        <w:tc>
          <w:tcPr>
            <w:tcW w:w="3523" w:type="pct"/>
          </w:tcPr>
          <w:p w14:paraId="7A46FD67">
            <w:pPr>
              <w:adjustRightInd w:val="0"/>
              <w:snapToGrid w:val="0"/>
              <w:rPr>
                <w:rFonts w:ascii="仿宋_GB2312" w:eastAsia="仿宋_GB2312"/>
                <w:kern w:val="0"/>
                <w:sz w:val="24"/>
                <w:szCs w:val="24"/>
              </w:rPr>
            </w:pPr>
            <w:r>
              <w:rPr>
                <w:rFonts w:hint="eastAsia" w:ascii="仿宋_GB2312" w:eastAsia="仿宋_GB2312"/>
                <w:kern w:val="0"/>
                <w:sz w:val="24"/>
                <w:szCs w:val="24"/>
              </w:rPr>
              <w:t>到期结算日-首期结算日，自动显示，无需输入</w:t>
            </w:r>
          </w:p>
        </w:tc>
      </w:tr>
    </w:tbl>
    <w:p w14:paraId="2D708A87">
      <w:pPr>
        <w:adjustRightInd w:val="0"/>
        <w:snapToGri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回购双方可以在补充协议或交易补充约定中约定补券的触发情形及时限要求。补券提交的质押券的到期日不得早于回购到期日。补入的质押券必须符合质押券篮子的要求。</w:t>
      </w:r>
      <w:bookmarkStart w:id="2153" w:name="_Toc489369987"/>
      <w:bookmarkEnd w:id="2153"/>
      <w:bookmarkStart w:id="2154" w:name="_Toc489369985"/>
      <w:bookmarkEnd w:id="2154"/>
      <w:bookmarkStart w:id="2155" w:name="_Toc489369922"/>
      <w:bookmarkEnd w:id="2155"/>
      <w:bookmarkStart w:id="2156" w:name="_Toc489369986"/>
      <w:bookmarkEnd w:id="2156"/>
      <w:bookmarkStart w:id="2157" w:name="_Toc489369923"/>
      <w:bookmarkEnd w:id="2157"/>
      <w:bookmarkStart w:id="2158" w:name="_Toc492555890"/>
      <w:bookmarkEnd w:id="2158"/>
      <w:bookmarkStart w:id="2159" w:name="_Toc489369921"/>
      <w:bookmarkEnd w:id="2159"/>
      <w:bookmarkStart w:id="2160" w:name="_Toc489369920"/>
      <w:bookmarkEnd w:id="2160"/>
      <w:bookmarkStart w:id="2161" w:name="_Toc489369989"/>
      <w:bookmarkEnd w:id="2161"/>
      <w:bookmarkStart w:id="2162" w:name="_Toc489369984"/>
      <w:bookmarkEnd w:id="2162"/>
      <w:bookmarkStart w:id="2163" w:name="_Toc489369918"/>
      <w:bookmarkEnd w:id="2163"/>
      <w:bookmarkStart w:id="2164" w:name="_Toc489369988"/>
      <w:bookmarkEnd w:id="2164"/>
      <w:bookmarkStart w:id="2165" w:name="_Toc489369919"/>
      <w:bookmarkEnd w:id="2165"/>
      <w:bookmarkStart w:id="2166" w:name="_Toc492555497"/>
      <w:bookmarkEnd w:id="2166"/>
    </w:p>
    <w:p w14:paraId="272B9243">
      <w:pPr>
        <w:spacing w:line="600" w:lineRule="exact"/>
        <w:ind w:left="567"/>
        <w:outlineLvl w:val="3"/>
        <w:rPr>
          <w:rFonts w:ascii="仿宋_GB2312" w:eastAsia="仿宋_GB2312"/>
          <w:b/>
          <w:sz w:val="30"/>
          <w:szCs w:val="30"/>
        </w:rPr>
      </w:pPr>
      <w:r>
        <w:rPr>
          <w:rFonts w:hint="eastAsia" w:ascii="仿宋_GB2312" w:eastAsia="仿宋_GB2312"/>
          <w:b/>
          <w:sz w:val="30"/>
          <w:szCs w:val="30"/>
        </w:rPr>
        <w:t>（4）担保品孳息及附属权利的归属</w:t>
      </w:r>
    </w:p>
    <w:p w14:paraId="143CA2DC">
      <w:pPr>
        <w:widowControl/>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债券质押期间，质权不及于质押券付息、分期偿还或分期摊还的本金和利息（最后一期除外）。若对于到期购回交易，正回购方未提交到期购回申报、正回购方结算参与人未提交结算指令或资金不足的；或对于到期续做交易，正回购方结算参与人未提交结算指令、三方回购专用证券账户中符合条件的质押券不足或资金不足的，正回购方违约；或对于提前终止交易，正回购方结算参与人未提交结算指令或资金不足的，正回购方违约，逆回购方可单方面申请将正回购方尚未收取的上述资金一并质押（质押券已被司法冻结的除外）。债券质押期间，质押券提前赎回或到期兑付的，质押券的赎回款或兑付资金（含最后一期利息）一并质押，其担保价值由回购双方自行计算。</w:t>
      </w:r>
    </w:p>
    <w:p w14:paraId="34C688DC">
      <w:pPr>
        <w:widowControl/>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质押券含回售、转股、换股条款的，并且正回购方需要行使回售、转股、换股权利的，正回购方须与逆回购方协商一致，将质押券解除质押并转出至普通证券账户再行使回售、转股、换股权利。正回购方可作为债券持有人享有出席债券持有人大会、提案、表决、追索等权利。</w:t>
      </w:r>
      <w:bookmarkStart w:id="2167" w:name="_Toc499850307"/>
    </w:p>
    <w:p w14:paraId="6B5A3D53">
      <w:pPr>
        <w:spacing w:line="600" w:lineRule="exact"/>
        <w:ind w:left="567"/>
        <w:outlineLvl w:val="3"/>
        <w:rPr>
          <w:rFonts w:ascii="仿宋_GB2312" w:eastAsia="仿宋_GB2312"/>
          <w:b/>
          <w:sz w:val="30"/>
          <w:szCs w:val="30"/>
        </w:rPr>
      </w:pPr>
      <w:r>
        <w:rPr>
          <w:rFonts w:hint="eastAsia" w:ascii="仿宋_GB2312" w:eastAsia="仿宋_GB2312"/>
          <w:b/>
          <w:sz w:val="30"/>
          <w:szCs w:val="30"/>
        </w:rPr>
        <w:t>（5）投资者适当性持续管理</w:t>
      </w:r>
    </w:p>
    <w:p w14:paraId="3D624E28">
      <w:pPr>
        <w:widowControl/>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回购双方完成投资者适当性备案后</w:t>
      </w:r>
      <w:r>
        <w:rPr>
          <w:rFonts w:hint="eastAsia" w:ascii="仿宋_GB2312" w:hAnsi="Calibri" w:eastAsia="仿宋_GB2312"/>
          <w:sz w:val="30"/>
          <w:szCs w:val="30"/>
          <w:lang w:eastAsia="zh-CN"/>
        </w:rPr>
        <w:t>，</w:t>
      </w:r>
      <w:r>
        <w:rPr>
          <w:rFonts w:hint="eastAsia" w:ascii="仿宋_GB2312" w:hAnsi="Calibri" w:eastAsia="仿宋_GB2312"/>
          <w:sz w:val="30"/>
          <w:szCs w:val="30"/>
        </w:rPr>
        <w:t>应当每两年进行一次投资者适当性自我评估，经纪客户由代理备案的证券公司进行投资者适当性评估，回购双方、代理备案的证券公司须将评估结果向本所报告。报告内容包括：</w:t>
      </w:r>
    </w:p>
    <w:p w14:paraId="3EC92BBB">
      <w:pPr>
        <w:widowControl/>
        <w:adjustRightInd w:val="0"/>
        <w:snapToGrid w:val="0"/>
        <w:spacing w:line="600" w:lineRule="exact"/>
        <w:ind w:firstLine="600" w:firstLineChars="200"/>
        <w:rPr>
          <w:rFonts w:ascii="仿宋_GB2312" w:eastAsia="仿宋_GB2312"/>
          <w:sz w:val="30"/>
          <w:szCs w:val="30"/>
        </w:rPr>
      </w:pPr>
      <w:r>
        <w:rPr>
          <w:rFonts w:hint="eastAsia" w:ascii="仿宋_GB2312" w:eastAsia="仿宋_GB2312"/>
          <w:sz w:val="30"/>
          <w:szCs w:val="30"/>
        </w:rPr>
        <w:t>1）最近一个会计年度的总资产、净资产或资产管理规模的说明及相关证明文件；</w:t>
      </w:r>
    </w:p>
    <w:p w14:paraId="1BAFFF88">
      <w:pPr>
        <w:widowControl/>
        <w:adjustRightInd w:val="0"/>
        <w:snapToGrid w:val="0"/>
        <w:spacing w:line="600" w:lineRule="exact"/>
        <w:ind w:firstLine="600" w:firstLineChars="200"/>
        <w:rPr>
          <w:rFonts w:ascii="仿宋_GB2312" w:eastAsia="仿宋_GB2312"/>
          <w:sz w:val="30"/>
          <w:szCs w:val="30"/>
        </w:rPr>
      </w:pPr>
      <w:r>
        <w:rPr>
          <w:rFonts w:hint="eastAsia" w:ascii="仿宋_GB2312" w:eastAsia="仿宋_GB2312"/>
          <w:sz w:val="30"/>
          <w:szCs w:val="30"/>
        </w:rPr>
        <w:t>2）公司内部三方回购相关的业务管理制度、风险管理制度文件；</w:t>
      </w:r>
    </w:p>
    <w:p w14:paraId="1CADFCE8">
      <w:pPr>
        <w:widowControl/>
        <w:adjustRightInd w:val="0"/>
        <w:snapToGrid w:val="0"/>
        <w:spacing w:line="600" w:lineRule="exact"/>
        <w:ind w:firstLine="600" w:firstLineChars="200"/>
        <w:rPr>
          <w:rFonts w:ascii="仿宋_GB2312" w:eastAsia="仿宋_GB2312"/>
          <w:sz w:val="30"/>
          <w:szCs w:val="30"/>
        </w:rPr>
      </w:pPr>
      <w:r>
        <w:rPr>
          <w:rFonts w:hint="eastAsia" w:ascii="仿宋_GB2312" w:eastAsia="仿宋_GB2312"/>
          <w:sz w:val="30"/>
          <w:szCs w:val="30"/>
        </w:rPr>
        <w:t>3）技术系统能够支持三方回购业务的开展的说明；</w:t>
      </w:r>
    </w:p>
    <w:p w14:paraId="076898E4">
      <w:pPr>
        <w:widowControl/>
        <w:adjustRightInd w:val="0"/>
        <w:snapToGrid w:val="0"/>
        <w:spacing w:line="600" w:lineRule="exact"/>
        <w:ind w:firstLine="600" w:firstLineChars="200"/>
        <w:rPr>
          <w:rFonts w:ascii="仿宋_GB2312" w:eastAsia="仿宋_GB2312"/>
          <w:sz w:val="30"/>
          <w:szCs w:val="30"/>
        </w:rPr>
      </w:pPr>
      <w:r>
        <w:rPr>
          <w:rFonts w:hint="eastAsia" w:ascii="仿宋_GB2312" w:eastAsia="仿宋_GB2312"/>
          <w:sz w:val="30"/>
          <w:szCs w:val="30"/>
        </w:rPr>
        <w:t>4）上一年度内参与回购业务交收失败、违约情况等事项的说明；</w:t>
      </w:r>
    </w:p>
    <w:p w14:paraId="73950410">
      <w:pPr>
        <w:widowControl/>
        <w:adjustRightInd w:val="0"/>
        <w:snapToGrid w:val="0"/>
        <w:spacing w:line="600" w:lineRule="exact"/>
        <w:ind w:firstLine="600" w:firstLineChars="200"/>
        <w:rPr>
          <w:rFonts w:ascii="仿宋_GB2312" w:eastAsia="仿宋_GB2312"/>
          <w:sz w:val="30"/>
          <w:szCs w:val="30"/>
        </w:rPr>
      </w:pPr>
      <w:r>
        <w:rPr>
          <w:rFonts w:hint="eastAsia" w:ascii="仿宋_GB2312" w:eastAsia="仿宋_GB2312"/>
          <w:sz w:val="30"/>
          <w:szCs w:val="30"/>
        </w:rPr>
        <w:t>5）其他需要说明的事项。</w:t>
      </w:r>
    </w:p>
    <w:p w14:paraId="6A351E94">
      <w:pPr>
        <w:widowControl/>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评估报告以电子邮件方式发送至本所债券业务部，邮箱ssebond@sse.com.cn，邮件主题统一格式为“XXX公司-三方回购投资者适当性持续管理”。</w:t>
      </w:r>
    </w:p>
    <w:p w14:paraId="0850F852">
      <w:pPr>
        <w:widowControl/>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根据投资者适当性评估报告，本所对不符合投资者适当性要求的可视情况取消其备案，终止三方回购业务资格。三方回购参与者被取消投资者适当性备案的，应继续履行未到期三方回购合约的相关义务。</w:t>
      </w:r>
      <w:bookmarkStart w:id="2168" w:name="_Toc500840222"/>
      <w:bookmarkStart w:id="2169" w:name="_Toc501552798"/>
    </w:p>
    <w:p w14:paraId="2651DC18">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异常情况及违约处置</w:t>
      </w:r>
      <w:bookmarkEnd w:id="2167"/>
      <w:bookmarkEnd w:id="2168"/>
      <w:bookmarkEnd w:id="2169"/>
    </w:p>
    <w:p w14:paraId="797378DE">
      <w:pPr>
        <w:spacing w:line="600" w:lineRule="exact"/>
        <w:ind w:left="567"/>
        <w:outlineLvl w:val="3"/>
        <w:rPr>
          <w:rFonts w:ascii="仿宋_GB2312" w:eastAsia="仿宋_GB2312"/>
          <w:b/>
          <w:sz w:val="30"/>
          <w:szCs w:val="30"/>
        </w:rPr>
      </w:pPr>
      <w:r>
        <w:rPr>
          <w:rFonts w:hint="eastAsia" w:ascii="仿宋_GB2312" w:eastAsia="仿宋_GB2312"/>
          <w:b/>
          <w:sz w:val="30"/>
          <w:szCs w:val="30"/>
        </w:rPr>
        <w:t>（1）异常情况</w:t>
      </w:r>
    </w:p>
    <w:p w14:paraId="6E37DCCD">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三方回购存续期间发生以下情形的，视为异常情况：</w:t>
      </w:r>
    </w:p>
    <w:p w14:paraId="38AE5D5B">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1）质押券、三方回购专用证券账户、回购双方证券账户或资金账户被有权机关冻结或强制执行；</w:t>
      </w:r>
    </w:p>
    <w:p w14:paraId="52EE150D">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2）回购任何一方被本所取消三方回购投资者适当性备案；</w:t>
      </w:r>
    </w:p>
    <w:p w14:paraId="669DEE59">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3）质押券被本所终止上市或者终止转让；</w:t>
      </w:r>
    </w:p>
    <w:p w14:paraId="41621821">
      <w:pPr>
        <w:adjustRightInd w:val="0"/>
        <w:snapToGrid w:val="0"/>
        <w:spacing w:line="600" w:lineRule="exact"/>
        <w:ind w:firstLine="600" w:firstLineChars="200"/>
        <w:rPr>
          <w:rFonts w:ascii="仿宋_GB2312" w:eastAsia="仿宋_GB2312"/>
          <w:sz w:val="30"/>
          <w:szCs w:val="30"/>
        </w:rPr>
      </w:pPr>
      <w:r>
        <w:rPr>
          <w:rFonts w:hint="eastAsia" w:ascii="仿宋_GB2312" w:eastAsia="仿宋_GB2312"/>
          <w:sz w:val="30"/>
          <w:szCs w:val="30"/>
        </w:rPr>
        <w:t>4）经纪客户所在的证券公司进入风险处置、终止清算、破产程序；</w:t>
      </w:r>
    </w:p>
    <w:p w14:paraId="3C0E7DE3">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5）回购存续期内，履行本主协议义务的回购任何一方发生虽不导致违约但可能影响其主体资格实质变化的事件或主体资格已经实质变化，或将本主协议下的义务拟转由他方履行等；</w:t>
      </w:r>
    </w:p>
    <w:p w14:paraId="7374BF9C">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6）回购双方认定的其他异常情况。</w:t>
      </w:r>
    </w:p>
    <w:p w14:paraId="7454E3AD">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发生异常情况的，回购一方应当在异常情况可能发生、已经发生或获知异常情况可能发生、已经发生后及时通知对方，并及时协商解决。回购双方可以在协商一致后，采取继续履约、提前终止、变更质押券或双方协商的其他方式进行处理。回购双方对异常情况处理另有约定的，从其约定。</w:t>
      </w:r>
    </w:p>
    <w:p w14:paraId="1E721467">
      <w:pPr>
        <w:spacing w:line="600" w:lineRule="exact"/>
        <w:ind w:left="567"/>
        <w:outlineLvl w:val="3"/>
        <w:rPr>
          <w:rFonts w:ascii="仿宋_GB2312" w:eastAsia="仿宋_GB2312"/>
          <w:b/>
          <w:sz w:val="30"/>
          <w:szCs w:val="30"/>
        </w:rPr>
      </w:pPr>
      <w:r>
        <w:rPr>
          <w:rFonts w:hint="eastAsia" w:ascii="仿宋_GB2312" w:eastAsia="仿宋_GB2312"/>
          <w:b/>
          <w:sz w:val="30"/>
          <w:szCs w:val="30"/>
        </w:rPr>
        <w:t>（2）违约处置</w:t>
      </w:r>
    </w:p>
    <w:p w14:paraId="1FD45381">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回购双方中任何一方发生违约事件，应当及时通知对方，并可以采取下列方式处理：</w:t>
      </w:r>
    </w:p>
    <w:p w14:paraId="3A3D9C64">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1）守约方可以要求违约方继续履行三方回购协议、单方面终止三方回购协议、按照三方回购协议约定向违约方收取违约金；</w:t>
      </w:r>
    </w:p>
    <w:p w14:paraId="66853A78">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2）正回购方违约的，逆回购方可以按照三方回购协议的约定处置质押券；</w:t>
      </w:r>
    </w:p>
    <w:p w14:paraId="627CBD63">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3）可以按照相关法律法规等规定提交上海国际经济贸易仲裁委员会仲裁或向人民法院提起诉讼。</w:t>
      </w:r>
    </w:p>
    <w:p w14:paraId="44A07CED">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回购双方对违约处置方式等协商一致并另有约定的，从其约定。</w:t>
      </w:r>
    </w:p>
    <w:p w14:paraId="075B5948">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回购双方针对违约处置达成一致的，违约方通过场外向守约方支付本金、利息、违约金，当双方违约处置交付完成后，再到场内申请解除质押券质押。违约金数额的确定按照补充协议或主协议的约定办理。</w:t>
      </w:r>
    </w:p>
    <w:p w14:paraId="1A5F70D3">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回购双方、经纪客户所在的证券公司、结算参与人及相关人员违反《暂行办法》及本所、证券登记结算机构其他相关规定的，本所、证券登记结算机构可以视情况实施口头警示、书面警示、监管谈话、限制投资者证券账户交易、通报批评、公开谴责等监管措施或者纪律处分，并依照相关规定记入诚信档案。</w:t>
      </w:r>
    </w:p>
    <w:p w14:paraId="306BB718">
      <w:pPr>
        <w:adjustRightInd w:val="0"/>
        <w:snapToGri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三方回购发生违约情形，回购双方应当在违约事件发生3个交易日内向本所、证券登记结算机构书面报送违约原因以及双方协商的处理结果。违约处置报备相关材料可电子邮件方式发送至本所债券业务部，邮箱ssebond@sse.com.cn，邮件主题统一格式为“XXX公司-三方回购违约处置报备”。</w:t>
      </w:r>
    </w:p>
    <w:p w14:paraId="56407453">
      <w:pPr>
        <w:spacing w:line="600" w:lineRule="exact"/>
        <w:ind w:left="567"/>
        <w:outlineLvl w:val="3"/>
        <w:rPr>
          <w:rFonts w:ascii="仿宋_GB2312" w:eastAsia="仿宋_GB2312"/>
          <w:b/>
          <w:sz w:val="30"/>
          <w:szCs w:val="30"/>
        </w:rPr>
      </w:pPr>
      <w:r>
        <w:rPr>
          <w:rFonts w:hint="eastAsia" w:ascii="仿宋_GB2312" w:eastAsia="仿宋_GB2312"/>
          <w:b/>
          <w:sz w:val="30"/>
          <w:szCs w:val="30"/>
        </w:rPr>
        <w:t>（3）质押券处置</w:t>
      </w:r>
    </w:p>
    <w:p w14:paraId="1396AC09">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回购双方须在交易申报中约定出现下列情形时，是否由逆回购方直接对该回购项下的质押券进行处置：</w:t>
      </w:r>
    </w:p>
    <w:p w14:paraId="3183A773">
      <w:pPr>
        <w:adjustRightInd w:val="0"/>
        <w:snapToGrid w:val="0"/>
        <w:spacing w:line="600" w:lineRule="exact"/>
        <w:ind w:firstLine="600" w:firstLineChars="200"/>
        <w:rPr>
          <w:rFonts w:ascii="仿宋_GB2312" w:hAnsi="Calibri" w:eastAsia="仿宋_GB2312"/>
          <w:sz w:val="30"/>
          <w:szCs w:val="30"/>
        </w:rPr>
      </w:pPr>
      <w:r>
        <w:rPr>
          <w:rFonts w:ascii="仿宋_GB2312" w:hAnsi="Calibri" w:eastAsia="仿宋_GB2312"/>
          <w:sz w:val="30"/>
          <w:szCs w:val="30"/>
        </w:rPr>
        <w:t>1</w:t>
      </w:r>
      <w:r>
        <w:rPr>
          <w:rFonts w:hint="eastAsia" w:ascii="仿宋_GB2312" w:hAnsi="Calibri" w:eastAsia="仿宋_GB2312"/>
          <w:sz w:val="30"/>
          <w:szCs w:val="30"/>
        </w:rPr>
        <w:t>）出质债券在质权存续期间，发生违约、债券本息兑付面临重要风险或其他事件致使质押券价值明显减少，足以危害逆回购方权利的；</w:t>
      </w:r>
    </w:p>
    <w:p w14:paraId="5DC71AE6">
      <w:pPr>
        <w:adjustRightInd w:val="0"/>
        <w:snapToGrid w:val="0"/>
        <w:spacing w:line="600" w:lineRule="exact"/>
        <w:ind w:firstLine="600" w:firstLineChars="200"/>
        <w:rPr>
          <w:rFonts w:ascii="仿宋_GB2312" w:hAnsi="Calibri" w:eastAsia="仿宋_GB2312"/>
          <w:sz w:val="30"/>
          <w:szCs w:val="30"/>
        </w:rPr>
      </w:pPr>
      <w:r>
        <w:rPr>
          <w:rFonts w:ascii="仿宋_GB2312" w:hAnsi="Calibri" w:eastAsia="仿宋_GB2312"/>
          <w:sz w:val="30"/>
          <w:szCs w:val="30"/>
        </w:rPr>
        <w:t>2</w:t>
      </w:r>
      <w:r>
        <w:rPr>
          <w:rFonts w:hint="eastAsia" w:ascii="仿宋_GB2312" w:hAnsi="Calibri" w:eastAsia="仿宋_GB2312"/>
          <w:sz w:val="30"/>
          <w:szCs w:val="30"/>
        </w:rPr>
        <w:t>）对于到期购回交易，正回购方未提交到期购回申报、正回购方结算参与人未提交结算指令或资金不足的；</w:t>
      </w:r>
    </w:p>
    <w:p w14:paraId="1ADE18E9">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3）对于到期续做交易，正回购方结算参与人未提交结算指令、三方回购专用证券账户中符合条件的质押券不足或资金不足的；</w:t>
      </w:r>
    </w:p>
    <w:p w14:paraId="449BC90B">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4）对于提前终止交易，正回购方结算参与人未提交结算指令或资金不足的。</w:t>
      </w:r>
    </w:p>
    <w:p w14:paraId="27CD79D7">
      <w:pPr>
        <w:adjustRightInd w:val="0"/>
        <w:snapToGri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回购双方在交易申报中约定对质押券直接进行处置的，逆回购方在发生上述情形时起一个月后，可直接以拍卖、变卖质押券所得的价款清偿债务。质押券处置产生的任何法律后果及责任，由回购双方自行承担。回购双方在发生上述情形时起一个月内协商一致并另行约定的，从其约定。回购双方在交易申报中未约定发生上述情形时由逆回购方直接处置质押券的，可以另行约定其他处置方式。</w:t>
      </w:r>
    </w:p>
    <w:p w14:paraId="6AA45E27">
      <w:pPr>
        <w:adjustRightInd w:val="0"/>
        <w:snapToGri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逆回购方拍卖、变卖质押券的，参照质押券在银行间债券市场交易价格、交易所债券市场交易收盘价、中证指数公司的估值价格和市场需求，确定拍卖底价和变卖价格,通过上海证券交易所债券担保品处置平台或其他方式拍卖、变卖。处置所得价款以拍卖、变卖的成交金额为准。</w:t>
      </w:r>
    </w:p>
    <w:p w14:paraId="0C5BFF81">
      <w:pPr>
        <w:spacing w:line="600" w:lineRule="exact"/>
        <w:ind w:firstLine="602" w:firstLineChars="200"/>
        <w:outlineLvl w:val="3"/>
        <w:rPr>
          <w:rFonts w:ascii="仿宋_GB2312" w:hAnsi="黑体" w:eastAsia="仿宋_GB2312"/>
          <w:b/>
          <w:sz w:val="30"/>
          <w:szCs w:val="30"/>
        </w:rPr>
      </w:pPr>
      <w:r>
        <w:rPr>
          <w:rFonts w:hint="eastAsia" w:ascii="仿宋_GB2312" w:hAnsi="黑体" w:eastAsia="仿宋_GB2312"/>
          <w:b/>
          <w:sz w:val="30"/>
          <w:szCs w:val="30"/>
        </w:rPr>
        <w:t>（4）质押券处置后安排</w:t>
      </w:r>
    </w:p>
    <w:p w14:paraId="57EF1FBB">
      <w:pPr>
        <w:adjustRightInd w:val="0"/>
        <w:snapToGri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质押券处置所得，逆回购方拍卖、变卖质押券后，被拍卖、变卖的质押券解除质押登记并办理过户，所有权转移至拍卖、变卖的受让人；多余的未被拍卖、变卖的质押券解除质押登记。拍卖、变卖质押券所得价款扣除拍卖、变卖费用后，用于清偿逆回购方应收取的融出资金违约金、利息、本金，清偿之后如有价款余额应退还正回购方。拍卖、变卖质押券所得价款扣除拍卖、变卖费用后不足以清偿债务的，不足部分逆回购方继续向正回购方进行追索。</w:t>
      </w:r>
    </w:p>
    <w:p w14:paraId="4565D6F3">
      <w:pPr>
        <w:spacing w:line="600" w:lineRule="exact"/>
        <w:ind w:left="567"/>
        <w:outlineLvl w:val="3"/>
        <w:rPr>
          <w:rFonts w:ascii="仿宋_GB2312" w:eastAsia="仿宋_GB2312"/>
          <w:b/>
          <w:sz w:val="30"/>
          <w:szCs w:val="30"/>
        </w:rPr>
      </w:pPr>
      <w:r>
        <w:rPr>
          <w:rFonts w:hint="eastAsia" w:ascii="仿宋_GB2312" w:hAnsi="黑体" w:eastAsia="仿宋_GB2312"/>
          <w:b/>
          <w:sz w:val="30"/>
          <w:szCs w:val="30"/>
        </w:rPr>
        <w:t>（5）</w:t>
      </w:r>
      <w:r>
        <w:rPr>
          <w:rFonts w:hint="eastAsia" w:ascii="仿宋_GB2312" w:eastAsia="仿宋_GB2312"/>
          <w:b/>
          <w:sz w:val="30"/>
          <w:szCs w:val="30"/>
        </w:rPr>
        <w:t>解除质押券质押</w:t>
      </w:r>
    </w:p>
    <w:p w14:paraId="216073C2">
      <w:pPr>
        <w:adjustRightInd w:val="0"/>
        <w:snapToGri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经回购双方协商一致，由正回购方的任一交易员在固定收益平台针对某一笔违约的回购合约发起解除质押券质押申报，对手方进行确认或拒绝。双方确认达成一致后，正回购方在该笔回购交易项下质押登记的债券解除质押。证券登记结算机构将依据本所发送的数据通过日末逐笔全额结算方式办理解除质押登记。</w:t>
      </w:r>
    </w:p>
    <w:p w14:paraId="68033ED4">
      <w:pPr>
        <w:spacing w:line="600" w:lineRule="exact"/>
        <w:ind w:left="567"/>
        <w:outlineLvl w:val="3"/>
        <w:rPr>
          <w:rFonts w:ascii="仿宋_GB2312" w:eastAsia="仿宋_GB2312"/>
          <w:b/>
          <w:sz w:val="30"/>
          <w:szCs w:val="30"/>
        </w:rPr>
      </w:pPr>
      <w:r>
        <w:rPr>
          <w:rFonts w:hint="eastAsia" w:ascii="仿宋_GB2312" w:eastAsia="仿宋_GB2312"/>
          <w:b/>
          <w:sz w:val="30"/>
          <w:szCs w:val="30"/>
        </w:rPr>
        <w:t>（</w:t>
      </w:r>
      <w:r>
        <w:rPr>
          <w:rFonts w:ascii="仿宋_GB2312" w:eastAsia="仿宋_GB2312"/>
          <w:b/>
          <w:sz w:val="30"/>
          <w:szCs w:val="30"/>
        </w:rPr>
        <w:t>6</w:t>
      </w:r>
      <w:r>
        <w:rPr>
          <w:rFonts w:hint="eastAsia" w:ascii="仿宋_GB2312" w:eastAsia="仿宋_GB2312"/>
          <w:b/>
          <w:sz w:val="30"/>
          <w:szCs w:val="30"/>
        </w:rPr>
        <w:t>）质押券处置过户</w:t>
      </w:r>
    </w:p>
    <w:p w14:paraId="7F3274F1">
      <w:pPr>
        <w:adjustRightInd w:val="0"/>
        <w:snapToGri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经回购双方协商一致，可向本所申请质押证券处置过户至质权人或拍卖变卖的受让人。证券登记结算机构将根据证券过户指令，于日终逐笔办理质押证券的处置过户。</w:t>
      </w:r>
    </w:p>
    <w:p w14:paraId="07A49D7E">
      <w:pPr>
        <w:numPr>
          <w:ilvl w:val="2"/>
          <w:numId w:val="4"/>
        </w:numPr>
        <w:spacing w:line="600" w:lineRule="exact"/>
        <w:ind w:left="0" w:firstLine="0"/>
        <w:outlineLvl w:val="2"/>
        <w:rPr>
          <w:rFonts w:ascii="仿宋_GB2312" w:eastAsia="仿宋_GB2312"/>
          <w:b/>
          <w:sz w:val="30"/>
          <w:szCs w:val="30"/>
        </w:rPr>
      </w:pPr>
      <w:bookmarkStart w:id="2170" w:name="_Toc60331892"/>
      <w:bookmarkEnd w:id="2170"/>
      <w:bookmarkStart w:id="2171" w:name="_Toc59034118"/>
      <w:bookmarkEnd w:id="2171"/>
      <w:bookmarkStart w:id="2172" w:name="_Toc59034597"/>
      <w:bookmarkEnd w:id="2172"/>
      <w:bookmarkStart w:id="2173" w:name="_Toc59034119"/>
      <w:bookmarkEnd w:id="2173"/>
      <w:bookmarkStart w:id="2174" w:name="_Toc59181218"/>
      <w:bookmarkEnd w:id="2174"/>
      <w:bookmarkStart w:id="2175" w:name="_Toc59107000"/>
      <w:bookmarkEnd w:id="2175"/>
      <w:bookmarkStart w:id="2176" w:name="_Toc59181332"/>
      <w:bookmarkEnd w:id="2176"/>
      <w:bookmarkStart w:id="2177" w:name="_Toc59181219"/>
      <w:bookmarkEnd w:id="2177"/>
      <w:bookmarkStart w:id="2178" w:name="_Toc60327135"/>
      <w:bookmarkEnd w:id="2178"/>
      <w:bookmarkStart w:id="2179" w:name="_Toc60331891"/>
      <w:bookmarkEnd w:id="2179"/>
      <w:bookmarkStart w:id="2180" w:name="_Toc59181107"/>
      <w:bookmarkEnd w:id="2180"/>
      <w:bookmarkStart w:id="2181" w:name="_Toc59034598"/>
      <w:bookmarkEnd w:id="2181"/>
      <w:bookmarkStart w:id="2182" w:name="_Toc60331893"/>
      <w:bookmarkEnd w:id="2182"/>
      <w:bookmarkStart w:id="2183" w:name="_Toc59181220"/>
      <w:bookmarkEnd w:id="2183"/>
      <w:bookmarkStart w:id="2184" w:name="_Toc59181330"/>
      <w:bookmarkEnd w:id="2184"/>
      <w:bookmarkStart w:id="2185" w:name="_Toc59034117"/>
      <w:bookmarkEnd w:id="2185"/>
      <w:bookmarkStart w:id="2186" w:name="_Toc59034596"/>
      <w:bookmarkEnd w:id="2186"/>
      <w:bookmarkStart w:id="2187" w:name="_Toc60327136"/>
      <w:bookmarkEnd w:id="2187"/>
      <w:bookmarkStart w:id="2188" w:name="_Toc59181106"/>
      <w:bookmarkEnd w:id="2188"/>
      <w:bookmarkStart w:id="2189" w:name="_Toc59181331"/>
      <w:bookmarkEnd w:id="2189"/>
      <w:bookmarkStart w:id="2190" w:name="_Toc59107002"/>
      <w:bookmarkEnd w:id="2190"/>
      <w:bookmarkStart w:id="2191" w:name="_Toc60327134"/>
      <w:bookmarkEnd w:id="2191"/>
      <w:bookmarkStart w:id="2192" w:name="_Toc59107001"/>
      <w:bookmarkEnd w:id="2192"/>
      <w:bookmarkStart w:id="2193" w:name="_Toc59181108"/>
      <w:bookmarkEnd w:id="2193"/>
      <w:bookmarkStart w:id="2194" w:name="_Toc56166289"/>
      <w:bookmarkStart w:id="2195" w:name="_Toc56166100"/>
      <w:r>
        <w:rPr>
          <w:rFonts w:hint="eastAsia" w:ascii="仿宋_GB2312" w:eastAsia="仿宋_GB2312"/>
          <w:b/>
          <w:sz w:val="30"/>
          <w:szCs w:val="30"/>
        </w:rPr>
        <w:t>其他事项</w:t>
      </w:r>
    </w:p>
    <w:p w14:paraId="21C04562">
      <w:pPr>
        <w:numPr>
          <w:ilvl w:val="0"/>
          <w:numId w:val="20"/>
        </w:numPr>
        <w:spacing w:line="600" w:lineRule="exact"/>
        <w:ind w:left="567"/>
        <w:outlineLvl w:val="3"/>
        <w:rPr>
          <w:rFonts w:ascii="仿宋_GB2312" w:eastAsia="仿宋_GB2312"/>
          <w:b/>
          <w:sz w:val="30"/>
          <w:szCs w:val="30"/>
        </w:rPr>
      </w:pPr>
      <w:r>
        <w:rPr>
          <w:rFonts w:hint="eastAsia" w:ascii="仿宋_GB2312" w:eastAsia="仿宋_GB2312"/>
          <w:b/>
          <w:sz w:val="30"/>
          <w:szCs w:val="30"/>
        </w:rPr>
        <w:t>交收结果</w:t>
      </w:r>
    </w:p>
    <w:p w14:paraId="7F2DA634">
      <w:pPr>
        <w:adjustRightInd w:val="0"/>
        <w:snapToGri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初期，市场参与者可以在</w:t>
      </w:r>
      <w:r>
        <w:rPr>
          <w:rFonts w:ascii="仿宋_GB2312" w:hAnsi="Calibri" w:eastAsia="仿宋_GB2312"/>
          <w:kern w:val="0"/>
          <w:sz w:val="30"/>
          <w:szCs w:val="30"/>
        </w:rPr>
        <w:t>T+1</w:t>
      </w:r>
      <w:r>
        <w:rPr>
          <w:rFonts w:hint="eastAsia" w:ascii="仿宋_GB2312" w:hAnsi="Calibri" w:eastAsia="仿宋_GB2312"/>
          <w:kern w:val="0"/>
          <w:sz w:val="30"/>
          <w:szCs w:val="30"/>
        </w:rPr>
        <w:t>日通过固定收益平台查看本交易商三方回购的结算结果信息。</w:t>
      </w:r>
    </w:p>
    <w:p w14:paraId="2659ADF4">
      <w:pPr>
        <w:adjustRightInd w:val="0"/>
        <w:snapToGrid w:val="0"/>
        <w:spacing w:line="600" w:lineRule="exact"/>
        <w:ind w:firstLine="600" w:firstLineChars="200"/>
        <w:rPr>
          <w:rFonts w:ascii="仿宋_GB2312" w:eastAsia="仿宋_GB2312"/>
          <w:b/>
          <w:sz w:val="30"/>
          <w:szCs w:val="30"/>
        </w:rPr>
      </w:pPr>
      <w:r>
        <w:rPr>
          <w:rFonts w:hint="eastAsia" w:ascii="仿宋_GB2312" w:hAnsi="Calibri" w:eastAsia="仿宋_GB2312"/>
          <w:kern w:val="0"/>
          <w:sz w:val="30"/>
          <w:szCs w:val="30"/>
        </w:rPr>
        <w:t>结算参与人可于</w:t>
      </w:r>
      <w:r>
        <w:rPr>
          <w:rFonts w:ascii="仿宋_GB2312" w:hAnsi="Calibri" w:eastAsia="仿宋_GB2312"/>
          <w:kern w:val="0"/>
          <w:sz w:val="30"/>
          <w:szCs w:val="30"/>
        </w:rPr>
        <w:t>T</w:t>
      </w:r>
      <w:r>
        <w:rPr>
          <w:rFonts w:hint="eastAsia" w:ascii="仿宋_GB2312" w:hAnsi="Calibri" w:eastAsia="仿宋_GB2312"/>
          <w:kern w:val="0"/>
          <w:sz w:val="30"/>
          <w:szCs w:val="30"/>
        </w:rPr>
        <w:t>日通过中国</w:t>
      </w:r>
      <w:r>
        <w:rPr>
          <w:rFonts w:ascii="仿宋_GB2312" w:hAnsi="Calibri" w:eastAsia="仿宋_GB2312"/>
          <w:kern w:val="0"/>
          <w:sz w:val="30"/>
          <w:szCs w:val="30"/>
        </w:rPr>
        <w:t>结算PROP</w:t>
      </w:r>
      <w:r>
        <w:rPr>
          <w:rFonts w:hint="eastAsia" w:ascii="仿宋_GB2312" w:hAnsi="Calibri" w:eastAsia="仿宋_GB2312"/>
          <w:kern w:val="0"/>
          <w:sz w:val="30"/>
          <w:szCs w:val="30"/>
        </w:rPr>
        <w:t>综合业务终端查询本结算参与人三方回购的回购交易、回购到期、提前终止、回购续做、质押券变更和解除质押登记的清算交收情况。</w:t>
      </w:r>
    </w:p>
    <w:p w14:paraId="649AD8FC">
      <w:pPr>
        <w:numPr>
          <w:ilvl w:val="0"/>
          <w:numId w:val="20"/>
        </w:numPr>
        <w:spacing w:line="600" w:lineRule="exact"/>
        <w:ind w:left="567"/>
        <w:outlineLvl w:val="3"/>
        <w:rPr>
          <w:rFonts w:ascii="仿宋_GB2312" w:eastAsia="仿宋_GB2312"/>
          <w:b/>
          <w:sz w:val="30"/>
          <w:szCs w:val="30"/>
        </w:rPr>
      </w:pPr>
      <w:r>
        <w:rPr>
          <w:rFonts w:hint="eastAsia" w:ascii="仿宋_GB2312" w:eastAsia="仿宋_GB2312"/>
          <w:b/>
          <w:sz w:val="30"/>
          <w:szCs w:val="30"/>
        </w:rPr>
        <w:t>统计数据</w:t>
      </w:r>
    </w:p>
    <w:p w14:paraId="06788920">
      <w:pPr>
        <w:adjustRightInd w:val="0"/>
        <w:snapToGri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本所将定期发布三方回购交易统计数据，统计数据要素包括三方回购交易量、未到期余额、利率分布、投资者结构、质押券折扣率等信息。</w:t>
      </w:r>
    </w:p>
    <w:p w14:paraId="495EFAE8">
      <w:pPr>
        <w:numPr>
          <w:ilvl w:val="0"/>
          <w:numId w:val="4"/>
        </w:numPr>
        <w:spacing w:line="600" w:lineRule="exact"/>
        <w:outlineLvl w:val="0"/>
        <w:rPr>
          <w:b/>
          <w:sz w:val="36"/>
        </w:rPr>
      </w:pPr>
      <w:r>
        <w:rPr>
          <w:b/>
          <w:sz w:val="36"/>
        </w:rPr>
        <w:br w:type="page"/>
      </w:r>
      <w:bookmarkStart w:id="2196" w:name="_Toc2051678788"/>
      <w:bookmarkStart w:id="2197" w:name="_Toc1048290051"/>
      <w:bookmarkStart w:id="2198" w:name="_Toc151136917"/>
      <w:bookmarkStart w:id="2199" w:name="_Toc1432604411"/>
      <w:bookmarkStart w:id="2200" w:name="_Toc1792595979"/>
      <w:r>
        <w:rPr>
          <w:rFonts w:hint="eastAsia" w:ascii="黑体" w:hAnsi="黑体" w:eastAsia="黑体" w:cs="黑体"/>
          <w:b/>
          <w:sz w:val="36"/>
        </w:rPr>
        <w:t>其他交易类型</w:t>
      </w:r>
      <w:bookmarkEnd w:id="2194"/>
      <w:bookmarkEnd w:id="2195"/>
      <w:bookmarkEnd w:id="2196"/>
      <w:bookmarkEnd w:id="2197"/>
      <w:bookmarkEnd w:id="2198"/>
      <w:bookmarkEnd w:id="2199"/>
      <w:bookmarkEnd w:id="2200"/>
    </w:p>
    <w:p w14:paraId="226F9ABF">
      <w:pPr>
        <w:spacing w:line="600" w:lineRule="exact"/>
        <w:ind w:firstLine="600" w:firstLineChars="200"/>
        <w:rPr>
          <w:rFonts w:ascii="Calibri" w:hAnsi="Calibri"/>
          <w:b/>
          <w:szCs w:val="22"/>
        </w:rPr>
      </w:pPr>
      <w:r>
        <w:rPr>
          <w:rFonts w:hint="eastAsia" w:ascii="仿宋_GB2312" w:hAnsi="Calibri" w:eastAsia="仿宋_GB2312"/>
          <w:sz w:val="30"/>
          <w:szCs w:val="30"/>
        </w:rPr>
        <w:t>本章主要明确国债预发行、债券借贷、信用保护工具等业务品种的交易或者转让事项，</w:t>
      </w:r>
      <w:r>
        <w:rPr>
          <w:rFonts w:ascii="仿宋_GB2312" w:hAnsi="Calibri" w:eastAsia="仿宋_GB2312"/>
          <w:sz w:val="30"/>
          <w:szCs w:val="30"/>
        </w:rPr>
        <w:t>以及担保品处置相关事宜</w:t>
      </w:r>
      <w:r>
        <w:rPr>
          <w:rFonts w:hint="eastAsia" w:ascii="仿宋_GB2312" w:hAnsi="Calibri" w:eastAsia="仿宋_GB2312"/>
          <w:sz w:val="30"/>
          <w:szCs w:val="30"/>
        </w:rPr>
        <w:t>。</w:t>
      </w:r>
    </w:p>
    <w:p w14:paraId="3D25D4DA">
      <w:pPr>
        <w:numPr>
          <w:ilvl w:val="1"/>
          <w:numId w:val="4"/>
        </w:numPr>
        <w:spacing w:line="600" w:lineRule="exact"/>
        <w:ind w:left="0" w:firstLine="0"/>
        <w:outlineLvl w:val="1"/>
        <w:rPr>
          <w:rFonts w:ascii="仿宋_GB2312" w:eastAsia="仿宋_GB2312"/>
          <w:b/>
          <w:sz w:val="30"/>
          <w:szCs w:val="30"/>
        </w:rPr>
      </w:pPr>
      <w:bookmarkStart w:id="2201" w:name="_Toc41660647"/>
      <w:bookmarkStart w:id="2202" w:name="_Toc912045162"/>
      <w:bookmarkStart w:id="2203" w:name="_Toc1812501148"/>
      <w:bookmarkStart w:id="2204" w:name="_Toc56166290"/>
      <w:bookmarkStart w:id="2205" w:name="_Toc1635101658"/>
      <w:bookmarkStart w:id="2206" w:name="_Toc56166101"/>
      <w:bookmarkStart w:id="2207" w:name="_Toc1747744484"/>
      <w:bookmarkStart w:id="2208" w:name="_Toc151136918"/>
      <w:r>
        <w:rPr>
          <w:rFonts w:hint="eastAsia" w:ascii="仿宋_GB2312" w:eastAsia="仿宋_GB2312"/>
          <w:b/>
          <w:sz w:val="30"/>
          <w:szCs w:val="30"/>
        </w:rPr>
        <w:t>国债预发行</w:t>
      </w:r>
      <w:bookmarkEnd w:id="2201"/>
      <w:bookmarkEnd w:id="2202"/>
      <w:bookmarkEnd w:id="2203"/>
      <w:bookmarkEnd w:id="2204"/>
      <w:bookmarkEnd w:id="2205"/>
      <w:bookmarkEnd w:id="2206"/>
      <w:bookmarkEnd w:id="2207"/>
      <w:bookmarkEnd w:id="2208"/>
    </w:p>
    <w:p w14:paraId="5451CAA2">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国债预发行交易，是指在关键期限（1、3、5、7、10年期）的记账式国债招标日前特定期间进行交易，并在国债招标完成后进行交收的债券买卖行为。</w:t>
      </w:r>
    </w:p>
    <w:p w14:paraId="6CFFADA0">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国债招标日前四个法定工作日至招标日前一个法定工作日期间的本所交易日，可以进行国债预发行交易。</w:t>
      </w:r>
    </w:p>
    <w:p w14:paraId="5D324A56">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国债预发行交易的具体券种由本所根据财政部、中国人民银行、中国证券监督管理委员会有关通知确定，并向市场公布。</w:t>
      </w:r>
    </w:p>
    <w:p w14:paraId="1E911565">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相关规则</w:t>
      </w:r>
    </w:p>
    <w:p w14:paraId="5B3E51A7">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国债预发行相关规则如下：</w:t>
      </w:r>
    </w:p>
    <w:p w14:paraId="3AEB219E">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1.《财政部 中国人民银行 中国证券监督管理委员会关于开展国债预发行试点的通知》（财库［2013］28号）</w:t>
      </w:r>
    </w:p>
    <w:p w14:paraId="31833E19">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2.《财政部、中国人民银行、中国证券监督管理委员会关于7年期国债开展预发行试点的通知》（财库[2013]82号）</w:t>
      </w:r>
    </w:p>
    <w:p w14:paraId="4419C75C">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3.《财政部、中国人民银行和中国证券监督管理委员会关于关键期限国债开展预发行试点的通知》（财库〔2014〕72号）</w:t>
      </w:r>
    </w:p>
    <w:p w14:paraId="3F1A6118">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4.《关于发布&lt;上海证券交易所、中国证券登记结算有限责任公司国债预发行（试点）交易及登记结算业务办法&gt;及有关事项的通知》（上证发〔2013〕4号）</w:t>
      </w:r>
    </w:p>
    <w:p w14:paraId="557160D1">
      <w:pPr>
        <w:numPr>
          <w:ilvl w:val="2"/>
          <w:numId w:val="4"/>
        </w:numPr>
        <w:spacing w:line="600" w:lineRule="exact"/>
        <w:ind w:left="0" w:firstLine="0"/>
        <w:outlineLvl w:val="2"/>
        <w:rPr>
          <w:rFonts w:ascii="仿宋_GB2312" w:eastAsia="仿宋_GB2312"/>
          <w:b/>
          <w:sz w:val="30"/>
          <w:szCs w:val="30"/>
        </w:rPr>
      </w:pPr>
      <w:bookmarkStart w:id="2209" w:name="_Toc41660648"/>
      <w:r>
        <w:rPr>
          <w:rFonts w:hint="eastAsia" w:ascii="仿宋_GB2312" w:eastAsia="仿宋_GB2312"/>
          <w:b/>
          <w:sz w:val="30"/>
          <w:szCs w:val="30"/>
        </w:rPr>
        <w:t>参与者要求</w:t>
      </w:r>
      <w:bookmarkEnd w:id="2209"/>
    </w:p>
    <w:p w14:paraId="603D1655">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下列专业投资者可以参与国债预发行交易：</w:t>
      </w:r>
    </w:p>
    <w:p w14:paraId="67063FD3">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（1）可参与本所债券交易的证券公司、银行、基金管理公司、保险公司等金融机构；</w:t>
      </w:r>
    </w:p>
    <w:p w14:paraId="0EE4D92B">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（2）符合本所债券市场投资者适当性管理相关规定的其他专业投资者。</w:t>
      </w:r>
    </w:p>
    <w:p w14:paraId="7E7B9CE0">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上述投资者参与国债预发行交易比照国债现券交易进行管理。</w:t>
      </w:r>
    </w:p>
    <w:p w14:paraId="6659EE3D">
      <w:pPr>
        <w:numPr>
          <w:ilvl w:val="2"/>
          <w:numId w:val="4"/>
        </w:numPr>
        <w:spacing w:line="600" w:lineRule="exact"/>
        <w:ind w:left="0" w:firstLine="0"/>
        <w:outlineLvl w:val="2"/>
        <w:rPr>
          <w:rFonts w:ascii="仿宋_GB2312" w:eastAsia="仿宋_GB2312"/>
          <w:b/>
          <w:sz w:val="30"/>
          <w:szCs w:val="30"/>
        </w:rPr>
      </w:pPr>
      <w:bookmarkStart w:id="2210" w:name="_Toc41660649"/>
      <w:r>
        <w:rPr>
          <w:rFonts w:hint="eastAsia" w:ascii="仿宋_GB2312" w:eastAsia="仿宋_GB2312"/>
          <w:b/>
          <w:sz w:val="30"/>
          <w:szCs w:val="30"/>
        </w:rPr>
        <w:t>交易流程</w:t>
      </w:r>
      <w:bookmarkEnd w:id="2210"/>
    </w:p>
    <w:p w14:paraId="3D8117D5">
      <w:pPr>
        <w:spacing w:line="600" w:lineRule="exact"/>
        <w:ind w:left="567"/>
        <w:outlineLvl w:val="3"/>
        <w:rPr>
          <w:rFonts w:ascii="仿宋_GB2312" w:eastAsia="仿宋_GB2312"/>
          <w:b/>
          <w:sz w:val="30"/>
          <w:szCs w:val="30"/>
        </w:rPr>
      </w:pPr>
      <w:bookmarkStart w:id="2211" w:name="_Toc41660650"/>
      <w:r>
        <w:rPr>
          <w:rFonts w:hint="eastAsia" w:ascii="仿宋_GB2312" w:eastAsia="仿宋_GB2312"/>
          <w:b/>
          <w:sz w:val="30"/>
          <w:szCs w:val="30"/>
        </w:rPr>
        <w:t>（1）净卖出</w:t>
      </w:r>
      <w:bookmarkEnd w:id="2211"/>
    </w:p>
    <w:p w14:paraId="2E90C1E3">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国债预发行交易中，国债承销团成员可以在规定额度内申报净卖出，其他投资者不得净卖出。</w:t>
      </w:r>
    </w:p>
    <w:p w14:paraId="4BE94335">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国债预发行交易起始日前一交易日，</w:t>
      </w:r>
      <w:r>
        <w:rPr>
          <w:rFonts w:hint="eastAsia" w:ascii="仿宋_GB2312" w:hAnsi="宋体" w:eastAsia="仿宋_GB2312" w:cs="宋体"/>
          <w:color w:val="000000"/>
          <w:kern w:val="0"/>
          <w:sz w:val="30"/>
          <w:szCs w:val="30"/>
        </w:rPr>
        <w:t>登记结算机构</w:t>
      </w:r>
      <w:r>
        <w:rPr>
          <w:rFonts w:hint="eastAsia" w:ascii="仿宋_GB2312" w:hAnsi="Calibri" w:eastAsia="仿宋_GB2312"/>
          <w:sz w:val="30"/>
          <w:szCs w:val="30"/>
        </w:rPr>
        <w:t>根据本所提供的数据在国债承销团成员证券账户内记增预发行国债净卖出额度，并于日终将相关数据发送相关结算参与人。</w:t>
      </w:r>
    </w:p>
    <w:p w14:paraId="5A848F35">
      <w:pPr>
        <w:spacing w:line="600" w:lineRule="exact"/>
        <w:ind w:left="567"/>
        <w:outlineLvl w:val="3"/>
        <w:rPr>
          <w:rFonts w:ascii="仿宋_GB2312" w:eastAsia="仿宋_GB2312"/>
          <w:b/>
          <w:sz w:val="30"/>
          <w:szCs w:val="30"/>
        </w:rPr>
      </w:pPr>
      <w:bookmarkStart w:id="2212" w:name="_Toc41660651"/>
      <w:r>
        <w:rPr>
          <w:rFonts w:hint="eastAsia" w:ascii="仿宋_GB2312" w:eastAsia="仿宋_GB2312"/>
          <w:b/>
          <w:sz w:val="30"/>
          <w:szCs w:val="30"/>
        </w:rPr>
        <w:t>（2）交易方式</w:t>
      </w:r>
      <w:bookmarkEnd w:id="2212"/>
    </w:p>
    <w:p w14:paraId="33CA60BE">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国债预发行交易采用匹配成交方式。</w:t>
      </w:r>
    </w:p>
    <w:p w14:paraId="61A5964E">
      <w:pPr>
        <w:spacing w:line="600" w:lineRule="exact"/>
        <w:ind w:firstLine="602" w:firstLineChars="200"/>
        <w:outlineLvl w:val="3"/>
        <w:rPr>
          <w:rFonts w:ascii="仿宋_GB2312" w:eastAsia="仿宋_GB2312"/>
          <w:b/>
          <w:sz w:val="30"/>
          <w:szCs w:val="30"/>
        </w:rPr>
      </w:pPr>
      <w:bookmarkStart w:id="2213" w:name="_Toc41660652"/>
      <w:r>
        <w:rPr>
          <w:rFonts w:hint="eastAsia" w:ascii="仿宋_GB2312" w:eastAsia="仿宋_GB2312"/>
          <w:b/>
          <w:sz w:val="30"/>
          <w:szCs w:val="30"/>
        </w:rPr>
        <w:t>（3）交易申报</w:t>
      </w:r>
      <w:bookmarkEnd w:id="2213"/>
    </w:p>
    <w:p w14:paraId="773904B3">
      <w:pPr>
        <w:spacing w:line="600" w:lineRule="exact"/>
        <w:ind w:firstLine="600" w:firstLineChars="200"/>
        <w:rPr>
          <w:rFonts w:ascii="仿宋_GB2312" w:hAnsi="Calibri" w:eastAsia="仿宋_GB2312"/>
          <w:b/>
          <w:sz w:val="30"/>
          <w:szCs w:val="30"/>
        </w:rPr>
      </w:pPr>
      <w:r>
        <w:rPr>
          <w:rFonts w:hint="eastAsia" w:ascii="仿宋_GB2312" w:hAnsi="Calibri" w:eastAsia="仿宋_GB2312"/>
          <w:sz w:val="30"/>
          <w:szCs w:val="30"/>
        </w:rPr>
        <w:t>国债通过价格招标发行的，国债预发行交易采用价格申报。卖出限价申报为按限定或高于限定的价格卖出标的国债；买入限价申报为按限定或低于限定的价格买入标的国债。计价单位为“每百元面额国债的价格”</w:t>
      </w:r>
      <w:r>
        <w:rPr>
          <w:rFonts w:hint="eastAsia" w:ascii="仿宋_GB2312" w:hAnsi="Calibri" w:eastAsia="仿宋_GB2312"/>
          <w:b/>
          <w:sz w:val="30"/>
          <w:szCs w:val="30"/>
        </w:rPr>
        <w:t>。</w:t>
      </w:r>
    </w:p>
    <w:p w14:paraId="0CD05683">
      <w:pPr>
        <w:spacing w:line="600" w:lineRule="exact"/>
        <w:ind w:firstLine="600" w:firstLineChars="200"/>
        <w:rPr>
          <w:rFonts w:ascii="仿宋_GB2312" w:hAnsi="Calibri" w:eastAsia="仿宋_GB2312"/>
          <w:b/>
          <w:sz w:val="30"/>
          <w:szCs w:val="30"/>
        </w:rPr>
      </w:pPr>
      <w:r>
        <w:rPr>
          <w:rFonts w:hint="eastAsia" w:ascii="仿宋_GB2312" w:hAnsi="Calibri" w:eastAsia="仿宋_GB2312"/>
          <w:sz w:val="30"/>
          <w:szCs w:val="30"/>
        </w:rPr>
        <w:t>国债通过利率招标发行的，国债预发行交易采用收益率申报。卖出限价申报为按限定或低于限定的收益率卖出标的国债；买入限价申报为按限定或高于限定的收益率买入标的国债。计价单位为“百分点”</w:t>
      </w:r>
      <w:r>
        <w:rPr>
          <w:rFonts w:hint="eastAsia" w:ascii="仿宋_GB2312" w:hAnsi="Calibri" w:eastAsia="仿宋_GB2312"/>
          <w:b/>
          <w:sz w:val="30"/>
          <w:szCs w:val="30"/>
        </w:rPr>
        <w:t>。</w:t>
      </w:r>
    </w:p>
    <w:p w14:paraId="48331E96">
      <w:pPr>
        <w:autoSpaceDE w:val="0"/>
        <w:autoSpaceDN w:val="0"/>
        <w:adjustRightInd w:val="0"/>
        <w:spacing w:line="600" w:lineRule="exact"/>
        <w:ind w:firstLine="600" w:firstLineChars="200"/>
        <w:jc w:val="left"/>
        <w:rPr>
          <w:rFonts w:ascii="仿宋_GB2312" w:hAnsi="Calibri" w:eastAsia="仿宋_GB2312"/>
          <w:sz w:val="30"/>
          <w:szCs w:val="30"/>
        </w:rPr>
      </w:pPr>
      <w:r>
        <w:rPr>
          <w:rFonts w:hint="eastAsia" w:ascii="仿宋_GB2312" w:hAnsi="Calibri" w:eastAsia="仿宋_GB2312"/>
          <w:sz w:val="30"/>
          <w:szCs w:val="30"/>
        </w:rPr>
        <w:t>本所接受国债预发行交易申报的时间为每个交易日的9：1</w:t>
      </w:r>
      <w:r>
        <w:rPr>
          <w:rFonts w:ascii="仿宋_GB2312" w:hAnsi="Calibri" w:eastAsia="仿宋_GB2312"/>
          <w:sz w:val="30"/>
          <w:szCs w:val="30"/>
        </w:rPr>
        <w:t>5</w:t>
      </w:r>
      <w:r>
        <w:rPr>
          <w:rFonts w:hint="eastAsia" w:ascii="仿宋_GB2312" w:hAnsi="Calibri" w:eastAsia="仿宋_GB2312"/>
          <w:sz w:val="30"/>
          <w:szCs w:val="30"/>
        </w:rPr>
        <w:t>至</w:t>
      </w:r>
      <w:r>
        <w:rPr>
          <w:rFonts w:ascii="仿宋_GB2312" w:hAnsi="Calibri" w:eastAsia="仿宋_GB2312"/>
          <w:sz w:val="30"/>
          <w:szCs w:val="30"/>
        </w:rPr>
        <w:t>9</w:t>
      </w:r>
      <w:r>
        <w:rPr>
          <w:rFonts w:hint="eastAsia" w:ascii="仿宋_GB2312" w:hAnsi="Calibri" w:eastAsia="仿宋_GB2312"/>
          <w:sz w:val="30"/>
          <w:szCs w:val="30"/>
        </w:rPr>
        <w:t>:2</w:t>
      </w:r>
      <w:r>
        <w:rPr>
          <w:rFonts w:ascii="仿宋_GB2312" w:hAnsi="Calibri" w:eastAsia="仿宋_GB2312"/>
          <w:sz w:val="30"/>
          <w:szCs w:val="30"/>
        </w:rPr>
        <w:t>5</w:t>
      </w:r>
      <w:r>
        <w:rPr>
          <w:rFonts w:hint="eastAsia" w:ascii="仿宋_GB2312" w:hAnsi="Calibri" w:eastAsia="仿宋_GB2312"/>
          <w:sz w:val="30"/>
          <w:szCs w:val="30"/>
        </w:rPr>
        <w:t>、9：30至11：30、13：00至15：00。</w:t>
      </w:r>
    </w:p>
    <w:p w14:paraId="09CFEE10">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国债预发行交易申报要素包括：证券代码、买卖方向、申报类型、价格、订单数量、交易业务单元、债券投资者账户、营业部代码等。</w:t>
      </w:r>
    </w:p>
    <w:p w14:paraId="623418F8">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各关键期限国债预发行交易的证券代码如下：采用利率招标的，1、3、5、7、10年期关键期限国债预发行交易的证券代码分别为751801、751803、751805、751807和751800；采用价格招标的，1、3、5、7、10年期关键期限国债预发行交易的证券代码分别为751811、751813、751815、751817和751810。</w:t>
      </w:r>
    </w:p>
    <w:p w14:paraId="5D92F44A">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国债预发行交易申报应当符合以下要求：</w:t>
      </w:r>
    </w:p>
    <w:p w14:paraId="03F130DA">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1）价格申报的最小变动单位为0.001元，收益率申报的最小变动单位为0.001个百分点；</w:t>
      </w:r>
    </w:p>
    <w:p w14:paraId="3BBC2FD9">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2）申报数量为100万元面额或其整数倍；</w:t>
      </w:r>
    </w:p>
    <w:p w14:paraId="7350E928">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3）单笔匹配成交申报最大数量为10亿元面额；</w:t>
      </w:r>
    </w:p>
    <w:p w14:paraId="2B7E3144">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4）本所规定的其他要求。</w:t>
      </w:r>
    </w:p>
    <w:p w14:paraId="135C1B38">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国债预发行交易实行价格（收益率）申报区间控制，具体要求为：</w:t>
      </w:r>
    </w:p>
    <w:p w14:paraId="6F13931B">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1）采用价格申报的，国债预发行交易的价格申报区间为该期国债招标日前第六个法定工作日理论估值价格加减3元。理论估值价格由本所公布。</w:t>
      </w:r>
    </w:p>
    <w:p w14:paraId="49C20F6A">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2）采用收益率申报的，国债预发行的收益率申报区间为该期国债招标日前第六个法定工作日该期限国债到期收益率加减0.75个百分点。该期限国债到期收益率由本所公布。</w:t>
      </w:r>
    </w:p>
    <w:p w14:paraId="1B7E6879">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本所可根据市场情况调整价格（收益率）申报区间，并于调整次日将调整情况报财政部、中国证券监督管理委员会备案。</w:t>
      </w:r>
    </w:p>
    <w:p w14:paraId="434A80BE">
      <w:pPr>
        <w:spacing w:line="600" w:lineRule="exact"/>
        <w:ind w:firstLine="602" w:firstLineChars="200"/>
        <w:outlineLvl w:val="3"/>
        <w:rPr>
          <w:rFonts w:ascii="仿宋_GB2312" w:eastAsia="仿宋_GB2312"/>
          <w:b/>
          <w:sz w:val="30"/>
          <w:szCs w:val="30"/>
        </w:rPr>
      </w:pPr>
      <w:bookmarkStart w:id="2214" w:name="_Toc41660653"/>
      <w:r>
        <w:rPr>
          <w:rFonts w:hint="eastAsia" w:ascii="仿宋_GB2312" w:eastAsia="仿宋_GB2312"/>
          <w:b/>
          <w:sz w:val="30"/>
          <w:szCs w:val="30"/>
        </w:rPr>
        <w:t>（4）交易达成</w:t>
      </w:r>
      <w:bookmarkEnd w:id="2214"/>
    </w:p>
    <w:p w14:paraId="2390A868">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国债预发行交易通过匹配成交方式达成交易的，按“价格（收益率）优先、时间优先”的原则撮合成交。</w:t>
      </w:r>
    </w:p>
    <w:p w14:paraId="066808C6">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价格优先，是指较高价格买入申报优先于较低价格买入申报，较低价格卖出申报优先于较高价格卖出申报。</w:t>
      </w:r>
    </w:p>
    <w:p w14:paraId="7F9E62E3">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收益率优先，是指较低收益率买入申报优先于较高收益率买入申报，较高收益率卖出申报优先于较低收益率卖出申报。</w:t>
      </w:r>
    </w:p>
    <w:p w14:paraId="2CF32E26">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时间优先，是指买卖方向、价格（收益率）相同的，先申报者优先于后申报者。先后顺序按本所综合业务平台接受申报的时间确定。</w:t>
      </w:r>
    </w:p>
    <w:p w14:paraId="1F3DB9AA">
      <w:pPr>
        <w:spacing w:line="600" w:lineRule="exact"/>
        <w:ind w:firstLine="602" w:firstLineChars="200"/>
        <w:outlineLvl w:val="3"/>
        <w:rPr>
          <w:rFonts w:ascii="仿宋_GB2312" w:eastAsia="仿宋_GB2312"/>
          <w:b/>
          <w:sz w:val="30"/>
          <w:szCs w:val="30"/>
        </w:rPr>
      </w:pPr>
      <w:bookmarkStart w:id="2215" w:name="_Toc41660655"/>
      <w:r>
        <w:rPr>
          <w:rFonts w:hint="eastAsia" w:ascii="仿宋_GB2312" w:eastAsia="仿宋_GB2312"/>
          <w:b/>
          <w:sz w:val="30"/>
          <w:szCs w:val="30"/>
        </w:rPr>
        <w:t>（5）持仓限额控制</w:t>
      </w:r>
      <w:bookmarkEnd w:id="2215"/>
    </w:p>
    <w:p w14:paraId="110C2529">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国债预发行交易实行持仓限额控制，具体要求为：</w:t>
      </w:r>
    </w:p>
    <w:p w14:paraId="0E0011E6">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1）国债承销团甲类成员净卖出余额不得超过当期国债当次计划发行量的6%，乙类成员净卖出余额不得超过当期国债当次计划发行量的1.5%；</w:t>
      </w:r>
    </w:p>
    <w:p w14:paraId="06F46606">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2）单个参与者净买入余额不得超过当期国债当次计划发行量的6%。</w:t>
      </w:r>
    </w:p>
    <w:p w14:paraId="51503202">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国债承销团甲类成员、乙类成员范围根据财政部相关规则确定。</w:t>
      </w:r>
    </w:p>
    <w:p w14:paraId="7F7D2F15">
      <w:pPr>
        <w:spacing w:line="600" w:lineRule="exact"/>
        <w:ind w:firstLine="602" w:firstLineChars="200"/>
        <w:outlineLvl w:val="3"/>
        <w:rPr>
          <w:rFonts w:ascii="仿宋_GB2312" w:eastAsia="仿宋_GB2312"/>
          <w:b/>
          <w:sz w:val="30"/>
          <w:szCs w:val="30"/>
        </w:rPr>
      </w:pPr>
      <w:bookmarkStart w:id="2216" w:name="_Toc41660656"/>
      <w:r>
        <w:rPr>
          <w:rFonts w:hint="eastAsia" w:ascii="仿宋_GB2312" w:eastAsia="仿宋_GB2312"/>
          <w:b/>
          <w:sz w:val="30"/>
          <w:szCs w:val="30"/>
        </w:rPr>
        <w:t>（6）暂停接受净卖出申报</w:t>
      </w:r>
      <w:bookmarkEnd w:id="2216"/>
    </w:p>
    <w:p w14:paraId="09B526D3">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出现下列情形的，本所可以暂停接受国债预发行交易中的净卖出申报：</w:t>
      </w:r>
    </w:p>
    <w:p w14:paraId="3C1C02E5">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1）首次发行国债在本所债券市场净卖出合计余额达到当期国债当次计划发行量的60%；</w:t>
      </w:r>
    </w:p>
    <w:p w14:paraId="66ECFD16">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2）续发行国债在本所债券市场净卖出合计余额达到当期国债当次计划发行量的100%。</w:t>
      </w:r>
    </w:p>
    <w:p w14:paraId="0105CA63">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本所根据前款规定暂停接受净卖出申报的，如前款规定情形消失，本所可以自下一交易日起恢复接受净卖出申报。</w:t>
      </w:r>
    </w:p>
    <w:p w14:paraId="29E5C82D">
      <w:pPr>
        <w:spacing w:line="600" w:lineRule="exact"/>
        <w:ind w:firstLine="602" w:firstLineChars="200"/>
        <w:outlineLvl w:val="3"/>
        <w:rPr>
          <w:rFonts w:ascii="仿宋_GB2312" w:eastAsia="仿宋_GB2312"/>
          <w:b/>
          <w:sz w:val="30"/>
          <w:szCs w:val="30"/>
        </w:rPr>
      </w:pPr>
      <w:bookmarkStart w:id="2217" w:name="_Toc41660657"/>
      <w:r>
        <w:rPr>
          <w:rFonts w:hint="eastAsia" w:ascii="仿宋_GB2312" w:eastAsia="仿宋_GB2312"/>
          <w:b/>
          <w:sz w:val="30"/>
          <w:szCs w:val="30"/>
        </w:rPr>
        <w:t>（7）信息披露</w:t>
      </w:r>
      <w:bookmarkEnd w:id="2217"/>
    </w:p>
    <w:p w14:paraId="627A1C39">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国债预发行交易起始日前，本所在本所官网发布关于国债预发行交易的通知。</w:t>
      </w:r>
    </w:p>
    <w:p w14:paraId="43A8124C">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国债预发行交易期间，本所在每个交易日闭市后，在本所官网披露相应券种在本所债券市场的净卖出合计余额。</w:t>
      </w:r>
    </w:p>
    <w:p w14:paraId="717086C9">
      <w:pPr>
        <w:spacing w:line="600" w:lineRule="exact"/>
        <w:ind w:firstLine="602" w:firstLineChars="200"/>
        <w:outlineLvl w:val="3"/>
        <w:rPr>
          <w:rFonts w:ascii="仿宋_GB2312" w:eastAsia="仿宋_GB2312"/>
          <w:b/>
          <w:sz w:val="30"/>
          <w:szCs w:val="30"/>
        </w:rPr>
      </w:pPr>
      <w:bookmarkStart w:id="2218" w:name="_Toc41660658"/>
      <w:r>
        <w:rPr>
          <w:rFonts w:hint="eastAsia" w:ascii="仿宋_GB2312" w:eastAsia="仿宋_GB2312"/>
          <w:b/>
          <w:sz w:val="30"/>
          <w:szCs w:val="30"/>
        </w:rPr>
        <w:t>（8）指定交易撤销</w:t>
      </w:r>
      <w:bookmarkEnd w:id="2218"/>
    </w:p>
    <w:p w14:paraId="4D8D89B0">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债券投资者在国债预发行交易完成清算交收后，方可撤销其指定交易。</w:t>
      </w:r>
    </w:p>
    <w:p w14:paraId="6B4981A1">
      <w:pPr>
        <w:numPr>
          <w:ilvl w:val="2"/>
          <w:numId w:val="4"/>
        </w:numPr>
        <w:spacing w:line="600" w:lineRule="exact"/>
        <w:ind w:left="0" w:firstLine="0"/>
        <w:outlineLvl w:val="2"/>
        <w:rPr>
          <w:rFonts w:ascii="仿宋_GB2312" w:eastAsia="仿宋_GB2312"/>
          <w:b/>
          <w:sz w:val="30"/>
          <w:szCs w:val="30"/>
        </w:rPr>
      </w:pPr>
      <w:bookmarkStart w:id="2219" w:name="_Toc41660659"/>
      <w:r>
        <w:rPr>
          <w:rFonts w:hint="eastAsia" w:ascii="仿宋_GB2312" w:eastAsia="仿宋_GB2312"/>
          <w:b/>
          <w:sz w:val="30"/>
          <w:szCs w:val="30"/>
        </w:rPr>
        <w:t>保证金管理</w:t>
      </w:r>
      <w:bookmarkEnd w:id="2219"/>
    </w:p>
    <w:p w14:paraId="41E0894B">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国债预发行交易实行履约担保制度。</w:t>
      </w:r>
      <w:r>
        <w:rPr>
          <w:rFonts w:hint="eastAsia" w:ascii="仿宋_GB2312" w:hAnsi="宋体" w:eastAsia="仿宋_GB2312" w:cs="宋体"/>
          <w:color w:val="000000"/>
          <w:kern w:val="0"/>
          <w:sz w:val="30"/>
          <w:szCs w:val="30"/>
        </w:rPr>
        <w:t>登记结算机构</w:t>
      </w:r>
      <w:r>
        <w:rPr>
          <w:rFonts w:hint="eastAsia" w:ascii="仿宋_GB2312" w:hAnsi="Calibri" w:eastAsia="仿宋_GB2312"/>
          <w:sz w:val="30"/>
          <w:szCs w:val="30"/>
        </w:rPr>
        <w:t>以证券账户为基础核算单位计算下列保证金应收金额，并按结算参与人为单位向结算参与人收取：</w:t>
      </w:r>
    </w:p>
    <w:p w14:paraId="686411F4">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履约保证金，即为保证结算参与人对国债预发行单边头寸履行交割义务而收取的保证金。履约保证金比例由本所和</w:t>
      </w:r>
      <w:r>
        <w:rPr>
          <w:rFonts w:hint="eastAsia" w:ascii="仿宋_GB2312" w:hAnsi="宋体" w:eastAsia="仿宋_GB2312" w:cs="宋体"/>
          <w:color w:val="000000"/>
          <w:kern w:val="0"/>
          <w:sz w:val="30"/>
          <w:szCs w:val="30"/>
        </w:rPr>
        <w:t>登记结算机构</w:t>
      </w:r>
      <w:r>
        <w:rPr>
          <w:rFonts w:hint="eastAsia" w:ascii="仿宋_GB2312" w:hAnsi="Calibri" w:eastAsia="仿宋_GB2312"/>
          <w:sz w:val="30"/>
          <w:szCs w:val="30"/>
        </w:rPr>
        <w:t>确定并向市场公布。</w:t>
      </w:r>
    </w:p>
    <w:p w14:paraId="64EF21FB">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价差保证金，即为保证结算参与人对国债预发行平仓头寸履行结算义务而收取的保证金。</w:t>
      </w:r>
    </w:p>
    <w:p w14:paraId="78A6A9ED">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其中单边头寸是指单向净买入或净卖出的头寸，平仓头寸是指先买入后又卖出或者先卖出后又买入的头寸。平仓头寸按成交时间由先到后的顺序予以确定。</w:t>
      </w:r>
    </w:p>
    <w:p w14:paraId="16F68198">
      <w:pPr>
        <w:spacing w:line="600" w:lineRule="exact"/>
        <w:ind w:firstLine="602" w:firstLineChars="200"/>
        <w:outlineLvl w:val="3"/>
        <w:rPr>
          <w:rFonts w:ascii="仿宋_GB2312" w:eastAsia="仿宋_GB2312"/>
          <w:b/>
          <w:sz w:val="30"/>
          <w:szCs w:val="30"/>
        </w:rPr>
      </w:pPr>
      <w:bookmarkStart w:id="2220" w:name="_Toc41660660"/>
      <w:r>
        <w:rPr>
          <w:rFonts w:hint="eastAsia" w:ascii="仿宋_GB2312" w:eastAsia="仿宋_GB2312"/>
          <w:b/>
          <w:sz w:val="30"/>
          <w:szCs w:val="30"/>
        </w:rPr>
        <w:t>（1）价格招标预发行交易保证金</w:t>
      </w:r>
      <w:bookmarkEnd w:id="2220"/>
    </w:p>
    <w:p w14:paraId="338DF882">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国债通过价格招标发行的，其预发行交易保证金按照以下标准收取：</w:t>
      </w:r>
    </w:p>
    <w:p w14:paraId="6250BFC6">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履约保证金的计算公式为：履约保证金＝∑每个证券账户单边头寸成交金额×履约保证金比例；</w:t>
      </w:r>
    </w:p>
    <w:p w14:paraId="31F8C2DE">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价差保证金按买卖价差核算，并对亏损部分收取，计算公式为：价差保证金＝max[0，∑（平仓头寸面额×买入成交价格/100）-∑（平仓头寸面额×卖出成交价格/100）]。</w:t>
      </w:r>
    </w:p>
    <w:p w14:paraId="63F2EAB5">
      <w:pPr>
        <w:spacing w:line="600" w:lineRule="exact"/>
        <w:ind w:firstLine="602" w:firstLineChars="200"/>
        <w:outlineLvl w:val="3"/>
        <w:rPr>
          <w:rFonts w:ascii="仿宋_GB2312" w:eastAsia="仿宋_GB2312"/>
          <w:b/>
          <w:sz w:val="30"/>
          <w:szCs w:val="30"/>
        </w:rPr>
      </w:pPr>
      <w:bookmarkStart w:id="2221" w:name="_Toc41660661"/>
      <w:r>
        <w:rPr>
          <w:rFonts w:hint="eastAsia" w:ascii="仿宋_GB2312" w:eastAsia="仿宋_GB2312"/>
          <w:b/>
          <w:sz w:val="30"/>
          <w:szCs w:val="30"/>
        </w:rPr>
        <w:t>（2）利率招标预发行交易保证金</w:t>
      </w:r>
      <w:bookmarkEnd w:id="2221"/>
    </w:p>
    <w:p w14:paraId="7CDD577F">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国债通过利率招标发行的，其预发行交易保证金按照以下标准收取：</w:t>
      </w:r>
    </w:p>
    <w:p w14:paraId="1F3F2C07">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履约保证金的计算公式为：履约保证金＝∑每个证券账户单边头寸成交面额×履约保证金比例</w:t>
      </w:r>
    </w:p>
    <w:p w14:paraId="7DFA395E">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价差保证金按预期亏损额的120%收取。计算公式为：价差保证金＝max（0，预期亏损额）×120%。</w:t>
      </w:r>
    </w:p>
    <w:p w14:paraId="17EEF597">
      <w:pPr>
        <w:autoSpaceDE w:val="0"/>
        <w:autoSpaceDN w:val="0"/>
        <w:adjustRightIn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其中，预期亏损额=</w:t>
      </w:r>
      <w:r>
        <w:rPr>
          <w:rFonts w:ascii="仿宋_GB2312" w:hAnsi="Calibri" w:eastAsia="仿宋_GB2312"/>
          <w:sz w:val="30"/>
          <w:szCs w:val="30"/>
        </w:rPr>
        <w:drawing>
          <wp:inline distT="0" distB="0" distL="114300" distR="114300">
            <wp:extent cx="238125" cy="209550"/>
            <wp:effectExtent l="0" t="0" r="0" b="3175"/>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12" cstate="print"/>
                    <a:stretch>
                      <a:fillRect/>
                    </a:stretch>
                  </pic:blipFill>
                  <pic:spPr>
                    <a:xfrm>
                      <a:off x="0" y="0"/>
                      <a:ext cx="238125" cy="209550"/>
                    </a:xfrm>
                    <a:prstGeom prst="rect">
                      <a:avLst/>
                    </a:prstGeom>
                    <a:noFill/>
                    <a:ln>
                      <a:noFill/>
                    </a:ln>
                  </pic:spPr>
                </pic:pic>
              </a:graphicData>
            </a:graphic>
          </wp:inline>
        </w:drawing>
      </w:r>
      <w:r>
        <w:rPr>
          <w:rFonts w:hint="eastAsia" w:ascii="仿宋_GB2312" w:hAnsi="Calibri" w:eastAsia="仿宋_GB2312"/>
          <w:sz w:val="30"/>
          <w:szCs w:val="30"/>
        </w:rPr>
        <w:t>（平仓头寸面额×卖出收益率×参考久期）-</w:t>
      </w:r>
      <w:r>
        <w:rPr>
          <w:rFonts w:ascii="仿宋_GB2312" w:hAnsi="Calibri" w:eastAsia="仿宋_GB2312"/>
          <w:sz w:val="30"/>
          <w:szCs w:val="30"/>
        </w:rPr>
        <w:drawing>
          <wp:inline distT="0" distB="0" distL="114300" distR="114300">
            <wp:extent cx="238125" cy="209550"/>
            <wp:effectExtent l="0" t="0" r="0" b="3175"/>
            <wp:docPr id="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pic:cNvPicPr>
                      <a:picLocks noChangeAspect="1"/>
                    </pic:cNvPicPr>
                  </pic:nvPicPr>
                  <pic:blipFill>
                    <a:blip r:embed="rId12" cstate="print"/>
                    <a:stretch>
                      <a:fillRect/>
                    </a:stretch>
                  </pic:blipFill>
                  <pic:spPr>
                    <a:xfrm>
                      <a:off x="0" y="0"/>
                      <a:ext cx="238125" cy="209550"/>
                    </a:xfrm>
                    <a:prstGeom prst="rect">
                      <a:avLst/>
                    </a:prstGeom>
                    <a:noFill/>
                    <a:ln>
                      <a:noFill/>
                    </a:ln>
                  </pic:spPr>
                </pic:pic>
              </a:graphicData>
            </a:graphic>
          </wp:inline>
        </w:drawing>
      </w:r>
      <w:r>
        <w:rPr>
          <w:rFonts w:hint="eastAsia" w:ascii="仿宋_GB2312" w:hAnsi="Calibri" w:eastAsia="仿宋_GB2312"/>
          <w:sz w:val="30"/>
          <w:szCs w:val="30"/>
        </w:rPr>
        <w:t>（平仓头寸面额×买入收益率×参考久期）。参考久期由本所在该国债预发行交易品种上市时公布，其计算公式如下：</w:t>
      </w:r>
    </w:p>
    <w:p w14:paraId="5064A72D">
      <w:pPr>
        <w:autoSpaceDE w:val="0"/>
        <w:autoSpaceDN w:val="0"/>
        <w:adjustRightInd w:val="0"/>
        <w:ind w:firstLine="600" w:firstLineChars="200"/>
        <w:rPr>
          <w:rFonts w:ascii="仿宋_GB2312" w:hAnsi="Calibri" w:eastAsia="仿宋_GB2312"/>
          <w:sz w:val="30"/>
          <w:szCs w:val="30"/>
        </w:rPr>
      </w:pPr>
      <m:oMathPara>
        <m:oMath>
          <m:r>
            <m:rPr>
              <m:sty m:val="p"/>
            </m:rPr>
            <w:rPr>
              <w:rFonts w:hint="eastAsia" w:ascii="Cambria Math" w:hAnsi="Cambria Math" w:eastAsia="仿宋_GB2312"/>
              <w:sz w:val="30"/>
              <w:szCs w:val="30"/>
            </w:rPr>
            <m:t>参考久期=</m:t>
          </m:r>
          <m:f>
            <m:fPr>
              <m:ctrlPr>
                <w:rPr>
                  <w:rFonts w:ascii="Cambria Math" w:hAnsi="Cambria Math" w:eastAsia="仿宋_GB2312"/>
                  <w:sz w:val="30"/>
                  <w:szCs w:val="30"/>
                </w:rPr>
              </m:ctrlPr>
            </m:fPr>
            <m:num>
              <m:r>
                <m:rPr>
                  <m:sty m:val="p"/>
                </m:rPr>
                <w:rPr>
                  <w:rFonts w:hint="eastAsia" w:ascii="Cambria Math" w:hAnsi="Cambria Math" w:eastAsia="仿宋_GB2312"/>
                  <w:sz w:val="30"/>
                  <w:szCs w:val="30"/>
                </w:rPr>
                <m:t>1</m:t>
              </m:r>
              <m:ctrlPr>
                <w:rPr>
                  <w:rFonts w:ascii="Cambria Math" w:hAnsi="Cambria Math" w:eastAsia="仿宋_GB2312"/>
                  <w:sz w:val="30"/>
                  <w:szCs w:val="30"/>
                </w:rPr>
              </m:ctrlPr>
            </m:num>
            <m:den>
              <m:r>
                <m:rPr>
                  <m:sty m:val="p"/>
                </m:rPr>
                <w:rPr>
                  <w:rFonts w:hint="eastAsia" w:ascii="Cambria Math" w:hAnsi="Cambria Math" w:eastAsia="仿宋_GB2312"/>
                  <w:sz w:val="30"/>
                  <w:szCs w:val="30"/>
                </w:rPr>
                <m:t>y</m:t>
              </m:r>
              <m:ctrlPr>
                <w:rPr>
                  <w:rFonts w:ascii="Cambria Math" w:hAnsi="Cambria Math" w:eastAsia="仿宋_GB2312"/>
                  <w:sz w:val="30"/>
                  <w:szCs w:val="30"/>
                </w:rPr>
              </m:ctrlPr>
            </m:den>
          </m:f>
          <m:r>
            <m:rPr>
              <m:sty m:val="p"/>
            </m:rPr>
            <w:rPr>
              <w:rFonts w:hint="eastAsia" w:ascii="Cambria Math" w:hAnsi="Cambria Math" w:eastAsia="仿宋_GB2312"/>
              <w:sz w:val="30"/>
              <w:szCs w:val="30"/>
            </w:rPr>
            <m:t>×</m:t>
          </m:r>
          <m:d>
            <m:dPr>
              <m:ctrlPr>
                <w:rPr>
                  <w:rFonts w:ascii="Cambria Math" w:hAnsi="Cambria Math" w:eastAsia="仿宋_GB2312"/>
                  <w:sz w:val="30"/>
                  <w:szCs w:val="30"/>
                </w:rPr>
              </m:ctrlPr>
            </m:dPr>
            <m:e>
              <m:r>
                <m:rPr>
                  <m:sty m:val="p"/>
                </m:rPr>
                <w:rPr>
                  <w:rFonts w:hint="eastAsia" w:ascii="Cambria Math" w:hAnsi="Cambria Math" w:eastAsia="仿宋_GB2312"/>
                  <w:sz w:val="30"/>
                  <w:szCs w:val="30"/>
                </w:rPr>
                <m:t>1</m:t>
              </m:r>
              <m:r>
                <m:rPr>
                  <m:sty m:val="p"/>
                </m:rPr>
                <w:rPr>
                  <w:rFonts w:ascii="Cambria Math" w:hAnsi="Cambria Math" w:eastAsia="仿宋_GB2312"/>
                  <w:sz w:val="30"/>
                  <w:szCs w:val="30"/>
                </w:rPr>
                <m:t>−</m:t>
              </m:r>
              <m:f>
                <m:fPr>
                  <m:ctrlPr>
                    <w:rPr>
                      <w:rFonts w:ascii="Cambria Math" w:hAnsi="Cambria Math" w:eastAsia="仿宋_GB2312"/>
                      <w:sz w:val="30"/>
                      <w:szCs w:val="30"/>
                    </w:rPr>
                  </m:ctrlPr>
                </m:fPr>
                <m:num>
                  <m:r>
                    <m:rPr>
                      <m:sty m:val="p"/>
                    </m:rPr>
                    <w:rPr>
                      <w:rFonts w:hint="eastAsia" w:ascii="Cambria Math" w:hAnsi="Cambria Math" w:eastAsia="仿宋_GB2312"/>
                      <w:sz w:val="30"/>
                      <w:szCs w:val="30"/>
                    </w:rPr>
                    <m:t>1</m:t>
                  </m:r>
                  <m:ctrlPr>
                    <w:rPr>
                      <w:rFonts w:ascii="Cambria Math" w:hAnsi="Cambria Math" w:eastAsia="仿宋_GB2312"/>
                      <w:sz w:val="30"/>
                      <w:szCs w:val="30"/>
                    </w:rPr>
                  </m:ctrlPr>
                </m:num>
                <m:den>
                  <m:sSup>
                    <m:sSupPr>
                      <m:ctrlPr>
                        <w:rPr>
                          <w:rFonts w:ascii="Cambria Math" w:hAnsi="Cambria Math" w:eastAsia="仿宋_GB2312"/>
                          <w:sz w:val="30"/>
                          <w:szCs w:val="30"/>
                        </w:rPr>
                      </m:ctrlPr>
                    </m:sSupPr>
                    <m:e>
                      <m:d>
                        <m:dPr>
                          <m:ctrlPr>
                            <w:rPr>
                              <w:rFonts w:ascii="Cambria Math" w:hAnsi="Cambria Math" w:eastAsia="仿宋_GB2312"/>
                              <w:sz w:val="30"/>
                              <w:szCs w:val="30"/>
                            </w:rPr>
                          </m:ctrlPr>
                        </m:dPr>
                        <m:e>
                          <m:r>
                            <m:rPr>
                              <m:sty m:val="p"/>
                            </m:rPr>
                            <w:rPr>
                              <w:rFonts w:hint="eastAsia" w:ascii="Cambria Math" w:hAnsi="Cambria Math" w:eastAsia="仿宋_GB2312"/>
                              <w:sz w:val="30"/>
                              <w:szCs w:val="30"/>
                            </w:rPr>
                            <m:t>1+y/f</m:t>
                          </m:r>
                          <m:ctrlPr>
                            <w:rPr>
                              <w:rFonts w:ascii="Cambria Math" w:hAnsi="Cambria Math" w:eastAsia="仿宋_GB2312"/>
                              <w:sz w:val="30"/>
                              <w:szCs w:val="30"/>
                            </w:rPr>
                          </m:ctrlPr>
                        </m:e>
                      </m:d>
                      <m:ctrlPr>
                        <w:rPr>
                          <w:rFonts w:ascii="Cambria Math" w:hAnsi="Cambria Math" w:eastAsia="仿宋_GB2312"/>
                          <w:sz w:val="30"/>
                          <w:szCs w:val="30"/>
                        </w:rPr>
                      </m:ctrlPr>
                    </m:e>
                    <m:sup>
                      <m:r>
                        <m:rPr>
                          <m:sty m:val="p"/>
                        </m:rPr>
                        <w:rPr>
                          <w:rFonts w:hint="eastAsia" w:ascii="Cambria Math" w:hAnsi="Cambria Math" w:eastAsia="仿宋_GB2312"/>
                          <w:sz w:val="30"/>
                          <w:szCs w:val="30"/>
                        </w:rPr>
                        <m:t>f×n</m:t>
                      </m:r>
                      <m:ctrlPr>
                        <w:rPr>
                          <w:rFonts w:ascii="Cambria Math" w:hAnsi="Cambria Math" w:eastAsia="仿宋_GB2312"/>
                          <w:sz w:val="30"/>
                          <w:szCs w:val="30"/>
                        </w:rPr>
                      </m:ctrlPr>
                    </m:sup>
                  </m:sSup>
                  <m:ctrlPr>
                    <w:rPr>
                      <w:rFonts w:ascii="Cambria Math" w:hAnsi="Cambria Math" w:eastAsia="仿宋_GB2312"/>
                      <w:sz w:val="30"/>
                      <w:szCs w:val="30"/>
                    </w:rPr>
                  </m:ctrlPr>
                </m:den>
              </m:f>
              <m:ctrlPr>
                <w:rPr>
                  <w:rFonts w:ascii="Cambria Math" w:hAnsi="Cambria Math" w:eastAsia="仿宋_GB2312"/>
                  <w:sz w:val="30"/>
                  <w:szCs w:val="30"/>
                </w:rPr>
              </m:ctrlPr>
            </m:e>
          </m:d>
        </m:oMath>
      </m:oMathPara>
    </w:p>
    <w:p w14:paraId="2AD425F8">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其中，y为本所公布的该期限国债到期收益率，f为年付息频率，n为标的国债发行期限。</w:t>
      </w:r>
    </w:p>
    <w:p w14:paraId="43413130">
      <w:pPr>
        <w:spacing w:line="600" w:lineRule="exact"/>
        <w:ind w:firstLine="602" w:firstLineChars="200"/>
        <w:outlineLvl w:val="3"/>
        <w:rPr>
          <w:rFonts w:ascii="仿宋_GB2312" w:eastAsia="仿宋_GB2312"/>
          <w:b/>
          <w:sz w:val="30"/>
          <w:szCs w:val="30"/>
        </w:rPr>
      </w:pPr>
      <w:bookmarkStart w:id="2222" w:name="_Toc41660662"/>
      <w:r>
        <w:rPr>
          <w:rFonts w:hint="eastAsia" w:ascii="仿宋_GB2312" w:eastAsia="仿宋_GB2312"/>
          <w:b/>
          <w:sz w:val="30"/>
          <w:szCs w:val="30"/>
        </w:rPr>
        <w:t>（3）保证金账户</w:t>
      </w:r>
      <w:bookmarkEnd w:id="2222"/>
    </w:p>
    <w:p w14:paraId="253704B5">
      <w:pPr>
        <w:spacing w:line="600" w:lineRule="exact"/>
        <w:ind w:firstLine="600" w:firstLineChars="200"/>
        <w:rPr>
          <w:rFonts w:ascii="仿宋_GB2312" w:hAnsi="Calibri" w:eastAsia="仿宋_GB2312"/>
          <w:sz w:val="30"/>
          <w:szCs w:val="30"/>
        </w:rPr>
      </w:pPr>
      <w:r>
        <w:rPr>
          <w:rFonts w:hint="eastAsia" w:ascii="仿宋_GB2312" w:hAnsi="宋体" w:eastAsia="仿宋_GB2312" w:cs="宋体"/>
          <w:color w:val="000000"/>
          <w:kern w:val="0"/>
          <w:sz w:val="30"/>
          <w:szCs w:val="30"/>
        </w:rPr>
        <w:t>登记结算机构</w:t>
      </w:r>
      <w:r>
        <w:rPr>
          <w:rFonts w:hint="eastAsia" w:ascii="仿宋_GB2312" w:hAnsi="Calibri" w:eastAsia="仿宋_GB2312"/>
          <w:sz w:val="30"/>
          <w:szCs w:val="30"/>
        </w:rPr>
        <w:t>通过结算参与人结算备付金账户收取和返还保证金，收取和返还数据通过结算明细文件发送结算参与人。</w:t>
      </w:r>
    </w:p>
    <w:p w14:paraId="55702E69">
      <w:pPr>
        <w:spacing w:line="600" w:lineRule="exact"/>
        <w:ind w:firstLine="600" w:firstLineChars="200"/>
        <w:rPr>
          <w:rFonts w:ascii="仿宋_GB2312" w:hAnsi="Calibri" w:eastAsia="仿宋_GB2312"/>
          <w:sz w:val="30"/>
          <w:szCs w:val="30"/>
        </w:rPr>
      </w:pPr>
      <w:r>
        <w:rPr>
          <w:rFonts w:hint="eastAsia" w:ascii="仿宋_GB2312" w:hAnsi="宋体" w:eastAsia="仿宋_GB2312" w:cs="宋体"/>
          <w:color w:val="000000"/>
          <w:kern w:val="0"/>
          <w:sz w:val="30"/>
          <w:szCs w:val="30"/>
        </w:rPr>
        <w:t>登记结算机构</w:t>
      </w:r>
      <w:r>
        <w:rPr>
          <w:rFonts w:hint="eastAsia" w:ascii="仿宋_GB2312" w:hAnsi="Calibri" w:eastAsia="仿宋_GB2312"/>
          <w:sz w:val="30"/>
          <w:szCs w:val="30"/>
        </w:rPr>
        <w:t>将保证金存放于结算参与人价差保证金账户，与该账户内其它保证金分别核算。</w:t>
      </w:r>
      <w:r>
        <w:rPr>
          <w:rFonts w:hint="eastAsia" w:ascii="仿宋_GB2312" w:hAnsi="宋体" w:eastAsia="仿宋_GB2312" w:cs="宋体"/>
          <w:color w:val="000000"/>
          <w:kern w:val="0"/>
          <w:sz w:val="30"/>
          <w:szCs w:val="30"/>
        </w:rPr>
        <w:t>登记结算机构</w:t>
      </w:r>
      <w:r>
        <w:rPr>
          <w:rFonts w:hint="eastAsia" w:ascii="仿宋_GB2312" w:hAnsi="Calibri" w:eastAsia="仿宋_GB2312"/>
          <w:sz w:val="30"/>
          <w:szCs w:val="30"/>
        </w:rPr>
        <w:t>按照与结算银行商定的利率对价差保证金账户计付利息。结息日为每季度末月的20日，应计利息于结息日的次日记入价差保证金账户。</w:t>
      </w:r>
    </w:p>
    <w:p w14:paraId="253B626A">
      <w:pPr>
        <w:spacing w:line="600" w:lineRule="exact"/>
        <w:ind w:firstLine="602" w:firstLineChars="200"/>
        <w:outlineLvl w:val="3"/>
        <w:rPr>
          <w:rFonts w:ascii="仿宋_GB2312" w:eastAsia="仿宋_GB2312"/>
          <w:b/>
          <w:sz w:val="30"/>
          <w:szCs w:val="30"/>
        </w:rPr>
      </w:pPr>
      <w:bookmarkStart w:id="2223" w:name="_Toc41660663"/>
      <w:r>
        <w:rPr>
          <w:rFonts w:hint="eastAsia" w:ascii="仿宋_GB2312" w:eastAsia="仿宋_GB2312"/>
          <w:b/>
          <w:sz w:val="30"/>
          <w:szCs w:val="30"/>
        </w:rPr>
        <w:t>（4）保证金收取</w:t>
      </w:r>
      <w:bookmarkEnd w:id="2223"/>
    </w:p>
    <w:p w14:paraId="2F1A4B03">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国债预发行交易期间，</w:t>
      </w:r>
      <w:r>
        <w:rPr>
          <w:rFonts w:hint="eastAsia" w:ascii="仿宋_GB2312" w:hAnsi="宋体" w:eastAsia="仿宋_GB2312" w:cs="宋体"/>
          <w:color w:val="000000"/>
          <w:kern w:val="0"/>
          <w:sz w:val="30"/>
          <w:szCs w:val="30"/>
        </w:rPr>
        <w:t>登记结算机构</w:t>
      </w:r>
      <w:r>
        <w:rPr>
          <w:rFonts w:hint="eastAsia" w:ascii="仿宋_GB2312" w:hAnsi="Calibri" w:eastAsia="仿宋_GB2312"/>
          <w:sz w:val="30"/>
          <w:szCs w:val="30"/>
        </w:rPr>
        <w:t>于每个交易日日终核算应收保证金金额并于次日向结算参与人收取保证金。</w:t>
      </w:r>
    </w:p>
    <w:p w14:paraId="08B26A8E">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向结算参与人收取的保证金于国债预发行交易交收日交收完成后返还。如果结算参与人发生资金交收违约且证券处置所得不足以弥补违约金额，</w:t>
      </w:r>
      <w:r>
        <w:rPr>
          <w:rFonts w:hint="eastAsia" w:ascii="仿宋_GB2312" w:hAnsi="宋体" w:eastAsia="仿宋_GB2312" w:cs="宋体"/>
          <w:color w:val="000000"/>
          <w:kern w:val="0"/>
          <w:sz w:val="30"/>
          <w:szCs w:val="30"/>
        </w:rPr>
        <w:t>登记结算机构</w:t>
      </w:r>
      <w:r>
        <w:rPr>
          <w:rFonts w:hint="eastAsia" w:ascii="仿宋_GB2312" w:hAnsi="Calibri" w:eastAsia="仿宋_GB2312"/>
          <w:sz w:val="30"/>
          <w:szCs w:val="30"/>
        </w:rPr>
        <w:t>将动用违约结算参与人缴纳的保证金以弥补不足部分。</w:t>
      </w:r>
    </w:p>
    <w:p w14:paraId="12ACA64A">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证券公司向债券投资者收取保证金，不得低于</w:t>
      </w:r>
      <w:r>
        <w:rPr>
          <w:rFonts w:hint="eastAsia" w:ascii="仿宋_GB2312" w:hAnsi="宋体" w:eastAsia="仿宋_GB2312" w:cs="宋体"/>
          <w:color w:val="000000"/>
          <w:kern w:val="0"/>
          <w:sz w:val="30"/>
          <w:szCs w:val="30"/>
        </w:rPr>
        <w:t>登记结算机构</w:t>
      </w:r>
      <w:r>
        <w:rPr>
          <w:rFonts w:hint="eastAsia" w:ascii="仿宋_GB2312" w:hAnsi="Calibri" w:eastAsia="仿宋_GB2312"/>
          <w:sz w:val="30"/>
          <w:szCs w:val="30"/>
        </w:rPr>
        <w:t>向结算参与人收取的标准。对于</w:t>
      </w:r>
      <w:r>
        <w:rPr>
          <w:rFonts w:hint="eastAsia" w:ascii="仿宋_GB2312" w:hAnsi="宋体" w:eastAsia="仿宋_GB2312" w:cs="宋体"/>
          <w:color w:val="000000"/>
          <w:kern w:val="0"/>
          <w:sz w:val="30"/>
          <w:szCs w:val="30"/>
        </w:rPr>
        <w:t>登记结算机构</w:t>
      </w:r>
      <w:r>
        <w:rPr>
          <w:rFonts w:hint="eastAsia" w:ascii="仿宋_GB2312" w:hAnsi="Calibri" w:eastAsia="仿宋_GB2312"/>
          <w:sz w:val="30"/>
          <w:szCs w:val="30"/>
        </w:rPr>
        <w:t>收取的保证金部分，证券公司按照第8.1.4条第（3）款的规定收取。对于额外收取的保证金部分，证券公司可与债券投资者约定通过在其资金账户中冻结资金等方式收取。</w:t>
      </w:r>
    </w:p>
    <w:p w14:paraId="6CB44CAB">
      <w:pPr>
        <w:spacing w:line="600" w:lineRule="exact"/>
        <w:ind w:firstLine="602" w:firstLineChars="200"/>
        <w:rPr>
          <w:rFonts w:ascii="仿宋_GB2312" w:hAnsi="Calibri" w:eastAsia="仿宋_GB2312"/>
          <w:b/>
          <w:sz w:val="30"/>
          <w:szCs w:val="30"/>
        </w:rPr>
      </w:pPr>
      <w:r>
        <w:rPr>
          <w:rFonts w:hint="eastAsia" w:ascii="仿宋_GB2312" w:hAnsi="Calibri" w:eastAsia="仿宋_GB2312"/>
          <w:b/>
          <w:sz w:val="30"/>
          <w:szCs w:val="30"/>
        </w:rPr>
        <w:t>（5）各关键期限国债预发行交易的履约保证金比例</w:t>
      </w:r>
    </w:p>
    <w:tbl>
      <w:tblPr>
        <w:tblStyle w:val="4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48"/>
        <w:gridCol w:w="4148"/>
      </w:tblGrid>
      <w:tr w14:paraId="5D765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4462F477">
            <w:pPr>
              <w:ind w:firstLine="357"/>
              <w:jc w:val="center"/>
              <w:rPr>
                <w:rFonts w:ascii="仿宋_GB2312" w:hAnsi="Calibri" w:eastAsia="仿宋_GB2312"/>
                <w:b/>
                <w:lang w:eastAsia="en-US" w:bidi="en-US"/>
              </w:rPr>
            </w:pPr>
            <w:r>
              <w:rPr>
                <w:rFonts w:hint="eastAsia" w:ascii="仿宋_GB2312" w:hAnsi="Calibri" w:eastAsia="仿宋_GB2312"/>
                <w:b/>
                <w:lang w:eastAsia="en-US" w:bidi="en-US"/>
              </w:rPr>
              <w:t>期限</w:t>
            </w:r>
          </w:p>
        </w:tc>
        <w:tc>
          <w:tcPr>
            <w:tcW w:w="4148" w:type="dxa"/>
          </w:tcPr>
          <w:p w14:paraId="1163657B">
            <w:pPr>
              <w:ind w:firstLine="357"/>
              <w:jc w:val="center"/>
              <w:rPr>
                <w:rFonts w:ascii="仿宋_GB2312" w:hAnsi="Calibri" w:eastAsia="仿宋_GB2312"/>
                <w:b/>
                <w:lang w:eastAsia="en-US" w:bidi="en-US"/>
              </w:rPr>
            </w:pPr>
            <w:r>
              <w:rPr>
                <w:rFonts w:hint="eastAsia" w:ascii="仿宋_GB2312" w:hAnsi="Calibri" w:eastAsia="仿宋_GB2312"/>
                <w:b/>
                <w:lang w:eastAsia="en-US" w:bidi="en-US"/>
              </w:rPr>
              <w:t>履约保证金比例</w:t>
            </w:r>
          </w:p>
        </w:tc>
      </w:tr>
      <w:tr w14:paraId="74B65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2D85E704">
            <w:pPr>
              <w:ind w:firstLine="357"/>
              <w:jc w:val="center"/>
              <w:rPr>
                <w:rFonts w:ascii="仿宋_GB2312" w:hAnsi="Calibri" w:eastAsia="仿宋_GB2312"/>
                <w:lang w:eastAsia="en-US" w:bidi="en-US"/>
              </w:rPr>
            </w:pPr>
            <w:r>
              <w:rPr>
                <w:rFonts w:hint="eastAsia" w:ascii="仿宋_GB2312" w:eastAsia="仿宋_GB2312"/>
                <w:color w:val="4D4D4D"/>
                <w:lang w:eastAsia="en-US" w:bidi="en-US"/>
              </w:rPr>
              <w:t>1年期</w:t>
            </w:r>
          </w:p>
        </w:tc>
        <w:tc>
          <w:tcPr>
            <w:tcW w:w="4148" w:type="dxa"/>
          </w:tcPr>
          <w:p w14:paraId="2BB65E46">
            <w:pPr>
              <w:ind w:firstLine="357"/>
              <w:jc w:val="center"/>
              <w:rPr>
                <w:rFonts w:ascii="仿宋_GB2312" w:hAnsi="Calibri" w:eastAsia="仿宋_GB2312"/>
                <w:lang w:eastAsia="en-US" w:bidi="en-US"/>
              </w:rPr>
            </w:pPr>
            <w:r>
              <w:rPr>
                <w:rFonts w:hint="eastAsia" w:ascii="仿宋_GB2312" w:eastAsia="仿宋_GB2312"/>
                <w:color w:val="4D4D4D"/>
                <w:lang w:eastAsia="en-US" w:bidi="en-US"/>
              </w:rPr>
              <w:t>1%</w:t>
            </w:r>
          </w:p>
        </w:tc>
      </w:tr>
      <w:tr w14:paraId="2BACE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781F7A3E">
            <w:pPr>
              <w:ind w:firstLine="357"/>
              <w:jc w:val="center"/>
              <w:rPr>
                <w:rFonts w:ascii="仿宋_GB2312" w:hAnsi="Calibri" w:eastAsia="仿宋_GB2312"/>
                <w:lang w:eastAsia="en-US" w:bidi="en-US"/>
              </w:rPr>
            </w:pPr>
            <w:r>
              <w:rPr>
                <w:rFonts w:hint="eastAsia" w:ascii="仿宋_GB2312" w:eastAsia="仿宋_GB2312"/>
                <w:color w:val="4D4D4D"/>
                <w:lang w:eastAsia="en-US" w:bidi="en-US"/>
              </w:rPr>
              <w:t>3年期</w:t>
            </w:r>
          </w:p>
        </w:tc>
        <w:tc>
          <w:tcPr>
            <w:tcW w:w="4148" w:type="dxa"/>
          </w:tcPr>
          <w:p w14:paraId="294DD18A">
            <w:pPr>
              <w:ind w:firstLine="357"/>
              <w:jc w:val="center"/>
              <w:rPr>
                <w:rFonts w:ascii="仿宋_GB2312" w:hAnsi="Calibri" w:eastAsia="仿宋_GB2312"/>
                <w:lang w:eastAsia="en-US" w:bidi="en-US"/>
              </w:rPr>
            </w:pPr>
            <w:r>
              <w:rPr>
                <w:rFonts w:hint="eastAsia" w:ascii="仿宋_GB2312" w:eastAsia="仿宋_GB2312"/>
                <w:color w:val="4D4D4D"/>
                <w:lang w:eastAsia="en-US" w:bidi="en-US"/>
              </w:rPr>
              <w:t>2%</w:t>
            </w:r>
          </w:p>
        </w:tc>
      </w:tr>
      <w:tr w14:paraId="33A99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48" w:type="dxa"/>
          </w:tcPr>
          <w:p w14:paraId="54F90482">
            <w:pPr>
              <w:ind w:firstLine="357"/>
              <w:jc w:val="center"/>
              <w:rPr>
                <w:rFonts w:ascii="仿宋_GB2312" w:hAnsi="Calibri" w:eastAsia="仿宋_GB2312"/>
                <w:lang w:eastAsia="en-US" w:bidi="en-US"/>
              </w:rPr>
            </w:pPr>
            <w:r>
              <w:rPr>
                <w:rFonts w:hint="eastAsia" w:ascii="仿宋_GB2312" w:eastAsia="仿宋_GB2312"/>
                <w:color w:val="4D4D4D"/>
                <w:lang w:eastAsia="en-US" w:bidi="en-US"/>
              </w:rPr>
              <w:t>5年期</w:t>
            </w:r>
          </w:p>
        </w:tc>
        <w:tc>
          <w:tcPr>
            <w:tcW w:w="4148" w:type="dxa"/>
          </w:tcPr>
          <w:p w14:paraId="1CD7179B">
            <w:pPr>
              <w:ind w:firstLine="357"/>
              <w:jc w:val="center"/>
              <w:rPr>
                <w:rFonts w:ascii="仿宋_GB2312" w:hAnsi="Calibri" w:eastAsia="仿宋_GB2312"/>
                <w:lang w:eastAsia="en-US" w:bidi="en-US"/>
              </w:rPr>
            </w:pPr>
            <w:r>
              <w:rPr>
                <w:rFonts w:hint="eastAsia" w:ascii="仿宋_GB2312" w:eastAsia="仿宋_GB2312"/>
                <w:color w:val="4D4D4D"/>
                <w:lang w:eastAsia="en-US" w:bidi="en-US"/>
              </w:rPr>
              <w:t>3%</w:t>
            </w:r>
          </w:p>
        </w:tc>
      </w:tr>
      <w:tr w14:paraId="2D965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363C3E4D">
            <w:pPr>
              <w:ind w:firstLine="357"/>
              <w:jc w:val="center"/>
              <w:rPr>
                <w:rFonts w:ascii="仿宋_GB2312" w:hAnsi="Calibri" w:eastAsia="仿宋_GB2312"/>
                <w:lang w:eastAsia="en-US" w:bidi="en-US"/>
              </w:rPr>
            </w:pPr>
            <w:r>
              <w:rPr>
                <w:rFonts w:hint="eastAsia" w:ascii="仿宋_GB2312" w:eastAsia="仿宋_GB2312"/>
                <w:color w:val="4D4D4D"/>
                <w:lang w:eastAsia="en-US" w:bidi="en-US"/>
              </w:rPr>
              <w:t>7年期</w:t>
            </w:r>
          </w:p>
        </w:tc>
        <w:tc>
          <w:tcPr>
            <w:tcW w:w="4148" w:type="dxa"/>
          </w:tcPr>
          <w:p w14:paraId="08DCADF7">
            <w:pPr>
              <w:ind w:firstLine="357"/>
              <w:jc w:val="center"/>
              <w:rPr>
                <w:rFonts w:ascii="仿宋_GB2312" w:hAnsi="Calibri" w:eastAsia="仿宋_GB2312"/>
                <w:lang w:eastAsia="en-US" w:bidi="en-US"/>
              </w:rPr>
            </w:pPr>
            <w:r>
              <w:rPr>
                <w:rFonts w:hint="eastAsia" w:ascii="仿宋_GB2312" w:eastAsia="仿宋_GB2312"/>
                <w:color w:val="4D4D4D"/>
                <w:lang w:eastAsia="en-US" w:bidi="en-US"/>
              </w:rPr>
              <w:t>4%</w:t>
            </w:r>
          </w:p>
        </w:tc>
      </w:tr>
      <w:tr w14:paraId="675D8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33ADC9D0">
            <w:pPr>
              <w:ind w:firstLine="357"/>
              <w:jc w:val="center"/>
              <w:rPr>
                <w:rFonts w:ascii="仿宋_GB2312" w:hAnsi="Calibri" w:eastAsia="仿宋_GB2312"/>
                <w:lang w:eastAsia="en-US" w:bidi="en-US"/>
              </w:rPr>
            </w:pPr>
            <w:r>
              <w:rPr>
                <w:rFonts w:hint="eastAsia" w:ascii="仿宋_GB2312" w:eastAsia="仿宋_GB2312"/>
                <w:color w:val="4D4D4D"/>
                <w:lang w:eastAsia="en-US" w:bidi="en-US"/>
              </w:rPr>
              <w:t>10年期</w:t>
            </w:r>
          </w:p>
        </w:tc>
        <w:tc>
          <w:tcPr>
            <w:tcW w:w="4148" w:type="dxa"/>
          </w:tcPr>
          <w:p w14:paraId="55FFBA65">
            <w:pPr>
              <w:ind w:firstLine="357"/>
              <w:jc w:val="center"/>
              <w:rPr>
                <w:rFonts w:ascii="仿宋_GB2312" w:hAnsi="Calibri" w:eastAsia="仿宋_GB2312"/>
                <w:lang w:eastAsia="en-US" w:bidi="en-US"/>
              </w:rPr>
            </w:pPr>
            <w:r>
              <w:rPr>
                <w:rFonts w:hint="eastAsia" w:ascii="仿宋_GB2312" w:eastAsia="仿宋_GB2312"/>
                <w:color w:val="4D4D4D"/>
                <w:lang w:eastAsia="en-US" w:bidi="en-US"/>
              </w:rPr>
              <w:t>5%</w:t>
            </w:r>
          </w:p>
        </w:tc>
      </w:tr>
    </w:tbl>
    <w:p w14:paraId="2D365968">
      <w:pPr>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上述各关键期限国债预发行交易的履约保证金比例于2014年7月18日起实施，《关于发布&lt;上海证券交易所、中国证券登记结算有限责任公司国债预发行（试点）交易及登记结算业务办法&gt;及有关事项的通知》（上证发〔2013〕4号）第二条“《办法》第二十条规定的国债预发行交易履约保证金比例暂定为10%”不再适用。</w:t>
      </w:r>
    </w:p>
    <w:p w14:paraId="45AB54F5">
      <w:pPr>
        <w:numPr>
          <w:ilvl w:val="2"/>
          <w:numId w:val="4"/>
        </w:numPr>
        <w:spacing w:line="600" w:lineRule="exact"/>
        <w:ind w:left="0" w:firstLine="0"/>
        <w:outlineLvl w:val="2"/>
        <w:rPr>
          <w:rFonts w:ascii="仿宋_GB2312" w:eastAsia="仿宋_GB2312"/>
          <w:b/>
          <w:sz w:val="30"/>
          <w:szCs w:val="30"/>
        </w:rPr>
      </w:pPr>
      <w:bookmarkStart w:id="2224" w:name="_Toc41660665"/>
      <w:r>
        <w:rPr>
          <w:rFonts w:hint="eastAsia" w:ascii="仿宋_GB2312" w:eastAsia="仿宋_GB2312"/>
          <w:b/>
          <w:sz w:val="30"/>
          <w:szCs w:val="30"/>
        </w:rPr>
        <w:t>清算与交收</w:t>
      </w:r>
      <w:bookmarkEnd w:id="2224"/>
    </w:p>
    <w:p w14:paraId="26CD4A21">
      <w:pPr>
        <w:spacing w:line="600" w:lineRule="exact"/>
        <w:ind w:firstLine="602" w:firstLineChars="200"/>
        <w:outlineLvl w:val="3"/>
        <w:rPr>
          <w:rFonts w:ascii="仿宋_GB2312" w:eastAsia="仿宋_GB2312"/>
          <w:b/>
          <w:sz w:val="30"/>
          <w:szCs w:val="30"/>
        </w:rPr>
      </w:pPr>
      <w:bookmarkStart w:id="2225" w:name="_Toc41660666"/>
      <w:r>
        <w:rPr>
          <w:rFonts w:hint="eastAsia" w:ascii="仿宋_GB2312" w:eastAsia="仿宋_GB2312"/>
          <w:b/>
          <w:sz w:val="30"/>
          <w:szCs w:val="30"/>
        </w:rPr>
        <w:t>（1）净额结算</w:t>
      </w:r>
      <w:bookmarkEnd w:id="2225"/>
    </w:p>
    <w:p w14:paraId="0FEDF6A4">
      <w:pPr>
        <w:spacing w:line="600" w:lineRule="exact"/>
        <w:ind w:firstLine="600" w:firstLineChars="200"/>
        <w:rPr>
          <w:rFonts w:ascii="仿宋_GB2312" w:hAnsi="Calibri" w:eastAsia="仿宋_GB2312"/>
          <w:sz w:val="30"/>
          <w:szCs w:val="30"/>
        </w:rPr>
      </w:pPr>
      <w:r>
        <w:rPr>
          <w:rFonts w:hint="eastAsia" w:ascii="仿宋_GB2312" w:hAnsi="宋体" w:eastAsia="仿宋_GB2312" w:cs="宋体"/>
          <w:color w:val="000000"/>
          <w:kern w:val="0"/>
          <w:sz w:val="30"/>
          <w:szCs w:val="30"/>
        </w:rPr>
        <w:t>登记结算机构</w:t>
      </w:r>
      <w:r>
        <w:rPr>
          <w:rFonts w:hint="eastAsia" w:ascii="仿宋_GB2312" w:hAnsi="Calibri" w:eastAsia="仿宋_GB2312"/>
          <w:sz w:val="30"/>
          <w:szCs w:val="30"/>
        </w:rPr>
        <w:t>作为共同对手方，为国债预发行交易提供多边净额结算服务。</w:t>
      </w:r>
    </w:p>
    <w:p w14:paraId="462D612A">
      <w:pPr>
        <w:spacing w:line="600" w:lineRule="exact"/>
        <w:ind w:firstLine="602" w:firstLineChars="200"/>
        <w:outlineLvl w:val="3"/>
        <w:rPr>
          <w:rFonts w:ascii="仿宋_GB2312" w:eastAsia="仿宋_GB2312"/>
          <w:b/>
          <w:sz w:val="30"/>
          <w:szCs w:val="30"/>
        </w:rPr>
      </w:pPr>
      <w:bookmarkStart w:id="2226" w:name="_Toc41660667"/>
      <w:r>
        <w:rPr>
          <w:rFonts w:hint="eastAsia" w:ascii="仿宋_GB2312" w:eastAsia="仿宋_GB2312"/>
          <w:b/>
          <w:sz w:val="30"/>
          <w:szCs w:val="30"/>
        </w:rPr>
        <w:t>（2）国债清算</w:t>
      </w:r>
      <w:bookmarkEnd w:id="2226"/>
    </w:p>
    <w:p w14:paraId="42225F10">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国债预发行交易期间，</w:t>
      </w:r>
      <w:r>
        <w:rPr>
          <w:rFonts w:hint="eastAsia" w:ascii="仿宋_GB2312" w:hAnsi="宋体" w:eastAsia="仿宋_GB2312" w:cs="宋体"/>
          <w:color w:val="000000"/>
          <w:kern w:val="0"/>
          <w:sz w:val="30"/>
          <w:szCs w:val="30"/>
        </w:rPr>
        <w:t>登记结算机构</w:t>
      </w:r>
      <w:r>
        <w:rPr>
          <w:rFonts w:hint="eastAsia" w:ascii="仿宋_GB2312" w:hAnsi="Calibri" w:eastAsia="仿宋_GB2312"/>
          <w:sz w:val="30"/>
          <w:szCs w:val="30"/>
        </w:rPr>
        <w:t>于每一交易日闭市后对预发行交易的应收付国债进行清算，相关清算明细每日发送结算参与人。</w:t>
      </w:r>
    </w:p>
    <w:p w14:paraId="5BAB1248">
      <w:pPr>
        <w:spacing w:line="600" w:lineRule="exact"/>
        <w:ind w:firstLine="602" w:firstLineChars="200"/>
        <w:outlineLvl w:val="3"/>
        <w:rPr>
          <w:rFonts w:ascii="仿宋_GB2312" w:eastAsia="仿宋_GB2312"/>
          <w:b/>
          <w:sz w:val="30"/>
          <w:szCs w:val="30"/>
        </w:rPr>
      </w:pPr>
      <w:bookmarkStart w:id="2227" w:name="_Toc41660668"/>
      <w:r>
        <w:rPr>
          <w:rFonts w:hint="eastAsia" w:ascii="仿宋_GB2312" w:eastAsia="仿宋_GB2312"/>
          <w:b/>
          <w:sz w:val="30"/>
          <w:szCs w:val="30"/>
        </w:rPr>
        <w:t>（3）资金清算</w:t>
      </w:r>
      <w:bookmarkEnd w:id="2227"/>
    </w:p>
    <w:p w14:paraId="401B9CC7">
      <w:pPr>
        <w:autoSpaceDE w:val="0"/>
        <w:autoSpaceDN w:val="0"/>
        <w:adjustRightIn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国债招标日闭市后，</w:t>
      </w:r>
      <w:r>
        <w:rPr>
          <w:rFonts w:hint="eastAsia" w:ascii="仿宋_GB2312" w:hAnsi="宋体" w:eastAsia="仿宋_GB2312" w:cs="宋体"/>
          <w:color w:val="000000"/>
          <w:kern w:val="0"/>
          <w:sz w:val="30"/>
          <w:szCs w:val="30"/>
        </w:rPr>
        <w:t>登记结算机构</w:t>
      </w:r>
      <w:r>
        <w:rPr>
          <w:rFonts w:hint="eastAsia" w:ascii="仿宋_GB2312" w:hAnsi="Calibri" w:eastAsia="仿宋_GB2312"/>
          <w:sz w:val="30"/>
          <w:szCs w:val="30"/>
        </w:rPr>
        <w:t>按照下列公式对相应券种的国债预发行交易进行资金清算，清算净额并入结算参与人当日首次清算净额并于次一交易日交收。</w:t>
      </w:r>
    </w:p>
    <w:p w14:paraId="391720A9">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结算参与人资金清算金额=∑（买入成交面额×结算价格/100）-∑（卖出成交面额×结算价格/100）</w:t>
      </w:r>
    </w:p>
    <w:p w14:paraId="6C88CBE9">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国债通过价格招标发行的，其结算价格为实际成交价格；国债通过利率招标发行的，其结算价格为按照以下公式计算的理论结算价格：</w:t>
      </w:r>
    </w:p>
    <w:p w14:paraId="5122E8AE">
      <w:pPr>
        <w:ind w:firstLine="600" w:firstLineChars="200"/>
        <w:rPr>
          <w:rFonts w:ascii="仿宋_GB2312" w:hAnsi="Calibri" w:eastAsia="仿宋_GB2312"/>
          <w:sz w:val="30"/>
          <w:szCs w:val="30"/>
        </w:rPr>
      </w:pPr>
      <m:oMathPara>
        <m:oMath>
          <m:r>
            <m:rPr>
              <m:sty m:val="p"/>
            </m:rPr>
            <w:rPr>
              <w:rFonts w:hint="eastAsia" w:ascii="Cambria Math" w:hAnsi="Cambria Math" w:eastAsia="仿宋_GB2312"/>
              <w:sz w:val="30"/>
              <w:szCs w:val="30"/>
            </w:rPr>
            <m:t>理论结算价格P=</m:t>
          </m:r>
          <m:nary>
            <m:naryPr>
              <m:chr m:val="∑"/>
              <m:limLoc m:val="undOvr"/>
              <m:ctrlPr>
                <w:rPr>
                  <w:rFonts w:ascii="Cambria Math" w:hAnsi="Cambria Math" w:eastAsia="仿宋_GB2312"/>
                  <w:sz w:val="30"/>
                  <w:szCs w:val="30"/>
                </w:rPr>
              </m:ctrlPr>
            </m:naryPr>
            <m:sub>
              <m:r>
                <m:rPr>
                  <m:sty m:val="p"/>
                </m:rPr>
                <w:rPr>
                  <w:rFonts w:ascii="Cambria Math" w:hAnsi="Cambria Math" w:eastAsia="仿宋_GB2312"/>
                  <w:sz w:val="30"/>
                  <w:szCs w:val="30"/>
                </w:rPr>
                <m:t>i=1</m:t>
              </m:r>
              <m:ctrlPr>
                <w:rPr>
                  <w:rFonts w:ascii="Cambria Math" w:hAnsi="Cambria Math" w:eastAsia="仿宋_GB2312"/>
                  <w:sz w:val="30"/>
                  <w:szCs w:val="30"/>
                </w:rPr>
              </m:ctrlPr>
            </m:sub>
            <m:sup>
              <m:r>
                <m:rPr>
                  <m:sty m:val="p"/>
                </m:rPr>
                <w:rPr>
                  <w:rFonts w:ascii="Cambria Math" w:hAnsi="Cambria Math" w:eastAsia="仿宋_GB2312"/>
                  <w:sz w:val="30"/>
                  <w:szCs w:val="30"/>
                </w:rPr>
                <m:t>f×n</m:t>
              </m:r>
              <m:ctrlPr>
                <w:rPr>
                  <w:rFonts w:ascii="Cambria Math" w:hAnsi="Cambria Math" w:eastAsia="仿宋_GB2312"/>
                  <w:sz w:val="30"/>
                  <w:szCs w:val="30"/>
                </w:rPr>
              </m:ctrlPr>
            </m:sup>
            <m:e>
              <m:f>
                <m:fPr>
                  <m:ctrlPr>
                    <w:rPr>
                      <w:rFonts w:ascii="Cambria Math" w:hAnsi="Cambria Math" w:eastAsia="仿宋_GB2312"/>
                      <w:sz w:val="30"/>
                      <w:szCs w:val="30"/>
                    </w:rPr>
                  </m:ctrlPr>
                </m:fPr>
                <m:num>
                  <m:r>
                    <m:rPr>
                      <m:sty m:val="p"/>
                    </m:rPr>
                    <w:rPr>
                      <w:rFonts w:ascii="Cambria Math" w:hAnsi="Cambria Math" w:eastAsia="仿宋_GB2312"/>
                      <w:sz w:val="30"/>
                      <w:szCs w:val="30"/>
                    </w:rPr>
                    <m:t>100×C/f</m:t>
                  </m:r>
                  <m:ctrlPr>
                    <w:rPr>
                      <w:rFonts w:ascii="Cambria Math" w:hAnsi="Cambria Math" w:eastAsia="仿宋_GB2312"/>
                      <w:sz w:val="30"/>
                      <w:szCs w:val="30"/>
                    </w:rPr>
                  </m:ctrlPr>
                </m:num>
                <m:den>
                  <m:sSup>
                    <m:sSupPr>
                      <m:ctrlPr>
                        <w:rPr>
                          <w:rFonts w:ascii="Cambria Math" w:hAnsi="Cambria Math" w:eastAsia="仿宋_GB2312"/>
                          <w:sz w:val="30"/>
                          <w:szCs w:val="30"/>
                        </w:rPr>
                      </m:ctrlPr>
                    </m:sSupPr>
                    <m:e>
                      <m:d>
                        <m:dPr>
                          <m:ctrlPr>
                            <w:rPr>
                              <w:rFonts w:ascii="Cambria Math" w:hAnsi="Cambria Math" w:eastAsia="仿宋_GB2312"/>
                              <w:sz w:val="30"/>
                              <w:szCs w:val="30"/>
                            </w:rPr>
                          </m:ctrlPr>
                        </m:dPr>
                        <m:e>
                          <m:r>
                            <m:rPr>
                              <m:sty m:val="p"/>
                            </m:rPr>
                            <w:rPr>
                              <w:rFonts w:ascii="Cambria Math" w:hAnsi="Cambria Math" w:eastAsia="仿宋_GB2312"/>
                              <w:sz w:val="30"/>
                              <w:szCs w:val="30"/>
                            </w:rPr>
                            <m:t>1+R/f</m:t>
                          </m:r>
                          <m:ctrlPr>
                            <w:rPr>
                              <w:rFonts w:ascii="Cambria Math" w:hAnsi="Cambria Math" w:eastAsia="仿宋_GB2312"/>
                              <w:sz w:val="30"/>
                              <w:szCs w:val="30"/>
                            </w:rPr>
                          </m:ctrlPr>
                        </m:e>
                      </m:d>
                      <m:ctrlPr>
                        <w:rPr>
                          <w:rFonts w:ascii="Cambria Math" w:hAnsi="Cambria Math" w:eastAsia="仿宋_GB2312"/>
                          <w:sz w:val="30"/>
                          <w:szCs w:val="30"/>
                        </w:rPr>
                      </m:ctrlPr>
                    </m:e>
                    <m:sup>
                      <m:r>
                        <m:rPr>
                          <m:sty m:val="p"/>
                        </m:rPr>
                        <w:rPr>
                          <w:rFonts w:ascii="Cambria Math" w:hAnsi="Cambria Math" w:eastAsia="仿宋_GB2312"/>
                          <w:sz w:val="30"/>
                          <w:szCs w:val="30"/>
                        </w:rPr>
                        <m:t>i</m:t>
                      </m:r>
                      <m:ctrlPr>
                        <w:rPr>
                          <w:rFonts w:ascii="Cambria Math" w:hAnsi="Cambria Math" w:eastAsia="仿宋_GB2312"/>
                          <w:sz w:val="30"/>
                          <w:szCs w:val="30"/>
                        </w:rPr>
                      </m:ctrlPr>
                    </m:sup>
                  </m:sSup>
                  <m:ctrlPr>
                    <w:rPr>
                      <w:rFonts w:ascii="Cambria Math" w:hAnsi="Cambria Math" w:eastAsia="仿宋_GB2312"/>
                      <w:sz w:val="30"/>
                      <w:szCs w:val="30"/>
                    </w:rPr>
                  </m:ctrlPr>
                </m:den>
              </m:f>
              <m:ctrlPr>
                <w:rPr>
                  <w:rFonts w:ascii="Cambria Math" w:hAnsi="Cambria Math" w:eastAsia="仿宋_GB2312"/>
                  <w:sz w:val="30"/>
                  <w:szCs w:val="30"/>
                </w:rPr>
              </m:ctrlPr>
            </m:e>
          </m:nary>
          <m:r>
            <m:rPr>
              <m:sty m:val="p"/>
            </m:rPr>
            <w:rPr>
              <w:rFonts w:ascii="Cambria Math" w:hAnsi="Cambria Math" w:eastAsia="仿宋_GB2312"/>
              <w:sz w:val="30"/>
              <w:szCs w:val="30"/>
            </w:rPr>
            <m:t>+</m:t>
          </m:r>
          <m:f>
            <m:fPr>
              <m:ctrlPr>
                <w:rPr>
                  <w:rFonts w:ascii="Cambria Math" w:hAnsi="Cambria Math" w:eastAsia="仿宋_GB2312"/>
                  <w:sz w:val="30"/>
                  <w:szCs w:val="30"/>
                </w:rPr>
              </m:ctrlPr>
            </m:fPr>
            <m:num>
              <m:r>
                <m:rPr>
                  <m:sty m:val="p"/>
                </m:rPr>
                <w:rPr>
                  <w:rFonts w:ascii="Cambria Math" w:hAnsi="Cambria Math" w:eastAsia="仿宋_GB2312"/>
                  <w:sz w:val="30"/>
                  <w:szCs w:val="30"/>
                </w:rPr>
                <m:t>100</m:t>
              </m:r>
              <m:ctrlPr>
                <w:rPr>
                  <w:rFonts w:ascii="Cambria Math" w:hAnsi="Cambria Math" w:eastAsia="仿宋_GB2312"/>
                  <w:sz w:val="30"/>
                  <w:szCs w:val="30"/>
                </w:rPr>
              </m:ctrlPr>
            </m:num>
            <m:den>
              <m:sSup>
                <m:sSupPr>
                  <m:ctrlPr>
                    <w:rPr>
                      <w:rFonts w:ascii="Cambria Math" w:hAnsi="Cambria Math" w:eastAsia="仿宋_GB2312"/>
                      <w:sz w:val="30"/>
                      <w:szCs w:val="30"/>
                    </w:rPr>
                  </m:ctrlPr>
                </m:sSupPr>
                <m:e>
                  <m:d>
                    <m:dPr>
                      <m:ctrlPr>
                        <w:rPr>
                          <w:rFonts w:ascii="Cambria Math" w:hAnsi="Cambria Math" w:eastAsia="仿宋_GB2312"/>
                          <w:sz w:val="30"/>
                          <w:szCs w:val="30"/>
                        </w:rPr>
                      </m:ctrlPr>
                    </m:dPr>
                    <m:e>
                      <m:r>
                        <m:rPr>
                          <m:sty m:val="p"/>
                        </m:rPr>
                        <w:rPr>
                          <w:rFonts w:ascii="Cambria Math" w:hAnsi="Cambria Math" w:eastAsia="仿宋_GB2312"/>
                          <w:sz w:val="30"/>
                          <w:szCs w:val="30"/>
                        </w:rPr>
                        <m:t>1+R/f</m:t>
                      </m:r>
                      <m:ctrlPr>
                        <w:rPr>
                          <w:rFonts w:ascii="Cambria Math" w:hAnsi="Cambria Math" w:eastAsia="仿宋_GB2312"/>
                          <w:sz w:val="30"/>
                          <w:szCs w:val="30"/>
                        </w:rPr>
                      </m:ctrlPr>
                    </m:e>
                  </m:d>
                  <m:ctrlPr>
                    <w:rPr>
                      <w:rFonts w:ascii="Cambria Math" w:hAnsi="Cambria Math" w:eastAsia="仿宋_GB2312"/>
                      <w:sz w:val="30"/>
                      <w:szCs w:val="30"/>
                    </w:rPr>
                  </m:ctrlPr>
                </m:e>
                <m:sup>
                  <m:r>
                    <m:rPr>
                      <m:sty m:val="p"/>
                    </m:rPr>
                    <w:rPr>
                      <w:rFonts w:ascii="Cambria Math" w:hAnsi="Cambria Math" w:eastAsia="仿宋_GB2312"/>
                      <w:sz w:val="30"/>
                      <w:szCs w:val="30"/>
                    </w:rPr>
                    <m:t>f×n</m:t>
                  </m:r>
                  <m:ctrlPr>
                    <w:rPr>
                      <w:rFonts w:ascii="Cambria Math" w:hAnsi="Cambria Math" w:eastAsia="仿宋_GB2312"/>
                      <w:sz w:val="30"/>
                      <w:szCs w:val="30"/>
                    </w:rPr>
                  </m:ctrlPr>
                </m:sup>
              </m:sSup>
              <m:ctrlPr>
                <w:rPr>
                  <w:rFonts w:ascii="Cambria Math" w:hAnsi="Cambria Math" w:eastAsia="仿宋_GB2312"/>
                  <w:sz w:val="30"/>
                  <w:szCs w:val="30"/>
                </w:rPr>
              </m:ctrlPr>
            </m:den>
          </m:f>
        </m:oMath>
      </m:oMathPara>
    </w:p>
    <w:p w14:paraId="44B324A4">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其中C为预发行国债发行票面利率，R为预发行交易成交收益率，f为年付息频率，n为预发行国债的期限。</w:t>
      </w:r>
    </w:p>
    <w:p w14:paraId="68A132FF">
      <w:pPr>
        <w:spacing w:line="600" w:lineRule="exact"/>
        <w:ind w:firstLine="602" w:firstLineChars="200"/>
        <w:outlineLvl w:val="3"/>
        <w:rPr>
          <w:rFonts w:ascii="仿宋_GB2312" w:eastAsia="仿宋_GB2312"/>
          <w:b/>
          <w:sz w:val="30"/>
          <w:szCs w:val="30"/>
        </w:rPr>
      </w:pPr>
      <w:bookmarkStart w:id="2228" w:name="_Toc41660669"/>
      <w:r>
        <w:rPr>
          <w:rFonts w:hint="eastAsia" w:ascii="仿宋_GB2312" w:eastAsia="仿宋_GB2312"/>
          <w:b/>
          <w:sz w:val="30"/>
          <w:szCs w:val="30"/>
        </w:rPr>
        <w:t>（4）国债交收</w:t>
      </w:r>
      <w:bookmarkEnd w:id="2228"/>
    </w:p>
    <w:p w14:paraId="7396F07B">
      <w:pPr>
        <w:autoSpaceDE w:val="0"/>
        <w:autoSpaceDN w:val="0"/>
        <w:adjustRightIn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国债招标日，国债承销团成员应当在国债招标完成后及时向本所提交该期国债在</w:t>
      </w:r>
      <w:r>
        <w:rPr>
          <w:rFonts w:hint="eastAsia" w:ascii="仿宋_GB2312" w:hAnsi="宋体" w:eastAsia="仿宋_GB2312" w:cs="宋体"/>
          <w:color w:val="000000"/>
          <w:kern w:val="0"/>
          <w:sz w:val="30"/>
          <w:szCs w:val="30"/>
        </w:rPr>
        <w:t>登记结算机构</w:t>
      </w:r>
      <w:r>
        <w:rPr>
          <w:rFonts w:hint="eastAsia" w:ascii="仿宋_GB2312" w:hAnsi="Calibri" w:eastAsia="仿宋_GB2312"/>
          <w:sz w:val="30"/>
          <w:szCs w:val="30"/>
        </w:rPr>
        <w:t>的托管量和场外分销计划量。</w:t>
      </w:r>
    </w:p>
    <w:p w14:paraId="37204E50">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国债招标日闭市后，</w:t>
      </w:r>
      <w:r>
        <w:rPr>
          <w:rFonts w:hint="eastAsia" w:ascii="仿宋_GB2312" w:hAnsi="宋体" w:eastAsia="仿宋_GB2312" w:cs="宋体"/>
          <w:color w:val="000000"/>
          <w:kern w:val="0"/>
          <w:sz w:val="30"/>
          <w:szCs w:val="30"/>
        </w:rPr>
        <w:t>登记结算机构</w:t>
      </w:r>
      <w:r>
        <w:rPr>
          <w:rFonts w:hint="eastAsia" w:ascii="仿宋_GB2312" w:hAnsi="Calibri" w:eastAsia="仿宋_GB2312"/>
          <w:sz w:val="30"/>
          <w:szCs w:val="30"/>
        </w:rPr>
        <w:t>对国债预发行交易进行证券交收。</w:t>
      </w:r>
      <w:r>
        <w:rPr>
          <w:rFonts w:hint="eastAsia" w:ascii="仿宋_GB2312" w:hAnsi="宋体" w:eastAsia="仿宋_GB2312" w:cs="宋体"/>
          <w:color w:val="000000"/>
          <w:kern w:val="0"/>
          <w:sz w:val="30"/>
          <w:szCs w:val="30"/>
        </w:rPr>
        <w:t>登记结算机构</w:t>
      </w:r>
      <w:r>
        <w:rPr>
          <w:rFonts w:hint="eastAsia" w:ascii="仿宋_GB2312" w:hAnsi="Calibri" w:eastAsia="仿宋_GB2312"/>
          <w:sz w:val="30"/>
          <w:szCs w:val="30"/>
        </w:rPr>
        <w:t>将国债承销团成员在</w:t>
      </w:r>
      <w:r>
        <w:rPr>
          <w:rFonts w:hint="eastAsia" w:ascii="仿宋_GB2312" w:hAnsi="宋体" w:eastAsia="仿宋_GB2312" w:cs="宋体"/>
          <w:color w:val="000000"/>
          <w:kern w:val="0"/>
          <w:sz w:val="30"/>
          <w:szCs w:val="30"/>
        </w:rPr>
        <w:t>登记结算机构</w:t>
      </w:r>
      <w:r>
        <w:rPr>
          <w:rFonts w:hint="eastAsia" w:ascii="仿宋_GB2312" w:hAnsi="Calibri" w:eastAsia="仿宋_GB2312"/>
          <w:sz w:val="30"/>
          <w:szCs w:val="30"/>
        </w:rPr>
        <w:t>的托管数量扣减其场外分销计划数量后，用于预发行交易国债的交收。对于续发国债的预发行交易，同期存量国债可用于其交收。</w:t>
      </w:r>
    </w:p>
    <w:p w14:paraId="29B7AC10">
      <w:pPr>
        <w:spacing w:line="600" w:lineRule="exact"/>
        <w:ind w:firstLine="600" w:firstLineChars="200"/>
        <w:rPr>
          <w:rFonts w:ascii="仿宋_GB2312" w:hAnsi="黑体" w:eastAsia="仿宋_GB2312"/>
          <w:bCs/>
          <w:sz w:val="30"/>
          <w:szCs w:val="30"/>
        </w:rPr>
      </w:pPr>
      <w:bookmarkStart w:id="2229" w:name="_Toc41660670"/>
      <w:r>
        <w:rPr>
          <w:rFonts w:hint="eastAsia" w:ascii="仿宋_GB2312" w:hAnsi="黑体" w:eastAsia="仿宋_GB2312"/>
          <w:bCs/>
          <w:sz w:val="30"/>
          <w:szCs w:val="30"/>
        </w:rPr>
        <w:t>1）国债交收不足</w:t>
      </w:r>
      <w:bookmarkEnd w:id="2229"/>
    </w:p>
    <w:p w14:paraId="1FD9F631">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若国债承销团成员在</w:t>
      </w:r>
      <w:r>
        <w:rPr>
          <w:rFonts w:hint="eastAsia" w:ascii="仿宋_GB2312" w:hAnsi="宋体" w:eastAsia="仿宋_GB2312" w:cs="宋体"/>
          <w:color w:val="000000"/>
          <w:kern w:val="0"/>
          <w:sz w:val="30"/>
          <w:szCs w:val="30"/>
        </w:rPr>
        <w:t>登记结算机构</w:t>
      </w:r>
      <w:r>
        <w:rPr>
          <w:rFonts w:hint="eastAsia" w:ascii="仿宋_GB2312" w:hAnsi="Calibri" w:eastAsia="仿宋_GB2312"/>
          <w:sz w:val="30"/>
          <w:szCs w:val="30"/>
        </w:rPr>
        <w:t>的国债托管数量扣减其场外分销计划数量后，小于其预发行交易期间的净卖出数量，则视为其国债预发行交易证券交收不足。</w:t>
      </w:r>
    </w:p>
    <w:p w14:paraId="130952D2">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国债预发行交易出现证券交收不足的，</w:t>
      </w:r>
      <w:r>
        <w:rPr>
          <w:rFonts w:hint="eastAsia" w:ascii="仿宋_GB2312" w:hAnsi="宋体" w:eastAsia="仿宋_GB2312" w:cs="宋体"/>
          <w:color w:val="000000"/>
          <w:kern w:val="0"/>
          <w:sz w:val="30"/>
          <w:szCs w:val="30"/>
        </w:rPr>
        <w:t>登记结算机构</w:t>
      </w:r>
      <w:r>
        <w:rPr>
          <w:rFonts w:hint="eastAsia" w:ascii="仿宋_GB2312" w:hAnsi="Calibri" w:eastAsia="仿宋_GB2312"/>
          <w:sz w:val="30"/>
          <w:szCs w:val="30"/>
        </w:rPr>
        <w:t>于国债招标日按照单个账户净买入数量由小到大的顺序完成国债交收，并对国债预发行交易证券交收不足部分进行现金结算。</w:t>
      </w:r>
    </w:p>
    <w:p w14:paraId="33586A9E">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现金结算金额的计算公式为：现金结算金额=证券交收不足面额×现金结算价格/100。</w:t>
      </w:r>
    </w:p>
    <w:p w14:paraId="694D9683">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国债通过价格招标发行的，其现金结算价格为该券种当次发行价格；国债通过利率招标发行的，其现金结算价格为该券种发行面额。</w:t>
      </w:r>
    </w:p>
    <w:p w14:paraId="5B003786">
      <w:pPr>
        <w:autoSpaceDE w:val="0"/>
        <w:autoSpaceDN w:val="0"/>
        <w:adjustRightInd w:val="0"/>
        <w:spacing w:line="600" w:lineRule="exact"/>
        <w:ind w:firstLine="600" w:firstLineChars="200"/>
        <w:rPr>
          <w:rFonts w:ascii="仿宋_GB2312" w:hAnsi="Calibri" w:eastAsia="仿宋_GB2312"/>
          <w:sz w:val="30"/>
          <w:szCs w:val="30"/>
        </w:rPr>
      </w:pPr>
      <w:r>
        <w:rPr>
          <w:rFonts w:hint="eastAsia" w:ascii="仿宋_GB2312" w:hAnsi="宋体" w:eastAsia="仿宋_GB2312" w:cs="宋体"/>
          <w:color w:val="000000"/>
          <w:kern w:val="0"/>
          <w:sz w:val="30"/>
          <w:szCs w:val="30"/>
        </w:rPr>
        <w:t>登记结算机构</w:t>
      </w:r>
      <w:r>
        <w:rPr>
          <w:rFonts w:hint="eastAsia" w:ascii="仿宋_GB2312" w:hAnsi="Calibri" w:eastAsia="仿宋_GB2312"/>
          <w:sz w:val="30"/>
          <w:szCs w:val="30"/>
        </w:rPr>
        <w:t>对国债预发行交易证券交收不足部分向未能足额交付应付证券结算参与人收取补偿金并支付给未能足额收到应收证券的结算参与人，再由后者支付给其名下未能足额收到应收证券的债券投资者。上述补偿金标准由本所和</w:t>
      </w:r>
      <w:r>
        <w:rPr>
          <w:rFonts w:hint="eastAsia" w:ascii="仿宋_GB2312" w:hAnsi="宋体" w:eastAsia="仿宋_GB2312" w:cs="宋体"/>
          <w:color w:val="000000"/>
          <w:kern w:val="0"/>
          <w:sz w:val="30"/>
          <w:szCs w:val="30"/>
        </w:rPr>
        <w:t>登记结算机构</w:t>
      </w:r>
      <w:r>
        <w:rPr>
          <w:rFonts w:hint="eastAsia" w:ascii="仿宋_GB2312" w:hAnsi="Calibri" w:eastAsia="仿宋_GB2312"/>
          <w:sz w:val="30"/>
          <w:szCs w:val="30"/>
        </w:rPr>
        <w:t>根据国债期限和市场情况确定并向市场公布。</w:t>
      </w:r>
    </w:p>
    <w:p w14:paraId="13060C63">
      <w:pPr>
        <w:spacing w:line="600" w:lineRule="exact"/>
        <w:ind w:firstLine="600" w:firstLineChars="200"/>
        <w:rPr>
          <w:rFonts w:ascii="仿宋_GB2312" w:hAnsi="Calibri" w:eastAsia="仿宋_GB2312"/>
          <w:sz w:val="30"/>
          <w:szCs w:val="30"/>
        </w:rPr>
      </w:pPr>
      <w:r>
        <w:rPr>
          <w:rFonts w:hint="eastAsia" w:ascii="仿宋_GB2312" w:hAnsi="宋体" w:eastAsia="仿宋_GB2312" w:cs="宋体"/>
          <w:color w:val="000000"/>
          <w:kern w:val="0"/>
          <w:sz w:val="30"/>
          <w:szCs w:val="30"/>
        </w:rPr>
        <w:t>登记结算机构</w:t>
      </w:r>
      <w:r>
        <w:rPr>
          <w:rFonts w:hint="eastAsia" w:ascii="仿宋_GB2312" w:hAnsi="Calibri" w:eastAsia="仿宋_GB2312"/>
          <w:sz w:val="30"/>
          <w:szCs w:val="30"/>
        </w:rPr>
        <w:t>将现金结算金额与补偿金于国债招标日并入当日首次清算净额并于次一交易日交收。</w:t>
      </w:r>
    </w:p>
    <w:p w14:paraId="40C495FB">
      <w:pPr>
        <w:spacing w:line="600" w:lineRule="exact"/>
        <w:ind w:firstLine="600" w:firstLineChars="200"/>
        <w:rPr>
          <w:rFonts w:ascii="仿宋_GB2312" w:hAnsi="黑体" w:eastAsia="仿宋_GB2312"/>
          <w:bCs/>
          <w:sz w:val="30"/>
          <w:szCs w:val="30"/>
        </w:rPr>
      </w:pPr>
      <w:bookmarkStart w:id="2230" w:name="_Toc41660671"/>
      <w:r>
        <w:rPr>
          <w:rFonts w:hint="eastAsia" w:ascii="仿宋_GB2312" w:hAnsi="黑体" w:eastAsia="仿宋_GB2312"/>
          <w:bCs/>
          <w:sz w:val="30"/>
          <w:szCs w:val="30"/>
        </w:rPr>
        <w:t>2）资金交收违约</w:t>
      </w:r>
      <w:bookmarkEnd w:id="2230"/>
    </w:p>
    <w:p w14:paraId="241454C4">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结算参与人发生资金交收违约的，</w:t>
      </w:r>
      <w:r>
        <w:rPr>
          <w:rFonts w:hint="eastAsia" w:ascii="仿宋_GB2312" w:hAnsi="宋体" w:eastAsia="仿宋_GB2312" w:cs="宋体"/>
          <w:color w:val="000000"/>
          <w:kern w:val="0"/>
          <w:sz w:val="30"/>
          <w:szCs w:val="30"/>
        </w:rPr>
        <w:t>登记结算机构</w:t>
      </w:r>
      <w:r>
        <w:rPr>
          <w:rFonts w:hint="eastAsia" w:ascii="仿宋_GB2312" w:hAnsi="Calibri" w:eastAsia="仿宋_GB2312"/>
          <w:sz w:val="30"/>
          <w:szCs w:val="30"/>
        </w:rPr>
        <w:t>有权按相关证券法规和业务规则采取扣收结算参与人自营证券、暂不交付相关国债并处置、提请本所暂停交易等风险控制措施。</w:t>
      </w:r>
    </w:p>
    <w:p w14:paraId="1B4A4DC3">
      <w:pPr>
        <w:numPr>
          <w:ilvl w:val="1"/>
          <w:numId w:val="4"/>
        </w:numPr>
        <w:spacing w:line="600" w:lineRule="exact"/>
        <w:outlineLvl w:val="1"/>
        <w:rPr>
          <w:rFonts w:ascii="仿宋_GB2312" w:eastAsia="仿宋_GB2312"/>
          <w:b/>
          <w:sz w:val="30"/>
          <w:szCs w:val="30"/>
        </w:rPr>
      </w:pPr>
      <w:bookmarkStart w:id="2231" w:name="_Toc1402338760"/>
      <w:bookmarkStart w:id="2232" w:name="_Toc935532919"/>
      <w:bookmarkStart w:id="2233" w:name="_Toc151136919"/>
      <w:bookmarkStart w:id="2234" w:name="_Toc1894792014"/>
      <w:bookmarkStart w:id="2235" w:name="_Toc964663073"/>
      <w:r>
        <w:rPr>
          <w:rFonts w:hint="eastAsia" w:ascii="仿宋_GB2312" w:eastAsia="仿宋_GB2312"/>
          <w:b/>
          <w:sz w:val="30"/>
          <w:szCs w:val="30"/>
        </w:rPr>
        <w:t>债券借贷</w:t>
      </w:r>
      <w:bookmarkEnd w:id="2231"/>
      <w:bookmarkEnd w:id="2232"/>
      <w:bookmarkEnd w:id="2233"/>
      <w:bookmarkEnd w:id="2234"/>
      <w:bookmarkEnd w:id="2235"/>
    </w:p>
    <w:p w14:paraId="4B3B925D">
      <w:pPr>
        <w:spacing w:line="600" w:lineRule="exact"/>
        <w:ind w:firstLine="600" w:firstLineChars="200"/>
        <w:rPr>
          <w:rFonts w:ascii="仿宋_GB2312" w:hAnsi="Calibri" w:eastAsia="仿宋_GB2312"/>
          <w:sz w:val="30"/>
          <w:szCs w:val="30"/>
        </w:rPr>
      </w:pPr>
      <w:r>
        <w:rPr>
          <w:rFonts w:hint="eastAsia" w:ascii="仿宋_GB2312" w:eastAsia="仿宋_GB2312"/>
          <w:sz w:val="30"/>
          <w:szCs w:val="30"/>
        </w:rPr>
        <w:t>债券借贷是指债券借贷双方自主协商约定，由债券借入方以一定数量的债券设定质押，从债券借出方借入标的债券，同时约定在未来特定日期归还标的债券和支付债券借贷费用，并解除出质债券质押登记的行为。</w:t>
      </w:r>
    </w:p>
    <w:p w14:paraId="38F292C3">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相关规则</w:t>
      </w:r>
    </w:p>
    <w:p w14:paraId="368AFA02">
      <w:pPr>
        <w:widowControl/>
        <w:spacing w:line="600" w:lineRule="exact"/>
        <w:ind w:firstLine="600" w:firstLineChars="200"/>
        <w:jc w:val="left"/>
        <w:rPr>
          <w:rFonts w:ascii="仿宋_GB2312" w:hAnsi="Calibri" w:eastAsia="仿宋_GB2312"/>
          <w:sz w:val="30"/>
          <w:szCs w:val="30"/>
        </w:rPr>
      </w:pPr>
      <w:r>
        <w:rPr>
          <w:rFonts w:hint="eastAsia" w:ascii="仿宋_GB2312" w:hAnsi="Calibri" w:eastAsia="仿宋_GB2312"/>
          <w:sz w:val="30"/>
          <w:szCs w:val="30"/>
        </w:rPr>
        <w:t>债券借贷相关规则如下：</w:t>
      </w:r>
    </w:p>
    <w:p w14:paraId="5D9E6CBB">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《上海证券交易所 中国证券登记结算有限责任公司债券借贷业务办法》（以下</w:t>
      </w:r>
      <w:r>
        <w:rPr>
          <w:rFonts w:ascii="仿宋_GB2312" w:hAnsi="Calibri" w:eastAsia="仿宋_GB2312"/>
          <w:sz w:val="30"/>
          <w:szCs w:val="30"/>
        </w:rPr>
        <w:t>简称《</w:t>
      </w:r>
      <w:r>
        <w:rPr>
          <w:rFonts w:hint="eastAsia" w:ascii="仿宋_GB2312" w:hAnsi="Calibri" w:eastAsia="仿宋_GB2312"/>
          <w:sz w:val="30"/>
          <w:szCs w:val="30"/>
        </w:rPr>
        <w:t>办法</w:t>
      </w:r>
      <w:r>
        <w:rPr>
          <w:rFonts w:ascii="仿宋_GB2312" w:hAnsi="Calibri" w:eastAsia="仿宋_GB2312"/>
          <w:sz w:val="30"/>
          <w:szCs w:val="30"/>
        </w:rPr>
        <w:t>》</w:t>
      </w:r>
      <w:r>
        <w:rPr>
          <w:rFonts w:hint="eastAsia" w:ascii="仿宋_GB2312" w:hAnsi="Calibri" w:eastAsia="仿宋_GB2312"/>
          <w:sz w:val="30"/>
          <w:szCs w:val="30"/>
        </w:rPr>
        <w:t>）</w:t>
      </w:r>
    </w:p>
    <w:p w14:paraId="721D2786">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开展前准备</w:t>
      </w:r>
    </w:p>
    <w:p w14:paraId="035689AB">
      <w:pPr>
        <w:spacing w:line="600" w:lineRule="exact"/>
        <w:ind w:firstLine="602" w:firstLineChars="200"/>
        <w:outlineLvl w:val="3"/>
        <w:rPr>
          <w:rFonts w:ascii="仿宋_GB2312"/>
          <w:b/>
          <w:sz w:val="30"/>
        </w:rPr>
      </w:pPr>
      <w:r>
        <w:rPr>
          <w:rFonts w:hint="eastAsia" w:ascii="仿宋_GB2312" w:hAnsi="Calibri" w:eastAsia="仿宋_GB2312"/>
          <w:b/>
          <w:sz w:val="30"/>
          <w:szCs w:val="30"/>
        </w:rPr>
        <w:t>（</w:t>
      </w:r>
      <w:r>
        <w:rPr>
          <w:rFonts w:ascii="仿宋_GB2312" w:hAnsi="Calibri" w:eastAsia="仿宋_GB2312"/>
          <w:b/>
          <w:sz w:val="30"/>
          <w:szCs w:val="30"/>
        </w:rPr>
        <w:t>1</w:t>
      </w:r>
      <w:r>
        <w:rPr>
          <w:rFonts w:hint="eastAsia" w:ascii="仿宋_GB2312" w:hAnsi="Calibri" w:eastAsia="仿宋_GB2312"/>
          <w:b/>
          <w:sz w:val="30"/>
          <w:szCs w:val="30"/>
        </w:rPr>
        <w:t>）投资者适当性要求</w:t>
      </w:r>
    </w:p>
    <w:p w14:paraId="142375DC">
      <w:pPr>
        <w:spacing w:line="600" w:lineRule="exact"/>
        <w:ind w:firstLine="600" w:firstLineChars="200"/>
        <w:outlineLvl w:val="9"/>
        <w:rPr>
          <w:rFonts w:ascii="仿宋_GB2312" w:eastAsia="仿宋_GB2312"/>
          <w:sz w:val="30"/>
          <w:szCs w:val="30"/>
        </w:rPr>
      </w:pPr>
      <w:r>
        <w:rPr>
          <w:rFonts w:hint="eastAsia" w:ascii="仿宋_GB2312" w:eastAsia="仿宋_GB2312"/>
          <w:sz w:val="30"/>
          <w:szCs w:val="30"/>
        </w:rPr>
        <w:t>债券借贷实行投资者适当性管理制度，符合《上海证券交易所债券市场投资者适当性管理办法》规定的专业投资者中的机构投资者可以参与债券借贷。投资者应当根据本所的规定及自身的风险承受能力审慎评估是否参与债券借贷，并自行承担风险。</w:t>
      </w:r>
    </w:p>
    <w:p w14:paraId="400033C2">
      <w:pPr>
        <w:spacing w:line="600" w:lineRule="exact"/>
        <w:ind w:firstLine="600" w:firstLineChars="200"/>
        <w:outlineLvl w:val="9"/>
        <w:rPr>
          <w:rFonts w:ascii="仿宋_GB2312" w:hAnsi="宋体" w:eastAsia="仿宋_GB2312" w:cs="宋体"/>
          <w:sz w:val="30"/>
          <w:szCs w:val="30"/>
        </w:rPr>
      </w:pPr>
      <w:r>
        <w:rPr>
          <w:rFonts w:hint="eastAsia" w:ascii="仿宋_GB2312" w:eastAsia="仿宋_GB2312"/>
          <w:sz w:val="30"/>
          <w:szCs w:val="30"/>
        </w:rPr>
        <w:t>债券借贷双方作为证券公司经纪客户参与债券借贷业务，证</w:t>
      </w:r>
      <w:r>
        <w:rPr>
          <w:rFonts w:hint="eastAsia" w:ascii="仿宋_GB2312" w:hAnsi="宋体" w:eastAsia="仿宋_GB2312" w:cs="宋体"/>
          <w:sz w:val="30"/>
          <w:szCs w:val="30"/>
        </w:rPr>
        <w:t>券公司应当按照《上海证券交易所债券市场投资者适当性管理办法》的规定对经纪客户进行管理，建立健全经纪客户参与债券借贷相关的业务流程和风险管理制度。</w:t>
      </w:r>
      <w:r>
        <w:rPr>
          <w:rFonts w:hint="eastAsia" w:ascii="仿宋_GB2312" w:eastAsia="仿宋_GB2312"/>
          <w:sz w:val="30"/>
          <w:szCs w:val="30"/>
        </w:rPr>
        <w:t>证券公司应当对经纪客户资质进行审查，确保参与</w:t>
      </w:r>
      <w:r>
        <w:rPr>
          <w:rFonts w:hint="eastAsia" w:ascii="仿宋_GB2312" w:eastAsia="仿宋_GB2312"/>
          <w:color w:val="000000"/>
          <w:sz w:val="30"/>
          <w:szCs w:val="30"/>
        </w:rPr>
        <w:t>债券借贷的经纪客户</w:t>
      </w:r>
      <w:r>
        <w:rPr>
          <w:rFonts w:hint="eastAsia" w:ascii="仿宋_GB2312" w:hAnsi="宋体" w:eastAsia="仿宋_GB2312" w:cs="宋体"/>
          <w:sz w:val="30"/>
          <w:szCs w:val="30"/>
        </w:rPr>
        <w:t>符合投资者适当性管理要求，在经纪客户参与债券借贷前，</w:t>
      </w:r>
      <w:r>
        <w:rPr>
          <w:rFonts w:hint="eastAsia" w:ascii="仿宋_GB2312" w:eastAsia="仿宋_GB2312"/>
          <w:sz w:val="30"/>
          <w:szCs w:val="30"/>
        </w:rPr>
        <w:t>向其全面介绍相关业务规则及协议，充分揭示可能产生的风险，</w:t>
      </w:r>
      <w:r>
        <w:rPr>
          <w:rFonts w:hint="eastAsia" w:ascii="仿宋_GB2312" w:hAnsi="宋体" w:eastAsia="仿宋_GB2312" w:cs="宋体"/>
          <w:sz w:val="30"/>
          <w:szCs w:val="30"/>
        </w:rPr>
        <w:t>并要求其签署风险揭示书。风险揭示书应当包含本所确定的风险揭示书必备条款。</w:t>
      </w:r>
    </w:p>
    <w:p w14:paraId="19929E34">
      <w:pPr>
        <w:spacing w:line="600" w:lineRule="exact"/>
        <w:ind w:firstLine="600" w:firstLineChars="200"/>
        <w:outlineLvl w:val="9"/>
        <w:rPr>
          <w:rFonts w:ascii="仿宋_GB2312" w:hAnsi="宋体" w:eastAsia="仿宋_GB2312" w:cs="宋体"/>
          <w:sz w:val="30"/>
          <w:szCs w:val="30"/>
        </w:rPr>
      </w:pPr>
      <w:r>
        <w:rPr>
          <w:rFonts w:hint="eastAsia" w:ascii="仿宋_GB2312" w:hAnsi="宋体" w:eastAsia="仿宋_GB2312" w:cs="宋体"/>
          <w:sz w:val="30"/>
          <w:szCs w:val="30"/>
        </w:rPr>
        <w:t>风险</w:t>
      </w:r>
      <w:r>
        <w:rPr>
          <w:rFonts w:ascii="仿宋_GB2312" w:hAnsi="宋体" w:eastAsia="仿宋_GB2312" w:cs="宋体"/>
          <w:sz w:val="30"/>
          <w:szCs w:val="30"/>
        </w:rPr>
        <w:t>揭示书</w:t>
      </w:r>
      <w:r>
        <w:rPr>
          <w:rFonts w:hint="eastAsia" w:ascii="仿宋_GB2312" w:hAnsi="宋体" w:eastAsia="仿宋_GB2312" w:cs="宋体"/>
          <w:sz w:val="30"/>
          <w:szCs w:val="30"/>
        </w:rPr>
        <w:t>必备条款</w:t>
      </w:r>
      <w:r>
        <w:rPr>
          <w:rFonts w:ascii="仿宋_GB2312" w:hAnsi="宋体" w:eastAsia="仿宋_GB2312" w:cs="宋体"/>
          <w:sz w:val="30"/>
          <w:szCs w:val="30"/>
        </w:rPr>
        <w:t>文本请见</w:t>
      </w:r>
      <w:r>
        <w:rPr>
          <w:rFonts w:hint="eastAsia" w:ascii="仿宋_GB2312" w:hAnsi="宋体" w:eastAsia="仿宋_GB2312" w:cs="宋体"/>
          <w:sz w:val="30"/>
          <w:szCs w:val="30"/>
        </w:rPr>
        <w:t>《上海证券交易所会员管理业务指南第2号——风险揭示书必备条款》附件2.7。</w:t>
      </w:r>
    </w:p>
    <w:p w14:paraId="2A7EC70B">
      <w:pPr>
        <w:spacing w:line="600" w:lineRule="exact"/>
        <w:ind w:firstLine="602" w:firstLineChars="200"/>
        <w:outlineLvl w:val="3"/>
        <w:rPr>
          <w:rFonts w:ascii="仿宋_GB2312" w:hAnsi="Calibri" w:eastAsia="仿宋_GB2312"/>
          <w:b/>
          <w:sz w:val="30"/>
          <w:szCs w:val="30"/>
        </w:rPr>
      </w:pPr>
      <w:r>
        <w:rPr>
          <w:rFonts w:hint="eastAsia" w:ascii="仿宋_GB2312" w:hAnsi="Calibri" w:eastAsia="仿宋_GB2312"/>
          <w:b/>
          <w:sz w:val="30"/>
          <w:szCs w:val="30"/>
        </w:rPr>
        <w:t>（2）相关协议签署</w:t>
      </w:r>
    </w:p>
    <w:p w14:paraId="2D13B117">
      <w:pPr>
        <w:spacing w:line="600" w:lineRule="exact"/>
        <w:ind w:firstLine="600" w:firstLineChars="200"/>
        <w:outlineLvl w:val="9"/>
        <w:rPr>
          <w:rFonts w:ascii="仿宋_GB2312" w:eastAsia="仿宋_GB2312"/>
          <w:sz w:val="30"/>
          <w:szCs w:val="30"/>
        </w:rPr>
      </w:pPr>
      <w:r>
        <w:rPr>
          <w:rFonts w:hint="eastAsia" w:ascii="仿宋_GB2312" w:eastAsia="仿宋_GB2312"/>
          <w:sz w:val="30"/>
          <w:szCs w:val="30"/>
        </w:rPr>
        <w:t>借贷双方参与债券借贷应当签署《上海证券交易所债券借贷业务主协议》（以下简称《主协议》）。《主协议》</w:t>
      </w:r>
      <w:r>
        <w:rPr>
          <w:rFonts w:hint="eastAsia" w:ascii="仿宋_GB2312" w:hAnsi="宋体" w:eastAsia="仿宋_GB2312" w:cs="宋体"/>
          <w:sz w:val="30"/>
          <w:szCs w:val="30"/>
        </w:rPr>
        <w:t>内容包括但不限于各方权利义务、标的债券及质押债券风险处置及借贷违约责任的相关条款等。</w:t>
      </w:r>
      <w:r>
        <w:rPr>
          <w:rFonts w:hint="eastAsia" w:ascii="仿宋_GB2312" w:eastAsia="仿宋_GB2312"/>
          <w:sz w:val="30"/>
          <w:szCs w:val="30"/>
        </w:rPr>
        <w:t>《主协议》</w:t>
      </w:r>
      <w:r>
        <w:rPr>
          <w:rFonts w:hint="eastAsia" w:ascii="仿宋_GB2312" w:hAnsi="宋体" w:eastAsia="仿宋_GB2312" w:cs="宋体"/>
          <w:sz w:val="30"/>
          <w:szCs w:val="30"/>
        </w:rPr>
        <w:t>通过书面方式或电子方式签署。</w:t>
      </w:r>
      <w:r>
        <w:rPr>
          <w:rFonts w:hint="eastAsia" w:ascii="仿宋_GB2312" w:eastAsia="仿宋_GB2312"/>
          <w:sz w:val="30"/>
          <w:szCs w:val="30"/>
        </w:rPr>
        <w:t>主协议为开放式协议，由市场参与人签署后在各签署人之间生效。</w:t>
      </w:r>
    </w:p>
    <w:p w14:paraId="064097AF">
      <w:pPr>
        <w:spacing w:line="600" w:lineRule="exact"/>
        <w:ind w:firstLine="600" w:firstLineChars="200"/>
        <w:outlineLvl w:val="9"/>
        <w:rPr>
          <w:rFonts w:ascii="仿宋_GB2312" w:hAnsi="宋体" w:eastAsia="仿宋_GB2312" w:cs="宋体"/>
          <w:sz w:val="30"/>
          <w:szCs w:val="30"/>
        </w:rPr>
      </w:pPr>
      <w:r>
        <w:rPr>
          <w:rFonts w:hint="eastAsia" w:ascii="仿宋_GB2312" w:hAnsi="宋体" w:eastAsia="仿宋_GB2312" w:cs="宋体"/>
          <w:sz w:val="30"/>
          <w:szCs w:val="30"/>
        </w:rPr>
        <w:t>借贷双方可以就相关事宜签订补充协议，也可以在借贷申报时填写申报补充约定。补充协议、申报补充约定可以约定质押债券及标的债券的折算标准、费用、风险处置以及借贷违约处置等内容，但不得违反法律法规、</w:t>
      </w:r>
      <w:r>
        <w:rPr>
          <w:rFonts w:ascii="仿宋_GB2312" w:hAnsi="宋体" w:eastAsia="仿宋_GB2312" w:cs="宋体"/>
          <w:sz w:val="30"/>
          <w:szCs w:val="30"/>
        </w:rPr>
        <w:t>《办法》</w:t>
      </w:r>
      <w:r>
        <w:rPr>
          <w:rFonts w:hint="eastAsia" w:ascii="仿宋_GB2312" w:hAnsi="宋体" w:eastAsia="仿宋_GB2312" w:cs="宋体"/>
          <w:sz w:val="30"/>
          <w:szCs w:val="30"/>
        </w:rPr>
        <w:t>、</w:t>
      </w:r>
      <w:r>
        <w:rPr>
          <w:rFonts w:ascii="仿宋_GB2312" w:hAnsi="宋体" w:eastAsia="仿宋_GB2312" w:cs="宋体"/>
          <w:sz w:val="30"/>
          <w:szCs w:val="30"/>
        </w:rPr>
        <w:t>本指南</w:t>
      </w:r>
      <w:r>
        <w:rPr>
          <w:rFonts w:hint="eastAsia" w:ascii="仿宋_GB2312" w:hAnsi="宋体" w:eastAsia="仿宋_GB2312" w:cs="宋体"/>
          <w:sz w:val="30"/>
          <w:szCs w:val="30"/>
        </w:rPr>
        <w:t>以及本所和登记结算</w:t>
      </w:r>
      <w:r>
        <w:rPr>
          <w:rFonts w:ascii="仿宋_GB2312" w:hAnsi="宋体" w:eastAsia="仿宋_GB2312" w:cs="宋体"/>
          <w:sz w:val="30"/>
          <w:szCs w:val="30"/>
        </w:rPr>
        <w:t>机构</w:t>
      </w:r>
      <w:r>
        <w:rPr>
          <w:rFonts w:hint="eastAsia" w:ascii="仿宋_GB2312" w:hAnsi="宋体" w:eastAsia="仿宋_GB2312" w:cs="宋体"/>
          <w:sz w:val="30"/>
          <w:szCs w:val="30"/>
        </w:rPr>
        <w:t>的其他相关规定，且不得与主协议以及成交记录相冲突。补充协议、申报补充约定的内容由借贷双方自行履行。</w:t>
      </w:r>
      <w:r>
        <w:rPr>
          <w:rFonts w:hint="eastAsia" w:ascii="仿宋_GB2312" w:hAnsi="仿宋" w:eastAsia="仿宋_GB2312" w:cs="仿宋"/>
          <w:sz w:val="30"/>
          <w:szCs w:val="30"/>
        </w:rPr>
        <w:t>试点期间已签署的债券借贷双边协议可作为补充协议。</w:t>
      </w:r>
    </w:p>
    <w:p w14:paraId="00D36895">
      <w:pPr>
        <w:spacing w:line="600" w:lineRule="exact"/>
        <w:ind w:firstLine="600" w:firstLineChars="200"/>
        <w:outlineLvl w:val="9"/>
        <w:rPr>
          <w:rFonts w:ascii="仿宋_GB2312" w:eastAsia="仿宋_GB2312"/>
          <w:sz w:val="30"/>
          <w:szCs w:val="30"/>
        </w:rPr>
      </w:pPr>
      <w:r>
        <w:rPr>
          <w:rFonts w:hint="eastAsia" w:ascii="仿宋_GB2312" w:hAnsi="宋体" w:eastAsia="仿宋_GB2312" w:cs="宋体"/>
          <w:sz w:val="30"/>
          <w:szCs w:val="30"/>
        </w:rPr>
        <w:t>借贷双方应当在主协议、补充协议或申报补充约定中约定标的债券和质押债券发生违约、披露重大违约风险、停牌、摘牌等情形的处置方式，明确债券到期或者未到期以现金归还的换算标准，以及补充、变更质押债券的触发情形及时限等。</w:t>
      </w:r>
    </w:p>
    <w:p w14:paraId="796B6E98">
      <w:pPr>
        <w:spacing w:line="600" w:lineRule="exact"/>
        <w:ind w:firstLine="602" w:firstLineChars="200"/>
        <w:outlineLvl w:val="3"/>
        <w:rPr>
          <w:rFonts w:ascii="仿宋_GB2312" w:hAnsi="Calibri" w:eastAsia="仿宋_GB2312"/>
          <w:b/>
          <w:sz w:val="30"/>
          <w:szCs w:val="30"/>
        </w:rPr>
      </w:pPr>
      <w:r>
        <w:rPr>
          <w:rFonts w:hint="eastAsia" w:ascii="仿宋_GB2312" w:hAnsi="Calibri" w:eastAsia="仿宋_GB2312"/>
          <w:b/>
          <w:sz w:val="30"/>
          <w:szCs w:val="30"/>
        </w:rPr>
        <w:t>（3）业务开通</w:t>
      </w:r>
    </w:p>
    <w:p w14:paraId="51FA7224">
      <w:pPr>
        <w:spacing w:line="600" w:lineRule="exact"/>
        <w:ind w:firstLine="600" w:firstLineChars="200"/>
        <w:outlineLvl w:val="9"/>
        <w:rPr>
          <w:rFonts w:ascii="仿宋_GB2312" w:eastAsia="仿宋_GB2312"/>
          <w:sz w:val="30"/>
          <w:szCs w:val="30"/>
        </w:rPr>
      </w:pPr>
      <w:r>
        <w:rPr>
          <w:rFonts w:hint="eastAsia" w:ascii="仿宋_GB2312" w:eastAsia="仿宋_GB2312"/>
          <w:sz w:val="30"/>
          <w:szCs w:val="30"/>
        </w:rPr>
        <w:t>本所债券交易参与人及其面向投资者发行的产品，向本所提供债券借贷用户登记表并签署债券借贷《主协议》后，可以直接参与债券借贷。证券公司经纪客户，由证券公司确认其符合投资者适当性管理要求并留存经纪客户签署的《主协议》后，可以通过证券公司参与债券借贷。</w:t>
      </w:r>
    </w:p>
    <w:p w14:paraId="7868073C">
      <w:pPr>
        <w:spacing w:line="600" w:lineRule="exact"/>
        <w:ind w:firstLine="600" w:firstLineChars="200"/>
        <w:outlineLvl w:val="9"/>
        <w:rPr>
          <w:rFonts w:ascii="仿宋_GB2312" w:eastAsia="仿宋_GB2312"/>
          <w:sz w:val="30"/>
          <w:szCs w:val="30"/>
        </w:rPr>
      </w:pPr>
      <w:r>
        <w:rPr>
          <w:rFonts w:hint="eastAsia" w:ascii="仿宋_GB2312" w:eastAsia="仿宋_GB2312"/>
          <w:sz w:val="30"/>
          <w:szCs w:val="30"/>
        </w:rPr>
        <w:t>同一个管理人管理的多只非法人产品，仅需由管理人统一向本所提供债券借贷用户登记表，并签署一份《主协议》，无需分别签署主协议。</w:t>
      </w:r>
    </w:p>
    <w:p w14:paraId="0DF0141F">
      <w:pPr>
        <w:spacing w:line="600" w:lineRule="exact"/>
        <w:ind w:firstLine="600" w:firstLineChars="200"/>
        <w:outlineLvl w:val="9"/>
        <w:rPr>
          <w:rFonts w:ascii="仿宋_GB2312" w:eastAsia="仿宋_GB2312"/>
          <w:sz w:val="30"/>
          <w:szCs w:val="30"/>
        </w:rPr>
      </w:pPr>
      <w:r>
        <w:rPr>
          <w:rFonts w:hint="eastAsia" w:ascii="仿宋_GB2312" w:eastAsia="仿宋_GB2312"/>
          <w:sz w:val="30"/>
          <w:szCs w:val="30"/>
        </w:rPr>
        <w:t>本所债券交易参与人及其面向投资者发行的产品参与债券借贷业务，需向本所提交以下材料：</w:t>
      </w:r>
      <w:r>
        <w:rPr>
          <w:rFonts w:ascii="仿宋_GB2312" w:eastAsia="仿宋_GB2312"/>
          <w:sz w:val="30"/>
          <w:szCs w:val="30"/>
        </w:rPr>
        <w:t xml:space="preserve"> </w:t>
      </w:r>
    </w:p>
    <w:p w14:paraId="7D1D3E7B">
      <w:pPr>
        <w:spacing w:line="600" w:lineRule="exact"/>
        <w:ind w:firstLine="600" w:firstLineChars="200"/>
        <w:outlineLvl w:val="9"/>
        <w:rPr>
          <w:rFonts w:ascii="仿宋_GB2312" w:hAnsi="Calibri" w:eastAsia="仿宋_GB2312"/>
          <w:sz w:val="30"/>
          <w:szCs w:val="30"/>
        </w:rPr>
      </w:pPr>
      <w:r>
        <w:rPr>
          <w:rFonts w:ascii="仿宋_GB2312" w:hAnsi="Calibri" w:eastAsia="仿宋_GB2312"/>
          <w:sz w:val="30"/>
          <w:szCs w:val="30"/>
        </w:rPr>
        <w:t>1</w:t>
      </w:r>
      <w:r>
        <w:rPr>
          <w:rFonts w:hint="eastAsia" w:ascii="仿宋_GB2312" w:hAnsi="Calibri" w:eastAsia="仿宋_GB2312"/>
          <w:sz w:val="30"/>
          <w:szCs w:val="30"/>
        </w:rPr>
        <w:t>）债券借贷用户登记表（附件</w:t>
      </w:r>
      <w:r>
        <w:rPr>
          <w:rFonts w:ascii="仿宋_GB2312" w:hAnsi="Calibri" w:eastAsia="仿宋_GB2312"/>
          <w:sz w:val="30"/>
          <w:szCs w:val="30"/>
        </w:rPr>
        <w:t>20</w:t>
      </w:r>
      <w:r>
        <w:rPr>
          <w:rFonts w:hint="eastAsia" w:ascii="仿宋_GB2312" w:hAnsi="Calibri" w:eastAsia="仿宋_GB2312"/>
          <w:sz w:val="30"/>
          <w:szCs w:val="30"/>
        </w:rPr>
        <w:t>）；</w:t>
      </w:r>
      <w:r>
        <w:rPr>
          <w:rFonts w:ascii="仿宋_GB2312" w:hAnsi="Calibri" w:eastAsia="仿宋_GB2312"/>
          <w:sz w:val="30"/>
          <w:szCs w:val="30"/>
        </w:rPr>
        <w:t xml:space="preserve"> </w:t>
      </w:r>
    </w:p>
    <w:p w14:paraId="0C8D0F12">
      <w:pPr>
        <w:spacing w:line="600" w:lineRule="exact"/>
        <w:ind w:firstLine="600" w:firstLineChars="200"/>
        <w:outlineLvl w:val="9"/>
        <w:rPr>
          <w:rFonts w:ascii="仿宋_GB2312"/>
          <w:sz w:val="30"/>
        </w:rPr>
      </w:pPr>
      <w:r>
        <w:rPr>
          <w:rFonts w:ascii="仿宋_GB2312" w:hAnsi="Calibri" w:eastAsia="仿宋_GB2312"/>
          <w:sz w:val="30"/>
          <w:szCs w:val="30"/>
        </w:rPr>
        <w:t>2</w:t>
      </w:r>
      <w:r>
        <w:rPr>
          <w:rFonts w:hint="eastAsia" w:ascii="仿宋_GB2312" w:hAnsi="Calibri" w:eastAsia="仿宋_GB2312"/>
          <w:sz w:val="30"/>
          <w:szCs w:val="30"/>
        </w:rPr>
        <w:t>）《</w:t>
      </w:r>
      <w:r>
        <w:rPr>
          <w:rFonts w:hint="eastAsia" w:ascii="仿宋_GB2312" w:eastAsia="仿宋_GB2312"/>
          <w:sz w:val="30"/>
          <w:szCs w:val="30"/>
        </w:rPr>
        <w:t>主协议》（附件2</w:t>
      </w:r>
      <w:r>
        <w:rPr>
          <w:rFonts w:ascii="仿宋_GB2312" w:eastAsia="仿宋_GB2312"/>
          <w:sz w:val="30"/>
          <w:szCs w:val="30"/>
        </w:rPr>
        <w:t>1</w:t>
      </w:r>
      <w:r>
        <w:rPr>
          <w:rFonts w:hint="eastAsia" w:ascii="仿宋_GB2312" w:eastAsia="仿宋_GB2312"/>
          <w:sz w:val="30"/>
          <w:szCs w:val="30"/>
        </w:rPr>
        <w:t>）</w:t>
      </w:r>
      <w:r>
        <w:rPr>
          <w:rFonts w:hint="eastAsia" w:ascii="仿宋_GB2312"/>
          <w:sz w:val="30"/>
        </w:rPr>
        <w:t>；</w:t>
      </w:r>
      <w:r>
        <w:rPr>
          <w:rFonts w:ascii="仿宋_GB2312"/>
          <w:sz w:val="30"/>
        </w:rPr>
        <w:t xml:space="preserve"> </w:t>
      </w:r>
    </w:p>
    <w:p w14:paraId="1294C42C">
      <w:pPr>
        <w:spacing w:line="600" w:lineRule="exact"/>
        <w:ind w:firstLine="600" w:firstLineChars="200"/>
        <w:outlineLvl w:val="9"/>
        <w:rPr>
          <w:rFonts w:ascii="仿宋_GB2312"/>
          <w:sz w:val="30"/>
        </w:rPr>
      </w:pPr>
      <w:r>
        <w:rPr>
          <w:rFonts w:ascii="仿宋_GB2312"/>
          <w:sz w:val="30"/>
        </w:rPr>
        <w:t>3</w:t>
      </w:r>
      <w:r>
        <w:rPr>
          <w:rFonts w:hint="eastAsia" w:ascii="仿宋_GB2312" w:hAnsi="Calibri" w:eastAsia="仿宋_GB2312"/>
          <w:sz w:val="30"/>
          <w:szCs w:val="30"/>
        </w:rPr>
        <w:t>）本所要求的其他材料</w:t>
      </w:r>
      <w:r>
        <w:rPr>
          <w:rFonts w:hint="eastAsia" w:ascii="仿宋_GB2312"/>
          <w:sz w:val="30"/>
        </w:rPr>
        <w:t>。</w:t>
      </w:r>
      <w:r>
        <w:rPr>
          <w:rFonts w:ascii="仿宋_GB2312"/>
          <w:sz w:val="30"/>
        </w:rPr>
        <w:t xml:space="preserve"> </w:t>
      </w:r>
    </w:p>
    <w:p w14:paraId="7A72AEEA">
      <w:pPr>
        <w:spacing w:line="600" w:lineRule="exact"/>
        <w:ind w:firstLine="600" w:firstLineChars="200"/>
        <w:outlineLvl w:val="9"/>
        <w:rPr>
          <w:rFonts w:hint="eastAsia" w:ascii="仿宋_GB2312" w:eastAsia="仿宋_GB2312"/>
          <w:sz w:val="30"/>
          <w:szCs w:val="30"/>
        </w:rPr>
      </w:pPr>
      <w:r>
        <w:rPr>
          <w:rFonts w:hint="eastAsia" w:ascii="仿宋_GB2312" w:eastAsia="仿宋_GB2312"/>
          <w:sz w:val="30"/>
          <w:szCs w:val="30"/>
        </w:rPr>
        <w:t>债券借贷用户登记表及《主协议》应加盖申请机构公章，并将电子扫描版通过电子邮件方式报送本所，</w:t>
      </w:r>
      <w:r>
        <w:rPr>
          <w:rFonts w:hint="eastAsia" w:ascii="仿宋_GB2312" w:eastAsia="仿宋_GB2312"/>
          <w:sz w:val="30"/>
          <w:szCs w:val="30"/>
        </w:rPr>
        <w:fldChar w:fldCharType="begin"/>
      </w:r>
      <w:r>
        <w:rPr>
          <w:rFonts w:hint="eastAsia" w:ascii="仿宋_GB2312" w:eastAsia="仿宋_GB2312"/>
          <w:sz w:val="30"/>
          <w:szCs w:val="30"/>
        </w:rPr>
        <w:instrText xml:space="preserve"> HYPERLINK "mailto:电子邮件地址bondtrading@sse.com.cn" </w:instrText>
      </w:r>
      <w:r>
        <w:rPr>
          <w:rFonts w:hint="eastAsia" w:ascii="仿宋_GB2312" w:eastAsia="仿宋_GB2312"/>
          <w:sz w:val="30"/>
          <w:szCs w:val="30"/>
        </w:rPr>
        <w:fldChar w:fldCharType="separate"/>
      </w:r>
      <w:r>
        <w:rPr>
          <w:rFonts w:hint="eastAsia" w:ascii="仿宋_GB2312" w:eastAsia="仿宋_GB2312"/>
          <w:sz w:val="30"/>
          <w:szCs w:val="30"/>
        </w:rPr>
        <w:t>电子邮件地址bondtrading@sse.com.cn</w:t>
      </w:r>
      <w:r>
        <w:rPr>
          <w:rFonts w:hint="eastAsia" w:ascii="仿宋_GB2312" w:eastAsia="仿宋_GB2312"/>
          <w:sz w:val="30"/>
          <w:szCs w:val="30"/>
        </w:rPr>
        <w:fldChar w:fldCharType="end"/>
      </w:r>
      <w:r>
        <w:rPr>
          <w:rFonts w:hint="eastAsia" w:ascii="仿宋_GB2312" w:eastAsia="仿宋_GB2312"/>
          <w:sz w:val="30"/>
          <w:szCs w:val="30"/>
        </w:rPr>
        <w:t>，其他电子报送方式本所后续另行通知。用印纸质版材料应寄送至本所，寄送地址：上海市浦东新区杨高南路388号16楼债券业务部，联系电话：021-68602093 。试点期间已参与债券借贷业务的债券交易参与人，无需另行提交债券借贷用户登记表。</w:t>
      </w:r>
    </w:p>
    <w:p w14:paraId="7D4E9139">
      <w:pPr>
        <w:spacing w:line="600" w:lineRule="exact"/>
        <w:ind w:firstLine="602" w:firstLineChars="200"/>
        <w:outlineLvl w:val="3"/>
        <w:rPr>
          <w:rFonts w:ascii="仿宋_GB2312" w:hAnsi="Calibri" w:eastAsia="仿宋_GB2312"/>
          <w:b/>
          <w:sz w:val="30"/>
          <w:szCs w:val="30"/>
        </w:rPr>
      </w:pPr>
      <w:r>
        <w:rPr>
          <w:rFonts w:hint="eastAsia" w:ascii="仿宋_GB2312" w:hAnsi="Calibri" w:eastAsia="仿宋_GB2312"/>
          <w:b/>
          <w:sz w:val="30"/>
          <w:szCs w:val="30"/>
        </w:rPr>
        <w:t>（</w:t>
      </w:r>
      <w:r>
        <w:rPr>
          <w:rFonts w:ascii="仿宋_GB2312" w:hAnsi="Calibri" w:eastAsia="仿宋_GB2312"/>
          <w:b/>
          <w:sz w:val="30"/>
          <w:szCs w:val="30"/>
        </w:rPr>
        <w:t>4）</w:t>
      </w:r>
      <w:bookmarkStart w:id="2236" w:name="_Toc6275"/>
      <w:bookmarkStart w:id="2237" w:name="_Toc14394"/>
      <w:bookmarkStart w:id="2238" w:name="_Toc515342695"/>
      <w:bookmarkStart w:id="2239" w:name="_Toc838952310"/>
      <w:r>
        <w:rPr>
          <w:rFonts w:hint="eastAsia" w:ascii="仿宋_GB2312" w:hAnsi="Calibri" w:eastAsia="仿宋_GB2312"/>
          <w:b/>
          <w:sz w:val="30"/>
          <w:szCs w:val="30"/>
        </w:rPr>
        <w:t>办理CA</w:t>
      </w:r>
      <w:r>
        <w:rPr>
          <w:rFonts w:ascii="仿宋_GB2312" w:hAnsi="Calibri" w:eastAsia="仿宋_GB2312"/>
          <w:b/>
          <w:sz w:val="30"/>
          <w:szCs w:val="30"/>
        </w:rPr>
        <w:t xml:space="preserve"> </w:t>
      </w:r>
      <w:r>
        <w:rPr>
          <w:rFonts w:hint="eastAsia" w:ascii="仿宋_GB2312" w:hAnsi="Calibri" w:eastAsia="仿宋_GB2312"/>
          <w:b/>
          <w:sz w:val="30"/>
          <w:szCs w:val="30"/>
        </w:rPr>
        <w:t>证书</w:t>
      </w:r>
      <w:bookmarkEnd w:id="2236"/>
      <w:bookmarkEnd w:id="2237"/>
      <w:bookmarkEnd w:id="2238"/>
      <w:bookmarkEnd w:id="2239"/>
    </w:p>
    <w:p w14:paraId="5020F556">
      <w:pPr>
        <w:spacing w:line="600" w:lineRule="exact"/>
        <w:ind w:firstLine="600" w:firstLineChars="200"/>
        <w:outlineLvl w:val="9"/>
        <w:rPr>
          <w:rFonts w:hint="eastAsia" w:ascii="仿宋_GB2312" w:eastAsia="仿宋_GB2312"/>
          <w:sz w:val="30"/>
          <w:szCs w:val="30"/>
        </w:rPr>
      </w:pPr>
      <w:r>
        <w:rPr>
          <w:rFonts w:hint="eastAsia" w:ascii="仿宋_GB2312" w:eastAsia="仿宋_GB2312"/>
          <w:sz w:val="30"/>
          <w:szCs w:val="30"/>
        </w:rPr>
        <w:t>交易员若需要通过互联网访问本平台，应提前办理好互联网交易平台数字证书并确保能正常登陆。会员交易员证书申请办理流程如下：</w:t>
      </w:r>
    </w:p>
    <w:p w14:paraId="35CB6F11">
      <w:pPr>
        <w:spacing w:line="600" w:lineRule="exact"/>
        <w:ind w:firstLine="600" w:firstLineChars="200"/>
        <w:outlineLvl w:val="9"/>
        <w:rPr>
          <w:rFonts w:hint="eastAsia" w:ascii="仿宋_GB2312" w:eastAsia="仿宋_GB2312"/>
          <w:sz w:val="30"/>
          <w:szCs w:val="30"/>
        </w:rPr>
      </w:pPr>
      <w:r>
        <w:rPr>
          <w:rFonts w:hint="eastAsia" w:ascii="仿宋_GB2312" w:eastAsia="仿宋_GB2312"/>
          <w:sz w:val="30"/>
          <w:szCs w:val="30"/>
        </w:rPr>
        <w:t>登录CnSCA中心（</w:t>
      </w:r>
      <w:r>
        <w:rPr>
          <w:rFonts w:hint="eastAsia" w:ascii="仿宋_GB2312" w:eastAsia="仿宋_GB2312"/>
          <w:sz w:val="30"/>
          <w:szCs w:val="30"/>
        </w:rPr>
        <w:fldChar w:fldCharType="begin"/>
      </w:r>
      <w:r>
        <w:rPr>
          <w:rFonts w:hint="eastAsia" w:ascii="仿宋_GB2312" w:eastAsia="仿宋_GB2312"/>
          <w:sz w:val="30"/>
          <w:szCs w:val="30"/>
        </w:rPr>
        <w:instrText xml:space="preserve"> HYPERLINK "http://www.sse.com.cn/home/biz/cnsca/" </w:instrText>
      </w:r>
      <w:r>
        <w:rPr>
          <w:rFonts w:hint="eastAsia" w:ascii="仿宋_GB2312" w:eastAsia="仿宋_GB2312"/>
          <w:sz w:val="30"/>
          <w:szCs w:val="30"/>
        </w:rPr>
        <w:fldChar w:fldCharType="separate"/>
      </w:r>
      <w:r>
        <w:rPr>
          <w:rFonts w:hint="eastAsia" w:ascii="仿宋_GB2312" w:eastAsia="仿宋_GB2312"/>
          <w:sz w:val="30"/>
          <w:szCs w:val="30"/>
        </w:rPr>
        <w:t>http://www.sse.com.cn/home/biz/cnsca/</w:t>
      </w:r>
      <w:r>
        <w:rPr>
          <w:rFonts w:hint="eastAsia" w:ascii="仿宋_GB2312" w:eastAsia="仿宋_GB2312"/>
          <w:sz w:val="30"/>
          <w:szCs w:val="30"/>
        </w:rPr>
        <w:fldChar w:fldCharType="end"/>
      </w:r>
      <w:r>
        <w:rPr>
          <w:rFonts w:hint="eastAsia" w:ascii="仿宋_GB2312" w:eastAsia="仿宋_GB2312"/>
          <w:sz w:val="30"/>
          <w:szCs w:val="30"/>
        </w:rPr>
        <w:t>），选择交易业务互联网申报通道证书并申请。</w:t>
      </w:r>
    </w:p>
    <w:p w14:paraId="4AC35EF8">
      <w:pPr>
        <w:spacing w:line="600" w:lineRule="exact"/>
        <w:ind w:firstLine="600" w:firstLineChars="200"/>
        <w:outlineLvl w:val="9"/>
        <w:rPr>
          <w:rFonts w:hint="eastAsia" w:ascii="仿宋_GB2312" w:eastAsia="仿宋_GB2312"/>
          <w:sz w:val="30"/>
          <w:szCs w:val="30"/>
        </w:rPr>
      </w:pPr>
      <w:r>
        <w:rPr>
          <w:rFonts w:hint="eastAsia" w:ascii="仿宋_GB2312" w:eastAsia="仿宋_GB2312"/>
          <w:sz w:val="30"/>
          <w:szCs w:val="30"/>
        </w:rPr>
        <w:t>另外，访问前请务必先安装好对应的驱动及证书管理工具，目前下载入口为：</w:t>
      </w:r>
    </w:p>
    <w:p w14:paraId="60170386">
      <w:pPr>
        <w:spacing w:line="600" w:lineRule="exact"/>
        <w:ind w:firstLine="600" w:firstLineChars="200"/>
        <w:outlineLvl w:val="9"/>
        <w:rPr>
          <w:rFonts w:hint="eastAsia" w:ascii="仿宋_GB2312" w:eastAsia="仿宋_GB2312"/>
          <w:sz w:val="30"/>
          <w:szCs w:val="30"/>
        </w:rPr>
      </w:pPr>
      <w:r>
        <w:rPr>
          <w:rFonts w:hint="eastAsia" w:ascii="仿宋_GB2312" w:eastAsia="仿宋_GB2312"/>
          <w:sz w:val="30"/>
          <w:szCs w:val="30"/>
        </w:rPr>
        <w:t>上交所网站 -&gt;业务办理专区-&gt;CA服务专区-&gt;驱动程序及工具，按 EKey 型号下载。</w:t>
      </w:r>
    </w:p>
    <w:p w14:paraId="6EDA01F8">
      <w:pPr>
        <w:spacing w:line="600" w:lineRule="exact"/>
        <w:ind w:firstLine="600" w:firstLineChars="200"/>
        <w:outlineLvl w:val="9"/>
        <w:rPr>
          <w:rFonts w:hint="eastAsia" w:ascii="仿宋_GB2312" w:eastAsia="仿宋_GB2312"/>
          <w:sz w:val="30"/>
          <w:szCs w:val="30"/>
        </w:rPr>
      </w:pPr>
      <w:r>
        <w:rPr>
          <w:rFonts w:hint="eastAsia" w:ascii="仿宋_GB2312" w:eastAsia="仿宋_GB2312"/>
          <w:sz w:val="30"/>
          <w:szCs w:val="30"/>
        </w:rPr>
        <w:t>访问时先在弹出的窗口确认证书，然后在弹出的框中输入证书密码（证书密码初始值在密码信封里）。</w:t>
      </w:r>
    </w:p>
    <w:p w14:paraId="48C0E66E">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业务申报</w:t>
      </w:r>
    </w:p>
    <w:p w14:paraId="20A754BC">
      <w:pPr>
        <w:spacing w:line="560" w:lineRule="exact"/>
        <w:ind w:firstLine="600" w:firstLineChars="200"/>
        <w:rPr>
          <w:rFonts w:ascii="仿宋_GB2312" w:eastAsia="仿宋_GB2312"/>
          <w:sz w:val="30"/>
          <w:szCs w:val="30"/>
        </w:rPr>
      </w:pPr>
      <w:r>
        <w:rPr>
          <w:rFonts w:hint="eastAsia" w:ascii="仿宋_GB2312" w:eastAsia="仿宋_GB2312"/>
          <w:sz w:val="30"/>
          <w:szCs w:val="30"/>
        </w:rPr>
        <w:t>债券借贷期限由借贷双方协商确定，最长不得超过365天，且不得超过标的债券的剩余存续期限，但可以超过质押债券剩余期限。质押债券先于</w:t>
      </w:r>
      <w:r>
        <w:rPr>
          <w:rFonts w:ascii="仿宋_GB2312" w:eastAsia="仿宋_GB2312"/>
          <w:sz w:val="30"/>
          <w:szCs w:val="30"/>
        </w:rPr>
        <w:t>债券借贷到期导致质押率不符合债券借贷双方约定的，</w:t>
      </w:r>
      <w:r>
        <w:rPr>
          <w:rFonts w:hint="eastAsia" w:ascii="仿宋_GB2312" w:eastAsia="仿宋_GB2312"/>
          <w:sz w:val="30"/>
          <w:szCs w:val="30"/>
        </w:rPr>
        <w:t>借贷双方</w:t>
      </w:r>
      <w:r>
        <w:rPr>
          <w:rFonts w:ascii="仿宋_GB2312" w:eastAsia="仿宋_GB2312"/>
          <w:sz w:val="30"/>
          <w:szCs w:val="30"/>
        </w:rPr>
        <w:t>应当及时</w:t>
      </w:r>
      <w:r>
        <w:rPr>
          <w:rFonts w:hint="eastAsia" w:ascii="仿宋_GB2312" w:eastAsia="仿宋_GB2312"/>
          <w:sz w:val="30"/>
          <w:szCs w:val="30"/>
        </w:rPr>
        <w:t>协商</w:t>
      </w:r>
      <w:r>
        <w:rPr>
          <w:rFonts w:ascii="仿宋_GB2312" w:eastAsia="仿宋_GB2312"/>
          <w:sz w:val="30"/>
          <w:szCs w:val="30"/>
        </w:rPr>
        <w:t>补足。</w:t>
      </w:r>
    </w:p>
    <w:p w14:paraId="7ABDA36F">
      <w:pPr>
        <w:spacing w:line="560" w:lineRule="exact"/>
        <w:ind w:firstLine="600" w:firstLineChars="200"/>
        <w:rPr>
          <w:rFonts w:ascii="仿宋_GB2312" w:eastAsia="仿宋_GB2312"/>
          <w:sz w:val="30"/>
          <w:szCs w:val="30"/>
        </w:rPr>
      </w:pPr>
      <w:r>
        <w:rPr>
          <w:rFonts w:hint="eastAsia" w:ascii="仿宋_GB2312" w:eastAsia="仿宋_GB2312"/>
          <w:sz w:val="30"/>
          <w:szCs w:val="30"/>
        </w:rPr>
        <w:t>本所接受债券借贷申报的时间为每个交易日的</w:t>
      </w:r>
      <w:r>
        <w:rPr>
          <w:rFonts w:ascii="仿宋_GB2312" w:eastAsia="仿宋_GB2312"/>
          <w:sz w:val="30"/>
          <w:szCs w:val="30"/>
        </w:rPr>
        <w:t>9</w:t>
      </w:r>
      <w:r>
        <w:rPr>
          <w:rFonts w:hint="eastAsia" w:ascii="仿宋_GB2312" w:eastAsia="仿宋_GB2312"/>
          <w:sz w:val="30"/>
          <w:szCs w:val="30"/>
        </w:rPr>
        <w:t>：</w:t>
      </w:r>
      <w:r>
        <w:rPr>
          <w:rFonts w:ascii="仿宋_GB2312" w:eastAsia="仿宋_GB2312"/>
          <w:sz w:val="30"/>
          <w:szCs w:val="30"/>
        </w:rPr>
        <w:t>00</w:t>
      </w:r>
      <w:r>
        <w:rPr>
          <w:rFonts w:hint="eastAsia" w:ascii="仿宋_GB2312" w:eastAsia="仿宋_GB2312"/>
          <w:sz w:val="30"/>
          <w:szCs w:val="30"/>
        </w:rPr>
        <w:t>至</w:t>
      </w:r>
      <w:r>
        <w:rPr>
          <w:rFonts w:ascii="仿宋_GB2312" w:eastAsia="仿宋_GB2312"/>
          <w:sz w:val="30"/>
          <w:szCs w:val="30"/>
        </w:rPr>
        <w:t>11:30</w:t>
      </w:r>
      <w:r>
        <w:rPr>
          <w:rFonts w:hint="eastAsia" w:ascii="仿宋_GB2312" w:eastAsia="仿宋_GB2312"/>
          <w:sz w:val="30"/>
          <w:szCs w:val="30"/>
        </w:rPr>
        <w:t>，</w:t>
      </w:r>
      <w:r>
        <w:rPr>
          <w:rFonts w:ascii="仿宋_GB2312" w:eastAsia="仿宋_GB2312"/>
          <w:sz w:val="30"/>
          <w:szCs w:val="30"/>
        </w:rPr>
        <w:t>13:00</w:t>
      </w:r>
      <w:r>
        <w:rPr>
          <w:rFonts w:hint="eastAsia" w:ascii="仿宋_GB2312" w:eastAsia="仿宋_GB2312"/>
          <w:sz w:val="30"/>
          <w:szCs w:val="30"/>
        </w:rPr>
        <w:t>至</w:t>
      </w:r>
      <w:r>
        <w:rPr>
          <w:rFonts w:ascii="仿宋_GB2312" w:eastAsia="仿宋_GB2312"/>
          <w:sz w:val="30"/>
          <w:szCs w:val="30"/>
        </w:rPr>
        <w:t>15:30</w:t>
      </w:r>
      <w:r>
        <w:rPr>
          <w:rFonts w:hint="eastAsia" w:ascii="仿宋_GB2312" w:eastAsia="仿宋_GB2312"/>
          <w:sz w:val="30"/>
          <w:szCs w:val="30"/>
        </w:rPr>
        <w:t>。本所可以根据市场需要调整债券借贷的申报时间。试点期间申报的债券借贷业务，按照试点安排自然到期了结，也可按照试点业务安排进行质押券置换。</w:t>
      </w:r>
    </w:p>
    <w:p w14:paraId="4F75614E">
      <w:pPr>
        <w:spacing w:line="600" w:lineRule="exact"/>
        <w:ind w:firstLine="602" w:firstLineChars="200"/>
        <w:outlineLvl w:val="3"/>
        <w:rPr>
          <w:rFonts w:ascii="仿宋_GB2312" w:eastAsia="仿宋_GB2312"/>
          <w:b/>
          <w:sz w:val="30"/>
          <w:szCs w:val="30"/>
        </w:rPr>
      </w:pPr>
      <w:r>
        <w:rPr>
          <w:rFonts w:hint="eastAsia" w:ascii="仿宋_GB2312" w:eastAsia="仿宋_GB2312"/>
          <w:b/>
          <w:sz w:val="30"/>
          <w:szCs w:val="30"/>
        </w:rPr>
        <w:t>（</w:t>
      </w:r>
      <w:r>
        <w:rPr>
          <w:rFonts w:ascii="仿宋_GB2312"/>
          <w:b/>
          <w:sz w:val="30"/>
        </w:rPr>
        <w:t>1</w:t>
      </w:r>
      <w:r>
        <w:rPr>
          <w:rFonts w:hint="eastAsia" w:ascii="仿宋_GB2312"/>
          <w:b/>
          <w:sz w:val="30"/>
        </w:rPr>
        <w:t>）</w:t>
      </w:r>
      <w:r>
        <w:rPr>
          <w:rFonts w:hint="eastAsia" w:ascii="仿宋_GB2312" w:eastAsia="仿宋_GB2312"/>
          <w:b/>
          <w:sz w:val="30"/>
          <w:szCs w:val="30"/>
        </w:rPr>
        <w:t>交易系统</w:t>
      </w:r>
    </w:p>
    <w:p w14:paraId="2F955114">
      <w:pPr>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债券借贷的交易申报在本所互联网交易平台进行。本所债券交易参与人可直接通过互联网交易平台进行债券借贷业务申报；本所债券</w:t>
      </w:r>
      <w:r>
        <w:rPr>
          <w:rFonts w:ascii="仿宋_GB2312" w:hAnsi="Calibri" w:eastAsia="仿宋_GB2312"/>
          <w:kern w:val="0"/>
          <w:sz w:val="30"/>
          <w:szCs w:val="30"/>
        </w:rPr>
        <w:t>交易参与人以外的其他</w:t>
      </w:r>
      <w:r>
        <w:rPr>
          <w:rFonts w:hint="eastAsia" w:ascii="仿宋_GB2312" w:hAnsi="Calibri" w:eastAsia="仿宋_GB2312"/>
          <w:kern w:val="0"/>
          <w:sz w:val="30"/>
          <w:szCs w:val="30"/>
        </w:rPr>
        <w:t>专业</w:t>
      </w:r>
      <w:r>
        <w:rPr>
          <w:rFonts w:ascii="仿宋_GB2312" w:hAnsi="Calibri" w:eastAsia="仿宋_GB2312"/>
          <w:kern w:val="0"/>
          <w:sz w:val="30"/>
          <w:szCs w:val="30"/>
        </w:rPr>
        <w:t>机构投资者可以作为证券公司的</w:t>
      </w:r>
      <w:r>
        <w:rPr>
          <w:rFonts w:hint="eastAsia" w:ascii="仿宋_GB2312" w:hAnsi="Calibri" w:eastAsia="仿宋_GB2312"/>
          <w:kern w:val="0"/>
          <w:sz w:val="30"/>
          <w:szCs w:val="30"/>
        </w:rPr>
        <w:t>经纪客户，委托证券公司在互联网交易平台上代为申报。</w:t>
      </w:r>
    </w:p>
    <w:p w14:paraId="3D5C991B">
      <w:pPr>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试点期间在原系统（业务管理系统平台-债券借贷模块）的债券借贷交易“成交申报”功能于11月24日日终关闭，其余“到期结算申报”“现金结算申报”“换券申报”继续支持申报，直至通过原系统申报的最后一笔债券借贷业务了结。</w:t>
      </w:r>
    </w:p>
    <w:p w14:paraId="7D370C5A">
      <w:pPr>
        <w:spacing w:line="600" w:lineRule="exact"/>
        <w:ind w:firstLine="602" w:firstLineChars="200"/>
        <w:outlineLvl w:val="3"/>
        <w:rPr>
          <w:rFonts w:ascii="仿宋_GB2312" w:eastAsia="仿宋_GB2312"/>
          <w:b/>
          <w:sz w:val="30"/>
          <w:szCs w:val="30"/>
        </w:rPr>
      </w:pPr>
      <w:r>
        <w:rPr>
          <w:rFonts w:hint="eastAsia" w:ascii="仿宋_GB2312" w:eastAsia="仿宋_GB2312"/>
          <w:b/>
          <w:sz w:val="30"/>
          <w:szCs w:val="30"/>
        </w:rPr>
        <w:t>（2）标的债券和质押债券范围</w:t>
      </w:r>
    </w:p>
    <w:p w14:paraId="6F216C63">
      <w:pPr>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债券借贷的标的债券和质押债券应当是在本所上市交易或者挂牌转让的各类固定收益产品，包括债券、资产支持证券以及本所认可的其它产品，相关规则规定不得转让或者质押的除外。向特定对象发行的可转换公司债券暂不纳入债券借贷标的债券及质押债券范围。公开募集基础设施证券投资基金、债券</w:t>
      </w:r>
      <w:r>
        <w:rPr>
          <w:rFonts w:ascii="仿宋_GB2312" w:hAnsi="Calibri" w:eastAsia="仿宋_GB2312"/>
          <w:kern w:val="0"/>
          <w:sz w:val="30"/>
          <w:szCs w:val="30"/>
        </w:rPr>
        <w:t>ETF</w:t>
      </w:r>
      <w:r>
        <w:rPr>
          <w:rFonts w:hint="eastAsia" w:ascii="仿宋_GB2312" w:hAnsi="Calibri" w:eastAsia="仿宋_GB2312"/>
          <w:kern w:val="0"/>
          <w:sz w:val="30"/>
          <w:szCs w:val="30"/>
        </w:rPr>
        <w:t>可以参照适用《办法》与本指南，作为借贷业务标的证券或者质押证券，具体实施时间由本所另行通知。</w:t>
      </w:r>
    </w:p>
    <w:p w14:paraId="6E8FB9EE">
      <w:pPr>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除</w:t>
      </w:r>
      <w:r>
        <w:rPr>
          <w:rFonts w:ascii="仿宋_GB2312" w:hAnsi="Calibri" w:eastAsia="仿宋_GB2312"/>
          <w:kern w:val="0"/>
          <w:sz w:val="30"/>
          <w:szCs w:val="30"/>
        </w:rPr>
        <w:t>前文规定的定向可转债</w:t>
      </w:r>
      <w:r>
        <w:rPr>
          <w:rFonts w:hint="eastAsia" w:ascii="仿宋_GB2312" w:hAnsi="Calibri" w:eastAsia="仿宋_GB2312"/>
          <w:kern w:val="0"/>
          <w:sz w:val="30"/>
          <w:szCs w:val="30"/>
        </w:rPr>
        <w:t>外</w:t>
      </w:r>
      <w:r>
        <w:rPr>
          <w:rFonts w:ascii="仿宋_GB2312" w:hAnsi="Calibri" w:eastAsia="仿宋_GB2312"/>
          <w:kern w:val="0"/>
          <w:sz w:val="30"/>
          <w:szCs w:val="30"/>
        </w:rPr>
        <w:t>，</w:t>
      </w:r>
      <w:r>
        <w:rPr>
          <w:rFonts w:hint="eastAsia" w:ascii="仿宋_GB2312" w:hAnsi="Calibri" w:eastAsia="仿宋_GB2312"/>
          <w:kern w:val="0"/>
          <w:sz w:val="30"/>
          <w:szCs w:val="30"/>
        </w:rPr>
        <w:t>限售类产品（包括限售债券和限售公募基础设施证券投资基金等</w:t>
      </w:r>
      <w:r>
        <w:rPr>
          <w:rFonts w:ascii="仿宋_GB2312" w:hAnsi="Calibri" w:eastAsia="仿宋_GB2312"/>
          <w:kern w:val="0"/>
          <w:sz w:val="30"/>
          <w:szCs w:val="30"/>
        </w:rPr>
        <w:t>）</w:t>
      </w:r>
      <w:r>
        <w:rPr>
          <w:rFonts w:hint="eastAsia" w:ascii="仿宋_GB2312" w:hAnsi="Calibri" w:eastAsia="仿宋_GB2312"/>
          <w:kern w:val="0"/>
          <w:sz w:val="30"/>
          <w:szCs w:val="30"/>
        </w:rPr>
        <w:t>、特定债券或者其他已经发生违约或者披露还本付息存在重大风险的债券以及存在司法冻结等瑕疵的债券，不能作为标的债券和质押债券。</w:t>
      </w:r>
    </w:p>
    <w:p w14:paraId="4FA90E91">
      <w:pPr>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债券借入方应向债券借出方提供约定的质押债券，债券借贷存续期间，质押债券价值应满足双方约定条件。借贷双方应当保证标的债券和质押债券未设定任何形式的担保，不存在任何权属争议或者权利瑕疵。一笔债券借贷支持多只债券质押，</w:t>
      </w:r>
      <w:r>
        <w:rPr>
          <w:rFonts w:hint="eastAsia" w:ascii="仿宋_GB2312" w:hAnsi="Calibri" w:eastAsia="仿宋_GB2312"/>
          <w:kern w:val="0"/>
          <w:sz w:val="30"/>
          <w:szCs w:val="30"/>
          <w:highlight w:val="none"/>
        </w:rPr>
        <w:t>但</w:t>
      </w:r>
      <w:r>
        <w:rPr>
          <w:rFonts w:hint="eastAsia" w:ascii="仿宋_GB2312" w:hAnsi="Calibri" w:eastAsia="仿宋_GB2312"/>
          <w:kern w:val="0"/>
          <w:sz w:val="30"/>
          <w:szCs w:val="30"/>
          <w:highlight w:val="none"/>
          <w:lang w:eastAsia="zh-CN"/>
        </w:rPr>
        <w:t>债券借贷存续期内质押券只数（</w:t>
      </w:r>
      <w:r>
        <w:rPr>
          <w:rFonts w:hint="eastAsia" w:ascii="仿宋_GB2312" w:hAnsi="Calibri" w:eastAsia="仿宋_GB2312"/>
          <w:kern w:val="0"/>
          <w:sz w:val="30"/>
          <w:szCs w:val="30"/>
          <w:highlight w:val="none"/>
        </w:rPr>
        <w:t>协商成交</w:t>
      </w:r>
      <w:r>
        <w:rPr>
          <w:rFonts w:hint="eastAsia" w:ascii="仿宋_GB2312" w:hAnsi="Calibri" w:eastAsia="仿宋_GB2312"/>
          <w:kern w:val="0"/>
          <w:sz w:val="30"/>
          <w:szCs w:val="30"/>
          <w:highlight w:val="none"/>
          <w:lang w:eastAsia="zh-CN"/>
        </w:rPr>
        <w:t>、</w:t>
      </w:r>
      <w:r>
        <w:rPr>
          <w:rFonts w:hint="eastAsia" w:ascii="仿宋_GB2312" w:hAnsi="Calibri" w:eastAsia="仿宋_GB2312"/>
          <w:kern w:val="0"/>
          <w:sz w:val="30"/>
          <w:szCs w:val="30"/>
          <w:highlight w:val="none"/>
        </w:rPr>
        <w:t>到期续做</w:t>
      </w:r>
      <w:r>
        <w:rPr>
          <w:rFonts w:hint="eastAsia" w:ascii="仿宋_GB2312" w:hAnsi="Calibri" w:eastAsia="仿宋_GB2312"/>
          <w:kern w:val="0"/>
          <w:sz w:val="30"/>
          <w:szCs w:val="30"/>
          <w:highlight w:val="none"/>
          <w:lang w:eastAsia="zh-CN"/>
        </w:rPr>
        <w:t>）不得超过</w:t>
      </w:r>
      <w:r>
        <w:rPr>
          <w:rFonts w:hint="eastAsia" w:ascii="仿宋_GB2312" w:hAnsi="Calibri" w:eastAsia="仿宋_GB2312"/>
          <w:kern w:val="0"/>
          <w:sz w:val="30"/>
          <w:szCs w:val="30"/>
          <w:highlight w:val="none"/>
          <w:lang w:val="en-US" w:eastAsia="zh-CN"/>
        </w:rPr>
        <w:t>20只；</w:t>
      </w:r>
      <w:r>
        <w:rPr>
          <w:rFonts w:hint="eastAsia" w:ascii="仿宋_GB2312" w:hAnsi="Calibri" w:eastAsia="仿宋_GB2312"/>
          <w:kern w:val="0"/>
          <w:sz w:val="30"/>
          <w:szCs w:val="30"/>
          <w:highlight w:val="none"/>
          <w:lang w:eastAsia="zh-CN"/>
        </w:rPr>
        <w:t>一笔</w:t>
      </w:r>
      <w:r>
        <w:rPr>
          <w:rFonts w:hint="eastAsia" w:ascii="仿宋_GB2312" w:hAnsi="Calibri" w:eastAsia="仿宋_GB2312"/>
          <w:sz w:val="30"/>
          <w:szCs w:val="30"/>
          <w:highlight w:val="none"/>
        </w:rPr>
        <w:t>质押券变更</w:t>
      </w:r>
      <w:r>
        <w:rPr>
          <w:rFonts w:hint="eastAsia" w:ascii="仿宋_GB2312" w:hAnsi="Calibri" w:eastAsia="仿宋_GB2312"/>
          <w:sz w:val="30"/>
          <w:szCs w:val="30"/>
          <w:highlight w:val="none"/>
          <w:lang w:eastAsia="zh-CN"/>
        </w:rPr>
        <w:t>申报不得超过</w:t>
      </w:r>
      <w:r>
        <w:rPr>
          <w:rFonts w:hint="eastAsia" w:ascii="仿宋_GB2312" w:hAnsi="Calibri" w:eastAsia="仿宋_GB2312"/>
          <w:sz w:val="30"/>
          <w:szCs w:val="30"/>
          <w:highlight w:val="none"/>
          <w:lang w:val="en-US" w:eastAsia="zh-CN"/>
        </w:rPr>
        <w:t>10只（含）质押券的变更</w:t>
      </w:r>
      <w:r>
        <w:rPr>
          <w:rFonts w:hint="eastAsia" w:ascii="仿宋_GB2312" w:hAnsi="Calibri" w:eastAsia="仿宋_GB2312"/>
          <w:kern w:val="0"/>
          <w:sz w:val="30"/>
          <w:szCs w:val="30"/>
        </w:rPr>
        <w:t>。</w:t>
      </w:r>
    </w:p>
    <w:p w14:paraId="11E60C91">
      <w:pPr>
        <w:spacing w:line="600" w:lineRule="exact"/>
        <w:ind w:firstLine="602" w:firstLineChars="200"/>
        <w:outlineLvl w:val="3"/>
        <w:rPr>
          <w:rFonts w:ascii="仿宋_GB2312" w:eastAsia="仿宋_GB2312"/>
          <w:b/>
          <w:sz w:val="30"/>
          <w:szCs w:val="30"/>
        </w:rPr>
      </w:pPr>
      <w:r>
        <w:rPr>
          <w:rFonts w:hint="eastAsia" w:ascii="仿宋_GB2312" w:eastAsia="仿宋_GB2312"/>
          <w:b/>
          <w:sz w:val="30"/>
          <w:szCs w:val="30"/>
        </w:rPr>
        <w:t>（</w:t>
      </w:r>
      <w:r>
        <w:rPr>
          <w:rFonts w:ascii="仿宋_GB2312" w:eastAsia="仿宋_GB2312"/>
          <w:b/>
          <w:sz w:val="30"/>
          <w:szCs w:val="30"/>
        </w:rPr>
        <w:t>3</w:t>
      </w:r>
      <w:r>
        <w:rPr>
          <w:rFonts w:hint="eastAsia" w:ascii="仿宋_GB2312" w:eastAsia="仿宋_GB2312"/>
          <w:b/>
          <w:sz w:val="30"/>
          <w:szCs w:val="30"/>
        </w:rPr>
        <w:t>）债券借贷申报</w:t>
      </w:r>
    </w:p>
    <w:p w14:paraId="6FC684F6">
      <w:pPr>
        <w:autoSpaceDE w:val="0"/>
        <w:autoSpaceDN w:val="0"/>
        <w:adjustRightInd w:val="0"/>
        <w:spacing w:line="600" w:lineRule="exact"/>
        <w:ind w:firstLine="600" w:firstLineChars="200"/>
        <w:rPr>
          <w:rFonts w:ascii="仿宋_GB2312" w:hAnsi="宋体" w:eastAsia="仿宋_GB2312" w:cs="宋体"/>
          <w:sz w:val="30"/>
          <w:szCs w:val="30"/>
        </w:rPr>
      </w:pPr>
      <w:r>
        <w:rPr>
          <w:rFonts w:hint="eastAsia" w:ascii="仿宋_GB2312" w:hAnsi="宋体" w:eastAsia="仿宋_GB2312" w:cs="宋体"/>
          <w:sz w:val="30"/>
          <w:szCs w:val="30"/>
        </w:rPr>
        <w:t>债券借贷申报包括协商成交申报、提前终止申报、质押债券变更申报、到期债券结算申报、到期现金结算申报、到期部分现金结算申报、到期续做申报和</w:t>
      </w:r>
      <w:r>
        <w:rPr>
          <w:rFonts w:ascii="仿宋_GB2312" w:hAnsi="宋体" w:eastAsia="仿宋_GB2312" w:cs="宋体"/>
          <w:sz w:val="30"/>
          <w:szCs w:val="30"/>
        </w:rPr>
        <w:t>逾期结算申报</w:t>
      </w:r>
      <w:r>
        <w:rPr>
          <w:rFonts w:hint="eastAsia" w:ascii="仿宋_GB2312" w:hAnsi="宋体" w:eastAsia="仿宋_GB2312" w:cs="宋体"/>
          <w:sz w:val="30"/>
          <w:szCs w:val="30"/>
        </w:rPr>
        <w:t>等。</w:t>
      </w:r>
    </w:p>
    <w:p w14:paraId="2BABA4C5">
      <w:pPr>
        <w:autoSpaceDE w:val="0"/>
        <w:autoSpaceDN w:val="0"/>
        <w:adjustRightIn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1）交易</w:t>
      </w:r>
      <w:r>
        <w:rPr>
          <w:rFonts w:ascii="仿宋_GB2312" w:hAnsi="Calibri" w:eastAsia="仿宋_GB2312"/>
          <w:kern w:val="0"/>
          <w:sz w:val="30"/>
          <w:szCs w:val="30"/>
        </w:rPr>
        <w:t>方式</w:t>
      </w:r>
    </w:p>
    <w:p w14:paraId="4F099FAE">
      <w:pPr>
        <w:autoSpaceDE w:val="0"/>
        <w:autoSpaceDN w:val="0"/>
        <w:adjustRightInd w:val="0"/>
        <w:spacing w:line="600" w:lineRule="exact"/>
        <w:ind w:firstLine="600" w:firstLineChars="200"/>
        <w:rPr>
          <w:rFonts w:ascii="仿宋_GB2312" w:hAnsi="宋体" w:eastAsia="仿宋_GB2312" w:cs="宋体"/>
          <w:sz w:val="30"/>
          <w:szCs w:val="30"/>
        </w:rPr>
      </w:pPr>
      <w:r>
        <w:rPr>
          <w:rFonts w:hint="eastAsia" w:ascii="仿宋_GB2312" w:hAnsi="Calibri" w:eastAsia="仿宋_GB2312"/>
          <w:kern w:val="0"/>
          <w:sz w:val="30"/>
          <w:szCs w:val="30"/>
        </w:rPr>
        <w:t>首次</w:t>
      </w:r>
      <w:r>
        <w:rPr>
          <w:rFonts w:hint="eastAsia" w:ascii="仿宋_GB2312" w:eastAsia="仿宋_GB2312"/>
          <w:color w:val="000000"/>
          <w:sz w:val="30"/>
          <w:szCs w:val="30"/>
          <w:shd w:val="clear" w:color="auto" w:fill="FFFFFF"/>
        </w:rPr>
        <w:t>债券借贷采用</w:t>
      </w:r>
      <w:r>
        <w:rPr>
          <w:rFonts w:hint="eastAsia" w:ascii="仿宋_GB2312" w:hAnsi="宋体" w:eastAsia="仿宋_GB2312" w:cs="宋体"/>
          <w:sz w:val="30"/>
          <w:szCs w:val="30"/>
        </w:rPr>
        <w:t>协商</w:t>
      </w:r>
      <w:r>
        <w:rPr>
          <w:rFonts w:hint="eastAsia" w:ascii="仿宋_GB2312" w:eastAsia="仿宋_GB2312"/>
          <w:color w:val="000000"/>
          <w:sz w:val="30"/>
          <w:szCs w:val="30"/>
          <w:shd w:val="clear" w:color="auto" w:fill="FFFFFF"/>
        </w:rPr>
        <w:t>成交申报方式，借贷双方根据主协议及补充协议的约定，由债券</w:t>
      </w:r>
      <w:r>
        <w:rPr>
          <w:rFonts w:hint="eastAsia" w:ascii="仿宋_GB2312" w:hAnsi="宋体" w:eastAsia="仿宋_GB2312" w:cs="宋体"/>
          <w:sz w:val="30"/>
          <w:szCs w:val="30"/>
        </w:rPr>
        <w:t>借入方录入相关要素后，将全部要素发送至债券借出方，债券借出方确认无误后成交。</w:t>
      </w:r>
    </w:p>
    <w:p w14:paraId="43DFA1A2">
      <w:pPr>
        <w:spacing w:line="600" w:lineRule="exact"/>
        <w:ind w:firstLine="600" w:firstLineChars="200"/>
        <w:outlineLvl w:val="9"/>
        <w:rPr>
          <w:rFonts w:ascii="仿宋_GB2312" w:hAnsi="Calibri" w:eastAsia="仿宋_GB2312"/>
          <w:kern w:val="0"/>
          <w:sz w:val="30"/>
          <w:szCs w:val="30"/>
        </w:rPr>
      </w:pPr>
      <w:r>
        <w:rPr>
          <w:rFonts w:hint="eastAsia" w:ascii="仿宋_GB2312" w:hAnsi="Calibri" w:eastAsia="仿宋_GB2312"/>
          <w:kern w:val="0"/>
          <w:sz w:val="30"/>
          <w:szCs w:val="30"/>
        </w:rPr>
        <w:t>2）</w:t>
      </w:r>
      <w:r>
        <w:rPr>
          <w:rFonts w:hint="eastAsia" w:ascii="仿宋_GB2312" w:hAnsi="宋体" w:eastAsia="仿宋_GB2312" w:cs="宋体"/>
          <w:sz w:val="30"/>
          <w:szCs w:val="30"/>
        </w:rPr>
        <w:t>协商成交</w:t>
      </w:r>
      <w:r>
        <w:rPr>
          <w:rFonts w:hint="eastAsia" w:ascii="仿宋_GB2312" w:hAnsi="Calibri" w:eastAsia="仿宋_GB2312"/>
          <w:kern w:val="0"/>
          <w:sz w:val="30"/>
          <w:szCs w:val="30"/>
        </w:rPr>
        <w:t>申报要素</w:t>
      </w:r>
    </w:p>
    <w:p w14:paraId="0CD09435">
      <w:pPr>
        <w:autoSpaceDE w:val="0"/>
        <w:autoSpaceDN w:val="0"/>
        <w:adjustRightIn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 xml:space="preserve">债券借贷业务的要素包括但不限于成交日期、债券借出方和借入方的证券账户、标的债券、质押债券、标的债券总面额、质押债券总面额、首期结算日、到期结算日、借贷期限、标的债券付息日、应计利息总额、借贷费率、到期费用结算方式、申报补充约定等。各要素具体如下： </w:t>
      </w:r>
    </w:p>
    <w:tbl>
      <w:tblPr>
        <w:tblStyle w:val="43"/>
        <w:tblW w:w="8262" w:type="dxa"/>
        <w:tblInd w:w="93" w:type="dxa"/>
        <w:tblLayout w:type="autofit"/>
        <w:tblCellMar>
          <w:top w:w="0" w:type="dxa"/>
          <w:left w:w="108" w:type="dxa"/>
          <w:bottom w:w="0" w:type="dxa"/>
          <w:right w:w="108" w:type="dxa"/>
        </w:tblCellMar>
      </w:tblPr>
      <w:tblGrid>
        <w:gridCol w:w="2591"/>
        <w:gridCol w:w="5671"/>
      </w:tblGrid>
      <w:tr w14:paraId="62886BDD">
        <w:tblPrEx>
          <w:tblCellMar>
            <w:top w:w="0" w:type="dxa"/>
            <w:left w:w="108" w:type="dxa"/>
            <w:bottom w:w="0" w:type="dxa"/>
            <w:right w:w="108" w:type="dxa"/>
          </w:tblCellMar>
        </w:tblPrEx>
        <w:trPr>
          <w:trHeight w:val="20" w:hRule="atLeast"/>
        </w:trPr>
        <w:tc>
          <w:tcPr>
            <w:tcW w:w="2591" w:type="dxa"/>
            <w:tcBorders>
              <w:top w:val="single" w:color="auto" w:sz="8" w:space="0"/>
              <w:left w:val="single" w:color="auto" w:sz="8" w:space="0"/>
              <w:bottom w:val="single" w:color="auto" w:sz="8" w:space="0"/>
              <w:right w:val="single" w:color="auto" w:sz="8" w:space="0"/>
            </w:tcBorders>
            <w:vAlign w:val="center"/>
          </w:tcPr>
          <w:p w14:paraId="15618311">
            <w:pPr>
              <w:jc w:val="left"/>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要素名称</w:t>
            </w:r>
          </w:p>
        </w:tc>
        <w:tc>
          <w:tcPr>
            <w:tcW w:w="5671" w:type="dxa"/>
            <w:tcBorders>
              <w:top w:val="single" w:color="auto" w:sz="8" w:space="0"/>
              <w:left w:val="nil"/>
              <w:bottom w:val="single" w:color="auto" w:sz="8" w:space="0"/>
              <w:right w:val="single" w:color="auto" w:sz="8" w:space="0"/>
            </w:tcBorders>
            <w:vAlign w:val="center"/>
          </w:tcPr>
          <w:p w14:paraId="174A01DA">
            <w:pPr>
              <w:jc w:val="left"/>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要素说明</w:t>
            </w:r>
          </w:p>
        </w:tc>
      </w:tr>
      <w:tr w14:paraId="1F64FCF0">
        <w:tblPrEx>
          <w:tblCellMar>
            <w:top w:w="0" w:type="dxa"/>
            <w:left w:w="108" w:type="dxa"/>
            <w:bottom w:w="0" w:type="dxa"/>
            <w:right w:w="108" w:type="dxa"/>
          </w:tblCellMar>
        </w:tblPrEx>
        <w:trPr>
          <w:trHeight w:val="20" w:hRule="atLeast"/>
        </w:trPr>
        <w:tc>
          <w:tcPr>
            <w:tcW w:w="2591" w:type="dxa"/>
            <w:tcBorders>
              <w:top w:val="single" w:color="auto" w:sz="8" w:space="0"/>
              <w:left w:val="single" w:color="auto" w:sz="8" w:space="0"/>
              <w:bottom w:val="single" w:color="auto" w:sz="8" w:space="0"/>
              <w:right w:val="single" w:color="auto" w:sz="8" w:space="0"/>
            </w:tcBorders>
            <w:vAlign w:val="center"/>
          </w:tcPr>
          <w:p w14:paraId="5068930C">
            <w:pPr>
              <w:jc w:val="left"/>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成交日期</w:t>
            </w:r>
          </w:p>
        </w:tc>
        <w:tc>
          <w:tcPr>
            <w:tcW w:w="5671" w:type="dxa"/>
            <w:tcBorders>
              <w:top w:val="single" w:color="auto" w:sz="8" w:space="0"/>
              <w:left w:val="nil"/>
              <w:bottom w:val="single" w:color="auto" w:sz="8" w:space="0"/>
              <w:right w:val="single" w:color="auto" w:sz="8" w:space="0"/>
            </w:tcBorders>
            <w:vAlign w:val="center"/>
          </w:tcPr>
          <w:p w14:paraId="42E92FC9">
            <w:pPr>
              <w:jc w:val="left"/>
              <w:rPr>
                <w:rFonts w:ascii="仿宋_GB2312" w:hAnsi="宋体" w:eastAsia="仿宋_GB2312" w:cs="宋体"/>
                <w:bCs/>
                <w:color w:val="000000"/>
                <w:kern w:val="0"/>
                <w:sz w:val="24"/>
                <w:szCs w:val="24"/>
              </w:rPr>
            </w:pPr>
            <w:r>
              <w:rPr>
                <w:rFonts w:hint="eastAsia" w:ascii="仿宋_GB2312" w:hAnsi="宋体" w:eastAsia="仿宋_GB2312" w:cs="宋体"/>
                <w:bCs/>
                <w:color w:val="000000"/>
                <w:kern w:val="0"/>
                <w:sz w:val="24"/>
                <w:szCs w:val="24"/>
              </w:rPr>
              <w:t>借贷双方交易达成的日期（交易发生当日）</w:t>
            </w:r>
          </w:p>
        </w:tc>
      </w:tr>
      <w:tr w14:paraId="2285D83B">
        <w:tblPrEx>
          <w:tblCellMar>
            <w:top w:w="0" w:type="dxa"/>
            <w:left w:w="108" w:type="dxa"/>
            <w:bottom w:w="0" w:type="dxa"/>
            <w:right w:w="108" w:type="dxa"/>
          </w:tblCellMar>
        </w:tblPrEx>
        <w:trPr>
          <w:trHeight w:val="20" w:hRule="atLeast"/>
        </w:trPr>
        <w:tc>
          <w:tcPr>
            <w:tcW w:w="2591" w:type="dxa"/>
            <w:tcBorders>
              <w:top w:val="single" w:color="auto" w:sz="8" w:space="0"/>
              <w:left w:val="single" w:color="auto" w:sz="8" w:space="0"/>
              <w:bottom w:val="single" w:color="auto" w:sz="8" w:space="0"/>
              <w:right w:val="single" w:color="auto" w:sz="8" w:space="0"/>
            </w:tcBorders>
            <w:vAlign w:val="center"/>
          </w:tcPr>
          <w:p w14:paraId="542E10BA">
            <w:pPr>
              <w:jc w:val="left"/>
              <w:rPr>
                <w:rFonts w:ascii="仿宋_GB2312" w:hAnsi="宋体" w:eastAsia="仿宋_GB2312" w:cs="宋体"/>
                <w:b/>
                <w:bCs/>
                <w:color w:val="000000"/>
                <w:kern w:val="0"/>
                <w:sz w:val="24"/>
                <w:szCs w:val="24"/>
              </w:rPr>
            </w:pPr>
            <w:r>
              <w:rPr>
                <w:rFonts w:ascii="仿宋_GB2312" w:hAnsi="宋体" w:eastAsia="仿宋_GB2312" w:cs="宋体"/>
                <w:b/>
                <w:bCs/>
                <w:color w:val="000000"/>
                <w:kern w:val="0"/>
                <w:sz w:val="24"/>
                <w:szCs w:val="24"/>
              </w:rPr>
              <w:t>借</w:t>
            </w:r>
            <w:r>
              <w:rPr>
                <w:rFonts w:hint="eastAsia" w:ascii="仿宋_GB2312" w:hAnsi="宋体" w:eastAsia="仿宋_GB2312" w:cs="宋体"/>
                <w:b/>
                <w:bCs/>
                <w:color w:val="000000"/>
                <w:kern w:val="0"/>
                <w:sz w:val="24"/>
                <w:szCs w:val="24"/>
              </w:rPr>
              <w:t>入</w:t>
            </w:r>
            <w:r>
              <w:rPr>
                <w:rFonts w:ascii="仿宋_GB2312" w:hAnsi="宋体" w:eastAsia="仿宋_GB2312" w:cs="宋体"/>
                <w:b/>
                <w:bCs/>
                <w:color w:val="000000"/>
                <w:kern w:val="0"/>
                <w:sz w:val="24"/>
                <w:szCs w:val="24"/>
              </w:rPr>
              <w:t>方机构名称</w:t>
            </w:r>
            <w:r>
              <w:rPr>
                <w:rFonts w:hint="eastAsia" w:ascii="仿宋_GB2312" w:hAnsi="宋体" w:eastAsia="仿宋_GB2312" w:cs="宋体"/>
                <w:b/>
                <w:bCs/>
                <w:color w:val="000000"/>
                <w:kern w:val="0"/>
                <w:sz w:val="24"/>
                <w:szCs w:val="24"/>
              </w:rPr>
              <w:t>（以及</w:t>
            </w:r>
            <w:r>
              <w:rPr>
                <w:rFonts w:ascii="仿宋_GB2312" w:hAnsi="宋体" w:eastAsia="仿宋_GB2312" w:cs="宋体"/>
                <w:b/>
                <w:bCs/>
                <w:color w:val="000000"/>
                <w:kern w:val="0"/>
                <w:sz w:val="24"/>
                <w:szCs w:val="24"/>
              </w:rPr>
              <w:t>电话、地址、传真）</w:t>
            </w:r>
          </w:p>
        </w:tc>
        <w:tc>
          <w:tcPr>
            <w:tcW w:w="5671" w:type="dxa"/>
            <w:tcBorders>
              <w:top w:val="single" w:color="auto" w:sz="8" w:space="0"/>
              <w:left w:val="nil"/>
              <w:bottom w:val="single" w:color="auto" w:sz="8" w:space="0"/>
              <w:right w:val="single" w:color="auto" w:sz="8" w:space="0"/>
            </w:tcBorders>
            <w:vAlign w:val="center"/>
          </w:tcPr>
          <w:p w14:paraId="077C74D6">
            <w:pPr>
              <w:jc w:val="left"/>
              <w:rPr>
                <w:rFonts w:ascii="仿宋_GB2312" w:hAnsi="宋体" w:eastAsia="仿宋_GB2312" w:cs="宋体"/>
                <w:bCs/>
                <w:color w:val="000000"/>
                <w:kern w:val="0"/>
                <w:sz w:val="24"/>
                <w:szCs w:val="24"/>
              </w:rPr>
            </w:pPr>
            <w:r>
              <w:rPr>
                <w:rFonts w:hint="eastAsia" w:ascii="仿宋_GB2312" w:hAnsi="宋体" w:eastAsia="仿宋_GB2312" w:cs="宋体"/>
                <w:bCs/>
                <w:color w:val="000000"/>
                <w:kern w:val="0"/>
                <w:sz w:val="24"/>
                <w:szCs w:val="24"/>
              </w:rPr>
              <w:t>借入</w:t>
            </w:r>
            <w:r>
              <w:rPr>
                <w:rFonts w:ascii="仿宋_GB2312" w:hAnsi="宋体" w:eastAsia="仿宋_GB2312" w:cs="宋体"/>
                <w:bCs/>
                <w:color w:val="000000"/>
                <w:kern w:val="0"/>
                <w:sz w:val="24"/>
                <w:szCs w:val="24"/>
              </w:rPr>
              <w:t>方机构名称自动生成</w:t>
            </w:r>
            <w:r>
              <w:rPr>
                <w:rFonts w:hint="eastAsia" w:ascii="仿宋_GB2312" w:hAnsi="宋体" w:eastAsia="仿宋_GB2312" w:cs="宋体"/>
                <w:bCs/>
                <w:color w:val="000000"/>
                <w:kern w:val="0"/>
                <w:sz w:val="24"/>
                <w:szCs w:val="24"/>
              </w:rPr>
              <w:t>，</w:t>
            </w:r>
            <w:r>
              <w:rPr>
                <w:rFonts w:ascii="仿宋_GB2312" w:hAnsi="宋体" w:eastAsia="仿宋_GB2312" w:cs="宋体"/>
                <w:bCs/>
                <w:color w:val="000000"/>
                <w:kern w:val="0"/>
                <w:sz w:val="24"/>
                <w:szCs w:val="24"/>
              </w:rPr>
              <w:t>电话、地址、传真</w:t>
            </w:r>
            <w:r>
              <w:rPr>
                <w:rFonts w:hint="eastAsia" w:ascii="仿宋_GB2312" w:hAnsi="宋体" w:eastAsia="仿宋_GB2312" w:cs="宋体"/>
                <w:bCs/>
                <w:color w:val="000000"/>
                <w:kern w:val="0"/>
                <w:sz w:val="24"/>
                <w:szCs w:val="24"/>
              </w:rPr>
              <w:t>选填</w:t>
            </w:r>
            <w:r>
              <w:rPr>
                <w:rFonts w:ascii="仿宋_GB2312" w:hAnsi="宋体" w:eastAsia="仿宋_GB2312" w:cs="宋体"/>
                <w:bCs/>
                <w:color w:val="000000"/>
                <w:kern w:val="0"/>
                <w:sz w:val="24"/>
                <w:szCs w:val="24"/>
              </w:rPr>
              <w:t>。</w:t>
            </w:r>
          </w:p>
        </w:tc>
      </w:tr>
      <w:tr w14:paraId="5B248EF5">
        <w:tblPrEx>
          <w:tblCellMar>
            <w:top w:w="0" w:type="dxa"/>
            <w:left w:w="108" w:type="dxa"/>
            <w:bottom w:w="0" w:type="dxa"/>
            <w:right w:w="108" w:type="dxa"/>
          </w:tblCellMar>
        </w:tblPrEx>
        <w:trPr>
          <w:trHeight w:val="20" w:hRule="atLeast"/>
        </w:trPr>
        <w:tc>
          <w:tcPr>
            <w:tcW w:w="2591" w:type="dxa"/>
            <w:tcBorders>
              <w:top w:val="single" w:color="auto" w:sz="8" w:space="0"/>
              <w:left w:val="single" w:color="auto" w:sz="8" w:space="0"/>
              <w:bottom w:val="single" w:color="auto" w:sz="8" w:space="0"/>
              <w:right w:val="single" w:color="auto" w:sz="8" w:space="0"/>
            </w:tcBorders>
            <w:vAlign w:val="center"/>
          </w:tcPr>
          <w:p w14:paraId="54C562FB">
            <w:pPr>
              <w:jc w:val="left"/>
              <w:rPr>
                <w:rFonts w:ascii="仿宋_GB2312" w:hAnsi="宋体" w:eastAsia="仿宋_GB2312" w:cs="宋体"/>
                <w:b/>
                <w:bCs/>
                <w:color w:val="000000"/>
                <w:kern w:val="0"/>
                <w:sz w:val="24"/>
                <w:szCs w:val="24"/>
              </w:rPr>
            </w:pPr>
            <w:r>
              <w:rPr>
                <w:rFonts w:ascii="仿宋_GB2312" w:hAnsi="宋体" w:eastAsia="仿宋_GB2312" w:cs="宋体"/>
                <w:b/>
                <w:bCs/>
                <w:color w:val="000000"/>
                <w:kern w:val="0"/>
                <w:sz w:val="24"/>
                <w:szCs w:val="24"/>
              </w:rPr>
              <w:t>借</w:t>
            </w:r>
            <w:r>
              <w:rPr>
                <w:rFonts w:hint="eastAsia" w:ascii="仿宋_GB2312" w:hAnsi="宋体" w:eastAsia="仿宋_GB2312" w:cs="宋体"/>
                <w:b/>
                <w:bCs/>
                <w:color w:val="000000"/>
                <w:kern w:val="0"/>
                <w:sz w:val="24"/>
                <w:szCs w:val="24"/>
              </w:rPr>
              <w:t>入</w:t>
            </w:r>
            <w:r>
              <w:rPr>
                <w:rFonts w:ascii="仿宋_GB2312" w:hAnsi="宋体" w:eastAsia="仿宋_GB2312" w:cs="宋体"/>
                <w:b/>
                <w:bCs/>
                <w:color w:val="000000"/>
                <w:kern w:val="0"/>
                <w:sz w:val="24"/>
                <w:szCs w:val="24"/>
              </w:rPr>
              <w:t>方</w:t>
            </w:r>
            <w:r>
              <w:rPr>
                <w:rFonts w:hint="eastAsia" w:ascii="仿宋_GB2312" w:hAnsi="宋体" w:eastAsia="仿宋_GB2312" w:cs="宋体"/>
                <w:b/>
                <w:bCs/>
                <w:color w:val="000000"/>
                <w:kern w:val="0"/>
                <w:sz w:val="24"/>
                <w:szCs w:val="24"/>
              </w:rPr>
              <w:t>交易</w:t>
            </w:r>
            <w:r>
              <w:rPr>
                <w:rFonts w:ascii="仿宋_GB2312" w:hAnsi="宋体" w:eastAsia="仿宋_GB2312" w:cs="宋体"/>
                <w:b/>
                <w:bCs/>
                <w:color w:val="000000"/>
                <w:kern w:val="0"/>
                <w:sz w:val="24"/>
                <w:szCs w:val="24"/>
              </w:rPr>
              <w:t>员</w:t>
            </w:r>
          </w:p>
        </w:tc>
        <w:tc>
          <w:tcPr>
            <w:tcW w:w="5671" w:type="dxa"/>
            <w:tcBorders>
              <w:top w:val="single" w:color="auto" w:sz="8" w:space="0"/>
              <w:left w:val="nil"/>
              <w:bottom w:val="single" w:color="auto" w:sz="8" w:space="0"/>
              <w:right w:val="single" w:color="auto" w:sz="8" w:space="0"/>
            </w:tcBorders>
            <w:vAlign w:val="center"/>
          </w:tcPr>
          <w:p w14:paraId="7B7F02C4">
            <w:pPr>
              <w:jc w:val="left"/>
              <w:rPr>
                <w:rFonts w:ascii="仿宋_GB2312" w:hAnsi="宋体" w:eastAsia="仿宋_GB2312" w:cs="宋体"/>
                <w:bCs/>
                <w:color w:val="000000"/>
                <w:kern w:val="0"/>
                <w:sz w:val="24"/>
                <w:szCs w:val="24"/>
              </w:rPr>
            </w:pPr>
            <w:r>
              <w:rPr>
                <w:rFonts w:hint="eastAsia" w:ascii="仿宋_GB2312" w:hAnsi="宋体" w:eastAsia="仿宋_GB2312" w:cs="宋体"/>
                <w:bCs/>
                <w:color w:val="000000"/>
                <w:kern w:val="0"/>
                <w:sz w:val="24"/>
                <w:szCs w:val="24"/>
              </w:rPr>
              <w:t>自动</w:t>
            </w:r>
            <w:r>
              <w:rPr>
                <w:rFonts w:ascii="仿宋_GB2312" w:hAnsi="宋体" w:eastAsia="仿宋_GB2312" w:cs="宋体"/>
                <w:bCs/>
                <w:color w:val="000000"/>
                <w:kern w:val="0"/>
                <w:sz w:val="24"/>
                <w:szCs w:val="24"/>
              </w:rPr>
              <w:t>生成</w:t>
            </w:r>
          </w:p>
        </w:tc>
      </w:tr>
      <w:tr w14:paraId="61C79300">
        <w:tblPrEx>
          <w:tblCellMar>
            <w:top w:w="0" w:type="dxa"/>
            <w:left w:w="108" w:type="dxa"/>
            <w:bottom w:w="0" w:type="dxa"/>
            <w:right w:w="108" w:type="dxa"/>
          </w:tblCellMar>
        </w:tblPrEx>
        <w:trPr>
          <w:trHeight w:val="20" w:hRule="atLeast"/>
        </w:trPr>
        <w:tc>
          <w:tcPr>
            <w:tcW w:w="2591" w:type="dxa"/>
            <w:tcBorders>
              <w:top w:val="single" w:color="auto" w:sz="8" w:space="0"/>
              <w:left w:val="single" w:color="auto" w:sz="8" w:space="0"/>
              <w:bottom w:val="single" w:color="auto" w:sz="8" w:space="0"/>
              <w:right w:val="single" w:color="auto" w:sz="8" w:space="0"/>
            </w:tcBorders>
            <w:vAlign w:val="center"/>
          </w:tcPr>
          <w:p w14:paraId="2A56D237">
            <w:pPr>
              <w:jc w:val="left"/>
              <w:rPr>
                <w:rFonts w:ascii="仿宋_GB2312" w:hAnsi="宋体" w:eastAsia="仿宋_GB2312" w:cs="宋体"/>
                <w:b/>
                <w:bCs/>
                <w:color w:val="000000"/>
                <w:kern w:val="0"/>
                <w:sz w:val="24"/>
                <w:szCs w:val="24"/>
              </w:rPr>
            </w:pPr>
            <w:r>
              <w:rPr>
                <w:rFonts w:ascii="仿宋_GB2312" w:hAnsi="宋体" w:eastAsia="仿宋_GB2312" w:cs="宋体"/>
                <w:b/>
                <w:bCs/>
                <w:color w:val="000000"/>
                <w:kern w:val="0"/>
                <w:sz w:val="24"/>
                <w:szCs w:val="24"/>
              </w:rPr>
              <w:t>借出方机构名称</w:t>
            </w:r>
            <w:r>
              <w:rPr>
                <w:rFonts w:hint="eastAsia" w:ascii="仿宋_GB2312" w:hAnsi="宋体" w:eastAsia="仿宋_GB2312" w:cs="宋体"/>
                <w:b/>
                <w:bCs/>
                <w:color w:val="000000"/>
                <w:kern w:val="0"/>
                <w:sz w:val="24"/>
                <w:szCs w:val="24"/>
              </w:rPr>
              <w:t>（以及</w:t>
            </w:r>
            <w:r>
              <w:rPr>
                <w:rFonts w:ascii="仿宋_GB2312" w:hAnsi="宋体" w:eastAsia="仿宋_GB2312" w:cs="宋体"/>
                <w:b/>
                <w:bCs/>
                <w:color w:val="000000"/>
                <w:kern w:val="0"/>
                <w:sz w:val="24"/>
                <w:szCs w:val="24"/>
              </w:rPr>
              <w:t>电话、地址、传真）</w:t>
            </w:r>
          </w:p>
        </w:tc>
        <w:tc>
          <w:tcPr>
            <w:tcW w:w="5671" w:type="dxa"/>
            <w:tcBorders>
              <w:top w:val="single" w:color="auto" w:sz="8" w:space="0"/>
              <w:left w:val="nil"/>
              <w:bottom w:val="single" w:color="auto" w:sz="8" w:space="0"/>
              <w:right w:val="single" w:color="auto" w:sz="8" w:space="0"/>
            </w:tcBorders>
            <w:vAlign w:val="center"/>
          </w:tcPr>
          <w:p w14:paraId="1CA9B483">
            <w:pPr>
              <w:jc w:val="left"/>
              <w:rPr>
                <w:rFonts w:ascii="仿宋_GB2312" w:hAnsi="宋体" w:eastAsia="仿宋_GB2312" w:cs="宋体"/>
                <w:bCs/>
                <w:color w:val="000000"/>
                <w:kern w:val="0"/>
                <w:sz w:val="24"/>
                <w:szCs w:val="24"/>
              </w:rPr>
            </w:pPr>
            <w:r>
              <w:rPr>
                <w:rFonts w:hint="eastAsia" w:ascii="仿宋_GB2312" w:hAnsi="宋体" w:eastAsia="仿宋_GB2312" w:cs="宋体"/>
                <w:bCs/>
                <w:color w:val="000000"/>
                <w:kern w:val="0"/>
                <w:sz w:val="24"/>
                <w:szCs w:val="24"/>
              </w:rPr>
              <w:t>借出</w:t>
            </w:r>
            <w:r>
              <w:rPr>
                <w:rFonts w:ascii="仿宋_GB2312" w:hAnsi="宋体" w:eastAsia="仿宋_GB2312" w:cs="宋体"/>
                <w:bCs/>
                <w:color w:val="000000"/>
                <w:kern w:val="0"/>
                <w:sz w:val="24"/>
                <w:szCs w:val="24"/>
              </w:rPr>
              <w:t>方机构名称</w:t>
            </w:r>
            <w:r>
              <w:rPr>
                <w:rFonts w:hint="eastAsia" w:ascii="仿宋_GB2312" w:hAnsi="宋体" w:eastAsia="仿宋_GB2312" w:cs="宋体"/>
                <w:bCs/>
                <w:color w:val="000000"/>
                <w:kern w:val="0"/>
                <w:sz w:val="24"/>
                <w:szCs w:val="24"/>
              </w:rPr>
              <w:t>由借入方录入</w:t>
            </w:r>
            <w:r>
              <w:rPr>
                <w:rFonts w:ascii="仿宋_GB2312" w:hAnsi="宋体" w:eastAsia="仿宋_GB2312" w:cs="宋体"/>
                <w:bCs/>
                <w:color w:val="000000"/>
                <w:kern w:val="0"/>
                <w:sz w:val="24"/>
                <w:szCs w:val="24"/>
              </w:rPr>
              <w:t>，电话地址传真于借出方确认时录入。</w:t>
            </w:r>
          </w:p>
        </w:tc>
      </w:tr>
      <w:tr w14:paraId="7FEF1E5B">
        <w:tblPrEx>
          <w:tblCellMar>
            <w:top w:w="0" w:type="dxa"/>
            <w:left w:w="108" w:type="dxa"/>
            <w:bottom w:w="0" w:type="dxa"/>
            <w:right w:w="108" w:type="dxa"/>
          </w:tblCellMar>
        </w:tblPrEx>
        <w:trPr>
          <w:trHeight w:val="20" w:hRule="atLeast"/>
        </w:trPr>
        <w:tc>
          <w:tcPr>
            <w:tcW w:w="2591" w:type="dxa"/>
            <w:tcBorders>
              <w:top w:val="single" w:color="auto" w:sz="8" w:space="0"/>
              <w:left w:val="single" w:color="auto" w:sz="8" w:space="0"/>
              <w:bottom w:val="single" w:color="auto" w:sz="8" w:space="0"/>
              <w:right w:val="single" w:color="auto" w:sz="8" w:space="0"/>
            </w:tcBorders>
            <w:vAlign w:val="center"/>
          </w:tcPr>
          <w:p w14:paraId="4AD14CBA">
            <w:pPr>
              <w:jc w:val="left"/>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借出</w:t>
            </w:r>
            <w:r>
              <w:rPr>
                <w:rFonts w:ascii="仿宋_GB2312" w:hAnsi="宋体" w:eastAsia="仿宋_GB2312" w:cs="宋体"/>
                <w:b/>
                <w:bCs/>
                <w:color w:val="000000"/>
                <w:kern w:val="0"/>
                <w:sz w:val="24"/>
                <w:szCs w:val="24"/>
              </w:rPr>
              <w:t>方交易员</w:t>
            </w:r>
          </w:p>
        </w:tc>
        <w:tc>
          <w:tcPr>
            <w:tcW w:w="5671" w:type="dxa"/>
            <w:tcBorders>
              <w:top w:val="single" w:color="auto" w:sz="8" w:space="0"/>
              <w:left w:val="nil"/>
              <w:bottom w:val="single" w:color="auto" w:sz="8" w:space="0"/>
              <w:right w:val="single" w:color="auto" w:sz="8" w:space="0"/>
            </w:tcBorders>
            <w:vAlign w:val="center"/>
          </w:tcPr>
          <w:p w14:paraId="40520161">
            <w:pPr>
              <w:jc w:val="left"/>
              <w:rPr>
                <w:rFonts w:ascii="仿宋_GB2312" w:hAnsi="宋体" w:eastAsia="仿宋_GB2312" w:cs="宋体"/>
                <w:bCs/>
                <w:color w:val="000000"/>
                <w:kern w:val="0"/>
                <w:sz w:val="24"/>
                <w:szCs w:val="24"/>
              </w:rPr>
            </w:pPr>
            <w:r>
              <w:rPr>
                <w:rFonts w:hint="eastAsia" w:ascii="仿宋_GB2312" w:hAnsi="宋体" w:eastAsia="仿宋_GB2312" w:cs="宋体"/>
                <w:bCs/>
                <w:color w:val="000000"/>
                <w:kern w:val="0"/>
                <w:sz w:val="24"/>
                <w:szCs w:val="24"/>
              </w:rPr>
              <w:t>借入方录入借出方机构名称后下拉选择借出方交易员。</w:t>
            </w:r>
          </w:p>
        </w:tc>
      </w:tr>
      <w:tr w14:paraId="302A47DA">
        <w:tblPrEx>
          <w:tblCellMar>
            <w:top w:w="0" w:type="dxa"/>
            <w:left w:w="108" w:type="dxa"/>
            <w:bottom w:w="0" w:type="dxa"/>
            <w:right w:w="108" w:type="dxa"/>
          </w:tblCellMar>
        </w:tblPrEx>
        <w:trPr>
          <w:trHeight w:val="20" w:hRule="atLeast"/>
        </w:trPr>
        <w:tc>
          <w:tcPr>
            <w:tcW w:w="2591" w:type="dxa"/>
            <w:tcBorders>
              <w:top w:val="single" w:color="auto" w:sz="8" w:space="0"/>
              <w:left w:val="single" w:color="auto" w:sz="8" w:space="0"/>
              <w:bottom w:val="single" w:color="auto" w:sz="8" w:space="0"/>
              <w:right w:val="single" w:color="auto" w:sz="8" w:space="0"/>
            </w:tcBorders>
            <w:vAlign w:val="center"/>
          </w:tcPr>
          <w:p w14:paraId="3FD0B2BF">
            <w:pPr>
              <w:jc w:val="left"/>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借入方证券账户（以及证券账户名称）</w:t>
            </w:r>
          </w:p>
        </w:tc>
        <w:tc>
          <w:tcPr>
            <w:tcW w:w="5671" w:type="dxa"/>
            <w:tcBorders>
              <w:top w:val="single" w:color="auto" w:sz="8" w:space="0"/>
              <w:left w:val="nil"/>
              <w:bottom w:val="single" w:color="auto" w:sz="8" w:space="0"/>
              <w:right w:val="single" w:color="auto" w:sz="8" w:space="0"/>
            </w:tcBorders>
            <w:vAlign w:val="center"/>
          </w:tcPr>
          <w:p w14:paraId="445658FE">
            <w:pPr>
              <w:jc w:val="left"/>
              <w:rPr>
                <w:rFonts w:ascii="仿宋_GB2312" w:hAnsi="宋体" w:eastAsia="仿宋_GB2312" w:cs="宋体"/>
                <w:bCs/>
                <w:color w:val="000000"/>
                <w:kern w:val="0"/>
                <w:sz w:val="24"/>
                <w:szCs w:val="24"/>
              </w:rPr>
            </w:pPr>
            <w:r>
              <w:rPr>
                <w:rFonts w:hint="eastAsia" w:ascii="仿宋_GB2312" w:hAnsi="宋体" w:eastAsia="仿宋_GB2312" w:cs="宋体"/>
                <w:bCs/>
                <w:color w:val="000000"/>
                <w:kern w:val="0"/>
                <w:sz w:val="24"/>
                <w:szCs w:val="24"/>
              </w:rPr>
              <w:t>首期结算时借入债券机构的证券账户，由借入方录入，证券账户名称自动生成。</w:t>
            </w:r>
          </w:p>
        </w:tc>
      </w:tr>
      <w:tr w14:paraId="1AEC6D08">
        <w:tblPrEx>
          <w:tblCellMar>
            <w:top w:w="0" w:type="dxa"/>
            <w:left w:w="108" w:type="dxa"/>
            <w:bottom w:w="0" w:type="dxa"/>
            <w:right w:w="108" w:type="dxa"/>
          </w:tblCellMar>
        </w:tblPrEx>
        <w:trPr>
          <w:trHeight w:val="20" w:hRule="atLeast"/>
        </w:trPr>
        <w:tc>
          <w:tcPr>
            <w:tcW w:w="2591" w:type="dxa"/>
            <w:tcBorders>
              <w:top w:val="single" w:color="auto" w:sz="8" w:space="0"/>
              <w:left w:val="single" w:color="auto" w:sz="8" w:space="0"/>
              <w:bottom w:val="single" w:color="auto" w:sz="8" w:space="0"/>
              <w:right w:val="single" w:color="auto" w:sz="8" w:space="0"/>
            </w:tcBorders>
            <w:vAlign w:val="center"/>
          </w:tcPr>
          <w:p w14:paraId="15A6EBDF">
            <w:pPr>
              <w:jc w:val="left"/>
              <w:rPr>
                <w:rFonts w:ascii="仿宋_GB2312"/>
                <w:b/>
                <w:sz w:val="24"/>
                <w:szCs w:val="22"/>
              </w:rPr>
            </w:pPr>
            <w:r>
              <w:rPr>
                <w:rFonts w:hint="eastAsia" w:ascii="仿宋_GB2312" w:eastAsia="仿宋_GB2312"/>
                <w:b/>
                <w:sz w:val="24"/>
              </w:rPr>
              <w:t>借</w:t>
            </w:r>
            <w:r>
              <w:rPr>
                <w:rFonts w:hint="eastAsia" w:ascii="仿宋_GB2312" w:eastAsia="仿宋_GB2312"/>
                <w:b/>
                <w:sz w:val="24"/>
                <w:szCs w:val="24"/>
              </w:rPr>
              <w:t>入</w:t>
            </w:r>
            <w:r>
              <w:rPr>
                <w:rFonts w:hint="eastAsia" w:ascii="仿宋_GB2312" w:eastAsia="仿宋_GB2312"/>
                <w:b/>
                <w:sz w:val="24"/>
              </w:rPr>
              <w:t>方交易</w:t>
            </w:r>
            <w:r>
              <w:rPr>
                <w:rFonts w:ascii="仿宋_GB2312" w:eastAsia="仿宋_GB2312"/>
                <w:b/>
                <w:sz w:val="24"/>
                <w:szCs w:val="24"/>
              </w:rPr>
              <w:t>单元</w:t>
            </w:r>
          </w:p>
        </w:tc>
        <w:tc>
          <w:tcPr>
            <w:tcW w:w="5671" w:type="dxa"/>
            <w:tcBorders>
              <w:top w:val="single" w:color="auto" w:sz="8" w:space="0"/>
              <w:left w:val="nil"/>
              <w:bottom w:val="single" w:color="auto" w:sz="8" w:space="0"/>
              <w:right w:val="single" w:color="auto" w:sz="8" w:space="0"/>
            </w:tcBorders>
            <w:vAlign w:val="center"/>
          </w:tcPr>
          <w:p w14:paraId="0C520CD6">
            <w:pPr>
              <w:jc w:val="left"/>
              <w:rPr>
                <w:rFonts w:ascii="仿宋_GB2312" w:hAnsi="宋体" w:eastAsia="仿宋_GB2312" w:cs="宋体"/>
                <w:bCs/>
                <w:color w:val="000000"/>
                <w:kern w:val="0"/>
                <w:sz w:val="24"/>
                <w:szCs w:val="24"/>
              </w:rPr>
            </w:pPr>
            <w:r>
              <w:rPr>
                <w:rFonts w:hint="eastAsia" w:ascii="仿宋_GB2312" w:hAnsi="宋体" w:eastAsia="仿宋_GB2312" w:cs="宋体"/>
                <w:bCs/>
                <w:color w:val="000000"/>
                <w:kern w:val="0"/>
                <w:sz w:val="24"/>
                <w:szCs w:val="24"/>
              </w:rPr>
              <w:t>首期结算时借入债券机构的交易单元，由借入方录入。</w:t>
            </w:r>
          </w:p>
        </w:tc>
      </w:tr>
      <w:tr w14:paraId="19AED8BF">
        <w:tblPrEx>
          <w:tblCellMar>
            <w:top w:w="0" w:type="dxa"/>
            <w:left w:w="108" w:type="dxa"/>
            <w:bottom w:w="0" w:type="dxa"/>
            <w:right w:w="108" w:type="dxa"/>
          </w:tblCellMar>
        </w:tblPrEx>
        <w:trPr>
          <w:trHeight w:val="20" w:hRule="atLeast"/>
        </w:trPr>
        <w:tc>
          <w:tcPr>
            <w:tcW w:w="2591" w:type="dxa"/>
            <w:tcBorders>
              <w:top w:val="single" w:color="auto" w:sz="8" w:space="0"/>
              <w:left w:val="single" w:color="auto" w:sz="8" w:space="0"/>
              <w:bottom w:val="single" w:color="auto" w:sz="8" w:space="0"/>
              <w:right w:val="single" w:color="auto" w:sz="8" w:space="0"/>
            </w:tcBorders>
          </w:tcPr>
          <w:p w14:paraId="4B33BE4E">
            <w:pPr>
              <w:jc w:val="left"/>
              <w:rPr>
                <w:rFonts w:ascii="仿宋_GB2312"/>
                <w:b/>
                <w:sz w:val="24"/>
                <w:szCs w:val="22"/>
              </w:rPr>
            </w:pPr>
            <w:r>
              <w:rPr>
                <w:rFonts w:hint="eastAsia" w:ascii="仿宋_GB2312" w:eastAsia="仿宋_GB2312"/>
                <w:b/>
                <w:sz w:val="24"/>
              </w:rPr>
              <w:t>借入方</w:t>
            </w:r>
            <w:r>
              <w:rPr>
                <w:rFonts w:hint="eastAsia" w:ascii="仿宋_GB2312" w:eastAsia="仿宋_GB2312"/>
                <w:b/>
                <w:sz w:val="24"/>
                <w:szCs w:val="24"/>
              </w:rPr>
              <w:t>资金账户（以及资金账户名称）</w:t>
            </w:r>
          </w:p>
        </w:tc>
        <w:tc>
          <w:tcPr>
            <w:tcW w:w="5671" w:type="dxa"/>
            <w:tcBorders>
              <w:top w:val="single" w:color="auto" w:sz="8" w:space="0"/>
              <w:left w:val="nil"/>
              <w:bottom w:val="single" w:color="auto" w:sz="8" w:space="0"/>
              <w:right w:val="single" w:color="auto" w:sz="8" w:space="0"/>
            </w:tcBorders>
            <w:vAlign w:val="center"/>
          </w:tcPr>
          <w:p w14:paraId="2B454779">
            <w:pPr>
              <w:jc w:val="left"/>
              <w:rPr>
                <w:rFonts w:ascii="仿宋_GB2312" w:hAnsi="宋体" w:eastAsia="仿宋_GB2312" w:cs="宋体"/>
                <w:bCs/>
                <w:color w:val="000000"/>
                <w:kern w:val="0"/>
                <w:sz w:val="24"/>
                <w:szCs w:val="24"/>
              </w:rPr>
            </w:pPr>
            <w:r>
              <w:rPr>
                <w:rFonts w:hint="eastAsia" w:ascii="仿宋_GB2312" w:hAnsi="宋体" w:eastAsia="仿宋_GB2312" w:cs="宋体"/>
                <w:bCs/>
                <w:color w:val="000000"/>
                <w:kern w:val="0"/>
                <w:sz w:val="24"/>
                <w:szCs w:val="24"/>
              </w:rPr>
              <w:t>借入债券机构的场外资金</w:t>
            </w:r>
            <w:r>
              <w:rPr>
                <w:rFonts w:ascii="仿宋_GB2312" w:hAnsi="宋体" w:eastAsia="仿宋_GB2312" w:cs="宋体"/>
                <w:bCs/>
                <w:color w:val="000000"/>
                <w:kern w:val="0"/>
                <w:sz w:val="24"/>
                <w:szCs w:val="24"/>
              </w:rPr>
              <w:t>账户与名称</w:t>
            </w:r>
            <w:r>
              <w:rPr>
                <w:rFonts w:hint="eastAsia" w:ascii="仿宋_GB2312" w:hAnsi="宋体" w:eastAsia="仿宋_GB2312" w:cs="宋体"/>
                <w:bCs/>
                <w:color w:val="000000"/>
                <w:kern w:val="0"/>
                <w:sz w:val="24"/>
                <w:szCs w:val="24"/>
              </w:rPr>
              <w:t>，由借入方录入。</w:t>
            </w:r>
          </w:p>
        </w:tc>
      </w:tr>
      <w:tr w14:paraId="41A4D4B0">
        <w:tblPrEx>
          <w:tblCellMar>
            <w:top w:w="0" w:type="dxa"/>
            <w:left w:w="108" w:type="dxa"/>
            <w:bottom w:w="0" w:type="dxa"/>
            <w:right w:w="108" w:type="dxa"/>
          </w:tblCellMar>
        </w:tblPrEx>
        <w:trPr>
          <w:trHeight w:val="20" w:hRule="atLeast"/>
        </w:trPr>
        <w:tc>
          <w:tcPr>
            <w:tcW w:w="2591" w:type="dxa"/>
            <w:tcBorders>
              <w:top w:val="single" w:color="auto" w:sz="8" w:space="0"/>
              <w:left w:val="single" w:color="auto" w:sz="8" w:space="0"/>
              <w:bottom w:val="single" w:color="auto" w:sz="8" w:space="0"/>
              <w:right w:val="single" w:color="auto" w:sz="8" w:space="0"/>
            </w:tcBorders>
            <w:vAlign w:val="center"/>
          </w:tcPr>
          <w:p w14:paraId="3636C2D4">
            <w:pPr>
              <w:jc w:val="left"/>
              <w:rPr>
                <w:rFonts w:ascii="仿宋_GB2312" w:eastAsia="仿宋_GB2312"/>
                <w:b/>
                <w:sz w:val="24"/>
                <w:szCs w:val="24"/>
              </w:rPr>
            </w:pPr>
            <w:r>
              <w:rPr>
                <w:rFonts w:hint="eastAsia" w:ascii="仿宋_GB2312" w:hAnsi="宋体" w:eastAsia="仿宋_GB2312" w:cs="宋体"/>
                <w:b/>
                <w:bCs/>
                <w:color w:val="000000"/>
                <w:kern w:val="0"/>
                <w:sz w:val="24"/>
                <w:szCs w:val="24"/>
              </w:rPr>
              <w:t>借出方证券账户</w:t>
            </w:r>
          </w:p>
        </w:tc>
        <w:tc>
          <w:tcPr>
            <w:tcW w:w="5671" w:type="dxa"/>
            <w:tcBorders>
              <w:top w:val="single" w:color="auto" w:sz="8" w:space="0"/>
              <w:left w:val="nil"/>
              <w:bottom w:val="single" w:color="auto" w:sz="8" w:space="0"/>
              <w:right w:val="single" w:color="auto" w:sz="8" w:space="0"/>
            </w:tcBorders>
            <w:vAlign w:val="center"/>
          </w:tcPr>
          <w:p w14:paraId="74AA2CB8">
            <w:pPr>
              <w:jc w:val="left"/>
              <w:rPr>
                <w:rFonts w:ascii="仿宋_GB2312" w:hAnsi="宋体" w:eastAsia="仿宋_GB2312" w:cs="宋体"/>
                <w:bCs/>
                <w:color w:val="000000"/>
                <w:kern w:val="0"/>
                <w:sz w:val="24"/>
                <w:szCs w:val="24"/>
              </w:rPr>
            </w:pPr>
            <w:r>
              <w:rPr>
                <w:rFonts w:hint="eastAsia" w:ascii="仿宋_GB2312" w:hAnsi="宋体" w:eastAsia="仿宋_GB2312" w:cs="宋体"/>
                <w:bCs/>
                <w:color w:val="000000"/>
                <w:kern w:val="0"/>
                <w:sz w:val="24"/>
                <w:szCs w:val="24"/>
              </w:rPr>
              <w:t>首期结算时借出债券机构的证券账户，</w:t>
            </w:r>
            <w:r>
              <w:rPr>
                <w:rFonts w:ascii="仿宋_GB2312" w:hAnsi="宋体" w:eastAsia="仿宋_GB2312" w:cs="宋体"/>
                <w:bCs/>
                <w:color w:val="000000"/>
                <w:kern w:val="0"/>
                <w:sz w:val="24"/>
                <w:szCs w:val="24"/>
              </w:rPr>
              <w:t>借出方确认时录入。</w:t>
            </w:r>
          </w:p>
        </w:tc>
      </w:tr>
      <w:tr w14:paraId="539047E7">
        <w:tblPrEx>
          <w:tblCellMar>
            <w:top w:w="0" w:type="dxa"/>
            <w:left w:w="108" w:type="dxa"/>
            <w:bottom w:w="0" w:type="dxa"/>
            <w:right w:w="108" w:type="dxa"/>
          </w:tblCellMar>
        </w:tblPrEx>
        <w:trPr>
          <w:trHeight w:val="20" w:hRule="atLeast"/>
        </w:trPr>
        <w:tc>
          <w:tcPr>
            <w:tcW w:w="2591" w:type="dxa"/>
            <w:tcBorders>
              <w:top w:val="single" w:color="auto" w:sz="8" w:space="0"/>
              <w:left w:val="single" w:color="auto" w:sz="8" w:space="0"/>
              <w:bottom w:val="single" w:color="auto" w:sz="8" w:space="0"/>
              <w:right w:val="single" w:color="auto" w:sz="8" w:space="0"/>
            </w:tcBorders>
            <w:vAlign w:val="center"/>
          </w:tcPr>
          <w:p w14:paraId="740A6FB4">
            <w:pPr>
              <w:jc w:val="left"/>
              <w:rPr>
                <w:rFonts w:ascii="仿宋_GB2312" w:eastAsia="仿宋_GB2312"/>
                <w:b/>
                <w:sz w:val="24"/>
                <w:szCs w:val="24"/>
              </w:rPr>
            </w:pPr>
            <w:r>
              <w:rPr>
                <w:rFonts w:hint="eastAsia" w:ascii="仿宋_GB2312" w:eastAsia="仿宋_GB2312"/>
                <w:b/>
                <w:sz w:val="24"/>
                <w:szCs w:val="24"/>
              </w:rPr>
              <w:t>借出方交易单元</w:t>
            </w:r>
          </w:p>
        </w:tc>
        <w:tc>
          <w:tcPr>
            <w:tcW w:w="5671" w:type="dxa"/>
            <w:tcBorders>
              <w:top w:val="single" w:color="auto" w:sz="8" w:space="0"/>
              <w:left w:val="nil"/>
              <w:bottom w:val="single" w:color="auto" w:sz="8" w:space="0"/>
              <w:right w:val="single" w:color="auto" w:sz="8" w:space="0"/>
            </w:tcBorders>
            <w:vAlign w:val="center"/>
          </w:tcPr>
          <w:p w14:paraId="788716BC">
            <w:pPr>
              <w:jc w:val="left"/>
              <w:rPr>
                <w:rFonts w:ascii="仿宋_GB2312" w:hAnsi="宋体" w:eastAsia="仿宋_GB2312" w:cs="宋体"/>
                <w:b/>
                <w:bCs/>
                <w:color w:val="000000"/>
                <w:kern w:val="0"/>
                <w:sz w:val="24"/>
                <w:szCs w:val="24"/>
              </w:rPr>
            </w:pPr>
            <w:r>
              <w:rPr>
                <w:rFonts w:hint="eastAsia" w:ascii="仿宋_GB2312" w:hAnsi="宋体" w:eastAsia="仿宋_GB2312" w:cs="宋体"/>
                <w:bCs/>
                <w:color w:val="000000"/>
                <w:kern w:val="0"/>
                <w:sz w:val="24"/>
                <w:szCs w:val="24"/>
              </w:rPr>
              <w:t>首期结算时借出债券机构的交易单元，</w:t>
            </w:r>
            <w:r>
              <w:rPr>
                <w:rFonts w:ascii="仿宋_GB2312" w:hAnsi="宋体" w:eastAsia="仿宋_GB2312" w:cs="宋体"/>
                <w:bCs/>
                <w:color w:val="000000"/>
                <w:kern w:val="0"/>
                <w:sz w:val="24"/>
                <w:szCs w:val="24"/>
              </w:rPr>
              <w:t>借出方确认时录入。</w:t>
            </w:r>
          </w:p>
        </w:tc>
      </w:tr>
      <w:tr w14:paraId="7B4BD033">
        <w:tblPrEx>
          <w:tblCellMar>
            <w:top w:w="0" w:type="dxa"/>
            <w:left w:w="108" w:type="dxa"/>
            <w:bottom w:w="0" w:type="dxa"/>
            <w:right w:w="108" w:type="dxa"/>
          </w:tblCellMar>
        </w:tblPrEx>
        <w:trPr>
          <w:trHeight w:val="20" w:hRule="atLeast"/>
        </w:trPr>
        <w:tc>
          <w:tcPr>
            <w:tcW w:w="2591" w:type="dxa"/>
            <w:tcBorders>
              <w:top w:val="single" w:color="auto" w:sz="8" w:space="0"/>
              <w:left w:val="single" w:color="auto" w:sz="8" w:space="0"/>
              <w:bottom w:val="single" w:color="auto" w:sz="8" w:space="0"/>
              <w:right w:val="single" w:color="auto" w:sz="8" w:space="0"/>
            </w:tcBorders>
          </w:tcPr>
          <w:p w14:paraId="6D330086">
            <w:pPr>
              <w:jc w:val="left"/>
              <w:rPr>
                <w:rFonts w:ascii="仿宋_GB2312" w:eastAsia="仿宋_GB2312"/>
                <w:b/>
                <w:sz w:val="24"/>
                <w:szCs w:val="24"/>
              </w:rPr>
            </w:pPr>
            <w:r>
              <w:rPr>
                <w:rFonts w:hint="eastAsia" w:ascii="仿宋_GB2312" w:eastAsia="仿宋_GB2312"/>
                <w:b/>
                <w:sz w:val="24"/>
                <w:szCs w:val="24"/>
              </w:rPr>
              <w:t>借出方资金账户</w:t>
            </w:r>
          </w:p>
        </w:tc>
        <w:tc>
          <w:tcPr>
            <w:tcW w:w="5671" w:type="dxa"/>
            <w:tcBorders>
              <w:top w:val="single" w:color="auto" w:sz="8" w:space="0"/>
              <w:left w:val="nil"/>
              <w:bottom w:val="single" w:color="auto" w:sz="8" w:space="0"/>
              <w:right w:val="single" w:color="auto" w:sz="8" w:space="0"/>
            </w:tcBorders>
            <w:vAlign w:val="center"/>
          </w:tcPr>
          <w:p w14:paraId="34036465">
            <w:pPr>
              <w:jc w:val="left"/>
              <w:rPr>
                <w:rFonts w:ascii="仿宋_GB2312" w:hAnsi="宋体" w:eastAsia="仿宋_GB2312" w:cs="宋体"/>
                <w:bCs/>
                <w:color w:val="000000"/>
                <w:kern w:val="0"/>
                <w:sz w:val="24"/>
                <w:szCs w:val="24"/>
              </w:rPr>
            </w:pPr>
            <w:r>
              <w:rPr>
                <w:rFonts w:hint="eastAsia" w:ascii="仿宋_GB2312" w:hAnsi="宋体" w:eastAsia="仿宋_GB2312" w:cs="宋体"/>
                <w:bCs/>
                <w:color w:val="000000"/>
                <w:kern w:val="0"/>
                <w:sz w:val="24"/>
                <w:szCs w:val="24"/>
              </w:rPr>
              <w:t>借出债券机构的场外资金</w:t>
            </w:r>
            <w:r>
              <w:rPr>
                <w:rFonts w:ascii="仿宋_GB2312" w:hAnsi="宋体" w:eastAsia="仿宋_GB2312" w:cs="宋体"/>
                <w:bCs/>
                <w:color w:val="000000"/>
                <w:kern w:val="0"/>
                <w:sz w:val="24"/>
                <w:szCs w:val="24"/>
              </w:rPr>
              <w:t>账户与名称</w:t>
            </w:r>
            <w:r>
              <w:rPr>
                <w:rFonts w:hint="eastAsia" w:ascii="仿宋_GB2312" w:hAnsi="宋体" w:eastAsia="仿宋_GB2312" w:cs="宋体"/>
                <w:bCs/>
                <w:color w:val="000000"/>
                <w:kern w:val="0"/>
                <w:sz w:val="24"/>
                <w:szCs w:val="24"/>
              </w:rPr>
              <w:t>，</w:t>
            </w:r>
            <w:r>
              <w:rPr>
                <w:rFonts w:ascii="仿宋_GB2312" w:hAnsi="宋体" w:eastAsia="仿宋_GB2312" w:cs="宋体"/>
                <w:bCs/>
                <w:color w:val="000000"/>
                <w:kern w:val="0"/>
                <w:sz w:val="24"/>
                <w:szCs w:val="24"/>
              </w:rPr>
              <w:t>借出方确认时录入。</w:t>
            </w:r>
          </w:p>
        </w:tc>
      </w:tr>
      <w:tr w14:paraId="3A07815C">
        <w:tblPrEx>
          <w:tblCellMar>
            <w:top w:w="0" w:type="dxa"/>
            <w:left w:w="108" w:type="dxa"/>
            <w:bottom w:w="0" w:type="dxa"/>
            <w:right w:w="108" w:type="dxa"/>
          </w:tblCellMar>
        </w:tblPrEx>
        <w:trPr>
          <w:trHeight w:val="20" w:hRule="atLeast"/>
        </w:trPr>
        <w:tc>
          <w:tcPr>
            <w:tcW w:w="2591" w:type="dxa"/>
            <w:tcBorders>
              <w:top w:val="single" w:color="auto" w:sz="8" w:space="0"/>
              <w:left w:val="single" w:color="auto" w:sz="8" w:space="0"/>
              <w:bottom w:val="single" w:color="auto" w:sz="8" w:space="0"/>
              <w:right w:val="single" w:color="auto" w:sz="8" w:space="0"/>
            </w:tcBorders>
            <w:vAlign w:val="center"/>
          </w:tcPr>
          <w:p w14:paraId="3E27E324">
            <w:pPr>
              <w:jc w:val="left"/>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标的债券</w:t>
            </w:r>
          </w:p>
        </w:tc>
        <w:tc>
          <w:tcPr>
            <w:tcW w:w="5671" w:type="dxa"/>
            <w:tcBorders>
              <w:top w:val="single" w:color="auto" w:sz="8" w:space="0"/>
              <w:left w:val="nil"/>
              <w:bottom w:val="single" w:color="auto" w:sz="8" w:space="0"/>
              <w:right w:val="single" w:color="auto" w:sz="8" w:space="0"/>
            </w:tcBorders>
            <w:vAlign w:val="center"/>
          </w:tcPr>
          <w:p w14:paraId="08914322">
            <w:pPr>
              <w:jc w:val="left"/>
              <w:rPr>
                <w:rFonts w:ascii="仿宋_GB2312" w:hAnsi="宋体" w:eastAsia="仿宋_GB2312" w:cs="宋体"/>
                <w:bCs/>
                <w:color w:val="000000"/>
                <w:kern w:val="0"/>
                <w:sz w:val="24"/>
                <w:szCs w:val="24"/>
              </w:rPr>
            </w:pPr>
            <w:r>
              <w:rPr>
                <w:rFonts w:hint="eastAsia" w:ascii="仿宋_GB2312" w:hAnsi="宋体" w:eastAsia="仿宋_GB2312" w:cs="宋体"/>
                <w:bCs/>
                <w:color w:val="000000"/>
                <w:kern w:val="0"/>
                <w:sz w:val="24"/>
                <w:szCs w:val="24"/>
              </w:rPr>
              <w:t>债券借贷的标的债券代码和简称标识。</w:t>
            </w:r>
            <w:r>
              <w:rPr>
                <w:rFonts w:ascii="仿宋_GB2312" w:hAnsi="宋体" w:eastAsia="仿宋_GB2312" w:cs="宋体"/>
                <w:bCs/>
                <w:color w:val="000000"/>
                <w:kern w:val="0"/>
                <w:sz w:val="24"/>
                <w:szCs w:val="24"/>
              </w:rPr>
              <w:t>输入</w:t>
            </w:r>
            <w:r>
              <w:rPr>
                <w:rFonts w:hint="eastAsia" w:ascii="仿宋_GB2312" w:hAnsi="宋体" w:eastAsia="仿宋_GB2312" w:cs="宋体"/>
                <w:bCs/>
                <w:color w:val="000000"/>
                <w:kern w:val="0"/>
                <w:sz w:val="24"/>
                <w:szCs w:val="24"/>
              </w:rPr>
              <w:t>代码</w:t>
            </w:r>
            <w:r>
              <w:rPr>
                <w:rFonts w:ascii="仿宋_GB2312" w:hAnsi="宋体" w:eastAsia="仿宋_GB2312" w:cs="宋体"/>
                <w:bCs/>
                <w:color w:val="000000"/>
                <w:kern w:val="0"/>
                <w:sz w:val="24"/>
                <w:szCs w:val="24"/>
              </w:rPr>
              <w:t>，自动</w:t>
            </w:r>
            <w:r>
              <w:rPr>
                <w:rFonts w:hint="eastAsia" w:ascii="仿宋_GB2312" w:hAnsi="宋体" w:eastAsia="仿宋_GB2312" w:cs="宋体"/>
                <w:bCs/>
                <w:color w:val="000000"/>
                <w:kern w:val="0"/>
                <w:sz w:val="24"/>
                <w:szCs w:val="24"/>
              </w:rPr>
              <w:t>生成简称。</w:t>
            </w:r>
          </w:p>
        </w:tc>
      </w:tr>
      <w:tr w14:paraId="0E01C7B1">
        <w:tblPrEx>
          <w:tblCellMar>
            <w:top w:w="0" w:type="dxa"/>
            <w:left w:w="108" w:type="dxa"/>
            <w:bottom w:w="0" w:type="dxa"/>
            <w:right w:w="108" w:type="dxa"/>
          </w:tblCellMar>
        </w:tblPrEx>
        <w:trPr>
          <w:trHeight w:val="20" w:hRule="atLeast"/>
        </w:trPr>
        <w:tc>
          <w:tcPr>
            <w:tcW w:w="2591" w:type="dxa"/>
            <w:tcBorders>
              <w:top w:val="single" w:color="auto" w:sz="8" w:space="0"/>
              <w:left w:val="single" w:color="auto" w:sz="8" w:space="0"/>
              <w:bottom w:val="single" w:color="auto" w:sz="8" w:space="0"/>
              <w:right w:val="single" w:color="auto" w:sz="8" w:space="0"/>
            </w:tcBorders>
            <w:vAlign w:val="center"/>
          </w:tcPr>
          <w:p w14:paraId="4DF36742">
            <w:pPr>
              <w:jc w:val="left"/>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标的</w:t>
            </w:r>
            <w:r>
              <w:rPr>
                <w:rFonts w:ascii="仿宋_GB2312" w:hAnsi="宋体" w:eastAsia="仿宋_GB2312" w:cs="宋体"/>
                <w:b/>
                <w:bCs/>
                <w:color w:val="000000"/>
                <w:kern w:val="0"/>
                <w:sz w:val="24"/>
                <w:szCs w:val="24"/>
              </w:rPr>
              <w:t>券面</w:t>
            </w:r>
            <w:r>
              <w:rPr>
                <w:rFonts w:hint="eastAsia" w:ascii="仿宋_GB2312" w:hAnsi="宋体" w:eastAsia="仿宋_GB2312" w:cs="宋体"/>
                <w:b/>
                <w:bCs/>
                <w:color w:val="000000"/>
                <w:kern w:val="0"/>
                <w:sz w:val="24"/>
                <w:szCs w:val="24"/>
              </w:rPr>
              <w:t>值</w:t>
            </w:r>
          </w:p>
        </w:tc>
        <w:tc>
          <w:tcPr>
            <w:tcW w:w="5671" w:type="dxa"/>
            <w:tcBorders>
              <w:top w:val="single" w:color="auto" w:sz="8" w:space="0"/>
              <w:left w:val="nil"/>
              <w:bottom w:val="single" w:color="auto" w:sz="8" w:space="0"/>
              <w:right w:val="single" w:color="auto" w:sz="8" w:space="0"/>
            </w:tcBorders>
            <w:vAlign w:val="center"/>
          </w:tcPr>
          <w:p w14:paraId="7F135573">
            <w:pPr>
              <w:jc w:val="left"/>
              <w:rPr>
                <w:rFonts w:ascii="仿宋_GB2312" w:hAnsi="宋体" w:eastAsia="仿宋_GB2312" w:cs="宋体"/>
                <w:bCs/>
                <w:color w:val="000000"/>
                <w:kern w:val="0"/>
                <w:sz w:val="24"/>
                <w:szCs w:val="24"/>
              </w:rPr>
            </w:pPr>
            <w:r>
              <w:rPr>
                <w:rFonts w:ascii="仿宋_GB2312" w:hAnsi="宋体" w:eastAsia="仿宋_GB2312" w:cs="宋体"/>
                <w:bCs/>
                <w:color w:val="000000"/>
                <w:kern w:val="0"/>
                <w:sz w:val="24"/>
                <w:szCs w:val="24"/>
              </w:rPr>
              <w:t>输入</w:t>
            </w:r>
            <w:r>
              <w:rPr>
                <w:rFonts w:hint="eastAsia" w:ascii="仿宋_GB2312" w:hAnsi="宋体" w:eastAsia="仿宋_GB2312" w:cs="宋体"/>
                <w:bCs/>
                <w:color w:val="000000"/>
                <w:kern w:val="0"/>
                <w:sz w:val="24"/>
                <w:szCs w:val="24"/>
              </w:rPr>
              <w:t>代码</w:t>
            </w:r>
            <w:r>
              <w:rPr>
                <w:rFonts w:ascii="仿宋_GB2312" w:hAnsi="宋体" w:eastAsia="仿宋_GB2312" w:cs="宋体"/>
                <w:bCs/>
                <w:color w:val="000000"/>
                <w:kern w:val="0"/>
                <w:sz w:val="24"/>
                <w:szCs w:val="24"/>
              </w:rPr>
              <w:t>，自动</w:t>
            </w:r>
            <w:r>
              <w:rPr>
                <w:rFonts w:hint="eastAsia" w:ascii="仿宋_GB2312" w:hAnsi="宋体" w:eastAsia="仿宋_GB2312" w:cs="宋体"/>
                <w:bCs/>
                <w:color w:val="000000"/>
                <w:kern w:val="0"/>
                <w:sz w:val="24"/>
                <w:szCs w:val="24"/>
              </w:rPr>
              <w:t>生成。</w:t>
            </w:r>
          </w:p>
        </w:tc>
      </w:tr>
      <w:tr w14:paraId="1E204693">
        <w:tblPrEx>
          <w:tblCellMar>
            <w:top w:w="0" w:type="dxa"/>
            <w:left w:w="108" w:type="dxa"/>
            <w:bottom w:w="0" w:type="dxa"/>
            <w:right w:w="108" w:type="dxa"/>
          </w:tblCellMar>
        </w:tblPrEx>
        <w:trPr>
          <w:trHeight w:val="20" w:hRule="atLeast"/>
        </w:trPr>
        <w:tc>
          <w:tcPr>
            <w:tcW w:w="2591" w:type="dxa"/>
            <w:tcBorders>
              <w:top w:val="single" w:color="auto" w:sz="8" w:space="0"/>
              <w:left w:val="single" w:color="auto" w:sz="8" w:space="0"/>
              <w:bottom w:val="single" w:color="auto" w:sz="8" w:space="0"/>
              <w:right w:val="single" w:color="auto" w:sz="8" w:space="0"/>
            </w:tcBorders>
            <w:vAlign w:val="center"/>
          </w:tcPr>
          <w:p w14:paraId="230455F3">
            <w:pPr>
              <w:jc w:val="left"/>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标的券数量</w:t>
            </w:r>
          </w:p>
        </w:tc>
        <w:tc>
          <w:tcPr>
            <w:tcW w:w="5671" w:type="dxa"/>
            <w:tcBorders>
              <w:top w:val="single" w:color="auto" w:sz="8" w:space="0"/>
              <w:left w:val="nil"/>
              <w:bottom w:val="single" w:color="auto" w:sz="8" w:space="0"/>
              <w:right w:val="single" w:color="auto" w:sz="8" w:space="0"/>
            </w:tcBorders>
            <w:vAlign w:val="center"/>
          </w:tcPr>
          <w:p w14:paraId="19C83D16">
            <w:pPr>
              <w:jc w:val="left"/>
              <w:rPr>
                <w:rFonts w:ascii="仿宋_GB2312" w:hAnsi="宋体" w:eastAsia="仿宋_GB2312" w:cs="宋体"/>
                <w:bCs/>
                <w:color w:val="000000"/>
                <w:kern w:val="0"/>
                <w:sz w:val="24"/>
                <w:szCs w:val="24"/>
              </w:rPr>
            </w:pPr>
            <w:r>
              <w:rPr>
                <w:rFonts w:hint="eastAsia" w:ascii="仿宋_GB2312" w:hAnsi="宋体" w:eastAsia="仿宋_GB2312" w:cs="宋体"/>
                <w:bCs/>
                <w:color w:val="000000"/>
                <w:kern w:val="0"/>
                <w:sz w:val="24"/>
                <w:szCs w:val="24"/>
              </w:rPr>
              <w:t>标的</w:t>
            </w:r>
            <w:r>
              <w:rPr>
                <w:rFonts w:ascii="仿宋_GB2312" w:hAnsi="宋体" w:eastAsia="仿宋_GB2312" w:cs="宋体"/>
                <w:bCs/>
                <w:color w:val="000000"/>
                <w:kern w:val="0"/>
                <w:sz w:val="24"/>
                <w:szCs w:val="24"/>
              </w:rPr>
              <w:t>券数量</w:t>
            </w:r>
            <w:r>
              <w:rPr>
                <w:rFonts w:hint="eastAsia" w:ascii="仿宋_GB2312" w:hAnsi="宋体" w:eastAsia="仿宋_GB2312" w:cs="宋体"/>
                <w:bCs/>
                <w:color w:val="000000"/>
                <w:kern w:val="0"/>
                <w:sz w:val="24"/>
                <w:szCs w:val="24"/>
              </w:rPr>
              <w:t>（千元面额），借入方录入。</w:t>
            </w:r>
          </w:p>
        </w:tc>
      </w:tr>
      <w:tr w14:paraId="0F70E307">
        <w:tblPrEx>
          <w:tblCellMar>
            <w:top w:w="0" w:type="dxa"/>
            <w:left w:w="108" w:type="dxa"/>
            <w:bottom w:w="0" w:type="dxa"/>
            <w:right w:w="108" w:type="dxa"/>
          </w:tblCellMar>
        </w:tblPrEx>
        <w:trPr>
          <w:trHeight w:val="20" w:hRule="atLeast"/>
        </w:trPr>
        <w:tc>
          <w:tcPr>
            <w:tcW w:w="2591" w:type="dxa"/>
            <w:tcBorders>
              <w:top w:val="single" w:color="auto" w:sz="8" w:space="0"/>
              <w:left w:val="single" w:color="auto" w:sz="8" w:space="0"/>
              <w:bottom w:val="single" w:color="auto" w:sz="8" w:space="0"/>
              <w:right w:val="single" w:color="auto" w:sz="8" w:space="0"/>
            </w:tcBorders>
            <w:vAlign w:val="center"/>
          </w:tcPr>
          <w:p w14:paraId="44830399">
            <w:pPr>
              <w:jc w:val="left"/>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标的债券总面额（券面</w:t>
            </w:r>
            <w:r>
              <w:rPr>
                <w:rFonts w:ascii="仿宋_GB2312" w:hAnsi="宋体" w:eastAsia="仿宋_GB2312" w:cs="宋体"/>
                <w:b/>
                <w:bCs/>
                <w:color w:val="000000"/>
                <w:kern w:val="0"/>
                <w:sz w:val="24"/>
                <w:szCs w:val="24"/>
              </w:rPr>
              <w:t>总额）</w:t>
            </w:r>
          </w:p>
        </w:tc>
        <w:tc>
          <w:tcPr>
            <w:tcW w:w="5671" w:type="dxa"/>
            <w:tcBorders>
              <w:top w:val="single" w:color="auto" w:sz="8" w:space="0"/>
              <w:left w:val="nil"/>
              <w:bottom w:val="single" w:color="auto" w:sz="8" w:space="0"/>
              <w:right w:val="single" w:color="auto" w:sz="8" w:space="0"/>
            </w:tcBorders>
            <w:vAlign w:val="center"/>
          </w:tcPr>
          <w:p w14:paraId="23A22DEF">
            <w:pPr>
              <w:jc w:val="left"/>
              <w:rPr>
                <w:rFonts w:ascii="仿宋_GB2312" w:hAnsi="宋体" w:eastAsia="仿宋_GB2312" w:cs="宋体"/>
                <w:bCs/>
                <w:color w:val="000000"/>
                <w:kern w:val="0"/>
                <w:sz w:val="24"/>
                <w:szCs w:val="24"/>
              </w:rPr>
            </w:pPr>
            <w:r>
              <w:rPr>
                <w:rFonts w:hint="eastAsia" w:ascii="仿宋_GB2312" w:hAnsi="宋体" w:eastAsia="仿宋_GB2312" w:cs="宋体"/>
                <w:bCs/>
                <w:color w:val="000000"/>
                <w:kern w:val="0"/>
                <w:sz w:val="24"/>
                <w:szCs w:val="24"/>
              </w:rPr>
              <w:t>标的债券按发行面额计算的总量，单位为万元。债券发生分期偿还、分期摊还的，债券面值为减少后的面额。</w:t>
            </w:r>
          </w:p>
          <w:p w14:paraId="3675A397">
            <w:pPr>
              <w:jc w:val="left"/>
              <w:rPr>
                <w:rFonts w:ascii="仿宋_GB2312" w:hAnsi="宋体" w:eastAsia="仿宋_GB2312" w:cs="宋体"/>
                <w:bCs/>
                <w:color w:val="000000"/>
                <w:kern w:val="0"/>
                <w:sz w:val="24"/>
                <w:szCs w:val="24"/>
              </w:rPr>
            </w:pPr>
            <w:r>
              <w:rPr>
                <w:rFonts w:hint="eastAsia" w:ascii="仿宋_GB2312" w:eastAsia="仿宋_GB2312"/>
                <w:kern w:val="0"/>
                <w:sz w:val="24"/>
                <w:szCs w:val="24"/>
              </w:rPr>
              <w:t>标的券</w:t>
            </w:r>
            <w:r>
              <w:rPr>
                <w:rFonts w:hint="eastAsia" w:ascii="仿宋_GB2312" w:hAnsi="宋体" w:eastAsia="仿宋_GB2312" w:cs="宋体"/>
                <w:bCs/>
                <w:color w:val="000000"/>
                <w:kern w:val="0"/>
                <w:sz w:val="24"/>
                <w:szCs w:val="24"/>
              </w:rPr>
              <w:t>券面</w:t>
            </w:r>
            <w:r>
              <w:rPr>
                <w:rFonts w:ascii="仿宋_GB2312" w:hAnsi="宋体" w:eastAsia="仿宋_GB2312" w:cs="宋体"/>
                <w:bCs/>
                <w:color w:val="000000"/>
                <w:kern w:val="0"/>
                <w:sz w:val="24"/>
                <w:szCs w:val="24"/>
              </w:rPr>
              <w:t>总额</w:t>
            </w:r>
            <w:r>
              <w:rPr>
                <w:rFonts w:hint="eastAsia" w:ascii="仿宋_GB2312" w:hAnsi="宋体" w:eastAsia="仿宋_GB2312" w:cs="宋体"/>
                <w:bCs/>
                <w:color w:val="000000"/>
                <w:kern w:val="0"/>
                <w:sz w:val="24"/>
                <w:szCs w:val="24"/>
              </w:rPr>
              <w:t>（万元）</w:t>
            </w:r>
            <w:r>
              <w:rPr>
                <w:rFonts w:ascii="仿宋_GB2312" w:hAnsi="仿宋_GB2312" w:eastAsia="仿宋_GB2312" w:cs="宋体"/>
                <w:bCs/>
                <w:color w:val="000000"/>
                <w:kern w:val="0"/>
                <w:sz w:val="24"/>
                <w:szCs w:val="24"/>
              </w:rPr>
              <w:t>=</w:t>
            </w:r>
            <w:r>
              <w:rPr>
                <w:rFonts w:hint="eastAsia" w:ascii="仿宋_GB2312" w:eastAsia="仿宋_GB2312"/>
                <w:kern w:val="0"/>
                <w:sz w:val="24"/>
                <w:szCs w:val="24"/>
              </w:rPr>
              <w:t>单张标的券</w:t>
            </w:r>
            <w:r>
              <w:rPr>
                <w:rFonts w:hint="eastAsia" w:ascii="仿宋_GB2312" w:hAnsi="宋体" w:eastAsia="仿宋_GB2312" w:cs="宋体"/>
                <w:bCs/>
                <w:color w:val="000000"/>
                <w:kern w:val="0"/>
                <w:sz w:val="24"/>
                <w:szCs w:val="24"/>
              </w:rPr>
              <w:t>面额（元）</w:t>
            </w:r>
            <w:r>
              <w:rPr>
                <w:rFonts w:ascii="仿宋_GB2312" w:hAnsi="宋体" w:eastAsia="仿宋_GB2312" w:cs="宋体"/>
                <w:bCs/>
                <w:color w:val="000000"/>
                <w:kern w:val="0"/>
                <w:sz w:val="24"/>
                <w:szCs w:val="24"/>
              </w:rPr>
              <w:t>×</w:t>
            </w:r>
            <w:r>
              <w:rPr>
                <w:rFonts w:hint="eastAsia" w:ascii="仿宋_GB2312" w:hAnsi="宋体" w:eastAsia="仿宋_GB2312" w:cs="宋体"/>
                <w:bCs/>
                <w:color w:val="000000"/>
                <w:kern w:val="0"/>
                <w:sz w:val="24"/>
                <w:szCs w:val="24"/>
              </w:rPr>
              <w:t>标的</w:t>
            </w:r>
            <w:r>
              <w:rPr>
                <w:rFonts w:ascii="仿宋_GB2312" w:hAnsi="宋体" w:eastAsia="仿宋_GB2312" w:cs="宋体"/>
                <w:bCs/>
                <w:color w:val="000000"/>
                <w:kern w:val="0"/>
                <w:sz w:val="24"/>
                <w:szCs w:val="24"/>
              </w:rPr>
              <w:t>券数量</w:t>
            </w:r>
            <w:r>
              <w:rPr>
                <w:rFonts w:hint="eastAsia" w:ascii="仿宋_GB2312" w:hAnsi="宋体" w:eastAsia="仿宋_GB2312" w:cs="宋体"/>
                <w:bCs/>
                <w:color w:val="000000"/>
                <w:kern w:val="0"/>
                <w:sz w:val="24"/>
                <w:szCs w:val="24"/>
              </w:rPr>
              <w:t>（千元面额）×10/10000 （下同）</w:t>
            </w:r>
          </w:p>
        </w:tc>
      </w:tr>
      <w:tr w14:paraId="58AAE76D">
        <w:tblPrEx>
          <w:tblCellMar>
            <w:top w:w="0" w:type="dxa"/>
            <w:left w:w="108" w:type="dxa"/>
            <w:bottom w:w="0" w:type="dxa"/>
            <w:right w:w="108" w:type="dxa"/>
          </w:tblCellMar>
        </w:tblPrEx>
        <w:trPr>
          <w:trHeight w:val="20" w:hRule="atLeast"/>
        </w:trPr>
        <w:tc>
          <w:tcPr>
            <w:tcW w:w="2591" w:type="dxa"/>
            <w:tcBorders>
              <w:top w:val="single" w:color="auto" w:sz="8" w:space="0"/>
              <w:left w:val="single" w:color="auto" w:sz="8" w:space="0"/>
              <w:bottom w:val="single" w:color="auto" w:sz="8" w:space="0"/>
              <w:right w:val="single" w:color="auto" w:sz="8" w:space="0"/>
            </w:tcBorders>
            <w:vAlign w:val="center"/>
          </w:tcPr>
          <w:p w14:paraId="32548357">
            <w:pPr>
              <w:jc w:val="left"/>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标的</w:t>
            </w:r>
            <w:r>
              <w:rPr>
                <w:rFonts w:ascii="仿宋_GB2312" w:hAnsi="宋体" w:eastAsia="仿宋_GB2312" w:cs="宋体"/>
                <w:b/>
                <w:bCs/>
                <w:color w:val="000000"/>
                <w:kern w:val="0"/>
                <w:sz w:val="24"/>
                <w:szCs w:val="24"/>
              </w:rPr>
              <w:t>券下一付息日</w:t>
            </w:r>
          </w:p>
        </w:tc>
        <w:tc>
          <w:tcPr>
            <w:tcW w:w="5671" w:type="dxa"/>
            <w:tcBorders>
              <w:top w:val="single" w:color="auto" w:sz="8" w:space="0"/>
              <w:left w:val="nil"/>
              <w:bottom w:val="single" w:color="auto" w:sz="8" w:space="0"/>
              <w:right w:val="single" w:color="auto" w:sz="8" w:space="0"/>
            </w:tcBorders>
            <w:vAlign w:val="center"/>
          </w:tcPr>
          <w:p w14:paraId="2692A2A0">
            <w:pPr>
              <w:jc w:val="left"/>
              <w:rPr>
                <w:rFonts w:ascii="仿宋_GB2312" w:hAnsi="宋体" w:eastAsia="仿宋_GB2312" w:cs="宋体"/>
                <w:bCs/>
                <w:color w:val="000000"/>
                <w:kern w:val="0"/>
                <w:sz w:val="24"/>
                <w:szCs w:val="24"/>
              </w:rPr>
            </w:pPr>
            <w:r>
              <w:rPr>
                <w:rFonts w:hint="eastAsia" w:ascii="仿宋_GB2312" w:hAnsi="宋体" w:eastAsia="仿宋_GB2312" w:cs="宋体"/>
                <w:bCs/>
                <w:color w:val="000000"/>
                <w:kern w:val="0"/>
                <w:sz w:val="24"/>
                <w:szCs w:val="24"/>
              </w:rPr>
              <w:t>标的债券下次付息日，借入方录入。</w:t>
            </w:r>
          </w:p>
        </w:tc>
      </w:tr>
      <w:tr w14:paraId="41AF2F9A">
        <w:tblPrEx>
          <w:tblCellMar>
            <w:top w:w="0" w:type="dxa"/>
            <w:left w:w="108" w:type="dxa"/>
            <w:bottom w:w="0" w:type="dxa"/>
            <w:right w:w="108" w:type="dxa"/>
          </w:tblCellMar>
        </w:tblPrEx>
        <w:trPr>
          <w:trHeight w:val="20" w:hRule="atLeast"/>
        </w:trPr>
        <w:tc>
          <w:tcPr>
            <w:tcW w:w="2591" w:type="dxa"/>
            <w:tcBorders>
              <w:top w:val="single" w:color="auto" w:sz="8" w:space="0"/>
              <w:left w:val="single" w:color="auto" w:sz="8" w:space="0"/>
              <w:bottom w:val="single" w:color="auto" w:sz="8" w:space="0"/>
              <w:right w:val="single" w:color="auto" w:sz="8" w:space="0"/>
            </w:tcBorders>
            <w:vAlign w:val="center"/>
          </w:tcPr>
          <w:p w14:paraId="2E6C616D">
            <w:pPr>
              <w:jc w:val="left"/>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应计利息</w:t>
            </w:r>
            <w:r>
              <w:rPr>
                <w:rFonts w:ascii="仿宋_GB2312" w:hAnsi="宋体" w:eastAsia="仿宋_GB2312" w:cs="宋体"/>
                <w:b/>
                <w:bCs/>
                <w:color w:val="000000"/>
                <w:kern w:val="0"/>
                <w:sz w:val="24"/>
                <w:szCs w:val="24"/>
              </w:rPr>
              <w:t>总额</w:t>
            </w:r>
          </w:p>
        </w:tc>
        <w:tc>
          <w:tcPr>
            <w:tcW w:w="5671" w:type="dxa"/>
            <w:tcBorders>
              <w:top w:val="single" w:color="auto" w:sz="8" w:space="0"/>
              <w:left w:val="nil"/>
              <w:bottom w:val="single" w:color="auto" w:sz="8" w:space="0"/>
              <w:right w:val="single" w:color="auto" w:sz="8" w:space="0"/>
            </w:tcBorders>
            <w:vAlign w:val="center"/>
          </w:tcPr>
          <w:p w14:paraId="4D85532B">
            <w:pPr>
              <w:jc w:val="left"/>
              <w:rPr>
                <w:rFonts w:ascii="仿宋_GB2312" w:hAnsi="宋体" w:eastAsia="仿宋_GB2312" w:cs="宋体"/>
                <w:bCs/>
                <w:color w:val="000000"/>
                <w:kern w:val="0"/>
                <w:sz w:val="24"/>
                <w:szCs w:val="24"/>
              </w:rPr>
            </w:pPr>
            <w:r>
              <w:rPr>
                <w:rFonts w:hint="eastAsia" w:ascii="仿宋_GB2312" w:hAnsi="宋体" w:eastAsia="仿宋_GB2312" w:cs="宋体"/>
                <w:bCs/>
                <w:color w:val="000000"/>
                <w:kern w:val="0"/>
                <w:sz w:val="24"/>
                <w:szCs w:val="24"/>
              </w:rPr>
              <w:t>标的债券下次付息日付息总额，借入方录入。</w:t>
            </w:r>
          </w:p>
        </w:tc>
      </w:tr>
      <w:tr w14:paraId="55529AE5">
        <w:tblPrEx>
          <w:tblCellMar>
            <w:top w:w="0" w:type="dxa"/>
            <w:left w:w="108" w:type="dxa"/>
            <w:bottom w:w="0" w:type="dxa"/>
            <w:right w:w="108" w:type="dxa"/>
          </w:tblCellMar>
        </w:tblPrEx>
        <w:trPr>
          <w:trHeight w:val="20" w:hRule="atLeast"/>
        </w:trPr>
        <w:tc>
          <w:tcPr>
            <w:tcW w:w="2591" w:type="dxa"/>
            <w:tcBorders>
              <w:top w:val="single" w:color="auto" w:sz="8" w:space="0"/>
              <w:left w:val="single" w:color="auto" w:sz="8" w:space="0"/>
              <w:bottom w:val="single" w:color="auto" w:sz="8" w:space="0"/>
              <w:right w:val="single" w:color="auto" w:sz="8" w:space="0"/>
            </w:tcBorders>
            <w:vAlign w:val="center"/>
          </w:tcPr>
          <w:p w14:paraId="043B99CB">
            <w:pPr>
              <w:jc w:val="left"/>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质押债券</w:t>
            </w:r>
          </w:p>
        </w:tc>
        <w:tc>
          <w:tcPr>
            <w:tcW w:w="5671" w:type="dxa"/>
            <w:tcBorders>
              <w:top w:val="single" w:color="auto" w:sz="8" w:space="0"/>
              <w:left w:val="nil"/>
              <w:bottom w:val="single" w:color="auto" w:sz="8" w:space="0"/>
              <w:right w:val="single" w:color="auto" w:sz="8" w:space="0"/>
            </w:tcBorders>
            <w:vAlign w:val="center"/>
          </w:tcPr>
          <w:p w14:paraId="5AEADCE6">
            <w:pPr>
              <w:jc w:val="left"/>
              <w:rPr>
                <w:rFonts w:ascii="仿宋_GB2312" w:hAnsi="宋体" w:eastAsia="仿宋_GB2312" w:cs="宋体"/>
                <w:bCs/>
                <w:color w:val="000000"/>
                <w:kern w:val="0"/>
                <w:sz w:val="24"/>
                <w:szCs w:val="24"/>
              </w:rPr>
            </w:pPr>
            <w:r>
              <w:rPr>
                <w:rFonts w:hint="eastAsia" w:ascii="仿宋_GB2312" w:hAnsi="宋体" w:eastAsia="仿宋_GB2312" w:cs="宋体"/>
                <w:bCs/>
                <w:color w:val="000000"/>
                <w:kern w:val="0"/>
                <w:sz w:val="24"/>
                <w:szCs w:val="24"/>
              </w:rPr>
              <w:t>债券借贷过程中，债券借入方质押给债券借出方的债券代码和简称标识，</w:t>
            </w:r>
            <w:r>
              <w:rPr>
                <w:rFonts w:ascii="仿宋_GB2312" w:hAnsi="宋体" w:eastAsia="仿宋_GB2312" w:cs="宋体"/>
                <w:bCs/>
                <w:color w:val="000000"/>
                <w:kern w:val="0"/>
                <w:sz w:val="24"/>
                <w:szCs w:val="24"/>
              </w:rPr>
              <w:t>输入</w:t>
            </w:r>
            <w:r>
              <w:rPr>
                <w:rFonts w:hint="eastAsia" w:ascii="仿宋_GB2312" w:hAnsi="宋体" w:eastAsia="仿宋_GB2312" w:cs="宋体"/>
                <w:bCs/>
                <w:color w:val="000000"/>
                <w:kern w:val="0"/>
                <w:sz w:val="24"/>
                <w:szCs w:val="24"/>
              </w:rPr>
              <w:t>代码</w:t>
            </w:r>
            <w:r>
              <w:rPr>
                <w:rFonts w:ascii="仿宋_GB2312" w:hAnsi="宋体" w:eastAsia="仿宋_GB2312" w:cs="宋体"/>
                <w:bCs/>
                <w:color w:val="000000"/>
                <w:kern w:val="0"/>
                <w:sz w:val="24"/>
                <w:szCs w:val="24"/>
              </w:rPr>
              <w:t>，自动</w:t>
            </w:r>
            <w:r>
              <w:rPr>
                <w:rFonts w:hint="eastAsia" w:ascii="仿宋_GB2312" w:hAnsi="宋体" w:eastAsia="仿宋_GB2312" w:cs="宋体"/>
                <w:bCs/>
                <w:color w:val="000000"/>
                <w:kern w:val="0"/>
                <w:sz w:val="24"/>
                <w:szCs w:val="24"/>
              </w:rPr>
              <w:t>生成简称。</w:t>
            </w:r>
          </w:p>
        </w:tc>
      </w:tr>
      <w:tr w14:paraId="06F2054C">
        <w:tblPrEx>
          <w:tblCellMar>
            <w:top w:w="0" w:type="dxa"/>
            <w:left w:w="108" w:type="dxa"/>
            <w:bottom w:w="0" w:type="dxa"/>
            <w:right w:w="108" w:type="dxa"/>
          </w:tblCellMar>
        </w:tblPrEx>
        <w:trPr>
          <w:trHeight w:val="20" w:hRule="atLeast"/>
        </w:trPr>
        <w:tc>
          <w:tcPr>
            <w:tcW w:w="2591" w:type="dxa"/>
            <w:tcBorders>
              <w:top w:val="single" w:color="auto" w:sz="8" w:space="0"/>
              <w:left w:val="single" w:color="auto" w:sz="8" w:space="0"/>
              <w:bottom w:val="single" w:color="auto" w:sz="8" w:space="0"/>
              <w:right w:val="single" w:color="auto" w:sz="8" w:space="0"/>
            </w:tcBorders>
            <w:vAlign w:val="center"/>
          </w:tcPr>
          <w:p w14:paraId="22A04358">
            <w:pPr>
              <w:jc w:val="left"/>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质押</w:t>
            </w:r>
            <w:r>
              <w:rPr>
                <w:rFonts w:ascii="仿宋_GB2312" w:hAnsi="宋体" w:eastAsia="仿宋_GB2312" w:cs="宋体"/>
                <w:b/>
                <w:bCs/>
                <w:color w:val="000000"/>
                <w:kern w:val="0"/>
                <w:sz w:val="24"/>
                <w:szCs w:val="24"/>
              </w:rPr>
              <w:t>券面</w:t>
            </w:r>
            <w:r>
              <w:rPr>
                <w:rFonts w:hint="eastAsia" w:ascii="仿宋_GB2312" w:hAnsi="宋体" w:eastAsia="仿宋_GB2312" w:cs="宋体"/>
                <w:b/>
                <w:bCs/>
                <w:color w:val="000000"/>
                <w:kern w:val="0"/>
                <w:sz w:val="24"/>
                <w:szCs w:val="24"/>
              </w:rPr>
              <w:t>值</w:t>
            </w:r>
          </w:p>
        </w:tc>
        <w:tc>
          <w:tcPr>
            <w:tcW w:w="5671" w:type="dxa"/>
            <w:tcBorders>
              <w:top w:val="single" w:color="auto" w:sz="8" w:space="0"/>
              <w:left w:val="nil"/>
              <w:bottom w:val="single" w:color="auto" w:sz="8" w:space="0"/>
              <w:right w:val="single" w:color="auto" w:sz="8" w:space="0"/>
            </w:tcBorders>
            <w:vAlign w:val="center"/>
          </w:tcPr>
          <w:p w14:paraId="02A802CE">
            <w:pPr>
              <w:jc w:val="left"/>
              <w:rPr>
                <w:rFonts w:ascii="仿宋_GB2312" w:hAnsi="宋体" w:eastAsia="仿宋_GB2312" w:cs="宋体"/>
                <w:bCs/>
                <w:color w:val="000000"/>
                <w:kern w:val="0"/>
                <w:sz w:val="24"/>
                <w:szCs w:val="24"/>
              </w:rPr>
            </w:pPr>
            <w:r>
              <w:rPr>
                <w:rFonts w:hint="eastAsia" w:ascii="仿宋_GB2312" w:hAnsi="宋体" w:eastAsia="仿宋_GB2312" w:cs="宋体"/>
                <w:bCs/>
                <w:color w:val="000000"/>
                <w:kern w:val="0"/>
                <w:sz w:val="24"/>
                <w:szCs w:val="24"/>
              </w:rPr>
              <w:t>显示初始</w:t>
            </w:r>
            <w:r>
              <w:rPr>
                <w:rFonts w:ascii="仿宋_GB2312" w:hAnsi="宋体" w:eastAsia="仿宋_GB2312" w:cs="宋体"/>
                <w:bCs/>
                <w:color w:val="000000"/>
                <w:kern w:val="0"/>
                <w:sz w:val="24"/>
                <w:szCs w:val="24"/>
              </w:rPr>
              <w:t>面</w:t>
            </w:r>
            <w:r>
              <w:rPr>
                <w:rFonts w:hint="eastAsia" w:ascii="仿宋_GB2312" w:hAnsi="宋体" w:eastAsia="仿宋_GB2312" w:cs="宋体"/>
                <w:bCs/>
                <w:color w:val="000000"/>
                <w:kern w:val="0"/>
                <w:sz w:val="24"/>
                <w:szCs w:val="24"/>
              </w:rPr>
              <w:t>额与最新</w:t>
            </w:r>
            <w:r>
              <w:rPr>
                <w:rFonts w:ascii="仿宋_GB2312" w:hAnsi="宋体" w:eastAsia="仿宋_GB2312" w:cs="宋体"/>
                <w:bCs/>
                <w:color w:val="000000"/>
                <w:kern w:val="0"/>
                <w:sz w:val="24"/>
                <w:szCs w:val="24"/>
              </w:rPr>
              <w:t>面</w:t>
            </w:r>
            <w:r>
              <w:rPr>
                <w:rFonts w:hint="eastAsia" w:ascii="仿宋_GB2312" w:hAnsi="宋体" w:eastAsia="仿宋_GB2312" w:cs="宋体"/>
                <w:bCs/>
                <w:color w:val="000000"/>
                <w:kern w:val="0"/>
                <w:sz w:val="24"/>
                <w:szCs w:val="24"/>
              </w:rPr>
              <w:t>额。质押</w:t>
            </w:r>
            <w:r>
              <w:rPr>
                <w:rFonts w:ascii="仿宋_GB2312" w:hAnsi="宋体" w:eastAsia="仿宋_GB2312" w:cs="宋体"/>
                <w:bCs/>
                <w:color w:val="000000"/>
                <w:kern w:val="0"/>
                <w:sz w:val="24"/>
                <w:szCs w:val="24"/>
              </w:rPr>
              <w:t>券</w:t>
            </w:r>
            <w:r>
              <w:rPr>
                <w:rFonts w:hint="eastAsia" w:ascii="仿宋_GB2312" w:hAnsi="宋体" w:eastAsia="仿宋_GB2312" w:cs="宋体"/>
                <w:bCs/>
                <w:color w:val="000000"/>
                <w:kern w:val="0"/>
                <w:sz w:val="24"/>
                <w:szCs w:val="24"/>
              </w:rPr>
              <w:t>初始</w:t>
            </w:r>
            <w:r>
              <w:rPr>
                <w:rFonts w:ascii="仿宋_GB2312" w:hAnsi="宋体" w:eastAsia="仿宋_GB2312" w:cs="宋体"/>
                <w:bCs/>
                <w:color w:val="000000"/>
                <w:kern w:val="0"/>
                <w:sz w:val="24"/>
                <w:szCs w:val="24"/>
              </w:rPr>
              <w:t>面额为</w:t>
            </w:r>
            <w:r>
              <w:rPr>
                <w:rFonts w:hint="eastAsia" w:ascii="仿宋_GB2312" w:hAnsi="宋体" w:eastAsia="仿宋_GB2312" w:cs="宋体"/>
                <w:bCs/>
                <w:color w:val="000000"/>
                <w:kern w:val="0"/>
                <w:sz w:val="24"/>
                <w:szCs w:val="24"/>
              </w:rPr>
              <w:t>质押</w:t>
            </w:r>
            <w:r>
              <w:rPr>
                <w:rFonts w:ascii="仿宋_GB2312" w:hAnsi="宋体" w:eastAsia="仿宋_GB2312" w:cs="宋体"/>
                <w:bCs/>
                <w:color w:val="000000"/>
                <w:kern w:val="0"/>
                <w:sz w:val="24"/>
                <w:szCs w:val="24"/>
              </w:rPr>
              <w:t>当日债券面额</w:t>
            </w:r>
            <w:r>
              <w:rPr>
                <w:rFonts w:hint="eastAsia" w:ascii="仿宋_GB2312" w:hAnsi="宋体" w:eastAsia="仿宋_GB2312" w:cs="宋体"/>
                <w:bCs/>
                <w:color w:val="000000"/>
                <w:kern w:val="0"/>
                <w:sz w:val="24"/>
                <w:szCs w:val="24"/>
              </w:rPr>
              <w:t>（发行</w:t>
            </w:r>
            <w:r>
              <w:rPr>
                <w:rFonts w:ascii="仿宋_GB2312" w:hAnsi="宋体" w:eastAsia="仿宋_GB2312" w:cs="宋体"/>
                <w:bCs/>
                <w:color w:val="000000"/>
                <w:kern w:val="0"/>
                <w:sz w:val="24"/>
                <w:szCs w:val="24"/>
              </w:rPr>
              <w:t>面额，如发行后</w:t>
            </w:r>
            <w:r>
              <w:rPr>
                <w:rFonts w:hint="eastAsia" w:ascii="仿宋_GB2312" w:hAnsi="宋体" w:eastAsia="仿宋_GB2312" w:cs="宋体"/>
                <w:bCs/>
                <w:color w:val="000000"/>
                <w:kern w:val="0"/>
                <w:sz w:val="24"/>
                <w:szCs w:val="24"/>
              </w:rPr>
              <w:t>债券发生分期偿还、分期摊还的，债券面值为减少后的面额），如质押日</w:t>
            </w:r>
            <w:r>
              <w:rPr>
                <w:rFonts w:ascii="仿宋_GB2312" w:hAnsi="宋体" w:eastAsia="仿宋_GB2312" w:cs="宋体"/>
                <w:bCs/>
                <w:color w:val="000000"/>
                <w:kern w:val="0"/>
                <w:sz w:val="24"/>
                <w:szCs w:val="24"/>
              </w:rPr>
              <w:t>后</w:t>
            </w:r>
            <w:r>
              <w:rPr>
                <w:rFonts w:hint="eastAsia" w:ascii="仿宋_GB2312" w:hAnsi="宋体" w:eastAsia="仿宋_GB2312" w:cs="宋体"/>
                <w:bCs/>
                <w:color w:val="000000"/>
                <w:kern w:val="0"/>
                <w:sz w:val="24"/>
                <w:szCs w:val="24"/>
              </w:rPr>
              <w:t>，债券发生分期偿还、分期摊还的，相关</w:t>
            </w:r>
            <w:r>
              <w:rPr>
                <w:rFonts w:ascii="仿宋_GB2312" w:hAnsi="宋体" w:eastAsia="仿宋_GB2312" w:cs="宋体"/>
                <w:bCs/>
                <w:color w:val="000000"/>
                <w:kern w:val="0"/>
                <w:sz w:val="24"/>
                <w:szCs w:val="24"/>
              </w:rPr>
              <w:t>质押券面额需更新，显示为</w:t>
            </w:r>
            <w:r>
              <w:rPr>
                <w:rFonts w:hint="eastAsia" w:ascii="仿宋_GB2312" w:hAnsi="宋体" w:eastAsia="仿宋_GB2312" w:cs="宋体"/>
                <w:bCs/>
                <w:color w:val="000000"/>
                <w:kern w:val="0"/>
                <w:sz w:val="24"/>
                <w:szCs w:val="24"/>
              </w:rPr>
              <w:t>最新</w:t>
            </w:r>
            <w:r>
              <w:rPr>
                <w:rFonts w:ascii="仿宋_GB2312" w:hAnsi="宋体" w:eastAsia="仿宋_GB2312" w:cs="宋体"/>
                <w:bCs/>
                <w:color w:val="000000"/>
                <w:kern w:val="0"/>
                <w:sz w:val="24"/>
                <w:szCs w:val="24"/>
              </w:rPr>
              <w:t>面</w:t>
            </w:r>
            <w:r>
              <w:rPr>
                <w:rFonts w:hint="eastAsia" w:ascii="仿宋_GB2312" w:hAnsi="宋体" w:eastAsia="仿宋_GB2312" w:cs="宋体"/>
                <w:bCs/>
                <w:color w:val="000000"/>
                <w:kern w:val="0"/>
                <w:sz w:val="24"/>
                <w:szCs w:val="24"/>
              </w:rPr>
              <w:t>额。</w:t>
            </w:r>
          </w:p>
        </w:tc>
      </w:tr>
      <w:tr w14:paraId="6875E06A">
        <w:tblPrEx>
          <w:tblCellMar>
            <w:top w:w="0" w:type="dxa"/>
            <w:left w:w="108" w:type="dxa"/>
            <w:bottom w:w="0" w:type="dxa"/>
            <w:right w:w="108" w:type="dxa"/>
          </w:tblCellMar>
        </w:tblPrEx>
        <w:trPr>
          <w:trHeight w:val="20" w:hRule="atLeast"/>
        </w:trPr>
        <w:tc>
          <w:tcPr>
            <w:tcW w:w="2591" w:type="dxa"/>
            <w:tcBorders>
              <w:top w:val="single" w:color="auto" w:sz="8" w:space="0"/>
              <w:left w:val="single" w:color="auto" w:sz="8" w:space="0"/>
              <w:bottom w:val="single" w:color="auto" w:sz="8" w:space="0"/>
              <w:right w:val="single" w:color="auto" w:sz="8" w:space="0"/>
            </w:tcBorders>
            <w:vAlign w:val="center"/>
          </w:tcPr>
          <w:p w14:paraId="7178884B">
            <w:pPr>
              <w:jc w:val="left"/>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质押券数量</w:t>
            </w:r>
          </w:p>
        </w:tc>
        <w:tc>
          <w:tcPr>
            <w:tcW w:w="5671" w:type="dxa"/>
            <w:tcBorders>
              <w:top w:val="single" w:color="auto" w:sz="8" w:space="0"/>
              <w:left w:val="nil"/>
              <w:bottom w:val="single" w:color="auto" w:sz="8" w:space="0"/>
              <w:right w:val="single" w:color="auto" w:sz="8" w:space="0"/>
            </w:tcBorders>
            <w:vAlign w:val="center"/>
          </w:tcPr>
          <w:p w14:paraId="4902F8C3">
            <w:pPr>
              <w:jc w:val="left"/>
              <w:rPr>
                <w:rFonts w:ascii="仿宋_GB2312" w:hAnsi="宋体" w:eastAsia="仿宋_GB2312" w:cs="宋体"/>
                <w:bCs/>
                <w:color w:val="000000"/>
                <w:kern w:val="0"/>
                <w:sz w:val="24"/>
                <w:szCs w:val="24"/>
              </w:rPr>
            </w:pPr>
            <w:r>
              <w:rPr>
                <w:rFonts w:hint="eastAsia" w:ascii="仿宋_GB2312" w:hAnsi="宋体" w:eastAsia="仿宋_GB2312" w:cs="宋体"/>
                <w:bCs/>
                <w:color w:val="000000"/>
                <w:kern w:val="0"/>
                <w:sz w:val="24"/>
                <w:szCs w:val="24"/>
              </w:rPr>
              <w:t>质押券数量（千元面额），借入方录入。</w:t>
            </w:r>
          </w:p>
        </w:tc>
      </w:tr>
      <w:tr w14:paraId="7E4E80A5">
        <w:tblPrEx>
          <w:tblCellMar>
            <w:top w:w="0" w:type="dxa"/>
            <w:left w:w="108" w:type="dxa"/>
            <w:bottom w:w="0" w:type="dxa"/>
            <w:right w:w="108" w:type="dxa"/>
          </w:tblCellMar>
        </w:tblPrEx>
        <w:trPr>
          <w:trHeight w:val="20" w:hRule="atLeast"/>
        </w:trPr>
        <w:tc>
          <w:tcPr>
            <w:tcW w:w="2591" w:type="dxa"/>
            <w:tcBorders>
              <w:top w:val="single" w:color="auto" w:sz="8" w:space="0"/>
              <w:left w:val="single" w:color="auto" w:sz="8" w:space="0"/>
              <w:bottom w:val="single" w:color="auto" w:sz="8" w:space="0"/>
              <w:right w:val="single" w:color="auto" w:sz="8" w:space="0"/>
            </w:tcBorders>
            <w:vAlign w:val="center"/>
          </w:tcPr>
          <w:p w14:paraId="2074F212">
            <w:pPr>
              <w:jc w:val="left"/>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质押债券总面额（券面</w:t>
            </w:r>
            <w:r>
              <w:rPr>
                <w:rFonts w:ascii="仿宋_GB2312" w:hAnsi="宋体" w:eastAsia="仿宋_GB2312" w:cs="宋体"/>
                <w:b/>
                <w:bCs/>
                <w:color w:val="000000"/>
                <w:kern w:val="0"/>
                <w:sz w:val="24"/>
                <w:szCs w:val="24"/>
              </w:rPr>
              <w:t>总额）</w:t>
            </w:r>
          </w:p>
        </w:tc>
        <w:tc>
          <w:tcPr>
            <w:tcW w:w="5671" w:type="dxa"/>
            <w:tcBorders>
              <w:top w:val="single" w:color="auto" w:sz="8" w:space="0"/>
              <w:left w:val="nil"/>
              <w:bottom w:val="single" w:color="auto" w:sz="8" w:space="0"/>
              <w:right w:val="single" w:color="auto" w:sz="8" w:space="0"/>
            </w:tcBorders>
            <w:vAlign w:val="center"/>
          </w:tcPr>
          <w:p w14:paraId="640C93A9">
            <w:pPr>
              <w:jc w:val="left"/>
              <w:rPr>
                <w:rFonts w:ascii="仿宋_GB2312" w:hAnsi="宋体" w:eastAsia="仿宋_GB2312" w:cs="宋体"/>
                <w:bCs/>
                <w:color w:val="000000"/>
                <w:kern w:val="0"/>
                <w:sz w:val="24"/>
                <w:szCs w:val="24"/>
              </w:rPr>
            </w:pPr>
            <w:r>
              <w:rPr>
                <w:rFonts w:hint="eastAsia" w:ascii="仿宋_GB2312" w:hAnsi="宋体" w:eastAsia="仿宋_GB2312" w:cs="宋体"/>
                <w:bCs/>
                <w:color w:val="000000"/>
                <w:kern w:val="0"/>
                <w:sz w:val="24"/>
                <w:szCs w:val="24"/>
              </w:rPr>
              <w:t>质押债券按发行面额计算的总量，单位为万元。债券发生分期偿还、分期摊还的，债券面值为减少后的面值。</w:t>
            </w:r>
          </w:p>
          <w:p w14:paraId="7D63469A">
            <w:pPr>
              <w:jc w:val="left"/>
              <w:rPr>
                <w:rFonts w:ascii="仿宋_GB2312" w:hAnsi="宋体" w:eastAsia="仿宋_GB2312" w:cs="宋体"/>
                <w:bCs/>
                <w:color w:val="000000"/>
                <w:kern w:val="0"/>
                <w:sz w:val="24"/>
                <w:szCs w:val="24"/>
              </w:rPr>
            </w:pPr>
            <w:r>
              <w:rPr>
                <w:rFonts w:hint="eastAsia" w:ascii="仿宋_GB2312" w:hAnsi="宋体" w:eastAsia="仿宋_GB2312" w:cs="宋体"/>
                <w:bCs/>
                <w:color w:val="000000"/>
                <w:kern w:val="0"/>
                <w:sz w:val="24"/>
                <w:szCs w:val="24"/>
              </w:rPr>
              <w:t>显示初始券面总</w:t>
            </w:r>
            <w:r>
              <w:rPr>
                <w:rFonts w:ascii="仿宋_GB2312" w:hAnsi="宋体" w:eastAsia="仿宋_GB2312" w:cs="宋体"/>
                <w:bCs/>
                <w:color w:val="000000"/>
                <w:kern w:val="0"/>
                <w:sz w:val="24"/>
                <w:szCs w:val="24"/>
              </w:rPr>
              <w:t>额</w:t>
            </w:r>
            <w:r>
              <w:rPr>
                <w:rFonts w:hint="eastAsia" w:ascii="仿宋_GB2312" w:hAnsi="宋体" w:eastAsia="仿宋_GB2312" w:cs="宋体"/>
                <w:bCs/>
                <w:color w:val="000000"/>
                <w:kern w:val="0"/>
                <w:sz w:val="24"/>
                <w:szCs w:val="24"/>
              </w:rPr>
              <w:t>与</w:t>
            </w:r>
            <w:r>
              <w:rPr>
                <w:rFonts w:ascii="仿宋_GB2312" w:hAnsi="宋体" w:eastAsia="仿宋_GB2312" w:cs="宋体"/>
                <w:bCs/>
                <w:color w:val="000000"/>
                <w:kern w:val="0"/>
                <w:sz w:val="24"/>
                <w:szCs w:val="24"/>
              </w:rPr>
              <w:t>最</w:t>
            </w:r>
            <w:r>
              <w:rPr>
                <w:rFonts w:hint="eastAsia" w:ascii="仿宋_GB2312" w:hAnsi="宋体" w:eastAsia="仿宋_GB2312" w:cs="宋体"/>
                <w:bCs/>
                <w:color w:val="000000"/>
                <w:kern w:val="0"/>
                <w:sz w:val="24"/>
                <w:szCs w:val="24"/>
              </w:rPr>
              <w:t>新券面</w:t>
            </w:r>
            <w:r>
              <w:rPr>
                <w:rFonts w:ascii="仿宋_GB2312" w:hAnsi="宋体" w:eastAsia="仿宋_GB2312" w:cs="宋体"/>
                <w:bCs/>
                <w:color w:val="000000"/>
                <w:kern w:val="0"/>
                <w:sz w:val="24"/>
                <w:szCs w:val="24"/>
              </w:rPr>
              <w:t>总额</w:t>
            </w:r>
            <w:r>
              <w:rPr>
                <w:rFonts w:hint="eastAsia" w:ascii="仿宋_GB2312" w:hAnsi="宋体" w:eastAsia="仿宋_GB2312" w:cs="宋体"/>
                <w:bCs/>
                <w:color w:val="000000"/>
                <w:kern w:val="0"/>
                <w:sz w:val="24"/>
                <w:szCs w:val="24"/>
              </w:rPr>
              <w:t>：</w:t>
            </w:r>
          </w:p>
          <w:p w14:paraId="7EFE4B39">
            <w:pPr>
              <w:jc w:val="left"/>
              <w:rPr>
                <w:rFonts w:ascii="仿宋_GB2312" w:hAnsi="仿宋_GB2312" w:eastAsia="仿宋_GB2312" w:cs="仿宋_GB2312"/>
                <w:bCs/>
                <w:color w:val="000000"/>
                <w:kern w:val="0"/>
                <w:sz w:val="24"/>
                <w:szCs w:val="24"/>
              </w:rPr>
            </w:pPr>
            <w:r>
              <w:rPr>
                <w:rFonts w:hint="eastAsia" w:ascii="仿宋_GB2312" w:hAnsi="宋体" w:eastAsia="仿宋_GB2312" w:cs="宋体"/>
                <w:bCs/>
                <w:color w:val="000000"/>
                <w:kern w:val="0"/>
                <w:sz w:val="24"/>
                <w:szCs w:val="24"/>
              </w:rPr>
              <w:t>初始券面</w:t>
            </w:r>
            <w:r>
              <w:rPr>
                <w:rFonts w:ascii="仿宋_GB2312" w:hAnsi="宋体" w:eastAsia="仿宋_GB2312" w:cs="宋体"/>
                <w:bCs/>
                <w:color w:val="000000"/>
                <w:kern w:val="0"/>
                <w:sz w:val="24"/>
                <w:szCs w:val="24"/>
              </w:rPr>
              <w:t>总额</w:t>
            </w:r>
            <w:r>
              <w:rPr>
                <w:rFonts w:ascii="仿宋_GB2312" w:hAnsi="仿宋_GB2312" w:eastAsia="仿宋_GB2312" w:cs="宋体"/>
                <w:bCs/>
                <w:color w:val="000000"/>
                <w:kern w:val="0"/>
                <w:sz w:val="24"/>
                <w:szCs w:val="24"/>
              </w:rPr>
              <w:t>=</w:t>
            </w:r>
            <w:r>
              <w:rPr>
                <w:rFonts w:hint="eastAsia" w:ascii="仿宋_GB2312" w:hAnsi="宋体" w:eastAsia="仿宋_GB2312" w:cs="宋体"/>
                <w:bCs/>
                <w:color w:val="000000"/>
                <w:kern w:val="0"/>
                <w:sz w:val="24"/>
                <w:szCs w:val="24"/>
              </w:rPr>
              <w:t>单张质押券初始面额（元）×质押券数量（千元面额））×10/10000 （下同）</w:t>
            </w:r>
          </w:p>
          <w:p w14:paraId="543C4001">
            <w:pPr>
              <w:jc w:val="left"/>
              <w:rPr>
                <w:rFonts w:ascii="仿宋_GB2312" w:hAnsi="宋体"/>
                <w:b/>
                <w:color w:val="000000"/>
                <w:kern w:val="0"/>
                <w:sz w:val="24"/>
                <w:szCs w:val="22"/>
              </w:rPr>
            </w:pPr>
            <w:r>
              <w:rPr>
                <w:rFonts w:ascii="仿宋_GB2312" w:hAnsi="宋体" w:eastAsia="仿宋_GB2312" w:cs="宋体"/>
                <w:bCs/>
                <w:color w:val="000000"/>
                <w:kern w:val="0"/>
                <w:sz w:val="24"/>
                <w:szCs w:val="24"/>
              </w:rPr>
              <w:t>最</w:t>
            </w:r>
            <w:r>
              <w:rPr>
                <w:rFonts w:hint="eastAsia" w:ascii="仿宋_GB2312" w:hAnsi="宋体" w:eastAsia="仿宋_GB2312" w:cs="宋体"/>
                <w:bCs/>
                <w:color w:val="000000"/>
                <w:kern w:val="0"/>
                <w:sz w:val="24"/>
                <w:szCs w:val="24"/>
              </w:rPr>
              <w:t>新券面</w:t>
            </w:r>
            <w:r>
              <w:rPr>
                <w:rFonts w:ascii="仿宋_GB2312" w:hAnsi="宋体" w:eastAsia="仿宋_GB2312" w:cs="宋体"/>
                <w:bCs/>
                <w:color w:val="000000"/>
                <w:kern w:val="0"/>
                <w:sz w:val="24"/>
                <w:szCs w:val="24"/>
              </w:rPr>
              <w:t>总额</w:t>
            </w:r>
            <w:r>
              <w:rPr>
                <w:rFonts w:ascii="仿宋_GB2312" w:hAnsi="仿宋_GB2312" w:eastAsia="仿宋_GB2312" w:cs="宋体"/>
                <w:bCs/>
                <w:color w:val="000000"/>
                <w:kern w:val="0"/>
                <w:sz w:val="24"/>
                <w:szCs w:val="24"/>
              </w:rPr>
              <w:t>=</w:t>
            </w:r>
            <w:r>
              <w:rPr>
                <w:rFonts w:hint="eastAsia" w:ascii="仿宋_GB2312" w:hAnsi="宋体" w:eastAsia="仿宋_GB2312" w:cs="宋体"/>
                <w:bCs/>
                <w:color w:val="000000"/>
                <w:kern w:val="0"/>
                <w:sz w:val="24"/>
                <w:szCs w:val="24"/>
              </w:rPr>
              <w:t>单张质押券最新面额（元）×质押券数量（千元面额）×10/10000 （下同）</w:t>
            </w:r>
          </w:p>
        </w:tc>
      </w:tr>
      <w:tr w14:paraId="39CDE104">
        <w:tblPrEx>
          <w:tblCellMar>
            <w:top w:w="0" w:type="dxa"/>
            <w:left w:w="108" w:type="dxa"/>
            <w:bottom w:w="0" w:type="dxa"/>
            <w:right w:w="108" w:type="dxa"/>
          </w:tblCellMar>
        </w:tblPrEx>
        <w:trPr>
          <w:trHeight w:val="20" w:hRule="atLeast"/>
        </w:trPr>
        <w:tc>
          <w:tcPr>
            <w:tcW w:w="2591" w:type="dxa"/>
            <w:tcBorders>
              <w:top w:val="single" w:color="auto" w:sz="8" w:space="0"/>
              <w:left w:val="single" w:color="auto" w:sz="8" w:space="0"/>
              <w:bottom w:val="single" w:color="auto" w:sz="8" w:space="0"/>
              <w:right w:val="single" w:color="auto" w:sz="8" w:space="0"/>
            </w:tcBorders>
            <w:vAlign w:val="center"/>
          </w:tcPr>
          <w:p w14:paraId="4A0F8C88">
            <w:pPr>
              <w:jc w:val="left"/>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借贷费率</w:t>
            </w:r>
          </w:p>
        </w:tc>
        <w:tc>
          <w:tcPr>
            <w:tcW w:w="5671" w:type="dxa"/>
            <w:tcBorders>
              <w:top w:val="single" w:color="auto" w:sz="8" w:space="0"/>
              <w:left w:val="nil"/>
              <w:bottom w:val="single" w:color="auto" w:sz="8" w:space="0"/>
              <w:right w:val="single" w:color="auto" w:sz="8" w:space="0"/>
            </w:tcBorders>
            <w:vAlign w:val="center"/>
          </w:tcPr>
          <w:p w14:paraId="202C1075">
            <w:pPr>
              <w:jc w:val="left"/>
              <w:rPr>
                <w:rFonts w:ascii="仿宋_GB2312" w:hAnsi="宋体" w:eastAsia="仿宋_GB2312" w:cs="宋体"/>
                <w:bCs/>
                <w:color w:val="000000"/>
                <w:kern w:val="0"/>
                <w:sz w:val="24"/>
                <w:szCs w:val="24"/>
              </w:rPr>
            </w:pPr>
            <w:r>
              <w:rPr>
                <w:rFonts w:hint="eastAsia" w:ascii="仿宋_GB2312" w:hAnsi="宋体" w:eastAsia="仿宋_GB2312" w:cs="宋体"/>
                <w:bCs/>
                <w:color w:val="000000"/>
                <w:kern w:val="0"/>
                <w:sz w:val="24"/>
                <w:szCs w:val="24"/>
              </w:rPr>
              <w:t>债券借入方从债券借出方借入标的债券支付借贷费用的约定费率。债券借贷费率由借贷双方自行约定。</w:t>
            </w:r>
          </w:p>
        </w:tc>
      </w:tr>
      <w:tr w14:paraId="79ECCDED">
        <w:tblPrEx>
          <w:tblCellMar>
            <w:top w:w="0" w:type="dxa"/>
            <w:left w:w="108" w:type="dxa"/>
            <w:bottom w:w="0" w:type="dxa"/>
            <w:right w:w="108" w:type="dxa"/>
          </w:tblCellMar>
        </w:tblPrEx>
        <w:trPr>
          <w:trHeight w:val="20" w:hRule="atLeast"/>
        </w:trPr>
        <w:tc>
          <w:tcPr>
            <w:tcW w:w="2591" w:type="dxa"/>
            <w:tcBorders>
              <w:top w:val="single" w:color="auto" w:sz="8" w:space="0"/>
              <w:left w:val="single" w:color="auto" w:sz="8" w:space="0"/>
              <w:bottom w:val="single" w:color="auto" w:sz="8" w:space="0"/>
              <w:right w:val="single" w:color="auto" w:sz="8" w:space="0"/>
            </w:tcBorders>
            <w:vAlign w:val="center"/>
          </w:tcPr>
          <w:p w14:paraId="7162C861">
            <w:pPr>
              <w:jc w:val="left"/>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借贷期限</w:t>
            </w:r>
          </w:p>
        </w:tc>
        <w:tc>
          <w:tcPr>
            <w:tcW w:w="5671" w:type="dxa"/>
            <w:tcBorders>
              <w:top w:val="single" w:color="auto" w:sz="8" w:space="0"/>
              <w:left w:val="nil"/>
              <w:bottom w:val="single" w:color="auto" w:sz="8" w:space="0"/>
              <w:right w:val="single" w:color="auto" w:sz="8" w:space="0"/>
            </w:tcBorders>
            <w:vAlign w:val="center"/>
          </w:tcPr>
          <w:p w14:paraId="7D39985E">
            <w:pPr>
              <w:jc w:val="left"/>
              <w:rPr>
                <w:rFonts w:ascii="仿宋_GB2312" w:hAnsi="宋体" w:eastAsia="仿宋_GB2312" w:cs="宋体"/>
                <w:bCs/>
                <w:color w:val="000000"/>
                <w:kern w:val="0"/>
                <w:sz w:val="24"/>
                <w:szCs w:val="24"/>
              </w:rPr>
            </w:pPr>
            <w:r>
              <w:rPr>
                <w:rFonts w:hint="eastAsia" w:ascii="仿宋_GB2312" w:hAnsi="宋体" w:eastAsia="仿宋_GB2312" w:cs="宋体"/>
                <w:bCs/>
                <w:color w:val="000000"/>
                <w:kern w:val="0"/>
                <w:sz w:val="24"/>
                <w:szCs w:val="24"/>
              </w:rPr>
              <w:t>首期结算日至到期结算日的日历天数，含首期结算日，不含到期结算日。</w:t>
            </w:r>
          </w:p>
        </w:tc>
      </w:tr>
      <w:tr w14:paraId="77E89FA8">
        <w:tblPrEx>
          <w:tblCellMar>
            <w:top w:w="0" w:type="dxa"/>
            <w:left w:w="108" w:type="dxa"/>
            <w:bottom w:w="0" w:type="dxa"/>
            <w:right w:w="108" w:type="dxa"/>
          </w:tblCellMar>
        </w:tblPrEx>
        <w:trPr>
          <w:trHeight w:val="20" w:hRule="atLeast"/>
        </w:trPr>
        <w:tc>
          <w:tcPr>
            <w:tcW w:w="2591" w:type="dxa"/>
            <w:tcBorders>
              <w:top w:val="single" w:color="auto" w:sz="8" w:space="0"/>
              <w:left w:val="single" w:color="auto" w:sz="8" w:space="0"/>
              <w:bottom w:val="single" w:color="auto" w:sz="8" w:space="0"/>
              <w:right w:val="single" w:color="auto" w:sz="8" w:space="0"/>
            </w:tcBorders>
            <w:vAlign w:val="center"/>
          </w:tcPr>
          <w:p w14:paraId="2B7EF266">
            <w:pPr>
              <w:jc w:val="left"/>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借贷</w:t>
            </w:r>
            <w:r>
              <w:rPr>
                <w:rFonts w:ascii="仿宋_GB2312" w:hAnsi="宋体" w:eastAsia="仿宋_GB2312" w:cs="宋体"/>
                <w:b/>
                <w:bCs/>
                <w:color w:val="000000"/>
                <w:kern w:val="0"/>
                <w:sz w:val="24"/>
                <w:szCs w:val="24"/>
              </w:rPr>
              <w:t>费用</w:t>
            </w:r>
          </w:p>
        </w:tc>
        <w:tc>
          <w:tcPr>
            <w:tcW w:w="5671" w:type="dxa"/>
            <w:tcBorders>
              <w:top w:val="single" w:color="auto" w:sz="8" w:space="0"/>
              <w:left w:val="nil"/>
              <w:bottom w:val="single" w:color="auto" w:sz="8" w:space="0"/>
              <w:right w:val="single" w:color="auto" w:sz="8" w:space="0"/>
            </w:tcBorders>
            <w:vAlign w:val="center"/>
          </w:tcPr>
          <w:p w14:paraId="36B6A0E1">
            <w:pPr>
              <w:jc w:val="left"/>
              <w:rPr>
                <w:rFonts w:ascii="仿宋_GB2312" w:hAnsi="宋体" w:eastAsia="仿宋_GB2312" w:cs="宋体"/>
                <w:bCs/>
                <w:color w:val="000000"/>
                <w:kern w:val="0"/>
                <w:sz w:val="24"/>
                <w:szCs w:val="24"/>
              </w:rPr>
            </w:pPr>
            <w:r>
              <w:rPr>
                <w:rFonts w:hint="eastAsia" w:ascii="仿宋_GB2312" w:hAnsi="宋体" w:eastAsia="仿宋_GB2312" w:cs="宋体"/>
                <w:bCs/>
                <w:color w:val="000000"/>
                <w:kern w:val="0"/>
                <w:sz w:val="24"/>
                <w:szCs w:val="24"/>
              </w:rPr>
              <w:t>债券借贷费用=标的债券券面总额×债券借贷费率×借贷期限/365。</w:t>
            </w:r>
          </w:p>
        </w:tc>
      </w:tr>
      <w:tr w14:paraId="42411A93">
        <w:tblPrEx>
          <w:tblCellMar>
            <w:top w:w="0" w:type="dxa"/>
            <w:left w:w="108" w:type="dxa"/>
            <w:bottom w:w="0" w:type="dxa"/>
            <w:right w:w="108" w:type="dxa"/>
          </w:tblCellMar>
        </w:tblPrEx>
        <w:trPr>
          <w:trHeight w:val="20" w:hRule="atLeast"/>
        </w:trPr>
        <w:tc>
          <w:tcPr>
            <w:tcW w:w="2591" w:type="dxa"/>
            <w:tcBorders>
              <w:top w:val="single" w:color="auto" w:sz="8" w:space="0"/>
              <w:left w:val="single" w:color="auto" w:sz="8" w:space="0"/>
              <w:bottom w:val="single" w:color="auto" w:sz="8" w:space="0"/>
              <w:right w:val="single" w:color="auto" w:sz="8" w:space="0"/>
            </w:tcBorders>
            <w:vAlign w:val="center"/>
          </w:tcPr>
          <w:p w14:paraId="78F58CBE">
            <w:pPr>
              <w:jc w:val="left"/>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到期费用结算方式</w:t>
            </w:r>
          </w:p>
        </w:tc>
        <w:tc>
          <w:tcPr>
            <w:tcW w:w="5671" w:type="dxa"/>
            <w:tcBorders>
              <w:top w:val="single" w:color="auto" w:sz="8" w:space="0"/>
              <w:left w:val="nil"/>
              <w:bottom w:val="single" w:color="auto" w:sz="8" w:space="0"/>
              <w:right w:val="single" w:color="auto" w:sz="8" w:space="0"/>
            </w:tcBorders>
            <w:vAlign w:val="center"/>
          </w:tcPr>
          <w:p w14:paraId="191D1047">
            <w:pPr>
              <w:jc w:val="left"/>
              <w:rPr>
                <w:rFonts w:ascii="仿宋_GB2312" w:hAnsi="宋体" w:eastAsia="仿宋_GB2312" w:cs="宋体"/>
                <w:bCs/>
                <w:color w:val="000000"/>
                <w:kern w:val="0"/>
                <w:sz w:val="24"/>
                <w:szCs w:val="24"/>
              </w:rPr>
            </w:pPr>
            <w:r>
              <w:rPr>
                <w:rFonts w:hint="eastAsia" w:ascii="仿宋_GB2312" w:hAnsi="宋体" w:eastAsia="仿宋_GB2312" w:cs="宋体"/>
                <w:bCs/>
                <w:color w:val="000000"/>
                <w:kern w:val="0"/>
                <w:sz w:val="24"/>
                <w:szCs w:val="24"/>
              </w:rPr>
              <w:t>可</w:t>
            </w:r>
            <w:r>
              <w:rPr>
                <w:rFonts w:ascii="仿宋_GB2312" w:eastAsia="仿宋_GB2312"/>
                <w:sz w:val="24"/>
                <w:szCs w:val="24"/>
              </w:rPr>
              <w:t>勾选场</w:t>
            </w:r>
            <w:r>
              <w:rPr>
                <w:rFonts w:hint="eastAsia" w:ascii="仿宋_GB2312" w:eastAsia="仿宋_GB2312"/>
                <w:sz w:val="24"/>
                <w:szCs w:val="24"/>
              </w:rPr>
              <w:t>内</w:t>
            </w:r>
            <w:r>
              <w:rPr>
                <w:rFonts w:ascii="仿宋_GB2312" w:eastAsia="仿宋_GB2312"/>
                <w:sz w:val="24"/>
                <w:szCs w:val="24"/>
              </w:rPr>
              <w:t>/外结算，</w:t>
            </w:r>
            <w:r>
              <w:rPr>
                <w:rFonts w:hint="eastAsia" w:ascii="仿宋_GB2312" w:eastAsia="仿宋_GB2312"/>
                <w:sz w:val="24"/>
                <w:szCs w:val="24"/>
              </w:rPr>
              <w:t>场内</w:t>
            </w:r>
            <w:r>
              <w:rPr>
                <w:rFonts w:ascii="仿宋_GB2312" w:eastAsia="仿宋_GB2312"/>
                <w:sz w:val="24"/>
                <w:szCs w:val="24"/>
              </w:rPr>
              <w:t>结算的，默认RTGS结算方式</w:t>
            </w:r>
            <w:r>
              <w:rPr>
                <w:rFonts w:hint="eastAsia" w:ascii="仿宋_GB2312" w:eastAsia="仿宋_GB2312"/>
                <w:sz w:val="24"/>
                <w:szCs w:val="24"/>
              </w:rPr>
              <w:t>。到期费用包括债券借贷费用、现金结算金额等。首期</w:t>
            </w:r>
            <w:r>
              <w:rPr>
                <w:rFonts w:ascii="仿宋_GB2312" w:eastAsia="仿宋_GB2312"/>
                <w:sz w:val="24"/>
                <w:szCs w:val="24"/>
              </w:rPr>
              <w:t>结算时填写的</w:t>
            </w:r>
            <w:r>
              <w:rPr>
                <w:rFonts w:hint="eastAsia" w:ascii="仿宋_GB2312" w:eastAsia="仿宋_GB2312"/>
                <w:sz w:val="24"/>
                <w:szCs w:val="24"/>
              </w:rPr>
              <w:t>到</w:t>
            </w:r>
            <w:r>
              <w:rPr>
                <w:rFonts w:ascii="仿宋_GB2312" w:eastAsia="仿宋_GB2312"/>
                <w:sz w:val="24"/>
                <w:szCs w:val="24"/>
              </w:rPr>
              <w:t>期</w:t>
            </w:r>
            <w:r>
              <w:rPr>
                <w:rFonts w:hint="eastAsia" w:ascii="仿宋_GB2312" w:eastAsia="仿宋_GB2312"/>
                <w:sz w:val="24"/>
                <w:szCs w:val="24"/>
              </w:rPr>
              <w:t>费用结算方式到期结算时可调整。</w:t>
            </w:r>
          </w:p>
        </w:tc>
      </w:tr>
      <w:tr w14:paraId="0366B389">
        <w:tblPrEx>
          <w:tblCellMar>
            <w:top w:w="0" w:type="dxa"/>
            <w:left w:w="108" w:type="dxa"/>
            <w:bottom w:w="0" w:type="dxa"/>
            <w:right w:w="108" w:type="dxa"/>
          </w:tblCellMar>
        </w:tblPrEx>
        <w:trPr>
          <w:trHeight w:val="20" w:hRule="atLeast"/>
        </w:trPr>
        <w:tc>
          <w:tcPr>
            <w:tcW w:w="2591" w:type="dxa"/>
            <w:tcBorders>
              <w:top w:val="single" w:color="auto" w:sz="8" w:space="0"/>
              <w:left w:val="single" w:color="auto" w:sz="8" w:space="0"/>
              <w:bottom w:val="single" w:color="auto" w:sz="8" w:space="0"/>
              <w:right w:val="single" w:color="auto" w:sz="8" w:space="0"/>
            </w:tcBorders>
            <w:vAlign w:val="center"/>
          </w:tcPr>
          <w:p w14:paraId="5DD00FD6">
            <w:pPr>
              <w:jc w:val="left"/>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首期结算日</w:t>
            </w:r>
          </w:p>
        </w:tc>
        <w:tc>
          <w:tcPr>
            <w:tcW w:w="5671" w:type="dxa"/>
            <w:tcBorders>
              <w:top w:val="single" w:color="auto" w:sz="8" w:space="0"/>
              <w:left w:val="nil"/>
              <w:bottom w:val="single" w:color="auto" w:sz="8" w:space="0"/>
              <w:right w:val="single" w:color="auto" w:sz="8" w:space="0"/>
            </w:tcBorders>
            <w:vAlign w:val="center"/>
          </w:tcPr>
          <w:p w14:paraId="59E2FF9E">
            <w:pPr>
              <w:jc w:val="left"/>
              <w:rPr>
                <w:rFonts w:ascii="仿宋_GB2312" w:hAnsi="宋体" w:eastAsia="仿宋_GB2312" w:cs="宋体"/>
                <w:bCs/>
                <w:color w:val="000000"/>
                <w:kern w:val="0"/>
                <w:sz w:val="24"/>
                <w:szCs w:val="24"/>
              </w:rPr>
            </w:pPr>
            <w:r>
              <w:rPr>
                <w:rFonts w:hint="eastAsia" w:ascii="仿宋_GB2312" w:hAnsi="宋体" w:eastAsia="仿宋_GB2312" w:cs="宋体"/>
                <w:bCs/>
                <w:color w:val="000000"/>
                <w:kern w:val="0"/>
                <w:sz w:val="24"/>
                <w:szCs w:val="24"/>
              </w:rPr>
              <w:t>债券借出方将标的债券过户到借入方日期</w:t>
            </w:r>
          </w:p>
        </w:tc>
      </w:tr>
      <w:tr w14:paraId="469F2BBE">
        <w:tblPrEx>
          <w:tblCellMar>
            <w:top w:w="0" w:type="dxa"/>
            <w:left w:w="108" w:type="dxa"/>
            <w:bottom w:w="0" w:type="dxa"/>
            <w:right w:w="108" w:type="dxa"/>
          </w:tblCellMar>
        </w:tblPrEx>
        <w:trPr>
          <w:trHeight w:val="20" w:hRule="atLeast"/>
        </w:trPr>
        <w:tc>
          <w:tcPr>
            <w:tcW w:w="2591" w:type="dxa"/>
            <w:tcBorders>
              <w:top w:val="single" w:color="auto" w:sz="8" w:space="0"/>
              <w:left w:val="single" w:color="auto" w:sz="8" w:space="0"/>
              <w:bottom w:val="single" w:color="auto" w:sz="8" w:space="0"/>
              <w:right w:val="single" w:color="auto" w:sz="8" w:space="0"/>
            </w:tcBorders>
            <w:vAlign w:val="center"/>
          </w:tcPr>
          <w:p w14:paraId="0B66762B">
            <w:pPr>
              <w:jc w:val="left"/>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到期结算日</w:t>
            </w:r>
          </w:p>
        </w:tc>
        <w:tc>
          <w:tcPr>
            <w:tcW w:w="5671" w:type="dxa"/>
            <w:tcBorders>
              <w:top w:val="single" w:color="auto" w:sz="8" w:space="0"/>
              <w:left w:val="nil"/>
              <w:bottom w:val="single" w:color="auto" w:sz="8" w:space="0"/>
              <w:right w:val="single" w:color="auto" w:sz="8" w:space="0"/>
            </w:tcBorders>
            <w:vAlign w:val="center"/>
          </w:tcPr>
          <w:p w14:paraId="165D5A12">
            <w:pPr>
              <w:jc w:val="left"/>
              <w:rPr>
                <w:rFonts w:ascii="仿宋_GB2312" w:hAnsi="宋体" w:eastAsia="仿宋_GB2312" w:cs="宋体"/>
                <w:bCs/>
                <w:color w:val="000000"/>
                <w:kern w:val="0"/>
                <w:sz w:val="24"/>
                <w:szCs w:val="24"/>
              </w:rPr>
            </w:pPr>
            <w:r>
              <w:rPr>
                <w:rFonts w:hint="eastAsia" w:ascii="仿宋_GB2312" w:hAnsi="宋体" w:eastAsia="仿宋_GB2312" w:cs="宋体"/>
                <w:bCs/>
                <w:color w:val="000000"/>
                <w:kern w:val="0"/>
                <w:sz w:val="24"/>
                <w:szCs w:val="24"/>
              </w:rPr>
              <w:t>债券借入方将标的债券归还借出方并支付债券借出方借贷费用的日期。若到期结算日为上交所非交易日，则实际到期结算日顺延至下一交易日。</w:t>
            </w:r>
          </w:p>
        </w:tc>
      </w:tr>
      <w:tr w14:paraId="6100EE99">
        <w:tblPrEx>
          <w:tblCellMar>
            <w:top w:w="0" w:type="dxa"/>
            <w:left w:w="108" w:type="dxa"/>
            <w:bottom w:w="0" w:type="dxa"/>
            <w:right w:w="108" w:type="dxa"/>
          </w:tblCellMar>
        </w:tblPrEx>
        <w:trPr>
          <w:trHeight w:val="20" w:hRule="atLeast"/>
        </w:trPr>
        <w:tc>
          <w:tcPr>
            <w:tcW w:w="2591" w:type="dxa"/>
            <w:tcBorders>
              <w:top w:val="single" w:color="auto" w:sz="8" w:space="0"/>
              <w:left w:val="single" w:color="auto" w:sz="8" w:space="0"/>
              <w:bottom w:val="single" w:color="auto" w:sz="8" w:space="0"/>
              <w:right w:val="single" w:color="auto" w:sz="8" w:space="0"/>
            </w:tcBorders>
            <w:vAlign w:val="center"/>
          </w:tcPr>
          <w:p w14:paraId="462D44B5">
            <w:pPr>
              <w:jc w:val="left"/>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争议</w:t>
            </w:r>
            <w:r>
              <w:rPr>
                <w:rFonts w:ascii="仿宋_GB2312" w:hAnsi="宋体" w:eastAsia="仿宋_GB2312" w:cs="宋体"/>
                <w:b/>
                <w:bCs/>
                <w:color w:val="000000"/>
                <w:kern w:val="0"/>
                <w:sz w:val="24"/>
                <w:szCs w:val="24"/>
              </w:rPr>
              <w:t>解决方式</w:t>
            </w:r>
          </w:p>
        </w:tc>
        <w:tc>
          <w:tcPr>
            <w:tcW w:w="5671" w:type="dxa"/>
            <w:tcBorders>
              <w:top w:val="single" w:color="auto" w:sz="8" w:space="0"/>
              <w:left w:val="nil"/>
              <w:bottom w:val="single" w:color="auto" w:sz="8" w:space="0"/>
              <w:right w:val="single" w:color="auto" w:sz="8" w:space="0"/>
            </w:tcBorders>
            <w:vAlign w:val="center"/>
          </w:tcPr>
          <w:p w14:paraId="0CF9B1D3">
            <w:pPr>
              <w:jc w:val="left"/>
              <w:rPr>
                <w:rFonts w:ascii="仿宋_GB2312" w:hAnsi="宋体" w:eastAsia="仿宋_GB2312" w:cs="宋体"/>
                <w:bCs/>
                <w:color w:val="000000"/>
                <w:kern w:val="0"/>
                <w:sz w:val="24"/>
                <w:szCs w:val="24"/>
              </w:rPr>
            </w:pPr>
          </w:p>
        </w:tc>
      </w:tr>
      <w:tr w14:paraId="5E854A55">
        <w:tblPrEx>
          <w:tblCellMar>
            <w:top w:w="0" w:type="dxa"/>
            <w:left w:w="108" w:type="dxa"/>
            <w:bottom w:w="0" w:type="dxa"/>
            <w:right w:w="108" w:type="dxa"/>
          </w:tblCellMar>
        </w:tblPrEx>
        <w:trPr>
          <w:trHeight w:val="20" w:hRule="atLeast"/>
        </w:trPr>
        <w:tc>
          <w:tcPr>
            <w:tcW w:w="2591" w:type="dxa"/>
            <w:tcBorders>
              <w:top w:val="single" w:color="auto" w:sz="8" w:space="0"/>
              <w:left w:val="single" w:color="auto" w:sz="8" w:space="0"/>
              <w:bottom w:val="single" w:color="auto" w:sz="8" w:space="0"/>
              <w:right w:val="single" w:color="auto" w:sz="8" w:space="0"/>
            </w:tcBorders>
            <w:vAlign w:val="center"/>
          </w:tcPr>
          <w:p w14:paraId="4EEE0E39">
            <w:pPr>
              <w:jc w:val="left"/>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补充</w:t>
            </w:r>
            <w:r>
              <w:rPr>
                <w:rFonts w:ascii="仿宋_GB2312" w:hAnsi="宋体" w:eastAsia="仿宋_GB2312" w:cs="宋体"/>
                <w:b/>
                <w:bCs/>
                <w:color w:val="000000"/>
                <w:kern w:val="0"/>
                <w:sz w:val="24"/>
                <w:szCs w:val="24"/>
              </w:rPr>
              <w:t>约定</w:t>
            </w:r>
          </w:p>
        </w:tc>
        <w:tc>
          <w:tcPr>
            <w:tcW w:w="5671" w:type="dxa"/>
            <w:tcBorders>
              <w:top w:val="single" w:color="auto" w:sz="8" w:space="0"/>
              <w:left w:val="nil"/>
              <w:bottom w:val="single" w:color="auto" w:sz="8" w:space="0"/>
              <w:right w:val="single" w:color="auto" w:sz="8" w:space="0"/>
            </w:tcBorders>
            <w:vAlign w:val="center"/>
          </w:tcPr>
          <w:p w14:paraId="321B54F7">
            <w:pPr>
              <w:jc w:val="left"/>
              <w:rPr>
                <w:rFonts w:ascii="仿宋_GB2312" w:hAnsi="宋体" w:eastAsia="仿宋_GB2312" w:cs="宋体"/>
                <w:bCs/>
                <w:color w:val="000000"/>
                <w:kern w:val="0"/>
                <w:sz w:val="24"/>
                <w:szCs w:val="24"/>
              </w:rPr>
            </w:pPr>
            <w:r>
              <w:rPr>
                <w:rFonts w:hint="eastAsia" w:ascii="仿宋_GB2312" w:hAnsi="宋体" w:eastAsia="仿宋_GB2312" w:cs="宋体"/>
                <w:bCs/>
                <w:color w:val="000000"/>
                <w:kern w:val="0"/>
                <w:sz w:val="24"/>
                <w:szCs w:val="24"/>
              </w:rPr>
              <w:t>借贷</w:t>
            </w:r>
            <w:r>
              <w:rPr>
                <w:rFonts w:ascii="仿宋_GB2312" w:hAnsi="宋体" w:eastAsia="仿宋_GB2312" w:cs="宋体"/>
                <w:bCs/>
                <w:color w:val="000000"/>
                <w:kern w:val="0"/>
                <w:sz w:val="24"/>
                <w:szCs w:val="24"/>
              </w:rPr>
              <w:t>双方补充约定，</w:t>
            </w:r>
            <w:r>
              <w:rPr>
                <w:rFonts w:hint="eastAsia" w:ascii="仿宋_GB2312" w:hAnsi="宋体" w:eastAsia="仿宋_GB2312" w:cs="宋体"/>
                <w:bCs/>
                <w:color w:val="000000"/>
                <w:kern w:val="0"/>
                <w:sz w:val="24"/>
                <w:szCs w:val="24"/>
              </w:rPr>
              <w:t>包括质押债券及标的债券的折算标准、费用、风险处置以及借贷违约处置等内容，</w:t>
            </w:r>
            <w:r>
              <w:rPr>
                <w:rFonts w:ascii="仿宋_GB2312" w:hAnsi="宋体" w:eastAsia="仿宋_GB2312" w:cs="宋体"/>
                <w:bCs/>
                <w:color w:val="000000"/>
                <w:kern w:val="0"/>
                <w:sz w:val="24"/>
                <w:szCs w:val="24"/>
              </w:rPr>
              <w:t>如有</w:t>
            </w:r>
          </w:p>
        </w:tc>
      </w:tr>
    </w:tbl>
    <w:p w14:paraId="53B3EF02">
      <w:pPr>
        <w:spacing w:line="600" w:lineRule="exact"/>
        <w:ind w:firstLine="600" w:firstLineChars="200"/>
        <w:rPr>
          <w:rFonts w:ascii="仿宋_GB2312" w:hAnsi="黑体" w:eastAsia="仿宋_GB2312"/>
          <w:bCs/>
          <w:sz w:val="30"/>
          <w:szCs w:val="30"/>
        </w:rPr>
      </w:pPr>
      <w:r>
        <w:rPr>
          <w:rFonts w:hint="eastAsia" w:ascii="仿宋_GB2312" w:hAnsi="黑体" w:eastAsia="仿宋_GB2312"/>
          <w:bCs/>
          <w:sz w:val="30"/>
          <w:szCs w:val="30"/>
        </w:rPr>
        <w:t>3）</w:t>
      </w:r>
      <w:r>
        <w:rPr>
          <w:rFonts w:hint="eastAsia" w:ascii="仿宋_GB2312" w:hAnsi="Calibri" w:eastAsia="仿宋_GB2312"/>
          <w:sz w:val="30"/>
          <w:szCs w:val="30"/>
        </w:rPr>
        <w:t>债券借贷费率与</w:t>
      </w:r>
      <w:r>
        <w:rPr>
          <w:rFonts w:hint="eastAsia" w:ascii="仿宋_GB2312" w:hAnsi="黑体" w:eastAsia="仿宋_GB2312"/>
          <w:bCs/>
          <w:sz w:val="30"/>
          <w:szCs w:val="30"/>
        </w:rPr>
        <w:t>申报最小价格单位</w:t>
      </w:r>
    </w:p>
    <w:p w14:paraId="3936A038">
      <w:pPr>
        <w:autoSpaceDE w:val="0"/>
        <w:autoSpaceDN w:val="0"/>
        <w:adjustRightInd w:val="0"/>
        <w:spacing w:line="600" w:lineRule="exact"/>
        <w:ind w:firstLine="600" w:firstLineChars="200"/>
        <w:jc w:val="left"/>
        <w:rPr>
          <w:rFonts w:ascii="仿宋_GB2312" w:hAnsi="Calibri" w:eastAsia="仿宋_GB2312"/>
          <w:sz w:val="30"/>
          <w:szCs w:val="30"/>
        </w:rPr>
      </w:pPr>
      <w:r>
        <w:rPr>
          <w:rFonts w:hint="eastAsia" w:ascii="仿宋_GB2312" w:hAnsi="Calibri" w:eastAsia="仿宋_GB2312"/>
          <w:sz w:val="30"/>
          <w:szCs w:val="30"/>
        </w:rPr>
        <w:t>债券借贷费率由借贷双方自行约定。债券借贷费用=标的债券券面总额×债券借贷费率×借贷期限/365。债券借贷交易申报的费率单位为0.0</w:t>
      </w:r>
      <w:r>
        <w:rPr>
          <w:rFonts w:ascii="仿宋_GB2312" w:hAnsi="Calibri" w:eastAsia="仿宋_GB2312"/>
          <w:sz w:val="30"/>
          <w:szCs w:val="30"/>
        </w:rPr>
        <w:t>0</w:t>
      </w:r>
      <w:r>
        <w:rPr>
          <w:rFonts w:hint="eastAsia" w:ascii="仿宋_GB2312" w:hAnsi="Calibri" w:eastAsia="仿宋_GB2312"/>
          <w:sz w:val="30"/>
          <w:szCs w:val="30"/>
        </w:rPr>
        <w:t>1%，申报费率最小变动单位为0.0</w:t>
      </w:r>
      <w:r>
        <w:rPr>
          <w:rFonts w:ascii="仿宋_GB2312" w:hAnsi="Calibri" w:eastAsia="仿宋_GB2312"/>
          <w:sz w:val="30"/>
          <w:szCs w:val="30"/>
        </w:rPr>
        <w:t>0</w:t>
      </w:r>
      <w:r>
        <w:rPr>
          <w:rFonts w:hint="eastAsia" w:ascii="仿宋_GB2312" w:hAnsi="Calibri" w:eastAsia="仿宋_GB2312"/>
          <w:sz w:val="30"/>
          <w:szCs w:val="30"/>
        </w:rPr>
        <w:t>1%。</w:t>
      </w:r>
    </w:p>
    <w:p w14:paraId="7BA47053">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存续期管理</w:t>
      </w:r>
    </w:p>
    <w:p w14:paraId="3638B8BB">
      <w:pPr>
        <w:spacing w:line="600" w:lineRule="exact"/>
        <w:ind w:firstLine="602" w:firstLineChars="200"/>
        <w:outlineLvl w:val="3"/>
        <w:rPr>
          <w:rFonts w:ascii="仿宋_GB2312" w:eastAsia="仿宋_GB2312"/>
          <w:b/>
          <w:sz w:val="30"/>
          <w:szCs w:val="30"/>
        </w:rPr>
      </w:pPr>
      <w:r>
        <w:rPr>
          <w:rFonts w:hint="eastAsia" w:ascii="仿宋_GB2312" w:eastAsia="仿宋_GB2312"/>
          <w:b/>
          <w:sz w:val="30"/>
          <w:szCs w:val="30"/>
        </w:rPr>
        <w:t>（1）质押债券变更</w:t>
      </w:r>
    </w:p>
    <w:p w14:paraId="6721823B">
      <w:pPr>
        <w:spacing w:line="600" w:lineRule="exact"/>
        <w:ind w:firstLine="600" w:firstLineChars="200"/>
        <w:outlineLvl w:val="9"/>
        <w:rPr>
          <w:rFonts w:ascii="仿宋_GB2312" w:hAnsi="Calibri" w:eastAsia="仿宋_GB2312"/>
          <w:sz w:val="30"/>
          <w:szCs w:val="30"/>
        </w:rPr>
      </w:pPr>
      <w:r>
        <w:rPr>
          <w:rFonts w:hint="eastAsia" w:ascii="仿宋_GB2312" w:hAnsi="Calibri" w:eastAsia="仿宋_GB2312"/>
          <w:sz w:val="30"/>
          <w:szCs w:val="30"/>
        </w:rPr>
        <w:t xml:space="preserve">债券借贷期间，经借贷双方协商一致，可以申报质押债券变更，包括补充质押债券、置换质押债券或者解除部分质押债券质押。变更质押债券申报由债券借入方发起，并由债券借出方确认。一笔债券借贷每个交易日仅能申报一笔质押券变更（一笔申报可含多只质押券的变更）。  </w:t>
      </w:r>
    </w:p>
    <w:p w14:paraId="51631EB3">
      <w:pPr>
        <w:adjustRightInd w:val="0"/>
        <w:snapToGrid w:val="0"/>
        <w:spacing w:line="600" w:lineRule="exact"/>
        <w:ind w:firstLine="600" w:firstLineChars="200"/>
        <w:rPr>
          <w:rFonts w:ascii="仿宋_GB2312" w:hAnsi="宋体" w:eastAsia="仿宋_GB2312"/>
          <w:sz w:val="30"/>
          <w:szCs w:val="30"/>
        </w:rPr>
      </w:pPr>
      <w:r>
        <w:rPr>
          <w:rFonts w:hint="eastAsia" w:ascii="仿宋_GB2312" w:hAnsi="Calibri" w:eastAsia="仿宋_GB2312"/>
          <w:sz w:val="30"/>
          <w:szCs w:val="30"/>
        </w:rPr>
        <w:t>质押券变更申报的</w:t>
      </w:r>
      <w:r>
        <w:rPr>
          <w:rFonts w:hint="eastAsia" w:ascii="仿宋_GB2312" w:hAnsi="宋体" w:eastAsia="仿宋_GB2312"/>
          <w:sz w:val="30"/>
          <w:szCs w:val="30"/>
        </w:rPr>
        <w:t>具体要素及要素说明如下：</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00"/>
        <w:gridCol w:w="5296"/>
      </w:tblGrid>
      <w:tr w14:paraId="0B5F8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0" w:type="dxa"/>
          </w:tcPr>
          <w:p w14:paraId="11F6D46D">
            <w:pPr>
              <w:adjustRightInd w:val="0"/>
              <w:snapToGrid w:val="0"/>
              <w:jc w:val="left"/>
              <w:rPr>
                <w:rFonts w:ascii="仿宋_GB2312" w:eastAsia="仿宋_GB2312"/>
                <w:b/>
                <w:kern w:val="0"/>
                <w:sz w:val="24"/>
                <w:szCs w:val="24"/>
              </w:rPr>
            </w:pPr>
            <w:r>
              <w:rPr>
                <w:rFonts w:hint="eastAsia" w:ascii="仿宋_GB2312" w:eastAsia="仿宋_GB2312"/>
                <w:b/>
                <w:kern w:val="0"/>
                <w:sz w:val="24"/>
                <w:szCs w:val="24"/>
              </w:rPr>
              <w:t>要素名称</w:t>
            </w:r>
          </w:p>
        </w:tc>
        <w:tc>
          <w:tcPr>
            <w:tcW w:w="5296" w:type="dxa"/>
          </w:tcPr>
          <w:p w14:paraId="6FEDA692">
            <w:pPr>
              <w:adjustRightInd w:val="0"/>
              <w:snapToGrid w:val="0"/>
              <w:rPr>
                <w:rFonts w:ascii="仿宋_GB2312" w:eastAsia="仿宋_GB2312"/>
                <w:b/>
                <w:kern w:val="0"/>
                <w:sz w:val="24"/>
                <w:szCs w:val="24"/>
              </w:rPr>
            </w:pPr>
            <w:r>
              <w:rPr>
                <w:rFonts w:hint="eastAsia" w:ascii="仿宋_GB2312" w:eastAsia="仿宋_GB2312"/>
                <w:b/>
                <w:kern w:val="0"/>
                <w:sz w:val="24"/>
                <w:szCs w:val="24"/>
              </w:rPr>
              <w:t>要素说明</w:t>
            </w:r>
          </w:p>
        </w:tc>
      </w:tr>
      <w:tr w14:paraId="07B17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gridSpan w:val="2"/>
          </w:tcPr>
          <w:p w14:paraId="0EB81B1B">
            <w:pPr>
              <w:adjustRightInd w:val="0"/>
              <w:snapToGrid w:val="0"/>
              <w:jc w:val="center"/>
              <w:rPr>
                <w:rFonts w:ascii="仿宋_GB2312" w:eastAsia="仿宋_GB2312"/>
                <w:b/>
                <w:kern w:val="0"/>
                <w:sz w:val="24"/>
                <w:szCs w:val="24"/>
              </w:rPr>
            </w:pPr>
            <w:r>
              <w:rPr>
                <w:rFonts w:hint="eastAsia" w:ascii="仿宋_GB2312" w:eastAsia="仿宋_GB2312"/>
                <w:b/>
                <w:kern w:val="0"/>
                <w:sz w:val="24"/>
                <w:szCs w:val="24"/>
              </w:rPr>
              <w:t>（补充质押债券或置换质押债券，</w:t>
            </w:r>
            <w:r>
              <w:rPr>
                <w:rFonts w:ascii="仿宋_GB2312" w:eastAsia="仿宋_GB2312"/>
                <w:b/>
                <w:kern w:val="0"/>
                <w:sz w:val="24"/>
                <w:szCs w:val="24"/>
              </w:rPr>
              <w:t>换入/</w:t>
            </w:r>
            <w:r>
              <w:rPr>
                <w:rFonts w:hint="eastAsia" w:ascii="仿宋_GB2312" w:eastAsia="仿宋_GB2312"/>
                <w:b/>
                <w:kern w:val="0"/>
                <w:sz w:val="24"/>
                <w:szCs w:val="24"/>
              </w:rPr>
              <w:t>补入</w:t>
            </w:r>
            <w:r>
              <w:rPr>
                <w:rFonts w:ascii="仿宋_GB2312" w:eastAsia="仿宋_GB2312"/>
                <w:b/>
                <w:kern w:val="0"/>
                <w:sz w:val="24"/>
                <w:szCs w:val="24"/>
              </w:rPr>
              <w:t>券简称新质押券</w:t>
            </w:r>
            <w:r>
              <w:rPr>
                <w:rFonts w:hint="eastAsia" w:ascii="仿宋_GB2312" w:eastAsia="仿宋_GB2312"/>
                <w:b/>
                <w:kern w:val="0"/>
                <w:sz w:val="24"/>
                <w:szCs w:val="24"/>
              </w:rPr>
              <w:t>）新券申报信息</w:t>
            </w:r>
          </w:p>
        </w:tc>
      </w:tr>
      <w:tr w14:paraId="01684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0" w:type="dxa"/>
          </w:tcPr>
          <w:p w14:paraId="17E17581">
            <w:pPr>
              <w:adjustRightInd w:val="0"/>
              <w:snapToGrid w:val="0"/>
              <w:jc w:val="left"/>
              <w:rPr>
                <w:rFonts w:ascii="仿宋_GB2312" w:eastAsia="仿宋_GB2312"/>
                <w:b/>
                <w:kern w:val="0"/>
                <w:sz w:val="24"/>
                <w:szCs w:val="24"/>
              </w:rPr>
            </w:pPr>
            <w:r>
              <w:rPr>
                <w:rFonts w:hint="eastAsia" w:ascii="仿宋_GB2312" w:eastAsia="仿宋_GB2312"/>
                <w:b/>
                <w:kern w:val="0"/>
                <w:sz w:val="24"/>
                <w:szCs w:val="24"/>
              </w:rPr>
              <w:t>新质押券代码</w:t>
            </w:r>
          </w:p>
        </w:tc>
        <w:tc>
          <w:tcPr>
            <w:tcW w:w="5296" w:type="dxa"/>
          </w:tcPr>
          <w:p w14:paraId="457CFF16">
            <w:pPr>
              <w:adjustRightInd w:val="0"/>
              <w:snapToGrid w:val="0"/>
              <w:jc w:val="left"/>
              <w:rPr>
                <w:rFonts w:ascii="仿宋_GB2312" w:eastAsia="仿宋_GB2312"/>
                <w:kern w:val="0"/>
                <w:sz w:val="24"/>
                <w:szCs w:val="24"/>
              </w:rPr>
            </w:pPr>
            <w:r>
              <w:rPr>
                <w:rFonts w:hint="eastAsia" w:ascii="仿宋_GB2312" w:eastAsia="仿宋_GB2312"/>
                <w:kern w:val="0"/>
                <w:sz w:val="24"/>
                <w:szCs w:val="24"/>
              </w:rPr>
              <w:t>新质押债券的代码</w:t>
            </w:r>
          </w:p>
        </w:tc>
      </w:tr>
      <w:tr w14:paraId="777AF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00" w:type="dxa"/>
          </w:tcPr>
          <w:p w14:paraId="5C6F8AAE">
            <w:pPr>
              <w:adjustRightInd w:val="0"/>
              <w:snapToGrid w:val="0"/>
              <w:jc w:val="left"/>
              <w:rPr>
                <w:rFonts w:ascii="仿宋_GB2312" w:eastAsia="仿宋_GB2312"/>
                <w:b/>
                <w:kern w:val="0"/>
                <w:sz w:val="24"/>
                <w:szCs w:val="24"/>
              </w:rPr>
            </w:pPr>
            <w:r>
              <w:rPr>
                <w:rFonts w:hint="eastAsia" w:ascii="仿宋_GB2312" w:eastAsia="仿宋_GB2312"/>
                <w:b/>
                <w:kern w:val="0"/>
                <w:sz w:val="24"/>
                <w:szCs w:val="24"/>
              </w:rPr>
              <w:t>新质押券简称</w:t>
            </w:r>
          </w:p>
        </w:tc>
        <w:tc>
          <w:tcPr>
            <w:tcW w:w="5296" w:type="dxa"/>
          </w:tcPr>
          <w:p w14:paraId="09BE16C8">
            <w:pPr>
              <w:adjustRightInd w:val="0"/>
              <w:snapToGrid w:val="0"/>
              <w:jc w:val="left"/>
              <w:rPr>
                <w:rFonts w:ascii="仿宋_GB2312" w:eastAsia="仿宋_GB2312"/>
                <w:kern w:val="0"/>
                <w:sz w:val="24"/>
                <w:szCs w:val="24"/>
              </w:rPr>
            </w:pPr>
            <w:r>
              <w:rPr>
                <w:rFonts w:hint="eastAsia" w:ascii="仿宋_GB2312" w:eastAsia="仿宋_GB2312"/>
                <w:kern w:val="0"/>
                <w:sz w:val="24"/>
                <w:szCs w:val="24"/>
              </w:rPr>
              <w:t>新质押债券的简称，自动显示，无需输入</w:t>
            </w:r>
          </w:p>
        </w:tc>
      </w:tr>
      <w:tr w14:paraId="4891B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0" w:type="dxa"/>
          </w:tcPr>
          <w:p w14:paraId="264DC3C3">
            <w:pPr>
              <w:adjustRightInd w:val="0"/>
              <w:snapToGrid w:val="0"/>
              <w:jc w:val="left"/>
              <w:rPr>
                <w:rFonts w:ascii="仿宋_GB2312" w:eastAsia="仿宋_GB2312"/>
                <w:b/>
                <w:kern w:val="0"/>
                <w:sz w:val="24"/>
                <w:szCs w:val="24"/>
              </w:rPr>
            </w:pPr>
            <w:r>
              <w:rPr>
                <w:rFonts w:hint="eastAsia" w:ascii="仿宋_GB2312" w:eastAsia="仿宋_GB2312"/>
                <w:b/>
                <w:kern w:val="0"/>
                <w:sz w:val="24"/>
                <w:szCs w:val="24"/>
              </w:rPr>
              <w:t>新质押券面额</w:t>
            </w:r>
          </w:p>
        </w:tc>
        <w:tc>
          <w:tcPr>
            <w:tcW w:w="5296" w:type="dxa"/>
          </w:tcPr>
          <w:p w14:paraId="65CE5A08">
            <w:pPr>
              <w:adjustRightInd w:val="0"/>
              <w:snapToGrid w:val="0"/>
              <w:jc w:val="left"/>
              <w:rPr>
                <w:rFonts w:ascii="仿宋_GB2312" w:eastAsia="仿宋_GB2312"/>
                <w:kern w:val="0"/>
                <w:sz w:val="24"/>
                <w:szCs w:val="24"/>
              </w:rPr>
            </w:pPr>
            <w:r>
              <w:rPr>
                <w:rFonts w:hint="eastAsia" w:ascii="仿宋_GB2312" w:eastAsia="仿宋_GB2312"/>
                <w:kern w:val="0"/>
                <w:sz w:val="24"/>
                <w:szCs w:val="24"/>
              </w:rPr>
              <w:t>单张</w:t>
            </w:r>
            <w:r>
              <w:rPr>
                <w:rFonts w:ascii="仿宋_GB2312" w:eastAsia="仿宋_GB2312"/>
                <w:kern w:val="0"/>
                <w:sz w:val="24"/>
                <w:szCs w:val="24"/>
              </w:rPr>
              <w:t>新质押券面额</w:t>
            </w:r>
          </w:p>
        </w:tc>
      </w:tr>
      <w:tr w14:paraId="6684B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0" w:type="dxa"/>
          </w:tcPr>
          <w:p w14:paraId="2986A8C0">
            <w:pPr>
              <w:adjustRightInd w:val="0"/>
              <w:snapToGrid w:val="0"/>
              <w:jc w:val="left"/>
              <w:rPr>
                <w:rFonts w:ascii="仿宋_GB2312" w:eastAsia="仿宋_GB2312"/>
                <w:b/>
                <w:kern w:val="0"/>
                <w:sz w:val="24"/>
                <w:szCs w:val="24"/>
              </w:rPr>
            </w:pPr>
            <w:r>
              <w:rPr>
                <w:rFonts w:hint="eastAsia" w:ascii="仿宋_GB2312" w:eastAsia="仿宋_GB2312"/>
                <w:b/>
                <w:kern w:val="0"/>
                <w:sz w:val="24"/>
                <w:szCs w:val="24"/>
              </w:rPr>
              <w:t>新质押券数量</w:t>
            </w:r>
            <w:r>
              <w:rPr>
                <w:rFonts w:ascii="仿宋_GB2312" w:eastAsia="仿宋_GB2312"/>
                <w:b/>
                <w:kern w:val="0"/>
                <w:sz w:val="24"/>
                <w:szCs w:val="24"/>
              </w:rPr>
              <w:tab/>
            </w:r>
          </w:p>
        </w:tc>
        <w:tc>
          <w:tcPr>
            <w:tcW w:w="5296" w:type="dxa"/>
          </w:tcPr>
          <w:p w14:paraId="4F196D10">
            <w:pPr>
              <w:adjustRightInd w:val="0"/>
              <w:snapToGrid w:val="0"/>
              <w:jc w:val="left"/>
              <w:rPr>
                <w:rFonts w:ascii="仿宋_GB2312" w:eastAsia="仿宋_GB2312"/>
                <w:kern w:val="0"/>
                <w:sz w:val="24"/>
                <w:szCs w:val="24"/>
              </w:rPr>
            </w:pPr>
            <w:r>
              <w:rPr>
                <w:rFonts w:hint="eastAsia" w:ascii="仿宋_GB2312" w:eastAsia="仿宋_GB2312"/>
                <w:kern w:val="0"/>
                <w:sz w:val="24"/>
                <w:szCs w:val="24"/>
              </w:rPr>
              <w:t>质押券数量，以千元面额为单位</w:t>
            </w:r>
          </w:p>
        </w:tc>
      </w:tr>
      <w:tr w14:paraId="32D93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0" w:type="dxa"/>
          </w:tcPr>
          <w:p w14:paraId="4BAE6A8A">
            <w:pPr>
              <w:adjustRightInd w:val="0"/>
              <w:snapToGrid w:val="0"/>
              <w:jc w:val="left"/>
              <w:rPr>
                <w:rFonts w:ascii="仿宋_GB2312" w:eastAsia="仿宋_GB2312"/>
                <w:b/>
                <w:kern w:val="0"/>
                <w:sz w:val="24"/>
                <w:szCs w:val="24"/>
              </w:rPr>
            </w:pPr>
            <w:r>
              <w:rPr>
                <w:rFonts w:hint="eastAsia" w:ascii="仿宋_GB2312" w:eastAsia="仿宋_GB2312"/>
                <w:b/>
                <w:kern w:val="0"/>
                <w:sz w:val="24"/>
                <w:szCs w:val="24"/>
              </w:rPr>
              <w:t>新质押券总面额</w:t>
            </w:r>
          </w:p>
        </w:tc>
        <w:tc>
          <w:tcPr>
            <w:tcW w:w="5296" w:type="dxa"/>
          </w:tcPr>
          <w:p w14:paraId="1BD53D4F">
            <w:pPr>
              <w:adjustRightInd w:val="0"/>
              <w:snapToGrid w:val="0"/>
              <w:jc w:val="left"/>
              <w:rPr>
                <w:rFonts w:ascii="仿宋_GB2312" w:eastAsia="仿宋_GB2312"/>
                <w:kern w:val="0"/>
                <w:sz w:val="24"/>
                <w:szCs w:val="24"/>
              </w:rPr>
            </w:pPr>
            <w:r>
              <w:rPr>
                <w:rFonts w:hint="eastAsia" w:ascii="仿宋_GB2312" w:eastAsia="仿宋_GB2312"/>
                <w:kern w:val="0"/>
                <w:sz w:val="24"/>
                <w:szCs w:val="24"/>
              </w:rPr>
              <w:t>新质押券数量</w:t>
            </w:r>
            <w:r>
              <w:rPr>
                <w:rFonts w:hint="eastAsia" w:ascii="仿宋_GB2312" w:hAnsi="宋体" w:eastAsia="仿宋_GB2312" w:cs="宋体"/>
                <w:bCs/>
                <w:color w:val="000000"/>
                <w:kern w:val="0"/>
                <w:sz w:val="24"/>
                <w:szCs w:val="24"/>
              </w:rPr>
              <w:t>×</w:t>
            </w:r>
            <w:r>
              <w:rPr>
                <w:rFonts w:hint="eastAsia" w:ascii="仿宋_GB2312" w:eastAsia="仿宋_GB2312"/>
                <w:kern w:val="0"/>
                <w:sz w:val="24"/>
                <w:szCs w:val="24"/>
              </w:rPr>
              <w:t>单张质押券面额</w:t>
            </w:r>
            <w:r>
              <w:rPr>
                <w:rFonts w:hint="eastAsia" w:ascii="仿宋_GB2312" w:hAnsi="宋体" w:eastAsia="仿宋_GB2312" w:cs="宋体"/>
                <w:bCs/>
                <w:color w:val="000000"/>
                <w:kern w:val="0"/>
                <w:sz w:val="24"/>
                <w:szCs w:val="24"/>
              </w:rPr>
              <w:t>×10/10000</w:t>
            </w:r>
            <w:r>
              <w:rPr>
                <w:rFonts w:hint="eastAsia" w:ascii="仿宋_GB2312" w:eastAsia="仿宋_GB2312"/>
                <w:kern w:val="0"/>
                <w:sz w:val="24"/>
                <w:szCs w:val="24"/>
              </w:rPr>
              <w:t>，自动显示，无需输入</w:t>
            </w:r>
          </w:p>
        </w:tc>
      </w:tr>
      <w:tr w14:paraId="22F88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96" w:type="dxa"/>
            <w:gridSpan w:val="2"/>
          </w:tcPr>
          <w:p w14:paraId="392C3867">
            <w:pPr>
              <w:adjustRightInd w:val="0"/>
              <w:snapToGrid w:val="0"/>
              <w:jc w:val="center"/>
              <w:rPr>
                <w:rFonts w:ascii="仿宋_GB2312" w:eastAsia="仿宋_GB2312"/>
                <w:kern w:val="0"/>
                <w:sz w:val="24"/>
                <w:szCs w:val="24"/>
              </w:rPr>
            </w:pPr>
            <w:r>
              <w:rPr>
                <w:rFonts w:hint="eastAsia" w:ascii="仿宋_GB2312" w:eastAsia="仿宋_GB2312"/>
                <w:b/>
                <w:kern w:val="0"/>
                <w:sz w:val="24"/>
                <w:szCs w:val="24"/>
              </w:rPr>
              <w:t>（置换质押债券或解除部分质押，</w:t>
            </w:r>
            <w:r>
              <w:rPr>
                <w:rFonts w:ascii="仿宋_GB2312" w:eastAsia="仿宋_GB2312"/>
                <w:b/>
                <w:kern w:val="0"/>
                <w:sz w:val="24"/>
                <w:szCs w:val="24"/>
              </w:rPr>
              <w:t>换出证券简称原质押券</w:t>
            </w:r>
            <w:r>
              <w:rPr>
                <w:rFonts w:hint="eastAsia" w:ascii="仿宋_GB2312" w:eastAsia="仿宋_GB2312"/>
                <w:b/>
                <w:kern w:val="0"/>
                <w:sz w:val="24"/>
                <w:szCs w:val="24"/>
              </w:rPr>
              <w:t>）原券申报信息</w:t>
            </w:r>
          </w:p>
        </w:tc>
      </w:tr>
      <w:tr w14:paraId="0A539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3000" w:type="dxa"/>
          </w:tcPr>
          <w:p w14:paraId="79F0D12C">
            <w:pPr>
              <w:adjustRightInd w:val="0"/>
              <w:snapToGrid w:val="0"/>
              <w:rPr>
                <w:rFonts w:ascii="仿宋_GB2312" w:eastAsia="仿宋_GB2312"/>
                <w:b/>
                <w:kern w:val="0"/>
                <w:sz w:val="24"/>
                <w:szCs w:val="24"/>
              </w:rPr>
            </w:pPr>
            <w:r>
              <w:rPr>
                <w:rFonts w:hint="eastAsia" w:ascii="仿宋_GB2312" w:eastAsia="仿宋_GB2312"/>
                <w:b/>
                <w:kern w:val="0"/>
                <w:sz w:val="24"/>
                <w:szCs w:val="24"/>
              </w:rPr>
              <w:t>原质押券代码</w:t>
            </w:r>
          </w:p>
        </w:tc>
        <w:tc>
          <w:tcPr>
            <w:tcW w:w="5296" w:type="dxa"/>
          </w:tcPr>
          <w:p w14:paraId="024D8E37">
            <w:pPr>
              <w:adjustRightInd w:val="0"/>
              <w:snapToGrid w:val="0"/>
              <w:rPr>
                <w:rFonts w:ascii="仿宋_GB2312" w:eastAsia="仿宋_GB2312"/>
                <w:kern w:val="0"/>
                <w:sz w:val="24"/>
                <w:szCs w:val="24"/>
              </w:rPr>
            </w:pPr>
            <w:r>
              <w:rPr>
                <w:rFonts w:hint="eastAsia" w:ascii="仿宋_GB2312" w:eastAsia="仿宋_GB2312"/>
                <w:kern w:val="0"/>
                <w:sz w:val="24"/>
                <w:szCs w:val="24"/>
              </w:rPr>
              <w:t>原质押债券的代码，自动显示，无需输入</w:t>
            </w:r>
          </w:p>
        </w:tc>
      </w:tr>
      <w:tr w14:paraId="250A4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0" w:type="dxa"/>
          </w:tcPr>
          <w:p w14:paraId="690AC077">
            <w:pPr>
              <w:adjustRightInd w:val="0"/>
              <w:snapToGrid w:val="0"/>
              <w:rPr>
                <w:rFonts w:ascii="仿宋_GB2312" w:eastAsia="仿宋_GB2312"/>
                <w:b/>
                <w:kern w:val="0"/>
                <w:sz w:val="24"/>
                <w:szCs w:val="24"/>
              </w:rPr>
            </w:pPr>
            <w:r>
              <w:rPr>
                <w:rFonts w:hint="eastAsia" w:ascii="仿宋_GB2312" w:eastAsia="仿宋_GB2312"/>
                <w:b/>
                <w:kern w:val="0"/>
                <w:sz w:val="24"/>
                <w:szCs w:val="24"/>
              </w:rPr>
              <w:t>原质押券简称</w:t>
            </w:r>
          </w:p>
        </w:tc>
        <w:tc>
          <w:tcPr>
            <w:tcW w:w="5296" w:type="dxa"/>
          </w:tcPr>
          <w:p w14:paraId="64974F84">
            <w:pPr>
              <w:adjustRightInd w:val="0"/>
              <w:snapToGrid w:val="0"/>
              <w:rPr>
                <w:rFonts w:ascii="仿宋_GB2312" w:eastAsia="仿宋_GB2312"/>
                <w:kern w:val="0"/>
                <w:sz w:val="24"/>
                <w:szCs w:val="24"/>
              </w:rPr>
            </w:pPr>
            <w:r>
              <w:rPr>
                <w:rFonts w:hint="eastAsia" w:ascii="仿宋_GB2312" w:eastAsia="仿宋_GB2312"/>
                <w:kern w:val="0"/>
                <w:sz w:val="24"/>
                <w:szCs w:val="24"/>
              </w:rPr>
              <w:t>原质押债券的简称，自动显示，无需输入</w:t>
            </w:r>
          </w:p>
        </w:tc>
      </w:tr>
      <w:tr w14:paraId="46363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0" w:type="dxa"/>
          </w:tcPr>
          <w:p w14:paraId="2AB389A9">
            <w:pPr>
              <w:adjustRightInd w:val="0"/>
              <w:snapToGrid w:val="0"/>
              <w:rPr>
                <w:rFonts w:ascii="仿宋_GB2312" w:eastAsia="仿宋_GB2312"/>
                <w:b/>
                <w:kern w:val="0"/>
                <w:sz w:val="24"/>
                <w:szCs w:val="24"/>
              </w:rPr>
            </w:pPr>
            <w:r>
              <w:rPr>
                <w:rFonts w:hint="eastAsia" w:ascii="仿宋_GB2312" w:eastAsia="仿宋_GB2312"/>
                <w:b/>
                <w:kern w:val="0"/>
                <w:sz w:val="24"/>
                <w:szCs w:val="24"/>
              </w:rPr>
              <w:t>冻结</w:t>
            </w:r>
            <w:r>
              <w:rPr>
                <w:rFonts w:ascii="仿宋_GB2312" w:eastAsia="仿宋_GB2312"/>
                <w:b/>
                <w:kern w:val="0"/>
                <w:sz w:val="24"/>
                <w:szCs w:val="24"/>
              </w:rPr>
              <w:t>申请书号</w:t>
            </w:r>
          </w:p>
        </w:tc>
        <w:tc>
          <w:tcPr>
            <w:tcW w:w="5296" w:type="dxa"/>
          </w:tcPr>
          <w:p w14:paraId="46601870">
            <w:pPr>
              <w:adjustRightInd w:val="0"/>
              <w:snapToGrid w:val="0"/>
              <w:rPr>
                <w:rFonts w:ascii="仿宋_GB2312" w:eastAsia="仿宋_GB2312"/>
                <w:kern w:val="0"/>
                <w:sz w:val="24"/>
                <w:szCs w:val="24"/>
              </w:rPr>
            </w:pPr>
            <w:r>
              <w:rPr>
                <w:rFonts w:hint="eastAsia" w:ascii="仿宋_GB2312" w:eastAsia="仿宋_GB2312"/>
                <w:kern w:val="0"/>
                <w:sz w:val="24"/>
                <w:szCs w:val="24"/>
              </w:rPr>
              <w:t>换出</w:t>
            </w:r>
            <w:r>
              <w:rPr>
                <w:rFonts w:ascii="仿宋_GB2312" w:eastAsia="仿宋_GB2312"/>
                <w:kern w:val="0"/>
                <w:sz w:val="24"/>
                <w:szCs w:val="24"/>
              </w:rPr>
              <w:t>证券时仅能选原合约中的质押券及</w:t>
            </w:r>
            <w:r>
              <w:rPr>
                <w:rFonts w:hint="eastAsia" w:ascii="仿宋_GB2312" w:eastAsia="仿宋_GB2312"/>
                <w:kern w:val="0"/>
                <w:sz w:val="24"/>
                <w:szCs w:val="24"/>
              </w:rPr>
              <w:t>冻结</w:t>
            </w:r>
            <w:r>
              <w:rPr>
                <w:rFonts w:ascii="仿宋_GB2312" w:eastAsia="仿宋_GB2312"/>
                <w:kern w:val="0"/>
                <w:sz w:val="24"/>
                <w:szCs w:val="24"/>
              </w:rPr>
              <w:t>申请书号，不得超过原质押券该笔冻结申请书号对应的数量</w:t>
            </w:r>
          </w:p>
        </w:tc>
      </w:tr>
      <w:tr w14:paraId="56900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0" w:type="dxa"/>
          </w:tcPr>
          <w:p w14:paraId="72381348">
            <w:pPr>
              <w:adjustRightInd w:val="0"/>
              <w:snapToGrid w:val="0"/>
              <w:rPr>
                <w:rFonts w:ascii="仿宋_GB2312" w:eastAsia="仿宋_GB2312"/>
                <w:b/>
                <w:kern w:val="0"/>
                <w:sz w:val="24"/>
                <w:szCs w:val="24"/>
              </w:rPr>
            </w:pPr>
            <w:r>
              <w:rPr>
                <w:rFonts w:hint="eastAsia" w:ascii="仿宋_GB2312" w:eastAsia="仿宋_GB2312"/>
                <w:b/>
                <w:kern w:val="0"/>
                <w:sz w:val="24"/>
                <w:szCs w:val="24"/>
              </w:rPr>
              <w:t>原质押券面额</w:t>
            </w:r>
          </w:p>
        </w:tc>
        <w:tc>
          <w:tcPr>
            <w:tcW w:w="5296" w:type="dxa"/>
          </w:tcPr>
          <w:p w14:paraId="2E6AD434">
            <w:pPr>
              <w:adjustRightInd w:val="0"/>
              <w:snapToGrid w:val="0"/>
              <w:rPr>
                <w:rFonts w:ascii="仿宋_GB2312" w:eastAsia="仿宋_GB2312"/>
                <w:kern w:val="0"/>
                <w:sz w:val="24"/>
                <w:szCs w:val="24"/>
              </w:rPr>
            </w:pPr>
            <w:r>
              <w:rPr>
                <w:rFonts w:hint="eastAsia" w:ascii="仿宋_GB2312" w:eastAsia="仿宋_GB2312"/>
                <w:kern w:val="0"/>
                <w:sz w:val="24"/>
                <w:szCs w:val="24"/>
              </w:rPr>
              <w:t>单张原</w:t>
            </w:r>
            <w:r>
              <w:rPr>
                <w:rFonts w:ascii="仿宋_GB2312" w:eastAsia="仿宋_GB2312"/>
                <w:kern w:val="0"/>
                <w:sz w:val="24"/>
                <w:szCs w:val="24"/>
              </w:rPr>
              <w:t>质押券面额</w:t>
            </w:r>
          </w:p>
        </w:tc>
      </w:tr>
      <w:tr w14:paraId="2817A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0" w:type="dxa"/>
          </w:tcPr>
          <w:p w14:paraId="6D1C1834">
            <w:pPr>
              <w:adjustRightInd w:val="0"/>
              <w:snapToGrid w:val="0"/>
              <w:rPr>
                <w:rFonts w:ascii="仿宋_GB2312" w:eastAsia="仿宋_GB2312"/>
                <w:b/>
                <w:kern w:val="0"/>
                <w:sz w:val="24"/>
                <w:szCs w:val="24"/>
              </w:rPr>
            </w:pPr>
            <w:r>
              <w:rPr>
                <w:rFonts w:hint="eastAsia" w:ascii="仿宋_GB2312" w:eastAsia="仿宋_GB2312"/>
                <w:b/>
                <w:kern w:val="0"/>
                <w:sz w:val="24"/>
                <w:szCs w:val="24"/>
              </w:rPr>
              <w:t>原质押数量</w:t>
            </w:r>
          </w:p>
        </w:tc>
        <w:tc>
          <w:tcPr>
            <w:tcW w:w="5296" w:type="dxa"/>
          </w:tcPr>
          <w:p w14:paraId="2242B78E">
            <w:pPr>
              <w:adjustRightInd w:val="0"/>
              <w:snapToGrid w:val="0"/>
              <w:rPr>
                <w:rFonts w:ascii="仿宋_GB2312" w:eastAsia="仿宋_GB2312"/>
                <w:kern w:val="0"/>
                <w:sz w:val="24"/>
                <w:szCs w:val="24"/>
              </w:rPr>
            </w:pPr>
            <w:r>
              <w:rPr>
                <w:rFonts w:hint="eastAsia" w:ascii="仿宋_GB2312" w:eastAsia="仿宋_GB2312"/>
                <w:kern w:val="0"/>
                <w:sz w:val="24"/>
                <w:szCs w:val="24"/>
              </w:rPr>
              <w:t>原质押券数量，以千元面额为单位，自动显示，无需输入</w:t>
            </w:r>
          </w:p>
        </w:tc>
      </w:tr>
      <w:tr w14:paraId="0221B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0" w:type="dxa"/>
          </w:tcPr>
          <w:p w14:paraId="47B7A348">
            <w:pPr>
              <w:adjustRightInd w:val="0"/>
              <w:snapToGrid w:val="0"/>
              <w:rPr>
                <w:rFonts w:ascii="仿宋_GB2312" w:eastAsia="仿宋_GB2312"/>
                <w:b/>
                <w:kern w:val="0"/>
                <w:sz w:val="24"/>
                <w:szCs w:val="24"/>
              </w:rPr>
            </w:pPr>
            <w:r>
              <w:rPr>
                <w:rFonts w:hint="eastAsia" w:ascii="仿宋_GB2312" w:eastAsia="仿宋_GB2312"/>
                <w:b/>
                <w:kern w:val="0"/>
                <w:sz w:val="24"/>
                <w:szCs w:val="24"/>
              </w:rPr>
              <w:t>原质押券总面额</w:t>
            </w:r>
          </w:p>
        </w:tc>
        <w:tc>
          <w:tcPr>
            <w:tcW w:w="5296" w:type="dxa"/>
          </w:tcPr>
          <w:p w14:paraId="295F4F85">
            <w:pPr>
              <w:adjustRightInd w:val="0"/>
              <w:snapToGrid w:val="0"/>
              <w:rPr>
                <w:rFonts w:ascii="仿宋_GB2312" w:eastAsia="仿宋_GB2312"/>
                <w:kern w:val="0"/>
                <w:sz w:val="24"/>
                <w:szCs w:val="24"/>
              </w:rPr>
            </w:pPr>
            <w:r>
              <w:rPr>
                <w:rFonts w:hint="eastAsia" w:ascii="仿宋_GB2312" w:eastAsia="仿宋_GB2312"/>
                <w:kern w:val="0"/>
                <w:sz w:val="24"/>
                <w:szCs w:val="24"/>
              </w:rPr>
              <w:t>原质押数量</w:t>
            </w:r>
            <w:r>
              <w:rPr>
                <w:rFonts w:hint="eastAsia" w:ascii="仿宋_GB2312" w:hAnsi="宋体" w:eastAsia="仿宋_GB2312" w:cs="宋体"/>
                <w:bCs/>
                <w:color w:val="000000"/>
                <w:kern w:val="0"/>
                <w:sz w:val="24"/>
                <w:szCs w:val="24"/>
              </w:rPr>
              <w:t>×</w:t>
            </w:r>
            <w:r>
              <w:rPr>
                <w:rFonts w:hint="eastAsia" w:ascii="仿宋_GB2312" w:eastAsia="仿宋_GB2312"/>
                <w:kern w:val="0"/>
                <w:sz w:val="24"/>
                <w:szCs w:val="24"/>
              </w:rPr>
              <w:t>原单张质押券面额</w:t>
            </w:r>
            <w:r>
              <w:rPr>
                <w:rFonts w:hint="eastAsia" w:ascii="仿宋_GB2312" w:hAnsi="宋体" w:eastAsia="仿宋_GB2312" w:cs="宋体"/>
                <w:bCs/>
                <w:color w:val="000000"/>
                <w:kern w:val="0"/>
                <w:sz w:val="24"/>
                <w:szCs w:val="24"/>
              </w:rPr>
              <w:t>×10/10000</w:t>
            </w:r>
            <w:r>
              <w:rPr>
                <w:rFonts w:hint="eastAsia" w:ascii="仿宋_GB2312" w:eastAsia="仿宋_GB2312"/>
                <w:kern w:val="0"/>
                <w:sz w:val="24"/>
                <w:szCs w:val="24"/>
              </w:rPr>
              <w:t>，自动显示，无需输入</w:t>
            </w:r>
          </w:p>
        </w:tc>
      </w:tr>
    </w:tbl>
    <w:p w14:paraId="482D7FA9">
      <w:pPr>
        <w:spacing w:line="600" w:lineRule="exact"/>
        <w:ind w:firstLine="602" w:firstLineChars="200"/>
        <w:outlineLvl w:val="3"/>
        <w:rPr>
          <w:rFonts w:ascii="仿宋_GB2312" w:eastAsia="仿宋_GB2312"/>
          <w:b/>
          <w:sz w:val="30"/>
          <w:szCs w:val="30"/>
        </w:rPr>
      </w:pPr>
      <w:r>
        <w:rPr>
          <w:rFonts w:hint="eastAsia" w:ascii="仿宋_GB2312" w:eastAsia="仿宋_GB2312"/>
          <w:b/>
          <w:sz w:val="30"/>
          <w:szCs w:val="30"/>
        </w:rPr>
        <w:t>（</w:t>
      </w:r>
      <w:r>
        <w:rPr>
          <w:rFonts w:ascii="仿宋_GB2312" w:eastAsia="仿宋_GB2312"/>
          <w:b/>
          <w:sz w:val="30"/>
          <w:szCs w:val="30"/>
        </w:rPr>
        <w:t>2</w:t>
      </w:r>
      <w:r>
        <w:rPr>
          <w:rFonts w:hint="eastAsia" w:ascii="仿宋_GB2312" w:eastAsia="仿宋_GB2312"/>
          <w:b/>
          <w:sz w:val="30"/>
          <w:szCs w:val="30"/>
        </w:rPr>
        <w:t>）提前终止借贷</w:t>
      </w:r>
    </w:p>
    <w:p w14:paraId="2CE2FA9F">
      <w:pPr>
        <w:spacing w:line="600" w:lineRule="exact"/>
        <w:ind w:firstLine="600" w:firstLineChars="200"/>
        <w:outlineLvl w:val="9"/>
        <w:rPr>
          <w:rFonts w:ascii="仿宋_GB2312" w:hAnsi="Calibri" w:eastAsia="仿宋_GB2312"/>
          <w:sz w:val="30"/>
          <w:szCs w:val="30"/>
        </w:rPr>
      </w:pPr>
      <w:r>
        <w:rPr>
          <w:rFonts w:hint="eastAsia" w:ascii="仿宋_GB2312" w:hAnsi="Calibri" w:eastAsia="仿宋_GB2312"/>
          <w:kern w:val="0"/>
          <w:sz w:val="30"/>
          <w:szCs w:val="30"/>
        </w:rPr>
        <w:t>债券借贷期间，标的债券发生违约、披露重大违约风险或者借贷双方协商一致的，可以按照约定提前终止借贷。债券借入方或债券借出方可以发起提前终止申报，并由对方确认，确认后按</w:t>
      </w:r>
      <w:r>
        <w:rPr>
          <w:rFonts w:hint="eastAsia" w:ascii="仿宋_GB2312" w:hAnsi="宋体" w:eastAsia="仿宋_GB2312" w:cs="宋体"/>
          <w:sz w:val="30"/>
          <w:szCs w:val="30"/>
        </w:rPr>
        <w:t>到期结算办理。</w:t>
      </w:r>
      <w:r>
        <w:rPr>
          <w:rFonts w:hint="eastAsia" w:ascii="仿宋_GB2312" w:hAnsi="Calibri" w:eastAsia="仿宋_GB2312"/>
          <w:sz w:val="30"/>
          <w:szCs w:val="30"/>
        </w:rPr>
        <w:t>提前终止借贷的具体要素及要素说明如下：</w:t>
      </w:r>
      <w:r>
        <w:rPr>
          <w:rFonts w:ascii="仿宋_GB2312" w:hAnsi="Calibri" w:eastAsia="仿宋_GB2312"/>
          <w:sz w:val="30"/>
          <w:szCs w:val="30"/>
        </w:rPr>
        <w:t xml:space="preserve"> </w:t>
      </w:r>
    </w:p>
    <w:tbl>
      <w:tblPr>
        <w:tblStyle w:val="43"/>
        <w:tblW w:w="8724" w:type="dxa"/>
        <w:tblInd w:w="-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12"/>
        <w:gridCol w:w="5812"/>
      </w:tblGrid>
      <w:tr w14:paraId="55ED9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2" w:type="dxa"/>
          </w:tcPr>
          <w:p w14:paraId="1C4F1A39">
            <w:pPr>
              <w:adjustRightInd w:val="0"/>
              <w:snapToGrid w:val="0"/>
              <w:rPr>
                <w:rFonts w:ascii="仿宋_GB2312" w:eastAsia="仿宋_GB2312"/>
                <w:b/>
                <w:kern w:val="0"/>
                <w:sz w:val="24"/>
                <w:szCs w:val="24"/>
              </w:rPr>
            </w:pPr>
            <w:r>
              <w:rPr>
                <w:rFonts w:hint="eastAsia" w:ascii="仿宋_GB2312" w:eastAsia="仿宋_GB2312"/>
                <w:b/>
                <w:kern w:val="0"/>
                <w:sz w:val="24"/>
                <w:szCs w:val="24"/>
              </w:rPr>
              <w:t>要素名称</w:t>
            </w:r>
          </w:p>
        </w:tc>
        <w:tc>
          <w:tcPr>
            <w:tcW w:w="5812" w:type="dxa"/>
          </w:tcPr>
          <w:p w14:paraId="216BF03E">
            <w:pPr>
              <w:adjustRightInd w:val="0"/>
              <w:snapToGrid w:val="0"/>
              <w:rPr>
                <w:rFonts w:ascii="仿宋_GB2312" w:eastAsia="仿宋_GB2312"/>
                <w:b/>
                <w:kern w:val="0"/>
                <w:sz w:val="24"/>
                <w:szCs w:val="24"/>
              </w:rPr>
            </w:pPr>
            <w:r>
              <w:rPr>
                <w:rFonts w:hint="eastAsia" w:ascii="仿宋_GB2312" w:eastAsia="仿宋_GB2312"/>
                <w:b/>
                <w:kern w:val="0"/>
                <w:sz w:val="24"/>
                <w:szCs w:val="24"/>
              </w:rPr>
              <w:t>要素说明</w:t>
            </w:r>
          </w:p>
        </w:tc>
      </w:tr>
      <w:tr w14:paraId="1851A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2" w:type="dxa"/>
          </w:tcPr>
          <w:p w14:paraId="6F2E5AE0">
            <w:pPr>
              <w:adjustRightInd w:val="0"/>
              <w:snapToGrid w:val="0"/>
              <w:rPr>
                <w:rFonts w:ascii="仿宋_GB2312" w:eastAsia="仿宋_GB2312"/>
                <w:b/>
                <w:kern w:val="0"/>
                <w:sz w:val="24"/>
                <w:szCs w:val="24"/>
              </w:rPr>
            </w:pPr>
            <w:r>
              <w:rPr>
                <w:rFonts w:hint="eastAsia" w:ascii="仿宋_GB2312" w:eastAsia="仿宋_GB2312"/>
                <w:b/>
                <w:kern w:val="0"/>
                <w:sz w:val="24"/>
                <w:szCs w:val="24"/>
              </w:rPr>
              <w:t>提前终止日</w:t>
            </w:r>
          </w:p>
        </w:tc>
        <w:tc>
          <w:tcPr>
            <w:tcW w:w="5812" w:type="dxa"/>
          </w:tcPr>
          <w:p w14:paraId="3BF6E13E">
            <w:pPr>
              <w:adjustRightInd w:val="0"/>
              <w:snapToGrid w:val="0"/>
              <w:rPr>
                <w:rFonts w:ascii="仿宋_GB2312" w:eastAsia="仿宋_GB2312"/>
                <w:kern w:val="0"/>
                <w:sz w:val="24"/>
                <w:szCs w:val="24"/>
              </w:rPr>
            </w:pPr>
            <w:r>
              <w:rPr>
                <w:rFonts w:hint="eastAsia" w:ascii="仿宋_GB2312" w:eastAsia="仿宋_GB2312"/>
                <w:kern w:val="0"/>
                <w:sz w:val="24"/>
                <w:szCs w:val="24"/>
              </w:rPr>
              <w:t>债券借贷交易的提前终止日期，即申报提前终止当日，自动显示，无需输入。自动计算带出新的借贷期限和新的应付借贷费用，费用可修改。</w:t>
            </w:r>
          </w:p>
        </w:tc>
      </w:tr>
      <w:tr w14:paraId="12F6F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2" w:type="dxa"/>
          </w:tcPr>
          <w:p w14:paraId="4D46CD1E">
            <w:pPr>
              <w:adjustRightInd w:val="0"/>
              <w:snapToGrid w:val="0"/>
              <w:rPr>
                <w:rFonts w:ascii="仿宋_GB2312" w:eastAsia="仿宋_GB2312"/>
                <w:b/>
                <w:kern w:val="0"/>
                <w:sz w:val="24"/>
                <w:szCs w:val="24"/>
              </w:rPr>
            </w:pPr>
            <w:r>
              <w:rPr>
                <w:rFonts w:hint="eastAsia" w:ascii="仿宋_GB2312" w:eastAsia="仿宋_GB2312"/>
                <w:b/>
                <w:kern w:val="0"/>
                <w:sz w:val="24"/>
                <w:szCs w:val="24"/>
              </w:rPr>
              <w:t>借贷费率</w:t>
            </w:r>
          </w:p>
        </w:tc>
        <w:tc>
          <w:tcPr>
            <w:tcW w:w="5812" w:type="dxa"/>
          </w:tcPr>
          <w:p w14:paraId="69C2FEB2">
            <w:pPr>
              <w:adjustRightInd w:val="0"/>
              <w:snapToGrid w:val="0"/>
              <w:rPr>
                <w:rFonts w:ascii="仿宋_GB2312" w:eastAsia="仿宋_GB2312"/>
                <w:kern w:val="0"/>
                <w:sz w:val="24"/>
                <w:szCs w:val="24"/>
              </w:rPr>
            </w:pPr>
            <w:r>
              <w:rPr>
                <w:rFonts w:hint="eastAsia" w:ascii="仿宋_GB2312" w:eastAsia="仿宋_GB2312"/>
                <w:kern w:val="0"/>
                <w:sz w:val="24"/>
                <w:szCs w:val="24"/>
              </w:rPr>
              <w:t>自动带出协商成交申报中的借贷费率</w:t>
            </w:r>
          </w:p>
        </w:tc>
      </w:tr>
      <w:tr w14:paraId="65AF0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912" w:type="dxa"/>
          </w:tcPr>
          <w:p w14:paraId="01796172">
            <w:pPr>
              <w:adjustRightInd w:val="0"/>
              <w:snapToGrid w:val="0"/>
              <w:rPr>
                <w:rFonts w:ascii="仿宋_GB2312" w:eastAsia="仿宋_GB2312"/>
                <w:b/>
                <w:kern w:val="0"/>
                <w:sz w:val="24"/>
                <w:szCs w:val="24"/>
              </w:rPr>
            </w:pPr>
            <w:r>
              <w:rPr>
                <w:rFonts w:hint="eastAsia" w:ascii="仿宋_GB2312" w:eastAsia="仿宋_GB2312"/>
                <w:b/>
                <w:kern w:val="0"/>
                <w:sz w:val="24"/>
                <w:szCs w:val="24"/>
              </w:rPr>
              <w:t>借贷费用</w:t>
            </w:r>
          </w:p>
        </w:tc>
        <w:tc>
          <w:tcPr>
            <w:tcW w:w="5812" w:type="dxa"/>
          </w:tcPr>
          <w:p w14:paraId="5D8723C6">
            <w:pPr>
              <w:adjustRightInd w:val="0"/>
              <w:snapToGrid w:val="0"/>
              <w:rPr>
                <w:rFonts w:ascii="仿宋_GB2312" w:eastAsia="仿宋_GB2312"/>
                <w:kern w:val="0"/>
                <w:sz w:val="24"/>
                <w:szCs w:val="24"/>
              </w:rPr>
            </w:pPr>
            <w:r>
              <w:rPr>
                <w:rFonts w:hint="eastAsia" w:ascii="仿宋_GB2312" w:eastAsia="仿宋_GB2312"/>
                <w:kern w:val="0"/>
                <w:sz w:val="24"/>
                <w:szCs w:val="24"/>
              </w:rPr>
              <w:t>提前到期日债券借入方支付</w:t>
            </w:r>
            <w:r>
              <w:rPr>
                <w:rFonts w:ascii="仿宋_GB2312" w:eastAsia="仿宋_GB2312"/>
                <w:kern w:val="0"/>
                <w:sz w:val="24"/>
                <w:szCs w:val="24"/>
              </w:rPr>
              <w:t>的</w:t>
            </w:r>
            <w:r>
              <w:rPr>
                <w:rFonts w:hint="eastAsia" w:ascii="仿宋_GB2312" w:eastAsia="仿宋_GB2312"/>
                <w:kern w:val="0"/>
                <w:sz w:val="24"/>
                <w:szCs w:val="24"/>
              </w:rPr>
              <w:t>借贷</w:t>
            </w:r>
            <w:r>
              <w:rPr>
                <w:rFonts w:ascii="仿宋_GB2312" w:eastAsia="仿宋_GB2312"/>
                <w:kern w:val="0"/>
                <w:sz w:val="24"/>
                <w:szCs w:val="24"/>
              </w:rPr>
              <w:t>费用</w:t>
            </w:r>
          </w:p>
        </w:tc>
      </w:tr>
      <w:tr w14:paraId="51D7E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2" w:type="dxa"/>
          </w:tcPr>
          <w:p w14:paraId="1B3D78A2">
            <w:pPr>
              <w:adjustRightInd w:val="0"/>
              <w:snapToGrid w:val="0"/>
              <w:rPr>
                <w:rFonts w:ascii="仿宋_GB2312" w:eastAsia="仿宋_GB2312"/>
                <w:b/>
                <w:kern w:val="0"/>
                <w:sz w:val="24"/>
                <w:szCs w:val="24"/>
              </w:rPr>
            </w:pPr>
            <w:r>
              <w:rPr>
                <w:rFonts w:hint="eastAsia" w:ascii="仿宋_GB2312" w:eastAsia="仿宋_GB2312"/>
                <w:b/>
                <w:kern w:val="0"/>
                <w:sz w:val="24"/>
                <w:szCs w:val="24"/>
              </w:rPr>
              <w:t>结算</w:t>
            </w:r>
            <w:r>
              <w:rPr>
                <w:rFonts w:ascii="仿宋_GB2312" w:eastAsia="仿宋_GB2312"/>
                <w:b/>
                <w:kern w:val="0"/>
                <w:sz w:val="24"/>
                <w:szCs w:val="24"/>
              </w:rPr>
              <w:t>方式</w:t>
            </w:r>
          </w:p>
        </w:tc>
        <w:tc>
          <w:tcPr>
            <w:tcW w:w="5812" w:type="dxa"/>
          </w:tcPr>
          <w:p w14:paraId="3C340A8C">
            <w:pPr>
              <w:adjustRightInd w:val="0"/>
              <w:snapToGrid w:val="0"/>
              <w:rPr>
                <w:rFonts w:ascii="仿宋_GB2312" w:eastAsia="仿宋_GB2312"/>
                <w:kern w:val="0"/>
                <w:sz w:val="24"/>
                <w:szCs w:val="24"/>
              </w:rPr>
            </w:pPr>
            <w:r>
              <w:rPr>
                <w:rFonts w:hint="eastAsia" w:ascii="仿宋_GB2312" w:eastAsia="仿宋_GB2312"/>
                <w:kern w:val="0"/>
                <w:sz w:val="24"/>
                <w:szCs w:val="24"/>
              </w:rPr>
              <w:t>可以选择债券结算、现金结算和部分现金结算，选择现金结算的，需填写“现金结算金额”；选择部分现金结算的，需填写“部分现金结算金额”以及“标的债券归还数量”</w:t>
            </w:r>
          </w:p>
        </w:tc>
      </w:tr>
      <w:tr w14:paraId="0EAC7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2" w:type="dxa"/>
          </w:tcPr>
          <w:p w14:paraId="156693A7">
            <w:pPr>
              <w:adjustRightInd w:val="0"/>
              <w:snapToGrid w:val="0"/>
              <w:rPr>
                <w:rFonts w:ascii="仿宋_GB2312" w:eastAsia="仿宋_GB2312"/>
                <w:b/>
                <w:kern w:val="0"/>
                <w:sz w:val="24"/>
                <w:szCs w:val="24"/>
              </w:rPr>
            </w:pPr>
            <w:r>
              <w:rPr>
                <w:rFonts w:hint="eastAsia" w:ascii="仿宋_GB2312" w:eastAsia="仿宋_GB2312"/>
                <w:b/>
                <w:kern w:val="0"/>
                <w:sz w:val="24"/>
                <w:szCs w:val="24"/>
              </w:rPr>
              <w:t>资金</w:t>
            </w:r>
            <w:r>
              <w:rPr>
                <w:rFonts w:ascii="仿宋_GB2312" w:eastAsia="仿宋_GB2312"/>
                <w:b/>
                <w:kern w:val="0"/>
                <w:sz w:val="24"/>
                <w:szCs w:val="24"/>
              </w:rPr>
              <w:t>结算方式</w:t>
            </w:r>
          </w:p>
        </w:tc>
        <w:tc>
          <w:tcPr>
            <w:tcW w:w="5812" w:type="dxa"/>
          </w:tcPr>
          <w:p w14:paraId="4DDC2A38">
            <w:pPr>
              <w:adjustRightInd w:val="0"/>
              <w:snapToGrid w:val="0"/>
              <w:rPr>
                <w:rFonts w:ascii="仿宋_GB2312" w:eastAsia="仿宋_GB2312"/>
                <w:kern w:val="0"/>
                <w:sz w:val="24"/>
                <w:szCs w:val="24"/>
              </w:rPr>
            </w:pPr>
            <w:r>
              <w:rPr>
                <w:rFonts w:hint="eastAsia" w:ascii="仿宋_GB2312" w:hAnsi="宋体" w:eastAsia="仿宋_GB2312" w:cs="宋体"/>
                <w:bCs/>
                <w:color w:val="000000"/>
                <w:kern w:val="0"/>
                <w:sz w:val="24"/>
                <w:szCs w:val="24"/>
              </w:rPr>
              <w:t>可</w:t>
            </w:r>
            <w:r>
              <w:rPr>
                <w:rFonts w:ascii="仿宋_GB2312" w:hAnsi="宋体" w:eastAsia="仿宋_GB2312" w:cs="宋体"/>
                <w:bCs/>
                <w:color w:val="000000"/>
                <w:kern w:val="0"/>
                <w:sz w:val="24"/>
                <w:szCs w:val="24"/>
              </w:rPr>
              <w:t>勾选场</w:t>
            </w:r>
            <w:r>
              <w:rPr>
                <w:rFonts w:hint="eastAsia" w:ascii="仿宋_GB2312" w:hAnsi="宋体" w:eastAsia="仿宋_GB2312" w:cs="宋体"/>
                <w:bCs/>
                <w:color w:val="000000"/>
                <w:kern w:val="0"/>
                <w:sz w:val="24"/>
                <w:szCs w:val="24"/>
              </w:rPr>
              <w:t>内</w:t>
            </w:r>
            <w:r>
              <w:rPr>
                <w:rFonts w:ascii="仿宋_GB2312" w:hAnsi="宋体" w:eastAsia="仿宋_GB2312" w:cs="宋体"/>
                <w:bCs/>
                <w:color w:val="000000"/>
                <w:kern w:val="0"/>
                <w:sz w:val="24"/>
                <w:szCs w:val="24"/>
              </w:rPr>
              <w:t>/外结算，</w:t>
            </w:r>
            <w:r>
              <w:rPr>
                <w:rFonts w:hint="eastAsia" w:ascii="仿宋_GB2312" w:hAnsi="宋体" w:eastAsia="仿宋_GB2312" w:cs="宋体"/>
                <w:bCs/>
                <w:color w:val="000000"/>
                <w:kern w:val="0"/>
                <w:sz w:val="24"/>
                <w:szCs w:val="24"/>
              </w:rPr>
              <w:t>场内</w:t>
            </w:r>
            <w:r>
              <w:rPr>
                <w:rFonts w:ascii="仿宋_GB2312" w:hAnsi="宋体" w:eastAsia="仿宋_GB2312" w:cs="宋体"/>
                <w:bCs/>
                <w:color w:val="000000"/>
                <w:kern w:val="0"/>
                <w:sz w:val="24"/>
                <w:szCs w:val="24"/>
              </w:rPr>
              <w:t>结算的，默认RTGS结算方式</w:t>
            </w:r>
          </w:p>
        </w:tc>
      </w:tr>
      <w:tr w14:paraId="41F37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2" w:type="dxa"/>
          </w:tcPr>
          <w:p w14:paraId="288E0C3C">
            <w:pPr>
              <w:adjustRightInd w:val="0"/>
              <w:snapToGrid w:val="0"/>
              <w:rPr>
                <w:rFonts w:ascii="仿宋_GB2312" w:eastAsia="仿宋_GB2312"/>
                <w:b/>
                <w:kern w:val="0"/>
                <w:sz w:val="24"/>
                <w:szCs w:val="24"/>
              </w:rPr>
            </w:pPr>
            <w:r>
              <w:rPr>
                <w:rFonts w:hint="eastAsia" w:ascii="仿宋_GB2312" w:eastAsia="仿宋_GB2312"/>
                <w:b/>
                <w:sz w:val="24"/>
                <w:szCs w:val="24"/>
              </w:rPr>
              <w:t>借入方资金账户</w:t>
            </w:r>
          </w:p>
        </w:tc>
        <w:tc>
          <w:tcPr>
            <w:tcW w:w="5812" w:type="dxa"/>
            <w:vAlign w:val="center"/>
          </w:tcPr>
          <w:p w14:paraId="16B28558">
            <w:pPr>
              <w:adjustRightInd w:val="0"/>
              <w:snapToGrid w:val="0"/>
              <w:rPr>
                <w:rFonts w:ascii="仿宋_GB2312" w:eastAsia="仿宋_GB2312"/>
                <w:kern w:val="0"/>
                <w:sz w:val="24"/>
                <w:szCs w:val="24"/>
              </w:rPr>
            </w:pPr>
            <w:r>
              <w:rPr>
                <w:rFonts w:hint="eastAsia" w:ascii="仿宋_GB2312" w:hAnsi="宋体" w:eastAsia="仿宋_GB2312" w:cs="宋体"/>
                <w:bCs/>
                <w:color w:val="000000"/>
                <w:kern w:val="0"/>
                <w:sz w:val="24"/>
                <w:szCs w:val="24"/>
              </w:rPr>
              <w:t>借入债券机构的资金</w:t>
            </w:r>
            <w:r>
              <w:rPr>
                <w:rFonts w:ascii="仿宋_GB2312" w:hAnsi="宋体" w:eastAsia="仿宋_GB2312" w:cs="宋体"/>
                <w:bCs/>
                <w:color w:val="000000"/>
                <w:kern w:val="0"/>
                <w:sz w:val="24"/>
                <w:szCs w:val="24"/>
              </w:rPr>
              <w:t>账户与名称</w:t>
            </w:r>
          </w:p>
        </w:tc>
      </w:tr>
      <w:tr w14:paraId="68B11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2" w:type="dxa"/>
          </w:tcPr>
          <w:p w14:paraId="439EB259">
            <w:pPr>
              <w:adjustRightInd w:val="0"/>
              <w:snapToGrid w:val="0"/>
              <w:rPr>
                <w:rFonts w:ascii="仿宋_GB2312" w:eastAsia="仿宋_GB2312"/>
                <w:b/>
                <w:sz w:val="24"/>
                <w:szCs w:val="24"/>
              </w:rPr>
            </w:pPr>
            <w:r>
              <w:rPr>
                <w:rFonts w:hint="eastAsia" w:ascii="仿宋_GB2312" w:eastAsia="仿宋_GB2312"/>
                <w:b/>
                <w:sz w:val="24"/>
                <w:szCs w:val="24"/>
              </w:rPr>
              <w:t>借出方资金账户</w:t>
            </w:r>
          </w:p>
        </w:tc>
        <w:tc>
          <w:tcPr>
            <w:tcW w:w="5812" w:type="dxa"/>
            <w:vAlign w:val="center"/>
          </w:tcPr>
          <w:p w14:paraId="5302521E">
            <w:pPr>
              <w:adjustRightInd w:val="0"/>
              <w:snapToGrid w:val="0"/>
              <w:rPr>
                <w:rFonts w:ascii="仿宋_GB2312" w:hAnsi="宋体" w:eastAsia="仿宋_GB2312" w:cs="宋体"/>
                <w:bCs/>
                <w:color w:val="000000"/>
                <w:kern w:val="0"/>
                <w:sz w:val="24"/>
                <w:szCs w:val="24"/>
              </w:rPr>
            </w:pPr>
            <w:r>
              <w:rPr>
                <w:rFonts w:hint="eastAsia" w:ascii="仿宋_GB2312" w:hAnsi="宋体" w:eastAsia="仿宋_GB2312" w:cs="宋体"/>
                <w:bCs/>
                <w:color w:val="000000"/>
                <w:kern w:val="0"/>
                <w:sz w:val="24"/>
                <w:szCs w:val="24"/>
              </w:rPr>
              <w:t>借出债券机构的资金</w:t>
            </w:r>
            <w:r>
              <w:rPr>
                <w:rFonts w:ascii="仿宋_GB2312" w:hAnsi="宋体" w:eastAsia="仿宋_GB2312" w:cs="宋体"/>
                <w:bCs/>
                <w:color w:val="000000"/>
                <w:kern w:val="0"/>
                <w:sz w:val="24"/>
                <w:szCs w:val="24"/>
              </w:rPr>
              <w:t>账户与名称</w:t>
            </w:r>
            <w:r>
              <w:rPr>
                <w:rFonts w:hint="eastAsia" w:ascii="仿宋_GB2312" w:hAnsi="宋体" w:eastAsia="仿宋_GB2312" w:cs="宋体"/>
                <w:bCs/>
                <w:color w:val="000000"/>
                <w:kern w:val="0"/>
                <w:sz w:val="24"/>
                <w:szCs w:val="24"/>
              </w:rPr>
              <w:t>，对手方</w:t>
            </w:r>
            <w:r>
              <w:rPr>
                <w:rFonts w:ascii="仿宋_GB2312" w:hAnsi="宋体" w:eastAsia="仿宋_GB2312" w:cs="宋体"/>
                <w:bCs/>
                <w:color w:val="000000"/>
                <w:kern w:val="0"/>
                <w:sz w:val="24"/>
                <w:szCs w:val="24"/>
              </w:rPr>
              <w:t>确认时录入。</w:t>
            </w:r>
          </w:p>
        </w:tc>
      </w:tr>
    </w:tbl>
    <w:p w14:paraId="0C4DC3FA">
      <w:pPr>
        <w:spacing w:line="600" w:lineRule="exact"/>
        <w:ind w:firstLine="602" w:firstLineChars="200"/>
        <w:outlineLvl w:val="3"/>
        <w:rPr>
          <w:rFonts w:ascii="仿宋_GB2312" w:eastAsia="仿宋_GB2312"/>
          <w:b/>
          <w:sz w:val="30"/>
          <w:szCs w:val="30"/>
        </w:rPr>
      </w:pPr>
      <w:r>
        <w:rPr>
          <w:rFonts w:hint="eastAsia" w:ascii="仿宋_GB2312" w:eastAsia="仿宋_GB2312"/>
          <w:b/>
          <w:sz w:val="30"/>
          <w:szCs w:val="30"/>
        </w:rPr>
        <w:t>（</w:t>
      </w:r>
      <w:r>
        <w:rPr>
          <w:rFonts w:ascii="仿宋_GB2312" w:eastAsia="仿宋_GB2312"/>
          <w:b/>
          <w:sz w:val="30"/>
          <w:szCs w:val="30"/>
        </w:rPr>
        <w:t>3</w:t>
      </w:r>
      <w:r>
        <w:rPr>
          <w:rFonts w:hint="eastAsia" w:ascii="仿宋_GB2312" w:eastAsia="仿宋_GB2312"/>
          <w:b/>
          <w:sz w:val="30"/>
          <w:szCs w:val="30"/>
        </w:rPr>
        <w:t>）借贷到期</w:t>
      </w:r>
    </w:p>
    <w:p w14:paraId="0888066B">
      <w:pPr>
        <w:spacing w:line="560" w:lineRule="exact"/>
        <w:ind w:firstLine="600" w:firstLineChars="200"/>
        <w:jc w:val="left"/>
        <w:rPr>
          <w:rFonts w:ascii="仿宋_GB2312" w:hAnsi="宋体" w:eastAsia="仿宋_GB2312" w:cs="宋体"/>
          <w:sz w:val="30"/>
          <w:szCs w:val="30"/>
        </w:rPr>
      </w:pPr>
      <w:r>
        <w:rPr>
          <w:rFonts w:hint="eastAsia" w:ascii="仿宋_GB2312" w:hAnsi="宋体" w:eastAsia="仿宋_GB2312" w:cs="宋体"/>
          <w:sz w:val="30"/>
          <w:szCs w:val="30"/>
        </w:rPr>
        <w:t>借贷双方协商一致后，可以于借贷到期日进行到期续做或到期结算，到期结算可以采用到期债券结算、到期现金结算或到期部分现金结算。</w:t>
      </w:r>
    </w:p>
    <w:p w14:paraId="48BAD528">
      <w:pPr>
        <w:spacing w:line="560" w:lineRule="exact"/>
        <w:ind w:firstLine="600" w:firstLineChars="200"/>
        <w:jc w:val="left"/>
        <w:rPr>
          <w:rFonts w:ascii="仿宋_GB2312" w:hAnsi="宋体" w:eastAsia="仿宋_GB2312" w:cs="宋体"/>
          <w:sz w:val="30"/>
          <w:szCs w:val="30"/>
        </w:rPr>
      </w:pPr>
      <w:r>
        <w:rPr>
          <w:rFonts w:ascii="仿宋_GB2312" w:hAnsi="宋体" w:eastAsia="仿宋_GB2312" w:cs="宋体"/>
          <w:sz w:val="30"/>
          <w:szCs w:val="30"/>
        </w:rPr>
        <w:t>1）</w:t>
      </w:r>
      <w:r>
        <w:rPr>
          <w:rFonts w:hint="eastAsia" w:ascii="仿宋_GB2312" w:hAnsi="宋体" w:eastAsia="仿宋_GB2312" w:cs="宋体"/>
          <w:sz w:val="30"/>
          <w:szCs w:val="30"/>
        </w:rPr>
        <w:t>到期续做</w:t>
      </w:r>
    </w:p>
    <w:p w14:paraId="450B642A">
      <w:pPr>
        <w:spacing w:line="560" w:lineRule="exact"/>
        <w:ind w:firstLine="600" w:firstLineChars="200"/>
        <w:jc w:val="left"/>
        <w:rPr>
          <w:rFonts w:ascii="仿宋_GB2312" w:hAnsi="宋体" w:eastAsia="仿宋_GB2312"/>
          <w:sz w:val="30"/>
          <w:szCs w:val="30"/>
        </w:rPr>
      </w:pPr>
      <w:r>
        <w:rPr>
          <w:rFonts w:hint="eastAsia" w:ascii="仿宋_GB2312" w:hAnsi="宋体" w:eastAsia="仿宋_GB2312" w:cs="宋体"/>
          <w:sz w:val="30"/>
          <w:szCs w:val="30"/>
        </w:rPr>
        <w:t>到期续做的，债券借入方应当对当日到期的债券借贷提交到期续做申报，并由债券借出方确认生成新的债券借贷合约，原债券借贷合约终止。续做的债券借出方必须是原债券借贷的债券借出方，续做的标的债券必须与原债券借贷一致，标的债券总面额、质押债券、质押债券总面额、借贷期限、费率等要素可以与原债券借贷不同。</w:t>
      </w:r>
      <w:r>
        <w:rPr>
          <w:rFonts w:hint="eastAsia" w:ascii="仿宋_GB2312" w:hAnsi="Calibri" w:eastAsia="仿宋_GB2312"/>
          <w:kern w:val="0"/>
          <w:sz w:val="30"/>
          <w:szCs w:val="30"/>
        </w:rPr>
        <w:t>到期续做申报的</w:t>
      </w:r>
      <w:r>
        <w:rPr>
          <w:rFonts w:hint="eastAsia" w:ascii="仿宋_GB2312" w:hAnsi="宋体" w:eastAsia="仿宋_GB2312"/>
          <w:sz w:val="30"/>
          <w:szCs w:val="30"/>
        </w:rPr>
        <w:t>具体要素及要素说明如下：</w:t>
      </w:r>
    </w:p>
    <w:tbl>
      <w:tblPr>
        <w:tblStyle w:val="43"/>
        <w:tblW w:w="51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06"/>
        <w:gridCol w:w="5943"/>
      </w:tblGrid>
      <w:tr w14:paraId="6E46B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2" w:type="pct"/>
          </w:tcPr>
          <w:p w14:paraId="4C08AAC2">
            <w:pPr>
              <w:adjustRightInd w:val="0"/>
              <w:snapToGrid w:val="0"/>
              <w:rPr>
                <w:rFonts w:ascii="仿宋_GB2312" w:eastAsia="仿宋_GB2312"/>
                <w:b/>
                <w:kern w:val="0"/>
                <w:sz w:val="24"/>
                <w:szCs w:val="24"/>
              </w:rPr>
            </w:pPr>
            <w:r>
              <w:rPr>
                <w:rFonts w:hint="eastAsia" w:ascii="仿宋_GB2312" w:eastAsia="仿宋_GB2312"/>
                <w:b/>
                <w:kern w:val="0"/>
                <w:sz w:val="24"/>
                <w:szCs w:val="24"/>
              </w:rPr>
              <w:t>要素名称</w:t>
            </w:r>
          </w:p>
        </w:tc>
        <w:tc>
          <w:tcPr>
            <w:tcW w:w="3358" w:type="pct"/>
          </w:tcPr>
          <w:p w14:paraId="766AB923">
            <w:pPr>
              <w:adjustRightInd w:val="0"/>
              <w:snapToGrid w:val="0"/>
              <w:rPr>
                <w:rFonts w:ascii="仿宋_GB2312" w:eastAsia="仿宋_GB2312"/>
                <w:b/>
                <w:kern w:val="0"/>
                <w:sz w:val="24"/>
                <w:szCs w:val="24"/>
              </w:rPr>
            </w:pPr>
            <w:r>
              <w:rPr>
                <w:rFonts w:hint="eastAsia" w:ascii="仿宋_GB2312" w:eastAsia="仿宋_GB2312"/>
                <w:b/>
                <w:kern w:val="0"/>
                <w:sz w:val="24"/>
                <w:szCs w:val="24"/>
              </w:rPr>
              <w:t>要素说明</w:t>
            </w:r>
          </w:p>
        </w:tc>
      </w:tr>
      <w:tr w14:paraId="2583A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2" w:type="pct"/>
          </w:tcPr>
          <w:p w14:paraId="52D7A988">
            <w:pPr>
              <w:adjustRightInd w:val="0"/>
              <w:snapToGrid w:val="0"/>
              <w:rPr>
                <w:rFonts w:ascii="仿宋_GB2312" w:eastAsia="仿宋_GB2312"/>
                <w:b/>
                <w:kern w:val="0"/>
                <w:sz w:val="24"/>
                <w:szCs w:val="24"/>
              </w:rPr>
            </w:pPr>
            <w:r>
              <w:rPr>
                <w:rFonts w:hint="eastAsia" w:ascii="仿宋_GB2312" w:eastAsia="仿宋_GB2312"/>
                <w:b/>
                <w:kern w:val="0"/>
                <w:sz w:val="24"/>
                <w:szCs w:val="24"/>
              </w:rPr>
              <w:t>资金结算</w:t>
            </w:r>
            <w:r>
              <w:rPr>
                <w:rFonts w:ascii="仿宋_GB2312" w:eastAsia="仿宋_GB2312"/>
                <w:b/>
                <w:kern w:val="0"/>
                <w:sz w:val="24"/>
                <w:szCs w:val="24"/>
              </w:rPr>
              <w:t>方式</w:t>
            </w:r>
          </w:p>
        </w:tc>
        <w:tc>
          <w:tcPr>
            <w:tcW w:w="3358" w:type="pct"/>
          </w:tcPr>
          <w:p w14:paraId="387437E5">
            <w:pPr>
              <w:adjustRightInd w:val="0"/>
              <w:snapToGrid w:val="0"/>
              <w:rPr>
                <w:rFonts w:ascii="仿宋_GB2312" w:eastAsia="仿宋_GB2312"/>
                <w:kern w:val="0"/>
                <w:sz w:val="24"/>
                <w:szCs w:val="24"/>
              </w:rPr>
            </w:pPr>
            <w:r>
              <w:rPr>
                <w:rFonts w:hint="eastAsia" w:ascii="仿宋_GB2312" w:eastAsia="仿宋_GB2312"/>
                <w:kern w:val="0"/>
                <w:sz w:val="24"/>
                <w:szCs w:val="24"/>
              </w:rPr>
              <w:t>可</w:t>
            </w:r>
            <w:r>
              <w:rPr>
                <w:rFonts w:ascii="仿宋_GB2312" w:eastAsia="仿宋_GB2312"/>
                <w:kern w:val="0"/>
                <w:sz w:val="24"/>
                <w:szCs w:val="24"/>
              </w:rPr>
              <w:t>选择</w:t>
            </w:r>
            <w:r>
              <w:rPr>
                <w:rFonts w:hint="eastAsia" w:ascii="仿宋_GB2312" w:eastAsia="仿宋_GB2312"/>
                <w:kern w:val="0"/>
                <w:sz w:val="24"/>
                <w:szCs w:val="24"/>
              </w:rPr>
              <w:t>场内</w:t>
            </w:r>
            <w:r>
              <w:rPr>
                <w:rFonts w:ascii="仿宋_GB2312" w:eastAsia="仿宋_GB2312"/>
                <w:kern w:val="0"/>
                <w:sz w:val="24"/>
                <w:szCs w:val="24"/>
              </w:rPr>
              <w:t>或</w:t>
            </w:r>
            <w:r>
              <w:rPr>
                <w:rFonts w:hint="eastAsia" w:ascii="仿宋_GB2312" w:eastAsia="仿宋_GB2312"/>
                <w:kern w:val="0"/>
                <w:sz w:val="24"/>
                <w:szCs w:val="24"/>
              </w:rPr>
              <w:t>场外</w:t>
            </w:r>
            <w:r>
              <w:rPr>
                <w:rFonts w:ascii="仿宋_GB2312" w:eastAsia="仿宋_GB2312"/>
                <w:kern w:val="0"/>
                <w:sz w:val="24"/>
                <w:szCs w:val="24"/>
              </w:rPr>
              <w:t>结算</w:t>
            </w:r>
          </w:p>
        </w:tc>
      </w:tr>
      <w:tr w14:paraId="3DDC2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2" w:type="pct"/>
          </w:tcPr>
          <w:p w14:paraId="24A4B3A5">
            <w:pPr>
              <w:adjustRightInd w:val="0"/>
              <w:snapToGrid w:val="0"/>
              <w:rPr>
                <w:rFonts w:ascii="仿宋_GB2312" w:eastAsia="仿宋_GB2312"/>
                <w:b/>
                <w:kern w:val="0"/>
                <w:sz w:val="24"/>
                <w:szCs w:val="24"/>
              </w:rPr>
            </w:pPr>
            <w:r>
              <w:rPr>
                <w:rFonts w:hint="eastAsia" w:ascii="仿宋_GB2312" w:eastAsia="仿宋_GB2312"/>
                <w:b/>
                <w:kern w:val="0"/>
                <w:sz w:val="24"/>
                <w:szCs w:val="24"/>
              </w:rPr>
              <w:t>借入方</w:t>
            </w:r>
            <w:r>
              <w:rPr>
                <w:rFonts w:ascii="仿宋_GB2312" w:eastAsia="仿宋_GB2312"/>
                <w:b/>
                <w:kern w:val="0"/>
                <w:sz w:val="24"/>
                <w:szCs w:val="24"/>
              </w:rPr>
              <w:t>资金账户</w:t>
            </w:r>
          </w:p>
        </w:tc>
        <w:tc>
          <w:tcPr>
            <w:tcW w:w="3358" w:type="pct"/>
          </w:tcPr>
          <w:p w14:paraId="43E1B182">
            <w:pPr>
              <w:adjustRightInd w:val="0"/>
              <w:snapToGrid w:val="0"/>
              <w:rPr>
                <w:rFonts w:ascii="仿宋_GB2312" w:eastAsia="仿宋_GB2312"/>
                <w:kern w:val="0"/>
                <w:sz w:val="24"/>
                <w:szCs w:val="24"/>
              </w:rPr>
            </w:pPr>
            <w:r>
              <w:rPr>
                <w:rFonts w:hint="eastAsia" w:ascii="仿宋_GB2312" w:eastAsia="仿宋_GB2312"/>
                <w:kern w:val="0"/>
                <w:sz w:val="24"/>
                <w:szCs w:val="24"/>
              </w:rPr>
              <w:t>借入方资金账户与名称</w:t>
            </w:r>
          </w:p>
        </w:tc>
      </w:tr>
      <w:tr w14:paraId="485EB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42" w:type="pct"/>
          </w:tcPr>
          <w:p w14:paraId="664A9FF6">
            <w:pPr>
              <w:adjustRightInd w:val="0"/>
              <w:snapToGrid w:val="0"/>
              <w:rPr>
                <w:rFonts w:ascii="仿宋_GB2312" w:eastAsia="仿宋_GB2312"/>
                <w:b/>
                <w:kern w:val="0"/>
                <w:sz w:val="24"/>
                <w:szCs w:val="24"/>
              </w:rPr>
            </w:pPr>
            <w:r>
              <w:rPr>
                <w:rFonts w:hint="eastAsia" w:ascii="仿宋_GB2312" w:eastAsia="仿宋_GB2312"/>
                <w:b/>
                <w:kern w:val="0"/>
                <w:sz w:val="24"/>
                <w:szCs w:val="24"/>
              </w:rPr>
              <w:t>借出方</w:t>
            </w:r>
            <w:r>
              <w:rPr>
                <w:rFonts w:ascii="仿宋_GB2312" w:eastAsia="仿宋_GB2312"/>
                <w:b/>
                <w:kern w:val="0"/>
                <w:sz w:val="24"/>
                <w:szCs w:val="24"/>
              </w:rPr>
              <w:t>资金账户</w:t>
            </w:r>
          </w:p>
        </w:tc>
        <w:tc>
          <w:tcPr>
            <w:tcW w:w="3358" w:type="pct"/>
          </w:tcPr>
          <w:p w14:paraId="5669763B">
            <w:pPr>
              <w:adjustRightInd w:val="0"/>
              <w:snapToGrid w:val="0"/>
              <w:rPr>
                <w:rFonts w:ascii="仿宋_GB2312" w:eastAsia="仿宋_GB2312"/>
                <w:kern w:val="0"/>
                <w:sz w:val="24"/>
                <w:szCs w:val="24"/>
              </w:rPr>
            </w:pPr>
            <w:r>
              <w:rPr>
                <w:rFonts w:hint="eastAsia" w:ascii="仿宋_GB2312" w:eastAsia="仿宋_GB2312"/>
                <w:kern w:val="0"/>
                <w:sz w:val="24"/>
                <w:szCs w:val="24"/>
              </w:rPr>
              <w:t>借出方资金账户与名称</w:t>
            </w:r>
          </w:p>
        </w:tc>
      </w:tr>
      <w:tr w14:paraId="2A9CE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5000" w:type="pct"/>
            <w:gridSpan w:val="2"/>
          </w:tcPr>
          <w:p w14:paraId="05F0D3B4">
            <w:pPr>
              <w:adjustRightInd w:val="0"/>
              <w:snapToGrid w:val="0"/>
              <w:jc w:val="center"/>
              <w:rPr>
                <w:rFonts w:ascii="仿宋_GB2312" w:eastAsia="仿宋_GB2312"/>
                <w:b/>
                <w:bCs/>
                <w:kern w:val="0"/>
                <w:sz w:val="24"/>
                <w:szCs w:val="24"/>
              </w:rPr>
            </w:pPr>
            <w:r>
              <w:rPr>
                <w:rFonts w:hint="eastAsia" w:ascii="仿宋_GB2312" w:eastAsia="仿宋_GB2312"/>
                <w:b/>
                <w:bCs/>
                <w:kern w:val="0"/>
                <w:sz w:val="24"/>
                <w:szCs w:val="24"/>
              </w:rPr>
              <w:t>续做</w:t>
            </w:r>
            <w:r>
              <w:rPr>
                <w:rFonts w:ascii="仿宋_GB2312" w:eastAsia="仿宋_GB2312"/>
                <w:b/>
                <w:bCs/>
                <w:kern w:val="0"/>
                <w:sz w:val="24"/>
                <w:szCs w:val="24"/>
              </w:rPr>
              <w:t>合约</w:t>
            </w:r>
          </w:p>
        </w:tc>
      </w:tr>
      <w:tr w14:paraId="30F56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2" w:type="pct"/>
          </w:tcPr>
          <w:p w14:paraId="5C7D1CEB">
            <w:pPr>
              <w:adjustRightInd w:val="0"/>
              <w:snapToGrid w:val="0"/>
              <w:rPr>
                <w:rFonts w:ascii="仿宋_GB2312" w:eastAsia="仿宋_GB2312"/>
                <w:b/>
                <w:kern w:val="0"/>
                <w:sz w:val="24"/>
                <w:szCs w:val="24"/>
              </w:rPr>
            </w:pPr>
            <w:r>
              <w:rPr>
                <w:rFonts w:hint="eastAsia" w:ascii="仿宋_GB2312" w:eastAsia="仿宋_GB2312"/>
                <w:b/>
                <w:kern w:val="0"/>
                <w:sz w:val="24"/>
                <w:szCs w:val="24"/>
              </w:rPr>
              <w:t>借入方机构名称（电话、传真、地址）</w:t>
            </w:r>
          </w:p>
        </w:tc>
        <w:tc>
          <w:tcPr>
            <w:tcW w:w="3358" w:type="pct"/>
          </w:tcPr>
          <w:p w14:paraId="21B18F95">
            <w:pPr>
              <w:adjustRightInd w:val="0"/>
              <w:snapToGrid w:val="0"/>
              <w:rPr>
                <w:rFonts w:ascii="仿宋_GB2312" w:eastAsia="仿宋_GB2312"/>
                <w:kern w:val="0"/>
                <w:sz w:val="24"/>
                <w:szCs w:val="24"/>
              </w:rPr>
            </w:pPr>
            <w:r>
              <w:rPr>
                <w:rFonts w:hint="eastAsia" w:ascii="仿宋_GB2312" w:eastAsia="仿宋_GB2312"/>
                <w:kern w:val="0"/>
                <w:sz w:val="24"/>
                <w:szCs w:val="24"/>
              </w:rPr>
              <w:t>机构名称自动生成，电话、传真、地址选填</w:t>
            </w:r>
          </w:p>
        </w:tc>
      </w:tr>
      <w:tr w14:paraId="0FC98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2" w:type="pct"/>
          </w:tcPr>
          <w:p w14:paraId="785A425F">
            <w:pPr>
              <w:adjustRightInd w:val="0"/>
              <w:snapToGrid w:val="0"/>
              <w:rPr>
                <w:rFonts w:ascii="仿宋_GB2312" w:eastAsia="仿宋_GB2312"/>
                <w:b/>
                <w:kern w:val="0"/>
                <w:sz w:val="24"/>
                <w:szCs w:val="24"/>
              </w:rPr>
            </w:pPr>
            <w:r>
              <w:rPr>
                <w:rFonts w:hint="eastAsia" w:ascii="仿宋_GB2312" w:eastAsia="仿宋_GB2312"/>
                <w:b/>
                <w:kern w:val="0"/>
                <w:sz w:val="24"/>
                <w:szCs w:val="24"/>
              </w:rPr>
              <w:t>借入方交易员</w:t>
            </w:r>
          </w:p>
        </w:tc>
        <w:tc>
          <w:tcPr>
            <w:tcW w:w="3358" w:type="pct"/>
          </w:tcPr>
          <w:p w14:paraId="4DB8787B">
            <w:pPr>
              <w:adjustRightInd w:val="0"/>
              <w:snapToGrid w:val="0"/>
              <w:rPr>
                <w:rFonts w:ascii="仿宋_GB2312" w:eastAsia="仿宋_GB2312"/>
                <w:kern w:val="0"/>
                <w:sz w:val="24"/>
                <w:szCs w:val="24"/>
              </w:rPr>
            </w:pPr>
            <w:r>
              <w:rPr>
                <w:rFonts w:hint="eastAsia" w:ascii="仿宋_GB2312" w:eastAsia="仿宋_GB2312"/>
                <w:kern w:val="0"/>
                <w:sz w:val="24"/>
                <w:szCs w:val="24"/>
              </w:rPr>
              <w:t>自动生成</w:t>
            </w:r>
          </w:p>
        </w:tc>
      </w:tr>
      <w:tr w14:paraId="29C72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2" w:type="pct"/>
            <w:vAlign w:val="center"/>
          </w:tcPr>
          <w:p w14:paraId="77410AF0">
            <w:pPr>
              <w:adjustRightInd w:val="0"/>
              <w:snapToGrid w:val="0"/>
              <w:rPr>
                <w:rFonts w:ascii="仿宋_GB2312" w:eastAsia="仿宋_GB2312"/>
                <w:b/>
                <w:kern w:val="0"/>
                <w:sz w:val="24"/>
                <w:szCs w:val="24"/>
              </w:rPr>
            </w:pPr>
            <w:r>
              <w:rPr>
                <w:rFonts w:hint="eastAsia" w:ascii="仿宋_GB2312" w:hAnsi="宋体" w:eastAsia="仿宋_GB2312" w:cs="宋体"/>
                <w:b/>
                <w:bCs/>
                <w:color w:val="000000"/>
                <w:kern w:val="0"/>
                <w:sz w:val="24"/>
                <w:szCs w:val="24"/>
              </w:rPr>
              <w:t>借入方证券账户</w:t>
            </w:r>
          </w:p>
        </w:tc>
        <w:tc>
          <w:tcPr>
            <w:tcW w:w="3358" w:type="pct"/>
            <w:vAlign w:val="center"/>
          </w:tcPr>
          <w:p w14:paraId="5E9BA677">
            <w:pPr>
              <w:adjustRightInd w:val="0"/>
              <w:snapToGrid w:val="0"/>
              <w:rPr>
                <w:rFonts w:ascii="仿宋_GB2312" w:eastAsia="仿宋_GB2312"/>
                <w:kern w:val="0"/>
                <w:sz w:val="24"/>
                <w:szCs w:val="24"/>
              </w:rPr>
            </w:pPr>
            <w:r>
              <w:rPr>
                <w:rFonts w:hint="eastAsia" w:ascii="仿宋_GB2312" w:hAnsi="宋体" w:eastAsia="仿宋_GB2312" w:cs="宋体"/>
                <w:bCs/>
                <w:color w:val="000000"/>
                <w:kern w:val="0"/>
                <w:sz w:val="24"/>
                <w:szCs w:val="24"/>
              </w:rPr>
              <w:t>自动生成</w:t>
            </w:r>
          </w:p>
        </w:tc>
      </w:tr>
      <w:tr w14:paraId="37994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2" w:type="pct"/>
          </w:tcPr>
          <w:p w14:paraId="3C85F2BA">
            <w:pPr>
              <w:adjustRightInd w:val="0"/>
              <w:snapToGrid w:val="0"/>
              <w:rPr>
                <w:rFonts w:ascii="仿宋_GB2312" w:eastAsia="仿宋_GB2312"/>
                <w:b/>
                <w:sz w:val="24"/>
                <w:szCs w:val="24"/>
              </w:rPr>
            </w:pPr>
            <w:r>
              <w:rPr>
                <w:rFonts w:hint="eastAsia" w:ascii="仿宋_GB2312" w:eastAsia="仿宋_GB2312"/>
                <w:b/>
                <w:sz w:val="24"/>
                <w:szCs w:val="24"/>
              </w:rPr>
              <w:t>借入方交易单元</w:t>
            </w:r>
          </w:p>
        </w:tc>
        <w:tc>
          <w:tcPr>
            <w:tcW w:w="3358" w:type="pct"/>
            <w:vAlign w:val="center"/>
          </w:tcPr>
          <w:p w14:paraId="50E8AAF8">
            <w:pPr>
              <w:adjustRightInd w:val="0"/>
              <w:snapToGrid w:val="0"/>
              <w:rPr>
                <w:rFonts w:ascii="仿宋_GB2312" w:hAnsi="宋体" w:eastAsia="仿宋_GB2312" w:cs="宋体"/>
                <w:bCs/>
                <w:color w:val="000000"/>
                <w:kern w:val="0"/>
                <w:sz w:val="24"/>
                <w:szCs w:val="24"/>
              </w:rPr>
            </w:pPr>
            <w:r>
              <w:rPr>
                <w:rFonts w:hint="eastAsia" w:ascii="仿宋_GB2312" w:hAnsi="宋体" w:eastAsia="仿宋_GB2312" w:cs="宋体"/>
                <w:bCs/>
                <w:color w:val="000000"/>
                <w:kern w:val="0"/>
                <w:sz w:val="24"/>
                <w:szCs w:val="24"/>
              </w:rPr>
              <w:t>续做时借入债券机构的交易单元</w:t>
            </w:r>
          </w:p>
        </w:tc>
      </w:tr>
      <w:tr w14:paraId="6B694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2" w:type="pct"/>
          </w:tcPr>
          <w:p w14:paraId="24612754">
            <w:pPr>
              <w:adjustRightInd w:val="0"/>
              <w:snapToGrid w:val="0"/>
              <w:rPr>
                <w:rFonts w:ascii="仿宋_GB2312" w:eastAsia="仿宋_GB2312"/>
                <w:b/>
                <w:kern w:val="0"/>
                <w:sz w:val="24"/>
                <w:szCs w:val="24"/>
              </w:rPr>
            </w:pPr>
            <w:r>
              <w:rPr>
                <w:rFonts w:hint="eastAsia" w:ascii="仿宋_GB2312" w:eastAsia="仿宋_GB2312"/>
                <w:b/>
                <w:sz w:val="24"/>
                <w:szCs w:val="24"/>
              </w:rPr>
              <w:t>借入方资金账户</w:t>
            </w:r>
          </w:p>
        </w:tc>
        <w:tc>
          <w:tcPr>
            <w:tcW w:w="3358" w:type="pct"/>
            <w:vAlign w:val="center"/>
          </w:tcPr>
          <w:p w14:paraId="472150A5">
            <w:pPr>
              <w:adjustRightInd w:val="0"/>
              <w:snapToGrid w:val="0"/>
              <w:rPr>
                <w:rFonts w:ascii="仿宋_GB2312" w:eastAsia="仿宋_GB2312"/>
                <w:kern w:val="0"/>
                <w:sz w:val="24"/>
                <w:szCs w:val="24"/>
              </w:rPr>
            </w:pPr>
            <w:r>
              <w:rPr>
                <w:rFonts w:hint="eastAsia" w:ascii="仿宋_GB2312" w:hAnsi="宋体" w:eastAsia="仿宋_GB2312" w:cs="宋体"/>
                <w:bCs/>
                <w:color w:val="000000"/>
                <w:kern w:val="0"/>
                <w:sz w:val="24"/>
                <w:szCs w:val="24"/>
              </w:rPr>
              <w:t>续做时借入债券机构的资金</w:t>
            </w:r>
            <w:r>
              <w:rPr>
                <w:rFonts w:ascii="仿宋_GB2312" w:hAnsi="宋体" w:eastAsia="仿宋_GB2312" w:cs="宋体"/>
                <w:bCs/>
                <w:color w:val="000000"/>
                <w:kern w:val="0"/>
                <w:sz w:val="24"/>
                <w:szCs w:val="24"/>
              </w:rPr>
              <w:t>账户与名称</w:t>
            </w:r>
          </w:p>
        </w:tc>
      </w:tr>
      <w:tr w14:paraId="72632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2" w:type="pct"/>
          </w:tcPr>
          <w:p w14:paraId="0D919E36">
            <w:pPr>
              <w:adjustRightInd w:val="0"/>
              <w:snapToGrid w:val="0"/>
              <w:rPr>
                <w:rFonts w:ascii="仿宋_GB2312" w:hAnsi="宋体" w:eastAsia="仿宋_GB2312" w:cs="宋体"/>
                <w:b/>
                <w:bCs/>
                <w:color w:val="000000"/>
                <w:kern w:val="0"/>
                <w:sz w:val="24"/>
                <w:szCs w:val="24"/>
              </w:rPr>
            </w:pPr>
            <w:r>
              <w:rPr>
                <w:rFonts w:hint="eastAsia" w:ascii="仿宋_GB2312" w:eastAsia="仿宋_GB2312"/>
                <w:b/>
                <w:kern w:val="0"/>
                <w:sz w:val="24"/>
                <w:szCs w:val="24"/>
              </w:rPr>
              <w:t>借出方机构名称（电话、传真、地址）</w:t>
            </w:r>
          </w:p>
        </w:tc>
        <w:tc>
          <w:tcPr>
            <w:tcW w:w="3358" w:type="pct"/>
          </w:tcPr>
          <w:p w14:paraId="3E2F283A">
            <w:pPr>
              <w:adjustRightInd w:val="0"/>
              <w:snapToGrid w:val="0"/>
              <w:rPr>
                <w:rFonts w:ascii="仿宋_GB2312" w:hAnsi="宋体" w:eastAsia="仿宋_GB2312" w:cs="宋体"/>
                <w:bCs/>
                <w:color w:val="000000"/>
                <w:kern w:val="0"/>
                <w:sz w:val="24"/>
                <w:szCs w:val="24"/>
              </w:rPr>
            </w:pPr>
            <w:r>
              <w:rPr>
                <w:rFonts w:hint="eastAsia" w:ascii="仿宋_GB2312" w:eastAsia="仿宋_GB2312"/>
                <w:kern w:val="0"/>
                <w:sz w:val="24"/>
                <w:szCs w:val="24"/>
              </w:rPr>
              <w:t>机构名称自动生成，电话、传真、地址选填</w:t>
            </w:r>
          </w:p>
        </w:tc>
      </w:tr>
      <w:tr w14:paraId="3CECA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2" w:type="pct"/>
          </w:tcPr>
          <w:p w14:paraId="34AD4F18">
            <w:pPr>
              <w:adjustRightInd w:val="0"/>
              <w:snapToGrid w:val="0"/>
              <w:rPr>
                <w:rFonts w:ascii="仿宋_GB2312" w:hAnsi="宋体" w:eastAsia="仿宋_GB2312" w:cs="宋体"/>
                <w:b/>
                <w:bCs/>
                <w:color w:val="000000"/>
                <w:kern w:val="0"/>
                <w:sz w:val="24"/>
                <w:szCs w:val="24"/>
              </w:rPr>
            </w:pPr>
            <w:r>
              <w:rPr>
                <w:rFonts w:hint="eastAsia" w:ascii="仿宋_GB2312" w:eastAsia="仿宋_GB2312"/>
                <w:b/>
                <w:kern w:val="0"/>
                <w:sz w:val="24"/>
                <w:szCs w:val="24"/>
              </w:rPr>
              <w:t>借出方交易员</w:t>
            </w:r>
          </w:p>
        </w:tc>
        <w:tc>
          <w:tcPr>
            <w:tcW w:w="3358" w:type="pct"/>
          </w:tcPr>
          <w:p w14:paraId="15F8EEBA">
            <w:pPr>
              <w:adjustRightInd w:val="0"/>
              <w:snapToGrid w:val="0"/>
              <w:rPr>
                <w:rFonts w:ascii="仿宋_GB2312" w:hAnsi="宋体" w:eastAsia="仿宋_GB2312" w:cs="宋体"/>
                <w:bCs/>
                <w:color w:val="000000"/>
                <w:kern w:val="0"/>
                <w:sz w:val="24"/>
                <w:szCs w:val="24"/>
              </w:rPr>
            </w:pPr>
            <w:r>
              <w:rPr>
                <w:rFonts w:hint="eastAsia" w:ascii="仿宋_GB2312" w:eastAsia="仿宋_GB2312"/>
                <w:kern w:val="0"/>
                <w:sz w:val="24"/>
                <w:szCs w:val="24"/>
              </w:rPr>
              <w:t>自动生成</w:t>
            </w:r>
          </w:p>
        </w:tc>
      </w:tr>
      <w:tr w14:paraId="043DF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2" w:type="pct"/>
            <w:vAlign w:val="center"/>
          </w:tcPr>
          <w:p w14:paraId="509CC878">
            <w:pPr>
              <w:adjustRightInd w:val="0"/>
              <w:snapToGrid w:val="0"/>
              <w:rPr>
                <w:rFonts w:ascii="仿宋_GB2312" w:eastAsia="仿宋_GB2312"/>
                <w:b/>
                <w:kern w:val="0"/>
                <w:sz w:val="24"/>
                <w:szCs w:val="24"/>
              </w:rPr>
            </w:pPr>
            <w:r>
              <w:rPr>
                <w:rFonts w:hint="eastAsia" w:ascii="仿宋_GB2312" w:hAnsi="宋体" w:eastAsia="仿宋_GB2312" w:cs="宋体"/>
                <w:b/>
                <w:bCs/>
                <w:color w:val="000000"/>
                <w:kern w:val="0"/>
                <w:sz w:val="24"/>
                <w:szCs w:val="24"/>
              </w:rPr>
              <w:t>借出方证券账户</w:t>
            </w:r>
          </w:p>
        </w:tc>
        <w:tc>
          <w:tcPr>
            <w:tcW w:w="3358" w:type="pct"/>
          </w:tcPr>
          <w:p w14:paraId="2795F841">
            <w:pPr>
              <w:adjustRightInd w:val="0"/>
              <w:snapToGrid w:val="0"/>
              <w:rPr>
                <w:rFonts w:ascii="仿宋_GB2312" w:hAnsi="宋体" w:eastAsia="仿宋_GB2312" w:cs="宋体"/>
                <w:bCs/>
                <w:color w:val="000000"/>
                <w:kern w:val="0"/>
                <w:sz w:val="24"/>
                <w:szCs w:val="24"/>
              </w:rPr>
            </w:pPr>
            <w:r>
              <w:rPr>
                <w:rFonts w:hint="eastAsia" w:ascii="仿宋_GB2312" w:hAnsi="宋体" w:eastAsia="仿宋_GB2312" w:cs="宋体"/>
                <w:bCs/>
                <w:color w:val="000000"/>
                <w:kern w:val="0"/>
                <w:sz w:val="24"/>
                <w:szCs w:val="24"/>
              </w:rPr>
              <w:t>自动生成</w:t>
            </w:r>
          </w:p>
        </w:tc>
      </w:tr>
      <w:tr w14:paraId="72D3B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2" w:type="pct"/>
            <w:vAlign w:val="center"/>
          </w:tcPr>
          <w:p w14:paraId="2A145D3D">
            <w:pPr>
              <w:adjustRightInd w:val="0"/>
              <w:snapToGrid w:val="0"/>
              <w:rPr>
                <w:rFonts w:ascii="仿宋_GB2312" w:eastAsia="仿宋_GB2312"/>
                <w:b/>
                <w:kern w:val="0"/>
                <w:sz w:val="24"/>
                <w:szCs w:val="24"/>
              </w:rPr>
            </w:pPr>
            <w:r>
              <w:rPr>
                <w:rFonts w:hint="eastAsia" w:ascii="仿宋_GB2312" w:eastAsia="仿宋_GB2312"/>
                <w:b/>
                <w:sz w:val="24"/>
                <w:szCs w:val="24"/>
              </w:rPr>
              <w:t>借出方交易单元</w:t>
            </w:r>
          </w:p>
        </w:tc>
        <w:tc>
          <w:tcPr>
            <w:tcW w:w="3358" w:type="pct"/>
          </w:tcPr>
          <w:p w14:paraId="64069ABE">
            <w:pPr>
              <w:adjustRightInd w:val="0"/>
              <w:snapToGrid w:val="0"/>
              <w:rPr>
                <w:rFonts w:ascii="仿宋_GB2312" w:hAnsi="宋体" w:eastAsia="仿宋_GB2312" w:cs="宋体"/>
                <w:bCs/>
                <w:color w:val="000000"/>
                <w:kern w:val="0"/>
                <w:sz w:val="24"/>
                <w:szCs w:val="24"/>
              </w:rPr>
            </w:pPr>
            <w:r>
              <w:rPr>
                <w:rFonts w:hint="eastAsia" w:ascii="仿宋_GB2312" w:hAnsi="宋体" w:eastAsia="仿宋_GB2312" w:cs="宋体"/>
                <w:bCs/>
                <w:color w:val="000000"/>
                <w:kern w:val="0"/>
                <w:sz w:val="24"/>
                <w:szCs w:val="24"/>
              </w:rPr>
              <w:t>自动生成</w:t>
            </w:r>
          </w:p>
        </w:tc>
      </w:tr>
      <w:tr w14:paraId="064B8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2" w:type="pct"/>
          </w:tcPr>
          <w:p w14:paraId="282DB52C">
            <w:pPr>
              <w:adjustRightInd w:val="0"/>
              <w:snapToGrid w:val="0"/>
              <w:rPr>
                <w:rFonts w:ascii="仿宋_GB2312" w:eastAsia="仿宋_GB2312"/>
                <w:b/>
                <w:kern w:val="0"/>
                <w:sz w:val="24"/>
                <w:szCs w:val="24"/>
              </w:rPr>
            </w:pPr>
            <w:r>
              <w:rPr>
                <w:rFonts w:hint="eastAsia" w:ascii="仿宋_GB2312" w:eastAsia="仿宋_GB2312"/>
                <w:b/>
                <w:sz w:val="24"/>
                <w:szCs w:val="24"/>
              </w:rPr>
              <w:t>借出方资金账户</w:t>
            </w:r>
          </w:p>
        </w:tc>
        <w:tc>
          <w:tcPr>
            <w:tcW w:w="3358" w:type="pct"/>
            <w:vAlign w:val="center"/>
          </w:tcPr>
          <w:p w14:paraId="78190D90">
            <w:pPr>
              <w:adjustRightInd w:val="0"/>
              <w:snapToGrid w:val="0"/>
              <w:rPr>
                <w:rFonts w:ascii="仿宋_GB2312" w:hAnsi="宋体" w:eastAsia="仿宋_GB2312" w:cs="宋体"/>
                <w:bCs/>
                <w:color w:val="000000"/>
                <w:kern w:val="0"/>
                <w:sz w:val="24"/>
                <w:szCs w:val="24"/>
              </w:rPr>
            </w:pPr>
            <w:r>
              <w:rPr>
                <w:rFonts w:hint="eastAsia" w:ascii="仿宋_GB2312" w:hAnsi="宋体" w:eastAsia="仿宋_GB2312" w:cs="宋体"/>
                <w:bCs/>
                <w:color w:val="000000"/>
                <w:kern w:val="0"/>
                <w:sz w:val="24"/>
                <w:szCs w:val="24"/>
              </w:rPr>
              <w:t>续做时借出债券机构的资金</w:t>
            </w:r>
            <w:r>
              <w:rPr>
                <w:rFonts w:ascii="仿宋_GB2312" w:hAnsi="宋体" w:eastAsia="仿宋_GB2312" w:cs="宋体"/>
                <w:bCs/>
                <w:color w:val="000000"/>
                <w:kern w:val="0"/>
                <w:sz w:val="24"/>
                <w:szCs w:val="24"/>
              </w:rPr>
              <w:t>账户与名称</w:t>
            </w:r>
          </w:p>
        </w:tc>
      </w:tr>
      <w:tr w14:paraId="20A61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2" w:type="pct"/>
            <w:vAlign w:val="center"/>
          </w:tcPr>
          <w:p w14:paraId="09E367C9">
            <w:pPr>
              <w:adjustRightInd w:val="0"/>
              <w:snapToGrid w:val="0"/>
              <w:rPr>
                <w:rFonts w:ascii="仿宋_GB2312" w:eastAsia="仿宋_GB2312"/>
                <w:b/>
                <w:kern w:val="0"/>
                <w:sz w:val="24"/>
                <w:szCs w:val="24"/>
              </w:rPr>
            </w:pPr>
            <w:r>
              <w:rPr>
                <w:rFonts w:hint="eastAsia" w:ascii="仿宋_GB2312" w:hAnsi="宋体" w:eastAsia="仿宋_GB2312" w:cs="宋体"/>
                <w:b/>
                <w:bCs/>
                <w:color w:val="000000"/>
                <w:kern w:val="0"/>
                <w:sz w:val="24"/>
                <w:szCs w:val="24"/>
              </w:rPr>
              <w:t>标的债券</w:t>
            </w:r>
          </w:p>
        </w:tc>
        <w:tc>
          <w:tcPr>
            <w:tcW w:w="3358" w:type="pct"/>
            <w:vAlign w:val="center"/>
          </w:tcPr>
          <w:p w14:paraId="5DE6D85D">
            <w:pPr>
              <w:adjustRightInd w:val="0"/>
              <w:snapToGrid w:val="0"/>
              <w:rPr>
                <w:rFonts w:ascii="仿宋_GB2312" w:eastAsia="仿宋_GB2312"/>
                <w:kern w:val="0"/>
                <w:sz w:val="24"/>
                <w:szCs w:val="24"/>
              </w:rPr>
            </w:pPr>
            <w:r>
              <w:rPr>
                <w:rFonts w:hint="eastAsia" w:ascii="仿宋_GB2312" w:hAnsi="宋体" w:eastAsia="仿宋_GB2312" w:cs="宋体"/>
                <w:bCs/>
                <w:color w:val="000000"/>
                <w:kern w:val="0"/>
                <w:sz w:val="24"/>
                <w:szCs w:val="24"/>
              </w:rPr>
              <w:t>债券借贷的标的债券代码和简称标识。自动带出，无需录入</w:t>
            </w:r>
          </w:p>
        </w:tc>
      </w:tr>
      <w:tr w14:paraId="0F58A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2" w:type="pct"/>
            <w:vAlign w:val="center"/>
          </w:tcPr>
          <w:p w14:paraId="6723F002">
            <w:pPr>
              <w:adjustRightInd w:val="0"/>
              <w:snapToGrid w:val="0"/>
              <w:rPr>
                <w:rFonts w:ascii="仿宋_GB2312" w:eastAsia="仿宋_GB2312"/>
                <w:b/>
                <w:kern w:val="0"/>
                <w:sz w:val="24"/>
                <w:szCs w:val="24"/>
              </w:rPr>
            </w:pPr>
            <w:r>
              <w:rPr>
                <w:rFonts w:hint="eastAsia" w:ascii="仿宋_GB2312" w:hAnsi="宋体" w:eastAsia="仿宋_GB2312" w:cs="宋体"/>
                <w:b/>
                <w:bCs/>
                <w:color w:val="000000"/>
                <w:kern w:val="0"/>
                <w:sz w:val="24"/>
                <w:szCs w:val="24"/>
              </w:rPr>
              <w:t>标的</w:t>
            </w:r>
            <w:r>
              <w:rPr>
                <w:rFonts w:ascii="仿宋_GB2312" w:hAnsi="宋体" w:eastAsia="仿宋_GB2312" w:cs="宋体"/>
                <w:b/>
                <w:bCs/>
                <w:color w:val="000000"/>
                <w:kern w:val="0"/>
                <w:sz w:val="24"/>
                <w:szCs w:val="24"/>
              </w:rPr>
              <w:t>券面</w:t>
            </w:r>
            <w:r>
              <w:rPr>
                <w:rFonts w:hint="eastAsia" w:ascii="仿宋_GB2312" w:hAnsi="宋体" w:eastAsia="仿宋_GB2312" w:cs="宋体"/>
                <w:b/>
                <w:bCs/>
                <w:color w:val="000000"/>
                <w:kern w:val="0"/>
                <w:sz w:val="24"/>
                <w:szCs w:val="24"/>
              </w:rPr>
              <w:t>额</w:t>
            </w:r>
          </w:p>
        </w:tc>
        <w:tc>
          <w:tcPr>
            <w:tcW w:w="3358" w:type="pct"/>
            <w:vAlign w:val="center"/>
          </w:tcPr>
          <w:p w14:paraId="39D60045">
            <w:pPr>
              <w:adjustRightInd w:val="0"/>
              <w:snapToGrid w:val="0"/>
              <w:rPr>
                <w:rFonts w:ascii="仿宋_GB2312" w:eastAsia="仿宋_GB2312"/>
                <w:kern w:val="0"/>
                <w:sz w:val="24"/>
                <w:szCs w:val="24"/>
              </w:rPr>
            </w:pPr>
            <w:r>
              <w:rPr>
                <w:rFonts w:ascii="仿宋_GB2312" w:hAnsi="宋体" w:eastAsia="仿宋_GB2312" w:cs="宋体"/>
                <w:bCs/>
                <w:color w:val="000000"/>
                <w:kern w:val="0"/>
                <w:sz w:val="24"/>
                <w:szCs w:val="24"/>
              </w:rPr>
              <w:t>输入</w:t>
            </w:r>
            <w:r>
              <w:rPr>
                <w:rFonts w:hint="eastAsia" w:ascii="仿宋_GB2312" w:hAnsi="宋体" w:eastAsia="仿宋_GB2312" w:cs="宋体"/>
                <w:bCs/>
                <w:color w:val="000000"/>
                <w:kern w:val="0"/>
                <w:sz w:val="24"/>
                <w:szCs w:val="24"/>
              </w:rPr>
              <w:t>代码</w:t>
            </w:r>
            <w:r>
              <w:rPr>
                <w:rFonts w:ascii="仿宋_GB2312" w:hAnsi="宋体" w:eastAsia="仿宋_GB2312" w:cs="宋体"/>
                <w:bCs/>
                <w:color w:val="000000"/>
                <w:kern w:val="0"/>
                <w:sz w:val="24"/>
                <w:szCs w:val="24"/>
              </w:rPr>
              <w:t>，自动带出</w:t>
            </w:r>
          </w:p>
        </w:tc>
      </w:tr>
      <w:tr w14:paraId="783C3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2" w:type="pct"/>
            <w:vAlign w:val="center"/>
          </w:tcPr>
          <w:p w14:paraId="0D12C9AB">
            <w:pPr>
              <w:adjustRightInd w:val="0"/>
              <w:snapToGrid w:val="0"/>
              <w:rPr>
                <w:rFonts w:ascii="仿宋_GB2312" w:eastAsia="仿宋_GB2312"/>
                <w:b/>
                <w:kern w:val="0"/>
                <w:sz w:val="24"/>
                <w:szCs w:val="24"/>
              </w:rPr>
            </w:pPr>
            <w:r>
              <w:rPr>
                <w:rFonts w:hint="eastAsia" w:ascii="仿宋_GB2312" w:hAnsi="宋体" w:eastAsia="仿宋_GB2312" w:cs="宋体"/>
                <w:b/>
                <w:bCs/>
                <w:color w:val="000000"/>
                <w:kern w:val="0"/>
                <w:sz w:val="24"/>
                <w:szCs w:val="24"/>
              </w:rPr>
              <w:t>标的券数量(千元面额）</w:t>
            </w:r>
          </w:p>
        </w:tc>
        <w:tc>
          <w:tcPr>
            <w:tcW w:w="3358" w:type="pct"/>
            <w:vAlign w:val="center"/>
          </w:tcPr>
          <w:p w14:paraId="5DAC0CD0">
            <w:pPr>
              <w:adjustRightInd w:val="0"/>
              <w:snapToGrid w:val="0"/>
              <w:rPr>
                <w:rFonts w:ascii="仿宋_GB2312" w:eastAsia="仿宋_GB2312"/>
                <w:kern w:val="0"/>
                <w:sz w:val="24"/>
                <w:szCs w:val="24"/>
              </w:rPr>
            </w:pPr>
            <w:r>
              <w:rPr>
                <w:rFonts w:hint="eastAsia" w:ascii="仿宋_GB2312" w:hAnsi="宋体" w:eastAsia="仿宋_GB2312" w:cs="宋体"/>
                <w:bCs/>
                <w:color w:val="000000"/>
                <w:kern w:val="0"/>
                <w:sz w:val="24"/>
                <w:szCs w:val="24"/>
              </w:rPr>
              <w:t>标的券数量可修改</w:t>
            </w:r>
          </w:p>
        </w:tc>
      </w:tr>
      <w:tr w14:paraId="2A6BB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2" w:type="pct"/>
            <w:vAlign w:val="center"/>
          </w:tcPr>
          <w:p w14:paraId="1D7238E5">
            <w:pPr>
              <w:adjustRightInd w:val="0"/>
              <w:snapToGrid w:val="0"/>
              <w:rPr>
                <w:rFonts w:ascii="仿宋_GB2312" w:eastAsia="仿宋_GB2312"/>
                <w:b/>
                <w:kern w:val="0"/>
                <w:sz w:val="24"/>
                <w:szCs w:val="24"/>
              </w:rPr>
            </w:pPr>
            <w:r>
              <w:rPr>
                <w:rFonts w:hint="eastAsia" w:ascii="仿宋_GB2312" w:hAnsi="宋体" w:eastAsia="仿宋_GB2312" w:cs="宋体"/>
                <w:b/>
                <w:bCs/>
                <w:color w:val="000000"/>
                <w:kern w:val="0"/>
                <w:sz w:val="24"/>
                <w:szCs w:val="24"/>
              </w:rPr>
              <w:t>标的债券总面额（券面</w:t>
            </w:r>
            <w:r>
              <w:rPr>
                <w:rFonts w:ascii="仿宋_GB2312" w:hAnsi="宋体" w:eastAsia="仿宋_GB2312" w:cs="宋体"/>
                <w:b/>
                <w:bCs/>
                <w:color w:val="000000"/>
                <w:kern w:val="0"/>
                <w:sz w:val="24"/>
                <w:szCs w:val="24"/>
              </w:rPr>
              <w:t>总额）</w:t>
            </w:r>
          </w:p>
        </w:tc>
        <w:tc>
          <w:tcPr>
            <w:tcW w:w="3358" w:type="pct"/>
            <w:vAlign w:val="center"/>
          </w:tcPr>
          <w:p w14:paraId="09D9C1D3">
            <w:pPr>
              <w:adjustRightInd w:val="0"/>
              <w:snapToGrid w:val="0"/>
              <w:rPr>
                <w:rFonts w:ascii="仿宋_GB2312" w:hAnsi="宋体" w:eastAsia="仿宋_GB2312" w:cs="宋体"/>
                <w:bCs/>
                <w:color w:val="000000"/>
                <w:kern w:val="0"/>
                <w:sz w:val="24"/>
                <w:szCs w:val="24"/>
              </w:rPr>
            </w:pPr>
            <w:r>
              <w:rPr>
                <w:rFonts w:hint="eastAsia" w:ascii="仿宋_GB2312" w:hAnsi="宋体" w:eastAsia="仿宋_GB2312" w:cs="宋体"/>
                <w:bCs/>
                <w:color w:val="000000"/>
                <w:kern w:val="0"/>
                <w:sz w:val="24"/>
                <w:szCs w:val="24"/>
              </w:rPr>
              <w:t>标的债券按发行面额计算的总量，单位为万元。债券发生分期偿还、分期摊还的，债券面值为减少后的面值。</w:t>
            </w:r>
          </w:p>
          <w:p w14:paraId="17AA469E">
            <w:pPr>
              <w:adjustRightInd w:val="0"/>
              <w:snapToGrid w:val="0"/>
              <w:rPr>
                <w:rFonts w:ascii="仿宋_GB2312" w:eastAsia="仿宋_GB2312"/>
                <w:kern w:val="0"/>
                <w:sz w:val="24"/>
                <w:szCs w:val="24"/>
              </w:rPr>
            </w:pPr>
            <w:r>
              <w:rPr>
                <w:rFonts w:hint="eastAsia" w:ascii="仿宋_GB2312" w:eastAsia="仿宋_GB2312"/>
                <w:kern w:val="0"/>
                <w:sz w:val="24"/>
                <w:szCs w:val="24"/>
              </w:rPr>
              <w:t>标的券</w:t>
            </w:r>
            <w:r>
              <w:rPr>
                <w:rFonts w:hint="eastAsia" w:ascii="仿宋_GB2312" w:hAnsi="宋体" w:eastAsia="仿宋_GB2312" w:cs="宋体"/>
                <w:bCs/>
                <w:color w:val="000000"/>
                <w:kern w:val="0"/>
                <w:sz w:val="24"/>
                <w:szCs w:val="24"/>
              </w:rPr>
              <w:t>券面</w:t>
            </w:r>
            <w:r>
              <w:rPr>
                <w:rFonts w:ascii="仿宋_GB2312" w:hAnsi="宋体" w:eastAsia="仿宋_GB2312" w:cs="宋体"/>
                <w:bCs/>
                <w:color w:val="000000"/>
                <w:kern w:val="0"/>
                <w:sz w:val="24"/>
                <w:szCs w:val="24"/>
              </w:rPr>
              <w:t>总额</w:t>
            </w:r>
            <w:r>
              <w:rPr>
                <w:rFonts w:hint="eastAsia" w:ascii="仿宋_GB2312" w:hAnsi="仿宋_GB2312" w:eastAsia="仿宋_GB2312" w:cs="宋体"/>
                <w:bCs/>
                <w:color w:val="000000"/>
                <w:kern w:val="0"/>
                <w:sz w:val="24"/>
                <w:szCs w:val="24"/>
              </w:rPr>
              <w:t>=</w:t>
            </w:r>
            <w:r>
              <w:rPr>
                <w:rFonts w:hint="eastAsia" w:ascii="仿宋_GB2312" w:eastAsia="仿宋_GB2312"/>
                <w:kern w:val="0"/>
                <w:sz w:val="24"/>
                <w:szCs w:val="24"/>
              </w:rPr>
              <w:t>单张标的券</w:t>
            </w:r>
            <w:r>
              <w:rPr>
                <w:rFonts w:hint="eastAsia" w:ascii="仿宋_GB2312" w:hAnsi="宋体" w:eastAsia="仿宋_GB2312" w:cs="宋体"/>
                <w:bCs/>
                <w:color w:val="000000"/>
                <w:kern w:val="0"/>
                <w:sz w:val="24"/>
                <w:szCs w:val="24"/>
              </w:rPr>
              <w:t>面额</w:t>
            </w:r>
            <w:r>
              <w:rPr>
                <w:rFonts w:ascii="仿宋_GB2312" w:hAnsi="宋体" w:eastAsia="仿宋_GB2312" w:cs="宋体"/>
                <w:bCs/>
                <w:color w:val="000000"/>
                <w:kern w:val="0"/>
                <w:sz w:val="24"/>
                <w:szCs w:val="24"/>
              </w:rPr>
              <w:t>×</w:t>
            </w:r>
            <w:r>
              <w:rPr>
                <w:rFonts w:hint="eastAsia" w:ascii="仿宋_GB2312" w:hAnsi="宋体" w:eastAsia="仿宋_GB2312" w:cs="宋体"/>
                <w:bCs/>
                <w:color w:val="000000"/>
                <w:kern w:val="0"/>
                <w:sz w:val="24"/>
                <w:szCs w:val="24"/>
              </w:rPr>
              <w:t>标的</w:t>
            </w:r>
            <w:r>
              <w:rPr>
                <w:rFonts w:ascii="仿宋_GB2312" w:hAnsi="宋体" w:eastAsia="仿宋_GB2312" w:cs="宋体"/>
                <w:bCs/>
                <w:color w:val="000000"/>
                <w:kern w:val="0"/>
                <w:sz w:val="24"/>
                <w:szCs w:val="24"/>
              </w:rPr>
              <w:t>券数量</w:t>
            </w:r>
          </w:p>
        </w:tc>
      </w:tr>
      <w:tr w14:paraId="600F1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2" w:type="pct"/>
            <w:vAlign w:val="center"/>
          </w:tcPr>
          <w:p w14:paraId="76EA61AC">
            <w:pPr>
              <w:adjustRightInd w:val="0"/>
              <w:snapToGrid w:val="0"/>
              <w:rPr>
                <w:rFonts w:ascii="仿宋_GB2312" w:eastAsia="仿宋_GB2312"/>
                <w:b/>
                <w:kern w:val="0"/>
                <w:sz w:val="24"/>
                <w:szCs w:val="24"/>
              </w:rPr>
            </w:pPr>
            <w:r>
              <w:rPr>
                <w:rFonts w:hint="eastAsia" w:ascii="仿宋_GB2312" w:hAnsi="宋体" w:eastAsia="仿宋_GB2312" w:cs="宋体"/>
                <w:b/>
                <w:bCs/>
                <w:color w:val="000000"/>
                <w:kern w:val="0"/>
                <w:sz w:val="24"/>
                <w:szCs w:val="24"/>
              </w:rPr>
              <w:t>标的</w:t>
            </w:r>
            <w:r>
              <w:rPr>
                <w:rFonts w:ascii="仿宋_GB2312" w:hAnsi="宋体" w:eastAsia="仿宋_GB2312" w:cs="宋体"/>
                <w:b/>
                <w:bCs/>
                <w:color w:val="000000"/>
                <w:kern w:val="0"/>
                <w:sz w:val="24"/>
                <w:szCs w:val="24"/>
              </w:rPr>
              <w:t>券下一付息日</w:t>
            </w:r>
          </w:p>
        </w:tc>
        <w:tc>
          <w:tcPr>
            <w:tcW w:w="3358" w:type="pct"/>
            <w:vAlign w:val="center"/>
          </w:tcPr>
          <w:p w14:paraId="4CDFF242">
            <w:pPr>
              <w:adjustRightInd w:val="0"/>
              <w:snapToGrid w:val="0"/>
              <w:rPr>
                <w:rFonts w:ascii="仿宋_GB2312" w:eastAsia="仿宋_GB2312"/>
                <w:kern w:val="0"/>
                <w:sz w:val="24"/>
                <w:szCs w:val="24"/>
              </w:rPr>
            </w:pPr>
            <w:r>
              <w:rPr>
                <w:rFonts w:hint="eastAsia" w:ascii="仿宋_GB2312" w:hAnsi="宋体" w:eastAsia="仿宋_GB2312" w:cs="宋体"/>
                <w:bCs/>
                <w:color w:val="000000"/>
                <w:kern w:val="0"/>
                <w:sz w:val="24"/>
                <w:szCs w:val="24"/>
              </w:rPr>
              <w:t>标的债券下次付息日。</w:t>
            </w:r>
          </w:p>
        </w:tc>
      </w:tr>
      <w:tr w14:paraId="0A29B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2" w:type="pct"/>
            <w:vAlign w:val="center"/>
          </w:tcPr>
          <w:p w14:paraId="326D22EC">
            <w:pPr>
              <w:adjustRightInd w:val="0"/>
              <w:snapToGrid w:val="0"/>
              <w:rPr>
                <w:rFonts w:ascii="仿宋_GB2312" w:eastAsia="仿宋_GB2312"/>
                <w:b/>
                <w:kern w:val="0"/>
                <w:sz w:val="24"/>
                <w:szCs w:val="24"/>
              </w:rPr>
            </w:pPr>
            <w:r>
              <w:rPr>
                <w:rFonts w:hint="eastAsia" w:ascii="仿宋_GB2312" w:hAnsi="宋体" w:eastAsia="仿宋_GB2312" w:cs="宋体"/>
                <w:b/>
                <w:bCs/>
                <w:color w:val="000000"/>
                <w:kern w:val="0"/>
                <w:sz w:val="24"/>
                <w:szCs w:val="24"/>
              </w:rPr>
              <w:t>应计利息</w:t>
            </w:r>
            <w:r>
              <w:rPr>
                <w:rFonts w:ascii="仿宋_GB2312" w:hAnsi="宋体" w:eastAsia="仿宋_GB2312" w:cs="宋体"/>
                <w:b/>
                <w:bCs/>
                <w:color w:val="000000"/>
                <w:kern w:val="0"/>
                <w:sz w:val="24"/>
                <w:szCs w:val="24"/>
              </w:rPr>
              <w:t>总额</w:t>
            </w:r>
          </w:p>
        </w:tc>
        <w:tc>
          <w:tcPr>
            <w:tcW w:w="3358" w:type="pct"/>
            <w:vAlign w:val="center"/>
          </w:tcPr>
          <w:p w14:paraId="52B9E81A">
            <w:pPr>
              <w:adjustRightInd w:val="0"/>
              <w:snapToGrid w:val="0"/>
              <w:rPr>
                <w:rFonts w:ascii="仿宋_GB2312" w:eastAsia="仿宋_GB2312"/>
                <w:kern w:val="0"/>
                <w:sz w:val="24"/>
                <w:szCs w:val="24"/>
              </w:rPr>
            </w:pPr>
            <w:r>
              <w:rPr>
                <w:rFonts w:hint="eastAsia" w:ascii="仿宋_GB2312" w:hAnsi="宋体" w:eastAsia="仿宋_GB2312" w:cs="宋体"/>
                <w:bCs/>
                <w:color w:val="000000"/>
                <w:kern w:val="0"/>
                <w:sz w:val="24"/>
                <w:szCs w:val="24"/>
              </w:rPr>
              <w:t>标的债券下次付息日付息总额。</w:t>
            </w:r>
          </w:p>
        </w:tc>
      </w:tr>
      <w:tr w14:paraId="1F864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2" w:type="pct"/>
            <w:vAlign w:val="center"/>
          </w:tcPr>
          <w:p w14:paraId="42BE3100">
            <w:pPr>
              <w:adjustRightInd w:val="0"/>
              <w:snapToGrid w:val="0"/>
              <w:rPr>
                <w:rFonts w:ascii="仿宋_GB2312" w:eastAsia="仿宋_GB2312"/>
                <w:b/>
                <w:kern w:val="0"/>
                <w:sz w:val="24"/>
                <w:szCs w:val="24"/>
              </w:rPr>
            </w:pPr>
            <w:r>
              <w:rPr>
                <w:rFonts w:hint="eastAsia" w:ascii="仿宋_GB2312" w:hAnsi="宋体" w:eastAsia="仿宋_GB2312" w:cs="宋体"/>
                <w:b/>
                <w:bCs/>
                <w:color w:val="000000"/>
                <w:kern w:val="0"/>
                <w:sz w:val="24"/>
                <w:szCs w:val="24"/>
              </w:rPr>
              <w:t>质押债券</w:t>
            </w:r>
          </w:p>
        </w:tc>
        <w:tc>
          <w:tcPr>
            <w:tcW w:w="3358" w:type="pct"/>
            <w:vAlign w:val="center"/>
          </w:tcPr>
          <w:p w14:paraId="3045D8BD">
            <w:pPr>
              <w:adjustRightInd w:val="0"/>
              <w:snapToGrid w:val="0"/>
              <w:rPr>
                <w:rFonts w:ascii="仿宋_GB2312" w:eastAsia="仿宋_GB2312"/>
                <w:kern w:val="0"/>
                <w:sz w:val="24"/>
                <w:szCs w:val="24"/>
              </w:rPr>
            </w:pPr>
            <w:r>
              <w:rPr>
                <w:rFonts w:hint="eastAsia" w:ascii="仿宋_GB2312" w:hAnsi="宋体" w:eastAsia="仿宋_GB2312" w:cs="宋体"/>
                <w:bCs/>
                <w:color w:val="000000"/>
                <w:kern w:val="0"/>
                <w:sz w:val="24"/>
                <w:szCs w:val="24"/>
              </w:rPr>
              <w:t>债券借贷过程中，债券借入方质押给债券借出方的债券代码和简称标识</w:t>
            </w:r>
          </w:p>
        </w:tc>
      </w:tr>
      <w:tr w14:paraId="6266C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2" w:type="pct"/>
            <w:vAlign w:val="center"/>
          </w:tcPr>
          <w:p w14:paraId="662E18F3">
            <w:pPr>
              <w:adjustRightInd w:val="0"/>
              <w:snapToGrid w:val="0"/>
              <w:rPr>
                <w:rFonts w:ascii="仿宋_GB2312" w:eastAsia="仿宋_GB2312"/>
                <w:b/>
                <w:kern w:val="0"/>
                <w:sz w:val="24"/>
                <w:szCs w:val="24"/>
              </w:rPr>
            </w:pPr>
            <w:r>
              <w:rPr>
                <w:rFonts w:hint="eastAsia" w:ascii="仿宋_GB2312" w:hAnsi="宋体" w:eastAsia="仿宋_GB2312" w:cs="宋体"/>
                <w:b/>
                <w:bCs/>
                <w:color w:val="000000"/>
                <w:kern w:val="0"/>
                <w:sz w:val="24"/>
                <w:szCs w:val="24"/>
              </w:rPr>
              <w:t>质押</w:t>
            </w:r>
            <w:r>
              <w:rPr>
                <w:rFonts w:ascii="仿宋_GB2312" w:hAnsi="宋体" w:eastAsia="仿宋_GB2312" w:cs="宋体"/>
                <w:b/>
                <w:bCs/>
                <w:color w:val="000000"/>
                <w:kern w:val="0"/>
                <w:sz w:val="24"/>
                <w:szCs w:val="24"/>
              </w:rPr>
              <w:t>券面</w:t>
            </w:r>
            <w:r>
              <w:rPr>
                <w:rFonts w:hint="eastAsia" w:ascii="仿宋_GB2312" w:hAnsi="宋体" w:eastAsia="仿宋_GB2312" w:cs="宋体"/>
                <w:b/>
                <w:bCs/>
                <w:color w:val="000000"/>
                <w:kern w:val="0"/>
                <w:sz w:val="24"/>
                <w:szCs w:val="24"/>
              </w:rPr>
              <w:t>额（</w:t>
            </w:r>
            <w:r>
              <w:rPr>
                <w:rFonts w:ascii="仿宋_GB2312" w:hAnsi="宋体" w:eastAsia="仿宋_GB2312" w:cs="宋体"/>
                <w:b/>
                <w:bCs/>
                <w:color w:val="000000"/>
                <w:kern w:val="0"/>
                <w:sz w:val="24"/>
                <w:szCs w:val="24"/>
              </w:rPr>
              <w:t>元）</w:t>
            </w:r>
          </w:p>
        </w:tc>
        <w:tc>
          <w:tcPr>
            <w:tcW w:w="3358" w:type="pct"/>
            <w:vAlign w:val="center"/>
          </w:tcPr>
          <w:p w14:paraId="5B77E6F1">
            <w:pPr>
              <w:adjustRightInd w:val="0"/>
              <w:snapToGrid w:val="0"/>
              <w:rPr>
                <w:rFonts w:ascii="仿宋_GB2312" w:eastAsia="仿宋_GB2312"/>
                <w:kern w:val="0"/>
                <w:sz w:val="24"/>
                <w:szCs w:val="24"/>
              </w:rPr>
            </w:pPr>
            <w:r>
              <w:rPr>
                <w:rFonts w:hint="eastAsia" w:ascii="仿宋_GB2312" w:hAnsi="宋体" w:eastAsia="仿宋_GB2312" w:cs="宋体"/>
                <w:bCs/>
                <w:color w:val="000000"/>
                <w:kern w:val="0"/>
                <w:sz w:val="24"/>
                <w:szCs w:val="24"/>
              </w:rPr>
              <w:t>显示初始</w:t>
            </w:r>
            <w:r>
              <w:rPr>
                <w:rFonts w:ascii="仿宋_GB2312" w:hAnsi="宋体" w:eastAsia="仿宋_GB2312" w:cs="宋体"/>
                <w:bCs/>
                <w:color w:val="000000"/>
                <w:kern w:val="0"/>
                <w:sz w:val="24"/>
                <w:szCs w:val="24"/>
              </w:rPr>
              <w:t>面</w:t>
            </w:r>
            <w:r>
              <w:rPr>
                <w:rFonts w:hint="eastAsia" w:ascii="仿宋_GB2312" w:hAnsi="宋体" w:eastAsia="仿宋_GB2312" w:cs="宋体"/>
                <w:bCs/>
                <w:color w:val="000000"/>
                <w:kern w:val="0"/>
                <w:sz w:val="24"/>
                <w:szCs w:val="24"/>
              </w:rPr>
              <w:t>额与最新</w:t>
            </w:r>
            <w:r>
              <w:rPr>
                <w:rFonts w:ascii="仿宋_GB2312" w:hAnsi="宋体" w:eastAsia="仿宋_GB2312" w:cs="宋体"/>
                <w:bCs/>
                <w:color w:val="000000"/>
                <w:kern w:val="0"/>
                <w:sz w:val="24"/>
                <w:szCs w:val="24"/>
              </w:rPr>
              <w:t>面</w:t>
            </w:r>
            <w:r>
              <w:rPr>
                <w:rFonts w:hint="eastAsia" w:ascii="仿宋_GB2312" w:hAnsi="宋体" w:eastAsia="仿宋_GB2312" w:cs="宋体"/>
                <w:bCs/>
                <w:color w:val="000000"/>
                <w:kern w:val="0"/>
                <w:sz w:val="24"/>
                <w:szCs w:val="24"/>
              </w:rPr>
              <w:t>额。质押</w:t>
            </w:r>
            <w:r>
              <w:rPr>
                <w:rFonts w:ascii="仿宋_GB2312" w:hAnsi="宋体" w:eastAsia="仿宋_GB2312" w:cs="宋体"/>
                <w:bCs/>
                <w:color w:val="000000"/>
                <w:kern w:val="0"/>
                <w:sz w:val="24"/>
                <w:szCs w:val="24"/>
              </w:rPr>
              <w:t>券</w:t>
            </w:r>
            <w:r>
              <w:rPr>
                <w:rFonts w:hint="eastAsia" w:ascii="仿宋_GB2312" w:hAnsi="宋体" w:eastAsia="仿宋_GB2312" w:cs="宋体"/>
                <w:bCs/>
                <w:color w:val="000000"/>
                <w:kern w:val="0"/>
                <w:sz w:val="24"/>
                <w:szCs w:val="24"/>
              </w:rPr>
              <w:t>初始</w:t>
            </w:r>
            <w:r>
              <w:rPr>
                <w:rFonts w:ascii="仿宋_GB2312" w:hAnsi="宋体" w:eastAsia="仿宋_GB2312" w:cs="宋体"/>
                <w:bCs/>
                <w:color w:val="000000"/>
                <w:kern w:val="0"/>
                <w:sz w:val="24"/>
                <w:szCs w:val="24"/>
              </w:rPr>
              <w:t>面额为</w:t>
            </w:r>
            <w:r>
              <w:rPr>
                <w:rFonts w:hint="eastAsia" w:ascii="仿宋_GB2312" w:hAnsi="宋体" w:eastAsia="仿宋_GB2312" w:cs="宋体"/>
                <w:bCs/>
                <w:color w:val="000000"/>
                <w:kern w:val="0"/>
                <w:sz w:val="24"/>
                <w:szCs w:val="24"/>
              </w:rPr>
              <w:t>质押</w:t>
            </w:r>
            <w:r>
              <w:rPr>
                <w:rFonts w:ascii="仿宋_GB2312" w:hAnsi="宋体" w:eastAsia="仿宋_GB2312" w:cs="宋体"/>
                <w:bCs/>
                <w:color w:val="000000"/>
                <w:kern w:val="0"/>
                <w:sz w:val="24"/>
                <w:szCs w:val="24"/>
              </w:rPr>
              <w:t>当日债券面额</w:t>
            </w:r>
            <w:r>
              <w:rPr>
                <w:rFonts w:hint="eastAsia" w:ascii="仿宋_GB2312" w:hAnsi="宋体" w:eastAsia="仿宋_GB2312" w:cs="宋体"/>
                <w:bCs/>
                <w:color w:val="000000"/>
                <w:kern w:val="0"/>
                <w:sz w:val="24"/>
                <w:szCs w:val="24"/>
              </w:rPr>
              <w:t>（发行</w:t>
            </w:r>
            <w:r>
              <w:rPr>
                <w:rFonts w:ascii="仿宋_GB2312" w:hAnsi="宋体" w:eastAsia="仿宋_GB2312" w:cs="宋体"/>
                <w:bCs/>
                <w:color w:val="000000"/>
                <w:kern w:val="0"/>
                <w:sz w:val="24"/>
                <w:szCs w:val="24"/>
              </w:rPr>
              <w:t>面额，如发行后</w:t>
            </w:r>
            <w:r>
              <w:rPr>
                <w:rFonts w:hint="eastAsia" w:ascii="仿宋_GB2312" w:hAnsi="宋体" w:eastAsia="仿宋_GB2312" w:cs="宋体"/>
                <w:bCs/>
                <w:color w:val="000000"/>
                <w:kern w:val="0"/>
                <w:sz w:val="24"/>
                <w:szCs w:val="24"/>
              </w:rPr>
              <w:t>债券发生分期偿还、分期摊还的，债券面值为减少后的面额），如质押日</w:t>
            </w:r>
            <w:r>
              <w:rPr>
                <w:rFonts w:ascii="仿宋_GB2312" w:hAnsi="宋体" w:eastAsia="仿宋_GB2312" w:cs="宋体"/>
                <w:bCs/>
                <w:color w:val="000000"/>
                <w:kern w:val="0"/>
                <w:sz w:val="24"/>
                <w:szCs w:val="24"/>
              </w:rPr>
              <w:t>后</w:t>
            </w:r>
            <w:r>
              <w:rPr>
                <w:rFonts w:hint="eastAsia" w:ascii="仿宋_GB2312" w:hAnsi="宋体" w:eastAsia="仿宋_GB2312" w:cs="宋体"/>
                <w:bCs/>
                <w:color w:val="000000"/>
                <w:kern w:val="0"/>
                <w:sz w:val="24"/>
                <w:szCs w:val="24"/>
              </w:rPr>
              <w:t>，债券发生分期偿还、分期摊还的，相关</w:t>
            </w:r>
            <w:r>
              <w:rPr>
                <w:rFonts w:ascii="仿宋_GB2312" w:hAnsi="宋体" w:eastAsia="仿宋_GB2312" w:cs="宋体"/>
                <w:bCs/>
                <w:color w:val="000000"/>
                <w:kern w:val="0"/>
                <w:sz w:val="24"/>
                <w:szCs w:val="24"/>
              </w:rPr>
              <w:t>质押券面额需更新，显示为</w:t>
            </w:r>
            <w:r>
              <w:rPr>
                <w:rFonts w:hint="eastAsia" w:ascii="仿宋_GB2312" w:hAnsi="宋体" w:eastAsia="仿宋_GB2312" w:cs="宋体"/>
                <w:bCs/>
                <w:color w:val="000000"/>
                <w:kern w:val="0"/>
                <w:sz w:val="24"/>
                <w:szCs w:val="24"/>
              </w:rPr>
              <w:t>最新</w:t>
            </w:r>
            <w:r>
              <w:rPr>
                <w:rFonts w:ascii="仿宋_GB2312" w:hAnsi="宋体" w:eastAsia="仿宋_GB2312" w:cs="宋体"/>
                <w:bCs/>
                <w:color w:val="000000"/>
                <w:kern w:val="0"/>
                <w:sz w:val="24"/>
                <w:szCs w:val="24"/>
              </w:rPr>
              <w:t>面</w:t>
            </w:r>
            <w:r>
              <w:rPr>
                <w:rFonts w:hint="eastAsia" w:ascii="仿宋_GB2312" w:hAnsi="宋体" w:eastAsia="仿宋_GB2312" w:cs="宋体"/>
                <w:bCs/>
                <w:color w:val="000000"/>
                <w:kern w:val="0"/>
                <w:sz w:val="24"/>
                <w:szCs w:val="24"/>
              </w:rPr>
              <w:t>额。</w:t>
            </w:r>
          </w:p>
        </w:tc>
      </w:tr>
      <w:tr w14:paraId="7A233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2" w:type="pct"/>
            <w:vAlign w:val="center"/>
          </w:tcPr>
          <w:p w14:paraId="6F0D10D8">
            <w:pPr>
              <w:adjustRightInd w:val="0"/>
              <w:snapToGrid w:val="0"/>
              <w:rPr>
                <w:rFonts w:ascii="仿宋_GB2312" w:eastAsia="仿宋_GB2312"/>
                <w:b/>
                <w:kern w:val="0"/>
                <w:sz w:val="24"/>
                <w:szCs w:val="24"/>
              </w:rPr>
            </w:pPr>
            <w:r>
              <w:rPr>
                <w:rFonts w:hint="eastAsia" w:ascii="仿宋_GB2312" w:hAnsi="宋体" w:eastAsia="仿宋_GB2312" w:cs="宋体"/>
                <w:b/>
                <w:bCs/>
                <w:color w:val="000000"/>
                <w:kern w:val="0"/>
                <w:sz w:val="24"/>
                <w:szCs w:val="24"/>
              </w:rPr>
              <w:t>质押券数量</w:t>
            </w:r>
            <w:r>
              <w:rPr>
                <w:rFonts w:ascii="仿宋_GB2312" w:hAnsi="宋体" w:eastAsia="仿宋_GB2312" w:cs="宋体"/>
                <w:b/>
                <w:bCs/>
                <w:color w:val="000000"/>
                <w:kern w:val="0"/>
                <w:sz w:val="24"/>
                <w:szCs w:val="24"/>
              </w:rPr>
              <w:t>（千元面额）</w:t>
            </w:r>
          </w:p>
        </w:tc>
        <w:tc>
          <w:tcPr>
            <w:tcW w:w="3358" w:type="pct"/>
            <w:vAlign w:val="center"/>
          </w:tcPr>
          <w:p w14:paraId="770A2F45">
            <w:pPr>
              <w:adjustRightInd w:val="0"/>
              <w:snapToGrid w:val="0"/>
              <w:rPr>
                <w:rFonts w:ascii="仿宋_GB2312" w:eastAsia="仿宋_GB2312"/>
                <w:kern w:val="0"/>
                <w:sz w:val="24"/>
                <w:szCs w:val="24"/>
              </w:rPr>
            </w:pPr>
            <w:r>
              <w:rPr>
                <w:rFonts w:hint="eastAsia" w:ascii="仿宋_GB2312" w:hAnsi="宋体" w:eastAsia="仿宋_GB2312" w:cs="宋体"/>
                <w:bCs/>
                <w:color w:val="000000"/>
                <w:kern w:val="0"/>
                <w:sz w:val="24"/>
                <w:szCs w:val="24"/>
              </w:rPr>
              <w:t>质押券数量</w:t>
            </w:r>
          </w:p>
        </w:tc>
      </w:tr>
      <w:tr w14:paraId="15D57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1" w:hRule="atLeast"/>
          <w:jc w:val="center"/>
        </w:trPr>
        <w:tc>
          <w:tcPr>
            <w:tcW w:w="1642" w:type="pct"/>
            <w:vAlign w:val="center"/>
          </w:tcPr>
          <w:p w14:paraId="675C0D73">
            <w:pPr>
              <w:adjustRightInd w:val="0"/>
              <w:snapToGrid w:val="0"/>
              <w:rPr>
                <w:rFonts w:ascii="仿宋_GB2312" w:eastAsia="仿宋_GB2312"/>
                <w:b/>
                <w:kern w:val="0"/>
                <w:sz w:val="24"/>
                <w:szCs w:val="24"/>
              </w:rPr>
            </w:pPr>
            <w:r>
              <w:rPr>
                <w:rFonts w:hint="eastAsia" w:ascii="仿宋_GB2312" w:hAnsi="宋体" w:eastAsia="仿宋_GB2312" w:cs="宋体"/>
                <w:b/>
                <w:bCs/>
                <w:color w:val="000000"/>
                <w:kern w:val="0"/>
                <w:sz w:val="24"/>
                <w:szCs w:val="24"/>
              </w:rPr>
              <w:t>质押债券总面额（券面</w:t>
            </w:r>
            <w:r>
              <w:rPr>
                <w:rFonts w:ascii="仿宋_GB2312" w:hAnsi="宋体" w:eastAsia="仿宋_GB2312" w:cs="宋体"/>
                <w:b/>
                <w:bCs/>
                <w:color w:val="000000"/>
                <w:kern w:val="0"/>
                <w:sz w:val="24"/>
                <w:szCs w:val="24"/>
              </w:rPr>
              <w:t>总额）</w:t>
            </w:r>
          </w:p>
        </w:tc>
        <w:tc>
          <w:tcPr>
            <w:tcW w:w="3358" w:type="pct"/>
            <w:vAlign w:val="center"/>
          </w:tcPr>
          <w:p w14:paraId="665E0179">
            <w:pPr>
              <w:jc w:val="left"/>
              <w:rPr>
                <w:rFonts w:ascii="仿宋_GB2312" w:hAnsi="宋体" w:eastAsia="仿宋_GB2312" w:cs="宋体"/>
                <w:bCs/>
                <w:color w:val="000000"/>
                <w:kern w:val="0"/>
                <w:sz w:val="24"/>
                <w:szCs w:val="24"/>
              </w:rPr>
            </w:pPr>
            <w:r>
              <w:rPr>
                <w:rFonts w:hint="eastAsia" w:ascii="仿宋_GB2312" w:hAnsi="宋体" w:eastAsia="仿宋_GB2312" w:cs="宋体"/>
                <w:bCs/>
                <w:color w:val="000000"/>
                <w:kern w:val="0"/>
                <w:sz w:val="24"/>
                <w:szCs w:val="24"/>
              </w:rPr>
              <w:t>质押债券按发行面额计算的总量，单位为万元。债券发生分期偿还、分期摊还的，债券面值为减少后的面值。</w:t>
            </w:r>
          </w:p>
          <w:p w14:paraId="427D0B3B">
            <w:pPr>
              <w:jc w:val="left"/>
              <w:rPr>
                <w:rFonts w:ascii="仿宋_GB2312" w:hAnsi="宋体" w:eastAsia="仿宋_GB2312" w:cs="宋体"/>
                <w:bCs/>
                <w:color w:val="000000"/>
                <w:kern w:val="0"/>
                <w:sz w:val="24"/>
                <w:szCs w:val="24"/>
              </w:rPr>
            </w:pPr>
            <w:r>
              <w:rPr>
                <w:rFonts w:hint="eastAsia" w:ascii="仿宋_GB2312" w:hAnsi="宋体" w:eastAsia="仿宋_GB2312" w:cs="宋体"/>
                <w:bCs/>
                <w:color w:val="000000"/>
                <w:kern w:val="0"/>
                <w:sz w:val="24"/>
                <w:szCs w:val="24"/>
              </w:rPr>
              <w:t>显示初始券面总</w:t>
            </w:r>
            <w:r>
              <w:rPr>
                <w:rFonts w:ascii="仿宋_GB2312" w:hAnsi="宋体" w:eastAsia="仿宋_GB2312" w:cs="宋体"/>
                <w:bCs/>
                <w:color w:val="000000"/>
                <w:kern w:val="0"/>
                <w:sz w:val="24"/>
                <w:szCs w:val="24"/>
              </w:rPr>
              <w:t>额</w:t>
            </w:r>
            <w:r>
              <w:rPr>
                <w:rFonts w:hint="eastAsia" w:ascii="仿宋_GB2312" w:hAnsi="宋体" w:eastAsia="仿宋_GB2312" w:cs="宋体"/>
                <w:bCs/>
                <w:color w:val="000000"/>
                <w:kern w:val="0"/>
                <w:sz w:val="24"/>
                <w:szCs w:val="24"/>
              </w:rPr>
              <w:t>与</w:t>
            </w:r>
            <w:r>
              <w:rPr>
                <w:rFonts w:ascii="仿宋_GB2312" w:hAnsi="宋体" w:eastAsia="仿宋_GB2312" w:cs="宋体"/>
                <w:bCs/>
                <w:color w:val="000000"/>
                <w:kern w:val="0"/>
                <w:sz w:val="24"/>
                <w:szCs w:val="24"/>
              </w:rPr>
              <w:t>最</w:t>
            </w:r>
            <w:r>
              <w:rPr>
                <w:rFonts w:hint="eastAsia" w:ascii="仿宋_GB2312" w:hAnsi="宋体" w:eastAsia="仿宋_GB2312" w:cs="宋体"/>
                <w:bCs/>
                <w:color w:val="000000"/>
                <w:kern w:val="0"/>
                <w:sz w:val="24"/>
                <w:szCs w:val="24"/>
              </w:rPr>
              <w:t>新券面</w:t>
            </w:r>
            <w:r>
              <w:rPr>
                <w:rFonts w:ascii="仿宋_GB2312" w:hAnsi="宋体" w:eastAsia="仿宋_GB2312" w:cs="宋体"/>
                <w:bCs/>
                <w:color w:val="000000"/>
                <w:kern w:val="0"/>
                <w:sz w:val="24"/>
                <w:szCs w:val="24"/>
              </w:rPr>
              <w:t>总额</w:t>
            </w:r>
            <w:r>
              <w:rPr>
                <w:rFonts w:hint="eastAsia" w:ascii="仿宋_GB2312" w:hAnsi="宋体" w:eastAsia="仿宋_GB2312" w:cs="宋体"/>
                <w:bCs/>
                <w:color w:val="000000"/>
                <w:kern w:val="0"/>
                <w:sz w:val="24"/>
                <w:szCs w:val="24"/>
              </w:rPr>
              <w:t>：</w:t>
            </w:r>
          </w:p>
          <w:p w14:paraId="29E453CF">
            <w:pPr>
              <w:jc w:val="left"/>
              <w:rPr>
                <w:rFonts w:ascii="仿宋_GB2312" w:hAnsi="宋体" w:eastAsia="仿宋_GB2312" w:cs="宋体"/>
                <w:bCs/>
                <w:color w:val="000000"/>
                <w:kern w:val="0"/>
                <w:sz w:val="24"/>
                <w:szCs w:val="24"/>
              </w:rPr>
            </w:pPr>
            <w:r>
              <w:rPr>
                <w:rFonts w:hint="eastAsia" w:ascii="仿宋_GB2312" w:hAnsi="宋体" w:eastAsia="仿宋_GB2312" w:cs="宋体"/>
                <w:bCs/>
                <w:color w:val="000000"/>
                <w:kern w:val="0"/>
                <w:sz w:val="24"/>
                <w:szCs w:val="24"/>
              </w:rPr>
              <w:t>初始券面</w:t>
            </w:r>
            <w:r>
              <w:rPr>
                <w:rFonts w:ascii="仿宋_GB2312" w:hAnsi="宋体" w:eastAsia="仿宋_GB2312" w:cs="宋体"/>
                <w:bCs/>
                <w:color w:val="000000"/>
                <w:kern w:val="0"/>
                <w:sz w:val="24"/>
                <w:szCs w:val="24"/>
              </w:rPr>
              <w:t>总额</w:t>
            </w:r>
            <w:r>
              <w:rPr>
                <w:rFonts w:hint="eastAsia" w:ascii="仿宋_GB2312" w:hAnsi="仿宋_GB2312" w:eastAsia="仿宋_GB2312" w:cs="宋体"/>
                <w:bCs/>
                <w:color w:val="000000"/>
                <w:kern w:val="0"/>
                <w:sz w:val="24"/>
                <w:szCs w:val="24"/>
              </w:rPr>
              <w:t>=</w:t>
            </w:r>
            <w:r>
              <w:rPr>
                <w:rFonts w:hint="eastAsia" w:ascii="仿宋_GB2312" w:hAnsi="宋体" w:eastAsia="仿宋_GB2312" w:cs="宋体"/>
                <w:bCs/>
                <w:color w:val="000000"/>
                <w:kern w:val="0"/>
                <w:sz w:val="24"/>
                <w:szCs w:val="24"/>
              </w:rPr>
              <w:t>单张质押券初始面额×质押券数量</w:t>
            </w:r>
          </w:p>
          <w:p w14:paraId="7AF5216D">
            <w:pPr>
              <w:adjustRightInd w:val="0"/>
              <w:snapToGrid w:val="0"/>
              <w:rPr>
                <w:rFonts w:ascii="仿宋_GB2312" w:eastAsia="仿宋_GB2312"/>
                <w:kern w:val="0"/>
                <w:sz w:val="24"/>
                <w:szCs w:val="24"/>
              </w:rPr>
            </w:pPr>
            <w:r>
              <w:rPr>
                <w:rFonts w:ascii="仿宋_GB2312" w:hAnsi="宋体" w:eastAsia="仿宋_GB2312" w:cs="宋体"/>
                <w:bCs/>
                <w:color w:val="000000"/>
                <w:kern w:val="0"/>
                <w:sz w:val="24"/>
                <w:szCs w:val="24"/>
              </w:rPr>
              <w:t>最</w:t>
            </w:r>
            <w:r>
              <w:rPr>
                <w:rFonts w:hint="eastAsia" w:ascii="仿宋_GB2312" w:hAnsi="宋体" w:eastAsia="仿宋_GB2312" w:cs="宋体"/>
                <w:bCs/>
                <w:color w:val="000000"/>
                <w:kern w:val="0"/>
                <w:sz w:val="24"/>
                <w:szCs w:val="24"/>
              </w:rPr>
              <w:t>新券面</w:t>
            </w:r>
            <w:r>
              <w:rPr>
                <w:rFonts w:ascii="仿宋_GB2312" w:hAnsi="宋体" w:eastAsia="仿宋_GB2312" w:cs="宋体"/>
                <w:bCs/>
                <w:color w:val="000000"/>
                <w:kern w:val="0"/>
                <w:sz w:val="24"/>
                <w:szCs w:val="24"/>
              </w:rPr>
              <w:t>总额</w:t>
            </w:r>
            <w:r>
              <w:rPr>
                <w:rFonts w:hint="eastAsia" w:ascii="仿宋_GB2312" w:hAnsi="仿宋_GB2312" w:eastAsia="仿宋_GB2312" w:cs="宋体"/>
                <w:bCs/>
                <w:color w:val="000000"/>
                <w:kern w:val="0"/>
                <w:sz w:val="24"/>
                <w:szCs w:val="24"/>
              </w:rPr>
              <w:t>=</w:t>
            </w:r>
            <w:r>
              <w:rPr>
                <w:rFonts w:hint="eastAsia" w:ascii="仿宋_GB2312" w:hAnsi="宋体" w:eastAsia="仿宋_GB2312" w:cs="宋体"/>
                <w:bCs/>
                <w:color w:val="000000"/>
                <w:kern w:val="0"/>
                <w:sz w:val="24"/>
                <w:szCs w:val="24"/>
              </w:rPr>
              <w:t>单张质押券最新面额×质押券数量</w:t>
            </w:r>
          </w:p>
        </w:tc>
      </w:tr>
      <w:tr w14:paraId="42120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2" w:type="pct"/>
            <w:vAlign w:val="center"/>
          </w:tcPr>
          <w:p w14:paraId="2EA2AB5A">
            <w:pPr>
              <w:adjustRightInd w:val="0"/>
              <w:snapToGrid w:val="0"/>
              <w:rPr>
                <w:rFonts w:ascii="仿宋_GB2312" w:eastAsia="仿宋_GB2312"/>
                <w:b/>
                <w:kern w:val="0"/>
                <w:sz w:val="24"/>
                <w:szCs w:val="24"/>
              </w:rPr>
            </w:pPr>
            <w:r>
              <w:rPr>
                <w:rFonts w:hint="eastAsia" w:ascii="仿宋_GB2312" w:hAnsi="宋体" w:eastAsia="仿宋_GB2312" w:cs="宋体"/>
                <w:b/>
                <w:bCs/>
                <w:color w:val="000000"/>
                <w:kern w:val="0"/>
                <w:sz w:val="24"/>
                <w:szCs w:val="24"/>
              </w:rPr>
              <w:t>借贷费率</w:t>
            </w:r>
          </w:p>
        </w:tc>
        <w:tc>
          <w:tcPr>
            <w:tcW w:w="3358" w:type="pct"/>
            <w:vAlign w:val="center"/>
          </w:tcPr>
          <w:p w14:paraId="33E2A12A">
            <w:pPr>
              <w:adjustRightInd w:val="0"/>
              <w:snapToGrid w:val="0"/>
              <w:rPr>
                <w:rFonts w:ascii="仿宋_GB2312" w:eastAsia="仿宋_GB2312"/>
                <w:kern w:val="0"/>
                <w:sz w:val="24"/>
                <w:szCs w:val="24"/>
              </w:rPr>
            </w:pPr>
            <w:r>
              <w:rPr>
                <w:rFonts w:hint="eastAsia" w:ascii="仿宋_GB2312" w:hAnsi="宋体" w:eastAsia="仿宋_GB2312" w:cs="宋体"/>
                <w:bCs/>
                <w:color w:val="000000"/>
                <w:kern w:val="0"/>
                <w:sz w:val="24"/>
                <w:szCs w:val="24"/>
              </w:rPr>
              <w:t>续做时债券借入方从债券借出方借入标的债券支付借贷费用的约定费率。</w:t>
            </w:r>
          </w:p>
        </w:tc>
      </w:tr>
      <w:tr w14:paraId="1A3D1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2" w:type="pct"/>
            <w:vAlign w:val="center"/>
          </w:tcPr>
          <w:p w14:paraId="488430D5">
            <w:pPr>
              <w:adjustRightInd w:val="0"/>
              <w:snapToGrid w:val="0"/>
              <w:rPr>
                <w:rFonts w:ascii="仿宋_GB2312" w:eastAsia="仿宋_GB2312"/>
                <w:b/>
                <w:kern w:val="0"/>
                <w:sz w:val="24"/>
                <w:szCs w:val="24"/>
              </w:rPr>
            </w:pPr>
            <w:r>
              <w:rPr>
                <w:rFonts w:hint="eastAsia" w:ascii="仿宋_GB2312" w:hAnsi="宋体" w:eastAsia="仿宋_GB2312" w:cs="宋体"/>
                <w:b/>
                <w:bCs/>
                <w:color w:val="000000"/>
                <w:kern w:val="0"/>
                <w:sz w:val="24"/>
                <w:szCs w:val="24"/>
              </w:rPr>
              <w:t>借贷期限</w:t>
            </w:r>
          </w:p>
        </w:tc>
        <w:tc>
          <w:tcPr>
            <w:tcW w:w="3358" w:type="pct"/>
            <w:vAlign w:val="center"/>
          </w:tcPr>
          <w:p w14:paraId="777839EF">
            <w:pPr>
              <w:adjustRightInd w:val="0"/>
              <w:snapToGrid w:val="0"/>
              <w:rPr>
                <w:rFonts w:ascii="仿宋_GB2312" w:eastAsia="仿宋_GB2312"/>
                <w:kern w:val="0"/>
                <w:sz w:val="24"/>
                <w:szCs w:val="24"/>
              </w:rPr>
            </w:pPr>
            <w:r>
              <w:rPr>
                <w:rFonts w:hint="eastAsia" w:ascii="仿宋_GB2312" w:hAnsi="宋体" w:eastAsia="仿宋_GB2312" w:cs="宋体"/>
                <w:bCs/>
                <w:color w:val="000000"/>
                <w:kern w:val="0"/>
                <w:sz w:val="24"/>
                <w:szCs w:val="24"/>
              </w:rPr>
              <w:t>续做</w:t>
            </w:r>
            <w:r>
              <w:rPr>
                <w:rFonts w:ascii="仿宋_GB2312" w:hAnsi="宋体" w:eastAsia="仿宋_GB2312" w:cs="宋体"/>
                <w:bCs/>
                <w:color w:val="000000"/>
                <w:kern w:val="0"/>
                <w:sz w:val="24"/>
                <w:szCs w:val="24"/>
              </w:rPr>
              <w:t>时</w:t>
            </w:r>
            <w:r>
              <w:rPr>
                <w:rFonts w:hint="eastAsia" w:ascii="仿宋_GB2312" w:hAnsi="宋体" w:eastAsia="仿宋_GB2312" w:cs="宋体"/>
                <w:bCs/>
                <w:color w:val="000000"/>
                <w:kern w:val="0"/>
                <w:sz w:val="24"/>
                <w:szCs w:val="24"/>
              </w:rPr>
              <w:t>首期结算日至到期结算日的日历天数，含首期结算日，不含到期结算日。</w:t>
            </w:r>
          </w:p>
        </w:tc>
      </w:tr>
      <w:tr w14:paraId="53DA5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2" w:type="pct"/>
            <w:vAlign w:val="center"/>
          </w:tcPr>
          <w:p w14:paraId="1EB16221">
            <w:pPr>
              <w:adjustRightInd w:val="0"/>
              <w:snapToGrid w:val="0"/>
              <w:rPr>
                <w:rFonts w:ascii="仿宋_GB2312" w:eastAsia="仿宋_GB2312"/>
                <w:b/>
                <w:kern w:val="0"/>
                <w:sz w:val="24"/>
                <w:szCs w:val="24"/>
              </w:rPr>
            </w:pPr>
            <w:r>
              <w:rPr>
                <w:rFonts w:hint="eastAsia" w:ascii="仿宋_GB2312" w:hAnsi="宋体" w:eastAsia="仿宋_GB2312" w:cs="宋体"/>
                <w:b/>
                <w:bCs/>
                <w:color w:val="000000"/>
                <w:kern w:val="0"/>
                <w:sz w:val="24"/>
                <w:szCs w:val="24"/>
              </w:rPr>
              <w:t>借贷</w:t>
            </w:r>
            <w:r>
              <w:rPr>
                <w:rFonts w:ascii="仿宋_GB2312" w:hAnsi="宋体" w:eastAsia="仿宋_GB2312" w:cs="宋体"/>
                <w:b/>
                <w:bCs/>
                <w:color w:val="000000"/>
                <w:kern w:val="0"/>
                <w:sz w:val="24"/>
                <w:szCs w:val="24"/>
              </w:rPr>
              <w:t>费用</w:t>
            </w:r>
          </w:p>
        </w:tc>
        <w:tc>
          <w:tcPr>
            <w:tcW w:w="3358" w:type="pct"/>
            <w:vAlign w:val="center"/>
          </w:tcPr>
          <w:p w14:paraId="64006B11">
            <w:pPr>
              <w:adjustRightInd w:val="0"/>
              <w:snapToGrid w:val="0"/>
              <w:rPr>
                <w:rFonts w:ascii="仿宋_GB2312" w:eastAsia="仿宋_GB2312"/>
                <w:kern w:val="0"/>
                <w:sz w:val="24"/>
                <w:szCs w:val="24"/>
              </w:rPr>
            </w:pPr>
            <w:r>
              <w:rPr>
                <w:rFonts w:hint="eastAsia" w:ascii="仿宋_GB2312" w:hAnsi="宋体" w:eastAsia="仿宋_GB2312" w:cs="宋体"/>
                <w:bCs/>
                <w:color w:val="000000"/>
                <w:kern w:val="0"/>
                <w:sz w:val="24"/>
                <w:szCs w:val="24"/>
              </w:rPr>
              <w:t>债券借贷费用=标的债券券面总额×债券借贷费率×借贷期限/365。</w:t>
            </w:r>
          </w:p>
        </w:tc>
      </w:tr>
      <w:tr w14:paraId="55CC8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2" w:type="pct"/>
            <w:shd w:val="clear" w:color="auto" w:fill="auto"/>
            <w:vAlign w:val="center"/>
          </w:tcPr>
          <w:p w14:paraId="77DCBC71">
            <w:pPr>
              <w:adjustRightInd w:val="0"/>
              <w:snapToGrid w:val="0"/>
              <w:rPr>
                <w:rFonts w:ascii="仿宋_GB2312" w:eastAsia="仿宋_GB2312"/>
                <w:b/>
                <w:kern w:val="0"/>
                <w:sz w:val="24"/>
                <w:szCs w:val="24"/>
              </w:rPr>
            </w:pPr>
            <w:r>
              <w:rPr>
                <w:rFonts w:hint="eastAsia" w:ascii="仿宋_GB2312" w:hAnsi="宋体" w:eastAsia="仿宋_GB2312" w:cs="宋体"/>
                <w:b/>
                <w:bCs/>
                <w:color w:val="000000"/>
                <w:kern w:val="0"/>
                <w:sz w:val="24"/>
                <w:szCs w:val="24"/>
              </w:rPr>
              <w:t>首期结算日</w:t>
            </w:r>
          </w:p>
        </w:tc>
        <w:tc>
          <w:tcPr>
            <w:tcW w:w="3358" w:type="pct"/>
            <w:shd w:val="clear" w:color="auto" w:fill="auto"/>
            <w:vAlign w:val="center"/>
          </w:tcPr>
          <w:p w14:paraId="039C6013">
            <w:pPr>
              <w:adjustRightInd w:val="0"/>
              <w:snapToGrid w:val="0"/>
              <w:rPr>
                <w:rFonts w:ascii="仿宋_GB2312" w:eastAsia="仿宋_GB2312"/>
                <w:kern w:val="0"/>
                <w:sz w:val="24"/>
                <w:szCs w:val="24"/>
              </w:rPr>
            </w:pPr>
            <w:r>
              <w:rPr>
                <w:rFonts w:hint="eastAsia" w:ascii="仿宋_GB2312" w:hAnsi="宋体" w:eastAsia="仿宋_GB2312" w:cs="宋体"/>
                <w:bCs/>
                <w:color w:val="000000"/>
                <w:kern w:val="0"/>
                <w:sz w:val="24"/>
                <w:szCs w:val="24"/>
              </w:rPr>
              <w:t>针对</w:t>
            </w:r>
            <w:r>
              <w:rPr>
                <w:rFonts w:ascii="仿宋_GB2312" w:hAnsi="宋体" w:eastAsia="仿宋_GB2312" w:cs="宋体"/>
                <w:bCs/>
                <w:color w:val="000000"/>
                <w:kern w:val="0"/>
                <w:sz w:val="24"/>
                <w:szCs w:val="24"/>
              </w:rPr>
              <w:t>续</w:t>
            </w:r>
            <w:r>
              <w:rPr>
                <w:rFonts w:hint="eastAsia" w:ascii="仿宋_GB2312" w:hAnsi="宋体" w:eastAsia="仿宋_GB2312" w:cs="宋体"/>
                <w:bCs/>
                <w:color w:val="000000"/>
                <w:kern w:val="0"/>
                <w:sz w:val="24"/>
                <w:szCs w:val="24"/>
              </w:rPr>
              <w:t>做</w:t>
            </w:r>
            <w:r>
              <w:rPr>
                <w:rFonts w:ascii="仿宋_GB2312" w:hAnsi="宋体" w:eastAsia="仿宋_GB2312" w:cs="宋体"/>
                <w:bCs/>
                <w:color w:val="000000"/>
                <w:kern w:val="0"/>
                <w:sz w:val="24"/>
                <w:szCs w:val="24"/>
              </w:rPr>
              <w:t>合约，首期结算日为</w:t>
            </w:r>
            <w:r>
              <w:rPr>
                <w:rFonts w:hint="eastAsia" w:ascii="仿宋_GB2312" w:hAnsi="宋体" w:eastAsia="仿宋_GB2312" w:cs="宋体"/>
                <w:bCs/>
                <w:color w:val="000000"/>
                <w:kern w:val="0"/>
                <w:sz w:val="24"/>
                <w:szCs w:val="24"/>
              </w:rPr>
              <w:t>申报</w:t>
            </w:r>
            <w:r>
              <w:rPr>
                <w:rFonts w:ascii="仿宋_GB2312" w:hAnsi="宋体" w:eastAsia="仿宋_GB2312" w:cs="宋体"/>
                <w:bCs/>
                <w:color w:val="000000"/>
                <w:kern w:val="0"/>
                <w:sz w:val="24"/>
                <w:szCs w:val="24"/>
              </w:rPr>
              <w:t>续</w:t>
            </w:r>
            <w:r>
              <w:rPr>
                <w:rFonts w:hint="eastAsia" w:ascii="仿宋_GB2312" w:hAnsi="宋体" w:eastAsia="仿宋_GB2312" w:cs="宋体"/>
                <w:bCs/>
                <w:color w:val="000000"/>
                <w:kern w:val="0"/>
                <w:sz w:val="24"/>
                <w:szCs w:val="24"/>
              </w:rPr>
              <w:t>做</w:t>
            </w:r>
            <w:r>
              <w:rPr>
                <w:rFonts w:ascii="仿宋_GB2312" w:hAnsi="宋体" w:eastAsia="仿宋_GB2312" w:cs="宋体"/>
                <w:bCs/>
                <w:color w:val="000000"/>
                <w:kern w:val="0"/>
                <w:sz w:val="24"/>
                <w:szCs w:val="24"/>
              </w:rPr>
              <w:t>当日。</w:t>
            </w:r>
          </w:p>
        </w:tc>
      </w:tr>
      <w:tr w14:paraId="55622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2" w:type="pct"/>
            <w:vAlign w:val="center"/>
          </w:tcPr>
          <w:p w14:paraId="66B96D97">
            <w:pPr>
              <w:adjustRightInd w:val="0"/>
              <w:snapToGrid w:val="0"/>
              <w:rPr>
                <w:rFonts w:ascii="仿宋_GB2312" w:eastAsia="仿宋_GB2312"/>
                <w:b/>
                <w:kern w:val="0"/>
                <w:sz w:val="24"/>
                <w:szCs w:val="24"/>
              </w:rPr>
            </w:pPr>
            <w:r>
              <w:rPr>
                <w:rFonts w:hint="eastAsia" w:ascii="仿宋_GB2312" w:hAnsi="宋体" w:eastAsia="仿宋_GB2312" w:cs="宋体"/>
                <w:b/>
                <w:bCs/>
                <w:color w:val="000000"/>
                <w:kern w:val="0"/>
                <w:sz w:val="24"/>
                <w:szCs w:val="24"/>
              </w:rPr>
              <w:t>到期结算日</w:t>
            </w:r>
          </w:p>
        </w:tc>
        <w:tc>
          <w:tcPr>
            <w:tcW w:w="3358" w:type="pct"/>
            <w:vAlign w:val="center"/>
          </w:tcPr>
          <w:p w14:paraId="51428FC8">
            <w:pPr>
              <w:adjustRightInd w:val="0"/>
              <w:snapToGrid w:val="0"/>
              <w:rPr>
                <w:rFonts w:ascii="仿宋_GB2312" w:eastAsia="仿宋_GB2312"/>
                <w:kern w:val="0"/>
                <w:sz w:val="24"/>
                <w:szCs w:val="24"/>
              </w:rPr>
            </w:pPr>
            <w:r>
              <w:rPr>
                <w:rFonts w:hint="eastAsia" w:ascii="仿宋_GB2312" w:hAnsi="宋体" w:eastAsia="仿宋_GB2312" w:cs="宋体"/>
                <w:bCs/>
                <w:color w:val="000000"/>
                <w:kern w:val="0"/>
                <w:sz w:val="24"/>
                <w:szCs w:val="24"/>
              </w:rPr>
              <w:t>债券借入方将标的债券归还借出方并支付债券借出方借贷费用的日期。若到期结算日为上交所非交易日，则实际到期结算日顺延至下一交易日。</w:t>
            </w:r>
          </w:p>
        </w:tc>
      </w:tr>
      <w:tr w14:paraId="0A8F4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2" w:type="pct"/>
            <w:vAlign w:val="center"/>
          </w:tcPr>
          <w:p w14:paraId="403A701F">
            <w:pPr>
              <w:adjustRightInd w:val="0"/>
              <w:snapToGrid w:val="0"/>
              <w:rPr>
                <w:rFonts w:ascii="仿宋_GB2312" w:eastAsia="仿宋_GB2312"/>
                <w:b/>
                <w:kern w:val="0"/>
                <w:sz w:val="24"/>
                <w:szCs w:val="24"/>
              </w:rPr>
            </w:pPr>
            <w:r>
              <w:rPr>
                <w:rFonts w:hint="eastAsia" w:ascii="仿宋_GB2312" w:hAnsi="宋体" w:eastAsia="仿宋_GB2312" w:cs="宋体"/>
                <w:b/>
                <w:bCs/>
                <w:color w:val="000000"/>
                <w:kern w:val="0"/>
                <w:sz w:val="24"/>
                <w:szCs w:val="24"/>
              </w:rPr>
              <w:t>其他</w:t>
            </w:r>
            <w:r>
              <w:rPr>
                <w:rFonts w:ascii="仿宋_GB2312" w:hAnsi="宋体" w:eastAsia="仿宋_GB2312" w:cs="宋体"/>
                <w:b/>
                <w:bCs/>
                <w:color w:val="000000"/>
                <w:kern w:val="0"/>
                <w:sz w:val="24"/>
                <w:szCs w:val="24"/>
              </w:rPr>
              <w:t>约定</w:t>
            </w:r>
          </w:p>
        </w:tc>
        <w:tc>
          <w:tcPr>
            <w:tcW w:w="3358" w:type="pct"/>
            <w:vAlign w:val="center"/>
          </w:tcPr>
          <w:p w14:paraId="25CAE86A">
            <w:pPr>
              <w:adjustRightInd w:val="0"/>
              <w:snapToGrid w:val="0"/>
              <w:rPr>
                <w:rFonts w:ascii="仿宋_GB2312" w:eastAsia="仿宋_GB2312"/>
                <w:kern w:val="0"/>
                <w:sz w:val="24"/>
                <w:szCs w:val="24"/>
              </w:rPr>
            </w:pPr>
            <w:r>
              <w:rPr>
                <w:rFonts w:hint="eastAsia" w:ascii="仿宋_GB2312" w:hAnsi="宋体" w:eastAsia="仿宋_GB2312" w:cs="宋体"/>
                <w:bCs/>
                <w:color w:val="000000"/>
                <w:kern w:val="0"/>
                <w:sz w:val="24"/>
                <w:szCs w:val="24"/>
              </w:rPr>
              <w:t>借贷</w:t>
            </w:r>
            <w:r>
              <w:rPr>
                <w:rFonts w:ascii="仿宋_GB2312" w:hAnsi="宋体" w:eastAsia="仿宋_GB2312" w:cs="宋体"/>
                <w:bCs/>
                <w:color w:val="000000"/>
                <w:kern w:val="0"/>
                <w:sz w:val="24"/>
                <w:szCs w:val="24"/>
              </w:rPr>
              <w:t>双方补充约定，</w:t>
            </w:r>
            <w:r>
              <w:rPr>
                <w:rFonts w:hint="eastAsia" w:ascii="仿宋_GB2312" w:hAnsi="宋体" w:eastAsia="仿宋_GB2312" w:cs="宋体"/>
                <w:bCs/>
                <w:color w:val="000000"/>
                <w:kern w:val="0"/>
                <w:sz w:val="24"/>
                <w:szCs w:val="24"/>
              </w:rPr>
              <w:t>包括质押债券及标的债券的折算标准、费用、风险处置以及借贷违约处置等内容，</w:t>
            </w:r>
            <w:r>
              <w:rPr>
                <w:rFonts w:ascii="仿宋_GB2312" w:hAnsi="宋体" w:eastAsia="仿宋_GB2312" w:cs="宋体"/>
                <w:bCs/>
                <w:color w:val="000000"/>
                <w:kern w:val="0"/>
                <w:sz w:val="24"/>
                <w:szCs w:val="24"/>
              </w:rPr>
              <w:t>如有</w:t>
            </w:r>
          </w:p>
        </w:tc>
      </w:tr>
    </w:tbl>
    <w:p w14:paraId="7FCC9AB1">
      <w:pPr>
        <w:spacing w:line="560" w:lineRule="exact"/>
        <w:ind w:firstLine="600" w:firstLineChars="200"/>
        <w:jc w:val="left"/>
        <w:rPr>
          <w:rFonts w:ascii="仿宋_GB2312" w:hAnsi="宋体" w:eastAsia="仿宋_GB2312" w:cs="宋体"/>
          <w:sz w:val="30"/>
          <w:szCs w:val="30"/>
        </w:rPr>
      </w:pPr>
      <w:r>
        <w:rPr>
          <w:rFonts w:hint="eastAsia" w:ascii="仿宋_GB2312" w:hAnsi="宋体" w:eastAsia="仿宋_GB2312" w:cs="宋体"/>
          <w:sz w:val="30"/>
          <w:szCs w:val="30"/>
        </w:rPr>
        <w:t>2</w:t>
      </w:r>
      <w:r>
        <w:rPr>
          <w:rFonts w:ascii="仿宋_GB2312" w:hAnsi="宋体" w:eastAsia="仿宋_GB2312" w:cs="宋体"/>
          <w:sz w:val="30"/>
          <w:szCs w:val="30"/>
        </w:rPr>
        <w:t>）</w:t>
      </w:r>
      <w:r>
        <w:rPr>
          <w:rFonts w:hint="eastAsia" w:ascii="仿宋_GB2312" w:hAnsi="宋体" w:eastAsia="仿宋_GB2312" w:cs="宋体"/>
          <w:sz w:val="30"/>
          <w:szCs w:val="30"/>
        </w:rPr>
        <w:t>到期结算</w:t>
      </w:r>
    </w:p>
    <w:p w14:paraId="53EF454F">
      <w:pPr>
        <w:spacing w:line="560" w:lineRule="exact"/>
        <w:ind w:firstLine="600"/>
        <w:rPr>
          <w:rFonts w:ascii="仿宋_GB2312" w:hAnsi="宋体" w:eastAsia="仿宋_GB2312" w:cs="宋体"/>
          <w:sz w:val="30"/>
          <w:szCs w:val="30"/>
        </w:rPr>
      </w:pPr>
      <w:r>
        <w:rPr>
          <w:rFonts w:hint="eastAsia" w:ascii="仿宋_GB2312" w:hAnsi="宋体" w:eastAsia="仿宋_GB2312" w:cs="宋体"/>
          <w:sz w:val="30"/>
          <w:szCs w:val="30"/>
        </w:rPr>
        <w:t>到期债券结算的，债券借入方应对当日到期的债券借贷提交到期债券结算申报，选择</w:t>
      </w:r>
      <w:r>
        <w:rPr>
          <w:rFonts w:ascii="仿宋_GB2312" w:hAnsi="宋体" w:eastAsia="仿宋_GB2312" w:cs="宋体"/>
          <w:sz w:val="30"/>
          <w:szCs w:val="30"/>
        </w:rPr>
        <w:t>场内结算的</w:t>
      </w:r>
      <w:r>
        <w:rPr>
          <w:rFonts w:hint="eastAsia" w:ascii="仿宋_GB2312" w:hAnsi="宋体" w:eastAsia="仿宋_GB2312" w:cs="宋体"/>
          <w:sz w:val="30"/>
          <w:szCs w:val="30"/>
        </w:rPr>
        <w:t>，无需债券借出方确认；选择场外结算，需借出方确认。</w:t>
      </w:r>
    </w:p>
    <w:p w14:paraId="69605175">
      <w:pPr>
        <w:spacing w:line="560" w:lineRule="exact"/>
        <w:ind w:firstLine="600"/>
        <w:rPr>
          <w:rFonts w:ascii="仿宋_GB2312" w:hAnsi="宋体" w:eastAsia="仿宋_GB2312" w:cs="宋体"/>
          <w:sz w:val="30"/>
          <w:szCs w:val="30"/>
        </w:rPr>
      </w:pPr>
      <w:r>
        <w:rPr>
          <w:rFonts w:hint="eastAsia" w:ascii="仿宋_GB2312" w:hAnsi="宋体" w:eastAsia="仿宋_GB2312" w:cs="宋体"/>
          <w:sz w:val="30"/>
          <w:szCs w:val="30"/>
        </w:rPr>
        <w:t>到期现金结算或到期部分现金结算的，债券借入方应对当日到期的债券借贷提交到期现金结算申报或到期部分现金结算申报，并由债券借出方确认。</w:t>
      </w:r>
    </w:p>
    <w:tbl>
      <w:tblPr>
        <w:tblStyle w:val="43"/>
        <w:tblW w:w="0" w:type="auto"/>
        <w:tblInd w:w="-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12"/>
        <w:gridCol w:w="5466"/>
      </w:tblGrid>
      <w:tr w14:paraId="12754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2" w:type="dxa"/>
          </w:tcPr>
          <w:p w14:paraId="60ED6048">
            <w:pPr>
              <w:adjustRightInd w:val="0"/>
              <w:snapToGrid w:val="0"/>
              <w:rPr>
                <w:rFonts w:ascii="仿宋_GB2312" w:eastAsia="仿宋_GB2312"/>
                <w:b/>
                <w:kern w:val="0"/>
                <w:sz w:val="24"/>
                <w:szCs w:val="24"/>
              </w:rPr>
            </w:pPr>
            <w:r>
              <w:rPr>
                <w:rFonts w:hint="eastAsia" w:ascii="仿宋_GB2312" w:eastAsia="仿宋_GB2312"/>
                <w:b/>
                <w:kern w:val="0"/>
                <w:sz w:val="24"/>
                <w:szCs w:val="24"/>
              </w:rPr>
              <w:t>要素名称</w:t>
            </w:r>
          </w:p>
        </w:tc>
        <w:tc>
          <w:tcPr>
            <w:tcW w:w="5466" w:type="dxa"/>
          </w:tcPr>
          <w:p w14:paraId="7DACEF67">
            <w:pPr>
              <w:adjustRightInd w:val="0"/>
              <w:snapToGrid w:val="0"/>
              <w:rPr>
                <w:rFonts w:ascii="仿宋_GB2312" w:eastAsia="仿宋_GB2312"/>
                <w:b/>
                <w:kern w:val="0"/>
                <w:sz w:val="24"/>
                <w:szCs w:val="24"/>
              </w:rPr>
            </w:pPr>
            <w:r>
              <w:rPr>
                <w:rFonts w:hint="eastAsia" w:ascii="仿宋_GB2312" w:eastAsia="仿宋_GB2312"/>
                <w:b/>
                <w:kern w:val="0"/>
                <w:sz w:val="24"/>
                <w:szCs w:val="24"/>
              </w:rPr>
              <w:t>要素说明</w:t>
            </w:r>
          </w:p>
        </w:tc>
      </w:tr>
      <w:tr w14:paraId="3803A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2" w:type="dxa"/>
          </w:tcPr>
          <w:p w14:paraId="249A11A4">
            <w:pPr>
              <w:adjustRightInd w:val="0"/>
              <w:snapToGrid w:val="0"/>
              <w:rPr>
                <w:rFonts w:ascii="仿宋_GB2312" w:eastAsia="仿宋_GB2312"/>
                <w:b/>
                <w:sz w:val="24"/>
                <w:szCs w:val="24"/>
              </w:rPr>
            </w:pPr>
            <w:r>
              <w:rPr>
                <w:rFonts w:hint="eastAsia" w:ascii="仿宋_GB2312" w:eastAsia="仿宋_GB2312"/>
                <w:b/>
                <w:sz w:val="24"/>
                <w:szCs w:val="24"/>
              </w:rPr>
              <w:t>到期</w:t>
            </w:r>
            <w:r>
              <w:rPr>
                <w:rFonts w:ascii="仿宋_GB2312" w:eastAsia="仿宋_GB2312"/>
                <w:b/>
                <w:sz w:val="24"/>
                <w:szCs w:val="24"/>
              </w:rPr>
              <w:t>结算方式</w:t>
            </w:r>
          </w:p>
        </w:tc>
        <w:tc>
          <w:tcPr>
            <w:tcW w:w="5466" w:type="dxa"/>
            <w:vAlign w:val="center"/>
          </w:tcPr>
          <w:p w14:paraId="1F4F82D6">
            <w:pPr>
              <w:adjustRightInd w:val="0"/>
              <w:snapToGrid w:val="0"/>
              <w:rPr>
                <w:rFonts w:ascii="仿宋_GB2312" w:eastAsia="仿宋_GB2312"/>
                <w:kern w:val="0"/>
                <w:sz w:val="24"/>
                <w:szCs w:val="24"/>
              </w:rPr>
            </w:pPr>
            <w:r>
              <w:rPr>
                <w:rFonts w:hint="eastAsia" w:ascii="仿宋_GB2312" w:eastAsia="仿宋_GB2312"/>
                <w:kern w:val="0"/>
                <w:sz w:val="24"/>
                <w:szCs w:val="24"/>
              </w:rPr>
              <w:t>可选“到期</w:t>
            </w:r>
            <w:r>
              <w:rPr>
                <w:rFonts w:ascii="仿宋_GB2312" w:eastAsia="仿宋_GB2312"/>
                <w:kern w:val="0"/>
                <w:sz w:val="24"/>
                <w:szCs w:val="24"/>
              </w:rPr>
              <w:t>债券结算</w:t>
            </w:r>
            <w:r>
              <w:rPr>
                <w:rFonts w:hint="eastAsia" w:ascii="仿宋_GB2312" w:eastAsia="仿宋_GB2312"/>
                <w:kern w:val="0"/>
                <w:sz w:val="24"/>
                <w:szCs w:val="24"/>
              </w:rPr>
              <w:t>”、“</w:t>
            </w:r>
            <w:r>
              <w:rPr>
                <w:rFonts w:ascii="仿宋_GB2312" w:eastAsia="仿宋_GB2312"/>
                <w:kern w:val="0"/>
                <w:sz w:val="24"/>
                <w:szCs w:val="24"/>
              </w:rPr>
              <w:t>到期</w:t>
            </w:r>
            <w:r>
              <w:rPr>
                <w:rFonts w:hint="eastAsia" w:ascii="仿宋_GB2312" w:eastAsia="仿宋_GB2312"/>
                <w:kern w:val="0"/>
                <w:sz w:val="24"/>
                <w:szCs w:val="24"/>
              </w:rPr>
              <w:t>现金</w:t>
            </w:r>
            <w:r>
              <w:rPr>
                <w:rFonts w:ascii="仿宋_GB2312" w:eastAsia="仿宋_GB2312"/>
                <w:kern w:val="0"/>
                <w:sz w:val="24"/>
                <w:szCs w:val="24"/>
              </w:rPr>
              <w:t>结算</w:t>
            </w:r>
            <w:r>
              <w:rPr>
                <w:rFonts w:hint="eastAsia" w:ascii="仿宋_GB2312" w:eastAsia="仿宋_GB2312"/>
                <w:kern w:val="0"/>
                <w:sz w:val="24"/>
                <w:szCs w:val="24"/>
              </w:rPr>
              <w:t>”或“</w:t>
            </w:r>
            <w:r>
              <w:rPr>
                <w:rFonts w:ascii="仿宋_GB2312" w:eastAsia="仿宋_GB2312"/>
                <w:kern w:val="0"/>
                <w:sz w:val="24"/>
                <w:szCs w:val="24"/>
              </w:rPr>
              <w:t>到期</w:t>
            </w:r>
            <w:r>
              <w:rPr>
                <w:rFonts w:hint="eastAsia" w:ascii="仿宋_GB2312" w:eastAsia="仿宋_GB2312"/>
                <w:kern w:val="0"/>
                <w:sz w:val="24"/>
                <w:szCs w:val="24"/>
              </w:rPr>
              <w:t>部分现金</w:t>
            </w:r>
            <w:r>
              <w:rPr>
                <w:rFonts w:ascii="仿宋_GB2312" w:eastAsia="仿宋_GB2312"/>
                <w:kern w:val="0"/>
                <w:sz w:val="24"/>
                <w:szCs w:val="24"/>
              </w:rPr>
              <w:t>结算</w:t>
            </w:r>
            <w:r>
              <w:rPr>
                <w:rFonts w:hint="eastAsia" w:ascii="仿宋_GB2312" w:eastAsia="仿宋_GB2312"/>
                <w:kern w:val="0"/>
                <w:sz w:val="24"/>
                <w:szCs w:val="24"/>
              </w:rPr>
              <w:t>”。</w:t>
            </w:r>
            <w:r>
              <w:rPr>
                <w:rFonts w:ascii="仿宋_GB2312" w:eastAsia="仿宋_GB2312"/>
                <w:kern w:val="0"/>
                <w:sz w:val="24"/>
                <w:szCs w:val="24"/>
              </w:rPr>
              <w:t xml:space="preserve"> </w:t>
            </w:r>
          </w:p>
          <w:p w14:paraId="58CCAF24">
            <w:pPr>
              <w:adjustRightInd w:val="0"/>
              <w:snapToGrid w:val="0"/>
              <w:rPr>
                <w:rFonts w:ascii="仿宋_GB2312" w:eastAsia="仿宋_GB2312"/>
                <w:kern w:val="0"/>
                <w:sz w:val="24"/>
                <w:szCs w:val="24"/>
              </w:rPr>
            </w:pPr>
            <w:r>
              <w:rPr>
                <w:rFonts w:hint="eastAsia" w:ascii="仿宋_GB2312" w:eastAsia="仿宋_GB2312"/>
                <w:kern w:val="0"/>
                <w:sz w:val="24"/>
                <w:szCs w:val="24"/>
              </w:rPr>
              <w:t>【到期现金结算】，进入申报界面，填写“现金结算金额”。</w:t>
            </w:r>
            <w:r>
              <w:rPr>
                <w:rFonts w:ascii="仿宋_GB2312" w:eastAsia="仿宋_GB2312"/>
                <w:kern w:val="0"/>
                <w:sz w:val="24"/>
                <w:szCs w:val="24"/>
              </w:rPr>
              <w:t xml:space="preserve"> </w:t>
            </w:r>
          </w:p>
          <w:p w14:paraId="55C6434D">
            <w:pPr>
              <w:adjustRightInd w:val="0"/>
              <w:snapToGrid w:val="0"/>
              <w:rPr>
                <w:rFonts w:ascii="Arial" w:hAnsi="Arial" w:cs="Arial"/>
                <w:color w:val="0000FF"/>
                <w:sz w:val="20"/>
                <w:szCs w:val="20"/>
              </w:rPr>
            </w:pPr>
            <w:r>
              <w:rPr>
                <w:rFonts w:hint="eastAsia" w:ascii="仿宋_GB2312" w:eastAsia="仿宋_GB2312"/>
                <w:kern w:val="0"/>
                <w:sz w:val="24"/>
                <w:szCs w:val="24"/>
              </w:rPr>
              <w:t>【到期部分现金结算】，进入申报界面，带出原成交单，填写“部分现金结算金额”，填写“标的债券归还总面额”。</w:t>
            </w:r>
          </w:p>
        </w:tc>
      </w:tr>
      <w:tr w14:paraId="69A6C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2" w:type="dxa"/>
          </w:tcPr>
          <w:p w14:paraId="1EDA55A8">
            <w:pPr>
              <w:adjustRightInd w:val="0"/>
              <w:snapToGrid w:val="0"/>
              <w:rPr>
                <w:rFonts w:ascii="仿宋_GB2312" w:eastAsia="仿宋_GB2312"/>
                <w:b/>
                <w:sz w:val="24"/>
                <w:szCs w:val="24"/>
              </w:rPr>
            </w:pPr>
            <w:r>
              <w:rPr>
                <w:rFonts w:hint="eastAsia" w:ascii="仿宋_GB2312" w:eastAsia="仿宋_GB2312"/>
                <w:b/>
                <w:kern w:val="0"/>
                <w:sz w:val="24"/>
                <w:szCs w:val="24"/>
              </w:rPr>
              <w:t>资金结算方式</w:t>
            </w:r>
          </w:p>
        </w:tc>
        <w:tc>
          <w:tcPr>
            <w:tcW w:w="5466" w:type="dxa"/>
            <w:vAlign w:val="center"/>
          </w:tcPr>
          <w:p w14:paraId="66D9E364">
            <w:pPr>
              <w:adjustRightInd w:val="0"/>
              <w:snapToGrid w:val="0"/>
              <w:rPr>
                <w:rFonts w:ascii="仿宋_GB2312" w:hAnsi="宋体" w:eastAsia="仿宋_GB2312" w:cs="宋体"/>
                <w:bCs/>
                <w:color w:val="000000"/>
                <w:kern w:val="0"/>
                <w:sz w:val="24"/>
                <w:szCs w:val="24"/>
              </w:rPr>
            </w:pPr>
            <w:r>
              <w:rPr>
                <w:rFonts w:hint="eastAsia" w:ascii="仿宋_GB2312" w:hAnsi="宋体" w:eastAsia="仿宋_GB2312" w:cs="宋体"/>
                <w:bCs/>
                <w:color w:val="000000"/>
                <w:kern w:val="0"/>
                <w:sz w:val="24"/>
                <w:szCs w:val="24"/>
              </w:rPr>
              <w:t>资金结算方式下拉选择</w:t>
            </w:r>
            <w:r>
              <w:rPr>
                <w:rFonts w:ascii="仿宋_GB2312" w:hAnsi="宋体" w:eastAsia="仿宋_GB2312" w:cs="宋体"/>
                <w:bCs/>
                <w:color w:val="000000"/>
                <w:kern w:val="0"/>
                <w:sz w:val="24"/>
                <w:szCs w:val="24"/>
              </w:rPr>
              <w:t>“</w:t>
            </w:r>
            <w:r>
              <w:rPr>
                <w:rFonts w:hint="eastAsia" w:ascii="仿宋_GB2312" w:hAnsi="宋体" w:eastAsia="仿宋_GB2312" w:cs="宋体"/>
                <w:bCs/>
                <w:color w:val="000000"/>
                <w:kern w:val="0"/>
                <w:sz w:val="24"/>
                <w:szCs w:val="24"/>
              </w:rPr>
              <w:t>场内结算</w:t>
            </w:r>
            <w:r>
              <w:rPr>
                <w:rFonts w:ascii="仿宋_GB2312" w:hAnsi="宋体" w:eastAsia="仿宋_GB2312" w:cs="宋体"/>
                <w:bCs/>
                <w:color w:val="000000"/>
                <w:kern w:val="0"/>
                <w:sz w:val="24"/>
                <w:szCs w:val="24"/>
              </w:rPr>
              <w:t>”</w:t>
            </w:r>
            <w:r>
              <w:rPr>
                <w:rFonts w:hint="eastAsia" w:ascii="仿宋_GB2312" w:hAnsi="宋体" w:eastAsia="仿宋_GB2312" w:cs="宋体"/>
                <w:bCs/>
                <w:color w:val="000000"/>
                <w:kern w:val="0"/>
                <w:sz w:val="24"/>
                <w:szCs w:val="24"/>
              </w:rPr>
              <w:t>或</w:t>
            </w:r>
            <w:r>
              <w:rPr>
                <w:rFonts w:ascii="仿宋_GB2312" w:hAnsi="宋体" w:eastAsia="仿宋_GB2312" w:cs="宋体"/>
                <w:bCs/>
                <w:color w:val="000000"/>
                <w:kern w:val="0"/>
                <w:sz w:val="24"/>
                <w:szCs w:val="24"/>
              </w:rPr>
              <w:t>“</w:t>
            </w:r>
            <w:r>
              <w:rPr>
                <w:rFonts w:hint="eastAsia" w:ascii="仿宋_GB2312" w:hAnsi="宋体" w:eastAsia="仿宋_GB2312" w:cs="宋体"/>
                <w:bCs/>
                <w:color w:val="000000"/>
                <w:kern w:val="0"/>
                <w:sz w:val="24"/>
                <w:szCs w:val="24"/>
              </w:rPr>
              <w:t>场外结算</w:t>
            </w:r>
            <w:r>
              <w:rPr>
                <w:rFonts w:ascii="仿宋_GB2312" w:hAnsi="宋体" w:eastAsia="仿宋_GB2312" w:cs="宋体"/>
                <w:bCs/>
                <w:color w:val="000000"/>
                <w:kern w:val="0"/>
                <w:sz w:val="24"/>
                <w:szCs w:val="24"/>
              </w:rPr>
              <w:t>”</w:t>
            </w:r>
            <w:r>
              <w:rPr>
                <w:rFonts w:hint="eastAsia" w:ascii="仿宋_GB2312" w:hAnsi="宋体" w:eastAsia="仿宋_GB2312" w:cs="宋体"/>
                <w:bCs/>
                <w:color w:val="000000"/>
                <w:kern w:val="0"/>
                <w:sz w:val="24"/>
                <w:szCs w:val="24"/>
              </w:rPr>
              <w:t>。选择场外结算的时候，需输入资金账户。</w:t>
            </w:r>
          </w:p>
        </w:tc>
      </w:tr>
      <w:tr w14:paraId="217F8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912" w:type="dxa"/>
          </w:tcPr>
          <w:p w14:paraId="61DB7ED3">
            <w:pPr>
              <w:adjustRightInd w:val="0"/>
              <w:snapToGrid w:val="0"/>
              <w:rPr>
                <w:rFonts w:ascii="仿宋_GB2312" w:eastAsia="仿宋_GB2312"/>
                <w:b/>
                <w:kern w:val="0"/>
                <w:sz w:val="24"/>
                <w:szCs w:val="24"/>
              </w:rPr>
            </w:pPr>
            <w:r>
              <w:rPr>
                <w:rFonts w:hint="eastAsia" w:ascii="仿宋_GB2312" w:eastAsia="仿宋_GB2312"/>
                <w:b/>
                <w:kern w:val="0"/>
                <w:sz w:val="24"/>
                <w:szCs w:val="24"/>
              </w:rPr>
              <w:t>借入方资金账户</w:t>
            </w:r>
          </w:p>
        </w:tc>
        <w:tc>
          <w:tcPr>
            <w:tcW w:w="5466" w:type="dxa"/>
            <w:vAlign w:val="center"/>
          </w:tcPr>
          <w:p w14:paraId="3451A3BE">
            <w:pPr>
              <w:adjustRightInd w:val="0"/>
              <w:snapToGrid w:val="0"/>
              <w:rPr>
                <w:rFonts w:ascii="仿宋_GB2312" w:hAnsi="宋体" w:eastAsia="仿宋_GB2312" w:cs="宋体"/>
                <w:bCs/>
                <w:color w:val="000000"/>
                <w:kern w:val="0"/>
                <w:sz w:val="24"/>
                <w:szCs w:val="24"/>
              </w:rPr>
            </w:pPr>
            <w:r>
              <w:rPr>
                <w:rFonts w:hint="eastAsia" w:ascii="仿宋_GB2312" w:eastAsia="仿宋_GB2312"/>
                <w:kern w:val="0"/>
                <w:sz w:val="24"/>
                <w:szCs w:val="24"/>
              </w:rPr>
              <w:t>借入方资金账户与名称。</w:t>
            </w:r>
          </w:p>
        </w:tc>
      </w:tr>
      <w:tr w14:paraId="39446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2" w:type="dxa"/>
          </w:tcPr>
          <w:p w14:paraId="27556CD2">
            <w:pPr>
              <w:adjustRightInd w:val="0"/>
              <w:snapToGrid w:val="0"/>
              <w:rPr>
                <w:rFonts w:ascii="仿宋_GB2312" w:eastAsia="仿宋_GB2312"/>
                <w:b/>
                <w:kern w:val="0"/>
                <w:sz w:val="24"/>
                <w:szCs w:val="24"/>
              </w:rPr>
            </w:pPr>
            <w:r>
              <w:rPr>
                <w:rFonts w:hint="eastAsia" w:ascii="仿宋_GB2312" w:eastAsia="仿宋_GB2312"/>
                <w:b/>
                <w:kern w:val="0"/>
                <w:sz w:val="24"/>
                <w:szCs w:val="24"/>
              </w:rPr>
              <w:t>借出方资金账户</w:t>
            </w:r>
          </w:p>
        </w:tc>
        <w:tc>
          <w:tcPr>
            <w:tcW w:w="5466" w:type="dxa"/>
            <w:vAlign w:val="center"/>
          </w:tcPr>
          <w:p w14:paraId="30DDAAA6">
            <w:pPr>
              <w:adjustRightInd w:val="0"/>
              <w:snapToGrid w:val="0"/>
              <w:rPr>
                <w:rFonts w:ascii="仿宋_GB2312" w:hAnsi="宋体" w:eastAsia="仿宋_GB2312" w:cs="宋体"/>
                <w:bCs/>
                <w:color w:val="000000"/>
                <w:kern w:val="0"/>
                <w:sz w:val="24"/>
                <w:szCs w:val="24"/>
              </w:rPr>
            </w:pPr>
            <w:r>
              <w:rPr>
                <w:rFonts w:hint="eastAsia" w:ascii="仿宋_GB2312" w:eastAsia="仿宋_GB2312"/>
                <w:sz w:val="24"/>
                <w:szCs w:val="24"/>
              </w:rPr>
              <w:t>选择场外结算的时候，借出方也需填写资金账户与名称</w:t>
            </w:r>
            <w:r>
              <w:rPr>
                <w:rFonts w:hint="eastAsia" w:ascii="仿宋_GB2312" w:hAnsi="宋体" w:eastAsia="仿宋_GB2312" w:cs="宋体"/>
                <w:bCs/>
                <w:color w:val="000000"/>
                <w:kern w:val="0"/>
                <w:sz w:val="24"/>
                <w:szCs w:val="24"/>
              </w:rPr>
              <w:t>，</w:t>
            </w:r>
            <w:r>
              <w:rPr>
                <w:rFonts w:hint="eastAsia" w:ascii="仿宋_GB2312" w:eastAsia="仿宋_GB2312"/>
                <w:sz w:val="24"/>
                <w:szCs w:val="24"/>
              </w:rPr>
              <w:t>借出方</w:t>
            </w:r>
            <w:r>
              <w:rPr>
                <w:rFonts w:ascii="仿宋_GB2312" w:hAnsi="宋体" w:eastAsia="仿宋_GB2312" w:cs="宋体"/>
                <w:bCs/>
                <w:color w:val="000000"/>
                <w:kern w:val="0"/>
                <w:sz w:val="24"/>
                <w:szCs w:val="24"/>
              </w:rPr>
              <w:t>确认时录入</w:t>
            </w:r>
            <w:r>
              <w:rPr>
                <w:rFonts w:hint="eastAsia" w:ascii="仿宋_GB2312" w:eastAsia="仿宋_GB2312"/>
                <w:kern w:val="0"/>
                <w:sz w:val="24"/>
                <w:szCs w:val="24"/>
              </w:rPr>
              <w:t>。</w:t>
            </w:r>
          </w:p>
        </w:tc>
      </w:tr>
    </w:tbl>
    <w:p w14:paraId="5DF0A26D">
      <w:pPr>
        <w:spacing w:line="560" w:lineRule="exact"/>
        <w:ind w:firstLine="602" w:firstLineChars="200"/>
        <w:jc w:val="left"/>
        <w:rPr>
          <w:rFonts w:ascii="仿宋_GB2312" w:eastAsia="仿宋_GB2312"/>
          <w:b/>
          <w:sz w:val="30"/>
          <w:szCs w:val="30"/>
        </w:rPr>
      </w:pPr>
      <w:r>
        <w:rPr>
          <w:rFonts w:hint="eastAsia" w:ascii="仿宋_GB2312" w:eastAsia="仿宋_GB2312"/>
          <w:b/>
          <w:sz w:val="30"/>
          <w:szCs w:val="30"/>
        </w:rPr>
        <w:t>（</w:t>
      </w:r>
      <w:r>
        <w:rPr>
          <w:rFonts w:ascii="仿宋_GB2312" w:eastAsia="仿宋_GB2312"/>
          <w:b/>
          <w:sz w:val="30"/>
          <w:szCs w:val="30"/>
        </w:rPr>
        <w:t>4</w:t>
      </w:r>
      <w:r>
        <w:rPr>
          <w:rFonts w:hint="eastAsia" w:ascii="仿宋_GB2312" w:eastAsia="仿宋_GB2312"/>
          <w:b/>
          <w:sz w:val="30"/>
          <w:szCs w:val="30"/>
        </w:rPr>
        <w:t>）其他</w:t>
      </w:r>
    </w:p>
    <w:p w14:paraId="6764ACA9">
      <w:pPr>
        <w:spacing w:line="560" w:lineRule="exact"/>
        <w:ind w:firstLine="600" w:firstLineChars="200"/>
        <w:outlineLvl w:val="9"/>
        <w:rPr>
          <w:rFonts w:ascii="仿宋_GB2312" w:hAnsi="宋体" w:eastAsia="仿宋_GB2312" w:cs="宋体"/>
          <w:sz w:val="30"/>
          <w:szCs w:val="30"/>
        </w:rPr>
      </w:pPr>
      <w:r>
        <w:rPr>
          <w:rFonts w:hint="eastAsia" w:ascii="仿宋_GB2312" w:hAnsi="宋体" w:eastAsia="仿宋_GB2312" w:cs="宋体"/>
          <w:sz w:val="30"/>
          <w:szCs w:val="30"/>
        </w:rPr>
        <w:t>债券借入方针对已过期合约可以发起逾期结算申报，并由债券借出方确认。交易系统根据申报当日自动计算新的借贷期限，借贷费用由双方自行协商。逾期结算可选择债券结算、现金结算、部分现金结算。到期费用可选择场内结算、场外结算。</w:t>
      </w:r>
    </w:p>
    <w:tbl>
      <w:tblPr>
        <w:tblStyle w:val="43"/>
        <w:tblW w:w="8724" w:type="dxa"/>
        <w:tblInd w:w="-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45"/>
        <w:gridCol w:w="6379"/>
      </w:tblGrid>
      <w:tr w14:paraId="51F51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45" w:type="dxa"/>
          </w:tcPr>
          <w:p w14:paraId="2D72ED07">
            <w:pPr>
              <w:adjustRightInd w:val="0"/>
              <w:snapToGrid w:val="0"/>
              <w:rPr>
                <w:rFonts w:ascii="仿宋_GB2312" w:eastAsia="仿宋_GB2312"/>
                <w:b/>
                <w:kern w:val="0"/>
                <w:sz w:val="24"/>
                <w:szCs w:val="24"/>
              </w:rPr>
            </w:pPr>
            <w:r>
              <w:rPr>
                <w:rFonts w:hint="eastAsia" w:ascii="仿宋_GB2312" w:eastAsia="仿宋_GB2312"/>
                <w:b/>
                <w:kern w:val="0"/>
                <w:sz w:val="24"/>
                <w:szCs w:val="24"/>
              </w:rPr>
              <w:t>要素名称</w:t>
            </w:r>
          </w:p>
        </w:tc>
        <w:tc>
          <w:tcPr>
            <w:tcW w:w="6379" w:type="dxa"/>
          </w:tcPr>
          <w:p w14:paraId="5ED8C3C0">
            <w:pPr>
              <w:adjustRightInd w:val="0"/>
              <w:snapToGrid w:val="0"/>
              <w:rPr>
                <w:rFonts w:ascii="仿宋_GB2312" w:eastAsia="仿宋_GB2312"/>
                <w:b/>
                <w:kern w:val="0"/>
                <w:sz w:val="24"/>
                <w:szCs w:val="24"/>
              </w:rPr>
            </w:pPr>
            <w:r>
              <w:rPr>
                <w:rFonts w:hint="eastAsia" w:ascii="仿宋_GB2312" w:eastAsia="仿宋_GB2312"/>
                <w:b/>
                <w:kern w:val="0"/>
                <w:sz w:val="24"/>
                <w:szCs w:val="24"/>
              </w:rPr>
              <w:t>要素说明</w:t>
            </w:r>
          </w:p>
        </w:tc>
      </w:tr>
      <w:tr w14:paraId="276D2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45" w:type="dxa"/>
          </w:tcPr>
          <w:p w14:paraId="510FF962">
            <w:pPr>
              <w:adjustRightInd w:val="0"/>
              <w:snapToGrid w:val="0"/>
              <w:rPr>
                <w:rFonts w:ascii="仿宋_GB2312" w:eastAsia="仿宋_GB2312"/>
                <w:b/>
                <w:kern w:val="0"/>
                <w:sz w:val="24"/>
                <w:szCs w:val="24"/>
              </w:rPr>
            </w:pPr>
            <w:r>
              <w:rPr>
                <w:rFonts w:hint="eastAsia" w:ascii="仿宋_GB2312" w:eastAsia="仿宋_GB2312"/>
                <w:b/>
                <w:kern w:val="0"/>
                <w:sz w:val="24"/>
                <w:szCs w:val="24"/>
              </w:rPr>
              <w:t>实际结算日</w:t>
            </w:r>
          </w:p>
        </w:tc>
        <w:tc>
          <w:tcPr>
            <w:tcW w:w="6379" w:type="dxa"/>
          </w:tcPr>
          <w:p w14:paraId="0A62C2B5">
            <w:pPr>
              <w:adjustRightInd w:val="0"/>
              <w:snapToGrid w:val="0"/>
              <w:rPr>
                <w:rFonts w:ascii="仿宋_GB2312" w:eastAsia="仿宋_GB2312"/>
                <w:kern w:val="0"/>
                <w:sz w:val="24"/>
                <w:szCs w:val="24"/>
              </w:rPr>
            </w:pPr>
            <w:r>
              <w:rPr>
                <w:rFonts w:hint="eastAsia" w:ascii="仿宋_GB2312" w:eastAsia="仿宋_GB2312"/>
                <w:kern w:val="0"/>
                <w:sz w:val="24"/>
                <w:szCs w:val="24"/>
              </w:rPr>
              <w:t>自动显示，无需输入。</w:t>
            </w:r>
          </w:p>
        </w:tc>
      </w:tr>
      <w:tr w14:paraId="5E944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45" w:type="dxa"/>
          </w:tcPr>
          <w:p w14:paraId="7566E4B2">
            <w:pPr>
              <w:adjustRightInd w:val="0"/>
              <w:snapToGrid w:val="0"/>
              <w:rPr>
                <w:rFonts w:ascii="仿宋_GB2312" w:eastAsia="仿宋_GB2312"/>
                <w:b/>
                <w:kern w:val="0"/>
                <w:sz w:val="24"/>
                <w:szCs w:val="24"/>
              </w:rPr>
            </w:pPr>
            <w:r>
              <w:rPr>
                <w:rFonts w:hint="eastAsia" w:ascii="仿宋_GB2312" w:eastAsia="仿宋_GB2312"/>
                <w:b/>
                <w:kern w:val="0"/>
                <w:sz w:val="24"/>
                <w:szCs w:val="24"/>
              </w:rPr>
              <w:t>实际期限</w:t>
            </w:r>
          </w:p>
        </w:tc>
        <w:tc>
          <w:tcPr>
            <w:tcW w:w="6379" w:type="dxa"/>
          </w:tcPr>
          <w:p w14:paraId="5670C456">
            <w:pPr>
              <w:adjustRightInd w:val="0"/>
              <w:snapToGrid w:val="0"/>
              <w:rPr>
                <w:rFonts w:ascii="仿宋_GB2312" w:eastAsia="仿宋_GB2312"/>
                <w:kern w:val="0"/>
                <w:sz w:val="24"/>
                <w:szCs w:val="24"/>
              </w:rPr>
            </w:pPr>
            <w:r>
              <w:rPr>
                <w:rFonts w:hint="eastAsia" w:ascii="仿宋_GB2312" w:eastAsia="仿宋_GB2312"/>
                <w:kern w:val="0"/>
                <w:sz w:val="24"/>
                <w:szCs w:val="24"/>
              </w:rPr>
              <w:t>交易系统根据申报当日自动计算新的借贷期限</w:t>
            </w:r>
          </w:p>
        </w:tc>
      </w:tr>
      <w:tr w14:paraId="011F0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45" w:type="dxa"/>
          </w:tcPr>
          <w:p w14:paraId="34456197">
            <w:pPr>
              <w:adjustRightInd w:val="0"/>
              <w:snapToGrid w:val="0"/>
              <w:rPr>
                <w:rFonts w:ascii="仿宋_GB2312" w:eastAsia="仿宋_GB2312"/>
                <w:b/>
                <w:kern w:val="0"/>
                <w:sz w:val="24"/>
                <w:szCs w:val="24"/>
              </w:rPr>
            </w:pPr>
            <w:r>
              <w:rPr>
                <w:rFonts w:hint="eastAsia" w:ascii="仿宋_GB2312" w:eastAsia="仿宋_GB2312"/>
                <w:b/>
                <w:kern w:val="0"/>
                <w:sz w:val="24"/>
                <w:szCs w:val="24"/>
              </w:rPr>
              <w:t>实际借贷费用</w:t>
            </w:r>
          </w:p>
        </w:tc>
        <w:tc>
          <w:tcPr>
            <w:tcW w:w="6379" w:type="dxa"/>
          </w:tcPr>
          <w:p w14:paraId="36DA7E4C">
            <w:pPr>
              <w:adjustRightInd w:val="0"/>
              <w:snapToGrid w:val="0"/>
              <w:rPr>
                <w:rFonts w:ascii="仿宋_GB2312" w:eastAsia="仿宋_GB2312"/>
                <w:kern w:val="0"/>
                <w:sz w:val="24"/>
                <w:szCs w:val="24"/>
              </w:rPr>
            </w:pPr>
            <w:r>
              <w:rPr>
                <w:rFonts w:hint="eastAsia" w:ascii="仿宋_GB2312" w:eastAsia="仿宋_GB2312"/>
                <w:kern w:val="0"/>
                <w:sz w:val="24"/>
                <w:szCs w:val="24"/>
              </w:rPr>
              <w:t>债券借入方实际付给债券借出方的借贷费用，双方自行协商</w:t>
            </w:r>
          </w:p>
        </w:tc>
      </w:tr>
      <w:tr w14:paraId="45034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45" w:type="dxa"/>
          </w:tcPr>
          <w:p w14:paraId="28BD0C8B">
            <w:pPr>
              <w:adjustRightInd w:val="0"/>
              <w:snapToGrid w:val="0"/>
              <w:rPr>
                <w:rFonts w:ascii="仿宋_GB2312" w:eastAsia="仿宋_GB2312"/>
                <w:b/>
                <w:kern w:val="0"/>
                <w:sz w:val="24"/>
                <w:szCs w:val="24"/>
              </w:rPr>
            </w:pPr>
            <w:r>
              <w:rPr>
                <w:rFonts w:hint="eastAsia" w:ascii="仿宋_GB2312" w:eastAsia="仿宋_GB2312"/>
                <w:b/>
                <w:kern w:val="0"/>
                <w:sz w:val="24"/>
                <w:szCs w:val="24"/>
              </w:rPr>
              <w:t>逾期结算</w:t>
            </w:r>
            <w:r>
              <w:rPr>
                <w:rFonts w:ascii="仿宋_GB2312" w:eastAsia="仿宋_GB2312"/>
                <w:b/>
                <w:kern w:val="0"/>
                <w:sz w:val="24"/>
                <w:szCs w:val="24"/>
              </w:rPr>
              <w:t>方式</w:t>
            </w:r>
          </w:p>
        </w:tc>
        <w:tc>
          <w:tcPr>
            <w:tcW w:w="6379" w:type="dxa"/>
          </w:tcPr>
          <w:p w14:paraId="26E5525D">
            <w:pPr>
              <w:adjustRightInd w:val="0"/>
              <w:snapToGrid w:val="0"/>
              <w:rPr>
                <w:rFonts w:ascii="仿宋_GB2312" w:eastAsia="仿宋_GB2312"/>
                <w:kern w:val="0"/>
                <w:sz w:val="24"/>
                <w:szCs w:val="24"/>
              </w:rPr>
            </w:pPr>
            <w:r>
              <w:rPr>
                <w:rFonts w:hint="eastAsia" w:ascii="仿宋_GB2312" w:eastAsia="仿宋_GB2312"/>
                <w:kern w:val="0"/>
                <w:sz w:val="24"/>
                <w:szCs w:val="24"/>
              </w:rPr>
              <w:t>【债券结算】</w:t>
            </w:r>
            <w:r>
              <w:rPr>
                <w:rFonts w:ascii="仿宋_GB2312" w:eastAsia="仿宋_GB2312"/>
                <w:kern w:val="0"/>
                <w:sz w:val="24"/>
                <w:szCs w:val="24"/>
              </w:rPr>
              <w:t>，</w:t>
            </w:r>
            <w:r>
              <w:rPr>
                <w:rFonts w:hint="eastAsia" w:ascii="仿宋_GB2312" w:eastAsia="仿宋_GB2312"/>
                <w:kern w:val="0"/>
                <w:sz w:val="24"/>
                <w:szCs w:val="24"/>
              </w:rPr>
              <w:t>默认</w:t>
            </w:r>
            <w:r>
              <w:rPr>
                <w:rFonts w:ascii="仿宋_GB2312" w:eastAsia="仿宋_GB2312"/>
                <w:kern w:val="0"/>
                <w:sz w:val="24"/>
                <w:szCs w:val="24"/>
              </w:rPr>
              <w:t>RTGS</w:t>
            </w:r>
            <w:r>
              <w:rPr>
                <w:rFonts w:hint="eastAsia" w:ascii="仿宋_GB2312" w:eastAsia="仿宋_GB2312"/>
                <w:kern w:val="0"/>
                <w:sz w:val="24"/>
                <w:szCs w:val="24"/>
              </w:rPr>
              <w:t>。</w:t>
            </w:r>
          </w:p>
          <w:p w14:paraId="2485AEC7">
            <w:pPr>
              <w:adjustRightInd w:val="0"/>
              <w:snapToGrid w:val="0"/>
              <w:rPr>
                <w:rFonts w:ascii="仿宋_GB2312" w:eastAsia="仿宋_GB2312"/>
                <w:kern w:val="0"/>
                <w:sz w:val="24"/>
                <w:szCs w:val="24"/>
              </w:rPr>
            </w:pPr>
            <w:r>
              <w:rPr>
                <w:rFonts w:hint="eastAsia" w:ascii="仿宋_GB2312" w:eastAsia="仿宋_GB2312"/>
                <w:kern w:val="0"/>
                <w:sz w:val="24"/>
                <w:szCs w:val="24"/>
              </w:rPr>
              <w:t>现金结算、部分现金结算，根据结算方式需填写的字段不同。</w:t>
            </w:r>
          </w:p>
          <w:p w14:paraId="36FCA9D7">
            <w:pPr>
              <w:adjustRightInd w:val="0"/>
              <w:snapToGrid w:val="0"/>
              <w:rPr>
                <w:rFonts w:ascii="仿宋_GB2312" w:eastAsia="仿宋_GB2312"/>
                <w:kern w:val="0"/>
                <w:sz w:val="24"/>
                <w:szCs w:val="24"/>
              </w:rPr>
            </w:pPr>
            <w:r>
              <w:rPr>
                <w:rFonts w:hint="eastAsia" w:ascii="仿宋_GB2312" w:eastAsia="仿宋_GB2312"/>
                <w:kern w:val="0"/>
                <w:sz w:val="24"/>
                <w:szCs w:val="24"/>
              </w:rPr>
              <w:t>【到期现金结算】，进入申报界面，填写“现金结算金额”。</w:t>
            </w:r>
            <w:r>
              <w:rPr>
                <w:rFonts w:ascii="仿宋_GB2312" w:eastAsia="仿宋_GB2312"/>
                <w:kern w:val="0"/>
                <w:sz w:val="24"/>
                <w:szCs w:val="24"/>
              </w:rPr>
              <w:t xml:space="preserve"> </w:t>
            </w:r>
          </w:p>
          <w:p w14:paraId="24BB5B88">
            <w:pPr>
              <w:adjustRightInd w:val="0"/>
              <w:snapToGrid w:val="0"/>
              <w:rPr>
                <w:rFonts w:ascii="仿宋_GB2312" w:eastAsia="仿宋_GB2312"/>
                <w:kern w:val="0"/>
                <w:sz w:val="24"/>
                <w:szCs w:val="24"/>
              </w:rPr>
            </w:pPr>
            <w:r>
              <w:rPr>
                <w:rFonts w:hint="eastAsia" w:ascii="仿宋_GB2312" w:eastAsia="仿宋_GB2312"/>
                <w:kern w:val="0"/>
                <w:sz w:val="24"/>
                <w:szCs w:val="24"/>
              </w:rPr>
              <w:t>【到期部分现金结算】，进入申报界面，填写“现金结算金额”，填写“标的债券归还数量”。</w:t>
            </w:r>
          </w:p>
        </w:tc>
      </w:tr>
      <w:tr w14:paraId="28F74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45" w:type="dxa"/>
          </w:tcPr>
          <w:p w14:paraId="057D0DD4">
            <w:pPr>
              <w:adjustRightInd w:val="0"/>
              <w:snapToGrid w:val="0"/>
              <w:rPr>
                <w:rFonts w:ascii="仿宋_GB2312" w:eastAsia="仿宋_GB2312"/>
                <w:b/>
                <w:kern w:val="0"/>
                <w:sz w:val="24"/>
                <w:szCs w:val="24"/>
              </w:rPr>
            </w:pPr>
            <w:r>
              <w:rPr>
                <w:rFonts w:hint="eastAsia" w:ascii="仿宋_GB2312" w:eastAsia="仿宋_GB2312"/>
                <w:b/>
                <w:kern w:val="0"/>
                <w:sz w:val="24"/>
                <w:szCs w:val="24"/>
              </w:rPr>
              <w:t>资金</w:t>
            </w:r>
            <w:r>
              <w:rPr>
                <w:rFonts w:ascii="仿宋_GB2312" w:eastAsia="仿宋_GB2312"/>
                <w:b/>
                <w:kern w:val="0"/>
                <w:sz w:val="24"/>
                <w:szCs w:val="24"/>
              </w:rPr>
              <w:t>结算方式</w:t>
            </w:r>
          </w:p>
        </w:tc>
        <w:tc>
          <w:tcPr>
            <w:tcW w:w="6379" w:type="dxa"/>
          </w:tcPr>
          <w:p w14:paraId="6E0C2572">
            <w:pPr>
              <w:adjustRightInd w:val="0"/>
              <w:snapToGrid w:val="0"/>
              <w:rPr>
                <w:rFonts w:ascii="仿宋_GB2312" w:eastAsia="仿宋_GB2312"/>
                <w:kern w:val="0"/>
                <w:sz w:val="24"/>
                <w:szCs w:val="24"/>
              </w:rPr>
            </w:pPr>
            <w:r>
              <w:rPr>
                <w:rFonts w:hint="eastAsia" w:ascii="仿宋_GB2312" w:eastAsia="仿宋_GB2312"/>
                <w:kern w:val="0"/>
                <w:sz w:val="24"/>
                <w:szCs w:val="24"/>
              </w:rPr>
              <w:t>可</w:t>
            </w:r>
            <w:r>
              <w:rPr>
                <w:rFonts w:ascii="仿宋_GB2312" w:eastAsia="仿宋_GB2312"/>
                <w:kern w:val="0"/>
                <w:sz w:val="24"/>
                <w:szCs w:val="24"/>
              </w:rPr>
              <w:t>勾选场</w:t>
            </w:r>
            <w:r>
              <w:rPr>
                <w:rFonts w:hint="eastAsia" w:ascii="仿宋_GB2312" w:eastAsia="仿宋_GB2312"/>
                <w:kern w:val="0"/>
                <w:sz w:val="24"/>
                <w:szCs w:val="24"/>
              </w:rPr>
              <w:t>内</w:t>
            </w:r>
            <w:r>
              <w:rPr>
                <w:rFonts w:ascii="仿宋_GB2312" w:eastAsia="仿宋_GB2312"/>
                <w:kern w:val="0"/>
                <w:sz w:val="24"/>
                <w:szCs w:val="24"/>
              </w:rPr>
              <w:t>/外结算，</w:t>
            </w:r>
            <w:r>
              <w:rPr>
                <w:rFonts w:hint="eastAsia" w:ascii="仿宋_GB2312" w:eastAsia="仿宋_GB2312"/>
                <w:kern w:val="0"/>
                <w:sz w:val="24"/>
                <w:szCs w:val="24"/>
              </w:rPr>
              <w:t>场内</w:t>
            </w:r>
            <w:r>
              <w:rPr>
                <w:rFonts w:ascii="仿宋_GB2312" w:eastAsia="仿宋_GB2312"/>
                <w:kern w:val="0"/>
                <w:sz w:val="24"/>
                <w:szCs w:val="24"/>
              </w:rPr>
              <w:t>结算的，默认RTGS结算方式</w:t>
            </w:r>
            <w:r>
              <w:rPr>
                <w:rFonts w:hint="eastAsia" w:ascii="仿宋_GB2312" w:eastAsia="仿宋_GB2312"/>
                <w:kern w:val="0"/>
                <w:sz w:val="24"/>
                <w:szCs w:val="24"/>
              </w:rPr>
              <w:t>。资金结算方式选场外结算时，需填写资金账户</w:t>
            </w:r>
          </w:p>
        </w:tc>
      </w:tr>
      <w:tr w14:paraId="2E462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45" w:type="dxa"/>
          </w:tcPr>
          <w:p w14:paraId="751956C2">
            <w:pPr>
              <w:adjustRightInd w:val="0"/>
              <w:snapToGrid w:val="0"/>
              <w:rPr>
                <w:rFonts w:ascii="仿宋_GB2312" w:eastAsia="仿宋_GB2312"/>
                <w:b/>
                <w:kern w:val="0"/>
                <w:sz w:val="24"/>
                <w:szCs w:val="24"/>
              </w:rPr>
            </w:pPr>
            <w:r>
              <w:rPr>
                <w:rFonts w:hint="eastAsia" w:ascii="仿宋_GB2312" w:eastAsia="仿宋_GB2312"/>
                <w:b/>
                <w:sz w:val="24"/>
                <w:szCs w:val="24"/>
              </w:rPr>
              <w:t>借入方资金账户</w:t>
            </w:r>
          </w:p>
        </w:tc>
        <w:tc>
          <w:tcPr>
            <w:tcW w:w="6379" w:type="dxa"/>
            <w:vAlign w:val="center"/>
          </w:tcPr>
          <w:p w14:paraId="5ECEEABD">
            <w:pPr>
              <w:adjustRightInd w:val="0"/>
              <w:snapToGrid w:val="0"/>
              <w:rPr>
                <w:rFonts w:ascii="仿宋_GB2312" w:eastAsia="仿宋_GB2312"/>
                <w:kern w:val="0"/>
                <w:sz w:val="24"/>
                <w:szCs w:val="24"/>
              </w:rPr>
            </w:pPr>
            <w:r>
              <w:rPr>
                <w:rFonts w:hint="eastAsia" w:ascii="仿宋_GB2312" w:eastAsia="仿宋_GB2312"/>
                <w:kern w:val="0"/>
                <w:sz w:val="24"/>
                <w:szCs w:val="24"/>
              </w:rPr>
              <w:t>借入债券机构的资金</w:t>
            </w:r>
            <w:r>
              <w:rPr>
                <w:rFonts w:ascii="仿宋_GB2312" w:eastAsia="仿宋_GB2312"/>
                <w:kern w:val="0"/>
                <w:sz w:val="24"/>
                <w:szCs w:val="24"/>
              </w:rPr>
              <w:t>账户与名称</w:t>
            </w:r>
          </w:p>
        </w:tc>
      </w:tr>
      <w:tr w14:paraId="70505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45" w:type="dxa"/>
          </w:tcPr>
          <w:p w14:paraId="6840D2B1">
            <w:pPr>
              <w:adjustRightInd w:val="0"/>
              <w:snapToGrid w:val="0"/>
              <w:rPr>
                <w:rFonts w:ascii="仿宋_GB2312" w:eastAsia="仿宋_GB2312"/>
                <w:b/>
                <w:sz w:val="24"/>
                <w:szCs w:val="24"/>
              </w:rPr>
            </w:pPr>
            <w:r>
              <w:rPr>
                <w:rFonts w:hint="eastAsia" w:ascii="仿宋_GB2312" w:eastAsia="仿宋_GB2312"/>
                <w:b/>
                <w:sz w:val="24"/>
                <w:szCs w:val="24"/>
              </w:rPr>
              <w:t>借出方资金账户</w:t>
            </w:r>
          </w:p>
        </w:tc>
        <w:tc>
          <w:tcPr>
            <w:tcW w:w="6379" w:type="dxa"/>
            <w:vAlign w:val="center"/>
          </w:tcPr>
          <w:p w14:paraId="3C6CD153">
            <w:pPr>
              <w:adjustRightInd w:val="0"/>
              <w:snapToGrid w:val="0"/>
              <w:rPr>
                <w:rFonts w:ascii="仿宋_GB2312" w:eastAsia="仿宋_GB2312"/>
                <w:kern w:val="0"/>
                <w:sz w:val="24"/>
                <w:szCs w:val="24"/>
              </w:rPr>
            </w:pPr>
            <w:r>
              <w:rPr>
                <w:rFonts w:hint="eastAsia" w:ascii="仿宋_GB2312" w:eastAsia="仿宋_GB2312"/>
                <w:kern w:val="0"/>
                <w:sz w:val="24"/>
                <w:szCs w:val="24"/>
              </w:rPr>
              <w:t>借出债券机构的资金</w:t>
            </w:r>
            <w:r>
              <w:rPr>
                <w:rFonts w:ascii="仿宋_GB2312" w:eastAsia="仿宋_GB2312"/>
                <w:kern w:val="0"/>
                <w:sz w:val="24"/>
                <w:szCs w:val="24"/>
              </w:rPr>
              <w:t>账户与名称</w:t>
            </w:r>
            <w:r>
              <w:rPr>
                <w:rFonts w:hint="eastAsia" w:ascii="仿宋_GB2312" w:eastAsia="仿宋_GB2312"/>
                <w:kern w:val="0"/>
                <w:sz w:val="24"/>
                <w:szCs w:val="24"/>
              </w:rPr>
              <w:t>，对手方</w:t>
            </w:r>
            <w:r>
              <w:rPr>
                <w:rFonts w:ascii="仿宋_GB2312" w:eastAsia="仿宋_GB2312"/>
                <w:kern w:val="0"/>
                <w:sz w:val="24"/>
                <w:szCs w:val="24"/>
              </w:rPr>
              <w:t>确认时录入。</w:t>
            </w:r>
          </w:p>
        </w:tc>
      </w:tr>
    </w:tbl>
    <w:p w14:paraId="6D733973">
      <w:pPr>
        <w:numPr>
          <w:ilvl w:val="2"/>
          <w:numId w:val="4"/>
        </w:numPr>
        <w:spacing w:line="560" w:lineRule="exact"/>
        <w:ind w:left="0" w:firstLine="0"/>
        <w:outlineLvl w:val="2"/>
        <w:rPr>
          <w:rFonts w:ascii="仿宋_GB2312" w:eastAsia="仿宋_GB2312"/>
          <w:b/>
          <w:bCs/>
          <w:sz w:val="30"/>
          <w:szCs w:val="30"/>
        </w:rPr>
      </w:pPr>
      <w:r>
        <w:rPr>
          <w:rFonts w:hint="eastAsia" w:ascii="仿宋_GB2312" w:eastAsia="仿宋_GB2312"/>
          <w:b/>
          <w:bCs/>
          <w:sz w:val="30"/>
          <w:szCs w:val="30"/>
        </w:rPr>
        <w:t>前端控制与用券效率</w:t>
      </w:r>
    </w:p>
    <w:p w14:paraId="3C4CE1DA">
      <w:pPr>
        <w:spacing w:line="560" w:lineRule="exact"/>
        <w:ind w:firstLine="602" w:firstLineChars="200"/>
        <w:outlineLvl w:val="2"/>
        <w:rPr>
          <w:rFonts w:ascii="仿宋_GB2312" w:hAnsi="黑体" w:eastAsia="仿宋_GB2312"/>
          <w:bCs/>
          <w:color w:val="000000" w:themeColor="text1"/>
          <w:sz w:val="30"/>
          <w:szCs w:val="30"/>
          <w14:textFill>
            <w14:solidFill>
              <w14:schemeClr w14:val="tx1"/>
            </w14:solidFill>
          </w14:textFill>
        </w:rPr>
      </w:pPr>
      <w:r>
        <w:rPr>
          <w:rFonts w:hint="eastAsia" w:ascii="仿宋_GB2312" w:eastAsia="仿宋_GB2312"/>
          <w:b/>
          <w:color w:val="000000" w:themeColor="text1"/>
          <w:sz w:val="30"/>
          <w:szCs w:val="30"/>
          <w14:textFill>
            <w14:solidFill>
              <w14:schemeClr w14:val="tx1"/>
            </w14:solidFill>
          </w14:textFill>
        </w:rPr>
        <w:t>（1）前端控制</w:t>
      </w:r>
    </w:p>
    <w:p w14:paraId="7B66B1A5">
      <w:pPr>
        <w:spacing w:line="560" w:lineRule="exact"/>
        <w:ind w:firstLine="600" w:firstLineChars="200"/>
        <w:outlineLvl w:val="9"/>
        <w:rPr>
          <w:rFonts w:ascii="仿宋_GB2312" w:hAnsi="黑体" w:eastAsia="仿宋_GB2312"/>
          <w:bCs/>
          <w:color w:val="000000" w:themeColor="text1"/>
          <w:sz w:val="30"/>
          <w:szCs w:val="30"/>
          <w14:textFill>
            <w14:solidFill>
              <w14:schemeClr w14:val="tx1"/>
            </w14:solidFill>
          </w14:textFill>
        </w:rPr>
      </w:pPr>
      <w:r>
        <w:rPr>
          <w:rFonts w:hint="eastAsia" w:ascii="仿宋_GB2312" w:hAnsi="黑体" w:eastAsia="仿宋_GB2312"/>
          <w:bCs/>
          <w:color w:val="000000" w:themeColor="text1"/>
          <w:sz w:val="30"/>
          <w:szCs w:val="30"/>
          <w14:textFill>
            <w14:solidFill>
              <w14:schemeClr w14:val="tx1"/>
            </w14:solidFill>
          </w14:textFill>
        </w:rPr>
        <w:t>符合净额结算标准的债券，采用RTGS结算方式进行债券借贷的，在完成</w:t>
      </w:r>
      <w:r>
        <w:rPr>
          <w:rFonts w:ascii="仿宋_GB2312" w:hAnsi="黑体" w:eastAsia="仿宋_GB2312"/>
          <w:bCs/>
          <w:color w:val="000000" w:themeColor="text1"/>
          <w:sz w:val="30"/>
          <w:szCs w:val="30"/>
          <w14:textFill>
            <w14:solidFill>
              <w14:schemeClr w14:val="tx1"/>
            </w14:solidFill>
          </w14:textFill>
        </w:rPr>
        <w:t>交收后</w:t>
      </w:r>
      <w:r>
        <w:rPr>
          <w:rFonts w:hint="eastAsia" w:ascii="仿宋_GB2312" w:hAnsi="黑体" w:eastAsia="仿宋_GB2312"/>
          <w:bCs/>
          <w:color w:val="000000" w:themeColor="text1"/>
          <w:sz w:val="30"/>
          <w:szCs w:val="30"/>
          <w14:textFill>
            <w14:solidFill>
              <w14:schemeClr w14:val="tx1"/>
            </w14:solidFill>
          </w14:textFill>
        </w:rPr>
        <w:t>，互联网平台根据</w:t>
      </w:r>
      <w:r>
        <w:rPr>
          <w:rFonts w:ascii="仿宋_GB2312" w:hAnsi="黑体" w:eastAsia="仿宋_GB2312"/>
          <w:bCs/>
          <w:color w:val="000000" w:themeColor="text1"/>
          <w:sz w:val="30"/>
          <w:szCs w:val="30"/>
          <w14:textFill>
            <w14:solidFill>
              <w14:schemeClr w14:val="tx1"/>
            </w14:solidFill>
          </w14:textFill>
        </w:rPr>
        <w:t>交收结果</w:t>
      </w:r>
      <w:r>
        <w:rPr>
          <w:rFonts w:hint="eastAsia" w:ascii="仿宋_GB2312" w:hAnsi="黑体" w:eastAsia="仿宋_GB2312"/>
          <w:bCs/>
          <w:color w:val="000000" w:themeColor="text1"/>
          <w:sz w:val="30"/>
          <w:szCs w:val="30"/>
          <w14:textFill>
            <w14:solidFill>
              <w14:schemeClr w14:val="tx1"/>
            </w14:solidFill>
          </w14:textFill>
        </w:rPr>
        <w:t>实时更新相关债券持仓；固收平台RTGS相关交易</w:t>
      </w:r>
      <w:r>
        <w:rPr>
          <w:rFonts w:ascii="仿宋_GB2312" w:hAnsi="黑体" w:eastAsia="仿宋_GB2312"/>
          <w:bCs/>
          <w:color w:val="000000" w:themeColor="text1"/>
          <w:sz w:val="30"/>
          <w:szCs w:val="30"/>
          <w14:textFill>
            <w14:solidFill>
              <w14:schemeClr w14:val="tx1"/>
            </w14:solidFill>
          </w14:textFill>
        </w:rPr>
        <w:t>的</w:t>
      </w:r>
      <w:r>
        <w:rPr>
          <w:rFonts w:hint="eastAsia" w:ascii="仿宋_GB2312" w:hAnsi="黑体" w:eastAsia="仿宋_GB2312"/>
          <w:bCs/>
          <w:color w:val="000000" w:themeColor="text1"/>
          <w:sz w:val="30"/>
          <w:szCs w:val="30"/>
          <w14:textFill>
            <w14:solidFill>
              <w14:schemeClr w14:val="tx1"/>
            </w14:solidFill>
          </w14:textFill>
        </w:rPr>
        <w:t>总量不能超过日初持仓数量。</w:t>
      </w:r>
    </w:p>
    <w:p w14:paraId="3B61D09F">
      <w:pPr>
        <w:spacing w:line="560" w:lineRule="exact"/>
        <w:ind w:firstLine="600" w:firstLineChars="200"/>
        <w:outlineLvl w:val="9"/>
        <w:rPr>
          <w:rFonts w:ascii="仿宋_GB2312" w:hAnsi="黑体" w:eastAsia="仿宋_GB2312"/>
          <w:bCs/>
          <w:color w:val="000000" w:themeColor="text1"/>
          <w:sz w:val="30"/>
          <w:szCs w:val="30"/>
          <w14:textFill>
            <w14:solidFill>
              <w14:schemeClr w14:val="tx1"/>
            </w14:solidFill>
          </w14:textFill>
        </w:rPr>
      </w:pPr>
      <w:r>
        <w:rPr>
          <w:rFonts w:hint="eastAsia" w:ascii="仿宋_GB2312" w:hAnsi="黑体" w:eastAsia="仿宋_GB2312"/>
          <w:bCs/>
          <w:color w:val="000000" w:themeColor="text1"/>
          <w:sz w:val="30"/>
          <w:szCs w:val="30"/>
          <w14:textFill>
            <w14:solidFill>
              <w14:schemeClr w14:val="tx1"/>
            </w14:solidFill>
          </w14:textFill>
        </w:rPr>
        <w:t>不符合净额结算标准的债券用于债券借贷业务的，以登记结算机构登记的持仓为准。</w:t>
      </w:r>
    </w:p>
    <w:p w14:paraId="2C0405B7">
      <w:pPr>
        <w:spacing w:line="560" w:lineRule="exact"/>
        <w:ind w:firstLine="602" w:firstLineChars="200"/>
        <w:outlineLvl w:val="2"/>
        <w:rPr>
          <w:rFonts w:ascii="仿宋_GB2312" w:hAnsi="宋体" w:eastAsia="仿宋_GB2312" w:cs="宋体"/>
          <w:b/>
          <w:color w:val="000000" w:themeColor="text1"/>
          <w:sz w:val="30"/>
          <w:szCs w:val="30"/>
          <w14:textFill>
            <w14:solidFill>
              <w14:schemeClr w14:val="tx1"/>
            </w14:solidFill>
          </w14:textFill>
        </w:rPr>
      </w:pPr>
      <w:r>
        <w:rPr>
          <w:rFonts w:hint="eastAsia" w:ascii="仿宋_GB2312" w:hAnsi="黑体" w:eastAsia="仿宋_GB2312"/>
          <w:b/>
          <w:bCs/>
          <w:color w:val="000000" w:themeColor="text1"/>
          <w:sz w:val="30"/>
          <w:szCs w:val="30"/>
          <w14:textFill>
            <w14:solidFill>
              <w14:schemeClr w14:val="tx1"/>
            </w14:solidFill>
          </w14:textFill>
        </w:rPr>
        <w:t>（2）用券效率</w:t>
      </w:r>
    </w:p>
    <w:p w14:paraId="0DBAA2A1">
      <w:pPr>
        <w:spacing w:line="560" w:lineRule="exact"/>
        <w:ind w:firstLine="602" w:firstLineChars="200"/>
        <w:outlineLvl w:val="9"/>
        <w:rPr>
          <w:rFonts w:ascii="仿宋_GB2312" w:hAnsi="黑体" w:eastAsia="仿宋_GB2312"/>
          <w:b/>
          <w:bCs/>
          <w:color w:val="000000" w:themeColor="text1"/>
          <w:sz w:val="30"/>
          <w:szCs w:val="30"/>
          <w14:textFill>
            <w14:solidFill>
              <w14:schemeClr w14:val="tx1"/>
            </w14:solidFill>
          </w14:textFill>
        </w:rPr>
      </w:pPr>
      <w:r>
        <w:rPr>
          <w:rFonts w:hint="eastAsia" w:ascii="仿宋_GB2312" w:hAnsi="黑体" w:eastAsia="仿宋_GB2312"/>
          <w:b/>
          <w:bCs/>
          <w:color w:val="000000" w:themeColor="text1"/>
          <w:sz w:val="30"/>
          <w:szCs w:val="30"/>
          <w14:textFill>
            <w14:solidFill>
              <w14:schemeClr w14:val="tx1"/>
            </w14:solidFill>
          </w14:textFill>
        </w:rPr>
        <w:t>1）现券买入以及回购业务中解除质押的债券用于债券借贷的效率</w:t>
      </w:r>
    </w:p>
    <w:p w14:paraId="72198C9C">
      <w:pPr>
        <w:spacing w:line="560" w:lineRule="exact"/>
        <w:ind w:firstLine="600" w:firstLineChars="200"/>
        <w:outlineLvl w:val="9"/>
        <w:rPr>
          <w:rFonts w:ascii="仿宋_GB2312" w:hAnsi="黑体" w:eastAsia="仿宋_GB2312"/>
          <w:bCs/>
          <w:sz w:val="30"/>
          <w:szCs w:val="30"/>
        </w:rPr>
      </w:pPr>
      <w:r>
        <w:rPr>
          <w:rFonts w:hint="eastAsia" w:ascii="仿宋_GB2312" w:hAnsi="黑体" w:eastAsia="仿宋_GB2312"/>
          <w:bCs/>
          <w:sz w:val="30"/>
          <w:szCs w:val="30"/>
        </w:rPr>
        <w:t>符合多边净额结算标准的债券，T日买入的，或者T日通用质押式回购、协议回购解除质押的，T+1日可用于债券借贷。</w:t>
      </w:r>
    </w:p>
    <w:p w14:paraId="2CFCF453">
      <w:pPr>
        <w:spacing w:line="560" w:lineRule="exact"/>
        <w:ind w:firstLine="600" w:firstLineChars="200"/>
        <w:outlineLvl w:val="9"/>
        <w:rPr>
          <w:rFonts w:ascii="仿宋_GB2312" w:hAnsi="黑体" w:eastAsia="仿宋_GB2312"/>
          <w:bCs/>
          <w:sz w:val="30"/>
          <w:szCs w:val="30"/>
        </w:rPr>
      </w:pPr>
      <w:r>
        <w:rPr>
          <w:rFonts w:hint="eastAsia" w:ascii="仿宋_GB2312" w:hAnsi="黑体" w:eastAsia="仿宋_GB2312"/>
          <w:bCs/>
          <w:sz w:val="30"/>
          <w:szCs w:val="30"/>
        </w:rPr>
        <w:t>不符合多边净额结算标准的债券，T日买入的，或者T日协议回购解除质押的，T日可用于债券借贷。</w:t>
      </w:r>
    </w:p>
    <w:p w14:paraId="45B75806">
      <w:pPr>
        <w:spacing w:line="560" w:lineRule="exact"/>
        <w:ind w:firstLine="600" w:firstLineChars="200"/>
        <w:outlineLvl w:val="9"/>
        <w:rPr>
          <w:rFonts w:ascii="仿宋_GB2312" w:hAnsi="黑体" w:eastAsia="仿宋_GB2312"/>
          <w:bCs/>
          <w:sz w:val="30"/>
          <w:szCs w:val="30"/>
        </w:rPr>
      </w:pPr>
      <w:r>
        <w:rPr>
          <w:rFonts w:hint="eastAsia" w:ascii="仿宋_GB2312" w:hAnsi="黑体" w:eastAsia="仿宋_GB2312"/>
          <w:bCs/>
          <w:sz w:val="30"/>
          <w:szCs w:val="30"/>
        </w:rPr>
        <w:t>T日三方回购解除质押且转出的债券，T+1日可用于债券借贷。</w:t>
      </w:r>
    </w:p>
    <w:p w14:paraId="7C2B4CAB">
      <w:pPr>
        <w:spacing w:line="560" w:lineRule="exact"/>
        <w:ind w:firstLine="602" w:firstLineChars="200"/>
        <w:outlineLvl w:val="9"/>
        <w:rPr>
          <w:rFonts w:ascii="仿宋_GB2312" w:hAnsi="黑体" w:eastAsia="仿宋_GB2312"/>
          <w:b/>
          <w:bCs/>
          <w:sz w:val="30"/>
          <w:szCs w:val="30"/>
        </w:rPr>
      </w:pPr>
      <w:r>
        <w:rPr>
          <w:rFonts w:ascii="仿宋_GB2312" w:hAnsi="黑体" w:eastAsia="仿宋_GB2312"/>
          <w:b/>
          <w:bCs/>
          <w:sz w:val="30"/>
          <w:szCs w:val="30"/>
        </w:rPr>
        <w:t>2</w:t>
      </w:r>
      <w:r>
        <w:rPr>
          <w:rFonts w:hint="eastAsia" w:ascii="仿宋_GB2312" w:hAnsi="黑体" w:eastAsia="仿宋_GB2312"/>
          <w:b/>
          <w:bCs/>
          <w:sz w:val="30"/>
          <w:szCs w:val="30"/>
        </w:rPr>
        <w:t>）债券借贷借入、返还、到期解除质押的债券用于现券、回购业务和新开债券借贷的效率</w:t>
      </w:r>
    </w:p>
    <w:p w14:paraId="0F3D8B24">
      <w:pPr>
        <w:spacing w:line="560" w:lineRule="exact"/>
        <w:ind w:firstLine="600" w:firstLineChars="200"/>
        <w:outlineLvl w:val="9"/>
        <w:rPr>
          <w:rFonts w:ascii="仿宋_GB2312" w:hAnsi="黑体" w:eastAsia="仿宋_GB2312"/>
          <w:bCs/>
          <w:sz w:val="30"/>
          <w:szCs w:val="30"/>
        </w:rPr>
      </w:pPr>
      <w:r>
        <w:rPr>
          <w:rFonts w:hint="eastAsia" w:ascii="仿宋_GB2312" w:hAnsi="黑体" w:eastAsia="仿宋_GB2312"/>
          <w:bCs/>
          <w:sz w:val="30"/>
          <w:szCs w:val="30"/>
        </w:rPr>
        <w:t>符合多边净额结算条件的债券，通过债券借贷</w:t>
      </w:r>
      <w:r>
        <w:rPr>
          <w:rFonts w:ascii="仿宋_GB2312" w:hAnsi="黑体" w:eastAsia="仿宋_GB2312"/>
          <w:bCs/>
          <w:sz w:val="30"/>
          <w:szCs w:val="30"/>
        </w:rPr>
        <w:t>业务</w:t>
      </w:r>
      <w:r>
        <w:rPr>
          <w:rFonts w:hint="eastAsia" w:ascii="仿宋_GB2312" w:hAnsi="黑体" w:eastAsia="仿宋_GB2312"/>
          <w:bCs/>
          <w:sz w:val="30"/>
          <w:szCs w:val="30"/>
        </w:rPr>
        <w:t>T日借入、返还、到期解除质押的，T日可采用多边净额结算方式申报卖出、入质押库，或用于债券借贷（包括作为标的债券和质押券用于新开合约、质押券变更等）；T+1日可采用RTGS结算方式申报卖出、用于协议回购或三方回购。</w:t>
      </w:r>
    </w:p>
    <w:p w14:paraId="09CBF85D">
      <w:pPr>
        <w:spacing w:line="560" w:lineRule="exact"/>
        <w:ind w:firstLine="600" w:firstLineChars="200"/>
        <w:outlineLvl w:val="9"/>
        <w:rPr>
          <w:rFonts w:ascii="仿宋_GB2312" w:hAnsi="黑体" w:eastAsia="仿宋_GB2312"/>
          <w:bCs/>
          <w:sz w:val="30"/>
          <w:szCs w:val="30"/>
        </w:rPr>
      </w:pPr>
      <w:r>
        <w:rPr>
          <w:rFonts w:hint="eastAsia" w:ascii="仿宋_GB2312" w:hAnsi="黑体" w:eastAsia="仿宋_GB2312"/>
          <w:bCs/>
          <w:sz w:val="30"/>
          <w:szCs w:val="30"/>
        </w:rPr>
        <w:t>不符合多边净额结算条件的债券，通过互联网平台T日借入、返还、到期解除质押的，T日可采用RTGS结算方式卖出、用于债券借贷（包括作为标的债券和质押券用于新开合约、质押券变更等）、协议回购或三方回购。</w:t>
      </w:r>
    </w:p>
    <w:p w14:paraId="39ACEA73">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行情展示</w:t>
      </w:r>
    </w:p>
    <w:p w14:paraId="25491C6B">
      <w:pPr>
        <w:spacing w:line="600" w:lineRule="exact"/>
        <w:ind w:firstLine="600" w:firstLineChars="200"/>
        <w:outlineLvl w:val="9"/>
        <w:rPr>
          <w:rFonts w:hint="eastAsia" w:ascii="仿宋_GB2312" w:eastAsia="仿宋_GB2312"/>
          <w:b/>
          <w:sz w:val="30"/>
          <w:szCs w:val="30"/>
          <w:lang w:eastAsia="zh-CN"/>
        </w:rPr>
      </w:pPr>
      <w:r>
        <w:rPr>
          <w:rFonts w:hint="eastAsia" w:ascii="仿宋_GB2312" w:hAnsi="宋体" w:eastAsia="仿宋_GB2312" w:cs="宋体"/>
          <w:sz w:val="30"/>
          <w:szCs w:val="30"/>
        </w:rPr>
        <w:t>本所定期披露</w:t>
      </w:r>
      <w:r>
        <w:rPr>
          <w:rFonts w:hint="eastAsia" w:ascii="仿宋_GB2312" w:hAnsi="宋体" w:eastAsia="仿宋_GB2312" w:cs="宋体"/>
          <w:sz w:val="30"/>
          <w:szCs w:val="30"/>
          <w:lang w:eastAsia="zh-CN"/>
        </w:rPr>
        <w:t>债券借贷</w:t>
      </w:r>
      <w:r>
        <w:rPr>
          <w:rFonts w:hint="eastAsia" w:ascii="仿宋_GB2312" w:hAnsi="宋体" w:eastAsia="仿宋_GB2312" w:cs="宋体"/>
          <w:sz w:val="30"/>
          <w:szCs w:val="30"/>
        </w:rPr>
        <w:t>全市场成交统计数据</w:t>
      </w:r>
      <w:r>
        <w:rPr>
          <w:rFonts w:hint="eastAsia" w:ascii="仿宋_GB2312" w:hAnsi="宋体" w:eastAsia="仿宋_GB2312" w:cs="宋体"/>
          <w:sz w:val="30"/>
          <w:szCs w:val="30"/>
          <w:lang w:eastAsia="zh-CN"/>
        </w:rPr>
        <w:t>，</w:t>
      </w:r>
      <w:r>
        <w:rPr>
          <w:rFonts w:hint="eastAsia" w:ascii="仿宋_GB2312" w:hAnsi="宋体" w:eastAsia="仿宋_GB2312" w:cs="宋体"/>
          <w:sz w:val="30"/>
          <w:szCs w:val="30"/>
        </w:rPr>
        <w:t>债券借贷逐笔成交行情和汇总行情</w:t>
      </w:r>
      <w:r>
        <w:rPr>
          <w:rFonts w:hint="eastAsia" w:ascii="仿宋_GB2312" w:hAnsi="宋体" w:eastAsia="仿宋_GB2312" w:cs="宋体"/>
          <w:sz w:val="30"/>
          <w:szCs w:val="30"/>
          <w:lang w:eastAsia="zh-CN"/>
        </w:rPr>
        <w:t>暂不公布，具体公布时间另行通知。</w:t>
      </w:r>
    </w:p>
    <w:p w14:paraId="4FE368A3">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风险</w:t>
      </w:r>
      <w:r>
        <w:rPr>
          <w:rFonts w:ascii="仿宋_GB2312" w:eastAsia="仿宋_GB2312"/>
          <w:b/>
          <w:sz w:val="30"/>
          <w:szCs w:val="30"/>
        </w:rPr>
        <w:t>管理及</w:t>
      </w:r>
      <w:r>
        <w:rPr>
          <w:rFonts w:hint="eastAsia" w:ascii="仿宋_GB2312" w:eastAsia="仿宋_GB2312"/>
          <w:b/>
          <w:sz w:val="30"/>
          <w:szCs w:val="30"/>
        </w:rPr>
        <w:t>违约处置</w:t>
      </w:r>
    </w:p>
    <w:p w14:paraId="1C5BEB7D">
      <w:pPr>
        <w:autoSpaceDE w:val="0"/>
        <w:autoSpaceDN w:val="0"/>
        <w:adjustRightInd w:val="0"/>
        <w:spacing w:line="600" w:lineRule="exact"/>
        <w:ind w:firstLine="602" w:firstLineChars="200"/>
        <w:rPr>
          <w:rFonts w:ascii="仿宋_GB2312" w:hAnsi="Calibri" w:eastAsia="仿宋_GB2312"/>
          <w:sz w:val="30"/>
          <w:szCs w:val="30"/>
        </w:rPr>
      </w:pPr>
      <w:r>
        <w:rPr>
          <w:rFonts w:hint="eastAsia" w:ascii="仿宋_GB2312" w:hAnsi="Calibri" w:eastAsia="仿宋_GB2312"/>
          <w:b/>
          <w:sz w:val="30"/>
          <w:szCs w:val="30"/>
        </w:rPr>
        <w:t>（1）</w:t>
      </w:r>
      <w:r>
        <w:rPr>
          <w:rFonts w:hint="eastAsia" w:ascii="仿宋_GB2312" w:eastAsia="仿宋_GB2312"/>
          <w:b/>
          <w:sz w:val="30"/>
          <w:szCs w:val="30"/>
        </w:rPr>
        <w:t>风险</w:t>
      </w:r>
      <w:r>
        <w:rPr>
          <w:rFonts w:ascii="仿宋_GB2312" w:eastAsia="仿宋_GB2312"/>
          <w:b/>
          <w:sz w:val="30"/>
          <w:szCs w:val="30"/>
        </w:rPr>
        <w:t>管理</w:t>
      </w:r>
    </w:p>
    <w:p w14:paraId="61DECFE3">
      <w:pPr>
        <w:autoSpaceDE w:val="0"/>
        <w:autoSpaceDN w:val="0"/>
        <w:adjustRightIn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本所对债券借贷申报、质押债券、交收违约情况等各种信息进行监控，加强对债券借贷业务的风险监测和评估。债券借贷存续期间，发生异常和违约事件的，借贷双方应及时向本所报告事件情况及其发生的原因、处理进展情况和处理结果。单个机构自债券借贷的借入余额超过其自有债券托管总量的20%(含20%)或单只债券借入余额超过该只债券发行量10%（含10%）起，每增加5个百分点，该机构应向本所报告并说明原因。</w:t>
      </w:r>
    </w:p>
    <w:p w14:paraId="4E9733E4">
      <w:pPr>
        <w:autoSpaceDE w:val="0"/>
        <w:autoSpaceDN w:val="0"/>
        <w:adjustRightInd w:val="0"/>
        <w:spacing w:line="600" w:lineRule="exact"/>
        <w:ind w:firstLine="602" w:firstLineChars="200"/>
        <w:rPr>
          <w:rFonts w:ascii="仿宋_GB2312" w:hAnsi="Calibri" w:eastAsia="仿宋_GB2312"/>
          <w:sz w:val="30"/>
          <w:szCs w:val="30"/>
        </w:rPr>
      </w:pPr>
      <w:r>
        <w:rPr>
          <w:rFonts w:hint="eastAsia" w:ascii="仿宋_GB2312" w:hAnsi="Calibri" w:eastAsia="仿宋_GB2312"/>
          <w:b/>
          <w:sz w:val="30"/>
          <w:szCs w:val="30"/>
        </w:rPr>
        <w:t>（2）</w:t>
      </w:r>
      <w:r>
        <w:rPr>
          <w:rFonts w:hint="eastAsia" w:ascii="仿宋_GB2312" w:eastAsia="仿宋_GB2312"/>
          <w:b/>
          <w:sz w:val="30"/>
          <w:szCs w:val="30"/>
        </w:rPr>
        <w:t>违约处置</w:t>
      </w:r>
    </w:p>
    <w:p w14:paraId="7FCA4373">
      <w:pPr>
        <w:autoSpaceDE w:val="0"/>
        <w:autoSpaceDN w:val="0"/>
        <w:adjustRightIn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债券借贷发生异常或者违约的，借贷双方应当按照《办法》、主协议、补充协议或申报补充约定等相关规定和约定，通过协商、支付违约金、偿还与标的债券等价的金额、处置质押债券、申请仲裁、诉讼等方式解决。违约发生后，违约方应积极采取措施处理违约事件，维护守约方的合法权益。双方对违约处理协商一致的，可以向本所申报解除质押登记、或申请将质押债券由违约方过户至守约方、或申请质押债券处置过户至拍卖、变卖的受让人，登记结算机构将依据本所发送的指令办理标的债券过户、解除质押登记或质押债券处置过户。发生违约后，借贷双方根据主协议、补充协议及申报补充约定等相关约定办理。质押债券处置产生的任何法律后果及责任，由借贷双方自行承担。</w:t>
      </w:r>
    </w:p>
    <w:p w14:paraId="103A3FE9">
      <w:pPr>
        <w:numPr>
          <w:ilvl w:val="1"/>
          <w:numId w:val="4"/>
        </w:numPr>
        <w:spacing w:line="600" w:lineRule="exact"/>
        <w:ind w:left="0" w:firstLine="0"/>
        <w:outlineLvl w:val="1"/>
        <w:rPr>
          <w:rFonts w:ascii="仿宋_GB2312" w:eastAsia="仿宋_GB2312"/>
          <w:b/>
          <w:sz w:val="30"/>
          <w:szCs w:val="30"/>
        </w:rPr>
      </w:pPr>
      <w:bookmarkStart w:id="2240" w:name="_Toc151137017"/>
      <w:bookmarkEnd w:id="2240"/>
      <w:bookmarkStart w:id="2241" w:name="_Toc151136926"/>
      <w:bookmarkEnd w:id="2241"/>
      <w:bookmarkStart w:id="2242" w:name="_Toc151136933"/>
      <w:bookmarkEnd w:id="2242"/>
      <w:bookmarkStart w:id="2243" w:name="_Toc151136954"/>
      <w:bookmarkEnd w:id="2243"/>
      <w:bookmarkStart w:id="2244" w:name="_Toc151136929"/>
      <w:bookmarkEnd w:id="2244"/>
      <w:bookmarkStart w:id="2245" w:name="_Toc151137019"/>
      <w:bookmarkEnd w:id="2245"/>
      <w:bookmarkStart w:id="2246" w:name="_Toc151137034"/>
      <w:bookmarkEnd w:id="2246"/>
      <w:bookmarkStart w:id="2247" w:name="_Toc151137048"/>
      <w:bookmarkEnd w:id="2247"/>
      <w:bookmarkStart w:id="2248" w:name="_Toc151137020"/>
      <w:bookmarkEnd w:id="2248"/>
      <w:bookmarkStart w:id="2249" w:name="_Toc151136925"/>
      <w:bookmarkEnd w:id="2249"/>
      <w:bookmarkStart w:id="2250" w:name="_Toc151137042"/>
      <w:bookmarkEnd w:id="2250"/>
      <w:bookmarkStart w:id="2251" w:name="_Toc151137043"/>
      <w:bookmarkEnd w:id="2251"/>
      <w:bookmarkStart w:id="2252" w:name="_Toc151137022"/>
      <w:bookmarkEnd w:id="2252"/>
      <w:bookmarkStart w:id="2253" w:name="_Toc151137029"/>
      <w:bookmarkEnd w:id="2253"/>
      <w:bookmarkStart w:id="2254" w:name="_Toc151136928"/>
      <w:bookmarkEnd w:id="2254"/>
      <w:bookmarkStart w:id="2255" w:name="_Toc151136949"/>
      <w:bookmarkEnd w:id="2255"/>
      <w:bookmarkStart w:id="2256" w:name="_Toc151137045"/>
      <w:bookmarkEnd w:id="2256"/>
      <w:bookmarkStart w:id="2257" w:name="_Toc151136956"/>
      <w:bookmarkEnd w:id="2257"/>
      <w:bookmarkStart w:id="2258" w:name="_Toc151137033"/>
      <w:bookmarkEnd w:id="2258"/>
      <w:bookmarkStart w:id="2259" w:name="_Toc151137036"/>
      <w:bookmarkEnd w:id="2259"/>
      <w:bookmarkStart w:id="2260" w:name="_Toc151137041"/>
      <w:bookmarkEnd w:id="2260"/>
      <w:bookmarkStart w:id="2261" w:name="_Toc151136932"/>
      <w:bookmarkEnd w:id="2261"/>
      <w:bookmarkStart w:id="2262" w:name="_Toc151137032"/>
      <w:bookmarkEnd w:id="2262"/>
      <w:bookmarkStart w:id="2263" w:name="_Toc151136934"/>
      <w:bookmarkEnd w:id="2263"/>
      <w:bookmarkStart w:id="2264" w:name="_Toc151137039"/>
      <w:bookmarkEnd w:id="2264"/>
      <w:bookmarkStart w:id="2265" w:name="_Toc151136931"/>
      <w:bookmarkEnd w:id="2265"/>
      <w:bookmarkStart w:id="2266" w:name="_Toc151136953"/>
      <w:bookmarkEnd w:id="2266"/>
      <w:bookmarkStart w:id="2267" w:name="_Toc151136952"/>
      <w:bookmarkEnd w:id="2267"/>
      <w:bookmarkStart w:id="2268" w:name="_Toc151137047"/>
      <w:bookmarkEnd w:id="2268"/>
      <w:bookmarkStart w:id="2269" w:name="_Toc151137018"/>
      <w:bookmarkEnd w:id="2269"/>
      <w:bookmarkStart w:id="2270" w:name="_Toc151137031"/>
      <w:bookmarkEnd w:id="2270"/>
      <w:bookmarkStart w:id="2271" w:name="_Toc151137035"/>
      <w:bookmarkEnd w:id="2271"/>
      <w:bookmarkStart w:id="2272" w:name="_Toc151136950"/>
      <w:bookmarkEnd w:id="2272"/>
      <w:bookmarkStart w:id="2273" w:name="_Toc151136943"/>
      <w:bookmarkEnd w:id="2273"/>
      <w:bookmarkStart w:id="2274" w:name="_Toc151136955"/>
      <w:bookmarkEnd w:id="2274"/>
      <w:bookmarkStart w:id="2275" w:name="_Toc151137049"/>
      <w:bookmarkEnd w:id="2275"/>
      <w:bookmarkStart w:id="2276" w:name="_Toc151136945"/>
      <w:bookmarkEnd w:id="2276"/>
      <w:bookmarkStart w:id="2277" w:name="_Toc151137046"/>
      <w:bookmarkEnd w:id="2277"/>
      <w:bookmarkStart w:id="2278" w:name="_Toc151137024"/>
      <w:bookmarkEnd w:id="2278"/>
      <w:bookmarkStart w:id="2279" w:name="_Toc151136923"/>
      <w:bookmarkEnd w:id="2279"/>
      <w:bookmarkStart w:id="2280" w:name="_Toc151136922"/>
      <w:bookmarkEnd w:id="2280"/>
      <w:bookmarkStart w:id="2281" w:name="_Toc151136927"/>
      <w:bookmarkEnd w:id="2281"/>
      <w:bookmarkStart w:id="2282" w:name="_Toc151136948"/>
      <w:bookmarkEnd w:id="2282"/>
      <w:bookmarkStart w:id="2283" w:name="_Toc151137021"/>
      <w:bookmarkEnd w:id="2283"/>
      <w:bookmarkStart w:id="2284" w:name="_Toc151136942"/>
      <w:bookmarkEnd w:id="2284"/>
      <w:bookmarkStart w:id="2285" w:name="_Toc151137044"/>
      <w:bookmarkEnd w:id="2285"/>
      <w:bookmarkStart w:id="2286" w:name="_Toc151137030"/>
      <w:bookmarkEnd w:id="2286"/>
      <w:bookmarkStart w:id="2287" w:name="_Toc151136947"/>
      <w:bookmarkEnd w:id="2287"/>
      <w:bookmarkStart w:id="2288" w:name="_Toc151137025"/>
      <w:bookmarkEnd w:id="2288"/>
      <w:bookmarkStart w:id="2289" w:name="_Toc151136935"/>
      <w:bookmarkEnd w:id="2289"/>
      <w:bookmarkStart w:id="2290" w:name="_Toc151137040"/>
      <w:bookmarkEnd w:id="2290"/>
      <w:bookmarkStart w:id="2291" w:name="_Toc151136924"/>
      <w:bookmarkEnd w:id="2291"/>
      <w:bookmarkStart w:id="2292" w:name="_Toc151136930"/>
      <w:bookmarkEnd w:id="2292"/>
      <w:bookmarkStart w:id="2293" w:name="_Toc151137037"/>
      <w:bookmarkEnd w:id="2293"/>
      <w:bookmarkStart w:id="2294" w:name="_Toc151137026"/>
      <w:bookmarkEnd w:id="2294"/>
      <w:bookmarkStart w:id="2295" w:name="_Toc151136920"/>
      <w:bookmarkEnd w:id="2295"/>
      <w:bookmarkStart w:id="2296" w:name="_Toc151137050"/>
      <w:bookmarkEnd w:id="2296"/>
      <w:bookmarkStart w:id="2297" w:name="_Toc151137038"/>
      <w:bookmarkEnd w:id="2297"/>
      <w:bookmarkStart w:id="2298" w:name="_Toc151137051"/>
      <w:bookmarkEnd w:id="2298"/>
      <w:bookmarkStart w:id="2299" w:name="_Toc151136944"/>
      <w:bookmarkEnd w:id="2299"/>
      <w:bookmarkStart w:id="2300" w:name="_Toc151137027"/>
      <w:bookmarkEnd w:id="2300"/>
      <w:bookmarkStart w:id="2301" w:name="_Toc151137023"/>
      <w:bookmarkEnd w:id="2301"/>
      <w:bookmarkStart w:id="2302" w:name="_Toc151136921"/>
      <w:bookmarkEnd w:id="2302"/>
      <w:bookmarkStart w:id="2303" w:name="_Toc151137028"/>
      <w:bookmarkEnd w:id="2303"/>
      <w:bookmarkStart w:id="2304" w:name="_Toc151136951"/>
      <w:bookmarkEnd w:id="2304"/>
      <w:bookmarkStart w:id="2305" w:name="_Toc151136941"/>
      <w:bookmarkEnd w:id="2305"/>
      <w:bookmarkStart w:id="2306" w:name="_Toc151136946"/>
      <w:bookmarkEnd w:id="2306"/>
      <w:bookmarkStart w:id="2307" w:name="_Toc526060160"/>
      <w:bookmarkStart w:id="2308" w:name="_Toc41660684"/>
      <w:bookmarkStart w:id="2309" w:name="_Toc56166103"/>
      <w:bookmarkStart w:id="2310" w:name="_Toc56166292"/>
      <w:bookmarkStart w:id="2311" w:name="_Toc989210634"/>
      <w:bookmarkStart w:id="2312" w:name="_Toc1645070829"/>
      <w:bookmarkStart w:id="2313" w:name="_Toc151137052"/>
      <w:bookmarkStart w:id="2314" w:name="_Toc1540184464"/>
      <w:r>
        <w:rPr>
          <w:rFonts w:hint="eastAsia" w:ascii="仿宋_GB2312" w:eastAsia="仿宋_GB2312"/>
          <w:b/>
          <w:sz w:val="30"/>
          <w:szCs w:val="30"/>
        </w:rPr>
        <w:t>信用保护工具</w:t>
      </w:r>
      <w:bookmarkEnd w:id="2307"/>
      <w:bookmarkEnd w:id="2308"/>
      <w:bookmarkEnd w:id="2309"/>
      <w:bookmarkEnd w:id="2310"/>
      <w:bookmarkEnd w:id="2311"/>
      <w:bookmarkEnd w:id="2312"/>
      <w:bookmarkEnd w:id="2313"/>
      <w:bookmarkEnd w:id="2314"/>
    </w:p>
    <w:p w14:paraId="5132D949">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相关规则</w:t>
      </w:r>
    </w:p>
    <w:p w14:paraId="418133D8">
      <w:pPr>
        <w:widowControl/>
        <w:numPr>
          <w:ilvl w:val="0"/>
          <w:numId w:val="21"/>
        </w:num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《上海证券交易所 中国证券登记结算有限责任公司信用保护工具业务管理试点办法》（上证发〔2019〕7号）</w:t>
      </w:r>
    </w:p>
    <w:p w14:paraId="3DF10030">
      <w:pPr>
        <w:widowControl/>
        <w:numPr>
          <w:ilvl w:val="0"/>
          <w:numId w:val="21"/>
        </w:num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w:t>
      </w:r>
      <w:r>
        <w:rPr>
          <w:rFonts w:ascii="仿宋_GB2312" w:hAnsi="Calibri" w:eastAsia="仿宋_GB2312"/>
          <w:sz w:val="30"/>
          <w:szCs w:val="30"/>
        </w:rPr>
        <w:t>上海证券交易所信用保护工具交易业务指引</w:t>
      </w:r>
      <w:r>
        <w:rPr>
          <w:rFonts w:hint="eastAsia" w:ascii="仿宋_GB2312" w:hAnsi="Calibri" w:eastAsia="仿宋_GB2312"/>
          <w:sz w:val="30"/>
          <w:szCs w:val="30"/>
        </w:rPr>
        <w:t>（2</w:t>
      </w:r>
      <w:r>
        <w:rPr>
          <w:rFonts w:ascii="仿宋_GB2312" w:hAnsi="Calibri" w:eastAsia="仿宋_GB2312"/>
          <w:sz w:val="30"/>
          <w:szCs w:val="30"/>
        </w:rPr>
        <w:t>022</w:t>
      </w:r>
      <w:r>
        <w:rPr>
          <w:rFonts w:hint="eastAsia" w:ascii="仿宋_GB2312" w:hAnsi="Calibri" w:eastAsia="仿宋_GB2312"/>
          <w:sz w:val="30"/>
          <w:szCs w:val="30"/>
        </w:rPr>
        <w:t>年修订）》</w:t>
      </w:r>
    </w:p>
    <w:p w14:paraId="1CF68F4A">
      <w:pPr>
        <w:widowControl/>
        <w:numPr>
          <w:ilvl w:val="0"/>
          <w:numId w:val="21"/>
        </w:numPr>
        <w:spacing w:line="600" w:lineRule="exact"/>
        <w:ind w:firstLine="600" w:firstLineChars="200"/>
        <w:rPr>
          <w:rFonts w:ascii="仿宋_GB2312" w:hAnsi="Calibri" w:eastAsia="仿宋_GB2312"/>
          <w:sz w:val="30"/>
          <w:szCs w:val="30"/>
        </w:rPr>
      </w:pPr>
      <w:r>
        <w:rPr>
          <w:rFonts w:ascii="仿宋_GB2312" w:hAnsi="Calibri" w:eastAsia="仿宋_GB2312"/>
          <w:sz w:val="30"/>
          <w:szCs w:val="30"/>
        </w:rPr>
        <w:t>上海证券交易所</w:t>
      </w:r>
      <w:r>
        <w:rPr>
          <w:rFonts w:hint="eastAsia" w:ascii="仿宋_GB2312" w:hAnsi="Calibri" w:eastAsia="仿宋_GB2312"/>
          <w:sz w:val="30"/>
          <w:szCs w:val="30"/>
        </w:rPr>
        <w:t>《</w:t>
      </w:r>
      <w:r>
        <w:rPr>
          <w:rFonts w:ascii="仿宋_GB2312" w:hAnsi="Calibri" w:eastAsia="仿宋_GB2312"/>
          <w:sz w:val="30"/>
          <w:szCs w:val="30"/>
        </w:rPr>
        <w:t>关于开展信用保护凭证业务试点的通知</w:t>
      </w:r>
      <w:r>
        <w:rPr>
          <w:rFonts w:hint="eastAsia" w:ascii="仿宋_GB2312" w:hAnsi="Calibri" w:eastAsia="仿宋_GB2312"/>
          <w:sz w:val="30"/>
          <w:szCs w:val="30"/>
        </w:rPr>
        <w:t>》（上证函〔2019〕2208号）</w:t>
      </w:r>
    </w:p>
    <w:p w14:paraId="4AC0D874">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概述</w:t>
      </w:r>
    </w:p>
    <w:p w14:paraId="6D7B7A81">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信用保护工具是指信用保护卖方和信用保护买方（以下合称交易双方）达成的，约定在未来一定期限内，信用保护买方（以下简称买方）按照约定的标准和方式向信用保护卖方（以下简称卖方）支付信用保护费用，由卖方就约定的一个或多个参考实体或其符合特定债务种类和债务特征的一个或多个、一类或多类债务（以下简称受保护债务）向买方提供信用风险保护的金融工具。</w:t>
      </w:r>
    </w:p>
    <w:p w14:paraId="3070B195">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前文所述参考实体是指交易双方约定的，以其信用风险作为信用保护工具交易标的的单个或者多个实体。</w:t>
      </w:r>
    </w:p>
    <w:p w14:paraId="2016A133">
      <w:pPr>
        <w:spacing w:line="600" w:lineRule="exact"/>
        <w:ind w:firstLine="602" w:firstLineChars="200"/>
        <w:outlineLvl w:val="3"/>
        <w:rPr>
          <w:rFonts w:ascii="仿宋_GB2312" w:eastAsia="仿宋_GB2312"/>
          <w:b/>
          <w:sz w:val="30"/>
          <w:szCs w:val="30"/>
        </w:rPr>
      </w:pPr>
      <w:r>
        <w:rPr>
          <w:rFonts w:hint="eastAsia" w:ascii="仿宋_GB2312" w:eastAsia="仿宋_GB2312"/>
          <w:b/>
          <w:sz w:val="30"/>
          <w:szCs w:val="30"/>
        </w:rPr>
        <w:t>（1）分类</w:t>
      </w:r>
    </w:p>
    <w:p w14:paraId="033A59BE">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信用保护工具分为信用保护合约（以下简称合约）和信用保护凭证（以下简称凭证）两类产品。合约由交易双方签署，相关权利义务限于合约签署双方，不可转让。凭证由凭证创设机构（以下简称创设机构）创设，就一个或多个参考实体或其符合特定债务种类和债务特征的一个或多个、一类或多类债务向凭证持有人提供信用保护，并可以通过交易系统转让。</w:t>
      </w:r>
    </w:p>
    <w:p w14:paraId="62F1430A">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组合型信用保护合约（以下简称CDX合约）是指合约交易双方达成的，以特定CDX组合项下全部参考实体或其符合特定债务种类和债务特征的全部债务为保护对象的信用保护合约。CDX组合设置和编制的具体方案由CDX组合管理人另行规定。</w:t>
      </w:r>
    </w:p>
    <w:p w14:paraId="38ED877C">
      <w:pPr>
        <w:spacing w:line="600" w:lineRule="exact"/>
        <w:ind w:firstLine="602" w:firstLineChars="200"/>
        <w:outlineLvl w:val="3"/>
        <w:rPr>
          <w:rFonts w:ascii="仿宋_GB2312" w:eastAsia="仿宋_GB2312"/>
          <w:b/>
          <w:sz w:val="30"/>
          <w:szCs w:val="30"/>
        </w:rPr>
      </w:pPr>
      <w:r>
        <w:rPr>
          <w:rFonts w:hint="eastAsia" w:ascii="仿宋_GB2312" w:eastAsia="仿宋_GB2312"/>
          <w:b/>
          <w:sz w:val="30"/>
          <w:szCs w:val="30"/>
        </w:rPr>
        <w:t>（2）参与机构</w:t>
      </w:r>
    </w:p>
    <w:p w14:paraId="19CE7502">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信用保护工具业务的参与机构实行分层管理制度。合约的参与者分为合约核心交易商（以下简称核心交易商）和其他投资者，核心交易商需事先向本所备案。凭证的参与者包括创设机构和其他投资者。创设机构需事先向本所备案。</w:t>
      </w:r>
    </w:p>
    <w:p w14:paraId="067AD8E1">
      <w:pPr>
        <w:spacing w:line="600" w:lineRule="exact"/>
        <w:ind w:firstLine="602" w:firstLineChars="200"/>
        <w:outlineLvl w:val="3"/>
        <w:rPr>
          <w:rFonts w:ascii="仿宋_GB2312" w:eastAsia="仿宋_GB2312"/>
          <w:b/>
          <w:sz w:val="30"/>
          <w:szCs w:val="30"/>
        </w:rPr>
      </w:pPr>
      <w:r>
        <w:rPr>
          <w:rFonts w:hint="eastAsia" w:ascii="仿宋_GB2312" w:eastAsia="仿宋_GB2312"/>
          <w:b/>
          <w:sz w:val="30"/>
          <w:szCs w:val="30"/>
        </w:rPr>
        <w:t>（3）业务流程</w:t>
      </w:r>
    </w:p>
    <w:p w14:paraId="272FB6BF">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信用保护工具业务流程包括参与者备案、业务实施、信用事件后续结算安排等环节。其中，参与者备案指核心交易商、创设机构按业务需求进行备案；合约业务实施包括签署主协议、签署交易确认书、支付保护费等流程；凭证业务实施包括凭证创设、登记、挂牌、转让等；信用事件后续结算安排包括确定信用事件决定日及实物结算、现金结算等。相关登记结算具体流程按照</w:t>
      </w:r>
      <w:r>
        <w:rPr>
          <w:rFonts w:hint="eastAsia" w:ascii="仿宋_GB2312" w:hAnsi="宋体" w:eastAsia="仿宋_GB2312" w:cs="宋体"/>
          <w:color w:val="000000"/>
          <w:kern w:val="0"/>
          <w:sz w:val="30"/>
          <w:szCs w:val="30"/>
        </w:rPr>
        <w:t>登记结算机构</w:t>
      </w:r>
      <w:r>
        <w:rPr>
          <w:rFonts w:hint="eastAsia" w:ascii="仿宋_GB2312" w:hAnsi="Calibri" w:eastAsia="仿宋_GB2312"/>
          <w:sz w:val="30"/>
          <w:szCs w:val="30"/>
        </w:rPr>
        <w:t>相关规则办理。</w:t>
      </w:r>
    </w:p>
    <w:p w14:paraId="6EA3AF80">
      <w:pPr>
        <w:spacing w:line="600" w:lineRule="exact"/>
        <w:ind w:firstLine="602" w:firstLineChars="200"/>
        <w:outlineLvl w:val="3"/>
        <w:rPr>
          <w:rFonts w:ascii="仿宋_GB2312" w:eastAsia="仿宋_GB2312"/>
          <w:b/>
          <w:sz w:val="30"/>
          <w:szCs w:val="30"/>
        </w:rPr>
      </w:pPr>
      <w:r>
        <w:rPr>
          <w:rFonts w:hint="eastAsia" w:ascii="仿宋_GB2312" w:eastAsia="仿宋_GB2312"/>
          <w:b/>
          <w:sz w:val="30"/>
          <w:szCs w:val="30"/>
        </w:rPr>
        <w:t>（4）受保护债务范围</w:t>
      </w:r>
    </w:p>
    <w:p w14:paraId="36FDB2D7">
      <w:pPr>
        <w:spacing w:line="600" w:lineRule="exact"/>
        <w:ind w:firstLine="600" w:firstLineChars="200"/>
        <w:rPr>
          <w:rFonts w:ascii="仿宋_GB2312" w:hAnsi="Calibri" w:eastAsia="仿宋_GB2312"/>
          <w:sz w:val="30"/>
          <w:szCs w:val="30"/>
        </w:rPr>
      </w:pPr>
      <w:r>
        <w:rPr>
          <w:rFonts w:hint="eastAsia" w:ascii="仿宋_GB2312" w:hAnsi="Calibri" w:eastAsia="仿宋_GB2312" w:cs="宋体"/>
          <w:sz w:val="30"/>
          <w:szCs w:val="30"/>
        </w:rPr>
        <w:t>试点初期，信用保护工具受保护债务范围主要包括在中国境内发行并在沪深证券交易所上市交易或者挂牌转让的以人民币计价的公司债券（含次级债券）、可转换公司债券及本所认可的其他债务。其中，CDX合约的受保护债务范围为CDX组合内参考实体在中国境内发行并在沪深交易所上市交易或者挂牌转让的以人民币计价的公司债券和可转换公司债券。</w:t>
      </w:r>
    </w:p>
    <w:p w14:paraId="2422BE5D">
      <w:pPr>
        <w:numPr>
          <w:ilvl w:val="2"/>
          <w:numId w:val="4"/>
        </w:numPr>
        <w:spacing w:line="600" w:lineRule="exact"/>
        <w:ind w:left="0" w:firstLine="0"/>
        <w:outlineLvl w:val="2"/>
        <w:rPr>
          <w:rFonts w:ascii="仿宋_GB2312" w:eastAsia="仿宋_GB2312"/>
          <w:b/>
          <w:sz w:val="30"/>
          <w:szCs w:val="30"/>
        </w:rPr>
      </w:pPr>
      <w:bookmarkStart w:id="2315" w:name="_Toc41660690"/>
      <w:r>
        <w:rPr>
          <w:rFonts w:hint="eastAsia" w:ascii="仿宋_GB2312" w:eastAsia="仿宋_GB2312"/>
          <w:b/>
          <w:sz w:val="30"/>
          <w:szCs w:val="30"/>
        </w:rPr>
        <w:t>参与者资质要求及备案</w:t>
      </w:r>
      <w:bookmarkEnd w:id="2315"/>
    </w:p>
    <w:p w14:paraId="651C61E1">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信用保护工具业务实行参与者资质管理。参与者应当充分知悉信用保护工具相关规则，了解信用保护工具的相关风险，根据《试点办法》《业务指引》规定的条件及自身的风险承受能力评估是否适合参与信用保护工具业务，并自行承担风险。</w:t>
      </w:r>
    </w:p>
    <w:p w14:paraId="290AA1C3">
      <w:pPr>
        <w:spacing w:line="600" w:lineRule="exact"/>
        <w:ind w:firstLine="600" w:firstLineChars="200"/>
        <w:rPr>
          <w:rFonts w:ascii="仿宋_GB2312" w:eastAsia="仿宋_GB2312"/>
          <w:sz w:val="30"/>
          <w:szCs w:val="30"/>
        </w:rPr>
      </w:pPr>
      <w:r>
        <w:rPr>
          <w:rFonts w:hint="eastAsia" w:ascii="仿宋_GB2312" w:eastAsia="仿宋_GB2312"/>
          <w:sz w:val="30"/>
          <w:szCs w:val="30"/>
        </w:rPr>
        <w:t>信用保护工具参与者的投资者适当性应当与</w:t>
      </w:r>
      <w:r>
        <w:rPr>
          <w:rFonts w:hint="eastAsia" w:eastAsia="仿宋_GB2312"/>
          <w:sz w:val="30"/>
          <w:szCs w:val="28"/>
        </w:rPr>
        <w:t>本所债券市场投资者适当性管理相关规则</w:t>
      </w:r>
      <w:r>
        <w:rPr>
          <w:rFonts w:hint="eastAsia" w:ascii="仿宋_GB2312" w:eastAsia="仿宋_GB2312"/>
          <w:sz w:val="30"/>
          <w:szCs w:val="30"/>
        </w:rPr>
        <w:t>规定的参考实体受保护债务的投资者适当性标准保持一致。参考实体受保护的多个债务投资者适当性标准不一致的，以受保护债务中较高的投资者适当性标准为准；受保护债务投资者适当性标准不明确的，仅限于</w:t>
      </w:r>
      <w:r>
        <w:rPr>
          <w:rFonts w:hint="eastAsia" w:eastAsia="仿宋_GB2312"/>
          <w:sz w:val="30"/>
          <w:szCs w:val="28"/>
        </w:rPr>
        <w:t>专业投资者中的</w:t>
      </w:r>
      <w:r>
        <w:rPr>
          <w:rFonts w:hint="eastAsia" w:ascii="仿宋_GB2312" w:eastAsia="仿宋_GB2312"/>
          <w:sz w:val="30"/>
          <w:szCs w:val="30"/>
        </w:rPr>
        <w:t>机构投资者。本所可以根据市场发展情况，调整信用保护工具投资者适当性标准。</w:t>
      </w:r>
    </w:p>
    <w:p w14:paraId="28373294">
      <w:pPr>
        <w:spacing w:line="600" w:lineRule="exact"/>
        <w:ind w:firstLine="602" w:firstLineChars="200"/>
        <w:outlineLvl w:val="3"/>
        <w:rPr>
          <w:rFonts w:ascii="仿宋_GB2312" w:hAnsi="黑体" w:eastAsia="仿宋_GB2312"/>
          <w:b/>
          <w:sz w:val="30"/>
          <w:szCs w:val="30"/>
        </w:rPr>
      </w:pPr>
      <w:bookmarkStart w:id="2316" w:name="_Toc41660691"/>
      <w:r>
        <w:rPr>
          <w:rFonts w:hint="eastAsia" w:ascii="仿宋_GB2312" w:hAnsi="黑体" w:eastAsia="仿宋_GB2312"/>
          <w:b/>
          <w:sz w:val="30"/>
          <w:szCs w:val="30"/>
        </w:rPr>
        <w:t>（1）核心交易商和创设机构</w:t>
      </w:r>
    </w:p>
    <w:bookmarkEnd w:id="2316"/>
    <w:p w14:paraId="126C527D">
      <w:pPr>
        <w:spacing w:line="600" w:lineRule="exact"/>
        <w:ind w:firstLine="600" w:firstLineChars="200"/>
        <w:rPr>
          <w:rFonts w:ascii="仿宋_GB2312" w:eastAsia="仿宋_GB2312"/>
          <w:sz w:val="30"/>
          <w:szCs w:val="30"/>
        </w:rPr>
      </w:pPr>
      <w:r>
        <w:rPr>
          <w:rFonts w:hint="eastAsia" w:ascii="仿宋_GB2312" w:eastAsia="仿宋_GB2312"/>
          <w:sz w:val="30"/>
          <w:szCs w:val="30"/>
        </w:rPr>
        <w:t>符合下列条件的金融机构、信用增进机构等经本所备案可成为核心交易商：</w:t>
      </w:r>
    </w:p>
    <w:p w14:paraId="4E00003A">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1）具有较丰富的信用风险管理经验和较强的信用风险承担能力；</w:t>
      </w:r>
    </w:p>
    <w:p w14:paraId="2D137618">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2）具有相对独立的信用保护工具交易团队，建立完备的信用风险管理工具内部操作规程和业务管理制度；</w:t>
      </w:r>
    </w:p>
    <w:p w14:paraId="4E9B972D">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3）近三年未因重大的证券期货违法行为被采取过重大行政监管措施或者受到行政、刑事处罚；</w:t>
      </w:r>
    </w:p>
    <w:p w14:paraId="40A2599E">
      <w:pPr>
        <w:adjustRightInd w:val="0"/>
        <w:snapToGrid w:val="0"/>
        <w:spacing w:line="600" w:lineRule="exact"/>
        <w:ind w:firstLine="600" w:firstLineChars="200"/>
        <w:rPr>
          <w:rFonts w:ascii="仿宋_GB2312" w:eastAsia="仿宋_GB2312"/>
          <w:sz w:val="30"/>
          <w:szCs w:val="30"/>
        </w:rPr>
      </w:pPr>
      <w:bookmarkStart w:id="2317" w:name="OLE_LINK10"/>
      <w:r>
        <w:rPr>
          <w:rFonts w:hint="eastAsia" w:ascii="仿宋_GB2312" w:eastAsia="仿宋_GB2312"/>
          <w:sz w:val="30"/>
          <w:szCs w:val="30"/>
        </w:rPr>
        <w:t>4）本所要求的其他条件。</w:t>
      </w:r>
    </w:p>
    <w:bookmarkEnd w:id="2317"/>
    <w:p w14:paraId="359E601F">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符合以下条件的核心交易商经本所备案可成为创设机构：</w:t>
      </w:r>
    </w:p>
    <w:p w14:paraId="0BC0C0D9">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1）最近一年末净资产不少于40亿元；</w:t>
      </w:r>
    </w:p>
    <w:p w14:paraId="01BD7662">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2）具有较强的信用风险管理和评估能力，并配备5名以上（含5名）的风险管理人员；</w:t>
      </w:r>
    </w:p>
    <w:p w14:paraId="6B64925C">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3）本所要求的其他条件。</w:t>
      </w:r>
    </w:p>
    <w:p w14:paraId="4799CC75">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证券期货经营机构备案成为核心交易商或者创设机构的，还须符合中国证监会的相关规定。CDX业务试点初期，具有场外期权一级交易商资质的证券期货经营机构经备案可作为核心交易商参与CDX业务，其他证券期货经营机构可作为投资者参与CDX业务。可作为核心交易商参与</w:t>
      </w:r>
      <w:r>
        <w:rPr>
          <w:rFonts w:ascii="仿宋_GB2312" w:hAnsi="Calibri" w:eastAsia="仿宋_GB2312"/>
          <w:sz w:val="30"/>
          <w:szCs w:val="30"/>
        </w:rPr>
        <w:t>CDX</w:t>
      </w:r>
      <w:r>
        <w:rPr>
          <w:rFonts w:hint="eastAsia" w:ascii="仿宋_GB2312" w:hAnsi="Calibri" w:eastAsia="仿宋_GB2312"/>
          <w:sz w:val="30"/>
          <w:szCs w:val="30"/>
        </w:rPr>
        <w:t>业务的机构名单，将在本所网站公布。</w:t>
      </w:r>
    </w:p>
    <w:p w14:paraId="5D106E06">
      <w:pPr>
        <w:spacing w:line="600" w:lineRule="exact"/>
        <w:ind w:firstLine="452" w:firstLineChars="150"/>
        <w:outlineLvl w:val="3"/>
        <w:rPr>
          <w:rFonts w:ascii="仿宋_GB2312" w:hAnsi="黑体" w:eastAsia="仿宋_GB2312"/>
          <w:b/>
          <w:sz w:val="30"/>
          <w:szCs w:val="30"/>
        </w:rPr>
      </w:pPr>
      <w:r>
        <w:rPr>
          <w:rFonts w:hint="eastAsia" w:ascii="仿宋_GB2312" w:hAnsi="黑体" w:eastAsia="仿宋_GB2312"/>
          <w:b/>
          <w:sz w:val="30"/>
          <w:szCs w:val="30"/>
        </w:rPr>
        <w:t>（2）备案要求</w:t>
      </w:r>
    </w:p>
    <w:p w14:paraId="06AC15CB">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债券投资者拟成为核心交易商或者创设机构的，应当向本所提交以下参与者资质备案文件：</w:t>
      </w:r>
    </w:p>
    <w:p w14:paraId="4B2985E5">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1）信用保护合约核心交易商/凭证创设机构资质申请信息表（附件</w:t>
      </w:r>
      <w:r>
        <w:rPr>
          <w:rFonts w:ascii="仿宋_GB2312" w:hAnsi="Calibri" w:eastAsia="仿宋_GB2312"/>
          <w:sz w:val="30"/>
          <w:szCs w:val="30"/>
        </w:rPr>
        <w:t>2</w:t>
      </w:r>
      <w:r>
        <w:rPr>
          <w:rFonts w:hint="eastAsia" w:ascii="仿宋_GB2312" w:hAnsi="Calibri" w:eastAsia="仿宋_GB2312"/>
          <w:sz w:val="30"/>
          <w:szCs w:val="30"/>
        </w:rPr>
        <w:t>5）；</w:t>
      </w:r>
    </w:p>
    <w:p w14:paraId="59FC8E0E">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2）最近一个会计年度经审计的总资产、净资产的说明及相关证明文件；</w:t>
      </w:r>
    </w:p>
    <w:p w14:paraId="060CAC10">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3）公司信用保护工具交易团队、信用保护工具业务内部操作规程和业务管理制度或者业务系统说明；</w:t>
      </w:r>
    </w:p>
    <w:p w14:paraId="18C886D8">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4）近三年未因重大的证券期货违法行为被采取过重大行政监管措施或受到行政或者刑事处罚的承诺函；</w:t>
      </w:r>
    </w:p>
    <w:p w14:paraId="1AB770EF">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5）本所要求的其他文件。</w:t>
      </w:r>
    </w:p>
    <w:p w14:paraId="1A558A69">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上述第（二）至（四）项文件，对于合约核心交易商补充备案CDX业务和备案申请信息表内容变更的，如所涉及内容较此前提交材料无重大变化的，可免于重复提交。</w:t>
      </w:r>
    </w:p>
    <w:p w14:paraId="610A5234">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参与者备案成为核心交易商或创设机构</w:t>
      </w:r>
      <w:r>
        <w:rPr>
          <w:rFonts w:hint="eastAsia" w:eastAsia="仿宋_GB2312"/>
          <w:sz w:val="30"/>
          <w:szCs w:val="28"/>
        </w:rPr>
        <w:t>，以及变更相关备案信息</w:t>
      </w:r>
      <w:r>
        <w:rPr>
          <w:rFonts w:hint="eastAsia" w:ascii="仿宋_GB2312" w:hAnsi="Calibri" w:eastAsia="仿宋_GB2312"/>
          <w:sz w:val="30"/>
          <w:szCs w:val="30"/>
        </w:rPr>
        <w:t xml:space="preserve">的文件可通过以下两种方式提交本所： </w:t>
      </w:r>
    </w:p>
    <w:p w14:paraId="0ECFDF51">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1）通过电子邮件（ssebond@sse.com.cn）；</w:t>
      </w:r>
    </w:p>
    <w:p w14:paraId="2FC61F77">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2）通过债券业务管理系统。</w:t>
      </w:r>
    </w:p>
    <w:p w14:paraId="1679410D">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业务初期主要采用电子邮件方式，邮件标题格式为“【参与者备案】XXX公司-信用保护合约核心交易商/凭证创设机构备案材料”，附件超过20M的请以超大附件或网盘链接通过普通附件发送。</w:t>
      </w:r>
    </w:p>
    <w:p w14:paraId="2B354601">
      <w:pPr>
        <w:spacing w:line="600" w:lineRule="exact"/>
        <w:ind w:firstLine="602" w:firstLineChars="200"/>
        <w:outlineLvl w:val="3"/>
        <w:rPr>
          <w:rFonts w:ascii="仿宋_GB2312" w:hAnsi="黑体" w:eastAsia="仿宋_GB2312"/>
          <w:b/>
          <w:sz w:val="30"/>
          <w:szCs w:val="30"/>
        </w:rPr>
      </w:pPr>
      <w:r>
        <w:rPr>
          <w:rFonts w:hint="eastAsia" w:ascii="仿宋_GB2312" w:hAnsi="黑体" w:eastAsia="仿宋_GB2312"/>
          <w:b/>
          <w:sz w:val="30"/>
          <w:szCs w:val="30"/>
        </w:rPr>
        <w:t>（3）经纪客户管理</w:t>
      </w:r>
    </w:p>
    <w:p w14:paraId="74E22A26">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证券公司应当按照相关规定对经纪客户进行管理，建立健全经纪客户参与信用保护工具业务相关的风险控制制度和业务流程，并建立经纪客户参与信用保护工具业务的诚信档案。</w:t>
      </w:r>
    </w:p>
    <w:p w14:paraId="6F5D6F2A">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证券公司应当在经纪客户参与信用保护工具业务前，向其全面介绍信用保护工具的相关业务规则及协议，充分揭示可能产生的风险，并要求其签署风险揭示书。风险揭示书应当包含本所确定的信用保护工具</w:t>
      </w:r>
      <w:r>
        <w:rPr>
          <w:rFonts w:hint="eastAsia" w:eastAsia="仿宋_GB2312"/>
          <w:sz w:val="30"/>
          <w:szCs w:val="28"/>
        </w:rPr>
        <w:t>债券投资者</w:t>
      </w:r>
      <w:r>
        <w:rPr>
          <w:rFonts w:hint="eastAsia" w:ascii="仿宋_GB2312" w:hAnsi="Calibri" w:eastAsia="仿宋_GB2312"/>
          <w:sz w:val="30"/>
          <w:szCs w:val="30"/>
        </w:rPr>
        <w:t>风险揭示书必备条款</w:t>
      </w:r>
      <w:r>
        <w:rPr>
          <w:rStyle w:val="53"/>
          <w:rFonts w:ascii="仿宋_GB2312" w:hAnsi="Calibri" w:eastAsia="仿宋_GB2312"/>
          <w:sz w:val="30"/>
          <w:szCs w:val="30"/>
        </w:rPr>
        <w:footnoteReference w:id="1"/>
      </w:r>
      <w:r>
        <w:rPr>
          <w:rFonts w:hint="eastAsia" w:ascii="仿宋_GB2312" w:hAnsi="Calibri" w:eastAsia="仿宋_GB2312"/>
          <w:sz w:val="30"/>
          <w:szCs w:val="30"/>
        </w:rPr>
        <w:t>。</w:t>
      </w:r>
    </w:p>
    <w:p w14:paraId="1FEF2DBE">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签署主协议和补充协议</w:t>
      </w:r>
    </w:p>
    <w:p w14:paraId="74F03E68">
      <w:pPr>
        <w:widowControl/>
        <w:spacing w:line="600" w:lineRule="exact"/>
        <w:ind w:firstLine="600" w:firstLineChars="200"/>
        <w:jc w:val="left"/>
        <w:rPr>
          <w:rFonts w:ascii="仿宋_GB2312" w:hAnsi="Calibri" w:eastAsia="仿宋_GB2312"/>
          <w:sz w:val="30"/>
          <w:szCs w:val="30"/>
        </w:rPr>
      </w:pPr>
      <w:r>
        <w:rPr>
          <w:rFonts w:hint="eastAsia" w:ascii="仿宋_GB2312" w:hAnsi="Calibri" w:eastAsia="仿宋_GB2312"/>
          <w:sz w:val="30"/>
          <w:szCs w:val="30"/>
        </w:rPr>
        <w:t>交易双方参与合约业务前应当签署《中国证券期货市场衍生品交易主协议（信用保护合约专用版）》，主协议模板下载网址为：</w:t>
      </w:r>
    </w:p>
    <w:p w14:paraId="50E578A6">
      <w:pPr>
        <w:widowControl/>
        <w:spacing w:line="600" w:lineRule="exact"/>
        <w:ind w:firstLine="420" w:firstLineChars="200"/>
        <w:jc w:val="left"/>
        <w:rPr>
          <w:rFonts w:ascii="仿宋_GB2312" w:hAnsi="Calibri" w:eastAsia="仿宋_GB2312"/>
          <w:sz w:val="30"/>
          <w:szCs w:val="30"/>
        </w:rPr>
      </w:pPr>
      <w:r>
        <w:fldChar w:fldCharType="begin"/>
      </w:r>
      <w:r>
        <w:instrText xml:space="preserve"> HYPERLINK "https://www.sac.net.cn/tzgg/201812/t20181227_137452.html" </w:instrText>
      </w:r>
      <w:r>
        <w:fldChar w:fldCharType="separate"/>
      </w:r>
      <w:r>
        <w:rPr>
          <w:rStyle w:val="51"/>
          <w:rFonts w:ascii="仿宋_GB2312" w:hAnsi="Calibri" w:eastAsia="仿宋_GB2312"/>
          <w:sz w:val="30"/>
          <w:szCs w:val="30"/>
        </w:rPr>
        <w:t>https://www.sac.net.cn/tzgg/201812/t20181227_137452.html</w:t>
      </w:r>
      <w:r>
        <w:rPr>
          <w:rStyle w:val="51"/>
          <w:rFonts w:ascii="仿宋_GB2312" w:hAnsi="Calibri" w:eastAsia="仿宋_GB2312"/>
          <w:sz w:val="30"/>
          <w:szCs w:val="30"/>
        </w:rPr>
        <w:fldChar w:fldCharType="end"/>
      </w:r>
    </w:p>
    <w:p w14:paraId="1BDFAED2">
      <w:pPr>
        <w:widowControl/>
        <w:spacing w:line="600" w:lineRule="exact"/>
        <w:ind w:firstLine="600" w:firstLineChars="200"/>
        <w:jc w:val="left"/>
        <w:rPr>
          <w:rFonts w:ascii="仿宋_GB2312" w:hAnsi="Calibri" w:eastAsia="仿宋_GB2312"/>
          <w:sz w:val="30"/>
          <w:szCs w:val="30"/>
        </w:rPr>
      </w:pPr>
      <w:r>
        <w:rPr>
          <w:rFonts w:hint="eastAsia" w:ascii="仿宋_GB2312" w:hAnsi="Calibri" w:eastAsia="仿宋_GB2312"/>
          <w:sz w:val="30"/>
          <w:szCs w:val="30"/>
        </w:rPr>
        <w:t>主协议为一对一签署，签署后在相关签署人之间生效。</w:t>
      </w:r>
    </w:p>
    <w:p w14:paraId="7C4D1574">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合约参与者为法人机构的，主协议由其法定代表人或授权代理人进行签署；参与者为证券投资基金、银行理财、资产管理计划等资管产品的，由管理人的法定代表人或授权代理人代为签署。</w:t>
      </w:r>
      <w:r>
        <w:rPr>
          <w:rFonts w:hint="eastAsia" w:eastAsia="仿宋_GB2312"/>
          <w:sz w:val="30"/>
          <w:szCs w:val="28"/>
        </w:rPr>
        <w:t>核心交易商与</w:t>
      </w:r>
      <w:r>
        <w:rPr>
          <w:rFonts w:hint="eastAsia" w:ascii="仿宋_GB2312" w:hAnsi="Calibri" w:eastAsia="仿宋_GB2312"/>
          <w:sz w:val="30"/>
          <w:szCs w:val="30"/>
        </w:rPr>
        <w:t>同一管理人管理的多只资管产品</w:t>
      </w:r>
      <w:r>
        <w:rPr>
          <w:rFonts w:hint="eastAsia" w:eastAsia="仿宋_GB2312"/>
          <w:sz w:val="30"/>
          <w:szCs w:val="28"/>
        </w:rPr>
        <w:t>开展合约交易的，可以与该资管产品管理人就多只资管产品合并签订一份</w:t>
      </w:r>
      <w:r>
        <w:rPr>
          <w:rFonts w:hint="eastAsia" w:ascii="仿宋_GB2312" w:hAnsi="Calibri" w:eastAsia="仿宋_GB2312"/>
          <w:sz w:val="30"/>
          <w:szCs w:val="30"/>
        </w:rPr>
        <w:t>主协议</w:t>
      </w:r>
      <w:r>
        <w:rPr>
          <w:rFonts w:hint="eastAsia" w:eastAsia="仿宋_GB2312"/>
          <w:sz w:val="30"/>
          <w:szCs w:val="28"/>
        </w:rPr>
        <w:t>，并附加盖交易双方公章的代签产品列表</w:t>
      </w:r>
      <w:r>
        <w:rPr>
          <w:rFonts w:hint="eastAsia" w:ascii="仿宋_GB2312" w:hAnsi="Calibri" w:eastAsia="仿宋_GB2312"/>
          <w:sz w:val="30"/>
          <w:szCs w:val="30"/>
        </w:rPr>
        <w:t>。</w:t>
      </w:r>
    </w:p>
    <w:p w14:paraId="773AF883">
      <w:pPr>
        <w:spacing w:line="600" w:lineRule="exact"/>
        <w:ind w:firstLine="600" w:firstLineChars="200"/>
        <w:rPr>
          <w:rFonts w:ascii="仿宋_GB2312" w:eastAsia="仿宋_GB2312"/>
          <w:kern w:val="0"/>
          <w:sz w:val="30"/>
          <w:szCs w:val="30"/>
        </w:rPr>
      </w:pPr>
      <w:r>
        <w:rPr>
          <w:rFonts w:hint="eastAsia" w:ascii="仿宋_GB2312" w:eastAsia="仿宋_GB2312"/>
          <w:kern w:val="0"/>
          <w:sz w:val="30"/>
          <w:szCs w:val="30"/>
        </w:rPr>
        <w:t>交易双方可以就合约相关事宜签订补充协议，但不得违反法律法规、部门规章、《</w:t>
      </w:r>
      <w:r>
        <w:rPr>
          <w:rFonts w:hint="eastAsia" w:ascii="仿宋_GB2312" w:hAnsi="Calibri" w:eastAsia="仿宋_GB2312"/>
          <w:sz w:val="30"/>
          <w:szCs w:val="30"/>
        </w:rPr>
        <w:t>上海证券交易所</w:t>
      </w:r>
      <w:r>
        <w:rPr>
          <w:rFonts w:ascii="仿宋_GB2312" w:hAnsi="Calibri" w:eastAsia="仿宋_GB2312"/>
          <w:sz w:val="30"/>
          <w:szCs w:val="30"/>
        </w:rPr>
        <w:t xml:space="preserve"> </w:t>
      </w:r>
      <w:r>
        <w:rPr>
          <w:rFonts w:hint="eastAsia" w:ascii="仿宋_GB2312" w:hAnsi="Calibri" w:eastAsia="仿宋_GB2312"/>
          <w:sz w:val="30"/>
          <w:szCs w:val="30"/>
        </w:rPr>
        <w:t>中国证券登记结算有限责任公司信用保护工具业务管理试点办法</w:t>
      </w:r>
      <w:r>
        <w:rPr>
          <w:rFonts w:hint="eastAsia" w:ascii="仿宋_GB2312" w:eastAsia="仿宋_GB2312"/>
          <w:kern w:val="0"/>
          <w:sz w:val="30"/>
          <w:szCs w:val="30"/>
        </w:rPr>
        <w:t>》（以下简称《试点办法》）《</w:t>
      </w:r>
      <w:r>
        <w:rPr>
          <w:rFonts w:hint="eastAsia" w:ascii="仿宋_GB2312" w:hAnsi="Calibri" w:eastAsia="仿宋_GB2312"/>
          <w:sz w:val="30"/>
          <w:szCs w:val="30"/>
        </w:rPr>
        <w:t>上海证券交易所信用保护工具交易业务指引</w:t>
      </w:r>
      <w:r>
        <w:rPr>
          <w:rFonts w:hint="eastAsia" w:ascii="仿宋_GB2312" w:eastAsia="仿宋_GB2312"/>
          <w:kern w:val="0"/>
          <w:sz w:val="30"/>
          <w:szCs w:val="30"/>
        </w:rPr>
        <w:t>》（以下简称《业务指引》）及本所、</w:t>
      </w:r>
      <w:r>
        <w:rPr>
          <w:rFonts w:hint="eastAsia" w:ascii="仿宋_GB2312" w:hAnsi="宋体" w:eastAsia="仿宋_GB2312" w:cs="宋体"/>
          <w:color w:val="000000"/>
          <w:kern w:val="0"/>
          <w:sz w:val="30"/>
          <w:szCs w:val="30"/>
        </w:rPr>
        <w:t>登记结算机构</w:t>
      </w:r>
      <w:r>
        <w:rPr>
          <w:rFonts w:hint="eastAsia" w:ascii="仿宋_GB2312" w:eastAsia="仿宋_GB2312"/>
          <w:kern w:val="0"/>
          <w:sz w:val="30"/>
          <w:szCs w:val="30"/>
        </w:rPr>
        <w:t>的其他相关规定。</w:t>
      </w:r>
    </w:p>
    <w:p w14:paraId="5BC9A35C">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交易双方签署主协议后，应当在5个交易日内向本所和中国证券业协会备案。中国证券业协会与本所进行主协议备案数据共享。</w:t>
      </w:r>
      <w:r>
        <w:rPr>
          <w:rFonts w:hint="eastAsia" w:eastAsia="仿宋_GB2312"/>
          <w:sz w:val="30"/>
          <w:szCs w:val="28"/>
        </w:rPr>
        <w:t>核心交易商应当按照中国证券业协会的要求填写代签产品明细表，并将代签产品列表与代签产品明细表随主协议一并在中国证券业协会相关报送系统中报送。代签产品列表如有变更，核心交易商应当在变更之日</w:t>
      </w:r>
      <w:r>
        <w:rPr>
          <w:rFonts w:ascii="仿宋_GB2312" w:hAnsi="Calibri" w:eastAsia="仿宋_GB2312"/>
          <w:sz w:val="30"/>
          <w:szCs w:val="30"/>
        </w:rPr>
        <w:t>5</w:t>
      </w:r>
      <w:r>
        <w:rPr>
          <w:rFonts w:hint="eastAsia" w:eastAsia="仿宋_GB2312"/>
          <w:sz w:val="30"/>
          <w:szCs w:val="28"/>
        </w:rPr>
        <w:t>个工作日内向中国证券业协会更新相关信息。</w:t>
      </w:r>
    </w:p>
    <w:p w14:paraId="509DCC3E">
      <w:pPr>
        <w:numPr>
          <w:ilvl w:val="2"/>
          <w:numId w:val="4"/>
        </w:numPr>
        <w:spacing w:line="600" w:lineRule="exact"/>
        <w:ind w:left="0" w:firstLine="0"/>
        <w:outlineLvl w:val="2"/>
        <w:rPr>
          <w:rFonts w:ascii="仿宋_GB2312" w:eastAsia="仿宋_GB2312"/>
          <w:b/>
          <w:sz w:val="30"/>
          <w:szCs w:val="30"/>
        </w:rPr>
      </w:pPr>
      <w:bookmarkStart w:id="2318" w:name="_Toc522561443"/>
      <w:bookmarkStart w:id="2319" w:name="_Toc41660695"/>
      <w:bookmarkStart w:id="2320" w:name="_Toc534569692"/>
      <w:r>
        <w:rPr>
          <w:rFonts w:hint="eastAsia" w:ascii="仿宋_GB2312" w:eastAsia="仿宋_GB2312"/>
          <w:b/>
          <w:sz w:val="30"/>
          <w:szCs w:val="30"/>
        </w:rPr>
        <w:t>合约</w:t>
      </w:r>
      <w:bookmarkEnd w:id="2318"/>
      <w:bookmarkStart w:id="2321" w:name="_Toc520192273"/>
      <w:bookmarkEnd w:id="2321"/>
      <w:bookmarkStart w:id="2322" w:name="_Toc522561466"/>
      <w:bookmarkEnd w:id="2322"/>
      <w:bookmarkStart w:id="2323" w:name="_Toc520192280"/>
      <w:bookmarkEnd w:id="2323"/>
      <w:bookmarkStart w:id="2324" w:name="_Toc522561471"/>
      <w:bookmarkEnd w:id="2324"/>
      <w:bookmarkStart w:id="2325" w:name="_Toc522561469"/>
      <w:bookmarkEnd w:id="2325"/>
      <w:bookmarkStart w:id="2326" w:name="_Toc520192264"/>
      <w:bookmarkEnd w:id="2326"/>
      <w:bookmarkStart w:id="2327" w:name="_Toc520192274"/>
      <w:bookmarkEnd w:id="2327"/>
      <w:bookmarkStart w:id="2328" w:name="_Toc520192275"/>
      <w:bookmarkEnd w:id="2328"/>
      <w:bookmarkStart w:id="2329" w:name="_Toc520192272"/>
      <w:bookmarkEnd w:id="2329"/>
      <w:bookmarkStart w:id="2330" w:name="_Toc520192255"/>
      <w:bookmarkEnd w:id="2330"/>
      <w:bookmarkStart w:id="2331" w:name="_Toc522561447"/>
      <w:bookmarkEnd w:id="2331"/>
      <w:bookmarkStart w:id="2332" w:name="_Toc522561458"/>
      <w:bookmarkEnd w:id="2332"/>
      <w:bookmarkStart w:id="2333" w:name="_Toc522561457"/>
      <w:bookmarkEnd w:id="2333"/>
      <w:bookmarkStart w:id="2334" w:name="_Toc522561455"/>
      <w:bookmarkEnd w:id="2334"/>
      <w:bookmarkStart w:id="2335" w:name="_Toc520192265"/>
      <w:bookmarkEnd w:id="2335"/>
      <w:bookmarkStart w:id="2336" w:name="_Toc520192270"/>
      <w:bookmarkEnd w:id="2336"/>
      <w:bookmarkStart w:id="2337" w:name="_Toc520192263"/>
      <w:bookmarkEnd w:id="2337"/>
      <w:bookmarkStart w:id="2338" w:name="_Toc520192276"/>
      <w:bookmarkEnd w:id="2338"/>
      <w:bookmarkStart w:id="2339" w:name="_Toc520192258"/>
      <w:bookmarkEnd w:id="2339"/>
      <w:bookmarkStart w:id="2340" w:name="_Toc522561444"/>
      <w:bookmarkEnd w:id="2340"/>
      <w:bookmarkStart w:id="2341" w:name="_Toc520192283"/>
      <w:bookmarkEnd w:id="2341"/>
      <w:bookmarkStart w:id="2342" w:name="_Toc522561461"/>
      <w:bookmarkEnd w:id="2342"/>
      <w:bookmarkStart w:id="2343" w:name="_Toc522561468"/>
      <w:bookmarkEnd w:id="2343"/>
      <w:bookmarkStart w:id="2344" w:name="_Toc520192271"/>
      <w:bookmarkEnd w:id="2344"/>
      <w:bookmarkStart w:id="2345" w:name="_Toc520192260"/>
      <w:bookmarkEnd w:id="2345"/>
      <w:bookmarkStart w:id="2346" w:name="_Toc520192269"/>
      <w:bookmarkEnd w:id="2346"/>
      <w:bookmarkStart w:id="2347" w:name="_Toc520192261"/>
      <w:bookmarkEnd w:id="2347"/>
      <w:bookmarkStart w:id="2348" w:name="_Toc522561459"/>
      <w:bookmarkEnd w:id="2348"/>
      <w:bookmarkStart w:id="2349" w:name="_Toc522561463"/>
      <w:bookmarkEnd w:id="2349"/>
      <w:bookmarkStart w:id="2350" w:name="_Toc520192267"/>
      <w:bookmarkEnd w:id="2350"/>
      <w:bookmarkStart w:id="2351" w:name="_Toc522561462"/>
      <w:bookmarkEnd w:id="2351"/>
      <w:bookmarkStart w:id="2352" w:name="_Toc520192262"/>
      <w:bookmarkEnd w:id="2352"/>
      <w:bookmarkStart w:id="2353" w:name="_Toc522561448"/>
      <w:bookmarkEnd w:id="2353"/>
      <w:bookmarkStart w:id="2354" w:name="_Toc520192268"/>
      <w:bookmarkEnd w:id="2354"/>
      <w:bookmarkStart w:id="2355" w:name="_Toc522561446"/>
      <w:bookmarkEnd w:id="2355"/>
      <w:bookmarkStart w:id="2356" w:name="_Toc522561445"/>
      <w:bookmarkEnd w:id="2356"/>
      <w:bookmarkStart w:id="2357" w:name="_Toc522561454"/>
      <w:bookmarkEnd w:id="2357"/>
      <w:bookmarkStart w:id="2358" w:name="_Toc522561464"/>
      <w:bookmarkEnd w:id="2358"/>
      <w:bookmarkStart w:id="2359" w:name="_Toc520192279"/>
      <w:bookmarkEnd w:id="2359"/>
      <w:bookmarkStart w:id="2360" w:name="_Toc522561465"/>
      <w:bookmarkEnd w:id="2360"/>
      <w:bookmarkStart w:id="2361" w:name="_Toc522561460"/>
      <w:bookmarkEnd w:id="2361"/>
      <w:bookmarkStart w:id="2362" w:name="_Toc520192259"/>
      <w:bookmarkEnd w:id="2362"/>
      <w:bookmarkStart w:id="2363" w:name="_Toc522561452"/>
      <w:bookmarkEnd w:id="2363"/>
      <w:bookmarkStart w:id="2364" w:name="_Toc520192257"/>
      <w:bookmarkEnd w:id="2364"/>
      <w:bookmarkStart w:id="2365" w:name="_Toc520192266"/>
      <w:bookmarkEnd w:id="2365"/>
      <w:bookmarkStart w:id="2366" w:name="_Toc522561470"/>
      <w:bookmarkEnd w:id="2366"/>
      <w:bookmarkStart w:id="2367" w:name="_Toc522561467"/>
      <w:bookmarkEnd w:id="2367"/>
      <w:bookmarkStart w:id="2368" w:name="_Toc522561450"/>
      <w:bookmarkEnd w:id="2368"/>
      <w:bookmarkStart w:id="2369" w:name="_Toc520192256"/>
      <w:bookmarkEnd w:id="2369"/>
      <w:bookmarkStart w:id="2370" w:name="_Toc522561453"/>
      <w:bookmarkEnd w:id="2370"/>
      <w:bookmarkStart w:id="2371" w:name="_Toc520192277"/>
      <w:bookmarkEnd w:id="2371"/>
      <w:bookmarkStart w:id="2372" w:name="_Toc520192281"/>
      <w:bookmarkEnd w:id="2372"/>
      <w:bookmarkStart w:id="2373" w:name="_Toc520192282"/>
      <w:bookmarkEnd w:id="2373"/>
      <w:bookmarkStart w:id="2374" w:name="_Toc520192278"/>
      <w:bookmarkEnd w:id="2374"/>
      <w:bookmarkStart w:id="2375" w:name="_Toc522561449"/>
      <w:bookmarkEnd w:id="2375"/>
      <w:bookmarkStart w:id="2376" w:name="_Toc522561456"/>
      <w:bookmarkEnd w:id="2376"/>
      <w:bookmarkStart w:id="2377" w:name="_Toc522561451"/>
      <w:bookmarkEnd w:id="2377"/>
      <w:r>
        <w:rPr>
          <w:rFonts w:hint="eastAsia" w:ascii="仿宋_GB2312" w:eastAsia="仿宋_GB2312"/>
          <w:b/>
          <w:sz w:val="30"/>
          <w:szCs w:val="30"/>
        </w:rPr>
        <w:t>业务流程</w:t>
      </w:r>
      <w:bookmarkEnd w:id="2319"/>
      <w:bookmarkEnd w:id="2320"/>
    </w:p>
    <w:p w14:paraId="4FF4D343">
      <w:pPr>
        <w:spacing w:line="600" w:lineRule="exact"/>
        <w:ind w:firstLine="602" w:firstLineChars="200"/>
        <w:outlineLvl w:val="3"/>
        <w:rPr>
          <w:rFonts w:ascii="仿宋_GB2312" w:eastAsia="仿宋_GB2312"/>
          <w:b/>
          <w:sz w:val="30"/>
          <w:szCs w:val="30"/>
        </w:rPr>
      </w:pPr>
      <w:bookmarkStart w:id="2378" w:name="_Toc41660696"/>
      <w:r>
        <w:rPr>
          <w:rFonts w:hint="eastAsia" w:ascii="仿宋_GB2312" w:eastAsia="仿宋_GB2312"/>
          <w:b/>
          <w:sz w:val="30"/>
          <w:szCs w:val="30"/>
        </w:rPr>
        <w:t>（1）合约申报及生成交易确认书</w:t>
      </w:r>
      <w:bookmarkEnd w:id="2378"/>
    </w:p>
    <w:p w14:paraId="4C127D83">
      <w:pPr>
        <w:spacing w:line="600" w:lineRule="exact"/>
        <w:ind w:firstLine="600" w:firstLineChars="200"/>
        <w:rPr>
          <w:rFonts w:ascii="仿宋_GB2312" w:hAnsi="黑体" w:eastAsia="仿宋_GB2312"/>
          <w:sz w:val="30"/>
          <w:szCs w:val="30"/>
        </w:rPr>
      </w:pPr>
      <w:r>
        <w:rPr>
          <w:rFonts w:hint="eastAsia" w:ascii="仿宋_GB2312" w:hAnsi="黑体" w:eastAsia="仿宋_GB2312"/>
          <w:sz w:val="30"/>
          <w:szCs w:val="30"/>
        </w:rPr>
        <w:t>1）合约申报</w:t>
      </w:r>
    </w:p>
    <w:p w14:paraId="7CF2D513">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交易双方协商一致后，一方通过交易系统进行合约申报，另一方进行确认。</w:t>
      </w:r>
    </w:p>
    <w:p w14:paraId="7D52F27D">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业务初期，交易系统仅支持通过指定对手方协商成交方式达成交易。交易一方将协商一致的交易要素通过交易系统发送给交易对手方，经交易对手方确认后，由交易系统确认成交。发送协商成交指定对手方申报时，对手方必须符合相关参与者资质要求并签署了主协议。</w:t>
      </w:r>
    </w:p>
    <w:p w14:paraId="08979B5F">
      <w:pPr>
        <w:spacing w:line="600" w:lineRule="exact"/>
        <w:ind w:firstLine="600" w:firstLineChars="200"/>
        <w:rPr>
          <w:rFonts w:ascii="仿宋_GB2312" w:hAnsi="黑体" w:eastAsia="仿宋_GB2312"/>
          <w:sz w:val="30"/>
          <w:szCs w:val="30"/>
        </w:rPr>
      </w:pPr>
      <w:r>
        <w:rPr>
          <w:rFonts w:hint="eastAsia" w:ascii="仿宋_GB2312" w:hAnsi="黑体" w:eastAsia="仿宋_GB2312"/>
          <w:sz w:val="30"/>
          <w:szCs w:val="30"/>
        </w:rPr>
        <w:t>2）生成交易确认书</w:t>
      </w:r>
    </w:p>
    <w:p w14:paraId="4F2874F6">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交易系统根据交易双方的确认，对符合形式要求的合约生成《XXXX信用保护合约交易确认书》（以下简称交易确认书，详见附件</w:t>
      </w:r>
      <w:r>
        <w:rPr>
          <w:rFonts w:ascii="仿宋_GB2312" w:hAnsi="Calibri" w:eastAsia="仿宋_GB2312"/>
          <w:sz w:val="30"/>
          <w:szCs w:val="30"/>
        </w:rPr>
        <w:t>2</w:t>
      </w:r>
      <w:r>
        <w:rPr>
          <w:rFonts w:hint="eastAsia" w:ascii="仿宋_GB2312" w:hAnsi="Calibri" w:eastAsia="仿宋_GB2312"/>
          <w:sz w:val="30"/>
          <w:szCs w:val="30"/>
        </w:rPr>
        <w:t>6）。</w:t>
      </w:r>
    </w:p>
    <w:p w14:paraId="3A75781D">
      <w:pPr>
        <w:widowControl/>
        <w:spacing w:line="600" w:lineRule="exact"/>
        <w:ind w:firstLine="600" w:firstLineChars="200"/>
        <w:rPr>
          <w:rFonts w:ascii="仿宋_GB2312" w:hAnsi="黑体" w:eastAsia="仿宋_GB2312"/>
          <w:sz w:val="30"/>
          <w:szCs w:val="30"/>
        </w:rPr>
      </w:pPr>
      <w:bookmarkStart w:id="2379" w:name="_Toc41660697"/>
      <w:r>
        <w:rPr>
          <w:rFonts w:hint="eastAsia" w:ascii="仿宋_GB2312" w:hAnsi="黑体" w:eastAsia="仿宋_GB2312"/>
          <w:sz w:val="30"/>
          <w:szCs w:val="30"/>
        </w:rPr>
        <w:t>3）合约申报要素</w:t>
      </w:r>
    </w:p>
    <w:bookmarkEnd w:id="2379"/>
    <w:p w14:paraId="2B8149B5">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合约的申报要素包括：买方名称、买方证券账户、卖方名称、卖方证券账户、名义本金、参考实体、债务种类、债务特征、可交付债务（如有）、信用事件类型、合约起始日、合约到期日、保护费率、保护费支付方式（含保护费支付频率和支付日期、保护费支付路径）、信用事件后的结算方式等。</w:t>
      </w:r>
    </w:p>
    <w:p w14:paraId="08452A62">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合约申报名义本金应当不低于50万元；保护费率计价单位为bp；保护费率变动单位为1bp。</w:t>
      </w:r>
    </w:p>
    <w:p w14:paraId="1AD0B651">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此外，针对CDX合约，合约特别要素参见《组合型信用保护合约要素表》（附件</w:t>
      </w:r>
      <w:r>
        <w:rPr>
          <w:rFonts w:ascii="仿宋_GB2312" w:hAnsi="Calibri" w:eastAsia="仿宋_GB2312"/>
          <w:sz w:val="30"/>
          <w:szCs w:val="30"/>
        </w:rPr>
        <w:t>2</w:t>
      </w:r>
      <w:r>
        <w:rPr>
          <w:rFonts w:hint="eastAsia" w:ascii="仿宋_GB2312" w:hAnsi="Calibri" w:eastAsia="仿宋_GB2312"/>
          <w:sz w:val="30"/>
          <w:szCs w:val="30"/>
        </w:rPr>
        <w:t>7）。</w:t>
      </w:r>
    </w:p>
    <w:p w14:paraId="0E9DDE0F">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合约的申报时间为每个交易日的9:00-11:30、13:00-</w:t>
      </w:r>
      <w:r>
        <w:rPr>
          <w:rFonts w:ascii="仿宋_GB2312" w:hAnsi="Calibri" w:eastAsia="仿宋_GB2312"/>
          <w:sz w:val="30"/>
          <w:szCs w:val="30"/>
        </w:rPr>
        <w:t>15</w:t>
      </w:r>
      <w:r>
        <w:rPr>
          <w:rFonts w:hint="eastAsia" w:ascii="仿宋_GB2312" w:hAnsi="Calibri" w:eastAsia="仿宋_GB2312"/>
          <w:sz w:val="30"/>
          <w:szCs w:val="30"/>
        </w:rPr>
        <w:t>:</w:t>
      </w:r>
      <w:r>
        <w:rPr>
          <w:rFonts w:ascii="仿宋_GB2312" w:hAnsi="Calibri" w:eastAsia="仿宋_GB2312"/>
          <w:sz w:val="30"/>
          <w:szCs w:val="30"/>
        </w:rPr>
        <w:t>3</w:t>
      </w:r>
      <w:r>
        <w:rPr>
          <w:rFonts w:hint="eastAsia" w:ascii="仿宋_GB2312" w:hAnsi="Calibri" w:eastAsia="仿宋_GB2312"/>
          <w:sz w:val="30"/>
          <w:szCs w:val="30"/>
        </w:rPr>
        <w:t>0。本所可以根据市场需要调整合约的申报时间。</w:t>
      </w:r>
    </w:p>
    <w:p w14:paraId="5C67916D">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债券投资者为本所债券交易参与人的，可直接通过交易系统进行申报；债券投资者为经纪客户的，由证券公司根据客户的委托和真实意思表示代为申报。本所可以根据市场需要调整合约的申报平台。</w:t>
      </w:r>
    </w:p>
    <w:p w14:paraId="0250F3B1">
      <w:pPr>
        <w:spacing w:line="600" w:lineRule="exact"/>
        <w:ind w:firstLine="600" w:firstLineChars="200"/>
        <w:rPr>
          <w:rFonts w:ascii="仿宋_GB2312" w:hAnsi="黑体" w:eastAsia="仿宋_GB2312"/>
          <w:sz w:val="30"/>
          <w:szCs w:val="30"/>
        </w:rPr>
      </w:pPr>
      <w:r>
        <w:rPr>
          <w:rFonts w:hint="eastAsia" w:ascii="仿宋_GB2312" w:hAnsi="黑体" w:eastAsia="仿宋_GB2312"/>
          <w:sz w:val="30"/>
          <w:szCs w:val="30"/>
        </w:rPr>
        <w:t>4）合约头寸要求</w:t>
      </w:r>
    </w:p>
    <w:p w14:paraId="16B25BB0">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试点初期，任何一家债券投资者对特定受保护债务的信用保护合约净买入余额或净卖出余额均不得超过该受保护债务总余额的100%。</w:t>
      </w:r>
    </w:p>
    <w:p w14:paraId="44B704AA">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信用保护合约买入余额、卖出余额按照各期限未到期余额加总计算。</w:t>
      </w:r>
    </w:p>
    <w:p w14:paraId="1B726B20">
      <w:pPr>
        <w:spacing w:line="600" w:lineRule="exact"/>
        <w:ind w:firstLine="602" w:firstLineChars="200"/>
        <w:outlineLvl w:val="3"/>
        <w:rPr>
          <w:rFonts w:ascii="仿宋_GB2312" w:eastAsia="仿宋_GB2312"/>
          <w:b/>
          <w:sz w:val="30"/>
          <w:szCs w:val="30"/>
        </w:rPr>
      </w:pPr>
      <w:bookmarkStart w:id="2380" w:name="_Toc41660700"/>
      <w:r>
        <w:rPr>
          <w:rFonts w:hint="eastAsia" w:ascii="仿宋_GB2312" w:eastAsia="仿宋_GB2312"/>
          <w:b/>
          <w:sz w:val="30"/>
          <w:szCs w:val="30"/>
        </w:rPr>
        <w:t>（2）合约提前终止</w:t>
      </w:r>
    </w:p>
    <w:p w14:paraId="558CFA88">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交易双方可在交易系统上提前终止合约。合约交易双方协商一致提前终止合约的，可以由一方通过交易系统申报，另一方进行确认。</w:t>
      </w:r>
    </w:p>
    <w:p w14:paraId="4DA19F72">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交易双方自行计算相关结算金额并通过登记结算机构或者自行协商的其他方式支付结算金额。通过登记结算机构办理结算金额支付的，交易双方在</w:t>
      </w:r>
      <w:r>
        <w:rPr>
          <w:rFonts w:ascii="仿宋_GB2312" w:hAnsi="Calibri" w:eastAsia="仿宋_GB2312"/>
          <w:sz w:val="30"/>
          <w:szCs w:val="30"/>
        </w:rPr>
        <w:t>中国证券登记结算有限责任公司</w:t>
      </w:r>
      <w:r>
        <w:rPr>
          <w:rFonts w:hint="eastAsia" w:ascii="仿宋_GB2312" w:hAnsi="Calibri" w:eastAsia="仿宋_GB2312"/>
          <w:sz w:val="30"/>
          <w:szCs w:val="30"/>
        </w:rPr>
        <w:t>PROP综合业务终端办理资金代收代付，具体流程参见登记结算机构相关规定。通过自行协商支付结算金额的，交易双方需自行完成支付。</w:t>
      </w:r>
    </w:p>
    <w:bookmarkEnd w:id="2380"/>
    <w:p w14:paraId="734A9F08">
      <w:pPr>
        <w:spacing w:line="600" w:lineRule="exact"/>
        <w:ind w:firstLine="602" w:firstLineChars="200"/>
        <w:outlineLvl w:val="3"/>
        <w:rPr>
          <w:rFonts w:ascii="仿宋_GB2312" w:eastAsia="仿宋_GB2312"/>
          <w:b/>
          <w:sz w:val="30"/>
          <w:szCs w:val="30"/>
        </w:rPr>
      </w:pPr>
      <w:bookmarkStart w:id="2381" w:name="_Toc41660701"/>
      <w:r>
        <w:rPr>
          <w:rFonts w:hint="eastAsia" w:ascii="仿宋_GB2312" w:eastAsia="仿宋_GB2312"/>
          <w:b/>
          <w:sz w:val="30"/>
          <w:szCs w:val="30"/>
        </w:rPr>
        <w:t>（</w:t>
      </w:r>
      <w:r>
        <w:rPr>
          <w:rFonts w:ascii="仿宋_GB2312" w:eastAsia="仿宋_GB2312"/>
          <w:b/>
          <w:sz w:val="30"/>
          <w:szCs w:val="30"/>
        </w:rPr>
        <w:t>3</w:t>
      </w:r>
      <w:r>
        <w:rPr>
          <w:rFonts w:hint="eastAsia" w:ascii="仿宋_GB2312" w:eastAsia="仿宋_GB2312"/>
          <w:b/>
          <w:sz w:val="30"/>
          <w:szCs w:val="30"/>
        </w:rPr>
        <w:t>）合约保护费支付</w:t>
      </w:r>
      <w:bookmarkEnd w:id="2381"/>
    </w:p>
    <w:p w14:paraId="2C3A359D">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合约的保护费支付方式可选择按季支付约定保护费、季度标准保护费和部分前端费用相结合、或者前端一次性支付。</w:t>
      </w:r>
    </w:p>
    <w:p w14:paraId="6A525138">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合约保护费可以通过登记结算机构或者自行协商的其他方式支付。通过登记结算机构办理保护费支付的，交易双方在</w:t>
      </w:r>
      <w:r>
        <w:rPr>
          <w:rFonts w:ascii="仿宋_GB2312" w:hAnsi="Calibri" w:eastAsia="仿宋_GB2312"/>
          <w:sz w:val="30"/>
          <w:szCs w:val="30"/>
        </w:rPr>
        <w:t>中国证券登记结算有限责任公司</w:t>
      </w:r>
      <w:r>
        <w:rPr>
          <w:rFonts w:hint="eastAsia" w:ascii="仿宋_GB2312" w:hAnsi="Calibri" w:eastAsia="仿宋_GB2312"/>
          <w:sz w:val="30"/>
          <w:szCs w:val="30"/>
        </w:rPr>
        <w:t>PROP综合业务终端办理资金代收代付，具体流程参见登记结算机构相关规定。通过自行协商支付保护费的，在每个保护费支付日，合约买方需自行向卖方支付保护费。</w:t>
      </w:r>
    </w:p>
    <w:p w14:paraId="4EC3BA44">
      <w:pPr>
        <w:spacing w:line="600" w:lineRule="exact"/>
        <w:ind w:firstLine="602" w:firstLineChars="200"/>
        <w:outlineLvl w:val="3"/>
        <w:rPr>
          <w:rFonts w:ascii="仿宋_GB2312" w:eastAsia="仿宋_GB2312"/>
          <w:b/>
          <w:sz w:val="30"/>
          <w:szCs w:val="30"/>
        </w:rPr>
      </w:pPr>
      <w:r>
        <w:rPr>
          <w:rFonts w:hint="eastAsia" w:ascii="仿宋_GB2312" w:eastAsia="仿宋_GB2312"/>
          <w:b/>
          <w:sz w:val="30"/>
          <w:szCs w:val="30"/>
        </w:rPr>
        <w:t>（</w:t>
      </w:r>
      <w:r>
        <w:rPr>
          <w:rFonts w:ascii="仿宋_GB2312" w:eastAsia="仿宋_GB2312"/>
          <w:b/>
          <w:sz w:val="30"/>
          <w:szCs w:val="30"/>
        </w:rPr>
        <w:t>4</w:t>
      </w:r>
      <w:r>
        <w:rPr>
          <w:rFonts w:hint="eastAsia" w:ascii="仿宋_GB2312" w:eastAsia="仿宋_GB2312"/>
          <w:b/>
          <w:sz w:val="30"/>
          <w:szCs w:val="30"/>
        </w:rPr>
        <w:t>）合约保护费停止积累情形</w:t>
      </w:r>
    </w:p>
    <w:p w14:paraId="2FDE3880">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1）对于按季支付约定保护费、季度标准保护费率和部分前端费用相结合的，若合约存续期未发生信用事件，合约到期后停止保护费积累；</w:t>
      </w:r>
    </w:p>
    <w:p w14:paraId="3CC6ECDA">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2）对于按季支付约定保护费、季度标准保护费率和部分前端费用相结合的，若合约存续期发生信用事件，信用事件决定日后停止保护费积累。其中，对于CDX合约，在信用事件决定日后，发生信用事件的参考实体所代表的名义本金停止保护费积累，其余部分名义本金的保护费不受影响，继续积累；</w:t>
      </w:r>
    </w:p>
    <w:p w14:paraId="345D382B">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3）合约提前终止的，合约终止日后停止保护费积累，交易双方在合约终止日通过约定方式支付结算金额。</w:t>
      </w:r>
    </w:p>
    <w:p w14:paraId="74523112">
      <w:pPr>
        <w:spacing w:line="600" w:lineRule="exact"/>
        <w:ind w:firstLine="602" w:firstLineChars="200"/>
        <w:outlineLvl w:val="3"/>
        <w:rPr>
          <w:rFonts w:ascii="仿宋_GB2312" w:eastAsia="仿宋_GB2312"/>
          <w:b/>
          <w:sz w:val="30"/>
          <w:szCs w:val="30"/>
        </w:rPr>
      </w:pPr>
      <w:r>
        <w:rPr>
          <w:rFonts w:hint="eastAsia" w:ascii="仿宋_GB2312" w:eastAsia="仿宋_GB2312"/>
          <w:b/>
          <w:sz w:val="30"/>
          <w:szCs w:val="30"/>
        </w:rPr>
        <w:t>（5）CDX合约意向申报</w:t>
      </w:r>
    </w:p>
    <w:p w14:paraId="0958EF6D">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试点初期，每个交易日15:30前，可以作为核心交易商开展CDX合约业务的市场参与者证券期货经营机构须在交易系统就当日每个最新版本CDX组合的关键期限合约向全市场提供双边意向申报，意向申报不可直接确认成交。</w:t>
      </w:r>
    </w:p>
    <w:p w14:paraId="60C4E513">
      <w:pPr>
        <w:spacing w:line="560" w:lineRule="exact"/>
        <w:jc w:val="center"/>
        <w:rPr>
          <w:rFonts w:ascii="仿宋_GB2312" w:eastAsia="仿宋_GB2312"/>
          <w:b/>
          <w:sz w:val="30"/>
          <w:szCs w:val="30"/>
        </w:rPr>
      </w:pPr>
      <w:r>
        <w:rPr>
          <w:rFonts w:ascii="仿宋_GB2312" w:eastAsia="仿宋_GB2312"/>
          <w:b/>
          <w:sz w:val="30"/>
          <w:szCs w:val="30"/>
        </w:rPr>
        <w:t>CDX</w:t>
      </w:r>
      <w:r>
        <w:rPr>
          <w:rFonts w:hint="eastAsia" w:ascii="仿宋_GB2312" w:eastAsia="仿宋_GB2312"/>
          <w:b/>
          <w:sz w:val="30"/>
          <w:szCs w:val="30"/>
        </w:rPr>
        <w:t>合约意向申报参考要素</w:t>
      </w:r>
    </w:p>
    <w:tbl>
      <w:tblPr>
        <w:tblStyle w:val="4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2410"/>
        <w:gridCol w:w="1559"/>
        <w:gridCol w:w="2631"/>
      </w:tblGrid>
      <w:tr w14:paraId="448E4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296" w:type="dxa"/>
            <w:gridSpan w:val="4"/>
            <w:vAlign w:val="center"/>
          </w:tcPr>
          <w:p w14:paraId="72315CFC">
            <w:pPr>
              <w:ind w:firstLine="360"/>
              <w:jc w:val="center"/>
              <w:rPr>
                <w:rFonts w:ascii="仿宋_GB2312" w:eastAsia="仿宋_GB2312"/>
                <w:b/>
                <w:sz w:val="24"/>
                <w:szCs w:val="24"/>
                <w:lang w:eastAsia="en-US" w:bidi="en-US"/>
              </w:rPr>
            </w:pPr>
            <w:r>
              <w:rPr>
                <w:rFonts w:hint="eastAsia" w:ascii="仿宋_GB2312" w:eastAsia="仿宋_GB2312"/>
                <w:b/>
                <w:sz w:val="24"/>
                <w:szCs w:val="24"/>
                <w:lang w:eastAsia="en-US" w:bidi="en-US"/>
              </w:rPr>
              <w:t>一般要素</w:t>
            </w:r>
          </w:p>
        </w:tc>
      </w:tr>
      <w:tr w14:paraId="4D8A5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696" w:type="dxa"/>
            <w:vAlign w:val="center"/>
          </w:tcPr>
          <w:p w14:paraId="0D2B8CA0">
            <w:pPr>
              <w:widowControl/>
              <w:ind w:firstLine="0"/>
              <w:rPr>
                <w:rFonts w:ascii="仿宋_GB2312" w:hAnsi="仿宋" w:eastAsia="仿宋_GB2312"/>
                <w:b/>
                <w:bCs/>
                <w:color w:val="000000"/>
                <w:sz w:val="24"/>
                <w:szCs w:val="24"/>
                <w:lang w:eastAsia="en-US" w:bidi="en-US"/>
              </w:rPr>
            </w:pPr>
            <w:r>
              <w:rPr>
                <w:rFonts w:hint="eastAsia" w:ascii="仿宋_GB2312" w:hAnsi="仿宋" w:eastAsia="仿宋_GB2312"/>
                <w:b/>
                <w:bCs/>
                <w:color w:val="000000"/>
                <w:sz w:val="24"/>
                <w:szCs w:val="24"/>
                <w:lang w:eastAsia="en-US" w:bidi="en-US"/>
              </w:rPr>
              <w:t>CDX组合</w:t>
            </w:r>
            <w:r>
              <w:rPr>
                <w:rFonts w:ascii="仿宋_GB2312" w:hAnsi="仿宋" w:eastAsia="仿宋_GB2312"/>
                <w:b/>
                <w:bCs/>
                <w:color w:val="000000"/>
                <w:sz w:val="24"/>
                <w:szCs w:val="24"/>
                <w:lang w:eastAsia="en-US" w:bidi="en-US"/>
              </w:rPr>
              <w:t>名称</w:t>
            </w:r>
          </w:p>
        </w:tc>
        <w:tc>
          <w:tcPr>
            <w:tcW w:w="2410" w:type="dxa"/>
            <w:vAlign w:val="center"/>
          </w:tcPr>
          <w:p w14:paraId="712C9BCC">
            <w:pPr>
              <w:widowControl/>
              <w:ind w:firstLine="0"/>
              <w:rPr>
                <w:rFonts w:ascii="仿宋_GB2312" w:hAnsi="仿宋" w:eastAsia="仿宋_GB2312"/>
                <w:color w:val="000000"/>
                <w:sz w:val="24"/>
                <w:szCs w:val="24"/>
                <w:lang w:eastAsia="en-US" w:bidi="en-US"/>
              </w:rPr>
            </w:pPr>
            <w:r>
              <w:rPr>
                <w:rFonts w:hint="eastAsia" w:ascii="仿宋_GB2312" w:hAnsi="仿宋" w:eastAsia="仿宋_GB2312"/>
                <w:color w:val="000000"/>
                <w:sz w:val="24"/>
                <w:szCs w:val="24"/>
                <w:lang w:eastAsia="en-US" w:bidi="en-US"/>
              </w:rPr>
              <w:t>交易所大型发行人CDX/交易所民企CDX</w:t>
            </w:r>
          </w:p>
        </w:tc>
        <w:tc>
          <w:tcPr>
            <w:tcW w:w="1559" w:type="dxa"/>
            <w:vAlign w:val="center"/>
          </w:tcPr>
          <w:p w14:paraId="171B8942">
            <w:pPr>
              <w:widowControl/>
              <w:ind w:firstLine="0"/>
              <w:rPr>
                <w:rFonts w:ascii="仿宋_GB2312" w:hAnsi="仿宋" w:eastAsia="仿宋_GB2312"/>
                <w:b/>
                <w:bCs/>
                <w:color w:val="000000"/>
                <w:sz w:val="24"/>
                <w:szCs w:val="24"/>
                <w:lang w:eastAsia="en-US" w:bidi="en-US"/>
              </w:rPr>
            </w:pPr>
            <w:r>
              <w:rPr>
                <w:rFonts w:hint="eastAsia" w:ascii="仿宋_GB2312" w:hAnsi="仿宋" w:eastAsia="仿宋_GB2312"/>
                <w:b/>
                <w:bCs/>
                <w:color w:val="000000"/>
                <w:sz w:val="24"/>
                <w:szCs w:val="24"/>
                <w:lang w:eastAsia="en-US" w:bidi="en-US"/>
              </w:rPr>
              <w:t>币种</w:t>
            </w:r>
          </w:p>
        </w:tc>
        <w:tc>
          <w:tcPr>
            <w:tcW w:w="2631" w:type="dxa"/>
            <w:vAlign w:val="center"/>
          </w:tcPr>
          <w:p w14:paraId="024C213C">
            <w:pPr>
              <w:widowControl/>
              <w:ind w:firstLine="0"/>
              <w:rPr>
                <w:rFonts w:ascii="仿宋_GB2312" w:hAnsi="仿宋" w:eastAsia="仿宋_GB2312"/>
                <w:color w:val="000000"/>
                <w:sz w:val="24"/>
                <w:szCs w:val="24"/>
                <w:lang w:eastAsia="en-US" w:bidi="en-US"/>
              </w:rPr>
            </w:pPr>
            <w:r>
              <w:rPr>
                <w:rFonts w:hint="eastAsia" w:ascii="仿宋_GB2312" w:hAnsi="仿宋" w:eastAsia="仿宋_GB2312"/>
                <w:color w:val="000000"/>
                <w:sz w:val="24"/>
                <w:szCs w:val="24"/>
                <w:lang w:eastAsia="en-US" w:bidi="en-US"/>
              </w:rPr>
              <w:t>人民币</w:t>
            </w:r>
          </w:p>
        </w:tc>
      </w:tr>
      <w:tr w14:paraId="3FBC1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696" w:type="dxa"/>
            <w:vAlign w:val="center"/>
          </w:tcPr>
          <w:p w14:paraId="44509CEB">
            <w:pPr>
              <w:widowControl/>
              <w:ind w:firstLine="0"/>
              <w:rPr>
                <w:rFonts w:ascii="仿宋_GB2312" w:hAnsi="仿宋" w:eastAsia="仿宋_GB2312"/>
                <w:b/>
                <w:bCs/>
                <w:color w:val="000000"/>
                <w:sz w:val="24"/>
                <w:szCs w:val="24"/>
                <w:lang w:eastAsia="en-US" w:bidi="en-US"/>
              </w:rPr>
            </w:pPr>
            <w:r>
              <w:rPr>
                <w:rFonts w:hint="eastAsia" w:ascii="仿宋_GB2312" w:hAnsi="仿宋" w:eastAsia="仿宋_GB2312"/>
                <w:b/>
                <w:color w:val="000000"/>
                <w:sz w:val="24"/>
                <w:szCs w:val="24"/>
                <w:lang w:eastAsia="en-US" w:bidi="en-US"/>
              </w:rPr>
              <w:t>起始日</w:t>
            </w:r>
          </w:p>
        </w:tc>
        <w:tc>
          <w:tcPr>
            <w:tcW w:w="2410" w:type="dxa"/>
            <w:vAlign w:val="center"/>
          </w:tcPr>
          <w:p w14:paraId="58A571B8">
            <w:pPr>
              <w:widowControl/>
              <w:ind w:firstLine="0"/>
              <w:rPr>
                <w:rFonts w:ascii="仿宋_GB2312" w:hAnsi="仿宋" w:eastAsia="仿宋_GB2312"/>
                <w:color w:val="000000"/>
                <w:sz w:val="24"/>
                <w:szCs w:val="24"/>
                <w:lang w:eastAsia="en-US" w:bidi="en-US"/>
              </w:rPr>
            </w:pPr>
            <w:r>
              <w:rPr>
                <w:rFonts w:hint="eastAsia" w:ascii="仿宋_GB2312" w:hAnsi="仿宋" w:eastAsia="仿宋_GB2312"/>
                <w:color w:val="000000"/>
                <w:sz w:val="24"/>
                <w:szCs w:val="24"/>
                <w:lang w:eastAsia="en-US" w:bidi="en-US"/>
              </w:rPr>
              <w:t>当前日期的下一个交易日</w:t>
            </w:r>
          </w:p>
        </w:tc>
        <w:tc>
          <w:tcPr>
            <w:tcW w:w="1559" w:type="dxa"/>
            <w:vAlign w:val="center"/>
          </w:tcPr>
          <w:p w14:paraId="01364ED2">
            <w:pPr>
              <w:widowControl/>
              <w:ind w:firstLine="0"/>
              <w:rPr>
                <w:rFonts w:ascii="仿宋_GB2312" w:hAnsi="仿宋" w:eastAsia="仿宋_GB2312"/>
                <w:b/>
                <w:bCs/>
                <w:color w:val="000000"/>
                <w:sz w:val="24"/>
                <w:szCs w:val="24"/>
                <w:lang w:eastAsia="en-US" w:bidi="en-US"/>
              </w:rPr>
            </w:pPr>
            <w:r>
              <w:rPr>
                <w:rFonts w:hint="eastAsia" w:ascii="仿宋_GB2312" w:hAnsi="仿宋" w:eastAsia="仿宋_GB2312"/>
                <w:b/>
                <w:bCs/>
                <w:color w:val="000000"/>
                <w:sz w:val="24"/>
                <w:szCs w:val="24"/>
                <w:lang w:eastAsia="en-US" w:bidi="en-US"/>
              </w:rPr>
              <w:t>期限</w:t>
            </w:r>
          </w:p>
        </w:tc>
        <w:tc>
          <w:tcPr>
            <w:tcW w:w="2631" w:type="dxa"/>
            <w:vAlign w:val="center"/>
          </w:tcPr>
          <w:p w14:paraId="6851F572">
            <w:pPr>
              <w:widowControl/>
              <w:ind w:firstLine="0"/>
              <w:rPr>
                <w:rFonts w:ascii="仿宋_GB2312" w:hAnsi="仿宋" w:eastAsia="仿宋_GB2312"/>
                <w:color w:val="000000"/>
                <w:sz w:val="24"/>
                <w:szCs w:val="24"/>
                <w:lang w:eastAsia="en-US" w:bidi="en-US"/>
              </w:rPr>
            </w:pPr>
            <w:r>
              <w:rPr>
                <w:rFonts w:ascii="仿宋_GB2312" w:hAnsi="仿宋" w:eastAsia="仿宋_GB2312"/>
                <w:color w:val="000000"/>
                <w:sz w:val="24"/>
                <w:szCs w:val="24"/>
                <w:lang w:eastAsia="en-US" w:bidi="en-US"/>
              </w:rPr>
              <w:t>3M</w:t>
            </w:r>
            <w:r>
              <w:rPr>
                <w:rFonts w:hint="eastAsia" w:ascii="仿宋_GB2312" w:hAnsi="仿宋" w:eastAsia="仿宋_GB2312"/>
                <w:color w:val="000000"/>
                <w:sz w:val="24"/>
                <w:szCs w:val="24"/>
                <w:lang w:eastAsia="en-US" w:bidi="en-US"/>
              </w:rPr>
              <w:t>/</w:t>
            </w:r>
            <w:r>
              <w:rPr>
                <w:rFonts w:ascii="仿宋_GB2312" w:hAnsi="仿宋" w:eastAsia="仿宋_GB2312"/>
                <w:color w:val="000000"/>
                <w:sz w:val="24"/>
                <w:szCs w:val="24"/>
                <w:lang w:eastAsia="en-US" w:bidi="en-US"/>
              </w:rPr>
              <w:t>6M</w:t>
            </w:r>
            <w:r>
              <w:rPr>
                <w:rFonts w:hint="eastAsia" w:ascii="仿宋_GB2312" w:hAnsi="仿宋" w:eastAsia="仿宋_GB2312"/>
                <w:color w:val="000000"/>
                <w:sz w:val="24"/>
                <w:szCs w:val="24"/>
                <w:lang w:eastAsia="en-US" w:bidi="en-US"/>
              </w:rPr>
              <w:t>/</w:t>
            </w:r>
            <w:r>
              <w:rPr>
                <w:rFonts w:ascii="仿宋_GB2312" w:hAnsi="仿宋" w:eastAsia="仿宋_GB2312"/>
                <w:color w:val="000000"/>
                <w:sz w:val="24"/>
                <w:szCs w:val="24"/>
                <w:lang w:eastAsia="en-US" w:bidi="en-US"/>
              </w:rPr>
              <w:t>1Y</w:t>
            </w:r>
            <w:r>
              <w:rPr>
                <w:rFonts w:hint="eastAsia" w:ascii="仿宋_GB2312" w:hAnsi="仿宋" w:eastAsia="仿宋_GB2312"/>
                <w:color w:val="000000"/>
                <w:sz w:val="24"/>
                <w:szCs w:val="24"/>
                <w:lang w:eastAsia="en-US" w:bidi="en-US"/>
              </w:rPr>
              <w:t>/</w:t>
            </w:r>
            <w:r>
              <w:rPr>
                <w:rFonts w:ascii="仿宋_GB2312" w:hAnsi="仿宋" w:eastAsia="仿宋_GB2312"/>
                <w:color w:val="000000"/>
                <w:sz w:val="24"/>
                <w:szCs w:val="24"/>
                <w:lang w:eastAsia="en-US" w:bidi="en-US"/>
              </w:rPr>
              <w:t>2Y</w:t>
            </w:r>
            <w:r>
              <w:rPr>
                <w:rFonts w:hint="eastAsia" w:ascii="仿宋_GB2312" w:hAnsi="仿宋" w:eastAsia="仿宋_GB2312"/>
                <w:color w:val="000000"/>
                <w:sz w:val="24"/>
                <w:szCs w:val="24"/>
                <w:lang w:eastAsia="en-US" w:bidi="en-US"/>
              </w:rPr>
              <w:t>/</w:t>
            </w:r>
            <w:r>
              <w:rPr>
                <w:rFonts w:ascii="仿宋_GB2312" w:hAnsi="仿宋" w:eastAsia="仿宋_GB2312"/>
                <w:color w:val="000000"/>
                <w:sz w:val="24"/>
                <w:szCs w:val="24"/>
                <w:lang w:eastAsia="en-US" w:bidi="en-US"/>
              </w:rPr>
              <w:t>3Y</w:t>
            </w:r>
            <w:r>
              <w:rPr>
                <w:rFonts w:hint="eastAsia" w:ascii="仿宋_GB2312" w:hAnsi="仿宋" w:eastAsia="仿宋_GB2312"/>
                <w:color w:val="000000"/>
                <w:sz w:val="24"/>
                <w:szCs w:val="24"/>
                <w:lang w:eastAsia="en-US" w:bidi="en-US"/>
              </w:rPr>
              <w:t>/</w:t>
            </w:r>
            <w:r>
              <w:rPr>
                <w:rFonts w:ascii="仿宋_GB2312" w:hAnsi="仿宋" w:eastAsia="仿宋_GB2312"/>
                <w:color w:val="000000"/>
                <w:sz w:val="24"/>
                <w:szCs w:val="24"/>
                <w:lang w:eastAsia="en-US" w:bidi="en-US"/>
              </w:rPr>
              <w:t>4Y</w:t>
            </w:r>
            <w:r>
              <w:rPr>
                <w:rFonts w:hint="eastAsia" w:ascii="仿宋_GB2312" w:hAnsi="仿宋" w:eastAsia="仿宋_GB2312"/>
                <w:color w:val="000000"/>
                <w:sz w:val="24"/>
                <w:szCs w:val="24"/>
                <w:lang w:eastAsia="en-US" w:bidi="en-US"/>
              </w:rPr>
              <w:t>/</w:t>
            </w:r>
            <w:r>
              <w:rPr>
                <w:rFonts w:ascii="仿宋_GB2312" w:hAnsi="仿宋" w:eastAsia="仿宋_GB2312"/>
                <w:color w:val="000000"/>
                <w:sz w:val="24"/>
                <w:szCs w:val="24"/>
                <w:lang w:eastAsia="en-US" w:bidi="en-US"/>
              </w:rPr>
              <w:t>5Y</w:t>
            </w:r>
          </w:p>
        </w:tc>
      </w:tr>
      <w:tr w14:paraId="237A4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696" w:type="dxa"/>
            <w:vAlign w:val="center"/>
          </w:tcPr>
          <w:p w14:paraId="32327445">
            <w:pPr>
              <w:widowControl/>
              <w:ind w:firstLine="0"/>
              <w:rPr>
                <w:rFonts w:ascii="仿宋_GB2312" w:hAnsi="仿宋" w:eastAsia="仿宋_GB2312"/>
                <w:b/>
                <w:color w:val="000000"/>
                <w:sz w:val="24"/>
                <w:szCs w:val="24"/>
                <w:lang w:eastAsia="en-US" w:bidi="en-US"/>
              </w:rPr>
            </w:pPr>
            <w:r>
              <w:rPr>
                <w:rFonts w:hint="eastAsia" w:ascii="仿宋_GB2312" w:hAnsi="仿宋" w:eastAsia="仿宋_GB2312"/>
                <w:b/>
                <w:color w:val="000000"/>
                <w:sz w:val="24"/>
                <w:szCs w:val="24"/>
                <w:lang w:eastAsia="en-US" w:bidi="en-US"/>
              </w:rPr>
              <w:t>买入</w:t>
            </w:r>
            <w:r>
              <w:rPr>
                <w:rFonts w:hint="eastAsia" w:ascii="仿宋_GB2312" w:hAnsi="仿宋" w:eastAsia="仿宋_GB2312"/>
                <w:b/>
                <w:bCs/>
                <w:color w:val="000000"/>
                <w:sz w:val="24"/>
                <w:szCs w:val="24"/>
                <w:lang w:eastAsia="en-US" w:bidi="en-US"/>
              </w:rPr>
              <w:t>保护费率</w:t>
            </w:r>
          </w:p>
        </w:tc>
        <w:tc>
          <w:tcPr>
            <w:tcW w:w="2410" w:type="dxa"/>
            <w:vAlign w:val="center"/>
          </w:tcPr>
          <w:p w14:paraId="5315B93D">
            <w:pPr>
              <w:widowControl/>
              <w:ind w:firstLine="0"/>
              <w:rPr>
                <w:rFonts w:ascii="仿宋_GB2312" w:hAnsi="仿宋" w:eastAsia="仿宋_GB2312"/>
                <w:color w:val="000000"/>
                <w:sz w:val="24"/>
                <w:szCs w:val="24"/>
                <w:lang w:eastAsia="en-US" w:bidi="en-US"/>
              </w:rPr>
            </w:pPr>
            <w:r>
              <w:rPr>
                <w:rFonts w:hint="eastAsia" w:ascii="仿宋_GB2312" w:hAnsi="仿宋" w:eastAsia="仿宋_GB2312"/>
                <w:color w:val="000000"/>
                <w:sz w:val="24"/>
                <w:szCs w:val="24"/>
                <w:lang w:eastAsia="en-US" w:bidi="en-US"/>
              </w:rPr>
              <w:t>约定，单位（</w:t>
            </w:r>
            <w:r>
              <w:rPr>
                <w:rFonts w:ascii="仿宋_GB2312" w:hAnsi="仿宋" w:eastAsia="仿宋_GB2312"/>
                <w:color w:val="000000"/>
                <w:sz w:val="24"/>
                <w:szCs w:val="24"/>
                <w:lang w:eastAsia="en-US" w:bidi="en-US"/>
              </w:rPr>
              <w:t>bps）</w:t>
            </w:r>
          </w:p>
        </w:tc>
        <w:tc>
          <w:tcPr>
            <w:tcW w:w="1559" w:type="dxa"/>
            <w:vAlign w:val="center"/>
          </w:tcPr>
          <w:p w14:paraId="53DBEA58">
            <w:pPr>
              <w:widowControl/>
              <w:ind w:firstLine="0"/>
              <w:rPr>
                <w:rFonts w:ascii="仿宋_GB2312" w:hAnsi="仿宋" w:eastAsia="仿宋_GB2312"/>
                <w:b/>
                <w:color w:val="000000"/>
                <w:sz w:val="24"/>
                <w:szCs w:val="24"/>
                <w:lang w:eastAsia="en-US" w:bidi="en-US"/>
              </w:rPr>
            </w:pPr>
            <w:r>
              <w:rPr>
                <w:rFonts w:hint="eastAsia" w:ascii="仿宋_GB2312" w:hAnsi="仿宋" w:eastAsia="仿宋_GB2312"/>
                <w:b/>
                <w:sz w:val="24"/>
                <w:szCs w:val="24"/>
                <w:lang w:eastAsia="en-US" w:bidi="en-US"/>
              </w:rPr>
              <w:t>报价方式</w:t>
            </w:r>
          </w:p>
        </w:tc>
        <w:tc>
          <w:tcPr>
            <w:tcW w:w="2631" w:type="dxa"/>
            <w:vAlign w:val="center"/>
          </w:tcPr>
          <w:p w14:paraId="78FDDE1A">
            <w:pPr>
              <w:widowControl/>
              <w:ind w:firstLine="0"/>
              <w:rPr>
                <w:rFonts w:ascii="仿宋_GB2312" w:hAnsi="仿宋" w:eastAsia="仿宋_GB2312"/>
                <w:color w:val="000000"/>
                <w:sz w:val="24"/>
                <w:szCs w:val="24"/>
                <w:lang w:eastAsia="en-US" w:bidi="en-US"/>
              </w:rPr>
            </w:pPr>
            <w:r>
              <w:rPr>
                <w:rFonts w:hint="eastAsia" w:ascii="仿宋_GB2312" w:hAnsi="仿宋" w:eastAsia="仿宋_GB2312"/>
                <w:sz w:val="24"/>
                <w:szCs w:val="24"/>
                <w:lang w:eastAsia="en-US" w:bidi="en-US"/>
              </w:rPr>
              <w:t>按年化保护费报价</w:t>
            </w:r>
          </w:p>
        </w:tc>
      </w:tr>
      <w:tr w14:paraId="144CE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696" w:type="dxa"/>
            <w:vAlign w:val="center"/>
          </w:tcPr>
          <w:p w14:paraId="1C8657CD">
            <w:pPr>
              <w:widowControl/>
              <w:ind w:firstLine="0"/>
              <w:rPr>
                <w:rFonts w:ascii="仿宋_GB2312" w:hAnsi="仿宋" w:eastAsia="仿宋_GB2312"/>
                <w:b/>
                <w:color w:val="000000"/>
                <w:sz w:val="24"/>
                <w:szCs w:val="24"/>
                <w:lang w:eastAsia="en-US" w:bidi="en-US"/>
              </w:rPr>
            </w:pPr>
            <w:r>
              <w:rPr>
                <w:rFonts w:hint="eastAsia" w:ascii="仿宋_GB2312" w:hAnsi="仿宋" w:eastAsia="仿宋_GB2312"/>
                <w:b/>
                <w:bCs/>
                <w:color w:val="000000"/>
                <w:sz w:val="24"/>
                <w:szCs w:val="24"/>
                <w:lang w:eastAsia="en-US" w:bidi="en-US"/>
              </w:rPr>
              <w:t>卖出保护费率</w:t>
            </w:r>
          </w:p>
        </w:tc>
        <w:tc>
          <w:tcPr>
            <w:tcW w:w="2410" w:type="dxa"/>
            <w:vAlign w:val="center"/>
          </w:tcPr>
          <w:p w14:paraId="2D8BFAE9">
            <w:pPr>
              <w:widowControl/>
              <w:ind w:firstLine="0"/>
              <w:rPr>
                <w:rFonts w:ascii="仿宋_GB2312" w:hAnsi="仿宋" w:eastAsia="仿宋_GB2312"/>
                <w:color w:val="000000"/>
                <w:sz w:val="24"/>
                <w:szCs w:val="24"/>
                <w:lang w:eastAsia="en-US" w:bidi="en-US"/>
              </w:rPr>
            </w:pPr>
            <w:r>
              <w:rPr>
                <w:rFonts w:hint="eastAsia" w:ascii="仿宋_GB2312" w:hAnsi="仿宋" w:eastAsia="仿宋_GB2312"/>
                <w:color w:val="000000"/>
                <w:sz w:val="24"/>
                <w:szCs w:val="24"/>
                <w:lang w:eastAsia="en-US" w:bidi="en-US"/>
              </w:rPr>
              <w:t>约定，单位（</w:t>
            </w:r>
            <w:r>
              <w:rPr>
                <w:rFonts w:ascii="仿宋_GB2312" w:hAnsi="仿宋" w:eastAsia="仿宋_GB2312"/>
                <w:color w:val="000000"/>
                <w:sz w:val="24"/>
                <w:szCs w:val="24"/>
                <w:lang w:eastAsia="en-US" w:bidi="en-US"/>
              </w:rPr>
              <w:t>bps）</w:t>
            </w:r>
          </w:p>
        </w:tc>
        <w:tc>
          <w:tcPr>
            <w:tcW w:w="1559" w:type="dxa"/>
            <w:vAlign w:val="center"/>
          </w:tcPr>
          <w:p w14:paraId="398FBE45">
            <w:pPr>
              <w:widowControl/>
              <w:ind w:firstLine="0"/>
              <w:rPr>
                <w:rFonts w:ascii="仿宋_GB2312" w:hAnsi="仿宋" w:eastAsia="仿宋_GB2312"/>
                <w:b/>
                <w:color w:val="000000"/>
                <w:sz w:val="24"/>
                <w:szCs w:val="24"/>
                <w:lang w:eastAsia="en-US" w:bidi="en-US"/>
              </w:rPr>
            </w:pPr>
            <w:r>
              <w:rPr>
                <w:rFonts w:hint="eastAsia" w:ascii="仿宋_GB2312" w:hAnsi="仿宋" w:eastAsia="仿宋_GB2312"/>
                <w:b/>
                <w:bCs/>
                <w:color w:val="000000"/>
                <w:sz w:val="24"/>
                <w:szCs w:val="24"/>
                <w:lang w:eastAsia="en-US" w:bidi="en-US"/>
              </w:rPr>
              <w:t>约定回收率</w:t>
            </w:r>
          </w:p>
        </w:tc>
        <w:tc>
          <w:tcPr>
            <w:tcW w:w="2631" w:type="dxa"/>
            <w:vAlign w:val="center"/>
          </w:tcPr>
          <w:p w14:paraId="746FE305">
            <w:pPr>
              <w:widowControl/>
              <w:ind w:firstLine="0"/>
              <w:rPr>
                <w:rFonts w:ascii="仿宋_GB2312" w:hAnsi="仿宋" w:eastAsia="仿宋_GB2312"/>
                <w:color w:val="000000"/>
                <w:sz w:val="24"/>
                <w:szCs w:val="24"/>
                <w:lang w:eastAsia="en-US" w:bidi="en-US"/>
              </w:rPr>
            </w:pPr>
            <w:r>
              <w:rPr>
                <w:rFonts w:ascii="仿宋_GB2312" w:hAnsi="仿宋" w:eastAsia="仿宋_GB2312"/>
                <w:color w:val="000000"/>
                <w:sz w:val="24"/>
                <w:szCs w:val="24"/>
                <w:lang w:eastAsia="en-US" w:bidi="en-US"/>
              </w:rPr>
              <w:t>25%</w:t>
            </w:r>
          </w:p>
        </w:tc>
      </w:tr>
      <w:tr w14:paraId="3170F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696" w:type="dxa"/>
            <w:vAlign w:val="center"/>
          </w:tcPr>
          <w:p w14:paraId="6B3F23D7">
            <w:pPr>
              <w:widowControl/>
              <w:ind w:firstLine="0"/>
              <w:rPr>
                <w:rFonts w:ascii="仿宋_GB2312" w:hAnsi="仿宋" w:eastAsia="仿宋_GB2312"/>
                <w:b/>
                <w:bCs/>
                <w:color w:val="000000"/>
                <w:sz w:val="24"/>
                <w:szCs w:val="24"/>
                <w:lang w:eastAsia="en-US" w:bidi="en-US"/>
              </w:rPr>
            </w:pPr>
            <w:r>
              <w:rPr>
                <w:rFonts w:hint="eastAsia" w:ascii="仿宋_GB2312" w:hAnsi="仿宋" w:eastAsia="仿宋_GB2312"/>
                <w:b/>
                <w:color w:val="000000"/>
                <w:sz w:val="24"/>
                <w:szCs w:val="24"/>
                <w:lang w:eastAsia="en-US" w:bidi="en-US"/>
              </w:rPr>
              <w:t>计息基准</w:t>
            </w:r>
          </w:p>
        </w:tc>
        <w:tc>
          <w:tcPr>
            <w:tcW w:w="2410" w:type="dxa"/>
            <w:vAlign w:val="center"/>
          </w:tcPr>
          <w:p w14:paraId="472A6DD6">
            <w:pPr>
              <w:widowControl/>
              <w:ind w:firstLine="0"/>
              <w:rPr>
                <w:rFonts w:ascii="仿宋_GB2312" w:hAnsi="仿宋" w:eastAsia="仿宋_GB2312"/>
                <w:color w:val="000000"/>
                <w:sz w:val="24"/>
                <w:szCs w:val="24"/>
                <w:lang w:eastAsia="en-US" w:bidi="en-US"/>
              </w:rPr>
            </w:pPr>
            <w:r>
              <w:rPr>
                <w:rFonts w:ascii="仿宋_GB2312" w:hAnsi="仿宋" w:eastAsia="仿宋_GB2312"/>
                <w:color w:val="000000"/>
                <w:sz w:val="24"/>
                <w:szCs w:val="24"/>
                <w:lang w:eastAsia="en-US" w:bidi="en-US"/>
              </w:rPr>
              <w:t>A/365</w:t>
            </w:r>
          </w:p>
        </w:tc>
        <w:tc>
          <w:tcPr>
            <w:tcW w:w="1559" w:type="dxa"/>
            <w:vAlign w:val="center"/>
          </w:tcPr>
          <w:p w14:paraId="477B9EFE">
            <w:pPr>
              <w:widowControl/>
              <w:ind w:firstLine="0"/>
              <w:rPr>
                <w:rFonts w:ascii="仿宋_GB2312" w:hAnsi="仿宋" w:eastAsia="仿宋_GB2312"/>
                <w:b/>
                <w:color w:val="000000"/>
                <w:sz w:val="24"/>
                <w:szCs w:val="24"/>
                <w:lang w:eastAsia="en-US" w:bidi="en-US"/>
              </w:rPr>
            </w:pPr>
            <w:r>
              <w:rPr>
                <w:rFonts w:hint="eastAsia" w:ascii="仿宋_GB2312" w:hAnsi="仿宋" w:eastAsia="仿宋_GB2312"/>
                <w:b/>
                <w:color w:val="000000"/>
                <w:sz w:val="24"/>
                <w:szCs w:val="24"/>
                <w:lang w:eastAsia="en-US" w:bidi="en-US"/>
              </w:rPr>
              <w:t>组合滚动日</w:t>
            </w:r>
          </w:p>
        </w:tc>
        <w:tc>
          <w:tcPr>
            <w:tcW w:w="2631" w:type="dxa"/>
            <w:vAlign w:val="center"/>
          </w:tcPr>
          <w:p w14:paraId="45A859FE">
            <w:pPr>
              <w:widowControl/>
              <w:ind w:firstLine="0"/>
              <w:rPr>
                <w:rFonts w:ascii="仿宋_GB2312" w:hAnsi="仿宋" w:eastAsia="仿宋_GB2312"/>
                <w:color w:val="000000"/>
                <w:sz w:val="24"/>
                <w:szCs w:val="24"/>
                <w:lang w:eastAsia="en-US" w:bidi="en-US"/>
              </w:rPr>
            </w:pPr>
            <w:r>
              <w:rPr>
                <w:rFonts w:ascii="仿宋_GB2312" w:hAnsi="仿宋" w:eastAsia="仿宋_GB2312"/>
                <w:color w:val="000000"/>
                <w:sz w:val="24"/>
                <w:szCs w:val="24"/>
                <w:lang w:eastAsia="en-US" w:bidi="en-US"/>
              </w:rPr>
              <w:t>3月20日</w:t>
            </w:r>
            <w:r>
              <w:rPr>
                <w:rFonts w:hint="eastAsia" w:ascii="仿宋_GB2312" w:hAnsi="仿宋" w:eastAsia="仿宋_GB2312"/>
                <w:color w:val="000000"/>
                <w:sz w:val="24"/>
                <w:szCs w:val="24"/>
                <w:lang w:eastAsia="en-US" w:bidi="en-US"/>
              </w:rPr>
              <w:t>和</w:t>
            </w:r>
            <w:r>
              <w:rPr>
                <w:rFonts w:ascii="仿宋_GB2312" w:hAnsi="仿宋" w:eastAsia="仿宋_GB2312"/>
                <w:color w:val="000000"/>
                <w:sz w:val="24"/>
                <w:szCs w:val="24"/>
                <w:lang w:eastAsia="en-US" w:bidi="en-US"/>
              </w:rPr>
              <w:t>9月20日，根据</w:t>
            </w:r>
            <w:r>
              <w:rPr>
                <w:rFonts w:hint="eastAsia" w:ascii="仿宋_GB2312" w:hAnsi="仿宋" w:eastAsia="仿宋_GB2312"/>
                <w:color w:val="000000"/>
                <w:sz w:val="24"/>
                <w:szCs w:val="24"/>
                <w:lang w:eastAsia="en-US" w:bidi="en-US"/>
              </w:rPr>
              <w:t>交易日准则调整</w:t>
            </w:r>
          </w:p>
        </w:tc>
      </w:tr>
      <w:tr w14:paraId="0BBC2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296" w:type="dxa"/>
            <w:gridSpan w:val="4"/>
            <w:vAlign w:val="center"/>
          </w:tcPr>
          <w:p w14:paraId="5D038184">
            <w:pPr>
              <w:ind w:firstLine="360"/>
              <w:jc w:val="center"/>
              <w:rPr>
                <w:rFonts w:ascii="仿宋_GB2312" w:eastAsia="仿宋_GB2312"/>
                <w:b/>
                <w:sz w:val="24"/>
                <w:szCs w:val="24"/>
                <w:lang w:eastAsia="en-US" w:bidi="en-US"/>
              </w:rPr>
            </w:pPr>
            <w:r>
              <w:rPr>
                <w:rFonts w:hint="eastAsia" w:ascii="仿宋_GB2312" w:hAnsi="仿宋" w:eastAsia="仿宋_GB2312"/>
                <w:b/>
                <w:color w:val="000000"/>
                <w:sz w:val="24"/>
                <w:szCs w:val="24"/>
                <w:lang w:eastAsia="en-US" w:bidi="en-US"/>
              </w:rPr>
              <w:t>与信用事件有关要素</w:t>
            </w:r>
          </w:p>
        </w:tc>
      </w:tr>
      <w:tr w14:paraId="643DC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696" w:type="dxa"/>
            <w:vAlign w:val="center"/>
          </w:tcPr>
          <w:p w14:paraId="13264C51">
            <w:pPr>
              <w:widowControl/>
              <w:ind w:firstLine="0"/>
              <w:rPr>
                <w:rFonts w:ascii="仿宋_GB2312" w:hAnsi="仿宋" w:eastAsia="仿宋_GB2312"/>
                <w:b/>
                <w:bCs/>
                <w:color w:val="000000"/>
                <w:sz w:val="24"/>
                <w:szCs w:val="24"/>
                <w:lang w:eastAsia="en-US" w:bidi="en-US"/>
              </w:rPr>
            </w:pPr>
            <w:r>
              <w:rPr>
                <w:rFonts w:hint="eastAsia" w:ascii="仿宋_GB2312" w:hAnsi="仿宋" w:eastAsia="仿宋_GB2312"/>
                <w:b/>
                <w:bCs/>
                <w:color w:val="000000"/>
                <w:sz w:val="24"/>
                <w:szCs w:val="24"/>
                <w:lang w:eastAsia="en-US" w:bidi="en-US"/>
              </w:rPr>
              <w:t>债务种类</w:t>
            </w:r>
          </w:p>
        </w:tc>
        <w:tc>
          <w:tcPr>
            <w:tcW w:w="2410" w:type="dxa"/>
            <w:vAlign w:val="center"/>
          </w:tcPr>
          <w:p w14:paraId="5C3D791B">
            <w:pPr>
              <w:widowControl/>
              <w:ind w:firstLine="0"/>
              <w:rPr>
                <w:rFonts w:ascii="仿宋_GB2312" w:hAnsi="仿宋" w:eastAsia="仿宋_GB2312"/>
                <w:color w:val="000000"/>
                <w:sz w:val="24"/>
                <w:szCs w:val="24"/>
                <w:lang w:eastAsia="en-US" w:bidi="en-US"/>
              </w:rPr>
            </w:pPr>
            <w:r>
              <w:rPr>
                <w:rFonts w:hint="eastAsia" w:ascii="仿宋_GB2312" w:hAnsi="仿宋" w:eastAsia="仿宋_GB2312"/>
                <w:color w:val="000000"/>
                <w:sz w:val="24"/>
                <w:szCs w:val="24"/>
                <w:lang w:eastAsia="en-US" w:bidi="en-US"/>
              </w:rPr>
              <w:t>公司债；</w:t>
            </w:r>
            <w:r>
              <w:rPr>
                <w:rFonts w:ascii="仿宋_GB2312" w:hAnsi="仿宋" w:eastAsia="仿宋_GB2312"/>
                <w:color w:val="000000"/>
                <w:sz w:val="24"/>
                <w:szCs w:val="24"/>
                <w:lang w:eastAsia="en-US" w:bidi="en-US"/>
              </w:rPr>
              <w:t>可转债</w:t>
            </w:r>
          </w:p>
        </w:tc>
        <w:tc>
          <w:tcPr>
            <w:tcW w:w="1559" w:type="dxa"/>
            <w:vAlign w:val="center"/>
          </w:tcPr>
          <w:p w14:paraId="539EDE1E">
            <w:pPr>
              <w:widowControl/>
              <w:ind w:firstLine="360"/>
              <w:jc w:val="center"/>
              <w:rPr>
                <w:rFonts w:ascii="仿宋_GB2312" w:hAnsi="仿宋" w:eastAsia="仿宋_GB2312"/>
                <w:b/>
                <w:bCs/>
                <w:color w:val="000000"/>
                <w:sz w:val="24"/>
                <w:szCs w:val="24"/>
                <w:lang w:eastAsia="en-US" w:bidi="en-US"/>
              </w:rPr>
            </w:pPr>
            <w:r>
              <w:rPr>
                <w:rFonts w:hint="eastAsia" w:ascii="仿宋_GB2312" w:hAnsi="仿宋" w:eastAsia="仿宋_GB2312"/>
                <w:b/>
                <w:bCs/>
                <w:color w:val="000000"/>
                <w:sz w:val="24"/>
                <w:szCs w:val="24"/>
                <w:lang w:eastAsia="en-US" w:bidi="en-US"/>
              </w:rPr>
              <w:t>债务特征</w:t>
            </w:r>
          </w:p>
        </w:tc>
        <w:tc>
          <w:tcPr>
            <w:tcW w:w="2631" w:type="dxa"/>
            <w:vAlign w:val="center"/>
          </w:tcPr>
          <w:p w14:paraId="51AA1B20">
            <w:pPr>
              <w:widowControl/>
              <w:ind w:firstLine="0"/>
              <w:rPr>
                <w:rFonts w:ascii="仿宋_GB2312" w:hAnsi="仿宋" w:eastAsia="仿宋_GB2312"/>
                <w:color w:val="000000"/>
                <w:sz w:val="24"/>
                <w:szCs w:val="24"/>
                <w:lang w:eastAsia="en-US" w:bidi="en-US"/>
              </w:rPr>
            </w:pPr>
            <w:r>
              <w:rPr>
                <w:rFonts w:hint="eastAsia" w:ascii="仿宋_GB2312" w:hAnsi="仿宋" w:eastAsia="仿宋_GB2312"/>
                <w:color w:val="000000"/>
                <w:sz w:val="24"/>
                <w:szCs w:val="24"/>
                <w:lang w:eastAsia="en-US" w:bidi="en-US"/>
              </w:rPr>
              <w:t>一般债务；本币；交易流通</w:t>
            </w:r>
          </w:p>
        </w:tc>
      </w:tr>
      <w:tr w14:paraId="36F78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696" w:type="dxa"/>
            <w:vAlign w:val="center"/>
          </w:tcPr>
          <w:p w14:paraId="05616BF4">
            <w:pPr>
              <w:widowControl/>
              <w:ind w:firstLine="0"/>
              <w:rPr>
                <w:rFonts w:ascii="仿宋_GB2312" w:hAnsi="仿宋" w:eastAsia="仿宋_GB2312"/>
                <w:b/>
                <w:sz w:val="24"/>
                <w:szCs w:val="24"/>
                <w:lang w:eastAsia="en-US" w:bidi="en-US"/>
              </w:rPr>
            </w:pPr>
            <w:r>
              <w:rPr>
                <w:rFonts w:hint="eastAsia" w:ascii="仿宋_GB2312" w:hAnsi="仿宋" w:eastAsia="仿宋_GB2312"/>
                <w:b/>
                <w:bCs/>
                <w:color w:val="000000"/>
                <w:sz w:val="24"/>
                <w:szCs w:val="24"/>
                <w:lang w:eastAsia="en-US" w:bidi="en-US"/>
              </w:rPr>
              <w:t>信用事件</w:t>
            </w:r>
          </w:p>
        </w:tc>
        <w:tc>
          <w:tcPr>
            <w:tcW w:w="6600" w:type="dxa"/>
            <w:gridSpan w:val="3"/>
            <w:vAlign w:val="center"/>
          </w:tcPr>
          <w:p w14:paraId="1F060A11">
            <w:pPr>
              <w:widowControl/>
              <w:ind w:firstLine="0"/>
              <w:rPr>
                <w:rFonts w:ascii="仿宋_GB2312" w:hAnsi="仿宋" w:eastAsia="仿宋_GB2312"/>
                <w:sz w:val="24"/>
                <w:szCs w:val="24"/>
                <w:lang w:eastAsia="en-US" w:bidi="en-US"/>
              </w:rPr>
            </w:pPr>
            <w:r>
              <w:rPr>
                <w:rFonts w:hint="eastAsia" w:ascii="仿宋_GB2312" w:hAnsi="仿宋" w:eastAsia="仿宋_GB2312"/>
                <w:color w:val="000000"/>
                <w:sz w:val="24"/>
                <w:szCs w:val="24"/>
                <w:lang w:eastAsia="en-US" w:bidi="en-US"/>
              </w:rPr>
              <w:t>破产和支付违约（起点金额</w:t>
            </w:r>
            <w:r>
              <w:rPr>
                <w:rFonts w:ascii="仿宋_GB2312" w:hAnsi="仿宋" w:eastAsia="仿宋_GB2312"/>
                <w:color w:val="000000"/>
                <w:sz w:val="24"/>
                <w:szCs w:val="24"/>
                <w:lang w:eastAsia="en-US" w:bidi="en-US"/>
              </w:rPr>
              <w:t>100万元人民币或其等值金额；宽限期3个营业日；适用宽限期顺延）</w:t>
            </w:r>
          </w:p>
        </w:tc>
      </w:tr>
    </w:tbl>
    <w:p w14:paraId="30659C4D">
      <w:pPr>
        <w:numPr>
          <w:ilvl w:val="2"/>
          <w:numId w:val="4"/>
        </w:numPr>
        <w:spacing w:line="600" w:lineRule="exact"/>
        <w:ind w:left="0" w:firstLine="0"/>
        <w:outlineLvl w:val="2"/>
        <w:rPr>
          <w:rFonts w:ascii="仿宋_GB2312" w:eastAsia="仿宋_GB2312"/>
          <w:b/>
          <w:sz w:val="30"/>
          <w:szCs w:val="30"/>
        </w:rPr>
      </w:pPr>
      <w:bookmarkStart w:id="2382" w:name="_Toc41660706"/>
      <w:r>
        <w:rPr>
          <w:rFonts w:hint="eastAsia" w:ascii="仿宋_GB2312" w:eastAsia="仿宋_GB2312"/>
          <w:b/>
          <w:sz w:val="30"/>
          <w:szCs w:val="30"/>
        </w:rPr>
        <w:t>凭证创设流程</w:t>
      </w:r>
      <w:bookmarkEnd w:id="2382"/>
    </w:p>
    <w:p w14:paraId="4D0B409C">
      <w:pPr>
        <w:pStyle w:val="92"/>
        <w:spacing w:line="600" w:lineRule="exact"/>
        <w:ind w:left="425" w:firstLine="0"/>
        <w:outlineLvl w:val="3"/>
        <w:rPr>
          <w:rFonts w:ascii="仿宋_GB2312" w:eastAsia="仿宋_GB2312"/>
          <w:b/>
          <w:sz w:val="30"/>
          <w:szCs w:val="30"/>
          <w:lang w:eastAsia="zh-CN"/>
        </w:rPr>
      </w:pPr>
      <w:r>
        <w:rPr>
          <w:rFonts w:hint="eastAsia" w:ascii="仿宋_GB2312" w:eastAsia="仿宋_GB2312"/>
          <w:b/>
          <w:sz w:val="30"/>
          <w:szCs w:val="30"/>
          <w:lang w:eastAsia="zh-CN"/>
        </w:rPr>
        <w:t>（1）</w:t>
      </w:r>
      <w:r>
        <w:rPr>
          <w:rFonts w:hint="eastAsia" w:ascii="仿宋_GB2312" w:eastAsia="仿宋_GB2312"/>
          <w:b/>
          <w:sz w:val="30"/>
          <w:szCs w:val="30"/>
          <w:lang w:eastAsia="zh-CN"/>
        </w:rPr>
        <w:tab/>
      </w:r>
      <w:r>
        <w:rPr>
          <w:rFonts w:hint="eastAsia" w:ascii="仿宋_GB2312" w:eastAsia="仿宋_GB2312"/>
          <w:b/>
          <w:sz w:val="30"/>
          <w:szCs w:val="30"/>
          <w:lang w:eastAsia="zh-CN"/>
        </w:rPr>
        <w:t>凭证创设前准备</w:t>
      </w:r>
    </w:p>
    <w:p w14:paraId="7CE5B168">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创设机构创设凭证应当向本所提交以下创设文件，创设文件均应加盖出具文件机构的公章：</w:t>
      </w:r>
    </w:p>
    <w:p w14:paraId="5C9579FA">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1）凭证创设说明书（附件</w:t>
      </w:r>
      <w:r>
        <w:rPr>
          <w:rFonts w:ascii="仿宋_GB2312" w:hAnsi="Calibri" w:eastAsia="仿宋_GB2312"/>
          <w:sz w:val="30"/>
          <w:szCs w:val="30"/>
        </w:rPr>
        <w:t>2</w:t>
      </w:r>
      <w:r>
        <w:rPr>
          <w:rFonts w:hint="eastAsia" w:ascii="仿宋_GB2312" w:hAnsi="Calibri" w:eastAsia="仿宋_GB2312"/>
          <w:sz w:val="30"/>
          <w:szCs w:val="30"/>
        </w:rPr>
        <w:t>8）；</w:t>
      </w:r>
    </w:p>
    <w:p w14:paraId="160648B5">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2）创设机构的信用评级报告；</w:t>
      </w:r>
    </w:p>
    <w:p w14:paraId="3C31FD7B">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3）最近一个会计年度经审计的创设机构的财务报表和审计报告；</w:t>
      </w:r>
    </w:p>
    <w:p w14:paraId="09C4BDEE">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4）本所要求提交的其他文件。</w:t>
      </w:r>
    </w:p>
    <w:p w14:paraId="646678B5">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凭证创设说明书中应当明确创设机构的基本情况、参考实体、债务种类、债务特征、可交付债务（如有）、名义本金、凭证起始日、凭证到期日、信用事件类型、结算方式、凭证持有人会议规则等相关内容。凭证持有人会议规则应当载明凭证持有人通过凭证持有人会议行使权利的范围、程序和其他重要事项。</w:t>
      </w:r>
    </w:p>
    <w:p w14:paraId="21A5DF91">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凭证创设文件可通过以下两种方式提交本所：</w:t>
      </w:r>
    </w:p>
    <w:p w14:paraId="19BAF351">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1）通过电子邮件（</w:t>
      </w:r>
      <w:r>
        <w:rPr>
          <w:rFonts w:ascii="仿宋_GB2312" w:hAnsi="Calibri" w:eastAsia="仿宋_GB2312"/>
          <w:sz w:val="30"/>
          <w:szCs w:val="30"/>
        </w:rPr>
        <w:t>ssebond@sse.com.cn</w:t>
      </w:r>
      <w:r>
        <w:rPr>
          <w:rFonts w:hint="eastAsia" w:ascii="仿宋_GB2312" w:hAnsi="Calibri" w:eastAsia="仿宋_GB2312"/>
          <w:sz w:val="30"/>
          <w:szCs w:val="30"/>
        </w:rPr>
        <w:t>）；</w:t>
      </w:r>
    </w:p>
    <w:p w14:paraId="442C6EA1">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2）通过债券业务管理系统。</w:t>
      </w:r>
    </w:p>
    <w:p w14:paraId="7463A4AF">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业务初期主要采用电子邮件方式</w:t>
      </w:r>
      <w:r>
        <w:rPr>
          <w:rFonts w:ascii="仿宋_GB2312" w:hAnsi="Calibri" w:eastAsia="仿宋_GB2312"/>
          <w:sz w:val="30"/>
          <w:szCs w:val="30"/>
        </w:rPr>
        <w:t xml:space="preserve">, </w:t>
      </w:r>
      <w:r>
        <w:rPr>
          <w:rFonts w:hint="eastAsia" w:ascii="仿宋_GB2312" w:hAnsi="Calibri" w:eastAsia="仿宋_GB2312"/>
          <w:sz w:val="30"/>
          <w:szCs w:val="30"/>
        </w:rPr>
        <w:t>邮件标题格式为“【凭证创设备案】</w:t>
      </w:r>
      <w:r>
        <w:rPr>
          <w:rFonts w:ascii="仿宋_GB2312" w:hAnsi="Calibri" w:eastAsia="仿宋_GB2312"/>
          <w:sz w:val="30"/>
          <w:szCs w:val="30"/>
        </w:rPr>
        <w:t>XXX</w:t>
      </w:r>
      <w:r>
        <w:rPr>
          <w:rFonts w:hint="eastAsia" w:ascii="仿宋_GB2312" w:hAnsi="Calibri" w:eastAsia="仿宋_GB2312"/>
          <w:sz w:val="30"/>
          <w:szCs w:val="30"/>
        </w:rPr>
        <w:t>公司</w:t>
      </w:r>
      <w:r>
        <w:rPr>
          <w:rFonts w:ascii="仿宋_GB2312" w:hAnsi="Calibri" w:eastAsia="仿宋_GB2312"/>
          <w:sz w:val="30"/>
          <w:szCs w:val="30"/>
        </w:rPr>
        <w:t>XX</w:t>
      </w:r>
      <w:r>
        <w:rPr>
          <w:rFonts w:hint="eastAsia" w:ascii="仿宋_GB2312" w:hAnsi="Calibri" w:eastAsia="仿宋_GB2312"/>
          <w:sz w:val="30"/>
          <w:szCs w:val="30"/>
        </w:rPr>
        <w:t>年</w:t>
      </w:r>
      <w:r>
        <w:rPr>
          <w:rFonts w:ascii="仿宋_GB2312" w:hAnsi="Calibri" w:eastAsia="仿宋_GB2312"/>
          <w:sz w:val="30"/>
          <w:szCs w:val="30"/>
        </w:rPr>
        <w:t>XX</w:t>
      </w:r>
      <w:r>
        <w:rPr>
          <w:rFonts w:hint="eastAsia" w:ascii="仿宋_GB2312" w:hAnsi="Calibri" w:eastAsia="仿宋_GB2312"/>
          <w:sz w:val="30"/>
          <w:szCs w:val="30"/>
        </w:rPr>
        <w:t>期信用保护凭证创设备案材料”，附件超过</w:t>
      </w:r>
      <w:r>
        <w:rPr>
          <w:rFonts w:ascii="仿宋_GB2312" w:hAnsi="Calibri" w:eastAsia="仿宋_GB2312"/>
          <w:sz w:val="30"/>
          <w:szCs w:val="30"/>
        </w:rPr>
        <w:t>20M</w:t>
      </w:r>
      <w:r>
        <w:rPr>
          <w:rFonts w:hint="eastAsia" w:ascii="仿宋_GB2312" w:hAnsi="Calibri" w:eastAsia="仿宋_GB2312"/>
          <w:sz w:val="30"/>
          <w:szCs w:val="30"/>
        </w:rPr>
        <w:t>的请以超大附件或网盘链接通过普通附件发送。</w:t>
      </w:r>
    </w:p>
    <w:p w14:paraId="00AE45C6">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本所对凭证创设文件进行完备性核对，不对凭证的投资价值及投资风险进行实质性判断。</w:t>
      </w:r>
    </w:p>
    <w:p w14:paraId="6140F459">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创设文件完备的，本所在收到文件</w:t>
      </w:r>
      <w:r>
        <w:rPr>
          <w:rFonts w:ascii="仿宋_GB2312" w:hAnsi="Calibri" w:eastAsia="仿宋_GB2312"/>
          <w:sz w:val="30"/>
          <w:szCs w:val="30"/>
        </w:rPr>
        <w:t>10</w:t>
      </w:r>
      <w:r>
        <w:rPr>
          <w:rFonts w:hint="eastAsia" w:ascii="仿宋_GB2312" w:hAnsi="Calibri" w:eastAsia="仿宋_GB2312"/>
          <w:sz w:val="30"/>
          <w:szCs w:val="30"/>
        </w:rPr>
        <w:t>个交易日内，出具无异议函。</w:t>
      </w:r>
    </w:p>
    <w:p w14:paraId="4ECE920D">
      <w:pPr>
        <w:pStyle w:val="92"/>
        <w:spacing w:line="600" w:lineRule="exact"/>
        <w:ind w:left="425" w:firstLine="0"/>
        <w:outlineLvl w:val="3"/>
        <w:rPr>
          <w:rFonts w:ascii="仿宋_GB2312" w:eastAsia="仿宋_GB2312"/>
          <w:b/>
          <w:sz w:val="30"/>
          <w:szCs w:val="30"/>
          <w:lang w:eastAsia="zh-CN"/>
        </w:rPr>
      </w:pPr>
      <w:r>
        <w:rPr>
          <w:rFonts w:hint="eastAsia" w:ascii="仿宋_GB2312" w:eastAsia="仿宋_GB2312"/>
          <w:b/>
          <w:sz w:val="30"/>
          <w:szCs w:val="30"/>
          <w:lang w:eastAsia="zh-CN"/>
        </w:rPr>
        <w:t>（</w:t>
      </w:r>
      <w:r>
        <w:rPr>
          <w:rFonts w:ascii="仿宋_GB2312" w:eastAsia="仿宋_GB2312"/>
          <w:b/>
          <w:sz w:val="30"/>
          <w:szCs w:val="30"/>
          <w:lang w:eastAsia="zh-CN"/>
        </w:rPr>
        <w:t>2</w:t>
      </w:r>
      <w:r>
        <w:rPr>
          <w:rFonts w:hint="eastAsia" w:ascii="仿宋_GB2312" w:eastAsia="仿宋_GB2312"/>
          <w:b/>
          <w:sz w:val="30"/>
          <w:szCs w:val="30"/>
          <w:lang w:eastAsia="zh-CN"/>
        </w:rPr>
        <w:t>）</w:t>
      </w:r>
      <w:r>
        <w:rPr>
          <w:rFonts w:hint="eastAsia" w:ascii="仿宋_GB2312" w:eastAsia="仿宋_GB2312"/>
          <w:b/>
          <w:sz w:val="30"/>
          <w:szCs w:val="30"/>
          <w:lang w:eastAsia="zh-CN"/>
        </w:rPr>
        <w:tab/>
      </w:r>
      <w:r>
        <w:rPr>
          <w:rFonts w:hint="eastAsia" w:ascii="仿宋_GB2312" w:eastAsia="仿宋_GB2312"/>
          <w:b/>
          <w:sz w:val="30"/>
          <w:szCs w:val="30"/>
          <w:lang w:eastAsia="zh-CN"/>
        </w:rPr>
        <w:t>凭证创设文件披露</w:t>
      </w:r>
    </w:p>
    <w:p w14:paraId="40EA30F3">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创设机构应当在凭证创设前2个交易日通过债券业务管理系统向本所提交并通过本所债券业务平台（bond.uap.sse.com.cn）或者以本所认可的其他方式向投资者披露凭证创设说明书、创设机构的信用评级报告、创设机构经审计的财务报表和审计报告等相关文件。</w:t>
      </w:r>
    </w:p>
    <w:p w14:paraId="737C5765">
      <w:pPr>
        <w:pStyle w:val="92"/>
        <w:spacing w:line="600" w:lineRule="exact"/>
        <w:ind w:left="425" w:firstLine="0"/>
        <w:outlineLvl w:val="3"/>
        <w:rPr>
          <w:rFonts w:ascii="仿宋_GB2312" w:eastAsia="仿宋_GB2312"/>
          <w:b/>
          <w:sz w:val="30"/>
          <w:szCs w:val="30"/>
          <w:lang w:eastAsia="zh-CN"/>
        </w:rPr>
      </w:pPr>
      <w:r>
        <w:rPr>
          <w:rFonts w:hint="eastAsia" w:ascii="仿宋_GB2312" w:eastAsia="仿宋_GB2312"/>
          <w:b/>
          <w:sz w:val="30"/>
          <w:szCs w:val="30"/>
          <w:lang w:eastAsia="zh-CN"/>
        </w:rPr>
        <w:t>（</w:t>
      </w:r>
      <w:r>
        <w:rPr>
          <w:rFonts w:ascii="仿宋_GB2312" w:eastAsia="仿宋_GB2312"/>
          <w:b/>
          <w:sz w:val="30"/>
          <w:szCs w:val="30"/>
          <w:lang w:eastAsia="zh-CN"/>
        </w:rPr>
        <w:t>3</w:t>
      </w:r>
      <w:r>
        <w:rPr>
          <w:rFonts w:hint="eastAsia" w:ascii="仿宋_GB2312" w:eastAsia="仿宋_GB2312"/>
          <w:b/>
          <w:sz w:val="30"/>
          <w:szCs w:val="30"/>
          <w:lang w:eastAsia="zh-CN"/>
        </w:rPr>
        <w:t>）</w:t>
      </w:r>
      <w:r>
        <w:rPr>
          <w:rFonts w:hint="eastAsia" w:ascii="仿宋_GB2312" w:eastAsia="仿宋_GB2312"/>
          <w:b/>
          <w:sz w:val="30"/>
          <w:szCs w:val="30"/>
          <w:lang w:eastAsia="zh-CN"/>
        </w:rPr>
        <w:tab/>
      </w:r>
      <w:r>
        <w:rPr>
          <w:rFonts w:hint="eastAsia" w:ascii="仿宋_GB2312" w:eastAsia="仿宋_GB2312"/>
          <w:b/>
          <w:sz w:val="30"/>
          <w:szCs w:val="30"/>
          <w:lang w:eastAsia="zh-CN"/>
        </w:rPr>
        <w:t>凭证创设操作</w:t>
      </w:r>
    </w:p>
    <w:p w14:paraId="434A6295">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创设机构应在无异议函有效期内完成凭证创设工作。凭证创设可以采用簿记建档或者其他方式。</w:t>
      </w:r>
    </w:p>
    <w:p w14:paraId="0D7B975E">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凭证创设前，创设机构向本所申请确定凭证挂牌代码及简称。</w:t>
      </w:r>
    </w:p>
    <w:p w14:paraId="0E399357">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凭证挂牌代码及简称可通过以下两种方式向本所申请：</w:t>
      </w:r>
    </w:p>
    <w:p w14:paraId="26E28F07">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1）通过电子邮件（ssebond@sse.com.cn）；</w:t>
      </w:r>
    </w:p>
    <w:p w14:paraId="5FF467BD">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2）通过债券业务管理系统。</w:t>
      </w:r>
    </w:p>
    <w:p w14:paraId="17AE0D12">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业务初期主要采用电子邮件方式, 邮件标题格式为“【凭证挂牌代码及简称申请】XXX公司XX年XX期信用保护凭证挂牌代码及简称申请”，邮件正文中需说明凭证品种及自拟简称（不超过8个字符），创设机构需一并提交本所出具的无异议函，附件超过20M的请以超大附件或网盘链接通过普通附件发送。</w:t>
      </w:r>
    </w:p>
    <w:p w14:paraId="175204DD">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凭证的销售由创设机构自行完成。创设完成后，凭证创设机构发布凭证创设情况公告（附件</w:t>
      </w:r>
      <w:r>
        <w:rPr>
          <w:rFonts w:ascii="仿宋_GB2312" w:hAnsi="Calibri" w:eastAsia="仿宋_GB2312"/>
          <w:sz w:val="30"/>
          <w:szCs w:val="30"/>
        </w:rPr>
        <w:t>2</w:t>
      </w:r>
      <w:r>
        <w:rPr>
          <w:rFonts w:hint="eastAsia" w:ascii="仿宋_GB2312" w:hAnsi="Calibri" w:eastAsia="仿宋_GB2312"/>
          <w:sz w:val="30"/>
          <w:szCs w:val="30"/>
        </w:rPr>
        <w:t>9）。</w:t>
      </w:r>
    </w:p>
    <w:p w14:paraId="13808649">
      <w:pPr>
        <w:pStyle w:val="92"/>
        <w:spacing w:line="600" w:lineRule="exact"/>
        <w:ind w:left="425" w:firstLine="0"/>
        <w:outlineLvl w:val="3"/>
        <w:rPr>
          <w:rFonts w:ascii="仿宋_GB2312" w:eastAsia="仿宋_GB2312"/>
          <w:b/>
          <w:sz w:val="30"/>
          <w:szCs w:val="30"/>
          <w:lang w:eastAsia="zh-CN"/>
        </w:rPr>
      </w:pPr>
      <w:r>
        <w:rPr>
          <w:rFonts w:hint="eastAsia" w:ascii="仿宋_GB2312" w:eastAsia="仿宋_GB2312"/>
          <w:b/>
          <w:sz w:val="30"/>
          <w:szCs w:val="30"/>
          <w:lang w:eastAsia="zh-CN"/>
        </w:rPr>
        <w:t>（</w:t>
      </w:r>
      <w:r>
        <w:rPr>
          <w:rFonts w:ascii="仿宋_GB2312" w:eastAsia="仿宋_GB2312"/>
          <w:b/>
          <w:sz w:val="30"/>
          <w:szCs w:val="30"/>
          <w:lang w:eastAsia="zh-CN"/>
        </w:rPr>
        <w:t>4</w:t>
      </w:r>
      <w:r>
        <w:rPr>
          <w:rFonts w:hint="eastAsia" w:ascii="仿宋_GB2312" w:eastAsia="仿宋_GB2312"/>
          <w:b/>
          <w:sz w:val="30"/>
          <w:szCs w:val="30"/>
          <w:lang w:eastAsia="zh-CN"/>
        </w:rPr>
        <w:t>）凭证登记托管和挂牌</w:t>
      </w:r>
    </w:p>
    <w:p w14:paraId="1D15D451">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本所为凭证办理登记、挂牌一站式服务。凭证创设完成后次日，创设机构需要向本所提交以下凭证挂牌申请电子材料：</w:t>
      </w:r>
    </w:p>
    <w:p w14:paraId="133EEB7A">
      <w:pPr>
        <w:spacing w:line="600" w:lineRule="exact"/>
        <w:ind w:firstLine="600" w:firstLineChars="200"/>
        <w:rPr>
          <w:rFonts w:ascii="仿宋_GB2312" w:hAnsi="Calibri" w:eastAsia="仿宋_GB2312"/>
          <w:sz w:val="30"/>
          <w:szCs w:val="30"/>
        </w:rPr>
      </w:pPr>
      <w:r>
        <w:rPr>
          <w:rFonts w:ascii="仿宋_GB2312" w:hAnsi="Calibri" w:eastAsia="仿宋_GB2312"/>
          <w:sz w:val="30"/>
          <w:szCs w:val="30"/>
        </w:rPr>
        <w:t>1</w:t>
      </w:r>
      <w:r>
        <w:rPr>
          <w:rFonts w:hint="eastAsia" w:ascii="仿宋_GB2312" w:hAnsi="Calibri" w:eastAsia="仿宋_GB2312"/>
          <w:sz w:val="30"/>
          <w:szCs w:val="30"/>
        </w:rPr>
        <w:t xml:space="preserve">）凭证挂牌转让申请书（附件30）； </w:t>
      </w:r>
    </w:p>
    <w:p w14:paraId="1C5924F2">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2）信用保护凭证挂牌协议；</w:t>
      </w:r>
    </w:p>
    <w:p w14:paraId="54EC6663">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3）经具有从事证券期货业务资格的注册会计师签字的凭证募集资金的验资报告或创设款到账确认书（附件31）；</w:t>
      </w:r>
    </w:p>
    <w:p w14:paraId="72BEC21C">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4）凭证挂牌公告（附件32）；</w:t>
      </w:r>
    </w:p>
    <w:p w14:paraId="0932F5B6">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5）证券登记及服务协议；</w:t>
      </w:r>
    </w:p>
    <w:p w14:paraId="6142C7EE">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6）证券登记申请表；</w:t>
      </w:r>
    </w:p>
    <w:p w14:paraId="15E52D1F">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7）凭证持有人名册清单；</w:t>
      </w:r>
    </w:p>
    <w:p w14:paraId="1CD207B8">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其中（1）-（4）为挂牌申请材料，（5）-（7）为登记申请材料。</w:t>
      </w:r>
    </w:p>
    <w:p w14:paraId="72084F97">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业务初期通过ssebond@sse.com.cn一次齐备提交电子文件，本所收到材料审核无误后发送中国结算上海分公司登记，本所将中国结算上海分公司登记结果及拟挂牌转让日期反馈给创设机构。 T日上午11:00前提交上述（1）-（7）申请材料且无误的，可安排T+2日挂牌转让。</w:t>
      </w:r>
    </w:p>
    <w:p w14:paraId="566E15D0">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若凭证投资者信息有误，根据中国结算上海分公司相关规定办理更正。</w:t>
      </w:r>
    </w:p>
    <w:p w14:paraId="5E705579">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创设机构应当在凭证挂牌后5个交易日内将证券登记及服务协议原件邮寄至中国结算上海分公司。</w:t>
      </w:r>
    </w:p>
    <w:p w14:paraId="16E7C907">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创设机构通过本所交易系统完成凭证ISIN代码申请。</w:t>
      </w:r>
    </w:p>
    <w:p w14:paraId="061A81A7">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相关文件的纸质材料由创设机构保存，保存期限不得少于凭证摘牌之日起3年。</w:t>
      </w:r>
    </w:p>
    <w:p w14:paraId="73AE92F4">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凭证交易流程</w:t>
      </w:r>
    </w:p>
    <w:p w14:paraId="2C195AD0">
      <w:pPr>
        <w:spacing w:line="600" w:lineRule="exact"/>
        <w:ind w:firstLine="602" w:firstLineChars="200"/>
        <w:outlineLvl w:val="3"/>
        <w:rPr>
          <w:rFonts w:ascii="仿宋_GB2312" w:eastAsia="仿宋_GB2312"/>
          <w:b/>
          <w:sz w:val="30"/>
          <w:szCs w:val="30"/>
        </w:rPr>
      </w:pPr>
      <w:bookmarkStart w:id="2383" w:name="_Toc41660720"/>
      <w:r>
        <w:rPr>
          <w:rFonts w:hint="eastAsia" w:ascii="仿宋_GB2312" w:eastAsia="仿宋_GB2312"/>
          <w:b/>
          <w:sz w:val="30"/>
          <w:szCs w:val="30"/>
        </w:rPr>
        <w:t>（1）凭证交易</w:t>
      </w:r>
      <w:bookmarkEnd w:id="2383"/>
    </w:p>
    <w:p w14:paraId="165EE3FC">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凭证的交易时间为每个交易日的9:00-11:30、13:00-</w:t>
      </w:r>
      <w:r>
        <w:rPr>
          <w:rFonts w:ascii="仿宋_GB2312" w:hAnsi="Calibri" w:eastAsia="仿宋_GB2312"/>
          <w:sz w:val="30"/>
          <w:szCs w:val="30"/>
        </w:rPr>
        <w:t>15</w:t>
      </w:r>
      <w:r>
        <w:rPr>
          <w:rFonts w:hint="eastAsia" w:ascii="仿宋_GB2312" w:hAnsi="Calibri" w:eastAsia="仿宋_GB2312"/>
          <w:sz w:val="30"/>
          <w:szCs w:val="30"/>
        </w:rPr>
        <w:t>:</w:t>
      </w:r>
      <w:r>
        <w:rPr>
          <w:rFonts w:ascii="仿宋_GB2312" w:hAnsi="Calibri" w:eastAsia="仿宋_GB2312"/>
          <w:sz w:val="30"/>
          <w:szCs w:val="30"/>
        </w:rPr>
        <w:t>3</w:t>
      </w:r>
      <w:r>
        <w:rPr>
          <w:rFonts w:hint="eastAsia" w:ascii="仿宋_GB2312" w:hAnsi="Calibri" w:eastAsia="仿宋_GB2312"/>
          <w:sz w:val="30"/>
          <w:szCs w:val="30"/>
        </w:rPr>
        <w:t>0。本所可以根据市场需要调整凭证的交易时间。</w:t>
      </w:r>
    </w:p>
    <w:p w14:paraId="6F9DB63A">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凭证申报要求如下：</w:t>
      </w:r>
    </w:p>
    <w:p w14:paraId="21046E64">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1）计价单位：百元名义本金凭证的价格；</w:t>
      </w:r>
    </w:p>
    <w:p w14:paraId="070461DD">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2）申报价格变动单位：0.001元；</w:t>
      </w:r>
    </w:p>
    <w:p w14:paraId="5E8411A3">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3）申报数量：不低于50万元，且为1000元的整数倍。</w:t>
      </w:r>
    </w:p>
    <w:p w14:paraId="23863241">
      <w:pPr>
        <w:spacing w:line="600" w:lineRule="exact"/>
        <w:ind w:firstLine="600" w:firstLineChars="200"/>
        <w:rPr>
          <w:rFonts w:ascii="仿宋_GB2312" w:hAnsi="Calibri" w:eastAsia="仿宋_GB2312"/>
          <w:bCs/>
          <w:sz w:val="30"/>
          <w:szCs w:val="30"/>
        </w:rPr>
      </w:pPr>
      <w:r>
        <w:rPr>
          <w:rFonts w:hint="eastAsia" w:ascii="仿宋_GB2312" w:hAnsi="Calibri" w:eastAsia="仿宋_GB2312"/>
          <w:sz w:val="30"/>
          <w:szCs w:val="30"/>
        </w:rPr>
        <w:t>债券投资者为本所债券交易参与人的，可直接通过交易系统进行凭证交易申报；债券投资者为经纪客户的，由证券公司根据客户的委托在固定收益平台上代为申报。</w:t>
      </w:r>
      <w:r>
        <w:rPr>
          <w:rFonts w:hint="eastAsia" w:ascii="仿宋_GB2312" w:hAnsi="Calibri" w:eastAsia="仿宋_GB2312"/>
          <w:bCs/>
          <w:sz w:val="30"/>
          <w:szCs w:val="30"/>
        </w:rPr>
        <w:t>业务初期，交易申报通过固定收益平台的客户端完成。</w:t>
      </w:r>
    </w:p>
    <w:p w14:paraId="25247C31">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业务初期，交易系统仅支持通过协商成交指定对手方方式达成交易。交易一方将协商一致的交易要素通过交易系统发送给交易对手方，经交易对手方确认后，由交易系统确认成交。发送协商成交指定对手方申报时，对手方必须符合相关投资者适当性要求。</w:t>
      </w:r>
    </w:p>
    <w:p w14:paraId="3539B2CF">
      <w:pPr>
        <w:spacing w:line="600" w:lineRule="exact"/>
        <w:ind w:firstLine="452" w:firstLineChars="150"/>
        <w:outlineLvl w:val="3"/>
        <w:rPr>
          <w:rFonts w:ascii="仿宋_GB2312" w:hAnsi="黑体" w:eastAsia="仿宋_GB2312"/>
          <w:b/>
          <w:sz w:val="30"/>
          <w:szCs w:val="30"/>
        </w:rPr>
      </w:pPr>
      <w:bookmarkStart w:id="2384" w:name="_Toc41660725"/>
      <w:r>
        <w:rPr>
          <w:rFonts w:hint="eastAsia" w:ascii="仿宋_GB2312" w:hAnsi="黑体" w:eastAsia="仿宋_GB2312"/>
          <w:b/>
          <w:sz w:val="30"/>
          <w:szCs w:val="30"/>
        </w:rPr>
        <w:t>（2）凭证转让限制</w:t>
      </w:r>
      <w:bookmarkEnd w:id="2384"/>
    </w:p>
    <w:p w14:paraId="5C39EF71">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单只凭证创设及转让后的债券投资者原则上不超过200人，本所另有规定的除外。</w:t>
      </w:r>
    </w:p>
    <w:p w14:paraId="0143BEAC">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若凭证存续期间未发生信用事件，凭证自到期日收盘后终止转让流通；若凭证存续期间发生信用事件，凭证可交易至创设机构公告的最后交易日期。</w:t>
      </w:r>
    </w:p>
    <w:p w14:paraId="68AC659E">
      <w:pPr>
        <w:spacing w:line="600" w:lineRule="exact"/>
        <w:ind w:firstLine="602" w:firstLineChars="200"/>
        <w:outlineLvl w:val="3"/>
        <w:rPr>
          <w:rFonts w:ascii="仿宋_GB2312" w:hAnsi="黑体" w:eastAsia="仿宋_GB2312"/>
          <w:b/>
          <w:sz w:val="30"/>
          <w:szCs w:val="30"/>
        </w:rPr>
      </w:pPr>
      <w:bookmarkStart w:id="2385" w:name="_Toc41660726"/>
      <w:r>
        <w:rPr>
          <w:rFonts w:hint="eastAsia" w:ascii="仿宋_GB2312" w:hAnsi="黑体" w:eastAsia="仿宋_GB2312"/>
          <w:b/>
          <w:sz w:val="30"/>
          <w:szCs w:val="30"/>
        </w:rPr>
        <w:t>（3）凭证转让的结算</w:t>
      </w:r>
      <w:bookmarkEnd w:id="2385"/>
    </w:p>
    <w:p w14:paraId="02362A0F">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凭证参与者在固定收益平台达成交易后，登记结算机构根据成交数据在结算日期办理实时逐笔全额结算。</w:t>
      </w:r>
    </w:p>
    <w:p w14:paraId="299A14BC">
      <w:pPr>
        <w:spacing w:line="600" w:lineRule="exact"/>
        <w:ind w:firstLine="602" w:firstLineChars="200"/>
        <w:outlineLvl w:val="3"/>
        <w:rPr>
          <w:rFonts w:ascii="仿宋_GB2312" w:hAnsi="黑体" w:eastAsia="仿宋_GB2312"/>
          <w:b/>
          <w:sz w:val="30"/>
          <w:szCs w:val="30"/>
        </w:rPr>
      </w:pPr>
      <w:bookmarkStart w:id="2386" w:name="_Toc41660727"/>
      <w:r>
        <w:rPr>
          <w:rFonts w:hint="eastAsia" w:ascii="仿宋_GB2312" w:hAnsi="黑体" w:eastAsia="仿宋_GB2312"/>
          <w:b/>
          <w:sz w:val="30"/>
          <w:szCs w:val="30"/>
        </w:rPr>
        <w:t>（4）凭证回购注销</w:t>
      </w:r>
      <w:bookmarkEnd w:id="2386"/>
    </w:p>
    <w:p w14:paraId="202AF5EE">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创设机构可回购其创设的凭证，并将其注销。创设机构购回自身创设的凭证后，向本所提交注销申请，申请要素包括凭证名称、凭证代码、需要注销的凭证数量等。</w:t>
      </w:r>
    </w:p>
    <w:p w14:paraId="035A3519">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本所对注销申请进行形式审查，审查无误的将相关数据发送至登记结算机构。登记结算机构根据本所提供的数据完成注销并将相关数据反馈至本所。</w:t>
      </w:r>
    </w:p>
    <w:p w14:paraId="5C027893">
      <w:pPr>
        <w:spacing w:line="600" w:lineRule="exact"/>
        <w:ind w:firstLine="602" w:firstLineChars="200"/>
        <w:outlineLvl w:val="3"/>
        <w:rPr>
          <w:rFonts w:ascii="仿宋_GB2312" w:eastAsia="仿宋_GB2312"/>
          <w:b/>
          <w:sz w:val="30"/>
          <w:szCs w:val="30"/>
        </w:rPr>
      </w:pPr>
      <w:bookmarkStart w:id="2387" w:name="_Toc41660728"/>
      <w:r>
        <w:rPr>
          <w:rFonts w:hint="eastAsia" w:ascii="仿宋_GB2312" w:eastAsia="仿宋_GB2312"/>
          <w:b/>
          <w:sz w:val="30"/>
          <w:szCs w:val="30"/>
        </w:rPr>
        <w:t>（5）凭证头寸要求</w:t>
      </w:r>
      <w:bookmarkEnd w:id="2387"/>
    </w:p>
    <w:p w14:paraId="1E7CB31B">
      <w:pPr>
        <w:spacing w:line="600" w:lineRule="exact"/>
        <w:ind w:firstLine="600" w:firstLineChars="200"/>
        <w:rPr>
          <w:rFonts w:ascii="仿宋_GB2312" w:eastAsia="仿宋_GB2312"/>
          <w:sz w:val="30"/>
          <w:szCs w:val="30"/>
        </w:rPr>
      </w:pPr>
      <w:r>
        <w:rPr>
          <w:rFonts w:hint="eastAsia" w:ascii="仿宋_GB2312" w:eastAsia="仿宋_GB2312"/>
          <w:sz w:val="30"/>
          <w:szCs w:val="30"/>
        </w:rPr>
        <w:t>试点初期，任何一家债券投资者对特定受保护债务的信用保护凭证的买入余额不得超过该受保护债务总余额的100%；任何一家债券投资者对特定受保护债务的信用保护凭证的卖出余额不得超过该受保护债务总余额的100%。</w:t>
      </w:r>
    </w:p>
    <w:p w14:paraId="540E8216">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针对特定受保护债务的信用保护凭证创设总规模不得超过该受保护债务总余额的500%。</w:t>
      </w:r>
    </w:p>
    <w:p w14:paraId="69A0906B">
      <w:pPr>
        <w:numPr>
          <w:ilvl w:val="2"/>
          <w:numId w:val="4"/>
        </w:numPr>
        <w:spacing w:line="600" w:lineRule="exact"/>
        <w:ind w:left="0" w:firstLine="0"/>
        <w:outlineLvl w:val="2"/>
        <w:rPr>
          <w:rFonts w:ascii="仿宋_GB2312" w:eastAsia="仿宋_GB2312"/>
          <w:b/>
          <w:sz w:val="30"/>
          <w:szCs w:val="30"/>
        </w:rPr>
      </w:pPr>
      <w:bookmarkStart w:id="2388" w:name="_Toc41660734"/>
      <w:r>
        <w:rPr>
          <w:rFonts w:hint="eastAsia" w:ascii="仿宋_GB2312" w:eastAsia="仿宋_GB2312"/>
          <w:b/>
          <w:sz w:val="30"/>
          <w:szCs w:val="30"/>
        </w:rPr>
        <w:t>信息披露及行情</w:t>
      </w:r>
    </w:p>
    <w:p w14:paraId="56F94F51">
      <w:pPr>
        <w:spacing w:line="600" w:lineRule="exact"/>
        <w:ind w:firstLine="602" w:firstLineChars="200"/>
        <w:outlineLvl w:val="3"/>
        <w:rPr>
          <w:rFonts w:ascii="仿宋_GB2312" w:eastAsia="仿宋_GB2312"/>
          <w:b/>
          <w:sz w:val="30"/>
          <w:szCs w:val="30"/>
        </w:rPr>
      </w:pPr>
      <w:r>
        <w:rPr>
          <w:rFonts w:hint="eastAsia" w:ascii="仿宋_GB2312" w:eastAsia="仿宋_GB2312"/>
          <w:b/>
          <w:sz w:val="30"/>
          <w:szCs w:val="30"/>
        </w:rPr>
        <w:t>（1）信息披露</w:t>
      </w:r>
    </w:p>
    <w:p w14:paraId="1A3BFC2F">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信用保护工具在本所挂牌后的日常信息披露和操作业务由本所债券业务部受理。</w:t>
      </w:r>
    </w:p>
    <w:p w14:paraId="1335B6EC">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信息披露文件通过债券业务管理系统提交本所。</w:t>
      </w:r>
    </w:p>
    <w:p w14:paraId="2A09325C">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凭证存续期间，创设机构应当在每年4月30日之前通过本所网站或者以本所认可的其他方式披露上一年度的年度报告、财务报表及审计报告，并在每年6月30日之前通过本所网站或者以本所认可的其他方式披露定期跟踪评级报告。年度报告应当至少记载以下内容：</w:t>
      </w:r>
    </w:p>
    <w:p w14:paraId="3352CE5D">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1）创设机构概况；</w:t>
      </w:r>
    </w:p>
    <w:p w14:paraId="3F93084E">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2）创设机构经营情况、财务状况；</w:t>
      </w:r>
    </w:p>
    <w:p w14:paraId="58A29C93">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3）创设机构主体评级情况；</w:t>
      </w:r>
    </w:p>
    <w:p w14:paraId="45355ABC">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4）创设机构在报告期内发生的可能影响创设机构赔付能力或者凭证价格的重大事项；</w:t>
      </w:r>
    </w:p>
    <w:p w14:paraId="1A572BC3">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5）本所要求披露的其他事项。</w:t>
      </w:r>
    </w:p>
    <w:p w14:paraId="29B559D3">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凭证存续期间，发生可能影响创设机构赔付能力的重大事项，或者存在关于创设机构及其创设的凭证的重大市场传闻的，创设机构应当及时向本所提交并通过本所网站或者以本所认可的其他方式披露临时报告，说明事件的起因、目前的状态和可能产生的后果。</w:t>
      </w:r>
    </w:p>
    <w:p w14:paraId="38FD4D9F">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重大事项包括：</w:t>
      </w:r>
    </w:p>
    <w:p w14:paraId="23C72BA7">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1）创设机构创设的凭证发生赔付；</w:t>
      </w:r>
    </w:p>
    <w:p w14:paraId="25E42BE1">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2）创设机构主要资产被查封、扣押、冻结；</w:t>
      </w:r>
    </w:p>
    <w:p w14:paraId="326A00C4">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3）创设机构发生超过上年末净资产10%的重大损失；</w:t>
      </w:r>
    </w:p>
    <w:p w14:paraId="32A908F3">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4）创设机构发生未能清偿到期重大债务的违约情况；</w:t>
      </w:r>
    </w:p>
    <w:p w14:paraId="13E047A2">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5）创设机构作出减资、合并、分立、解散及申请破产的决定；</w:t>
      </w:r>
    </w:p>
    <w:p w14:paraId="1D60351C">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6）创设机构涉及重大诉讼、仲裁事项或者受到重大行政处罚；</w:t>
      </w:r>
    </w:p>
    <w:p w14:paraId="244AF035">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7）创设机构履约保障方、担保物或者其他偿债保障措施发生重大变化；</w:t>
      </w:r>
    </w:p>
    <w:p w14:paraId="12EC319E">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8）创设机构涉嫌犯罪被司法机关立案调查，创设机构董事、监事、高级管理人员涉嫌犯罪被司法机关采取强制措施；</w:t>
      </w:r>
    </w:p>
    <w:p w14:paraId="032CC3D8">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9）其他对投资者作出投资决策有重大影响的事项；</w:t>
      </w:r>
    </w:p>
    <w:p w14:paraId="775E5276">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10）法律、行政法规、规章规定或中国证监会、本所规定的其他事项。</w:t>
      </w:r>
    </w:p>
    <w:p w14:paraId="4F033453">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创设机构应当聘请资信评级机构进行定期和不定期跟踪信用评级。跟踪评级报告应当及时提交创设机构，并由创设机构或者资信评级机构按规定及时向市场披露。定期跟踪评级报告应当于每一会计年度结束之日起6个月内披露。</w:t>
      </w:r>
    </w:p>
    <w:p w14:paraId="0455B12C">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资信评级机构应当充分关注可能影响创设机构信用评级的各种重大因素，及时开展不定期跟踪评级，及时披露跟踪评级结果。</w:t>
      </w:r>
    </w:p>
    <w:p w14:paraId="405FC38B">
      <w:pPr>
        <w:spacing w:line="600" w:lineRule="exact"/>
        <w:ind w:firstLine="602" w:firstLineChars="200"/>
        <w:outlineLvl w:val="3"/>
        <w:rPr>
          <w:rFonts w:ascii="仿宋_GB2312" w:eastAsia="仿宋_GB2312"/>
          <w:b/>
          <w:sz w:val="30"/>
          <w:szCs w:val="30"/>
        </w:rPr>
      </w:pPr>
      <w:r>
        <w:rPr>
          <w:rFonts w:hint="eastAsia" w:ascii="仿宋_GB2312" w:eastAsia="仿宋_GB2312"/>
          <w:b/>
          <w:sz w:val="30"/>
          <w:szCs w:val="30"/>
        </w:rPr>
        <w:t>（</w:t>
      </w:r>
      <w:r>
        <w:rPr>
          <w:rFonts w:ascii="仿宋_GB2312" w:eastAsia="仿宋_GB2312"/>
          <w:b/>
          <w:sz w:val="30"/>
          <w:szCs w:val="30"/>
        </w:rPr>
        <w:t>2</w:t>
      </w:r>
      <w:r>
        <w:rPr>
          <w:rFonts w:hint="eastAsia" w:ascii="仿宋_GB2312" w:eastAsia="仿宋_GB2312"/>
          <w:b/>
          <w:sz w:val="30"/>
          <w:szCs w:val="30"/>
        </w:rPr>
        <w:t>）违约报告义务</w:t>
      </w:r>
      <w:bookmarkEnd w:id="2388"/>
    </w:p>
    <w:p w14:paraId="0AA4A842">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债券投资者未按照相关规定、约定履行信用保护工具支付或交付义务的，该债券投资者与其对手方应当在支付或交付违约情形发生后1个交易日内将相关违约情形报告本所。</w:t>
      </w:r>
    </w:p>
    <w:p w14:paraId="7A0A8E5D">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报告提交的邮箱地址为：</w:t>
      </w:r>
      <w:r>
        <w:fldChar w:fldCharType="begin"/>
      </w:r>
      <w:r>
        <w:instrText xml:space="preserve"> HYPERLINK "mailto:ssebond@sse.com.cn" </w:instrText>
      </w:r>
      <w:r>
        <w:fldChar w:fldCharType="separate"/>
      </w:r>
      <w:r>
        <w:rPr>
          <w:rFonts w:ascii="仿宋_GB2312" w:hAnsi="Calibri" w:eastAsia="仿宋_GB2312"/>
          <w:sz w:val="30"/>
          <w:szCs w:val="30"/>
        </w:rPr>
        <w:t>ssebond@sse.com.cn</w:t>
      </w:r>
      <w:r>
        <w:rPr>
          <w:rFonts w:ascii="仿宋_GB2312" w:hAnsi="Calibri" w:eastAsia="仿宋_GB2312"/>
          <w:sz w:val="30"/>
          <w:szCs w:val="30"/>
        </w:rPr>
        <w:fldChar w:fldCharType="end"/>
      </w:r>
      <w:r>
        <w:rPr>
          <w:rFonts w:hint="eastAsia" w:ascii="仿宋_GB2312" w:hAnsi="Calibri" w:eastAsia="仿宋_GB2312"/>
          <w:sz w:val="30"/>
          <w:szCs w:val="30"/>
        </w:rPr>
        <w:t>，邮件标题格式为“</w:t>
      </w:r>
      <w:r>
        <w:rPr>
          <w:rFonts w:hint="eastAsia" w:ascii="仿宋_GB2312" w:hAnsi="Calibri" w:eastAsia="仿宋_GB2312"/>
          <w:b/>
          <w:sz w:val="30"/>
          <w:szCs w:val="30"/>
        </w:rPr>
        <w:t>【违约报告】</w:t>
      </w:r>
      <w:r>
        <w:rPr>
          <w:rFonts w:hint="eastAsia" w:ascii="仿宋_GB2312" w:hAnsi="Calibri" w:eastAsia="仿宋_GB2312"/>
          <w:sz w:val="30"/>
          <w:szCs w:val="30"/>
        </w:rPr>
        <w:t>XXX公司-信用保护工具违约报告”，附件超过20M的请以超大附件或网盘链接通过普通附件发送。</w:t>
      </w:r>
    </w:p>
    <w:p w14:paraId="6572AD4D">
      <w:pPr>
        <w:spacing w:line="600" w:lineRule="exact"/>
        <w:ind w:firstLine="602" w:firstLineChars="200"/>
        <w:outlineLvl w:val="3"/>
        <w:rPr>
          <w:rFonts w:ascii="仿宋_GB2312" w:eastAsia="仿宋_GB2312"/>
          <w:b/>
          <w:sz w:val="30"/>
          <w:szCs w:val="30"/>
        </w:rPr>
      </w:pPr>
      <w:bookmarkStart w:id="2389" w:name="_Toc41660735"/>
      <w:r>
        <w:rPr>
          <w:rFonts w:hint="eastAsia" w:ascii="仿宋_GB2312" w:eastAsia="仿宋_GB2312"/>
          <w:b/>
          <w:sz w:val="30"/>
          <w:szCs w:val="30"/>
        </w:rPr>
        <w:t>（</w:t>
      </w:r>
      <w:r>
        <w:rPr>
          <w:rFonts w:ascii="仿宋_GB2312" w:eastAsia="仿宋_GB2312"/>
          <w:b/>
          <w:sz w:val="30"/>
          <w:szCs w:val="30"/>
        </w:rPr>
        <w:t>3</w:t>
      </w:r>
      <w:r>
        <w:rPr>
          <w:rFonts w:hint="eastAsia" w:ascii="仿宋_GB2312" w:eastAsia="仿宋_GB2312"/>
          <w:b/>
          <w:sz w:val="30"/>
          <w:szCs w:val="30"/>
        </w:rPr>
        <w:t>）到期风险提示</w:t>
      </w:r>
      <w:bookmarkEnd w:id="2389"/>
    </w:p>
    <w:p w14:paraId="26D79275">
      <w:pPr>
        <w:spacing w:line="600" w:lineRule="exact"/>
        <w:ind w:firstLine="600" w:firstLineChars="200"/>
        <w:rPr>
          <w:rFonts w:ascii="仿宋_GB2312" w:hAnsi="Calibri" w:eastAsia="仿宋_GB2312"/>
          <w:b/>
          <w:sz w:val="30"/>
          <w:szCs w:val="30"/>
        </w:rPr>
      </w:pPr>
      <w:r>
        <w:rPr>
          <w:rFonts w:hint="eastAsia" w:ascii="仿宋_GB2312" w:eastAsia="仿宋_GB2312"/>
          <w:sz w:val="30"/>
          <w:szCs w:val="30"/>
        </w:rPr>
        <w:t>创设机构应当于凭证到期日前30个交易日通过债券业务管理系统向本所提交并通过本所网站或者以本所认可的其他方式发布提示性公告，提示凭证即将到期及相关转让风险。证券公司应当于凭证到期前30个交易日起向申报买入凭证的经纪客户提示到期风险。</w:t>
      </w:r>
    </w:p>
    <w:p w14:paraId="67785695">
      <w:pPr>
        <w:spacing w:line="600" w:lineRule="exact"/>
        <w:ind w:firstLine="602" w:firstLineChars="200"/>
        <w:outlineLvl w:val="3"/>
        <w:rPr>
          <w:rFonts w:ascii="仿宋_GB2312" w:eastAsia="仿宋_GB2312"/>
          <w:b/>
          <w:sz w:val="30"/>
          <w:szCs w:val="30"/>
        </w:rPr>
      </w:pPr>
      <w:bookmarkStart w:id="2390" w:name="_Toc41660736"/>
      <w:r>
        <w:rPr>
          <w:rFonts w:hint="eastAsia" w:ascii="仿宋_GB2312" w:eastAsia="仿宋_GB2312"/>
          <w:b/>
          <w:sz w:val="30"/>
          <w:szCs w:val="30"/>
        </w:rPr>
        <w:t>（</w:t>
      </w:r>
      <w:r>
        <w:rPr>
          <w:rFonts w:ascii="仿宋_GB2312" w:eastAsia="仿宋_GB2312"/>
          <w:b/>
          <w:sz w:val="30"/>
          <w:szCs w:val="30"/>
        </w:rPr>
        <w:t>4</w:t>
      </w:r>
      <w:r>
        <w:rPr>
          <w:rFonts w:hint="eastAsia" w:ascii="仿宋_GB2312" w:eastAsia="仿宋_GB2312"/>
          <w:b/>
          <w:sz w:val="30"/>
          <w:szCs w:val="30"/>
        </w:rPr>
        <w:t>）凭证摘牌公告</w:t>
      </w:r>
      <w:bookmarkEnd w:id="2390"/>
    </w:p>
    <w:p w14:paraId="35FC664F">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凭证到期且未发生信用事件、创设机构回购注销其全部凭证、凭证存续期间发生信用事件且创设机构与债券投资者完成结算或者出现本所认定的其他情形的，本所于相关日期确定后终止凭证的挂牌转让。</w:t>
      </w:r>
    </w:p>
    <w:p w14:paraId="38854406">
      <w:pPr>
        <w:spacing w:line="600" w:lineRule="exact"/>
        <w:ind w:firstLine="602" w:firstLineChars="200"/>
        <w:outlineLvl w:val="3"/>
        <w:rPr>
          <w:rFonts w:ascii="仿宋_GB2312" w:eastAsia="仿宋_GB2312"/>
          <w:b/>
          <w:sz w:val="30"/>
          <w:szCs w:val="30"/>
        </w:rPr>
      </w:pPr>
      <w:bookmarkStart w:id="2391" w:name="_Toc41660738"/>
      <w:r>
        <w:rPr>
          <w:rFonts w:hint="eastAsia" w:ascii="仿宋_GB2312" w:eastAsia="仿宋_GB2312"/>
          <w:b/>
          <w:sz w:val="30"/>
          <w:szCs w:val="30"/>
        </w:rPr>
        <w:t>（</w:t>
      </w:r>
      <w:r>
        <w:rPr>
          <w:rFonts w:ascii="仿宋_GB2312" w:eastAsia="仿宋_GB2312"/>
          <w:b/>
          <w:sz w:val="30"/>
          <w:szCs w:val="30"/>
        </w:rPr>
        <w:t>5</w:t>
      </w:r>
      <w:r>
        <w:rPr>
          <w:rFonts w:hint="eastAsia" w:ascii="仿宋_GB2312" w:eastAsia="仿宋_GB2312"/>
          <w:b/>
          <w:sz w:val="30"/>
          <w:szCs w:val="30"/>
        </w:rPr>
        <w:t>）统计数据</w:t>
      </w:r>
      <w:bookmarkEnd w:id="2391"/>
    </w:p>
    <w:p w14:paraId="624166F4">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本所将定期发布信用保护工具交易统计数据，统计数据要素包括核心交易商类型、合约规模等信息。</w:t>
      </w:r>
    </w:p>
    <w:p w14:paraId="5C581384">
      <w:pPr>
        <w:numPr>
          <w:ilvl w:val="2"/>
          <w:numId w:val="4"/>
        </w:numPr>
        <w:spacing w:line="600" w:lineRule="exact"/>
        <w:ind w:left="0" w:firstLine="0"/>
        <w:outlineLvl w:val="2"/>
        <w:rPr>
          <w:rFonts w:ascii="仿宋_GB2312" w:eastAsia="仿宋_GB2312"/>
          <w:b/>
          <w:sz w:val="30"/>
          <w:szCs w:val="30"/>
        </w:rPr>
      </w:pPr>
      <w:bookmarkStart w:id="2392" w:name="_Toc41660739"/>
      <w:bookmarkStart w:id="2393" w:name="_Toc534569695"/>
      <w:r>
        <w:rPr>
          <w:rFonts w:hint="eastAsia" w:ascii="仿宋_GB2312" w:eastAsia="仿宋_GB2312"/>
          <w:b/>
          <w:sz w:val="30"/>
          <w:szCs w:val="30"/>
        </w:rPr>
        <w:t>信用事件后续结算安排</w:t>
      </w:r>
      <w:bookmarkEnd w:id="2392"/>
      <w:bookmarkEnd w:id="2393"/>
    </w:p>
    <w:p w14:paraId="5D620EA1">
      <w:pPr>
        <w:spacing w:line="600" w:lineRule="exact"/>
        <w:ind w:firstLine="602" w:firstLineChars="200"/>
        <w:outlineLvl w:val="3"/>
        <w:rPr>
          <w:rFonts w:ascii="仿宋_GB2312" w:eastAsia="仿宋_GB2312"/>
          <w:b/>
          <w:sz w:val="30"/>
          <w:szCs w:val="30"/>
        </w:rPr>
      </w:pPr>
      <w:bookmarkStart w:id="2394" w:name="_Toc41660740"/>
      <w:bookmarkStart w:id="2395" w:name="_Toc514051536"/>
      <w:r>
        <w:rPr>
          <w:rFonts w:hint="eastAsia" w:ascii="仿宋_GB2312" w:eastAsia="仿宋_GB2312"/>
          <w:b/>
          <w:sz w:val="30"/>
          <w:szCs w:val="30"/>
        </w:rPr>
        <w:t>（1）确定信用事件决定日</w:t>
      </w:r>
      <w:bookmarkEnd w:id="2394"/>
      <w:bookmarkEnd w:id="2395"/>
    </w:p>
    <w:p w14:paraId="0412A503">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信用事件发生后，买方或者卖方可按照双方约定的方式向对手方发送“信用事件通知书”并附“公共信息通知书”（以下简称信用事件通知书，详见附件</w:t>
      </w:r>
      <w:r>
        <w:rPr>
          <w:rFonts w:ascii="仿宋_GB2312" w:hAnsi="Calibri" w:eastAsia="仿宋_GB2312"/>
          <w:sz w:val="30"/>
          <w:szCs w:val="30"/>
        </w:rPr>
        <w:t>3</w:t>
      </w:r>
      <w:r>
        <w:rPr>
          <w:rFonts w:hint="eastAsia" w:ascii="仿宋_GB2312" w:hAnsi="Calibri" w:eastAsia="仿宋_GB2312"/>
          <w:sz w:val="30"/>
          <w:szCs w:val="30"/>
        </w:rPr>
        <w:t>3、</w:t>
      </w:r>
      <w:r>
        <w:rPr>
          <w:rFonts w:ascii="仿宋_GB2312" w:hAnsi="Calibri" w:eastAsia="仿宋_GB2312"/>
          <w:sz w:val="30"/>
          <w:szCs w:val="30"/>
        </w:rPr>
        <w:t>3</w:t>
      </w:r>
      <w:r>
        <w:rPr>
          <w:rFonts w:hint="eastAsia" w:ascii="仿宋_GB2312" w:hAnsi="Calibri" w:eastAsia="仿宋_GB2312"/>
          <w:sz w:val="30"/>
          <w:szCs w:val="30"/>
        </w:rPr>
        <w:t>4）。信用事件通知书中需对相关信用事件附有合理、详尽的说明，至少需要指出哪一个参考实体发生了哪一种信用事件、发生的时间和对信用事件的基本描述。</w:t>
      </w:r>
    </w:p>
    <w:p w14:paraId="61AE38E8">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公共信息通知书应列明买方或卖方从公开信息渠道获得的有关信用事件已经发生的信息或报道。除非交易双方另有约定，公开信息渠道限于全国发行报刊</w:t>
      </w:r>
      <w:r>
        <w:rPr>
          <w:rFonts w:hint="eastAsia" w:eastAsia="仿宋_GB2312"/>
          <w:sz w:val="30"/>
          <w:szCs w:val="28"/>
        </w:rPr>
        <w:t>或全国党政机关事业单位网站（及其子网站或平台）</w:t>
      </w:r>
      <w:r>
        <w:rPr>
          <w:rFonts w:hint="eastAsia" w:ascii="仿宋_GB2312" w:hAnsi="Calibri" w:eastAsia="仿宋_GB2312"/>
          <w:sz w:val="30"/>
          <w:szCs w:val="30"/>
        </w:rPr>
        <w:t>，或是参考实体所在行业协会</w:t>
      </w:r>
      <w:r>
        <w:rPr>
          <w:rFonts w:hint="eastAsia" w:eastAsia="仿宋_GB2312"/>
          <w:sz w:val="30"/>
          <w:szCs w:val="28"/>
        </w:rPr>
        <w:t>或参考债务所在市场</w:t>
      </w:r>
      <w:r>
        <w:rPr>
          <w:rFonts w:hint="eastAsia" w:ascii="仿宋_GB2312" w:hAnsi="Calibri" w:eastAsia="仿宋_GB2312"/>
          <w:sz w:val="30"/>
          <w:szCs w:val="30"/>
        </w:rPr>
        <w:t>认可的权威性专业报刊、网站或信息提供商，且有关报道者或报道机构未在提前终止日前撤</w:t>
      </w:r>
      <w:r>
        <w:rPr>
          <w:rFonts w:hint="eastAsia" w:eastAsia="仿宋_GB2312"/>
          <w:sz w:val="30"/>
          <w:szCs w:val="28"/>
        </w:rPr>
        <w:t>销</w:t>
      </w:r>
      <w:r>
        <w:rPr>
          <w:rFonts w:hint="eastAsia" w:ascii="仿宋_GB2312" w:hAnsi="Calibri" w:eastAsia="仿宋_GB2312"/>
          <w:sz w:val="30"/>
          <w:szCs w:val="30"/>
        </w:rPr>
        <w:t>该信息或报道，也未公开承认有重大误报。</w:t>
      </w:r>
    </w:p>
    <w:p w14:paraId="79D59B62">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若交易双方对信用事件无异议，则合约或者首份凭证信用事件通知书送达之日即为信用事件决定日。</w:t>
      </w:r>
    </w:p>
    <w:p w14:paraId="252767F8">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合约或凭证参与者向对手方发送信用事件通知书及所附公共信息通知书后，应在1个交易日内向本所报告，将信用事件通知书及所附公共信息通知书的PDF扫描件发送到以下邮箱：</w:t>
      </w:r>
      <w:r>
        <w:fldChar w:fldCharType="begin"/>
      </w:r>
      <w:r>
        <w:instrText xml:space="preserve"> HYPERLINK "mailto:ssebond@sse.com.cn" </w:instrText>
      </w:r>
      <w:r>
        <w:fldChar w:fldCharType="separate"/>
      </w:r>
      <w:r>
        <w:rPr>
          <w:rFonts w:ascii="仿宋_GB2312" w:hAnsi="Calibri" w:eastAsia="仿宋_GB2312"/>
          <w:sz w:val="30"/>
          <w:szCs w:val="30"/>
        </w:rPr>
        <w:t>ssebond@sse.com.cn</w:t>
      </w:r>
      <w:r>
        <w:rPr>
          <w:rFonts w:ascii="仿宋_GB2312" w:hAnsi="Calibri" w:eastAsia="仿宋_GB2312"/>
          <w:sz w:val="30"/>
          <w:szCs w:val="30"/>
        </w:rPr>
        <w:fldChar w:fldCharType="end"/>
      </w:r>
      <w:r>
        <w:rPr>
          <w:rFonts w:hint="eastAsia" w:ascii="仿宋_GB2312" w:hAnsi="Calibri" w:eastAsia="仿宋_GB2312"/>
          <w:sz w:val="30"/>
          <w:szCs w:val="30"/>
        </w:rPr>
        <w:t>，邮件格式为“XXX信用保护工具信用事件通知书及公共信息通知书</w:t>
      </w:r>
      <w:r>
        <w:rPr>
          <w:rFonts w:eastAsia="仿宋_GB2312"/>
          <w:sz w:val="30"/>
          <w:szCs w:val="28"/>
        </w:rPr>
        <w:t>-</w:t>
      </w:r>
      <w:r>
        <w:rPr>
          <w:rFonts w:hint="eastAsia" w:eastAsia="仿宋_GB2312"/>
          <w:sz w:val="30"/>
          <w:szCs w:val="28"/>
        </w:rPr>
        <w:t>【机构全称】</w:t>
      </w:r>
      <w:r>
        <w:rPr>
          <w:rFonts w:eastAsia="仿宋_GB2312"/>
          <w:sz w:val="30"/>
          <w:szCs w:val="28"/>
        </w:rPr>
        <w:t>-</w:t>
      </w:r>
      <w:r>
        <w:rPr>
          <w:rFonts w:hint="eastAsia" w:eastAsia="仿宋_GB2312"/>
          <w:sz w:val="30"/>
          <w:szCs w:val="28"/>
        </w:rPr>
        <w:t>【参考实体】</w:t>
      </w:r>
      <w:r>
        <w:rPr>
          <w:rFonts w:eastAsia="仿宋_GB2312"/>
          <w:sz w:val="30"/>
          <w:szCs w:val="28"/>
        </w:rPr>
        <w:t>-</w:t>
      </w:r>
      <w:r>
        <w:rPr>
          <w:rFonts w:hint="eastAsia" w:eastAsia="仿宋_GB2312"/>
          <w:sz w:val="30"/>
          <w:szCs w:val="28"/>
        </w:rPr>
        <w:t>【信用事件发生时间，即</w:t>
      </w:r>
      <w:r>
        <w:rPr>
          <w:rFonts w:ascii="仿宋_GB2312" w:hAnsi="Calibri" w:eastAsia="仿宋_GB2312"/>
          <w:sz w:val="30"/>
          <w:szCs w:val="30"/>
        </w:rPr>
        <w:t>YYYYMMDD</w:t>
      </w:r>
      <w:r>
        <w:rPr>
          <w:rFonts w:hint="eastAsia" w:eastAsia="仿宋_GB2312"/>
          <w:sz w:val="30"/>
          <w:szCs w:val="28"/>
        </w:rPr>
        <w:t>】</w:t>
      </w:r>
      <w:r>
        <w:rPr>
          <w:rFonts w:hint="eastAsia" w:ascii="仿宋_GB2312" w:hAnsi="Calibri" w:eastAsia="仿宋_GB2312"/>
          <w:sz w:val="30"/>
          <w:szCs w:val="30"/>
        </w:rPr>
        <w:t>”。对于CDX合约，信用事件通知书及所附公共信息通知书在向本所报告的同时，还需抄送CDX组合管理人邮箱csi</w:t>
      </w:r>
      <w:r>
        <w:rPr>
          <w:rFonts w:ascii="仿宋_GB2312" w:hAnsi="Calibri" w:eastAsia="仿宋_GB2312"/>
          <w:sz w:val="30"/>
          <w:szCs w:val="30"/>
        </w:rPr>
        <w:t>cslt@csindex.com.cn</w:t>
      </w:r>
      <w:r>
        <w:rPr>
          <w:rFonts w:hint="eastAsia" w:ascii="仿宋_GB2312" w:hAnsi="Calibri" w:eastAsia="仿宋_GB2312"/>
          <w:sz w:val="30"/>
          <w:szCs w:val="30"/>
        </w:rPr>
        <w:t>，同时电话通知CDX组合管理人相关业务负责人。</w:t>
      </w:r>
    </w:p>
    <w:p w14:paraId="7B6D43CA">
      <w:pPr>
        <w:spacing w:line="600" w:lineRule="exact"/>
        <w:ind w:firstLine="602" w:firstLineChars="200"/>
        <w:outlineLvl w:val="3"/>
        <w:rPr>
          <w:rFonts w:ascii="仿宋_GB2312" w:eastAsia="仿宋_GB2312"/>
          <w:b/>
          <w:sz w:val="30"/>
          <w:szCs w:val="30"/>
        </w:rPr>
      </w:pPr>
      <w:bookmarkStart w:id="2396" w:name="_Toc41660741"/>
      <w:r>
        <w:rPr>
          <w:rFonts w:hint="eastAsia" w:ascii="仿宋_GB2312" w:eastAsia="仿宋_GB2312"/>
          <w:b/>
          <w:sz w:val="30"/>
          <w:szCs w:val="30"/>
        </w:rPr>
        <w:t>（2）发送结算通知书</w:t>
      </w:r>
      <w:bookmarkEnd w:id="2396"/>
    </w:p>
    <w:p w14:paraId="1011AD97">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信用事件决定日确定后，需要明确相关结算安排。</w:t>
      </w:r>
    </w:p>
    <w:p w14:paraId="07F5360F">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对于合约，信用事件决定日后30个自然日内，合约买方应按照约定的方式向合约卖方发送“结算通知书”（附件</w:t>
      </w:r>
      <w:r>
        <w:rPr>
          <w:rFonts w:ascii="仿宋_GB2312" w:hAnsi="Calibri" w:eastAsia="仿宋_GB2312"/>
          <w:sz w:val="30"/>
          <w:szCs w:val="30"/>
        </w:rPr>
        <w:t>3</w:t>
      </w:r>
      <w:r>
        <w:rPr>
          <w:rFonts w:hint="eastAsia" w:ascii="仿宋_GB2312" w:hAnsi="Calibri" w:eastAsia="仿宋_GB2312"/>
          <w:sz w:val="30"/>
          <w:szCs w:val="30"/>
        </w:rPr>
        <w:t>5），最后结算日不得超过结算通知书送达日后30个自然日。</w:t>
      </w:r>
    </w:p>
    <w:p w14:paraId="266F614C">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对于凭证，信用事件决定日后3个自然日内，创设机构须通过本所网站发布关于信用事件和后续结算安排公告，内容包括信用事件决定日、可交付债务（如有）、凭证最后交易日期，结算方式以及结算时间区间等信息。最后结算日不得超过信用事件决定日后60个自然日。信用事件和后续结算安排公告发布后，凭证买方应按照创设说明书中约定的方式向创设机构发送“结算通知书”（附件</w:t>
      </w:r>
      <w:r>
        <w:rPr>
          <w:rFonts w:ascii="仿宋_GB2312" w:hAnsi="Calibri" w:eastAsia="仿宋_GB2312"/>
          <w:sz w:val="30"/>
          <w:szCs w:val="30"/>
        </w:rPr>
        <w:t>3</w:t>
      </w:r>
      <w:r>
        <w:rPr>
          <w:rFonts w:hint="eastAsia" w:ascii="仿宋_GB2312" w:hAnsi="Calibri" w:eastAsia="仿宋_GB2312"/>
          <w:sz w:val="30"/>
          <w:szCs w:val="30"/>
        </w:rPr>
        <w:t>5），明确具体结算日，具体结算日不得晚于最后结算日。</w:t>
      </w:r>
    </w:p>
    <w:p w14:paraId="5555B22A">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若采取实物结算方式，结算通知书中应当包括用于结算的可交付债务的具体信息、交割方式、交割时间等。若采取现金结算方式，结算通知书中应包括现金结算的交付方式、交付时间等信息。</w:t>
      </w:r>
    </w:p>
    <w:p w14:paraId="7EEDC718">
      <w:pPr>
        <w:spacing w:line="600" w:lineRule="exact"/>
        <w:ind w:firstLine="600" w:firstLineChars="200"/>
        <w:rPr>
          <w:rFonts w:eastAsia="仿宋_GB2312"/>
          <w:sz w:val="30"/>
          <w:szCs w:val="28"/>
        </w:rPr>
      </w:pPr>
      <w:r>
        <w:rPr>
          <w:rFonts w:hint="eastAsia" w:eastAsia="仿宋_GB2312"/>
          <w:sz w:val="30"/>
          <w:szCs w:val="28"/>
        </w:rPr>
        <w:t>买方发出结算通知书后，应在</w:t>
      </w:r>
      <w:r>
        <w:rPr>
          <w:rFonts w:ascii="仿宋_GB2312" w:hAnsi="Calibri" w:eastAsia="仿宋_GB2312"/>
          <w:sz w:val="30"/>
          <w:szCs w:val="30"/>
        </w:rPr>
        <w:t>1</w:t>
      </w:r>
      <w:r>
        <w:rPr>
          <w:rFonts w:hint="eastAsia" w:eastAsia="仿宋_GB2312"/>
          <w:sz w:val="30"/>
          <w:szCs w:val="28"/>
        </w:rPr>
        <w:t>个交易日内向本所报告，将结算通知书的</w:t>
      </w:r>
      <w:r>
        <w:rPr>
          <w:rFonts w:ascii="仿宋_GB2312" w:hAnsi="Calibri" w:eastAsia="仿宋_GB2312"/>
          <w:sz w:val="30"/>
          <w:szCs w:val="30"/>
        </w:rPr>
        <w:t>PDF</w:t>
      </w:r>
      <w:r>
        <w:rPr>
          <w:rFonts w:hint="eastAsia" w:eastAsia="仿宋_GB2312"/>
          <w:sz w:val="30"/>
          <w:szCs w:val="28"/>
        </w:rPr>
        <w:t>扫描件发送到以下邮箱：</w:t>
      </w:r>
      <w:r>
        <w:fldChar w:fldCharType="begin"/>
      </w:r>
      <w:r>
        <w:instrText xml:space="preserve"> HYPERLINK "mailto:ssebond@sse.com.cn" </w:instrText>
      </w:r>
      <w:r>
        <w:fldChar w:fldCharType="separate"/>
      </w:r>
      <w:r>
        <w:rPr>
          <w:rFonts w:ascii="仿宋_GB2312" w:hAnsi="Calibri" w:eastAsia="仿宋_GB2312"/>
          <w:sz w:val="30"/>
          <w:szCs w:val="30"/>
        </w:rPr>
        <w:t>ssebond@sse.com.cn</w:t>
      </w:r>
      <w:r>
        <w:rPr>
          <w:rFonts w:ascii="仿宋_GB2312" w:hAnsi="Calibri" w:eastAsia="仿宋_GB2312"/>
          <w:sz w:val="30"/>
          <w:szCs w:val="30"/>
        </w:rPr>
        <w:fldChar w:fldCharType="end"/>
      </w:r>
      <w:r>
        <w:rPr>
          <w:rFonts w:hint="eastAsia" w:eastAsia="仿宋_GB2312"/>
          <w:sz w:val="30"/>
          <w:szCs w:val="28"/>
        </w:rPr>
        <w:t>，邮件格式为“信用保护工具结算通知书</w:t>
      </w:r>
      <w:r>
        <w:rPr>
          <w:rFonts w:eastAsia="仿宋_GB2312"/>
          <w:sz w:val="30"/>
          <w:szCs w:val="28"/>
        </w:rPr>
        <w:t>-</w:t>
      </w:r>
      <w:r>
        <w:rPr>
          <w:rFonts w:hint="eastAsia" w:eastAsia="仿宋_GB2312"/>
          <w:sz w:val="30"/>
          <w:szCs w:val="28"/>
        </w:rPr>
        <w:t>【机构全称】</w:t>
      </w:r>
      <w:r>
        <w:rPr>
          <w:rFonts w:eastAsia="仿宋_GB2312"/>
          <w:sz w:val="30"/>
          <w:szCs w:val="28"/>
        </w:rPr>
        <w:t>-</w:t>
      </w:r>
      <w:r>
        <w:rPr>
          <w:rFonts w:hint="eastAsia" w:eastAsia="仿宋_GB2312"/>
          <w:sz w:val="30"/>
          <w:szCs w:val="28"/>
        </w:rPr>
        <w:t>【参考实体】</w:t>
      </w:r>
      <w:r>
        <w:rPr>
          <w:rFonts w:eastAsia="仿宋_GB2312"/>
          <w:sz w:val="30"/>
          <w:szCs w:val="28"/>
        </w:rPr>
        <w:t>-</w:t>
      </w:r>
      <w:r>
        <w:rPr>
          <w:rFonts w:hint="eastAsia" w:eastAsia="仿宋_GB2312"/>
          <w:sz w:val="30"/>
          <w:szCs w:val="28"/>
        </w:rPr>
        <w:t>【结算日，即</w:t>
      </w:r>
      <w:r>
        <w:rPr>
          <w:rFonts w:ascii="仿宋_GB2312" w:hAnsi="Calibri" w:eastAsia="仿宋_GB2312"/>
          <w:sz w:val="30"/>
          <w:szCs w:val="30"/>
        </w:rPr>
        <w:t>YYYYMMDD</w:t>
      </w:r>
      <w:r>
        <w:rPr>
          <w:rFonts w:hint="eastAsia" w:eastAsia="仿宋_GB2312"/>
          <w:sz w:val="30"/>
          <w:szCs w:val="28"/>
        </w:rPr>
        <w:t>】”。</w:t>
      </w:r>
    </w:p>
    <w:p w14:paraId="343786E8">
      <w:pPr>
        <w:spacing w:line="600" w:lineRule="exact"/>
        <w:ind w:firstLine="602" w:firstLineChars="200"/>
        <w:outlineLvl w:val="3"/>
        <w:rPr>
          <w:rFonts w:ascii="仿宋_GB2312" w:eastAsia="仿宋_GB2312"/>
          <w:b/>
          <w:sz w:val="30"/>
          <w:szCs w:val="30"/>
        </w:rPr>
      </w:pPr>
      <w:bookmarkStart w:id="2397" w:name="_Toc41660742"/>
      <w:r>
        <w:rPr>
          <w:rFonts w:hint="eastAsia" w:ascii="仿宋_GB2312" w:eastAsia="仿宋_GB2312"/>
          <w:b/>
          <w:sz w:val="30"/>
          <w:szCs w:val="30"/>
        </w:rPr>
        <w:t>（3）结算期间结算安排</w:t>
      </w:r>
      <w:bookmarkEnd w:id="2397"/>
    </w:p>
    <w:p w14:paraId="708A336E">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交易双方应当在结算日确认相关结算要素。凭证和采用实物结算的合约，由买方通过交易系统申报相关结算要素，卖方进行确认。登记结算机构根据固定收益平台发送的数据提供T+1日逐笔全额非担保交收服务。交收以单笔现金结算或实物结算为最小单位，不办理部分交收。</w:t>
      </w:r>
    </w:p>
    <w:p w14:paraId="5E4EFDA2">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采用实物结算方式的，买方应向卖方交付充足的可交付债务；若买方没有充足的可交付债务，可申报部分可交付债务，则卖方按照实际交付债务的数量确认结算金额。对于按季度支付保护费的合约而言，买方还需向卖方支付应付未付的保护费，即从上一次保护费支付日到信用事件决定日期间的保护费。最终采用轧差方式支付，卖方支付的金额为轧差净额。</w:t>
      </w:r>
    </w:p>
    <w:p w14:paraId="762EC33D">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合约采用现金结算的，交易双方可以通过登记结算机构或者自行协商的其他方式支付结算金额。通过登记结算机构办理结算金额支付的，交易双方在</w:t>
      </w:r>
      <w:r>
        <w:rPr>
          <w:rFonts w:ascii="仿宋_GB2312" w:hAnsi="Calibri" w:eastAsia="仿宋_GB2312"/>
          <w:sz w:val="30"/>
          <w:szCs w:val="30"/>
        </w:rPr>
        <w:t>中国证券登记结算有限责任公司</w:t>
      </w:r>
      <w:r>
        <w:rPr>
          <w:rFonts w:hint="eastAsia" w:ascii="仿宋_GB2312" w:hAnsi="Calibri" w:eastAsia="仿宋_GB2312"/>
          <w:sz w:val="30"/>
          <w:szCs w:val="30"/>
        </w:rPr>
        <w:t>PROP综合业务终端办理资金代收代付，具体流程参见登记结算机构相关规定。</w:t>
      </w:r>
    </w:p>
    <w:p w14:paraId="4F9FD5BE">
      <w:pPr>
        <w:spacing w:line="600" w:lineRule="exact"/>
        <w:ind w:firstLine="600" w:firstLineChars="200"/>
        <w:rPr>
          <w:rFonts w:ascii="仿宋_GB2312" w:eastAsia="仿宋_GB2312" w:cs="宋体"/>
          <w:sz w:val="30"/>
          <w:szCs w:val="30"/>
        </w:rPr>
      </w:pPr>
      <w:r>
        <w:rPr>
          <w:rFonts w:ascii="仿宋_GB2312" w:eastAsia="仿宋_GB2312" w:cs="宋体"/>
          <w:sz w:val="30"/>
          <w:szCs w:val="30"/>
        </w:rPr>
        <w:t>CDX</w:t>
      </w:r>
      <w:r>
        <w:rPr>
          <w:rFonts w:hint="eastAsia" w:ascii="仿宋_GB2312" w:eastAsia="仿宋_GB2312"/>
          <w:sz w:val="30"/>
          <w:szCs w:val="28"/>
        </w:rPr>
        <w:t>业务试点初期，</w:t>
      </w:r>
      <w:r>
        <w:rPr>
          <w:rFonts w:hint="eastAsia" w:ascii="仿宋_GB2312" w:eastAsia="仿宋_GB2312" w:cs="宋体"/>
          <w:sz w:val="30"/>
          <w:szCs w:val="30"/>
        </w:rPr>
        <w:t>采用实物结算的，可交付债务仅限于参考实体在上交所上市或挂牌的债券。交易双方就</w:t>
      </w:r>
      <w:r>
        <w:rPr>
          <w:rFonts w:ascii="仿宋_GB2312" w:eastAsia="仿宋_GB2312" w:cs="宋体"/>
          <w:sz w:val="30"/>
          <w:szCs w:val="30"/>
        </w:rPr>
        <w:t>CDX</w:t>
      </w:r>
      <w:r>
        <w:rPr>
          <w:rFonts w:hint="eastAsia" w:ascii="仿宋_GB2312" w:eastAsia="仿宋_GB2312" w:cs="宋体"/>
          <w:sz w:val="30"/>
          <w:szCs w:val="30"/>
        </w:rPr>
        <w:t>合约部分参考实体进行信用事件结算的，应对进行结算的部分参考实体以及结算完成后继续存续的其余部分参考实体做好记录。交易双方在通过交易系统进行</w:t>
      </w:r>
      <w:r>
        <w:rPr>
          <w:rFonts w:ascii="仿宋_GB2312" w:eastAsia="仿宋_GB2312" w:cs="宋体"/>
          <w:sz w:val="30"/>
          <w:szCs w:val="30"/>
        </w:rPr>
        <w:t>CDX</w:t>
      </w:r>
      <w:r>
        <w:rPr>
          <w:rFonts w:hint="eastAsia" w:ascii="仿宋_GB2312" w:eastAsia="仿宋_GB2312" w:cs="宋体"/>
          <w:sz w:val="30"/>
          <w:szCs w:val="30"/>
        </w:rPr>
        <w:t>合约信用事件结算申报时，可以就此进行备注。</w:t>
      </w:r>
    </w:p>
    <w:p w14:paraId="189DF19B">
      <w:pPr>
        <w:spacing w:line="600" w:lineRule="exact"/>
        <w:ind w:firstLine="602" w:firstLineChars="200"/>
        <w:outlineLvl w:val="3"/>
        <w:rPr>
          <w:rFonts w:ascii="仿宋_GB2312" w:eastAsia="仿宋_GB2312"/>
          <w:b/>
          <w:sz w:val="30"/>
          <w:szCs w:val="30"/>
        </w:rPr>
      </w:pPr>
      <w:r>
        <w:rPr>
          <w:rFonts w:hint="eastAsia" w:ascii="仿宋_GB2312" w:eastAsia="仿宋_GB2312"/>
          <w:b/>
          <w:sz w:val="30"/>
          <w:szCs w:val="30"/>
        </w:rPr>
        <w:t>（</w:t>
      </w:r>
      <w:r>
        <w:rPr>
          <w:rFonts w:ascii="仿宋_GB2312" w:eastAsia="仿宋_GB2312"/>
          <w:b/>
          <w:sz w:val="30"/>
          <w:szCs w:val="30"/>
        </w:rPr>
        <w:t>4</w:t>
      </w:r>
      <w:r>
        <w:rPr>
          <w:rFonts w:hint="eastAsia" w:ascii="仿宋_GB2312" w:eastAsia="仿宋_GB2312"/>
          <w:b/>
          <w:sz w:val="30"/>
          <w:szCs w:val="30"/>
        </w:rPr>
        <w:t>）信用事件分歧处理</w:t>
      </w:r>
    </w:p>
    <w:p w14:paraId="08F4AEFE">
      <w:pPr>
        <w:spacing w:line="600" w:lineRule="exact"/>
        <w:ind w:firstLine="600" w:firstLineChars="200"/>
        <w:rPr>
          <w:rFonts w:eastAsia="仿宋_GB2312" w:cs="宋体"/>
          <w:sz w:val="30"/>
          <w:szCs w:val="30"/>
        </w:rPr>
      </w:pPr>
      <w:r>
        <w:rPr>
          <w:rFonts w:hint="eastAsia" w:eastAsia="仿宋_GB2312" w:cs="宋体"/>
          <w:sz w:val="30"/>
          <w:szCs w:val="30"/>
        </w:rPr>
        <w:t>若交易双方对信用事件产生分歧，交易双方可对相关分歧进行协商，也可提请信用事件专家委员会出具专家意见并组织协商。若交易双方认可信用事件专家委员会出具的专家意见或协商结果，交易双方按照相关专家意见或协商结果进行处理。</w:t>
      </w:r>
    </w:p>
    <w:p w14:paraId="685F5570">
      <w:pPr>
        <w:spacing w:line="600" w:lineRule="exact"/>
        <w:ind w:firstLine="600" w:firstLineChars="200"/>
        <w:rPr>
          <w:rFonts w:eastAsia="仿宋_GB2312" w:cs="宋体"/>
          <w:sz w:val="30"/>
          <w:szCs w:val="30"/>
        </w:rPr>
      </w:pPr>
      <w:r>
        <w:rPr>
          <w:rFonts w:hint="eastAsia" w:eastAsia="仿宋_GB2312" w:cs="宋体"/>
          <w:sz w:val="30"/>
          <w:szCs w:val="30"/>
        </w:rPr>
        <w:t>若交易双方发生争议未提交信用事件专家委员会或者不认可相关专家意见或协商结果的，交易双方可根据约定就信用事件争议事项提交仲裁或诉讼。</w:t>
      </w:r>
    </w:p>
    <w:p w14:paraId="1E2AA021">
      <w:pPr>
        <w:spacing w:line="600" w:lineRule="exact"/>
        <w:ind w:firstLine="600" w:firstLineChars="200"/>
        <w:rPr>
          <w:rFonts w:eastAsia="仿宋_GB2312" w:cs="宋体"/>
          <w:sz w:val="30"/>
          <w:szCs w:val="30"/>
        </w:rPr>
      </w:pPr>
      <w:r>
        <w:rPr>
          <w:rFonts w:hint="eastAsia" w:eastAsia="仿宋_GB2312" w:cs="宋体"/>
          <w:sz w:val="30"/>
          <w:szCs w:val="30"/>
        </w:rPr>
        <w:t>若交易双方认可的信用事件专家委员会出具的专家意见、仲裁裁决或者诉讼判决支持买方的诉求，则合约或者首份凭证信用事件通知书送达之日即为信用事件决定日，最后结算日不得晚于信用事件专家委员会专家意见、仲裁裁决书或者判决书送达卖方之日后</w:t>
      </w:r>
      <w:r>
        <w:rPr>
          <w:rFonts w:eastAsia="仿宋_GB2312" w:cs="宋体"/>
          <w:sz w:val="30"/>
          <w:szCs w:val="30"/>
        </w:rPr>
        <w:t>30</w:t>
      </w:r>
      <w:r>
        <w:rPr>
          <w:rFonts w:hint="eastAsia" w:eastAsia="仿宋_GB2312" w:cs="宋体"/>
          <w:sz w:val="30"/>
          <w:szCs w:val="30"/>
        </w:rPr>
        <w:t>个自然日。</w:t>
      </w:r>
    </w:p>
    <w:p w14:paraId="300346ED">
      <w:pPr>
        <w:numPr>
          <w:ilvl w:val="1"/>
          <w:numId w:val="4"/>
        </w:numPr>
        <w:spacing w:line="600" w:lineRule="exact"/>
        <w:ind w:left="0" w:firstLine="0"/>
        <w:outlineLvl w:val="1"/>
        <w:rPr>
          <w:rFonts w:eastAsia="仿宋_GB2312" w:cs="宋体"/>
          <w:b/>
          <w:sz w:val="30"/>
          <w:szCs w:val="30"/>
        </w:rPr>
      </w:pPr>
      <w:bookmarkStart w:id="2398" w:name="_Toc151137053"/>
      <w:bookmarkStart w:id="2399" w:name="_Toc7561367"/>
      <w:bookmarkStart w:id="2400" w:name="_Toc364396417"/>
      <w:bookmarkStart w:id="2401" w:name="_Toc1987929732"/>
      <w:bookmarkStart w:id="2402" w:name="_Toc1215738173"/>
      <w:r>
        <w:rPr>
          <w:rFonts w:hint="eastAsia" w:eastAsia="仿宋_GB2312" w:cs="宋体"/>
          <w:b/>
          <w:sz w:val="30"/>
          <w:szCs w:val="30"/>
        </w:rPr>
        <w:t>担保品处置</w:t>
      </w:r>
      <w:bookmarkEnd w:id="2398"/>
      <w:bookmarkEnd w:id="2399"/>
      <w:bookmarkEnd w:id="2400"/>
      <w:bookmarkEnd w:id="2401"/>
      <w:bookmarkEnd w:id="2402"/>
    </w:p>
    <w:p w14:paraId="32E8F013">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业务概述</w:t>
      </w:r>
    </w:p>
    <w:p w14:paraId="78B769DE">
      <w:pPr>
        <w:spacing w:line="600" w:lineRule="exact"/>
        <w:ind w:firstLine="600" w:firstLineChars="200"/>
        <w:rPr>
          <w:rFonts w:eastAsia="仿宋_GB2312" w:cs="宋体"/>
          <w:sz w:val="30"/>
          <w:szCs w:val="30"/>
        </w:rPr>
      </w:pPr>
      <w:r>
        <w:rPr>
          <w:rFonts w:hint="eastAsia" w:eastAsia="仿宋_GB2312" w:cs="宋体"/>
          <w:sz w:val="30"/>
          <w:szCs w:val="30"/>
        </w:rPr>
        <w:t>债券质押类业务出现支付违约或其他双方约定情形后，质权人（以下称处置方）根据与出质人的约定，通过本所债券</w:t>
      </w:r>
      <w:r>
        <w:rPr>
          <w:rFonts w:hint="eastAsia" w:ascii="仿宋_GB2312" w:eastAsia="仿宋_GB2312" w:cs="宋体"/>
          <w:sz w:val="30"/>
          <w:szCs w:val="30"/>
        </w:rPr>
        <w:t>担保品处置平台（以下简称处置平台，功能简介见附件</w:t>
      </w:r>
      <w:r>
        <w:rPr>
          <w:rFonts w:ascii="仿宋_GB2312" w:eastAsia="仿宋_GB2312" w:cs="宋体"/>
          <w:sz w:val="30"/>
          <w:szCs w:val="30"/>
        </w:rPr>
        <w:t>3</w:t>
      </w:r>
      <w:r>
        <w:rPr>
          <w:rFonts w:hint="eastAsia" w:ascii="仿宋_GB2312" w:eastAsia="仿宋_GB2312" w:cs="宋体"/>
          <w:sz w:val="30"/>
          <w:szCs w:val="30"/>
        </w:rPr>
        <w:t>6，地址为</w:t>
      </w:r>
      <w:r>
        <w:rPr>
          <w:rFonts w:ascii="仿宋_GB2312" w:eastAsia="仿宋_GB2312" w:cs="宋体"/>
          <w:sz w:val="30"/>
          <w:szCs w:val="30"/>
        </w:rPr>
        <w:t>https://bond.uap.sse.com.cn</w:t>
      </w:r>
      <w:r>
        <w:rPr>
          <w:rFonts w:hint="eastAsia" w:ascii="仿宋_GB2312" w:eastAsia="仿宋_GB2312" w:cs="宋体"/>
          <w:sz w:val="30"/>
          <w:szCs w:val="30"/>
        </w:rPr>
        <w:t>）对债券担保品</w:t>
      </w:r>
      <w:r>
        <w:rPr>
          <w:rFonts w:hint="eastAsia" w:eastAsia="仿宋_GB2312" w:cs="宋体"/>
          <w:sz w:val="30"/>
          <w:szCs w:val="30"/>
        </w:rPr>
        <w:t>（以下简称担保品）进行处置。本所建立处置平台为担保品处置提供专业服务与技术支持，包括对处置平台系统进行运营和维护、建立并维护处置平台合格报价团（以下简称合格报价团）等服务内容。本所提供担保品处置服务不表明对担保品的权属、风险或收益作出判断或保证，相关风险由各方自行承担。前述所称债券质押类业务，包括债券通用质押式回购、债券质押式协议回购、债券质押式三方回购及本所认定的其他业务。</w:t>
      </w:r>
    </w:p>
    <w:p w14:paraId="67B5E02B">
      <w:pPr>
        <w:spacing w:line="600" w:lineRule="exact"/>
        <w:ind w:firstLine="600" w:firstLineChars="200"/>
        <w:rPr>
          <w:rFonts w:eastAsia="仿宋_GB2312" w:cs="宋体"/>
          <w:sz w:val="30"/>
          <w:szCs w:val="30"/>
        </w:rPr>
      </w:pPr>
      <w:r>
        <w:rPr>
          <w:rFonts w:hint="eastAsia" w:eastAsia="仿宋_GB2312" w:cs="宋体"/>
          <w:sz w:val="30"/>
          <w:szCs w:val="30"/>
        </w:rPr>
        <w:t>处置平台涉及的处置报价活动应当遵循公开、公平、公正和诚实信用原则，维护处置方、出质人和报价团成员的合法权益，不得损害国家利益和社会公共利益。</w:t>
      </w:r>
    </w:p>
    <w:p w14:paraId="440364A2">
      <w:pPr>
        <w:spacing w:line="600" w:lineRule="exact"/>
        <w:ind w:firstLine="600" w:firstLineChars="200"/>
        <w:rPr>
          <w:rFonts w:eastAsia="仿宋_GB2312" w:cs="宋体"/>
          <w:sz w:val="30"/>
          <w:szCs w:val="30"/>
        </w:rPr>
      </w:pPr>
      <w:r>
        <w:rPr>
          <w:rFonts w:hint="eastAsia" w:eastAsia="仿宋_GB2312" w:cs="宋体"/>
          <w:sz w:val="30"/>
          <w:szCs w:val="30"/>
        </w:rPr>
        <w:t>处置方、合格报价团成员及其他相关主体参与担保品处置业务，应当遵守法律法规、部门规章、规范性文件、服务指引、本指南及本所其他业务规则的相关规定，确保向本所提交的相关文件及公告真实、准确、完整。处置方应当承诺其有权对相关债券担保品进行处置，待处置的债券担保品除回购交易项下形成的质押关系外，不存在其他的权属争议或权利瑕疵。</w:t>
      </w:r>
    </w:p>
    <w:p w14:paraId="1A6AE616">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处置前的准备</w:t>
      </w:r>
    </w:p>
    <w:p w14:paraId="4F2734C0">
      <w:pPr>
        <w:spacing w:line="600" w:lineRule="exact"/>
        <w:ind w:firstLine="602" w:firstLineChars="200"/>
        <w:outlineLvl w:val="3"/>
        <w:rPr>
          <w:rFonts w:ascii="仿宋_GB2312" w:eastAsia="仿宋_GB2312"/>
          <w:b/>
          <w:sz w:val="30"/>
          <w:szCs w:val="30"/>
        </w:rPr>
      </w:pPr>
      <w:r>
        <w:rPr>
          <w:rFonts w:hint="eastAsia" w:ascii="仿宋_GB2312" w:eastAsia="仿宋_GB2312"/>
          <w:b/>
          <w:sz w:val="30"/>
          <w:szCs w:val="30"/>
        </w:rPr>
        <w:t>（1）合格报价团成员</w:t>
      </w:r>
    </w:p>
    <w:p w14:paraId="4B270C41">
      <w:pPr>
        <w:spacing w:line="600" w:lineRule="exact"/>
        <w:ind w:firstLine="600" w:firstLineChars="200"/>
        <w:rPr>
          <w:rFonts w:eastAsia="仿宋_GB2312" w:cs="宋体"/>
          <w:sz w:val="30"/>
          <w:szCs w:val="30"/>
        </w:rPr>
      </w:pPr>
      <w:r>
        <w:rPr>
          <w:rFonts w:hint="eastAsia" w:eastAsia="仿宋_GB2312" w:cs="宋体"/>
          <w:sz w:val="30"/>
          <w:szCs w:val="30"/>
        </w:rPr>
        <w:t>为保障债券担保品处置的顺利进行，本所组建合格报价团。参加担保品处置平台报价的主体应当为合格报价团成员。报价团成员应当遵守服务指引的规定，并根据债券担保品处置公告的相关要求进行合理报价，中标后及时履行缴款义务。</w:t>
      </w:r>
    </w:p>
    <w:p w14:paraId="1646F0D5">
      <w:pPr>
        <w:spacing w:line="600" w:lineRule="exact"/>
        <w:ind w:firstLine="600" w:firstLineChars="200"/>
        <w:rPr>
          <w:rFonts w:eastAsia="仿宋_GB2312" w:cs="宋体"/>
          <w:sz w:val="30"/>
          <w:szCs w:val="30"/>
        </w:rPr>
      </w:pPr>
      <w:r>
        <w:rPr>
          <w:rFonts w:hint="eastAsia" w:eastAsia="仿宋_GB2312" w:cs="宋体"/>
          <w:sz w:val="30"/>
          <w:szCs w:val="30"/>
        </w:rPr>
        <w:t>1）合格报价团的范围</w:t>
      </w:r>
    </w:p>
    <w:p w14:paraId="76488B1A">
      <w:pPr>
        <w:spacing w:line="600" w:lineRule="exact"/>
        <w:ind w:firstLine="600" w:firstLineChars="200"/>
        <w:rPr>
          <w:rFonts w:eastAsia="仿宋_GB2312" w:cs="宋体"/>
          <w:sz w:val="30"/>
          <w:szCs w:val="30"/>
        </w:rPr>
      </w:pPr>
      <w:r>
        <w:rPr>
          <w:rFonts w:hint="eastAsia" w:eastAsia="仿宋_GB2312" w:cs="宋体"/>
          <w:sz w:val="30"/>
          <w:szCs w:val="30"/>
        </w:rPr>
        <w:t>符合下列条件之一的机构可以向本所申请加入合格报价团：</w:t>
      </w:r>
    </w:p>
    <w:p w14:paraId="2B4BA6C8">
      <w:pPr>
        <w:spacing w:line="600" w:lineRule="exact"/>
        <w:ind w:firstLine="600" w:firstLineChars="200"/>
        <w:rPr>
          <w:rFonts w:eastAsia="仿宋_GB2312" w:cs="宋体"/>
          <w:sz w:val="30"/>
          <w:szCs w:val="30"/>
        </w:rPr>
      </w:pPr>
      <w:r>
        <w:rPr>
          <w:rFonts w:eastAsia="仿宋_GB2312" w:cs="宋体"/>
          <w:sz w:val="30"/>
          <w:szCs w:val="30"/>
        </w:rPr>
        <w:t>a.</w:t>
      </w:r>
      <w:r>
        <w:rPr>
          <w:rFonts w:hint="eastAsia" w:eastAsia="仿宋_GB2312" w:cs="宋体"/>
          <w:sz w:val="30"/>
          <w:szCs w:val="30"/>
        </w:rPr>
        <w:t>商业银行；</w:t>
      </w:r>
    </w:p>
    <w:p w14:paraId="5D2BDE6B">
      <w:pPr>
        <w:spacing w:line="600" w:lineRule="exact"/>
        <w:ind w:firstLine="600" w:firstLineChars="200"/>
        <w:rPr>
          <w:rFonts w:eastAsia="仿宋_GB2312" w:cs="宋体"/>
          <w:sz w:val="30"/>
          <w:szCs w:val="30"/>
        </w:rPr>
      </w:pPr>
      <w:r>
        <w:rPr>
          <w:rFonts w:eastAsia="仿宋_GB2312" w:cs="宋体"/>
          <w:sz w:val="30"/>
          <w:szCs w:val="30"/>
        </w:rPr>
        <w:t>b.</w:t>
      </w:r>
      <w:r>
        <w:rPr>
          <w:rFonts w:hint="eastAsia" w:eastAsia="仿宋_GB2312" w:cs="宋体"/>
          <w:sz w:val="30"/>
          <w:szCs w:val="30"/>
        </w:rPr>
        <w:t>证券公司；</w:t>
      </w:r>
    </w:p>
    <w:p w14:paraId="7B0D9362">
      <w:pPr>
        <w:spacing w:line="600" w:lineRule="exact"/>
        <w:ind w:firstLine="600" w:firstLineChars="200"/>
        <w:rPr>
          <w:rFonts w:eastAsia="仿宋_GB2312" w:cs="宋体"/>
          <w:sz w:val="30"/>
          <w:szCs w:val="30"/>
        </w:rPr>
      </w:pPr>
      <w:r>
        <w:rPr>
          <w:rFonts w:eastAsia="仿宋_GB2312" w:cs="宋体"/>
          <w:sz w:val="30"/>
          <w:szCs w:val="30"/>
        </w:rPr>
        <w:t>c.</w:t>
      </w:r>
      <w:r>
        <w:rPr>
          <w:rFonts w:hint="eastAsia" w:eastAsia="仿宋_GB2312" w:cs="宋体"/>
          <w:sz w:val="30"/>
          <w:szCs w:val="30"/>
        </w:rPr>
        <w:t>保险公司；</w:t>
      </w:r>
    </w:p>
    <w:p w14:paraId="3620CCB3">
      <w:pPr>
        <w:spacing w:line="600" w:lineRule="exact"/>
        <w:ind w:firstLine="600" w:firstLineChars="200"/>
        <w:rPr>
          <w:rFonts w:eastAsia="仿宋_GB2312" w:cs="宋体"/>
          <w:sz w:val="30"/>
          <w:szCs w:val="30"/>
        </w:rPr>
      </w:pPr>
      <w:r>
        <w:rPr>
          <w:rFonts w:eastAsia="仿宋_GB2312" w:cs="宋体"/>
          <w:sz w:val="30"/>
          <w:szCs w:val="30"/>
        </w:rPr>
        <w:t>d.</w:t>
      </w:r>
      <w:r>
        <w:rPr>
          <w:rFonts w:hint="eastAsia" w:eastAsia="仿宋_GB2312" w:cs="宋体"/>
          <w:sz w:val="30"/>
          <w:szCs w:val="30"/>
        </w:rPr>
        <w:t>上年末资产管理规模超过</w:t>
      </w:r>
      <w:r>
        <w:rPr>
          <w:rFonts w:ascii="仿宋_GB2312" w:eastAsia="仿宋_GB2312" w:cs="宋体"/>
          <w:sz w:val="30"/>
          <w:szCs w:val="30"/>
        </w:rPr>
        <w:t>1000</w:t>
      </w:r>
      <w:r>
        <w:rPr>
          <w:rFonts w:hint="eastAsia" w:ascii="仿宋_GB2312" w:eastAsia="仿宋_GB2312" w:cs="宋体"/>
          <w:sz w:val="30"/>
          <w:szCs w:val="30"/>
        </w:rPr>
        <w:t>亿</w:t>
      </w:r>
      <w:r>
        <w:rPr>
          <w:rFonts w:hint="eastAsia" w:eastAsia="仿宋_GB2312" w:cs="宋体"/>
          <w:sz w:val="30"/>
          <w:szCs w:val="30"/>
        </w:rPr>
        <w:t>元人民币的资产管理机构；</w:t>
      </w:r>
    </w:p>
    <w:p w14:paraId="1E6B293C">
      <w:pPr>
        <w:spacing w:line="600" w:lineRule="exact"/>
        <w:ind w:firstLine="600" w:firstLineChars="200"/>
        <w:rPr>
          <w:rFonts w:eastAsia="仿宋_GB2312" w:cs="宋体"/>
          <w:sz w:val="30"/>
          <w:szCs w:val="30"/>
        </w:rPr>
      </w:pPr>
      <w:r>
        <w:rPr>
          <w:rFonts w:eastAsia="仿宋_GB2312" w:cs="宋体"/>
          <w:sz w:val="30"/>
          <w:szCs w:val="30"/>
        </w:rPr>
        <w:t>e.</w:t>
      </w:r>
      <w:r>
        <w:rPr>
          <w:rFonts w:hint="eastAsia" w:eastAsia="仿宋_GB2312" w:cs="宋体"/>
          <w:sz w:val="30"/>
          <w:szCs w:val="30"/>
        </w:rPr>
        <w:t>金融资产管理公司；</w:t>
      </w:r>
    </w:p>
    <w:p w14:paraId="08260446">
      <w:pPr>
        <w:spacing w:line="600" w:lineRule="exact"/>
        <w:ind w:firstLine="600" w:firstLineChars="200"/>
        <w:rPr>
          <w:rFonts w:eastAsia="仿宋_GB2312" w:cs="宋体"/>
          <w:sz w:val="30"/>
          <w:szCs w:val="30"/>
        </w:rPr>
      </w:pPr>
      <w:r>
        <w:rPr>
          <w:rFonts w:eastAsia="仿宋_GB2312" w:cs="宋体"/>
          <w:sz w:val="30"/>
          <w:szCs w:val="30"/>
        </w:rPr>
        <w:t>f.</w:t>
      </w:r>
      <w:r>
        <w:rPr>
          <w:rFonts w:hint="eastAsia" w:eastAsia="仿宋_GB2312" w:cs="宋体"/>
          <w:sz w:val="30"/>
          <w:szCs w:val="30"/>
        </w:rPr>
        <w:t>本所认可的其他机构。</w:t>
      </w:r>
    </w:p>
    <w:p w14:paraId="2E5D5CE2">
      <w:pPr>
        <w:spacing w:line="600" w:lineRule="exact"/>
        <w:ind w:firstLine="600" w:firstLineChars="200"/>
        <w:rPr>
          <w:rFonts w:ascii="仿宋_GB2312" w:eastAsia="仿宋_GB2312" w:cs="宋体"/>
          <w:sz w:val="30"/>
          <w:szCs w:val="30"/>
        </w:rPr>
      </w:pPr>
      <w:r>
        <w:rPr>
          <w:rFonts w:ascii="仿宋_GB2312" w:eastAsia="仿宋_GB2312" w:cs="宋体"/>
          <w:sz w:val="30"/>
          <w:szCs w:val="30"/>
        </w:rPr>
        <w:t>2</w:t>
      </w:r>
      <w:r>
        <w:rPr>
          <w:rFonts w:hint="eastAsia" w:ascii="仿宋_GB2312" w:eastAsia="仿宋_GB2312" w:cs="宋体"/>
          <w:sz w:val="30"/>
          <w:szCs w:val="30"/>
        </w:rPr>
        <w:t>）合格报价团的申请</w:t>
      </w:r>
    </w:p>
    <w:p w14:paraId="35439410">
      <w:pPr>
        <w:spacing w:line="600" w:lineRule="exact"/>
        <w:ind w:firstLine="600" w:firstLineChars="200"/>
        <w:rPr>
          <w:rFonts w:ascii="仿宋_GB2312" w:eastAsia="仿宋_GB2312" w:cs="宋体"/>
          <w:sz w:val="30"/>
          <w:szCs w:val="30"/>
        </w:rPr>
      </w:pPr>
      <w:r>
        <w:rPr>
          <w:rFonts w:hint="eastAsia" w:ascii="仿宋_GB2312" w:eastAsia="仿宋_GB2312" w:cs="宋体"/>
          <w:sz w:val="30"/>
          <w:szCs w:val="30"/>
        </w:rPr>
        <w:t>符合条件且有意向参与处置平台的机构可以向本所提交《上海证券交易所债券担保品处置平台合格报价团成员申请书》（格式见服务指引的附件</w:t>
      </w:r>
      <w:r>
        <w:rPr>
          <w:rFonts w:ascii="仿宋_GB2312" w:eastAsia="仿宋_GB2312" w:cs="宋体"/>
          <w:sz w:val="30"/>
          <w:szCs w:val="30"/>
        </w:rPr>
        <w:t>1</w:t>
      </w:r>
      <w:r>
        <w:rPr>
          <w:rFonts w:hint="eastAsia" w:ascii="仿宋_GB2312" w:eastAsia="仿宋_GB2312" w:cs="宋体"/>
          <w:sz w:val="30"/>
          <w:szCs w:val="30"/>
        </w:rPr>
        <w:t>）及本所要求的其他文件。提交方式为将盖章的申请材料扫描成</w:t>
      </w:r>
      <w:r>
        <w:rPr>
          <w:rFonts w:ascii="仿宋_GB2312" w:eastAsia="仿宋_GB2312" w:cs="宋体"/>
          <w:sz w:val="30"/>
          <w:szCs w:val="30"/>
        </w:rPr>
        <w:t>PDF</w:t>
      </w:r>
      <w:r>
        <w:rPr>
          <w:rFonts w:hint="eastAsia" w:ascii="仿宋_GB2312" w:eastAsia="仿宋_GB2312" w:cs="宋体"/>
          <w:sz w:val="30"/>
          <w:szCs w:val="30"/>
        </w:rPr>
        <w:t>文件通过邮箱（</w:t>
      </w:r>
      <w:r>
        <w:rPr>
          <w:rFonts w:ascii="仿宋_GB2312" w:eastAsia="仿宋_GB2312" w:cs="宋体"/>
          <w:sz w:val="30"/>
          <w:szCs w:val="30"/>
        </w:rPr>
        <w:t>bondtrading@sse.com.cn</w:t>
      </w:r>
      <w:r>
        <w:rPr>
          <w:rFonts w:hint="eastAsia" w:ascii="仿宋_GB2312" w:eastAsia="仿宋_GB2312" w:cs="宋体"/>
          <w:sz w:val="30"/>
          <w:szCs w:val="30"/>
        </w:rPr>
        <w:t>，下同）发送至本所债券业务部，邮件标题格式为“</w:t>
      </w:r>
      <w:r>
        <w:rPr>
          <w:rFonts w:ascii="仿宋_GB2312" w:eastAsia="仿宋_GB2312" w:cs="宋体"/>
          <w:sz w:val="30"/>
          <w:szCs w:val="30"/>
        </w:rPr>
        <w:t xml:space="preserve">XX </w:t>
      </w:r>
      <w:r>
        <w:rPr>
          <w:rFonts w:hint="eastAsia" w:ascii="仿宋_GB2312" w:eastAsia="仿宋_GB2312" w:cs="宋体"/>
          <w:sz w:val="30"/>
          <w:szCs w:val="30"/>
        </w:rPr>
        <w:t>公司担保品处置平台合格报价团成员申请”。</w:t>
      </w:r>
    </w:p>
    <w:p w14:paraId="53E4A05B">
      <w:pPr>
        <w:spacing w:line="600" w:lineRule="exact"/>
        <w:ind w:firstLine="600" w:firstLineChars="200"/>
        <w:rPr>
          <w:rFonts w:ascii="仿宋_GB2312" w:eastAsia="仿宋_GB2312" w:cs="宋体"/>
          <w:sz w:val="30"/>
          <w:szCs w:val="30"/>
        </w:rPr>
      </w:pPr>
      <w:r>
        <w:rPr>
          <w:rFonts w:hint="eastAsia" w:ascii="仿宋_GB2312" w:eastAsia="仿宋_GB2312" w:cs="宋体"/>
          <w:sz w:val="30"/>
          <w:szCs w:val="30"/>
        </w:rPr>
        <w:t>申请人材料符合要求的，确定为报价团成员。本所将定期通过上证债券信息网等对市场更新报价团的名单。</w:t>
      </w:r>
    </w:p>
    <w:p w14:paraId="77D8604C">
      <w:pPr>
        <w:spacing w:line="600" w:lineRule="exact"/>
        <w:ind w:firstLine="600" w:firstLineChars="200"/>
        <w:rPr>
          <w:rFonts w:ascii="仿宋_GB2312" w:eastAsia="仿宋_GB2312" w:cs="宋体"/>
          <w:sz w:val="30"/>
          <w:szCs w:val="30"/>
        </w:rPr>
      </w:pPr>
      <w:r>
        <w:rPr>
          <w:rFonts w:ascii="仿宋_GB2312" w:eastAsia="仿宋_GB2312" w:cs="宋体"/>
          <w:sz w:val="30"/>
          <w:szCs w:val="30"/>
        </w:rPr>
        <w:t>3</w:t>
      </w:r>
      <w:r>
        <w:rPr>
          <w:rFonts w:hint="eastAsia" w:ascii="仿宋_GB2312" w:eastAsia="仿宋_GB2312" w:cs="宋体"/>
          <w:sz w:val="30"/>
          <w:szCs w:val="30"/>
        </w:rPr>
        <w:t>）报价团成员的准备工作</w:t>
      </w:r>
    </w:p>
    <w:p w14:paraId="4A929599">
      <w:pPr>
        <w:spacing w:line="600" w:lineRule="exact"/>
        <w:ind w:firstLine="600" w:firstLineChars="200"/>
        <w:rPr>
          <w:rFonts w:ascii="仿宋_GB2312" w:eastAsia="仿宋_GB2312" w:cs="宋体"/>
          <w:sz w:val="30"/>
          <w:szCs w:val="30"/>
        </w:rPr>
      </w:pPr>
      <w:r>
        <w:rPr>
          <w:rFonts w:hint="eastAsia" w:ascii="仿宋_GB2312" w:eastAsia="仿宋_GB2312" w:cs="宋体"/>
          <w:sz w:val="30"/>
          <w:szCs w:val="30"/>
        </w:rPr>
        <w:t>根据报价团成员的申请，本所向其配发处置平台用户数字证书（以下简称“</w:t>
      </w:r>
      <w:r>
        <w:rPr>
          <w:rFonts w:ascii="仿宋_GB2312" w:eastAsia="仿宋_GB2312" w:cs="宋体"/>
          <w:sz w:val="30"/>
          <w:szCs w:val="30"/>
        </w:rPr>
        <w:t>CA</w:t>
      </w:r>
      <w:r>
        <w:rPr>
          <w:rFonts w:hint="eastAsia" w:ascii="仿宋_GB2312" w:eastAsia="仿宋_GB2312" w:cs="宋体"/>
          <w:sz w:val="30"/>
          <w:szCs w:val="30"/>
        </w:rPr>
        <w:t>证书”，</w:t>
      </w:r>
      <w:r>
        <w:rPr>
          <w:rFonts w:ascii="仿宋_GB2312" w:eastAsia="仿宋_GB2312" w:cs="宋体"/>
          <w:sz w:val="30"/>
          <w:szCs w:val="30"/>
        </w:rPr>
        <w:t>CA</w:t>
      </w:r>
      <w:r>
        <w:rPr>
          <w:rFonts w:hint="eastAsia" w:ascii="仿宋_GB2312" w:eastAsia="仿宋_GB2312" w:cs="宋体"/>
          <w:sz w:val="30"/>
          <w:szCs w:val="30"/>
        </w:rPr>
        <w:t>证书办理流程见附件</w:t>
      </w:r>
      <w:r>
        <w:rPr>
          <w:rFonts w:ascii="仿宋_GB2312" w:eastAsia="仿宋_GB2312" w:cs="宋体"/>
          <w:sz w:val="30"/>
          <w:szCs w:val="30"/>
        </w:rPr>
        <w:t>3</w:t>
      </w:r>
      <w:r>
        <w:rPr>
          <w:rFonts w:hint="eastAsia" w:ascii="仿宋_GB2312" w:eastAsia="仿宋_GB2312" w:cs="宋体"/>
          <w:sz w:val="30"/>
          <w:szCs w:val="30"/>
        </w:rPr>
        <w:t>7）和系统用户名和密码。</w:t>
      </w:r>
    </w:p>
    <w:p w14:paraId="3373986D">
      <w:pPr>
        <w:spacing w:line="600" w:lineRule="exact"/>
        <w:ind w:firstLine="600" w:firstLineChars="200"/>
        <w:rPr>
          <w:rFonts w:ascii="仿宋_GB2312" w:eastAsia="仿宋_GB2312" w:cs="宋体"/>
          <w:sz w:val="30"/>
          <w:szCs w:val="30"/>
        </w:rPr>
      </w:pPr>
      <w:r>
        <w:rPr>
          <w:rFonts w:hint="eastAsia" w:ascii="仿宋_GB2312" w:eastAsia="仿宋_GB2312" w:cs="宋体"/>
          <w:sz w:val="30"/>
          <w:szCs w:val="30"/>
        </w:rPr>
        <w:t>报价团成员确认在债券登记结算机构开立的债券账户状态正常。报价团成员需要新开立债券账户的，按照债券登记结算机构规定办理。</w:t>
      </w:r>
    </w:p>
    <w:p w14:paraId="060B8A24">
      <w:pPr>
        <w:spacing w:line="600" w:lineRule="exact"/>
        <w:ind w:firstLine="600" w:firstLineChars="200"/>
        <w:rPr>
          <w:rFonts w:eastAsia="仿宋_GB2312" w:cs="宋体"/>
          <w:sz w:val="30"/>
          <w:szCs w:val="30"/>
        </w:rPr>
      </w:pPr>
      <w:r>
        <w:rPr>
          <w:rFonts w:hint="eastAsia" w:ascii="仿宋_GB2312" w:eastAsia="仿宋_GB2312" w:cs="宋体"/>
          <w:sz w:val="30"/>
          <w:szCs w:val="30"/>
        </w:rPr>
        <w:t>报价团成员应自备</w:t>
      </w:r>
      <w:r>
        <w:rPr>
          <w:rFonts w:ascii="仿宋_GB2312" w:eastAsia="仿宋_GB2312" w:cs="宋体"/>
          <w:sz w:val="30"/>
          <w:szCs w:val="30"/>
        </w:rPr>
        <w:t>2</w:t>
      </w:r>
      <w:r>
        <w:rPr>
          <w:rFonts w:hint="eastAsia" w:ascii="仿宋_GB2312" w:eastAsia="仿宋_GB2312" w:cs="宋体"/>
          <w:sz w:val="30"/>
          <w:szCs w:val="30"/>
        </w:rPr>
        <w:t>台能接入互联网的电脑用于接入处置平台，一台主用，一台备用。该电脑应支持</w:t>
      </w:r>
      <w:r>
        <w:rPr>
          <w:rFonts w:ascii="仿宋_GB2312" w:eastAsia="仿宋_GB2312" w:cs="宋体"/>
          <w:sz w:val="30"/>
          <w:szCs w:val="30"/>
        </w:rPr>
        <w:t>USB</w:t>
      </w:r>
      <w:r>
        <w:rPr>
          <w:rFonts w:hint="eastAsia" w:ascii="仿宋_GB2312" w:eastAsia="仿宋_GB2312" w:cs="宋体"/>
          <w:sz w:val="30"/>
          <w:szCs w:val="30"/>
        </w:rPr>
        <w:t>接口</w:t>
      </w:r>
      <w:r>
        <w:rPr>
          <w:rFonts w:hint="eastAsia" w:eastAsia="仿宋_GB2312" w:cs="宋体"/>
          <w:sz w:val="30"/>
          <w:szCs w:val="30"/>
        </w:rPr>
        <w:t>，以便安装有</w:t>
      </w:r>
      <w:r>
        <w:rPr>
          <w:rFonts w:ascii="仿宋_GB2312" w:eastAsia="仿宋_GB2312" w:cs="宋体"/>
          <w:sz w:val="30"/>
          <w:szCs w:val="30"/>
        </w:rPr>
        <w:t>CA</w:t>
      </w:r>
      <w:r>
        <w:rPr>
          <w:rFonts w:hint="eastAsia" w:ascii="仿宋_GB2312" w:eastAsia="仿宋_GB2312" w:cs="宋体"/>
          <w:sz w:val="30"/>
          <w:szCs w:val="30"/>
        </w:rPr>
        <w:t>证书的</w:t>
      </w:r>
      <w:r>
        <w:rPr>
          <w:rFonts w:ascii="仿宋_GB2312" w:eastAsia="仿宋_GB2312" w:cs="宋体"/>
          <w:sz w:val="30"/>
          <w:szCs w:val="30"/>
        </w:rPr>
        <w:t>EKey</w:t>
      </w:r>
      <w:r>
        <w:rPr>
          <w:rFonts w:hint="eastAsia" w:eastAsia="仿宋_GB2312" w:cs="宋体"/>
          <w:sz w:val="30"/>
          <w:szCs w:val="30"/>
        </w:rPr>
        <w:t>能插入使用。</w:t>
      </w:r>
    </w:p>
    <w:p w14:paraId="7809CF70">
      <w:pPr>
        <w:spacing w:line="600" w:lineRule="exact"/>
        <w:ind w:firstLine="600" w:firstLineChars="200"/>
        <w:rPr>
          <w:rFonts w:eastAsia="仿宋_GB2312" w:cs="宋体"/>
          <w:sz w:val="30"/>
          <w:szCs w:val="30"/>
        </w:rPr>
      </w:pPr>
      <w:r>
        <w:rPr>
          <w:rFonts w:hint="eastAsia" w:eastAsia="仿宋_GB2312" w:cs="宋体"/>
          <w:sz w:val="30"/>
          <w:szCs w:val="30"/>
        </w:rPr>
        <w:t>4）报价团资格调整</w:t>
      </w:r>
    </w:p>
    <w:p w14:paraId="39ADEE50">
      <w:pPr>
        <w:spacing w:line="600" w:lineRule="exact"/>
        <w:ind w:firstLine="600" w:firstLineChars="200"/>
        <w:rPr>
          <w:rFonts w:eastAsia="仿宋_GB2312" w:cs="宋体"/>
          <w:sz w:val="30"/>
          <w:szCs w:val="30"/>
        </w:rPr>
      </w:pPr>
      <w:r>
        <w:rPr>
          <w:rFonts w:hint="eastAsia" w:eastAsia="仿宋_GB2312" w:cs="宋体"/>
          <w:sz w:val="30"/>
          <w:szCs w:val="30"/>
        </w:rPr>
        <w:t>本所负责合格报价团的持续期管理。合格报价团成员存在以下情形之一的，本所可取消其合格报价团成员资格：</w:t>
      </w:r>
    </w:p>
    <w:p w14:paraId="2692D722">
      <w:pPr>
        <w:spacing w:line="600" w:lineRule="exact"/>
        <w:ind w:firstLine="600" w:firstLineChars="200"/>
        <w:rPr>
          <w:rFonts w:eastAsia="仿宋_GB2312" w:cs="宋体"/>
          <w:sz w:val="30"/>
          <w:szCs w:val="30"/>
        </w:rPr>
      </w:pPr>
      <w:r>
        <w:rPr>
          <w:rFonts w:hint="eastAsia" w:eastAsia="仿宋_GB2312" w:cs="宋体"/>
          <w:sz w:val="30"/>
          <w:szCs w:val="30"/>
        </w:rPr>
        <w:t>a.中标后超过缴款截止日期未缴款或缴款不足；</w:t>
      </w:r>
    </w:p>
    <w:p w14:paraId="1A26FF69">
      <w:pPr>
        <w:spacing w:line="600" w:lineRule="exact"/>
        <w:ind w:firstLine="600" w:firstLineChars="200"/>
        <w:rPr>
          <w:rFonts w:eastAsia="仿宋_GB2312" w:cs="宋体"/>
          <w:sz w:val="30"/>
          <w:szCs w:val="30"/>
        </w:rPr>
      </w:pPr>
      <w:r>
        <w:rPr>
          <w:rFonts w:hint="eastAsia" w:eastAsia="仿宋_GB2312" w:cs="宋体"/>
          <w:sz w:val="30"/>
          <w:szCs w:val="30"/>
        </w:rPr>
        <w:t>b.与其他成员恶意串通，影响处置报价；</w:t>
      </w:r>
    </w:p>
    <w:p w14:paraId="6542E5CE">
      <w:pPr>
        <w:spacing w:line="600" w:lineRule="exact"/>
        <w:ind w:firstLine="600" w:firstLineChars="200"/>
        <w:rPr>
          <w:rFonts w:eastAsia="仿宋_GB2312" w:cs="宋体"/>
          <w:sz w:val="30"/>
          <w:szCs w:val="30"/>
        </w:rPr>
      </w:pPr>
      <w:r>
        <w:rPr>
          <w:rFonts w:hint="eastAsia" w:eastAsia="仿宋_GB2312" w:cs="宋体"/>
          <w:sz w:val="30"/>
          <w:szCs w:val="30"/>
        </w:rPr>
        <w:t>c.本所认为应当取消参团资格的其他情形。</w:t>
      </w:r>
    </w:p>
    <w:p w14:paraId="1A992795">
      <w:pPr>
        <w:spacing w:line="600" w:lineRule="exact"/>
        <w:ind w:firstLine="602" w:firstLineChars="200"/>
        <w:outlineLvl w:val="3"/>
        <w:rPr>
          <w:rFonts w:ascii="仿宋_GB2312" w:eastAsia="仿宋_GB2312"/>
          <w:b/>
          <w:sz w:val="30"/>
          <w:szCs w:val="30"/>
        </w:rPr>
      </w:pPr>
      <w:r>
        <w:rPr>
          <w:rFonts w:hint="eastAsia" w:ascii="仿宋_GB2312" w:eastAsia="仿宋_GB2312"/>
          <w:b/>
          <w:sz w:val="30"/>
          <w:szCs w:val="30"/>
        </w:rPr>
        <w:t>（</w:t>
      </w:r>
      <w:r>
        <w:rPr>
          <w:rFonts w:ascii="仿宋_GB2312" w:eastAsia="仿宋_GB2312"/>
          <w:b/>
          <w:sz w:val="30"/>
          <w:szCs w:val="30"/>
        </w:rPr>
        <w:t>2</w:t>
      </w:r>
      <w:r>
        <w:rPr>
          <w:rFonts w:hint="eastAsia" w:ascii="仿宋_GB2312" w:eastAsia="仿宋_GB2312"/>
          <w:b/>
          <w:sz w:val="30"/>
          <w:szCs w:val="30"/>
        </w:rPr>
        <w:t>）处置方与处置标的范围</w:t>
      </w:r>
    </w:p>
    <w:p w14:paraId="3C358C91">
      <w:pPr>
        <w:spacing w:line="600" w:lineRule="exact"/>
        <w:ind w:firstLine="600" w:firstLineChars="200"/>
        <w:rPr>
          <w:rFonts w:eastAsia="仿宋_GB2312" w:cs="宋体"/>
          <w:sz w:val="30"/>
          <w:szCs w:val="30"/>
        </w:rPr>
      </w:pPr>
      <w:r>
        <w:rPr>
          <w:rFonts w:hint="eastAsia" w:eastAsia="仿宋_GB2312" w:cs="宋体"/>
          <w:sz w:val="30"/>
          <w:szCs w:val="30"/>
        </w:rPr>
        <w:t>1）处置方的范围</w:t>
      </w:r>
    </w:p>
    <w:p w14:paraId="39EE53BC">
      <w:pPr>
        <w:spacing w:line="600" w:lineRule="exact"/>
        <w:ind w:firstLine="600" w:firstLineChars="200"/>
        <w:rPr>
          <w:rFonts w:eastAsia="仿宋_GB2312" w:cs="宋体"/>
          <w:sz w:val="30"/>
          <w:szCs w:val="30"/>
        </w:rPr>
      </w:pPr>
      <w:r>
        <w:rPr>
          <w:rFonts w:hint="eastAsia" w:eastAsia="仿宋_GB2312" w:cs="宋体"/>
          <w:sz w:val="30"/>
          <w:szCs w:val="30"/>
        </w:rPr>
        <w:t>在业务试点初期，可以参与的处置方包括：</w:t>
      </w:r>
    </w:p>
    <w:p w14:paraId="11E83B74">
      <w:pPr>
        <w:spacing w:line="600" w:lineRule="exact"/>
        <w:ind w:firstLine="600" w:firstLineChars="200"/>
        <w:rPr>
          <w:rFonts w:eastAsia="仿宋_GB2312" w:cs="宋体"/>
          <w:sz w:val="30"/>
          <w:szCs w:val="30"/>
        </w:rPr>
      </w:pPr>
      <w:r>
        <w:rPr>
          <w:rFonts w:hint="eastAsia" w:eastAsia="仿宋_GB2312" w:cs="宋体"/>
          <w:sz w:val="30"/>
          <w:szCs w:val="30"/>
        </w:rPr>
        <w:t>a.债券登记结算机构；</w:t>
      </w:r>
    </w:p>
    <w:p w14:paraId="1FB3A26D">
      <w:pPr>
        <w:spacing w:line="600" w:lineRule="exact"/>
        <w:ind w:firstLine="600" w:firstLineChars="200"/>
        <w:rPr>
          <w:rFonts w:eastAsia="仿宋_GB2312" w:cs="宋体"/>
          <w:sz w:val="30"/>
          <w:szCs w:val="30"/>
        </w:rPr>
      </w:pPr>
      <w:r>
        <w:rPr>
          <w:rFonts w:hint="eastAsia" w:eastAsia="仿宋_GB2312" w:cs="宋体"/>
          <w:sz w:val="30"/>
          <w:szCs w:val="30"/>
        </w:rPr>
        <w:t>b.协议回购的逆回购方；</w:t>
      </w:r>
    </w:p>
    <w:p w14:paraId="4D41D5D5">
      <w:pPr>
        <w:spacing w:line="600" w:lineRule="exact"/>
        <w:ind w:firstLine="600" w:firstLineChars="200"/>
        <w:rPr>
          <w:rFonts w:eastAsia="仿宋_GB2312" w:cs="宋体"/>
          <w:sz w:val="30"/>
          <w:szCs w:val="30"/>
        </w:rPr>
      </w:pPr>
      <w:r>
        <w:rPr>
          <w:rFonts w:hint="eastAsia" w:eastAsia="仿宋_GB2312" w:cs="宋体"/>
          <w:sz w:val="30"/>
          <w:szCs w:val="30"/>
        </w:rPr>
        <w:t>c.三方回购的逆回购方；</w:t>
      </w:r>
    </w:p>
    <w:p w14:paraId="48A8CD5C">
      <w:pPr>
        <w:spacing w:line="600" w:lineRule="exact"/>
        <w:ind w:firstLine="600" w:firstLineChars="200"/>
        <w:rPr>
          <w:rFonts w:eastAsia="仿宋_GB2312" w:cs="宋体"/>
          <w:sz w:val="30"/>
          <w:szCs w:val="30"/>
        </w:rPr>
      </w:pPr>
      <w:r>
        <w:rPr>
          <w:rFonts w:hint="eastAsia" w:eastAsia="仿宋_GB2312" w:cs="宋体"/>
          <w:sz w:val="30"/>
          <w:szCs w:val="30"/>
        </w:rPr>
        <w:t>d.本所认可的其他机构。</w:t>
      </w:r>
    </w:p>
    <w:p w14:paraId="1A9E9CAF">
      <w:pPr>
        <w:spacing w:line="600" w:lineRule="exact"/>
        <w:ind w:firstLine="600" w:firstLineChars="200"/>
        <w:rPr>
          <w:rFonts w:eastAsia="仿宋_GB2312" w:cs="宋体"/>
          <w:sz w:val="30"/>
          <w:szCs w:val="30"/>
        </w:rPr>
      </w:pPr>
      <w:r>
        <w:rPr>
          <w:rFonts w:hint="eastAsia" w:eastAsia="仿宋_GB2312" w:cs="宋体"/>
          <w:sz w:val="30"/>
          <w:szCs w:val="30"/>
        </w:rPr>
        <w:t>处置方应当承诺其有权对相关债券担保品进行处置，待处置的债券担保品除回购交易项下形成的质押关系之外，不存在其他的权属争议或权利瑕疵。</w:t>
      </w:r>
    </w:p>
    <w:p w14:paraId="2D5FCEAB">
      <w:pPr>
        <w:spacing w:line="600" w:lineRule="exact"/>
        <w:ind w:firstLine="600" w:firstLineChars="200"/>
        <w:rPr>
          <w:rFonts w:eastAsia="仿宋_GB2312" w:cs="宋体"/>
          <w:sz w:val="30"/>
          <w:szCs w:val="30"/>
        </w:rPr>
      </w:pPr>
      <w:r>
        <w:rPr>
          <w:rFonts w:hint="eastAsia" w:eastAsia="仿宋_GB2312" w:cs="宋体"/>
          <w:sz w:val="30"/>
          <w:szCs w:val="30"/>
        </w:rPr>
        <w:t>2）处置品种</w:t>
      </w:r>
    </w:p>
    <w:p w14:paraId="29E07BE9">
      <w:pPr>
        <w:spacing w:line="600" w:lineRule="exact"/>
        <w:ind w:firstLine="600" w:firstLineChars="200"/>
        <w:rPr>
          <w:rFonts w:eastAsia="仿宋_GB2312" w:cs="宋体"/>
          <w:sz w:val="30"/>
          <w:szCs w:val="30"/>
        </w:rPr>
      </w:pPr>
      <w:r>
        <w:rPr>
          <w:rFonts w:hint="eastAsia" w:eastAsia="仿宋_GB2312" w:cs="宋体"/>
          <w:sz w:val="30"/>
          <w:szCs w:val="30"/>
        </w:rPr>
        <w:t>在业务试点初期，处置平台可以支持的处置品种包括在指定登记结算机构托管并按规定办理质押的各类担保品，包括但不限于国债、地方政府债券、金融债、公司债券、可转债、资产支持证券以及本所认可的其他债券。</w:t>
      </w:r>
    </w:p>
    <w:p w14:paraId="5C6469A8">
      <w:pPr>
        <w:spacing w:line="600" w:lineRule="exact"/>
        <w:ind w:firstLine="600" w:firstLineChars="200"/>
        <w:rPr>
          <w:rFonts w:eastAsia="仿宋_GB2312" w:cs="宋体"/>
          <w:sz w:val="30"/>
          <w:szCs w:val="30"/>
        </w:rPr>
      </w:pPr>
      <w:r>
        <w:rPr>
          <w:rFonts w:hint="eastAsia" w:eastAsia="仿宋_GB2312" w:cs="宋体"/>
          <w:sz w:val="30"/>
          <w:szCs w:val="30"/>
        </w:rPr>
        <w:t>本所可以调整通过处置平台处置的担保品范围。</w:t>
      </w:r>
    </w:p>
    <w:p w14:paraId="285CD851">
      <w:pPr>
        <w:spacing w:line="600" w:lineRule="exact"/>
        <w:ind w:firstLine="602" w:firstLineChars="200"/>
        <w:outlineLvl w:val="3"/>
        <w:rPr>
          <w:rFonts w:ascii="仿宋_GB2312" w:eastAsia="仿宋_GB2312"/>
          <w:b/>
          <w:sz w:val="30"/>
          <w:szCs w:val="30"/>
        </w:rPr>
      </w:pPr>
      <w:r>
        <w:rPr>
          <w:rFonts w:hint="eastAsia" w:ascii="仿宋_GB2312" w:eastAsia="仿宋_GB2312"/>
          <w:b/>
          <w:sz w:val="30"/>
          <w:szCs w:val="30"/>
        </w:rPr>
        <w:t>（</w:t>
      </w:r>
      <w:r>
        <w:rPr>
          <w:rFonts w:ascii="仿宋_GB2312" w:eastAsia="仿宋_GB2312"/>
          <w:b/>
          <w:sz w:val="30"/>
          <w:szCs w:val="30"/>
        </w:rPr>
        <w:t>3</w:t>
      </w:r>
      <w:r>
        <w:rPr>
          <w:rFonts w:hint="eastAsia" w:ascii="仿宋_GB2312" w:eastAsia="仿宋_GB2312"/>
          <w:b/>
          <w:sz w:val="30"/>
          <w:szCs w:val="30"/>
        </w:rPr>
        <w:t>）处置申请前的准备</w:t>
      </w:r>
    </w:p>
    <w:p w14:paraId="1A5E75F6">
      <w:pPr>
        <w:spacing w:line="600" w:lineRule="exact"/>
        <w:ind w:firstLine="600" w:firstLineChars="200"/>
        <w:rPr>
          <w:rFonts w:eastAsia="仿宋_GB2312" w:cs="宋体"/>
          <w:sz w:val="30"/>
          <w:szCs w:val="30"/>
        </w:rPr>
      </w:pPr>
      <w:r>
        <w:rPr>
          <w:rFonts w:hint="eastAsia" w:eastAsia="仿宋_GB2312" w:cs="宋体"/>
          <w:sz w:val="30"/>
          <w:szCs w:val="30"/>
        </w:rPr>
        <w:t>1）处置方确定处置模式</w:t>
      </w:r>
    </w:p>
    <w:p w14:paraId="65C78239">
      <w:pPr>
        <w:spacing w:line="600" w:lineRule="exact"/>
        <w:ind w:firstLine="600" w:firstLineChars="200"/>
        <w:rPr>
          <w:rFonts w:eastAsia="仿宋_GB2312" w:cs="宋体"/>
          <w:sz w:val="30"/>
          <w:szCs w:val="30"/>
        </w:rPr>
      </w:pPr>
      <w:r>
        <w:rPr>
          <w:rFonts w:hint="eastAsia" w:eastAsia="仿宋_GB2312" w:cs="宋体"/>
          <w:sz w:val="30"/>
          <w:szCs w:val="30"/>
        </w:rPr>
        <w:t>处置方可选择资产包或单只债券处置模式对担保品进行处置。</w:t>
      </w:r>
    </w:p>
    <w:p w14:paraId="5DA3B589">
      <w:pPr>
        <w:spacing w:line="600" w:lineRule="exact"/>
        <w:ind w:firstLine="600" w:firstLineChars="200"/>
        <w:rPr>
          <w:rFonts w:eastAsia="仿宋_GB2312" w:cs="宋体"/>
          <w:sz w:val="30"/>
          <w:szCs w:val="30"/>
        </w:rPr>
      </w:pPr>
      <w:r>
        <w:rPr>
          <w:rFonts w:hint="eastAsia" w:eastAsia="仿宋_GB2312" w:cs="宋体"/>
          <w:sz w:val="30"/>
          <w:szCs w:val="30"/>
        </w:rPr>
        <w:t>a. 资产包处置模式</w:t>
      </w:r>
    </w:p>
    <w:p w14:paraId="5A2F76F6">
      <w:pPr>
        <w:spacing w:line="600" w:lineRule="exact"/>
        <w:ind w:firstLine="600" w:firstLineChars="200"/>
        <w:rPr>
          <w:rFonts w:eastAsia="仿宋_GB2312" w:cs="宋体"/>
          <w:sz w:val="30"/>
          <w:szCs w:val="30"/>
        </w:rPr>
      </w:pPr>
      <w:r>
        <w:rPr>
          <w:rFonts w:hint="eastAsia" w:eastAsia="仿宋_GB2312" w:cs="宋体"/>
          <w:sz w:val="30"/>
          <w:szCs w:val="30"/>
        </w:rPr>
        <w:t>资产包处置模式是指以资产包为单位处置债券担保品，资产包不可拆分，由多只债券担保品组成。单个资产包的面值总和不得低于</w:t>
      </w:r>
      <w:r>
        <w:rPr>
          <w:rFonts w:ascii="仿宋_GB2312" w:eastAsia="仿宋_GB2312" w:cs="宋体"/>
          <w:sz w:val="30"/>
          <w:szCs w:val="30"/>
        </w:rPr>
        <w:t>1,000</w:t>
      </w:r>
      <w:r>
        <w:rPr>
          <w:rFonts w:hint="eastAsia" w:ascii="仿宋_GB2312" w:eastAsia="仿宋_GB2312" w:cs="宋体"/>
          <w:sz w:val="30"/>
          <w:szCs w:val="30"/>
        </w:rPr>
        <w:t>万元人民</w:t>
      </w:r>
      <w:r>
        <w:rPr>
          <w:rFonts w:hint="eastAsia" w:eastAsia="仿宋_GB2312" w:cs="宋体"/>
          <w:sz w:val="30"/>
          <w:szCs w:val="30"/>
        </w:rPr>
        <w:t>币，不得超过</w:t>
      </w:r>
      <w:r>
        <w:rPr>
          <w:rFonts w:ascii="仿宋_GB2312" w:eastAsia="仿宋_GB2312" w:cs="宋体"/>
          <w:sz w:val="30"/>
          <w:szCs w:val="30"/>
        </w:rPr>
        <w:t>10</w:t>
      </w:r>
      <w:r>
        <w:rPr>
          <w:rFonts w:hint="eastAsia" w:ascii="仿宋_GB2312" w:eastAsia="仿宋_GB2312" w:cs="宋体"/>
          <w:sz w:val="30"/>
          <w:szCs w:val="30"/>
        </w:rPr>
        <w:t>亿</w:t>
      </w:r>
      <w:r>
        <w:rPr>
          <w:rFonts w:hint="eastAsia" w:eastAsia="仿宋_GB2312" w:cs="宋体"/>
          <w:sz w:val="30"/>
          <w:szCs w:val="30"/>
        </w:rPr>
        <w:t>元人民币。处置方在申请处置时，需要提交待处置的资产包明细清单与资产包最低处置价格。报价团成员对单个资产包报价，采取“价高者得”的中标原则，相同报价时，申报时间优先者得。</w:t>
      </w:r>
    </w:p>
    <w:p w14:paraId="22320377">
      <w:pPr>
        <w:spacing w:line="600" w:lineRule="exact"/>
        <w:ind w:firstLine="600" w:firstLineChars="200"/>
        <w:rPr>
          <w:rFonts w:eastAsia="仿宋_GB2312" w:cs="宋体"/>
          <w:sz w:val="30"/>
          <w:szCs w:val="30"/>
        </w:rPr>
      </w:pPr>
      <w:r>
        <w:rPr>
          <w:rFonts w:hint="eastAsia" w:eastAsia="仿宋_GB2312" w:cs="宋体"/>
          <w:sz w:val="30"/>
          <w:szCs w:val="30"/>
        </w:rPr>
        <w:t>b. 单只债券处置模式</w:t>
      </w:r>
    </w:p>
    <w:p w14:paraId="05F0BC43">
      <w:pPr>
        <w:spacing w:line="600" w:lineRule="exact"/>
        <w:ind w:firstLine="600" w:firstLineChars="200"/>
        <w:rPr>
          <w:rFonts w:eastAsia="仿宋_GB2312" w:cs="宋体"/>
          <w:sz w:val="30"/>
          <w:szCs w:val="30"/>
        </w:rPr>
      </w:pPr>
      <w:r>
        <w:rPr>
          <w:rFonts w:hint="eastAsia" w:eastAsia="仿宋_GB2312" w:cs="宋体"/>
          <w:sz w:val="30"/>
          <w:szCs w:val="30"/>
        </w:rPr>
        <w:t>单只债券处置模式是指以单只债券为单位处置债券担保品，原则上不设规模限制，采用荷兰式招标方式产生处置结果。处置平台将各报价团成员的有效报价按价格从高到低进行排序，并将报价数额累加，直至满足预定处置额或将全部有效标位募完为止。此时的价位点便称为边际价位点，中标的报价团都以此价格中标。</w:t>
      </w:r>
    </w:p>
    <w:p w14:paraId="2356A939">
      <w:pPr>
        <w:spacing w:line="600" w:lineRule="exact"/>
        <w:ind w:firstLine="600" w:firstLineChars="200"/>
        <w:rPr>
          <w:rFonts w:eastAsia="仿宋_GB2312" w:cs="宋体"/>
          <w:sz w:val="30"/>
          <w:szCs w:val="30"/>
        </w:rPr>
      </w:pPr>
      <w:r>
        <w:rPr>
          <w:rFonts w:hint="eastAsia" w:eastAsia="仿宋_GB2312" w:cs="宋体"/>
          <w:sz w:val="30"/>
          <w:szCs w:val="30"/>
        </w:rPr>
        <w:t>若发生尾数量，处置平台按规则进行尾数量的自动分配，以完成处置。若边际价位点的报价量无法全部中标，即边际价位点的报价总量大于预定处置额减去优于边际价位点的所有报价的有效报价总量，以该边际价位点的各价位的报价量为权重按舍去法进行报价量分配。分配完成后，若存在尾数量，即若预定处置额大于总中标量，则按照报价时间顺序、先投先得原则进行尾数量的分配，优先将尾数量分配至报价时间最早的报价团成员的边际价位（即等于边际价位点的价位），若该报价团成员的边际价位的未中标量小于尾数量，则继续分配至报价时间次之的报价团成员的边际价位，直到尾数量分配完毕为止。</w:t>
      </w:r>
    </w:p>
    <w:p w14:paraId="57E8DB63">
      <w:pPr>
        <w:spacing w:line="600" w:lineRule="exact"/>
        <w:ind w:firstLine="600" w:firstLineChars="200"/>
        <w:rPr>
          <w:rFonts w:eastAsia="仿宋_GB2312" w:cs="宋体"/>
          <w:sz w:val="30"/>
          <w:szCs w:val="30"/>
        </w:rPr>
      </w:pPr>
      <w:r>
        <w:rPr>
          <w:rFonts w:hint="eastAsia" w:eastAsia="仿宋_GB2312" w:cs="宋体"/>
          <w:sz w:val="30"/>
          <w:szCs w:val="30"/>
        </w:rPr>
        <w:t>2）处置方确定报价团模式</w:t>
      </w:r>
    </w:p>
    <w:p w14:paraId="44B43DA7">
      <w:pPr>
        <w:spacing w:line="600" w:lineRule="exact"/>
        <w:ind w:firstLine="600" w:firstLineChars="200"/>
        <w:rPr>
          <w:rFonts w:eastAsia="仿宋_GB2312" w:cs="宋体"/>
          <w:sz w:val="30"/>
          <w:szCs w:val="30"/>
        </w:rPr>
      </w:pPr>
      <w:r>
        <w:rPr>
          <w:rFonts w:hint="eastAsia" w:eastAsia="仿宋_GB2312" w:cs="宋体"/>
          <w:sz w:val="30"/>
          <w:szCs w:val="30"/>
        </w:rPr>
        <w:t>处置方可选择下列两种报价团模式参与担保品处置：</w:t>
      </w:r>
    </w:p>
    <w:p w14:paraId="7E561FF2">
      <w:pPr>
        <w:spacing w:line="600" w:lineRule="exact"/>
        <w:ind w:firstLine="600" w:firstLineChars="200"/>
        <w:rPr>
          <w:rFonts w:eastAsia="仿宋_GB2312" w:cs="宋体"/>
          <w:sz w:val="30"/>
          <w:szCs w:val="30"/>
        </w:rPr>
      </w:pPr>
      <w:r>
        <w:rPr>
          <w:rFonts w:hint="eastAsia" w:eastAsia="仿宋_GB2312" w:cs="宋体"/>
          <w:sz w:val="30"/>
          <w:szCs w:val="30"/>
        </w:rPr>
        <w:t>a. 面向全部合格报价团成员处置；</w:t>
      </w:r>
    </w:p>
    <w:p w14:paraId="37F14BE5">
      <w:pPr>
        <w:spacing w:line="600" w:lineRule="exact"/>
        <w:ind w:firstLine="600" w:firstLineChars="200"/>
        <w:rPr>
          <w:rFonts w:eastAsia="仿宋_GB2312" w:cs="宋体"/>
          <w:sz w:val="30"/>
          <w:szCs w:val="30"/>
        </w:rPr>
      </w:pPr>
      <w:r>
        <w:rPr>
          <w:rFonts w:hint="eastAsia" w:eastAsia="仿宋_GB2312" w:cs="宋体"/>
          <w:sz w:val="30"/>
          <w:szCs w:val="30"/>
        </w:rPr>
        <w:t>处置方面向本所“合格报价团”全部成员进行债券担保品处置。</w:t>
      </w:r>
    </w:p>
    <w:p w14:paraId="79F12146">
      <w:pPr>
        <w:spacing w:line="600" w:lineRule="exact"/>
        <w:ind w:firstLine="600" w:firstLineChars="200"/>
        <w:rPr>
          <w:rFonts w:eastAsia="仿宋_GB2312" w:cs="宋体"/>
          <w:sz w:val="30"/>
          <w:szCs w:val="30"/>
        </w:rPr>
      </w:pPr>
      <w:r>
        <w:rPr>
          <w:rFonts w:hint="eastAsia" w:eastAsia="仿宋_GB2312" w:cs="宋体"/>
          <w:sz w:val="30"/>
          <w:szCs w:val="30"/>
        </w:rPr>
        <w:t>b. 面向指定报价团成员处置。</w:t>
      </w:r>
    </w:p>
    <w:p w14:paraId="53605CE2">
      <w:pPr>
        <w:spacing w:line="600" w:lineRule="exact"/>
        <w:ind w:firstLine="600" w:firstLineChars="200"/>
        <w:rPr>
          <w:rFonts w:eastAsia="仿宋_GB2312" w:cs="宋体"/>
          <w:sz w:val="30"/>
          <w:szCs w:val="30"/>
        </w:rPr>
      </w:pPr>
      <w:r>
        <w:rPr>
          <w:rFonts w:hint="eastAsia" w:eastAsia="仿宋_GB2312" w:cs="宋体"/>
          <w:sz w:val="30"/>
          <w:szCs w:val="30"/>
        </w:rPr>
        <w:t>处置方选择面向指定报价团进行处置的，可以在合格报价团范围</w:t>
      </w:r>
      <w:r>
        <w:rPr>
          <w:rFonts w:hint="eastAsia" w:ascii="仿宋_GB2312" w:eastAsia="仿宋_GB2312" w:cs="宋体"/>
          <w:sz w:val="30"/>
          <w:szCs w:val="30"/>
        </w:rPr>
        <w:t>内选择</w:t>
      </w:r>
      <w:r>
        <w:rPr>
          <w:rFonts w:hint="eastAsia" w:eastAsia="仿宋_GB2312" w:cs="宋体"/>
          <w:sz w:val="30"/>
          <w:szCs w:val="30"/>
        </w:rPr>
        <w:t>不少于</w:t>
      </w:r>
      <w:r>
        <w:rPr>
          <w:rFonts w:ascii="仿宋_GB2312" w:eastAsia="仿宋_GB2312" w:cs="宋体"/>
          <w:sz w:val="30"/>
          <w:szCs w:val="30"/>
        </w:rPr>
        <w:t>20</w:t>
      </w:r>
      <w:r>
        <w:rPr>
          <w:rFonts w:hint="eastAsia" w:ascii="仿宋_GB2312" w:eastAsia="仿宋_GB2312" w:cs="宋体"/>
          <w:sz w:val="30"/>
          <w:szCs w:val="30"/>
        </w:rPr>
        <w:t>家</w:t>
      </w:r>
      <w:r>
        <w:rPr>
          <w:rFonts w:hint="eastAsia" w:eastAsia="仿宋_GB2312" w:cs="宋体"/>
          <w:sz w:val="30"/>
          <w:szCs w:val="30"/>
        </w:rPr>
        <w:t>合格报价团成员组成指定报价团参加担保品处置报价。</w:t>
      </w:r>
    </w:p>
    <w:p w14:paraId="09A1BF8D">
      <w:pPr>
        <w:spacing w:line="600" w:lineRule="exact"/>
        <w:ind w:firstLine="600" w:firstLineChars="200"/>
        <w:rPr>
          <w:rFonts w:eastAsia="仿宋_GB2312" w:cs="宋体"/>
          <w:sz w:val="30"/>
          <w:szCs w:val="30"/>
        </w:rPr>
      </w:pPr>
      <w:r>
        <w:rPr>
          <w:rFonts w:hint="eastAsia" w:eastAsia="仿宋_GB2312" w:cs="宋体"/>
          <w:sz w:val="30"/>
          <w:szCs w:val="30"/>
        </w:rPr>
        <w:t>3）处置方确定最低处置价格</w:t>
      </w:r>
    </w:p>
    <w:p w14:paraId="73AC5087">
      <w:pPr>
        <w:spacing w:line="600" w:lineRule="exact"/>
        <w:ind w:firstLine="600" w:firstLineChars="200"/>
        <w:rPr>
          <w:rFonts w:eastAsia="仿宋_GB2312" w:cs="宋体"/>
          <w:sz w:val="30"/>
          <w:szCs w:val="30"/>
        </w:rPr>
      </w:pPr>
      <w:r>
        <w:rPr>
          <w:rFonts w:hint="eastAsia" w:eastAsia="仿宋_GB2312" w:cs="宋体"/>
          <w:sz w:val="30"/>
          <w:szCs w:val="30"/>
        </w:rPr>
        <w:t>最低处置价格指处置方可以接受的被处置担保品的最低处置总金额。处置方应当合理设定最低处置价格，并就最低处置价格的设定方法进行说明，相关说明应在担保品处置公告中予以披露，确保在担保品被顺利处置的同时有效保障出质人的合法权益。</w:t>
      </w:r>
    </w:p>
    <w:p w14:paraId="2F1C0A4F">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处置申请的受理与公告</w:t>
      </w:r>
    </w:p>
    <w:p w14:paraId="2C96B466">
      <w:pPr>
        <w:spacing w:line="600" w:lineRule="exact"/>
        <w:ind w:firstLine="602" w:firstLineChars="200"/>
        <w:outlineLvl w:val="3"/>
        <w:rPr>
          <w:rFonts w:ascii="仿宋_GB2312" w:eastAsia="仿宋_GB2312"/>
          <w:b/>
          <w:sz w:val="30"/>
          <w:szCs w:val="30"/>
        </w:rPr>
      </w:pPr>
      <w:r>
        <w:rPr>
          <w:rFonts w:hint="eastAsia" w:ascii="仿宋_GB2312" w:eastAsia="仿宋_GB2312"/>
          <w:b/>
          <w:sz w:val="30"/>
          <w:szCs w:val="30"/>
        </w:rPr>
        <w:t>（</w:t>
      </w:r>
      <w:r>
        <w:rPr>
          <w:rFonts w:ascii="仿宋_GB2312" w:eastAsia="仿宋_GB2312"/>
          <w:b/>
          <w:sz w:val="30"/>
          <w:szCs w:val="30"/>
        </w:rPr>
        <w:t>1</w:t>
      </w:r>
      <w:r>
        <w:rPr>
          <w:rFonts w:hint="eastAsia" w:ascii="仿宋_GB2312" w:eastAsia="仿宋_GB2312"/>
          <w:b/>
          <w:sz w:val="30"/>
          <w:szCs w:val="30"/>
        </w:rPr>
        <w:t>）申请文件的一致性</w:t>
      </w:r>
    </w:p>
    <w:p w14:paraId="3F130F81">
      <w:pPr>
        <w:spacing w:line="600" w:lineRule="exact"/>
        <w:ind w:firstLine="600" w:firstLineChars="200"/>
        <w:rPr>
          <w:rFonts w:eastAsia="仿宋_GB2312" w:cs="宋体"/>
          <w:sz w:val="30"/>
          <w:szCs w:val="30"/>
        </w:rPr>
      </w:pPr>
      <w:r>
        <w:rPr>
          <w:rFonts w:hint="eastAsia" w:eastAsia="仿宋_GB2312" w:cs="宋体"/>
          <w:sz w:val="30"/>
          <w:szCs w:val="30"/>
        </w:rPr>
        <w:t>处置方、中介机构及其相关机构应当确保不同申请文件之间、申请文件前后之间、申请文件与其已披露的其他文件之间的相关内容与表述一致。</w:t>
      </w:r>
    </w:p>
    <w:p w14:paraId="50CCE0AD">
      <w:pPr>
        <w:spacing w:line="600" w:lineRule="exact"/>
        <w:ind w:firstLine="602" w:firstLineChars="200"/>
        <w:outlineLvl w:val="3"/>
        <w:rPr>
          <w:rFonts w:ascii="仿宋_GB2312" w:eastAsia="仿宋_GB2312"/>
          <w:b/>
          <w:sz w:val="30"/>
          <w:szCs w:val="30"/>
        </w:rPr>
      </w:pPr>
      <w:r>
        <w:rPr>
          <w:rFonts w:hint="eastAsia" w:ascii="仿宋_GB2312" w:eastAsia="仿宋_GB2312"/>
          <w:b/>
          <w:sz w:val="30"/>
          <w:szCs w:val="30"/>
        </w:rPr>
        <w:t>（</w:t>
      </w:r>
      <w:r>
        <w:rPr>
          <w:rFonts w:ascii="仿宋_GB2312" w:eastAsia="仿宋_GB2312"/>
          <w:b/>
          <w:sz w:val="30"/>
          <w:szCs w:val="30"/>
        </w:rPr>
        <w:t>2</w:t>
      </w:r>
      <w:r>
        <w:rPr>
          <w:rFonts w:hint="eastAsia" w:ascii="仿宋_GB2312" w:eastAsia="仿宋_GB2312"/>
          <w:b/>
          <w:sz w:val="30"/>
          <w:szCs w:val="30"/>
        </w:rPr>
        <w:t>）一般处置方的申请受理</w:t>
      </w:r>
    </w:p>
    <w:p w14:paraId="2737D962">
      <w:pPr>
        <w:spacing w:line="600" w:lineRule="exact"/>
        <w:ind w:firstLine="600" w:firstLineChars="200"/>
        <w:rPr>
          <w:rFonts w:eastAsia="仿宋_GB2312" w:cs="宋体"/>
          <w:sz w:val="30"/>
          <w:szCs w:val="30"/>
        </w:rPr>
      </w:pPr>
      <w:r>
        <w:rPr>
          <w:rFonts w:hint="eastAsia" w:eastAsia="仿宋_GB2312" w:cs="宋体"/>
          <w:sz w:val="30"/>
          <w:szCs w:val="30"/>
        </w:rPr>
        <w:t>协议回购、三方回购市场的逆回购方拟作为处置方进行担保品处置的，应当向本所报送以下申请文件：</w:t>
      </w:r>
    </w:p>
    <w:p w14:paraId="0A3DF110">
      <w:pPr>
        <w:spacing w:line="600" w:lineRule="exact"/>
        <w:ind w:firstLine="600" w:firstLineChars="200"/>
        <w:rPr>
          <w:rFonts w:eastAsia="仿宋_GB2312" w:cs="宋体"/>
          <w:sz w:val="30"/>
          <w:szCs w:val="30"/>
        </w:rPr>
      </w:pPr>
      <w:r>
        <w:rPr>
          <w:rFonts w:eastAsia="仿宋_GB2312" w:cs="宋体"/>
          <w:sz w:val="30"/>
          <w:szCs w:val="30"/>
        </w:rPr>
        <w:t>1</w:t>
      </w:r>
      <w:r>
        <w:rPr>
          <w:rFonts w:hint="eastAsia" w:eastAsia="仿宋_GB2312" w:cs="宋体"/>
          <w:sz w:val="30"/>
          <w:szCs w:val="30"/>
        </w:rPr>
        <w:t>）处置方出具的《上海证券交易所债券担保品处置平台处置服务申请》（格式见服务指引的附</w:t>
      </w:r>
      <w:r>
        <w:rPr>
          <w:rFonts w:hint="eastAsia" w:ascii="仿宋_GB2312" w:eastAsia="仿宋_GB2312" w:cs="宋体"/>
          <w:sz w:val="30"/>
          <w:szCs w:val="30"/>
        </w:rPr>
        <w:t>件</w:t>
      </w:r>
      <w:r>
        <w:rPr>
          <w:rFonts w:ascii="仿宋_GB2312" w:eastAsia="仿宋_GB2312" w:cs="宋体"/>
          <w:sz w:val="30"/>
          <w:szCs w:val="30"/>
        </w:rPr>
        <w:t>2</w:t>
      </w:r>
      <w:r>
        <w:rPr>
          <w:rFonts w:hint="eastAsia" w:ascii="仿宋_GB2312" w:eastAsia="仿宋_GB2312" w:cs="宋体"/>
          <w:sz w:val="30"/>
          <w:szCs w:val="30"/>
        </w:rPr>
        <w:t>）</w:t>
      </w:r>
      <w:r>
        <w:rPr>
          <w:rFonts w:hint="eastAsia" w:eastAsia="仿宋_GB2312" w:cs="宋体"/>
          <w:sz w:val="30"/>
          <w:szCs w:val="30"/>
        </w:rPr>
        <w:t>；</w:t>
      </w:r>
    </w:p>
    <w:p w14:paraId="03115C72">
      <w:pPr>
        <w:spacing w:line="600" w:lineRule="exact"/>
        <w:ind w:firstLine="600" w:firstLineChars="200"/>
        <w:rPr>
          <w:rFonts w:eastAsia="仿宋_GB2312" w:cs="宋体"/>
          <w:sz w:val="30"/>
          <w:szCs w:val="30"/>
        </w:rPr>
      </w:pPr>
      <w:r>
        <w:rPr>
          <w:rFonts w:hint="eastAsia" w:eastAsia="仿宋_GB2312" w:cs="宋体"/>
          <w:sz w:val="30"/>
          <w:szCs w:val="30"/>
        </w:rPr>
        <w:t>2). 出质人出具的《同意债券担保品处置的声明》（如有，格式见服务指引的附</w:t>
      </w:r>
      <w:r>
        <w:rPr>
          <w:rFonts w:hint="eastAsia" w:ascii="仿宋_GB2312" w:eastAsia="仿宋_GB2312" w:cs="宋体"/>
          <w:sz w:val="30"/>
          <w:szCs w:val="30"/>
        </w:rPr>
        <w:t>件</w:t>
      </w:r>
      <w:r>
        <w:rPr>
          <w:rFonts w:ascii="仿宋_GB2312" w:eastAsia="仿宋_GB2312" w:cs="宋体"/>
          <w:sz w:val="30"/>
          <w:szCs w:val="30"/>
        </w:rPr>
        <w:t>3</w:t>
      </w:r>
      <w:r>
        <w:rPr>
          <w:rFonts w:hint="eastAsia" w:ascii="仿宋_GB2312" w:eastAsia="仿宋_GB2312" w:cs="宋体"/>
          <w:sz w:val="30"/>
          <w:szCs w:val="30"/>
        </w:rPr>
        <w:t>）</w:t>
      </w:r>
      <w:r>
        <w:rPr>
          <w:rFonts w:hint="eastAsia" w:eastAsia="仿宋_GB2312" w:cs="宋体"/>
          <w:sz w:val="30"/>
          <w:szCs w:val="30"/>
        </w:rPr>
        <w:t>；</w:t>
      </w:r>
    </w:p>
    <w:p w14:paraId="49718538">
      <w:pPr>
        <w:spacing w:line="600" w:lineRule="exact"/>
        <w:ind w:firstLine="600" w:firstLineChars="200"/>
        <w:rPr>
          <w:rFonts w:eastAsia="仿宋_GB2312" w:cs="宋体"/>
          <w:sz w:val="30"/>
          <w:szCs w:val="30"/>
        </w:rPr>
      </w:pPr>
      <w:r>
        <w:rPr>
          <w:rFonts w:hint="eastAsia" w:eastAsia="仿宋_GB2312" w:cs="宋体"/>
          <w:sz w:val="30"/>
          <w:szCs w:val="30"/>
        </w:rPr>
        <w:t>3). 律师事务所出具的法律意见书；</w:t>
      </w:r>
    </w:p>
    <w:p w14:paraId="27004162">
      <w:pPr>
        <w:spacing w:line="600" w:lineRule="exact"/>
        <w:ind w:firstLine="600" w:firstLineChars="200"/>
        <w:rPr>
          <w:rFonts w:eastAsia="仿宋_GB2312" w:cs="宋体"/>
          <w:sz w:val="30"/>
          <w:szCs w:val="30"/>
        </w:rPr>
      </w:pPr>
      <w:r>
        <w:rPr>
          <w:rFonts w:hint="eastAsia" w:eastAsia="仿宋_GB2312" w:cs="宋体"/>
          <w:sz w:val="30"/>
          <w:szCs w:val="30"/>
        </w:rPr>
        <w:t>4). 债券担保品处置公告（格式见服务指引的附</w:t>
      </w:r>
      <w:r>
        <w:rPr>
          <w:rFonts w:hint="eastAsia" w:ascii="仿宋_GB2312" w:eastAsia="仿宋_GB2312" w:cs="宋体"/>
          <w:sz w:val="30"/>
          <w:szCs w:val="30"/>
        </w:rPr>
        <w:t>件</w:t>
      </w:r>
      <w:r>
        <w:rPr>
          <w:rFonts w:ascii="仿宋_GB2312" w:eastAsia="仿宋_GB2312" w:cs="宋体"/>
          <w:sz w:val="30"/>
          <w:szCs w:val="30"/>
        </w:rPr>
        <w:t>4</w:t>
      </w:r>
      <w:r>
        <w:rPr>
          <w:rFonts w:hint="eastAsia" w:ascii="仿宋_GB2312" w:eastAsia="仿宋_GB2312" w:cs="宋体"/>
          <w:sz w:val="30"/>
          <w:szCs w:val="30"/>
        </w:rPr>
        <w:t>）；</w:t>
      </w:r>
    </w:p>
    <w:p w14:paraId="0D2A6C53">
      <w:pPr>
        <w:spacing w:line="600" w:lineRule="exact"/>
        <w:ind w:firstLine="600" w:firstLineChars="200"/>
        <w:rPr>
          <w:rFonts w:ascii="仿宋_GB2312" w:eastAsia="仿宋_GB2312" w:cs="宋体"/>
          <w:sz w:val="30"/>
          <w:szCs w:val="30"/>
        </w:rPr>
      </w:pPr>
      <w:r>
        <w:rPr>
          <w:rFonts w:hint="eastAsia" w:eastAsia="仿宋_GB2312" w:cs="宋体"/>
          <w:sz w:val="30"/>
          <w:szCs w:val="30"/>
        </w:rPr>
        <w:t>5). 指定报价团成员名单及联系方式（如有，格式见附件</w:t>
      </w:r>
      <w:r>
        <w:rPr>
          <w:rFonts w:ascii="仿宋_GB2312" w:eastAsia="仿宋_GB2312" w:cs="宋体"/>
          <w:sz w:val="30"/>
          <w:szCs w:val="30"/>
        </w:rPr>
        <w:t>38</w:t>
      </w:r>
      <w:r>
        <w:rPr>
          <w:rFonts w:hint="eastAsia" w:ascii="仿宋_GB2312" w:eastAsia="仿宋_GB2312" w:cs="宋体"/>
          <w:sz w:val="30"/>
          <w:szCs w:val="30"/>
        </w:rPr>
        <w:t>）</w:t>
      </w:r>
    </w:p>
    <w:p w14:paraId="0EADEDC4">
      <w:pPr>
        <w:spacing w:line="600" w:lineRule="exact"/>
        <w:ind w:firstLine="600" w:firstLineChars="200"/>
        <w:rPr>
          <w:rFonts w:eastAsia="仿宋_GB2312" w:cs="宋体"/>
          <w:sz w:val="30"/>
          <w:szCs w:val="30"/>
        </w:rPr>
      </w:pPr>
      <w:r>
        <w:rPr>
          <w:rFonts w:hint="eastAsia" w:eastAsia="仿宋_GB2312" w:cs="宋体"/>
          <w:sz w:val="30"/>
          <w:szCs w:val="30"/>
        </w:rPr>
        <w:t>6). 担保品处置现场负责人及进入担保品处置场所的人员名单（格式见附</w:t>
      </w:r>
      <w:r>
        <w:rPr>
          <w:rFonts w:hint="eastAsia" w:ascii="仿宋_GB2312" w:eastAsia="仿宋_GB2312" w:cs="宋体"/>
          <w:sz w:val="30"/>
          <w:szCs w:val="30"/>
        </w:rPr>
        <w:t>件</w:t>
      </w:r>
      <w:r>
        <w:rPr>
          <w:rFonts w:ascii="仿宋_GB2312" w:eastAsia="仿宋_GB2312" w:cs="宋体"/>
          <w:sz w:val="30"/>
          <w:szCs w:val="30"/>
        </w:rPr>
        <w:t>39</w:t>
      </w:r>
      <w:r>
        <w:rPr>
          <w:rFonts w:hint="eastAsia" w:ascii="仿宋_GB2312" w:eastAsia="仿宋_GB2312" w:cs="宋体"/>
          <w:sz w:val="30"/>
          <w:szCs w:val="30"/>
        </w:rPr>
        <w:t>）；</w:t>
      </w:r>
    </w:p>
    <w:p w14:paraId="647FE116">
      <w:pPr>
        <w:spacing w:line="600" w:lineRule="exact"/>
        <w:ind w:firstLine="600" w:firstLineChars="200"/>
        <w:rPr>
          <w:rFonts w:eastAsia="仿宋_GB2312" w:cs="宋体"/>
          <w:sz w:val="30"/>
          <w:szCs w:val="30"/>
        </w:rPr>
      </w:pPr>
      <w:r>
        <w:rPr>
          <w:rFonts w:hint="eastAsia" w:eastAsia="仿宋_GB2312" w:cs="宋体"/>
          <w:sz w:val="30"/>
          <w:szCs w:val="30"/>
        </w:rPr>
        <w:t>7). 本所要求的其他文件。</w:t>
      </w:r>
    </w:p>
    <w:p w14:paraId="69981D3D">
      <w:pPr>
        <w:spacing w:line="600" w:lineRule="exact"/>
        <w:ind w:firstLine="600" w:firstLineChars="200"/>
        <w:rPr>
          <w:rFonts w:eastAsia="仿宋_GB2312" w:cs="宋体"/>
          <w:sz w:val="30"/>
          <w:szCs w:val="30"/>
        </w:rPr>
      </w:pPr>
      <w:r>
        <w:rPr>
          <w:rFonts w:hint="eastAsia" w:eastAsia="仿宋_GB2312" w:cs="宋体"/>
          <w:sz w:val="30"/>
          <w:szCs w:val="30"/>
        </w:rPr>
        <w:t>若质权人与出质人在债券质押类业务交易申报中明确约定违约情形下质权人有权处置违约合同项下所质押债券担保品，则无须提交上述第</w:t>
      </w:r>
      <w:r>
        <w:rPr>
          <w:rFonts w:hint="eastAsia" w:ascii="仿宋_GB2312" w:eastAsia="仿宋_GB2312" w:cs="宋体"/>
          <w:sz w:val="30"/>
          <w:szCs w:val="30"/>
        </w:rPr>
        <w:t>（</w:t>
      </w:r>
      <w:r>
        <w:rPr>
          <w:rFonts w:ascii="仿宋_GB2312" w:eastAsia="仿宋_GB2312" w:cs="宋体"/>
          <w:sz w:val="30"/>
          <w:szCs w:val="30"/>
        </w:rPr>
        <w:t>2</w:t>
      </w:r>
      <w:r>
        <w:rPr>
          <w:rFonts w:hint="eastAsia" w:ascii="仿宋_GB2312" w:eastAsia="仿宋_GB2312" w:cs="宋体"/>
          <w:sz w:val="30"/>
          <w:szCs w:val="30"/>
        </w:rPr>
        <w:t>）项申请文件。法律意见书应包括但不限于担保品处置的法律合规性意见。日期安排方面，通常情况下，缴款截止日（</w:t>
      </w:r>
      <w:r>
        <w:rPr>
          <w:rFonts w:ascii="仿宋_GB2312" w:eastAsia="仿宋_GB2312" w:cs="宋体"/>
          <w:sz w:val="30"/>
          <w:szCs w:val="30"/>
        </w:rPr>
        <w:t>T+1</w:t>
      </w:r>
      <w:r>
        <w:rPr>
          <w:rFonts w:hint="eastAsia" w:ascii="仿宋_GB2312" w:eastAsia="仿宋_GB2312" w:cs="宋体"/>
          <w:sz w:val="30"/>
          <w:szCs w:val="30"/>
        </w:rPr>
        <w:t>日）为处置日（</w:t>
      </w:r>
      <w:r>
        <w:rPr>
          <w:rFonts w:ascii="仿宋_GB2312" w:eastAsia="仿宋_GB2312" w:cs="宋体"/>
          <w:sz w:val="30"/>
          <w:szCs w:val="30"/>
        </w:rPr>
        <w:t>T</w:t>
      </w:r>
      <w:r>
        <w:rPr>
          <w:rFonts w:hint="eastAsia" w:ascii="仿宋_GB2312" w:eastAsia="仿宋_GB2312" w:cs="宋体"/>
          <w:sz w:val="30"/>
          <w:szCs w:val="30"/>
        </w:rPr>
        <w:t>日）的下一个交易日，担保品交付截止日期（</w:t>
      </w:r>
      <w:r>
        <w:rPr>
          <w:rFonts w:ascii="仿宋_GB2312" w:eastAsia="仿宋_GB2312" w:cs="宋体"/>
          <w:sz w:val="30"/>
          <w:szCs w:val="30"/>
        </w:rPr>
        <w:t>T+2</w:t>
      </w:r>
      <w:r>
        <w:rPr>
          <w:rFonts w:hint="eastAsia" w:ascii="仿宋_GB2312" w:eastAsia="仿宋_GB2312" w:cs="宋体"/>
          <w:sz w:val="30"/>
          <w:szCs w:val="30"/>
        </w:rPr>
        <w:t>日）为缴款截止日的下一个交易日。担保品交付后的下一个交易日（</w:t>
      </w:r>
      <w:r>
        <w:rPr>
          <w:rFonts w:ascii="仿宋_GB2312" w:eastAsia="仿宋_GB2312" w:cs="宋体"/>
          <w:sz w:val="30"/>
          <w:szCs w:val="30"/>
        </w:rPr>
        <w:t>T+3</w:t>
      </w:r>
      <w:r>
        <w:rPr>
          <w:rFonts w:hint="eastAsia" w:ascii="仿宋_GB2312" w:eastAsia="仿宋_GB2312" w:cs="宋体"/>
          <w:sz w:val="30"/>
          <w:szCs w:val="30"/>
        </w:rPr>
        <w:t>日），报</w:t>
      </w:r>
      <w:r>
        <w:rPr>
          <w:rFonts w:hint="eastAsia" w:eastAsia="仿宋_GB2312" w:cs="宋体"/>
          <w:sz w:val="30"/>
          <w:szCs w:val="30"/>
        </w:rPr>
        <w:t>价团成员中标的债券可以进行交易或转让。采用全部合格报价团模式的，无须提</w:t>
      </w:r>
      <w:r>
        <w:rPr>
          <w:rFonts w:hint="eastAsia" w:ascii="仿宋_GB2312" w:eastAsia="仿宋_GB2312" w:cs="宋体"/>
          <w:sz w:val="30"/>
          <w:szCs w:val="30"/>
        </w:rPr>
        <w:t>交第（五）</w:t>
      </w:r>
      <w:r>
        <w:rPr>
          <w:rFonts w:hint="eastAsia" w:eastAsia="仿宋_GB2312" w:cs="宋体"/>
          <w:sz w:val="30"/>
          <w:szCs w:val="30"/>
        </w:rPr>
        <w:t>项申请文件。</w:t>
      </w:r>
    </w:p>
    <w:p w14:paraId="215E11D2">
      <w:pPr>
        <w:spacing w:line="600" w:lineRule="exact"/>
        <w:ind w:firstLine="600" w:firstLineChars="200"/>
        <w:rPr>
          <w:rFonts w:eastAsia="仿宋_GB2312" w:cs="宋体"/>
          <w:sz w:val="30"/>
          <w:szCs w:val="30"/>
        </w:rPr>
      </w:pPr>
      <w:r>
        <w:rPr>
          <w:rFonts w:hint="eastAsia" w:eastAsia="仿宋_GB2312" w:cs="宋体"/>
          <w:sz w:val="30"/>
          <w:szCs w:val="30"/>
        </w:rPr>
        <w:t>提交方式为将申请材料扫描成</w:t>
      </w:r>
      <w:r>
        <w:rPr>
          <w:rFonts w:ascii="仿宋_GB2312" w:eastAsia="仿宋_GB2312" w:cs="宋体"/>
          <w:sz w:val="30"/>
          <w:szCs w:val="30"/>
        </w:rPr>
        <w:t>PDF</w:t>
      </w:r>
      <w:r>
        <w:rPr>
          <w:rFonts w:hint="eastAsia" w:eastAsia="仿宋_GB2312" w:cs="宋体"/>
          <w:sz w:val="30"/>
          <w:szCs w:val="30"/>
        </w:rPr>
        <w:t>文件通过邮箱</w:t>
      </w:r>
      <w:r>
        <w:rPr>
          <w:rFonts w:hint="eastAsia" w:ascii="仿宋_GB2312" w:eastAsia="仿宋_GB2312" w:cs="宋体"/>
          <w:sz w:val="30"/>
          <w:szCs w:val="30"/>
        </w:rPr>
        <w:t>（</w:t>
      </w:r>
      <w:r>
        <w:rPr>
          <w:rFonts w:ascii="仿宋_GB2312" w:eastAsia="仿宋_GB2312" w:cs="宋体"/>
          <w:sz w:val="30"/>
          <w:szCs w:val="30"/>
        </w:rPr>
        <w:t>bondtrading@sse.com.cn</w:t>
      </w:r>
      <w:r>
        <w:rPr>
          <w:rFonts w:hint="eastAsia" w:ascii="仿宋_GB2312" w:eastAsia="仿宋_GB2312" w:cs="宋体"/>
          <w:sz w:val="30"/>
          <w:szCs w:val="30"/>
        </w:rPr>
        <w:t>，下同）发送至本所债券业务部，邮件标题格式为“</w:t>
      </w:r>
      <w:r>
        <w:rPr>
          <w:rFonts w:ascii="仿宋_GB2312" w:eastAsia="仿宋_GB2312" w:cs="宋体"/>
          <w:sz w:val="30"/>
          <w:szCs w:val="30"/>
        </w:rPr>
        <w:t xml:space="preserve">XX </w:t>
      </w:r>
      <w:r>
        <w:rPr>
          <w:rFonts w:hint="eastAsia" w:ascii="仿宋_GB2312" w:eastAsia="仿宋_GB2312" w:cs="宋体"/>
          <w:sz w:val="30"/>
          <w:szCs w:val="30"/>
        </w:rPr>
        <w:t>公司</w:t>
      </w:r>
      <w:r>
        <w:rPr>
          <w:rFonts w:ascii="仿宋_GB2312" w:eastAsia="仿宋_GB2312" w:cs="宋体"/>
          <w:sz w:val="30"/>
          <w:szCs w:val="30"/>
        </w:rPr>
        <w:t xml:space="preserve"> XX </w:t>
      </w:r>
      <w:r>
        <w:rPr>
          <w:rFonts w:hint="eastAsia" w:ascii="仿宋_GB2312" w:eastAsia="仿宋_GB2312" w:cs="宋体"/>
          <w:sz w:val="30"/>
          <w:szCs w:val="30"/>
        </w:rPr>
        <w:t>年（</w:t>
      </w:r>
      <w:r>
        <w:rPr>
          <w:rFonts w:ascii="仿宋_GB2312" w:eastAsia="仿宋_GB2312" w:cs="宋体"/>
          <w:sz w:val="30"/>
          <w:szCs w:val="30"/>
        </w:rPr>
        <w:t>X</w:t>
      </w:r>
      <w:r>
        <w:rPr>
          <w:rFonts w:hint="eastAsia" w:ascii="仿宋_GB2312" w:eastAsia="仿宋_GB2312" w:cs="宋体"/>
          <w:sz w:val="30"/>
          <w:szCs w:val="30"/>
        </w:rPr>
        <w:t>）期担保品处置服务申请</w:t>
      </w:r>
      <w:r>
        <w:rPr>
          <w:rFonts w:hint="eastAsia" w:eastAsia="仿宋_GB2312" w:cs="宋体"/>
          <w:sz w:val="30"/>
          <w:szCs w:val="30"/>
        </w:rPr>
        <w:t>”。发送后，经办人员应向本所债券担保品处置服务联系人（见附</w:t>
      </w:r>
      <w:r>
        <w:rPr>
          <w:rFonts w:hint="eastAsia" w:ascii="仿宋_GB2312" w:eastAsia="仿宋_GB2312" w:cs="宋体"/>
          <w:sz w:val="30"/>
          <w:szCs w:val="30"/>
        </w:rPr>
        <w:t>件</w:t>
      </w:r>
      <w:r>
        <w:rPr>
          <w:rFonts w:ascii="仿宋_GB2312" w:eastAsia="仿宋_GB2312" w:cs="宋体"/>
          <w:sz w:val="30"/>
          <w:szCs w:val="30"/>
        </w:rPr>
        <w:t>40</w:t>
      </w:r>
      <w:r>
        <w:rPr>
          <w:rFonts w:hint="eastAsia" w:ascii="仿宋_GB2312" w:eastAsia="仿宋_GB2312" w:cs="宋体"/>
          <w:sz w:val="30"/>
          <w:szCs w:val="30"/>
        </w:rPr>
        <w:t>）确</w:t>
      </w:r>
      <w:r>
        <w:rPr>
          <w:rFonts w:hint="eastAsia" w:eastAsia="仿宋_GB2312" w:cs="宋体"/>
          <w:sz w:val="30"/>
          <w:szCs w:val="30"/>
        </w:rPr>
        <w:t>认。</w:t>
      </w:r>
    </w:p>
    <w:p w14:paraId="54D92D0A">
      <w:pPr>
        <w:spacing w:line="600" w:lineRule="exact"/>
        <w:ind w:firstLine="600" w:firstLineChars="200"/>
        <w:rPr>
          <w:rFonts w:eastAsia="仿宋_GB2312" w:cs="宋体"/>
          <w:sz w:val="30"/>
          <w:szCs w:val="30"/>
        </w:rPr>
      </w:pPr>
      <w:r>
        <w:rPr>
          <w:rFonts w:hint="eastAsia" w:eastAsia="仿宋_GB2312" w:cs="宋体"/>
          <w:sz w:val="30"/>
          <w:szCs w:val="30"/>
        </w:rPr>
        <w:t>本所收到一般处置方的申请文件</w:t>
      </w:r>
      <w:r>
        <w:rPr>
          <w:rFonts w:ascii="仿宋_GB2312" w:eastAsia="仿宋_GB2312" w:cs="宋体"/>
          <w:sz w:val="30"/>
          <w:szCs w:val="30"/>
        </w:rPr>
        <w:t>3</w:t>
      </w:r>
      <w:r>
        <w:rPr>
          <w:rFonts w:hint="eastAsia" w:ascii="仿宋_GB2312" w:eastAsia="仿宋_GB2312" w:cs="宋体"/>
          <w:sz w:val="30"/>
          <w:szCs w:val="30"/>
        </w:rPr>
        <w:t>个</w:t>
      </w:r>
      <w:r>
        <w:rPr>
          <w:rFonts w:hint="eastAsia" w:eastAsia="仿宋_GB2312" w:cs="宋体"/>
          <w:sz w:val="30"/>
          <w:szCs w:val="30"/>
        </w:rPr>
        <w:t>交易日内对申请文件是否符合要求进行核对。要件不齐备的，本所以电话、邮件等方式一次性告知补充事项。要件齐备的，本所通知处置方启动处置流程。</w:t>
      </w:r>
    </w:p>
    <w:p w14:paraId="744F43D6">
      <w:pPr>
        <w:spacing w:line="600" w:lineRule="exact"/>
        <w:ind w:firstLine="602" w:firstLineChars="200"/>
        <w:outlineLvl w:val="3"/>
        <w:rPr>
          <w:rFonts w:ascii="仿宋_GB2312" w:eastAsia="仿宋_GB2312"/>
          <w:b/>
          <w:sz w:val="30"/>
          <w:szCs w:val="30"/>
        </w:rPr>
      </w:pPr>
      <w:r>
        <w:rPr>
          <w:rFonts w:hint="eastAsia" w:ascii="仿宋_GB2312" w:eastAsia="仿宋_GB2312"/>
          <w:b/>
          <w:sz w:val="30"/>
          <w:szCs w:val="30"/>
        </w:rPr>
        <w:t>（</w:t>
      </w:r>
      <w:r>
        <w:rPr>
          <w:rFonts w:ascii="仿宋_GB2312" w:eastAsia="仿宋_GB2312"/>
          <w:b/>
          <w:sz w:val="30"/>
          <w:szCs w:val="30"/>
        </w:rPr>
        <w:t>3</w:t>
      </w:r>
      <w:r>
        <w:rPr>
          <w:rFonts w:hint="eastAsia" w:ascii="仿宋_GB2312" w:eastAsia="仿宋_GB2312"/>
          <w:b/>
          <w:sz w:val="30"/>
          <w:szCs w:val="30"/>
        </w:rPr>
        <w:t>）技术服务协议</w:t>
      </w:r>
    </w:p>
    <w:p w14:paraId="16EA2035">
      <w:pPr>
        <w:spacing w:line="600" w:lineRule="exact"/>
        <w:ind w:firstLine="600" w:firstLineChars="200"/>
        <w:rPr>
          <w:rFonts w:eastAsia="仿宋_GB2312" w:cs="宋体"/>
          <w:sz w:val="30"/>
          <w:szCs w:val="30"/>
        </w:rPr>
      </w:pPr>
      <w:r>
        <w:rPr>
          <w:rFonts w:hint="eastAsia" w:eastAsia="仿宋_GB2312" w:cs="宋体"/>
          <w:sz w:val="30"/>
          <w:szCs w:val="30"/>
        </w:rPr>
        <w:t>处置方收到启动处置流程的通知后，应在处置日前与本所签订《上海证券交易所债券担保品处置技术服务协议》。（格式见服务指引的附</w:t>
      </w:r>
      <w:r>
        <w:rPr>
          <w:rFonts w:hint="eastAsia" w:ascii="仿宋_GB2312" w:eastAsia="仿宋_GB2312" w:cs="宋体"/>
          <w:sz w:val="30"/>
          <w:szCs w:val="30"/>
        </w:rPr>
        <w:t>件</w:t>
      </w:r>
      <w:r>
        <w:rPr>
          <w:rFonts w:ascii="仿宋_GB2312" w:eastAsia="仿宋_GB2312" w:cs="宋体"/>
          <w:sz w:val="30"/>
          <w:szCs w:val="30"/>
        </w:rPr>
        <w:t>5</w:t>
      </w:r>
      <w:r>
        <w:rPr>
          <w:rFonts w:hint="eastAsia" w:ascii="仿宋_GB2312" w:eastAsia="仿宋_GB2312" w:cs="宋体"/>
          <w:sz w:val="30"/>
          <w:szCs w:val="30"/>
        </w:rPr>
        <w:t>）。</w:t>
      </w:r>
    </w:p>
    <w:p w14:paraId="4F561ABA">
      <w:pPr>
        <w:spacing w:line="600" w:lineRule="exact"/>
        <w:ind w:firstLine="600" w:firstLineChars="200"/>
        <w:rPr>
          <w:rFonts w:eastAsia="仿宋_GB2312" w:cs="宋体"/>
          <w:sz w:val="30"/>
          <w:szCs w:val="30"/>
        </w:rPr>
      </w:pPr>
      <w:r>
        <w:rPr>
          <w:rFonts w:hint="eastAsia" w:eastAsia="仿宋_GB2312" w:cs="宋体"/>
          <w:sz w:val="30"/>
          <w:szCs w:val="30"/>
        </w:rPr>
        <w:t>处置方将技术服务协议文件填写完毕经授权代表签字和加盖本公司公章后再扫描成</w:t>
      </w:r>
      <w:r>
        <w:rPr>
          <w:rFonts w:ascii="仿宋_GB2312" w:eastAsia="仿宋_GB2312" w:cs="宋体"/>
          <w:sz w:val="30"/>
          <w:szCs w:val="30"/>
        </w:rPr>
        <w:t>PDF</w:t>
      </w:r>
      <w:r>
        <w:rPr>
          <w:rFonts w:hint="eastAsia" w:ascii="仿宋_GB2312" w:eastAsia="仿宋_GB2312" w:cs="宋体"/>
          <w:sz w:val="30"/>
          <w:szCs w:val="30"/>
        </w:rPr>
        <w:t>文件通过邮箱发送至本所债券业务部，从而完成技术服务协议的签署。邮件标题格式为“</w:t>
      </w:r>
      <w:r>
        <w:rPr>
          <w:rFonts w:ascii="仿宋_GB2312" w:eastAsia="仿宋_GB2312" w:cs="宋体"/>
          <w:sz w:val="30"/>
          <w:szCs w:val="30"/>
        </w:rPr>
        <w:t xml:space="preserve">XX </w:t>
      </w:r>
      <w:r>
        <w:rPr>
          <w:rFonts w:hint="eastAsia" w:ascii="仿宋_GB2312" w:eastAsia="仿宋_GB2312" w:cs="宋体"/>
          <w:sz w:val="30"/>
          <w:szCs w:val="30"/>
        </w:rPr>
        <w:t>公司</w:t>
      </w:r>
      <w:r>
        <w:rPr>
          <w:rFonts w:ascii="仿宋_GB2312" w:eastAsia="仿宋_GB2312" w:cs="宋体"/>
          <w:sz w:val="30"/>
          <w:szCs w:val="30"/>
        </w:rPr>
        <w:t xml:space="preserve"> XX </w:t>
      </w:r>
      <w:r>
        <w:rPr>
          <w:rFonts w:hint="eastAsia" w:ascii="仿宋_GB2312" w:eastAsia="仿宋_GB2312" w:cs="宋体"/>
          <w:sz w:val="30"/>
          <w:szCs w:val="30"/>
        </w:rPr>
        <w:t>年（</w:t>
      </w:r>
      <w:r>
        <w:rPr>
          <w:rFonts w:ascii="仿宋_GB2312" w:eastAsia="仿宋_GB2312" w:cs="宋体"/>
          <w:sz w:val="30"/>
          <w:szCs w:val="30"/>
        </w:rPr>
        <w:t>X</w:t>
      </w:r>
      <w:r>
        <w:rPr>
          <w:rFonts w:hint="eastAsia" w:ascii="仿宋_GB2312" w:eastAsia="仿宋_GB2312" w:cs="宋体"/>
          <w:sz w:val="30"/>
          <w:szCs w:val="30"/>
        </w:rPr>
        <w:t>）期担保品处</w:t>
      </w:r>
      <w:r>
        <w:rPr>
          <w:rFonts w:hint="eastAsia" w:eastAsia="仿宋_GB2312" w:cs="宋体"/>
          <w:sz w:val="30"/>
          <w:szCs w:val="30"/>
        </w:rPr>
        <w:t>置技术服务协议”。发送后，经办人员应向本所债券担保品处置服务联系人确认。</w:t>
      </w:r>
    </w:p>
    <w:p w14:paraId="51324A06">
      <w:pPr>
        <w:spacing w:line="600" w:lineRule="exact"/>
        <w:ind w:firstLine="602" w:firstLineChars="200"/>
        <w:outlineLvl w:val="3"/>
        <w:rPr>
          <w:rFonts w:ascii="仿宋_GB2312" w:eastAsia="仿宋_GB2312"/>
          <w:b/>
          <w:sz w:val="30"/>
          <w:szCs w:val="30"/>
        </w:rPr>
      </w:pPr>
      <w:r>
        <w:rPr>
          <w:rFonts w:hint="eastAsia" w:ascii="仿宋_GB2312" w:eastAsia="仿宋_GB2312"/>
          <w:b/>
          <w:sz w:val="30"/>
          <w:szCs w:val="30"/>
        </w:rPr>
        <w:t>（</w:t>
      </w:r>
      <w:r>
        <w:rPr>
          <w:rFonts w:ascii="仿宋_GB2312" w:eastAsia="仿宋_GB2312"/>
          <w:b/>
          <w:sz w:val="30"/>
          <w:szCs w:val="30"/>
        </w:rPr>
        <w:t>4</w:t>
      </w:r>
      <w:r>
        <w:rPr>
          <w:rFonts w:hint="eastAsia" w:ascii="仿宋_GB2312" w:eastAsia="仿宋_GB2312"/>
          <w:b/>
          <w:sz w:val="30"/>
          <w:szCs w:val="30"/>
        </w:rPr>
        <w:t>）一般处置方的处置公告</w:t>
      </w:r>
    </w:p>
    <w:p w14:paraId="6E655EC8">
      <w:pPr>
        <w:spacing w:line="600" w:lineRule="exact"/>
        <w:ind w:firstLine="600" w:firstLineChars="200"/>
        <w:rPr>
          <w:rFonts w:eastAsia="仿宋_GB2312" w:cs="宋体"/>
          <w:sz w:val="30"/>
          <w:szCs w:val="30"/>
        </w:rPr>
      </w:pPr>
      <w:r>
        <w:rPr>
          <w:rFonts w:hint="eastAsia" w:eastAsia="仿宋_GB2312" w:cs="宋体"/>
          <w:sz w:val="30"/>
          <w:szCs w:val="30"/>
        </w:rPr>
        <w:t>处置方应当于担保</w:t>
      </w:r>
      <w:r>
        <w:rPr>
          <w:rFonts w:hint="eastAsia" w:ascii="仿宋_GB2312" w:eastAsia="仿宋_GB2312" w:cs="宋体"/>
          <w:sz w:val="30"/>
          <w:szCs w:val="30"/>
        </w:rPr>
        <w:t>品处置日前</w:t>
      </w:r>
      <w:r>
        <w:rPr>
          <w:rFonts w:ascii="仿宋_GB2312" w:eastAsia="仿宋_GB2312" w:cs="宋体"/>
          <w:sz w:val="30"/>
          <w:szCs w:val="30"/>
        </w:rPr>
        <w:t>3</w:t>
      </w:r>
      <w:r>
        <w:rPr>
          <w:rFonts w:hint="eastAsia" w:ascii="仿宋_GB2312" w:eastAsia="仿宋_GB2312" w:cs="宋体"/>
          <w:sz w:val="30"/>
          <w:szCs w:val="30"/>
        </w:rPr>
        <w:t>个交易日（</w:t>
      </w:r>
      <w:r>
        <w:rPr>
          <w:rFonts w:ascii="仿宋_GB2312" w:eastAsia="仿宋_GB2312" w:cs="宋体"/>
          <w:sz w:val="30"/>
          <w:szCs w:val="30"/>
        </w:rPr>
        <w:t>T-3</w:t>
      </w:r>
      <w:r>
        <w:rPr>
          <w:rFonts w:hint="eastAsia" w:ascii="仿宋_GB2312" w:eastAsia="仿宋_GB2312" w:cs="宋体"/>
          <w:sz w:val="30"/>
          <w:szCs w:val="30"/>
        </w:rPr>
        <w:t>日）</w:t>
      </w:r>
      <w:r>
        <w:rPr>
          <w:rFonts w:hint="eastAsia" w:eastAsia="仿宋_GB2312" w:cs="宋体"/>
          <w:sz w:val="30"/>
          <w:szCs w:val="30"/>
        </w:rPr>
        <w:t>将处置公告通过上交所处置平台向市场发布。处置公告等各类公开文件中不得披露出质人的身份。</w:t>
      </w:r>
    </w:p>
    <w:p w14:paraId="74CDAB26">
      <w:pPr>
        <w:spacing w:line="600" w:lineRule="exact"/>
        <w:ind w:firstLine="600" w:firstLineChars="200"/>
        <w:rPr>
          <w:rFonts w:eastAsia="仿宋_GB2312" w:cs="宋体"/>
          <w:sz w:val="30"/>
          <w:szCs w:val="30"/>
        </w:rPr>
      </w:pPr>
      <w:r>
        <w:rPr>
          <w:rFonts w:hint="eastAsia" w:eastAsia="仿宋_GB2312" w:cs="宋体"/>
          <w:sz w:val="30"/>
          <w:szCs w:val="30"/>
        </w:rPr>
        <w:t>处置方将处置公告等文件</w:t>
      </w:r>
      <w:r>
        <w:rPr>
          <w:rFonts w:hint="eastAsia" w:ascii="仿宋_GB2312" w:eastAsia="仿宋_GB2312" w:cs="宋体"/>
          <w:sz w:val="30"/>
          <w:szCs w:val="30"/>
        </w:rPr>
        <w:t>扫描成</w:t>
      </w:r>
      <w:r>
        <w:rPr>
          <w:rFonts w:ascii="仿宋_GB2312" w:eastAsia="仿宋_GB2312" w:cs="宋体"/>
          <w:sz w:val="30"/>
          <w:szCs w:val="30"/>
        </w:rPr>
        <w:t>PDF</w:t>
      </w:r>
      <w:r>
        <w:rPr>
          <w:rFonts w:hint="eastAsia" w:ascii="仿宋_GB2312" w:eastAsia="仿宋_GB2312" w:cs="宋体"/>
          <w:sz w:val="30"/>
          <w:szCs w:val="30"/>
        </w:rPr>
        <w:t>文件后通过邮箱发送至本所债券业务部，由本所技术支持人员代为上传到处置平台。邮件标题格式为“</w:t>
      </w:r>
      <w:r>
        <w:rPr>
          <w:rFonts w:ascii="仿宋_GB2312" w:eastAsia="仿宋_GB2312" w:cs="宋体"/>
          <w:sz w:val="30"/>
          <w:szCs w:val="30"/>
        </w:rPr>
        <w:t xml:space="preserve">XX </w:t>
      </w:r>
      <w:r>
        <w:rPr>
          <w:rFonts w:hint="eastAsia" w:ascii="仿宋_GB2312" w:eastAsia="仿宋_GB2312" w:cs="宋体"/>
          <w:sz w:val="30"/>
          <w:szCs w:val="30"/>
        </w:rPr>
        <w:t>公司</w:t>
      </w:r>
      <w:r>
        <w:rPr>
          <w:rFonts w:ascii="仿宋_GB2312" w:eastAsia="仿宋_GB2312" w:cs="宋体"/>
          <w:sz w:val="30"/>
          <w:szCs w:val="30"/>
        </w:rPr>
        <w:t xml:space="preserve"> XX </w:t>
      </w:r>
      <w:r>
        <w:rPr>
          <w:rFonts w:hint="eastAsia" w:ascii="仿宋_GB2312" w:eastAsia="仿宋_GB2312" w:cs="宋体"/>
          <w:sz w:val="30"/>
          <w:szCs w:val="30"/>
        </w:rPr>
        <w:t>年（</w:t>
      </w:r>
      <w:r>
        <w:rPr>
          <w:rFonts w:ascii="仿宋_GB2312" w:eastAsia="仿宋_GB2312" w:cs="宋体"/>
          <w:sz w:val="30"/>
          <w:szCs w:val="30"/>
        </w:rPr>
        <w:t>X</w:t>
      </w:r>
      <w:r>
        <w:rPr>
          <w:rFonts w:hint="eastAsia" w:ascii="仿宋_GB2312" w:eastAsia="仿宋_GB2312" w:cs="宋体"/>
          <w:sz w:val="30"/>
          <w:szCs w:val="30"/>
        </w:rPr>
        <w:t>）期担</w:t>
      </w:r>
      <w:r>
        <w:rPr>
          <w:rFonts w:hint="eastAsia" w:eastAsia="仿宋_GB2312" w:cs="宋体"/>
          <w:sz w:val="30"/>
          <w:szCs w:val="30"/>
        </w:rPr>
        <w:t>保品处置的处置公告”。</w:t>
      </w:r>
    </w:p>
    <w:p w14:paraId="41856FE4">
      <w:pPr>
        <w:spacing w:line="600" w:lineRule="exact"/>
        <w:ind w:firstLine="602" w:firstLineChars="200"/>
        <w:outlineLvl w:val="3"/>
        <w:rPr>
          <w:rFonts w:ascii="仿宋_GB2312" w:eastAsia="仿宋_GB2312"/>
          <w:b/>
          <w:sz w:val="30"/>
          <w:szCs w:val="30"/>
        </w:rPr>
      </w:pPr>
      <w:r>
        <w:rPr>
          <w:rFonts w:hint="eastAsia" w:ascii="仿宋_GB2312" w:eastAsia="仿宋_GB2312"/>
          <w:b/>
          <w:sz w:val="30"/>
          <w:szCs w:val="30"/>
        </w:rPr>
        <w:t>（</w:t>
      </w:r>
      <w:r>
        <w:rPr>
          <w:rFonts w:ascii="仿宋_GB2312" w:eastAsia="仿宋_GB2312"/>
          <w:b/>
          <w:sz w:val="30"/>
          <w:szCs w:val="30"/>
        </w:rPr>
        <w:t>5</w:t>
      </w:r>
      <w:r>
        <w:rPr>
          <w:rFonts w:hint="eastAsia" w:ascii="仿宋_GB2312" w:eastAsia="仿宋_GB2312"/>
          <w:b/>
          <w:sz w:val="30"/>
          <w:szCs w:val="30"/>
        </w:rPr>
        <w:t>）登记结算机构的处置委托及公告</w:t>
      </w:r>
    </w:p>
    <w:p w14:paraId="2BAA7295">
      <w:pPr>
        <w:spacing w:line="600" w:lineRule="exact"/>
        <w:ind w:firstLine="600" w:firstLineChars="200"/>
        <w:rPr>
          <w:rFonts w:eastAsia="仿宋_GB2312" w:cs="宋体"/>
          <w:sz w:val="30"/>
          <w:szCs w:val="30"/>
        </w:rPr>
      </w:pPr>
      <w:r>
        <w:rPr>
          <w:rFonts w:hint="eastAsia" w:eastAsia="仿宋_GB2312" w:cs="宋体"/>
          <w:sz w:val="30"/>
          <w:szCs w:val="30"/>
        </w:rPr>
        <w:t>对于登记结算机构的处置申请，本所将采用简化流程优先处理。登记结算机构应于处置日前</w:t>
      </w:r>
      <w:r>
        <w:rPr>
          <w:rFonts w:hint="eastAsia" w:ascii="仿宋_GB2312" w:eastAsia="仿宋_GB2312" w:cs="宋体"/>
          <w:sz w:val="30"/>
          <w:szCs w:val="30"/>
        </w:rPr>
        <w:t>一工作日（</w:t>
      </w:r>
      <w:r>
        <w:rPr>
          <w:rFonts w:ascii="仿宋_GB2312" w:eastAsia="仿宋_GB2312" w:cs="宋体"/>
          <w:sz w:val="30"/>
          <w:szCs w:val="30"/>
        </w:rPr>
        <w:t>T-1</w:t>
      </w:r>
      <w:r>
        <w:rPr>
          <w:rFonts w:hint="eastAsia" w:ascii="仿宋_GB2312" w:eastAsia="仿宋_GB2312" w:cs="宋体"/>
          <w:sz w:val="30"/>
          <w:szCs w:val="30"/>
        </w:rPr>
        <w:t>日）向本所提交《上海证券交易所债券担保品处置公告》，并通过处置平台向市场发布。具体提交方式和一般处置方提</w:t>
      </w:r>
      <w:r>
        <w:rPr>
          <w:rFonts w:hint="eastAsia" w:eastAsia="仿宋_GB2312" w:cs="宋体"/>
          <w:sz w:val="30"/>
          <w:szCs w:val="30"/>
        </w:rPr>
        <w:t>交处置公告相同。</w:t>
      </w:r>
    </w:p>
    <w:p w14:paraId="2803AE26">
      <w:pPr>
        <w:spacing w:line="600" w:lineRule="exact"/>
        <w:ind w:firstLine="602" w:firstLineChars="200"/>
        <w:outlineLvl w:val="3"/>
        <w:rPr>
          <w:rFonts w:ascii="仿宋_GB2312" w:eastAsia="仿宋_GB2312"/>
          <w:b/>
          <w:sz w:val="30"/>
          <w:szCs w:val="30"/>
        </w:rPr>
      </w:pPr>
      <w:r>
        <w:rPr>
          <w:rFonts w:hint="eastAsia" w:ascii="仿宋_GB2312" w:eastAsia="仿宋_GB2312"/>
          <w:b/>
          <w:sz w:val="30"/>
          <w:szCs w:val="30"/>
        </w:rPr>
        <w:t>（</w:t>
      </w:r>
      <w:r>
        <w:rPr>
          <w:rFonts w:ascii="仿宋_GB2312" w:eastAsia="仿宋_GB2312"/>
          <w:b/>
          <w:sz w:val="30"/>
          <w:szCs w:val="30"/>
        </w:rPr>
        <w:t>6</w:t>
      </w:r>
      <w:r>
        <w:rPr>
          <w:rFonts w:hint="eastAsia" w:ascii="仿宋_GB2312" w:eastAsia="仿宋_GB2312"/>
          <w:b/>
          <w:sz w:val="30"/>
          <w:szCs w:val="30"/>
        </w:rPr>
        <w:t>）担保品处置的取消</w:t>
      </w:r>
    </w:p>
    <w:p w14:paraId="22EC9444">
      <w:pPr>
        <w:spacing w:line="600" w:lineRule="exact"/>
        <w:ind w:firstLine="600" w:firstLineChars="200"/>
        <w:rPr>
          <w:rFonts w:ascii="仿宋_GB2312" w:eastAsia="仿宋_GB2312" w:cs="宋体"/>
          <w:sz w:val="30"/>
          <w:szCs w:val="30"/>
        </w:rPr>
      </w:pPr>
      <w:r>
        <w:rPr>
          <w:rFonts w:hint="eastAsia" w:eastAsia="仿宋_GB2312" w:cs="宋体"/>
          <w:sz w:val="30"/>
          <w:szCs w:val="30"/>
        </w:rPr>
        <w:t>担保品处置服务申请提交后，处置方确需对处置取消或延期和变更的，原则上应当在处置日前</w:t>
      </w:r>
      <w:r>
        <w:rPr>
          <w:rFonts w:hint="eastAsia" w:ascii="仿宋_GB2312" w:eastAsia="仿宋_GB2312" w:cs="宋体"/>
          <w:sz w:val="30"/>
          <w:szCs w:val="30"/>
        </w:rPr>
        <w:t>一交易日（</w:t>
      </w:r>
      <w:r>
        <w:rPr>
          <w:rFonts w:ascii="仿宋_GB2312" w:eastAsia="仿宋_GB2312" w:cs="宋体"/>
          <w:sz w:val="30"/>
          <w:szCs w:val="30"/>
        </w:rPr>
        <w:t>T-1</w:t>
      </w:r>
      <w:r>
        <w:rPr>
          <w:rFonts w:hint="eastAsia" w:ascii="仿宋_GB2312" w:eastAsia="仿宋_GB2312" w:cs="宋体"/>
          <w:sz w:val="30"/>
          <w:szCs w:val="30"/>
        </w:rPr>
        <w:t>日）</w:t>
      </w:r>
      <w:r>
        <w:rPr>
          <w:rFonts w:ascii="仿宋_GB2312" w:eastAsia="仿宋_GB2312" w:cs="宋体"/>
          <w:sz w:val="30"/>
          <w:szCs w:val="30"/>
        </w:rPr>
        <w:t>17:00</w:t>
      </w:r>
      <w:r>
        <w:rPr>
          <w:rFonts w:hint="eastAsia" w:ascii="仿宋_GB2312" w:eastAsia="仿宋_GB2312" w:cs="宋体"/>
          <w:sz w:val="30"/>
          <w:szCs w:val="30"/>
        </w:rPr>
        <w:t>前与本所取得联系，并通过邮箱方式向本所提交相关书面申请及公告等材料，书面申请及公告的格式不限，由本所技术支持人员代为上传到处置平台进行发布。邮件标题格式为“</w:t>
      </w:r>
      <w:r>
        <w:rPr>
          <w:rFonts w:ascii="仿宋_GB2312" w:eastAsia="仿宋_GB2312" w:cs="宋体"/>
          <w:sz w:val="30"/>
          <w:szCs w:val="30"/>
        </w:rPr>
        <w:t xml:space="preserve">XX </w:t>
      </w:r>
      <w:r>
        <w:rPr>
          <w:rFonts w:hint="eastAsia" w:ascii="仿宋_GB2312" w:eastAsia="仿宋_GB2312" w:cs="宋体"/>
          <w:sz w:val="30"/>
          <w:szCs w:val="30"/>
        </w:rPr>
        <w:t>公司</w:t>
      </w:r>
      <w:r>
        <w:rPr>
          <w:rFonts w:ascii="仿宋_GB2312" w:eastAsia="仿宋_GB2312" w:cs="宋体"/>
          <w:sz w:val="30"/>
          <w:szCs w:val="30"/>
        </w:rPr>
        <w:t xml:space="preserve"> XX </w:t>
      </w:r>
      <w:r>
        <w:rPr>
          <w:rFonts w:hint="eastAsia" w:ascii="仿宋_GB2312" w:eastAsia="仿宋_GB2312" w:cs="宋体"/>
          <w:sz w:val="30"/>
          <w:szCs w:val="30"/>
        </w:rPr>
        <w:t>年（</w:t>
      </w:r>
      <w:r>
        <w:rPr>
          <w:rFonts w:ascii="仿宋_GB2312" w:eastAsia="仿宋_GB2312" w:cs="宋体"/>
          <w:sz w:val="30"/>
          <w:szCs w:val="30"/>
        </w:rPr>
        <w:t>X</w:t>
      </w:r>
      <w:r>
        <w:rPr>
          <w:rFonts w:hint="eastAsia" w:ascii="仿宋_GB2312" w:eastAsia="仿宋_GB2312" w:cs="宋体"/>
          <w:sz w:val="30"/>
          <w:szCs w:val="30"/>
        </w:rPr>
        <w:t>）期担保品处置的取消（或延期</w:t>
      </w:r>
      <w:r>
        <w:rPr>
          <w:rFonts w:ascii="仿宋_GB2312" w:eastAsia="仿宋_GB2312" w:cs="宋体"/>
          <w:sz w:val="30"/>
          <w:szCs w:val="30"/>
        </w:rPr>
        <w:t>/</w:t>
      </w:r>
      <w:r>
        <w:rPr>
          <w:rFonts w:hint="eastAsia" w:ascii="仿宋_GB2312" w:eastAsia="仿宋_GB2312" w:cs="宋体"/>
          <w:sz w:val="30"/>
          <w:szCs w:val="30"/>
        </w:rPr>
        <w:t>变更）公告”。</w:t>
      </w:r>
    </w:p>
    <w:p w14:paraId="0625244F">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处置</w:t>
      </w:r>
    </w:p>
    <w:p w14:paraId="30820447">
      <w:pPr>
        <w:spacing w:line="600" w:lineRule="exact"/>
        <w:ind w:firstLine="602" w:firstLineChars="200"/>
        <w:outlineLvl w:val="3"/>
        <w:rPr>
          <w:rFonts w:ascii="仿宋_GB2312" w:eastAsia="仿宋_GB2312"/>
          <w:b/>
          <w:sz w:val="30"/>
          <w:szCs w:val="30"/>
        </w:rPr>
      </w:pPr>
      <w:r>
        <w:rPr>
          <w:rFonts w:hint="eastAsia" w:ascii="仿宋_GB2312" w:eastAsia="仿宋_GB2312"/>
          <w:b/>
          <w:sz w:val="30"/>
          <w:szCs w:val="30"/>
        </w:rPr>
        <w:t>（</w:t>
      </w:r>
      <w:r>
        <w:rPr>
          <w:rFonts w:ascii="仿宋_GB2312" w:eastAsia="仿宋_GB2312"/>
          <w:b/>
          <w:sz w:val="30"/>
          <w:szCs w:val="30"/>
        </w:rPr>
        <w:t>1</w:t>
      </w:r>
      <w:r>
        <w:rPr>
          <w:rFonts w:hint="eastAsia" w:ascii="仿宋_GB2312" w:eastAsia="仿宋_GB2312"/>
          <w:b/>
          <w:sz w:val="30"/>
          <w:szCs w:val="30"/>
        </w:rPr>
        <w:t>）处置准备就绪（</w:t>
      </w:r>
      <w:r>
        <w:rPr>
          <w:rFonts w:ascii="仿宋_GB2312" w:eastAsia="仿宋_GB2312"/>
          <w:b/>
          <w:sz w:val="30"/>
          <w:szCs w:val="30"/>
        </w:rPr>
        <w:t>T</w:t>
      </w:r>
      <w:r>
        <w:rPr>
          <w:rFonts w:hint="eastAsia" w:ascii="仿宋_GB2312" w:eastAsia="仿宋_GB2312"/>
          <w:b/>
          <w:sz w:val="30"/>
          <w:szCs w:val="30"/>
        </w:rPr>
        <w:t>日处置开始前）</w:t>
      </w:r>
    </w:p>
    <w:p w14:paraId="3E01E5E6">
      <w:pPr>
        <w:spacing w:line="600" w:lineRule="exact"/>
        <w:ind w:firstLine="600" w:firstLineChars="200"/>
        <w:rPr>
          <w:rFonts w:eastAsia="仿宋_GB2312" w:cs="宋体"/>
          <w:sz w:val="30"/>
          <w:szCs w:val="30"/>
        </w:rPr>
      </w:pPr>
      <w:r>
        <w:rPr>
          <w:rFonts w:eastAsia="仿宋_GB2312" w:cs="宋体"/>
          <w:sz w:val="30"/>
          <w:szCs w:val="30"/>
        </w:rPr>
        <w:t>1</w:t>
      </w:r>
      <w:r>
        <w:rPr>
          <w:rFonts w:hint="eastAsia" w:eastAsia="仿宋_GB2312" w:cs="宋体"/>
          <w:sz w:val="30"/>
          <w:szCs w:val="30"/>
        </w:rPr>
        <w:t>）技术设施就绪</w:t>
      </w:r>
    </w:p>
    <w:p w14:paraId="29CD8640">
      <w:pPr>
        <w:spacing w:line="600" w:lineRule="exact"/>
        <w:ind w:firstLine="600" w:firstLineChars="200"/>
        <w:rPr>
          <w:rFonts w:eastAsia="仿宋_GB2312" w:cs="宋体"/>
          <w:sz w:val="30"/>
          <w:szCs w:val="30"/>
        </w:rPr>
      </w:pPr>
      <w:r>
        <w:rPr>
          <w:rFonts w:hint="eastAsia" w:eastAsia="仿宋_GB2312" w:cs="宋体"/>
          <w:sz w:val="30"/>
          <w:szCs w:val="30"/>
        </w:rPr>
        <w:t>处置日前一工作</w:t>
      </w:r>
      <w:r>
        <w:rPr>
          <w:rFonts w:hint="eastAsia" w:ascii="仿宋_GB2312" w:eastAsia="仿宋_GB2312" w:cs="宋体"/>
          <w:sz w:val="30"/>
          <w:szCs w:val="30"/>
        </w:rPr>
        <w:t>日（</w:t>
      </w:r>
      <w:r>
        <w:rPr>
          <w:rFonts w:ascii="仿宋_GB2312" w:eastAsia="仿宋_GB2312" w:cs="宋体"/>
          <w:sz w:val="30"/>
          <w:szCs w:val="30"/>
        </w:rPr>
        <w:t>T-1</w:t>
      </w:r>
      <w:r>
        <w:rPr>
          <w:rFonts w:hint="eastAsia" w:ascii="仿宋_GB2312" w:eastAsia="仿宋_GB2312" w:cs="宋体"/>
          <w:sz w:val="30"/>
          <w:szCs w:val="30"/>
        </w:rPr>
        <w:t>日），本所技术支持人员进入处置场所，检查相关设备，确保设备运行正</w:t>
      </w:r>
      <w:r>
        <w:rPr>
          <w:rFonts w:hint="eastAsia" w:eastAsia="仿宋_GB2312" w:cs="宋体"/>
          <w:sz w:val="30"/>
          <w:szCs w:val="30"/>
        </w:rPr>
        <w:t>常，通讯畅通。</w:t>
      </w:r>
    </w:p>
    <w:p w14:paraId="0C28211A">
      <w:pPr>
        <w:spacing w:line="600" w:lineRule="exact"/>
        <w:ind w:firstLine="600" w:firstLineChars="200"/>
        <w:rPr>
          <w:rFonts w:eastAsia="仿宋_GB2312" w:cs="宋体"/>
          <w:sz w:val="30"/>
          <w:szCs w:val="30"/>
        </w:rPr>
      </w:pPr>
      <w:r>
        <w:rPr>
          <w:rFonts w:hint="eastAsia" w:eastAsia="仿宋_GB2312" w:cs="宋体"/>
          <w:sz w:val="30"/>
          <w:szCs w:val="30"/>
        </w:rPr>
        <w:t>技术支持人员于处置开始前离开处置场所，根据需要和发行人员通知，及时进入处置场所提供技术支持和服务。</w:t>
      </w:r>
    </w:p>
    <w:p w14:paraId="510DBA96">
      <w:pPr>
        <w:spacing w:line="600" w:lineRule="exact"/>
        <w:ind w:firstLine="600" w:firstLineChars="200"/>
        <w:rPr>
          <w:rFonts w:eastAsia="仿宋_GB2312" w:cs="宋体"/>
          <w:sz w:val="30"/>
          <w:szCs w:val="30"/>
        </w:rPr>
      </w:pPr>
      <w:r>
        <w:rPr>
          <w:rFonts w:hint="eastAsia" w:eastAsia="仿宋_GB2312" w:cs="宋体"/>
          <w:sz w:val="30"/>
          <w:szCs w:val="30"/>
        </w:rPr>
        <w:t>2）处置工作人员就绪</w:t>
      </w:r>
    </w:p>
    <w:p w14:paraId="64A5EE6A">
      <w:pPr>
        <w:spacing w:line="600" w:lineRule="exact"/>
        <w:ind w:firstLine="600" w:firstLineChars="200"/>
        <w:rPr>
          <w:rFonts w:eastAsia="仿宋_GB2312" w:cs="宋体"/>
          <w:sz w:val="30"/>
          <w:szCs w:val="30"/>
        </w:rPr>
      </w:pPr>
      <w:r>
        <w:rPr>
          <w:rFonts w:hint="eastAsia" w:eastAsia="仿宋_GB2312" w:cs="宋体"/>
          <w:sz w:val="30"/>
          <w:szCs w:val="30"/>
        </w:rPr>
        <w:t>处置人员到位，办理登记，存放随身携带的通讯工具，于处置开始前登记进入处置场所，熟悉处置场所环境和相关设备使用等，处置期间不得擅自离开。如需与外界沟通相关事项，应使用专用通讯设备对外联系。</w:t>
      </w:r>
    </w:p>
    <w:p w14:paraId="31C72A89">
      <w:pPr>
        <w:spacing w:line="600" w:lineRule="exact"/>
        <w:ind w:firstLine="600" w:firstLineChars="200"/>
        <w:rPr>
          <w:rFonts w:eastAsia="仿宋_GB2312" w:cs="宋体"/>
          <w:sz w:val="30"/>
          <w:szCs w:val="30"/>
        </w:rPr>
      </w:pPr>
      <w:r>
        <w:rPr>
          <w:rFonts w:hint="eastAsia" w:eastAsia="仿宋_GB2312" w:cs="宋体"/>
          <w:sz w:val="30"/>
          <w:szCs w:val="30"/>
        </w:rPr>
        <w:t>3）处置人员发布处置要素</w:t>
      </w:r>
    </w:p>
    <w:p w14:paraId="0A749828">
      <w:pPr>
        <w:spacing w:line="600" w:lineRule="exact"/>
        <w:ind w:firstLine="600" w:firstLineChars="200"/>
        <w:rPr>
          <w:rFonts w:eastAsia="仿宋_GB2312" w:cs="宋体"/>
          <w:sz w:val="30"/>
          <w:szCs w:val="30"/>
        </w:rPr>
      </w:pPr>
      <w:r>
        <w:rPr>
          <w:rFonts w:hint="eastAsia" w:eastAsia="仿宋_GB2312" w:cs="宋体"/>
          <w:sz w:val="30"/>
          <w:szCs w:val="30"/>
        </w:rPr>
        <w:t>本所技术支持人员根据处置方提交的材料提前在处置平台中完成报价团成员设定、处置标书要素录入等工作。由处置人员在处置开始前登录处置平台确认处置标书要素，并通过平台发布。</w:t>
      </w:r>
    </w:p>
    <w:p w14:paraId="7172ED4F">
      <w:pPr>
        <w:spacing w:line="600" w:lineRule="exact"/>
        <w:ind w:firstLine="600" w:firstLineChars="200"/>
        <w:rPr>
          <w:rFonts w:eastAsia="仿宋_GB2312" w:cs="宋体"/>
          <w:sz w:val="30"/>
          <w:szCs w:val="30"/>
        </w:rPr>
      </w:pPr>
      <w:r>
        <w:rPr>
          <w:rFonts w:hint="eastAsia" w:eastAsia="仿宋_GB2312" w:cs="宋体"/>
          <w:sz w:val="30"/>
          <w:szCs w:val="30"/>
        </w:rPr>
        <w:t>4）报价团成员远程登录就绪</w:t>
      </w:r>
    </w:p>
    <w:p w14:paraId="78758696">
      <w:pPr>
        <w:spacing w:line="600" w:lineRule="exact"/>
        <w:ind w:firstLine="600" w:firstLineChars="200"/>
        <w:rPr>
          <w:rFonts w:eastAsia="仿宋_GB2312" w:cs="宋体"/>
          <w:sz w:val="30"/>
          <w:szCs w:val="30"/>
        </w:rPr>
      </w:pPr>
      <w:r>
        <w:rPr>
          <w:rFonts w:hint="eastAsia" w:eastAsia="仿宋_GB2312" w:cs="宋体"/>
          <w:sz w:val="30"/>
          <w:szCs w:val="30"/>
        </w:rPr>
        <w:t>报价团成员在</w:t>
      </w:r>
      <w:r>
        <w:rPr>
          <w:rFonts w:hint="eastAsia" w:ascii="仿宋_GB2312" w:eastAsia="仿宋_GB2312" w:cs="宋体"/>
          <w:sz w:val="30"/>
          <w:szCs w:val="30"/>
        </w:rPr>
        <w:t>处置开始前，使用本所配发的</w:t>
      </w:r>
      <w:r>
        <w:rPr>
          <w:rFonts w:ascii="仿宋_GB2312" w:eastAsia="仿宋_GB2312" w:cs="宋体"/>
          <w:sz w:val="30"/>
          <w:szCs w:val="30"/>
        </w:rPr>
        <w:t>CA</w:t>
      </w:r>
      <w:r>
        <w:rPr>
          <w:rFonts w:hint="eastAsia" w:ascii="仿宋_GB2312" w:eastAsia="仿宋_GB2312" w:cs="宋体"/>
          <w:sz w:val="30"/>
          <w:szCs w:val="30"/>
        </w:rPr>
        <w:t>证书（债券发行系统的</w:t>
      </w:r>
      <w:r>
        <w:rPr>
          <w:rFonts w:ascii="仿宋_GB2312" w:eastAsia="仿宋_GB2312" w:cs="宋体"/>
          <w:sz w:val="30"/>
          <w:szCs w:val="30"/>
        </w:rPr>
        <w:t>EKey</w:t>
      </w:r>
      <w:r>
        <w:rPr>
          <w:rFonts w:hint="eastAsia" w:ascii="仿宋_GB2312" w:eastAsia="仿宋_GB2312" w:cs="宋体"/>
          <w:sz w:val="30"/>
          <w:szCs w:val="30"/>
        </w:rPr>
        <w:t>也可以在担保品处置平台使用）、系统用户名及密码，通过互联网用</w:t>
      </w:r>
      <w:r>
        <w:rPr>
          <w:rFonts w:ascii="仿宋_GB2312" w:eastAsia="仿宋_GB2312" w:cs="宋体"/>
          <w:sz w:val="30"/>
          <w:szCs w:val="30"/>
        </w:rPr>
        <w:t>IE</w:t>
      </w:r>
      <w:r>
        <w:rPr>
          <w:rFonts w:hint="eastAsia" w:ascii="仿宋_GB2312" w:eastAsia="仿宋_GB2312" w:cs="宋体"/>
          <w:sz w:val="30"/>
          <w:szCs w:val="30"/>
        </w:rPr>
        <w:t>浏览器远程登录处置平台，并确认相关登录设备运行正常、通讯畅通</w:t>
      </w:r>
      <w:r>
        <w:rPr>
          <w:rFonts w:hint="eastAsia" w:eastAsia="仿宋_GB2312" w:cs="宋体"/>
          <w:sz w:val="30"/>
          <w:szCs w:val="30"/>
        </w:rPr>
        <w:t>。</w:t>
      </w:r>
    </w:p>
    <w:p w14:paraId="773D0E86">
      <w:pPr>
        <w:spacing w:line="600" w:lineRule="exact"/>
        <w:ind w:firstLine="600" w:firstLineChars="200"/>
        <w:rPr>
          <w:rFonts w:eastAsia="仿宋_GB2312" w:cs="宋体"/>
          <w:sz w:val="30"/>
          <w:szCs w:val="30"/>
        </w:rPr>
      </w:pPr>
      <w:r>
        <w:rPr>
          <w:rFonts w:hint="eastAsia" w:eastAsia="仿宋_GB2312" w:cs="宋体"/>
          <w:sz w:val="30"/>
          <w:szCs w:val="30"/>
        </w:rPr>
        <w:t>担保品处置平台的地址为https://bond.uap.sse.com.cn。</w:t>
      </w:r>
    </w:p>
    <w:p w14:paraId="46487F4E">
      <w:pPr>
        <w:spacing w:line="600" w:lineRule="exact"/>
        <w:ind w:firstLine="600" w:firstLineChars="200"/>
        <w:rPr>
          <w:rFonts w:eastAsia="仿宋_GB2312" w:cs="宋体"/>
          <w:sz w:val="30"/>
          <w:szCs w:val="30"/>
        </w:rPr>
      </w:pPr>
      <w:r>
        <w:rPr>
          <w:rFonts w:hint="eastAsia" w:eastAsia="仿宋_GB2312" w:cs="宋体"/>
          <w:sz w:val="30"/>
          <w:szCs w:val="30"/>
        </w:rPr>
        <w:t>5）上交所制作处置场所相关情况登记表</w:t>
      </w:r>
    </w:p>
    <w:p w14:paraId="066E5CB0">
      <w:pPr>
        <w:spacing w:line="600" w:lineRule="exact"/>
        <w:ind w:firstLine="600" w:firstLineChars="200"/>
        <w:rPr>
          <w:rFonts w:eastAsia="仿宋_GB2312" w:cs="宋体"/>
          <w:sz w:val="30"/>
          <w:szCs w:val="30"/>
        </w:rPr>
      </w:pPr>
      <w:r>
        <w:rPr>
          <w:rFonts w:hint="eastAsia" w:eastAsia="仿宋_GB2312" w:cs="宋体"/>
          <w:sz w:val="30"/>
          <w:szCs w:val="30"/>
        </w:rPr>
        <w:t>本所技术支持人员制作处置场所人员进出登记表、处置场所通讯设备使用情况记录表，置放于处置场所，便利处置方人员填写。</w:t>
      </w:r>
    </w:p>
    <w:p w14:paraId="72B7E739">
      <w:pPr>
        <w:spacing w:line="600" w:lineRule="exact"/>
        <w:ind w:firstLine="602" w:firstLineChars="200"/>
        <w:outlineLvl w:val="3"/>
        <w:rPr>
          <w:rFonts w:ascii="仿宋_GB2312" w:eastAsia="仿宋_GB2312"/>
          <w:b/>
          <w:sz w:val="30"/>
          <w:szCs w:val="30"/>
        </w:rPr>
      </w:pPr>
      <w:r>
        <w:rPr>
          <w:rFonts w:hint="eastAsia" w:ascii="仿宋_GB2312" w:eastAsia="仿宋_GB2312"/>
          <w:b/>
          <w:sz w:val="30"/>
          <w:szCs w:val="30"/>
        </w:rPr>
        <w:t>（</w:t>
      </w:r>
      <w:r>
        <w:rPr>
          <w:rFonts w:ascii="仿宋_GB2312" w:eastAsia="仿宋_GB2312"/>
          <w:b/>
          <w:sz w:val="30"/>
          <w:szCs w:val="30"/>
        </w:rPr>
        <w:t>2</w:t>
      </w:r>
      <w:r>
        <w:rPr>
          <w:rFonts w:hint="eastAsia" w:ascii="仿宋_GB2312" w:eastAsia="仿宋_GB2312"/>
          <w:b/>
          <w:sz w:val="30"/>
          <w:szCs w:val="30"/>
        </w:rPr>
        <w:t>）处置中的工作</w:t>
      </w:r>
    </w:p>
    <w:p w14:paraId="1767F87B">
      <w:pPr>
        <w:spacing w:line="600" w:lineRule="exact"/>
        <w:ind w:firstLine="600" w:firstLineChars="200"/>
        <w:rPr>
          <w:rFonts w:eastAsia="仿宋_GB2312" w:cs="宋体"/>
          <w:sz w:val="30"/>
          <w:szCs w:val="30"/>
        </w:rPr>
      </w:pPr>
      <w:r>
        <w:rPr>
          <w:rFonts w:hint="eastAsia" w:eastAsia="仿宋_GB2312" w:cs="宋体"/>
          <w:sz w:val="30"/>
          <w:szCs w:val="30"/>
        </w:rPr>
        <w:t>1）处置开始和截止</w:t>
      </w:r>
    </w:p>
    <w:p w14:paraId="7D5BE358">
      <w:pPr>
        <w:spacing w:line="600" w:lineRule="exact"/>
        <w:ind w:firstLine="600" w:firstLineChars="200"/>
        <w:rPr>
          <w:rFonts w:eastAsia="仿宋_GB2312" w:cs="宋体"/>
          <w:sz w:val="30"/>
          <w:szCs w:val="30"/>
        </w:rPr>
      </w:pPr>
      <w:r>
        <w:rPr>
          <w:rFonts w:hint="eastAsia" w:eastAsia="仿宋_GB2312" w:cs="宋体"/>
          <w:sz w:val="30"/>
          <w:szCs w:val="30"/>
        </w:rPr>
        <w:t>处置严格按照处置方披露的公告文件确定的处置起始时点开始，至处置截止时点终止。</w:t>
      </w:r>
    </w:p>
    <w:p w14:paraId="315F5346">
      <w:pPr>
        <w:spacing w:line="600" w:lineRule="exact"/>
        <w:ind w:firstLine="600" w:firstLineChars="200"/>
        <w:rPr>
          <w:rFonts w:eastAsia="仿宋_GB2312" w:cs="宋体"/>
          <w:sz w:val="30"/>
          <w:szCs w:val="30"/>
        </w:rPr>
      </w:pPr>
      <w:r>
        <w:rPr>
          <w:rFonts w:hint="eastAsia" w:eastAsia="仿宋_GB2312" w:cs="宋体"/>
          <w:sz w:val="30"/>
          <w:szCs w:val="30"/>
        </w:rPr>
        <w:t>处置平台提供的处置报</w:t>
      </w:r>
      <w:r>
        <w:rPr>
          <w:rFonts w:hint="eastAsia" w:ascii="仿宋_GB2312" w:eastAsia="仿宋_GB2312" w:cs="宋体"/>
          <w:sz w:val="30"/>
          <w:szCs w:val="30"/>
        </w:rPr>
        <w:t>价服务时间原则上为</w:t>
      </w:r>
      <w:r>
        <w:rPr>
          <w:rFonts w:ascii="仿宋_GB2312" w:eastAsia="仿宋_GB2312" w:cs="宋体"/>
          <w:sz w:val="30"/>
          <w:szCs w:val="30"/>
        </w:rPr>
        <w:t>9:30-15:00</w:t>
      </w:r>
      <w:r>
        <w:rPr>
          <w:rFonts w:hint="eastAsia" w:ascii="仿宋_GB2312" w:eastAsia="仿宋_GB2312" w:cs="宋体"/>
          <w:sz w:val="30"/>
          <w:szCs w:val="30"/>
        </w:rPr>
        <w:t>，公告文件确定的处置时间应在上述时间范围内。处置时间内，本所确认处置平台或通讯主干线出现技术故障等影</w:t>
      </w:r>
      <w:r>
        <w:rPr>
          <w:rFonts w:hint="eastAsia" w:eastAsia="仿宋_GB2312" w:cs="宋体"/>
          <w:sz w:val="30"/>
          <w:szCs w:val="30"/>
        </w:rPr>
        <w:t>响报价的，处置方通知报价团成员的联系人、处置操作人员，可以申请延长应急报价时间并及时通过处置平台对外发布。</w:t>
      </w:r>
    </w:p>
    <w:p w14:paraId="1389DB1F">
      <w:pPr>
        <w:spacing w:line="600" w:lineRule="exact"/>
        <w:ind w:firstLine="600" w:firstLineChars="200"/>
        <w:rPr>
          <w:rFonts w:eastAsia="仿宋_GB2312" w:cs="宋体"/>
          <w:sz w:val="30"/>
          <w:szCs w:val="30"/>
        </w:rPr>
      </w:pPr>
      <w:r>
        <w:rPr>
          <w:rFonts w:hint="eastAsia" w:eastAsia="仿宋_GB2312" w:cs="宋体"/>
          <w:sz w:val="30"/>
          <w:szCs w:val="30"/>
        </w:rPr>
        <w:t>2）处置报价</w:t>
      </w:r>
    </w:p>
    <w:p w14:paraId="73116023">
      <w:pPr>
        <w:spacing w:line="600" w:lineRule="exact"/>
        <w:ind w:firstLine="600" w:firstLineChars="200"/>
        <w:rPr>
          <w:rFonts w:eastAsia="仿宋_GB2312" w:cs="宋体"/>
          <w:sz w:val="30"/>
          <w:szCs w:val="30"/>
        </w:rPr>
      </w:pPr>
      <w:r>
        <w:rPr>
          <w:rFonts w:hint="eastAsia" w:eastAsia="仿宋_GB2312" w:cs="宋体"/>
          <w:sz w:val="30"/>
          <w:szCs w:val="30"/>
        </w:rPr>
        <w:t>a. 通过平台报价。报价团成员在处置时间内，通过处置平台进行报价。报价为全价报价，报价面值应介于报价下限与报价上限之间，单笔报价金额应不低于单笔最低报价量。对每期担保品处置，每个报价团成员仅能在一个标位上进行报价。处置期间，通过处置平台的报价可撤销和修改，经修改的报价为新的报价；报价截止后，报价不可撤销和修改。</w:t>
      </w:r>
    </w:p>
    <w:p w14:paraId="7E3AD110">
      <w:pPr>
        <w:spacing w:line="600" w:lineRule="exact"/>
        <w:ind w:firstLine="600" w:firstLineChars="200"/>
        <w:rPr>
          <w:rFonts w:eastAsia="仿宋_GB2312" w:cs="宋体"/>
          <w:sz w:val="30"/>
          <w:szCs w:val="30"/>
        </w:rPr>
      </w:pPr>
      <w:r>
        <w:rPr>
          <w:rFonts w:hint="eastAsia" w:eastAsia="仿宋_GB2312" w:cs="宋体"/>
          <w:sz w:val="30"/>
          <w:szCs w:val="30"/>
        </w:rPr>
        <w:t>晚于报价截止时间的报价为无效报价。</w:t>
      </w:r>
    </w:p>
    <w:p w14:paraId="4447A379">
      <w:pPr>
        <w:spacing w:line="600" w:lineRule="exact"/>
        <w:ind w:firstLine="600" w:firstLineChars="200"/>
        <w:rPr>
          <w:rFonts w:eastAsia="仿宋_GB2312" w:cs="宋体"/>
          <w:sz w:val="30"/>
          <w:szCs w:val="30"/>
        </w:rPr>
      </w:pPr>
      <w:r>
        <w:rPr>
          <w:rFonts w:hint="eastAsia" w:eastAsia="仿宋_GB2312" w:cs="宋体"/>
          <w:sz w:val="30"/>
          <w:szCs w:val="30"/>
        </w:rPr>
        <w:t>b. 应急报价。报价期间，报价团成员远程客户端出现技术故障以及其他不能通过担保品处置平台进行报价的情形时，应当在处置公告确定的报价截止时间</w:t>
      </w:r>
      <w:r>
        <w:rPr>
          <w:rFonts w:hint="eastAsia" w:ascii="仿宋_GB2312" w:eastAsia="仿宋_GB2312" w:cs="宋体"/>
          <w:sz w:val="30"/>
          <w:szCs w:val="30"/>
        </w:rPr>
        <w:t>前，完整、准确填写《债券担保品处置应急报价书》（格式见服务指引的附件</w:t>
      </w:r>
      <w:r>
        <w:rPr>
          <w:rFonts w:ascii="仿宋_GB2312" w:eastAsia="仿宋_GB2312" w:cs="宋体"/>
          <w:sz w:val="30"/>
          <w:szCs w:val="30"/>
        </w:rPr>
        <w:t>6</w:t>
      </w:r>
      <w:r>
        <w:rPr>
          <w:rFonts w:hint="eastAsia" w:ascii="仿宋_GB2312" w:eastAsia="仿宋_GB2312" w:cs="宋体"/>
          <w:sz w:val="30"/>
          <w:szCs w:val="30"/>
        </w:rPr>
        <w:t>）</w:t>
      </w:r>
      <w:r>
        <w:rPr>
          <w:rFonts w:hint="eastAsia" w:eastAsia="仿宋_GB2312" w:cs="宋体"/>
          <w:sz w:val="30"/>
          <w:szCs w:val="30"/>
        </w:rPr>
        <w:t>，并传真到处置场所进行应急报价。</w:t>
      </w:r>
    </w:p>
    <w:p w14:paraId="0F3EDD7F">
      <w:pPr>
        <w:spacing w:line="600" w:lineRule="exact"/>
        <w:ind w:firstLine="600" w:firstLineChars="200"/>
        <w:rPr>
          <w:rFonts w:ascii="仿宋_GB2312" w:eastAsia="仿宋_GB2312" w:cs="宋体"/>
          <w:sz w:val="30"/>
          <w:szCs w:val="30"/>
        </w:rPr>
      </w:pPr>
      <w:r>
        <w:rPr>
          <w:rFonts w:hint="eastAsia" w:eastAsia="仿宋_GB2312" w:cs="宋体"/>
          <w:sz w:val="30"/>
          <w:szCs w:val="30"/>
        </w:rPr>
        <w:t>报价团成员应急报价时，应当及时拨打处置场所专用电话向处置方人员及时报告。处置方人员审阅应急报价标书发现内容不完整、不准确的，应当提示报价团成员进行更正。本所技术支持人员将经处置方人员审阅有效的应急报价数据输入处置平台代为报价。应急报价时间以处置场所收到应急报价标书的时间为准。</w:t>
      </w:r>
    </w:p>
    <w:p w14:paraId="7B6A9BA1">
      <w:pPr>
        <w:spacing w:line="600" w:lineRule="exact"/>
        <w:ind w:firstLine="600" w:firstLineChars="200"/>
        <w:rPr>
          <w:rFonts w:eastAsia="仿宋_GB2312" w:cs="宋体"/>
          <w:sz w:val="30"/>
          <w:szCs w:val="30"/>
        </w:rPr>
      </w:pPr>
      <w:r>
        <w:rPr>
          <w:rFonts w:hint="eastAsia" w:eastAsia="仿宋_GB2312" w:cs="宋体"/>
          <w:sz w:val="30"/>
          <w:szCs w:val="30"/>
        </w:rPr>
        <w:t>报价团成员通过处置平台报价、又进行应急报价，或进行多次应急报价的，以最后一次有效报价为准。除处置方通知延长应急报价时间外，晚于报价截止时间的应急报价为无效报价。</w:t>
      </w:r>
    </w:p>
    <w:p w14:paraId="662DFE0E">
      <w:pPr>
        <w:spacing w:line="600" w:lineRule="exact"/>
        <w:ind w:firstLine="602" w:firstLineChars="200"/>
        <w:outlineLvl w:val="3"/>
        <w:rPr>
          <w:rFonts w:ascii="仿宋_GB2312" w:eastAsia="仿宋_GB2312"/>
          <w:b/>
          <w:sz w:val="30"/>
          <w:szCs w:val="30"/>
        </w:rPr>
      </w:pPr>
      <w:r>
        <w:rPr>
          <w:rFonts w:hint="eastAsia" w:ascii="仿宋_GB2312" w:eastAsia="仿宋_GB2312"/>
          <w:b/>
          <w:sz w:val="30"/>
          <w:szCs w:val="30"/>
        </w:rPr>
        <w:t>（</w:t>
      </w:r>
      <w:r>
        <w:rPr>
          <w:rFonts w:ascii="仿宋_GB2312" w:eastAsia="仿宋_GB2312"/>
          <w:b/>
          <w:sz w:val="30"/>
          <w:szCs w:val="30"/>
        </w:rPr>
        <w:t>3</w:t>
      </w:r>
      <w:r>
        <w:rPr>
          <w:rFonts w:hint="eastAsia" w:ascii="仿宋_GB2312" w:eastAsia="仿宋_GB2312"/>
          <w:b/>
          <w:sz w:val="30"/>
          <w:szCs w:val="30"/>
        </w:rPr>
        <w:t>）处置结果产生及发送</w:t>
      </w:r>
    </w:p>
    <w:p w14:paraId="31F250AB">
      <w:pPr>
        <w:spacing w:line="600" w:lineRule="exact"/>
        <w:ind w:firstLine="600" w:firstLineChars="200"/>
        <w:rPr>
          <w:rFonts w:eastAsia="仿宋_GB2312" w:cs="宋体"/>
          <w:sz w:val="30"/>
          <w:szCs w:val="30"/>
        </w:rPr>
      </w:pPr>
      <w:r>
        <w:rPr>
          <w:rFonts w:hint="eastAsia" w:eastAsia="仿宋_GB2312" w:cs="宋体"/>
          <w:sz w:val="30"/>
          <w:szCs w:val="30"/>
        </w:rPr>
        <w:t>1）处置结果产生</w:t>
      </w:r>
    </w:p>
    <w:p w14:paraId="0E6CEE43">
      <w:pPr>
        <w:spacing w:line="600" w:lineRule="exact"/>
        <w:ind w:firstLine="600" w:firstLineChars="200"/>
        <w:rPr>
          <w:rFonts w:eastAsia="仿宋_GB2312" w:cs="宋体"/>
          <w:sz w:val="30"/>
          <w:szCs w:val="30"/>
        </w:rPr>
      </w:pPr>
      <w:r>
        <w:rPr>
          <w:rFonts w:hint="eastAsia" w:eastAsia="仿宋_GB2312" w:cs="宋体"/>
          <w:sz w:val="30"/>
          <w:szCs w:val="30"/>
        </w:rPr>
        <w:t>处置截止时间后，处置平台对有效报价，按照处置方披露的公告文件指定的处置方式、中标原则进行处理，产生处置结果。</w:t>
      </w:r>
    </w:p>
    <w:p w14:paraId="093FD654">
      <w:pPr>
        <w:spacing w:line="600" w:lineRule="exact"/>
        <w:ind w:firstLine="600" w:firstLineChars="200"/>
        <w:rPr>
          <w:rFonts w:eastAsia="仿宋_GB2312" w:cs="宋体"/>
          <w:sz w:val="30"/>
          <w:szCs w:val="30"/>
        </w:rPr>
      </w:pPr>
      <w:r>
        <w:rPr>
          <w:rFonts w:hint="eastAsia" w:eastAsia="仿宋_GB2312" w:cs="宋体"/>
          <w:sz w:val="30"/>
          <w:szCs w:val="30"/>
        </w:rPr>
        <w:t>本所技术支持人员将处置结果提交处置方现场负责人。经处置方现场负责人签字确认后生效。处置方、出质人及报价团成员应认可处置结果。处置结果产生后不可撤销。</w:t>
      </w:r>
    </w:p>
    <w:p w14:paraId="375CC90A">
      <w:pPr>
        <w:spacing w:line="600" w:lineRule="exact"/>
        <w:ind w:firstLine="600" w:firstLineChars="200"/>
        <w:rPr>
          <w:rFonts w:eastAsia="仿宋_GB2312" w:cs="宋体"/>
          <w:sz w:val="30"/>
          <w:szCs w:val="30"/>
        </w:rPr>
      </w:pPr>
      <w:r>
        <w:rPr>
          <w:rFonts w:hint="eastAsia" w:eastAsia="仿宋_GB2312" w:cs="宋体"/>
          <w:sz w:val="30"/>
          <w:szCs w:val="30"/>
        </w:rPr>
        <w:t>2）处置结果发送</w:t>
      </w:r>
    </w:p>
    <w:p w14:paraId="693EB3ED">
      <w:pPr>
        <w:spacing w:line="600" w:lineRule="exact"/>
        <w:ind w:firstLine="600" w:firstLineChars="200"/>
        <w:rPr>
          <w:rFonts w:eastAsia="仿宋_GB2312" w:cs="宋体"/>
          <w:sz w:val="30"/>
          <w:szCs w:val="30"/>
        </w:rPr>
      </w:pPr>
      <w:r>
        <w:rPr>
          <w:rFonts w:hint="eastAsia" w:eastAsia="仿宋_GB2312" w:cs="宋体"/>
          <w:sz w:val="30"/>
          <w:szCs w:val="30"/>
        </w:rPr>
        <w:t>处置结果生效后，处置方通过处置平台向参与处置报价的报价团成员发送处置结果。</w:t>
      </w:r>
    </w:p>
    <w:p w14:paraId="4FC62728">
      <w:pPr>
        <w:spacing w:line="600" w:lineRule="exact"/>
        <w:ind w:firstLine="600" w:firstLineChars="200"/>
        <w:rPr>
          <w:rFonts w:eastAsia="仿宋_GB2312" w:cs="宋体"/>
          <w:sz w:val="30"/>
          <w:szCs w:val="30"/>
        </w:rPr>
      </w:pPr>
      <w:r>
        <w:rPr>
          <w:rFonts w:hint="eastAsia" w:eastAsia="仿宋_GB2312" w:cs="宋体"/>
          <w:sz w:val="30"/>
          <w:szCs w:val="30"/>
        </w:rPr>
        <w:t>3）处置情况和结果数据查询</w:t>
      </w:r>
    </w:p>
    <w:p w14:paraId="526AC063">
      <w:pPr>
        <w:spacing w:line="600" w:lineRule="exact"/>
        <w:ind w:firstLine="600" w:firstLineChars="200"/>
        <w:rPr>
          <w:rFonts w:eastAsia="仿宋_GB2312" w:cs="宋体"/>
          <w:sz w:val="30"/>
          <w:szCs w:val="30"/>
        </w:rPr>
      </w:pPr>
      <w:r>
        <w:rPr>
          <w:rFonts w:hint="eastAsia" w:eastAsia="仿宋_GB2312" w:cs="宋体"/>
          <w:sz w:val="30"/>
          <w:szCs w:val="30"/>
        </w:rPr>
        <w:t>处置结束后，处置方可以通过处置平台查询、打印和导出报价团成员的报价量、中标量等数据。</w:t>
      </w:r>
    </w:p>
    <w:p w14:paraId="50BE4695">
      <w:pPr>
        <w:spacing w:line="600" w:lineRule="exact"/>
        <w:ind w:firstLine="600" w:firstLineChars="200"/>
        <w:rPr>
          <w:rFonts w:eastAsia="仿宋_GB2312" w:cs="宋体"/>
          <w:sz w:val="30"/>
          <w:szCs w:val="30"/>
        </w:rPr>
      </w:pPr>
      <w:r>
        <w:rPr>
          <w:rFonts w:hint="eastAsia" w:eastAsia="仿宋_GB2312" w:cs="宋体"/>
          <w:sz w:val="30"/>
          <w:szCs w:val="30"/>
        </w:rPr>
        <w:t>报价团成员可以通过处置平台查询、打印或者导出自身的中标结果。</w:t>
      </w:r>
    </w:p>
    <w:p w14:paraId="6AAAFB5B">
      <w:pPr>
        <w:spacing w:line="600" w:lineRule="exact"/>
        <w:ind w:firstLine="602" w:firstLineChars="200"/>
        <w:outlineLvl w:val="3"/>
        <w:rPr>
          <w:rFonts w:ascii="仿宋_GB2312" w:eastAsia="仿宋_GB2312"/>
          <w:b/>
          <w:sz w:val="30"/>
          <w:szCs w:val="30"/>
        </w:rPr>
      </w:pPr>
      <w:r>
        <w:rPr>
          <w:rFonts w:hint="eastAsia" w:ascii="仿宋_GB2312" w:eastAsia="仿宋_GB2312"/>
          <w:b/>
          <w:sz w:val="30"/>
          <w:szCs w:val="30"/>
        </w:rPr>
        <w:t>（</w:t>
      </w:r>
      <w:r>
        <w:rPr>
          <w:rFonts w:ascii="仿宋_GB2312" w:eastAsia="仿宋_GB2312"/>
          <w:b/>
          <w:sz w:val="30"/>
          <w:szCs w:val="30"/>
        </w:rPr>
        <w:t>4</w:t>
      </w:r>
      <w:r>
        <w:rPr>
          <w:rFonts w:hint="eastAsia" w:ascii="仿宋_GB2312" w:eastAsia="仿宋_GB2312"/>
          <w:b/>
          <w:sz w:val="30"/>
          <w:szCs w:val="30"/>
        </w:rPr>
        <w:t>）发布处置结果</w:t>
      </w:r>
    </w:p>
    <w:p w14:paraId="0D44C625">
      <w:pPr>
        <w:spacing w:line="600" w:lineRule="exact"/>
        <w:ind w:firstLine="600" w:firstLineChars="200"/>
        <w:rPr>
          <w:rFonts w:eastAsia="仿宋_GB2312" w:cs="宋体"/>
          <w:sz w:val="30"/>
          <w:szCs w:val="30"/>
        </w:rPr>
      </w:pPr>
      <w:r>
        <w:rPr>
          <w:rFonts w:hint="eastAsia" w:eastAsia="仿宋_GB2312" w:cs="宋体"/>
          <w:sz w:val="30"/>
          <w:szCs w:val="30"/>
        </w:rPr>
        <w:t>处置结束后，处置方</w:t>
      </w:r>
      <w:r>
        <w:rPr>
          <w:rFonts w:hint="eastAsia" w:ascii="仿宋_GB2312" w:eastAsia="仿宋_GB2312" w:cs="宋体"/>
          <w:sz w:val="30"/>
          <w:szCs w:val="30"/>
        </w:rPr>
        <w:t>在处置日（一般于处置日</w:t>
      </w:r>
      <w:r>
        <w:rPr>
          <w:rFonts w:ascii="仿宋_GB2312" w:eastAsia="仿宋_GB2312" w:cs="宋体"/>
          <w:sz w:val="30"/>
          <w:szCs w:val="30"/>
        </w:rPr>
        <w:t>17</w:t>
      </w:r>
      <w:r>
        <w:rPr>
          <w:rFonts w:hint="eastAsia" w:ascii="仿宋_GB2312" w:eastAsia="仿宋_GB2312" w:cs="宋体"/>
          <w:sz w:val="30"/>
          <w:szCs w:val="30"/>
        </w:rPr>
        <w:t>：</w:t>
      </w:r>
      <w:r>
        <w:rPr>
          <w:rFonts w:ascii="仿宋_GB2312" w:eastAsia="仿宋_GB2312" w:cs="宋体"/>
          <w:sz w:val="30"/>
          <w:szCs w:val="30"/>
        </w:rPr>
        <w:t>00</w:t>
      </w:r>
      <w:r>
        <w:rPr>
          <w:rFonts w:hint="eastAsia" w:ascii="仿宋_GB2312" w:eastAsia="仿宋_GB2312" w:cs="宋体"/>
          <w:sz w:val="30"/>
          <w:szCs w:val="30"/>
        </w:rPr>
        <w:t>前）通过本所处置平台披露处置结果公告（格式见附件41</w:t>
      </w:r>
      <w:r>
        <w:rPr>
          <w:rFonts w:hint="eastAsia" w:eastAsia="仿宋_GB2312" w:cs="宋体"/>
          <w:sz w:val="30"/>
          <w:szCs w:val="30"/>
        </w:rPr>
        <w:t>）。</w:t>
      </w:r>
    </w:p>
    <w:p w14:paraId="6BD69451">
      <w:pPr>
        <w:spacing w:line="600" w:lineRule="exact"/>
        <w:ind w:firstLine="602" w:firstLineChars="200"/>
        <w:outlineLvl w:val="3"/>
        <w:rPr>
          <w:rFonts w:ascii="仿宋_GB2312" w:eastAsia="仿宋_GB2312"/>
          <w:b/>
          <w:sz w:val="30"/>
          <w:szCs w:val="30"/>
        </w:rPr>
      </w:pPr>
      <w:r>
        <w:rPr>
          <w:rFonts w:hint="eastAsia" w:ascii="仿宋_GB2312" w:eastAsia="仿宋_GB2312"/>
          <w:b/>
          <w:sz w:val="30"/>
          <w:szCs w:val="30"/>
        </w:rPr>
        <w:t>（</w:t>
      </w:r>
      <w:r>
        <w:rPr>
          <w:rFonts w:ascii="仿宋_GB2312" w:eastAsia="仿宋_GB2312"/>
          <w:b/>
          <w:sz w:val="30"/>
          <w:szCs w:val="30"/>
        </w:rPr>
        <w:t>5</w:t>
      </w:r>
      <w:r>
        <w:rPr>
          <w:rFonts w:hint="eastAsia" w:ascii="仿宋_GB2312" w:eastAsia="仿宋_GB2312"/>
          <w:b/>
          <w:sz w:val="30"/>
          <w:szCs w:val="30"/>
        </w:rPr>
        <w:t>）填写托管信息</w:t>
      </w:r>
    </w:p>
    <w:p w14:paraId="06EF270F">
      <w:pPr>
        <w:spacing w:line="600" w:lineRule="exact"/>
        <w:ind w:firstLine="600" w:firstLineChars="200"/>
        <w:rPr>
          <w:rFonts w:eastAsia="仿宋_GB2312" w:cs="宋体"/>
          <w:sz w:val="30"/>
          <w:szCs w:val="30"/>
        </w:rPr>
      </w:pPr>
      <w:r>
        <w:rPr>
          <w:rFonts w:hint="eastAsia" w:eastAsia="仿宋_GB2312" w:cs="宋体"/>
          <w:sz w:val="30"/>
          <w:szCs w:val="30"/>
        </w:rPr>
        <w:t>处置结束后，中标的报价团成员应在处置日通过本所处置平台填写中标债券的托管信息。托管信息包括证券账户及每只债券的托管量。每个中标的报价团成员可将中标的债券分别托管指定多个证券账户下，但多个证券账户的债券托管量合计应等于本次中标量。指定的证券账户可以是自营账户、经纪客户的账户或者本公司作为管理人的资管产品账户。采取资产包模式的，可将资产包包含的债券拆开托管在不同账户下。</w:t>
      </w:r>
    </w:p>
    <w:p w14:paraId="7869B08E">
      <w:pPr>
        <w:numPr>
          <w:ilvl w:val="2"/>
          <w:numId w:val="4"/>
        </w:numPr>
        <w:spacing w:line="600" w:lineRule="exact"/>
        <w:ind w:left="0" w:firstLine="0"/>
        <w:outlineLvl w:val="2"/>
        <w:rPr>
          <w:rFonts w:eastAsia="仿宋_GB2312" w:cs="宋体"/>
          <w:b/>
          <w:bCs/>
          <w:sz w:val="30"/>
          <w:szCs w:val="30"/>
        </w:rPr>
      </w:pPr>
      <w:r>
        <w:rPr>
          <w:rFonts w:hint="eastAsia" w:eastAsia="仿宋_GB2312" w:cs="宋体"/>
          <w:b/>
          <w:bCs/>
          <w:sz w:val="30"/>
          <w:szCs w:val="30"/>
        </w:rPr>
        <w:t>缴款和债券过户</w:t>
      </w:r>
    </w:p>
    <w:p w14:paraId="76A3A243">
      <w:pPr>
        <w:spacing w:line="600" w:lineRule="exact"/>
        <w:ind w:firstLine="602" w:firstLineChars="200"/>
        <w:outlineLvl w:val="3"/>
        <w:rPr>
          <w:rFonts w:ascii="仿宋_GB2312" w:eastAsia="仿宋_GB2312"/>
          <w:b/>
          <w:sz w:val="30"/>
          <w:szCs w:val="30"/>
        </w:rPr>
      </w:pPr>
      <w:r>
        <w:rPr>
          <w:rFonts w:hint="eastAsia" w:ascii="仿宋_GB2312" w:eastAsia="仿宋_GB2312"/>
          <w:b/>
          <w:sz w:val="30"/>
          <w:szCs w:val="30"/>
        </w:rPr>
        <w:t>（</w:t>
      </w:r>
      <w:r>
        <w:rPr>
          <w:rFonts w:ascii="仿宋_GB2312" w:eastAsia="仿宋_GB2312"/>
          <w:b/>
          <w:sz w:val="30"/>
          <w:szCs w:val="30"/>
        </w:rPr>
        <w:t>1</w:t>
      </w:r>
      <w:r>
        <w:rPr>
          <w:rFonts w:hint="eastAsia" w:ascii="仿宋_GB2312" w:eastAsia="仿宋_GB2312"/>
          <w:b/>
          <w:sz w:val="30"/>
          <w:szCs w:val="30"/>
        </w:rPr>
        <w:t>）缴款</w:t>
      </w:r>
    </w:p>
    <w:p w14:paraId="010F1204">
      <w:pPr>
        <w:spacing w:line="600" w:lineRule="exact"/>
        <w:ind w:firstLine="600" w:firstLineChars="200"/>
        <w:rPr>
          <w:rFonts w:eastAsia="仿宋_GB2312" w:cs="宋体"/>
          <w:sz w:val="30"/>
          <w:szCs w:val="30"/>
        </w:rPr>
      </w:pPr>
      <w:r>
        <w:rPr>
          <w:rFonts w:hint="eastAsia" w:eastAsia="仿宋_GB2312" w:cs="宋体"/>
          <w:sz w:val="30"/>
          <w:szCs w:val="30"/>
        </w:rPr>
        <w:t>担保品处置完成后，中标的报价团成员应当根据处置方公告的缴款时间安排和相关约定及时履行缴款义务。</w:t>
      </w:r>
    </w:p>
    <w:p w14:paraId="3D50E6CA">
      <w:pPr>
        <w:spacing w:line="600" w:lineRule="exact"/>
        <w:ind w:firstLine="600" w:firstLineChars="200"/>
        <w:rPr>
          <w:rFonts w:eastAsia="仿宋_GB2312" w:cs="宋体"/>
          <w:sz w:val="30"/>
          <w:szCs w:val="30"/>
        </w:rPr>
      </w:pPr>
      <w:r>
        <w:rPr>
          <w:rFonts w:hint="eastAsia" w:eastAsia="仿宋_GB2312" w:cs="宋体"/>
          <w:sz w:val="30"/>
          <w:szCs w:val="30"/>
        </w:rPr>
        <w:t>中标报价团成员和处置方通过场外方式完成缴款。中标报价团成员应根据处置平台生成的处置结果于缴款截止日之前将其认购款项全额划入处置方在处置公告中指定的银行账户中。缴款截止日期及缴款账户以处置方公告的内容为准。</w:t>
      </w:r>
    </w:p>
    <w:p w14:paraId="0C7F5043">
      <w:pPr>
        <w:spacing w:line="600" w:lineRule="exact"/>
        <w:ind w:firstLine="600" w:firstLineChars="200"/>
        <w:rPr>
          <w:rFonts w:eastAsia="仿宋_GB2312" w:cs="宋体"/>
          <w:sz w:val="30"/>
          <w:szCs w:val="30"/>
        </w:rPr>
      </w:pPr>
      <w:r>
        <w:rPr>
          <w:rFonts w:hint="eastAsia" w:eastAsia="仿宋_GB2312" w:cs="宋体"/>
          <w:sz w:val="30"/>
          <w:szCs w:val="30"/>
        </w:rPr>
        <w:t>处置方在缴</w:t>
      </w:r>
      <w:r>
        <w:rPr>
          <w:rFonts w:hint="eastAsia" w:ascii="仿宋_GB2312" w:eastAsia="仿宋_GB2312" w:cs="宋体"/>
          <w:sz w:val="30"/>
          <w:szCs w:val="30"/>
        </w:rPr>
        <w:t>款截止后应当确认资金到账情况，并在缴款截止日的下一个交易日</w:t>
      </w:r>
      <w:r>
        <w:rPr>
          <w:rFonts w:ascii="仿宋_GB2312" w:eastAsia="仿宋_GB2312" w:cs="宋体"/>
          <w:sz w:val="30"/>
          <w:szCs w:val="30"/>
        </w:rPr>
        <w:t>12:00</w:t>
      </w:r>
      <w:r>
        <w:rPr>
          <w:rFonts w:hint="eastAsia" w:ascii="仿宋_GB2312" w:eastAsia="仿宋_GB2312" w:cs="宋体"/>
          <w:sz w:val="30"/>
          <w:szCs w:val="30"/>
        </w:rPr>
        <w:t>之前以邮件方式向本所提交资金到账确认书（格式见服务指引的附件</w:t>
      </w:r>
      <w:r>
        <w:rPr>
          <w:rFonts w:ascii="仿宋_GB2312" w:eastAsia="仿宋_GB2312" w:cs="宋体"/>
          <w:sz w:val="30"/>
          <w:szCs w:val="30"/>
        </w:rPr>
        <w:t>7</w:t>
      </w:r>
      <w:r>
        <w:rPr>
          <w:rFonts w:hint="eastAsia" w:ascii="仿宋_GB2312" w:eastAsia="仿宋_GB2312" w:cs="宋体"/>
          <w:sz w:val="30"/>
          <w:szCs w:val="30"/>
        </w:rPr>
        <w:t>）。邮件标题格式为“</w:t>
      </w:r>
      <w:r>
        <w:rPr>
          <w:rFonts w:ascii="仿宋_GB2312" w:eastAsia="仿宋_GB2312" w:cs="宋体"/>
          <w:sz w:val="30"/>
          <w:szCs w:val="30"/>
        </w:rPr>
        <w:t xml:space="preserve">XX </w:t>
      </w:r>
      <w:r>
        <w:rPr>
          <w:rFonts w:hint="eastAsia" w:ascii="仿宋_GB2312" w:eastAsia="仿宋_GB2312" w:cs="宋体"/>
          <w:sz w:val="30"/>
          <w:szCs w:val="30"/>
        </w:rPr>
        <w:t>公司参与</w:t>
      </w:r>
      <w:r>
        <w:rPr>
          <w:rFonts w:ascii="仿宋_GB2312" w:eastAsia="仿宋_GB2312" w:cs="宋体"/>
          <w:sz w:val="30"/>
          <w:szCs w:val="30"/>
        </w:rPr>
        <w:t xml:space="preserve">XX </w:t>
      </w:r>
      <w:r>
        <w:rPr>
          <w:rFonts w:hint="eastAsia" w:ascii="仿宋_GB2312" w:eastAsia="仿宋_GB2312" w:cs="宋体"/>
          <w:sz w:val="30"/>
          <w:szCs w:val="30"/>
        </w:rPr>
        <w:t>公司</w:t>
      </w:r>
      <w:r>
        <w:rPr>
          <w:rFonts w:ascii="仿宋_GB2312" w:eastAsia="仿宋_GB2312" w:cs="宋体"/>
          <w:sz w:val="30"/>
          <w:szCs w:val="30"/>
        </w:rPr>
        <w:t xml:space="preserve"> XX </w:t>
      </w:r>
      <w:r>
        <w:rPr>
          <w:rFonts w:hint="eastAsia" w:ascii="仿宋_GB2312" w:eastAsia="仿宋_GB2312" w:cs="宋体"/>
          <w:sz w:val="30"/>
          <w:szCs w:val="30"/>
        </w:rPr>
        <w:t>年（</w:t>
      </w:r>
      <w:r>
        <w:rPr>
          <w:rFonts w:ascii="仿宋_GB2312" w:eastAsia="仿宋_GB2312" w:cs="宋体"/>
          <w:sz w:val="30"/>
          <w:szCs w:val="30"/>
        </w:rPr>
        <w:t>X</w:t>
      </w:r>
      <w:r>
        <w:rPr>
          <w:rFonts w:hint="eastAsia" w:ascii="仿宋_GB2312" w:eastAsia="仿宋_GB2312" w:cs="宋体"/>
          <w:sz w:val="30"/>
          <w:szCs w:val="30"/>
        </w:rPr>
        <w:t>）期担保品</w:t>
      </w:r>
      <w:r>
        <w:rPr>
          <w:rFonts w:hint="eastAsia" w:eastAsia="仿宋_GB2312" w:cs="宋体"/>
          <w:sz w:val="30"/>
          <w:szCs w:val="30"/>
        </w:rPr>
        <w:t>处置的资金到账确认书”。发送后，经办人员应向本所债券担保品处置服务联系人确认。</w:t>
      </w:r>
    </w:p>
    <w:p w14:paraId="409115E3">
      <w:pPr>
        <w:spacing w:line="600" w:lineRule="exact"/>
        <w:ind w:firstLine="602" w:firstLineChars="200"/>
        <w:outlineLvl w:val="3"/>
        <w:rPr>
          <w:rFonts w:ascii="仿宋_GB2312" w:eastAsia="仿宋_GB2312"/>
          <w:b/>
          <w:sz w:val="30"/>
          <w:szCs w:val="30"/>
        </w:rPr>
      </w:pPr>
      <w:r>
        <w:rPr>
          <w:rFonts w:hint="eastAsia" w:ascii="仿宋_GB2312" w:eastAsia="仿宋_GB2312"/>
          <w:b/>
          <w:sz w:val="30"/>
          <w:szCs w:val="30"/>
        </w:rPr>
        <w:t>（</w:t>
      </w:r>
      <w:r>
        <w:rPr>
          <w:rFonts w:ascii="仿宋_GB2312" w:eastAsia="仿宋_GB2312"/>
          <w:b/>
          <w:sz w:val="30"/>
          <w:szCs w:val="30"/>
        </w:rPr>
        <w:t>2</w:t>
      </w:r>
      <w:r>
        <w:rPr>
          <w:rFonts w:hint="eastAsia" w:ascii="仿宋_GB2312" w:eastAsia="仿宋_GB2312"/>
          <w:b/>
          <w:sz w:val="30"/>
          <w:szCs w:val="30"/>
        </w:rPr>
        <w:t>）债券过户</w:t>
      </w:r>
    </w:p>
    <w:p w14:paraId="771EE556">
      <w:pPr>
        <w:spacing w:line="600" w:lineRule="exact"/>
        <w:ind w:firstLine="600" w:firstLineChars="200"/>
        <w:rPr>
          <w:rFonts w:eastAsia="仿宋_GB2312" w:cs="宋体"/>
          <w:sz w:val="30"/>
          <w:szCs w:val="30"/>
        </w:rPr>
      </w:pPr>
      <w:r>
        <w:rPr>
          <w:rFonts w:hint="eastAsia" w:eastAsia="仿宋_GB2312" w:cs="宋体"/>
          <w:sz w:val="30"/>
          <w:szCs w:val="30"/>
        </w:rPr>
        <w:t>本所依据处置方提交的资金到账确认书后向债券登记结算机构发送债券过户数据，由债券登记结算机构按相关规则办理债券过户。具体流程如下：</w:t>
      </w:r>
    </w:p>
    <w:p w14:paraId="35B2ABCE">
      <w:pPr>
        <w:spacing w:line="600" w:lineRule="exact"/>
        <w:ind w:firstLine="600" w:firstLineChars="200"/>
        <w:rPr>
          <w:rFonts w:eastAsia="仿宋_GB2312" w:cs="宋体"/>
          <w:sz w:val="30"/>
          <w:szCs w:val="30"/>
        </w:rPr>
      </w:pPr>
      <w:r>
        <w:rPr>
          <w:rFonts w:hint="eastAsia" w:eastAsia="仿宋_GB2312" w:cs="宋体"/>
          <w:sz w:val="30"/>
          <w:szCs w:val="30"/>
        </w:rPr>
        <w:t>本所在收到处置方提交的资金到账确认书</w:t>
      </w:r>
      <w:r>
        <w:rPr>
          <w:rFonts w:hint="eastAsia" w:ascii="仿宋_GB2312" w:eastAsia="仿宋_GB2312" w:cs="宋体"/>
          <w:sz w:val="30"/>
          <w:szCs w:val="30"/>
        </w:rPr>
        <w:t>的</w:t>
      </w:r>
      <w:r>
        <w:rPr>
          <w:rFonts w:ascii="仿宋_GB2312" w:eastAsia="仿宋_GB2312" w:cs="宋体"/>
          <w:sz w:val="30"/>
          <w:szCs w:val="30"/>
        </w:rPr>
        <w:t>15</w:t>
      </w:r>
      <w:r>
        <w:rPr>
          <w:rFonts w:hint="eastAsia" w:ascii="仿宋_GB2312" w:eastAsia="仿宋_GB2312" w:cs="宋体"/>
          <w:sz w:val="30"/>
          <w:szCs w:val="30"/>
        </w:rPr>
        <w:t>：</w:t>
      </w:r>
      <w:r>
        <w:rPr>
          <w:rFonts w:ascii="仿宋_GB2312" w:eastAsia="仿宋_GB2312" w:cs="宋体"/>
          <w:sz w:val="30"/>
          <w:szCs w:val="30"/>
        </w:rPr>
        <w:t>00</w:t>
      </w:r>
      <w:r>
        <w:rPr>
          <w:rFonts w:hint="eastAsia" w:ascii="仿宋_GB2312" w:eastAsia="仿宋_GB2312" w:cs="宋体"/>
          <w:sz w:val="30"/>
          <w:szCs w:val="30"/>
        </w:rPr>
        <w:t>前，将资金到账信息录入担保品处置平台，通过担保品处置平台向</w:t>
      </w:r>
      <w:r>
        <w:rPr>
          <w:rFonts w:hint="eastAsia" w:eastAsia="仿宋_GB2312" w:cs="宋体"/>
          <w:sz w:val="30"/>
          <w:szCs w:val="30"/>
        </w:rPr>
        <w:t>债券登记结算机构发送债券过户数据，债券登记结算机构于当日日终办理债券过户。过户后的下一个交易日，处置债券可以进行交易或转让。</w:t>
      </w:r>
    </w:p>
    <w:p w14:paraId="40E3781E">
      <w:pPr>
        <w:numPr>
          <w:ilvl w:val="0"/>
          <w:numId w:val="4"/>
        </w:numPr>
        <w:outlineLvl w:val="0"/>
        <w:rPr>
          <w:b/>
          <w:sz w:val="36"/>
        </w:rPr>
      </w:pPr>
      <w:bookmarkStart w:id="2403" w:name="_Toc56166293"/>
      <w:bookmarkStart w:id="2404" w:name="_Toc24459967"/>
      <w:bookmarkStart w:id="2405" w:name="_Toc19542086"/>
      <w:bookmarkStart w:id="2406" w:name="_Toc34763061"/>
      <w:bookmarkStart w:id="2407" w:name="_Toc56166104"/>
      <w:bookmarkStart w:id="2408" w:name="_Toc16497830"/>
      <w:r>
        <w:rPr>
          <w:b/>
          <w:sz w:val="36"/>
        </w:rPr>
        <w:br w:type="page"/>
      </w:r>
      <w:bookmarkStart w:id="2409" w:name="_Toc151137054"/>
      <w:bookmarkStart w:id="2410" w:name="_Toc293671115"/>
      <w:bookmarkStart w:id="2411" w:name="_Toc283259917"/>
      <w:bookmarkStart w:id="2412" w:name="_Toc1276248589"/>
      <w:bookmarkStart w:id="2413" w:name="_Toc146766709"/>
      <w:r>
        <w:rPr>
          <w:rFonts w:hint="eastAsia" w:ascii="黑体" w:hAnsi="黑体" w:eastAsia="黑体" w:cs="黑体"/>
          <w:b/>
          <w:sz w:val="36"/>
        </w:rPr>
        <w:t>非交易类服务</w:t>
      </w:r>
      <w:bookmarkEnd w:id="2403"/>
      <w:bookmarkEnd w:id="2404"/>
      <w:bookmarkEnd w:id="2405"/>
      <w:bookmarkEnd w:id="2406"/>
      <w:bookmarkEnd w:id="2407"/>
      <w:bookmarkEnd w:id="2408"/>
      <w:bookmarkEnd w:id="2409"/>
      <w:bookmarkEnd w:id="2410"/>
      <w:bookmarkEnd w:id="2411"/>
      <w:bookmarkEnd w:id="2412"/>
      <w:bookmarkEnd w:id="2413"/>
    </w:p>
    <w:p w14:paraId="64DD6F01">
      <w:pPr>
        <w:spacing w:line="600" w:lineRule="exact"/>
        <w:ind w:firstLine="600" w:firstLineChars="200"/>
        <w:rPr>
          <w:rFonts w:ascii="仿宋_GB2312" w:hAnsi="Calibri" w:eastAsia="仿宋_GB2312"/>
          <w:sz w:val="30"/>
          <w:szCs w:val="30"/>
        </w:rPr>
      </w:pPr>
      <w:r>
        <w:rPr>
          <w:rFonts w:hint="eastAsia" w:ascii="仿宋_GB2312" w:hAnsi="仿宋" w:eastAsia="仿宋_GB2312"/>
          <w:sz w:val="30"/>
          <w:szCs w:val="30"/>
        </w:rPr>
        <w:t>本指南所称非交易服务，包括债券分期偿还、回售及其转售、转股、换股、转托管、质押券出入库业务等，质押券出</w:t>
      </w:r>
      <w:r>
        <w:rPr>
          <w:rFonts w:hint="eastAsia" w:ascii="仿宋_GB2312" w:hAnsi="Calibri" w:eastAsia="仿宋_GB2312"/>
          <w:sz w:val="30"/>
          <w:szCs w:val="30"/>
        </w:rPr>
        <w:t>入库业务具体规定详见本指南第7章。各项业务实施系统平台详见下表：</w:t>
      </w:r>
    </w:p>
    <w:tbl>
      <w:tblPr>
        <w:tblStyle w:val="43"/>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77"/>
        <w:gridCol w:w="4111"/>
      </w:tblGrid>
      <w:tr w14:paraId="3CF6E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977" w:type="dxa"/>
          </w:tcPr>
          <w:p w14:paraId="15B22BD6">
            <w:pPr>
              <w:rPr>
                <w:rFonts w:ascii="Calibri" w:hAnsi="Calibri" w:eastAsia="仿宋_GB2312"/>
                <w:b/>
                <w:sz w:val="24"/>
                <w:szCs w:val="24"/>
              </w:rPr>
            </w:pPr>
            <w:r>
              <w:rPr>
                <w:rFonts w:hint="eastAsia" w:ascii="Calibri" w:hAnsi="Calibri" w:eastAsia="仿宋_GB2312"/>
                <w:b/>
                <w:sz w:val="24"/>
                <w:szCs w:val="24"/>
              </w:rPr>
              <w:t>非交易业务类型</w:t>
            </w:r>
          </w:p>
        </w:tc>
        <w:tc>
          <w:tcPr>
            <w:tcW w:w="4111" w:type="dxa"/>
          </w:tcPr>
          <w:p w14:paraId="2D2278BA">
            <w:pPr>
              <w:rPr>
                <w:rFonts w:ascii="Calibri" w:hAnsi="Calibri" w:eastAsia="仿宋_GB2312"/>
                <w:b/>
                <w:sz w:val="24"/>
                <w:szCs w:val="24"/>
              </w:rPr>
            </w:pPr>
            <w:r>
              <w:rPr>
                <w:rFonts w:hint="eastAsia" w:ascii="Calibri" w:hAnsi="Calibri" w:eastAsia="仿宋_GB2312"/>
                <w:b/>
                <w:sz w:val="24"/>
                <w:szCs w:val="24"/>
              </w:rPr>
              <w:t>实施系统平台</w:t>
            </w:r>
          </w:p>
        </w:tc>
      </w:tr>
      <w:tr w14:paraId="12C9B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977" w:type="dxa"/>
          </w:tcPr>
          <w:p w14:paraId="27807ED3">
            <w:pPr>
              <w:rPr>
                <w:rFonts w:ascii="Calibri" w:hAnsi="Calibri" w:eastAsia="仿宋_GB2312"/>
                <w:b/>
                <w:sz w:val="24"/>
                <w:szCs w:val="24"/>
              </w:rPr>
            </w:pPr>
            <w:r>
              <w:rPr>
                <w:rFonts w:hint="eastAsia" w:ascii="Calibri" w:hAnsi="Calibri" w:eastAsia="仿宋_GB2312"/>
                <w:b/>
                <w:sz w:val="24"/>
                <w:szCs w:val="24"/>
              </w:rPr>
              <w:t>出入库</w:t>
            </w:r>
          </w:p>
        </w:tc>
        <w:tc>
          <w:tcPr>
            <w:tcW w:w="4111" w:type="dxa"/>
          </w:tcPr>
          <w:p w14:paraId="56825B02">
            <w:pPr>
              <w:rPr>
                <w:rFonts w:ascii="Calibri" w:hAnsi="Calibri" w:eastAsia="仿宋_GB2312"/>
                <w:sz w:val="24"/>
                <w:szCs w:val="24"/>
              </w:rPr>
            </w:pPr>
            <w:r>
              <w:rPr>
                <w:rFonts w:hint="eastAsia" w:ascii="Calibri" w:hAnsi="Calibri" w:eastAsia="仿宋_GB2312"/>
                <w:sz w:val="24"/>
                <w:szCs w:val="24"/>
              </w:rPr>
              <w:t>综合业务平台</w:t>
            </w:r>
          </w:p>
        </w:tc>
      </w:tr>
      <w:tr w14:paraId="02D4D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977" w:type="dxa"/>
          </w:tcPr>
          <w:p w14:paraId="4071565C">
            <w:pPr>
              <w:rPr>
                <w:rFonts w:ascii="Calibri" w:hAnsi="Calibri" w:eastAsia="仿宋_GB2312"/>
                <w:b/>
                <w:sz w:val="24"/>
                <w:szCs w:val="24"/>
              </w:rPr>
            </w:pPr>
            <w:r>
              <w:rPr>
                <w:rFonts w:hint="eastAsia" w:ascii="Calibri" w:hAnsi="Calibri" w:eastAsia="仿宋_GB2312"/>
                <w:b/>
                <w:sz w:val="24"/>
                <w:szCs w:val="24"/>
              </w:rPr>
              <w:t>回售</w:t>
            </w:r>
          </w:p>
        </w:tc>
        <w:tc>
          <w:tcPr>
            <w:tcW w:w="4111" w:type="dxa"/>
          </w:tcPr>
          <w:p w14:paraId="1533AA4E">
            <w:pPr>
              <w:rPr>
                <w:rFonts w:ascii="Calibri" w:hAnsi="Calibri" w:eastAsia="仿宋_GB2312"/>
                <w:sz w:val="24"/>
                <w:szCs w:val="24"/>
              </w:rPr>
            </w:pPr>
            <w:r>
              <w:rPr>
                <w:rFonts w:hint="eastAsia" w:ascii="Calibri" w:hAnsi="Calibri" w:eastAsia="仿宋_GB2312"/>
                <w:sz w:val="24"/>
                <w:szCs w:val="24"/>
              </w:rPr>
              <w:t>综合业务平台、固收平台</w:t>
            </w:r>
          </w:p>
        </w:tc>
      </w:tr>
      <w:tr w14:paraId="358FD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977" w:type="dxa"/>
          </w:tcPr>
          <w:p w14:paraId="4BB82A4E">
            <w:pPr>
              <w:rPr>
                <w:rFonts w:ascii="Calibri" w:hAnsi="Calibri" w:eastAsia="仿宋_GB2312"/>
                <w:b/>
                <w:sz w:val="24"/>
                <w:szCs w:val="24"/>
              </w:rPr>
            </w:pPr>
            <w:r>
              <w:rPr>
                <w:rFonts w:hint="eastAsia" w:ascii="Calibri" w:hAnsi="Calibri" w:eastAsia="仿宋_GB2312"/>
                <w:b/>
                <w:sz w:val="24"/>
                <w:szCs w:val="24"/>
              </w:rPr>
              <w:t>回售撤销</w:t>
            </w:r>
          </w:p>
        </w:tc>
        <w:tc>
          <w:tcPr>
            <w:tcW w:w="4111" w:type="dxa"/>
          </w:tcPr>
          <w:p w14:paraId="464854FE">
            <w:pPr>
              <w:rPr>
                <w:rFonts w:ascii="Calibri" w:hAnsi="Calibri" w:eastAsia="仿宋_GB2312"/>
                <w:sz w:val="24"/>
                <w:szCs w:val="24"/>
              </w:rPr>
            </w:pPr>
            <w:r>
              <w:rPr>
                <w:rFonts w:hint="eastAsia" w:ascii="Calibri" w:hAnsi="Calibri" w:eastAsia="仿宋_GB2312"/>
                <w:sz w:val="24"/>
                <w:szCs w:val="24"/>
              </w:rPr>
              <w:t>固收</w:t>
            </w:r>
            <w:r>
              <w:rPr>
                <w:rFonts w:ascii="Calibri" w:hAnsi="Calibri" w:eastAsia="仿宋_GB2312"/>
                <w:sz w:val="24"/>
                <w:szCs w:val="24"/>
              </w:rPr>
              <w:t>平台</w:t>
            </w:r>
          </w:p>
        </w:tc>
      </w:tr>
      <w:tr w14:paraId="11528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977" w:type="dxa"/>
          </w:tcPr>
          <w:p w14:paraId="3279C49E">
            <w:pPr>
              <w:rPr>
                <w:rFonts w:ascii="Calibri" w:hAnsi="Calibri" w:eastAsia="仿宋_GB2312"/>
                <w:b/>
                <w:sz w:val="24"/>
                <w:szCs w:val="24"/>
              </w:rPr>
            </w:pPr>
            <w:r>
              <w:rPr>
                <w:rFonts w:hint="eastAsia" w:ascii="Calibri" w:hAnsi="Calibri" w:eastAsia="仿宋_GB2312"/>
                <w:b/>
                <w:sz w:val="24"/>
                <w:szCs w:val="24"/>
              </w:rPr>
              <w:t>公募可转债转股</w:t>
            </w:r>
          </w:p>
        </w:tc>
        <w:tc>
          <w:tcPr>
            <w:tcW w:w="4111" w:type="dxa"/>
          </w:tcPr>
          <w:p w14:paraId="7D7E73C8">
            <w:pPr>
              <w:rPr>
                <w:rFonts w:ascii="Calibri" w:hAnsi="Calibri" w:eastAsia="仿宋_GB2312"/>
                <w:sz w:val="24"/>
                <w:szCs w:val="24"/>
              </w:rPr>
            </w:pPr>
            <w:r>
              <w:rPr>
                <w:rFonts w:hint="eastAsia" w:ascii="Calibri" w:hAnsi="Calibri" w:eastAsia="仿宋_GB2312"/>
                <w:sz w:val="24"/>
                <w:szCs w:val="24"/>
              </w:rPr>
              <w:t>综合业务平台</w:t>
            </w:r>
          </w:p>
        </w:tc>
      </w:tr>
      <w:tr w14:paraId="33C32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977" w:type="dxa"/>
          </w:tcPr>
          <w:p w14:paraId="5C4E4DAB">
            <w:pPr>
              <w:rPr>
                <w:rFonts w:ascii="Calibri" w:hAnsi="Calibri" w:eastAsia="仿宋_GB2312"/>
                <w:b/>
                <w:sz w:val="24"/>
                <w:szCs w:val="24"/>
              </w:rPr>
            </w:pPr>
            <w:r>
              <w:rPr>
                <w:rFonts w:hint="eastAsia" w:ascii="Calibri" w:hAnsi="Calibri" w:eastAsia="仿宋_GB2312"/>
                <w:b/>
                <w:sz w:val="24"/>
                <w:szCs w:val="24"/>
              </w:rPr>
              <w:t>私募可转债转股</w:t>
            </w:r>
          </w:p>
        </w:tc>
        <w:tc>
          <w:tcPr>
            <w:tcW w:w="4111" w:type="dxa"/>
          </w:tcPr>
          <w:p w14:paraId="0CC60D55">
            <w:pPr>
              <w:rPr>
                <w:rFonts w:ascii="Calibri" w:hAnsi="Calibri" w:eastAsia="仿宋_GB2312"/>
                <w:sz w:val="24"/>
                <w:szCs w:val="24"/>
              </w:rPr>
            </w:pPr>
            <w:r>
              <w:rPr>
                <w:rFonts w:hint="eastAsia" w:ascii="Calibri" w:hAnsi="Calibri" w:eastAsia="仿宋_GB2312"/>
                <w:sz w:val="24"/>
                <w:szCs w:val="24"/>
              </w:rPr>
              <w:t>固收平台</w:t>
            </w:r>
          </w:p>
        </w:tc>
      </w:tr>
      <w:tr w14:paraId="28BBF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977" w:type="dxa"/>
          </w:tcPr>
          <w:p w14:paraId="1E69370B">
            <w:pPr>
              <w:rPr>
                <w:rFonts w:ascii="Calibri" w:hAnsi="Calibri" w:eastAsia="仿宋_GB2312"/>
                <w:b/>
                <w:sz w:val="24"/>
                <w:szCs w:val="24"/>
              </w:rPr>
            </w:pPr>
            <w:r>
              <w:rPr>
                <w:rFonts w:hint="eastAsia" w:ascii="Calibri" w:hAnsi="Calibri" w:eastAsia="仿宋_GB2312"/>
                <w:b/>
                <w:sz w:val="24"/>
                <w:szCs w:val="24"/>
              </w:rPr>
              <w:t>公募可交债换股</w:t>
            </w:r>
          </w:p>
        </w:tc>
        <w:tc>
          <w:tcPr>
            <w:tcW w:w="4111" w:type="dxa"/>
          </w:tcPr>
          <w:p w14:paraId="3BFF9B0B">
            <w:pPr>
              <w:rPr>
                <w:rFonts w:ascii="Calibri" w:hAnsi="Calibri" w:eastAsia="仿宋_GB2312"/>
                <w:sz w:val="24"/>
                <w:szCs w:val="24"/>
              </w:rPr>
            </w:pPr>
            <w:r>
              <w:rPr>
                <w:rFonts w:hint="eastAsia" w:ascii="Calibri" w:hAnsi="Calibri" w:eastAsia="仿宋_GB2312"/>
                <w:sz w:val="24"/>
                <w:szCs w:val="24"/>
              </w:rPr>
              <w:t>综合业务平台</w:t>
            </w:r>
          </w:p>
        </w:tc>
      </w:tr>
      <w:tr w14:paraId="2AE99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2977" w:type="dxa"/>
          </w:tcPr>
          <w:p w14:paraId="5C8DED30">
            <w:pPr>
              <w:rPr>
                <w:rFonts w:ascii="Calibri" w:hAnsi="Calibri" w:eastAsia="仿宋_GB2312"/>
                <w:b/>
                <w:sz w:val="24"/>
                <w:szCs w:val="24"/>
              </w:rPr>
            </w:pPr>
            <w:r>
              <w:rPr>
                <w:rFonts w:hint="eastAsia" w:ascii="Calibri" w:hAnsi="Calibri" w:eastAsia="仿宋_GB2312"/>
                <w:b/>
                <w:sz w:val="24"/>
                <w:szCs w:val="24"/>
              </w:rPr>
              <w:t>私募可交债换股</w:t>
            </w:r>
          </w:p>
        </w:tc>
        <w:tc>
          <w:tcPr>
            <w:tcW w:w="4111" w:type="dxa"/>
          </w:tcPr>
          <w:p w14:paraId="76F6798F">
            <w:pPr>
              <w:rPr>
                <w:rFonts w:ascii="Calibri" w:hAnsi="Calibri" w:eastAsia="仿宋_GB2312"/>
                <w:sz w:val="24"/>
                <w:szCs w:val="24"/>
              </w:rPr>
            </w:pPr>
            <w:r>
              <w:rPr>
                <w:rFonts w:hint="eastAsia" w:ascii="Calibri" w:hAnsi="Calibri" w:eastAsia="仿宋_GB2312"/>
                <w:sz w:val="24"/>
                <w:szCs w:val="24"/>
              </w:rPr>
              <w:t>固收平台</w:t>
            </w:r>
          </w:p>
        </w:tc>
      </w:tr>
      <w:tr w14:paraId="6B3FC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977" w:type="dxa"/>
          </w:tcPr>
          <w:p w14:paraId="4A44F214">
            <w:pPr>
              <w:rPr>
                <w:rFonts w:ascii="Calibri" w:hAnsi="Calibri" w:eastAsia="仿宋_GB2312"/>
                <w:b/>
                <w:sz w:val="24"/>
                <w:szCs w:val="24"/>
              </w:rPr>
            </w:pPr>
            <w:r>
              <w:rPr>
                <w:rFonts w:hint="eastAsia" w:ascii="Calibri" w:hAnsi="Calibri" w:eastAsia="仿宋_GB2312"/>
                <w:b/>
                <w:sz w:val="24"/>
                <w:szCs w:val="24"/>
              </w:rPr>
              <w:t>转托管</w:t>
            </w:r>
          </w:p>
        </w:tc>
        <w:tc>
          <w:tcPr>
            <w:tcW w:w="4111" w:type="dxa"/>
          </w:tcPr>
          <w:p w14:paraId="4AEA3A27">
            <w:pPr>
              <w:rPr>
                <w:rFonts w:ascii="Calibri" w:hAnsi="Calibri" w:eastAsia="仿宋_GB2312"/>
                <w:sz w:val="24"/>
                <w:szCs w:val="24"/>
              </w:rPr>
            </w:pPr>
            <w:r>
              <w:rPr>
                <w:rFonts w:hint="eastAsia" w:ascii="Calibri" w:hAnsi="Calibri" w:eastAsia="仿宋_GB2312"/>
                <w:sz w:val="24"/>
                <w:szCs w:val="24"/>
              </w:rPr>
              <w:t>固收平台</w:t>
            </w:r>
          </w:p>
        </w:tc>
      </w:tr>
    </w:tbl>
    <w:p w14:paraId="0DBA0BB5">
      <w:pPr>
        <w:numPr>
          <w:ilvl w:val="1"/>
          <w:numId w:val="4"/>
        </w:numPr>
        <w:spacing w:line="600" w:lineRule="exact"/>
        <w:ind w:left="0" w:firstLine="0"/>
        <w:outlineLvl w:val="1"/>
        <w:rPr>
          <w:rFonts w:ascii="仿宋_GB2312" w:eastAsia="仿宋_GB2312"/>
          <w:b/>
          <w:sz w:val="30"/>
          <w:szCs w:val="30"/>
        </w:rPr>
      </w:pPr>
      <w:bookmarkStart w:id="2414" w:name="_Toc56166294"/>
      <w:bookmarkStart w:id="2415" w:name="_Toc952091279"/>
      <w:bookmarkStart w:id="2416" w:name="_Toc907303749"/>
      <w:bookmarkStart w:id="2417" w:name="_Toc1467755992"/>
      <w:bookmarkStart w:id="2418" w:name="_Toc151137055"/>
      <w:bookmarkStart w:id="2419" w:name="_Toc19542087"/>
      <w:bookmarkStart w:id="2420" w:name="_Toc56166105"/>
      <w:bookmarkStart w:id="2421" w:name="_Toc16497831"/>
      <w:bookmarkStart w:id="2422" w:name="_Toc24459968"/>
      <w:bookmarkStart w:id="2423" w:name="_Toc939549762"/>
      <w:bookmarkStart w:id="2424" w:name="_Toc34763062"/>
      <w:r>
        <w:rPr>
          <w:rFonts w:hint="eastAsia" w:ascii="仿宋_GB2312" w:eastAsia="仿宋_GB2312"/>
          <w:b/>
          <w:sz w:val="30"/>
          <w:szCs w:val="30"/>
        </w:rPr>
        <w:t>分期偿还</w:t>
      </w:r>
      <w:bookmarkEnd w:id="2414"/>
      <w:bookmarkEnd w:id="2415"/>
      <w:bookmarkEnd w:id="2416"/>
      <w:bookmarkEnd w:id="2417"/>
      <w:bookmarkEnd w:id="2418"/>
      <w:bookmarkEnd w:id="2419"/>
      <w:bookmarkEnd w:id="2420"/>
      <w:bookmarkEnd w:id="2421"/>
      <w:bookmarkEnd w:id="2422"/>
      <w:bookmarkEnd w:id="2423"/>
      <w:bookmarkEnd w:id="2424"/>
    </w:p>
    <w:p w14:paraId="68C8D53F">
      <w:pPr>
        <w:numPr>
          <w:ilvl w:val="2"/>
          <w:numId w:val="4"/>
        </w:numPr>
        <w:spacing w:line="600" w:lineRule="exact"/>
        <w:ind w:left="0" w:firstLine="0"/>
        <w:outlineLvl w:val="2"/>
        <w:rPr>
          <w:rFonts w:ascii="仿宋_GB2312" w:hAnsi="Calibri" w:eastAsia="仿宋_GB2312"/>
          <w:b/>
          <w:bCs/>
          <w:sz w:val="30"/>
          <w:szCs w:val="30"/>
        </w:rPr>
      </w:pPr>
      <w:r>
        <w:rPr>
          <w:rFonts w:hint="eastAsia" w:ascii="Calibri" w:hAnsi="Calibri" w:eastAsia="仿宋_GB2312"/>
          <w:b/>
          <w:bCs/>
          <w:sz w:val="30"/>
          <w:szCs w:val="30"/>
        </w:rPr>
        <w:t>分期偿还定义</w:t>
      </w:r>
    </w:p>
    <w:p w14:paraId="20E89C49">
      <w:pPr>
        <w:spacing w:line="600" w:lineRule="exact"/>
        <w:ind w:firstLine="600" w:firstLineChars="200"/>
        <w:rPr>
          <w:rFonts w:ascii="仿宋_GB2312" w:hAnsi="Calibri" w:eastAsia="仿宋_GB2312"/>
          <w:sz w:val="30"/>
          <w:szCs w:val="30"/>
        </w:rPr>
      </w:pPr>
      <w:r>
        <w:rPr>
          <w:rFonts w:hint="eastAsia" w:ascii="Calibri" w:hAnsi="Calibri" w:eastAsia="仿宋_GB2312"/>
          <w:sz w:val="30"/>
          <w:szCs w:val="30"/>
        </w:rPr>
        <w:t>债券分期偿还是指债券发行人根据发行文件约定分期偿还债券本金。</w:t>
      </w:r>
      <w:r>
        <w:rPr>
          <w:rFonts w:hint="eastAsia" w:ascii="仿宋_GB2312" w:hAnsi="Calibri" w:eastAsia="仿宋_GB2312"/>
          <w:sz w:val="30"/>
          <w:szCs w:val="30"/>
        </w:rPr>
        <w:t>债券分期偿还可采用减少面额、减少持仓或本所认可的其他方式办理。</w:t>
      </w:r>
    </w:p>
    <w:p w14:paraId="06272CA5">
      <w:pPr>
        <w:numPr>
          <w:ilvl w:val="2"/>
          <w:numId w:val="4"/>
        </w:numPr>
        <w:spacing w:line="600" w:lineRule="exact"/>
        <w:ind w:left="0" w:firstLine="0"/>
        <w:outlineLvl w:val="2"/>
        <w:rPr>
          <w:rFonts w:ascii="Calibri" w:hAnsi="Calibri" w:eastAsia="仿宋_GB2312"/>
          <w:b/>
          <w:sz w:val="30"/>
          <w:szCs w:val="30"/>
        </w:rPr>
      </w:pPr>
      <w:r>
        <w:rPr>
          <w:rFonts w:hint="eastAsia" w:ascii="Calibri" w:hAnsi="Calibri" w:eastAsia="仿宋_GB2312"/>
          <w:b/>
          <w:sz w:val="30"/>
          <w:szCs w:val="30"/>
        </w:rPr>
        <w:t>减</w:t>
      </w:r>
      <w:r>
        <w:rPr>
          <w:rFonts w:hint="eastAsia" w:ascii="仿宋_GB2312" w:eastAsia="仿宋_GB2312"/>
          <w:b/>
          <w:sz w:val="30"/>
          <w:szCs w:val="30"/>
        </w:rPr>
        <w:t>面额</w:t>
      </w:r>
      <w:r>
        <w:rPr>
          <w:rFonts w:hint="eastAsia" w:ascii="Calibri" w:hAnsi="Calibri" w:eastAsia="仿宋_GB2312"/>
          <w:b/>
          <w:sz w:val="30"/>
          <w:szCs w:val="30"/>
        </w:rPr>
        <w:t>方式</w:t>
      </w:r>
    </w:p>
    <w:p w14:paraId="1FD22F73">
      <w:pPr>
        <w:spacing w:line="600" w:lineRule="exact"/>
        <w:ind w:firstLine="600" w:firstLineChars="200"/>
        <w:rPr>
          <w:rFonts w:ascii="Calibri" w:hAnsi="Calibri" w:eastAsia="仿宋_GB2312"/>
          <w:sz w:val="30"/>
          <w:szCs w:val="30"/>
        </w:rPr>
      </w:pPr>
      <w:r>
        <w:rPr>
          <w:rFonts w:hint="eastAsia" w:ascii="Calibri" w:hAnsi="Calibri" w:eastAsia="仿宋_GB2312"/>
          <w:sz w:val="30"/>
          <w:szCs w:val="30"/>
        </w:rPr>
        <w:t>债券分期偿还采取减少面额的方式，按照以下规定办理：</w:t>
      </w:r>
    </w:p>
    <w:p w14:paraId="4B1CFE29">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（1）债券持仓数量保持不变，债券面额根据已偿还比例相应减少。面额计算公式为：减少后的面额</w:t>
      </w:r>
      <w:r>
        <w:rPr>
          <w:rFonts w:ascii="仿宋_GB2312" w:hAnsi="宋体" w:eastAsia="仿宋_GB2312"/>
          <w:sz w:val="30"/>
          <w:szCs w:val="30"/>
        </w:rPr>
        <w:t>=发行</w:t>
      </w:r>
      <w:r>
        <w:rPr>
          <w:rFonts w:hint="eastAsia" w:ascii="仿宋_GB2312" w:hAnsi="宋体" w:eastAsia="仿宋_GB2312"/>
          <w:sz w:val="30"/>
          <w:szCs w:val="30"/>
        </w:rPr>
        <w:t>面额×未偿还比例。</w:t>
      </w:r>
    </w:p>
    <w:p w14:paraId="780E531D">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（2）债券交易申报价格采用“减少后的面额所对应债券的价格”。</w:t>
      </w:r>
    </w:p>
    <w:p w14:paraId="3D1F7844">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（3）本所在权益登记日次一交易日作除权处理。</w:t>
      </w:r>
      <w:r>
        <w:rPr>
          <w:rFonts w:hint="eastAsia" w:ascii="仿宋_GB2312" w:hAnsi="Calibri" w:eastAsia="仿宋_GB2312"/>
          <w:color w:val="000000"/>
          <w:sz w:val="30"/>
          <w:szCs w:val="30"/>
        </w:rPr>
        <w:t>除权日即时行情中显示的该债券的前收盘价为除权参考价。</w:t>
      </w:r>
      <w:r>
        <w:rPr>
          <w:rFonts w:hint="eastAsia" w:ascii="仿宋_GB2312" w:hAnsi="宋体" w:eastAsia="仿宋_GB2312"/>
          <w:sz w:val="30"/>
          <w:szCs w:val="30"/>
        </w:rPr>
        <w:t>除权参考价格的计算公式为：除权参考价格</w:t>
      </w:r>
      <w:r>
        <w:rPr>
          <w:rFonts w:ascii="仿宋_GB2312" w:hAnsi="宋体" w:eastAsia="仿宋_GB2312"/>
          <w:sz w:val="30"/>
          <w:szCs w:val="30"/>
        </w:rPr>
        <w:t>=前收盘价格-100元×本次偿还比例。</w:t>
      </w:r>
      <w:r>
        <w:rPr>
          <w:rFonts w:hint="eastAsia" w:ascii="仿宋_GB2312" w:hAnsi="宋体" w:eastAsia="仿宋_GB2312"/>
          <w:sz w:val="30"/>
          <w:szCs w:val="30"/>
        </w:rPr>
        <w:t>若计算出的除权参考价为负值，则本所不进行除权处理，即除权参考价格=分期偿还日前一日的收盘价。</w:t>
      </w:r>
    </w:p>
    <w:p w14:paraId="334B177B">
      <w:pPr>
        <w:numPr>
          <w:ilvl w:val="2"/>
          <w:numId w:val="4"/>
        </w:numPr>
        <w:spacing w:line="600" w:lineRule="exact"/>
        <w:ind w:left="0" w:firstLine="0"/>
        <w:outlineLvl w:val="2"/>
        <w:rPr>
          <w:rFonts w:ascii="仿宋_GB2312" w:hAnsi="宋体" w:eastAsia="仿宋_GB2312"/>
          <w:b/>
          <w:sz w:val="30"/>
          <w:szCs w:val="30"/>
        </w:rPr>
      </w:pPr>
      <w:r>
        <w:rPr>
          <w:rFonts w:hint="eastAsia" w:ascii="仿宋_GB2312" w:hAnsi="宋体" w:eastAsia="仿宋_GB2312"/>
          <w:b/>
          <w:sz w:val="30"/>
          <w:szCs w:val="30"/>
        </w:rPr>
        <w:t>减持仓方式</w:t>
      </w:r>
    </w:p>
    <w:p w14:paraId="6011B0A5">
      <w:pPr>
        <w:spacing w:line="600" w:lineRule="exact"/>
        <w:ind w:firstLine="600" w:firstLineChars="200"/>
        <w:rPr>
          <w:rFonts w:ascii="仿宋_GB2312" w:hAnsi="宋体" w:eastAsia="仿宋_GB2312"/>
          <w:sz w:val="30"/>
          <w:szCs w:val="30"/>
        </w:rPr>
      </w:pPr>
      <w:r>
        <w:rPr>
          <w:rFonts w:ascii="仿宋_GB2312" w:hAnsi="宋体" w:eastAsia="仿宋_GB2312"/>
          <w:sz w:val="30"/>
          <w:szCs w:val="30"/>
        </w:rPr>
        <w:t>债券分期偿采取减少持仓</w:t>
      </w:r>
      <w:r>
        <w:rPr>
          <w:rFonts w:hint="eastAsia" w:ascii="仿宋_GB2312" w:hAnsi="宋体" w:eastAsia="仿宋_GB2312"/>
          <w:sz w:val="30"/>
          <w:szCs w:val="30"/>
        </w:rPr>
        <w:t>方式的，债券面额保持不变，债券持仓数量根据已偿还比例相应减少。由此产生的不足</w:t>
      </w:r>
      <w:r>
        <w:rPr>
          <w:rFonts w:ascii="仿宋_GB2312" w:hAnsi="宋体" w:eastAsia="仿宋_GB2312"/>
          <w:sz w:val="30"/>
          <w:szCs w:val="30"/>
        </w:rPr>
        <w:t>1000元</w:t>
      </w:r>
      <w:r>
        <w:rPr>
          <w:rFonts w:hint="eastAsia" w:ascii="仿宋_GB2312" w:hAnsi="宋体" w:eastAsia="仿宋_GB2312"/>
          <w:sz w:val="30"/>
          <w:szCs w:val="30"/>
        </w:rPr>
        <w:t>面额债券，应当予以全部偿还。</w:t>
      </w:r>
    </w:p>
    <w:p w14:paraId="5AE7AF8B">
      <w:pPr>
        <w:numPr>
          <w:ilvl w:val="2"/>
          <w:numId w:val="4"/>
        </w:numPr>
        <w:spacing w:line="600" w:lineRule="exact"/>
        <w:ind w:left="0" w:firstLine="0"/>
        <w:outlineLvl w:val="2"/>
        <w:rPr>
          <w:rFonts w:ascii="仿宋_GB2312" w:hAnsi="Calibri" w:eastAsia="仿宋_GB2312"/>
          <w:b/>
          <w:sz w:val="30"/>
          <w:szCs w:val="30"/>
        </w:rPr>
      </w:pPr>
      <w:r>
        <w:rPr>
          <w:rFonts w:hint="eastAsia" w:ascii="仿宋_GB2312" w:hAnsi="宋体" w:eastAsia="仿宋_GB2312"/>
          <w:b/>
          <w:sz w:val="30"/>
          <w:szCs w:val="30"/>
        </w:rPr>
        <w:t>信息披露</w:t>
      </w:r>
    </w:p>
    <w:p w14:paraId="5A1E96C5">
      <w:pPr>
        <w:spacing w:line="600" w:lineRule="exact"/>
        <w:ind w:firstLine="600" w:firstLineChars="200"/>
        <w:rPr>
          <w:rFonts w:ascii="仿宋_GB2312" w:hAnsi="Calibri" w:eastAsia="仿宋_GB2312"/>
          <w:sz w:val="30"/>
          <w:szCs w:val="30"/>
        </w:rPr>
      </w:pPr>
      <w:r>
        <w:rPr>
          <w:rFonts w:hint="eastAsia" w:ascii="仿宋_GB2312" w:hAnsi="宋体" w:eastAsia="仿宋_GB2312"/>
          <w:sz w:val="30"/>
          <w:szCs w:val="30"/>
        </w:rPr>
        <w:t>债券投资者可通过本所官网、债券信息网等本所信息披露平台查看</w:t>
      </w:r>
      <w:r>
        <w:rPr>
          <w:rFonts w:hint="eastAsia" w:ascii="仿宋_GB2312" w:hAnsi="Calibri" w:eastAsia="仿宋_GB2312"/>
          <w:sz w:val="30"/>
          <w:szCs w:val="30"/>
        </w:rPr>
        <w:t>下列信息披露文件与信息：</w:t>
      </w:r>
    </w:p>
    <w:p w14:paraId="266D7842">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w:t>
      </w:r>
      <w:r>
        <w:rPr>
          <w:rFonts w:ascii="仿宋_GB2312" w:hAnsi="宋体" w:eastAsia="仿宋_GB2312"/>
          <w:sz w:val="30"/>
          <w:szCs w:val="30"/>
        </w:rPr>
        <w:t>1）</w:t>
      </w:r>
      <w:r>
        <w:rPr>
          <w:rFonts w:hint="eastAsia" w:ascii="Calibri" w:hAnsi="Calibri" w:eastAsia="仿宋_GB2312"/>
          <w:sz w:val="30"/>
          <w:szCs w:val="30"/>
        </w:rPr>
        <w:t>分期偿还本金公告。发行人</w:t>
      </w:r>
      <w:r>
        <w:rPr>
          <w:rFonts w:hint="eastAsia" w:ascii="仿宋_GB2312" w:hAnsi="Calibri" w:eastAsia="仿宋_GB2312"/>
          <w:sz w:val="30"/>
          <w:szCs w:val="30"/>
        </w:rPr>
        <w:t>提前5个交易日披露</w:t>
      </w:r>
      <w:r>
        <w:rPr>
          <w:rFonts w:hint="eastAsia" w:ascii="仿宋_GB2312" w:hAnsi="宋体" w:eastAsia="仿宋_GB2312"/>
          <w:sz w:val="30"/>
          <w:szCs w:val="30"/>
        </w:rPr>
        <w:t>分期偿还本金公告</w:t>
      </w:r>
      <w:r>
        <w:rPr>
          <w:rFonts w:hint="eastAsia" w:ascii="仿宋_GB2312" w:hAnsi="Calibri" w:eastAsia="仿宋_GB2312"/>
          <w:sz w:val="30"/>
          <w:szCs w:val="30"/>
        </w:rPr>
        <w:t>，具体披露信息包括</w:t>
      </w:r>
      <w:r>
        <w:rPr>
          <w:rFonts w:hint="eastAsia" w:ascii="仿宋_GB2312" w:hAnsi="宋体" w:eastAsia="仿宋_GB2312"/>
          <w:sz w:val="30"/>
          <w:szCs w:val="30"/>
        </w:rPr>
        <w:t>本期债券基本情况及债权登记日、债券面额变更情况、开盘参考价调整方式等。</w:t>
      </w:r>
    </w:p>
    <w:p w14:paraId="323655B1">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w:t>
      </w:r>
      <w:r>
        <w:rPr>
          <w:rFonts w:ascii="仿宋_GB2312" w:hAnsi="宋体" w:eastAsia="仿宋_GB2312"/>
          <w:sz w:val="30"/>
          <w:szCs w:val="30"/>
        </w:rPr>
        <w:t>2）</w:t>
      </w:r>
      <w:r>
        <w:rPr>
          <w:rFonts w:hint="eastAsia" w:ascii="仿宋_GB2312" w:hAnsi="Calibri" w:eastAsia="仿宋_GB2312"/>
          <w:sz w:val="30"/>
          <w:szCs w:val="30"/>
        </w:rPr>
        <w:t>债券分期偿还提示性公告。</w:t>
      </w:r>
      <w:r>
        <w:rPr>
          <w:rFonts w:hint="eastAsia" w:ascii="仿宋_GB2312" w:hAnsi="宋体" w:eastAsia="仿宋_GB2312"/>
          <w:sz w:val="30"/>
          <w:szCs w:val="30"/>
        </w:rPr>
        <w:t>发行人通过本所披露的至少三次提示性公告中披露债券面额计算方法、开盘参考价调整方式等。</w:t>
      </w:r>
    </w:p>
    <w:p w14:paraId="61802871">
      <w:pPr>
        <w:numPr>
          <w:ilvl w:val="2"/>
          <w:numId w:val="4"/>
        </w:numPr>
        <w:spacing w:line="600" w:lineRule="exact"/>
        <w:ind w:left="0" w:firstLine="0"/>
        <w:outlineLvl w:val="2"/>
        <w:rPr>
          <w:rFonts w:ascii="仿宋_GB2312" w:hAnsi="宋体" w:eastAsia="仿宋_GB2312"/>
          <w:b/>
          <w:sz w:val="30"/>
          <w:szCs w:val="30"/>
        </w:rPr>
      </w:pPr>
      <w:r>
        <w:rPr>
          <w:rFonts w:hint="eastAsia" w:ascii="仿宋_GB2312" w:hAnsi="宋体" w:eastAsia="仿宋_GB2312"/>
          <w:b/>
          <w:sz w:val="30"/>
          <w:szCs w:val="30"/>
        </w:rPr>
        <w:t>分期</w:t>
      </w:r>
      <w:r>
        <w:rPr>
          <w:rFonts w:hint="eastAsia" w:ascii="仿宋_GB2312" w:eastAsia="仿宋_GB2312"/>
          <w:b/>
          <w:sz w:val="30"/>
          <w:szCs w:val="30"/>
        </w:rPr>
        <w:t>偿还</w:t>
      </w:r>
      <w:r>
        <w:rPr>
          <w:rFonts w:hint="eastAsia" w:ascii="仿宋_GB2312" w:hAnsi="宋体" w:eastAsia="仿宋_GB2312"/>
          <w:b/>
          <w:sz w:val="30"/>
          <w:szCs w:val="30"/>
        </w:rPr>
        <w:t>完成</w:t>
      </w:r>
    </w:p>
    <w:p w14:paraId="574F3120">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债券分期偿还后，债券面额相应减少</w:t>
      </w:r>
      <w:r>
        <w:rPr>
          <w:rFonts w:ascii="仿宋_GB2312" w:hAnsi="宋体" w:eastAsia="仿宋_GB2312"/>
          <w:sz w:val="30"/>
          <w:szCs w:val="30"/>
        </w:rPr>
        <w:t>。</w:t>
      </w:r>
    </w:p>
    <w:p w14:paraId="7B160674">
      <w:pPr>
        <w:numPr>
          <w:ilvl w:val="1"/>
          <w:numId w:val="4"/>
        </w:numPr>
        <w:spacing w:line="600" w:lineRule="exact"/>
        <w:ind w:left="0" w:firstLine="0"/>
        <w:outlineLvl w:val="1"/>
        <w:rPr>
          <w:rFonts w:ascii="仿宋_GB2312" w:eastAsia="仿宋_GB2312"/>
          <w:b/>
          <w:sz w:val="30"/>
          <w:szCs w:val="30"/>
        </w:rPr>
      </w:pPr>
      <w:bookmarkStart w:id="2425" w:name="_Toc151137056"/>
      <w:bookmarkStart w:id="2426" w:name="_Toc795114563"/>
      <w:bookmarkStart w:id="2427" w:name="_Toc24459969"/>
      <w:bookmarkStart w:id="2428" w:name="_Toc19542088"/>
      <w:bookmarkStart w:id="2429" w:name="_Toc14166608"/>
      <w:bookmarkStart w:id="2430" w:name="_Toc56166106"/>
      <w:bookmarkStart w:id="2431" w:name="_Toc56166295"/>
      <w:bookmarkStart w:id="2432" w:name="_Toc16497832"/>
      <w:bookmarkStart w:id="2433" w:name="_Toc1560419682"/>
      <w:bookmarkStart w:id="2434" w:name="_Toc1136570487"/>
      <w:bookmarkStart w:id="2435" w:name="_Toc1207592095"/>
      <w:bookmarkStart w:id="2436" w:name="_Toc34763063"/>
      <w:r>
        <w:rPr>
          <w:rFonts w:hint="eastAsia" w:ascii="仿宋_GB2312" w:eastAsia="仿宋_GB2312"/>
          <w:b/>
          <w:sz w:val="30"/>
          <w:szCs w:val="30"/>
        </w:rPr>
        <w:t>债券回售</w:t>
      </w:r>
      <w:bookmarkEnd w:id="2425"/>
      <w:bookmarkEnd w:id="2426"/>
      <w:bookmarkEnd w:id="2427"/>
      <w:bookmarkEnd w:id="2428"/>
      <w:bookmarkEnd w:id="2429"/>
      <w:bookmarkEnd w:id="2430"/>
      <w:bookmarkEnd w:id="2431"/>
      <w:bookmarkEnd w:id="2432"/>
      <w:bookmarkEnd w:id="2433"/>
      <w:bookmarkEnd w:id="2434"/>
      <w:bookmarkEnd w:id="2435"/>
      <w:bookmarkEnd w:id="2436"/>
    </w:p>
    <w:p w14:paraId="2B1DDC40">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回售准备</w:t>
      </w:r>
    </w:p>
    <w:p w14:paraId="2EB64653">
      <w:pPr>
        <w:spacing w:line="600" w:lineRule="exact"/>
        <w:ind w:firstLine="600" w:firstLineChars="200"/>
        <w:jc w:val="left"/>
        <w:rPr>
          <w:rFonts w:ascii="Calibri" w:hAnsi="Calibri" w:eastAsia="仿宋_GB2312"/>
          <w:sz w:val="30"/>
          <w:szCs w:val="30"/>
        </w:rPr>
      </w:pPr>
      <w:r>
        <w:rPr>
          <w:rFonts w:hint="eastAsia" w:ascii="Calibri" w:hAnsi="Calibri" w:eastAsia="仿宋_GB2312"/>
          <w:sz w:val="30"/>
          <w:szCs w:val="30"/>
        </w:rPr>
        <w:t>债券投资者可根据发行文件约定在一定期限内行使向发行人售出债券的权利。</w:t>
      </w:r>
    </w:p>
    <w:p w14:paraId="29B0C731">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设定持有人回售选择权的债券，持有人有权选择在回售登记期内进行登记，将持有的债券按回售价格全部或部分回售给发行人，或选择继续持有债券。</w:t>
      </w:r>
    </w:p>
    <w:p w14:paraId="3F8EEFE0">
      <w:pPr>
        <w:spacing w:line="600" w:lineRule="exact"/>
        <w:ind w:firstLine="600" w:firstLineChars="200"/>
        <w:jc w:val="left"/>
        <w:rPr>
          <w:rFonts w:ascii="仿宋_GB2312" w:hAnsi="Calibri" w:eastAsia="仿宋_GB2312"/>
          <w:sz w:val="30"/>
          <w:szCs w:val="30"/>
        </w:rPr>
      </w:pPr>
      <w:r>
        <w:rPr>
          <w:rFonts w:hint="eastAsia" w:ascii="仿宋_GB2312" w:hAnsi="宋体" w:eastAsia="仿宋_GB2312"/>
          <w:sz w:val="30"/>
          <w:szCs w:val="30"/>
        </w:rPr>
        <w:t>债券投资者可通过</w:t>
      </w:r>
      <w:r>
        <w:rPr>
          <w:rFonts w:ascii="仿宋_GB2312" w:hAnsi="宋体" w:eastAsia="仿宋_GB2312"/>
          <w:sz w:val="30"/>
          <w:szCs w:val="30"/>
        </w:rPr>
        <w:t>本所官网、债券信息网等本所信息披露平台查看</w:t>
      </w:r>
      <w:r>
        <w:rPr>
          <w:rFonts w:hint="eastAsia" w:ascii="仿宋_GB2312" w:hAnsi="Calibri" w:eastAsia="仿宋_GB2312"/>
          <w:sz w:val="30"/>
          <w:szCs w:val="30"/>
        </w:rPr>
        <w:t>下列有关债券回售的信息披露文件：</w:t>
      </w:r>
    </w:p>
    <w:p w14:paraId="16252629">
      <w:pPr>
        <w:spacing w:line="600" w:lineRule="exact"/>
        <w:ind w:firstLine="600" w:firstLineChars="200"/>
        <w:jc w:val="left"/>
        <w:rPr>
          <w:rFonts w:ascii="仿宋_GB2312" w:hAnsi="Calibri" w:eastAsia="仿宋_GB2312"/>
          <w:sz w:val="30"/>
          <w:szCs w:val="30"/>
        </w:rPr>
      </w:pPr>
      <w:r>
        <w:rPr>
          <w:rFonts w:hint="eastAsia" w:ascii="仿宋_GB2312" w:hAnsi="Calibri" w:eastAsia="仿宋_GB2312"/>
          <w:sz w:val="30"/>
          <w:szCs w:val="30"/>
        </w:rPr>
        <w:t>（1）回售实施公告。公告内容包括回售登记期、回售价格、回售登记办法、回售资金兑付日、是否可撤销、是否转售等。</w:t>
      </w:r>
    </w:p>
    <w:p w14:paraId="4E94FD92">
      <w:pPr>
        <w:spacing w:line="600" w:lineRule="exact"/>
        <w:ind w:firstLine="600" w:firstLineChars="200"/>
        <w:jc w:val="left"/>
        <w:rPr>
          <w:rFonts w:ascii="仿宋_GB2312" w:hAnsi="Calibri" w:eastAsia="仿宋_GB2312"/>
          <w:sz w:val="30"/>
          <w:szCs w:val="30"/>
        </w:rPr>
      </w:pPr>
      <w:r>
        <w:rPr>
          <w:rFonts w:hint="eastAsia" w:ascii="仿宋_GB2312" w:hAnsi="Calibri" w:eastAsia="仿宋_GB2312"/>
          <w:sz w:val="30"/>
          <w:szCs w:val="30"/>
        </w:rPr>
        <w:t>（2）回售结果公告。公告内容包括回售金额、回售有效登记数量、拟转售债券金额、转售期、注销金额等。</w:t>
      </w:r>
    </w:p>
    <w:p w14:paraId="141B112A">
      <w:pPr>
        <w:numPr>
          <w:ilvl w:val="2"/>
          <w:numId w:val="4"/>
        </w:numPr>
        <w:spacing w:line="600" w:lineRule="exact"/>
        <w:ind w:left="0" w:firstLine="0"/>
        <w:outlineLvl w:val="2"/>
        <w:rPr>
          <w:rFonts w:ascii="仿宋_GB2312" w:eastAsia="仿宋_GB2312"/>
          <w:b/>
          <w:sz w:val="30"/>
          <w:szCs w:val="30"/>
        </w:rPr>
      </w:pPr>
      <w:bookmarkStart w:id="2437" w:name="_Toc19542091"/>
      <w:bookmarkStart w:id="2438" w:name="_Toc24459972"/>
      <w:bookmarkStart w:id="2439" w:name="_Toc34763066"/>
      <w:bookmarkStart w:id="2440" w:name="_Toc16497835"/>
      <w:r>
        <w:rPr>
          <w:rFonts w:hint="eastAsia" w:ascii="仿宋_GB2312" w:eastAsia="仿宋_GB2312"/>
          <w:b/>
          <w:sz w:val="30"/>
          <w:szCs w:val="30"/>
        </w:rPr>
        <w:t>回售申报</w:t>
      </w:r>
      <w:bookmarkEnd w:id="2437"/>
      <w:bookmarkEnd w:id="2438"/>
      <w:bookmarkEnd w:id="2439"/>
      <w:bookmarkEnd w:id="2440"/>
    </w:p>
    <w:p w14:paraId="1D05E349">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回售登记期内，债券投资者可以通过本所固收平台、综合业务平台或本所认可的其他方式进行债券回售申报。未做回售申报的，视为继续持有债券。</w:t>
      </w:r>
    </w:p>
    <w:p w14:paraId="061E7D1C">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（1）公募可转债</w:t>
      </w:r>
      <w:r>
        <w:rPr>
          <w:rFonts w:ascii="仿宋_GB2312" w:hAnsi="宋体" w:eastAsia="仿宋_GB2312"/>
          <w:sz w:val="30"/>
          <w:szCs w:val="30"/>
        </w:rPr>
        <w:t>以外的</w:t>
      </w:r>
      <w:r>
        <w:rPr>
          <w:rFonts w:hint="eastAsia" w:ascii="仿宋_GB2312" w:hAnsi="宋体" w:eastAsia="仿宋_GB2312"/>
          <w:sz w:val="30"/>
          <w:szCs w:val="30"/>
        </w:rPr>
        <w:t>债券</w:t>
      </w:r>
      <w:r>
        <w:rPr>
          <w:rFonts w:ascii="仿宋_GB2312" w:hAnsi="宋体" w:eastAsia="仿宋_GB2312"/>
          <w:sz w:val="30"/>
          <w:szCs w:val="30"/>
        </w:rPr>
        <w:t>回售</w:t>
      </w:r>
    </w:p>
    <w:p w14:paraId="085E8340">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在</w:t>
      </w:r>
      <w:r>
        <w:rPr>
          <w:rFonts w:ascii="仿宋_GB2312" w:hAnsi="Calibri" w:eastAsia="仿宋_GB2312"/>
          <w:sz w:val="30"/>
          <w:szCs w:val="30"/>
        </w:rPr>
        <w:t>回售登记期内，</w:t>
      </w:r>
      <w:r>
        <w:rPr>
          <w:rFonts w:hint="eastAsia" w:ascii="仿宋_GB2312" w:hAnsi="Calibri" w:eastAsia="仿宋_GB2312"/>
          <w:sz w:val="30"/>
          <w:szCs w:val="30"/>
        </w:rPr>
        <w:t>债券投资者可以通过固收平台进行回售申报；</w:t>
      </w:r>
      <w:r>
        <w:rPr>
          <w:rFonts w:hint="eastAsia" w:ascii="仿宋_GB2312" w:hAnsi="仿宋" w:eastAsia="仿宋_GB2312"/>
          <w:sz w:val="30"/>
          <w:szCs w:val="30"/>
        </w:rPr>
        <w:t>其中，</w:t>
      </w:r>
      <w:r>
        <w:rPr>
          <w:rFonts w:ascii="仿宋_GB2312" w:hAnsi="仿宋" w:eastAsia="仿宋_GB2312"/>
          <w:sz w:val="30"/>
          <w:szCs w:val="30"/>
        </w:rPr>
        <w:t>在</w:t>
      </w:r>
      <w:r>
        <w:rPr>
          <w:rFonts w:hint="eastAsia" w:ascii="仿宋_GB2312" w:hAnsi="仿宋" w:eastAsia="仿宋_GB2312"/>
          <w:sz w:val="30"/>
          <w:szCs w:val="30"/>
        </w:rPr>
        <w:t>新债券交易系统</w:t>
      </w:r>
      <w:r>
        <w:rPr>
          <w:rFonts w:hint="eastAsia" w:ascii="仿宋_GB2312" w:hAnsi="Calibri" w:eastAsia="仿宋_GB2312"/>
          <w:sz w:val="30"/>
          <w:szCs w:val="30"/>
        </w:rPr>
        <w:t>和固收平台双边挂牌的债券，债券投资者还可以通过综合业务平台进行回售申报。</w:t>
      </w:r>
    </w:p>
    <w:p w14:paraId="167C5E2F">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（2）公募</w:t>
      </w:r>
      <w:r>
        <w:rPr>
          <w:rFonts w:ascii="仿宋_GB2312" w:hAnsi="Calibri" w:eastAsia="仿宋_GB2312"/>
          <w:sz w:val="30"/>
          <w:szCs w:val="30"/>
        </w:rPr>
        <w:t>可转债回售</w:t>
      </w:r>
    </w:p>
    <w:p w14:paraId="4B5256CB">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在公募</w:t>
      </w:r>
      <w:r>
        <w:rPr>
          <w:rFonts w:ascii="仿宋_GB2312" w:hAnsi="Calibri" w:eastAsia="仿宋_GB2312"/>
          <w:sz w:val="30"/>
          <w:szCs w:val="30"/>
        </w:rPr>
        <w:t>可转债的回售登记期内，债券投资者可以通过综合业务平台进行回售申报。</w:t>
      </w:r>
    </w:p>
    <w:p w14:paraId="5255299D">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（3）回售</w:t>
      </w:r>
      <w:r>
        <w:rPr>
          <w:rFonts w:ascii="仿宋_GB2312" w:hAnsi="宋体" w:eastAsia="仿宋_GB2312"/>
          <w:sz w:val="30"/>
          <w:szCs w:val="30"/>
        </w:rPr>
        <w:t>申报流程</w:t>
      </w:r>
    </w:p>
    <w:p w14:paraId="54B7929B">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固收平台接受回售申报时间为回售期间每个交易日的</w:t>
      </w:r>
      <w:r>
        <w:rPr>
          <w:rFonts w:ascii="仿宋_GB2312" w:hAnsi="宋体" w:eastAsia="仿宋_GB2312"/>
          <w:sz w:val="30"/>
          <w:szCs w:val="30"/>
        </w:rPr>
        <w:t>9：00至11：30</w:t>
      </w:r>
      <w:r>
        <w:rPr>
          <w:rFonts w:hint="eastAsia" w:ascii="仿宋_GB2312" w:hAnsi="宋体" w:eastAsia="仿宋_GB2312"/>
          <w:sz w:val="30"/>
          <w:szCs w:val="30"/>
        </w:rPr>
        <w:t>、</w:t>
      </w:r>
      <w:r>
        <w:rPr>
          <w:rFonts w:ascii="仿宋_GB2312" w:hAnsi="宋体" w:eastAsia="仿宋_GB2312"/>
          <w:sz w:val="30"/>
          <w:szCs w:val="30"/>
        </w:rPr>
        <w:t>13：00至15：30</w:t>
      </w:r>
      <w:r>
        <w:rPr>
          <w:rFonts w:hint="eastAsia" w:ascii="仿宋_GB2312" w:hAnsi="宋体" w:eastAsia="仿宋_GB2312"/>
          <w:sz w:val="30"/>
          <w:szCs w:val="30"/>
        </w:rPr>
        <w:t>。</w:t>
      </w:r>
    </w:p>
    <w:p w14:paraId="488BCB83">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综合业务平台接受回售申报时间为回售期间每个交易日的</w:t>
      </w:r>
      <w:r>
        <w:rPr>
          <w:rFonts w:ascii="仿宋_GB2312" w:hAnsi="宋体" w:eastAsia="仿宋_GB2312"/>
          <w:sz w:val="30"/>
          <w:szCs w:val="30"/>
        </w:rPr>
        <w:t>9：30</w:t>
      </w:r>
      <w:r>
        <w:rPr>
          <w:rFonts w:hint="eastAsia" w:ascii="仿宋_GB2312" w:hAnsi="宋体" w:eastAsia="仿宋_GB2312"/>
          <w:sz w:val="30"/>
          <w:szCs w:val="30"/>
        </w:rPr>
        <w:t>至</w:t>
      </w:r>
      <w:r>
        <w:rPr>
          <w:rFonts w:ascii="仿宋_GB2312" w:hAnsi="宋体" w:eastAsia="仿宋_GB2312"/>
          <w:sz w:val="30"/>
          <w:szCs w:val="30"/>
        </w:rPr>
        <w:t>11：30、13：00至15：</w:t>
      </w:r>
      <w:r>
        <w:rPr>
          <w:rFonts w:hint="eastAsia" w:ascii="仿宋_GB2312" w:hAnsi="宋体" w:eastAsia="仿宋_GB2312"/>
          <w:sz w:val="30"/>
          <w:szCs w:val="30"/>
        </w:rPr>
        <w:t>00</w:t>
      </w:r>
      <w:r>
        <w:rPr>
          <w:rFonts w:ascii="仿宋_GB2312" w:hAnsi="宋体" w:eastAsia="仿宋_GB2312"/>
          <w:sz w:val="30"/>
          <w:szCs w:val="30"/>
        </w:rPr>
        <w:t>。</w:t>
      </w:r>
    </w:p>
    <w:p w14:paraId="771E534C">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债券回售的申报数量应当为</w:t>
      </w:r>
      <w:r>
        <w:rPr>
          <w:rFonts w:ascii="仿宋_GB2312" w:hAnsi="宋体" w:eastAsia="仿宋_GB2312"/>
          <w:sz w:val="30"/>
          <w:szCs w:val="30"/>
        </w:rPr>
        <w:t>1000元</w:t>
      </w:r>
      <w:r>
        <w:rPr>
          <w:rFonts w:hint="eastAsia" w:ascii="仿宋_GB2312" w:hAnsi="宋体" w:eastAsia="仿宋_GB2312"/>
          <w:sz w:val="30"/>
          <w:szCs w:val="30"/>
        </w:rPr>
        <w:t>面额或其整数倍。</w:t>
      </w:r>
    </w:p>
    <w:p w14:paraId="44AE3D19">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债券回售申报要素应当包括非交易类型、证券代码、证券简称、回售数量、证券账户等内容。具体要素及要素说明如下：</w:t>
      </w:r>
    </w:p>
    <w:tbl>
      <w:tblPr>
        <w:tblStyle w:val="43"/>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1"/>
        <w:gridCol w:w="5529"/>
      </w:tblGrid>
      <w:tr w14:paraId="0FDC8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056A912D">
            <w:pPr>
              <w:rPr>
                <w:rFonts w:ascii="仿宋_GB2312" w:hAnsi="宋体" w:eastAsia="仿宋_GB2312"/>
                <w:b/>
                <w:sz w:val="24"/>
                <w:szCs w:val="24"/>
              </w:rPr>
            </w:pPr>
            <w:r>
              <w:rPr>
                <w:rFonts w:hint="eastAsia" w:ascii="仿宋_GB2312" w:hAnsi="宋体" w:eastAsia="仿宋_GB2312"/>
                <w:b/>
                <w:sz w:val="24"/>
                <w:szCs w:val="24"/>
              </w:rPr>
              <w:t>申报要素</w:t>
            </w:r>
          </w:p>
        </w:tc>
        <w:tc>
          <w:tcPr>
            <w:tcW w:w="5529" w:type="dxa"/>
          </w:tcPr>
          <w:p w14:paraId="65768C22">
            <w:pPr>
              <w:rPr>
                <w:rFonts w:ascii="仿宋_GB2312" w:hAnsi="宋体" w:eastAsia="仿宋_GB2312"/>
                <w:b/>
                <w:sz w:val="24"/>
                <w:szCs w:val="24"/>
              </w:rPr>
            </w:pPr>
            <w:r>
              <w:rPr>
                <w:rFonts w:hint="eastAsia" w:ascii="仿宋_GB2312" w:hAnsi="宋体" w:eastAsia="仿宋_GB2312"/>
                <w:b/>
                <w:sz w:val="24"/>
                <w:szCs w:val="24"/>
              </w:rPr>
              <w:t>要素说明</w:t>
            </w:r>
          </w:p>
        </w:tc>
      </w:tr>
      <w:tr w14:paraId="6790B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140B51FE">
            <w:pPr>
              <w:rPr>
                <w:rFonts w:ascii="仿宋_GB2312" w:hAnsi="宋体" w:eastAsia="仿宋_GB2312"/>
                <w:b/>
                <w:sz w:val="24"/>
                <w:szCs w:val="24"/>
              </w:rPr>
            </w:pPr>
            <w:r>
              <w:rPr>
                <w:rFonts w:hint="eastAsia" w:ascii="仿宋_GB2312" w:hAnsi="宋体" w:eastAsia="仿宋_GB2312"/>
                <w:b/>
                <w:sz w:val="24"/>
                <w:szCs w:val="24"/>
              </w:rPr>
              <w:t>非交易类型</w:t>
            </w:r>
          </w:p>
        </w:tc>
        <w:tc>
          <w:tcPr>
            <w:tcW w:w="5529" w:type="dxa"/>
          </w:tcPr>
          <w:p w14:paraId="78220C58">
            <w:pPr>
              <w:rPr>
                <w:rFonts w:ascii="仿宋_GB2312" w:hAnsi="宋体" w:eastAsia="仿宋_GB2312"/>
                <w:sz w:val="24"/>
                <w:szCs w:val="24"/>
              </w:rPr>
            </w:pPr>
            <w:r>
              <w:rPr>
                <w:rFonts w:hint="eastAsia" w:ascii="仿宋_GB2312" w:hAnsi="宋体" w:eastAsia="仿宋_GB2312"/>
                <w:sz w:val="24"/>
                <w:szCs w:val="24"/>
              </w:rPr>
              <w:t>综合业务</w:t>
            </w:r>
            <w:r>
              <w:rPr>
                <w:rFonts w:ascii="仿宋_GB2312" w:hAnsi="宋体" w:eastAsia="仿宋_GB2312"/>
                <w:sz w:val="24"/>
                <w:szCs w:val="24"/>
              </w:rPr>
              <w:t>平台为</w:t>
            </w:r>
            <w:r>
              <w:rPr>
                <w:rFonts w:hint="eastAsia" w:ascii="仿宋_GB2312" w:hAnsi="宋体" w:eastAsia="仿宋_GB2312"/>
                <w:sz w:val="24"/>
                <w:szCs w:val="24"/>
              </w:rPr>
              <w:t>“</w:t>
            </w:r>
            <w:r>
              <w:rPr>
                <w:rFonts w:ascii="仿宋_GB2312" w:hAnsi="宋体" w:eastAsia="仿宋_GB2312"/>
                <w:sz w:val="24"/>
                <w:szCs w:val="24"/>
              </w:rPr>
              <w:t>BSB</w:t>
            </w:r>
            <w:r>
              <w:rPr>
                <w:rFonts w:hint="eastAsia" w:ascii="仿宋_GB2312" w:hAnsi="宋体" w:eastAsia="仿宋_GB2312"/>
                <w:sz w:val="24"/>
                <w:szCs w:val="24"/>
              </w:rPr>
              <w:t>”，</w:t>
            </w:r>
            <w:r>
              <w:rPr>
                <w:rFonts w:ascii="仿宋_GB2312" w:hAnsi="宋体" w:eastAsia="仿宋_GB2312"/>
                <w:sz w:val="24"/>
                <w:szCs w:val="24"/>
              </w:rPr>
              <w:t>固定收益平台为回售菜单入口</w:t>
            </w:r>
          </w:p>
        </w:tc>
      </w:tr>
      <w:tr w14:paraId="38EA7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32EC6E31">
            <w:pPr>
              <w:rPr>
                <w:rFonts w:ascii="仿宋_GB2312" w:hAnsi="宋体" w:eastAsia="仿宋_GB2312"/>
                <w:b/>
                <w:sz w:val="24"/>
                <w:szCs w:val="24"/>
              </w:rPr>
            </w:pPr>
            <w:r>
              <w:rPr>
                <w:rFonts w:hint="eastAsia" w:ascii="仿宋_GB2312" w:hAnsi="宋体" w:eastAsia="仿宋_GB2312"/>
                <w:b/>
                <w:sz w:val="24"/>
                <w:szCs w:val="24"/>
              </w:rPr>
              <w:t>证券账户</w:t>
            </w:r>
          </w:p>
        </w:tc>
        <w:tc>
          <w:tcPr>
            <w:tcW w:w="5529" w:type="dxa"/>
          </w:tcPr>
          <w:p w14:paraId="3E76CA31">
            <w:pPr>
              <w:rPr>
                <w:rFonts w:ascii="仿宋_GB2312" w:hAnsi="宋体" w:eastAsia="仿宋_GB2312"/>
                <w:sz w:val="24"/>
                <w:szCs w:val="24"/>
              </w:rPr>
            </w:pPr>
            <w:r>
              <w:rPr>
                <w:rFonts w:hint="eastAsia" w:ascii="仿宋_GB2312" w:hAnsi="宋体" w:eastAsia="仿宋_GB2312"/>
                <w:sz w:val="24"/>
                <w:szCs w:val="24"/>
              </w:rPr>
              <w:t>账户名称</w:t>
            </w:r>
          </w:p>
        </w:tc>
      </w:tr>
      <w:tr w14:paraId="45111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1" w:type="dxa"/>
          </w:tcPr>
          <w:p w14:paraId="5C545810">
            <w:pPr>
              <w:rPr>
                <w:rFonts w:ascii="仿宋_GB2312" w:hAnsi="宋体" w:eastAsia="仿宋_GB2312"/>
                <w:b/>
                <w:sz w:val="24"/>
                <w:szCs w:val="24"/>
              </w:rPr>
            </w:pPr>
            <w:r>
              <w:rPr>
                <w:rFonts w:hint="eastAsia" w:ascii="仿宋_GB2312" w:hAnsi="宋体" w:eastAsia="仿宋_GB2312"/>
                <w:b/>
                <w:sz w:val="24"/>
                <w:szCs w:val="24"/>
              </w:rPr>
              <w:t>证券代码</w:t>
            </w:r>
          </w:p>
        </w:tc>
        <w:tc>
          <w:tcPr>
            <w:tcW w:w="5529" w:type="dxa"/>
          </w:tcPr>
          <w:p w14:paraId="3802CF04">
            <w:pPr>
              <w:rPr>
                <w:rFonts w:ascii="仿宋_GB2312" w:hAnsi="宋体" w:eastAsia="仿宋_GB2312"/>
                <w:sz w:val="24"/>
                <w:szCs w:val="24"/>
              </w:rPr>
            </w:pPr>
            <w:r>
              <w:rPr>
                <w:rFonts w:hint="eastAsia" w:ascii="仿宋_GB2312" w:hAnsi="宋体" w:eastAsia="仿宋_GB2312"/>
                <w:sz w:val="24"/>
                <w:szCs w:val="24"/>
              </w:rPr>
              <w:t>现券代码</w:t>
            </w:r>
          </w:p>
        </w:tc>
      </w:tr>
      <w:tr w14:paraId="51FDA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1C5FAA14">
            <w:pPr>
              <w:rPr>
                <w:rFonts w:ascii="仿宋_GB2312" w:hAnsi="宋体" w:eastAsia="仿宋_GB2312"/>
                <w:b/>
                <w:sz w:val="24"/>
                <w:szCs w:val="24"/>
              </w:rPr>
            </w:pPr>
            <w:r>
              <w:rPr>
                <w:rFonts w:hint="eastAsia" w:ascii="仿宋_GB2312" w:hAnsi="宋体" w:eastAsia="仿宋_GB2312"/>
                <w:b/>
                <w:sz w:val="24"/>
                <w:szCs w:val="24"/>
              </w:rPr>
              <w:t>证券账号</w:t>
            </w:r>
          </w:p>
        </w:tc>
        <w:tc>
          <w:tcPr>
            <w:tcW w:w="5529" w:type="dxa"/>
          </w:tcPr>
          <w:p w14:paraId="3BCF0E19">
            <w:pPr>
              <w:rPr>
                <w:rFonts w:ascii="仿宋_GB2312" w:hAnsi="宋体" w:eastAsia="仿宋_GB2312"/>
                <w:sz w:val="24"/>
                <w:szCs w:val="24"/>
              </w:rPr>
            </w:pPr>
            <w:r>
              <w:rPr>
                <w:rFonts w:hint="eastAsia" w:ascii="仿宋_GB2312" w:hAnsi="宋体" w:eastAsia="仿宋_GB2312"/>
                <w:sz w:val="24"/>
                <w:szCs w:val="24"/>
              </w:rPr>
              <w:t>可以选择本交易员有权使用的所有交易账号</w:t>
            </w:r>
          </w:p>
        </w:tc>
      </w:tr>
      <w:tr w14:paraId="47FB7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307F15FD">
            <w:pPr>
              <w:rPr>
                <w:rFonts w:ascii="仿宋_GB2312" w:hAnsi="宋体" w:eastAsia="仿宋_GB2312"/>
                <w:b/>
                <w:sz w:val="24"/>
                <w:szCs w:val="24"/>
              </w:rPr>
            </w:pPr>
            <w:r>
              <w:rPr>
                <w:rFonts w:hint="eastAsia" w:ascii="仿宋_GB2312" w:hAnsi="宋体" w:eastAsia="仿宋_GB2312"/>
                <w:b/>
                <w:sz w:val="24"/>
                <w:szCs w:val="24"/>
              </w:rPr>
              <w:t>回售数量</w:t>
            </w:r>
          </w:p>
        </w:tc>
        <w:tc>
          <w:tcPr>
            <w:tcW w:w="5529" w:type="dxa"/>
          </w:tcPr>
          <w:p w14:paraId="47890560">
            <w:pPr>
              <w:rPr>
                <w:rFonts w:ascii="仿宋_GB2312" w:hAnsi="宋体" w:eastAsia="仿宋_GB2312"/>
                <w:sz w:val="24"/>
                <w:szCs w:val="24"/>
              </w:rPr>
            </w:pPr>
            <w:r>
              <w:rPr>
                <w:rFonts w:hint="eastAsia" w:ascii="仿宋_GB2312" w:hAnsi="宋体" w:eastAsia="仿宋_GB2312"/>
                <w:sz w:val="24"/>
                <w:szCs w:val="24"/>
              </w:rPr>
              <w:t>回售的现券数量，以1000元面额为单位</w:t>
            </w:r>
          </w:p>
        </w:tc>
      </w:tr>
      <w:tr w14:paraId="38B6F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7552A7F2">
            <w:pPr>
              <w:rPr>
                <w:rFonts w:ascii="仿宋_GB2312" w:hAnsi="宋体" w:eastAsia="仿宋_GB2312"/>
                <w:b/>
                <w:sz w:val="24"/>
                <w:szCs w:val="24"/>
              </w:rPr>
            </w:pPr>
            <w:r>
              <w:rPr>
                <w:rFonts w:hint="eastAsia" w:ascii="仿宋_GB2312" w:hAnsi="宋体" w:eastAsia="仿宋_GB2312"/>
                <w:b/>
                <w:sz w:val="24"/>
                <w:szCs w:val="24"/>
              </w:rPr>
              <w:t>席位号</w:t>
            </w:r>
          </w:p>
        </w:tc>
        <w:tc>
          <w:tcPr>
            <w:tcW w:w="5529" w:type="dxa"/>
          </w:tcPr>
          <w:p w14:paraId="47F15378">
            <w:pPr>
              <w:rPr>
                <w:rFonts w:ascii="仿宋_GB2312" w:hAnsi="宋体" w:eastAsia="仿宋_GB2312"/>
                <w:sz w:val="24"/>
                <w:szCs w:val="24"/>
              </w:rPr>
            </w:pPr>
            <w:r>
              <w:rPr>
                <w:rFonts w:hint="eastAsia" w:ascii="仿宋_GB2312" w:hAnsi="宋体" w:eastAsia="仿宋_GB2312"/>
                <w:sz w:val="24"/>
                <w:szCs w:val="24"/>
              </w:rPr>
              <w:t>根据选择的账户自动匹配，无需用户输入</w:t>
            </w:r>
          </w:p>
        </w:tc>
      </w:tr>
      <w:tr w14:paraId="67B60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1" w:type="dxa"/>
          </w:tcPr>
          <w:p w14:paraId="3C48CEB5">
            <w:pPr>
              <w:jc w:val="left"/>
              <w:rPr>
                <w:rFonts w:ascii="仿宋_GB2312" w:hAnsi="宋体" w:eastAsia="仿宋_GB2312"/>
                <w:b/>
                <w:sz w:val="24"/>
                <w:szCs w:val="24"/>
              </w:rPr>
            </w:pPr>
            <w:r>
              <w:rPr>
                <w:rFonts w:hint="eastAsia" w:ascii="仿宋_GB2312" w:hAnsi="宋体" w:eastAsia="仿宋_GB2312"/>
                <w:b/>
                <w:sz w:val="24"/>
                <w:szCs w:val="24"/>
              </w:rPr>
              <w:t>回售价格</w:t>
            </w:r>
          </w:p>
        </w:tc>
        <w:tc>
          <w:tcPr>
            <w:tcW w:w="5529" w:type="dxa"/>
          </w:tcPr>
          <w:p w14:paraId="5F54440F">
            <w:pPr>
              <w:rPr>
                <w:rFonts w:ascii="仿宋_GB2312" w:hAnsi="宋体" w:eastAsia="仿宋_GB2312"/>
                <w:sz w:val="24"/>
                <w:szCs w:val="24"/>
              </w:rPr>
            </w:pPr>
            <w:r>
              <w:rPr>
                <w:rFonts w:hint="eastAsia" w:ascii="仿宋_GB2312" w:hAnsi="宋体" w:eastAsia="仿宋_GB2312"/>
                <w:sz w:val="24"/>
                <w:szCs w:val="24"/>
              </w:rPr>
              <w:t>自动匹配，无需用户输入</w:t>
            </w:r>
          </w:p>
        </w:tc>
      </w:tr>
    </w:tbl>
    <w:p w14:paraId="33C0D2AA">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债券回售的价格应当按照发行人发布的债券回售公告及本所相关规定办理。</w:t>
      </w:r>
    </w:p>
    <w:p w14:paraId="0B32444A">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当日做出</w:t>
      </w:r>
      <w:r>
        <w:rPr>
          <w:rFonts w:ascii="仿宋_GB2312" w:hAnsi="宋体" w:eastAsia="仿宋_GB2312"/>
          <w:sz w:val="30"/>
          <w:szCs w:val="30"/>
        </w:rPr>
        <w:t>的回售</w:t>
      </w:r>
      <w:r>
        <w:rPr>
          <w:rFonts w:hint="eastAsia" w:ascii="仿宋_GB2312" w:hAnsi="宋体" w:eastAsia="仿宋_GB2312"/>
          <w:sz w:val="30"/>
          <w:szCs w:val="30"/>
        </w:rPr>
        <w:t>申报</w:t>
      </w:r>
      <w:r>
        <w:rPr>
          <w:rFonts w:ascii="仿宋_GB2312" w:hAnsi="宋体" w:eastAsia="仿宋_GB2312"/>
          <w:sz w:val="30"/>
          <w:szCs w:val="30"/>
        </w:rPr>
        <w:t>，在</w:t>
      </w:r>
      <w:r>
        <w:rPr>
          <w:rFonts w:hint="eastAsia" w:ascii="仿宋_GB2312" w:hAnsi="宋体" w:eastAsia="仿宋_GB2312"/>
          <w:sz w:val="30"/>
          <w:szCs w:val="30"/>
        </w:rPr>
        <w:t>当日</w:t>
      </w:r>
      <w:r>
        <w:rPr>
          <w:rFonts w:ascii="仿宋_GB2312" w:hAnsi="宋体" w:eastAsia="仿宋_GB2312"/>
          <w:sz w:val="30"/>
          <w:szCs w:val="30"/>
        </w:rPr>
        <w:t>交易时间内可以撤单。</w:t>
      </w:r>
    </w:p>
    <w:p w14:paraId="0A02B3F8">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本所及登记结算机构对债券交易业务的处理优先于债券回售业务。债券投资者当日买入的债券，当日可以申报回售；若债券投资者当日申报债券交易后，剩余持仓数量不足回售申报数量的，回售成功数量为债券投资者的剩余持仓部分。</w:t>
      </w:r>
    </w:p>
    <w:p w14:paraId="5EF2AD40">
      <w:pPr>
        <w:numPr>
          <w:ilvl w:val="2"/>
          <w:numId w:val="4"/>
        </w:numPr>
        <w:spacing w:line="600" w:lineRule="exact"/>
        <w:ind w:left="0" w:firstLine="0"/>
        <w:outlineLvl w:val="2"/>
        <w:rPr>
          <w:rFonts w:ascii="仿宋_GB2312" w:eastAsia="仿宋_GB2312"/>
          <w:b/>
          <w:sz w:val="30"/>
          <w:szCs w:val="30"/>
        </w:rPr>
      </w:pPr>
      <w:bookmarkStart w:id="2441" w:name="_Toc24459973"/>
      <w:bookmarkStart w:id="2442" w:name="_Toc16497836"/>
      <w:bookmarkStart w:id="2443" w:name="_Toc34763067"/>
      <w:bookmarkStart w:id="2444" w:name="_Toc19542092"/>
      <w:r>
        <w:rPr>
          <w:rFonts w:hint="eastAsia" w:ascii="仿宋_GB2312" w:eastAsia="仿宋_GB2312"/>
          <w:b/>
          <w:sz w:val="30"/>
          <w:szCs w:val="30"/>
        </w:rPr>
        <w:t>回售撤销</w:t>
      </w:r>
      <w:bookmarkEnd w:id="2441"/>
      <w:bookmarkEnd w:id="2442"/>
      <w:bookmarkEnd w:id="2443"/>
      <w:bookmarkEnd w:id="2444"/>
      <w:r>
        <w:rPr>
          <w:rFonts w:hint="eastAsia" w:ascii="仿宋_GB2312" w:eastAsia="仿宋_GB2312"/>
          <w:b/>
          <w:sz w:val="30"/>
          <w:szCs w:val="30"/>
        </w:rPr>
        <w:t>申报</w:t>
      </w:r>
    </w:p>
    <w:p w14:paraId="5F7EE36A">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回售实施公告中载明债券回售可撤销的，已申报回售登记的债券投资者，可于回售撤销登记期内申报回售撤销。回售撤销登记期一般为回售登记开始日至回售资金发放日前</w:t>
      </w:r>
      <w:r>
        <w:rPr>
          <w:rFonts w:ascii="仿宋_GB2312" w:hAnsi="宋体" w:eastAsia="仿宋_GB2312"/>
          <w:sz w:val="30"/>
          <w:szCs w:val="30"/>
        </w:rPr>
        <w:t>4个交易日之间</w:t>
      </w:r>
      <w:r>
        <w:rPr>
          <w:rFonts w:hint="eastAsia" w:ascii="仿宋_GB2312" w:hAnsi="宋体" w:eastAsia="仿宋_GB2312"/>
          <w:sz w:val="30"/>
          <w:szCs w:val="30"/>
        </w:rPr>
        <w:t>。债券投资者通过固定收益平台进行回售撤销申报。</w:t>
      </w:r>
    </w:p>
    <w:p w14:paraId="417D29D6">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回售撤销申报的申报时间与回售申报一致，申报要素包括证券代码、证券简称、回售撤销数量、证券账户等内容。具体要素及要素说明如下：</w:t>
      </w:r>
    </w:p>
    <w:tbl>
      <w:tblPr>
        <w:tblStyle w:val="43"/>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1"/>
        <w:gridCol w:w="5529"/>
      </w:tblGrid>
      <w:tr w14:paraId="528E4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4AC9E032">
            <w:pPr>
              <w:rPr>
                <w:rFonts w:ascii="仿宋_GB2312" w:hAnsi="宋体" w:eastAsia="仿宋_GB2312"/>
                <w:b/>
                <w:sz w:val="24"/>
                <w:szCs w:val="24"/>
              </w:rPr>
            </w:pPr>
            <w:r>
              <w:rPr>
                <w:rFonts w:hint="eastAsia" w:ascii="仿宋_GB2312" w:hAnsi="宋体" w:eastAsia="仿宋_GB2312"/>
                <w:b/>
                <w:sz w:val="24"/>
                <w:szCs w:val="24"/>
              </w:rPr>
              <w:t>申报要素</w:t>
            </w:r>
          </w:p>
        </w:tc>
        <w:tc>
          <w:tcPr>
            <w:tcW w:w="5529" w:type="dxa"/>
          </w:tcPr>
          <w:p w14:paraId="00353350">
            <w:pPr>
              <w:rPr>
                <w:rFonts w:ascii="仿宋_GB2312" w:hAnsi="宋体" w:eastAsia="仿宋_GB2312"/>
                <w:b/>
                <w:sz w:val="24"/>
                <w:szCs w:val="24"/>
              </w:rPr>
            </w:pPr>
            <w:r>
              <w:rPr>
                <w:rFonts w:hint="eastAsia" w:ascii="仿宋_GB2312" w:hAnsi="宋体" w:eastAsia="仿宋_GB2312"/>
                <w:b/>
                <w:sz w:val="24"/>
                <w:szCs w:val="24"/>
              </w:rPr>
              <w:t>要素说明</w:t>
            </w:r>
          </w:p>
        </w:tc>
      </w:tr>
      <w:tr w14:paraId="0D91E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2A4E931C">
            <w:pPr>
              <w:rPr>
                <w:rFonts w:ascii="仿宋_GB2312" w:hAnsi="宋体" w:eastAsia="仿宋_GB2312"/>
                <w:b/>
                <w:sz w:val="24"/>
                <w:szCs w:val="24"/>
              </w:rPr>
            </w:pPr>
            <w:r>
              <w:rPr>
                <w:rFonts w:hint="eastAsia" w:ascii="仿宋_GB2312" w:hAnsi="宋体" w:eastAsia="仿宋_GB2312"/>
                <w:b/>
                <w:sz w:val="24"/>
                <w:szCs w:val="24"/>
              </w:rPr>
              <w:t>证券账户</w:t>
            </w:r>
          </w:p>
        </w:tc>
        <w:tc>
          <w:tcPr>
            <w:tcW w:w="5529" w:type="dxa"/>
          </w:tcPr>
          <w:p w14:paraId="277B2194">
            <w:pPr>
              <w:rPr>
                <w:rFonts w:ascii="仿宋_GB2312" w:hAnsi="宋体" w:eastAsia="仿宋_GB2312"/>
                <w:sz w:val="24"/>
                <w:szCs w:val="24"/>
              </w:rPr>
            </w:pPr>
            <w:r>
              <w:rPr>
                <w:rFonts w:hint="eastAsia" w:ascii="仿宋_GB2312" w:hAnsi="宋体" w:eastAsia="仿宋_GB2312"/>
                <w:sz w:val="24"/>
                <w:szCs w:val="24"/>
              </w:rPr>
              <w:t>账户名称</w:t>
            </w:r>
          </w:p>
        </w:tc>
      </w:tr>
      <w:tr w14:paraId="28E41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16E59A1F">
            <w:pPr>
              <w:rPr>
                <w:rFonts w:ascii="仿宋_GB2312" w:hAnsi="宋体" w:eastAsia="仿宋_GB2312"/>
                <w:b/>
                <w:sz w:val="24"/>
                <w:szCs w:val="24"/>
              </w:rPr>
            </w:pPr>
            <w:r>
              <w:rPr>
                <w:rFonts w:hint="eastAsia" w:ascii="仿宋_GB2312" w:hAnsi="宋体" w:eastAsia="仿宋_GB2312"/>
                <w:b/>
                <w:sz w:val="24"/>
                <w:szCs w:val="24"/>
              </w:rPr>
              <w:t>证券代码</w:t>
            </w:r>
          </w:p>
        </w:tc>
        <w:tc>
          <w:tcPr>
            <w:tcW w:w="5529" w:type="dxa"/>
          </w:tcPr>
          <w:p w14:paraId="43C80D74">
            <w:pPr>
              <w:rPr>
                <w:rFonts w:ascii="仿宋_GB2312" w:hAnsi="宋体" w:eastAsia="仿宋_GB2312"/>
                <w:sz w:val="24"/>
                <w:szCs w:val="24"/>
              </w:rPr>
            </w:pPr>
            <w:r>
              <w:rPr>
                <w:rFonts w:hint="eastAsia" w:ascii="仿宋_GB2312" w:hAnsi="宋体" w:eastAsia="仿宋_GB2312"/>
                <w:sz w:val="24"/>
                <w:szCs w:val="24"/>
              </w:rPr>
              <w:t>现券代码</w:t>
            </w:r>
          </w:p>
        </w:tc>
      </w:tr>
      <w:tr w14:paraId="38525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1" w:type="dxa"/>
          </w:tcPr>
          <w:p w14:paraId="597AD292">
            <w:pPr>
              <w:rPr>
                <w:rFonts w:ascii="仿宋_GB2312" w:hAnsi="宋体" w:eastAsia="仿宋_GB2312"/>
                <w:b/>
                <w:sz w:val="24"/>
                <w:szCs w:val="24"/>
              </w:rPr>
            </w:pPr>
            <w:r>
              <w:rPr>
                <w:rFonts w:hint="eastAsia" w:ascii="仿宋_GB2312" w:hAnsi="宋体" w:eastAsia="仿宋_GB2312"/>
                <w:b/>
                <w:sz w:val="24"/>
                <w:szCs w:val="24"/>
              </w:rPr>
              <w:t>证券账号</w:t>
            </w:r>
          </w:p>
        </w:tc>
        <w:tc>
          <w:tcPr>
            <w:tcW w:w="5529" w:type="dxa"/>
          </w:tcPr>
          <w:p w14:paraId="2FDE2C04">
            <w:pPr>
              <w:rPr>
                <w:rFonts w:ascii="仿宋_GB2312" w:hAnsi="宋体" w:eastAsia="仿宋_GB2312"/>
                <w:sz w:val="24"/>
                <w:szCs w:val="24"/>
              </w:rPr>
            </w:pPr>
            <w:r>
              <w:rPr>
                <w:rFonts w:hint="eastAsia" w:ascii="仿宋_GB2312" w:hAnsi="宋体" w:eastAsia="仿宋_GB2312"/>
                <w:sz w:val="24"/>
                <w:szCs w:val="24"/>
              </w:rPr>
              <w:t>可以选择本交易员有权使用的所有交易账号</w:t>
            </w:r>
          </w:p>
        </w:tc>
      </w:tr>
      <w:tr w14:paraId="1E8E9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77DBB9D7">
            <w:pPr>
              <w:rPr>
                <w:rFonts w:ascii="仿宋_GB2312" w:hAnsi="宋体" w:eastAsia="仿宋_GB2312"/>
                <w:b/>
                <w:sz w:val="24"/>
                <w:szCs w:val="24"/>
              </w:rPr>
            </w:pPr>
            <w:r>
              <w:rPr>
                <w:rFonts w:hint="eastAsia" w:ascii="仿宋_GB2312" w:hAnsi="宋体" w:eastAsia="仿宋_GB2312"/>
                <w:b/>
                <w:sz w:val="24"/>
                <w:szCs w:val="24"/>
              </w:rPr>
              <w:t>回售撤销数量</w:t>
            </w:r>
          </w:p>
        </w:tc>
        <w:tc>
          <w:tcPr>
            <w:tcW w:w="5529" w:type="dxa"/>
          </w:tcPr>
          <w:p w14:paraId="21EB4C14">
            <w:pPr>
              <w:rPr>
                <w:rFonts w:ascii="仿宋_GB2312" w:hAnsi="宋体" w:eastAsia="仿宋_GB2312"/>
                <w:sz w:val="24"/>
                <w:szCs w:val="24"/>
              </w:rPr>
            </w:pPr>
            <w:r>
              <w:rPr>
                <w:rFonts w:hint="eastAsia" w:ascii="仿宋_GB2312" w:hAnsi="宋体" w:eastAsia="仿宋_GB2312"/>
                <w:sz w:val="24"/>
                <w:szCs w:val="24"/>
              </w:rPr>
              <w:t>回售撤销的现券数量，以1000元面额为单位</w:t>
            </w:r>
          </w:p>
        </w:tc>
      </w:tr>
      <w:tr w14:paraId="06E1F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41E549EC">
            <w:pPr>
              <w:rPr>
                <w:rFonts w:ascii="仿宋_GB2312" w:hAnsi="宋体" w:eastAsia="仿宋_GB2312"/>
                <w:b/>
                <w:sz w:val="24"/>
                <w:szCs w:val="24"/>
              </w:rPr>
            </w:pPr>
            <w:r>
              <w:rPr>
                <w:rFonts w:hint="eastAsia" w:ascii="仿宋_GB2312" w:hAnsi="宋体" w:eastAsia="仿宋_GB2312"/>
                <w:b/>
                <w:sz w:val="24"/>
                <w:szCs w:val="24"/>
              </w:rPr>
              <w:t>席位号</w:t>
            </w:r>
          </w:p>
        </w:tc>
        <w:tc>
          <w:tcPr>
            <w:tcW w:w="5529" w:type="dxa"/>
          </w:tcPr>
          <w:p w14:paraId="023CCB0D">
            <w:pPr>
              <w:rPr>
                <w:rFonts w:ascii="仿宋_GB2312" w:hAnsi="宋体" w:eastAsia="仿宋_GB2312"/>
                <w:sz w:val="24"/>
                <w:szCs w:val="24"/>
              </w:rPr>
            </w:pPr>
            <w:r>
              <w:rPr>
                <w:rFonts w:hint="eastAsia" w:ascii="仿宋_GB2312" w:hAnsi="宋体" w:eastAsia="仿宋_GB2312"/>
                <w:sz w:val="24"/>
                <w:szCs w:val="24"/>
              </w:rPr>
              <w:t>根据选择的账户自动匹配，无需用户输入</w:t>
            </w:r>
          </w:p>
        </w:tc>
      </w:tr>
      <w:tr w14:paraId="722B3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0D025575">
            <w:pPr>
              <w:rPr>
                <w:rFonts w:ascii="仿宋_GB2312" w:hAnsi="宋体" w:eastAsia="仿宋_GB2312"/>
                <w:sz w:val="24"/>
                <w:szCs w:val="24"/>
              </w:rPr>
            </w:pPr>
            <w:r>
              <w:rPr>
                <w:rFonts w:hint="eastAsia" w:ascii="仿宋_GB2312" w:hAnsi="宋体" w:eastAsia="仿宋_GB2312"/>
                <w:b/>
                <w:sz w:val="24"/>
                <w:szCs w:val="24"/>
              </w:rPr>
              <w:t>回售价格</w:t>
            </w:r>
          </w:p>
        </w:tc>
        <w:tc>
          <w:tcPr>
            <w:tcW w:w="5529" w:type="dxa"/>
          </w:tcPr>
          <w:p w14:paraId="4262CB17">
            <w:pPr>
              <w:rPr>
                <w:rFonts w:ascii="仿宋_GB2312" w:hAnsi="宋体" w:eastAsia="仿宋_GB2312"/>
                <w:sz w:val="24"/>
                <w:szCs w:val="24"/>
              </w:rPr>
            </w:pPr>
            <w:r>
              <w:rPr>
                <w:rFonts w:hint="eastAsia" w:ascii="仿宋_GB2312" w:hAnsi="宋体" w:eastAsia="仿宋_GB2312"/>
                <w:sz w:val="24"/>
                <w:szCs w:val="24"/>
              </w:rPr>
              <w:t>自动匹配，无需用户输入</w:t>
            </w:r>
          </w:p>
        </w:tc>
      </w:tr>
    </w:tbl>
    <w:p w14:paraId="0ACDE5F5">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回售撤销申报后，</w:t>
      </w:r>
      <w:r>
        <w:rPr>
          <w:rFonts w:ascii="仿宋_GB2312" w:hAnsi="宋体" w:eastAsia="仿宋_GB2312"/>
          <w:sz w:val="30"/>
          <w:szCs w:val="30"/>
        </w:rPr>
        <w:t>T+1</w:t>
      </w:r>
      <w:r>
        <w:rPr>
          <w:rFonts w:hint="eastAsia" w:ascii="仿宋_GB2312" w:hAnsi="宋体" w:eastAsia="仿宋_GB2312"/>
          <w:sz w:val="30"/>
          <w:szCs w:val="30"/>
        </w:rPr>
        <w:t>日债券恢复可交易状态。</w:t>
      </w:r>
    </w:p>
    <w:p w14:paraId="231C7BF6">
      <w:pPr>
        <w:pStyle w:val="15"/>
        <w:ind w:firstLine="600" w:firstLineChars="200"/>
        <w:rPr>
          <w:lang w:eastAsia="zh-CN"/>
        </w:rPr>
      </w:pPr>
      <w:r>
        <w:rPr>
          <w:rFonts w:hint="eastAsia" w:ascii="仿宋_GB2312" w:hAnsi="宋体" w:eastAsia="仿宋_GB2312"/>
          <w:sz w:val="30"/>
          <w:szCs w:val="30"/>
          <w:lang w:eastAsia="zh-CN"/>
        </w:rPr>
        <w:t>在债券回售登记期内，债券投资者可以多次提交回售申报和回售撤销申报。回售申报数量不得高于可用债券持仓，回售撤销申报数量不得高于已申报回售数量。其中，已申报回售数量</w:t>
      </w:r>
      <w:r>
        <w:rPr>
          <w:rFonts w:ascii="仿宋_GB2312" w:hAnsi="宋体" w:eastAsia="仿宋_GB2312"/>
          <w:sz w:val="30"/>
          <w:szCs w:val="30"/>
          <w:lang w:eastAsia="zh-CN"/>
        </w:rPr>
        <w:t>=</w:t>
      </w:r>
      <w:r>
        <w:rPr>
          <w:rFonts w:hint="eastAsia" w:ascii="仿宋_GB2312" w:hAnsi="宋体" w:eastAsia="仿宋_GB2312"/>
          <w:sz w:val="30"/>
          <w:szCs w:val="30"/>
          <w:lang w:eastAsia="zh-CN"/>
        </w:rPr>
        <w:t>累计的回售申报数量</w:t>
      </w:r>
      <w:r>
        <w:rPr>
          <w:rFonts w:ascii="仿宋_GB2312" w:hAnsi="宋体" w:eastAsia="仿宋_GB2312"/>
          <w:sz w:val="30"/>
          <w:szCs w:val="30"/>
          <w:lang w:eastAsia="zh-CN"/>
        </w:rPr>
        <w:t>-</w:t>
      </w:r>
      <w:r>
        <w:rPr>
          <w:rFonts w:hint="eastAsia" w:ascii="仿宋_GB2312" w:hAnsi="宋体" w:eastAsia="仿宋_GB2312"/>
          <w:sz w:val="30"/>
          <w:szCs w:val="30"/>
          <w:lang w:eastAsia="zh-CN"/>
        </w:rPr>
        <w:t>累计撤销回售申报数量；债券投资者可用债券持仓是指债券投资者未冻结的、可进行相关业务操作的持仓数量。当日申请回售撤销的合计数量超过已回售登记余额的，按照已回售申报登记余额进行回售撤销处理。</w:t>
      </w:r>
    </w:p>
    <w:p w14:paraId="42BB4629">
      <w:pPr>
        <w:numPr>
          <w:ilvl w:val="1"/>
          <w:numId w:val="4"/>
        </w:numPr>
        <w:spacing w:line="600" w:lineRule="exact"/>
        <w:ind w:left="0" w:firstLine="0"/>
        <w:outlineLvl w:val="1"/>
        <w:rPr>
          <w:rFonts w:ascii="仿宋_GB2312" w:eastAsia="仿宋_GB2312"/>
          <w:b/>
          <w:sz w:val="30"/>
          <w:szCs w:val="30"/>
        </w:rPr>
      </w:pPr>
      <w:bookmarkStart w:id="2445" w:name="_Toc102993382"/>
      <w:bookmarkEnd w:id="2445"/>
      <w:bookmarkStart w:id="2446" w:name="_Toc14166609"/>
      <w:bookmarkStart w:id="2447" w:name="_Toc24459975"/>
      <w:bookmarkStart w:id="2448" w:name="_Toc56166296"/>
      <w:bookmarkStart w:id="2449" w:name="_Toc34763069"/>
      <w:bookmarkStart w:id="2450" w:name="_Toc16497838"/>
      <w:bookmarkStart w:id="2451" w:name="_Toc574475532"/>
      <w:bookmarkStart w:id="2452" w:name="_Toc19542094"/>
      <w:bookmarkStart w:id="2453" w:name="_Toc151137057"/>
      <w:bookmarkStart w:id="2454" w:name="_Toc56166107"/>
      <w:bookmarkStart w:id="2455" w:name="_Toc1472804919"/>
      <w:bookmarkStart w:id="2456" w:name="_Toc1065118283"/>
      <w:bookmarkStart w:id="2457" w:name="_Toc2009530168"/>
      <w:r>
        <w:rPr>
          <w:rFonts w:hint="eastAsia" w:ascii="仿宋_GB2312" w:eastAsia="仿宋_GB2312"/>
          <w:b/>
          <w:sz w:val="30"/>
          <w:szCs w:val="30"/>
        </w:rPr>
        <w:t>债券回售后转售</w:t>
      </w:r>
      <w:bookmarkEnd w:id="2446"/>
      <w:bookmarkEnd w:id="2447"/>
      <w:bookmarkEnd w:id="2448"/>
      <w:bookmarkEnd w:id="2449"/>
      <w:bookmarkEnd w:id="2450"/>
      <w:bookmarkEnd w:id="2451"/>
      <w:bookmarkEnd w:id="2452"/>
      <w:bookmarkEnd w:id="2453"/>
      <w:bookmarkEnd w:id="2454"/>
      <w:bookmarkEnd w:id="2455"/>
      <w:bookmarkEnd w:id="2456"/>
      <w:bookmarkEnd w:id="2457"/>
    </w:p>
    <w:p w14:paraId="2E136492">
      <w:pPr>
        <w:spacing w:line="600" w:lineRule="exact"/>
        <w:ind w:firstLine="600" w:firstLineChars="200"/>
        <w:jc w:val="left"/>
        <w:rPr>
          <w:rFonts w:ascii="Calibri" w:hAnsi="Calibri" w:eastAsia="仿宋_GB2312"/>
          <w:sz w:val="30"/>
          <w:szCs w:val="30"/>
        </w:rPr>
      </w:pPr>
      <w:r>
        <w:rPr>
          <w:rFonts w:hint="eastAsia" w:ascii="仿宋_GB2312" w:hAnsi="Calibri" w:eastAsia="仿宋_GB2312"/>
          <w:sz w:val="30"/>
          <w:szCs w:val="30"/>
        </w:rPr>
        <w:t>债券回售后转售是指发行人根据回售实施公告选择将全部或部分回售债券转售给债券投资者。</w:t>
      </w:r>
    </w:p>
    <w:p w14:paraId="7B578643">
      <w:pPr>
        <w:numPr>
          <w:ilvl w:val="2"/>
          <w:numId w:val="4"/>
        </w:numPr>
        <w:spacing w:line="600" w:lineRule="exact"/>
        <w:ind w:left="0" w:firstLine="0"/>
        <w:outlineLvl w:val="2"/>
        <w:rPr>
          <w:rFonts w:ascii="仿宋_GB2312" w:eastAsia="仿宋_GB2312"/>
          <w:b/>
          <w:sz w:val="30"/>
          <w:szCs w:val="30"/>
        </w:rPr>
      </w:pPr>
      <w:bookmarkStart w:id="2458" w:name="_Toc19542095"/>
      <w:bookmarkStart w:id="2459" w:name="_Toc34763070"/>
      <w:bookmarkStart w:id="2460" w:name="_Toc16497839"/>
      <w:bookmarkStart w:id="2461" w:name="_Toc24459976"/>
      <w:r>
        <w:rPr>
          <w:rFonts w:hint="eastAsia" w:ascii="仿宋_GB2312" w:eastAsia="仿宋_GB2312"/>
          <w:b/>
          <w:sz w:val="30"/>
          <w:szCs w:val="30"/>
        </w:rPr>
        <w:t>转售准备</w:t>
      </w:r>
      <w:bookmarkEnd w:id="2458"/>
      <w:bookmarkEnd w:id="2459"/>
      <w:bookmarkEnd w:id="2460"/>
      <w:bookmarkEnd w:id="2461"/>
    </w:p>
    <w:p w14:paraId="10BECA49">
      <w:pPr>
        <w:spacing w:line="600" w:lineRule="exact"/>
        <w:ind w:firstLine="600" w:firstLineChars="200"/>
        <w:jc w:val="left"/>
        <w:rPr>
          <w:rFonts w:ascii="仿宋_GB2312" w:hAnsi="Calibri" w:eastAsia="仿宋_GB2312"/>
          <w:sz w:val="30"/>
          <w:szCs w:val="30"/>
        </w:rPr>
      </w:pPr>
      <w:r>
        <w:rPr>
          <w:rFonts w:hint="eastAsia" w:ascii="仿宋_GB2312" w:hAnsi="宋体" w:eastAsia="仿宋_GB2312"/>
          <w:sz w:val="30"/>
          <w:szCs w:val="30"/>
        </w:rPr>
        <w:t>债券投资者可通过</w:t>
      </w:r>
      <w:r>
        <w:rPr>
          <w:rFonts w:ascii="仿宋_GB2312" w:hAnsi="宋体" w:eastAsia="仿宋_GB2312"/>
          <w:sz w:val="30"/>
          <w:szCs w:val="30"/>
        </w:rPr>
        <w:t>本所官网、债券信息网</w:t>
      </w:r>
      <w:r>
        <w:rPr>
          <w:rFonts w:hint="eastAsia" w:ascii="仿宋_GB2312" w:hAnsi="宋体" w:eastAsia="仿宋_GB2312"/>
          <w:sz w:val="30"/>
          <w:szCs w:val="30"/>
        </w:rPr>
        <w:t>等本所信息披露平台查看下列</w:t>
      </w:r>
      <w:r>
        <w:rPr>
          <w:rFonts w:hint="eastAsia" w:ascii="仿宋_GB2312" w:hAnsi="Calibri" w:eastAsia="仿宋_GB2312"/>
          <w:sz w:val="30"/>
          <w:szCs w:val="30"/>
        </w:rPr>
        <w:t>有关债券回售后转售的信息披露文件。</w:t>
      </w:r>
    </w:p>
    <w:p w14:paraId="5602DA01">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（1） 回售结束后，发行人根据相关安排进行回售后转售的，将在回售结果公告中披露拟转售债券金额、转售期等。</w:t>
      </w:r>
    </w:p>
    <w:p w14:paraId="67372591">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（2）转售结果公告。公告内容包括拟转售债券金额、完成转售债券金额、注销未转售债券金额等。</w:t>
      </w:r>
    </w:p>
    <w:p w14:paraId="5480A98D">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转售期原则上不超过</w:t>
      </w:r>
      <w:r>
        <w:rPr>
          <w:rFonts w:ascii="仿宋_GB2312" w:hAnsi="宋体" w:eastAsia="仿宋_GB2312"/>
          <w:sz w:val="30"/>
          <w:szCs w:val="30"/>
        </w:rPr>
        <w:t>20个交易日</w:t>
      </w:r>
      <w:r>
        <w:rPr>
          <w:rFonts w:hint="eastAsia" w:ascii="仿宋_GB2312" w:hAnsi="宋体" w:eastAsia="仿宋_GB2312"/>
          <w:sz w:val="30"/>
          <w:szCs w:val="30"/>
        </w:rPr>
        <w:t>，自回售资金发放当日起算。经本所认可，发行人公告延期事由的，可适当延长转售期。</w:t>
      </w:r>
    </w:p>
    <w:p w14:paraId="386A98D1">
      <w:pPr>
        <w:spacing w:line="600" w:lineRule="exact"/>
        <w:ind w:firstLine="600" w:firstLineChars="200"/>
        <w:jc w:val="left"/>
        <w:rPr>
          <w:rFonts w:ascii="仿宋_GB2312" w:hAnsi="宋体" w:eastAsia="仿宋_GB2312"/>
          <w:sz w:val="30"/>
          <w:szCs w:val="30"/>
        </w:rPr>
      </w:pPr>
      <w:r>
        <w:rPr>
          <w:rFonts w:ascii="仿宋_GB2312" w:hAnsi="宋体" w:eastAsia="仿宋_GB2312"/>
          <w:sz w:val="30"/>
          <w:szCs w:val="30"/>
        </w:rPr>
        <w:t>转售价格由发行人和转售受让方自行协商确定。</w:t>
      </w:r>
    </w:p>
    <w:p w14:paraId="402B5158">
      <w:pPr>
        <w:numPr>
          <w:ilvl w:val="2"/>
          <w:numId w:val="4"/>
        </w:numPr>
        <w:spacing w:line="600" w:lineRule="exact"/>
        <w:ind w:left="0" w:firstLine="0"/>
        <w:outlineLvl w:val="2"/>
        <w:rPr>
          <w:rFonts w:ascii="仿宋_GB2312" w:eastAsia="仿宋_GB2312"/>
          <w:b/>
          <w:sz w:val="30"/>
          <w:szCs w:val="30"/>
        </w:rPr>
      </w:pPr>
      <w:bookmarkStart w:id="2462" w:name="_Toc16497841"/>
      <w:bookmarkStart w:id="2463" w:name="_Toc34763072"/>
      <w:bookmarkStart w:id="2464" w:name="_Toc24459978"/>
      <w:bookmarkStart w:id="2465" w:name="_Toc19542097"/>
      <w:r>
        <w:rPr>
          <w:rFonts w:hint="eastAsia" w:ascii="仿宋_GB2312" w:eastAsia="仿宋_GB2312"/>
          <w:b/>
          <w:sz w:val="30"/>
          <w:szCs w:val="30"/>
        </w:rPr>
        <w:t>转售申报</w:t>
      </w:r>
      <w:bookmarkEnd w:id="2462"/>
      <w:bookmarkEnd w:id="2463"/>
      <w:bookmarkEnd w:id="2464"/>
      <w:bookmarkEnd w:id="2465"/>
    </w:p>
    <w:p w14:paraId="6B76C1D6">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发行人与转售受让方可以通过本所固收平台实施转售，也可以通过本所认可的其他方式实施转售。</w:t>
      </w:r>
    </w:p>
    <w:p w14:paraId="78123E97">
      <w:pPr>
        <w:spacing w:line="600" w:lineRule="exact"/>
        <w:ind w:firstLine="600" w:firstLineChars="200"/>
        <w:jc w:val="left"/>
        <w:rPr>
          <w:rFonts w:hint="eastAsia" w:ascii="仿宋_GB2312" w:hAnsi="宋体" w:eastAsia="仿宋_GB2312"/>
          <w:sz w:val="30"/>
          <w:szCs w:val="30"/>
        </w:rPr>
      </w:pPr>
      <w:r>
        <w:rPr>
          <w:rFonts w:hint="eastAsia" w:ascii="仿宋_GB2312" w:hAnsi="宋体" w:eastAsia="仿宋_GB2312"/>
          <w:sz w:val="30"/>
          <w:szCs w:val="30"/>
        </w:rPr>
        <w:t>通过本所固收平台实施转售的，发行人与转售受让方应当在转售期内提交转售申报，具体实施方式为</w:t>
      </w:r>
      <w:r>
        <w:rPr>
          <w:rFonts w:hint="eastAsia" w:ascii="仿宋_GB2312" w:hAnsi="宋体" w:eastAsia="仿宋_GB2312"/>
          <w:bCs/>
          <w:sz w:val="30"/>
          <w:szCs w:val="30"/>
        </w:rPr>
        <w:t>通过协商成交的方式完成转售</w:t>
      </w:r>
      <w:r>
        <w:rPr>
          <w:rFonts w:hint="eastAsia" w:ascii="仿宋_GB2312" w:hAnsi="宋体" w:eastAsia="仿宋_GB2312"/>
          <w:sz w:val="30"/>
          <w:szCs w:val="30"/>
        </w:rPr>
        <w:t>。协商成交的申报要素、交易流程及其撤销详见本指南第5章。转售协商成交申报的买方为转售受让方，卖方为发行人，卖方证券账户即发行人回售专用证券账户。债券转售的受让方应符合本所债券投资者适当性管理相关要求。</w:t>
      </w:r>
    </w:p>
    <w:p w14:paraId="510CAF5B">
      <w:pPr>
        <w:spacing w:line="600" w:lineRule="exact"/>
        <w:ind w:firstLine="600" w:firstLineChars="200"/>
        <w:jc w:val="left"/>
        <w:rPr>
          <w:rFonts w:hint="eastAsia" w:ascii="仿宋_GB2312" w:hAnsi="宋体" w:eastAsia="仿宋_GB2312"/>
          <w:sz w:val="30"/>
          <w:szCs w:val="30"/>
        </w:rPr>
      </w:pPr>
      <w:r>
        <w:rPr>
          <w:rFonts w:hint="eastAsia" w:ascii="仿宋_GB2312" w:hAnsi="宋体" w:eastAsia="仿宋_GB2312"/>
          <w:sz w:val="30"/>
          <w:szCs w:val="30"/>
          <w:lang w:eastAsia="zh-CN"/>
        </w:rPr>
        <w:t>通过其他方式实施转售的，</w:t>
      </w:r>
      <w:r>
        <w:rPr>
          <w:rFonts w:hint="eastAsia" w:ascii="仿宋_GB2312" w:hAnsi="宋体" w:eastAsia="仿宋_GB2312"/>
          <w:sz w:val="30"/>
          <w:szCs w:val="30"/>
        </w:rPr>
        <w:t>发行人与转售受让方</w:t>
      </w:r>
      <w:r>
        <w:rPr>
          <w:rFonts w:hint="eastAsia" w:ascii="仿宋_GB2312" w:hAnsi="宋体" w:eastAsia="仿宋_GB2312"/>
          <w:sz w:val="30"/>
          <w:szCs w:val="30"/>
          <w:lang w:eastAsia="zh-CN"/>
        </w:rPr>
        <w:t>应确保转售价格合理公允。具体申请材料及办理程序见</w:t>
      </w:r>
      <w:r>
        <w:rPr>
          <w:rFonts w:hint="eastAsia" w:ascii="仿宋_GB2312" w:hAnsi="宋体" w:eastAsia="仿宋_GB2312"/>
          <w:sz w:val="30"/>
          <w:szCs w:val="30"/>
          <w:lang w:val="en-US" w:eastAsia="zh-CN"/>
        </w:rPr>
        <w:t>9.8 非交易过户。</w:t>
      </w:r>
    </w:p>
    <w:p w14:paraId="389F6E05">
      <w:pPr>
        <w:numPr>
          <w:ilvl w:val="1"/>
          <w:numId w:val="4"/>
        </w:numPr>
        <w:spacing w:line="600" w:lineRule="exact"/>
        <w:ind w:left="0" w:firstLine="0"/>
        <w:outlineLvl w:val="1"/>
        <w:rPr>
          <w:rFonts w:ascii="仿宋_GB2312" w:eastAsia="仿宋_GB2312"/>
          <w:b/>
          <w:sz w:val="30"/>
          <w:szCs w:val="30"/>
        </w:rPr>
      </w:pPr>
      <w:bookmarkStart w:id="2466" w:name="_Toc399610544"/>
      <w:bookmarkStart w:id="2467" w:name="_Toc56166108"/>
      <w:bookmarkStart w:id="2468" w:name="_Toc34763074"/>
      <w:bookmarkStart w:id="2469" w:name="_Toc19542099"/>
      <w:bookmarkStart w:id="2470" w:name="_Toc881512843"/>
      <w:bookmarkStart w:id="2471" w:name="_Toc151137058"/>
      <w:bookmarkStart w:id="2472" w:name="_Toc14166610"/>
      <w:bookmarkStart w:id="2473" w:name="_Toc24459980"/>
      <w:bookmarkStart w:id="2474" w:name="_Toc16497843"/>
      <w:bookmarkStart w:id="2475" w:name="_Toc56166297"/>
      <w:bookmarkStart w:id="2476" w:name="_Toc1687236963"/>
      <w:bookmarkStart w:id="2477" w:name="_Toc1186368714"/>
      <w:r>
        <w:rPr>
          <w:rFonts w:hint="eastAsia" w:ascii="仿宋_GB2312" w:eastAsia="仿宋_GB2312"/>
          <w:b/>
          <w:sz w:val="30"/>
          <w:szCs w:val="30"/>
        </w:rPr>
        <w:t>债券转股</w:t>
      </w:r>
      <w:bookmarkEnd w:id="2466"/>
      <w:bookmarkEnd w:id="2467"/>
      <w:bookmarkEnd w:id="2468"/>
      <w:bookmarkEnd w:id="2469"/>
      <w:bookmarkEnd w:id="2470"/>
      <w:bookmarkEnd w:id="2471"/>
      <w:bookmarkEnd w:id="2472"/>
      <w:bookmarkEnd w:id="2473"/>
      <w:bookmarkEnd w:id="2474"/>
      <w:bookmarkEnd w:id="2475"/>
      <w:bookmarkEnd w:id="2476"/>
      <w:bookmarkEnd w:id="2477"/>
    </w:p>
    <w:p w14:paraId="069F5D23">
      <w:pPr>
        <w:numPr>
          <w:ilvl w:val="2"/>
          <w:numId w:val="4"/>
        </w:numPr>
        <w:spacing w:line="600" w:lineRule="exact"/>
        <w:ind w:left="0" w:firstLine="0"/>
        <w:outlineLvl w:val="2"/>
        <w:rPr>
          <w:rFonts w:ascii="仿宋_GB2312" w:eastAsia="仿宋_GB2312"/>
          <w:b/>
          <w:sz w:val="30"/>
          <w:szCs w:val="30"/>
        </w:rPr>
      </w:pPr>
      <w:bookmarkStart w:id="2478" w:name="_Toc34763075"/>
      <w:bookmarkStart w:id="2479" w:name="_Toc19542100"/>
      <w:bookmarkStart w:id="2480" w:name="_Toc16497844"/>
      <w:bookmarkStart w:id="2481" w:name="_Toc24459981"/>
      <w:bookmarkStart w:id="2482" w:name="_Toc14166611"/>
      <w:r>
        <w:rPr>
          <w:rFonts w:hint="eastAsia" w:ascii="仿宋_GB2312" w:eastAsia="仿宋_GB2312"/>
          <w:b/>
          <w:sz w:val="30"/>
          <w:szCs w:val="30"/>
        </w:rPr>
        <w:t>转股准备</w:t>
      </w:r>
      <w:bookmarkEnd w:id="2478"/>
      <w:bookmarkEnd w:id="2479"/>
      <w:bookmarkEnd w:id="2480"/>
      <w:bookmarkEnd w:id="2481"/>
    </w:p>
    <w:p w14:paraId="6AF7B6A4">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设定转股条款的债券，债券投资者有权选择在转股期内实施转股，将持有的债券转换为发行人的股票或股份。</w:t>
      </w:r>
    </w:p>
    <w:p w14:paraId="3431BAA3">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本所为下列品种提供转股服务：</w:t>
      </w:r>
    </w:p>
    <w:p w14:paraId="5D553B7B">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（1）上市公司面向不特定对象发行的可转换公司债券（以下简称公募可转债）；</w:t>
      </w:r>
    </w:p>
    <w:p w14:paraId="6ADCBA8E">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（2）非上市公司非公开发行可转换公司债券（以下简称私募可转债）；</w:t>
      </w:r>
    </w:p>
    <w:p w14:paraId="0F6D47F8">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（3）本所认可的其他债券。</w:t>
      </w:r>
    </w:p>
    <w:p w14:paraId="400DA443">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转股类型分为公募可转债转股、私募可转债转新三板股票及私募可转债转股权。</w:t>
      </w:r>
    </w:p>
    <w:p w14:paraId="15EEADA2">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其中，公募可转债转股通过综合业务平台实施；私募可转债转新三板股票及私募可转债转股权通过固收平台实施。</w:t>
      </w:r>
    </w:p>
    <w:p w14:paraId="3428D4E3">
      <w:pPr>
        <w:spacing w:line="600" w:lineRule="exact"/>
        <w:ind w:firstLine="600" w:firstLineChars="200"/>
        <w:jc w:val="left"/>
        <w:rPr>
          <w:rFonts w:ascii="仿宋_GB2312" w:hAnsi="Calibri" w:eastAsia="仿宋_GB2312"/>
          <w:sz w:val="30"/>
          <w:szCs w:val="30"/>
        </w:rPr>
      </w:pPr>
      <w:r>
        <w:rPr>
          <w:rFonts w:hint="eastAsia" w:ascii="仿宋_GB2312" w:hAnsi="宋体" w:eastAsia="仿宋_GB2312"/>
          <w:sz w:val="30"/>
          <w:szCs w:val="30"/>
        </w:rPr>
        <w:t>债券投资者可通过</w:t>
      </w:r>
      <w:r>
        <w:rPr>
          <w:rFonts w:ascii="仿宋_GB2312" w:hAnsi="宋体" w:eastAsia="仿宋_GB2312"/>
          <w:sz w:val="30"/>
          <w:szCs w:val="30"/>
        </w:rPr>
        <w:t>本所官网、债券信息网等本所信息披露平台查看下列</w:t>
      </w:r>
      <w:r>
        <w:rPr>
          <w:rFonts w:hint="eastAsia" w:ascii="仿宋_GB2312" w:hAnsi="Calibri" w:eastAsia="仿宋_GB2312"/>
          <w:sz w:val="30"/>
          <w:szCs w:val="30"/>
        </w:rPr>
        <w:t>有关债券转股的信息披露文件。</w:t>
      </w:r>
    </w:p>
    <w:p w14:paraId="7F07F22E">
      <w:pPr>
        <w:spacing w:line="600" w:lineRule="exact"/>
        <w:ind w:firstLine="600" w:firstLineChars="200"/>
        <w:jc w:val="left"/>
        <w:rPr>
          <w:rFonts w:ascii="仿宋_GB2312" w:hAnsi="Calibri" w:eastAsia="仿宋_GB2312"/>
          <w:sz w:val="30"/>
          <w:szCs w:val="30"/>
        </w:rPr>
      </w:pPr>
      <w:r>
        <w:rPr>
          <w:rFonts w:hint="eastAsia" w:ascii="仿宋_GB2312" w:hAnsi="Calibri" w:eastAsia="仿宋_GB2312"/>
          <w:sz w:val="30"/>
          <w:szCs w:val="30"/>
        </w:rPr>
        <w:t>（1）公募可转债开始转股公告。公告内容包括公募可转债转股的证券代码、证券简称、转股价格、转股申报起止日等。</w:t>
      </w:r>
    </w:p>
    <w:p w14:paraId="62619D37">
      <w:pPr>
        <w:spacing w:line="600" w:lineRule="exact"/>
        <w:ind w:firstLine="600" w:firstLineChars="200"/>
        <w:jc w:val="left"/>
        <w:rPr>
          <w:rFonts w:ascii="仿宋_GB2312" w:hAnsi="Calibri" w:eastAsia="仿宋_GB2312"/>
          <w:sz w:val="30"/>
          <w:szCs w:val="30"/>
        </w:rPr>
      </w:pPr>
      <w:r>
        <w:rPr>
          <w:rFonts w:hint="eastAsia" w:ascii="仿宋_GB2312" w:hAnsi="Calibri" w:eastAsia="仿宋_GB2312"/>
          <w:sz w:val="30"/>
          <w:szCs w:val="30"/>
        </w:rPr>
        <w:t>（2）私募可转债转股公告。公告内容包括可转换债券的基本情况、转股申报起止日、转股程序、转股价格等。</w:t>
      </w:r>
    </w:p>
    <w:p w14:paraId="56E1AFC8">
      <w:pPr>
        <w:numPr>
          <w:ilvl w:val="2"/>
          <w:numId w:val="4"/>
        </w:numPr>
        <w:spacing w:line="600" w:lineRule="exact"/>
        <w:ind w:left="0" w:firstLine="0"/>
        <w:outlineLvl w:val="2"/>
        <w:rPr>
          <w:rFonts w:ascii="仿宋_GB2312" w:eastAsia="仿宋_GB2312"/>
          <w:b/>
          <w:sz w:val="30"/>
          <w:szCs w:val="30"/>
        </w:rPr>
      </w:pPr>
      <w:bookmarkStart w:id="2483" w:name="_Toc19542102"/>
      <w:bookmarkStart w:id="2484" w:name="_Toc16497846"/>
      <w:bookmarkStart w:id="2485" w:name="_Toc34763077"/>
      <w:bookmarkStart w:id="2486" w:name="_Toc24459983"/>
      <w:r>
        <w:rPr>
          <w:rFonts w:hint="eastAsia" w:ascii="仿宋_GB2312" w:eastAsia="仿宋_GB2312"/>
          <w:b/>
          <w:sz w:val="30"/>
          <w:szCs w:val="30"/>
        </w:rPr>
        <w:t>转股申报</w:t>
      </w:r>
      <w:bookmarkEnd w:id="2483"/>
      <w:bookmarkEnd w:id="2484"/>
      <w:bookmarkEnd w:id="2485"/>
      <w:bookmarkEnd w:id="2486"/>
    </w:p>
    <w:p w14:paraId="32E833E0">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公募可转债自发行结束之日起六个月后，在符合约定条件时，债券投资者可申请转换为上市公司股票。转股期由发行人自行决定，并应符合相关规则的要求。</w:t>
      </w:r>
    </w:p>
    <w:p w14:paraId="76206ED1">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公募可转债的持有人可以在转股期内进行转股，但下列时间除外：</w:t>
      </w:r>
    </w:p>
    <w:p w14:paraId="7D27875D">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（1）公募可转债停止交易前的可转债停牌时间；</w:t>
      </w:r>
    </w:p>
    <w:p w14:paraId="19836A72">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（2）发行人公司股票停牌时间；</w:t>
      </w:r>
    </w:p>
    <w:p w14:paraId="3C8AD418">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（3）发行人按照有关规定申请停止转股期间。</w:t>
      </w:r>
    </w:p>
    <w:p w14:paraId="1D700B1A">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私募可转债自发行结束之日起</w:t>
      </w:r>
      <w:r>
        <w:rPr>
          <w:rFonts w:ascii="仿宋_GB2312" w:hAnsi="宋体" w:eastAsia="仿宋_GB2312"/>
          <w:sz w:val="30"/>
          <w:szCs w:val="30"/>
        </w:rPr>
        <w:t>6个月后</w:t>
      </w:r>
      <w:r>
        <w:rPr>
          <w:rFonts w:hint="eastAsia" w:ascii="仿宋_GB2312" w:hAnsi="宋体" w:eastAsia="仿宋_GB2312"/>
          <w:sz w:val="30"/>
          <w:szCs w:val="30"/>
        </w:rPr>
        <w:t>，债券投资者可以转股。每</w:t>
      </w:r>
      <w:r>
        <w:rPr>
          <w:rFonts w:ascii="仿宋_GB2312" w:hAnsi="宋体" w:eastAsia="仿宋_GB2312"/>
          <w:sz w:val="30"/>
          <w:szCs w:val="30"/>
        </w:rPr>
        <w:t>3个月可设置一次转股申报期，转股申报期不得少于5个交易日，不得多于10个交易日。</w:t>
      </w:r>
    </w:p>
    <w:p w14:paraId="2CBC5246">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通过固收平台进行转股申报的申报时间为转股期内每个交易日的</w:t>
      </w:r>
      <w:r>
        <w:rPr>
          <w:rFonts w:ascii="仿宋_GB2312" w:hAnsi="宋体" w:eastAsia="仿宋_GB2312"/>
          <w:sz w:val="30"/>
          <w:szCs w:val="30"/>
        </w:rPr>
        <w:t>9：00至11：30、13：00至15：30。</w:t>
      </w:r>
    </w:p>
    <w:p w14:paraId="6928FE1C">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通过综合业务平台进行转股申报的申报时间为转股期内每个交易日的</w:t>
      </w:r>
      <w:r>
        <w:rPr>
          <w:rFonts w:ascii="仿宋_GB2312" w:hAnsi="宋体" w:eastAsia="仿宋_GB2312"/>
          <w:sz w:val="30"/>
          <w:szCs w:val="30"/>
        </w:rPr>
        <w:t>9：</w:t>
      </w:r>
      <w:r>
        <w:rPr>
          <w:rFonts w:hint="eastAsia" w:ascii="仿宋_GB2312" w:hAnsi="宋体" w:eastAsia="仿宋_GB2312"/>
          <w:sz w:val="30"/>
          <w:szCs w:val="30"/>
        </w:rPr>
        <w:t>30</w:t>
      </w:r>
      <w:r>
        <w:rPr>
          <w:rFonts w:ascii="仿宋_GB2312" w:hAnsi="宋体" w:eastAsia="仿宋_GB2312"/>
          <w:sz w:val="30"/>
          <w:szCs w:val="30"/>
        </w:rPr>
        <w:t>至11：30、13：00至15：</w:t>
      </w:r>
      <w:r>
        <w:rPr>
          <w:rFonts w:hint="eastAsia" w:ascii="仿宋_GB2312" w:hAnsi="宋体" w:eastAsia="仿宋_GB2312"/>
          <w:sz w:val="30"/>
          <w:szCs w:val="30"/>
        </w:rPr>
        <w:t>00</w:t>
      </w:r>
      <w:r>
        <w:rPr>
          <w:rFonts w:ascii="仿宋_GB2312" w:hAnsi="宋体" w:eastAsia="仿宋_GB2312"/>
          <w:sz w:val="30"/>
          <w:szCs w:val="30"/>
        </w:rPr>
        <w:t>。</w:t>
      </w:r>
    </w:p>
    <w:p w14:paraId="15DC0A81">
      <w:pPr>
        <w:spacing w:line="600" w:lineRule="exact"/>
        <w:ind w:firstLine="600" w:firstLineChars="200"/>
        <w:jc w:val="left"/>
        <w:rPr>
          <w:rFonts w:ascii="仿宋_GB2312" w:hAnsi="宋体" w:eastAsia="仿宋_GB2312"/>
          <w:sz w:val="28"/>
          <w:szCs w:val="28"/>
        </w:rPr>
      </w:pPr>
      <w:r>
        <w:rPr>
          <w:rFonts w:hint="eastAsia" w:ascii="仿宋_GB2312" w:hAnsi="宋体" w:eastAsia="仿宋_GB2312"/>
          <w:sz w:val="30"/>
          <w:szCs w:val="30"/>
        </w:rPr>
        <w:t>转股申报的申报要素包括非交易类型、证券代码、证券简称、转股数量、转股类型、证券账号等。具体申报要素如下：</w:t>
      </w:r>
    </w:p>
    <w:tbl>
      <w:tblPr>
        <w:tblStyle w:val="43"/>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7"/>
        <w:gridCol w:w="5103"/>
      </w:tblGrid>
      <w:tr w14:paraId="4608C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306CE03C">
            <w:pPr>
              <w:rPr>
                <w:rFonts w:ascii="仿宋_GB2312" w:hAnsi="宋体" w:eastAsia="仿宋_GB2312"/>
                <w:b/>
                <w:sz w:val="24"/>
                <w:szCs w:val="24"/>
              </w:rPr>
            </w:pPr>
            <w:r>
              <w:rPr>
                <w:rFonts w:hint="eastAsia" w:ascii="仿宋_GB2312" w:hAnsi="宋体" w:eastAsia="仿宋_GB2312"/>
                <w:b/>
                <w:sz w:val="24"/>
                <w:szCs w:val="24"/>
              </w:rPr>
              <w:t>申报要素</w:t>
            </w:r>
          </w:p>
        </w:tc>
        <w:tc>
          <w:tcPr>
            <w:tcW w:w="5103" w:type="dxa"/>
          </w:tcPr>
          <w:p w14:paraId="50A95990">
            <w:pPr>
              <w:rPr>
                <w:rFonts w:ascii="仿宋_GB2312" w:hAnsi="宋体" w:eastAsia="仿宋_GB2312"/>
                <w:b/>
                <w:sz w:val="24"/>
                <w:szCs w:val="24"/>
              </w:rPr>
            </w:pPr>
            <w:r>
              <w:rPr>
                <w:rFonts w:hint="eastAsia" w:ascii="仿宋_GB2312" w:hAnsi="宋体" w:eastAsia="仿宋_GB2312"/>
                <w:b/>
                <w:sz w:val="24"/>
                <w:szCs w:val="24"/>
              </w:rPr>
              <w:t>要素说明</w:t>
            </w:r>
          </w:p>
        </w:tc>
      </w:tr>
      <w:tr w14:paraId="13F5F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4ED21E8A">
            <w:pPr>
              <w:rPr>
                <w:rFonts w:ascii="仿宋_GB2312" w:hAnsi="宋体" w:eastAsia="仿宋_GB2312"/>
                <w:b/>
                <w:sz w:val="24"/>
                <w:szCs w:val="24"/>
              </w:rPr>
            </w:pPr>
            <w:r>
              <w:rPr>
                <w:rFonts w:hint="eastAsia" w:ascii="仿宋_GB2312" w:hAnsi="宋体" w:eastAsia="仿宋_GB2312"/>
                <w:b/>
                <w:sz w:val="24"/>
                <w:szCs w:val="24"/>
              </w:rPr>
              <w:t>非交易类型</w:t>
            </w:r>
          </w:p>
        </w:tc>
        <w:tc>
          <w:tcPr>
            <w:tcW w:w="5103" w:type="dxa"/>
          </w:tcPr>
          <w:p w14:paraId="5487148D">
            <w:pPr>
              <w:rPr>
                <w:rFonts w:ascii="仿宋_GB2312" w:hAnsi="宋体" w:eastAsia="仿宋_GB2312"/>
                <w:sz w:val="24"/>
                <w:szCs w:val="24"/>
              </w:rPr>
            </w:pPr>
            <w:r>
              <w:rPr>
                <w:rFonts w:hint="eastAsia" w:ascii="仿宋_GB2312" w:hAnsi="宋体" w:eastAsia="仿宋_GB2312"/>
                <w:sz w:val="24"/>
                <w:szCs w:val="24"/>
              </w:rPr>
              <w:t>综合业务</w:t>
            </w:r>
            <w:r>
              <w:rPr>
                <w:rFonts w:ascii="仿宋_GB2312" w:hAnsi="宋体" w:eastAsia="仿宋_GB2312"/>
                <w:sz w:val="24"/>
                <w:szCs w:val="24"/>
              </w:rPr>
              <w:t>平台为BES</w:t>
            </w:r>
            <w:r>
              <w:rPr>
                <w:rFonts w:hint="eastAsia" w:ascii="仿宋_GB2312" w:hAnsi="宋体" w:eastAsia="仿宋_GB2312"/>
                <w:sz w:val="24"/>
                <w:szCs w:val="24"/>
              </w:rPr>
              <w:t>，</w:t>
            </w:r>
            <w:r>
              <w:rPr>
                <w:rFonts w:ascii="仿宋_GB2312" w:hAnsi="宋体" w:eastAsia="仿宋_GB2312"/>
                <w:sz w:val="24"/>
                <w:szCs w:val="24"/>
              </w:rPr>
              <w:t>固定收益平台为</w:t>
            </w:r>
            <w:r>
              <w:rPr>
                <w:rFonts w:hint="eastAsia" w:ascii="仿宋_GB2312" w:hAnsi="宋体" w:eastAsia="仿宋_GB2312"/>
                <w:sz w:val="24"/>
                <w:szCs w:val="24"/>
              </w:rPr>
              <w:t>转股</w:t>
            </w:r>
            <w:r>
              <w:rPr>
                <w:rFonts w:ascii="仿宋_GB2312" w:hAnsi="宋体" w:eastAsia="仿宋_GB2312"/>
                <w:sz w:val="24"/>
                <w:szCs w:val="24"/>
              </w:rPr>
              <w:t>菜单入口</w:t>
            </w:r>
          </w:p>
        </w:tc>
      </w:tr>
      <w:tr w14:paraId="3F48E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561E0BC1">
            <w:pPr>
              <w:rPr>
                <w:rFonts w:ascii="仿宋_GB2312" w:hAnsi="宋体" w:eastAsia="仿宋_GB2312"/>
                <w:b/>
                <w:sz w:val="24"/>
                <w:szCs w:val="24"/>
              </w:rPr>
            </w:pPr>
            <w:r>
              <w:rPr>
                <w:rFonts w:hint="eastAsia" w:ascii="仿宋_GB2312" w:hAnsi="宋体" w:eastAsia="仿宋_GB2312"/>
                <w:b/>
                <w:sz w:val="24"/>
                <w:szCs w:val="24"/>
              </w:rPr>
              <w:t>转股类型</w:t>
            </w:r>
          </w:p>
        </w:tc>
        <w:tc>
          <w:tcPr>
            <w:tcW w:w="5103" w:type="dxa"/>
          </w:tcPr>
          <w:p w14:paraId="3C1F614A">
            <w:pPr>
              <w:rPr>
                <w:rFonts w:ascii="仿宋_GB2312" w:hAnsi="宋体" w:eastAsia="仿宋_GB2312"/>
                <w:sz w:val="24"/>
                <w:szCs w:val="24"/>
              </w:rPr>
            </w:pPr>
            <w:r>
              <w:rPr>
                <w:rFonts w:hint="eastAsia" w:ascii="仿宋_GB2312" w:hAnsi="宋体" w:eastAsia="仿宋_GB2312"/>
                <w:sz w:val="24"/>
                <w:szCs w:val="24"/>
              </w:rPr>
              <w:t>综合业务</w:t>
            </w:r>
            <w:r>
              <w:rPr>
                <w:rFonts w:ascii="仿宋_GB2312" w:hAnsi="宋体" w:eastAsia="仿宋_GB2312"/>
                <w:sz w:val="24"/>
                <w:szCs w:val="24"/>
              </w:rPr>
              <w:t>平台为</w:t>
            </w:r>
            <w:r>
              <w:rPr>
                <w:rFonts w:hint="eastAsia" w:ascii="仿宋_GB2312" w:hAnsi="宋体" w:eastAsia="仿宋_GB2312"/>
                <w:sz w:val="24"/>
                <w:szCs w:val="24"/>
              </w:rPr>
              <w:t>公募可转债转股，</w:t>
            </w:r>
            <w:r>
              <w:rPr>
                <w:rFonts w:ascii="仿宋_GB2312" w:hAnsi="宋体" w:eastAsia="仿宋_GB2312"/>
                <w:sz w:val="24"/>
                <w:szCs w:val="24"/>
              </w:rPr>
              <w:t>固定收益平台为</w:t>
            </w:r>
            <w:r>
              <w:rPr>
                <w:rFonts w:hint="eastAsia" w:ascii="仿宋_GB2312" w:hAnsi="宋体" w:eastAsia="仿宋_GB2312"/>
                <w:sz w:val="24"/>
                <w:szCs w:val="24"/>
              </w:rPr>
              <w:t>私募可转债转新三板股票或私募可转债转股份</w:t>
            </w:r>
          </w:p>
        </w:tc>
      </w:tr>
      <w:tr w14:paraId="5CB38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27" w:type="dxa"/>
          </w:tcPr>
          <w:p w14:paraId="60DF4639">
            <w:pPr>
              <w:rPr>
                <w:rFonts w:ascii="仿宋_GB2312" w:hAnsi="宋体" w:eastAsia="仿宋_GB2312"/>
                <w:b/>
                <w:sz w:val="24"/>
                <w:szCs w:val="24"/>
              </w:rPr>
            </w:pPr>
            <w:r>
              <w:rPr>
                <w:rFonts w:hint="eastAsia" w:ascii="仿宋_GB2312" w:hAnsi="宋体" w:eastAsia="仿宋_GB2312"/>
                <w:b/>
                <w:sz w:val="24"/>
                <w:szCs w:val="24"/>
              </w:rPr>
              <w:t>证券账户</w:t>
            </w:r>
          </w:p>
        </w:tc>
        <w:tc>
          <w:tcPr>
            <w:tcW w:w="5103" w:type="dxa"/>
          </w:tcPr>
          <w:p w14:paraId="1620F794">
            <w:pPr>
              <w:rPr>
                <w:rFonts w:ascii="仿宋_GB2312" w:hAnsi="宋体" w:eastAsia="仿宋_GB2312"/>
                <w:sz w:val="24"/>
                <w:szCs w:val="24"/>
              </w:rPr>
            </w:pPr>
            <w:r>
              <w:rPr>
                <w:rFonts w:hint="eastAsia" w:ascii="仿宋_GB2312" w:hAnsi="宋体" w:eastAsia="仿宋_GB2312"/>
                <w:sz w:val="24"/>
                <w:szCs w:val="24"/>
              </w:rPr>
              <w:t>账户名称</w:t>
            </w:r>
          </w:p>
        </w:tc>
      </w:tr>
      <w:tr w14:paraId="2A9E7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724DD6DD">
            <w:pPr>
              <w:rPr>
                <w:rFonts w:ascii="仿宋_GB2312" w:hAnsi="宋体" w:eastAsia="仿宋_GB2312"/>
                <w:b/>
                <w:sz w:val="24"/>
                <w:szCs w:val="24"/>
              </w:rPr>
            </w:pPr>
            <w:r>
              <w:rPr>
                <w:rFonts w:hint="eastAsia" w:ascii="仿宋_GB2312" w:hAnsi="宋体" w:eastAsia="仿宋_GB2312"/>
                <w:b/>
                <w:sz w:val="24"/>
                <w:szCs w:val="24"/>
              </w:rPr>
              <w:t>证券代码</w:t>
            </w:r>
          </w:p>
        </w:tc>
        <w:tc>
          <w:tcPr>
            <w:tcW w:w="5103" w:type="dxa"/>
          </w:tcPr>
          <w:p w14:paraId="57E3B366">
            <w:pPr>
              <w:rPr>
                <w:rFonts w:ascii="仿宋_GB2312" w:hAnsi="宋体" w:eastAsia="仿宋_GB2312"/>
                <w:sz w:val="24"/>
                <w:szCs w:val="24"/>
              </w:rPr>
            </w:pPr>
            <w:r>
              <w:rPr>
                <w:rFonts w:hint="eastAsia" w:ascii="仿宋_GB2312" w:hAnsi="宋体" w:eastAsia="仿宋_GB2312"/>
                <w:sz w:val="24"/>
                <w:szCs w:val="24"/>
              </w:rPr>
              <w:t>现券代码</w:t>
            </w:r>
          </w:p>
        </w:tc>
      </w:tr>
      <w:tr w14:paraId="4E948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58E0472A">
            <w:pPr>
              <w:rPr>
                <w:rFonts w:ascii="仿宋_GB2312" w:hAnsi="宋体" w:eastAsia="仿宋_GB2312"/>
                <w:b/>
                <w:sz w:val="24"/>
                <w:szCs w:val="24"/>
              </w:rPr>
            </w:pPr>
            <w:r>
              <w:rPr>
                <w:rFonts w:hint="eastAsia" w:ascii="仿宋_GB2312" w:hAnsi="宋体" w:eastAsia="仿宋_GB2312"/>
                <w:b/>
                <w:sz w:val="24"/>
                <w:szCs w:val="24"/>
              </w:rPr>
              <w:t>证券账号</w:t>
            </w:r>
          </w:p>
        </w:tc>
        <w:tc>
          <w:tcPr>
            <w:tcW w:w="5103" w:type="dxa"/>
          </w:tcPr>
          <w:p w14:paraId="1EB9E48E">
            <w:pPr>
              <w:rPr>
                <w:rFonts w:ascii="仿宋_GB2312" w:hAnsi="宋体" w:eastAsia="仿宋_GB2312"/>
                <w:sz w:val="24"/>
                <w:szCs w:val="24"/>
              </w:rPr>
            </w:pPr>
            <w:r>
              <w:rPr>
                <w:rFonts w:hint="eastAsia" w:ascii="仿宋_GB2312" w:hAnsi="宋体" w:eastAsia="仿宋_GB2312"/>
                <w:sz w:val="24"/>
                <w:szCs w:val="24"/>
              </w:rPr>
              <w:t>可以选择本交易员有权使用的所有交易账号</w:t>
            </w:r>
          </w:p>
        </w:tc>
      </w:tr>
      <w:tr w14:paraId="1D7AE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53C8AFB6">
            <w:pPr>
              <w:rPr>
                <w:rFonts w:ascii="仿宋_GB2312" w:hAnsi="宋体" w:eastAsia="仿宋_GB2312"/>
                <w:b/>
                <w:sz w:val="24"/>
                <w:szCs w:val="24"/>
              </w:rPr>
            </w:pPr>
            <w:r>
              <w:rPr>
                <w:rFonts w:hint="eastAsia" w:ascii="仿宋_GB2312" w:hAnsi="宋体" w:eastAsia="仿宋_GB2312"/>
                <w:b/>
                <w:sz w:val="24"/>
                <w:szCs w:val="24"/>
              </w:rPr>
              <w:t>转股数量</w:t>
            </w:r>
          </w:p>
        </w:tc>
        <w:tc>
          <w:tcPr>
            <w:tcW w:w="5103" w:type="dxa"/>
          </w:tcPr>
          <w:p w14:paraId="03B57FEB">
            <w:pPr>
              <w:rPr>
                <w:rFonts w:ascii="仿宋_GB2312" w:hAnsi="宋体" w:eastAsia="仿宋_GB2312"/>
                <w:sz w:val="24"/>
                <w:szCs w:val="24"/>
              </w:rPr>
            </w:pPr>
            <w:r>
              <w:rPr>
                <w:rFonts w:hint="eastAsia" w:ascii="仿宋_GB2312" w:hAnsi="宋体" w:eastAsia="仿宋_GB2312"/>
                <w:sz w:val="24"/>
                <w:szCs w:val="24"/>
              </w:rPr>
              <w:t>可转债转股的现券数量，以1000元面额为单位</w:t>
            </w:r>
          </w:p>
        </w:tc>
      </w:tr>
      <w:tr w14:paraId="3FE68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27" w:type="dxa"/>
          </w:tcPr>
          <w:p w14:paraId="0E0AD6B2">
            <w:pPr>
              <w:rPr>
                <w:rFonts w:ascii="仿宋_GB2312" w:hAnsi="宋体" w:eastAsia="仿宋_GB2312"/>
                <w:b/>
                <w:sz w:val="24"/>
                <w:szCs w:val="24"/>
              </w:rPr>
            </w:pPr>
            <w:r>
              <w:rPr>
                <w:rFonts w:hint="eastAsia" w:ascii="仿宋_GB2312" w:hAnsi="宋体" w:eastAsia="仿宋_GB2312"/>
                <w:b/>
                <w:sz w:val="24"/>
                <w:szCs w:val="24"/>
              </w:rPr>
              <w:t>席位号</w:t>
            </w:r>
          </w:p>
        </w:tc>
        <w:tc>
          <w:tcPr>
            <w:tcW w:w="5103" w:type="dxa"/>
          </w:tcPr>
          <w:p w14:paraId="076FC949">
            <w:pPr>
              <w:rPr>
                <w:rFonts w:ascii="仿宋_GB2312" w:hAnsi="宋体" w:eastAsia="仿宋_GB2312"/>
                <w:sz w:val="24"/>
                <w:szCs w:val="24"/>
              </w:rPr>
            </w:pPr>
            <w:r>
              <w:rPr>
                <w:rFonts w:hint="eastAsia" w:ascii="仿宋_GB2312" w:hAnsi="宋体" w:eastAsia="仿宋_GB2312"/>
                <w:sz w:val="24"/>
                <w:szCs w:val="24"/>
              </w:rPr>
              <w:t>根据选择的账户自动匹配，无需输入</w:t>
            </w:r>
          </w:p>
        </w:tc>
      </w:tr>
      <w:tr w14:paraId="0A5BA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4C53E3F6">
            <w:pPr>
              <w:rPr>
                <w:rFonts w:ascii="仿宋_GB2312" w:hAnsi="宋体" w:eastAsia="仿宋_GB2312"/>
                <w:b/>
                <w:sz w:val="24"/>
                <w:szCs w:val="24"/>
              </w:rPr>
            </w:pPr>
            <w:r>
              <w:rPr>
                <w:rFonts w:hint="eastAsia" w:ascii="仿宋_GB2312" w:hAnsi="宋体" w:eastAsia="仿宋_GB2312"/>
                <w:b/>
                <w:sz w:val="24"/>
                <w:szCs w:val="24"/>
              </w:rPr>
              <w:t>转股价格</w:t>
            </w:r>
          </w:p>
        </w:tc>
        <w:tc>
          <w:tcPr>
            <w:tcW w:w="5103" w:type="dxa"/>
          </w:tcPr>
          <w:p w14:paraId="756111E7">
            <w:pPr>
              <w:rPr>
                <w:rFonts w:ascii="仿宋_GB2312" w:hAnsi="宋体" w:eastAsia="仿宋_GB2312"/>
                <w:sz w:val="24"/>
                <w:szCs w:val="24"/>
              </w:rPr>
            </w:pPr>
            <w:r>
              <w:rPr>
                <w:rFonts w:hint="eastAsia" w:ascii="仿宋_GB2312" w:hAnsi="宋体" w:eastAsia="仿宋_GB2312"/>
                <w:sz w:val="24"/>
                <w:szCs w:val="24"/>
              </w:rPr>
              <w:t>自动匹配，无需输入</w:t>
            </w:r>
          </w:p>
        </w:tc>
      </w:tr>
    </w:tbl>
    <w:p w14:paraId="70E99AC7">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转股申报的申报数量应当为</w:t>
      </w:r>
      <w:r>
        <w:rPr>
          <w:rFonts w:ascii="仿宋_GB2312" w:hAnsi="宋体" w:eastAsia="仿宋_GB2312"/>
          <w:sz w:val="30"/>
          <w:szCs w:val="30"/>
        </w:rPr>
        <w:t>1000元</w:t>
      </w:r>
      <w:r>
        <w:rPr>
          <w:rFonts w:hint="eastAsia" w:ascii="仿宋_GB2312" w:hAnsi="宋体" w:eastAsia="仿宋_GB2312"/>
          <w:sz w:val="30"/>
          <w:szCs w:val="30"/>
        </w:rPr>
        <w:t>面额或其整数倍；</w:t>
      </w:r>
    </w:p>
    <w:p w14:paraId="5B99BC46">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可转债可转换的最小股份单位为</w:t>
      </w:r>
      <w:r>
        <w:rPr>
          <w:rFonts w:ascii="仿宋_GB2312" w:hAnsi="宋体" w:eastAsia="仿宋_GB2312"/>
          <w:sz w:val="30"/>
          <w:szCs w:val="30"/>
        </w:rPr>
        <w:t>1股。同一交易日内多次申报转股的，将合并计算转股数量。</w:t>
      </w:r>
    </w:p>
    <w:p w14:paraId="28556E92">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转股时不足转换</w:t>
      </w:r>
      <w:r>
        <w:rPr>
          <w:rFonts w:ascii="仿宋_GB2312" w:hAnsi="宋体" w:eastAsia="仿宋_GB2312"/>
          <w:sz w:val="30"/>
          <w:szCs w:val="30"/>
        </w:rPr>
        <w:t>1股的</w:t>
      </w:r>
      <w:r>
        <w:rPr>
          <w:rFonts w:hint="eastAsia" w:ascii="仿宋_GB2312" w:hAnsi="宋体" w:eastAsia="仿宋_GB2312"/>
          <w:sz w:val="30"/>
          <w:szCs w:val="30"/>
        </w:rPr>
        <w:t>公募可转债部分，由发行人在转股申报日后以现金方式兑付其本金和利息；转股份时不足转换</w:t>
      </w:r>
      <w:r>
        <w:rPr>
          <w:rFonts w:ascii="仿宋_GB2312" w:hAnsi="宋体" w:eastAsia="仿宋_GB2312"/>
          <w:sz w:val="30"/>
          <w:szCs w:val="30"/>
        </w:rPr>
        <w:t>1股的</w:t>
      </w:r>
      <w:r>
        <w:rPr>
          <w:rFonts w:hint="eastAsia" w:ascii="仿宋_GB2312" w:hAnsi="宋体" w:eastAsia="仿宋_GB2312"/>
          <w:sz w:val="30"/>
          <w:szCs w:val="30"/>
        </w:rPr>
        <w:t>私募可转债部分，应当按照募集说明书约定的方式处置。当日提交的转股申报，当日转股申报时间内可以撤销。撤销转股申报实时生效，生效后可转债可以交易。</w:t>
      </w:r>
    </w:p>
    <w:p w14:paraId="0E2E4AEA">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本所及登记结算机构对债券交易业务的处理优先于转股业务。当日买入的可转债当日（</w:t>
      </w:r>
      <w:r>
        <w:rPr>
          <w:rFonts w:ascii="仿宋_GB2312" w:hAnsi="宋体" w:eastAsia="仿宋_GB2312"/>
          <w:sz w:val="30"/>
          <w:szCs w:val="30"/>
        </w:rPr>
        <w:t>T日）</w:t>
      </w:r>
      <w:r>
        <w:rPr>
          <w:rFonts w:hint="eastAsia" w:ascii="仿宋_GB2312" w:hAnsi="宋体" w:eastAsia="仿宋_GB2312"/>
          <w:sz w:val="30"/>
          <w:szCs w:val="30"/>
        </w:rPr>
        <w:t>可以申报转股。若债券投资者当日申报债券交易后，实际可用可转债余额不足转股申报数量的，转股成功数量为债券投资者的实际可用可转债余额。</w:t>
      </w:r>
    </w:p>
    <w:p w14:paraId="369833AA">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转股交收于转股申报日（</w:t>
      </w:r>
      <w:r>
        <w:rPr>
          <w:rFonts w:ascii="仿宋_GB2312" w:hAnsi="宋体" w:eastAsia="仿宋_GB2312"/>
          <w:sz w:val="30"/>
          <w:szCs w:val="30"/>
        </w:rPr>
        <w:t>T日）</w:t>
      </w:r>
      <w:r>
        <w:rPr>
          <w:rFonts w:hint="eastAsia" w:ascii="仿宋_GB2312" w:hAnsi="宋体" w:eastAsia="仿宋_GB2312"/>
          <w:sz w:val="30"/>
          <w:szCs w:val="30"/>
        </w:rPr>
        <w:t>日终完成。</w:t>
      </w:r>
    </w:p>
    <w:p w14:paraId="27E015BD">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可转债转股新增的股票可在转股交收完成的次一交易日（</w:t>
      </w:r>
      <w:r>
        <w:rPr>
          <w:rFonts w:ascii="仿宋_GB2312" w:hAnsi="宋体" w:eastAsia="仿宋_GB2312"/>
          <w:sz w:val="30"/>
          <w:szCs w:val="30"/>
        </w:rPr>
        <w:t>T+1日）</w:t>
      </w:r>
      <w:r>
        <w:rPr>
          <w:rFonts w:hint="eastAsia" w:ascii="仿宋_GB2312" w:hAnsi="宋体" w:eastAsia="仿宋_GB2312"/>
          <w:sz w:val="30"/>
          <w:szCs w:val="30"/>
        </w:rPr>
        <w:t>上市流通。</w:t>
      </w:r>
    </w:p>
    <w:p w14:paraId="5C126338">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证券登记结算机构将根据本所传送的有效转股申报数据，按相关规定记减公募可转债持有人的持仓余额，同时记增可转债持有人相应的股票数量，完成变更登记。</w:t>
      </w:r>
    </w:p>
    <w:p w14:paraId="758CE594">
      <w:pPr>
        <w:spacing w:line="600" w:lineRule="exact"/>
        <w:ind w:firstLine="600" w:firstLineChars="200"/>
        <w:jc w:val="left"/>
        <w:rPr>
          <w:rFonts w:ascii="仿宋_GB2312" w:hAnsi="Calibri" w:eastAsia="仿宋_GB2312"/>
          <w:kern w:val="24"/>
          <w:sz w:val="30"/>
          <w:szCs w:val="30"/>
        </w:rPr>
      </w:pPr>
      <w:r>
        <w:rPr>
          <w:rFonts w:hint="eastAsia" w:ascii="仿宋_GB2312" w:hAnsi="宋体" w:eastAsia="仿宋_GB2312"/>
          <w:sz w:val="30"/>
          <w:szCs w:val="30"/>
        </w:rPr>
        <w:t>本所将</w:t>
      </w:r>
      <w:r>
        <w:rPr>
          <w:rFonts w:hint="eastAsia" w:ascii="仿宋_GB2312" w:hAnsi="Calibri" w:eastAsia="仿宋_GB2312"/>
          <w:kern w:val="24"/>
          <w:sz w:val="30"/>
          <w:szCs w:val="30"/>
        </w:rPr>
        <w:t>经</w:t>
      </w:r>
      <w:r>
        <w:rPr>
          <w:rFonts w:hint="eastAsia" w:ascii="仿宋_GB2312" w:hAnsi="宋体" w:eastAsia="仿宋_GB2312" w:cs="宋体"/>
          <w:color w:val="000000"/>
          <w:kern w:val="0"/>
          <w:sz w:val="30"/>
          <w:szCs w:val="30"/>
        </w:rPr>
        <w:t>登记结算机构</w:t>
      </w:r>
      <w:r>
        <w:rPr>
          <w:rFonts w:hint="eastAsia" w:ascii="仿宋_GB2312" w:hAnsi="Calibri" w:eastAsia="仿宋_GB2312"/>
          <w:kern w:val="24"/>
          <w:sz w:val="30"/>
          <w:szCs w:val="30"/>
        </w:rPr>
        <w:t>确认的私募可转债有效转股申报记录发送给发行人。</w:t>
      </w:r>
    </w:p>
    <w:p w14:paraId="15451B29">
      <w:pPr>
        <w:numPr>
          <w:ilvl w:val="1"/>
          <w:numId w:val="4"/>
        </w:numPr>
        <w:spacing w:line="600" w:lineRule="exact"/>
        <w:ind w:left="0" w:firstLine="0"/>
        <w:outlineLvl w:val="1"/>
        <w:rPr>
          <w:rFonts w:ascii="仿宋_GB2312" w:eastAsia="仿宋_GB2312"/>
          <w:b/>
          <w:sz w:val="30"/>
          <w:szCs w:val="30"/>
        </w:rPr>
      </w:pPr>
      <w:bookmarkStart w:id="2487" w:name="_Toc16497847"/>
      <w:bookmarkStart w:id="2488" w:name="_Toc1561291148"/>
      <w:bookmarkStart w:id="2489" w:name="_Toc24459984"/>
      <w:bookmarkStart w:id="2490" w:name="_Toc34763078"/>
      <w:bookmarkStart w:id="2491" w:name="_Toc56166298"/>
      <w:bookmarkStart w:id="2492" w:name="_Toc151137059"/>
      <w:bookmarkStart w:id="2493" w:name="_Toc1364991644"/>
      <w:bookmarkStart w:id="2494" w:name="_Toc19542103"/>
      <w:bookmarkStart w:id="2495" w:name="_Toc1141454365"/>
      <w:bookmarkStart w:id="2496" w:name="_Toc56166109"/>
      <w:bookmarkStart w:id="2497" w:name="_Toc130205526"/>
      <w:r>
        <w:rPr>
          <w:rFonts w:hint="eastAsia" w:ascii="仿宋_GB2312" w:eastAsia="仿宋_GB2312"/>
          <w:b/>
          <w:sz w:val="30"/>
          <w:szCs w:val="30"/>
        </w:rPr>
        <w:t>债券换股</w:t>
      </w:r>
      <w:bookmarkEnd w:id="2482"/>
      <w:bookmarkEnd w:id="2487"/>
      <w:bookmarkEnd w:id="2488"/>
      <w:bookmarkEnd w:id="2489"/>
      <w:bookmarkEnd w:id="2490"/>
      <w:bookmarkEnd w:id="2491"/>
      <w:bookmarkEnd w:id="2492"/>
      <w:bookmarkEnd w:id="2493"/>
      <w:bookmarkEnd w:id="2494"/>
      <w:bookmarkEnd w:id="2495"/>
      <w:bookmarkEnd w:id="2496"/>
      <w:bookmarkEnd w:id="2497"/>
    </w:p>
    <w:p w14:paraId="3F6E6589">
      <w:pPr>
        <w:numPr>
          <w:ilvl w:val="2"/>
          <w:numId w:val="4"/>
        </w:numPr>
        <w:spacing w:line="600" w:lineRule="exact"/>
        <w:ind w:left="0" w:firstLine="0"/>
        <w:outlineLvl w:val="2"/>
        <w:rPr>
          <w:rFonts w:ascii="仿宋_GB2312" w:eastAsia="仿宋_GB2312"/>
          <w:b/>
          <w:sz w:val="30"/>
          <w:szCs w:val="30"/>
        </w:rPr>
      </w:pPr>
      <w:bookmarkStart w:id="2498" w:name="_Toc16497848"/>
      <w:bookmarkStart w:id="2499" w:name="_Toc24459985"/>
      <w:bookmarkStart w:id="2500" w:name="_Toc34763079"/>
      <w:bookmarkStart w:id="2501" w:name="_Toc19542104"/>
      <w:r>
        <w:rPr>
          <w:rFonts w:hint="eastAsia" w:ascii="仿宋_GB2312" w:eastAsia="仿宋_GB2312"/>
          <w:b/>
          <w:sz w:val="30"/>
          <w:szCs w:val="30"/>
        </w:rPr>
        <w:t>换股准备</w:t>
      </w:r>
      <w:bookmarkEnd w:id="2498"/>
      <w:bookmarkEnd w:id="2499"/>
      <w:bookmarkEnd w:id="2500"/>
      <w:bookmarkEnd w:id="2501"/>
    </w:p>
    <w:p w14:paraId="0AFFE651">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可交换公司债券（以下简称可交债）的债券投资者，在进入换股期后，有权选择是否将持有的债券换为发行人持有的预备用于交换的上市公司股票。</w:t>
      </w:r>
    </w:p>
    <w:p w14:paraId="7CC1C6A8">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自公开发行可交债发行结束之日起</w:t>
      </w:r>
      <w:r>
        <w:rPr>
          <w:rFonts w:ascii="仿宋_GB2312" w:hAnsi="宋体" w:eastAsia="仿宋_GB2312"/>
          <w:sz w:val="30"/>
          <w:szCs w:val="30"/>
        </w:rPr>
        <w:t>12个月后</w:t>
      </w:r>
      <w:r>
        <w:rPr>
          <w:rFonts w:hint="eastAsia" w:ascii="仿宋_GB2312" w:hAnsi="宋体" w:eastAsia="仿宋_GB2312"/>
          <w:sz w:val="30"/>
          <w:szCs w:val="30"/>
        </w:rPr>
        <w:t>或非公开发行可交债发行结束之日起6个月后</w:t>
      </w:r>
      <w:r>
        <w:rPr>
          <w:rFonts w:ascii="仿宋_GB2312" w:hAnsi="宋体" w:eastAsia="仿宋_GB2312"/>
          <w:sz w:val="30"/>
          <w:szCs w:val="30"/>
        </w:rPr>
        <w:t>，债券投资者方可按照募集说明书约定选择是否交换为预备用于交换的</w:t>
      </w:r>
      <w:r>
        <w:rPr>
          <w:rFonts w:hint="eastAsia" w:ascii="仿宋_GB2312" w:hAnsi="宋体" w:eastAsia="仿宋_GB2312"/>
          <w:sz w:val="30"/>
          <w:szCs w:val="30"/>
        </w:rPr>
        <w:t>股票。</w:t>
      </w:r>
    </w:p>
    <w:p w14:paraId="3119743E">
      <w:pPr>
        <w:spacing w:line="600" w:lineRule="exact"/>
        <w:ind w:firstLine="600" w:firstLineChars="200"/>
        <w:jc w:val="left"/>
        <w:rPr>
          <w:rFonts w:ascii="仿宋_GB2312" w:hAnsi="宋体" w:eastAsia="仿宋_GB2312"/>
          <w:sz w:val="30"/>
          <w:szCs w:val="30"/>
        </w:rPr>
      </w:pPr>
      <w:r>
        <w:rPr>
          <w:rFonts w:ascii="仿宋_GB2312" w:hAnsi="宋体" w:eastAsia="仿宋_GB2312"/>
          <w:sz w:val="30"/>
          <w:szCs w:val="30"/>
        </w:rPr>
        <w:t>债券投资者可通过本所官网、债券信息网等本所信息披露平台查看</w:t>
      </w:r>
      <w:r>
        <w:rPr>
          <w:rFonts w:hint="eastAsia" w:ascii="仿宋_GB2312" w:hAnsi="宋体" w:eastAsia="仿宋_GB2312"/>
          <w:sz w:val="30"/>
          <w:szCs w:val="30"/>
        </w:rPr>
        <w:t>可交债开始换股公告，公告内容包括证券代码、证券简称、换股价格、换股申报起止日等。</w:t>
      </w:r>
    </w:p>
    <w:p w14:paraId="15F4CE63">
      <w:pPr>
        <w:spacing w:line="600" w:lineRule="exact"/>
        <w:ind w:firstLine="600" w:firstLineChars="200"/>
        <w:jc w:val="left"/>
        <w:rPr>
          <w:rFonts w:ascii="仿宋_GB2312" w:hAnsi="Calibri" w:eastAsia="仿宋_GB2312"/>
          <w:sz w:val="30"/>
          <w:szCs w:val="30"/>
        </w:rPr>
      </w:pPr>
      <w:r>
        <w:rPr>
          <w:rFonts w:hint="eastAsia" w:ascii="仿宋_GB2312" w:hAnsi="宋体" w:eastAsia="仿宋_GB2312"/>
          <w:sz w:val="30"/>
          <w:szCs w:val="30"/>
        </w:rPr>
        <w:t>公募可交债换股通过综合业务平台实施；私募可交债换股通过固收平台实施。</w:t>
      </w:r>
    </w:p>
    <w:p w14:paraId="31A95AD7">
      <w:pPr>
        <w:numPr>
          <w:ilvl w:val="2"/>
          <w:numId w:val="4"/>
        </w:numPr>
        <w:spacing w:line="600" w:lineRule="exact"/>
        <w:ind w:left="0" w:firstLine="0"/>
        <w:outlineLvl w:val="2"/>
        <w:rPr>
          <w:rFonts w:ascii="仿宋_GB2312" w:eastAsia="仿宋_GB2312"/>
          <w:b/>
          <w:sz w:val="30"/>
          <w:szCs w:val="30"/>
        </w:rPr>
      </w:pPr>
      <w:bookmarkStart w:id="2502" w:name="_Toc19542106"/>
      <w:bookmarkStart w:id="2503" w:name="_Toc16497850"/>
      <w:bookmarkStart w:id="2504" w:name="_Toc34763081"/>
      <w:bookmarkStart w:id="2505" w:name="_Toc24459987"/>
      <w:r>
        <w:rPr>
          <w:rFonts w:hint="eastAsia" w:ascii="仿宋_GB2312" w:eastAsia="仿宋_GB2312"/>
          <w:b/>
          <w:sz w:val="30"/>
          <w:szCs w:val="30"/>
        </w:rPr>
        <w:t>换股申报</w:t>
      </w:r>
      <w:bookmarkEnd w:id="2502"/>
      <w:bookmarkEnd w:id="2503"/>
      <w:bookmarkEnd w:id="2504"/>
      <w:bookmarkEnd w:id="2505"/>
    </w:p>
    <w:p w14:paraId="0FD3C345">
      <w:pPr>
        <w:spacing w:line="600" w:lineRule="exact"/>
        <w:ind w:firstLine="600" w:firstLineChars="200"/>
        <w:jc w:val="left"/>
        <w:rPr>
          <w:rFonts w:ascii="仿宋_GB2312" w:hAnsi="Calibri" w:eastAsia="仿宋_GB2312"/>
          <w:sz w:val="30"/>
          <w:szCs w:val="30"/>
        </w:rPr>
      </w:pPr>
      <w:r>
        <w:rPr>
          <w:rFonts w:hint="eastAsia" w:ascii="仿宋_GB2312" w:hAnsi="Calibri" w:eastAsia="仿宋_GB2312" w:cs="仿宋_GB2312"/>
          <w:kern w:val="0"/>
          <w:sz w:val="30"/>
          <w:szCs w:val="30"/>
        </w:rPr>
        <w:t>可</w:t>
      </w:r>
      <w:r>
        <w:rPr>
          <w:rFonts w:hint="eastAsia" w:ascii="仿宋_GB2312" w:hAnsi="Calibri" w:eastAsia="仿宋_GB2312"/>
          <w:sz w:val="30"/>
          <w:szCs w:val="30"/>
        </w:rPr>
        <w:t>交换债持有人申请在本所换股的，换股申报视同为债券受托管理人与发行人认可的解除担保指令。</w:t>
      </w:r>
    </w:p>
    <w:p w14:paraId="5D188FF8">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通过固收平台进行换股申报的申报时间为换股期内每个交易日的</w:t>
      </w:r>
      <w:r>
        <w:rPr>
          <w:rFonts w:ascii="仿宋_GB2312" w:hAnsi="宋体" w:eastAsia="仿宋_GB2312"/>
          <w:sz w:val="30"/>
          <w:szCs w:val="30"/>
        </w:rPr>
        <w:t>9：00至11：30、13：00至15：30。</w:t>
      </w:r>
    </w:p>
    <w:p w14:paraId="47EACAD8">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通过综合业务平台进行换股申报的申报时间为换股期内每个交易日的</w:t>
      </w:r>
      <w:r>
        <w:rPr>
          <w:rFonts w:ascii="仿宋_GB2312" w:hAnsi="宋体" w:eastAsia="仿宋_GB2312"/>
          <w:sz w:val="30"/>
          <w:szCs w:val="30"/>
        </w:rPr>
        <w:t>9：</w:t>
      </w:r>
      <w:r>
        <w:rPr>
          <w:rFonts w:hint="eastAsia" w:ascii="仿宋_GB2312" w:hAnsi="宋体" w:eastAsia="仿宋_GB2312"/>
          <w:sz w:val="30"/>
          <w:szCs w:val="30"/>
        </w:rPr>
        <w:t>30</w:t>
      </w:r>
      <w:r>
        <w:rPr>
          <w:rFonts w:ascii="仿宋_GB2312" w:hAnsi="宋体" w:eastAsia="仿宋_GB2312"/>
          <w:sz w:val="30"/>
          <w:szCs w:val="30"/>
        </w:rPr>
        <w:t>至11：30、13：00至15：</w:t>
      </w:r>
      <w:r>
        <w:rPr>
          <w:rFonts w:hint="eastAsia" w:ascii="仿宋_GB2312" w:hAnsi="宋体" w:eastAsia="仿宋_GB2312"/>
          <w:sz w:val="30"/>
          <w:szCs w:val="30"/>
        </w:rPr>
        <w:t>00</w:t>
      </w:r>
      <w:r>
        <w:rPr>
          <w:rFonts w:ascii="仿宋_GB2312" w:hAnsi="宋体" w:eastAsia="仿宋_GB2312"/>
          <w:sz w:val="30"/>
          <w:szCs w:val="30"/>
        </w:rPr>
        <w:t>。</w:t>
      </w:r>
    </w:p>
    <w:p w14:paraId="5B6F09C0">
      <w:pPr>
        <w:spacing w:line="600" w:lineRule="exact"/>
        <w:ind w:firstLine="600" w:firstLineChars="200"/>
        <w:jc w:val="left"/>
        <w:rPr>
          <w:rFonts w:ascii="仿宋_GB2312" w:hAnsi="Calibri" w:eastAsia="仿宋_GB2312"/>
          <w:sz w:val="30"/>
          <w:szCs w:val="30"/>
        </w:rPr>
      </w:pPr>
      <w:r>
        <w:rPr>
          <w:rFonts w:hint="eastAsia" w:ascii="仿宋_GB2312" w:hAnsi="Calibri" w:eastAsia="仿宋_GB2312"/>
          <w:sz w:val="30"/>
          <w:szCs w:val="30"/>
        </w:rPr>
        <w:t>换股申报要素应当包括非交易类型、证券代码、证券简称、换股数量、证券账户等内容。</w:t>
      </w:r>
    </w:p>
    <w:tbl>
      <w:tblPr>
        <w:tblStyle w:val="43"/>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7"/>
        <w:gridCol w:w="5103"/>
      </w:tblGrid>
      <w:tr w14:paraId="2C4F6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2877ADC9">
            <w:pPr>
              <w:rPr>
                <w:rFonts w:ascii="仿宋_GB2312" w:hAnsi="宋体" w:eastAsia="仿宋_GB2312"/>
                <w:b/>
                <w:sz w:val="24"/>
                <w:szCs w:val="24"/>
              </w:rPr>
            </w:pPr>
            <w:r>
              <w:rPr>
                <w:rFonts w:hint="eastAsia" w:ascii="仿宋_GB2312" w:hAnsi="宋体" w:eastAsia="仿宋_GB2312"/>
                <w:b/>
                <w:sz w:val="24"/>
                <w:szCs w:val="24"/>
              </w:rPr>
              <w:t>申报要素</w:t>
            </w:r>
          </w:p>
        </w:tc>
        <w:tc>
          <w:tcPr>
            <w:tcW w:w="5103" w:type="dxa"/>
          </w:tcPr>
          <w:p w14:paraId="70DC1815">
            <w:pPr>
              <w:rPr>
                <w:rFonts w:ascii="仿宋_GB2312" w:hAnsi="宋体" w:eastAsia="仿宋_GB2312"/>
                <w:b/>
                <w:sz w:val="24"/>
                <w:szCs w:val="24"/>
              </w:rPr>
            </w:pPr>
            <w:r>
              <w:rPr>
                <w:rFonts w:hint="eastAsia" w:ascii="仿宋_GB2312" w:hAnsi="宋体" w:eastAsia="仿宋_GB2312"/>
                <w:b/>
                <w:sz w:val="24"/>
                <w:szCs w:val="24"/>
              </w:rPr>
              <w:t>要素说明</w:t>
            </w:r>
          </w:p>
        </w:tc>
      </w:tr>
      <w:tr w14:paraId="66C6D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1CB4D68E">
            <w:pPr>
              <w:rPr>
                <w:rFonts w:ascii="仿宋_GB2312" w:hAnsi="宋体" w:eastAsia="仿宋_GB2312"/>
                <w:b/>
                <w:sz w:val="24"/>
                <w:szCs w:val="24"/>
              </w:rPr>
            </w:pPr>
            <w:r>
              <w:rPr>
                <w:rFonts w:hint="eastAsia" w:ascii="仿宋_GB2312" w:hAnsi="宋体" w:eastAsia="仿宋_GB2312"/>
                <w:b/>
                <w:sz w:val="24"/>
                <w:szCs w:val="24"/>
              </w:rPr>
              <w:t>非交易类型</w:t>
            </w:r>
          </w:p>
        </w:tc>
        <w:tc>
          <w:tcPr>
            <w:tcW w:w="5103" w:type="dxa"/>
          </w:tcPr>
          <w:p w14:paraId="14294372">
            <w:pPr>
              <w:rPr>
                <w:rFonts w:ascii="仿宋_GB2312" w:hAnsi="宋体" w:eastAsia="仿宋_GB2312"/>
                <w:sz w:val="24"/>
                <w:szCs w:val="24"/>
              </w:rPr>
            </w:pPr>
            <w:r>
              <w:rPr>
                <w:rFonts w:hint="eastAsia" w:ascii="仿宋_GB2312" w:hAnsi="宋体" w:eastAsia="仿宋_GB2312"/>
                <w:sz w:val="24"/>
                <w:szCs w:val="24"/>
              </w:rPr>
              <w:t>综合业务</w:t>
            </w:r>
            <w:r>
              <w:rPr>
                <w:rFonts w:ascii="仿宋_GB2312" w:hAnsi="宋体" w:eastAsia="仿宋_GB2312"/>
                <w:sz w:val="24"/>
                <w:szCs w:val="24"/>
              </w:rPr>
              <w:t>平台</w:t>
            </w:r>
            <w:r>
              <w:rPr>
                <w:rFonts w:hint="eastAsia" w:ascii="仿宋_GB2312" w:hAnsi="宋体" w:eastAsia="仿宋_GB2312"/>
                <w:sz w:val="24"/>
                <w:szCs w:val="24"/>
              </w:rPr>
              <w:t>为“BSS”，</w:t>
            </w:r>
            <w:r>
              <w:rPr>
                <w:rFonts w:ascii="仿宋_GB2312" w:hAnsi="宋体" w:eastAsia="仿宋_GB2312"/>
                <w:sz w:val="24"/>
                <w:szCs w:val="24"/>
              </w:rPr>
              <w:t>固定收益平台为换股菜单入口</w:t>
            </w:r>
          </w:p>
        </w:tc>
      </w:tr>
      <w:tr w14:paraId="6EC47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1DD16370">
            <w:pPr>
              <w:rPr>
                <w:rFonts w:ascii="仿宋_GB2312" w:hAnsi="宋体" w:eastAsia="仿宋_GB2312"/>
                <w:b/>
                <w:sz w:val="24"/>
                <w:szCs w:val="24"/>
              </w:rPr>
            </w:pPr>
            <w:r>
              <w:rPr>
                <w:rFonts w:hint="eastAsia" w:ascii="仿宋_GB2312" w:hAnsi="宋体" w:eastAsia="仿宋_GB2312"/>
                <w:b/>
                <w:sz w:val="24"/>
                <w:szCs w:val="24"/>
              </w:rPr>
              <w:t>证券账户</w:t>
            </w:r>
          </w:p>
        </w:tc>
        <w:tc>
          <w:tcPr>
            <w:tcW w:w="5103" w:type="dxa"/>
          </w:tcPr>
          <w:p w14:paraId="4060C8A9">
            <w:pPr>
              <w:rPr>
                <w:rFonts w:ascii="仿宋_GB2312" w:hAnsi="宋体" w:eastAsia="仿宋_GB2312"/>
                <w:sz w:val="24"/>
                <w:szCs w:val="24"/>
              </w:rPr>
            </w:pPr>
            <w:r>
              <w:rPr>
                <w:rFonts w:hint="eastAsia" w:ascii="仿宋_GB2312" w:hAnsi="宋体" w:eastAsia="仿宋_GB2312"/>
                <w:sz w:val="24"/>
                <w:szCs w:val="24"/>
              </w:rPr>
              <w:t>账户名称</w:t>
            </w:r>
          </w:p>
        </w:tc>
      </w:tr>
      <w:tr w14:paraId="30DF3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27" w:type="dxa"/>
          </w:tcPr>
          <w:p w14:paraId="56118C82">
            <w:pPr>
              <w:rPr>
                <w:rFonts w:ascii="仿宋_GB2312" w:hAnsi="宋体" w:eastAsia="仿宋_GB2312"/>
                <w:b/>
                <w:sz w:val="24"/>
                <w:szCs w:val="24"/>
              </w:rPr>
            </w:pPr>
            <w:r>
              <w:rPr>
                <w:rFonts w:hint="eastAsia" w:ascii="仿宋_GB2312" w:hAnsi="宋体" w:eastAsia="仿宋_GB2312"/>
                <w:b/>
                <w:sz w:val="24"/>
                <w:szCs w:val="24"/>
              </w:rPr>
              <w:t>证券代码</w:t>
            </w:r>
          </w:p>
        </w:tc>
        <w:tc>
          <w:tcPr>
            <w:tcW w:w="5103" w:type="dxa"/>
          </w:tcPr>
          <w:p w14:paraId="77D54AB1">
            <w:pPr>
              <w:rPr>
                <w:rFonts w:ascii="仿宋_GB2312" w:hAnsi="宋体" w:eastAsia="仿宋_GB2312"/>
                <w:sz w:val="24"/>
                <w:szCs w:val="24"/>
              </w:rPr>
            </w:pPr>
            <w:r>
              <w:rPr>
                <w:rFonts w:hint="eastAsia" w:ascii="仿宋_GB2312" w:hAnsi="宋体" w:eastAsia="仿宋_GB2312"/>
                <w:sz w:val="24"/>
                <w:szCs w:val="24"/>
              </w:rPr>
              <w:t>现券代码</w:t>
            </w:r>
          </w:p>
        </w:tc>
      </w:tr>
      <w:tr w14:paraId="2B501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4972DE28">
            <w:pPr>
              <w:rPr>
                <w:rFonts w:ascii="仿宋_GB2312" w:hAnsi="宋体" w:eastAsia="仿宋_GB2312"/>
                <w:b/>
                <w:sz w:val="24"/>
                <w:szCs w:val="24"/>
              </w:rPr>
            </w:pPr>
            <w:r>
              <w:rPr>
                <w:rFonts w:hint="eastAsia" w:ascii="仿宋_GB2312" w:hAnsi="宋体" w:eastAsia="仿宋_GB2312"/>
                <w:b/>
                <w:sz w:val="24"/>
                <w:szCs w:val="24"/>
              </w:rPr>
              <w:t>证券账号</w:t>
            </w:r>
          </w:p>
        </w:tc>
        <w:tc>
          <w:tcPr>
            <w:tcW w:w="5103" w:type="dxa"/>
          </w:tcPr>
          <w:p w14:paraId="27473F05">
            <w:pPr>
              <w:rPr>
                <w:rFonts w:ascii="仿宋_GB2312" w:hAnsi="宋体" w:eastAsia="仿宋_GB2312"/>
                <w:sz w:val="24"/>
                <w:szCs w:val="24"/>
              </w:rPr>
            </w:pPr>
            <w:r>
              <w:rPr>
                <w:rFonts w:hint="eastAsia" w:ascii="仿宋_GB2312" w:hAnsi="宋体" w:eastAsia="仿宋_GB2312"/>
                <w:sz w:val="24"/>
                <w:szCs w:val="24"/>
              </w:rPr>
              <w:t>可以选择本交易员有权使用的所有交易账号</w:t>
            </w:r>
          </w:p>
        </w:tc>
      </w:tr>
      <w:tr w14:paraId="4762B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20A404AE">
            <w:pPr>
              <w:rPr>
                <w:rFonts w:ascii="仿宋_GB2312" w:hAnsi="宋体" w:eastAsia="仿宋_GB2312"/>
                <w:b/>
                <w:sz w:val="24"/>
                <w:szCs w:val="24"/>
              </w:rPr>
            </w:pPr>
            <w:r>
              <w:rPr>
                <w:rFonts w:hint="eastAsia" w:ascii="仿宋_GB2312" w:hAnsi="宋体" w:eastAsia="仿宋_GB2312"/>
                <w:b/>
                <w:sz w:val="24"/>
                <w:szCs w:val="24"/>
              </w:rPr>
              <w:t>换股数量</w:t>
            </w:r>
          </w:p>
        </w:tc>
        <w:tc>
          <w:tcPr>
            <w:tcW w:w="5103" w:type="dxa"/>
          </w:tcPr>
          <w:p w14:paraId="281F1DC3">
            <w:pPr>
              <w:rPr>
                <w:rFonts w:ascii="仿宋_GB2312" w:hAnsi="宋体" w:eastAsia="仿宋_GB2312"/>
                <w:sz w:val="24"/>
                <w:szCs w:val="24"/>
              </w:rPr>
            </w:pPr>
            <w:r>
              <w:rPr>
                <w:rFonts w:hint="eastAsia" w:ascii="仿宋_GB2312" w:hAnsi="宋体" w:eastAsia="仿宋_GB2312"/>
                <w:sz w:val="24"/>
                <w:szCs w:val="24"/>
              </w:rPr>
              <w:t>可交债换股的现券数量，以1000元面额为单位</w:t>
            </w:r>
          </w:p>
        </w:tc>
      </w:tr>
      <w:tr w14:paraId="6A5FB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7F307754">
            <w:pPr>
              <w:rPr>
                <w:rFonts w:ascii="仿宋_GB2312" w:hAnsi="宋体" w:eastAsia="仿宋_GB2312"/>
                <w:b/>
                <w:sz w:val="24"/>
                <w:szCs w:val="24"/>
              </w:rPr>
            </w:pPr>
            <w:r>
              <w:rPr>
                <w:rFonts w:hint="eastAsia" w:ascii="仿宋_GB2312" w:hAnsi="宋体" w:eastAsia="仿宋_GB2312"/>
                <w:b/>
                <w:sz w:val="24"/>
                <w:szCs w:val="24"/>
              </w:rPr>
              <w:t>席位号</w:t>
            </w:r>
          </w:p>
        </w:tc>
        <w:tc>
          <w:tcPr>
            <w:tcW w:w="5103" w:type="dxa"/>
          </w:tcPr>
          <w:p w14:paraId="3EF29AB8">
            <w:pPr>
              <w:rPr>
                <w:rFonts w:ascii="仿宋_GB2312" w:hAnsi="宋体" w:eastAsia="仿宋_GB2312"/>
                <w:sz w:val="24"/>
                <w:szCs w:val="24"/>
              </w:rPr>
            </w:pPr>
            <w:r>
              <w:rPr>
                <w:rFonts w:hint="eastAsia" w:ascii="仿宋_GB2312" w:hAnsi="宋体" w:eastAsia="仿宋_GB2312"/>
                <w:sz w:val="24"/>
                <w:szCs w:val="24"/>
              </w:rPr>
              <w:t>根据选择的账户自动匹配，无需输入</w:t>
            </w:r>
          </w:p>
        </w:tc>
      </w:tr>
      <w:tr w14:paraId="2C6D9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27" w:type="dxa"/>
          </w:tcPr>
          <w:p w14:paraId="2D6CACC1">
            <w:pPr>
              <w:rPr>
                <w:rFonts w:ascii="仿宋_GB2312" w:hAnsi="宋体" w:eastAsia="仿宋_GB2312"/>
                <w:b/>
                <w:sz w:val="24"/>
                <w:szCs w:val="24"/>
              </w:rPr>
            </w:pPr>
            <w:r>
              <w:rPr>
                <w:rFonts w:hint="eastAsia" w:ascii="仿宋_GB2312" w:hAnsi="宋体" w:eastAsia="仿宋_GB2312"/>
                <w:b/>
                <w:sz w:val="24"/>
                <w:szCs w:val="24"/>
              </w:rPr>
              <w:t>换股价格</w:t>
            </w:r>
          </w:p>
        </w:tc>
        <w:tc>
          <w:tcPr>
            <w:tcW w:w="5103" w:type="dxa"/>
          </w:tcPr>
          <w:p w14:paraId="15F63577">
            <w:pPr>
              <w:rPr>
                <w:rFonts w:ascii="仿宋_GB2312" w:hAnsi="宋体" w:eastAsia="仿宋_GB2312"/>
                <w:sz w:val="24"/>
                <w:szCs w:val="24"/>
              </w:rPr>
            </w:pPr>
            <w:r>
              <w:rPr>
                <w:rFonts w:hint="eastAsia" w:ascii="仿宋_GB2312" w:hAnsi="宋体" w:eastAsia="仿宋_GB2312"/>
                <w:sz w:val="24"/>
                <w:szCs w:val="24"/>
              </w:rPr>
              <w:t>自动匹配，无需输入</w:t>
            </w:r>
          </w:p>
        </w:tc>
      </w:tr>
    </w:tbl>
    <w:p w14:paraId="73D68825">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债券换股的申报数量应当为1000元面额或其整数倍。</w:t>
      </w:r>
    </w:p>
    <w:p w14:paraId="0FA49BAD">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债券可换成的最小股份单位为1股。同一交易日内多次申报换股的，将合并计算换股数量。换股时不足交换1股的可交换债部分，由发行人以现金方式兑付其本金和利息。</w:t>
      </w:r>
    </w:p>
    <w:p w14:paraId="4C89969D">
      <w:pPr>
        <w:spacing w:line="600" w:lineRule="exact"/>
        <w:ind w:firstLine="600" w:firstLineChars="200"/>
        <w:jc w:val="left"/>
        <w:rPr>
          <w:rFonts w:ascii="仿宋_GB2312" w:hAnsi="Calibri" w:eastAsia="仿宋_GB2312" w:cs="仿宋_GB2312"/>
          <w:kern w:val="0"/>
          <w:sz w:val="30"/>
          <w:szCs w:val="30"/>
        </w:rPr>
      </w:pPr>
      <w:r>
        <w:rPr>
          <w:rFonts w:hint="eastAsia" w:ascii="仿宋_GB2312" w:hAnsi="宋体" w:eastAsia="仿宋_GB2312"/>
          <w:sz w:val="30"/>
          <w:szCs w:val="30"/>
        </w:rPr>
        <w:t>可</w:t>
      </w:r>
      <w:r>
        <w:rPr>
          <w:rFonts w:hint="eastAsia" w:ascii="仿宋_GB2312" w:hAnsi="Calibri" w:eastAsia="仿宋_GB2312" w:cs="仿宋_GB2312"/>
          <w:kern w:val="0"/>
          <w:sz w:val="30"/>
          <w:szCs w:val="30"/>
        </w:rPr>
        <w:t>交换债的换股价格由募集说明书约定，并可以按照募集说明书约定的方式进行调整。</w:t>
      </w:r>
    </w:p>
    <w:p w14:paraId="23993C0C">
      <w:pPr>
        <w:spacing w:line="600" w:lineRule="exact"/>
        <w:ind w:firstLine="600" w:firstLineChars="200"/>
        <w:rPr>
          <w:rFonts w:ascii="仿宋_GB2312" w:hAnsi="Calibri" w:eastAsia="仿宋_GB2312" w:cs="仿宋_GB2312"/>
          <w:kern w:val="0"/>
          <w:sz w:val="30"/>
          <w:szCs w:val="30"/>
        </w:rPr>
      </w:pPr>
      <w:r>
        <w:rPr>
          <w:rFonts w:hint="eastAsia" w:ascii="仿宋_GB2312" w:hAnsi="Calibri" w:eastAsia="仿宋_GB2312" w:cs="仿宋_GB2312"/>
          <w:kern w:val="0"/>
          <w:sz w:val="30"/>
          <w:szCs w:val="30"/>
        </w:rPr>
        <w:t>债券投资者可通过</w:t>
      </w:r>
      <w:r>
        <w:rPr>
          <w:rFonts w:ascii="仿宋_GB2312" w:hAnsi="宋体" w:eastAsia="仿宋_GB2312"/>
          <w:sz w:val="30"/>
          <w:szCs w:val="30"/>
        </w:rPr>
        <w:t>本所官网、债券信息网等本所信息披露平台查看换股价格调整公告，换股价格调整公告于换股价格调整前2个交易日以前公布。</w:t>
      </w:r>
    </w:p>
    <w:p w14:paraId="1E449661">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当日提交的换股申报，当日换股申报时间内可以撤销。换股撤销实时生效，生效后债券恢复交易。</w:t>
      </w:r>
    </w:p>
    <w:p w14:paraId="6D50D365">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本所及登记结算机构对债券交易业务的处理优先于换股业务。当日买入的可交换债当日（</w:t>
      </w:r>
      <w:r>
        <w:rPr>
          <w:rFonts w:ascii="仿宋_GB2312" w:hAnsi="宋体" w:eastAsia="仿宋_GB2312"/>
          <w:sz w:val="30"/>
          <w:szCs w:val="30"/>
        </w:rPr>
        <w:t>T日）</w:t>
      </w:r>
      <w:r>
        <w:rPr>
          <w:rFonts w:hint="eastAsia" w:ascii="仿宋_GB2312" w:hAnsi="宋体" w:eastAsia="仿宋_GB2312"/>
          <w:sz w:val="30"/>
          <w:szCs w:val="30"/>
        </w:rPr>
        <w:t>可以申报换股。若债券持有人申报换股的可交债数量大于其实际持有可交债余额，该换股申报交收全部失败，证券登记结算机构不办理部分换股交收。</w:t>
      </w:r>
    </w:p>
    <w:p w14:paraId="11490CDC">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换股交收于换股申报日（</w:t>
      </w:r>
      <w:r>
        <w:rPr>
          <w:rFonts w:ascii="仿宋_GB2312" w:hAnsi="宋体" w:eastAsia="仿宋_GB2312"/>
          <w:sz w:val="30"/>
          <w:szCs w:val="30"/>
        </w:rPr>
        <w:t>T日）</w:t>
      </w:r>
      <w:r>
        <w:rPr>
          <w:rFonts w:hint="eastAsia" w:ascii="仿宋_GB2312" w:hAnsi="宋体" w:eastAsia="仿宋_GB2312"/>
          <w:sz w:val="30"/>
          <w:szCs w:val="30"/>
        </w:rPr>
        <w:t>日终完成。</w:t>
      </w:r>
    </w:p>
    <w:p w14:paraId="6D58E1CF">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可交换债换股换得的股票可在换股交收完成的次一交易日（</w:t>
      </w:r>
      <w:r>
        <w:rPr>
          <w:rFonts w:ascii="仿宋_GB2312" w:hAnsi="宋体" w:eastAsia="仿宋_GB2312"/>
          <w:sz w:val="30"/>
          <w:szCs w:val="30"/>
        </w:rPr>
        <w:t>T+1日）</w:t>
      </w:r>
      <w:r>
        <w:rPr>
          <w:rFonts w:hint="eastAsia" w:ascii="仿宋_GB2312" w:hAnsi="宋体" w:eastAsia="仿宋_GB2312"/>
          <w:sz w:val="30"/>
          <w:szCs w:val="30"/>
        </w:rPr>
        <w:t>进行交易。</w:t>
      </w:r>
    </w:p>
    <w:p w14:paraId="6E1F433A">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换股期间，预备用于交换的股票出现司法冻结、扣划或其他权利瑕疵影响债券投资者换股权利的，发行人应当向本所申请暂停可交债换股，发行人未及时申请暂停可交债换股的，本所可视情况暂停提供换股服务。</w:t>
      </w:r>
    </w:p>
    <w:p w14:paraId="07DA22E5">
      <w:pPr>
        <w:spacing w:line="600" w:lineRule="exact"/>
        <w:ind w:firstLine="600" w:firstLineChars="200"/>
        <w:rPr>
          <w:rFonts w:ascii="仿宋_GB2312" w:hAnsi="宋体" w:eastAsia="仿宋_GB2312"/>
          <w:sz w:val="30"/>
          <w:szCs w:val="30"/>
        </w:rPr>
      </w:pPr>
      <w:r>
        <w:rPr>
          <w:rFonts w:hint="eastAsia" w:ascii="仿宋_GB2312" w:hAnsi="Calibri" w:eastAsia="仿宋_GB2312" w:cs="仿宋_GB2312"/>
          <w:kern w:val="0"/>
          <w:sz w:val="30"/>
          <w:szCs w:val="30"/>
        </w:rPr>
        <w:t>债券投资者可通过</w:t>
      </w:r>
      <w:r>
        <w:rPr>
          <w:rFonts w:ascii="仿宋_GB2312" w:hAnsi="宋体" w:eastAsia="仿宋_GB2312"/>
          <w:sz w:val="30"/>
          <w:szCs w:val="30"/>
        </w:rPr>
        <w:t>本所官网、债券信息网等本所信息披露平台查看可交换债券暂停换股公告</w:t>
      </w:r>
      <w:r>
        <w:rPr>
          <w:rFonts w:hint="eastAsia" w:ascii="仿宋_GB2312" w:hAnsi="宋体" w:eastAsia="仿宋_GB2312"/>
          <w:sz w:val="30"/>
          <w:szCs w:val="30"/>
        </w:rPr>
        <w:t>。可</w:t>
      </w:r>
      <w:r>
        <w:rPr>
          <w:rFonts w:hint="eastAsia" w:ascii="仿宋_GB2312" w:hAnsi="宋体" w:eastAsia="仿宋_GB2312"/>
          <w:sz w:val="30"/>
          <w:szCs w:val="30"/>
          <w:lang w:eastAsia="zh-CN"/>
        </w:rPr>
        <w:t>交换</w:t>
      </w:r>
      <w:r>
        <w:rPr>
          <w:rFonts w:hint="eastAsia" w:ascii="仿宋_GB2312" w:hAnsi="宋体" w:eastAsia="仿宋_GB2312"/>
          <w:sz w:val="30"/>
          <w:szCs w:val="30"/>
        </w:rPr>
        <w:t>债券暂停换股公告于换股价格调整前</w:t>
      </w:r>
      <w:r>
        <w:rPr>
          <w:rFonts w:ascii="仿宋_GB2312" w:hAnsi="宋体" w:eastAsia="仿宋_GB2312"/>
          <w:sz w:val="30"/>
          <w:szCs w:val="30"/>
        </w:rPr>
        <w:t>2个交易日以前公布</w:t>
      </w:r>
      <w:r>
        <w:rPr>
          <w:rFonts w:hint="eastAsia" w:ascii="仿宋_GB2312" w:hAnsi="宋体" w:eastAsia="仿宋_GB2312"/>
          <w:sz w:val="30"/>
          <w:szCs w:val="30"/>
        </w:rPr>
        <w:t>，公告内容包括暂停原因、暂停起始时间及预计恢复换股时间。</w:t>
      </w:r>
    </w:p>
    <w:p w14:paraId="1F4FEE5A">
      <w:pPr>
        <w:spacing w:line="600" w:lineRule="exact"/>
        <w:ind w:firstLine="600" w:firstLineChars="200"/>
        <w:jc w:val="left"/>
        <w:rPr>
          <w:rFonts w:ascii="仿宋_GB2312" w:hAnsi="宋体" w:eastAsia="仿宋_GB2312"/>
          <w:sz w:val="30"/>
          <w:szCs w:val="30"/>
        </w:rPr>
      </w:pPr>
      <w:r>
        <w:rPr>
          <w:rFonts w:ascii="仿宋_GB2312" w:hAnsi="宋体" w:eastAsia="仿宋_GB2312"/>
          <w:sz w:val="30"/>
          <w:szCs w:val="30"/>
        </w:rPr>
        <w:t>暂停换股事项消除后，换股恢复。债券投资者可通过本所官网、债券信息网等本所信息披露平台查看可交换债</w:t>
      </w:r>
      <w:r>
        <w:rPr>
          <w:rFonts w:hint="eastAsia" w:ascii="仿宋_GB2312" w:hAnsi="宋体" w:eastAsia="仿宋_GB2312"/>
          <w:sz w:val="30"/>
          <w:szCs w:val="30"/>
        </w:rPr>
        <w:t>券恢复换股公告，公告于恢复换股前</w:t>
      </w:r>
      <w:r>
        <w:rPr>
          <w:rFonts w:ascii="仿宋_GB2312" w:hAnsi="宋体" w:eastAsia="仿宋_GB2312"/>
          <w:sz w:val="30"/>
          <w:szCs w:val="30"/>
        </w:rPr>
        <w:t>2个交易日以前公布，公告内容包括恢复换股时间</w:t>
      </w:r>
      <w:r>
        <w:rPr>
          <w:rFonts w:hint="eastAsia" w:ascii="仿宋_GB2312" w:hAnsi="宋体" w:eastAsia="仿宋_GB2312"/>
          <w:sz w:val="30"/>
          <w:szCs w:val="30"/>
        </w:rPr>
        <w:t>等。</w:t>
      </w:r>
    </w:p>
    <w:p w14:paraId="1D7CA2A8">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发行人或预备用于交换的股票出现其他影响债券投资者换股权利事项的，本所可视情况暂停或终止可交换债换股。</w:t>
      </w:r>
    </w:p>
    <w:p w14:paraId="627CB556">
      <w:pPr>
        <w:spacing w:line="600" w:lineRule="exact"/>
        <w:ind w:firstLine="600" w:firstLineChars="200"/>
        <w:jc w:val="left"/>
        <w:rPr>
          <w:rFonts w:ascii="仿宋_GB2312" w:hAnsi="微软雅黑" w:eastAsia="仿宋_GB2312"/>
          <w:sz w:val="30"/>
          <w:szCs w:val="30"/>
        </w:rPr>
      </w:pPr>
      <w:r>
        <w:rPr>
          <w:rFonts w:hint="eastAsia" w:ascii="仿宋_GB2312" w:hAnsi="宋体" w:eastAsia="仿宋_GB2312"/>
          <w:sz w:val="30"/>
          <w:szCs w:val="30"/>
        </w:rPr>
        <w:t>若</w:t>
      </w:r>
      <w:r>
        <w:rPr>
          <w:rFonts w:ascii="仿宋_GB2312" w:hAnsi="宋体" w:eastAsia="仿宋_GB2312"/>
          <w:sz w:val="30"/>
          <w:szCs w:val="30"/>
        </w:rPr>
        <w:t>债券投资者</w:t>
      </w:r>
      <w:r>
        <w:rPr>
          <w:rFonts w:hint="eastAsia" w:ascii="仿宋_GB2312" w:hAnsi="宋体" w:eastAsia="仿宋_GB2312"/>
          <w:sz w:val="30"/>
          <w:szCs w:val="30"/>
        </w:rPr>
        <w:t>申报换股的可交债数量</w:t>
      </w:r>
      <w:r>
        <w:rPr>
          <w:rFonts w:hint="eastAsia" w:ascii="仿宋_GB2312" w:hAnsi="宋体" w:eastAsia="仿宋_GB2312"/>
          <w:sz w:val="30"/>
          <w:szCs w:val="30"/>
          <w:lang w:eastAsia="zh-CN"/>
        </w:rPr>
        <w:t>小</w:t>
      </w:r>
      <w:r>
        <w:rPr>
          <w:rFonts w:hint="eastAsia" w:ascii="仿宋_GB2312" w:hAnsi="宋体" w:eastAsia="仿宋_GB2312"/>
          <w:sz w:val="30"/>
          <w:szCs w:val="30"/>
        </w:rPr>
        <w:t>于其实际持有可交债余额，则持有可交债全部进行换股。证券登记结算机构确认换股申报有效后，将记减（注销）持有人的可交债数额，同时记增持有人相应的标的股票股份数额。</w:t>
      </w:r>
    </w:p>
    <w:p w14:paraId="7809D2D6">
      <w:pPr>
        <w:numPr>
          <w:ilvl w:val="1"/>
          <w:numId w:val="4"/>
        </w:numPr>
        <w:spacing w:line="600" w:lineRule="exact"/>
        <w:ind w:left="0" w:firstLine="0"/>
        <w:outlineLvl w:val="1"/>
        <w:rPr>
          <w:rFonts w:ascii="仿宋_GB2312" w:eastAsia="仿宋_GB2312"/>
          <w:b/>
          <w:sz w:val="30"/>
          <w:szCs w:val="30"/>
        </w:rPr>
      </w:pPr>
      <w:bookmarkStart w:id="2506" w:name="_Toc34763093"/>
      <w:bookmarkStart w:id="2507" w:name="_Toc151137060"/>
      <w:bookmarkStart w:id="2508" w:name="_Toc1143647065"/>
      <w:bookmarkStart w:id="2509" w:name="_Toc760581564"/>
      <w:bookmarkStart w:id="2510" w:name="_Toc24459999"/>
      <w:bookmarkStart w:id="2511" w:name="_Toc722921251"/>
      <w:bookmarkStart w:id="2512" w:name="_Toc56166110"/>
      <w:bookmarkStart w:id="2513" w:name="_Toc400565493"/>
      <w:bookmarkStart w:id="2514" w:name="_Toc19542118"/>
      <w:bookmarkStart w:id="2515" w:name="_Toc56166299"/>
      <w:r>
        <w:rPr>
          <w:rFonts w:hint="eastAsia" w:ascii="仿宋_GB2312" w:eastAsia="仿宋_GB2312"/>
          <w:b/>
          <w:sz w:val="30"/>
          <w:szCs w:val="30"/>
        </w:rPr>
        <w:t>债券转托管</w:t>
      </w:r>
      <w:bookmarkEnd w:id="2506"/>
      <w:bookmarkEnd w:id="2507"/>
      <w:bookmarkEnd w:id="2508"/>
      <w:bookmarkEnd w:id="2509"/>
      <w:bookmarkEnd w:id="2510"/>
      <w:bookmarkEnd w:id="2511"/>
      <w:bookmarkEnd w:id="2512"/>
      <w:bookmarkEnd w:id="2513"/>
      <w:bookmarkEnd w:id="2514"/>
      <w:bookmarkEnd w:id="2515"/>
    </w:p>
    <w:p w14:paraId="08C2F24F">
      <w:pPr>
        <w:numPr>
          <w:ilvl w:val="2"/>
          <w:numId w:val="4"/>
        </w:numPr>
        <w:spacing w:line="600" w:lineRule="exact"/>
        <w:ind w:left="0" w:firstLine="0"/>
        <w:outlineLvl w:val="2"/>
        <w:rPr>
          <w:rFonts w:ascii="仿宋_GB2312" w:eastAsia="仿宋_GB2312"/>
          <w:b/>
          <w:sz w:val="30"/>
          <w:szCs w:val="30"/>
        </w:rPr>
      </w:pPr>
      <w:bookmarkStart w:id="2516" w:name="_Toc24460000"/>
      <w:bookmarkStart w:id="2517" w:name="_Toc19542119"/>
      <w:bookmarkStart w:id="2518" w:name="_Toc34763094"/>
      <w:r>
        <w:rPr>
          <w:rFonts w:hint="eastAsia" w:ascii="仿宋_GB2312" w:eastAsia="仿宋_GB2312"/>
          <w:b/>
          <w:sz w:val="30"/>
          <w:szCs w:val="30"/>
        </w:rPr>
        <w:t>转托管服务范围</w:t>
      </w:r>
      <w:bookmarkEnd w:id="2516"/>
      <w:bookmarkEnd w:id="2517"/>
      <w:bookmarkEnd w:id="2518"/>
    </w:p>
    <w:p w14:paraId="378A66DE">
      <w:pPr>
        <w:spacing w:line="600" w:lineRule="exact"/>
        <w:ind w:firstLine="600" w:firstLineChars="200"/>
        <w:rPr>
          <w:rFonts w:ascii="仿宋_GB2312" w:hAnsi="宋体" w:eastAsia="仿宋_GB2312"/>
          <w:sz w:val="30"/>
          <w:szCs w:val="30"/>
        </w:rPr>
      </w:pPr>
      <w:r>
        <w:rPr>
          <w:rFonts w:hint="eastAsia" w:ascii="仿宋_GB2312" w:eastAsia="仿宋_GB2312"/>
          <w:sz w:val="30"/>
          <w:szCs w:val="30"/>
        </w:rPr>
        <w:t>债券投资者可以通过交易系统提交转托管申报，将持有的已上市流通可跨市场债券在不同登记结算机构间进行托管转移。</w:t>
      </w:r>
      <w:r>
        <w:rPr>
          <w:rFonts w:hint="eastAsia" w:ascii="仿宋_GB2312" w:hAnsi="宋体" w:eastAsia="仿宋_GB2312"/>
          <w:sz w:val="30"/>
          <w:szCs w:val="30"/>
        </w:rPr>
        <w:t>债券转托管是指同一债券投资者，将持有债券在不同托管机构间进行的托管转移。目前，本所支持国债、地方债、企业债及政府支持证券在中央国</w:t>
      </w:r>
      <w:r>
        <w:rPr>
          <w:rFonts w:hint="eastAsia" w:ascii="仿宋_GB2312" w:hAnsi="宋体" w:eastAsia="仿宋_GB2312" w:cs="Arial"/>
          <w:sz w:val="30"/>
          <w:szCs w:val="30"/>
          <w:shd w:val="clear" w:color="auto" w:fill="FFFFFF"/>
        </w:rPr>
        <w:t>债登</w:t>
      </w:r>
      <w:r>
        <w:rPr>
          <w:rFonts w:hint="eastAsia" w:ascii="仿宋_GB2312" w:hAnsi="宋体" w:eastAsia="仿宋_GB2312"/>
          <w:sz w:val="30"/>
          <w:szCs w:val="30"/>
        </w:rPr>
        <w:t>记结算有限责任公司（以下简称中债登）与</w:t>
      </w:r>
      <w:r>
        <w:rPr>
          <w:rFonts w:ascii="仿宋_GB2312" w:hAnsi="Calibri" w:eastAsia="仿宋_GB2312"/>
          <w:sz w:val="30"/>
          <w:szCs w:val="30"/>
        </w:rPr>
        <w:t>中国证券登记结算有限责任公司</w:t>
      </w:r>
      <w:r>
        <w:rPr>
          <w:rFonts w:hint="eastAsia" w:ascii="仿宋_GB2312" w:hAnsi="Calibri" w:eastAsia="仿宋_GB2312"/>
          <w:sz w:val="30"/>
          <w:szCs w:val="30"/>
        </w:rPr>
        <w:t>（以下简称中国结算）</w:t>
      </w:r>
      <w:r>
        <w:rPr>
          <w:rFonts w:hint="eastAsia" w:ascii="仿宋_GB2312" w:hAnsi="宋体" w:eastAsia="仿宋_GB2312"/>
          <w:sz w:val="30"/>
          <w:szCs w:val="30"/>
        </w:rPr>
        <w:t>之间的转托管。</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108" w:type="dxa"/>
          <w:bottom w:w="0" w:type="dxa"/>
          <w:right w:w="108" w:type="dxa"/>
        </w:tblCellMar>
      </w:tblPr>
      <w:tblGrid>
        <w:gridCol w:w="1145"/>
        <w:gridCol w:w="2550"/>
        <w:gridCol w:w="4065"/>
      </w:tblGrid>
      <w:tr w14:paraId="5D422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1145" w:type="dxa"/>
            <w:shd w:val="clear" w:color="auto" w:fill="FFFFFF"/>
          </w:tcPr>
          <w:p w14:paraId="394CC314">
            <w:pPr>
              <w:widowControl/>
              <w:jc w:val="left"/>
              <w:rPr>
                <w:rFonts w:ascii="仿宋_GB2312" w:hAnsi="宋体" w:eastAsia="仿宋_GB2312" w:cs="宋体"/>
                <w:b/>
                <w:color w:val="000000"/>
                <w:kern w:val="0"/>
                <w:sz w:val="24"/>
                <w:szCs w:val="24"/>
              </w:rPr>
            </w:pPr>
            <w:r>
              <w:rPr>
                <w:rFonts w:hint="eastAsia" w:ascii="仿宋_GB2312" w:hAnsi="宋体" w:eastAsia="仿宋_GB2312" w:cs="宋体"/>
                <w:b/>
                <w:color w:val="000000"/>
                <w:kern w:val="0"/>
                <w:sz w:val="24"/>
                <w:szCs w:val="24"/>
              </w:rPr>
              <w:t>子市场</w:t>
            </w:r>
          </w:p>
        </w:tc>
        <w:tc>
          <w:tcPr>
            <w:tcW w:w="2550" w:type="dxa"/>
            <w:shd w:val="clear" w:color="auto" w:fill="FFFFFF"/>
          </w:tcPr>
          <w:p w14:paraId="66E595CF">
            <w:pPr>
              <w:widowControl/>
              <w:jc w:val="left"/>
              <w:rPr>
                <w:rFonts w:ascii="仿宋_GB2312" w:hAnsi="宋体" w:eastAsia="仿宋_GB2312" w:cs="宋体"/>
                <w:b/>
                <w:color w:val="000000"/>
                <w:kern w:val="0"/>
                <w:sz w:val="24"/>
                <w:szCs w:val="24"/>
              </w:rPr>
            </w:pPr>
            <w:r>
              <w:rPr>
                <w:rFonts w:hint="eastAsia" w:ascii="仿宋_GB2312" w:hAnsi="宋体" w:eastAsia="仿宋_GB2312" w:cs="宋体"/>
                <w:b/>
                <w:color w:val="000000"/>
                <w:kern w:val="0"/>
                <w:sz w:val="24"/>
                <w:szCs w:val="24"/>
              </w:rPr>
              <w:t>产品类型</w:t>
            </w:r>
          </w:p>
        </w:tc>
        <w:tc>
          <w:tcPr>
            <w:tcW w:w="4065" w:type="dxa"/>
            <w:shd w:val="clear" w:color="auto" w:fill="FFFFFF"/>
          </w:tcPr>
          <w:p w14:paraId="64141039">
            <w:pPr>
              <w:widowControl/>
              <w:jc w:val="left"/>
              <w:rPr>
                <w:rFonts w:ascii="仿宋_GB2312" w:hAnsi="宋体" w:eastAsia="仿宋_GB2312" w:cs="宋体"/>
                <w:b/>
                <w:color w:val="000000"/>
                <w:kern w:val="0"/>
                <w:sz w:val="24"/>
                <w:szCs w:val="24"/>
              </w:rPr>
            </w:pPr>
            <w:r>
              <w:rPr>
                <w:rFonts w:hint="eastAsia" w:ascii="仿宋_GB2312" w:hAnsi="宋体" w:eastAsia="仿宋_GB2312" w:cs="宋体"/>
                <w:b/>
                <w:color w:val="000000"/>
                <w:kern w:val="0"/>
                <w:sz w:val="24"/>
                <w:szCs w:val="24"/>
              </w:rPr>
              <w:t>转托管方向</w:t>
            </w:r>
          </w:p>
        </w:tc>
      </w:tr>
      <w:tr w14:paraId="45812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1145" w:type="dxa"/>
            <w:vMerge w:val="restart"/>
            <w:shd w:val="clear" w:color="auto" w:fill="FFFFFF"/>
          </w:tcPr>
          <w:p w14:paraId="3F67064D">
            <w:pPr>
              <w:widowControl/>
              <w:jc w:val="left"/>
              <w:rPr>
                <w:rFonts w:ascii="仿宋_GB2312" w:hAnsi="宋体" w:eastAsia="仿宋_GB2312" w:cs="宋体"/>
                <w:b/>
                <w:color w:val="000000"/>
                <w:kern w:val="0"/>
                <w:sz w:val="24"/>
                <w:szCs w:val="24"/>
              </w:rPr>
            </w:pPr>
            <w:r>
              <w:rPr>
                <w:rFonts w:hint="eastAsia" w:ascii="仿宋_GB2312" w:hAnsi="宋体" w:eastAsia="仿宋_GB2312" w:cs="宋体"/>
                <w:b/>
                <w:color w:val="000000"/>
                <w:kern w:val="0"/>
                <w:sz w:val="24"/>
                <w:szCs w:val="24"/>
              </w:rPr>
              <w:t>现券</w:t>
            </w:r>
          </w:p>
        </w:tc>
        <w:tc>
          <w:tcPr>
            <w:tcW w:w="2550" w:type="dxa"/>
            <w:shd w:val="clear" w:color="auto" w:fill="FFFFFF"/>
          </w:tcPr>
          <w:p w14:paraId="7CC8D12E">
            <w:pPr>
              <w:widowControl/>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国债</w:t>
            </w:r>
          </w:p>
        </w:tc>
        <w:tc>
          <w:tcPr>
            <w:tcW w:w="4065" w:type="dxa"/>
            <w:shd w:val="clear" w:color="auto" w:fill="FFFFFF"/>
          </w:tcPr>
          <w:p w14:paraId="5472019E">
            <w:pPr>
              <w:widowControl/>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中国结算转中债登，中债登转中国结算</w:t>
            </w:r>
          </w:p>
        </w:tc>
      </w:tr>
      <w:tr w14:paraId="3FCBE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1145" w:type="dxa"/>
            <w:vMerge w:val="continue"/>
            <w:shd w:val="clear" w:color="auto" w:fill="FFFFFF"/>
          </w:tcPr>
          <w:p w14:paraId="4C783B61">
            <w:pPr>
              <w:widowControl/>
              <w:jc w:val="left"/>
              <w:rPr>
                <w:rFonts w:ascii="仿宋_GB2312" w:hAnsi="宋体" w:eastAsia="仿宋_GB2312" w:cs="宋体"/>
                <w:b/>
                <w:color w:val="000000"/>
                <w:kern w:val="0"/>
                <w:sz w:val="24"/>
                <w:szCs w:val="24"/>
              </w:rPr>
            </w:pPr>
          </w:p>
        </w:tc>
        <w:tc>
          <w:tcPr>
            <w:tcW w:w="2550" w:type="dxa"/>
            <w:shd w:val="clear" w:color="auto" w:fill="FFFFFF"/>
          </w:tcPr>
          <w:p w14:paraId="1AA0AB76">
            <w:pPr>
              <w:widowControl/>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地方债</w:t>
            </w:r>
          </w:p>
        </w:tc>
        <w:tc>
          <w:tcPr>
            <w:tcW w:w="4065" w:type="dxa"/>
            <w:shd w:val="clear" w:color="auto" w:fill="FFFFFF"/>
          </w:tcPr>
          <w:p w14:paraId="2DA2C71D">
            <w:pPr>
              <w:widowControl/>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中国结算转中债登，中债登转中国结算</w:t>
            </w:r>
          </w:p>
        </w:tc>
      </w:tr>
      <w:tr w14:paraId="23A2E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1145" w:type="dxa"/>
            <w:vMerge w:val="continue"/>
            <w:shd w:val="clear" w:color="auto" w:fill="FFFFFF"/>
          </w:tcPr>
          <w:p w14:paraId="3D991CA4">
            <w:pPr>
              <w:widowControl/>
              <w:jc w:val="left"/>
              <w:rPr>
                <w:rFonts w:ascii="仿宋_GB2312" w:hAnsi="宋体" w:eastAsia="仿宋_GB2312" w:cs="宋体"/>
                <w:b/>
                <w:color w:val="000000"/>
                <w:kern w:val="0"/>
                <w:sz w:val="24"/>
                <w:szCs w:val="24"/>
              </w:rPr>
            </w:pPr>
          </w:p>
        </w:tc>
        <w:tc>
          <w:tcPr>
            <w:tcW w:w="2550" w:type="dxa"/>
            <w:shd w:val="clear" w:color="auto" w:fill="FFFFFF"/>
          </w:tcPr>
          <w:p w14:paraId="695405B1">
            <w:pPr>
              <w:widowControl/>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政策性金融债</w:t>
            </w:r>
          </w:p>
        </w:tc>
        <w:tc>
          <w:tcPr>
            <w:tcW w:w="4065" w:type="dxa"/>
            <w:shd w:val="clear" w:color="auto" w:fill="FFFFFF"/>
          </w:tcPr>
          <w:p w14:paraId="4B2562A6">
            <w:pPr>
              <w:widowControl/>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不可转托管</w:t>
            </w:r>
          </w:p>
        </w:tc>
      </w:tr>
      <w:tr w14:paraId="103F8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1145" w:type="dxa"/>
            <w:vMerge w:val="continue"/>
            <w:shd w:val="clear" w:color="auto" w:fill="FFFFFF"/>
          </w:tcPr>
          <w:p w14:paraId="36903366">
            <w:pPr>
              <w:widowControl/>
              <w:jc w:val="left"/>
              <w:rPr>
                <w:rFonts w:ascii="仿宋_GB2312" w:hAnsi="宋体" w:eastAsia="仿宋_GB2312" w:cs="宋体"/>
                <w:b/>
                <w:color w:val="000000"/>
                <w:kern w:val="0"/>
                <w:sz w:val="24"/>
                <w:szCs w:val="24"/>
              </w:rPr>
            </w:pPr>
          </w:p>
        </w:tc>
        <w:tc>
          <w:tcPr>
            <w:tcW w:w="2550" w:type="dxa"/>
            <w:shd w:val="clear" w:color="auto" w:fill="FFFFFF"/>
          </w:tcPr>
          <w:p w14:paraId="4D0EF47F">
            <w:pPr>
              <w:widowControl/>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企业债</w:t>
            </w:r>
          </w:p>
        </w:tc>
        <w:tc>
          <w:tcPr>
            <w:tcW w:w="4065" w:type="dxa"/>
            <w:shd w:val="clear" w:color="auto" w:fill="FFFFFF"/>
          </w:tcPr>
          <w:p w14:paraId="22B1B34C">
            <w:pPr>
              <w:widowControl/>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中国结算转中债登，中债登转中国结算</w:t>
            </w:r>
          </w:p>
        </w:tc>
      </w:tr>
      <w:tr w14:paraId="45C08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1145" w:type="dxa"/>
            <w:vMerge w:val="continue"/>
            <w:shd w:val="clear" w:color="auto" w:fill="FFFFFF"/>
          </w:tcPr>
          <w:p w14:paraId="22A203F8">
            <w:pPr>
              <w:widowControl/>
              <w:jc w:val="left"/>
              <w:rPr>
                <w:rFonts w:ascii="仿宋_GB2312" w:hAnsi="宋体" w:eastAsia="仿宋_GB2312" w:cs="宋体"/>
                <w:b/>
                <w:color w:val="000000"/>
                <w:kern w:val="0"/>
                <w:sz w:val="24"/>
                <w:szCs w:val="24"/>
              </w:rPr>
            </w:pPr>
          </w:p>
        </w:tc>
        <w:tc>
          <w:tcPr>
            <w:tcW w:w="2550" w:type="dxa"/>
            <w:shd w:val="clear" w:color="auto" w:fill="FFFFFF"/>
          </w:tcPr>
          <w:p w14:paraId="506CA639">
            <w:pPr>
              <w:widowControl/>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政府支持证券</w:t>
            </w:r>
          </w:p>
        </w:tc>
        <w:tc>
          <w:tcPr>
            <w:tcW w:w="4065" w:type="dxa"/>
            <w:shd w:val="clear" w:color="auto" w:fill="FFFFFF"/>
          </w:tcPr>
          <w:p w14:paraId="468F19C1">
            <w:pPr>
              <w:widowControl/>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中国结算转中债登，中债登转中国结算</w:t>
            </w:r>
          </w:p>
        </w:tc>
      </w:tr>
      <w:tr w14:paraId="40040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1145" w:type="dxa"/>
            <w:vMerge w:val="continue"/>
            <w:shd w:val="clear" w:color="auto" w:fill="FFFFFF"/>
          </w:tcPr>
          <w:p w14:paraId="774E5336">
            <w:pPr>
              <w:widowControl/>
              <w:jc w:val="left"/>
              <w:rPr>
                <w:rFonts w:ascii="仿宋_GB2312" w:hAnsi="宋体" w:eastAsia="仿宋_GB2312" w:cs="宋体"/>
                <w:b/>
                <w:color w:val="000000"/>
                <w:kern w:val="0"/>
                <w:sz w:val="24"/>
                <w:szCs w:val="24"/>
              </w:rPr>
            </w:pPr>
          </w:p>
        </w:tc>
        <w:tc>
          <w:tcPr>
            <w:tcW w:w="2550" w:type="dxa"/>
            <w:shd w:val="clear" w:color="auto" w:fill="FFFFFF"/>
          </w:tcPr>
          <w:p w14:paraId="2C551D61">
            <w:pPr>
              <w:widowControl/>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公司债（含可交债、私募可转债，</w:t>
            </w:r>
            <w:r>
              <w:rPr>
                <w:rFonts w:ascii="仿宋_GB2312" w:hAnsi="宋体" w:eastAsia="仿宋_GB2312" w:cs="宋体"/>
                <w:color w:val="000000"/>
                <w:kern w:val="0"/>
                <w:sz w:val="24"/>
                <w:szCs w:val="24"/>
              </w:rPr>
              <w:t>不含企业债</w:t>
            </w:r>
            <w:r>
              <w:rPr>
                <w:rFonts w:hint="eastAsia" w:ascii="仿宋_GB2312" w:hAnsi="宋体" w:eastAsia="仿宋_GB2312" w:cs="宋体"/>
                <w:color w:val="000000"/>
                <w:kern w:val="0"/>
                <w:sz w:val="24"/>
                <w:szCs w:val="24"/>
              </w:rPr>
              <w:t>）</w:t>
            </w:r>
          </w:p>
        </w:tc>
        <w:tc>
          <w:tcPr>
            <w:tcW w:w="4065" w:type="dxa"/>
            <w:shd w:val="clear" w:color="auto" w:fill="FFFFFF"/>
          </w:tcPr>
          <w:p w14:paraId="6E26415A">
            <w:pPr>
              <w:widowControl/>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不可转托管</w:t>
            </w:r>
          </w:p>
        </w:tc>
      </w:tr>
      <w:tr w14:paraId="7AC75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1145" w:type="dxa"/>
            <w:vMerge w:val="continue"/>
            <w:shd w:val="clear" w:color="auto" w:fill="FFFFFF"/>
          </w:tcPr>
          <w:p w14:paraId="57D85512">
            <w:pPr>
              <w:widowControl/>
              <w:jc w:val="left"/>
              <w:rPr>
                <w:rFonts w:ascii="仿宋_GB2312" w:hAnsi="宋体" w:eastAsia="仿宋_GB2312" w:cs="宋体"/>
                <w:b/>
                <w:color w:val="000000"/>
                <w:kern w:val="0"/>
                <w:sz w:val="24"/>
                <w:szCs w:val="24"/>
              </w:rPr>
            </w:pPr>
          </w:p>
        </w:tc>
        <w:tc>
          <w:tcPr>
            <w:tcW w:w="2550" w:type="dxa"/>
            <w:shd w:val="clear" w:color="auto" w:fill="FFFFFF"/>
          </w:tcPr>
          <w:p w14:paraId="7D660693">
            <w:pPr>
              <w:widowControl/>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资产支持证券</w:t>
            </w:r>
          </w:p>
        </w:tc>
        <w:tc>
          <w:tcPr>
            <w:tcW w:w="4065" w:type="dxa"/>
            <w:shd w:val="clear" w:color="auto" w:fill="FFFFFF"/>
          </w:tcPr>
          <w:p w14:paraId="49ADAD2A">
            <w:pPr>
              <w:widowControl/>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不可转托管</w:t>
            </w:r>
          </w:p>
        </w:tc>
      </w:tr>
    </w:tbl>
    <w:p w14:paraId="495AD7C0">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转托管方向为从本所债券市场转出到银行间债券市场（以下简称转出）的国债、地方债等跨市场债券的转托管，可以通过本所固定收益平台或</w:t>
      </w:r>
      <w:r>
        <w:rPr>
          <w:rFonts w:ascii="仿宋_GB2312" w:hAnsi="Calibri" w:eastAsia="仿宋_GB2312"/>
          <w:sz w:val="30"/>
          <w:szCs w:val="30"/>
        </w:rPr>
        <w:t>中国证券登记结算有限责任公司</w:t>
      </w:r>
      <w:r>
        <w:rPr>
          <w:rFonts w:hint="eastAsia" w:ascii="仿宋_GB2312" w:hAnsi="宋体" w:eastAsia="仿宋_GB2312"/>
          <w:sz w:val="30"/>
          <w:szCs w:val="30"/>
        </w:rPr>
        <w:t>P</w:t>
      </w:r>
      <w:r>
        <w:rPr>
          <w:rFonts w:ascii="仿宋_GB2312" w:hAnsi="宋体" w:eastAsia="仿宋_GB2312"/>
          <w:sz w:val="30"/>
          <w:szCs w:val="30"/>
        </w:rPr>
        <w:t>ROP</w:t>
      </w:r>
      <w:r>
        <w:rPr>
          <w:rFonts w:hint="eastAsia" w:ascii="仿宋_GB2312" w:hAnsi="宋体" w:eastAsia="仿宋_GB2312"/>
          <w:sz w:val="30"/>
          <w:szCs w:val="30"/>
        </w:rPr>
        <w:t>系统提交转托管申报。</w:t>
      </w:r>
    </w:p>
    <w:p w14:paraId="0A522CA2">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转托管方向为从本所债券市场转出到银行间债券市场的企业债、政府支持债券等跨市场债券的转托管，通过</w:t>
      </w:r>
      <w:r>
        <w:rPr>
          <w:rFonts w:hint="eastAsia" w:ascii="仿宋_GB2312" w:hAnsi="Calibri" w:eastAsia="仿宋_GB2312"/>
          <w:sz w:val="30"/>
          <w:szCs w:val="30"/>
        </w:rPr>
        <w:t>中国证券登记结算有限责任公司</w:t>
      </w:r>
      <w:r>
        <w:rPr>
          <w:rFonts w:ascii="仿宋_GB2312" w:hAnsi="宋体" w:eastAsia="仿宋_GB2312"/>
          <w:sz w:val="30"/>
          <w:szCs w:val="30"/>
        </w:rPr>
        <w:t>PROP</w:t>
      </w:r>
      <w:r>
        <w:rPr>
          <w:rFonts w:hint="eastAsia" w:ascii="仿宋_GB2312" w:hAnsi="宋体" w:eastAsia="仿宋_GB2312"/>
          <w:sz w:val="30"/>
          <w:szCs w:val="30"/>
        </w:rPr>
        <w:t>系统提交转托管申请。转托管方向为从银行间债券市场债券转入到本所债券市场的，按照中债登相关规定进行操作。</w:t>
      </w:r>
    </w:p>
    <w:p w14:paraId="6A416DF5">
      <w:pPr>
        <w:numPr>
          <w:ilvl w:val="2"/>
          <w:numId w:val="4"/>
        </w:numPr>
        <w:spacing w:line="600" w:lineRule="exact"/>
        <w:ind w:left="0" w:firstLine="0"/>
        <w:outlineLvl w:val="2"/>
        <w:rPr>
          <w:rFonts w:ascii="仿宋_GB2312" w:eastAsia="仿宋_GB2312"/>
          <w:b/>
          <w:sz w:val="30"/>
          <w:szCs w:val="30"/>
        </w:rPr>
      </w:pPr>
      <w:bookmarkStart w:id="2519" w:name="_Toc16497855"/>
      <w:bookmarkStart w:id="2520" w:name="_Toc24460001"/>
      <w:bookmarkStart w:id="2521" w:name="_Toc34763095"/>
      <w:bookmarkStart w:id="2522" w:name="_Toc19542120"/>
      <w:r>
        <w:rPr>
          <w:rFonts w:hint="eastAsia" w:ascii="仿宋_GB2312" w:eastAsia="仿宋_GB2312"/>
          <w:b/>
          <w:sz w:val="30"/>
          <w:szCs w:val="30"/>
        </w:rPr>
        <w:t>转托管申报</w:t>
      </w:r>
      <w:bookmarkEnd w:id="2519"/>
      <w:bookmarkEnd w:id="2520"/>
      <w:bookmarkEnd w:id="2521"/>
      <w:bookmarkEnd w:id="2522"/>
    </w:p>
    <w:p w14:paraId="754C837A">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通过固定收益平台进行转托管申报时间为每个交易日的9：00至11：30、13：00至</w:t>
      </w:r>
      <w:r>
        <w:rPr>
          <w:rFonts w:ascii="仿宋_GB2312" w:hAnsi="宋体" w:eastAsia="仿宋_GB2312"/>
          <w:sz w:val="30"/>
          <w:szCs w:val="30"/>
        </w:rPr>
        <w:t>15：30</w:t>
      </w:r>
      <w:r>
        <w:rPr>
          <w:rFonts w:ascii="仿宋_GB2312" w:hAnsi="宋体" w:eastAsia="仿宋_GB2312"/>
          <w:sz w:val="30"/>
          <w:vertAlign w:val="superscript"/>
        </w:rPr>
        <w:t xml:space="preserve"> </w:t>
      </w:r>
      <w:r>
        <w:rPr>
          <w:rFonts w:hint="eastAsia" w:ascii="仿宋_GB2312" w:hAnsi="宋体" w:eastAsia="仿宋_GB2312"/>
          <w:sz w:val="30"/>
          <w:szCs w:val="30"/>
        </w:rPr>
        <w:t>。</w:t>
      </w:r>
    </w:p>
    <w:p w14:paraId="37B2D5D3">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进行转托管转出的，债券投资者向本所报送的转出申报应当包括证券代码、证券简称、数量、转出证券账户、在其他债券登记结算机构开立的债券托管账户等内容。</w:t>
      </w:r>
    </w:p>
    <w:tbl>
      <w:tblPr>
        <w:tblStyle w:val="43"/>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7"/>
        <w:gridCol w:w="5109"/>
      </w:tblGrid>
      <w:tr w14:paraId="186AC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50BD102E">
            <w:pPr>
              <w:rPr>
                <w:rFonts w:ascii="仿宋_GB2312" w:hAnsi="宋体" w:eastAsia="仿宋_GB2312"/>
                <w:b/>
                <w:sz w:val="24"/>
                <w:szCs w:val="24"/>
              </w:rPr>
            </w:pPr>
            <w:r>
              <w:rPr>
                <w:rFonts w:hint="eastAsia" w:ascii="仿宋_GB2312" w:hAnsi="宋体" w:eastAsia="仿宋_GB2312"/>
                <w:b/>
                <w:sz w:val="24"/>
                <w:szCs w:val="24"/>
              </w:rPr>
              <w:t>申报要素</w:t>
            </w:r>
          </w:p>
        </w:tc>
        <w:tc>
          <w:tcPr>
            <w:tcW w:w="5109" w:type="dxa"/>
          </w:tcPr>
          <w:p w14:paraId="0D028BA8">
            <w:pPr>
              <w:rPr>
                <w:rFonts w:ascii="仿宋_GB2312" w:hAnsi="宋体" w:eastAsia="仿宋_GB2312"/>
                <w:b/>
                <w:sz w:val="24"/>
                <w:szCs w:val="24"/>
              </w:rPr>
            </w:pPr>
            <w:r>
              <w:rPr>
                <w:rFonts w:hint="eastAsia" w:ascii="仿宋_GB2312" w:hAnsi="宋体" w:eastAsia="仿宋_GB2312"/>
                <w:b/>
                <w:sz w:val="24"/>
                <w:szCs w:val="24"/>
              </w:rPr>
              <w:t>要素说明</w:t>
            </w:r>
          </w:p>
        </w:tc>
      </w:tr>
      <w:tr w14:paraId="4C544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2132D1E0">
            <w:pPr>
              <w:rPr>
                <w:rFonts w:ascii="仿宋_GB2312" w:hAnsi="宋体" w:eastAsia="仿宋_GB2312"/>
                <w:b/>
                <w:sz w:val="24"/>
                <w:szCs w:val="24"/>
              </w:rPr>
            </w:pPr>
            <w:r>
              <w:rPr>
                <w:rFonts w:hint="eastAsia" w:ascii="仿宋_GB2312" w:hAnsi="宋体" w:eastAsia="仿宋_GB2312"/>
                <w:b/>
                <w:sz w:val="24"/>
                <w:szCs w:val="24"/>
              </w:rPr>
              <w:t>证券代码</w:t>
            </w:r>
          </w:p>
        </w:tc>
        <w:tc>
          <w:tcPr>
            <w:tcW w:w="5109" w:type="dxa"/>
          </w:tcPr>
          <w:p w14:paraId="508390E1">
            <w:pPr>
              <w:rPr>
                <w:rFonts w:ascii="仿宋_GB2312" w:hAnsi="宋体" w:eastAsia="仿宋_GB2312"/>
                <w:sz w:val="24"/>
                <w:szCs w:val="24"/>
              </w:rPr>
            </w:pPr>
            <w:r>
              <w:rPr>
                <w:rFonts w:hint="eastAsia" w:ascii="仿宋_GB2312" w:hAnsi="宋体" w:eastAsia="仿宋_GB2312"/>
                <w:sz w:val="24"/>
                <w:szCs w:val="24"/>
              </w:rPr>
              <w:t>准备转托管的现券代码</w:t>
            </w:r>
          </w:p>
        </w:tc>
      </w:tr>
      <w:tr w14:paraId="50C17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0E3A851B">
            <w:pPr>
              <w:rPr>
                <w:rFonts w:ascii="仿宋_GB2312" w:hAnsi="宋体" w:eastAsia="仿宋_GB2312"/>
                <w:b/>
                <w:sz w:val="24"/>
                <w:szCs w:val="24"/>
              </w:rPr>
            </w:pPr>
            <w:r>
              <w:rPr>
                <w:rFonts w:hint="eastAsia" w:ascii="仿宋_GB2312" w:hAnsi="宋体" w:eastAsia="仿宋_GB2312"/>
                <w:b/>
                <w:sz w:val="24"/>
                <w:szCs w:val="24"/>
              </w:rPr>
              <w:t>证券简称</w:t>
            </w:r>
          </w:p>
        </w:tc>
        <w:tc>
          <w:tcPr>
            <w:tcW w:w="5109" w:type="dxa"/>
          </w:tcPr>
          <w:p w14:paraId="05898094">
            <w:pPr>
              <w:rPr>
                <w:rFonts w:ascii="仿宋_GB2312" w:hAnsi="宋体" w:eastAsia="仿宋_GB2312"/>
                <w:sz w:val="24"/>
                <w:szCs w:val="24"/>
              </w:rPr>
            </w:pPr>
            <w:r>
              <w:rPr>
                <w:rFonts w:hint="eastAsia" w:ascii="仿宋_GB2312" w:hAnsi="宋体" w:eastAsia="仿宋_GB2312"/>
                <w:sz w:val="24"/>
                <w:szCs w:val="24"/>
              </w:rPr>
              <w:t>准备转托管的现券简称</w:t>
            </w:r>
          </w:p>
        </w:tc>
      </w:tr>
      <w:tr w14:paraId="7985C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27" w:type="dxa"/>
          </w:tcPr>
          <w:p w14:paraId="0BD432B6">
            <w:pPr>
              <w:rPr>
                <w:rFonts w:ascii="仿宋_GB2312" w:hAnsi="宋体" w:eastAsia="仿宋_GB2312"/>
                <w:b/>
                <w:sz w:val="24"/>
                <w:szCs w:val="24"/>
              </w:rPr>
            </w:pPr>
            <w:r>
              <w:rPr>
                <w:rFonts w:hint="eastAsia" w:ascii="仿宋_GB2312" w:hAnsi="宋体" w:eastAsia="仿宋_GB2312"/>
                <w:b/>
                <w:sz w:val="24"/>
                <w:szCs w:val="24"/>
              </w:rPr>
              <w:t>数量</w:t>
            </w:r>
          </w:p>
        </w:tc>
        <w:tc>
          <w:tcPr>
            <w:tcW w:w="5109" w:type="dxa"/>
          </w:tcPr>
          <w:p w14:paraId="7F850029">
            <w:pPr>
              <w:rPr>
                <w:rFonts w:ascii="仿宋_GB2312" w:hAnsi="宋体" w:eastAsia="仿宋_GB2312"/>
                <w:sz w:val="24"/>
                <w:szCs w:val="24"/>
              </w:rPr>
            </w:pPr>
            <w:r>
              <w:rPr>
                <w:rFonts w:hint="eastAsia" w:ascii="仿宋_GB2312" w:hAnsi="宋体" w:eastAsia="仿宋_GB2312"/>
                <w:sz w:val="24"/>
                <w:szCs w:val="24"/>
              </w:rPr>
              <w:t>准备转托管的现券数量，以1000元面额为单位。</w:t>
            </w:r>
          </w:p>
        </w:tc>
      </w:tr>
      <w:tr w14:paraId="387B6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425D3E91">
            <w:pPr>
              <w:rPr>
                <w:rFonts w:ascii="仿宋_GB2312" w:hAnsi="宋体" w:eastAsia="仿宋_GB2312"/>
                <w:b/>
                <w:sz w:val="24"/>
                <w:szCs w:val="24"/>
              </w:rPr>
            </w:pPr>
            <w:r>
              <w:rPr>
                <w:rFonts w:hint="eastAsia" w:ascii="仿宋_GB2312" w:hAnsi="宋体" w:eastAsia="仿宋_GB2312"/>
                <w:b/>
                <w:sz w:val="24"/>
                <w:szCs w:val="24"/>
              </w:rPr>
              <w:t>银行间托管账号</w:t>
            </w:r>
          </w:p>
        </w:tc>
        <w:tc>
          <w:tcPr>
            <w:tcW w:w="5109" w:type="dxa"/>
          </w:tcPr>
          <w:p w14:paraId="1194ADD9">
            <w:pPr>
              <w:rPr>
                <w:rFonts w:ascii="仿宋_GB2312" w:hAnsi="宋体" w:eastAsia="仿宋_GB2312"/>
                <w:sz w:val="24"/>
                <w:szCs w:val="24"/>
              </w:rPr>
            </w:pPr>
            <w:r>
              <w:rPr>
                <w:rFonts w:hint="eastAsia" w:ascii="仿宋_GB2312" w:hAnsi="宋体" w:eastAsia="仿宋_GB2312"/>
                <w:sz w:val="24"/>
                <w:szCs w:val="24"/>
              </w:rPr>
              <w:t>11位托管账号</w:t>
            </w:r>
          </w:p>
        </w:tc>
      </w:tr>
      <w:tr w14:paraId="2E5BF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4E888D1B">
            <w:pPr>
              <w:rPr>
                <w:rFonts w:ascii="仿宋_GB2312" w:hAnsi="宋体" w:eastAsia="仿宋_GB2312"/>
                <w:b/>
                <w:sz w:val="24"/>
                <w:szCs w:val="24"/>
              </w:rPr>
            </w:pPr>
            <w:r>
              <w:rPr>
                <w:rFonts w:hint="eastAsia" w:ascii="仿宋_GB2312" w:hAnsi="宋体" w:eastAsia="仿宋_GB2312"/>
                <w:b/>
                <w:sz w:val="24"/>
                <w:szCs w:val="24"/>
              </w:rPr>
              <w:t>证券账户</w:t>
            </w:r>
          </w:p>
        </w:tc>
        <w:tc>
          <w:tcPr>
            <w:tcW w:w="5109" w:type="dxa"/>
          </w:tcPr>
          <w:p w14:paraId="6CE441FC">
            <w:pPr>
              <w:rPr>
                <w:rFonts w:ascii="仿宋_GB2312" w:hAnsi="宋体" w:eastAsia="仿宋_GB2312"/>
                <w:sz w:val="24"/>
                <w:szCs w:val="24"/>
              </w:rPr>
            </w:pPr>
            <w:r>
              <w:rPr>
                <w:rFonts w:hint="eastAsia" w:ascii="仿宋_GB2312" w:hAnsi="宋体" w:eastAsia="仿宋_GB2312"/>
                <w:sz w:val="24"/>
                <w:szCs w:val="24"/>
              </w:rPr>
              <w:t>准备转托管的账号。从首席交易员为该交易员设定的可交易账号席位中选取，其中席位是根据所选账号自动填写的。</w:t>
            </w:r>
          </w:p>
        </w:tc>
      </w:tr>
    </w:tbl>
    <w:p w14:paraId="69AB5583">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债券转托管的申报数量应当为</w:t>
      </w:r>
      <w:r>
        <w:rPr>
          <w:rFonts w:ascii="仿宋_GB2312" w:hAnsi="宋体" w:eastAsia="仿宋_GB2312"/>
          <w:sz w:val="30"/>
          <w:szCs w:val="30"/>
        </w:rPr>
        <w:t>1000元</w:t>
      </w:r>
      <w:r>
        <w:rPr>
          <w:rFonts w:hint="eastAsia" w:ascii="仿宋_GB2312" w:hAnsi="宋体" w:eastAsia="仿宋_GB2312"/>
          <w:sz w:val="30"/>
          <w:szCs w:val="30"/>
        </w:rPr>
        <w:t>面额或其整数倍。</w:t>
      </w:r>
    </w:p>
    <w:p w14:paraId="6D8AA7C0">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债券投资者在债券挂牌上市后可通过固定收益平台发起转托管转出申报，国债和地方债到期或付息日前</w:t>
      </w:r>
      <w:r>
        <w:rPr>
          <w:rFonts w:ascii="仿宋_GB2312" w:hAnsi="宋体" w:eastAsia="仿宋_GB2312"/>
          <w:sz w:val="30"/>
          <w:szCs w:val="30"/>
        </w:rPr>
        <w:t>7个交易日暂停转出</w:t>
      </w:r>
      <w:r>
        <w:rPr>
          <w:rFonts w:hint="eastAsia" w:ascii="仿宋_GB2312" w:hAnsi="宋体" w:eastAsia="仿宋_GB2312"/>
          <w:sz w:val="30"/>
          <w:szCs w:val="30"/>
        </w:rPr>
        <w:t>申报，付息日后的第一个交易日恢复转托管申报。</w:t>
      </w:r>
    </w:p>
    <w:p w14:paraId="11C9C663">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当日买入或跨市场转入的债券，当日可以提交转托管转出申请。当日提交的转托管申请，当日收盘前可以在转托管申报时间内撤销。</w:t>
      </w:r>
    </w:p>
    <w:p w14:paraId="59FAA862">
      <w:pPr>
        <w:numPr>
          <w:ilvl w:val="1"/>
          <w:numId w:val="4"/>
        </w:numPr>
        <w:spacing w:line="600" w:lineRule="exact"/>
        <w:ind w:left="0" w:firstLine="0"/>
        <w:outlineLvl w:val="1"/>
        <w:rPr>
          <w:rFonts w:ascii="仿宋_GB2312" w:eastAsia="仿宋_GB2312"/>
          <w:b/>
          <w:sz w:val="30"/>
          <w:szCs w:val="30"/>
        </w:rPr>
      </w:pPr>
      <w:bookmarkStart w:id="2523" w:name="_Toc151137061"/>
      <w:bookmarkStart w:id="2524" w:name="_Toc644237763"/>
      <w:bookmarkStart w:id="2525" w:name="_Toc822136401"/>
      <w:bookmarkStart w:id="2526" w:name="_Toc468033942"/>
      <w:bookmarkStart w:id="2527" w:name="_Toc1308954017"/>
      <w:bookmarkStart w:id="2528" w:name="_Toc47467034"/>
      <w:bookmarkStart w:id="2529" w:name="_Toc56166300"/>
      <w:bookmarkStart w:id="2530" w:name="_Toc56166111"/>
      <w:r>
        <w:rPr>
          <w:rFonts w:hint="eastAsia" w:ascii="仿宋_GB2312" w:eastAsia="仿宋_GB2312"/>
          <w:b/>
          <w:sz w:val="30"/>
          <w:szCs w:val="30"/>
        </w:rPr>
        <w:t>核心交易</w:t>
      </w:r>
      <w:r>
        <w:rPr>
          <w:rFonts w:ascii="仿宋_GB2312" w:eastAsia="仿宋_GB2312"/>
          <w:b/>
          <w:sz w:val="30"/>
          <w:szCs w:val="30"/>
        </w:rPr>
        <w:t>系统备用通道</w:t>
      </w:r>
      <w:bookmarkEnd w:id="2523"/>
      <w:bookmarkEnd w:id="2524"/>
      <w:bookmarkEnd w:id="2525"/>
      <w:bookmarkEnd w:id="2526"/>
      <w:bookmarkEnd w:id="2527"/>
    </w:p>
    <w:p w14:paraId="5B010617">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互联网</w:t>
      </w:r>
      <w:r>
        <w:rPr>
          <w:rFonts w:ascii="仿宋_GB2312" w:hAnsi="宋体" w:eastAsia="仿宋_GB2312"/>
          <w:sz w:val="30"/>
          <w:szCs w:val="30"/>
        </w:rPr>
        <w:t>交易平台核心系统备用通道</w:t>
      </w:r>
      <w:r>
        <w:rPr>
          <w:rFonts w:hint="eastAsia" w:ascii="仿宋_GB2312" w:hAnsi="宋体" w:eastAsia="仿宋_GB2312"/>
          <w:sz w:val="30"/>
          <w:szCs w:val="30"/>
        </w:rPr>
        <w:t>为</w:t>
      </w:r>
      <w:r>
        <w:rPr>
          <w:rFonts w:ascii="仿宋_GB2312" w:hAnsi="宋体" w:eastAsia="仿宋_GB2312"/>
          <w:sz w:val="30"/>
          <w:szCs w:val="30"/>
        </w:rPr>
        <w:t>综合业务平台的网页版申报</w:t>
      </w:r>
      <w:r>
        <w:rPr>
          <w:rFonts w:hint="eastAsia" w:ascii="仿宋_GB2312" w:hAnsi="宋体" w:eastAsia="仿宋_GB2312"/>
          <w:sz w:val="30"/>
          <w:szCs w:val="30"/>
        </w:rPr>
        <w:t>渠道</w:t>
      </w:r>
      <w:r>
        <w:rPr>
          <w:rFonts w:ascii="仿宋_GB2312" w:hAnsi="宋体" w:eastAsia="仿宋_GB2312"/>
          <w:sz w:val="30"/>
          <w:szCs w:val="30"/>
        </w:rPr>
        <w:t>，</w:t>
      </w:r>
      <w:r>
        <w:rPr>
          <w:rFonts w:hint="eastAsia" w:ascii="仿宋_GB2312" w:hAnsi="宋体" w:eastAsia="仿宋_GB2312"/>
          <w:sz w:val="30"/>
          <w:szCs w:val="30"/>
        </w:rPr>
        <w:t>债券</w:t>
      </w:r>
      <w:r>
        <w:rPr>
          <w:rFonts w:ascii="仿宋_GB2312" w:hAnsi="宋体" w:eastAsia="仿宋_GB2312"/>
          <w:sz w:val="30"/>
          <w:szCs w:val="30"/>
        </w:rPr>
        <w:t>投资者</w:t>
      </w:r>
      <w:r>
        <w:rPr>
          <w:rFonts w:hint="eastAsia" w:ascii="仿宋_GB2312" w:hAnsi="宋体" w:eastAsia="仿宋_GB2312"/>
          <w:sz w:val="30"/>
          <w:szCs w:val="30"/>
        </w:rPr>
        <w:t>可以</w:t>
      </w:r>
      <w:r>
        <w:rPr>
          <w:rFonts w:ascii="仿宋_GB2312" w:hAnsi="宋体" w:eastAsia="仿宋_GB2312"/>
          <w:sz w:val="30"/>
          <w:szCs w:val="30"/>
        </w:rPr>
        <w:t>通过</w:t>
      </w:r>
      <w:r>
        <w:rPr>
          <w:rFonts w:hint="eastAsia" w:ascii="仿宋_GB2312" w:hAnsi="宋体" w:eastAsia="仿宋_GB2312"/>
          <w:sz w:val="30"/>
          <w:szCs w:val="30"/>
        </w:rPr>
        <w:t>互联网</w:t>
      </w:r>
      <w:r>
        <w:rPr>
          <w:rFonts w:ascii="仿宋_GB2312" w:hAnsi="宋体" w:eastAsia="仿宋_GB2312"/>
          <w:sz w:val="30"/>
          <w:szCs w:val="30"/>
        </w:rPr>
        <w:t>交易平台核心系统备用通道申报指定</w:t>
      </w:r>
      <w:r>
        <w:rPr>
          <w:rFonts w:hint="eastAsia" w:ascii="仿宋_GB2312" w:hAnsi="宋体" w:eastAsia="仿宋_GB2312"/>
          <w:sz w:val="30"/>
          <w:szCs w:val="30"/>
        </w:rPr>
        <w:t>交易</w:t>
      </w:r>
      <w:r>
        <w:rPr>
          <w:rFonts w:ascii="仿宋_GB2312" w:hAnsi="宋体" w:eastAsia="仿宋_GB2312"/>
          <w:sz w:val="30"/>
          <w:szCs w:val="30"/>
        </w:rPr>
        <w:t>、撤销指定交易</w:t>
      </w:r>
      <w:r>
        <w:rPr>
          <w:rFonts w:hint="eastAsia" w:ascii="仿宋_GB2312" w:hAnsi="宋体" w:eastAsia="仿宋_GB2312"/>
          <w:sz w:val="30"/>
          <w:szCs w:val="30"/>
        </w:rPr>
        <w:t>、质押券</w:t>
      </w:r>
      <w:r>
        <w:rPr>
          <w:rFonts w:ascii="仿宋_GB2312" w:hAnsi="宋体" w:eastAsia="仿宋_GB2312"/>
          <w:sz w:val="30"/>
          <w:szCs w:val="30"/>
        </w:rPr>
        <w:t>出入库、</w:t>
      </w:r>
      <w:r>
        <w:rPr>
          <w:rFonts w:hint="eastAsia" w:ascii="仿宋_GB2312" w:hAnsi="宋体" w:eastAsia="仿宋_GB2312"/>
          <w:sz w:val="30"/>
          <w:szCs w:val="30"/>
        </w:rPr>
        <w:t>公募债</w:t>
      </w:r>
      <w:r>
        <w:rPr>
          <w:rFonts w:ascii="仿宋_GB2312" w:hAnsi="宋体" w:eastAsia="仿宋_GB2312"/>
          <w:sz w:val="30"/>
          <w:szCs w:val="30"/>
        </w:rPr>
        <w:t>回售、</w:t>
      </w:r>
      <w:r>
        <w:rPr>
          <w:rFonts w:hint="eastAsia" w:ascii="仿宋_GB2312" w:hAnsi="宋体" w:eastAsia="仿宋_GB2312"/>
          <w:sz w:val="30"/>
          <w:szCs w:val="30"/>
        </w:rPr>
        <w:t>可转债</w:t>
      </w:r>
      <w:r>
        <w:rPr>
          <w:rFonts w:ascii="仿宋_GB2312" w:hAnsi="宋体" w:eastAsia="仿宋_GB2312"/>
          <w:sz w:val="30"/>
          <w:szCs w:val="30"/>
        </w:rPr>
        <w:t>转股、</w:t>
      </w:r>
      <w:r>
        <w:rPr>
          <w:rFonts w:hint="eastAsia" w:ascii="仿宋_GB2312" w:hAnsi="宋体" w:eastAsia="仿宋_GB2312"/>
          <w:sz w:val="30"/>
          <w:szCs w:val="30"/>
        </w:rPr>
        <w:t>可交换债换股</w:t>
      </w:r>
      <w:r>
        <w:rPr>
          <w:rFonts w:ascii="仿宋_GB2312" w:hAnsi="宋体" w:eastAsia="仿宋_GB2312"/>
          <w:sz w:val="30"/>
          <w:szCs w:val="30"/>
        </w:rPr>
        <w:t>、</w:t>
      </w:r>
      <w:r>
        <w:rPr>
          <w:rFonts w:hint="eastAsia" w:ascii="仿宋_GB2312" w:hAnsi="宋体" w:eastAsia="仿宋_GB2312"/>
          <w:sz w:val="30"/>
          <w:szCs w:val="30"/>
        </w:rPr>
        <w:t>债券ETF申赎</w:t>
      </w:r>
      <w:r>
        <w:rPr>
          <w:rFonts w:ascii="仿宋_GB2312" w:hAnsi="宋体" w:eastAsia="仿宋_GB2312"/>
          <w:sz w:val="30"/>
          <w:szCs w:val="30"/>
        </w:rPr>
        <w:t>等业务。</w:t>
      </w:r>
    </w:p>
    <w:p w14:paraId="3BF3BF76">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核心系统备用通道为网页服务，本所</w:t>
      </w:r>
      <w:r>
        <w:rPr>
          <w:rFonts w:ascii="仿宋_GB2312" w:hAnsi="宋体" w:eastAsia="仿宋_GB2312"/>
          <w:sz w:val="30"/>
          <w:szCs w:val="30"/>
        </w:rPr>
        <w:t>会员和其他</w:t>
      </w:r>
      <w:r>
        <w:rPr>
          <w:rFonts w:hint="eastAsia" w:ascii="仿宋_GB2312" w:hAnsi="宋体" w:eastAsia="仿宋_GB2312"/>
          <w:sz w:val="30"/>
          <w:szCs w:val="30"/>
        </w:rPr>
        <w:t>自有</w:t>
      </w:r>
      <w:r>
        <w:rPr>
          <w:rFonts w:ascii="仿宋_GB2312" w:hAnsi="宋体" w:eastAsia="仿宋_GB2312"/>
          <w:sz w:val="30"/>
          <w:szCs w:val="30"/>
        </w:rPr>
        <w:t>或者租用交易单元的债券交易参与人</w:t>
      </w:r>
      <w:r>
        <w:rPr>
          <w:rFonts w:hint="eastAsia" w:ascii="仿宋_GB2312" w:hAnsi="宋体" w:eastAsia="仿宋_GB2312"/>
          <w:sz w:val="30"/>
          <w:szCs w:val="30"/>
        </w:rPr>
        <w:t>可通过互联网和交易专网访问。</w:t>
      </w:r>
    </w:p>
    <w:p w14:paraId="7D2EB851">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互联网地址：https://iitp.uap.sse.com.cn/otcbnt/</w:t>
      </w:r>
    </w:p>
    <w:p w14:paraId="43A21A60">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专网地址：http://180.7.37.3/otcbnt/（陆家嘴站点）</w:t>
      </w:r>
    </w:p>
    <w:p w14:paraId="69285915">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http://180.7.167.3/otcbnt/（外高桥站点）</w:t>
      </w:r>
    </w:p>
    <w:p w14:paraId="6DE1688D">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债券</w:t>
      </w:r>
      <w:r>
        <w:rPr>
          <w:rFonts w:ascii="仿宋_GB2312" w:hAnsi="宋体" w:eastAsia="仿宋_GB2312"/>
          <w:sz w:val="30"/>
          <w:szCs w:val="30"/>
        </w:rPr>
        <w:t>交易参与人</w:t>
      </w:r>
      <w:r>
        <w:rPr>
          <w:rFonts w:hint="eastAsia" w:ascii="仿宋_GB2312" w:hAnsi="宋体" w:eastAsia="仿宋_GB2312"/>
          <w:sz w:val="30"/>
          <w:szCs w:val="30"/>
        </w:rPr>
        <w:t>若需要通过互联网访问本平台，应提前</w:t>
      </w:r>
      <w:r>
        <w:rPr>
          <w:rFonts w:ascii="仿宋_GB2312" w:hAnsi="宋体" w:eastAsia="仿宋_GB2312"/>
          <w:sz w:val="30"/>
          <w:szCs w:val="30"/>
        </w:rPr>
        <w:t>通过本所CnCSA中心</w:t>
      </w:r>
      <w:r>
        <w:rPr>
          <w:rFonts w:hint="eastAsia" w:ascii="仿宋_GB2312" w:hAnsi="宋体" w:eastAsia="仿宋_GB2312"/>
          <w:sz w:val="30"/>
          <w:szCs w:val="30"/>
        </w:rPr>
        <w:t>（http://www.sse.com.cn/home/biz/cnsca/</w:t>
      </w:r>
      <w:r>
        <w:rPr>
          <w:rFonts w:ascii="仿宋_GB2312" w:hAnsi="宋体" w:eastAsia="仿宋_GB2312"/>
          <w:sz w:val="30"/>
          <w:szCs w:val="30"/>
        </w:rPr>
        <w:t>）</w:t>
      </w:r>
      <w:r>
        <w:rPr>
          <w:rFonts w:hint="eastAsia" w:ascii="仿宋_GB2312" w:hAnsi="宋体" w:eastAsia="仿宋_GB2312"/>
          <w:sz w:val="30"/>
          <w:szCs w:val="30"/>
        </w:rPr>
        <w:t>办理好互联网交易平台数字证书并确保能正常登陆。</w:t>
      </w:r>
    </w:p>
    <w:p w14:paraId="40060DB5">
      <w:pPr>
        <w:spacing w:line="60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技术服务热线：4009003600</w:t>
      </w:r>
    </w:p>
    <w:p w14:paraId="750C427A">
      <w:pPr>
        <w:numPr>
          <w:ilvl w:val="1"/>
          <w:numId w:val="4"/>
        </w:numPr>
        <w:spacing w:line="600" w:lineRule="exact"/>
        <w:ind w:left="0" w:firstLine="0"/>
        <w:outlineLvl w:val="1"/>
        <w:rPr>
          <w:rFonts w:ascii="仿宋_GB2312" w:eastAsia="仿宋_GB2312"/>
          <w:b/>
          <w:sz w:val="30"/>
          <w:szCs w:val="30"/>
        </w:rPr>
      </w:pPr>
      <w:bookmarkStart w:id="2531" w:name="_Toc155283590"/>
      <w:bookmarkStart w:id="2532" w:name="_Toc7086"/>
      <w:bookmarkStart w:id="2533" w:name="_Toc758828092"/>
      <w:bookmarkStart w:id="2534" w:name="_Toc7380"/>
      <w:bookmarkStart w:id="2535" w:name="_Toc19744"/>
      <w:bookmarkStart w:id="2536" w:name="_Toc1865391361"/>
      <w:bookmarkStart w:id="2537" w:name="_Toc1528436931"/>
      <w:bookmarkStart w:id="2538" w:name="_Toc30476"/>
      <w:bookmarkStart w:id="2539" w:name="_Toc20519"/>
      <w:bookmarkStart w:id="2540" w:name="_Toc22748"/>
      <w:bookmarkStart w:id="2541" w:name="_Toc15113"/>
      <w:bookmarkStart w:id="2542" w:name="_Toc4362"/>
      <w:bookmarkStart w:id="2543" w:name="_Toc1365700749"/>
      <w:r>
        <w:rPr>
          <w:rFonts w:hint="eastAsia" w:ascii="仿宋_GB2312" w:eastAsia="仿宋_GB2312"/>
          <w:b/>
          <w:sz w:val="30"/>
          <w:szCs w:val="30"/>
          <w:lang w:eastAsia="zh-CN"/>
        </w:rPr>
        <w:t>非</w:t>
      </w:r>
      <w:r>
        <w:rPr>
          <w:rFonts w:hint="eastAsia" w:ascii="仿宋_GB2312" w:eastAsia="仿宋_GB2312"/>
          <w:b/>
          <w:sz w:val="30"/>
          <w:szCs w:val="30"/>
        </w:rPr>
        <w:t>交易</w:t>
      </w:r>
      <w:r>
        <w:rPr>
          <w:rFonts w:hint="eastAsia" w:ascii="仿宋_GB2312" w:eastAsia="仿宋_GB2312"/>
          <w:b/>
          <w:sz w:val="30"/>
          <w:szCs w:val="30"/>
          <w:lang w:eastAsia="zh-CN"/>
        </w:rPr>
        <w:t>过户</w:t>
      </w:r>
      <w:bookmarkEnd w:id="2531"/>
      <w:bookmarkEnd w:id="2532"/>
      <w:bookmarkEnd w:id="2533"/>
      <w:bookmarkEnd w:id="2534"/>
      <w:bookmarkEnd w:id="2535"/>
      <w:bookmarkEnd w:id="2536"/>
      <w:bookmarkEnd w:id="2537"/>
      <w:bookmarkEnd w:id="2538"/>
      <w:bookmarkEnd w:id="2539"/>
      <w:bookmarkEnd w:id="2540"/>
      <w:bookmarkEnd w:id="2541"/>
      <w:bookmarkEnd w:id="2542"/>
      <w:bookmarkEnd w:id="2543"/>
    </w:p>
    <w:p w14:paraId="1A915F9E">
      <w:pPr>
        <w:widowControl/>
        <w:numPr>
          <w:ilvl w:val="2"/>
          <w:numId w:val="4"/>
        </w:numPr>
        <w:spacing w:line="600" w:lineRule="exact"/>
        <w:ind w:firstLine="0" w:firstLineChars="0"/>
        <w:jc w:val="left"/>
        <w:outlineLvl w:val="2"/>
        <w:rPr>
          <w:rFonts w:hint="eastAsia" w:ascii="仿宋_GB2312" w:hAnsi="Times New Roman" w:eastAsia="仿宋_GB2312"/>
          <w:b/>
          <w:sz w:val="30"/>
          <w:szCs w:val="30"/>
          <w:lang w:val="en-US" w:eastAsia="zh-CN"/>
        </w:rPr>
      </w:pPr>
      <w:r>
        <w:rPr>
          <w:rFonts w:hint="eastAsia" w:ascii="仿宋_GB2312" w:hAnsi="Times New Roman" w:eastAsia="仿宋_GB2312"/>
          <w:b/>
          <w:sz w:val="30"/>
          <w:szCs w:val="30"/>
          <w:lang w:val="en-US" w:eastAsia="zh-CN"/>
        </w:rPr>
        <w:t>适用范围</w:t>
      </w:r>
    </w:p>
    <w:p w14:paraId="4A032DFD">
      <w:pPr>
        <w:widowControl/>
        <w:ind w:firstLine="600" w:firstLineChars="200"/>
        <w:jc w:val="left"/>
        <w:rPr>
          <w:rFonts w:hint="default" w:ascii="仿宋_GB2312" w:hAnsi="Calibri" w:eastAsia="仿宋_GB2312"/>
          <w:b w:val="0"/>
          <w:bCs w:val="0"/>
          <w:sz w:val="30"/>
          <w:szCs w:val="30"/>
          <w:lang w:val="en-US" w:eastAsia="zh-CN"/>
        </w:rPr>
      </w:pPr>
      <w:r>
        <w:rPr>
          <w:rFonts w:hint="eastAsia" w:ascii="仿宋_GB2312" w:hAnsi="Calibri" w:eastAsia="仿宋_GB2312"/>
          <w:b w:val="0"/>
          <w:bCs w:val="0"/>
          <w:sz w:val="30"/>
          <w:szCs w:val="30"/>
          <w:lang w:val="en-US" w:eastAsia="zh-CN"/>
        </w:rPr>
        <w:t>为配合中国结算办理债券非交易过户登记业务，本所对投资者基于债券回售转售、交易通道限制两种情形提出的非交易过户登记申请，进行前端受理。投资者基于其他情形申请办理非交易过户登记业务的，由</w:t>
      </w:r>
      <w:r>
        <w:rPr>
          <w:rFonts w:hint="eastAsia" w:ascii="仿宋_GB2312" w:hAnsi="Calibri" w:eastAsia="仿宋_GB2312"/>
          <w:b w:val="0"/>
          <w:sz w:val="30"/>
          <w:szCs w:val="30"/>
        </w:rPr>
        <w:t>中国结算上海</w:t>
      </w:r>
      <w:r>
        <w:rPr>
          <w:rFonts w:hint="eastAsia" w:ascii="仿宋_GB2312" w:hAnsi="Calibri" w:eastAsia="仿宋_GB2312"/>
          <w:b w:val="0"/>
          <w:sz w:val="30"/>
          <w:szCs w:val="30"/>
          <w:lang w:eastAsia="zh-CN"/>
        </w:rPr>
        <w:t>分</w:t>
      </w:r>
      <w:r>
        <w:rPr>
          <w:rFonts w:hint="eastAsia" w:ascii="仿宋_GB2312" w:hAnsi="Calibri" w:eastAsia="仿宋_GB2312"/>
          <w:b w:val="0"/>
          <w:sz w:val="30"/>
          <w:szCs w:val="30"/>
        </w:rPr>
        <w:t>公司</w:t>
      </w:r>
      <w:r>
        <w:rPr>
          <w:rFonts w:hint="eastAsia" w:ascii="仿宋_GB2312" w:hAnsi="Calibri" w:eastAsia="仿宋_GB2312"/>
          <w:b w:val="0"/>
          <w:sz w:val="30"/>
          <w:szCs w:val="30"/>
          <w:lang w:val="en-US" w:eastAsia="zh-CN"/>
        </w:rPr>
        <w:t>直接办理。</w:t>
      </w:r>
    </w:p>
    <w:p w14:paraId="3F2C3C16">
      <w:pPr>
        <w:widowControl/>
        <w:ind w:firstLine="600" w:firstLineChars="200"/>
        <w:jc w:val="left"/>
        <w:rPr>
          <w:rFonts w:hint="default" w:ascii="仿宋_GB2312" w:hAnsi="Calibri" w:eastAsia="仿宋_GB2312"/>
          <w:b w:val="0"/>
          <w:bCs w:val="0"/>
          <w:sz w:val="30"/>
          <w:szCs w:val="30"/>
          <w:lang w:val="en-US" w:eastAsia="zh-CN"/>
        </w:rPr>
      </w:pPr>
      <w:r>
        <w:rPr>
          <w:rFonts w:hint="eastAsia" w:ascii="仿宋_GB2312" w:hAnsi="Calibri" w:eastAsia="仿宋_GB2312"/>
          <w:b w:val="0"/>
          <w:bCs w:val="0"/>
          <w:sz w:val="30"/>
          <w:szCs w:val="30"/>
          <w:lang w:val="en-US" w:eastAsia="zh-CN"/>
        </w:rPr>
        <w:t>债券发行人实施回售转售，</w:t>
      </w:r>
      <w:r>
        <w:rPr>
          <w:rFonts w:hint="eastAsia" w:ascii="仿宋_GB2312" w:hAnsi="Calibri" w:eastAsia="仿宋_GB2312"/>
          <w:b w:val="0"/>
          <w:bCs w:val="0"/>
          <w:sz w:val="30"/>
          <w:szCs w:val="30"/>
          <w:highlight w:val="none"/>
          <w:lang w:val="en-US" w:eastAsia="zh-CN"/>
        </w:rPr>
        <w:t>原则上应当</w:t>
      </w:r>
      <w:r>
        <w:rPr>
          <w:rFonts w:hint="eastAsia" w:ascii="仿宋_GB2312" w:hAnsi="Calibri" w:eastAsia="仿宋_GB2312"/>
          <w:b w:val="0"/>
          <w:bCs w:val="0"/>
          <w:sz w:val="30"/>
          <w:szCs w:val="30"/>
          <w:lang w:val="en-US" w:eastAsia="zh-CN"/>
        </w:rPr>
        <w:t>通过交易系统实施。发行人筹措回售兑付资金存在困难，且投资者已经先行支付转售价款的，可以申请通过非交易过户方式完成债券过户登记。受托管理人或者其他履行同等职责的机构应当加强核查，确保相关申请符合规定且相应资金用于债券回售兑付。</w:t>
      </w:r>
    </w:p>
    <w:p w14:paraId="2A26C0FE">
      <w:pPr>
        <w:widowControl/>
        <w:numPr>
          <w:ilvl w:val="2"/>
          <w:numId w:val="4"/>
        </w:numPr>
        <w:spacing w:line="600" w:lineRule="exact"/>
        <w:ind w:firstLine="0" w:firstLineChars="0"/>
        <w:jc w:val="left"/>
        <w:outlineLvl w:val="2"/>
        <w:rPr>
          <w:rFonts w:hint="eastAsia" w:ascii="仿宋_GB2312" w:hAnsi="Times New Roman" w:eastAsia="仿宋_GB2312"/>
          <w:b/>
          <w:sz w:val="30"/>
          <w:szCs w:val="30"/>
          <w:lang w:val="en-US" w:eastAsia="zh-CN"/>
        </w:rPr>
      </w:pPr>
      <w:r>
        <w:rPr>
          <w:rFonts w:hint="eastAsia" w:ascii="仿宋_GB2312" w:hAnsi="Times New Roman" w:eastAsia="仿宋_GB2312"/>
          <w:b/>
          <w:sz w:val="30"/>
          <w:szCs w:val="30"/>
          <w:lang w:val="en-US" w:eastAsia="zh-CN"/>
        </w:rPr>
        <w:t>申请材料</w:t>
      </w:r>
    </w:p>
    <w:p w14:paraId="719E42AD">
      <w:pPr>
        <w:widowControl/>
        <w:spacing w:line="240" w:lineRule="auto"/>
        <w:ind w:firstLine="600" w:firstLineChars="200"/>
        <w:jc w:val="left"/>
        <w:rPr>
          <w:rFonts w:hint="eastAsia" w:ascii="仿宋_GB2312" w:hAnsi="Calibri" w:eastAsia="仿宋_GB2312" w:cs="Times New Roman"/>
          <w:sz w:val="30"/>
          <w:szCs w:val="30"/>
          <w:lang w:eastAsia="zh-CN"/>
        </w:rPr>
      </w:pPr>
      <w:r>
        <w:rPr>
          <w:rFonts w:hint="eastAsia" w:ascii="仿宋_GB2312" w:hAnsi="Calibri" w:eastAsia="仿宋_GB2312" w:cs="Times New Roman"/>
          <w:sz w:val="30"/>
          <w:szCs w:val="30"/>
          <w:lang w:val="en-US" w:eastAsia="zh-CN"/>
        </w:rPr>
        <w:t>申请办理债券非交易过户的，应当向本所提交下列材料：</w:t>
      </w:r>
    </w:p>
    <w:p w14:paraId="4F74B7E2">
      <w:pPr>
        <w:widowControl/>
        <w:spacing w:line="240" w:lineRule="auto"/>
        <w:ind w:firstLine="600" w:firstLineChars="200"/>
        <w:jc w:val="left"/>
        <w:rPr>
          <w:rFonts w:hint="eastAsia" w:ascii="仿宋_GB2312" w:hAnsi="Calibri" w:eastAsia="仿宋_GB2312" w:cs="Times New Roman"/>
          <w:color w:val="auto"/>
          <w:sz w:val="30"/>
          <w:szCs w:val="30"/>
        </w:rPr>
      </w:pPr>
      <w:r>
        <w:rPr>
          <w:rFonts w:hint="default" w:ascii="仿宋_GB2312" w:hAnsi="Calibri" w:eastAsia="仿宋_GB2312" w:cs="Times New Roman"/>
          <w:color w:val="auto"/>
          <w:sz w:val="30"/>
          <w:szCs w:val="30"/>
          <w:highlight w:val="none"/>
          <w:lang w:val="en-US"/>
        </w:rPr>
        <w:t>（1）</w:t>
      </w:r>
      <w:r>
        <w:rPr>
          <w:rFonts w:hint="eastAsia" w:ascii="仿宋_GB2312" w:hAnsi="Calibri" w:eastAsia="仿宋_GB2312" w:cs="Times New Roman"/>
          <w:color w:val="auto"/>
          <w:sz w:val="30"/>
          <w:szCs w:val="30"/>
          <w:highlight w:val="none"/>
        </w:rPr>
        <w:t>上海证券交易所债券转让确认申请表(附件</w:t>
      </w:r>
      <w:r>
        <w:rPr>
          <w:rFonts w:hint="eastAsia" w:ascii="仿宋_GB2312" w:hAnsi="Calibri" w:eastAsia="仿宋_GB2312" w:cs="Times New Roman"/>
          <w:color w:val="auto"/>
          <w:sz w:val="30"/>
          <w:szCs w:val="30"/>
          <w:highlight w:val="none"/>
          <w:lang w:val="en-US" w:eastAsia="zh-CN"/>
        </w:rPr>
        <w:t>40</w:t>
      </w:r>
      <w:r>
        <w:rPr>
          <w:rFonts w:hint="eastAsia" w:ascii="仿宋_GB2312" w:hAnsi="Calibri" w:eastAsia="仿宋_GB2312" w:cs="Times New Roman"/>
          <w:color w:val="auto"/>
          <w:sz w:val="30"/>
          <w:szCs w:val="30"/>
          <w:highlight w:val="none"/>
        </w:rPr>
        <w:t xml:space="preserve">) </w:t>
      </w:r>
      <w:r>
        <w:rPr>
          <w:rFonts w:hint="eastAsia" w:ascii="仿宋_GB2312" w:hAnsi="Calibri" w:eastAsia="仿宋_GB2312" w:cs="Times New Roman"/>
          <w:color w:val="auto"/>
          <w:sz w:val="30"/>
          <w:szCs w:val="30"/>
        </w:rPr>
        <w:t>；</w:t>
      </w:r>
    </w:p>
    <w:p w14:paraId="7011FFC3">
      <w:pPr>
        <w:widowControl/>
        <w:spacing w:line="240" w:lineRule="auto"/>
        <w:ind w:firstLine="600" w:firstLineChars="200"/>
        <w:jc w:val="left"/>
        <w:rPr>
          <w:rFonts w:hint="eastAsia" w:ascii="仿宋_GB2312" w:hAnsi="Calibri" w:eastAsia="仿宋_GB2312" w:cs="Times New Roman"/>
          <w:color w:val="auto"/>
          <w:sz w:val="30"/>
          <w:szCs w:val="30"/>
        </w:rPr>
      </w:pPr>
      <w:r>
        <w:rPr>
          <w:rFonts w:hint="default" w:ascii="仿宋_GB2312" w:hAnsi="Calibri" w:eastAsia="仿宋_GB2312" w:cs="Times New Roman"/>
          <w:color w:val="auto"/>
          <w:sz w:val="30"/>
          <w:szCs w:val="30"/>
          <w:lang w:val="en-US"/>
        </w:rPr>
        <w:t>（2）</w:t>
      </w:r>
      <w:r>
        <w:rPr>
          <w:rFonts w:hint="eastAsia" w:ascii="仿宋_GB2312" w:hAnsi="Calibri" w:eastAsia="仿宋_GB2312" w:cs="Times New Roman"/>
          <w:color w:val="auto"/>
          <w:sz w:val="30"/>
          <w:szCs w:val="30"/>
        </w:rPr>
        <w:t>关于“**债券”非交易过户的申请(附件</w:t>
      </w:r>
      <w:r>
        <w:rPr>
          <w:rFonts w:hint="eastAsia" w:ascii="仿宋_GB2312" w:hAnsi="Calibri" w:eastAsia="仿宋_GB2312" w:cs="Times New Roman"/>
          <w:color w:val="auto"/>
          <w:sz w:val="30"/>
          <w:szCs w:val="30"/>
          <w:lang w:val="en-US" w:eastAsia="zh-CN"/>
        </w:rPr>
        <w:t>41</w:t>
      </w:r>
      <w:r>
        <w:rPr>
          <w:rFonts w:hint="eastAsia" w:ascii="仿宋_GB2312" w:hAnsi="Calibri" w:eastAsia="仿宋_GB2312" w:cs="Times New Roman"/>
          <w:color w:val="auto"/>
          <w:sz w:val="30"/>
          <w:szCs w:val="30"/>
        </w:rPr>
        <w:t>)（涉及托管人的，需托管人签章</w:t>
      </w:r>
      <w:r>
        <w:rPr>
          <w:rFonts w:hint="eastAsia" w:ascii="仿宋_GB2312" w:hAnsi="Calibri" w:eastAsia="仿宋_GB2312" w:cs="Times New Roman"/>
          <w:color w:val="auto"/>
          <w:sz w:val="30"/>
          <w:szCs w:val="30"/>
          <w:lang w:eastAsia="zh-CN"/>
        </w:rPr>
        <w:t>或</w:t>
      </w:r>
      <w:r>
        <w:rPr>
          <w:rFonts w:hint="eastAsia" w:ascii="仿宋_GB2312" w:hAnsi="Calibri" w:eastAsia="仿宋_GB2312" w:cs="Times New Roman"/>
          <w:color w:val="auto"/>
          <w:sz w:val="30"/>
          <w:szCs w:val="30"/>
        </w:rPr>
        <w:t>托管人托管部</w:t>
      </w:r>
      <w:r>
        <w:rPr>
          <w:rFonts w:hint="eastAsia" w:ascii="仿宋_GB2312" w:hAnsi="Calibri" w:eastAsia="仿宋_GB2312" w:cs="Times New Roman"/>
          <w:color w:val="auto"/>
          <w:sz w:val="30"/>
          <w:szCs w:val="30"/>
          <w:lang w:eastAsia="zh-CN"/>
        </w:rPr>
        <w:t>签章</w:t>
      </w:r>
      <w:r>
        <w:rPr>
          <w:rFonts w:hint="eastAsia" w:ascii="仿宋_GB2312" w:hAnsi="Calibri" w:eastAsia="仿宋_GB2312" w:cs="Times New Roman"/>
          <w:color w:val="auto"/>
          <w:sz w:val="30"/>
          <w:szCs w:val="30"/>
        </w:rPr>
        <w:t>确认）；</w:t>
      </w:r>
    </w:p>
    <w:p w14:paraId="7B1E9A64">
      <w:pPr>
        <w:widowControl/>
        <w:spacing w:line="240" w:lineRule="auto"/>
        <w:ind w:firstLine="600" w:firstLineChars="200"/>
        <w:jc w:val="left"/>
        <w:rPr>
          <w:rFonts w:hint="eastAsia" w:ascii="仿宋_GB2312" w:hAnsi="Calibri" w:eastAsia="仿宋_GB2312" w:cs="Times New Roman"/>
          <w:color w:val="auto"/>
          <w:sz w:val="30"/>
          <w:szCs w:val="30"/>
          <w:highlight w:val="none"/>
        </w:rPr>
      </w:pPr>
      <w:r>
        <w:rPr>
          <w:rFonts w:hint="default" w:ascii="仿宋_GB2312" w:hAnsi="Calibri" w:eastAsia="仿宋_GB2312" w:cs="Times New Roman"/>
          <w:color w:val="auto"/>
          <w:sz w:val="30"/>
          <w:szCs w:val="30"/>
          <w:highlight w:val="none"/>
          <w:lang w:val="en-US"/>
        </w:rPr>
        <w:t>（3）</w:t>
      </w:r>
      <w:r>
        <w:rPr>
          <w:rFonts w:hint="eastAsia" w:ascii="仿宋_GB2312" w:hAnsi="Calibri" w:eastAsia="仿宋_GB2312" w:cs="Times New Roman"/>
          <w:color w:val="auto"/>
          <w:sz w:val="30"/>
          <w:szCs w:val="30"/>
          <w:highlight w:val="none"/>
        </w:rPr>
        <w:t>转让双方营业执照；</w:t>
      </w:r>
    </w:p>
    <w:p w14:paraId="460B118F">
      <w:pPr>
        <w:widowControl/>
        <w:spacing w:line="240" w:lineRule="auto"/>
        <w:ind w:firstLine="600" w:firstLineChars="200"/>
        <w:jc w:val="left"/>
        <w:rPr>
          <w:rFonts w:hint="default" w:ascii="仿宋_GB2312" w:hAnsi="Calibri" w:eastAsia="仿宋_GB2312" w:cs="Times New Roman"/>
          <w:color w:val="auto"/>
          <w:sz w:val="30"/>
          <w:szCs w:val="30"/>
          <w:highlight w:val="none"/>
          <w:lang w:val="en-US" w:eastAsia="zh-CN"/>
        </w:rPr>
      </w:pPr>
      <w:r>
        <w:rPr>
          <w:rFonts w:hint="eastAsia" w:ascii="仿宋_GB2312" w:hAnsi="Calibri" w:eastAsia="仿宋_GB2312" w:cs="Times New Roman"/>
          <w:color w:val="auto"/>
          <w:sz w:val="30"/>
          <w:szCs w:val="30"/>
          <w:highlight w:val="none"/>
          <w:lang w:val="en-US" w:eastAsia="zh-CN"/>
        </w:rPr>
        <w:t>（4）转让双方法定代表人证明书；</w:t>
      </w:r>
    </w:p>
    <w:p w14:paraId="5B9D2E1D">
      <w:pPr>
        <w:widowControl/>
        <w:spacing w:line="240" w:lineRule="auto"/>
        <w:ind w:firstLine="600" w:firstLineChars="200"/>
        <w:jc w:val="left"/>
        <w:rPr>
          <w:rFonts w:hint="eastAsia" w:ascii="仿宋_GB2312" w:hAnsi="Calibri" w:eastAsia="仿宋_GB2312" w:cs="Times New Roman"/>
          <w:color w:val="auto"/>
          <w:sz w:val="30"/>
          <w:szCs w:val="30"/>
          <w:highlight w:val="none"/>
          <w:lang w:val="en-US" w:eastAsia="zh-CN"/>
        </w:rPr>
      </w:pPr>
      <w:r>
        <w:rPr>
          <w:rFonts w:hint="eastAsia" w:ascii="仿宋_GB2312" w:hAnsi="Calibri" w:eastAsia="仿宋_GB2312" w:cs="Times New Roman"/>
          <w:color w:val="auto"/>
          <w:sz w:val="30"/>
          <w:szCs w:val="30"/>
          <w:highlight w:val="none"/>
          <w:lang w:val="en-US" w:eastAsia="zh-CN"/>
        </w:rPr>
        <w:t>（5）转让双方</w:t>
      </w:r>
      <w:r>
        <w:rPr>
          <w:rFonts w:hint="eastAsia" w:ascii="仿宋_GB2312" w:hAnsi="Calibri" w:eastAsia="仿宋_GB2312" w:cs="Times New Roman"/>
          <w:color w:val="auto"/>
          <w:sz w:val="30"/>
          <w:szCs w:val="30"/>
          <w:highlight w:val="none"/>
        </w:rPr>
        <w:t>法定代表人身份证</w:t>
      </w:r>
      <w:r>
        <w:rPr>
          <w:rFonts w:hint="eastAsia" w:ascii="仿宋_GB2312" w:hAnsi="Calibri" w:eastAsia="仿宋_GB2312" w:cs="Times New Roman"/>
          <w:color w:val="auto"/>
          <w:sz w:val="30"/>
          <w:szCs w:val="30"/>
          <w:highlight w:val="none"/>
          <w:lang w:eastAsia="zh-CN"/>
        </w:rPr>
        <w:t>；</w:t>
      </w:r>
    </w:p>
    <w:p w14:paraId="751CD789">
      <w:pPr>
        <w:widowControl/>
        <w:spacing w:line="240" w:lineRule="auto"/>
        <w:ind w:firstLine="600" w:firstLineChars="200"/>
        <w:jc w:val="left"/>
        <w:rPr>
          <w:rFonts w:hint="eastAsia" w:ascii="仿宋_GB2312" w:hAnsi="Calibri" w:eastAsia="仿宋_GB2312" w:cs="Times New Roman"/>
          <w:color w:val="auto"/>
          <w:sz w:val="30"/>
          <w:szCs w:val="30"/>
          <w:highlight w:val="none"/>
          <w:lang w:val="en-US" w:eastAsia="zh-CN"/>
        </w:rPr>
      </w:pPr>
      <w:r>
        <w:rPr>
          <w:rFonts w:hint="eastAsia" w:ascii="仿宋_GB2312" w:hAnsi="Calibri" w:eastAsia="仿宋_GB2312" w:cs="Times New Roman"/>
          <w:color w:val="auto"/>
          <w:sz w:val="30"/>
          <w:szCs w:val="30"/>
          <w:highlight w:val="none"/>
          <w:lang w:val="en-US" w:eastAsia="zh-CN"/>
        </w:rPr>
        <w:t>（6）转让双方授权经办人的相关委托书</w:t>
      </w:r>
      <w:r>
        <w:rPr>
          <w:rFonts w:hint="eastAsia" w:ascii="仿宋_GB2312" w:hAnsi="Calibri" w:eastAsia="仿宋_GB2312" w:cs="Times New Roman"/>
          <w:color w:val="auto"/>
          <w:sz w:val="30"/>
          <w:szCs w:val="30"/>
          <w:highlight w:val="none"/>
        </w:rPr>
        <w:t>(附件</w:t>
      </w:r>
      <w:r>
        <w:rPr>
          <w:rFonts w:hint="eastAsia" w:ascii="仿宋_GB2312" w:hAnsi="Calibri" w:eastAsia="仿宋_GB2312" w:cs="Times New Roman"/>
          <w:color w:val="auto"/>
          <w:sz w:val="30"/>
          <w:szCs w:val="30"/>
          <w:highlight w:val="none"/>
          <w:lang w:val="en-US" w:eastAsia="zh-CN"/>
        </w:rPr>
        <w:t>42</w:t>
      </w:r>
      <w:r>
        <w:rPr>
          <w:rFonts w:hint="eastAsia" w:ascii="仿宋_GB2312" w:hAnsi="Calibri" w:eastAsia="仿宋_GB2312" w:cs="Times New Roman"/>
          <w:color w:val="auto"/>
          <w:sz w:val="30"/>
          <w:szCs w:val="30"/>
          <w:highlight w:val="none"/>
        </w:rPr>
        <w:t>)</w:t>
      </w:r>
      <w:r>
        <w:rPr>
          <w:rFonts w:hint="eastAsia" w:ascii="仿宋_GB2312" w:hAnsi="Calibri" w:eastAsia="仿宋_GB2312" w:cs="Times New Roman"/>
          <w:color w:val="auto"/>
          <w:sz w:val="30"/>
          <w:szCs w:val="30"/>
          <w:highlight w:val="none"/>
          <w:lang w:val="en-US" w:eastAsia="zh-CN"/>
        </w:rPr>
        <w:t>；</w:t>
      </w:r>
    </w:p>
    <w:p w14:paraId="77F004B6">
      <w:pPr>
        <w:widowControl/>
        <w:spacing w:line="240" w:lineRule="auto"/>
        <w:ind w:firstLine="600" w:firstLineChars="200"/>
        <w:jc w:val="left"/>
        <w:rPr>
          <w:rFonts w:hint="default" w:ascii="仿宋_GB2312" w:hAnsi="Calibri" w:eastAsia="仿宋_GB2312" w:cs="Times New Roman"/>
          <w:color w:val="auto"/>
          <w:sz w:val="30"/>
          <w:szCs w:val="30"/>
          <w:highlight w:val="none"/>
          <w:lang w:val="en-US" w:eastAsia="zh-CN"/>
        </w:rPr>
      </w:pPr>
      <w:r>
        <w:rPr>
          <w:rFonts w:hint="eastAsia" w:ascii="仿宋_GB2312" w:hAnsi="Calibri" w:eastAsia="仿宋_GB2312" w:cs="Times New Roman"/>
          <w:color w:val="auto"/>
          <w:sz w:val="30"/>
          <w:szCs w:val="30"/>
          <w:highlight w:val="none"/>
          <w:lang w:val="en-US" w:eastAsia="zh-CN"/>
        </w:rPr>
        <w:t>（7）转让双方经办人身份证；</w:t>
      </w:r>
    </w:p>
    <w:p w14:paraId="2C8250D7">
      <w:pPr>
        <w:widowControl/>
        <w:spacing w:line="240" w:lineRule="auto"/>
        <w:ind w:firstLine="600" w:firstLineChars="200"/>
        <w:jc w:val="left"/>
        <w:rPr>
          <w:rFonts w:hint="eastAsia" w:ascii="仿宋_GB2312" w:hAnsi="Calibri" w:eastAsia="仿宋_GB2312" w:cs="Times New Roman"/>
          <w:color w:val="auto"/>
          <w:sz w:val="30"/>
          <w:szCs w:val="30"/>
          <w:highlight w:val="none"/>
        </w:rPr>
      </w:pPr>
      <w:r>
        <w:rPr>
          <w:rFonts w:hint="eastAsia" w:ascii="仿宋_GB2312" w:hAnsi="Calibri" w:eastAsia="仿宋_GB2312" w:cs="Times New Roman"/>
          <w:color w:val="auto"/>
          <w:sz w:val="30"/>
          <w:szCs w:val="30"/>
          <w:highlight w:val="none"/>
        </w:rPr>
        <w:t>（</w:t>
      </w:r>
      <w:r>
        <w:rPr>
          <w:rFonts w:hint="eastAsia" w:ascii="仿宋_GB2312" w:hAnsi="Calibri" w:eastAsia="仿宋_GB2312" w:cs="Times New Roman"/>
          <w:color w:val="auto"/>
          <w:sz w:val="30"/>
          <w:szCs w:val="30"/>
          <w:highlight w:val="none"/>
          <w:lang w:val="en-US" w:eastAsia="zh-CN"/>
        </w:rPr>
        <w:t>8</w:t>
      </w:r>
      <w:r>
        <w:rPr>
          <w:rFonts w:hint="eastAsia" w:ascii="仿宋_GB2312" w:hAnsi="Calibri" w:eastAsia="仿宋_GB2312" w:cs="Times New Roman"/>
          <w:color w:val="auto"/>
          <w:sz w:val="30"/>
          <w:szCs w:val="30"/>
          <w:highlight w:val="none"/>
        </w:rPr>
        <w:t>）能够确认转让双方账户号和账户名称相对应的材料（账户卡</w:t>
      </w:r>
      <w:r>
        <w:rPr>
          <w:rFonts w:hint="eastAsia" w:ascii="仿宋_GB2312" w:hAnsi="Calibri" w:eastAsia="仿宋_GB2312" w:cs="Times New Roman"/>
          <w:color w:val="auto"/>
          <w:sz w:val="30"/>
          <w:szCs w:val="30"/>
          <w:highlight w:val="none"/>
          <w:lang w:eastAsia="zh-CN"/>
        </w:rPr>
        <w:t>、</w:t>
      </w:r>
      <w:r>
        <w:rPr>
          <w:rFonts w:hint="eastAsia" w:ascii="仿宋_GB2312" w:hAnsi="Calibri" w:eastAsia="仿宋_GB2312" w:cs="Times New Roman"/>
          <w:color w:val="auto"/>
          <w:sz w:val="30"/>
          <w:szCs w:val="30"/>
          <w:highlight w:val="none"/>
        </w:rPr>
        <w:t>开户文件</w:t>
      </w:r>
      <w:r>
        <w:rPr>
          <w:rFonts w:hint="eastAsia" w:ascii="仿宋_GB2312" w:hAnsi="Calibri" w:eastAsia="仿宋_GB2312" w:cs="Times New Roman"/>
          <w:color w:val="auto"/>
          <w:sz w:val="30"/>
          <w:szCs w:val="30"/>
          <w:highlight w:val="none"/>
          <w:lang w:eastAsia="zh-CN"/>
        </w:rPr>
        <w:t>、</w:t>
      </w:r>
      <w:r>
        <w:rPr>
          <w:rFonts w:hint="eastAsia" w:ascii="仿宋_GB2312" w:hAnsi="Calibri" w:eastAsia="仿宋_GB2312" w:cs="Times New Roman"/>
          <w:color w:val="auto"/>
          <w:sz w:val="30"/>
          <w:szCs w:val="30"/>
          <w:highlight w:val="none"/>
        </w:rPr>
        <w:t>PROP截图</w:t>
      </w:r>
      <w:r>
        <w:rPr>
          <w:rFonts w:hint="eastAsia" w:ascii="仿宋_GB2312" w:hAnsi="Calibri" w:eastAsia="仿宋_GB2312" w:cs="Times New Roman"/>
          <w:color w:val="auto"/>
          <w:sz w:val="30"/>
          <w:szCs w:val="30"/>
          <w:highlight w:val="none"/>
          <w:lang w:eastAsia="zh-CN"/>
        </w:rPr>
        <w:t>、</w:t>
      </w:r>
      <w:r>
        <w:rPr>
          <w:rFonts w:hint="eastAsia" w:ascii="仿宋_GB2312" w:hAnsi="Calibri" w:eastAsia="仿宋_GB2312" w:cs="Times New Roman"/>
          <w:color w:val="auto"/>
          <w:sz w:val="30"/>
          <w:szCs w:val="30"/>
          <w:highlight w:val="none"/>
        </w:rPr>
        <w:t>账户持仓等</w:t>
      </w:r>
      <w:r>
        <w:rPr>
          <w:rFonts w:hint="eastAsia" w:ascii="仿宋_GB2312" w:hAnsi="Calibri" w:eastAsia="仿宋_GB2312" w:cs="Times New Roman"/>
          <w:color w:val="auto"/>
          <w:sz w:val="30"/>
          <w:szCs w:val="30"/>
          <w:highlight w:val="none"/>
          <w:lang w:eastAsia="zh-CN"/>
        </w:rPr>
        <w:t>择一即可</w:t>
      </w:r>
      <w:r>
        <w:rPr>
          <w:rFonts w:hint="eastAsia" w:ascii="仿宋_GB2312" w:hAnsi="Calibri" w:eastAsia="仿宋_GB2312" w:cs="Times New Roman"/>
          <w:color w:val="auto"/>
          <w:sz w:val="30"/>
          <w:szCs w:val="30"/>
          <w:highlight w:val="none"/>
        </w:rPr>
        <w:t>，无需盖章）</w:t>
      </w:r>
    </w:p>
    <w:p w14:paraId="434F242B">
      <w:pPr>
        <w:widowControl/>
        <w:spacing w:line="240" w:lineRule="auto"/>
        <w:ind w:firstLine="600" w:firstLineChars="200"/>
        <w:jc w:val="left"/>
        <w:rPr>
          <w:rFonts w:hint="eastAsia" w:ascii="仿宋_GB2312" w:hAnsi="Calibri" w:eastAsia="仿宋_GB2312" w:cs="Times New Roman"/>
          <w:color w:val="auto"/>
          <w:sz w:val="30"/>
          <w:szCs w:val="30"/>
        </w:rPr>
      </w:pPr>
      <w:r>
        <w:rPr>
          <w:rFonts w:hint="default" w:ascii="仿宋_GB2312" w:hAnsi="Calibri" w:eastAsia="仿宋_GB2312" w:cs="Times New Roman"/>
          <w:color w:val="auto"/>
          <w:sz w:val="30"/>
          <w:szCs w:val="30"/>
          <w:lang w:val="en-US"/>
        </w:rPr>
        <w:t>（</w:t>
      </w:r>
      <w:r>
        <w:rPr>
          <w:rFonts w:hint="eastAsia" w:ascii="仿宋_GB2312" w:hAnsi="Calibri" w:eastAsia="仿宋_GB2312" w:cs="Times New Roman"/>
          <w:color w:val="auto"/>
          <w:sz w:val="30"/>
          <w:szCs w:val="30"/>
          <w:lang w:val="en-US" w:eastAsia="zh-CN"/>
        </w:rPr>
        <w:t>9</w:t>
      </w:r>
      <w:r>
        <w:rPr>
          <w:rFonts w:hint="default" w:ascii="仿宋_GB2312" w:hAnsi="Calibri" w:eastAsia="仿宋_GB2312" w:cs="Times New Roman"/>
          <w:color w:val="auto"/>
          <w:sz w:val="30"/>
          <w:szCs w:val="30"/>
          <w:lang w:val="en-US"/>
        </w:rPr>
        <w:t>）</w:t>
      </w:r>
      <w:r>
        <w:rPr>
          <w:rFonts w:hint="eastAsia" w:ascii="仿宋_GB2312" w:hAnsi="Calibri" w:eastAsia="仿宋_GB2312" w:cs="Times New Roman"/>
          <w:color w:val="auto"/>
          <w:sz w:val="30"/>
          <w:szCs w:val="30"/>
        </w:rPr>
        <w:t>转让协议或归属证明；</w:t>
      </w:r>
    </w:p>
    <w:p w14:paraId="5C0451DE">
      <w:pPr>
        <w:widowControl/>
        <w:spacing w:line="240" w:lineRule="auto"/>
        <w:ind w:firstLine="600" w:firstLineChars="200"/>
        <w:jc w:val="left"/>
        <w:rPr>
          <w:rFonts w:hint="eastAsia" w:ascii="仿宋_GB2312" w:hAnsi="Calibri" w:eastAsia="仿宋_GB2312" w:cs="Times New Roman"/>
          <w:color w:val="auto"/>
          <w:sz w:val="30"/>
          <w:szCs w:val="30"/>
          <w:lang w:eastAsia="zh-CN"/>
        </w:rPr>
      </w:pPr>
      <w:r>
        <w:rPr>
          <w:rFonts w:hint="default" w:ascii="仿宋_GB2312" w:hAnsi="Calibri" w:eastAsia="仿宋_GB2312" w:cs="Times New Roman"/>
          <w:color w:val="auto"/>
          <w:sz w:val="30"/>
          <w:szCs w:val="30"/>
          <w:lang w:val="en-US"/>
        </w:rPr>
        <w:t>（</w:t>
      </w:r>
      <w:r>
        <w:rPr>
          <w:rFonts w:hint="eastAsia" w:ascii="仿宋_GB2312" w:hAnsi="Calibri" w:eastAsia="仿宋_GB2312" w:cs="Times New Roman"/>
          <w:color w:val="auto"/>
          <w:sz w:val="30"/>
          <w:szCs w:val="30"/>
          <w:lang w:val="en-US" w:eastAsia="zh-CN"/>
        </w:rPr>
        <w:t>10</w:t>
      </w:r>
      <w:r>
        <w:rPr>
          <w:rFonts w:hint="default" w:ascii="仿宋_GB2312" w:hAnsi="Calibri" w:eastAsia="仿宋_GB2312" w:cs="Times New Roman"/>
          <w:color w:val="auto"/>
          <w:sz w:val="30"/>
          <w:szCs w:val="30"/>
          <w:lang w:val="en-US"/>
        </w:rPr>
        <w:t>）</w:t>
      </w:r>
      <w:r>
        <w:rPr>
          <w:rFonts w:hint="eastAsia" w:ascii="仿宋_GB2312" w:hAnsi="Calibri" w:eastAsia="仿宋_GB2312" w:cs="Times New Roman"/>
          <w:color w:val="auto"/>
          <w:sz w:val="30"/>
          <w:szCs w:val="30"/>
        </w:rPr>
        <w:t>涉及回售转售的，提供回售结果公告、</w:t>
      </w:r>
      <w:r>
        <w:rPr>
          <w:rFonts w:hint="eastAsia" w:ascii="仿宋_GB2312" w:hAnsi="Calibri" w:eastAsia="仿宋_GB2312" w:cs="Times New Roman"/>
          <w:color w:val="auto"/>
          <w:sz w:val="30"/>
          <w:szCs w:val="30"/>
          <w:lang w:eastAsia="zh-CN"/>
        </w:rPr>
        <w:t>转售兑付资金划付凭证</w:t>
      </w:r>
      <w:r>
        <w:rPr>
          <w:rFonts w:hint="eastAsia" w:ascii="仿宋_GB2312" w:hAnsi="Calibri" w:eastAsia="仿宋_GB2312" w:cs="Times New Roman"/>
          <w:color w:val="auto"/>
          <w:sz w:val="30"/>
          <w:szCs w:val="30"/>
          <w:highlight w:val="none"/>
          <w:lang w:eastAsia="zh-CN"/>
        </w:rPr>
        <w:t>以及</w:t>
      </w:r>
      <w:r>
        <w:rPr>
          <w:rFonts w:hint="eastAsia" w:ascii="仿宋_GB2312" w:hAnsi="Calibri" w:eastAsia="仿宋_GB2312"/>
          <w:color w:val="auto"/>
          <w:sz w:val="30"/>
          <w:szCs w:val="30"/>
          <w:lang w:val="en-US" w:eastAsia="zh-CN"/>
        </w:rPr>
        <w:t>受托管理人关于转让合规性核查说明</w:t>
      </w:r>
      <w:r>
        <w:rPr>
          <w:rFonts w:hint="eastAsia" w:ascii="仿宋_GB2312" w:hAnsi="Calibri" w:eastAsia="仿宋_GB2312" w:cs="Times New Roman"/>
          <w:color w:val="auto"/>
          <w:sz w:val="30"/>
          <w:szCs w:val="30"/>
        </w:rPr>
        <w:t>(附件</w:t>
      </w:r>
      <w:r>
        <w:rPr>
          <w:rFonts w:hint="eastAsia" w:ascii="仿宋_GB2312" w:hAnsi="Calibri" w:eastAsia="仿宋_GB2312" w:cs="Times New Roman"/>
          <w:color w:val="auto"/>
          <w:sz w:val="30"/>
          <w:szCs w:val="30"/>
          <w:lang w:val="en-US" w:eastAsia="zh-CN"/>
        </w:rPr>
        <w:t>43</w:t>
      </w:r>
      <w:r>
        <w:rPr>
          <w:rFonts w:hint="eastAsia" w:ascii="仿宋_GB2312" w:hAnsi="Calibri" w:eastAsia="仿宋_GB2312" w:cs="Times New Roman"/>
          <w:color w:val="auto"/>
          <w:sz w:val="30"/>
          <w:szCs w:val="30"/>
        </w:rPr>
        <w:t>)</w:t>
      </w:r>
      <w:r>
        <w:rPr>
          <w:rFonts w:hint="eastAsia" w:ascii="仿宋_GB2312" w:hAnsi="Calibri" w:eastAsia="仿宋_GB2312" w:cs="Times New Roman"/>
          <w:color w:val="auto"/>
          <w:sz w:val="30"/>
          <w:szCs w:val="30"/>
          <w:lang w:eastAsia="zh-CN"/>
        </w:rPr>
        <w:t>。</w:t>
      </w:r>
    </w:p>
    <w:p w14:paraId="2661E3D0">
      <w:pPr>
        <w:widowControl/>
        <w:spacing w:line="240" w:lineRule="auto"/>
        <w:ind w:firstLine="600" w:firstLineChars="200"/>
        <w:jc w:val="left"/>
        <w:rPr>
          <w:rFonts w:hint="eastAsia" w:ascii="仿宋_GB2312" w:hAnsi="Calibri" w:eastAsia="仿宋_GB2312" w:cs="Times New Roman"/>
          <w:sz w:val="30"/>
          <w:szCs w:val="30"/>
          <w:lang w:eastAsia="zh-CN"/>
        </w:rPr>
      </w:pPr>
      <w:r>
        <w:rPr>
          <w:rFonts w:hint="eastAsia" w:ascii="仿宋_GB2312" w:hAnsi="Calibri" w:eastAsia="仿宋_GB2312" w:cs="Times New Roman"/>
          <w:color w:val="auto"/>
          <w:sz w:val="30"/>
          <w:szCs w:val="30"/>
          <w:lang w:val="en-US" w:eastAsia="zh-CN"/>
        </w:rPr>
        <w:t>（11）</w:t>
      </w:r>
      <w:r>
        <w:rPr>
          <w:rFonts w:hint="eastAsia" w:ascii="仿宋_GB2312" w:hAnsi="Calibri" w:eastAsia="仿宋_GB2312" w:cs="Times New Roman"/>
          <w:sz w:val="30"/>
          <w:szCs w:val="30"/>
          <w:lang w:eastAsia="zh-CN"/>
        </w:rPr>
        <w:t>申请人</w:t>
      </w:r>
      <w:r>
        <w:rPr>
          <w:rFonts w:hint="eastAsia" w:ascii="仿宋_GB2312" w:hAnsi="Calibri" w:eastAsia="仿宋_GB2312" w:cs="Times New Roman"/>
          <w:sz w:val="30"/>
          <w:szCs w:val="30"/>
          <w:lang w:val="en-US" w:eastAsia="zh-CN"/>
        </w:rPr>
        <w:t>为</w:t>
      </w:r>
      <w:r>
        <w:rPr>
          <w:rFonts w:hint="eastAsia" w:ascii="仿宋_GB2312" w:hAnsi="Calibri" w:eastAsia="仿宋_GB2312" w:cs="Times New Roman"/>
          <w:sz w:val="30"/>
          <w:szCs w:val="30"/>
          <w:lang w:eastAsia="zh-CN"/>
        </w:rPr>
        <w:t>境外投资者</w:t>
      </w:r>
      <w:r>
        <w:rPr>
          <w:rFonts w:hint="eastAsia" w:ascii="仿宋_GB2312" w:hAnsi="Calibri" w:eastAsia="仿宋_GB2312" w:cs="Times New Roman"/>
          <w:sz w:val="30"/>
          <w:szCs w:val="30"/>
          <w:lang w:val="en-US" w:eastAsia="zh-CN"/>
        </w:rPr>
        <w:t>的</w:t>
      </w:r>
      <w:r>
        <w:rPr>
          <w:rFonts w:hint="eastAsia" w:ascii="仿宋_GB2312" w:hAnsi="Calibri" w:eastAsia="仿宋_GB2312" w:cs="Times New Roman"/>
          <w:sz w:val="30"/>
          <w:szCs w:val="30"/>
          <w:lang w:eastAsia="zh-CN"/>
        </w:rPr>
        <w:t>，请依照中国结算最新要求</w:t>
      </w:r>
      <w:r>
        <w:rPr>
          <w:rFonts w:hint="eastAsia" w:ascii="仿宋_GB2312" w:hAnsi="Calibri" w:eastAsia="仿宋_GB2312" w:cs="Times New Roman"/>
          <w:sz w:val="30"/>
          <w:szCs w:val="30"/>
          <w:lang w:val="en-US" w:eastAsia="zh-CN"/>
        </w:rPr>
        <w:t>提供相应</w:t>
      </w:r>
      <w:r>
        <w:rPr>
          <w:rFonts w:hint="eastAsia" w:ascii="仿宋_GB2312" w:hAnsi="Calibri" w:eastAsia="仿宋_GB2312" w:cs="Times New Roman"/>
          <w:sz w:val="30"/>
          <w:szCs w:val="30"/>
          <w:lang w:eastAsia="zh-CN"/>
        </w:rPr>
        <w:t>公证、认证</w:t>
      </w:r>
      <w:r>
        <w:rPr>
          <w:rFonts w:hint="eastAsia" w:ascii="仿宋_GB2312" w:hAnsi="Calibri" w:eastAsia="仿宋_GB2312" w:cs="Times New Roman"/>
          <w:sz w:val="30"/>
          <w:szCs w:val="30"/>
          <w:lang w:val="en-US" w:eastAsia="zh-CN"/>
        </w:rPr>
        <w:t>或</w:t>
      </w:r>
      <w:r>
        <w:rPr>
          <w:rFonts w:hint="eastAsia" w:ascii="仿宋_GB2312" w:hAnsi="Calibri" w:eastAsia="仿宋_GB2312" w:cs="Times New Roman"/>
          <w:sz w:val="30"/>
          <w:szCs w:val="30"/>
          <w:lang w:eastAsia="zh-CN"/>
        </w:rPr>
        <w:t>翻译</w:t>
      </w:r>
      <w:r>
        <w:rPr>
          <w:rFonts w:hint="eastAsia" w:ascii="仿宋_GB2312" w:hAnsi="Calibri" w:eastAsia="仿宋_GB2312" w:cs="Times New Roman"/>
          <w:sz w:val="30"/>
          <w:szCs w:val="30"/>
          <w:lang w:val="en-US" w:eastAsia="zh-CN"/>
        </w:rPr>
        <w:t>材料</w:t>
      </w:r>
      <w:r>
        <w:rPr>
          <w:rFonts w:hint="eastAsia" w:ascii="仿宋_GB2312" w:hAnsi="Calibri" w:eastAsia="仿宋_GB2312" w:cs="Times New Roman"/>
          <w:sz w:val="30"/>
          <w:szCs w:val="30"/>
          <w:lang w:eastAsia="zh-CN"/>
        </w:rPr>
        <w:t>；</w:t>
      </w:r>
    </w:p>
    <w:p w14:paraId="69D2133B">
      <w:pPr>
        <w:widowControl/>
        <w:spacing w:line="240" w:lineRule="auto"/>
        <w:ind w:firstLine="600" w:firstLineChars="200"/>
        <w:jc w:val="left"/>
        <w:rPr>
          <w:rFonts w:hint="eastAsia" w:ascii="仿宋_GB2312" w:hAnsi="Calibri" w:eastAsia="仿宋_GB2312" w:cs="Times New Roman"/>
          <w:sz w:val="30"/>
          <w:szCs w:val="30"/>
          <w:lang w:val="en-US" w:eastAsia="zh-CN"/>
        </w:rPr>
      </w:pPr>
      <w:r>
        <w:rPr>
          <w:rFonts w:hint="default" w:ascii="仿宋_GB2312" w:hAnsi="Calibri" w:eastAsia="仿宋_GB2312" w:cs="Times New Roman"/>
          <w:sz w:val="30"/>
          <w:szCs w:val="30"/>
          <w:lang w:val="en-US" w:eastAsia="zh-CN"/>
        </w:rPr>
        <w:t>（</w:t>
      </w:r>
      <w:r>
        <w:rPr>
          <w:rFonts w:hint="eastAsia" w:ascii="仿宋_GB2312" w:hAnsi="Calibri" w:eastAsia="仿宋_GB2312" w:cs="Times New Roman"/>
          <w:sz w:val="30"/>
          <w:szCs w:val="30"/>
          <w:lang w:val="en-US" w:eastAsia="zh-CN"/>
        </w:rPr>
        <w:t>12</w:t>
      </w:r>
      <w:r>
        <w:rPr>
          <w:rFonts w:hint="default" w:ascii="仿宋_GB2312" w:hAnsi="Calibri" w:eastAsia="仿宋_GB2312" w:cs="Times New Roman"/>
          <w:sz w:val="30"/>
          <w:szCs w:val="30"/>
          <w:lang w:val="en-US" w:eastAsia="zh-CN"/>
        </w:rPr>
        <w:t>）</w:t>
      </w:r>
      <w:r>
        <w:rPr>
          <w:rFonts w:hint="eastAsia" w:ascii="仿宋_GB2312" w:hAnsi="Calibri" w:eastAsia="仿宋_GB2312" w:cs="Times New Roman"/>
          <w:sz w:val="30"/>
          <w:szCs w:val="30"/>
          <w:lang w:val="en-US" w:eastAsia="zh-CN"/>
        </w:rPr>
        <w:t>中国结算要求的</w:t>
      </w:r>
      <w:r>
        <w:rPr>
          <w:rFonts w:hint="eastAsia" w:ascii="仿宋_GB2312" w:hAnsi="Calibri" w:eastAsia="仿宋_GB2312" w:cs="Times New Roman"/>
          <w:sz w:val="30"/>
          <w:szCs w:val="30"/>
          <w:lang w:eastAsia="zh-CN"/>
        </w:rPr>
        <w:t>其他</w:t>
      </w:r>
      <w:r>
        <w:rPr>
          <w:rFonts w:hint="eastAsia" w:ascii="仿宋_GB2312" w:hAnsi="Calibri" w:eastAsia="仿宋_GB2312" w:cs="Times New Roman"/>
          <w:sz w:val="30"/>
          <w:szCs w:val="30"/>
          <w:lang w:val="en-US" w:eastAsia="zh-CN"/>
        </w:rPr>
        <w:t>申请材料。</w:t>
      </w:r>
    </w:p>
    <w:p w14:paraId="38BE36CA">
      <w:pPr>
        <w:widowControl/>
        <w:spacing w:line="240" w:lineRule="auto"/>
        <w:ind w:firstLine="600" w:firstLineChars="200"/>
        <w:jc w:val="left"/>
        <w:rPr>
          <w:rFonts w:hint="eastAsia" w:ascii="仿宋_GB2312" w:hAnsi="Calibri" w:eastAsia="仿宋_GB2312" w:cs="Times New Roman"/>
          <w:sz w:val="30"/>
          <w:szCs w:val="30"/>
          <w:lang w:val="en-US" w:eastAsia="zh-CN"/>
        </w:rPr>
      </w:pPr>
      <w:r>
        <w:rPr>
          <w:rFonts w:hint="eastAsia" w:ascii="仿宋_GB2312" w:hAnsi="Calibri" w:eastAsia="仿宋_GB2312" w:cs="Times New Roman"/>
          <w:sz w:val="30"/>
          <w:szCs w:val="30"/>
          <w:lang w:val="en-US" w:eastAsia="zh-CN"/>
        </w:rPr>
        <w:t>注：1）前述材料如无特别说明，均需要加盖公章；2）申请人有效身份证明文件相关要求，详见《中国证券登记结算有限责任公司上海分公司营业大厅业务指南》之《附录一 有效身份证明文件相关要求》。</w:t>
      </w:r>
    </w:p>
    <w:p w14:paraId="10C00C55">
      <w:pPr>
        <w:widowControl/>
        <w:numPr>
          <w:ilvl w:val="2"/>
          <w:numId w:val="4"/>
        </w:numPr>
        <w:spacing w:line="600" w:lineRule="exact"/>
        <w:ind w:firstLine="0" w:firstLineChars="0"/>
        <w:jc w:val="left"/>
        <w:outlineLvl w:val="2"/>
        <w:rPr>
          <w:rFonts w:hint="eastAsia" w:ascii="仿宋_GB2312" w:hAnsi="Times New Roman" w:eastAsia="仿宋_GB2312"/>
          <w:b/>
          <w:sz w:val="30"/>
          <w:szCs w:val="30"/>
          <w:lang w:val="en-US" w:eastAsia="zh-CN"/>
        </w:rPr>
      </w:pPr>
      <w:r>
        <w:rPr>
          <w:rFonts w:hint="eastAsia" w:ascii="仿宋_GB2312" w:hAnsi="Times New Roman" w:eastAsia="仿宋_GB2312"/>
          <w:b/>
          <w:sz w:val="30"/>
          <w:szCs w:val="30"/>
          <w:lang w:val="en-US" w:eastAsia="zh-CN"/>
        </w:rPr>
        <w:t>办理程序</w:t>
      </w:r>
    </w:p>
    <w:p w14:paraId="7FFD9809">
      <w:pPr>
        <w:widowControl/>
        <w:ind w:firstLine="600" w:firstLineChars="200"/>
        <w:jc w:val="left"/>
        <w:rPr>
          <w:rFonts w:hint="eastAsia" w:ascii="仿宋_GB2312" w:hAnsi="Calibri" w:eastAsia="仿宋_GB2312" w:cs="Times New Roman"/>
          <w:sz w:val="30"/>
          <w:szCs w:val="30"/>
          <w:lang w:val="en-US" w:eastAsia="zh-CN"/>
        </w:rPr>
      </w:pPr>
      <w:r>
        <w:rPr>
          <w:rFonts w:hint="eastAsia" w:ascii="仿宋_GB2312" w:hAnsi="Calibri" w:eastAsia="仿宋_GB2312" w:cs="Times New Roman"/>
          <w:sz w:val="30"/>
          <w:szCs w:val="30"/>
          <w:lang w:eastAsia="zh-CN"/>
        </w:rPr>
        <w:t>（1）申请人</w:t>
      </w:r>
      <w:r>
        <w:rPr>
          <w:rFonts w:hint="eastAsia" w:ascii="仿宋_GB2312" w:hAnsi="Calibri" w:eastAsia="仿宋_GB2312" w:cs="Times New Roman"/>
          <w:sz w:val="30"/>
          <w:szCs w:val="30"/>
          <w:lang w:val="en-US" w:eastAsia="zh-CN"/>
        </w:rPr>
        <w:t>向本所提交非交易过户申请材料。</w:t>
      </w:r>
    </w:p>
    <w:p w14:paraId="5B03A76A">
      <w:pPr>
        <w:widowControl/>
        <w:ind w:firstLine="600" w:firstLineChars="200"/>
        <w:jc w:val="left"/>
        <w:rPr>
          <w:rFonts w:hint="eastAsia" w:ascii="仿宋_GB2312" w:hAnsi="Calibri" w:eastAsia="仿宋_GB2312" w:cs="Times New Roman"/>
          <w:sz w:val="30"/>
          <w:szCs w:val="30"/>
          <w:lang w:eastAsia="zh-CN"/>
        </w:rPr>
      </w:pPr>
      <w:r>
        <w:rPr>
          <w:rFonts w:hint="eastAsia" w:ascii="仿宋_GB2312" w:hAnsi="Calibri" w:eastAsia="仿宋_GB2312" w:cs="Times New Roman"/>
          <w:sz w:val="30"/>
          <w:szCs w:val="30"/>
          <w:lang w:val="en-US" w:eastAsia="zh-CN"/>
        </w:rPr>
        <w:t>申请人</w:t>
      </w:r>
      <w:r>
        <w:rPr>
          <w:rFonts w:hint="eastAsia" w:ascii="仿宋_GB2312" w:hAnsi="Calibri" w:eastAsia="仿宋_GB2312" w:cs="Times New Roman"/>
          <w:sz w:val="30"/>
          <w:szCs w:val="30"/>
          <w:lang w:eastAsia="zh-CN"/>
        </w:rPr>
        <w:t>可</w:t>
      </w:r>
      <w:r>
        <w:rPr>
          <w:rFonts w:hint="eastAsia" w:ascii="仿宋_GB2312" w:hAnsi="Calibri" w:eastAsia="仿宋_GB2312" w:cs="Times New Roman"/>
          <w:sz w:val="30"/>
          <w:szCs w:val="30"/>
          <w:lang w:val="en-US" w:eastAsia="zh-CN"/>
        </w:rPr>
        <w:t>以</w:t>
      </w:r>
      <w:r>
        <w:rPr>
          <w:rFonts w:hint="eastAsia" w:ascii="仿宋_GB2312" w:hAnsi="Calibri" w:eastAsia="仿宋_GB2312" w:cs="Times New Roman"/>
          <w:sz w:val="30"/>
          <w:szCs w:val="30"/>
          <w:lang w:eastAsia="zh-CN"/>
        </w:rPr>
        <w:t>通过邮箱提交盖章版</w:t>
      </w:r>
      <w:r>
        <w:rPr>
          <w:rFonts w:hint="eastAsia" w:ascii="仿宋_GB2312" w:hAnsi="Calibri" w:eastAsia="仿宋_GB2312" w:cs="Times New Roman"/>
          <w:sz w:val="30"/>
          <w:szCs w:val="30"/>
          <w:lang w:val="en-US" w:eastAsia="zh-CN"/>
        </w:rPr>
        <w:t>申请材料</w:t>
      </w:r>
      <w:r>
        <w:rPr>
          <w:rFonts w:hint="eastAsia" w:ascii="仿宋_GB2312" w:hAnsi="Calibri" w:eastAsia="仿宋_GB2312" w:cs="Times New Roman"/>
          <w:sz w:val="30"/>
          <w:szCs w:val="30"/>
          <w:lang w:eastAsia="zh-CN"/>
        </w:rPr>
        <w:t>的扫描件，</w:t>
      </w:r>
      <w:r>
        <w:rPr>
          <w:rFonts w:hint="eastAsia" w:ascii="仿宋_GB2312" w:hAnsi="Calibri" w:eastAsia="仿宋_GB2312" w:cs="Times New Roman"/>
          <w:sz w:val="30"/>
          <w:szCs w:val="30"/>
          <w:lang w:val="en-US" w:eastAsia="zh-CN"/>
        </w:rPr>
        <w:t>并</w:t>
      </w:r>
      <w:r>
        <w:rPr>
          <w:rFonts w:hint="eastAsia" w:ascii="仿宋_GB2312" w:hAnsi="Calibri" w:eastAsia="仿宋_GB2312" w:cs="Times New Roman"/>
          <w:sz w:val="30"/>
          <w:szCs w:val="30"/>
          <w:lang w:eastAsia="zh-CN"/>
        </w:rPr>
        <w:t>请妥善保管纸质原件，以备后续查验。</w:t>
      </w:r>
      <w:r>
        <w:rPr>
          <w:rFonts w:hint="eastAsia" w:ascii="仿宋_GB2312" w:hAnsi="Calibri" w:eastAsia="仿宋_GB2312" w:cs="Times New Roman"/>
          <w:sz w:val="30"/>
          <w:szCs w:val="30"/>
          <w:lang w:val="en-US" w:eastAsia="zh-CN"/>
        </w:rPr>
        <w:t>申请材料请发送至邮箱：</w:t>
      </w:r>
      <w:r>
        <w:rPr>
          <w:rFonts w:hint="eastAsia" w:ascii="仿宋_GB2312" w:hAnsi="Calibri" w:eastAsia="仿宋_GB2312" w:cs="Times New Roman"/>
          <w:sz w:val="30"/>
          <w:szCs w:val="30"/>
          <w:lang w:eastAsia="zh-CN"/>
        </w:rPr>
        <w:t>bond@sse.com.cn，标题格式：非交易过户+债券代码+简称+过入方。</w:t>
      </w:r>
    </w:p>
    <w:p w14:paraId="3DF4E089">
      <w:pPr>
        <w:widowControl/>
        <w:ind w:firstLine="600" w:firstLineChars="200"/>
        <w:jc w:val="left"/>
        <w:rPr>
          <w:rFonts w:hint="eastAsia" w:ascii="仿宋_GB2312" w:hAnsi="Calibri" w:eastAsia="仿宋_GB2312" w:cs="Times New Roman"/>
          <w:sz w:val="30"/>
          <w:szCs w:val="30"/>
          <w:lang w:eastAsia="zh-CN"/>
        </w:rPr>
      </w:pPr>
      <w:r>
        <w:rPr>
          <w:rFonts w:hint="eastAsia" w:ascii="仿宋_GB2312" w:hAnsi="Calibri" w:eastAsia="仿宋_GB2312" w:cs="Times New Roman"/>
          <w:sz w:val="30"/>
          <w:szCs w:val="30"/>
          <w:lang w:val="en-US" w:eastAsia="zh-CN"/>
        </w:rPr>
        <w:t>申请人</w:t>
      </w:r>
      <w:r>
        <w:rPr>
          <w:rFonts w:hint="eastAsia" w:ascii="仿宋_GB2312" w:hAnsi="Calibri" w:eastAsia="仿宋_GB2312" w:cs="Times New Roman"/>
          <w:sz w:val="30"/>
          <w:szCs w:val="30"/>
          <w:lang w:eastAsia="zh-CN"/>
        </w:rPr>
        <w:t>如需要现场申请的，请</w:t>
      </w:r>
      <w:r>
        <w:rPr>
          <w:rFonts w:hint="eastAsia" w:ascii="仿宋_GB2312" w:hAnsi="Calibri" w:eastAsia="仿宋_GB2312" w:cs="Times New Roman"/>
          <w:sz w:val="30"/>
          <w:szCs w:val="30"/>
          <w:lang w:val="en-US" w:eastAsia="zh-CN"/>
        </w:rPr>
        <w:t>联系</w:t>
      </w:r>
      <w:r>
        <w:rPr>
          <w:rFonts w:hint="eastAsia" w:ascii="仿宋_GB2312" w:hAnsi="Calibri" w:eastAsia="仿宋_GB2312" w:cs="Times New Roman"/>
          <w:sz w:val="30"/>
          <w:szCs w:val="30"/>
          <w:highlight w:val="none"/>
          <w:lang w:val="en-US" w:eastAsia="zh-CN"/>
        </w:rPr>
        <w:t>倪老师（联系电话：68601924）</w:t>
      </w:r>
      <w:r>
        <w:rPr>
          <w:rFonts w:hint="eastAsia" w:ascii="仿宋_GB2312" w:hAnsi="Calibri" w:eastAsia="仿宋_GB2312" w:cs="Times New Roman"/>
          <w:sz w:val="30"/>
          <w:szCs w:val="30"/>
          <w:lang w:val="en-US" w:eastAsia="zh-CN"/>
        </w:rPr>
        <w:t>提前预约，</w:t>
      </w:r>
      <w:r>
        <w:rPr>
          <w:rFonts w:hint="eastAsia" w:ascii="仿宋_GB2312" w:hAnsi="Calibri" w:eastAsia="仿宋_GB2312" w:cs="Times New Roman"/>
          <w:sz w:val="30"/>
          <w:szCs w:val="30"/>
          <w:lang w:eastAsia="zh-CN"/>
        </w:rPr>
        <w:t>提交</w:t>
      </w:r>
      <w:r>
        <w:rPr>
          <w:rFonts w:hint="eastAsia" w:ascii="仿宋_GB2312" w:hAnsi="Calibri" w:eastAsia="仿宋_GB2312" w:cs="Times New Roman"/>
          <w:sz w:val="30"/>
          <w:szCs w:val="30"/>
          <w:lang w:val="en-US" w:eastAsia="zh-CN"/>
        </w:rPr>
        <w:t>申请材料</w:t>
      </w:r>
      <w:r>
        <w:rPr>
          <w:rFonts w:hint="eastAsia" w:ascii="仿宋_GB2312" w:hAnsi="Calibri" w:eastAsia="仿宋_GB2312" w:cs="Times New Roman"/>
          <w:sz w:val="30"/>
          <w:szCs w:val="30"/>
          <w:lang w:eastAsia="zh-CN"/>
        </w:rPr>
        <w:t>原件和盖章版复印件</w:t>
      </w:r>
      <w:r>
        <w:rPr>
          <w:rFonts w:hint="eastAsia" w:ascii="仿宋_GB2312" w:hAnsi="Calibri" w:eastAsia="仿宋_GB2312"/>
          <w:sz w:val="30"/>
          <w:szCs w:val="30"/>
          <w:lang w:eastAsia="zh-CN"/>
        </w:rPr>
        <w:t>（</w:t>
      </w:r>
      <w:r>
        <w:rPr>
          <w:rFonts w:hint="eastAsia" w:ascii="仿宋_GB2312" w:hAnsi="Calibri" w:eastAsia="仿宋_GB2312"/>
          <w:sz w:val="30"/>
          <w:szCs w:val="30"/>
          <w:lang w:val="en-US" w:eastAsia="zh-CN"/>
        </w:rPr>
        <w:t>1套</w:t>
      </w:r>
      <w:r>
        <w:rPr>
          <w:rFonts w:hint="eastAsia" w:ascii="仿宋_GB2312" w:hAnsi="Calibri" w:eastAsia="仿宋_GB2312"/>
          <w:sz w:val="30"/>
          <w:szCs w:val="30"/>
          <w:lang w:eastAsia="zh-CN"/>
        </w:rPr>
        <w:t>）</w:t>
      </w:r>
      <w:r>
        <w:rPr>
          <w:rFonts w:hint="eastAsia" w:ascii="仿宋_GB2312" w:hAnsi="Calibri" w:eastAsia="仿宋_GB2312" w:cs="Times New Roman"/>
          <w:sz w:val="30"/>
          <w:szCs w:val="30"/>
          <w:lang w:eastAsia="zh-CN"/>
        </w:rPr>
        <w:t>。</w:t>
      </w:r>
    </w:p>
    <w:p w14:paraId="13DA670B">
      <w:pPr>
        <w:widowControl/>
        <w:ind w:firstLine="600" w:firstLineChars="200"/>
        <w:jc w:val="left"/>
        <w:rPr>
          <w:rFonts w:hint="eastAsia" w:ascii="仿宋_GB2312" w:hAnsi="Calibri" w:eastAsia="仿宋_GB2312"/>
          <w:b w:val="0"/>
          <w:sz w:val="30"/>
          <w:szCs w:val="30"/>
        </w:rPr>
      </w:pPr>
      <w:r>
        <w:rPr>
          <w:rFonts w:hint="eastAsia" w:ascii="仿宋_GB2312" w:hAnsi="Calibri" w:eastAsia="仿宋_GB2312" w:cs="Times New Roman"/>
          <w:sz w:val="30"/>
          <w:szCs w:val="30"/>
          <w:lang w:eastAsia="zh-CN"/>
        </w:rPr>
        <w:t>（2）</w:t>
      </w:r>
      <w:r>
        <w:rPr>
          <w:rFonts w:hint="eastAsia" w:ascii="仿宋_GB2312" w:hAnsi="Calibri" w:eastAsia="仿宋_GB2312"/>
          <w:b w:val="0"/>
          <w:sz w:val="30"/>
          <w:szCs w:val="30"/>
          <w:lang w:val="en-US" w:eastAsia="zh-CN"/>
        </w:rPr>
        <w:t>本所确认受理。本所向申请人提供</w:t>
      </w:r>
      <w:r>
        <w:rPr>
          <w:rFonts w:hint="eastAsia" w:ascii="仿宋_GB2312" w:hAnsi="Calibri" w:eastAsia="仿宋_GB2312"/>
          <w:b w:val="0"/>
          <w:sz w:val="30"/>
          <w:szCs w:val="30"/>
        </w:rPr>
        <w:t>《上海证券交易所债券转让确认申请表》</w:t>
      </w:r>
      <w:r>
        <w:rPr>
          <w:rFonts w:hint="eastAsia" w:ascii="仿宋_GB2312" w:hAnsi="Calibri" w:eastAsia="仿宋_GB2312"/>
          <w:b w:val="0"/>
          <w:sz w:val="30"/>
          <w:szCs w:val="30"/>
          <w:lang w:eastAsia="zh-CN"/>
        </w:rPr>
        <w:t>（</w:t>
      </w:r>
      <w:r>
        <w:rPr>
          <w:rFonts w:hint="eastAsia" w:ascii="仿宋_GB2312" w:hAnsi="Calibri" w:eastAsia="仿宋_GB2312"/>
          <w:b w:val="0"/>
          <w:sz w:val="30"/>
          <w:szCs w:val="30"/>
        </w:rPr>
        <w:t>盖章</w:t>
      </w:r>
      <w:r>
        <w:rPr>
          <w:rFonts w:hint="eastAsia" w:ascii="仿宋_GB2312" w:hAnsi="Calibri" w:eastAsia="仿宋_GB2312"/>
          <w:b w:val="0"/>
          <w:sz w:val="30"/>
          <w:szCs w:val="30"/>
          <w:lang w:val="en-US" w:eastAsia="zh-CN"/>
        </w:rPr>
        <w:t>版）。</w:t>
      </w:r>
    </w:p>
    <w:p w14:paraId="65525262">
      <w:pPr>
        <w:spacing w:line="600" w:lineRule="exact"/>
        <w:ind w:firstLine="600" w:firstLineChars="200"/>
        <w:rPr>
          <w:rFonts w:hint="eastAsia" w:ascii="仿宋_GB2312" w:hAnsi="Calibri" w:eastAsia="仿宋_GB2312"/>
          <w:sz w:val="30"/>
          <w:szCs w:val="30"/>
        </w:rPr>
      </w:pPr>
      <w:r>
        <w:rPr>
          <w:rFonts w:hint="eastAsia" w:ascii="仿宋_GB2312" w:hAnsi="Calibri" w:eastAsia="仿宋_GB2312"/>
          <w:b w:val="0"/>
          <w:sz w:val="30"/>
          <w:szCs w:val="30"/>
          <w:lang w:val="en-US" w:eastAsia="zh-CN"/>
        </w:rPr>
        <w:t>（3）申请人赴中国结算上海分公司办理过户业务。申请人携带</w:t>
      </w:r>
      <w:r>
        <w:rPr>
          <w:rFonts w:hint="eastAsia" w:ascii="仿宋_GB2312" w:hAnsi="Calibri" w:eastAsia="仿宋_GB2312"/>
          <w:b w:val="0"/>
          <w:sz w:val="30"/>
          <w:szCs w:val="30"/>
        </w:rPr>
        <w:t>《上海证券交易所债券转让确认申请表》</w:t>
      </w:r>
      <w:r>
        <w:rPr>
          <w:rFonts w:hint="eastAsia" w:ascii="仿宋_GB2312" w:hAnsi="Calibri" w:eastAsia="仿宋_GB2312"/>
          <w:b w:val="0"/>
          <w:sz w:val="30"/>
          <w:szCs w:val="30"/>
          <w:lang w:eastAsia="zh-CN"/>
        </w:rPr>
        <w:t>（</w:t>
      </w:r>
      <w:r>
        <w:rPr>
          <w:rFonts w:hint="eastAsia" w:ascii="仿宋_GB2312" w:hAnsi="Calibri" w:eastAsia="仿宋_GB2312"/>
          <w:b w:val="0"/>
          <w:sz w:val="30"/>
          <w:szCs w:val="30"/>
        </w:rPr>
        <w:t>盖章</w:t>
      </w:r>
      <w:r>
        <w:rPr>
          <w:rFonts w:hint="eastAsia" w:ascii="仿宋_GB2312" w:hAnsi="Calibri" w:eastAsia="仿宋_GB2312"/>
          <w:b w:val="0"/>
          <w:sz w:val="30"/>
          <w:szCs w:val="30"/>
          <w:lang w:val="en-US" w:eastAsia="zh-CN"/>
        </w:rPr>
        <w:t>版）及</w:t>
      </w:r>
      <w:r>
        <w:rPr>
          <w:rFonts w:hint="eastAsia" w:ascii="仿宋_GB2312" w:hAnsi="Calibri" w:eastAsia="仿宋_GB2312"/>
          <w:b w:val="0"/>
          <w:sz w:val="30"/>
          <w:szCs w:val="30"/>
        </w:rPr>
        <w:t>相关申请材料到中国结算上海公司大厅现场办理</w:t>
      </w:r>
      <w:r>
        <w:rPr>
          <w:rFonts w:hint="eastAsia" w:ascii="仿宋_GB2312" w:hAnsi="Calibri" w:eastAsia="仿宋_GB2312"/>
          <w:b w:val="0"/>
          <w:sz w:val="30"/>
          <w:szCs w:val="30"/>
          <w:lang w:val="en-US" w:eastAsia="zh-CN"/>
        </w:rPr>
        <w:t>过户业务</w:t>
      </w:r>
      <w:r>
        <w:rPr>
          <w:rFonts w:hint="eastAsia" w:ascii="仿宋_GB2312" w:hAnsi="Calibri" w:eastAsia="仿宋_GB2312"/>
          <w:b w:val="0"/>
          <w:sz w:val="30"/>
          <w:szCs w:val="30"/>
        </w:rPr>
        <w:t>，也可</w:t>
      </w:r>
      <w:r>
        <w:rPr>
          <w:rFonts w:hint="eastAsia" w:ascii="仿宋_GB2312" w:hAnsi="Calibri" w:eastAsia="仿宋_GB2312"/>
          <w:b w:val="0"/>
          <w:sz w:val="30"/>
          <w:szCs w:val="30"/>
          <w:lang w:val="en-US" w:eastAsia="zh-CN"/>
        </w:rPr>
        <w:t>以</w:t>
      </w:r>
      <w:r>
        <w:rPr>
          <w:rFonts w:hint="eastAsia" w:ascii="仿宋_GB2312" w:hAnsi="Calibri" w:eastAsia="仿宋_GB2312"/>
          <w:b w:val="0"/>
          <w:sz w:val="30"/>
          <w:szCs w:val="30"/>
        </w:rPr>
        <w:t>通过所属经纪商在中国结算上海公司综合业务平台在线提交</w:t>
      </w:r>
      <w:r>
        <w:rPr>
          <w:rFonts w:hint="eastAsia" w:ascii="仿宋_GB2312" w:hAnsi="Calibri" w:eastAsia="仿宋_GB2312"/>
          <w:b w:val="0"/>
          <w:sz w:val="30"/>
          <w:szCs w:val="30"/>
          <w:lang w:val="en-US" w:eastAsia="zh-CN"/>
        </w:rPr>
        <w:t>相关材料</w:t>
      </w:r>
      <w:r>
        <w:rPr>
          <w:rFonts w:hint="eastAsia" w:ascii="仿宋_GB2312" w:hAnsi="Calibri" w:eastAsia="仿宋_GB2312"/>
          <w:b w:val="0"/>
          <w:sz w:val="30"/>
          <w:szCs w:val="30"/>
          <w:lang w:eastAsia="zh-CN"/>
        </w:rPr>
        <w:t>。</w:t>
      </w:r>
      <w:r>
        <w:rPr>
          <w:rFonts w:hint="eastAsia" w:ascii="仿宋_GB2312" w:hAnsi="Calibri" w:eastAsia="仿宋_GB2312"/>
          <w:b w:val="0"/>
          <w:sz w:val="30"/>
          <w:szCs w:val="30"/>
        </w:rPr>
        <w:t>具体可咨询</w:t>
      </w:r>
      <w:r>
        <w:rPr>
          <w:rFonts w:hint="eastAsia" w:ascii="仿宋_GB2312" w:hAnsi="Calibri" w:eastAsia="仿宋_GB2312"/>
          <w:b w:val="0"/>
          <w:sz w:val="30"/>
          <w:szCs w:val="30"/>
          <w:lang w:eastAsia="zh-CN"/>
        </w:rPr>
        <w:t>中国</w:t>
      </w:r>
      <w:r>
        <w:rPr>
          <w:rFonts w:hint="eastAsia" w:ascii="仿宋_GB2312" w:hAnsi="Calibri" w:eastAsia="仿宋_GB2312"/>
          <w:b w:val="0"/>
          <w:sz w:val="30"/>
          <w:szCs w:val="30"/>
        </w:rPr>
        <w:t>结算公司客服4008058058。</w:t>
      </w:r>
    </w:p>
    <w:p w14:paraId="5655D8A4">
      <w:pPr>
        <w:spacing w:line="600" w:lineRule="exact"/>
        <w:ind w:firstLine="600" w:firstLineChars="200"/>
        <w:rPr>
          <w:rFonts w:hint="eastAsia" w:ascii="仿宋_GB2312" w:hAnsi="宋体" w:eastAsia="仿宋_GB2312"/>
          <w:sz w:val="30"/>
          <w:szCs w:val="30"/>
        </w:rPr>
      </w:pPr>
    </w:p>
    <w:p w14:paraId="3968104C">
      <w:pPr>
        <w:numPr>
          <w:ilvl w:val="0"/>
          <w:numId w:val="4"/>
        </w:numPr>
        <w:outlineLvl w:val="0"/>
        <w:rPr>
          <w:b/>
          <w:sz w:val="36"/>
        </w:rPr>
      </w:pPr>
      <w:r>
        <w:rPr>
          <w:rFonts w:ascii="仿宋_GB2312" w:hAnsi="宋体" w:eastAsia="仿宋_GB2312"/>
          <w:sz w:val="30"/>
          <w:szCs w:val="30"/>
        </w:rPr>
        <w:br w:type="page"/>
      </w:r>
      <w:bookmarkStart w:id="2544" w:name="_Toc146440352"/>
      <w:bookmarkStart w:id="2545" w:name="_Toc2076997560"/>
      <w:bookmarkStart w:id="2546" w:name="_Toc710075935"/>
      <w:bookmarkStart w:id="2547" w:name="_Toc658107533"/>
      <w:bookmarkStart w:id="2548" w:name="_Toc151137062"/>
      <w:r>
        <w:rPr>
          <w:rFonts w:hint="eastAsia" w:ascii="黑体" w:hAnsi="黑体" w:eastAsia="黑体" w:cs="黑体"/>
          <w:b/>
          <w:sz w:val="36"/>
        </w:rPr>
        <w:t>债券行情展示</w:t>
      </w:r>
      <w:bookmarkEnd w:id="2528"/>
      <w:bookmarkEnd w:id="2529"/>
      <w:bookmarkEnd w:id="2530"/>
      <w:bookmarkEnd w:id="2544"/>
      <w:bookmarkEnd w:id="2545"/>
      <w:bookmarkEnd w:id="2546"/>
      <w:bookmarkEnd w:id="2547"/>
      <w:bookmarkEnd w:id="2548"/>
      <w:bookmarkStart w:id="2549" w:name="_Toc44688495"/>
      <w:bookmarkEnd w:id="2549"/>
      <w:bookmarkStart w:id="2550" w:name="_Toc44666370"/>
      <w:bookmarkEnd w:id="2550"/>
      <w:bookmarkStart w:id="2551" w:name="_Toc44666411"/>
      <w:bookmarkEnd w:id="2551"/>
      <w:bookmarkStart w:id="2552" w:name="_Toc44604373"/>
      <w:bookmarkEnd w:id="2552"/>
      <w:bookmarkStart w:id="2553" w:name="_Toc47467035"/>
      <w:bookmarkEnd w:id="2553"/>
      <w:bookmarkStart w:id="2554" w:name="_Toc44604460"/>
      <w:bookmarkEnd w:id="2554"/>
      <w:bookmarkStart w:id="2555" w:name="_Toc44661485"/>
      <w:bookmarkEnd w:id="2555"/>
    </w:p>
    <w:p w14:paraId="6CD24286">
      <w:pPr>
        <w:numPr>
          <w:ilvl w:val="1"/>
          <w:numId w:val="4"/>
        </w:numPr>
        <w:spacing w:line="600" w:lineRule="exact"/>
        <w:ind w:left="0" w:firstLine="0"/>
        <w:outlineLvl w:val="1"/>
        <w:rPr>
          <w:rFonts w:ascii="仿宋_GB2312" w:eastAsia="仿宋_GB2312"/>
          <w:b/>
          <w:sz w:val="30"/>
          <w:szCs w:val="30"/>
        </w:rPr>
      </w:pPr>
      <w:bookmarkStart w:id="2556" w:name="_Toc44666413"/>
      <w:bookmarkEnd w:id="2556"/>
      <w:bookmarkStart w:id="2557" w:name="_Toc44661487"/>
      <w:bookmarkEnd w:id="2557"/>
      <w:bookmarkStart w:id="2558" w:name="_Toc44666372"/>
      <w:bookmarkEnd w:id="2558"/>
      <w:bookmarkStart w:id="2559" w:name="_Toc44604462"/>
      <w:bookmarkEnd w:id="2559"/>
      <w:bookmarkStart w:id="2560" w:name="_Toc44604375"/>
      <w:bookmarkEnd w:id="2560"/>
      <w:bookmarkStart w:id="2561" w:name="_Toc44688497"/>
      <w:bookmarkEnd w:id="2561"/>
      <w:bookmarkStart w:id="2562" w:name="_Toc47467036"/>
      <w:bookmarkStart w:id="2563" w:name="_Toc56166301"/>
      <w:bookmarkStart w:id="2564" w:name="_Toc151137063"/>
      <w:bookmarkStart w:id="2565" w:name="_Toc182127897"/>
      <w:bookmarkStart w:id="2566" w:name="_Toc56166112"/>
      <w:bookmarkStart w:id="2567" w:name="_Toc279907086"/>
      <w:bookmarkStart w:id="2568" w:name="_Toc1644302641"/>
      <w:bookmarkStart w:id="2569" w:name="_Toc1109342465"/>
      <w:r>
        <w:rPr>
          <w:rFonts w:hint="eastAsia" w:ascii="仿宋_GB2312" w:eastAsia="仿宋_GB2312"/>
          <w:b/>
          <w:sz w:val="30"/>
          <w:szCs w:val="30"/>
        </w:rPr>
        <w:t>概述</w:t>
      </w:r>
      <w:bookmarkEnd w:id="2562"/>
      <w:bookmarkEnd w:id="2563"/>
      <w:bookmarkEnd w:id="2564"/>
      <w:bookmarkEnd w:id="2565"/>
      <w:bookmarkEnd w:id="2566"/>
      <w:bookmarkEnd w:id="2567"/>
      <w:bookmarkEnd w:id="2568"/>
      <w:bookmarkEnd w:id="2569"/>
    </w:p>
    <w:p w14:paraId="5C82A57C">
      <w:pPr>
        <w:spacing w:line="600" w:lineRule="exact"/>
        <w:ind w:firstLine="564" w:firstLineChars="188"/>
        <w:rPr>
          <w:rFonts w:ascii="仿宋_GB2312" w:hAnsi="宋体" w:eastAsia="仿宋_GB2312"/>
          <w:sz w:val="30"/>
          <w:szCs w:val="30"/>
        </w:rPr>
      </w:pPr>
      <w:r>
        <w:rPr>
          <w:rFonts w:hint="eastAsia" w:ascii="仿宋_GB2312" w:hAnsi="宋体" w:eastAsia="仿宋_GB2312"/>
          <w:sz w:val="30"/>
          <w:szCs w:val="30"/>
        </w:rPr>
        <w:t>本所或者本所授权机构在每个交易日向全市场发布债券交易申报信息、债券交易成交信息、债券市场基础信息、债券指数、债券收益率曲线等信息。前述发布信息具体</w:t>
      </w:r>
      <w:bookmarkStart w:id="2570" w:name="_Toc37431267"/>
      <w:bookmarkStart w:id="2571" w:name="_Toc37431266"/>
      <w:r>
        <w:rPr>
          <w:rFonts w:hint="eastAsia" w:ascii="仿宋_GB2312" w:hAnsi="宋体" w:eastAsia="仿宋_GB2312"/>
          <w:sz w:val="30"/>
          <w:szCs w:val="30"/>
        </w:rPr>
        <w:t>可分为实时数据</w:t>
      </w:r>
      <w:bookmarkEnd w:id="2570"/>
      <w:bookmarkEnd w:id="2571"/>
      <w:bookmarkStart w:id="2572" w:name="_Toc37431298"/>
      <w:r>
        <w:rPr>
          <w:rFonts w:hint="eastAsia" w:ascii="仿宋_GB2312" w:hAnsi="宋体" w:eastAsia="仿宋_GB2312"/>
          <w:sz w:val="30"/>
          <w:szCs w:val="30"/>
        </w:rPr>
        <w:t>、统计行情</w:t>
      </w:r>
      <w:bookmarkEnd w:id="2572"/>
      <w:r>
        <w:rPr>
          <w:rFonts w:hint="eastAsia" w:ascii="仿宋_GB2312" w:hAnsi="宋体" w:eastAsia="仿宋_GB2312"/>
          <w:sz w:val="30"/>
          <w:szCs w:val="30"/>
        </w:rPr>
        <w:t>、</w:t>
      </w:r>
      <w:bookmarkStart w:id="2573" w:name="_Toc37431308"/>
      <w:r>
        <w:rPr>
          <w:rFonts w:hint="eastAsia" w:ascii="仿宋_GB2312" w:hAnsi="宋体" w:eastAsia="仿宋_GB2312"/>
          <w:sz w:val="30"/>
          <w:szCs w:val="30"/>
        </w:rPr>
        <w:t>参考数据</w:t>
      </w:r>
      <w:bookmarkEnd w:id="2573"/>
      <w:r>
        <w:rPr>
          <w:rFonts w:hint="eastAsia" w:ascii="仿宋_GB2312" w:hAnsi="宋体" w:eastAsia="仿宋_GB2312"/>
          <w:sz w:val="30"/>
          <w:szCs w:val="30"/>
        </w:rPr>
        <w:t>三种类型。本所授权机构的公示信息请至上证所信息网络有限公司官网（</w:t>
      </w:r>
      <w:r>
        <w:rPr>
          <w:rFonts w:ascii="仿宋_GB2312" w:hAnsi="宋体" w:eastAsia="仿宋_GB2312"/>
          <w:sz w:val="30"/>
          <w:szCs w:val="30"/>
        </w:rPr>
        <w:t>https://www.sseinfo.com/</w:t>
      </w:r>
      <w:r>
        <w:rPr>
          <w:rFonts w:hint="eastAsia" w:ascii="仿宋_GB2312" w:hAnsi="宋体" w:eastAsia="仿宋_GB2312"/>
          <w:sz w:val="30"/>
          <w:szCs w:val="30"/>
        </w:rPr>
        <w:t>）查询。具体行情发布内容，以行情商发布的行情信息为准。</w:t>
      </w:r>
    </w:p>
    <w:p w14:paraId="225C12F3">
      <w:pPr>
        <w:numPr>
          <w:ilvl w:val="1"/>
          <w:numId w:val="4"/>
        </w:numPr>
        <w:spacing w:line="600" w:lineRule="exact"/>
        <w:ind w:left="0" w:firstLine="0"/>
        <w:outlineLvl w:val="1"/>
        <w:rPr>
          <w:rFonts w:ascii="仿宋_GB2312" w:eastAsia="仿宋_GB2312"/>
          <w:b/>
          <w:sz w:val="30"/>
          <w:szCs w:val="30"/>
        </w:rPr>
      </w:pPr>
      <w:bookmarkStart w:id="2574" w:name="_Toc47465925"/>
      <w:bookmarkEnd w:id="2574"/>
      <w:bookmarkStart w:id="2575" w:name="_Toc47427142"/>
      <w:bookmarkEnd w:id="2575"/>
      <w:bookmarkStart w:id="2576" w:name="_Toc47458427"/>
      <w:bookmarkEnd w:id="2576"/>
      <w:bookmarkStart w:id="2577" w:name="_Toc47467038"/>
      <w:bookmarkEnd w:id="2577"/>
      <w:bookmarkStart w:id="2578" w:name="_Toc47467037"/>
      <w:bookmarkEnd w:id="2578"/>
      <w:bookmarkStart w:id="2579" w:name="_Toc47427141"/>
      <w:bookmarkEnd w:id="2579"/>
      <w:bookmarkStart w:id="2580" w:name="_Toc47428409"/>
      <w:bookmarkEnd w:id="2580"/>
      <w:bookmarkStart w:id="2581" w:name="_Toc47428408"/>
      <w:bookmarkEnd w:id="2581"/>
      <w:bookmarkStart w:id="2582" w:name="_Toc47465924"/>
      <w:bookmarkEnd w:id="2582"/>
      <w:bookmarkStart w:id="2583" w:name="_Toc47458428"/>
      <w:bookmarkEnd w:id="2583"/>
      <w:bookmarkStart w:id="2584" w:name="_Toc324760209"/>
      <w:bookmarkStart w:id="2585" w:name="_Toc47467039"/>
      <w:bookmarkStart w:id="2586" w:name="_Toc151137064"/>
      <w:bookmarkStart w:id="2587" w:name="_Toc997555959"/>
      <w:bookmarkStart w:id="2588" w:name="_Toc208175547"/>
      <w:bookmarkStart w:id="2589" w:name="_Toc1951331534"/>
      <w:bookmarkStart w:id="2590" w:name="_Toc56166302"/>
      <w:bookmarkStart w:id="2591" w:name="_Toc56166113"/>
      <w:r>
        <w:rPr>
          <w:rFonts w:hint="eastAsia" w:ascii="仿宋_GB2312" w:eastAsia="仿宋_GB2312"/>
          <w:b/>
          <w:sz w:val="30"/>
          <w:szCs w:val="30"/>
        </w:rPr>
        <w:t>实时数据</w:t>
      </w:r>
      <w:bookmarkEnd w:id="2584"/>
      <w:bookmarkEnd w:id="2585"/>
      <w:bookmarkEnd w:id="2586"/>
      <w:bookmarkEnd w:id="2587"/>
      <w:bookmarkEnd w:id="2588"/>
      <w:bookmarkEnd w:id="2589"/>
      <w:bookmarkEnd w:id="2590"/>
      <w:bookmarkEnd w:id="2591"/>
    </w:p>
    <w:p w14:paraId="2142491D">
      <w:pPr>
        <w:spacing w:line="600" w:lineRule="exact"/>
        <w:ind w:firstLine="564" w:firstLineChars="188"/>
        <w:rPr>
          <w:rFonts w:ascii="仿宋_GB2312" w:hAnsi="宋体" w:eastAsia="仿宋_GB2312"/>
          <w:sz w:val="30"/>
          <w:szCs w:val="30"/>
        </w:rPr>
      </w:pPr>
      <w:r>
        <w:rPr>
          <w:rFonts w:hint="eastAsia" w:ascii="仿宋_GB2312" w:hAnsi="宋体" w:eastAsia="仿宋_GB2312"/>
          <w:sz w:val="30"/>
          <w:szCs w:val="30"/>
        </w:rPr>
        <w:t>实时数据是指本所或者本所授权机构在交易时间向全市场实时发布的申报和成交数据。实时数据包括实时截片行情、逐笔申报行情、逐笔成交行情。</w:t>
      </w:r>
    </w:p>
    <w:p w14:paraId="2FD02094">
      <w:pPr>
        <w:numPr>
          <w:ilvl w:val="2"/>
          <w:numId w:val="4"/>
        </w:numPr>
        <w:spacing w:line="600" w:lineRule="exact"/>
        <w:ind w:left="0" w:firstLine="0"/>
        <w:outlineLvl w:val="2"/>
        <w:rPr>
          <w:rFonts w:ascii="仿宋_GB2312" w:eastAsia="仿宋_GB2312"/>
          <w:b/>
          <w:sz w:val="30"/>
          <w:szCs w:val="30"/>
        </w:rPr>
      </w:pPr>
      <w:bookmarkStart w:id="2592" w:name="_Toc47467041"/>
      <w:r>
        <w:rPr>
          <w:rFonts w:hint="eastAsia" w:ascii="仿宋_GB2312" w:eastAsia="仿宋_GB2312"/>
          <w:b/>
          <w:sz w:val="30"/>
          <w:szCs w:val="30"/>
        </w:rPr>
        <w:t>实时截片行情</w:t>
      </w:r>
      <w:bookmarkEnd w:id="2592"/>
    </w:p>
    <w:p w14:paraId="4A827B23">
      <w:pPr>
        <w:spacing w:line="600" w:lineRule="exact"/>
        <w:ind w:firstLine="564" w:firstLineChars="188"/>
        <w:rPr>
          <w:rFonts w:ascii="仿宋_GB2312" w:hAnsi="宋体" w:eastAsia="仿宋_GB2312"/>
          <w:sz w:val="30"/>
          <w:szCs w:val="30"/>
        </w:rPr>
      </w:pPr>
      <w:r>
        <w:rPr>
          <w:rFonts w:hint="eastAsia" w:ascii="仿宋_GB2312" w:eastAsia="仿宋_GB2312"/>
          <w:color w:val="000000"/>
          <w:sz w:val="30"/>
          <w:szCs w:val="30"/>
        </w:rPr>
        <w:t>本所以</w:t>
      </w:r>
      <w:r>
        <w:rPr>
          <w:rFonts w:hint="eastAsia" w:ascii="仿宋_GB2312" w:hAnsi="Calibri" w:eastAsia="仿宋_GB2312"/>
          <w:sz w:val="30"/>
          <w:szCs w:val="30"/>
        </w:rPr>
        <w:t>实时截片行情形式</w:t>
      </w:r>
      <w:r>
        <w:rPr>
          <w:rFonts w:hint="eastAsia" w:ascii="仿宋_GB2312" w:hAnsi="宋体" w:eastAsia="仿宋_GB2312"/>
          <w:sz w:val="30"/>
          <w:szCs w:val="30"/>
        </w:rPr>
        <w:t>向市场实时发布债券现券、通用回购和国债预发行的匹配成交申报信息。</w:t>
      </w:r>
    </w:p>
    <w:p w14:paraId="2717D2F8">
      <w:pPr>
        <w:spacing w:line="600" w:lineRule="exact"/>
        <w:ind w:firstLine="564" w:firstLineChars="188"/>
        <w:rPr>
          <w:rFonts w:ascii="仿宋_GB2312" w:hAnsi="宋体" w:eastAsia="仿宋_GB2312"/>
          <w:sz w:val="30"/>
          <w:szCs w:val="30"/>
        </w:rPr>
      </w:pPr>
      <w:r>
        <w:rPr>
          <w:rFonts w:hint="eastAsia" w:ascii="仿宋_GB2312" w:hAnsi="宋体" w:eastAsia="仿宋_GB2312"/>
          <w:sz w:val="30"/>
          <w:szCs w:val="30"/>
        </w:rPr>
        <w:t>默认情况下，本所发布的行情为Level1行情（下文如无特别说明，所指均为Level1行情）。投资者对行情有进一步需求的，可购买Level2行情。相比Level1行情，Level2行情将匹配成交的</w:t>
      </w:r>
      <w:r>
        <w:rPr>
          <w:rFonts w:hint="eastAsia" w:ascii="仿宋_GB2312" w:hAnsi="宋体" w:eastAsia="仿宋_GB2312" w:cs="宋体"/>
          <w:kern w:val="0"/>
          <w:sz w:val="30"/>
          <w:szCs w:val="30"/>
        </w:rPr>
        <w:t>五档行情信息扩充到十档行情，新增逐笔成交数据等增值信息。</w:t>
      </w:r>
    </w:p>
    <w:p w14:paraId="50A3BA0F">
      <w:pPr>
        <w:spacing w:line="600" w:lineRule="exact"/>
        <w:ind w:firstLine="602" w:firstLineChars="200"/>
        <w:outlineLvl w:val="3"/>
        <w:rPr>
          <w:rFonts w:ascii="仿宋_GB2312" w:eastAsia="仿宋_GB2312"/>
          <w:b/>
          <w:sz w:val="30"/>
          <w:szCs w:val="30"/>
        </w:rPr>
      </w:pPr>
      <w:r>
        <w:rPr>
          <w:rFonts w:hint="eastAsia" w:ascii="仿宋_GB2312" w:eastAsia="仿宋_GB2312"/>
          <w:b/>
          <w:sz w:val="30"/>
          <w:szCs w:val="30"/>
        </w:rPr>
        <w:t>（1）债券现券</w:t>
      </w:r>
    </w:p>
    <w:p w14:paraId="62446CC4">
      <w:pPr>
        <w:spacing w:line="600" w:lineRule="exact"/>
        <w:ind w:firstLine="564" w:firstLineChars="188"/>
        <w:rPr>
          <w:rFonts w:ascii="仿宋_GB2312" w:hAnsi="Calibri" w:eastAsia="仿宋_GB2312"/>
          <w:sz w:val="30"/>
          <w:szCs w:val="30"/>
        </w:rPr>
      </w:pPr>
      <w:r>
        <w:rPr>
          <w:rFonts w:hint="eastAsia" w:ascii="仿宋_GB2312" w:hAnsi="宋体" w:eastAsia="仿宋_GB2312"/>
          <w:sz w:val="30"/>
          <w:szCs w:val="30"/>
        </w:rPr>
        <w:t>本所在每个交易日的交易时间内，向全市场公开发布通过匹配成交交易方式提交的债券现券交易的实时截片行情。</w:t>
      </w:r>
    </w:p>
    <w:p w14:paraId="4D8FADE6">
      <w:pPr>
        <w:spacing w:line="600" w:lineRule="exact"/>
        <w:ind w:firstLine="600" w:firstLineChars="200"/>
        <w:jc w:val="left"/>
        <w:rPr>
          <w:rFonts w:ascii="仿宋_GB2312" w:hAnsi="Calibri" w:eastAsia="仿宋_GB2312"/>
          <w:sz w:val="30"/>
          <w:szCs w:val="30"/>
        </w:rPr>
      </w:pPr>
      <w:r>
        <w:rPr>
          <w:rFonts w:hint="eastAsia" w:ascii="仿宋_GB2312" w:hAnsi="Calibri" w:eastAsia="仿宋_GB2312"/>
          <w:sz w:val="30"/>
          <w:szCs w:val="30"/>
        </w:rPr>
        <w:t>1）集合匹配</w:t>
      </w:r>
    </w:p>
    <w:p w14:paraId="5006F67C">
      <w:pPr>
        <w:spacing w:line="600" w:lineRule="exact"/>
        <w:ind w:firstLine="564" w:firstLineChars="188"/>
        <w:jc w:val="left"/>
        <w:rPr>
          <w:rFonts w:ascii="仿宋_GB2312" w:hAnsi="宋体" w:eastAsia="仿宋_GB2312"/>
          <w:sz w:val="30"/>
          <w:szCs w:val="30"/>
        </w:rPr>
      </w:pPr>
      <w:r>
        <w:rPr>
          <w:rFonts w:hint="eastAsia" w:ascii="仿宋_GB2312" w:hAnsi="宋体" w:eastAsia="仿宋_GB2312" w:cs="宋体"/>
          <w:kern w:val="0"/>
          <w:sz w:val="30"/>
          <w:szCs w:val="30"/>
        </w:rPr>
        <w:t>集合匹配阶段，本所通过</w:t>
      </w:r>
      <w:r>
        <w:rPr>
          <w:rFonts w:hint="eastAsia" w:ascii="仿宋_GB2312" w:hAnsi="宋体" w:eastAsia="仿宋_GB2312"/>
          <w:sz w:val="30"/>
          <w:szCs w:val="30"/>
        </w:rPr>
        <w:t>发送截片行情向市场实时发布</w:t>
      </w:r>
      <w:r>
        <w:rPr>
          <w:rFonts w:ascii="仿宋_GB2312" w:hAnsi="宋体" w:eastAsia="仿宋_GB2312" w:cs="宋体"/>
          <w:kern w:val="0"/>
          <w:sz w:val="30"/>
          <w:szCs w:val="30"/>
        </w:rPr>
        <w:t>债券现券的虚拟匹配结果</w:t>
      </w:r>
      <w:r>
        <w:rPr>
          <w:rFonts w:hint="eastAsia" w:ascii="仿宋_GB2312" w:hAnsi="宋体" w:eastAsia="仿宋_GB2312" w:cs="宋体"/>
          <w:kern w:val="0"/>
          <w:sz w:val="30"/>
          <w:szCs w:val="30"/>
        </w:rPr>
        <w:t>，</w:t>
      </w:r>
      <w:r>
        <w:rPr>
          <w:rFonts w:hint="eastAsia" w:ascii="仿宋_GB2312" w:hAnsi="宋体" w:eastAsia="仿宋_GB2312"/>
          <w:sz w:val="30"/>
          <w:szCs w:val="30"/>
        </w:rPr>
        <w:t>前述截片行情信息包括前收盘价格、虚拟开盘价、虚拟匹配量、虚拟未匹配量、申报方向</w:t>
      </w:r>
      <w:r>
        <w:rPr>
          <w:rFonts w:hint="eastAsia" w:ascii="仿宋_GB2312" w:hAnsi="仿宋" w:eastAsia="仿宋_GB2312"/>
          <w:sz w:val="30"/>
          <w:szCs w:val="30"/>
        </w:rPr>
        <w:t>等内容。具体如下</w:t>
      </w:r>
      <w:r>
        <w:rPr>
          <w:rFonts w:hint="eastAsia" w:ascii="仿宋_GB2312" w:hAnsi="宋体" w:eastAsia="仿宋_GB2312"/>
          <w:sz w:val="30"/>
          <w:szCs w:val="30"/>
        </w:rPr>
        <w:t>：</w:t>
      </w: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6713"/>
      </w:tblGrid>
      <w:tr w14:paraId="5629D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shd w:val="clear" w:color="auto" w:fill="D9D9D9"/>
          </w:tcPr>
          <w:p w14:paraId="562182BA">
            <w:pPr>
              <w:rPr>
                <w:rFonts w:ascii="仿宋_GB2312" w:eastAsia="仿宋_GB2312"/>
                <w:b/>
                <w:sz w:val="24"/>
                <w:szCs w:val="24"/>
              </w:rPr>
            </w:pPr>
            <w:r>
              <w:rPr>
                <w:rFonts w:hint="eastAsia" w:ascii="仿宋_GB2312" w:eastAsia="仿宋_GB2312"/>
                <w:b/>
                <w:sz w:val="24"/>
                <w:szCs w:val="24"/>
              </w:rPr>
              <w:t>要素名称</w:t>
            </w:r>
          </w:p>
        </w:tc>
        <w:tc>
          <w:tcPr>
            <w:tcW w:w="6713" w:type="dxa"/>
            <w:shd w:val="clear" w:color="auto" w:fill="D9D9D9"/>
          </w:tcPr>
          <w:p w14:paraId="2FFE37B8">
            <w:pPr>
              <w:rPr>
                <w:rFonts w:ascii="仿宋_GB2312" w:eastAsia="仿宋_GB2312"/>
                <w:b/>
                <w:sz w:val="24"/>
                <w:szCs w:val="24"/>
              </w:rPr>
            </w:pPr>
            <w:r>
              <w:rPr>
                <w:rFonts w:hint="eastAsia" w:ascii="仿宋_GB2312" w:eastAsia="仿宋_GB2312"/>
                <w:b/>
                <w:sz w:val="24"/>
                <w:szCs w:val="24"/>
              </w:rPr>
              <w:t>要素说明</w:t>
            </w:r>
          </w:p>
        </w:tc>
      </w:tr>
      <w:tr w14:paraId="28AAD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Align w:val="center"/>
          </w:tcPr>
          <w:p w14:paraId="4A57095A">
            <w:pPr>
              <w:rPr>
                <w:rFonts w:ascii="仿宋_GB2312" w:eastAsia="仿宋_GB2312"/>
                <w:b/>
                <w:sz w:val="24"/>
                <w:szCs w:val="24"/>
              </w:rPr>
            </w:pPr>
            <w:r>
              <w:rPr>
                <w:rFonts w:hint="eastAsia" w:ascii="仿宋_GB2312" w:eastAsia="仿宋_GB2312"/>
                <w:b/>
                <w:sz w:val="24"/>
                <w:szCs w:val="24"/>
              </w:rPr>
              <w:t>证券代码</w:t>
            </w:r>
          </w:p>
        </w:tc>
        <w:tc>
          <w:tcPr>
            <w:tcW w:w="6713" w:type="dxa"/>
            <w:vAlign w:val="center"/>
          </w:tcPr>
          <w:p w14:paraId="11DF3EF0">
            <w:pPr>
              <w:rPr>
                <w:rFonts w:ascii="仿宋_GB2312" w:eastAsia="仿宋_GB2312"/>
                <w:sz w:val="24"/>
                <w:szCs w:val="24"/>
              </w:rPr>
            </w:pPr>
            <w:r>
              <w:rPr>
                <w:rFonts w:hint="eastAsia" w:ascii="仿宋_GB2312" w:eastAsia="仿宋_GB2312"/>
                <w:sz w:val="24"/>
                <w:szCs w:val="24"/>
              </w:rPr>
              <w:t>债券代码</w:t>
            </w:r>
          </w:p>
        </w:tc>
      </w:tr>
      <w:tr w14:paraId="6E7C8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Align w:val="center"/>
          </w:tcPr>
          <w:p w14:paraId="3F00B020">
            <w:pPr>
              <w:rPr>
                <w:rFonts w:ascii="仿宋_GB2312" w:eastAsia="仿宋_GB2312"/>
                <w:b/>
                <w:sz w:val="24"/>
                <w:szCs w:val="24"/>
              </w:rPr>
            </w:pPr>
            <w:r>
              <w:rPr>
                <w:rFonts w:hint="eastAsia" w:ascii="仿宋_GB2312" w:eastAsia="仿宋_GB2312"/>
                <w:b/>
                <w:sz w:val="24"/>
                <w:szCs w:val="24"/>
              </w:rPr>
              <w:t>证券简称</w:t>
            </w:r>
          </w:p>
        </w:tc>
        <w:tc>
          <w:tcPr>
            <w:tcW w:w="6713" w:type="dxa"/>
            <w:vAlign w:val="center"/>
          </w:tcPr>
          <w:p w14:paraId="46B3A6D8">
            <w:pPr>
              <w:rPr>
                <w:rFonts w:ascii="仿宋_GB2312" w:eastAsia="仿宋_GB2312"/>
                <w:sz w:val="24"/>
                <w:szCs w:val="24"/>
              </w:rPr>
            </w:pPr>
            <w:r>
              <w:rPr>
                <w:rFonts w:hint="eastAsia" w:ascii="仿宋_GB2312" w:eastAsia="仿宋_GB2312"/>
                <w:sz w:val="24"/>
                <w:szCs w:val="24"/>
              </w:rPr>
              <w:t>债券简称</w:t>
            </w:r>
          </w:p>
        </w:tc>
      </w:tr>
      <w:tr w14:paraId="0573C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09" w:type="dxa"/>
            <w:vAlign w:val="center"/>
          </w:tcPr>
          <w:p w14:paraId="7C518EBF">
            <w:pPr>
              <w:rPr>
                <w:rFonts w:ascii="仿宋_GB2312" w:eastAsia="仿宋_GB2312"/>
                <w:b/>
                <w:sz w:val="24"/>
                <w:szCs w:val="24"/>
              </w:rPr>
            </w:pPr>
            <w:r>
              <w:rPr>
                <w:rFonts w:hint="eastAsia" w:ascii="仿宋_GB2312" w:eastAsia="仿宋_GB2312"/>
                <w:b/>
                <w:sz w:val="24"/>
                <w:szCs w:val="24"/>
              </w:rPr>
              <w:t>交易日期</w:t>
            </w:r>
          </w:p>
        </w:tc>
        <w:tc>
          <w:tcPr>
            <w:tcW w:w="6713" w:type="dxa"/>
          </w:tcPr>
          <w:p w14:paraId="1A3281C0">
            <w:pPr>
              <w:rPr>
                <w:rFonts w:ascii="仿宋_GB2312" w:eastAsia="仿宋_GB2312"/>
                <w:sz w:val="24"/>
                <w:szCs w:val="24"/>
              </w:rPr>
            </w:pPr>
            <w:r>
              <w:rPr>
                <w:rFonts w:hint="eastAsia" w:ascii="仿宋_GB2312" w:eastAsia="仿宋_GB2312"/>
                <w:sz w:val="24"/>
                <w:szCs w:val="24"/>
              </w:rPr>
              <w:t>年月日</w:t>
            </w:r>
          </w:p>
        </w:tc>
      </w:tr>
      <w:tr w14:paraId="7D6A0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Align w:val="center"/>
          </w:tcPr>
          <w:p w14:paraId="6856D2D1">
            <w:pPr>
              <w:rPr>
                <w:rFonts w:ascii="仿宋_GB2312" w:eastAsia="仿宋_GB2312"/>
                <w:b/>
                <w:sz w:val="24"/>
                <w:szCs w:val="24"/>
              </w:rPr>
            </w:pPr>
            <w:r>
              <w:rPr>
                <w:rFonts w:hint="eastAsia" w:ascii="仿宋_GB2312" w:eastAsia="仿宋_GB2312"/>
                <w:b/>
                <w:sz w:val="24"/>
                <w:szCs w:val="24"/>
              </w:rPr>
              <w:t>交易时间</w:t>
            </w:r>
          </w:p>
        </w:tc>
        <w:tc>
          <w:tcPr>
            <w:tcW w:w="6713" w:type="dxa"/>
          </w:tcPr>
          <w:p w14:paraId="313E790E">
            <w:pPr>
              <w:rPr>
                <w:rFonts w:ascii="仿宋_GB2312" w:eastAsia="仿宋_GB2312"/>
                <w:sz w:val="24"/>
                <w:szCs w:val="24"/>
              </w:rPr>
            </w:pPr>
            <w:r>
              <w:rPr>
                <w:rFonts w:hint="eastAsia" w:ascii="仿宋_GB2312" w:eastAsia="仿宋_GB2312"/>
                <w:sz w:val="24"/>
                <w:szCs w:val="24"/>
              </w:rPr>
              <w:t xml:space="preserve">时分秒   </w:t>
            </w:r>
          </w:p>
        </w:tc>
      </w:tr>
      <w:tr w14:paraId="4E81D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Align w:val="center"/>
          </w:tcPr>
          <w:p w14:paraId="4A00A4C4">
            <w:pPr>
              <w:rPr>
                <w:rFonts w:ascii="仿宋_GB2312" w:eastAsia="仿宋_GB2312"/>
                <w:b/>
                <w:sz w:val="24"/>
                <w:szCs w:val="24"/>
              </w:rPr>
            </w:pPr>
            <w:r>
              <w:rPr>
                <w:rFonts w:hint="eastAsia" w:ascii="仿宋_GB2312" w:eastAsia="仿宋_GB2312"/>
                <w:b/>
                <w:sz w:val="24"/>
                <w:szCs w:val="24"/>
              </w:rPr>
              <w:t>前收盘价格</w:t>
            </w:r>
          </w:p>
        </w:tc>
        <w:tc>
          <w:tcPr>
            <w:tcW w:w="6713" w:type="dxa"/>
            <w:vAlign w:val="center"/>
          </w:tcPr>
          <w:p w14:paraId="67559A82">
            <w:pPr>
              <w:rPr>
                <w:rFonts w:ascii="仿宋_GB2312" w:eastAsia="仿宋_GB2312"/>
                <w:sz w:val="24"/>
                <w:szCs w:val="24"/>
              </w:rPr>
            </w:pPr>
            <w:r>
              <w:rPr>
                <w:rFonts w:hint="eastAsia" w:ascii="仿宋_GB2312" w:eastAsia="仿宋_GB2312"/>
                <w:sz w:val="24"/>
                <w:szCs w:val="24"/>
              </w:rPr>
              <w:t>单位：元（</w:t>
            </w:r>
            <w:r>
              <w:rPr>
                <w:rFonts w:ascii="仿宋_GB2312" w:eastAsia="仿宋_GB2312"/>
                <w:sz w:val="24"/>
                <w:szCs w:val="24"/>
              </w:rPr>
              <w:t>3</w:t>
            </w:r>
            <w:r>
              <w:rPr>
                <w:rFonts w:hint="eastAsia" w:ascii="仿宋_GB2312" w:eastAsia="仿宋_GB2312"/>
                <w:sz w:val="24"/>
                <w:szCs w:val="24"/>
              </w:rPr>
              <w:t>位小数）</w:t>
            </w:r>
          </w:p>
        </w:tc>
      </w:tr>
      <w:tr w14:paraId="36E67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Align w:val="center"/>
          </w:tcPr>
          <w:p w14:paraId="6B4ABDF7">
            <w:pPr>
              <w:rPr>
                <w:rFonts w:ascii="仿宋_GB2312" w:eastAsia="仿宋_GB2312"/>
                <w:b/>
                <w:sz w:val="24"/>
                <w:szCs w:val="24"/>
              </w:rPr>
            </w:pPr>
            <w:r>
              <w:rPr>
                <w:rFonts w:hint="eastAsia" w:ascii="仿宋_GB2312" w:eastAsia="仿宋_GB2312"/>
                <w:b/>
                <w:sz w:val="24"/>
                <w:szCs w:val="24"/>
              </w:rPr>
              <w:t>虚拟开盘价</w:t>
            </w:r>
          </w:p>
        </w:tc>
        <w:tc>
          <w:tcPr>
            <w:tcW w:w="6713" w:type="dxa"/>
            <w:vAlign w:val="center"/>
          </w:tcPr>
          <w:p w14:paraId="6426782B">
            <w:pPr>
              <w:rPr>
                <w:rFonts w:ascii="仿宋_GB2312" w:eastAsia="仿宋_GB2312"/>
                <w:sz w:val="24"/>
                <w:szCs w:val="24"/>
              </w:rPr>
            </w:pPr>
            <w:r>
              <w:rPr>
                <w:rFonts w:hint="eastAsia" w:ascii="仿宋_GB2312" w:eastAsia="仿宋_GB2312"/>
                <w:sz w:val="24"/>
                <w:szCs w:val="24"/>
              </w:rPr>
              <w:t>单位：元（</w:t>
            </w:r>
            <w:r>
              <w:rPr>
                <w:rFonts w:ascii="仿宋_GB2312" w:eastAsia="仿宋_GB2312"/>
                <w:sz w:val="24"/>
                <w:szCs w:val="24"/>
              </w:rPr>
              <w:t>3</w:t>
            </w:r>
            <w:r>
              <w:rPr>
                <w:rFonts w:hint="eastAsia" w:ascii="仿宋_GB2312" w:eastAsia="仿宋_GB2312"/>
                <w:sz w:val="24"/>
                <w:szCs w:val="24"/>
              </w:rPr>
              <w:t>位小数）；仅包括匹配成交申报方式计算出的开盘价。</w:t>
            </w:r>
          </w:p>
        </w:tc>
      </w:tr>
      <w:tr w14:paraId="0ED19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09" w:type="dxa"/>
            <w:vAlign w:val="center"/>
          </w:tcPr>
          <w:p w14:paraId="2F0A4D51">
            <w:pPr>
              <w:rPr>
                <w:rFonts w:ascii="仿宋_GB2312" w:eastAsia="仿宋_GB2312"/>
                <w:b/>
                <w:sz w:val="24"/>
                <w:szCs w:val="24"/>
              </w:rPr>
            </w:pPr>
            <w:r>
              <w:rPr>
                <w:rFonts w:hint="eastAsia" w:ascii="仿宋_GB2312" w:eastAsia="仿宋_GB2312"/>
                <w:b/>
                <w:sz w:val="24"/>
                <w:szCs w:val="24"/>
              </w:rPr>
              <w:t>虚拟匹配量</w:t>
            </w:r>
          </w:p>
        </w:tc>
        <w:tc>
          <w:tcPr>
            <w:tcW w:w="6713" w:type="dxa"/>
            <w:vAlign w:val="center"/>
          </w:tcPr>
          <w:p w14:paraId="6CCE2F20">
            <w:pPr>
              <w:rPr>
                <w:rFonts w:ascii="仿宋_GB2312" w:eastAsia="仿宋_GB2312"/>
                <w:sz w:val="24"/>
                <w:szCs w:val="24"/>
              </w:rPr>
            </w:pPr>
            <w:r>
              <w:rPr>
                <w:rFonts w:hint="eastAsia" w:ascii="仿宋_GB2312" w:eastAsia="仿宋_GB2312"/>
                <w:sz w:val="24"/>
                <w:szCs w:val="24"/>
              </w:rPr>
              <w:t>单位：千元面额（整数）</w:t>
            </w:r>
          </w:p>
        </w:tc>
      </w:tr>
      <w:tr w14:paraId="483F1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Align w:val="center"/>
          </w:tcPr>
          <w:p w14:paraId="4A1FC283">
            <w:pPr>
              <w:rPr>
                <w:rFonts w:ascii="仿宋_GB2312" w:eastAsia="仿宋_GB2312"/>
                <w:b/>
                <w:sz w:val="24"/>
                <w:szCs w:val="24"/>
              </w:rPr>
            </w:pPr>
            <w:r>
              <w:rPr>
                <w:rFonts w:hint="eastAsia" w:ascii="仿宋_GB2312" w:eastAsia="仿宋_GB2312"/>
                <w:b/>
                <w:sz w:val="24"/>
                <w:szCs w:val="24"/>
              </w:rPr>
              <w:t>虚拟未匹配量</w:t>
            </w:r>
          </w:p>
        </w:tc>
        <w:tc>
          <w:tcPr>
            <w:tcW w:w="6713" w:type="dxa"/>
            <w:vAlign w:val="center"/>
          </w:tcPr>
          <w:p w14:paraId="5DA853F3">
            <w:pPr>
              <w:rPr>
                <w:rFonts w:ascii="仿宋_GB2312" w:eastAsia="仿宋_GB2312"/>
                <w:sz w:val="24"/>
                <w:szCs w:val="24"/>
              </w:rPr>
            </w:pPr>
            <w:r>
              <w:rPr>
                <w:rFonts w:hint="eastAsia" w:ascii="仿宋_GB2312" w:eastAsia="仿宋_GB2312"/>
                <w:sz w:val="24"/>
                <w:szCs w:val="24"/>
              </w:rPr>
              <w:t>单位：千元面额（整数）</w:t>
            </w:r>
          </w:p>
        </w:tc>
      </w:tr>
      <w:tr w14:paraId="15046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Align w:val="center"/>
          </w:tcPr>
          <w:p w14:paraId="1FBA3A47">
            <w:pPr>
              <w:rPr>
                <w:rFonts w:ascii="仿宋_GB2312" w:eastAsia="仿宋_GB2312"/>
                <w:b/>
                <w:sz w:val="24"/>
                <w:szCs w:val="24"/>
              </w:rPr>
            </w:pPr>
            <w:r>
              <w:rPr>
                <w:rFonts w:hint="eastAsia" w:ascii="仿宋_GB2312" w:eastAsia="仿宋_GB2312"/>
                <w:b/>
                <w:sz w:val="24"/>
                <w:szCs w:val="24"/>
              </w:rPr>
              <w:t>虚拟未匹配量申报方向</w:t>
            </w:r>
          </w:p>
        </w:tc>
        <w:tc>
          <w:tcPr>
            <w:tcW w:w="6713" w:type="dxa"/>
          </w:tcPr>
          <w:p w14:paraId="541B32CF">
            <w:pPr>
              <w:rPr>
                <w:rFonts w:ascii="仿宋_GB2312" w:eastAsia="仿宋_GB2312"/>
                <w:b/>
                <w:sz w:val="24"/>
                <w:szCs w:val="24"/>
              </w:rPr>
            </w:pPr>
          </w:p>
        </w:tc>
      </w:tr>
    </w:tbl>
    <w:p w14:paraId="5804646A">
      <w:pPr>
        <w:spacing w:line="600" w:lineRule="exact"/>
        <w:ind w:firstLine="600" w:firstLineChars="200"/>
        <w:contextualSpacing/>
        <w:jc w:val="left"/>
        <w:rPr>
          <w:rFonts w:ascii="仿宋_GB2312" w:hAnsi="宋体" w:eastAsia="仿宋_GB2312" w:cs="宋体"/>
          <w:kern w:val="0"/>
          <w:sz w:val="30"/>
          <w:szCs w:val="30"/>
        </w:rPr>
      </w:pPr>
      <w:r>
        <w:rPr>
          <w:rFonts w:hint="eastAsia" w:ascii="仿宋_GB2312" w:hAnsi="宋体" w:eastAsia="仿宋_GB2312" w:cs="宋体"/>
          <w:kern w:val="0"/>
          <w:sz w:val="30"/>
          <w:szCs w:val="30"/>
        </w:rPr>
        <w:t>虚拟开盘价是指</w:t>
      </w:r>
      <w:r>
        <w:rPr>
          <w:rFonts w:hint="eastAsia" w:ascii="Calibri" w:hAnsi="Calibri" w:eastAsia="仿宋_GB2312"/>
          <w:color w:val="000000"/>
          <w:sz w:val="30"/>
          <w:szCs w:val="30"/>
        </w:rPr>
        <w:t>截至揭示时所有有效申报按照集合匹配规则虚拟</w:t>
      </w:r>
      <w:r>
        <w:rPr>
          <w:rFonts w:hint="eastAsia" w:ascii="仿宋_GB2312" w:hAnsi="Calibri" w:eastAsia="仿宋_GB2312"/>
          <w:color w:val="000000"/>
          <w:sz w:val="30"/>
          <w:szCs w:val="30"/>
        </w:rPr>
        <w:t>成交并予以即时揭示的价格</w:t>
      </w:r>
      <w:r>
        <w:rPr>
          <w:rFonts w:hint="eastAsia" w:ascii="仿宋_GB2312" w:hAnsi="宋体" w:eastAsia="仿宋_GB2312" w:cs="宋体"/>
          <w:kern w:val="0"/>
          <w:sz w:val="30"/>
          <w:szCs w:val="30"/>
        </w:rPr>
        <w:t>。</w:t>
      </w:r>
    </w:p>
    <w:p w14:paraId="0A117519">
      <w:pPr>
        <w:spacing w:line="600" w:lineRule="exact"/>
        <w:ind w:firstLine="600" w:firstLineChars="200"/>
        <w:contextualSpacing/>
        <w:jc w:val="left"/>
        <w:rPr>
          <w:rFonts w:ascii="仿宋_GB2312" w:hAnsi="宋体" w:eastAsia="仿宋_GB2312" w:cs="宋体"/>
          <w:b/>
          <w:bCs/>
          <w:kern w:val="0"/>
          <w:sz w:val="30"/>
          <w:szCs w:val="30"/>
        </w:rPr>
      </w:pPr>
      <w:r>
        <w:rPr>
          <w:rFonts w:hint="eastAsia" w:ascii="仿宋_GB2312" w:hAnsi="宋体" w:eastAsia="仿宋_GB2312" w:cs="宋体"/>
          <w:kern w:val="0"/>
          <w:sz w:val="30"/>
          <w:szCs w:val="30"/>
        </w:rPr>
        <w:t>虚拟匹配量是指</w:t>
      </w:r>
      <w:r>
        <w:rPr>
          <w:rFonts w:hint="eastAsia" w:ascii="仿宋_GB2312" w:hAnsi="Times" w:eastAsia="仿宋_GB2312"/>
          <w:color w:val="000000"/>
          <w:sz w:val="30"/>
          <w:szCs w:val="30"/>
        </w:rPr>
        <w:t>截至揭示时按照</w:t>
      </w:r>
      <w:r>
        <w:rPr>
          <w:rFonts w:hint="eastAsia" w:ascii="仿宋_GB2312" w:hAnsi="宋体" w:eastAsia="仿宋_GB2312" w:cs="宋体"/>
          <w:color w:val="000000"/>
          <w:kern w:val="0"/>
          <w:sz w:val="30"/>
          <w:szCs w:val="30"/>
        </w:rPr>
        <w:t>集合匹配参考价格</w:t>
      </w:r>
      <w:r>
        <w:rPr>
          <w:rFonts w:hint="eastAsia" w:ascii="仿宋_GB2312" w:hAnsi="Calibri" w:eastAsia="仿宋_GB2312"/>
          <w:color w:val="000000"/>
          <w:sz w:val="30"/>
          <w:szCs w:val="30"/>
        </w:rPr>
        <w:t>虚拟成交并予以即时揭示的申报数量</w:t>
      </w:r>
      <w:r>
        <w:rPr>
          <w:rFonts w:hint="eastAsia" w:ascii="仿宋_GB2312" w:hAnsi="宋体" w:eastAsia="仿宋_GB2312" w:cs="宋体"/>
          <w:kern w:val="0"/>
          <w:sz w:val="30"/>
          <w:szCs w:val="30"/>
        </w:rPr>
        <w:t>。</w:t>
      </w:r>
    </w:p>
    <w:p w14:paraId="459F926C">
      <w:pPr>
        <w:spacing w:line="600" w:lineRule="exact"/>
        <w:ind w:firstLine="600" w:firstLineChars="200"/>
        <w:contextualSpacing/>
        <w:jc w:val="left"/>
        <w:rPr>
          <w:rFonts w:ascii="仿宋_GB2312" w:hAnsi="宋体" w:eastAsia="仿宋_GB2312" w:cs="宋体"/>
          <w:kern w:val="0"/>
          <w:sz w:val="30"/>
          <w:szCs w:val="30"/>
        </w:rPr>
      </w:pPr>
      <w:r>
        <w:rPr>
          <w:rFonts w:hint="eastAsia" w:ascii="仿宋_GB2312" w:hAnsi="宋体" w:eastAsia="仿宋_GB2312" w:cs="宋体"/>
          <w:kern w:val="0"/>
          <w:sz w:val="30"/>
          <w:szCs w:val="30"/>
        </w:rPr>
        <w:t>虚拟未匹配量是指</w:t>
      </w:r>
      <w:r>
        <w:rPr>
          <w:rFonts w:hint="eastAsia" w:ascii="仿宋_GB2312" w:hAnsi="Calibri" w:eastAsia="仿宋_GB2312"/>
          <w:color w:val="000000"/>
          <w:sz w:val="30"/>
          <w:szCs w:val="30"/>
        </w:rPr>
        <w:t>截至揭示时未能按照</w:t>
      </w:r>
      <w:r>
        <w:rPr>
          <w:rFonts w:hint="eastAsia" w:ascii="仿宋_GB2312" w:hAnsi="宋体" w:eastAsia="仿宋_GB2312" w:cs="宋体"/>
          <w:color w:val="000000"/>
          <w:kern w:val="0"/>
          <w:sz w:val="30"/>
          <w:szCs w:val="30"/>
        </w:rPr>
        <w:t>集合匹配参考价格</w:t>
      </w:r>
      <w:r>
        <w:rPr>
          <w:rFonts w:hint="eastAsia" w:ascii="仿宋_GB2312" w:hAnsi="Calibri" w:eastAsia="仿宋_GB2312"/>
          <w:color w:val="000000"/>
          <w:sz w:val="30"/>
          <w:szCs w:val="30"/>
        </w:rPr>
        <w:t>虚拟成交并予以即时揭示的买方或卖方剩余申报数量</w:t>
      </w:r>
      <w:r>
        <w:rPr>
          <w:rFonts w:hint="eastAsia" w:ascii="仿宋_GB2312" w:hAnsi="宋体" w:eastAsia="仿宋_GB2312" w:cs="宋体"/>
          <w:kern w:val="0"/>
          <w:sz w:val="30"/>
          <w:szCs w:val="30"/>
        </w:rPr>
        <w:t>。</w:t>
      </w:r>
    </w:p>
    <w:p w14:paraId="36F1C215">
      <w:pPr>
        <w:spacing w:line="600" w:lineRule="exact"/>
        <w:ind w:firstLine="600" w:firstLineChars="200"/>
        <w:contextualSpacing/>
        <w:jc w:val="left"/>
        <w:rPr>
          <w:rFonts w:ascii="仿宋_GB2312" w:hAnsi="Calibri" w:eastAsia="仿宋_GB2312"/>
          <w:sz w:val="30"/>
          <w:szCs w:val="30"/>
        </w:rPr>
      </w:pPr>
      <w:r>
        <w:rPr>
          <w:rFonts w:hint="eastAsia" w:ascii="仿宋_GB2312" w:hAnsi="Calibri" w:eastAsia="仿宋_GB2312"/>
          <w:sz w:val="30"/>
          <w:szCs w:val="30"/>
        </w:rPr>
        <w:t>2）连续匹配</w:t>
      </w:r>
    </w:p>
    <w:p w14:paraId="0456BE21">
      <w:pPr>
        <w:spacing w:line="600" w:lineRule="exact"/>
        <w:ind w:firstLine="600" w:firstLineChars="200"/>
        <w:contextualSpacing/>
        <w:rPr>
          <w:rFonts w:ascii="仿宋_GB2312" w:hAnsi="宋体" w:eastAsia="仿宋_GB2312"/>
          <w:sz w:val="30"/>
          <w:szCs w:val="30"/>
        </w:rPr>
      </w:pPr>
      <w:r>
        <w:rPr>
          <w:rFonts w:hint="eastAsia" w:ascii="仿宋_GB2312" w:hAnsi="宋体" w:eastAsia="仿宋_GB2312"/>
          <w:sz w:val="30"/>
          <w:szCs w:val="30"/>
        </w:rPr>
        <w:t>连续匹配阶段，</w:t>
      </w:r>
      <w:r>
        <w:rPr>
          <w:rFonts w:hint="eastAsia" w:ascii="仿宋_GB2312" w:hAnsi="宋体" w:eastAsia="仿宋_GB2312" w:cs="宋体"/>
          <w:kern w:val="0"/>
          <w:sz w:val="30"/>
          <w:szCs w:val="30"/>
        </w:rPr>
        <w:t>本所通过</w:t>
      </w:r>
      <w:r>
        <w:rPr>
          <w:rFonts w:hint="eastAsia" w:ascii="仿宋_GB2312" w:hAnsi="宋体" w:eastAsia="仿宋_GB2312"/>
          <w:sz w:val="30"/>
          <w:szCs w:val="30"/>
        </w:rPr>
        <w:t>发送截片行情向市场实时发布</w:t>
      </w:r>
      <w:r>
        <w:rPr>
          <w:rFonts w:hint="eastAsia" w:ascii="仿宋_GB2312" w:hAnsi="宋体" w:eastAsia="仿宋_GB2312" w:cs="宋体"/>
          <w:kern w:val="0"/>
          <w:sz w:val="30"/>
          <w:szCs w:val="30"/>
        </w:rPr>
        <w:t>债券现券的五档行情信息，</w:t>
      </w:r>
      <w:r>
        <w:rPr>
          <w:rFonts w:hint="eastAsia" w:ascii="仿宋_GB2312" w:hAnsi="宋体" w:eastAsia="仿宋_GB2312"/>
          <w:sz w:val="30"/>
          <w:szCs w:val="30"/>
        </w:rPr>
        <w:t>包括连续匹配最优五档买卖申报时间、价格及数量等信息。具体如下：</w:t>
      </w:r>
    </w:p>
    <w:tbl>
      <w:tblPr>
        <w:tblStyle w:val="43"/>
        <w:tblW w:w="7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6"/>
        <w:gridCol w:w="5493"/>
      </w:tblGrid>
      <w:tr w14:paraId="24735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2316" w:type="dxa"/>
            <w:shd w:val="clear" w:color="auto" w:fill="E6E6E6"/>
            <w:vAlign w:val="center"/>
          </w:tcPr>
          <w:p w14:paraId="12FC23E2">
            <w:pPr>
              <w:rPr>
                <w:rFonts w:ascii="仿宋_GB2312" w:eastAsia="仿宋_GB2312"/>
                <w:b/>
                <w:sz w:val="24"/>
                <w:szCs w:val="24"/>
              </w:rPr>
            </w:pPr>
            <w:r>
              <w:rPr>
                <w:rFonts w:hint="eastAsia" w:ascii="仿宋_GB2312" w:eastAsia="仿宋_GB2312"/>
                <w:b/>
                <w:sz w:val="24"/>
                <w:szCs w:val="24"/>
              </w:rPr>
              <w:t>要素名称</w:t>
            </w:r>
          </w:p>
        </w:tc>
        <w:tc>
          <w:tcPr>
            <w:tcW w:w="5493" w:type="dxa"/>
            <w:shd w:val="clear" w:color="auto" w:fill="E6E6E6"/>
            <w:vAlign w:val="center"/>
          </w:tcPr>
          <w:p w14:paraId="181D0879">
            <w:pPr>
              <w:rPr>
                <w:rFonts w:ascii="仿宋_GB2312" w:eastAsia="仿宋_GB2312"/>
                <w:b/>
                <w:sz w:val="24"/>
                <w:szCs w:val="24"/>
              </w:rPr>
            </w:pPr>
            <w:r>
              <w:rPr>
                <w:rFonts w:hint="eastAsia" w:ascii="仿宋_GB2312" w:eastAsia="仿宋_GB2312"/>
                <w:b/>
                <w:sz w:val="24"/>
                <w:szCs w:val="24"/>
              </w:rPr>
              <w:t>要素说明</w:t>
            </w:r>
          </w:p>
        </w:tc>
      </w:tr>
      <w:tr w14:paraId="15C63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vAlign w:val="center"/>
          </w:tcPr>
          <w:p w14:paraId="7A53A26F">
            <w:pPr>
              <w:rPr>
                <w:rFonts w:ascii="仿宋_GB2312" w:eastAsia="仿宋_GB2312"/>
                <w:b/>
                <w:sz w:val="24"/>
                <w:szCs w:val="24"/>
              </w:rPr>
            </w:pPr>
            <w:r>
              <w:rPr>
                <w:rFonts w:hint="eastAsia" w:ascii="仿宋_GB2312" w:eastAsia="仿宋_GB2312"/>
                <w:b/>
                <w:sz w:val="24"/>
                <w:szCs w:val="24"/>
              </w:rPr>
              <w:t>证券代码</w:t>
            </w:r>
          </w:p>
        </w:tc>
        <w:tc>
          <w:tcPr>
            <w:tcW w:w="5493" w:type="dxa"/>
            <w:vAlign w:val="center"/>
          </w:tcPr>
          <w:p w14:paraId="2C1F82AE">
            <w:pPr>
              <w:rPr>
                <w:rFonts w:ascii="仿宋_GB2312" w:eastAsia="仿宋_GB2312"/>
                <w:sz w:val="24"/>
                <w:szCs w:val="24"/>
              </w:rPr>
            </w:pPr>
            <w:r>
              <w:rPr>
                <w:rFonts w:hint="eastAsia" w:ascii="仿宋_GB2312" w:eastAsia="仿宋_GB2312"/>
                <w:sz w:val="24"/>
                <w:szCs w:val="24"/>
              </w:rPr>
              <w:t>债券代码</w:t>
            </w:r>
          </w:p>
        </w:tc>
      </w:tr>
      <w:tr w14:paraId="6CCEE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vAlign w:val="center"/>
          </w:tcPr>
          <w:p w14:paraId="79673DFD">
            <w:pPr>
              <w:rPr>
                <w:rFonts w:ascii="仿宋_GB2312" w:eastAsia="仿宋_GB2312"/>
                <w:b/>
                <w:sz w:val="24"/>
                <w:szCs w:val="24"/>
              </w:rPr>
            </w:pPr>
            <w:r>
              <w:rPr>
                <w:rFonts w:hint="eastAsia" w:ascii="仿宋_GB2312" w:eastAsia="仿宋_GB2312"/>
                <w:b/>
                <w:sz w:val="24"/>
                <w:szCs w:val="24"/>
              </w:rPr>
              <w:t>证券简称</w:t>
            </w:r>
          </w:p>
        </w:tc>
        <w:tc>
          <w:tcPr>
            <w:tcW w:w="5493" w:type="dxa"/>
            <w:vAlign w:val="center"/>
          </w:tcPr>
          <w:p w14:paraId="1B079159">
            <w:pPr>
              <w:rPr>
                <w:rFonts w:ascii="仿宋_GB2312" w:eastAsia="仿宋_GB2312"/>
                <w:sz w:val="24"/>
                <w:szCs w:val="24"/>
              </w:rPr>
            </w:pPr>
            <w:r>
              <w:rPr>
                <w:rFonts w:hint="eastAsia" w:ascii="仿宋_GB2312" w:eastAsia="仿宋_GB2312"/>
                <w:sz w:val="24"/>
                <w:szCs w:val="24"/>
              </w:rPr>
              <w:t>债券简称</w:t>
            </w:r>
          </w:p>
        </w:tc>
      </w:tr>
      <w:tr w14:paraId="7C6B6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vAlign w:val="center"/>
          </w:tcPr>
          <w:p w14:paraId="0B8EE968">
            <w:pPr>
              <w:rPr>
                <w:rFonts w:ascii="仿宋_GB2312" w:eastAsia="仿宋_GB2312"/>
                <w:b/>
                <w:sz w:val="24"/>
                <w:szCs w:val="24"/>
              </w:rPr>
            </w:pPr>
            <w:r>
              <w:rPr>
                <w:rFonts w:hint="eastAsia" w:ascii="仿宋_GB2312" w:eastAsia="仿宋_GB2312"/>
                <w:b/>
                <w:sz w:val="24"/>
                <w:szCs w:val="24"/>
              </w:rPr>
              <w:t>交易日期</w:t>
            </w:r>
          </w:p>
        </w:tc>
        <w:tc>
          <w:tcPr>
            <w:tcW w:w="5493" w:type="dxa"/>
          </w:tcPr>
          <w:p w14:paraId="42E67433">
            <w:pPr>
              <w:rPr>
                <w:rFonts w:ascii="仿宋_GB2312" w:eastAsia="仿宋_GB2312"/>
                <w:sz w:val="24"/>
                <w:szCs w:val="24"/>
              </w:rPr>
            </w:pPr>
            <w:r>
              <w:rPr>
                <w:rFonts w:hint="eastAsia" w:ascii="仿宋_GB2312" w:eastAsia="仿宋_GB2312"/>
                <w:sz w:val="24"/>
                <w:szCs w:val="24"/>
              </w:rPr>
              <w:t>年月日</w:t>
            </w:r>
          </w:p>
        </w:tc>
      </w:tr>
      <w:tr w14:paraId="110DB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vAlign w:val="center"/>
          </w:tcPr>
          <w:p w14:paraId="22938499">
            <w:pPr>
              <w:rPr>
                <w:rFonts w:ascii="仿宋_GB2312" w:eastAsia="仿宋_GB2312"/>
                <w:b/>
                <w:sz w:val="24"/>
                <w:szCs w:val="24"/>
              </w:rPr>
            </w:pPr>
            <w:r>
              <w:rPr>
                <w:rFonts w:hint="eastAsia" w:ascii="仿宋_GB2312" w:eastAsia="仿宋_GB2312"/>
                <w:b/>
                <w:sz w:val="24"/>
                <w:szCs w:val="24"/>
              </w:rPr>
              <w:t>交易时间</w:t>
            </w:r>
          </w:p>
        </w:tc>
        <w:tc>
          <w:tcPr>
            <w:tcW w:w="5493" w:type="dxa"/>
          </w:tcPr>
          <w:p w14:paraId="562084C7">
            <w:pPr>
              <w:rPr>
                <w:rFonts w:ascii="仿宋_GB2312" w:eastAsia="仿宋_GB2312"/>
                <w:sz w:val="24"/>
                <w:szCs w:val="24"/>
              </w:rPr>
            </w:pPr>
            <w:r>
              <w:rPr>
                <w:rFonts w:hint="eastAsia" w:ascii="仿宋_GB2312" w:eastAsia="仿宋_GB2312"/>
                <w:sz w:val="24"/>
                <w:szCs w:val="24"/>
              </w:rPr>
              <w:t xml:space="preserve">时分秒   </w:t>
            </w:r>
          </w:p>
        </w:tc>
      </w:tr>
      <w:tr w14:paraId="0C8DB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tcPr>
          <w:p w14:paraId="511740EE">
            <w:pPr>
              <w:rPr>
                <w:rFonts w:ascii="仿宋_GB2312" w:eastAsia="仿宋_GB2312"/>
                <w:b/>
                <w:sz w:val="24"/>
                <w:szCs w:val="24"/>
              </w:rPr>
            </w:pPr>
            <w:r>
              <w:rPr>
                <w:rFonts w:hint="eastAsia" w:ascii="仿宋_GB2312" w:eastAsia="仿宋_GB2312"/>
                <w:b/>
                <w:sz w:val="24"/>
                <w:szCs w:val="24"/>
              </w:rPr>
              <w:t>申买价</w:t>
            </w:r>
          </w:p>
          <w:p w14:paraId="73613F66">
            <w:pPr>
              <w:rPr>
                <w:rFonts w:ascii="仿宋_GB2312" w:eastAsia="仿宋_GB2312"/>
                <w:b/>
                <w:sz w:val="24"/>
                <w:szCs w:val="24"/>
              </w:rPr>
            </w:pPr>
            <w:r>
              <w:rPr>
                <w:rFonts w:hint="eastAsia" w:ascii="仿宋_GB2312" w:eastAsia="仿宋_GB2312"/>
                <w:b/>
                <w:sz w:val="24"/>
                <w:szCs w:val="24"/>
              </w:rPr>
              <w:t>一/二/三/四/五</w:t>
            </w:r>
          </w:p>
        </w:tc>
        <w:tc>
          <w:tcPr>
            <w:tcW w:w="5493" w:type="dxa"/>
            <w:vAlign w:val="center"/>
          </w:tcPr>
          <w:p w14:paraId="142DCC97">
            <w:pPr>
              <w:rPr>
                <w:rFonts w:ascii="仿宋_GB2312" w:eastAsia="仿宋_GB2312"/>
                <w:sz w:val="24"/>
                <w:szCs w:val="24"/>
              </w:rPr>
            </w:pPr>
            <w:r>
              <w:rPr>
                <w:rFonts w:hint="eastAsia" w:ascii="仿宋_GB2312" w:eastAsia="仿宋_GB2312"/>
                <w:sz w:val="24"/>
                <w:szCs w:val="24"/>
              </w:rPr>
              <w:t>单位：元（</w:t>
            </w:r>
            <w:r>
              <w:rPr>
                <w:rFonts w:ascii="仿宋_GB2312" w:eastAsia="仿宋_GB2312"/>
                <w:sz w:val="24"/>
                <w:szCs w:val="24"/>
              </w:rPr>
              <w:t>3</w:t>
            </w:r>
            <w:r>
              <w:rPr>
                <w:rFonts w:hint="eastAsia" w:ascii="仿宋_GB2312" w:eastAsia="仿宋_GB2312"/>
                <w:sz w:val="24"/>
                <w:szCs w:val="24"/>
              </w:rPr>
              <w:t>位小数）</w:t>
            </w:r>
          </w:p>
        </w:tc>
      </w:tr>
      <w:tr w14:paraId="1784B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tcPr>
          <w:p w14:paraId="35B64F76">
            <w:pPr>
              <w:rPr>
                <w:rFonts w:ascii="仿宋_GB2312" w:eastAsia="仿宋_GB2312"/>
                <w:b/>
                <w:sz w:val="24"/>
                <w:szCs w:val="24"/>
              </w:rPr>
            </w:pPr>
            <w:r>
              <w:rPr>
                <w:rFonts w:hint="eastAsia" w:ascii="仿宋_GB2312" w:eastAsia="仿宋_GB2312"/>
                <w:b/>
                <w:sz w:val="24"/>
                <w:szCs w:val="24"/>
              </w:rPr>
              <w:t>申买数量</w:t>
            </w:r>
          </w:p>
          <w:p w14:paraId="4DEE63F4">
            <w:pPr>
              <w:rPr>
                <w:rFonts w:ascii="仿宋_GB2312" w:eastAsia="仿宋_GB2312"/>
                <w:b/>
                <w:sz w:val="24"/>
                <w:szCs w:val="24"/>
              </w:rPr>
            </w:pPr>
            <w:r>
              <w:rPr>
                <w:rFonts w:hint="eastAsia" w:ascii="仿宋_GB2312" w:eastAsia="仿宋_GB2312"/>
                <w:b/>
                <w:sz w:val="24"/>
                <w:szCs w:val="24"/>
              </w:rPr>
              <w:t>一/二/三/四/五</w:t>
            </w:r>
          </w:p>
        </w:tc>
        <w:tc>
          <w:tcPr>
            <w:tcW w:w="5493" w:type="dxa"/>
            <w:vAlign w:val="center"/>
          </w:tcPr>
          <w:p w14:paraId="3356C8BB">
            <w:pPr>
              <w:rPr>
                <w:rFonts w:ascii="仿宋_GB2312" w:eastAsia="仿宋_GB2312"/>
                <w:sz w:val="24"/>
                <w:szCs w:val="24"/>
              </w:rPr>
            </w:pPr>
            <w:r>
              <w:rPr>
                <w:rFonts w:hint="eastAsia" w:ascii="仿宋_GB2312" w:eastAsia="仿宋_GB2312"/>
                <w:sz w:val="24"/>
                <w:szCs w:val="24"/>
              </w:rPr>
              <w:t>单位：千元面额（整数）</w:t>
            </w:r>
          </w:p>
        </w:tc>
      </w:tr>
      <w:tr w14:paraId="0DCD6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tcPr>
          <w:p w14:paraId="0A413C1D">
            <w:pPr>
              <w:rPr>
                <w:rFonts w:ascii="仿宋_GB2312" w:eastAsia="仿宋_GB2312"/>
                <w:b/>
                <w:sz w:val="24"/>
                <w:szCs w:val="24"/>
              </w:rPr>
            </w:pPr>
            <w:r>
              <w:rPr>
                <w:rFonts w:hint="eastAsia" w:ascii="仿宋_GB2312" w:eastAsia="仿宋_GB2312"/>
                <w:b/>
                <w:sz w:val="24"/>
                <w:szCs w:val="24"/>
              </w:rPr>
              <w:t>申卖价</w:t>
            </w:r>
          </w:p>
          <w:p w14:paraId="1C9DD2C7">
            <w:pPr>
              <w:rPr>
                <w:rFonts w:ascii="仿宋_GB2312" w:eastAsia="仿宋_GB2312"/>
                <w:b/>
                <w:sz w:val="24"/>
                <w:szCs w:val="24"/>
              </w:rPr>
            </w:pPr>
            <w:r>
              <w:rPr>
                <w:rFonts w:hint="eastAsia" w:ascii="仿宋_GB2312" w:eastAsia="仿宋_GB2312"/>
                <w:b/>
                <w:sz w:val="24"/>
                <w:szCs w:val="24"/>
              </w:rPr>
              <w:t>一/二/三/四/五</w:t>
            </w:r>
          </w:p>
        </w:tc>
        <w:tc>
          <w:tcPr>
            <w:tcW w:w="5493" w:type="dxa"/>
            <w:vAlign w:val="center"/>
          </w:tcPr>
          <w:p w14:paraId="36CC2BDC">
            <w:pPr>
              <w:rPr>
                <w:rFonts w:ascii="仿宋_GB2312" w:eastAsia="仿宋_GB2312"/>
                <w:sz w:val="24"/>
                <w:szCs w:val="24"/>
              </w:rPr>
            </w:pPr>
            <w:r>
              <w:rPr>
                <w:rFonts w:hint="eastAsia" w:ascii="仿宋_GB2312" w:eastAsia="仿宋_GB2312"/>
                <w:sz w:val="24"/>
                <w:szCs w:val="24"/>
              </w:rPr>
              <w:t>单位：元（</w:t>
            </w:r>
            <w:r>
              <w:rPr>
                <w:rFonts w:ascii="仿宋_GB2312" w:eastAsia="仿宋_GB2312"/>
                <w:sz w:val="24"/>
                <w:szCs w:val="24"/>
              </w:rPr>
              <w:t>3</w:t>
            </w:r>
            <w:r>
              <w:rPr>
                <w:rFonts w:hint="eastAsia" w:ascii="仿宋_GB2312" w:eastAsia="仿宋_GB2312"/>
                <w:sz w:val="24"/>
                <w:szCs w:val="24"/>
              </w:rPr>
              <w:t>位小数）</w:t>
            </w:r>
          </w:p>
        </w:tc>
      </w:tr>
      <w:tr w14:paraId="0A2DD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tcPr>
          <w:p w14:paraId="44F98E61">
            <w:pPr>
              <w:rPr>
                <w:rFonts w:ascii="仿宋_GB2312" w:eastAsia="仿宋_GB2312"/>
                <w:b/>
                <w:sz w:val="24"/>
                <w:szCs w:val="24"/>
              </w:rPr>
            </w:pPr>
            <w:r>
              <w:rPr>
                <w:rFonts w:hint="eastAsia" w:ascii="仿宋_GB2312" w:eastAsia="仿宋_GB2312"/>
                <w:b/>
                <w:sz w:val="24"/>
                <w:szCs w:val="24"/>
              </w:rPr>
              <w:t>申卖数量</w:t>
            </w:r>
          </w:p>
          <w:p w14:paraId="26AD4686">
            <w:pPr>
              <w:rPr>
                <w:rFonts w:ascii="仿宋_GB2312" w:eastAsia="仿宋_GB2312"/>
                <w:b/>
                <w:sz w:val="24"/>
                <w:szCs w:val="24"/>
              </w:rPr>
            </w:pPr>
            <w:r>
              <w:rPr>
                <w:rFonts w:hint="eastAsia" w:ascii="仿宋_GB2312" w:eastAsia="仿宋_GB2312"/>
                <w:b/>
                <w:sz w:val="24"/>
                <w:szCs w:val="24"/>
              </w:rPr>
              <w:t>一/二/三/四/五</w:t>
            </w:r>
          </w:p>
        </w:tc>
        <w:tc>
          <w:tcPr>
            <w:tcW w:w="5493" w:type="dxa"/>
            <w:vAlign w:val="center"/>
          </w:tcPr>
          <w:p w14:paraId="75C3EDE1">
            <w:pPr>
              <w:rPr>
                <w:rFonts w:ascii="仿宋_GB2312" w:eastAsia="仿宋_GB2312"/>
                <w:sz w:val="24"/>
                <w:szCs w:val="24"/>
              </w:rPr>
            </w:pPr>
            <w:r>
              <w:rPr>
                <w:rFonts w:hint="eastAsia" w:ascii="仿宋_GB2312" w:eastAsia="仿宋_GB2312"/>
                <w:sz w:val="24"/>
                <w:szCs w:val="24"/>
              </w:rPr>
              <w:t>单位：千元面额（整数）</w:t>
            </w:r>
          </w:p>
        </w:tc>
      </w:tr>
    </w:tbl>
    <w:p w14:paraId="01FD4288">
      <w:pPr>
        <w:spacing w:line="600" w:lineRule="exact"/>
        <w:ind w:firstLine="602" w:firstLineChars="200"/>
        <w:outlineLvl w:val="3"/>
        <w:rPr>
          <w:rFonts w:ascii="仿宋_GB2312" w:eastAsia="仿宋_GB2312"/>
          <w:b/>
          <w:sz w:val="30"/>
          <w:szCs w:val="30"/>
        </w:rPr>
      </w:pPr>
      <w:r>
        <w:rPr>
          <w:rFonts w:hint="eastAsia" w:ascii="仿宋_GB2312" w:eastAsia="仿宋_GB2312"/>
          <w:b/>
          <w:sz w:val="30"/>
          <w:szCs w:val="30"/>
        </w:rPr>
        <w:t>（2）通用回购</w:t>
      </w:r>
    </w:p>
    <w:p w14:paraId="598E59FD">
      <w:pPr>
        <w:spacing w:line="600" w:lineRule="exact"/>
        <w:ind w:firstLine="564" w:firstLineChars="188"/>
        <w:rPr>
          <w:rFonts w:ascii="仿宋_GB2312" w:hAnsi="Calibri" w:eastAsia="仿宋_GB2312"/>
          <w:b/>
          <w:sz w:val="30"/>
          <w:szCs w:val="30"/>
        </w:rPr>
      </w:pPr>
      <w:r>
        <w:rPr>
          <w:rFonts w:hint="eastAsia" w:ascii="仿宋_GB2312" w:hAnsi="宋体" w:eastAsia="仿宋_GB2312"/>
          <w:sz w:val="30"/>
          <w:szCs w:val="30"/>
        </w:rPr>
        <w:t>本所在每个交易日的交易时间内，向全市场公开发布通过匹配成交交易方式提交的通用回购交易的实时截片行情。</w:t>
      </w:r>
    </w:p>
    <w:p w14:paraId="61578B16">
      <w:pPr>
        <w:spacing w:line="600" w:lineRule="exact"/>
        <w:ind w:firstLine="600"/>
        <w:jc w:val="left"/>
        <w:rPr>
          <w:rFonts w:ascii="仿宋_GB2312" w:hAnsi="Calibri" w:eastAsia="仿宋_GB2312"/>
          <w:sz w:val="30"/>
          <w:szCs w:val="30"/>
        </w:rPr>
      </w:pPr>
      <w:r>
        <w:rPr>
          <w:rFonts w:hint="eastAsia" w:ascii="仿宋_GB2312" w:hAnsi="Calibri" w:eastAsia="仿宋_GB2312"/>
          <w:sz w:val="30"/>
          <w:szCs w:val="30"/>
        </w:rPr>
        <w:t>1）集合匹配</w:t>
      </w:r>
    </w:p>
    <w:p w14:paraId="691C0505">
      <w:pPr>
        <w:widowControl/>
        <w:spacing w:line="600" w:lineRule="exact"/>
        <w:ind w:firstLine="564" w:firstLineChars="188"/>
        <w:jc w:val="left"/>
        <w:rPr>
          <w:rFonts w:ascii="仿宋_GB2312" w:hAnsi="宋体" w:eastAsia="仿宋_GB2312" w:cs="宋体"/>
          <w:kern w:val="0"/>
          <w:sz w:val="30"/>
          <w:szCs w:val="30"/>
        </w:rPr>
      </w:pPr>
      <w:r>
        <w:rPr>
          <w:rFonts w:hint="eastAsia" w:ascii="仿宋_GB2312" w:hAnsi="宋体" w:eastAsia="仿宋_GB2312" w:cs="宋体"/>
          <w:kern w:val="0"/>
          <w:sz w:val="30"/>
          <w:szCs w:val="30"/>
        </w:rPr>
        <w:t>集合匹配阶段，本所通过</w:t>
      </w:r>
      <w:r>
        <w:rPr>
          <w:rFonts w:hint="eastAsia" w:ascii="仿宋_GB2312" w:hAnsi="宋体" w:eastAsia="仿宋_GB2312"/>
          <w:sz w:val="30"/>
          <w:szCs w:val="30"/>
        </w:rPr>
        <w:t>发送截片行情向市场实时发布</w:t>
      </w:r>
      <w:r>
        <w:rPr>
          <w:rFonts w:hint="eastAsia" w:ascii="仿宋_GB2312" w:hAnsi="宋体" w:eastAsia="仿宋_GB2312" w:cs="宋体"/>
          <w:kern w:val="0"/>
          <w:sz w:val="30"/>
          <w:szCs w:val="30"/>
        </w:rPr>
        <w:t>通用回购的虚拟集合匹配结果，</w:t>
      </w:r>
      <w:r>
        <w:rPr>
          <w:rFonts w:hint="eastAsia" w:ascii="仿宋_GB2312" w:hAnsi="宋体" w:eastAsia="仿宋_GB2312"/>
          <w:sz w:val="30"/>
          <w:szCs w:val="30"/>
        </w:rPr>
        <w:t>前述截片行情信息</w:t>
      </w:r>
      <w:r>
        <w:rPr>
          <w:rFonts w:hint="eastAsia" w:ascii="仿宋_GB2312" w:hAnsi="宋体" w:eastAsia="仿宋_GB2312" w:cs="宋体"/>
          <w:kern w:val="0"/>
          <w:sz w:val="30"/>
          <w:szCs w:val="30"/>
        </w:rPr>
        <w:t>包</w:t>
      </w:r>
      <w:r>
        <w:rPr>
          <w:rFonts w:hint="eastAsia" w:ascii="仿宋_GB2312" w:hAnsi="宋体" w:eastAsia="仿宋_GB2312"/>
          <w:sz w:val="30"/>
          <w:szCs w:val="30"/>
        </w:rPr>
        <w:t>括昨日收盘利率、虚拟开盘利率、虚拟匹配金额、虚拟未匹配金额等内容。具体内容如下：</w:t>
      </w:r>
    </w:p>
    <w:tbl>
      <w:tblPr>
        <w:tblStyle w:val="43"/>
        <w:tblW w:w="7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2316"/>
        <w:gridCol w:w="5493"/>
      </w:tblGrid>
      <w:tr w14:paraId="3501B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2316" w:type="dxa"/>
            <w:shd w:val="clear" w:color="auto" w:fill="FFFFFF"/>
            <w:vAlign w:val="center"/>
          </w:tcPr>
          <w:p w14:paraId="6092244D">
            <w:pPr>
              <w:jc w:val="left"/>
              <w:rPr>
                <w:rFonts w:ascii="仿宋_GB2312" w:eastAsia="仿宋_GB2312"/>
                <w:b/>
                <w:sz w:val="24"/>
                <w:szCs w:val="24"/>
              </w:rPr>
            </w:pPr>
            <w:r>
              <w:rPr>
                <w:rFonts w:hint="eastAsia" w:ascii="仿宋_GB2312" w:eastAsia="仿宋_GB2312"/>
                <w:b/>
                <w:sz w:val="24"/>
                <w:szCs w:val="24"/>
              </w:rPr>
              <w:t>要素名称</w:t>
            </w:r>
          </w:p>
        </w:tc>
        <w:tc>
          <w:tcPr>
            <w:tcW w:w="5493" w:type="dxa"/>
            <w:shd w:val="clear" w:color="auto" w:fill="FFFFFF"/>
            <w:vAlign w:val="center"/>
          </w:tcPr>
          <w:p w14:paraId="06DAA50E">
            <w:pPr>
              <w:jc w:val="left"/>
              <w:rPr>
                <w:rFonts w:ascii="仿宋_GB2312" w:eastAsia="仿宋_GB2312"/>
                <w:b/>
                <w:sz w:val="24"/>
                <w:szCs w:val="24"/>
              </w:rPr>
            </w:pPr>
            <w:r>
              <w:rPr>
                <w:rFonts w:hint="eastAsia" w:ascii="仿宋_GB2312" w:eastAsia="仿宋_GB2312"/>
                <w:b/>
                <w:sz w:val="24"/>
                <w:szCs w:val="24"/>
              </w:rPr>
              <w:t>要素说明</w:t>
            </w:r>
          </w:p>
        </w:tc>
      </w:tr>
      <w:tr w14:paraId="1D9D9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709EBDBD">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回购代码</w:t>
            </w:r>
          </w:p>
        </w:tc>
        <w:tc>
          <w:tcPr>
            <w:tcW w:w="5493" w:type="dxa"/>
            <w:shd w:val="clear" w:color="auto" w:fill="FFFFFF"/>
            <w:vAlign w:val="center"/>
          </w:tcPr>
          <w:p w14:paraId="1B1BB1B2">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债券代码</w:t>
            </w:r>
          </w:p>
        </w:tc>
      </w:tr>
      <w:tr w14:paraId="17EB4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70C6B033">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回购简称</w:t>
            </w:r>
          </w:p>
        </w:tc>
        <w:tc>
          <w:tcPr>
            <w:tcW w:w="5493" w:type="dxa"/>
            <w:shd w:val="clear" w:color="auto" w:fill="FFFFFF"/>
            <w:vAlign w:val="center"/>
          </w:tcPr>
          <w:p w14:paraId="56A1718E">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债券简称</w:t>
            </w:r>
          </w:p>
        </w:tc>
      </w:tr>
      <w:tr w14:paraId="3687B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7DC32914">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交易日期</w:t>
            </w:r>
          </w:p>
        </w:tc>
        <w:tc>
          <w:tcPr>
            <w:tcW w:w="5493" w:type="dxa"/>
            <w:shd w:val="clear" w:color="auto" w:fill="FFFFFF"/>
          </w:tcPr>
          <w:p w14:paraId="510C6429">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年月日</w:t>
            </w:r>
          </w:p>
        </w:tc>
      </w:tr>
      <w:tr w14:paraId="0393B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191D2BE4">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交易时间</w:t>
            </w:r>
          </w:p>
        </w:tc>
        <w:tc>
          <w:tcPr>
            <w:tcW w:w="5493" w:type="dxa"/>
            <w:shd w:val="clear" w:color="auto" w:fill="FFFFFF"/>
          </w:tcPr>
          <w:p w14:paraId="3871EEE1">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 xml:space="preserve">时分秒   </w:t>
            </w:r>
          </w:p>
        </w:tc>
      </w:tr>
      <w:tr w14:paraId="77C2F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2FA9C9C8">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昨日收盘利率</w:t>
            </w:r>
          </w:p>
        </w:tc>
        <w:tc>
          <w:tcPr>
            <w:tcW w:w="5493" w:type="dxa"/>
            <w:shd w:val="clear" w:color="auto" w:fill="FFFFFF"/>
            <w:vAlign w:val="center"/>
          </w:tcPr>
          <w:p w14:paraId="247586B3">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4B7A5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14E4C03B">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虚拟开盘利率</w:t>
            </w:r>
          </w:p>
        </w:tc>
        <w:tc>
          <w:tcPr>
            <w:tcW w:w="5493" w:type="dxa"/>
            <w:shd w:val="clear" w:color="auto" w:fill="FFFFFF"/>
            <w:vAlign w:val="center"/>
          </w:tcPr>
          <w:p w14:paraId="02653804">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159E8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2F79ECED">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虚拟匹配量</w:t>
            </w:r>
          </w:p>
        </w:tc>
        <w:tc>
          <w:tcPr>
            <w:tcW w:w="5493" w:type="dxa"/>
            <w:shd w:val="clear" w:color="auto" w:fill="FFFFFF"/>
            <w:vAlign w:val="center"/>
          </w:tcPr>
          <w:p w14:paraId="2FE268FD">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单位：元（2位小数）</w:t>
            </w:r>
          </w:p>
        </w:tc>
      </w:tr>
      <w:tr w14:paraId="086A2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78E89697">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虚拟未匹配量</w:t>
            </w:r>
          </w:p>
        </w:tc>
        <w:tc>
          <w:tcPr>
            <w:tcW w:w="5493" w:type="dxa"/>
            <w:shd w:val="clear" w:color="auto" w:fill="FFFFFF"/>
            <w:vAlign w:val="center"/>
          </w:tcPr>
          <w:p w14:paraId="64D4D33B">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单位：元（2位小数）</w:t>
            </w:r>
          </w:p>
        </w:tc>
      </w:tr>
      <w:tr w14:paraId="03011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2BC205B8">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虚拟未匹配量申报方向</w:t>
            </w:r>
          </w:p>
        </w:tc>
        <w:tc>
          <w:tcPr>
            <w:tcW w:w="5493" w:type="dxa"/>
            <w:shd w:val="clear" w:color="auto" w:fill="FFFFFF"/>
            <w:vAlign w:val="center"/>
          </w:tcPr>
          <w:p w14:paraId="41234710">
            <w:pPr>
              <w:tabs>
                <w:tab w:val="left" w:pos="900"/>
                <w:tab w:val="left" w:pos="1320"/>
              </w:tabs>
              <w:spacing w:after="93" w:afterLines="30"/>
              <w:jc w:val="left"/>
              <w:rPr>
                <w:rFonts w:ascii="仿宋_GB2312" w:eastAsia="仿宋_GB2312"/>
                <w:b/>
                <w:bCs/>
                <w:iCs/>
                <w:kern w:val="0"/>
                <w:sz w:val="24"/>
                <w:szCs w:val="24"/>
              </w:rPr>
            </w:pPr>
          </w:p>
        </w:tc>
      </w:tr>
    </w:tbl>
    <w:p w14:paraId="39220ED8">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虚拟开盘利率是指</w:t>
      </w:r>
      <w:r>
        <w:rPr>
          <w:rFonts w:hint="eastAsia" w:ascii="Calibri" w:hAnsi="Calibri" w:eastAsia="仿宋_GB2312"/>
          <w:color w:val="000000"/>
          <w:sz w:val="30"/>
          <w:szCs w:val="30"/>
        </w:rPr>
        <w:t>截至揭示时所有有效申报按照集合匹配规则虚拟成交并予以即时揭示的利率。</w:t>
      </w:r>
    </w:p>
    <w:p w14:paraId="72CCBAA3">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虚拟匹配量是指</w:t>
      </w:r>
      <w:r>
        <w:rPr>
          <w:rFonts w:hint="eastAsia" w:ascii="Calibri" w:hAnsi="Times" w:eastAsia="仿宋_GB2312"/>
          <w:color w:val="000000"/>
          <w:sz w:val="30"/>
          <w:szCs w:val="30"/>
        </w:rPr>
        <w:t>截至揭示时按照</w:t>
      </w:r>
      <w:r>
        <w:rPr>
          <w:rFonts w:hint="eastAsia" w:ascii="Calibri" w:hAnsi="宋体" w:eastAsia="仿宋_GB2312" w:cs="宋体"/>
          <w:color w:val="000000"/>
          <w:kern w:val="0"/>
          <w:sz w:val="30"/>
          <w:szCs w:val="30"/>
        </w:rPr>
        <w:t>集合匹配参考价格</w:t>
      </w:r>
      <w:r>
        <w:rPr>
          <w:rFonts w:hint="eastAsia" w:ascii="Calibri" w:hAnsi="Calibri" w:eastAsia="仿宋_GB2312"/>
          <w:color w:val="000000"/>
          <w:sz w:val="30"/>
          <w:szCs w:val="30"/>
        </w:rPr>
        <w:t>虚拟成交并予以即时揭示的申报数量。</w:t>
      </w:r>
      <w:r>
        <w:rPr>
          <w:rFonts w:hint="eastAsia" w:ascii="仿宋_GB2312" w:hAnsi="宋体" w:eastAsia="仿宋_GB2312"/>
          <w:sz w:val="30"/>
          <w:szCs w:val="30"/>
        </w:rPr>
        <w:t xml:space="preserve">  </w:t>
      </w:r>
    </w:p>
    <w:p w14:paraId="619EA2ED">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虚拟未匹配量是指</w:t>
      </w:r>
      <w:r>
        <w:rPr>
          <w:rFonts w:hint="eastAsia" w:ascii="Calibri" w:hAnsi="Calibri" w:eastAsia="仿宋_GB2312"/>
          <w:color w:val="000000"/>
          <w:sz w:val="30"/>
          <w:szCs w:val="30"/>
        </w:rPr>
        <w:t>截至揭示时未能按照</w:t>
      </w:r>
      <w:r>
        <w:rPr>
          <w:rFonts w:hint="eastAsia" w:ascii="Calibri" w:hAnsi="宋体" w:eastAsia="仿宋_GB2312" w:cs="宋体"/>
          <w:color w:val="000000"/>
          <w:kern w:val="0"/>
          <w:sz w:val="30"/>
          <w:szCs w:val="30"/>
        </w:rPr>
        <w:t>集合匹配参考价格</w:t>
      </w:r>
      <w:r>
        <w:rPr>
          <w:rFonts w:hint="eastAsia" w:ascii="Calibri" w:hAnsi="Calibri" w:eastAsia="仿宋_GB2312"/>
          <w:color w:val="000000"/>
          <w:sz w:val="30"/>
          <w:szCs w:val="30"/>
        </w:rPr>
        <w:t>虚拟成交并予以即时揭示的买方或卖方剩余申报数量。</w:t>
      </w:r>
    </w:p>
    <w:p w14:paraId="55D2D7ED">
      <w:pPr>
        <w:spacing w:line="600" w:lineRule="exact"/>
        <w:ind w:firstLine="600"/>
        <w:jc w:val="left"/>
        <w:rPr>
          <w:rFonts w:ascii="仿宋_GB2312" w:hAnsi="Calibri" w:eastAsia="仿宋_GB2312"/>
          <w:sz w:val="30"/>
          <w:szCs w:val="30"/>
        </w:rPr>
      </w:pPr>
      <w:r>
        <w:rPr>
          <w:rFonts w:hint="eastAsia" w:ascii="仿宋_GB2312" w:hAnsi="Calibri" w:eastAsia="仿宋_GB2312"/>
          <w:sz w:val="30"/>
          <w:szCs w:val="30"/>
        </w:rPr>
        <w:t>2）连续匹配</w:t>
      </w:r>
    </w:p>
    <w:p w14:paraId="5EF8187B">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连续匹配阶段，</w:t>
      </w:r>
      <w:r>
        <w:rPr>
          <w:rFonts w:hint="eastAsia" w:ascii="仿宋_GB2312" w:hAnsi="宋体" w:eastAsia="仿宋_GB2312" w:cs="宋体"/>
          <w:kern w:val="0"/>
          <w:sz w:val="30"/>
          <w:szCs w:val="30"/>
        </w:rPr>
        <w:t>本所通过</w:t>
      </w:r>
      <w:r>
        <w:rPr>
          <w:rFonts w:hint="eastAsia" w:ascii="仿宋_GB2312" w:hAnsi="宋体" w:eastAsia="仿宋_GB2312"/>
          <w:sz w:val="30"/>
          <w:szCs w:val="30"/>
        </w:rPr>
        <w:t>发送截片行情向市场实时发布</w:t>
      </w:r>
      <w:r>
        <w:rPr>
          <w:rFonts w:hint="eastAsia" w:ascii="仿宋_GB2312" w:hAnsi="宋体" w:eastAsia="仿宋_GB2312" w:cs="宋体"/>
          <w:kern w:val="0"/>
          <w:sz w:val="30"/>
          <w:szCs w:val="30"/>
        </w:rPr>
        <w:t>通用回购的五档行情信息，</w:t>
      </w:r>
      <w:r>
        <w:rPr>
          <w:rFonts w:hint="eastAsia" w:ascii="仿宋_GB2312" w:hAnsi="宋体" w:eastAsia="仿宋_GB2312"/>
          <w:sz w:val="30"/>
          <w:szCs w:val="30"/>
        </w:rPr>
        <w:t>包括连续匹配最优五档买卖申报时间、利率及数量等信息。具体如下：</w:t>
      </w:r>
    </w:p>
    <w:tbl>
      <w:tblPr>
        <w:tblStyle w:val="43"/>
        <w:tblW w:w="7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2316"/>
        <w:gridCol w:w="5493"/>
      </w:tblGrid>
      <w:tr w14:paraId="70E71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2316" w:type="dxa"/>
            <w:shd w:val="clear" w:color="auto" w:fill="FFFFFF"/>
            <w:vAlign w:val="center"/>
          </w:tcPr>
          <w:p w14:paraId="5E5CF4C1">
            <w:pPr>
              <w:rPr>
                <w:rFonts w:ascii="仿宋_GB2312" w:eastAsia="仿宋_GB2312"/>
                <w:b/>
                <w:sz w:val="24"/>
                <w:szCs w:val="24"/>
              </w:rPr>
            </w:pPr>
            <w:r>
              <w:rPr>
                <w:rFonts w:hint="eastAsia" w:ascii="仿宋_GB2312" w:eastAsia="仿宋_GB2312"/>
                <w:b/>
                <w:sz w:val="24"/>
                <w:szCs w:val="24"/>
              </w:rPr>
              <w:t>要素名称</w:t>
            </w:r>
          </w:p>
        </w:tc>
        <w:tc>
          <w:tcPr>
            <w:tcW w:w="5493" w:type="dxa"/>
            <w:shd w:val="clear" w:color="auto" w:fill="FFFFFF"/>
            <w:vAlign w:val="center"/>
          </w:tcPr>
          <w:p w14:paraId="6C5FD32C">
            <w:pPr>
              <w:rPr>
                <w:rFonts w:ascii="仿宋_GB2312" w:eastAsia="仿宋_GB2312"/>
                <w:b/>
                <w:sz w:val="24"/>
                <w:szCs w:val="24"/>
              </w:rPr>
            </w:pPr>
            <w:r>
              <w:rPr>
                <w:rFonts w:hint="eastAsia" w:ascii="仿宋_GB2312" w:eastAsia="仿宋_GB2312"/>
                <w:b/>
                <w:sz w:val="24"/>
                <w:szCs w:val="24"/>
              </w:rPr>
              <w:t>要素说明</w:t>
            </w:r>
          </w:p>
        </w:tc>
      </w:tr>
      <w:tr w14:paraId="364B3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16690D1C">
            <w:pPr>
              <w:spacing w:after="72"/>
              <w:rPr>
                <w:rFonts w:ascii="仿宋_GB2312" w:eastAsia="仿宋_GB2312"/>
                <w:b/>
                <w:sz w:val="24"/>
                <w:szCs w:val="24"/>
              </w:rPr>
            </w:pPr>
            <w:r>
              <w:rPr>
                <w:rFonts w:hint="eastAsia" w:ascii="仿宋_GB2312" w:eastAsia="仿宋_GB2312"/>
                <w:b/>
                <w:sz w:val="24"/>
                <w:szCs w:val="24"/>
              </w:rPr>
              <w:t>回购代码</w:t>
            </w:r>
          </w:p>
        </w:tc>
        <w:tc>
          <w:tcPr>
            <w:tcW w:w="5493" w:type="dxa"/>
            <w:shd w:val="clear" w:color="auto" w:fill="FFFFFF"/>
            <w:vAlign w:val="center"/>
          </w:tcPr>
          <w:p w14:paraId="256FB48B">
            <w:pPr>
              <w:spacing w:after="72"/>
              <w:rPr>
                <w:rFonts w:ascii="仿宋_GB2312" w:eastAsia="仿宋_GB2312"/>
                <w:sz w:val="24"/>
                <w:szCs w:val="24"/>
              </w:rPr>
            </w:pPr>
            <w:r>
              <w:rPr>
                <w:rFonts w:hint="eastAsia" w:ascii="仿宋_GB2312" w:eastAsia="仿宋_GB2312"/>
                <w:sz w:val="24"/>
                <w:szCs w:val="24"/>
              </w:rPr>
              <w:t>债券代码</w:t>
            </w:r>
          </w:p>
        </w:tc>
      </w:tr>
      <w:tr w14:paraId="3B13E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4F9627C9">
            <w:pPr>
              <w:spacing w:after="72"/>
              <w:rPr>
                <w:rFonts w:ascii="仿宋_GB2312" w:eastAsia="仿宋_GB2312"/>
                <w:b/>
                <w:sz w:val="24"/>
                <w:szCs w:val="24"/>
              </w:rPr>
            </w:pPr>
            <w:r>
              <w:rPr>
                <w:rFonts w:hint="eastAsia" w:ascii="仿宋_GB2312" w:eastAsia="仿宋_GB2312"/>
                <w:b/>
                <w:sz w:val="24"/>
                <w:szCs w:val="24"/>
              </w:rPr>
              <w:t>回购简称</w:t>
            </w:r>
          </w:p>
        </w:tc>
        <w:tc>
          <w:tcPr>
            <w:tcW w:w="5493" w:type="dxa"/>
            <w:shd w:val="clear" w:color="auto" w:fill="FFFFFF"/>
            <w:vAlign w:val="center"/>
          </w:tcPr>
          <w:p w14:paraId="60F21C9D">
            <w:pPr>
              <w:spacing w:after="72"/>
              <w:rPr>
                <w:rFonts w:ascii="仿宋_GB2312" w:eastAsia="仿宋_GB2312"/>
                <w:sz w:val="24"/>
                <w:szCs w:val="24"/>
              </w:rPr>
            </w:pPr>
            <w:r>
              <w:rPr>
                <w:rFonts w:hint="eastAsia" w:ascii="仿宋_GB2312" w:eastAsia="仿宋_GB2312"/>
                <w:sz w:val="24"/>
                <w:szCs w:val="24"/>
              </w:rPr>
              <w:t>债券简称</w:t>
            </w:r>
          </w:p>
        </w:tc>
      </w:tr>
      <w:tr w14:paraId="226CB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7A9016D6">
            <w:pPr>
              <w:spacing w:after="72"/>
              <w:rPr>
                <w:rFonts w:ascii="仿宋_GB2312" w:eastAsia="仿宋_GB2312"/>
                <w:b/>
                <w:sz w:val="24"/>
                <w:szCs w:val="24"/>
              </w:rPr>
            </w:pPr>
            <w:r>
              <w:rPr>
                <w:rFonts w:hint="eastAsia" w:ascii="仿宋_GB2312" w:eastAsia="仿宋_GB2312"/>
                <w:b/>
                <w:sz w:val="24"/>
                <w:szCs w:val="24"/>
              </w:rPr>
              <w:t>交易日期</w:t>
            </w:r>
          </w:p>
        </w:tc>
        <w:tc>
          <w:tcPr>
            <w:tcW w:w="5493" w:type="dxa"/>
            <w:shd w:val="clear" w:color="auto" w:fill="FFFFFF"/>
          </w:tcPr>
          <w:p w14:paraId="2FE27D17">
            <w:pPr>
              <w:spacing w:after="72"/>
              <w:rPr>
                <w:rFonts w:ascii="仿宋_GB2312" w:eastAsia="仿宋_GB2312"/>
                <w:sz w:val="24"/>
                <w:szCs w:val="24"/>
              </w:rPr>
            </w:pPr>
            <w:r>
              <w:rPr>
                <w:rFonts w:hint="eastAsia" w:ascii="仿宋_GB2312" w:eastAsia="仿宋_GB2312"/>
                <w:sz w:val="24"/>
                <w:szCs w:val="24"/>
              </w:rPr>
              <w:t>年月日</w:t>
            </w:r>
          </w:p>
        </w:tc>
      </w:tr>
      <w:tr w14:paraId="3AB36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79BC0CD0">
            <w:pPr>
              <w:spacing w:after="72"/>
              <w:rPr>
                <w:rFonts w:ascii="仿宋_GB2312" w:eastAsia="仿宋_GB2312"/>
                <w:b/>
                <w:sz w:val="24"/>
                <w:szCs w:val="24"/>
              </w:rPr>
            </w:pPr>
            <w:r>
              <w:rPr>
                <w:rFonts w:hint="eastAsia" w:ascii="仿宋_GB2312" w:eastAsia="仿宋_GB2312"/>
                <w:b/>
                <w:sz w:val="24"/>
                <w:szCs w:val="24"/>
              </w:rPr>
              <w:t>交易时间</w:t>
            </w:r>
          </w:p>
        </w:tc>
        <w:tc>
          <w:tcPr>
            <w:tcW w:w="5493" w:type="dxa"/>
            <w:shd w:val="clear" w:color="auto" w:fill="FFFFFF"/>
          </w:tcPr>
          <w:p w14:paraId="6ABA6F20">
            <w:pPr>
              <w:spacing w:after="72"/>
              <w:rPr>
                <w:rFonts w:ascii="仿宋_GB2312" w:eastAsia="仿宋_GB2312"/>
                <w:sz w:val="24"/>
                <w:szCs w:val="24"/>
              </w:rPr>
            </w:pPr>
            <w:r>
              <w:rPr>
                <w:rFonts w:hint="eastAsia" w:ascii="仿宋_GB2312" w:eastAsia="仿宋_GB2312"/>
                <w:sz w:val="24"/>
                <w:szCs w:val="24"/>
              </w:rPr>
              <w:t xml:space="preserve">时分秒   </w:t>
            </w:r>
          </w:p>
        </w:tc>
      </w:tr>
      <w:tr w14:paraId="74736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3D35F0D7">
            <w:pPr>
              <w:spacing w:after="72"/>
              <w:rPr>
                <w:rFonts w:ascii="仿宋_GB2312" w:eastAsia="仿宋_GB2312"/>
                <w:b/>
                <w:sz w:val="24"/>
                <w:szCs w:val="24"/>
              </w:rPr>
            </w:pPr>
            <w:r>
              <w:rPr>
                <w:rFonts w:hint="eastAsia" w:ascii="仿宋_GB2312" w:eastAsia="仿宋_GB2312"/>
                <w:b/>
                <w:sz w:val="24"/>
                <w:szCs w:val="24"/>
              </w:rPr>
              <w:t>申买利率</w:t>
            </w:r>
          </w:p>
          <w:p w14:paraId="5E1B4C75">
            <w:pPr>
              <w:spacing w:after="72"/>
              <w:rPr>
                <w:rFonts w:ascii="仿宋_GB2312" w:eastAsia="仿宋_GB2312"/>
                <w:b/>
                <w:sz w:val="24"/>
                <w:szCs w:val="24"/>
              </w:rPr>
            </w:pPr>
            <w:r>
              <w:rPr>
                <w:rFonts w:hint="eastAsia" w:ascii="仿宋_GB2312" w:eastAsia="仿宋_GB2312"/>
                <w:b/>
                <w:sz w:val="24"/>
                <w:szCs w:val="24"/>
              </w:rPr>
              <w:t>一/二/三/四/五</w:t>
            </w:r>
          </w:p>
        </w:tc>
        <w:tc>
          <w:tcPr>
            <w:tcW w:w="5493" w:type="dxa"/>
            <w:shd w:val="clear" w:color="auto" w:fill="FFFFFF"/>
            <w:vAlign w:val="center"/>
          </w:tcPr>
          <w:p w14:paraId="43A34593">
            <w:pPr>
              <w:spacing w:after="72"/>
              <w:rPr>
                <w:rFonts w:ascii="仿宋_GB2312" w:eastAsia="仿宋_GB2312"/>
                <w:sz w:val="24"/>
                <w:szCs w:val="24"/>
              </w:rPr>
            </w:pPr>
            <w:r>
              <w:rPr>
                <w:rFonts w:hint="eastAsia" w:ascii="仿宋_GB2312" w:eastAsia="仿宋_GB2312"/>
                <w:sz w:val="24"/>
                <w:szCs w:val="24"/>
              </w:rPr>
              <w:t>单位：元（</w:t>
            </w:r>
            <w:r>
              <w:rPr>
                <w:rFonts w:ascii="仿宋_GB2312" w:eastAsia="仿宋_GB2312"/>
                <w:sz w:val="24"/>
                <w:szCs w:val="24"/>
              </w:rPr>
              <w:t>3</w:t>
            </w:r>
            <w:r>
              <w:rPr>
                <w:rFonts w:hint="eastAsia" w:ascii="仿宋_GB2312" w:eastAsia="仿宋_GB2312"/>
                <w:sz w:val="24"/>
                <w:szCs w:val="24"/>
              </w:rPr>
              <w:t>位小数）</w:t>
            </w:r>
          </w:p>
        </w:tc>
      </w:tr>
      <w:tr w14:paraId="4CA51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7DA26066">
            <w:pPr>
              <w:spacing w:after="72"/>
              <w:rPr>
                <w:rFonts w:ascii="仿宋_GB2312" w:eastAsia="仿宋_GB2312"/>
                <w:b/>
                <w:sz w:val="24"/>
                <w:szCs w:val="24"/>
              </w:rPr>
            </w:pPr>
            <w:r>
              <w:rPr>
                <w:rFonts w:hint="eastAsia" w:ascii="仿宋_GB2312" w:eastAsia="仿宋_GB2312"/>
                <w:b/>
                <w:sz w:val="24"/>
                <w:szCs w:val="24"/>
              </w:rPr>
              <w:t>申买数量</w:t>
            </w:r>
          </w:p>
          <w:p w14:paraId="287D857F">
            <w:pPr>
              <w:spacing w:after="72"/>
              <w:rPr>
                <w:rFonts w:ascii="仿宋_GB2312" w:eastAsia="仿宋_GB2312"/>
                <w:b/>
                <w:sz w:val="24"/>
                <w:szCs w:val="24"/>
              </w:rPr>
            </w:pPr>
            <w:r>
              <w:rPr>
                <w:rFonts w:hint="eastAsia" w:ascii="仿宋_GB2312" w:eastAsia="仿宋_GB2312"/>
                <w:b/>
                <w:sz w:val="24"/>
                <w:szCs w:val="24"/>
              </w:rPr>
              <w:t>一/二/三/四/五</w:t>
            </w:r>
          </w:p>
        </w:tc>
        <w:tc>
          <w:tcPr>
            <w:tcW w:w="5493" w:type="dxa"/>
            <w:shd w:val="clear" w:color="auto" w:fill="FFFFFF"/>
            <w:vAlign w:val="center"/>
          </w:tcPr>
          <w:p w14:paraId="5ABAC710">
            <w:pPr>
              <w:spacing w:after="72"/>
              <w:rPr>
                <w:rFonts w:ascii="仿宋_GB2312" w:eastAsia="仿宋_GB2312"/>
                <w:sz w:val="24"/>
                <w:szCs w:val="24"/>
              </w:rPr>
            </w:pPr>
            <w:r>
              <w:rPr>
                <w:rFonts w:hint="eastAsia" w:ascii="仿宋_GB2312" w:eastAsia="仿宋_GB2312"/>
                <w:sz w:val="24"/>
                <w:szCs w:val="24"/>
              </w:rPr>
              <w:t>单位：千元面额（整数）</w:t>
            </w:r>
          </w:p>
        </w:tc>
      </w:tr>
      <w:tr w14:paraId="5A55A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5B4D901D">
            <w:pPr>
              <w:spacing w:after="72"/>
              <w:rPr>
                <w:rFonts w:ascii="仿宋_GB2312" w:eastAsia="仿宋_GB2312"/>
                <w:b/>
                <w:sz w:val="24"/>
                <w:szCs w:val="24"/>
              </w:rPr>
            </w:pPr>
            <w:r>
              <w:rPr>
                <w:rFonts w:hint="eastAsia" w:ascii="仿宋_GB2312" w:eastAsia="仿宋_GB2312"/>
                <w:b/>
                <w:sz w:val="24"/>
                <w:szCs w:val="24"/>
              </w:rPr>
              <w:t>申卖利率</w:t>
            </w:r>
          </w:p>
          <w:p w14:paraId="153D31AE">
            <w:pPr>
              <w:spacing w:after="72"/>
              <w:rPr>
                <w:rFonts w:ascii="仿宋_GB2312" w:eastAsia="仿宋_GB2312"/>
                <w:b/>
                <w:sz w:val="24"/>
                <w:szCs w:val="24"/>
              </w:rPr>
            </w:pPr>
            <w:r>
              <w:rPr>
                <w:rFonts w:hint="eastAsia" w:ascii="仿宋_GB2312" w:eastAsia="仿宋_GB2312"/>
                <w:b/>
                <w:sz w:val="24"/>
                <w:szCs w:val="24"/>
              </w:rPr>
              <w:t>一/二/三/四/五</w:t>
            </w:r>
          </w:p>
        </w:tc>
        <w:tc>
          <w:tcPr>
            <w:tcW w:w="5493" w:type="dxa"/>
            <w:shd w:val="clear" w:color="auto" w:fill="FFFFFF"/>
            <w:vAlign w:val="center"/>
          </w:tcPr>
          <w:p w14:paraId="251B5A19">
            <w:pPr>
              <w:spacing w:after="72"/>
              <w:rPr>
                <w:rFonts w:ascii="仿宋_GB2312" w:eastAsia="仿宋_GB2312"/>
                <w:sz w:val="24"/>
                <w:szCs w:val="24"/>
              </w:rPr>
            </w:pPr>
            <w:r>
              <w:rPr>
                <w:rFonts w:hint="eastAsia" w:ascii="仿宋_GB2312" w:eastAsia="仿宋_GB2312"/>
                <w:sz w:val="24"/>
                <w:szCs w:val="24"/>
              </w:rPr>
              <w:t>单位：元（</w:t>
            </w:r>
            <w:r>
              <w:rPr>
                <w:rFonts w:ascii="仿宋_GB2312" w:eastAsia="仿宋_GB2312"/>
                <w:sz w:val="24"/>
                <w:szCs w:val="24"/>
              </w:rPr>
              <w:t>3</w:t>
            </w:r>
            <w:r>
              <w:rPr>
                <w:rFonts w:hint="eastAsia" w:ascii="仿宋_GB2312" w:eastAsia="仿宋_GB2312"/>
                <w:sz w:val="24"/>
                <w:szCs w:val="24"/>
              </w:rPr>
              <w:t>位小数）</w:t>
            </w:r>
          </w:p>
        </w:tc>
      </w:tr>
      <w:tr w14:paraId="7F58E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18021E50">
            <w:pPr>
              <w:spacing w:after="72"/>
              <w:rPr>
                <w:rFonts w:ascii="仿宋_GB2312" w:eastAsia="仿宋_GB2312"/>
                <w:b/>
                <w:sz w:val="24"/>
                <w:szCs w:val="24"/>
              </w:rPr>
            </w:pPr>
            <w:r>
              <w:rPr>
                <w:rFonts w:hint="eastAsia" w:ascii="仿宋_GB2312" w:eastAsia="仿宋_GB2312"/>
                <w:b/>
                <w:sz w:val="24"/>
                <w:szCs w:val="24"/>
              </w:rPr>
              <w:t>申卖数量</w:t>
            </w:r>
          </w:p>
          <w:p w14:paraId="33457128">
            <w:pPr>
              <w:spacing w:after="72"/>
              <w:rPr>
                <w:rFonts w:ascii="仿宋_GB2312" w:eastAsia="仿宋_GB2312"/>
                <w:b/>
                <w:sz w:val="24"/>
                <w:szCs w:val="24"/>
              </w:rPr>
            </w:pPr>
            <w:r>
              <w:rPr>
                <w:rFonts w:hint="eastAsia" w:ascii="仿宋_GB2312" w:eastAsia="仿宋_GB2312"/>
                <w:b/>
                <w:sz w:val="24"/>
                <w:szCs w:val="24"/>
              </w:rPr>
              <w:t>一/二/三/四/五</w:t>
            </w:r>
          </w:p>
        </w:tc>
        <w:tc>
          <w:tcPr>
            <w:tcW w:w="5493" w:type="dxa"/>
            <w:shd w:val="clear" w:color="auto" w:fill="FFFFFF"/>
            <w:vAlign w:val="center"/>
          </w:tcPr>
          <w:p w14:paraId="489F6392">
            <w:pPr>
              <w:spacing w:after="72"/>
              <w:rPr>
                <w:rFonts w:ascii="仿宋_GB2312" w:eastAsia="仿宋_GB2312"/>
                <w:sz w:val="24"/>
                <w:szCs w:val="24"/>
              </w:rPr>
            </w:pPr>
            <w:r>
              <w:rPr>
                <w:rFonts w:hint="eastAsia" w:ascii="仿宋_GB2312" w:eastAsia="仿宋_GB2312"/>
                <w:sz w:val="24"/>
                <w:szCs w:val="24"/>
              </w:rPr>
              <w:t>单位：千元面额（整数）</w:t>
            </w:r>
          </w:p>
        </w:tc>
      </w:tr>
    </w:tbl>
    <w:p w14:paraId="2AABB71F">
      <w:pPr>
        <w:spacing w:line="600" w:lineRule="exact"/>
        <w:ind w:firstLine="602" w:firstLineChars="200"/>
        <w:outlineLvl w:val="3"/>
        <w:rPr>
          <w:rFonts w:ascii="仿宋_GB2312" w:eastAsia="仿宋_GB2312"/>
          <w:b/>
          <w:sz w:val="30"/>
          <w:szCs w:val="30"/>
        </w:rPr>
      </w:pPr>
      <w:r>
        <w:rPr>
          <w:rFonts w:hint="eastAsia" w:ascii="仿宋_GB2312" w:eastAsia="仿宋_GB2312"/>
          <w:b/>
          <w:sz w:val="30"/>
          <w:szCs w:val="30"/>
        </w:rPr>
        <w:t>（3）国债预发行</w:t>
      </w:r>
    </w:p>
    <w:p w14:paraId="67F1997B">
      <w:pPr>
        <w:spacing w:line="600" w:lineRule="exact"/>
        <w:ind w:firstLine="564" w:firstLineChars="188"/>
        <w:rPr>
          <w:rFonts w:ascii="仿宋_GB2312" w:hAnsi="宋体" w:eastAsia="仿宋_GB2312"/>
          <w:sz w:val="30"/>
          <w:szCs w:val="30"/>
        </w:rPr>
      </w:pPr>
      <w:r>
        <w:rPr>
          <w:rFonts w:hint="eastAsia" w:ascii="仿宋_GB2312" w:hAnsi="宋体" w:eastAsia="仿宋_GB2312"/>
          <w:sz w:val="30"/>
          <w:szCs w:val="30"/>
        </w:rPr>
        <w:t>本所发布债券投资者通过匹配成交交易方式提交的国债预发行实时截片行情，包括前收盘价格、虚拟开盘价、虚拟匹配量、虚拟未匹配量、虚拟未匹配量申报方向、连续匹配最优五档买卖价格及数量等申报信息。</w:t>
      </w:r>
    </w:p>
    <w:p w14:paraId="35EB9942">
      <w:pPr>
        <w:widowControl/>
        <w:spacing w:line="600" w:lineRule="exact"/>
        <w:ind w:firstLine="564" w:firstLineChars="188"/>
        <w:jc w:val="left"/>
        <w:rPr>
          <w:rFonts w:ascii="仿宋_GB2312" w:hAnsi="宋体" w:eastAsia="仿宋_GB2312" w:cs="宋体"/>
          <w:b/>
          <w:kern w:val="0"/>
          <w:sz w:val="30"/>
          <w:szCs w:val="30"/>
        </w:rPr>
      </w:pPr>
      <w:r>
        <w:rPr>
          <w:rFonts w:hint="eastAsia" w:ascii="仿宋_GB2312" w:hAnsi="宋体" w:eastAsia="仿宋_GB2312" w:cs="宋体"/>
          <w:kern w:val="0"/>
          <w:sz w:val="30"/>
          <w:szCs w:val="30"/>
        </w:rPr>
        <w:t>总体上，国债预发行的实时截片行情和债券现券类似，只是债券代码、简称替换为债券预发行代码及简称。</w:t>
      </w:r>
    </w:p>
    <w:p w14:paraId="059883D4">
      <w:pPr>
        <w:numPr>
          <w:ilvl w:val="2"/>
          <w:numId w:val="4"/>
        </w:numPr>
        <w:spacing w:line="600" w:lineRule="exact"/>
        <w:ind w:left="0" w:firstLine="0"/>
        <w:outlineLvl w:val="2"/>
        <w:rPr>
          <w:rFonts w:ascii="仿宋_GB2312" w:eastAsia="仿宋_GB2312"/>
          <w:b/>
          <w:sz w:val="30"/>
          <w:szCs w:val="30"/>
        </w:rPr>
      </w:pPr>
      <w:bookmarkStart w:id="2593" w:name="_Toc47467042"/>
      <w:bookmarkEnd w:id="2593"/>
      <w:bookmarkStart w:id="2594" w:name="_Toc47374410"/>
      <w:bookmarkEnd w:id="2594"/>
      <w:bookmarkStart w:id="2595" w:name="_Toc47374373"/>
      <w:bookmarkEnd w:id="2595"/>
      <w:bookmarkStart w:id="2596" w:name="_Toc47374932"/>
      <w:bookmarkEnd w:id="2596"/>
      <w:bookmarkStart w:id="2597" w:name="_Toc47428413"/>
      <w:bookmarkEnd w:id="2597"/>
      <w:bookmarkStart w:id="2598" w:name="_Toc47375476"/>
      <w:bookmarkEnd w:id="2598"/>
      <w:bookmarkStart w:id="2599" w:name="_Toc47458432"/>
      <w:bookmarkEnd w:id="2599"/>
      <w:bookmarkStart w:id="2600" w:name="_Toc47465929"/>
      <w:bookmarkEnd w:id="2600"/>
      <w:bookmarkStart w:id="2601" w:name="_Toc47427146"/>
      <w:bookmarkEnd w:id="2601"/>
      <w:bookmarkStart w:id="2602" w:name="_Toc47467043"/>
      <w:r>
        <w:rPr>
          <w:rFonts w:hint="eastAsia" w:ascii="仿宋_GB2312" w:eastAsia="仿宋_GB2312"/>
          <w:b/>
          <w:sz w:val="30"/>
          <w:szCs w:val="30"/>
        </w:rPr>
        <w:t>逐笔申报行情</w:t>
      </w:r>
      <w:bookmarkEnd w:id="2602"/>
    </w:p>
    <w:p w14:paraId="43B91149">
      <w:pPr>
        <w:widowControl/>
        <w:spacing w:line="600" w:lineRule="exact"/>
        <w:ind w:firstLine="564" w:firstLineChars="188"/>
        <w:jc w:val="left"/>
        <w:rPr>
          <w:rFonts w:ascii="仿宋_GB2312" w:hAnsi="宋体" w:eastAsia="仿宋_GB2312" w:cs="宋体"/>
          <w:kern w:val="0"/>
          <w:sz w:val="30"/>
          <w:szCs w:val="30"/>
        </w:rPr>
      </w:pPr>
      <w:r>
        <w:rPr>
          <w:rFonts w:hint="eastAsia" w:ascii="仿宋_GB2312" w:hAnsi="宋体" w:eastAsia="仿宋_GB2312" w:cs="宋体"/>
          <w:kern w:val="0"/>
          <w:sz w:val="30"/>
          <w:szCs w:val="30"/>
        </w:rPr>
        <w:t>逐笔申报行情适用于债券现券交易、协议回购交易与三方回购交易等。</w:t>
      </w:r>
    </w:p>
    <w:p w14:paraId="3F28088D">
      <w:pPr>
        <w:spacing w:line="600" w:lineRule="exact"/>
        <w:ind w:firstLine="564" w:firstLineChars="188"/>
        <w:rPr>
          <w:rFonts w:ascii="仿宋_GB2312" w:eastAsia="仿宋_GB2312"/>
          <w:color w:val="000000"/>
          <w:sz w:val="30"/>
          <w:szCs w:val="30"/>
        </w:rPr>
      </w:pPr>
      <w:r>
        <w:rPr>
          <w:rFonts w:hint="eastAsia" w:ascii="仿宋_GB2312" w:hAnsi="宋体" w:eastAsia="仿宋_GB2312"/>
          <w:sz w:val="30"/>
          <w:szCs w:val="30"/>
        </w:rPr>
        <w:t>本所在每个交易日的交易时间内，向全市场公开发布逐笔申报行情</w:t>
      </w:r>
      <w:r>
        <w:rPr>
          <w:rFonts w:hint="eastAsia" w:ascii="仿宋_GB2312" w:eastAsia="仿宋_GB2312"/>
          <w:color w:val="000000"/>
          <w:sz w:val="30"/>
          <w:szCs w:val="30"/>
        </w:rPr>
        <w:t>。对于已经发送的申报数据，若该申报已被成交，申报数据不做更新；若该申报被撤销，则新发撤销信息，依据撤销信息更新原申报数据。</w:t>
      </w:r>
    </w:p>
    <w:p w14:paraId="4E5E91C2">
      <w:pPr>
        <w:spacing w:line="600" w:lineRule="exact"/>
        <w:ind w:firstLine="602" w:firstLineChars="200"/>
        <w:outlineLvl w:val="3"/>
        <w:rPr>
          <w:rFonts w:ascii="仿宋_GB2312" w:eastAsia="仿宋_GB2312"/>
          <w:b/>
          <w:sz w:val="30"/>
          <w:szCs w:val="30"/>
        </w:rPr>
      </w:pPr>
      <w:r>
        <w:rPr>
          <w:rFonts w:hint="eastAsia" w:ascii="仿宋_GB2312" w:eastAsia="仿宋_GB2312"/>
          <w:b/>
          <w:sz w:val="30"/>
          <w:szCs w:val="30"/>
        </w:rPr>
        <w:t>（1）债券现券</w:t>
      </w:r>
    </w:p>
    <w:p w14:paraId="55EEB612">
      <w:pPr>
        <w:spacing w:line="600" w:lineRule="exact"/>
        <w:ind w:firstLine="564" w:firstLineChars="188"/>
        <w:rPr>
          <w:rFonts w:ascii="仿宋_GB2312" w:eastAsia="仿宋_GB2312"/>
          <w:color w:val="000000"/>
          <w:sz w:val="30"/>
          <w:szCs w:val="30"/>
        </w:rPr>
      </w:pPr>
      <w:r>
        <w:rPr>
          <w:rFonts w:hint="eastAsia" w:ascii="仿宋_GB2312" w:eastAsia="仿宋_GB2312"/>
          <w:color w:val="000000"/>
          <w:sz w:val="30"/>
          <w:szCs w:val="30"/>
        </w:rPr>
        <w:t>对于债券现券交易，本所逐笔发布债券投资者向全市场发送的点击成交、意向申报、竞买成交申报信息。其中，竞买成交申报信息仅适用于竞买成交的竞买发起申报以及单一主体中标方式下的应价申报，</w:t>
      </w:r>
      <w:r>
        <w:rPr>
          <w:rFonts w:hint="eastAsia" w:ascii="仿宋_GB2312" w:eastAsia="仿宋_GB2312"/>
          <w:b/>
          <w:bCs/>
          <w:color w:val="000000"/>
          <w:sz w:val="30"/>
          <w:szCs w:val="30"/>
        </w:rPr>
        <w:t>《债券交易规则》第一百一十六条关于逐笔发布匹配成交债券现券大额买卖申报行情的规定暂缓实施</w:t>
      </w:r>
      <w:r>
        <w:rPr>
          <w:rFonts w:hint="eastAsia" w:ascii="仿宋_GB2312" w:eastAsia="仿宋_GB2312"/>
          <w:color w:val="000000"/>
          <w:sz w:val="30"/>
          <w:szCs w:val="30"/>
        </w:rPr>
        <w:t>。</w:t>
      </w:r>
    </w:p>
    <w:p w14:paraId="4C246280">
      <w:pPr>
        <w:spacing w:line="600" w:lineRule="exact"/>
        <w:ind w:firstLine="600" w:firstLineChars="200"/>
        <w:rPr>
          <w:rFonts w:ascii="仿宋_GB2312" w:hAnsi="黑体" w:eastAsia="仿宋_GB2312"/>
          <w:bCs/>
          <w:sz w:val="30"/>
          <w:szCs w:val="30"/>
        </w:rPr>
      </w:pPr>
      <w:r>
        <w:rPr>
          <w:rFonts w:hint="eastAsia" w:ascii="仿宋_GB2312" w:hAnsi="黑体" w:eastAsia="仿宋_GB2312"/>
          <w:bCs/>
          <w:sz w:val="30"/>
          <w:szCs w:val="30"/>
        </w:rPr>
        <w:t>1）点击成交、意向申报和询价成交（面向全市场）</w:t>
      </w:r>
    </w:p>
    <w:p w14:paraId="14536849">
      <w:pPr>
        <w:spacing w:line="600" w:lineRule="exact"/>
        <w:ind w:firstLine="564" w:firstLineChars="188"/>
        <w:rPr>
          <w:rFonts w:ascii="仿宋_GB2312" w:hAnsi="宋体" w:eastAsia="仿宋_GB2312"/>
          <w:sz w:val="30"/>
          <w:szCs w:val="30"/>
        </w:rPr>
      </w:pPr>
      <w:r>
        <w:rPr>
          <w:rFonts w:hint="eastAsia" w:ascii="仿宋_GB2312" w:hAnsi="宋体" w:eastAsia="仿宋_GB2312"/>
          <w:sz w:val="30"/>
          <w:szCs w:val="30"/>
        </w:rPr>
        <w:t>对于债券现券，本所逐笔发布债券投资者向全市场发送的点击成交、意向申报信息，包括申报方交易参与人简称（若显名）、申报方交易员（若显名）、申报价、申报数量、申报方向、结算方式、结算周期等信息。具体如下：</w:t>
      </w:r>
    </w:p>
    <w:tbl>
      <w:tblPr>
        <w:tblStyle w:val="4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2527"/>
        <w:gridCol w:w="5995"/>
      </w:tblGrid>
      <w:tr w14:paraId="07D91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31" w:hRule="atLeast"/>
          <w:jc w:val="center"/>
        </w:trPr>
        <w:tc>
          <w:tcPr>
            <w:tcW w:w="2527" w:type="dxa"/>
            <w:shd w:val="clear" w:color="auto" w:fill="FFFFFF"/>
            <w:vAlign w:val="center"/>
          </w:tcPr>
          <w:p w14:paraId="2C6FEFCE">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要素名称</w:t>
            </w:r>
          </w:p>
        </w:tc>
        <w:tc>
          <w:tcPr>
            <w:tcW w:w="5995" w:type="dxa"/>
            <w:shd w:val="clear" w:color="auto" w:fill="FFFFFF"/>
            <w:vAlign w:val="center"/>
          </w:tcPr>
          <w:p w14:paraId="38EA26F4">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要素说明</w:t>
            </w:r>
          </w:p>
        </w:tc>
      </w:tr>
      <w:tr w14:paraId="2B298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527" w:type="dxa"/>
            <w:shd w:val="clear" w:color="auto" w:fill="FFFFFF"/>
            <w:vAlign w:val="center"/>
          </w:tcPr>
          <w:p w14:paraId="64BD31D8">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证券代码</w:t>
            </w:r>
          </w:p>
        </w:tc>
        <w:tc>
          <w:tcPr>
            <w:tcW w:w="5995" w:type="dxa"/>
            <w:shd w:val="clear" w:color="auto" w:fill="FFFFFF"/>
            <w:vAlign w:val="center"/>
          </w:tcPr>
          <w:p w14:paraId="2501668D">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债券代码</w:t>
            </w:r>
          </w:p>
        </w:tc>
      </w:tr>
      <w:tr w14:paraId="73B2F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527" w:type="dxa"/>
            <w:shd w:val="clear" w:color="auto" w:fill="FFFFFF"/>
            <w:vAlign w:val="center"/>
          </w:tcPr>
          <w:p w14:paraId="34724700">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证券简称</w:t>
            </w:r>
          </w:p>
        </w:tc>
        <w:tc>
          <w:tcPr>
            <w:tcW w:w="5995" w:type="dxa"/>
            <w:shd w:val="clear" w:color="auto" w:fill="FFFFFF"/>
            <w:vAlign w:val="center"/>
          </w:tcPr>
          <w:p w14:paraId="1B2DEEE2">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债券简称</w:t>
            </w:r>
          </w:p>
        </w:tc>
      </w:tr>
      <w:tr w14:paraId="29C65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527" w:type="dxa"/>
            <w:shd w:val="clear" w:color="auto" w:fill="FFFFFF"/>
            <w:vAlign w:val="center"/>
          </w:tcPr>
          <w:p w14:paraId="59891B69">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申报日期</w:t>
            </w:r>
          </w:p>
        </w:tc>
        <w:tc>
          <w:tcPr>
            <w:tcW w:w="5995" w:type="dxa"/>
            <w:shd w:val="clear" w:color="auto" w:fill="FFFFFF"/>
            <w:vAlign w:val="center"/>
          </w:tcPr>
          <w:p w14:paraId="0937C0E6">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年月日</w:t>
            </w:r>
          </w:p>
        </w:tc>
      </w:tr>
      <w:tr w14:paraId="354C4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527" w:type="dxa"/>
            <w:shd w:val="clear" w:color="auto" w:fill="FFFFFF"/>
            <w:vAlign w:val="center"/>
          </w:tcPr>
          <w:p w14:paraId="269F8BE2">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申报时间</w:t>
            </w:r>
          </w:p>
        </w:tc>
        <w:tc>
          <w:tcPr>
            <w:tcW w:w="5995" w:type="dxa"/>
            <w:shd w:val="clear" w:color="auto" w:fill="FFFFFF"/>
            <w:vAlign w:val="center"/>
          </w:tcPr>
          <w:p w14:paraId="59D9A86A">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时分秒</w:t>
            </w:r>
          </w:p>
        </w:tc>
      </w:tr>
      <w:tr w14:paraId="5FBA8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527" w:type="dxa"/>
            <w:shd w:val="clear" w:color="auto" w:fill="FFFFFF"/>
            <w:vAlign w:val="center"/>
          </w:tcPr>
          <w:p w14:paraId="20107903">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申报方简称</w:t>
            </w:r>
          </w:p>
        </w:tc>
        <w:tc>
          <w:tcPr>
            <w:tcW w:w="5995" w:type="dxa"/>
            <w:shd w:val="clear" w:color="auto" w:fill="FFFFFF"/>
            <w:vAlign w:val="center"/>
          </w:tcPr>
          <w:p w14:paraId="65C2EC8A">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意向报价以及匿名报价</w:t>
            </w:r>
            <w:r>
              <w:rPr>
                <w:rFonts w:ascii="仿宋_GB2312" w:eastAsia="仿宋_GB2312"/>
                <w:bCs/>
                <w:iCs/>
                <w:kern w:val="0"/>
                <w:sz w:val="24"/>
                <w:szCs w:val="24"/>
              </w:rPr>
              <w:t>/询价</w:t>
            </w:r>
            <w:r>
              <w:rPr>
                <w:rFonts w:hint="eastAsia" w:ascii="仿宋_GB2312" w:eastAsia="仿宋_GB2312"/>
                <w:bCs/>
                <w:iCs/>
                <w:kern w:val="0"/>
                <w:sz w:val="24"/>
                <w:szCs w:val="24"/>
              </w:rPr>
              <w:t>时显示为“匿名”</w:t>
            </w:r>
          </w:p>
        </w:tc>
      </w:tr>
      <w:tr w14:paraId="6DFFC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527" w:type="dxa"/>
            <w:shd w:val="clear" w:color="auto" w:fill="FFFFFF"/>
            <w:vAlign w:val="center"/>
          </w:tcPr>
          <w:p w14:paraId="3A131D1F">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申报方交易员</w:t>
            </w:r>
          </w:p>
        </w:tc>
        <w:tc>
          <w:tcPr>
            <w:tcW w:w="5995" w:type="dxa"/>
            <w:shd w:val="clear" w:color="auto" w:fill="FFFFFF"/>
            <w:vAlign w:val="center"/>
          </w:tcPr>
          <w:p w14:paraId="1C8836C1">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意向报价以及匿名报价</w:t>
            </w:r>
            <w:r>
              <w:rPr>
                <w:rFonts w:ascii="仿宋_GB2312" w:eastAsia="仿宋_GB2312"/>
                <w:bCs/>
                <w:iCs/>
                <w:kern w:val="0"/>
                <w:sz w:val="24"/>
                <w:szCs w:val="24"/>
              </w:rPr>
              <w:t>/询价</w:t>
            </w:r>
            <w:r>
              <w:rPr>
                <w:rFonts w:hint="eastAsia" w:ascii="仿宋_GB2312" w:eastAsia="仿宋_GB2312"/>
                <w:bCs/>
                <w:iCs/>
                <w:kern w:val="0"/>
                <w:sz w:val="24"/>
                <w:szCs w:val="24"/>
              </w:rPr>
              <w:t>时显示为“匿名”</w:t>
            </w:r>
          </w:p>
        </w:tc>
      </w:tr>
      <w:tr w14:paraId="6F7CC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527" w:type="dxa"/>
            <w:shd w:val="clear" w:color="auto" w:fill="FFFFFF"/>
            <w:vAlign w:val="center"/>
          </w:tcPr>
          <w:p w14:paraId="745A3EB3">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价格</w:t>
            </w:r>
          </w:p>
        </w:tc>
        <w:tc>
          <w:tcPr>
            <w:tcW w:w="5995" w:type="dxa"/>
            <w:shd w:val="clear" w:color="auto" w:fill="FFFFFF"/>
            <w:vAlign w:val="center"/>
          </w:tcPr>
          <w:p w14:paraId="30CF318C">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059ED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527" w:type="dxa"/>
            <w:shd w:val="clear" w:color="auto" w:fill="FFFFFF"/>
            <w:vAlign w:val="center"/>
          </w:tcPr>
          <w:p w14:paraId="0CF076F1">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数量</w:t>
            </w:r>
          </w:p>
        </w:tc>
        <w:tc>
          <w:tcPr>
            <w:tcW w:w="5995" w:type="dxa"/>
            <w:shd w:val="clear" w:color="auto" w:fill="FFFFFF"/>
            <w:vAlign w:val="center"/>
          </w:tcPr>
          <w:p w14:paraId="7E749317">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单位：元（整数）</w:t>
            </w:r>
          </w:p>
        </w:tc>
      </w:tr>
      <w:tr w14:paraId="05206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527" w:type="dxa"/>
            <w:shd w:val="clear" w:color="auto" w:fill="FFFFFF"/>
            <w:vAlign w:val="center"/>
          </w:tcPr>
          <w:p w14:paraId="0AD8FB5D">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到期收益率</w:t>
            </w:r>
          </w:p>
        </w:tc>
        <w:tc>
          <w:tcPr>
            <w:tcW w:w="5995" w:type="dxa"/>
            <w:shd w:val="clear" w:color="auto" w:fill="FFFFFF"/>
            <w:vAlign w:val="center"/>
          </w:tcPr>
          <w:p w14:paraId="779D3E7F">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48D5D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527" w:type="dxa"/>
            <w:shd w:val="clear" w:color="auto" w:fill="FFFFFF"/>
            <w:vAlign w:val="center"/>
          </w:tcPr>
          <w:p w14:paraId="750CFF78">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交易方向</w:t>
            </w:r>
          </w:p>
        </w:tc>
        <w:tc>
          <w:tcPr>
            <w:tcW w:w="5995" w:type="dxa"/>
            <w:shd w:val="clear" w:color="auto" w:fill="FFFFFF"/>
            <w:vAlign w:val="center"/>
          </w:tcPr>
          <w:p w14:paraId="661AAA9A">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1.买</w:t>
            </w:r>
            <w:r>
              <w:rPr>
                <w:rFonts w:ascii="仿宋_GB2312" w:eastAsia="仿宋_GB2312"/>
                <w:bCs/>
                <w:iCs/>
                <w:kern w:val="0"/>
                <w:sz w:val="24"/>
                <w:szCs w:val="24"/>
              </w:rPr>
              <w:t xml:space="preserve"> </w:t>
            </w:r>
            <w:r>
              <w:rPr>
                <w:rFonts w:hint="eastAsia" w:ascii="仿宋_GB2312" w:eastAsia="仿宋_GB2312"/>
                <w:bCs/>
                <w:iCs/>
                <w:kern w:val="0"/>
                <w:sz w:val="24"/>
                <w:szCs w:val="24"/>
              </w:rPr>
              <w:t>2.卖</w:t>
            </w:r>
          </w:p>
        </w:tc>
      </w:tr>
    </w:tbl>
    <w:p w14:paraId="7CA148E4">
      <w:pPr>
        <w:spacing w:line="600" w:lineRule="exact"/>
        <w:ind w:firstLine="600" w:firstLineChars="200"/>
        <w:rPr>
          <w:rFonts w:ascii="仿宋_GB2312" w:hAnsi="黑体" w:eastAsia="仿宋_GB2312"/>
          <w:bCs/>
          <w:sz w:val="30"/>
          <w:szCs w:val="30"/>
        </w:rPr>
      </w:pPr>
      <w:r>
        <w:rPr>
          <w:rFonts w:hint="eastAsia" w:ascii="仿宋_GB2312" w:hAnsi="黑体" w:eastAsia="仿宋_GB2312"/>
          <w:bCs/>
          <w:sz w:val="30"/>
          <w:szCs w:val="30"/>
        </w:rPr>
        <w:t>2）竞买成交</w:t>
      </w:r>
    </w:p>
    <w:p w14:paraId="3FB413F0">
      <w:pPr>
        <w:spacing w:line="600" w:lineRule="exact"/>
        <w:ind w:firstLine="564" w:firstLineChars="188"/>
        <w:rPr>
          <w:rFonts w:ascii="仿宋_GB2312" w:hAnsi="宋体" w:eastAsia="仿宋_GB2312"/>
          <w:sz w:val="30"/>
          <w:szCs w:val="30"/>
        </w:rPr>
      </w:pPr>
      <w:r>
        <w:rPr>
          <w:rFonts w:hint="eastAsia" w:ascii="仿宋_GB2312" w:hAnsi="宋体" w:eastAsia="仿宋_GB2312"/>
          <w:sz w:val="30"/>
          <w:szCs w:val="30"/>
        </w:rPr>
        <w:t>对于债券现券，本所逐笔发布债券投资者向全市场发送的竞买发起申报信息，包括卖方的交易参与人简称（若显名）、交易员（若显名）、竞买方式、底价、竞买数量、结算方式、结算周期。其中，单一主体中标方式下本所还会逐笔发布竞买成交的竞买应价申报信息，包括应价方的交易参与人简称（若显名）、交易员（若显名）、价格、数量等信息。</w:t>
      </w:r>
    </w:p>
    <w:p w14:paraId="3696AEE6">
      <w:pPr>
        <w:widowControl/>
        <w:spacing w:line="600" w:lineRule="exact"/>
        <w:ind w:firstLine="564" w:firstLineChars="188"/>
        <w:jc w:val="left"/>
        <w:rPr>
          <w:rFonts w:ascii="仿宋_GB2312" w:hAnsi="宋体" w:eastAsia="仿宋_GB2312" w:cs="宋体"/>
          <w:kern w:val="0"/>
          <w:sz w:val="30"/>
          <w:szCs w:val="30"/>
        </w:rPr>
      </w:pPr>
      <w:r>
        <w:rPr>
          <w:rFonts w:hint="eastAsia" w:ascii="仿宋_GB2312" w:hAnsi="宋体" w:eastAsia="仿宋_GB2312" w:cs="宋体"/>
          <w:kern w:val="0"/>
          <w:sz w:val="30"/>
          <w:szCs w:val="30"/>
        </w:rPr>
        <w:t>采用单一主体中标方式的，本所逐笔发布卖方向全市场发送的</w:t>
      </w:r>
      <w:r>
        <w:rPr>
          <w:rFonts w:hint="eastAsia" w:ascii="仿宋_GB2312" w:hAnsi="宋体" w:eastAsia="仿宋_GB2312"/>
          <w:sz w:val="30"/>
          <w:szCs w:val="30"/>
        </w:rPr>
        <w:t>竞买发起申报</w:t>
      </w:r>
      <w:r>
        <w:rPr>
          <w:rFonts w:hint="eastAsia" w:ascii="仿宋_GB2312" w:hAnsi="宋体" w:eastAsia="仿宋_GB2312" w:cs="宋体"/>
          <w:kern w:val="0"/>
          <w:sz w:val="30"/>
          <w:szCs w:val="30"/>
        </w:rPr>
        <w:t>信息，包括</w:t>
      </w:r>
      <w:r>
        <w:rPr>
          <w:rFonts w:hint="eastAsia" w:ascii="仿宋_GB2312" w:hAnsi="宋体" w:eastAsia="仿宋_GB2312"/>
          <w:sz w:val="30"/>
          <w:szCs w:val="30"/>
        </w:rPr>
        <w:t>卖方的交易参与人简称（若显名）、交易员（若显名）、竞买方式、底价、竞买数量、结算方式、结算周期等</w:t>
      </w:r>
      <w:r>
        <w:rPr>
          <w:rFonts w:hint="eastAsia" w:ascii="仿宋_GB2312" w:hAnsi="宋体" w:eastAsia="仿宋_GB2312" w:cs="宋体"/>
          <w:kern w:val="0"/>
          <w:sz w:val="30"/>
          <w:szCs w:val="30"/>
        </w:rPr>
        <w:t>信息。具体如下：</w:t>
      </w:r>
    </w:p>
    <w:tbl>
      <w:tblPr>
        <w:tblStyle w:val="43"/>
        <w:tblW w:w="7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2316"/>
        <w:gridCol w:w="5493"/>
      </w:tblGrid>
      <w:tr w14:paraId="2F557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31" w:hRule="atLeast"/>
          <w:jc w:val="center"/>
        </w:trPr>
        <w:tc>
          <w:tcPr>
            <w:tcW w:w="2316" w:type="dxa"/>
            <w:shd w:val="clear" w:color="auto" w:fill="FFFFFF"/>
            <w:vAlign w:val="center"/>
          </w:tcPr>
          <w:p w14:paraId="33A88824">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要素名称</w:t>
            </w:r>
          </w:p>
        </w:tc>
        <w:tc>
          <w:tcPr>
            <w:tcW w:w="5493" w:type="dxa"/>
            <w:shd w:val="clear" w:color="auto" w:fill="FFFFFF"/>
            <w:vAlign w:val="center"/>
          </w:tcPr>
          <w:p w14:paraId="4DAD2306">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要素说明</w:t>
            </w:r>
          </w:p>
        </w:tc>
      </w:tr>
      <w:tr w14:paraId="166BC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2F0E5211">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证券代码</w:t>
            </w:r>
          </w:p>
        </w:tc>
        <w:tc>
          <w:tcPr>
            <w:tcW w:w="5493" w:type="dxa"/>
            <w:shd w:val="clear" w:color="auto" w:fill="FFFFFF"/>
            <w:vAlign w:val="center"/>
          </w:tcPr>
          <w:p w14:paraId="65060F7D">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债券代码</w:t>
            </w:r>
          </w:p>
        </w:tc>
      </w:tr>
      <w:tr w14:paraId="23B29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6943366C">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证券简称</w:t>
            </w:r>
          </w:p>
        </w:tc>
        <w:tc>
          <w:tcPr>
            <w:tcW w:w="5493" w:type="dxa"/>
            <w:shd w:val="clear" w:color="auto" w:fill="FFFFFF"/>
            <w:vAlign w:val="center"/>
          </w:tcPr>
          <w:p w14:paraId="0FFF9884">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债券简称</w:t>
            </w:r>
          </w:p>
        </w:tc>
      </w:tr>
      <w:tr w14:paraId="3C142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37DEF356">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竞买日</w:t>
            </w:r>
          </w:p>
        </w:tc>
        <w:tc>
          <w:tcPr>
            <w:tcW w:w="5493" w:type="dxa"/>
            <w:shd w:val="clear" w:color="auto" w:fill="FFFFFF"/>
            <w:vAlign w:val="center"/>
          </w:tcPr>
          <w:p w14:paraId="1C2D5526">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年月日</w:t>
            </w:r>
          </w:p>
        </w:tc>
      </w:tr>
      <w:tr w14:paraId="43E04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31372075">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发布日期</w:t>
            </w:r>
          </w:p>
        </w:tc>
        <w:tc>
          <w:tcPr>
            <w:tcW w:w="5493" w:type="dxa"/>
            <w:shd w:val="clear" w:color="auto" w:fill="FFFFFF"/>
            <w:vAlign w:val="center"/>
          </w:tcPr>
          <w:p w14:paraId="2036247B">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年月日，与竞买日可以不是同一天</w:t>
            </w:r>
          </w:p>
        </w:tc>
      </w:tr>
      <w:tr w14:paraId="71809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55EE2C7C">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发布时间</w:t>
            </w:r>
          </w:p>
        </w:tc>
        <w:tc>
          <w:tcPr>
            <w:tcW w:w="5493" w:type="dxa"/>
            <w:shd w:val="clear" w:color="auto" w:fill="FFFFFF"/>
            <w:vAlign w:val="center"/>
          </w:tcPr>
          <w:p w14:paraId="7CFAA2B2">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时分秒</w:t>
            </w:r>
          </w:p>
        </w:tc>
      </w:tr>
      <w:tr w14:paraId="74808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26903DFD">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竞买编号</w:t>
            </w:r>
          </w:p>
        </w:tc>
        <w:tc>
          <w:tcPr>
            <w:tcW w:w="5493" w:type="dxa"/>
            <w:shd w:val="clear" w:color="auto" w:fill="FFFFFF"/>
            <w:vAlign w:val="center"/>
          </w:tcPr>
          <w:p w14:paraId="35965EDB">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竞买对应编号</w:t>
            </w:r>
          </w:p>
        </w:tc>
      </w:tr>
      <w:tr w14:paraId="4FE50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1BEB11D9">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卖方简称</w:t>
            </w:r>
          </w:p>
        </w:tc>
        <w:tc>
          <w:tcPr>
            <w:tcW w:w="5493" w:type="dxa"/>
            <w:shd w:val="clear" w:color="auto" w:fill="FFFFFF"/>
            <w:vAlign w:val="center"/>
          </w:tcPr>
          <w:p w14:paraId="27EA6057">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竞买的卖方交易参与人简称，可匿名；</w:t>
            </w:r>
          </w:p>
          <w:p w14:paraId="4F48E41D">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（竞买卖方如果是匿名申报，则卖方为匿名）</w:t>
            </w:r>
          </w:p>
        </w:tc>
      </w:tr>
      <w:tr w14:paraId="27234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04A79ACB">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卖方交易员</w:t>
            </w:r>
          </w:p>
        </w:tc>
        <w:tc>
          <w:tcPr>
            <w:tcW w:w="5493" w:type="dxa"/>
            <w:shd w:val="clear" w:color="auto" w:fill="FFFFFF"/>
            <w:vAlign w:val="center"/>
          </w:tcPr>
          <w:p w14:paraId="20586559">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竞买卖方交易员名称，可匿名；</w:t>
            </w:r>
          </w:p>
          <w:p w14:paraId="2051AF3A">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（竞买卖方如果是匿名申报，则卖方交易员为匿名）</w:t>
            </w:r>
          </w:p>
        </w:tc>
      </w:tr>
      <w:tr w14:paraId="1D469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18F80527">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竞买方式</w:t>
            </w:r>
          </w:p>
        </w:tc>
        <w:tc>
          <w:tcPr>
            <w:tcW w:w="5493" w:type="dxa"/>
            <w:shd w:val="clear" w:color="auto" w:fill="FFFFFF"/>
            <w:vAlign w:val="center"/>
          </w:tcPr>
          <w:p w14:paraId="00589B8D">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单一主体中标</w:t>
            </w:r>
          </w:p>
        </w:tc>
      </w:tr>
      <w:tr w14:paraId="66587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45842C65">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底价</w:t>
            </w:r>
          </w:p>
        </w:tc>
        <w:tc>
          <w:tcPr>
            <w:tcW w:w="5493" w:type="dxa"/>
            <w:shd w:val="clear" w:color="auto" w:fill="FFFFFF"/>
            <w:vAlign w:val="center"/>
          </w:tcPr>
          <w:p w14:paraId="575155A2">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竞买最低申报价，单位：元（</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4327E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761079CC">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底价到期收益率</w:t>
            </w:r>
          </w:p>
        </w:tc>
        <w:tc>
          <w:tcPr>
            <w:tcW w:w="5493" w:type="dxa"/>
            <w:shd w:val="clear" w:color="auto" w:fill="FFFFFF"/>
            <w:vAlign w:val="center"/>
          </w:tcPr>
          <w:p w14:paraId="6379B7FF">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52924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44FDA150">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竞买数量</w:t>
            </w:r>
          </w:p>
        </w:tc>
        <w:tc>
          <w:tcPr>
            <w:tcW w:w="5493" w:type="dxa"/>
            <w:shd w:val="clear" w:color="auto" w:fill="FFFFFF"/>
            <w:vAlign w:val="center"/>
          </w:tcPr>
          <w:p w14:paraId="286F0CCB">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单位：千元面额（整数）</w:t>
            </w:r>
          </w:p>
        </w:tc>
      </w:tr>
      <w:tr w14:paraId="0262F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35D93B39">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结算方式</w:t>
            </w:r>
          </w:p>
        </w:tc>
        <w:tc>
          <w:tcPr>
            <w:tcW w:w="5493" w:type="dxa"/>
            <w:shd w:val="clear" w:color="auto" w:fill="FFFFFF"/>
            <w:vAlign w:val="center"/>
          </w:tcPr>
          <w:p w14:paraId="5598369F">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1.净额结算；2.RTGS结算</w:t>
            </w:r>
          </w:p>
        </w:tc>
      </w:tr>
      <w:tr w14:paraId="269E0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350007A1">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结算周期</w:t>
            </w:r>
          </w:p>
        </w:tc>
        <w:tc>
          <w:tcPr>
            <w:tcW w:w="5493" w:type="dxa"/>
            <w:shd w:val="clear" w:color="auto" w:fill="FFFFFF"/>
            <w:vAlign w:val="center"/>
          </w:tcPr>
          <w:p w14:paraId="69D2C787">
            <w:pPr>
              <w:tabs>
                <w:tab w:val="left" w:pos="900"/>
                <w:tab w:val="left" w:pos="1320"/>
              </w:tabs>
              <w:spacing w:after="93" w:afterLines="30"/>
              <w:jc w:val="left"/>
              <w:rPr>
                <w:rFonts w:ascii="仿宋_GB2312" w:eastAsia="仿宋_GB2312"/>
                <w:bCs/>
                <w:iCs/>
                <w:kern w:val="0"/>
                <w:sz w:val="24"/>
                <w:szCs w:val="24"/>
              </w:rPr>
            </w:pPr>
            <w:r>
              <w:rPr>
                <w:rFonts w:ascii="仿宋_GB2312" w:eastAsia="仿宋_GB2312"/>
                <w:bCs/>
                <w:iCs/>
                <w:kern w:val="0"/>
                <w:sz w:val="24"/>
                <w:szCs w:val="24"/>
              </w:rPr>
              <w:t>1.T+0</w:t>
            </w:r>
            <w:r>
              <w:rPr>
                <w:rFonts w:hint="eastAsia" w:ascii="仿宋_GB2312" w:eastAsia="仿宋_GB2312"/>
                <w:bCs/>
                <w:iCs/>
                <w:kern w:val="0"/>
                <w:sz w:val="24"/>
                <w:szCs w:val="24"/>
              </w:rPr>
              <w:t>；</w:t>
            </w:r>
            <w:r>
              <w:rPr>
                <w:rFonts w:ascii="仿宋_GB2312" w:eastAsia="仿宋_GB2312"/>
                <w:bCs/>
                <w:iCs/>
                <w:kern w:val="0"/>
                <w:sz w:val="24"/>
                <w:szCs w:val="24"/>
              </w:rPr>
              <w:t>2.T+1</w:t>
            </w:r>
            <w:r>
              <w:rPr>
                <w:rFonts w:hint="eastAsia" w:ascii="仿宋_GB2312" w:eastAsia="仿宋_GB2312"/>
                <w:bCs/>
                <w:iCs/>
                <w:kern w:val="0"/>
                <w:sz w:val="24"/>
                <w:szCs w:val="24"/>
              </w:rPr>
              <w:t>；</w:t>
            </w:r>
            <w:r>
              <w:rPr>
                <w:rFonts w:ascii="仿宋_GB2312" w:eastAsia="仿宋_GB2312"/>
                <w:bCs/>
                <w:iCs/>
                <w:kern w:val="0"/>
                <w:sz w:val="24"/>
                <w:szCs w:val="24"/>
              </w:rPr>
              <w:t>3.T+2</w:t>
            </w:r>
            <w:r>
              <w:rPr>
                <w:rFonts w:hint="eastAsia" w:ascii="仿宋_GB2312" w:eastAsia="仿宋_GB2312"/>
                <w:bCs/>
                <w:iCs/>
                <w:kern w:val="0"/>
                <w:sz w:val="24"/>
                <w:szCs w:val="24"/>
              </w:rPr>
              <w:t>；</w:t>
            </w:r>
            <w:r>
              <w:rPr>
                <w:rFonts w:ascii="仿宋_GB2312" w:eastAsia="仿宋_GB2312"/>
                <w:bCs/>
                <w:iCs/>
                <w:kern w:val="0"/>
                <w:sz w:val="24"/>
                <w:szCs w:val="24"/>
              </w:rPr>
              <w:t>4.T+3</w:t>
            </w:r>
          </w:p>
        </w:tc>
      </w:tr>
    </w:tbl>
    <w:p w14:paraId="06DAA0F6">
      <w:pPr>
        <w:widowControl/>
        <w:spacing w:line="600" w:lineRule="exact"/>
        <w:ind w:firstLine="600" w:firstLineChars="200"/>
        <w:jc w:val="left"/>
        <w:rPr>
          <w:rFonts w:ascii="仿宋_GB2312" w:hAnsi="宋体" w:eastAsia="仿宋_GB2312" w:cs="宋体"/>
          <w:kern w:val="0"/>
          <w:sz w:val="30"/>
          <w:szCs w:val="30"/>
        </w:rPr>
      </w:pPr>
      <w:r>
        <w:rPr>
          <w:rFonts w:hint="eastAsia" w:ascii="仿宋_GB2312" w:hAnsi="宋体" w:eastAsia="仿宋_GB2312" w:cs="宋体"/>
          <w:kern w:val="0"/>
          <w:sz w:val="30"/>
          <w:szCs w:val="30"/>
        </w:rPr>
        <w:t>采用单一主体中标方式的，本所逐笔发布应价方向全市场发送的应价申报信息</w:t>
      </w:r>
      <w:r>
        <w:rPr>
          <w:rFonts w:hint="eastAsia" w:ascii="仿宋_GB2312" w:hAnsi="宋体" w:eastAsia="仿宋_GB2312"/>
          <w:sz w:val="30"/>
          <w:szCs w:val="30"/>
        </w:rPr>
        <w:t>，包括应价方的交易参与人简称（若显名）、交易员（若显名）、价格、数量等信息</w:t>
      </w:r>
      <w:r>
        <w:rPr>
          <w:rFonts w:hint="eastAsia" w:ascii="仿宋_GB2312" w:hAnsi="宋体" w:eastAsia="仿宋_GB2312" w:cs="宋体"/>
          <w:kern w:val="0"/>
          <w:sz w:val="30"/>
          <w:szCs w:val="30"/>
        </w:rPr>
        <w:t>。具体如下：</w:t>
      </w:r>
    </w:p>
    <w:tbl>
      <w:tblPr>
        <w:tblStyle w:val="43"/>
        <w:tblW w:w="7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2316"/>
        <w:gridCol w:w="5493"/>
      </w:tblGrid>
      <w:tr w14:paraId="06173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31" w:hRule="atLeast"/>
          <w:jc w:val="center"/>
        </w:trPr>
        <w:tc>
          <w:tcPr>
            <w:tcW w:w="2316" w:type="dxa"/>
            <w:shd w:val="clear" w:color="auto" w:fill="FFFFFF"/>
            <w:vAlign w:val="center"/>
          </w:tcPr>
          <w:p w14:paraId="7D20C218">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要素名称</w:t>
            </w:r>
          </w:p>
        </w:tc>
        <w:tc>
          <w:tcPr>
            <w:tcW w:w="5493" w:type="dxa"/>
            <w:shd w:val="clear" w:color="auto" w:fill="FFFFFF"/>
            <w:vAlign w:val="center"/>
          </w:tcPr>
          <w:p w14:paraId="2E0F0A14">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要素说明</w:t>
            </w:r>
          </w:p>
        </w:tc>
      </w:tr>
      <w:tr w14:paraId="5B14C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441D06F8">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证券代码</w:t>
            </w:r>
          </w:p>
        </w:tc>
        <w:tc>
          <w:tcPr>
            <w:tcW w:w="5493" w:type="dxa"/>
            <w:shd w:val="clear" w:color="auto" w:fill="FFFFFF"/>
            <w:vAlign w:val="center"/>
          </w:tcPr>
          <w:p w14:paraId="21C8AB85">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债券代码</w:t>
            </w:r>
          </w:p>
        </w:tc>
      </w:tr>
      <w:tr w14:paraId="2F882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58F58039">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证券简称</w:t>
            </w:r>
          </w:p>
        </w:tc>
        <w:tc>
          <w:tcPr>
            <w:tcW w:w="5493" w:type="dxa"/>
            <w:shd w:val="clear" w:color="auto" w:fill="FFFFFF"/>
            <w:vAlign w:val="center"/>
          </w:tcPr>
          <w:p w14:paraId="43BA2A40">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债券简称</w:t>
            </w:r>
          </w:p>
        </w:tc>
      </w:tr>
      <w:tr w14:paraId="42832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7B722A2E">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竞买编号</w:t>
            </w:r>
          </w:p>
        </w:tc>
        <w:tc>
          <w:tcPr>
            <w:tcW w:w="5493" w:type="dxa"/>
            <w:shd w:val="clear" w:color="auto" w:fill="FFFFFF"/>
            <w:vAlign w:val="center"/>
          </w:tcPr>
          <w:p w14:paraId="6220CEC2">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竞买对应编号</w:t>
            </w:r>
          </w:p>
        </w:tc>
      </w:tr>
      <w:tr w14:paraId="24B1C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71027670">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竞买日期</w:t>
            </w:r>
          </w:p>
        </w:tc>
        <w:tc>
          <w:tcPr>
            <w:tcW w:w="5493" w:type="dxa"/>
            <w:shd w:val="clear" w:color="auto" w:fill="FFFFFF"/>
            <w:vAlign w:val="center"/>
          </w:tcPr>
          <w:p w14:paraId="18E3D585">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年月日</w:t>
            </w:r>
          </w:p>
        </w:tc>
      </w:tr>
      <w:tr w14:paraId="72452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44877E25">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竞买时间</w:t>
            </w:r>
          </w:p>
        </w:tc>
        <w:tc>
          <w:tcPr>
            <w:tcW w:w="5493" w:type="dxa"/>
            <w:shd w:val="clear" w:color="auto" w:fill="FFFFFF"/>
            <w:vAlign w:val="center"/>
          </w:tcPr>
          <w:p w14:paraId="15ACE80F">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时分秒</w:t>
            </w:r>
          </w:p>
        </w:tc>
      </w:tr>
      <w:tr w14:paraId="79903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3837F84A">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应价方简称</w:t>
            </w:r>
          </w:p>
        </w:tc>
        <w:tc>
          <w:tcPr>
            <w:tcW w:w="5493" w:type="dxa"/>
            <w:shd w:val="clear" w:color="auto" w:fill="FFFFFF"/>
            <w:vAlign w:val="center"/>
          </w:tcPr>
          <w:p w14:paraId="2468ED33">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参与竞买交易的应价方简称，可匿名；</w:t>
            </w:r>
          </w:p>
          <w:p w14:paraId="256924F7">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（应价方如果是匿名提交的应价申报，则应价方为匿名）</w:t>
            </w:r>
          </w:p>
        </w:tc>
      </w:tr>
      <w:tr w14:paraId="5E868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772FAA31">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应价方交易员</w:t>
            </w:r>
          </w:p>
        </w:tc>
        <w:tc>
          <w:tcPr>
            <w:tcW w:w="5493" w:type="dxa"/>
            <w:shd w:val="clear" w:color="auto" w:fill="FFFFFF"/>
            <w:vAlign w:val="center"/>
          </w:tcPr>
          <w:p w14:paraId="35F1DB66">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参与竞买交易的应价方交易员，可匿名；</w:t>
            </w:r>
          </w:p>
          <w:p w14:paraId="11B6BA7F">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（应价方如果是匿名提交的应价申报，则应价方交易员为匿名）</w:t>
            </w:r>
          </w:p>
        </w:tc>
      </w:tr>
      <w:tr w14:paraId="35406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5E86EE5E">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价格</w:t>
            </w:r>
          </w:p>
        </w:tc>
        <w:tc>
          <w:tcPr>
            <w:tcW w:w="5493" w:type="dxa"/>
            <w:shd w:val="clear" w:color="auto" w:fill="FFFFFF"/>
            <w:vAlign w:val="center"/>
          </w:tcPr>
          <w:p w14:paraId="3FC7598E">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应价方申报价格，单位：元（</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29C31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1B3FCFF3">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到期收益率</w:t>
            </w:r>
          </w:p>
        </w:tc>
        <w:tc>
          <w:tcPr>
            <w:tcW w:w="5493" w:type="dxa"/>
            <w:shd w:val="clear" w:color="auto" w:fill="FFFFFF"/>
            <w:vAlign w:val="center"/>
          </w:tcPr>
          <w:p w14:paraId="2624B141">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申报价格对应到期收益率，百分数%（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7AE60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737196F9">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数量</w:t>
            </w:r>
          </w:p>
        </w:tc>
        <w:tc>
          <w:tcPr>
            <w:tcW w:w="5493" w:type="dxa"/>
            <w:shd w:val="clear" w:color="auto" w:fill="FFFFFF"/>
            <w:vAlign w:val="center"/>
          </w:tcPr>
          <w:p w14:paraId="21B9B3FE">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申报数量，单位：千元面额（整数）</w:t>
            </w:r>
          </w:p>
        </w:tc>
      </w:tr>
    </w:tbl>
    <w:p w14:paraId="7F7B0F30">
      <w:pPr>
        <w:widowControl/>
        <w:spacing w:line="600" w:lineRule="exact"/>
        <w:ind w:firstLine="600" w:firstLineChars="200"/>
        <w:jc w:val="left"/>
        <w:rPr>
          <w:rFonts w:ascii="仿宋_GB2312" w:hAnsi="宋体" w:eastAsia="仿宋_GB2312" w:cs="宋体"/>
          <w:kern w:val="0"/>
          <w:sz w:val="30"/>
          <w:szCs w:val="30"/>
        </w:rPr>
      </w:pPr>
      <w:r>
        <w:rPr>
          <w:rFonts w:hint="eastAsia" w:ascii="仿宋_GB2312" w:eastAsia="仿宋_GB2312"/>
          <w:color w:val="000000"/>
          <w:sz w:val="30"/>
          <w:szCs w:val="30"/>
        </w:rPr>
        <w:t>采用多主体中标方式的，</w:t>
      </w:r>
      <w:r>
        <w:rPr>
          <w:rFonts w:hint="eastAsia" w:ascii="仿宋_GB2312" w:hAnsi="宋体" w:eastAsia="仿宋_GB2312" w:cs="宋体"/>
          <w:kern w:val="0"/>
          <w:sz w:val="30"/>
          <w:szCs w:val="30"/>
        </w:rPr>
        <w:t>本所逐笔发布卖方向全市场发送的</w:t>
      </w:r>
      <w:r>
        <w:rPr>
          <w:rFonts w:hint="eastAsia" w:ascii="仿宋_GB2312" w:hAnsi="宋体" w:eastAsia="仿宋_GB2312"/>
          <w:sz w:val="30"/>
          <w:szCs w:val="30"/>
        </w:rPr>
        <w:t>竞买发起申报</w:t>
      </w:r>
      <w:r>
        <w:rPr>
          <w:rFonts w:hint="eastAsia" w:ascii="仿宋_GB2312" w:hAnsi="宋体" w:eastAsia="仿宋_GB2312" w:cs="宋体"/>
          <w:kern w:val="0"/>
          <w:sz w:val="30"/>
          <w:szCs w:val="30"/>
        </w:rPr>
        <w:t>信息，包括</w:t>
      </w:r>
      <w:r>
        <w:rPr>
          <w:rFonts w:hint="eastAsia" w:ascii="仿宋_GB2312" w:hAnsi="宋体" w:eastAsia="仿宋_GB2312"/>
          <w:sz w:val="30"/>
          <w:szCs w:val="30"/>
        </w:rPr>
        <w:t>卖方的交易参与人简称（若显名）、交易员（若显名）、竞买方式、底价、竞买数量、结算方式、结算周期等</w:t>
      </w:r>
      <w:r>
        <w:rPr>
          <w:rFonts w:hint="eastAsia" w:ascii="仿宋_GB2312" w:hAnsi="宋体" w:eastAsia="仿宋_GB2312" w:cs="宋体"/>
          <w:kern w:val="0"/>
          <w:sz w:val="30"/>
          <w:szCs w:val="30"/>
        </w:rPr>
        <w:t>信息。具体如下：</w:t>
      </w:r>
    </w:p>
    <w:tbl>
      <w:tblPr>
        <w:tblStyle w:val="43"/>
        <w:tblW w:w="7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2316"/>
        <w:gridCol w:w="5493"/>
      </w:tblGrid>
      <w:tr w14:paraId="1CDDF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2316" w:type="dxa"/>
            <w:shd w:val="clear" w:color="auto" w:fill="FFFFFF"/>
            <w:vAlign w:val="center"/>
          </w:tcPr>
          <w:p w14:paraId="35795684">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要素名称</w:t>
            </w:r>
          </w:p>
        </w:tc>
        <w:tc>
          <w:tcPr>
            <w:tcW w:w="5493" w:type="dxa"/>
            <w:shd w:val="clear" w:color="auto" w:fill="FFFFFF"/>
            <w:vAlign w:val="center"/>
          </w:tcPr>
          <w:p w14:paraId="3DCF782C">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要素说明</w:t>
            </w:r>
          </w:p>
        </w:tc>
      </w:tr>
      <w:tr w14:paraId="0900E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51C41725">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证券代码</w:t>
            </w:r>
          </w:p>
        </w:tc>
        <w:tc>
          <w:tcPr>
            <w:tcW w:w="5493" w:type="dxa"/>
            <w:shd w:val="clear" w:color="auto" w:fill="FFFFFF"/>
            <w:vAlign w:val="center"/>
          </w:tcPr>
          <w:p w14:paraId="3C50FB72">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债券代码</w:t>
            </w:r>
          </w:p>
        </w:tc>
      </w:tr>
      <w:tr w14:paraId="4A53B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41AF769C">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证券简称</w:t>
            </w:r>
          </w:p>
        </w:tc>
        <w:tc>
          <w:tcPr>
            <w:tcW w:w="5493" w:type="dxa"/>
            <w:shd w:val="clear" w:color="auto" w:fill="FFFFFF"/>
            <w:vAlign w:val="center"/>
          </w:tcPr>
          <w:p w14:paraId="03C845BF">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债券简称</w:t>
            </w:r>
          </w:p>
        </w:tc>
      </w:tr>
      <w:tr w14:paraId="1A9CE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7D9D7F64">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竞买日</w:t>
            </w:r>
          </w:p>
        </w:tc>
        <w:tc>
          <w:tcPr>
            <w:tcW w:w="5493" w:type="dxa"/>
            <w:shd w:val="clear" w:color="auto" w:fill="FFFFFF"/>
            <w:vAlign w:val="center"/>
          </w:tcPr>
          <w:p w14:paraId="20D905C4">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年月日</w:t>
            </w:r>
          </w:p>
        </w:tc>
      </w:tr>
      <w:tr w14:paraId="0F821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69081A4F">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发布日期</w:t>
            </w:r>
          </w:p>
        </w:tc>
        <w:tc>
          <w:tcPr>
            <w:tcW w:w="5493" w:type="dxa"/>
            <w:shd w:val="clear" w:color="auto" w:fill="FFFFFF"/>
            <w:vAlign w:val="center"/>
          </w:tcPr>
          <w:p w14:paraId="49A5AD20">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年月日，与竞买日可以不是同一天</w:t>
            </w:r>
          </w:p>
        </w:tc>
      </w:tr>
      <w:tr w14:paraId="64284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4C55D555">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发布时间</w:t>
            </w:r>
          </w:p>
        </w:tc>
        <w:tc>
          <w:tcPr>
            <w:tcW w:w="5493" w:type="dxa"/>
            <w:shd w:val="clear" w:color="auto" w:fill="FFFFFF"/>
            <w:vAlign w:val="center"/>
          </w:tcPr>
          <w:p w14:paraId="4A7B41D9">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时分秒</w:t>
            </w:r>
          </w:p>
        </w:tc>
      </w:tr>
      <w:tr w14:paraId="6A4B9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46553062">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卖方简称</w:t>
            </w:r>
          </w:p>
        </w:tc>
        <w:tc>
          <w:tcPr>
            <w:tcW w:w="5493" w:type="dxa"/>
            <w:shd w:val="clear" w:color="auto" w:fill="FFFFFF"/>
            <w:vAlign w:val="center"/>
          </w:tcPr>
          <w:p w14:paraId="73810547">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竞买的卖方交易参与人简称，可匿名</w:t>
            </w:r>
          </w:p>
        </w:tc>
      </w:tr>
      <w:tr w14:paraId="51E05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7AF09012">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卖方交易员</w:t>
            </w:r>
          </w:p>
        </w:tc>
        <w:tc>
          <w:tcPr>
            <w:tcW w:w="5493" w:type="dxa"/>
            <w:shd w:val="clear" w:color="auto" w:fill="FFFFFF"/>
            <w:vAlign w:val="center"/>
          </w:tcPr>
          <w:p w14:paraId="5BAD69D9">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竞买的卖方交易员名称，可匿名</w:t>
            </w:r>
          </w:p>
        </w:tc>
      </w:tr>
      <w:tr w14:paraId="545D1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782F44CF">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竞买方式</w:t>
            </w:r>
          </w:p>
        </w:tc>
        <w:tc>
          <w:tcPr>
            <w:tcW w:w="5493" w:type="dxa"/>
            <w:shd w:val="clear" w:color="auto" w:fill="FFFFFF"/>
            <w:vAlign w:val="center"/>
          </w:tcPr>
          <w:p w14:paraId="7D1EF6F0">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1.单一价格中标</w:t>
            </w:r>
          </w:p>
          <w:p w14:paraId="1D1050EA">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2.多重价格中标</w:t>
            </w:r>
          </w:p>
        </w:tc>
      </w:tr>
      <w:tr w14:paraId="76E49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07DDE271">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底价</w:t>
            </w:r>
          </w:p>
        </w:tc>
        <w:tc>
          <w:tcPr>
            <w:tcW w:w="5493" w:type="dxa"/>
            <w:shd w:val="clear" w:color="auto" w:fill="FFFFFF"/>
            <w:vAlign w:val="center"/>
          </w:tcPr>
          <w:p w14:paraId="01F03447">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15131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3DDCD637">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底价到期收益率</w:t>
            </w:r>
          </w:p>
        </w:tc>
        <w:tc>
          <w:tcPr>
            <w:tcW w:w="5493" w:type="dxa"/>
            <w:shd w:val="clear" w:color="auto" w:fill="FFFFFF"/>
            <w:vAlign w:val="center"/>
          </w:tcPr>
          <w:p w14:paraId="69BA99A1">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06710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3906D8A8">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竞买数量</w:t>
            </w:r>
          </w:p>
        </w:tc>
        <w:tc>
          <w:tcPr>
            <w:tcW w:w="5493" w:type="dxa"/>
            <w:shd w:val="clear" w:color="auto" w:fill="FFFFFF"/>
            <w:vAlign w:val="center"/>
          </w:tcPr>
          <w:p w14:paraId="5197F063">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单位：元（整数）</w:t>
            </w:r>
          </w:p>
        </w:tc>
      </w:tr>
      <w:tr w14:paraId="0765D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38DEE404">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结算方式</w:t>
            </w:r>
          </w:p>
        </w:tc>
        <w:tc>
          <w:tcPr>
            <w:tcW w:w="5493" w:type="dxa"/>
            <w:shd w:val="clear" w:color="auto" w:fill="FFFFFF"/>
            <w:vAlign w:val="center"/>
          </w:tcPr>
          <w:p w14:paraId="1BFE17E5">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1.净额结算；2.RTGS结算</w:t>
            </w:r>
          </w:p>
        </w:tc>
      </w:tr>
      <w:tr w14:paraId="0858A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68F43654">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结算周期</w:t>
            </w:r>
          </w:p>
        </w:tc>
        <w:tc>
          <w:tcPr>
            <w:tcW w:w="5493" w:type="dxa"/>
            <w:shd w:val="clear" w:color="auto" w:fill="FFFFFF"/>
            <w:vAlign w:val="center"/>
          </w:tcPr>
          <w:p w14:paraId="3F50C5D9">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1.T+0；2.T+1；3.T+2；4.T+3</w:t>
            </w:r>
          </w:p>
        </w:tc>
      </w:tr>
    </w:tbl>
    <w:p w14:paraId="7A28AD0E">
      <w:pPr>
        <w:spacing w:line="600" w:lineRule="exact"/>
        <w:ind w:firstLine="602" w:firstLineChars="200"/>
        <w:outlineLvl w:val="3"/>
        <w:rPr>
          <w:rFonts w:ascii="仿宋_GB2312" w:eastAsia="仿宋_GB2312"/>
          <w:b/>
          <w:sz w:val="30"/>
          <w:szCs w:val="30"/>
        </w:rPr>
      </w:pPr>
      <w:bookmarkStart w:id="2603" w:name="_Toc47374375"/>
      <w:bookmarkEnd w:id="2603"/>
      <w:bookmarkStart w:id="2604" w:name="_Toc47427148"/>
      <w:bookmarkEnd w:id="2604"/>
      <w:bookmarkStart w:id="2605" w:name="_Toc47374934"/>
      <w:bookmarkEnd w:id="2605"/>
      <w:bookmarkStart w:id="2606" w:name="_Toc47375478"/>
      <w:bookmarkEnd w:id="2606"/>
      <w:bookmarkStart w:id="2607" w:name="_Toc47374412"/>
      <w:bookmarkEnd w:id="2607"/>
      <w:bookmarkStart w:id="2608" w:name="_Toc47428415"/>
      <w:bookmarkEnd w:id="2608"/>
      <w:bookmarkStart w:id="2609" w:name="_Toc47458434"/>
      <w:bookmarkEnd w:id="2609"/>
      <w:r>
        <w:rPr>
          <w:rFonts w:hint="eastAsia" w:ascii="仿宋_GB2312" w:eastAsia="仿宋_GB2312"/>
          <w:b/>
          <w:sz w:val="30"/>
          <w:szCs w:val="30"/>
        </w:rPr>
        <w:t>（2）协议回购</w:t>
      </w:r>
    </w:p>
    <w:p w14:paraId="606D9070">
      <w:pPr>
        <w:widowControl/>
        <w:spacing w:line="600" w:lineRule="exact"/>
        <w:ind w:firstLine="564" w:firstLineChars="188"/>
        <w:jc w:val="left"/>
        <w:rPr>
          <w:rFonts w:ascii="仿宋_GB2312" w:hAnsi="宋体" w:eastAsia="仿宋_GB2312"/>
          <w:sz w:val="30"/>
          <w:szCs w:val="30"/>
        </w:rPr>
      </w:pPr>
      <w:r>
        <w:rPr>
          <w:rFonts w:hint="eastAsia" w:ascii="仿宋_GB2312" w:hAnsi="宋体" w:eastAsia="仿宋_GB2312"/>
          <w:sz w:val="30"/>
          <w:szCs w:val="30"/>
        </w:rPr>
        <w:t>对于</w:t>
      </w:r>
      <w:r>
        <w:rPr>
          <w:rFonts w:hint="eastAsia" w:ascii="仿宋_GB2312" w:hAnsi="宋体" w:eastAsia="仿宋_GB2312" w:cs="宋体"/>
          <w:kern w:val="0"/>
          <w:sz w:val="30"/>
          <w:szCs w:val="30"/>
        </w:rPr>
        <w:t>协议回购</w:t>
      </w:r>
      <w:r>
        <w:rPr>
          <w:rFonts w:hint="eastAsia" w:ascii="仿宋_GB2312" w:hAnsi="宋体" w:eastAsia="仿宋_GB2312"/>
          <w:sz w:val="30"/>
          <w:szCs w:val="30"/>
        </w:rPr>
        <w:t>，本所逐笔发布债券投资者向全市场发送的意向申报信息，包括回购金额、回购利率、申报方向等信息。</w:t>
      </w:r>
    </w:p>
    <w:p w14:paraId="1F810D9C">
      <w:pPr>
        <w:widowControl/>
        <w:spacing w:line="600" w:lineRule="exact"/>
        <w:ind w:firstLine="564" w:firstLineChars="188"/>
        <w:jc w:val="left"/>
        <w:rPr>
          <w:rFonts w:ascii="仿宋_GB2312" w:hAnsi="宋体" w:eastAsia="仿宋_GB2312" w:cs="宋体"/>
          <w:kern w:val="0"/>
          <w:sz w:val="30"/>
          <w:szCs w:val="30"/>
        </w:rPr>
      </w:pPr>
      <w:r>
        <w:rPr>
          <w:rFonts w:hint="eastAsia" w:ascii="仿宋_GB2312" w:hAnsi="宋体" w:eastAsia="仿宋_GB2312" w:cs="宋体"/>
          <w:kern w:val="0"/>
          <w:sz w:val="30"/>
          <w:szCs w:val="30"/>
        </w:rPr>
        <w:t>协议回购的逐笔申报行情中的押券类型包括押利率、押AAA、押AA+、押AA、押国企、押非过剩、宽松等多种类型。行情要素中回购利率非必填项。</w:t>
      </w:r>
    </w:p>
    <w:tbl>
      <w:tblPr>
        <w:tblStyle w:val="43"/>
        <w:tblW w:w="7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2316"/>
        <w:gridCol w:w="5493"/>
      </w:tblGrid>
      <w:tr w14:paraId="45785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31" w:hRule="atLeast"/>
          <w:jc w:val="center"/>
        </w:trPr>
        <w:tc>
          <w:tcPr>
            <w:tcW w:w="2316" w:type="dxa"/>
            <w:shd w:val="clear" w:color="auto" w:fill="FFFFFF"/>
            <w:vAlign w:val="center"/>
          </w:tcPr>
          <w:p w14:paraId="61DE75FF">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字段</w:t>
            </w:r>
          </w:p>
        </w:tc>
        <w:tc>
          <w:tcPr>
            <w:tcW w:w="5493" w:type="dxa"/>
            <w:shd w:val="clear" w:color="auto" w:fill="FFFFFF"/>
            <w:vAlign w:val="center"/>
          </w:tcPr>
          <w:p w14:paraId="04A5AF97">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格式</w:t>
            </w:r>
          </w:p>
        </w:tc>
      </w:tr>
      <w:tr w14:paraId="6830A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79542319">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申报日期</w:t>
            </w:r>
          </w:p>
        </w:tc>
        <w:tc>
          <w:tcPr>
            <w:tcW w:w="5493" w:type="dxa"/>
            <w:shd w:val="clear" w:color="auto" w:fill="FFFFFF"/>
            <w:vAlign w:val="center"/>
          </w:tcPr>
          <w:p w14:paraId="1F8FED1D">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年月日</w:t>
            </w:r>
          </w:p>
        </w:tc>
      </w:tr>
      <w:tr w14:paraId="45FA6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1E2C7CDB">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申报时间</w:t>
            </w:r>
          </w:p>
        </w:tc>
        <w:tc>
          <w:tcPr>
            <w:tcW w:w="5493" w:type="dxa"/>
            <w:shd w:val="clear" w:color="auto" w:fill="FFFFFF"/>
            <w:vAlign w:val="center"/>
          </w:tcPr>
          <w:p w14:paraId="4B817F77">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时分秒</w:t>
            </w:r>
          </w:p>
        </w:tc>
      </w:tr>
      <w:tr w14:paraId="0EFFA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14389951">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申报方简称</w:t>
            </w:r>
          </w:p>
        </w:tc>
        <w:tc>
          <w:tcPr>
            <w:tcW w:w="5493" w:type="dxa"/>
            <w:shd w:val="clear" w:color="auto" w:fill="FFFFFF"/>
            <w:vAlign w:val="center"/>
          </w:tcPr>
          <w:p w14:paraId="02D67512">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意向申报</w:t>
            </w:r>
            <w:r>
              <w:rPr>
                <w:rFonts w:ascii="仿宋_GB2312" w:eastAsia="仿宋_GB2312"/>
                <w:bCs/>
                <w:iCs/>
                <w:kern w:val="0"/>
                <w:sz w:val="24"/>
                <w:szCs w:val="24"/>
              </w:rPr>
              <w:t>显示为“匿名”</w:t>
            </w:r>
          </w:p>
        </w:tc>
      </w:tr>
      <w:tr w14:paraId="464DA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1C1F25D6">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申报方交易员</w:t>
            </w:r>
          </w:p>
        </w:tc>
        <w:tc>
          <w:tcPr>
            <w:tcW w:w="5493" w:type="dxa"/>
            <w:shd w:val="clear" w:color="auto" w:fill="FFFFFF"/>
            <w:vAlign w:val="center"/>
          </w:tcPr>
          <w:p w14:paraId="016FD7CD">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意向申报</w:t>
            </w:r>
            <w:r>
              <w:rPr>
                <w:rFonts w:ascii="仿宋_GB2312" w:eastAsia="仿宋_GB2312"/>
                <w:bCs/>
                <w:iCs/>
                <w:kern w:val="0"/>
                <w:sz w:val="24"/>
                <w:szCs w:val="24"/>
              </w:rPr>
              <w:t>显示为“匿名”</w:t>
            </w:r>
          </w:p>
        </w:tc>
      </w:tr>
      <w:tr w14:paraId="039AA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3FCBE0C5">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回购金额</w:t>
            </w:r>
          </w:p>
        </w:tc>
        <w:tc>
          <w:tcPr>
            <w:tcW w:w="5493" w:type="dxa"/>
            <w:shd w:val="clear" w:color="auto" w:fill="FFFFFF"/>
            <w:vAlign w:val="center"/>
          </w:tcPr>
          <w:p w14:paraId="5CBC0820">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单位：元（2位小数）</w:t>
            </w:r>
          </w:p>
        </w:tc>
      </w:tr>
      <w:tr w14:paraId="5C29D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4335E303">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回购期限</w:t>
            </w:r>
          </w:p>
        </w:tc>
        <w:tc>
          <w:tcPr>
            <w:tcW w:w="5493" w:type="dxa"/>
            <w:shd w:val="clear" w:color="auto" w:fill="FFFFFF"/>
            <w:vAlign w:val="center"/>
          </w:tcPr>
          <w:p w14:paraId="7CB6E9DC">
            <w:pPr>
              <w:tabs>
                <w:tab w:val="left" w:pos="900"/>
                <w:tab w:val="left" w:pos="1320"/>
              </w:tabs>
              <w:spacing w:after="93" w:afterLines="30"/>
              <w:jc w:val="left"/>
              <w:rPr>
                <w:rFonts w:ascii="仿宋_GB2312" w:eastAsia="仿宋_GB2312"/>
                <w:bCs/>
                <w:iCs/>
                <w:kern w:val="0"/>
                <w:sz w:val="24"/>
                <w:szCs w:val="24"/>
              </w:rPr>
            </w:pPr>
            <w:r>
              <w:rPr>
                <w:rFonts w:ascii="仿宋_GB2312" w:eastAsia="仿宋_GB2312"/>
                <w:bCs/>
                <w:iCs/>
                <w:kern w:val="0"/>
                <w:sz w:val="24"/>
                <w:szCs w:val="24"/>
              </w:rPr>
              <w:t>单位</w:t>
            </w:r>
            <w:r>
              <w:rPr>
                <w:rFonts w:hint="eastAsia" w:ascii="仿宋_GB2312" w:eastAsia="仿宋_GB2312"/>
                <w:bCs/>
                <w:iCs/>
                <w:kern w:val="0"/>
                <w:sz w:val="24"/>
                <w:szCs w:val="24"/>
              </w:rPr>
              <w:t>：天</w:t>
            </w:r>
          </w:p>
        </w:tc>
      </w:tr>
      <w:tr w14:paraId="5A7C8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53B9D822">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回购利率</w:t>
            </w:r>
          </w:p>
        </w:tc>
        <w:tc>
          <w:tcPr>
            <w:tcW w:w="5493" w:type="dxa"/>
            <w:shd w:val="clear" w:color="auto" w:fill="FFFFFF"/>
            <w:vAlign w:val="center"/>
          </w:tcPr>
          <w:p w14:paraId="3A17E532">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04673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66503620">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交易方向</w:t>
            </w:r>
          </w:p>
        </w:tc>
        <w:tc>
          <w:tcPr>
            <w:tcW w:w="5493" w:type="dxa"/>
            <w:shd w:val="clear" w:color="auto" w:fill="FFFFFF"/>
            <w:vAlign w:val="center"/>
          </w:tcPr>
          <w:p w14:paraId="3FEA0AD4">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1.融入</w:t>
            </w:r>
          </w:p>
          <w:p w14:paraId="03CD4424">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2.融出</w:t>
            </w:r>
          </w:p>
        </w:tc>
      </w:tr>
      <w:tr w14:paraId="50F23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312EFA52">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申报方式</w:t>
            </w:r>
          </w:p>
        </w:tc>
        <w:tc>
          <w:tcPr>
            <w:tcW w:w="5493" w:type="dxa"/>
            <w:shd w:val="clear" w:color="auto" w:fill="FFFFFF"/>
            <w:vAlign w:val="center"/>
          </w:tcPr>
          <w:p w14:paraId="6F190C1D">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1.意向申报</w:t>
            </w:r>
          </w:p>
        </w:tc>
      </w:tr>
      <w:tr w14:paraId="058AC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1DB23C2E">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押券类型</w:t>
            </w:r>
          </w:p>
        </w:tc>
        <w:tc>
          <w:tcPr>
            <w:tcW w:w="5493" w:type="dxa"/>
            <w:shd w:val="clear" w:color="auto" w:fill="FFFFFF"/>
            <w:vAlign w:val="center"/>
          </w:tcPr>
          <w:p w14:paraId="24756E2E">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押利率、押</w:t>
            </w:r>
            <w:r>
              <w:rPr>
                <w:rFonts w:ascii="仿宋_GB2312" w:eastAsia="仿宋_GB2312"/>
                <w:bCs/>
                <w:iCs/>
                <w:kern w:val="0"/>
                <w:sz w:val="24"/>
                <w:szCs w:val="24"/>
              </w:rPr>
              <w:t>AAA</w:t>
            </w:r>
            <w:r>
              <w:rPr>
                <w:rFonts w:hint="eastAsia" w:ascii="仿宋_GB2312" w:eastAsia="仿宋_GB2312"/>
                <w:bCs/>
                <w:iCs/>
                <w:kern w:val="0"/>
                <w:sz w:val="24"/>
                <w:szCs w:val="24"/>
              </w:rPr>
              <w:t>、押</w:t>
            </w:r>
            <w:r>
              <w:rPr>
                <w:rFonts w:ascii="仿宋_GB2312" w:eastAsia="仿宋_GB2312"/>
                <w:bCs/>
                <w:iCs/>
                <w:kern w:val="0"/>
                <w:sz w:val="24"/>
                <w:szCs w:val="24"/>
              </w:rPr>
              <w:t>AA+</w:t>
            </w:r>
            <w:r>
              <w:rPr>
                <w:rFonts w:hint="eastAsia" w:ascii="仿宋_GB2312" w:eastAsia="仿宋_GB2312"/>
                <w:bCs/>
                <w:iCs/>
                <w:kern w:val="0"/>
                <w:sz w:val="24"/>
                <w:szCs w:val="24"/>
              </w:rPr>
              <w:t>、押</w:t>
            </w:r>
            <w:r>
              <w:rPr>
                <w:rFonts w:ascii="仿宋_GB2312" w:eastAsia="仿宋_GB2312"/>
                <w:bCs/>
                <w:iCs/>
                <w:kern w:val="0"/>
                <w:sz w:val="24"/>
                <w:szCs w:val="24"/>
              </w:rPr>
              <w:t>AA</w:t>
            </w:r>
            <w:r>
              <w:rPr>
                <w:rFonts w:hint="eastAsia" w:ascii="仿宋_GB2312" w:eastAsia="仿宋_GB2312"/>
                <w:bCs/>
                <w:iCs/>
                <w:kern w:val="0"/>
                <w:sz w:val="24"/>
                <w:szCs w:val="24"/>
              </w:rPr>
              <w:t>、押国企、押非过剩、宽松等多种类型（备注类信息）</w:t>
            </w:r>
          </w:p>
        </w:tc>
      </w:tr>
    </w:tbl>
    <w:p w14:paraId="67DA3227">
      <w:pPr>
        <w:spacing w:line="600" w:lineRule="exact"/>
        <w:ind w:firstLine="602" w:firstLineChars="200"/>
        <w:outlineLvl w:val="3"/>
        <w:rPr>
          <w:rFonts w:ascii="仿宋_GB2312" w:eastAsia="仿宋_GB2312"/>
          <w:b/>
          <w:sz w:val="30"/>
          <w:szCs w:val="30"/>
        </w:rPr>
      </w:pPr>
      <w:r>
        <w:rPr>
          <w:rFonts w:hint="eastAsia" w:ascii="仿宋_GB2312" w:eastAsia="仿宋_GB2312"/>
          <w:b/>
          <w:sz w:val="30"/>
          <w:szCs w:val="30"/>
        </w:rPr>
        <w:t>（3）三方回购</w:t>
      </w:r>
    </w:p>
    <w:p w14:paraId="1B819E75">
      <w:pPr>
        <w:widowControl/>
        <w:spacing w:line="600" w:lineRule="exact"/>
        <w:ind w:firstLine="564" w:firstLineChars="188"/>
        <w:jc w:val="left"/>
        <w:rPr>
          <w:rFonts w:ascii="仿宋_GB2312" w:hAnsi="宋体" w:eastAsia="仿宋_GB2312"/>
          <w:sz w:val="30"/>
          <w:szCs w:val="30"/>
        </w:rPr>
      </w:pPr>
      <w:r>
        <w:rPr>
          <w:rFonts w:hint="eastAsia" w:ascii="仿宋_GB2312" w:hAnsi="宋体" w:eastAsia="仿宋_GB2312"/>
          <w:sz w:val="30"/>
          <w:szCs w:val="30"/>
        </w:rPr>
        <w:t>对于</w:t>
      </w:r>
      <w:r>
        <w:rPr>
          <w:rFonts w:hint="eastAsia" w:ascii="仿宋_GB2312" w:hAnsi="宋体" w:eastAsia="仿宋_GB2312" w:cs="宋体"/>
          <w:kern w:val="0"/>
          <w:sz w:val="30"/>
          <w:szCs w:val="30"/>
        </w:rPr>
        <w:t>三方回购</w:t>
      </w:r>
      <w:r>
        <w:rPr>
          <w:rFonts w:hint="eastAsia" w:ascii="仿宋_GB2312" w:hAnsi="宋体" w:eastAsia="仿宋_GB2312"/>
          <w:sz w:val="30"/>
          <w:szCs w:val="30"/>
        </w:rPr>
        <w:t>，本所逐笔发布债券投资者向全市场发送的意向申报信息，包括回购金额、回购利率、申报方向等信息。</w:t>
      </w:r>
    </w:p>
    <w:p w14:paraId="7955AE2B">
      <w:pPr>
        <w:widowControl/>
        <w:spacing w:line="600" w:lineRule="exact"/>
        <w:ind w:firstLine="564" w:firstLineChars="188"/>
        <w:jc w:val="left"/>
        <w:rPr>
          <w:rFonts w:ascii="仿宋_GB2312" w:hAnsi="宋体" w:eastAsia="仿宋_GB2312" w:cs="宋体"/>
          <w:kern w:val="0"/>
          <w:sz w:val="30"/>
          <w:szCs w:val="30"/>
        </w:rPr>
      </w:pPr>
      <w:r>
        <w:rPr>
          <w:rFonts w:hint="eastAsia" w:ascii="仿宋_GB2312" w:hAnsi="宋体" w:eastAsia="仿宋_GB2312" w:cs="宋体"/>
          <w:kern w:val="0"/>
          <w:sz w:val="30"/>
          <w:szCs w:val="30"/>
        </w:rPr>
        <w:t>三方回购的逐笔申报行情中的质押券篮子包括篮子1、篮子2、篮子3、篮子4、篮子5、篮子6、篮子7、篮子8、不限等多种类型（</w:t>
      </w:r>
      <w:r>
        <w:rPr>
          <w:rFonts w:hint="eastAsia" w:ascii="仿宋_GB2312" w:hAnsi="Calibri" w:eastAsia="仿宋_GB2312"/>
          <w:sz w:val="30"/>
          <w:szCs w:val="30"/>
        </w:rPr>
        <w:t>具体“质押券篮子”信息详见本指南第7章</w:t>
      </w:r>
      <w:r>
        <w:rPr>
          <w:rFonts w:hint="eastAsia" w:ascii="仿宋_GB2312" w:hAnsi="宋体" w:eastAsia="仿宋_GB2312" w:cs="宋体"/>
          <w:kern w:val="0"/>
          <w:sz w:val="30"/>
          <w:szCs w:val="30"/>
        </w:rPr>
        <w:t>），可多个篮子，与新债券交易系统中发起申报的标签相一致。行情要素中回购利率非必填项。</w:t>
      </w:r>
    </w:p>
    <w:tbl>
      <w:tblPr>
        <w:tblStyle w:val="43"/>
        <w:tblW w:w="7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2316"/>
        <w:gridCol w:w="5493"/>
      </w:tblGrid>
      <w:tr w14:paraId="767F2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2316" w:type="dxa"/>
            <w:shd w:val="clear" w:color="auto" w:fill="FFFFFF"/>
            <w:vAlign w:val="center"/>
          </w:tcPr>
          <w:p w14:paraId="778AAE6F">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要素名称</w:t>
            </w:r>
          </w:p>
        </w:tc>
        <w:tc>
          <w:tcPr>
            <w:tcW w:w="5493" w:type="dxa"/>
            <w:shd w:val="clear" w:color="auto" w:fill="FFFFFF"/>
            <w:vAlign w:val="center"/>
          </w:tcPr>
          <w:p w14:paraId="12AE1E14">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要素说明</w:t>
            </w:r>
          </w:p>
        </w:tc>
      </w:tr>
      <w:tr w14:paraId="1A5BF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5088262E">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申报日期</w:t>
            </w:r>
          </w:p>
        </w:tc>
        <w:tc>
          <w:tcPr>
            <w:tcW w:w="5493" w:type="dxa"/>
            <w:shd w:val="clear" w:color="auto" w:fill="FFFFFF"/>
            <w:vAlign w:val="center"/>
          </w:tcPr>
          <w:p w14:paraId="6C618F4E">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年月日</w:t>
            </w:r>
          </w:p>
        </w:tc>
      </w:tr>
      <w:tr w14:paraId="258BC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157CC2B2">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申报时间</w:t>
            </w:r>
          </w:p>
        </w:tc>
        <w:tc>
          <w:tcPr>
            <w:tcW w:w="5493" w:type="dxa"/>
            <w:shd w:val="clear" w:color="auto" w:fill="FFFFFF"/>
            <w:vAlign w:val="center"/>
          </w:tcPr>
          <w:p w14:paraId="64EDED30">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时分秒</w:t>
            </w:r>
          </w:p>
        </w:tc>
      </w:tr>
      <w:tr w14:paraId="3482B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101D3B8C">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申报方简称</w:t>
            </w:r>
          </w:p>
        </w:tc>
        <w:tc>
          <w:tcPr>
            <w:tcW w:w="5493" w:type="dxa"/>
            <w:shd w:val="clear" w:color="auto" w:fill="FFFFFF"/>
            <w:vAlign w:val="center"/>
          </w:tcPr>
          <w:p w14:paraId="5F5D52D7">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意向申报</w:t>
            </w:r>
            <w:r>
              <w:rPr>
                <w:rFonts w:ascii="仿宋_GB2312" w:eastAsia="仿宋_GB2312"/>
                <w:bCs/>
                <w:iCs/>
                <w:kern w:val="0"/>
                <w:sz w:val="24"/>
                <w:szCs w:val="24"/>
              </w:rPr>
              <w:t>显示为“匿名”</w:t>
            </w:r>
          </w:p>
        </w:tc>
      </w:tr>
      <w:tr w14:paraId="334CB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0A638A1F">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申报方交易员</w:t>
            </w:r>
          </w:p>
        </w:tc>
        <w:tc>
          <w:tcPr>
            <w:tcW w:w="5493" w:type="dxa"/>
            <w:shd w:val="clear" w:color="auto" w:fill="FFFFFF"/>
            <w:vAlign w:val="center"/>
          </w:tcPr>
          <w:p w14:paraId="76666741">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意向申报</w:t>
            </w:r>
            <w:r>
              <w:rPr>
                <w:rFonts w:ascii="仿宋_GB2312" w:eastAsia="仿宋_GB2312"/>
                <w:bCs/>
                <w:iCs/>
                <w:kern w:val="0"/>
                <w:sz w:val="24"/>
                <w:szCs w:val="24"/>
              </w:rPr>
              <w:t>显示为“匿名”</w:t>
            </w:r>
          </w:p>
        </w:tc>
      </w:tr>
      <w:tr w14:paraId="41BCC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75335554">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回购金额</w:t>
            </w:r>
          </w:p>
        </w:tc>
        <w:tc>
          <w:tcPr>
            <w:tcW w:w="5493" w:type="dxa"/>
            <w:shd w:val="clear" w:color="auto" w:fill="FFFFFF"/>
            <w:vAlign w:val="center"/>
          </w:tcPr>
          <w:p w14:paraId="0F6AA832">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单位：元（2位小数）</w:t>
            </w:r>
          </w:p>
        </w:tc>
      </w:tr>
      <w:tr w14:paraId="0C896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588AE888">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回购期限</w:t>
            </w:r>
          </w:p>
        </w:tc>
        <w:tc>
          <w:tcPr>
            <w:tcW w:w="5493" w:type="dxa"/>
            <w:shd w:val="clear" w:color="auto" w:fill="FFFFFF"/>
            <w:vAlign w:val="center"/>
          </w:tcPr>
          <w:p w14:paraId="1D723BBB">
            <w:pPr>
              <w:tabs>
                <w:tab w:val="left" w:pos="900"/>
                <w:tab w:val="left" w:pos="1320"/>
              </w:tabs>
              <w:spacing w:after="93" w:afterLines="30"/>
              <w:jc w:val="left"/>
              <w:rPr>
                <w:rFonts w:ascii="仿宋_GB2312" w:eastAsia="仿宋_GB2312"/>
                <w:bCs/>
                <w:iCs/>
                <w:kern w:val="0"/>
                <w:sz w:val="24"/>
                <w:szCs w:val="24"/>
              </w:rPr>
            </w:pPr>
            <w:r>
              <w:rPr>
                <w:rFonts w:ascii="仿宋_GB2312" w:eastAsia="仿宋_GB2312"/>
                <w:bCs/>
                <w:iCs/>
                <w:kern w:val="0"/>
                <w:sz w:val="24"/>
                <w:szCs w:val="24"/>
              </w:rPr>
              <w:t>单位</w:t>
            </w:r>
            <w:r>
              <w:rPr>
                <w:rFonts w:hint="eastAsia" w:ascii="仿宋_GB2312" w:eastAsia="仿宋_GB2312"/>
                <w:bCs/>
                <w:iCs/>
                <w:kern w:val="0"/>
                <w:sz w:val="24"/>
                <w:szCs w:val="24"/>
              </w:rPr>
              <w:t>：天</w:t>
            </w:r>
          </w:p>
        </w:tc>
      </w:tr>
      <w:tr w14:paraId="61C16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5C2FBD82">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回购利率</w:t>
            </w:r>
          </w:p>
        </w:tc>
        <w:tc>
          <w:tcPr>
            <w:tcW w:w="5493" w:type="dxa"/>
            <w:shd w:val="clear" w:color="auto" w:fill="FFFFFF"/>
            <w:vAlign w:val="center"/>
          </w:tcPr>
          <w:p w14:paraId="4919CDB5">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48DB1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4858160B">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交易方向</w:t>
            </w:r>
          </w:p>
        </w:tc>
        <w:tc>
          <w:tcPr>
            <w:tcW w:w="5493" w:type="dxa"/>
            <w:shd w:val="clear" w:color="auto" w:fill="FFFFFF"/>
            <w:vAlign w:val="center"/>
          </w:tcPr>
          <w:p w14:paraId="79320B5B">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1.融入</w:t>
            </w:r>
          </w:p>
          <w:p w14:paraId="12749A27">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2.融出</w:t>
            </w:r>
          </w:p>
        </w:tc>
      </w:tr>
      <w:tr w14:paraId="06F26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46B8861A">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申报方式</w:t>
            </w:r>
          </w:p>
        </w:tc>
        <w:tc>
          <w:tcPr>
            <w:tcW w:w="5493" w:type="dxa"/>
            <w:shd w:val="clear" w:color="auto" w:fill="FFFFFF"/>
            <w:vAlign w:val="center"/>
          </w:tcPr>
          <w:p w14:paraId="2AD04D31">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1.意向申报</w:t>
            </w:r>
          </w:p>
        </w:tc>
      </w:tr>
      <w:tr w14:paraId="2882E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6F0C4F43">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质押券篮子</w:t>
            </w:r>
          </w:p>
        </w:tc>
        <w:tc>
          <w:tcPr>
            <w:tcW w:w="5493" w:type="dxa"/>
            <w:shd w:val="clear" w:color="auto" w:fill="FFFFFF"/>
            <w:vAlign w:val="center"/>
          </w:tcPr>
          <w:p w14:paraId="109E87AC">
            <w:pPr>
              <w:tabs>
                <w:tab w:val="left" w:pos="900"/>
                <w:tab w:val="left" w:pos="1320"/>
              </w:tabs>
              <w:spacing w:after="93" w:afterLines="30"/>
              <w:jc w:val="left"/>
              <w:rPr>
                <w:rFonts w:ascii="仿宋_GB2312" w:eastAsia="仿宋_GB2312"/>
                <w:b/>
                <w:bCs/>
                <w:iCs/>
                <w:kern w:val="0"/>
                <w:sz w:val="24"/>
                <w:szCs w:val="24"/>
              </w:rPr>
            </w:pPr>
          </w:p>
        </w:tc>
      </w:tr>
    </w:tbl>
    <w:p w14:paraId="636FBCFF">
      <w:pPr>
        <w:numPr>
          <w:ilvl w:val="2"/>
          <w:numId w:val="4"/>
        </w:numPr>
        <w:spacing w:line="600" w:lineRule="exact"/>
        <w:ind w:left="0" w:firstLine="0"/>
        <w:outlineLvl w:val="2"/>
        <w:rPr>
          <w:rFonts w:ascii="仿宋_GB2312" w:eastAsia="仿宋_GB2312"/>
          <w:b/>
          <w:sz w:val="30"/>
          <w:szCs w:val="30"/>
        </w:rPr>
      </w:pPr>
      <w:bookmarkStart w:id="2610" w:name="_Toc12542896"/>
      <w:bookmarkEnd w:id="2610"/>
      <w:bookmarkStart w:id="2611" w:name="_Toc12542569"/>
      <w:bookmarkEnd w:id="2611"/>
      <w:bookmarkStart w:id="2612" w:name="_Toc12542895"/>
      <w:bookmarkEnd w:id="2612"/>
      <w:bookmarkStart w:id="2613" w:name="_Toc12542568"/>
      <w:bookmarkEnd w:id="2613"/>
      <w:bookmarkStart w:id="2614" w:name="_Toc47467044"/>
      <w:r>
        <w:rPr>
          <w:rFonts w:hint="eastAsia" w:ascii="仿宋_GB2312" w:eastAsia="仿宋_GB2312"/>
          <w:b/>
          <w:sz w:val="30"/>
          <w:szCs w:val="30"/>
        </w:rPr>
        <w:t>逐笔成交行情</w:t>
      </w:r>
      <w:bookmarkEnd w:id="2614"/>
    </w:p>
    <w:p w14:paraId="36171232">
      <w:pPr>
        <w:widowControl/>
        <w:spacing w:line="600" w:lineRule="exact"/>
        <w:ind w:firstLine="564" w:firstLineChars="188"/>
        <w:jc w:val="left"/>
        <w:rPr>
          <w:rFonts w:ascii="仿宋_GB2312" w:hAnsi="宋体" w:eastAsia="仿宋_GB2312" w:cs="宋体"/>
          <w:kern w:val="0"/>
          <w:sz w:val="30"/>
          <w:szCs w:val="30"/>
        </w:rPr>
      </w:pPr>
      <w:r>
        <w:rPr>
          <w:rFonts w:hint="eastAsia" w:ascii="仿宋_GB2312" w:hAnsi="宋体" w:eastAsia="仿宋_GB2312" w:cs="宋体"/>
          <w:kern w:val="0"/>
          <w:sz w:val="30"/>
          <w:szCs w:val="30"/>
        </w:rPr>
        <w:t>逐笔成交行情适用于债券现券、协议回购、三方回购等产品。</w:t>
      </w:r>
    </w:p>
    <w:p w14:paraId="36BB8326">
      <w:pPr>
        <w:widowControl/>
        <w:spacing w:line="600" w:lineRule="exact"/>
        <w:ind w:firstLine="564" w:firstLineChars="188"/>
        <w:jc w:val="left"/>
        <w:rPr>
          <w:rFonts w:ascii="仿宋_GB2312" w:hAnsi="宋体" w:eastAsia="仿宋_GB2312" w:cs="宋体"/>
          <w:kern w:val="0"/>
          <w:sz w:val="30"/>
          <w:szCs w:val="30"/>
        </w:rPr>
      </w:pPr>
      <w:r>
        <w:rPr>
          <w:rFonts w:hint="eastAsia" w:ascii="仿宋_GB2312" w:hAnsi="宋体" w:eastAsia="仿宋_GB2312" w:cs="宋体"/>
          <w:kern w:val="0"/>
          <w:sz w:val="30"/>
          <w:szCs w:val="30"/>
        </w:rPr>
        <w:t>逐笔成交行情不包括多主体中标方式的竞买达成的交易信息，</w:t>
      </w:r>
      <w:r>
        <w:rPr>
          <w:rFonts w:hint="eastAsia" w:ascii="仿宋_GB2312" w:eastAsia="仿宋_GB2312"/>
          <w:b/>
          <w:bCs/>
          <w:color w:val="000000"/>
          <w:sz w:val="30"/>
          <w:szCs w:val="30"/>
        </w:rPr>
        <w:t>《债券交易规则》第一百一十七条发布债券现券匹配成交大额逐笔成交行情的规定暂缓实施</w:t>
      </w:r>
      <w:r>
        <w:rPr>
          <w:rFonts w:hint="eastAsia" w:ascii="仿宋_GB2312" w:hAnsi="宋体" w:eastAsia="仿宋_GB2312" w:cs="宋体"/>
          <w:b/>
          <w:bCs/>
          <w:kern w:val="0"/>
          <w:sz w:val="30"/>
          <w:szCs w:val="30"/>
        </w:rPr>
        <w:t>。</w:t>
      </w:r>
    </w:p>
    <w:p w14:paraId="763C1D38">
      <w:pPr>
        <w:keepNext/>
        <w:keepLines/>
        <w:spacing w:line="600" w:lineRule="exact"/>
        <w:ind w:firstLine="602" w:firstLineChars="200"/>
        <w:jc w:val="left"/>
        <w:outlineLvl w:val="3"/>
        <w:rPr>
          <w:rFonts w:ascii="仿宋_GB2312" w:hAnsi="Cambria" w:eastAsia="仿宋_GB2312"/>
          <w:b/>
          <w:bCs/>
          <w:kern w:val="0"/>
          <w:sz w:val="30"/>
          <w:szCs w:val="30"/>
        </w:rPr>
      </w:pPr>
      <w:r>
        <w:rPr>
          <w:rFonts w:hint="eastAsia" w:ascii="仿宋_GB2312" w:hAnsi="Cambria" w:eastAsia="仿宋_GB2312"/>
          <w:b/>
          <w:bCs/>
          <w:kern w:val="0"/>
          <w:sz w:val="30"/>
          <w:szCs w:val="30"/>
        </w:rPr>
        <w:t>（1）债券现券</w:t>
      </w:r>
    </w:p>
    <w:p w14:paraId="02D739C7">
      <w:pPr>
        <w:spacing w:line="600" w:lineRule="exact"/>
        <w:ind w:firstLine="564" w:firstLineChars="188"/>
        <w:rPr>
          <w:rFonts w:ascii="仿宋_GB2312" w:hAnsi="宋体" w:eastAsia="仿宋_GB2312"/>
          <w:sz w:val="30"/>
          <w:szCs w:val="30"/>
        </w:rPr>
      </w:pPr>
      <w:r>
        <w:rPr>
          <w:rFonts w:hint="eastAsia" w:ascii="仿宋_GB2312" w:hAnsi="宋体" w:eastAsia="仿宋_GB2312" w:cs="宋体"/>
          <w:kern w:val="0"/>
          <w:sz w:val="30"/>
          <w:szCs w:val="30"/>
        </w:rPr>
        <w:t>对于债券现券，本所逐笔发布债券投资者</w:t>
      </w:r>
      <w:r>
        <w:rPr>
          <w:rFonts w:hint="eastAsia" w:ascii="仿宋_GB2312" w:hAnsi="宋体" w:eastAsia="仿宋_GB2312"/>
          <w:sz w:val="30"/>
          <w:szCs w:val="30"/>
        </w:rPr>
        <w:t>通过</w:t>
      </w:r>
      <w:r>
        <w:rPr>
          <w:rFonts w:hint="eastAsia" w:ascii="仿宋_GB2312" w:hAnsi="宋体" w:eastAsia="仿宋_GB2312" w:cs="宋体"/>
          <w:kern w:val="0"/>
          <w:sz w:val="30"/>
          <w:szCs w:val="30"/>
        </w:rPr>
        <w:t>点击成交、询价成交、竞买成交（单一主体中标方式）、协商成交（含合并申报方式）方式达成交易的成交行情，包括</w:t>
      </w:r>
      <w:r>
        <w:rPr>
          <w:rFonts w:hint="eastAsia" w:ascii="仿宋_GB2312" w:hAnsi="宋体" w:eastAsia="仿宋_GB2312"/>
          <w:sz w:val="30"/>
          <w:szCs w:val="30"/>
        </w:rPr>
        <w:t>交易时间、成交价格、到期收益率、交易方式等信息。具体如下：</w:t>
      </w:r>
    </w:p>
    <w:tbl>
      <w:tblPr>
        <w:tblStyle w:val="43"/>
        <w:tblW w:w="7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2316"/>
        <w:gridCol w:w="5493"/>
      </w:tblGrid>
      <w:tr w14:paraId="4A4B4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31" w:hRule="atLeast"/>
          <w:jc w:val="center"/>
        </w:trPr>
        <w:tc>
          <w:tcPr>
            <w:tcW w:w="2316" w:type="dxa"/>
            <w:shd w:val="clear" w:color="auto" w:fill="FFFFFF"/>
            <w:vAlign w:val="center"/>
          </w:tcPr>
          <w:p w14:paraId="771058C6">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要素名称</w:t>
            </w:r>
          </w:p>
        </w:tc>
        <w:tc>
          <w:tcPr>
            <w:tcW w:w="5493" w:type="dxa"/>
            <w:shd w:val="clear" w:color="auto" w:fill="FFFFFF"/>
            <w:vAlign w:val="center"/>
          </w:tcPr>
          <w:p w14:paraId="59470356">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要素说明</w:t>
            </w:r>
          </w:p>
        </w:tc>
      </w:tr>
      <w:tr w14:paraId="6384F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4597D229">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证券代码</w:t>
            </w:r>
          </w:p>
        </w:tc>
        <w:tc>
          <w:tcPr>
            <w:tcW w:w="5493" w:type="dxa"/>
            <w:shd w:val="clear" w:color="auto" w:fill="FFFFFF"/>
            <w:vAlign w:val="center"/>
          </w:tcPr>
          <w:p w14:paraId="52B5881A">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债券代码</w:t>
            </w:r>
          </w:p>
        </w:tc>
      </w:tr>
      <w:tr w14:paraId="5983B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3C45F3F4">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证券简称</w:t>
            </w:r>
          </w:p>
        </w:tc>
        <w:tc>
          <w:tcPr>
            <w:tcW w:w="5493" w:type="dxa"/>
            <w:shd w:val="clear" w:color="auto" w:fill="FFFFFF"/>
            <w:vAlign w:val="center"/>
          </w:tcPr>
          <w:p w14:paraId="026E9414">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债券简称</w:t>
            </w:r>
          </w:p>
        </w:tc>
      </w:tr>
      <w:tr w14:paraId="10C76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351802DD">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交易日期</w:t>
            </w:r>
          </w:p>
        </w:tc>
        <w:tc>
          <w:tcPr>
            <w:tcW w:w="5493" w:type="dxa"/>
            <w:shd w:val="clear" w:color="auto" w:fill="FFFFFF"/>
            <w:vAlign w:val="center"/>
          </w:tcPr>
          <w:p w14:paraId="1A25E2C5">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年月日</w:t>
            </w:r>
          </w:p>
        </w:tc>
      </w:tr>
      <w:tr w14:paraId="68711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6EC2301B">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交易时间</w:t>
            </w:r>
          </w:p>
        </w:tc>
        <w:tc>
          <w:tcPr>
            <w:tcW w:w="5493" w:type="dxa"/>
            <w:shd w:val="clear" w:color="auto" w:fill="FFFFFF"/>
            <w:vAlign w:val="center"/>
          </w:tcPr>
          <w:p w14:paraId="0C3C77B8">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时分秒</w:t>
            </w:r>
          </w:p>
        </w:tc>
      </w:tr>
      <w:tr w14:paraId="38685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3527276F">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成交价格</w:t>
            </w:r>
          </w:p>
        </w:tc>
        <w:tc>
          <w:tcPr>
            <w:tcW w:w="5493" w:type="dxa"/>
            <w:shd w:val="clear" w:color="auto" w:fill="FFFFFF"/>
            <w:vAlign w:val="center"/>
          </w:tcPr>
          <w:p w14:paraId="523B8886">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05322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48F52A79">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到期收益率</w:t>
            </w:r>
          </w:p>
        </w:tc>
        <w:tc>
          <w:tcPr>
            <w:tcW w:w="5493" w:type="dxa"/>
            <w:shd w:val="clear" w:color="auto" w:fill="FFFFFF"/>
            <w:vAlign w:val="center"/>
          </w:tcPr>
          <w:p w14:paraId="2FCC0504">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61AEC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69540480">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交易方式</w:t>
            </w:r>
          </w:p>
        </w:tc>
        <w:tc>
          <w:tcPr>
            <w:tcW w:w="5493" w:type="dxa"/>
            <w:shd w:val="clear" w:color="auto" w:fill="FFFFFF"/>
            <w:vAlign w:val="center"/>
          </w:tcPr>
          <w:p w14:paraId="0F382639">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1.点击成交；2.询价成交；3.竞买成交；4.协商成交</w:t>
            </w:r>
          </w:p>
        </w:tc>
      </w:tr>
    </w:tbl>
    <w:p w14:paraId="164BA0AA">
      <w:pPr>
        <w:spacing w:line="600" w:lineRule="exact"/>
        <w:ind w:firstLine="600" w:firstLineChars="200"/>
        <w:rPr>
          <w:rFonts w:ascii="仿宋_GB2312" w:hAnsi="宋体" w:eastAsia="仿宋_GB2312" w:cs="宋体"/>
          <w:kern w:val="0"/>
          <w:sz w:val="30"/>
          <w:szCs w:val="30"/>
        </w:rPr>
      </w:pPr>
      <w:r>
        <w:rPr>
          <w:rFonts w:hint="eastAsia" w:ascii="仿宋_GB2312" w:hAnsi="宋体" w:eastAsia="仿宋_GB2312" w:cs="宋体"/>
          <w:kern w:val="0"/>
          <w:sz w:val="30"/>
          <w:szCs w:val="30"/>
        </w:rPr>
        <w:t>通过协商成交（合并申报）</w:t>
      </w:r>
      <w:r>
        <w:rPr>
          <w:rFonts w:hint="eastAsia" w:ascii="仿宋_GB2312" w:hAnsi="宋体" w:eastAsia="仿宋_GB2312"/>
          <w:sz w:val="30"/>
          <w:szCs w:val="30"/>
        </w:rPr>
        <w:t>交易方式</w:t>
      </w:r>
      <w:r>
        <w:rPr>
          <w:rFonts w:hint="eastAsia" w:ascii="仿宋_GB2312" w:hAnsi="宋体" w:eastAsia="仿宋_GB2312" w:cs="宋体"/>
          <w:kern w:val="0"/>
          <w:sz w:val="30"/>
          <w:szCs w:val="30"/>
        </w:rPr>
        <w:t>达成的债券现券交易，在逐笔成交行情中交易方式展示为两笔协商成交的成交行情。</w:t>
      </w:r>
    </w:p>
    <w:p w14:paraId="64015F09">
      <w:pPr>
        <w:keepNext/>
        <w:keepLines/>
        <w:spacing w:line="600" w:lineRule="exact"/>
        <w:ind w:firstLine="602" w:firstLineChars="200"/>
        <w:jc w:val="left"/>
        <w:outlineLvl w:val="3"/>
        <w:rPr>
          <w:rFonts w:ascii="仿宋_GB2312" w:hAnsi="Cambria" w:eastAsia="仿宋_GB2312"/>
          <w:b/>
          <w:bCs/>
          <w:kern w:val="0"/>
          <w:sz w:val="30"/>
          <w:szCs w:val="30"/>
        </w:rPr>
      </w:pPr>
      <w:r>
        <w:rPr>
          <w:rFonts w:hint="eastAsia" w:ascii="仿宋_GB2312" w:hAnsi="Cambria" w:eastAsia="仿宋_GB2312"/>
          <w:b/>
          <w:bCs/>
          <w:kern w:val="0"/>
          <w:sz w:val="30"/>
          <w:szCs w:val="30"/>
        </w:rPr>
        <w:t>（2）协议回购</w:t>
      </w:r>
    </w:p>
    <w:p w14:paraId="46F7904D">
      <w:pPr>
        <w:spacing w:line="600" w:lineRule="exact"/>
        <w:ind w:firstLine="600" w:firstLineChars="200"/>
        <w:rPr>
          <w:rFonts w:ascii="仿宋_GB2312" w:hAnsi="宋体" w:eastAsia="仿宋_GB2312"/>
          <w:sz w:val="30"/>
          <w:szCs w:val="30"/>
        </w:rPr>
      </w:pPr>
      <w:r>
        <w:rPr>
          <w:rFonts w:hint="eastAsia" w:ascii="仿宋_GB2312" w:hAnsi="宋体" w:eastAsia="仿宋_GB2312" w:cs="宋体"/>
          <w:kern w:val="0"/>
          <w:sz w:val="30"/>
          <w:szCs w:val="30"/>
        </w:rPr>
        <w:t>对于协议回购，本所逐笔发布债券投资者通过协商成交方式达成交易的成交行情，</w:t>
      </w:r>
      <w:r>
        <w:rPr>
          <w:rFonts w:hint="eastAsia" w:ascii="仿宋_GB2312" w:hAnsi="宋体" w:eastAsia="仿宋_GB2312"/>
          <w:sz w:val="30"/>
          <w:szCs w:val="30"/>
        </w:rPr>
        <w:t>包括回购利率、回购期限、交易方式等信息。具体如下：</w:t>
      </w:r>
    </w:p>
    <w:tbl>
      <w:tblPr>
        <w:tblStyle w:val="43"/>
        <w:tblW w:w="7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2316"/>
        <w:gridCol w:w="5493"/>
      </w:tblGrid>
      <w:tr w14:paraId="677C2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2316" w:type="dxa"/>
            <w:shd w:val="clear" w:color="auto" w:fill="FFFFFF"/>
            <w:vAlign w:val="center"/>
          </w:tcPr>
          <w:p w14:paraId="55601171">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要素名称</w:t>
            </w:r>
          </w:p>
        </w:tc>
        <w:tc>
          <w:tcPr>
            <w:tcW w:w="5493" w:type="dxa"/>
            <w:shd w:val="clear" w:color="auto" w:fill="FFFFFF"/>
            <w:vAlign w:val="center"/>
          </w:tcPr>
          <w:p w14:paraId="04A2EE1D">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要素说明</w:t>
            </w:r>
          </w:p>
        </w:tc>
      </w:tr>
      <w:tr w14:paraId="2E085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64AD906D">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交易日期</w:t>
            </w:r>
          </w:p>
        </w:tc>
        <w:tc>
          <w:tcPr>
            <w:tcW w:w="5493" w:type="dxa"/>
            <w:shd w:val="clear" w:color="auto" w:fill="FFFFFF"/>
            <w:vAlign w:val="center"/>
          </w:tcPr>
          <w:p w14:paraId="52854576">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年月日</w:t>
            </w:r>
          </w:p>
        </w:tc>
      </w:tr>
      <w:tr w14:paraId="139AF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225D3C4D">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交易时间</w:t>
            </w:r>
          </w:p>
        </w:tc>
        <w:tc>
          <w:tcPr>
            <w:tcW w:w="5493" w:type="dxa"/>
            <w:shd w:val="clear" w:color="auto" w:fill="FFFFFF"/>
            <w:vAlign w:val="center"/>
          </w:tcPr>
          <w:p w14:paraId="771C8665">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时分秒</w:t>
            </w:r>
          </w:p>
        </w:tc>
      </w:tr>
      <w:tr w14:paraId="18EBD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446358E1">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回购期限</w:t>
            </w:r>
          </w:p>
        </w:tc>
        <w:tc>
          <w:tcPr>
            <w:tcW w:w="5493" w:type="dxa"/>
            <w:shd w:val="clear" w:color="auto" w:fill="FFFFFF"/>
            <w:vAlign w:val="center"/>
          </w:tcPr>
          <w:p w14:paraId="1E6B6BA2">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协议回购约定期限，单位：天</w:t>
            </w:r>
          </w:p>
        </w:tc>
      </w:tr>
      <w:tr w14:paraId="5D167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1A38BE46">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回购利率</w:t>
            </w:r>
          </w:p>
        </w:tc>
        <w:tc>
          <w:tcPr>
            <w:tcW w:w="5493" w:type="dxa"/>
            <w:shd w:val="clear" w:color="auto" w:fill="FFFFFF"/>
            <w:vAlign w:val="center"/>
          </w:tcPr>
          <w:p w14:paraId="267180BC">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6FB2F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3EF90179">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交易方式</w:t>
            </w:r>
          </w:p>
        </w:tc>
        <w:tc>
          <w:tcPr>
            <w:tcW w:w="5493" w:type="dxa"/>
            <w:shd w:val="clear" w:color="auto" w:fill="FFFFFF"/>
            <w:vAlign w:val="center"/>
          </w:tcPr>
          <w:p w14:paraId="37230D58">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1.协商成交</w:t>
            </w:r>
          </w:p>
        </w:tc>
      </w:tr>
    </w:tbl>
    <w:p w14:paraId="610F2893">
      <w:pPr>
        <w:keepNext/>
        <w:keepLines/>
        <w:spacing w:line="600" w:lineRule="exact"/>
        <w:ind w:firstLine="602" w:firstLineChars="200"/>
        <w:jc w:val="left"/>
        <w:outlineLvl w:val="3"/>
        <w:rPr>
          <w:rFonts w:ascii="仿宋_GB2312" w:hAnsi="Cambria" w:eastAsia="仿宋_GB2312"/>
          <w:b/>
          <w:bCs/>
          <w:kern w:val="0"/>
          <w:sz w:val="30"/>
          <w:szCs w:val="30"/>
        </w:rPr>
      </w:pPr>
      <w:r>
        <w:rPr>
          <w:rFonts w:hint="eastAsia" w:ascii="仿宋_GB2312" w:hAnsi="Cambria" w:eastAsia="仿宋_GB2312"/>
          <w:b/>
          <w:bCs/>
          <w:kern w:val="0"/>
          <w:sz w:val="30"/>
          <w:szCs w:val="30"/>
        </w:rPr>
        <w:t>（3）三方回购</w:t>
      </w:r>
    </w:p>
    <w:p w14:paraId="41B3BF00">
      <w:pPr>
        <w:spacing w:line="600" w:lineRule="exact"/>
        <w:ind w:firstLine="564" w:firstLineChars="188"/>
        <w:rPr>
          <w:rFonts w:ascii="仿宋_GB2312" w:hAnsi="宋体" w:eastAsia="仿宋_GB2312"/>
          <w:sz w:val="30"/>
          <w:szCs w:val="30"/>
        </w:rPr>
      </w:pPr>
      <w:r>
        <w:rPr>
          <w:rFonts w:hint="eastAsia" w:ascii="仿宋_GB2312" w:hAnsi="宋体" w:eastAsia="仿宋_GB2312" w:cs="宋体"/>
          <w:kern w:val="0"/>
          <w:sz w:val="30"/>
          <w:szCs w:val="30"/>
        </w:rPr>
        <w:t>对于三方回购，本所逐笔发布债券投资者通过协商成交方式达成交易的成交行情，</w:t>
      </w:r>
      <w:r>
        <w:rPr>
          <w:rFonts w:hint="eastAsia" w:ascii="仿宋_GB2312" w:hAnsi="宋体" w:eastAsia="仿宋_GB2312"/>
          <w:sz w:val="30"/>
          <w:szCs w:val="30"/>
        </w:rPr>
        <w:t>包括回购利率、回购期限、质押券篮子、交易方式等信息。具体如下：</w:t>
      </w:r>
    </w:p>
    <w:tbl>
      <w:tblPr>
        <w:tblStyle w:val="43"/>
        <w:tblW w:w="7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2316"/>
        <w:gridCol w:w="5493"/>
      </w:tblGrid>
      <w:tr w14:paraId="76EEA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2316" w:type="dxa"/>
            <w:shd w:val="clear" w:color="auto" w:fill="FFFFFF"/>
            <w:vAlign w:val="center"/>
          </w:tcPr>
          <w:p w14:paraId="1BFE9E7C">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要素名称</w:t>
            </w:r>
          </w:p>
        </w:tc>
        <w:tc>
          <w:tcPr>
            <w:tcW w:w="5493" w:type="dxa"/>
            <w:shd w:val="clear" w:color="auto" w:fill="FFFFFF"/>
            <w:vAlign w:val="center"/>
          </w:tcPr>
          <w:p w14:paraId="3307C8A3">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要素说明</w:t>
            </w:r>
          </w:p>
        </w:tc>
      </w:tr>
      <w:tr w14:paraId="052AD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249BBBAB">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交易日期</w:t>
            </w:r>
          </w:p>
        </w:tc>
        <w:tc>
          <w:tcPr>
            <w:tcW w:w="5493" w:type="dxa"/>
            <w:shd w:val="clear" w:color="auto" w:fill="FFFFFF"/>
            <w:vAlign w:val="center"/>
          </w:tcPr>
          <w:p w14:paraId="27AFA55E">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年月日</w:t>
            </w:r>
          </w:p>
        </w:tc>
      </w:tr>
      <w:tr w14:paraId="7645F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1950E828">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交易时间</w:t>
            </w:r>
          </w:p>
        </w:tc>
        <w:tc>
          <w:tcPr>
            <w:tcW w:w="5493" w:type="dxa"/>
            <w:shd w:val="clear" w:color="auto" w:fill="FFFFFF"/>
            <w:vAlign w:val="center"/>
          </w:tcPr>
          <w:p w14:paraId="44B380F1">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时分秒</w:t>
            </w:r>
          </w:p>
        </w:tc>
      </w:tr>
      <w:tr w14:paraId="383A0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7A100EA8">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回购期限</w:t>
            </w:r>
          </w:p>
        </w:tc>
        <w:tc>
          <w:tcPr>
            <w:tcW w:w="5493" w:type="dxa"/>
            <w:shd w:val="clear" w:color="auto" w:fill="FFFFFF"/>
            <w:vAlign w:val="center"/>
          </w:tcPr>
          <w:p w14:paraId="75315479">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协议回购约定期限，单位：天</w:t>
            </w:r>
          </w:p>
        </w:tc>
      </w:tr>
      <w:tr w14:paraId="140DF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01287476">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回购利率</w:t>
            </w:r>
          </w:p>
        </w:tc>
        <w:tc>
          <w:tcPr>
            <w:tcW w:w="5493" w:type="dxa"/>
            <w:shd w:val="clear" w:color="auto" w:fill="FFFFFF"/>
            <w:vAlign w:val="center"/>
          </w:tcPr>
          <w:p w14:paraId="45471E29">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5BCBF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7BB424CD">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质押券篮子</w:t>
            </w:r>
          </w:p>
        </w:tc>
        <w:tc>
          <w:tcPr>
            <w:tcW w:w="5493" w:type="dxa"/>
            <w:shd w:val="clear" w:color="auto" w:fill="FFFFFF"/>
            <w:vAlign w:val="center"/>
          </w:tcPr>
          <w:p w14:paraId="55321BD6">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包括篮子1、篮子2、篮子3、篮子4、篮子5、篮子6、篮子7、篮子8等多种类型，可为多个篮子。</w:t>
            </w:r>
          </w:p>
        </w:tc>
      </w:tr>
      <w:tr w14:paraId="7B039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0AEB61CC">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交易方式</w:t>
            </w:r>
          </w:p>
        </w:tc>
        <w:tc>
          <w:tcPr>
            <w:tcW w:w="5493" w:type="dxa"/>
            <w:shd w:val="clear" w:color="auto" w:fill="FFFFFF"/>
            <w:vAlign w:val="center"/>
          </w:tcPr>
          <w:p w14:paraId="2B7AF872">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1.协商成交</w:t>
            </w:r>
          </w:p>
        </w:tc>
      </w:tr>
    </w:tbl>
    <w:p w14:paraId="3657077F">
      <w:pPr>
        <w:numPr>
          <w:ilvl w:val="1"/>
          <w:numId w:val="4"/>
        </w:numPr>
        <w:spacing w:line="600" w:lineRule="exact"/>
        <w:ind w:left="0" w:firstLine="0"/>
        <w:outlineLvl w:val="1"/>
        <w:rPr>
          <w:rFonts w:ascii="仿宋_GB2312" w:eastAsia="仿宋_GB2312"/>
          <w:b/>
          <w:sz w:val="30"/>
          <w:szCs w:val="30"/>
        </w:rPr>
      </w:pPr>
      <w:bookmarkStart w:id="2615" w:name="_Toc47465932"/>
      <w:bookmarkEnd w:id="2615"/>
      <w:bookmarkStart w:id="2616" w:name="_Toc47428417"/>
      <w:bookmarkEnd w:id="2616"/>
      <w:bookmarkStart w:id="2617" w:name="_Toc47427150"/>
      <w:bookmarkEnd w:id="2617"/>
      <w:bookmarkStart w:id="2618" w:name="_Toc47374936"/>
      <w:bookmarkEnd w:id="2618"/>
      <w:bookmarkStart w:id="2619" w:name="_Toc47467045"/>
      <w:bookmarkEnd w:id="2619"/>
      <w:bookmarkStart w:id="2620" w:name="_Toc47375480"/>
      <w:bookmarkEnd w:id="2620"/>
      <w:bookmarkStart w:id="2621" w:name="_Toc47458436"/>
      <w:bookmarkEnd w:id="2621"/>
      <w:bookmarkStart w:id="2622" w:name="_Toc1363546917"/>
      <w:bookmarkStart w:id="2623" w:name="_Toc56166303"/>
      <w:bookmarkStart w:id="2624" w:name="_Toc1608808713"/>
      <w:bookmarkStart w:id="2625" w:name="_Toc1418447910"/>
      <w:bookmarkStart w:id="2626" w:name="_Toc151137065"/>
      <w:bookmarkStart w:id="2627" w:name="_Toc47467046"/>
      <w:bookmarkStart w:id="2628" w:name="_Toc56166114"/>
      <w:bookmarkStart w:id="2629" w:name="_Toc37225472"/>
      <w:r>
        <w:rPr>
          <w:rFonts w:hint="eastAsia" w:ascii="仿宋_GB2312" w:eastAsia="仿宋_GB2312"/>
          <w:b/>
          <w:sz w:val="30"/>
          <w:szCs w:val="30"/>
        </w:rPr>
        <w:t>统计行情</w:t>
      </w:r>
      <w:bookmarkEnd w:id="2622"/>
      <w:bookmarkEnd w:id="2623"/>
      <w:bookmarkEnd w:id="2624"/>
      <w:bookmarkEnd w:id="2625"/>
      <w:bookmarkEnd w:id="2626"/>
      <w:bookmarkEnd w:id="2627"/>
      <w:bookmarkEnd w:id="2628"/>
      <w:bookmarkEnd w:id="2629"/>
    </w:p>
    <w:p w14:paraId="220D7D30">
      <w:pPr>
        <w:spacing w:line="600" w:lineRule="exact"/>
        <w:ind w:firstLine="600" w:firstLineChars="200"/>
        <w:jc w:val="left"/>
        <w:rPr>
          <w:rFonts w:ascii="仿宋_GB2312" w:hAnsi="Calibri" w:eastAsia="仿宋_GB2312"/>
          <w:sz w:val="30"/>
          <w:szCs w:val="30"/>
        </w:rPr>
      </w:pPr>
      <w:r>
        <w:rPr>
          <w:rFonts w:hint="eastAsia" w:ascii="仿宋_GB2312" w:hAnsi="Calibri" w:eastAsia="仿宋_GB2312"/>
          <w:sz w:val="30"/>
          <w:szCs w:val="30"/>
        </w:rPr>
        <w:t>统计数据是指本所或者本所授权机构在交易时间向全市场实时发布的当日申报和成交统计数据，包括申报统计行情、成交统计行情、开盘价和收盘价。</w:t>
      </w:r>
    </w:p>
    <w:p w14:paraId="51FEEBE7">
      <w:pPr>
        <w:numPr>
          <w:ilvl w:val="2"/>
          <w:numId w:val="4"/>
        </w:numPr>
        <w:spacing w:line="600" w:lineRule="exact"/>
        <w:ind w:left="0" w:firstLine="0"/>
        <w:outlineLvl w:val="2"/>
        <w:rPr>
          <w:rFonts w:ascii="仿宋_GB2312" w:eastAsia="仿宋_GB2312"/>
          <w:b/>
          <w:sz w:val="30"/>
          <w:szCs w:val="30"/>
        </w:rPr>
      </w:pPr>
      <w:bookmarkStart w:id="2630" w:name="_Toc47467047"/>
      <w:r>
        <w:rPr>
          <w:rFonts w:hint="eastAsia" w:ascii="仿宋_GB2312" w:eastAsia="仿宋_GB2312"/>
          <w:b/>
          <w:sz w:val="30"/>
          <w:szCs w:val="30"/>
        </w:rPr>
        <w:t>申报统计行情</w:t>
      </w:r>
      <w:bookmarkEnd w:id="2630"/>
    </w:p>
    <w:p w14:paraId="1A87B6DD">
      <w:pPr>
        <w:widowControl/>
        <w:spacing w:line="600" w:lineRule="exact"/>
        <w:ind w:firstLine="600" w:firstLineChars="200"/>
        <w:jc w:val="left"/>
        <w:rPr>
          <w:rFonts w:ascii="仿宋_GB2312" w:hAnsi="宋体" w:eastAsia="仿宋_GB2312" w:cs="宋体"/>
          <w:kern w:val="0"/>
          <w:sz w:val="30"/>
          <w:szCs w:val="30"/>
        </w:rPr>
      </w:pPr>
      <w:r>
        <w:rPr>
          <w:rFonts w:hint="eastAsia" w:ascii="仿宋_GB2312" w:hAnsi="宋体" w:eastAsia="仿宋_GB2312" w:cs="宋体"/>
          <w:kern w:val="0"/>
          <w:sz w:val="30"/>
          <w:szCs w:val="30"/>
        </w:rPr>
        <w:t>申报统计行情适用于债券现券交易、通用回购交易等。</w:t>
      </w:r>
    </w:p>
    <w:p w14:paraId="28B93EF8">
      <w:pPr>
        <w:spacing w:line="600" w:lineRule="exact"/>
        <w:ind w:firstLine="602" w:firstLineChars="200"/>
        <w:outlineLvl w:val="3"/>
        <w:rPr>
          <w:rFonts w:ascii="仿宋_GB2312" w:eastAsia="仿宋_GB2312"/>
          <w:b/>
          <w:sz w:val="30"/>
          <w:szCs w:val="30"/>
        </w:rPr>
      </w:pPr>
      <w:r>
        <w:rPr>
          <w:rFonts w:hint="eastAsia" w:ascii="仿宋_GB2312" w:eastAsia="仿宋_GB2312"/>
          <w:b/>
          <w:sz w:val="30"/>
          <w:szCs w:val="30"/>
        </w:rPr>
        <w:t>（1）债券现券</w:t>
      </w:r>
    </w:p>
    <w:p w14:paraId="5B1CBA12">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对于债券现券，本所实时发布债券投资者通过匹配成交、点击成交、询价成交及竞买成交方式提交的申报统计行情，其中，</w:t>
      </w:r>
      <w:r>
        <w:rPr>
          <w:rFonts w:hint="eastAsia" w:ascii="仿宋_GB2312" w:hAnsi="宋体" w:eastAsia="仿宋_GB2312"/>
          <w:b/>
          <w:bCs/>
          <w:sz w:val="30"/>
          <w:szCs w:val="30"/>
        </w:rPr>
        <w:t>匹配成交的行情和非匹配成交的行情分别通过不同渠道发送</w:t>
      </w:r>
      <w:r>
        <w:rPr>
          <w:rFonts w:hint="eastAsia" w:ascii="仿宋_GB2312" w:hAnsi="宋体" w:eastAsia="仿宋_GB2312"/>
          <w:sz w:val="30"/>
          <w:szCs w:val="30"/>
        </w:rPr>
        <w:t>；</w:t>
      </w:r>
      <w:r>
        <w:rPr>
          <w:rFonts w:hint="eastAsia" w:ascii="仿宋_GB2312" w:eastAsia="仿宋_GB2312"/>
          <w:color w:val="000000"/>
          <w:sz w:val="30"/>
          <w:szCs w:val="30"/>
        </w:rPr>
        <w:t>竞买成交的竞买发起申报以及单一主体中标方式下的应价申报计入申报统计行情中。</w:t>
      </w:r>
    </w:p>
    <w:p w14:paraId="150FD70E">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申报统计行情包括当日最高申买</w:t>
      </w:r>
      <w:r>
        <w:rPr>
          <w:rFonts w:ascii="仿宋_GB2312" w:hAnsi="宋体" w:eastAsia="仿宋_GB2312"/>
          <w:sz w:val="30"/>
          <w:szCs w:val="30"/>
        </w:rPr>
        <w:t>/卖价、</w:t>
      </w:r>
      <w:r>
        <w:rPr>
          <w:rFonts w:hint="eastAsia" w:ascii="仿宋_GB2312" w:hAnsi="宋体" w:eastAsia="仿宋_GB2312"/>
          <w:sz w:val="30"/>
          <w:szCs w:val="30"/>
        </w:rPr>
        <w:t>当日</w:t>
      </w:r>
      <w:r>
        <w:rPr>
          <w:rFonts w:ascii="仿宋_GB2312" w:hAnsi="宋体" w:eastAsia="仿宋_GB2312"/>
          <w:sz w:val="30"/>
          <w:szCs w:val="30"/>
        </w:rPr>
        <w:t>最低申买/卖价、当日最新申买/卖价、</w:t>
      </w:r>
      <w:r>
        <w:rPr>
          <w:rFonts w:hint="eastAsia" w:ascii="仿宋_GB2312" w:hAnsi="宋体" w:eastAsia="仿宋_GB2312"/>
          <w:sz w:val="30"/>
          <w:szCs w:val="30"/>
        </w:rPr>
        <w:t>当日</w:t>
      </w:r>
      <w:r>
        <w:rPr>
          <w:rFonts w:ascii="仿宋_GB2312" w:hAnsi="宋体" w:eastAsia="仿宋_GB2312"/>
          <w:sz w:val="30"/>
          <w:szCs w:val="30"/>
        </w:rPr>
        <w:t>加权平均申买/卖价、总申买/卖</w:t>
      </w:r>
      <w:r>
        <w:rPr>
          <w:rFonts w:hint="eastAsia" w:ascii="仿宋_GB2312" w:hAnsi="宋体" w:eastAsia="仿宋_GB2312"/>
          <w:sz w:val="30"/>
          <w:szCs w:val="30"/>
        </w:rPr>
        <w:t>数量</w:t>
      </w:r>
      <w:r>
        <w:rPr>
          <w:rFonts w:ascii="仿宋_GB2312" w:hAnsi="宋体" w:eastAsia="仿宋_GB2312"/>
          <w:sz w:val="30"/>
          <w:szCs w:val="30"/>
        </w:rPr>
        <w:t>、总申买/卖金额、总申买/卖笔数等</w:t>
      </w:r>
      <w:r>
        <w:rPr>
          <w:rFonts w:hint="eastAsia" w:ascii="仿宋_GB2312" w:hAnsi="宋体" w:eastAsia="仿宋_GB2312"/>
          <w:sz w:val="30"/>
          <w:szCs w:val="30"/>
        </w:rPr>
        <w:t>信息。具体如下：</w:t>
      </w:r>
    </w:p>
    <w:tbl>
      <w:tblPr>
        <w:tblStyle w:val="43"/>
        <w:tblW w:w="7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3560"/>
        <w:gridCol w:w="3917"/>
      </w:tblGrid>
      <w:tr w14:paraId="3EF7F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3560" w:type="dxa"/>
            <w:shd w:val="clear" w:color="auto" w:fill="FFFFFF"/>
            <w:vAlign w:val="center"/>
          </w:tcPr>
          <w:p w14:paraId="06860B04">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要素名称</w:t>
            </w:r>
          </w:p>
        </w:tc>
        <w:tc>
          <w:tcPr>
            <w:tcW w:w="3917" w:type="dxa"/>
            <w:shd w:val="clear" w:color="auto" w:fill="FFFFFF"/>
            <w:vAlign w:val="center"/>
          </w:tcPr>
          <w:p w14:paraId="3869671E">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要素说明</w:t>
            </w:r>
          </w:p>
        </w:tc>
      </w:tr>
      <w:tr w14:paraId="577A1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vAlign w:val="center"/>
          </w:tcPr>
          <w:p w14:paraId="0418249D">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证券代码</w:t>
            </w:r>
          </w:p>
        </w:tc>
        <w:tc>
          <w:tcPr>
            <w:tcW w:w="3917" w:type="dxa"/>
            <w:shd w:val="clear" w:color="auto" w:fill="FFFFFF"/>
            <w:vAlign w:val="center"/>
          </w:tcPr>
          <w:p w14:paraId="6CDB6C5D">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债券代码</w:t>
            </w:r>
          </w:p>
        </w:tc>
      </w:tr>
      <w:tr w14:paraId="6858F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vAlign w:val="center"/>
          </w:tcPr>
          <w:p w14:paraId="78F05AC5">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证券简称</w:t>
            </w:r>
          </w:p>
        </w:tc>
        <w:tc>
          <w:tcPr>
            <w:tcW w:w="3917" w:type="dxa"/>
            <w:shd w:val="clear" w:color="auto" w:fill="FFFFFF"/>
            <w:vAlign w:val="center"/>
          </w:tcPr>
          <w:p w14:paraId="3C2D7835">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债券简称</w:t>
            </w:r>
          </w:p>
        </w:tc>
      </w:tr>
      <w:tr w14:paraId="5F1A1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vAlign w:val="center"/>
          </w:tcPr>
          <w:p w14:paraId="3CF67E13">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交易日期</w:t>
            </w:r>
          </w:p>
        </w:tc>
        <w:tc>
          <w:tcPr>
            <w:tcW w:w="3917" w:type="dxa"/>
            <w:shd w:val="clear" w:color="auto" w:fill="FFFFFF"/>
            <w:vAlign w:val="center"/>
          </w:tcPr>
          <w:p w14:paraId="115AA965">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年月日</w:t>
            </w:r>
          </w:p>
        </w:tc>
      </w:tr>
      <w:tr w14:paraId="4C9B6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vAlign w:val="center"/>
          </w:tcPr>
          <w:p w14:paraId="48B3CC16">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交易时间</w:t>
            </w:r>
          </w:p>
        </w:tc>
        <w:tc>
          <w:tcPr>
            <w:tcW w:w="3917" w:type="dxa"/>
            <w:shd w:val="clear" w:color="auto" w:fill="FFFFFF"/>
            <w:vAlign w:val="center"/>
          </w:tcPr>
          <w:p w14:paraId="7E6CB668">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时分秒</w:t>
            </w:r>
          </w:p>
        </w:tc>
      </w:tr>
      <w:tr w14:paraId="38259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vAlign w:val="center"/>
          </w:tcPr>
          <w:p w14:paraId="23C8F87E">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当日最高申买价</w:t>
            </w:r>
          </w:p>
        </w:tc>
        <w:tc>
          <w:tcPr>
            <w:tcW w:w="3917" w:type="dxa"/>
            <w:shd w:val="clear" w:color="auto" w:fill="FFFFFF"/>
            <w:vAlign w:val="center"/>
          </w:tcPr>
          <w:p w14:paraId="4ABBD98B">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757E2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vAlign w:val="center"/>
          </w:tcPr>
          <w:p w14:paraId="276A9AB8">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当日最低申买价</w:t>
            </w:r>
          </w:p>
        </w:tc>
        <w:tc>
          <w:tcPr>
            <w:tcW w:w="3917" w:type="dxa"/>
            <w:shd w:val="clear" w:color="auto" w:fill="FFFFFF"/>
            <w:vAlign w:val="center"/>
          </w:tcPr>
          <w:p w14:paraId="74FE0438">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3CC88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vAlign w:val="center"/>
          </w:tcPr>
          <w:p w14:paraId="1C91C856">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当日最新申买价</w:t>
            </w:r>
          </w:p>
        </w:tc>
        <w:tc>
          <w:tcPr>
            <w:tcW w:w="3917" w:type="dxa"/>
            <w:shd w:val="clear" w:color="auto" w:fill="FFFFFF"/>
            <w:vAlign w:val="center"/>
          </w:tcPr>
          <w:p w14:paraId="6EF5E219">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12DF7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vAlign w:val="center"/>
          </w:tcPr>
          <w:p w14:paraId="610A9204">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当日加权平均申买价</w:t>
            </w:r>
          </w:p>
        </w:tc>
        <w:tc>
          <w:tcPr>
            <w:tcW w:w="3917" w:type="dxa"/>
            <w:shd w:val="clear" w:color="auto" w:fill="FFFFFF"/>
            <w:vAlign w:val="center"/>
          </w:tcPr>
          <w:p w14:paraId="40C5BAE6">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35686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vAlign w:val="center"/>
          </w:tcPr>
          <w:p w14:paraId="00AFF7E3">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当日最高申卖价</w:t>
            </w:r>
          </w:p>
        </w:tc>
        <w:tc>
          <w:tcPr>
            <w:tcW w:w="3917" w:type="dxa"/>
            <w:shd w:val="clear" w:color="auto" w:fill="FFFFFF"/>
            <w:vAlign w:val="center"/>
          </w:tcPr>
          <w:p w14:paraId="2437708D">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34836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vAlign w:val="center"/>
          </w:tcPr>
          <w:p w14:paraId="57100B37">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当日最低申卖价</w:t>
            </w:r>
          </w:p>
        </w:tc>
        <w:tc>
          <w:tcPr>
            <w:tcW w:w="3917" w:type="dxa"/>
            <w:shd w:val="clear" w:color="auto" w:fill="FFFFFF"/>
            <w:vAlign w:val="center"/>
          </w:tcPr>
          <w:p w14:paraId="775FF2FF">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056E2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vAlign w:val="center"/>
          </w:tcPr>
          <w:p w14:paraId="439A0FD9">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当日最新申卖价</w:t>
            </w:r>
          </w:p>
        </w:tc>
        <w:tc>
          <w:tcPr>
            <w:tcW w:w="3917" w:type="dxa"/>
            <w:shd w:val="clear" w:color="auto" w:fill="FFFFFF"/>
            <w:vAlign w:val="center"/>
          </w:tcPr>
          <w:p w14:paraId="1B16AE34">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0F0C4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vAlign w:val="center"/>
          </w:tcPr>
          <w:p w14:paraId="3749D051">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当日加权平均申卖价</w:t>
            </w:r>
          </w:p>
        </w:tc>
        <w:tc>
          <w:tcPr>
            <w:tcW w:w="3917" w:type="dxa"/>
            <w:shd w:val="clear" w:color="auto" w:fill="FFFFFF"/>
            <w:vAlign w:val="center"/>
          </w:tcPr>
          <w:p w14:paraId="1E186180">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7AA35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vAlign w:val="center"/>
          </w:tcPr>
          <w:p w14:paraId="1C9AF985">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当日累计申买数量</w:t>
            </w:r>
          </w:p>
        </w:tc>
        <w:tc>
          <w:tcPr>
            <w:tcW w:w="3917" w:type="dxa"/>
            <w:shd w:val="clear" w:color="auto" w:fill="FFFFFF"/>
            <w:vAlign w:val="center"/>
          </w:tcPr>
          <w:p w14:paraId="77A49299">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单位：元（整数）</w:t>
            </w:r>
          </w:p>
        </w:tc>
      </w:tr>
      <w:tr w14:paraId="590E6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vAlign w:val="center"/>
          </w:tcPr>
          <w:p w14:paraId="04150E4F">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当日累计申买金额</w:t>
            </w:r>
          </w:p>
        </w:tc>
        <w:tc>
          <w:tcPr>
            <w:tcW w:w="3917" w:type="dxa"/>
            <w:shd w:val="clear" w:color="auto" w:fill="FFFFFF"/>
            <w:vAlign w:val="center"/>
          </w:tcPr>
          <w:p w14:paraId="434D91BB">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单位：元（2位小数）</w:t>
            </w:r>
          </w:p>
        </w:tc>
      </w:tr>
      <w:tr w14:paraId="3A6F5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vAlign w:val="center"/>
          </w:tcPr>
          <w:p w14:paraId="627F696D">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当日累计申买笔数</w:t>
            </w:r>
          </w:p>
        </w:tc>
        <w:tc>
          <w:tcPr>
            <w:tcW w:w="3917" w:type="dxa"/>
            <w:shd w:val="clear" w:color="auto" w:fill="FFFFFF"/>
            <w:vAlign w:val="center"/>
          </w:tcPr>
          <w:p w14:paraId="3B134904">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单位：笔</w:t>
            </w:r>
          </w:p>
        </w:tc>
      </w:tr>
      <w:tr w14:paraId="57211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vAlign w:val="center"/>
          </w:tcPr>
          <w:p w14:paraId="0F30ED56">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当日累计申卖数量</w:t>
            </w:r>
          </w:p>
        </w:tc>
        <w:tc>
          <w:tcPr>
            <w:tcW w:w="3917" w:type="dxa"/>
            <w:shd w:val="clear" w:color="auto" w:fill="FFFFFF"/>
            <w:vAlign w:val="center"/>
          </w:tcPr>
          <w:p w14:paraId="2106515D">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单位：元（整数）</w:t>
            </w:r>
          </w:p>
        </w:tc>
      </w:tr>
      <w:tr w14:paraId="41034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vAlign w:val="center"/>
          </w:tcPr>
          <w:p w14:paraId="4AE88B6D">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当日累计申卖金额</w:t>
            </w:r>
          </w:p>
        </w:tc>
        <w:tc>
          <w:tcPr>
            <w:tcW w:w="3917" w:type="dxa"/>
            <w:shd w:val="clear" w:color="auto" w:fill="FFFFFF"/>
            <w:vAlign w:val="center"/>
          </w:tcPr>
          <w:p w14:paraId="7A582D41">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单位：元（2位小数）</w:t>
            </w:r>
          </w:p>
        </w:tc>
      </w:tr>
      <w:tr w14:paraId="06955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vAlign w:val="center"/>
          </w:tcPr>
          <w:p w14:paraId="5BEAF74B">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当日累计申卖笔数</w:t>
            </w:r>
          </w:p>
        </w:tc>
        <w:tc>
          <w:tcPr>
            <w:tcW w:w="3917" w:type="dxa"/>
            <w:shd w:val="clear" w:color="auto" w:fill="FFFFFF"/>
            <w:vAlign w:val="center"/>
          </w:tcPr>
          <w:p w14:paraId="00604DF2">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单位：笔</w:t>
            </w:r>
          </w:p>
        </w:tc>
      </w:tr>
    </w:tbl>
    <w:p w14:paraId="2175397F">
      <w:pPr>
        <w:spacing w:line="600" w:lineRule="exact"/>
        <w:ind w:firstLine="602" w:firstLineChars="200"/>
        <w:outlineLvl w:val="3"/>
        <w:rPr>
          <w:rFonts w:ascii="仿宋_GB2312" w:eastAsia="仿宋_GB2312"/>
          <w:b/>
          <w:sz w:val="30"/>
          <w:szCs w:val="30"/>
        </w:rPr>
      </w:pPr>
      <w:r>
        <w:rPr>
          <w:rFonts w:hint="eastAsia" w:ascii="仿宋_GB2312" w:eastAsia="仿宋_GB2312"/>
          <w:b/>
          <w:sz w:val="30"/>
          <w:szCs w:val="30"/>
        </w:rPr>
        <w:t>（2）通用回购</w:t>
      </w:r>
    </w:p>
    <w:p w14:paraId="602E5962">
      <w:pPr>
        <w:spacing w:line="600" w:lineRule="exact"/>
        <w:ind w:firstLine="564" w:firstLineChars="188"/>
        <w:rPr>
          <w:rFonts w:ascii="仿宋_GB2312" w:hAnsi="宋体" w:eastAsia="仿宋_GB2312"/>
          <w:sz w:val="30"/>
          <w:szCs w:val="30"/>
        </w:rPr>
      </w:pPr>
      <w:r>
        <w:rPr>
          <w:rFonts w:hint="eastAsia" w:ascii="仿宋_GB2312" w:hAnsi="宋体" w:eastAsia="仿宋_GB2312"/>
          <w:sz w:val="30"/>
          <w:szCs w:val="30"/>
        </w:rPr>
        <w:t>对于通用回购，本所实时发布债券投资者通过匹配成交方式提交的申报统计行情。申报统计行情按回购代码进行统计，包括当日最高申买</w:t>
      </w:r>
      <w:r>
        <w:rPr>
          <w:rFonts w:ascii="仿宋_GB2312" w:hAnsi="宋体" w:eastAsia="仿宋_GB2312"/>
          <w:sz w:val="30"/>
          <w:szCs w:val="30"/>
        </w:rPr>
        <w:t>/卖利率、</w:t>
      </w:r>
      <w:r>
        <w:rPr>
          <w:rFonts w:hint="eastAsia" w:ascii="仿宋_GB2312" w:hAnsi="宋体" w:eastAsia="仿宋_GB2312"/>
          <w:sz w:val="30"/>
          <w:szCs w:val="30"/>
        </w:rPr>
        <w:t>当日最低申买</w:t>
      </w:r>
      <w:r>
        <w:rPr>
          <w:rFonts w:ascii="仿宋_GB2312" w:hAnsi="宋体" w:eastAsia="仿宋_GB2312"/>
          <w:sz w:val="30"/>
          <w:szCs w:val="30"/>
        </w:rPr>
        <w:t>/卖利率、当日最新申买/卖利率、</w:t>
      </w:r>
      <w:r>
        <w:rPr>
          <w:rFonts w:hint="eastAsia" w:ascii="仿宋_GB2312" w:hAnsi="宋体" w:eastAsia="仿宋_GB2312"/>
          <w:sz w:val="30"/>
          <w:szCs w:val="30"/>
        </w:rPr>
        <w:t>当日加权平均申买</w:t>
      </w:r>
      <w:r>
        <w:rPr>
          <w:rFonts w:ascii="仿宋_GB2312" w:hAnsi="宋体" w:eastAsia="仿宋_GB2312"/>
          <w:sz w:val="30"/>
          <w:szCs w:val="30"/>
        </w:rPr>
        <w:t>/卖利率、总申买/卖金额等</w:t>
      </w:r>
      <w:r>
        <w:rPr>
          <w:rFonts w:hint="eastAsia" w:ascii="仿宋_GB2312" w:hAnsi="宋体" w:eastAsia="仿宋_GB2312"/>
          <w:sz w:val="30"/>
          <w:szCs w:val="30"/>
        </w:rPr>
        <w:t>信息。具体如下：</w:t>
      </w:r>
    </w:p>
    <w:tbl>
      <w:tblPr>
        <w:tblStyle w:val="43"/>
        <w:tblW w:w="7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3560"/>
        <w:gridCol w:w="3917"/>
      </w:tblGrid>
      <w:tr w14:paraId="6E239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31" w:hRule="atLeast"/>
          <w:jc w:val="center"/>
        </w:trPr>
        <w:tc>
          <w:tcPr>
            <w:tcW w:w="3560" w:type="dxa"/>
            <w:shd w:val="clear" w:color="auto" w:fill="FFFFFF"/>
            <w:vAlign w:val="center"/>
          </w:tcPr>
          <w:p w14:paraId="2450CF52">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要素名称</w:t>
            </w:r>
          </w:p>
        </w:tc>
        <w:tc>
          <w:tcPr>
            <w:tcW w:w="3917" w:type="dxa"/>
            <w:shd w:val="clear" w:color="auto" w:fill="FFFFFF"/>
            <w:vAlign w:val="center"/>
          </w:tcPr>
          <w:p w14:paraId="211B28D5">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要素说明</w:t>
            </w:r>
          </w:p>
        </w:tc>
      </w:tr>
      <w:tr w14:paraId="02B0D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vAlign w:val="center"/>
          </w:tcPr>
          <w:p w14:paraId="3CCDE69D">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回购代码</w:t>
            </w:r>
          </w:p>
        </w:tc>
        <w:tc>
          <w:tcPr>
            <w:tcW w:w="3917" w:type="dxa"/>
            <w:shd w:val="clear" w:color="auto" w:fill="FFFFFF"/>
            <w:vAlign w:val="center"/>
          </w:tcPr>
          <w:p w14:paraId="5EF867E1">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通用回购代码</w:t>
            </w:r>
          </w:p>
        </w:tc>
      </w:tr>
      <w:tr w14:paraId="16D0D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vAlign w:val="center"/>
          </w:tcPr>
          <w:p w14:paraId="037B409F">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回购品种</w:t>
            </w:r>
          </w:p>
        </w:tc>
        <w:tc>
          <w:tcPr>
            <w:tcW w:w="3917" w:type="dxa"/>
            <w:shd w:val="clear" w:color="auto" w:fill="FFFFFF"/>
            <w:vAlign w:val="center"/>
          </w:tcPr>
          <w:p w14:paraId="620C0356">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通用回购品种</w:t>
            </w:r>
          </w:p>
        </w:tc>
      </w:tr>
      <w:tr w14:paraId="06C54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vAlign w:val="center"/>
          </w:tcPr>
          <w:p w14:paraId="35E6B3C5">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交易日期</w:t>
            </w:r>
          </w:p>
        </w:tc>
        <w:tc>
          <w:tcPr>
            <w:tcW w:w="3917" w:type="dxa"/>
            <w:shd w:val="clear" w:color="auto" w:fill="FFFFFF"/>
            <w:vAlign w:val="center"/>
          </w:tcPr>
          <w:p w14:paraId="04E851DA">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年月日</w:t>
            </w:r>
          </w:p>
        </w:tc>
      </w:tr>
      <w:tr w14:paraId="7778F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vAlign w:val="center"/>
          </w:tcPr>
          <w:p w14:paraId="679B8D73">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交易时间</w:t>
            </w:r>
          </w:p>
        </w:tc>
        <w:tc>
          <w:tcPr>
            <w:tcW w:w="3917" w:type="dxa"/>
            <w:shd w:val="clear" w:color="auto" w:fill="FFFFFF"/>
            <w:vAlign w:val="center"/>
          </w:tcPr>
          <w:p w14:paraId="6208A727">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时分秒</w:t>
            </w:r>
          </w:p>
        </w:tc>
      </w:tr>
      <w:tr w14:paraId="6C685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vAlign w:val="center"/>
          </w:tcPr>
          <w:p w14:paraId="0C46BB28">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当日最高申买利率</w:t>
            </w:r>
          </w:p>
        </w:tc>
        <w:tc>
          <w:tcPr>
            <w:tcW w:w="3917" w:type="dxa"/>
            <w:shd w:val="clear" w:color="auto" w:fill="FFFFFF"/>
            <w:vAlign w:val="center"/>
          </w:tcPr>
          <w:p w14:paraId="12E9222E">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7AE0F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vAlign w:val="center"/>
          </w:tcPr>
          <w:p w14:paraId="12D3E3E4">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当日最低申买利率</w:t>
            </w:r>
          </w:p>
        </w:tc>
        <w:tc>
          <w:tcPr>
            <w:tcW w:w="3917" w:type="dxa"/>
            <w:shd w:val="clear" w:color="auto" w:fill="FFFFFF"/>
            <w:vAlign w:val="center"/>
          </w:tcPr>
          <w:p w14:paraId="64B8E3A2">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155CA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vAlign w:val="center"/>
          </w:tcPr>
          <w:p w14:paraId="47B4AD49">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当日最新申买利率</w:t>
            </w:r>
          </w:p>
        </w:tc>
        <w:tc>
          <w:tcPr>
            <w:tcW w:w="3917" w:type="dxa"/>
            <w:shd w:val="clear" w:color="auto" w:fill="FFFFFF"/>
            <w:vAlign w:val="center"/>
          </w:tcPr>
          <w:p w14:paraId="2D0CEC51">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7D901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vAlign w:val="center"/>
          </w:tcPr>
          <w:p w14:paraId="27764B41">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当日加权平均申买利率</w:t>
            </w:r>
          </w:p>
        </w:tc>
        <w:tc>
          <w:tcPr>
            <w:tcW w:w="3917" w:type="dxa"/>
            <w:shd w:val="clear" w:color="auto" w:fill="FFFFFF"/>
            <w:vAlign w:val="center"/>
          </w:tcPr>
          <w:p w14:paraId="126B9828">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2D83A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vAlign w:val="center"/>
          </w:tcPr>
          <w:p w14:paraId="03AEC7FA">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当日最高申卖利率</w:t>
            </w:r>
          </w:p>
        </w:tc>
        <w:tc>
          <w:tcPr>
            <w:tcW w:w="3917" w:type="dxa"/>
            <w:shd w:val="clear" w:color="auto" w:fill="FFFFFF"/>
            <w:vAlign w:val="center"/>
          </w:tcPr>
          <w:p w14:paraId="523DB139">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51E47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vAlign w:val="center"/>
          </w:tcPr>
          <w:p w14:paraId="3A56E749">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当日最低申卖利率</w:t>
            </w:r>
          </w:p>
        </w:tc>
        <w:tc>
          <w:tcPr>
            <w:tcW w:w="3917" w:type="dxa"/>
            <w:shd w:val="clear" w:color="auto" w:fill="FFFFFF"/>
            <w:vAlign w:val="center"/>
          </w:tcPr>
          <w:p w14:paraId="01D1E644">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6E3D4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vAlign w:val="center"/>
          </w:tcPr>
          <w:p w14:paraId="01995261">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当日最新申卖利率</w:t>
            </w:r>
          </w:p>
        </w:tc>
        <w:tc>
          <w:tcPr>
            <w:tcW w:w="3917" w:type="dxa"/>
            <w:shd w:val="clear" w:color="auto" w:fill="FFFFFF"/>
            <w:vAlign w:val="center"/>
          </w:tcPr>
          <w:p w14:paraId="1D53144A">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00347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vAlign w:val="center"/>
          </w:tcPr>
          <w:p w14:paraId="684519A9">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当日加权平均申卖利率</w:t>
            </w:r>
          </w:p>
        </w:tc>
        <w:tc>
          <w:tcPr>
            <w:tcW w:w="3917" w:type="dxa"/>
            <w:shd w:val="clear" w:color="auto" w:fill="FFFFFF"/>
            <w:vAlign w:val="center"/>
          </w:tcPr>
          <w:p w14:paraId="22CE1E20">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7A6FC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vAlign w:val="center"/>
          </w:tcPr>
          <w:p w14:paraId="5E1795AB">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当日累计申买金额</w:t>
            </w:r>
          </w:p>
        </w:tc>
        <w:tc>
          <w:tcPr>
            <w:tcW w:w="3917" w:type="dxa"/>
            <w:shd w:val="clear" w:color="auto" w:fill="FFFFFF"/>
            <w:vAlign w:val="center"/>
          </w:tcPr>
          <w:p w14:paraId="7B9DBAB0">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单位：元（2位小数）</w:t>
            </w:r>
          </w:p>
        </w:tc>
      </w:tr>
      <w:tr w14:paraId="1F6B7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vAlign w:val="center"/>
          </w:tcPr>
          <w:p w14:paraId="71B9AD81">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当日累计申卖金额</w:t>
            </w:r>
          </w:p>
        </w:tc>
        <w:tc>
          <w:tcPr>
            <w:tcW w:w="3917" w:type="dxa"/>
            <w:shd w:val="clear" w:color="auto" w:fill="FFFFFF"/>
            <w:vAlign w:val="center"/>
          </w:tcPr>
          <w:p w14:paraId="0866AA31">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单位：元（2位小数）</w:t>
            </w:r>
          </w:p>
        </w:tc>
      </w:tr>
    </w:tbl>
    <w:p w14:paraId="34B25D02">
      <w:pPr>
        <w:numPr>
          <w:ilvl w:val="2"/>
          <w:numId w:val="4"/>
        </w:numPr>
        <w:spacing w:line="600" w:lineRule="exact"/>
        <w:ind w:left="0" w:firstLine="0"/>
        <w:outlineLvl w:val="2"/>
        <w:rPr>
          <w:rFonts w:ascii="仿宋_GB2312" w:eastAsia="仿宋_GB2312"/>
          <w:b/>
          <w:sz w:val="30"/>
          <w:szCs w:val="30"/>
        </w:rPr>
      </w:pPr>
      <w:bookmarkStart w:id="2631" w:name="_Toc47427153"/>
      <w:bookmarkEnd w:id="2631"/>
      <w:bookmarkStart w:id="2632" w:name="_Toc47374939"/>
      <w:bookmarkEnd w:id="2632"/>
      <w:bookmarkStart w:id="2633" w:name="_Toc47428420"/>
      <w:bookmarkEnd w:id="2633"/>
      <w:bookmarkStart w:id="2634" w:name="_Toc47458439"/>
      <w:bookmarkEnd w:id="2634"/>
      <w:bookmarkStart w:id="2635" w:name="_Toc47467048"/>
      <w:bookmarkEnd w:id="2635"/>
      <w:bookmarkStart w:id="2636" w:name="_Toc47465935"/>
      <w:bookmarkEnd w:id="2636"/>
      <w:bookmarkStart w:id="2637" w:name="_Toc47375483"/>
      <w:bookmarkEnd w:id="2637"/>
      <w:bookmarkStart w:id="2638" w:name="_Toc47467049"/>
      <w:r>
        <w:rPr>
          <w:rFonts w:hint="eastAsia" w:ascii="仿宋_GB2312" w:eastAsia="仿宋_GB2312"/>
          <w:b/>
          <w:sz w:val="30"/>
          <w:szCs w:val="30"/>
        </w:rPr>
        <w:t>成交统计行情</w:t>
      </w:r>
      <w:bookmarkEnd w:id="2638"/>
    </w:p>
    <w:p w14:paraId="03FA96B9">
      <w:pPr>
        <w:widowControl/>
        <w:spacing w:line="600" w:lineRule="exact"/>
        <w:ind w:firstLine="528" w:firstLineChars="176"/>
        <w:jc w:val="left"/>
        <w:rPr>
          <w:rFonts w:ascii="仿宋_GB2312" w:hAnsi="宋体" w:eastAsia="仿宋_GB2312" w:cs="宋体"/>
          <w:kern w:val="0"/>
          <w:sz w:val="30"/>
          <w:szCs w:val="30"/>
        </w:rPr>
      </w:pPr>
      <w:r>
        <w:rPr>
          <w:rFonts w:hint="eastAsia" w:ascii="仿宋_GB2312" w:hAnsi="宋体" w:eastAsia="仿宋_GB2312" w:cs="宋体"/>
          <w:kern w:val="0"/>
          <w:sz w:val="30"/>
          <w:szCs w:val="30"/>
        </w:rPr>
        <w:t>成交统计行情适用于债券现券、通用回购、协议回购、三方回购及国债预发行等产品。</w:t>
      </w:r>
    </w:p>
    <w:p w14:paraId="53F2A6F9">
      <w:pPr>
        <w:spacing w:line="600" w:lineRule="exact"/>
        <w:ind w:firstLine="528" w:firstLineChars="176"/>
        <w:jc w:val="left"/>
        <w:rPr>
          <w:rFonts w:ascii="仿宋_GB2312" w:hAnsi="宋体" w:eastAsia="仿宋_GB2312" w:cs="宋体"/>
          <w:kern w:val="0"/>
          <w:sz w:val="30"/>
          <w:szCs w:val="30"/>
        </w:rPr>
      </w:pPr>
      <w:r>
        <w:rPr>
          <w:rFonts w:hint="eastAsia" w:ascii="仿宋_GB2312" w:hAnsi="宋体" w:eastAsia="仿宋_GB2312" w:cs="宋体"/>
          <w:kern w:val="0"/>
          <w:sz w:val="30"/>
          <w:szCs w:val="30"/>
        </w:rPr>
        <w:t>所有的行情要素（除特殊说明外）数据均基于相关品种采用的交易方式形成，相关交易方式包括匹配成交、点击成交、询价成交、竞买成交、协商成交。其中，</w:t>
      </w:r>
      <w:r>
        <w:rPr>
          <w:rFonts w:hint="eastAsia" w:ascii="仿宋_GB2312" w:hAnsi="宋体" w:eastAsia="仿宋_GB2312"/>
          <w:b/>
          <w:bCs/>
          <w:sz w:val="30"/>
          <w:szCs w:val="30"/>
        </w:rPr>
        <w:t>匹配成交的行情和非匹配成交的行情分别通过不同渠道发送。</w:t>
      </w:r>
    </w:p>
    <w:p w14:paraId="528546EF">
      <w:pPr>
        <w:spacing w:line="600" w:lineRule="exact"/>
        <w:ind w:firstLine="602" w:firstLineChars="200"/>
        <w:outlineLvl w:val="3"/>
        <w:rPr>
          <w:rFonts w:ascii="仿宋_GB2312" w:eastAsia="仿宋_GB2312"/>
          <w:b/>
          <w:sz w:val="30"/>
          <w:szCs w:val="30"/>
        </w:rPr>
      </w:pPr>
      <w:r>
        <w:rPr>
          <w:rFonts w:hint="eastAsia" w:ascii="仿宋_GB2312" w:eastAsia="仿宋_GB2312"/>
          <w:b/>
          <w:sz w:val="30"/>
          <w:szCs w:val="30"/>
        </w:rPr>
        <w:t>（1）债券现券</w:t>
      </w:r>
    </w:p>
    <w:p w14:paraId="52E8A1FC">
      <w:pPr>
        <w:spacing w:line="600" w:lineRule="exact"/>
        <w:ind w:firstLine="528" w:firstLineChars="176"/>
        <w:rPr>
          <w:rFonts w:ascii="仿宋_GB2312" w:hAnsi="Calibri" w:eastAsia="仿宋_GB2312"/>
          <w:sz w:val="30"/>
          <w:szCs w:val="30"/>
        </w:rPr>
      </w:pPr>
      <w:r>
        <w:rPr>
          <w:rFonts w:hint="eastAsia" w:ascii="仿宋_GB2312" w:hAnsi="宋体" w:eastAsia="仿宋_GB2312"/>
          <w:sz w:val="30"/>
          <w:szCs w:val="30"/>
        </w:rPr>
        <w:t>对于债券现券，本所实时发布债券投资者通过匹配成交</w:t>
      </w:r>
      <w:r>
        <w:rPr>
          <w:rFonts w:ascii="仿宋_GB2312" w:hAnsi="宋体" w:eastAsia="仿宋_GB2312"/>
          <w:sz w:val="30"/>
          <w:szCs w:val="30"/>
        </w:rPr>
        <w:t>、点击成交、询价成交、协商成交（含</w:t>
      </w:r>
      <w:r>
        <w:rPr>
          <w:rFonts w:hint="eastAsia" w:ascii="仿宋_GB2312" w:hAnsi="仿宋" w:eastAsia="仿宋_GB2312"/>
          <w:sz w:val="30"/>
          <w:szCs w:val="30"/>
        </w:rPr>
        <w:t>合并申报</w:t>
      </w:r>
      <w:r>
        <w:rPr>
          <w:rFonts w:hint="eastAsia" w:ascii="仿宋_GB2312" w:hAnsi="宋体" w:eastAsia="仿宋_GB2312"/>
          <w:sz w:val="30"/>
          <w:szCs w:val="30"/>
        </w:rPr>
        <w:t>）及竞买成交方式达成的成交统计行情。成交统计行情按证券代码进行成交统计，并单独提供匹配成交的统计类信息</w:t>
      </w:r>
      <w:r>
        <w:rPr>
          <w:rFonts w:hint="eastAsia" w:ascii="仿宋_GB2312" w:hAnsi="Calibri" w:eastAsia="仿宋_GB2312"/>
          <w:sz w:val="30"/>
          <w:szCs w:val="30"/>
        </w:rPr>
        <w:t>。</w:t>
      </w:r>
    </w:p>
    <w:p w14:paraId="176127CC">
      <w:pPr>
        <w:spacing w:line="600" w:lineRule="exact"/>
        <w:ind w:firstLine="528" w:firstLineChars="176"/>
        <w:rPr>
          <w:rFonts w:ascii="仿宋_GB2312" w:hAnsi="Calibri" w:eastAsia="仿宋_GB2312"/>
          <w:sz w:val="30"/>
          <w:szCs w:val="30"/>
        </w:rPr>
      </w:pPr>
      <w:r>
        <w:rPr>
          <w:rFonts w:hint="eastAsia" w:ascii="仿宋_GB2312" w:hAnsi="Calibri" w:eastAsia="仿宋_GB2312"/>
          <w:sz w:val="30"/>
          <w:szCs w:val="30"/>
        </w:rPr>
        <w:t>匹配成交方式下，债券现券的成交统计行情包括</w:t>
      </w:r>
      <w:r>
        <w:rPr>
          <w:rFonts w:hint="eastAsia" w:ascii="仿宋_GB2312" w:eastAsia="仿宋_GB2312"/>
          <w:color w:val="000000"/>
          <w:sz w:val="30"/>
          <w:szCs w:val="30"/>
        </w:rPr>
        <w:t>当日最新成交价格、当日最高成交价格、当日最低成交价格、当日累计成交数量、当日累计成交金额等信息。</w:t>
      </w:r>
      <w:r>
        <w:rPr>
          <w:rFonts w:hint="eastAsia" w:ascii="仿宋_GB2312" w:hAnsi="Calibri" w:eastAsia="仿宋_GB2312"/>
          <w:sz w:val="30"/>
          <w:szCs w:val="30"/>
        </w:rPr>
        <w:t>具体如下：</w:t>
      </w:r>
    </w:p>
    <w:tbl>
      <w:tblPr>
        <w:tblStyle w:val="43"/>
        <w:tblW w:w="7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3560"/>
        <w:gridCol w:w="3917"/>
      </w:tblGrid>
      <w:tr w14:paraId="29054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31" w:hRule="atLeast"/>
          <w:jc w:val="center"/>
        </w:trPr>
        <w:tc>
          <w:tcPr>
            <w:tcW w:w="3560" w:type="dxa"/>
            <w:shd w:val="clear" w:color="auto" w:fill="FFFFFF"/>
            <w:vAlign w:val="center"/>
          </w:tcPr>
          <w:p w14:paraId="4E703A4B">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要素名称</w:t>
            </w:r>
          </w:p>
        </w:tc>
        <w:tc>
          <w:tcPr>
            <w:tcW w:w="3917" w:type="dxa"/>
            <w:shd w:val="clear" w:color="auto" w:fill="FFFFFF"/>
            <w:vAlign w:val="center"/>
          </w:tcPr>
          <w:p w14:paraId="175CDAD8">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要素说明</w:t>
            </w:r>
          </w:p>
        </w:tc>
      </w:tr>
      <w:tr w14:paraId="74676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vAlign w:val="center"/>
          </w:tcPr>
          <w:p w14:paraId="131C697F">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证券代码</w:t>
            </w:r>
          </w:p>
        </w:tc>
        <w:tc>
          <w:tcPr>
            <w:tcW w:w="3917" w:type="dxa"/>
            <w:shd w:val="clear" w:color="auto" w:fill="FFFFFF"/>
            <w:vAlign w:val="center"/>
          </w:tcPr>
          <w:p w14:paraId="2F0A81C0">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债券代码</w:t>
            </w:r>
          </w:p>
        </w:tc>
      </w:tr>
      <w:tr w14:paraId="6B206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vAlign w:val="center"/>
          </w:tcPr>
          <w:p w14:paraId="7AAF26B3">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证券简称</w:t>
            </w:r>
          </w:p>
        </w:tc>
        <w:tc>
          <w:tcPr>
            <w:tcW w:w="3917" w:type="dxa"/>
            <w:shd w:val="clear" w:color="auto" w:fill="FFFFFF"/>
            <w:vAlign w:val="center"/>
          </w:tcPr>
          <w:p w14:paraId="35E31E7E">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债券简称</w:t>
            </w:r>
          </w:p>
        </w:tc>
      </w:tr>
      <w:tr w14:paraId="5D491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vAlign w:val="center"/>
          </w:tcPr>
          <w:p w14:paraId="6F231311">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交易日期</w:t>
            </w:r>
          </w:p>
        </w:tc>
        <w:tc>
          <w:tcPr>
            <w:tcW w:w="3917" w:type="dxa"/>
            <w:shd w:val="clear" w:color="auto" w:fill="FFFFFF"/>
            <w:vAlign w:val="center"/>
          </w:tcPr>
          <w:p w14:paraId="3CC3A2CC">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年月日</w:t>
            </w:r>
          </w:p>
        </w:tc>
      </w:tr>
      <w:tr w14:paraId="31859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vAlign w:val="center"/>
          </w:tcPr>
          <w:p w14:paraId="3332B508">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交易时间</w:t>
            </w:r>
          </w:p>
        </w:tc>
        <w:tc>
          <w:tcPr>
            <w:tcW w:w="3917" w:type="dxa"/>
            <w:shd w:val="clear" w:color="auto" w:fill="FFFFFF"/>
            <w:vAlign w:val="center"/>
          </w:tcPr>
          <w:p w14:paraId="0C5AB476">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时分秒</w:t>
            </w:r>
          </w:p>
        </w:tc>
      </w:tr>
      <w:tr w14:paraId="74F6D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08" w:hRule="atLeast"/>
          <w:jc w:val="center"/>
        </w:trPr>
        <w:tc>
          <w:tcPr>
            <w:tcW w:w="3560" w:type="dxa"/>
            <w:shd w:val="clear" w:color="auto" w:fill="FFFFFF"/>
          </w:tcPr>
          <w:p w14:paraId="76204667">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最新成交时间</w:t>
            </w:r>
          </w:p>
        </w:tc>
        <w:tc>
          <w:tcPr>
            <w:tcW w:w="3917" w:type="dxa"/>
            <w:shd w:val="clear" w:color="auto" w:fill="FFFFFF"/>
            <w:vAlign w:val="center"/>
          </w:tcPr>
          <w:p w14:paraId="62A8B2F7">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时分秒</w:t>
            </w:r>
          </w:p>
        </w:tc>
      </w:tr>
      <w:tr w14:paraId="5915B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tcPr>
          <w:p w14:paraId="3902EB6A">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昨日收盘价</w:t>
            </w:r>
          </w:p>
        </w:tc>
        <w:tc>
          <w:tcPr>
            <w:tcW w:w="3917" w:type="dxa"/>
            <w:shd w:val="clear" w:color="auto" w:fill="FFFFFF"/>
            <w:vAlign w:val="center"/>
          </w:tcPr>
          <w:p w14:paraId="491E2EBA">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50DD7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tcPr>
          <w:p w14:paraId="356C5EBB">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当日开盘价</w:t>
            </w:r>
          </w:p>
        </w:tc>
        <w:tc>
          <w:tcPr>
            <w:tcW w:w="3917" w:type="dxa"/>
            <w:shd w:val="clear" w:color="auto" w:fill="FFFFFF"/>
            <w:vAlign w:val="center"/>
          </w:tcPr>
          <w:p w14:paraId="1E49E2CF">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5D96A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tcPr>
          <w:p w14:paraId="3FAFEC8C">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当日最高价</w:t>
            </w:r>
          </w:p>
        </w:tc>
        <w:tc>
          <w:tcPr>
            <w:tcW w:w="3917" w:type="dxa"/>
            <w:shd w:val="clear" w:color="auto" w:fill="FFFFFF"/>
            <w:vAlign w:val="center"/>
          </w:tcPr>
          <w:p w14:paraId="716F6E08">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2E798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tcPr>
          <w:p w14:paraId="5EDC1FDA">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当日最低价</w:t>
            </w:r>
          </w:p>
        </w:tc>
        <w:tc>
          <w:tcPr>
            <w:tcW w:w="3917" w:type="dxa"/>
            <w:shd w:val="clear" w:color="auto" w:fill="FFFFFF"/>
            <w:vAlign w:val="center"/>
          </w:tcPr>
          <w:p w14:paraId="01F3D348">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15A32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tcPr>
          <w:p w14:paraId="563F4CF5">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当日最新价</w:t>
            </w:r>
          </w:p>
        </w:tc>
        <w:tc>
          <w:tcPr>
            <w:tcW w:w="3917" w:type="dxa"/>
            <w:shd w:val="clear" w:color="auto" w:fill="FFFFFF"/>
            <w:vAlign w:val="center"/>
          </w:tcPr>
          <w:p w14:paraId="76B547D8">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75758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tcPr>
          <w:p w14:paraId="0B707293">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当日收盘价</w:t>
            </w:r>
          </w:p>
        </w:tc>
        <w:tc>
          <w:tcPr>
            <w:tcW w:w="3917" w:type="dxa"/>
            <w:shd w:val="clear" w:color="auto" w:fill="FFFFFF"/>
            <w:vAlign w:val="center"/>
          </w:tcPr>
          <w:p w14:paraId="232A6898">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5BA2A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tcPr>
          <w:p w14:paraId="548F1A76">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当日加权平均价</w:t>
            </w:r>
          </w:p>
        </w:tc>
        <w:tc>
          <w:tcPr>
            <w:tcW w:w="3917" w:type="dxa"/>
            <w:shd w:val="clear" w:color="auto" w:fill="FFFFFF"/>
            <w:vAlign w:val="center"/>
          </w:tcPr>
          <w:p w14:paraId="6AF37A4F">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3F53F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tcPr>
          <w:p w14:paraId="5149B4D5">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当日累计成交数量</w:t>
            </w:r>
          </w:p>
        </w:tc>
        <w:tc>
          <w:tcPr>
            <w:tcW w:w="3917" w:type="dxa"/>
            <w:shd w:val="clear" w:color="auto" w:fill="FFFFFF"/>
            <w:vAlign w:val="center"/>
          </w:tcPr>
          <w:p w14:paraId="51086922">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单位：元（整数）</w:t>
            </w:r>
          </w:p>
        </w:tc>
      </w:tr>
      <w:tr w14:paraId="233C6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tcPr>
          <w:p w14:paraId="305F7BC0">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当日累计成交金额</w:t>
            </w:r>
          </w:p>
        </w:tc>
        <w:tc>
          <w:tcPr>
            <w:tcW w:w="3917" w:type="dxa"/>
            <w:shd w:val="clear" w:color="auto" w:fill="FFFFFF"/>
            <w:vAlign w:val="center"/>
          </w:tcPr>
          <w:p w14:paraId="7544D05A">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单位：元（2位小数）</w:t>
            </w:r>
          </w:p>
        </w:tc>
      </w:tr>
    </w:tbl>
    <w:p w14:paraId="063E7E06">
      <w:pPr>
        <w:spacing w:line="600" w:lineRule="exact"/>
        <w:ind w:firstLine="528" w:firstLineChars="176"/>
        <w:rPr>
          <w:rFonts w:ascii="仿宋_GB2312" w:hAnsi="宋体" w:eastAsia="仿宋_GB2312"/>
          <w:sz w:val="30"/>
          <w:szCs w:val="30"/>
        </w:rPr>
      </w:pPr>
      <w:r>
        <w:rPr>
          <w:rFonts w:hint="eastAsia" w:ascii="仿宋_GB2312" w:hAnsi="Calibri" w:eastAsia="仿宋_GB2312"/>
          <w:sz w:val="30"/>
          <w:szCs w:val="30"/>
        </w:rPr>
        <w:t>非匹配成交方式下，债券现券的成交统计行情包括</w:t>
      </w:r>
      <w:r>
        <w:rPr>
          <w:rFonts w:hint="eastAsia" w:ascii="仿宋_GB2312" w:eastAsia="仿宋_GB2312"/>
          <w:color w:val="000000"/>
          <w:sz w:val="30"/>
          <w:szCs w:val="30"/>
        </w:rPr>
        <w:t>当日最新成交价格、当日最高成交价格、当日最低成交价格、当日加权平均价格、当日累计成交数量、当日累计成交金额等信息。</w:t>
      </w:r>
      <w:r>
        <w:rPr>
          <w:rFonts w:hint="eastAsia" w:ascii="仿宋_GB2312" w:hAnsi="Calibri" w:eastAsia="仿宋_GB2312"/>
          <w:sz w:val="30"/>
          <w:szCs w:val="30"/>
        </w:rPr>
        <w:t>具体如下：</w:t>
      </w:r>
    </w:p>
    <w:tbl>
      <w:tblPr>
        <w:tblStyle w:val="43"/>
        <w:tblW w:w="7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3560"/>
        <w:gridCol w:w="3917"/>
      </w:tblGrid>
      <w:tr w14:paraId="47EF7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31" w:hRule="atLeast"/>
          <w:jc w:val="center"/>
        </w:trPr>
        <w:tc>
          <w:tcPr>
            <w:tcW w:w="3560" w:type="dxa"/>
            <w:shd w:val="clear" w:color="auto" w:fill="FFFFFF"/>
            <w:vAlign w:val="center"/>
          </w:tcPr>
          <w:p w14:paraId="5C096B3A">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要素名称</w:t>
            </w:r>
          </w:p>
        </w:tc>
        <w:tc>
          <w:tcPr>
            <w:tcW w:w="3917" w:type="dxa"/>
            <w:shd w:val="clear" w:color="auto" w:fill="FFFFFF"/>
            <w:vAlign w:val="center"/>
          </w:tcPr>
          <w:p w14:paraId="17C8D3B9">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要素说明</w:t>
            </w:r>
          </w:p>
        </w:tc>
      </w:tr>
      <w:tr w14:paraId="4B109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vAlign w:val="center"/>
          </w:tcPr>
          <w:p w14:paraId="6BA59759">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证券代码</w:t>
            </w:r>
          </w:p>
        </w:tc>
        <w:tc>
          <w:tcPr>
            <w:tcW w:w="3917" w:type="dxa"/>
            <w:shd w:val="clear" w:color="auto" w:fill="FFFFFF"/>
            <w:vAlign w:val="center"/>
          </w:tcPr>
          <w:p w14:paraId="74C1B081">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债券代码</w:t>
            </w:r>
          </w:p>
        </w:tc>
      </w:tr>
      <w:tr w14:paraId="68440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vAlign w:val="center"/>
          </w:tcPr>
          <w:p w14:paraId="36415215">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证券简称</w:t>
            </w:r>
          </w:p>
        </w:tc>
        <w:tc>
          <w:tcPr>
            <w:tcW w:w="3917" w:type="dxa"/>
            <w:shd w:val="clear" w:color="auto" w:fill="FFFFFF"/>
            <w:vAlign w:val="center"/>
          </w:tcPr>
          <w:p w14:paraId="43062488">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债券简称</w:t>
            </w:r>
          </w:p>
        </w:tc>
      </w:tr>
      <w:tr w14:paraId="798BF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vAlign w:val="center"/>
          </w:tcPr>
          <w:p w14:paraId="321BE8F3">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交易日期</w:t>
            </w:r>
          </w:p>
        </w:tc>
        <w:tc>
          <w:tcPr>
            <w:tcW w:w="3917" w:type="dxa"/>
            <w:shd w:val="clear" w:color="auto" w:fill="FFFFFF"/>
            <w:vAlign w:val="center"/>
          </w:tcPr>
          <w:p w14:paraId="5B1698D3">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年月日</w:t>
            </w:r>
          </w:p>
        </w:tc>
      </w:tr>
      <w:tr w14:paraId="780A9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vAlign w:val="center"/>
          </w:tcPr>
          <w:p w14:paraId="506E521D">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交易时间</w:t>
            </w:r>
          </w:p>
        </w:tc>
        <w:tc>
          <w:tcPr>
            <w:tcW w:w="3917" w:type="dxa"/>
            <w:shd w:val="clear" w:color="auto" w:fill="FFFFFF"/>
            <w:vAlign w:val="center"/>
          </w:tcPr>
          <w:p w14:paraId="77FF5AD8">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时分秒</w:t>
            </w:r>
          </w:p>
        </w:tc>
      </w:tr>
      <w:tr w14:paraId="0B500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08" w:hRule="atLeast"/>
          <w:jc w:val="center"/>
        </w:trPr>
        <w:tc>
          <w:tcPr>
            <w:tcW w:w="3560" w:type="dxa"/>
            <w:shd w:val="clear" w:color="auto" w:fill="FFFFFF"/>
          </w:tcPr>
          <w:p w14:paraId="51FE83DC">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最新成交时间</w:t>
            </w:r>
          </w:p>
        </w:tc>
        <w:tc>
          <w:tcPr>
            <w:tcW w:w="3917" w:type="dxa"/>
            <w:shd w:val="clear" w:color="auto" w:fill="FFFFFF"/>
            <w:vAlign w:val="center"/>
          </w:tcPr>
          <w:p w14:paraId="350366C0">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时分秒</w:t>
            </w:r>
          </w:p>
        </w:tc>
      </w:tr>
      <w:tr w14:paraId="3A26B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tcPr>
          <w:p w14:paraId="797CCDD5">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昨日收盘价</w:t>
            </w:r>
          </w:p>
        </w:tc>
        <w:tc>
          <w:tcPr>
            <w:tcW w:w="3917" w:type="dxa"/>
            <w:shd w:val="clear" w:color="auto" w:fill="FFFFFF"/>
            <w:vAlign w:val="center"/>
          </w:tcPr>
          <w:p w14:paraId="3556AEC2">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7F11E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tcPr>
          <w:p w14:paraId="20572000">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当日开盘价</w:t>
            </w:r>
          </w:p>
        </w:tc>
        <w:tc>
          <w:tcPr>
            <w:tcW w:w="3917" w:type="dxa"/>
            <w:shd w:val="clear" w:color="auto" w:fill="FFFFFF"/>
            <w:vAlign w:val="center"/>
          </w:tcPr>
          <w:p w14:paraId="012BD720">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3585F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tcPr>
          <w:p w14:paraId="082F271F">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当日最高价</w:t>
            </w:r>
          </w:p>
        </w:tc>
        <w:tc>
          <w:tcPr>
            <w:tcW w:w="3917" w:type="dxa"/>
            <w:shd w:val="clear" w:color="auto" w:fill="FFFFFF"/>
            <w:vAlign w:val="center"/>
          </w:tcPr>
          <w:p w14:paraId="7F909CDC">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3A0A9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tcPr>
          <w:p w14:paraId="3B89E742">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当日最低价</w:t>
            </w:r>
          </w:p>
        </w:tc>
        <w:tc>
          <w:tcPr>
            <w:tcW w:w="3917" w:type="dxa"/>
            <w:shd w:val="clear" w:color="auto" w:fill="FFFFFF"/>
            <w:vAlign w:val="center"/>
          </w:tcPr>
          <w:p w14:paraId="386B3F3E">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453DE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tcPr>
          <w:p w14:paraId="41230E80">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当日最新价</w:t>
            </w:r>
          </w:p>
        </w:tc>
        <w:tc>
          <w:tcPr>
            <w:tcW w:w="3917" w:type="dxa"/>
            <w:shd w:val="clear" w:color="auto" w:fill="FFFFFF"/>
            <w:vAlign w:val="center"/>
          </w:tcPr>
          <w:p w14:paraId="1B70B161">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076F1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tcPr>
          <w:p w14:paraId="15ED78EE">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当日收盘价</w:t>
            </w:r>
          </w:p>
        </w:tc>
        <w:tc>
          <w:tcPr>
            <w:tcW w:w="3917" w:type="dxa"/>
            <w:shd w:val="clear" w:color="auto" w:fill="FFFFFF"/>
            <w:vAlign w:val="center"/>
          </w:tcPr>
          <w:p w14:paraId="4584633E">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56802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tcPr>
          <w:p w14:paraId="2E0F5EE9">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当日加权平均价</w:t>
            </w:r>
          </w:p>
        </w:tc>
        <w:tc>
          <w:tcPr>
            <w:tcW w:w="3917" w:type="dxa"/>
            <w:shd w:val="clear" w:color="auto" w:fill="FFFFFF"/>
            <w:vAlign w:val="center"/>
          </w:tcPr>
          <w:p w14:paraId="160356AE">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54CB3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tcPr>
          <w:p w14:paraId="1A0287E0">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当日累计成交数量</w:t>
            </w:r>
          </w:p>
        </w:tc>
        <w:tc>
          <w:tcPr>
            <w:tcW w:w="3917" w:type="dxa"/>
            <w:shd w:val="clear" w:color="auto" w:fill="FFFFFF"/>
            <w:vAlign w:val="center"/>
          </w:tcPr>
          <w:p w14:paraId="6AD781C0">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单位：元（整数）</w:t>
            </w:r>
          </w:p>
        </w:tc>
      </w:tr>
      <w:tr w14:paraId="5805A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tcPr>
          <w:p w14:paraId="3FD39AE4">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当日累计成交金额</w:t>
            </w:r>
          </w:p>
        </w:tc>
        <w:tc>
          <w:tcPr>
            <w:tcW w:w="3917" w:type="dxa"/>
            <w:shd w:val="clear" w:color="auto" w:fill="FFFFFF"/>
            <w:vAlign w:val="center"/>
          </w:tcPr>
          <w:p w14:paraId="38B187C2">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单位：元（2位小数）</w:t>
            </w:r>
          </w:p>
        </w:tc>
      </w:tr>
      <w:tr w14:paraId="78995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tcPr>
          <w:p w14:paraId="1FB74DAE">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当日累计成交笔数</w:t>
            </w:r>
          </w:p>
        </w:tc>
        <w:tc>
          <w:tcPr>
            <w:tcW w:w="3917" w:type="dxa"/>
            <w:shd w:val="clear" w:color="auto" w:fill="FFFFFF"/>
            <w:vAlign w:val="center"/>
          </w:tcPr>
          <w:p w14:paraId="08FAAE85">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单位：笔</w:t>
            </w:r>
          </w:p>
        </w:tc>
      </w:tr>
      <w:tr w14:paraId="279AE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tcPr>
          <w:p w14:paraId="0E097155">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当日最高收益率</w:t>
            </w:r>
          </w:p>
        </w:tc>
        <w:tc>
          <w:tcPr>
            <w:tcW w:w="3917" w:type="dxa"/>
            <w:shd w:val="clear" w:color="auto" w:fill="FFFFFF"/>
            <w:vAlign w:val="center"/>
          </w:tcPr>
          <w:p w14:paraId="35B518BC">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63020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tcPr>
          <w:p w14:paraId="2E163558">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当日最低收益率</w:t>
            </w:r>
          </w:p>
        </w:tc>
        <w:tc>
          <w:tcPr>
            <w:tcW w:w="3917" w:type="dxa"/>
            <w:shd w:val="clear" w:color="auto" w:fill="FFFFFF"/>
          </w:tcPr>
          <w:p w14:paraId="5F66A2E5">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53358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tcPr>
          <w:p w14:paraId="2811326C">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当日最新收益率</w:t>
            </w:r>
          </w:p>
        </w:tc>
        <w:tc>
          <w:tcPr>
            <w:tcW w:w="3917" w:type="dxa"/>
            <w:shd w:val="clear" w:color="auto" w:fill="FFFFFF"/>
          </w:tcPr>
          <w:p w14:paraId="0182E739">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bl>
    <w:p w14:paraId="2698FD2C">
      <w:pPr>
        <w:spacing w:line="600" w:lineRule="exact"/>
        <w:ind w:firstLine="602" w:firstLineChars="200"/>
        <w:outlineLvl w:val="3"/>
        <w:rPr>
          <w:rFonts w:ascii="仿宋_GB2312" w:eastAsia="仿宋_GB2312"/>
          <w:b/>
          <w:sz w:val="30"/>
          <w:szCs w:val="30"/>
        </w:rPr>
      </w:pPr>
      <w:r>
        <w:rPr>
          <w:rFonts w:hint="eastAsia" w:ascii="仿宋_GB2312" w:eastAsia="仿宋_GB2312"/>
          <w:b/>
          <w:sz w:val="30"/>
          <w:szCs w:val="30"/>
        </w:rPr>
        <w:t>（2）通用回购</w:t>
      </w:r>
    </w:p>
    <w:p w14:paraId="56A509BD">
      <w:pPr>
        <w:spacing w:line="600" w:lineRule="exact"/>
        <w:ind w:firstLine="564" w:firstLineChars="188"/>
        <w:rPr>
          <w:rFonts w:ascii="仿宋_GB2312" w:hAnsi="宋体" w:eastAsia="仿宋_GB2312"/>
          <w:sz w:val="30"/>
          <w:szCs w:val="30"/>
        </w:rPr>
      </w:pPr>
      <w:r>
        <w:rPr>
          <w:rFonts w:hint="eastAsia" w:ascii="仿宋_GB2312" w:hAnsi="宋体" w:eastAsia="仿宋_GB2312"/>
          <w:sz w:val="30"/>
          <w:szCs w:val="30"/>
        </w:rPr>
        <w:t>对于通用回购，本所实时发布债券投资者通过匹配成交方式达成的成交统计行情，成交统计行情按回购代码进行成交统计。</w:t>
      </w:r>
    </w:p>
    <w:p w14:paraId="3671D7C5">
      <w:pPr>
        <w:spacing w:line="600" w:lineRule="exact"/>
        <w:ind w:firstLine="564" w:firstLineChars="188"/>
        <w:rPr>
          <w:rFonts w:ascii="仿宋_GB2312" w:hAnsi="宋体" w:eastAsia="仿宋_GB2312"/>
          <w:sz w:val="30"/>
          <w:szCs w:val="30"/>
        </w:rPr>
      </w:pPr>
      <w:r>
        <w:rPr>
          <w:rFonts w:hint="eastAsia" w:ascii="仿宋_GB2312" w:hAnsi="宋体" w:eastAsia="仿宋_GB2312"/>
          <w:sz w:val="30"/>
          <w:szCs w:val="30"/>
        </w:rPr>
        <w:t>通用回购的成交统计行情包括昨日收盘利率、昨日加权平均利率、当日开盘利率、当日最高利率、当日最低利率、当日最新利率、当日收盘利率、当日加权平均利率、当日累计成交金额、等信息</w:t>
      </w:r>
      <w:r>
        <w:rPr>
          <w:rFonts w:hint="eastAsia" w:ascii="仿宋_GB2312" w:hAnsi="Calibri" w:eastAsia="仿宋_GB2312"/>
          <w:sz w:val="30"/>
          <w:szCs w:val="30"/>
        </w:rPr>
        <w:t>。具体如下：</w:t>
      </w:r>
    </w:p>
    <w:tbl>
      <w:tblPr>
        <w:tblStyle w:val="43"/>
        <w:tblW w:w="7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3560"/>
        <w:gridCol w:w="3917"/>
      </w:tblGrid>
      <w:tr w14:paraId="7E026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31" w:hRule="atLeast"/>
          <w:jc w:val="center"/>
        </w:trPr>
        <w:tc>
          <w:tcPr>
            <w:tcW w:w="3560" w:type="dxa"/>
            <w:shd w:val="clear" w:color="auto" w:fill="FFFFFF"/>
            <w:vAlign w:val="center"/>
          </w:tcPr>
          <w:p w14:paraId="09FB53F4">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要素名称</w:t>
            </w:r>
          </w:p>
        </w:tc>
        <w:tc>
          <w:tcPr>
            <w:tcW w:w="3917" w:type="dxa"/>
            <w:shd w:val="clear" w:color="auto" w:fill="FFFFFF"/>
            <w:vAlign w:val="center"/>
          </w:tcPr>
          <w:p w14:paraId="42382692">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要素说明</w:t>
            </w:r>
          </w:p>
        </w:tc>
      </w:tr>
      <w:tr w14:paraId="65A69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vAlign w:val="center"/>
          </w:tcPr>
          <w:p w14:paraId="3943E09B">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回购代码</w:t>
            </w:r>
          </w:p>
        </w:tc>
        <w:tc>
          <w:tcPr>
            <w:tcW w:w="3917" w:type="dxa"/>
            <w:shd w:val="clear" w:color="auto" w:fill="FFFFFF"/>
            <w:vAlign w:val="center"/>
          </w:tcPr>
          <w:p w14:paraId="311DF202">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通用回购代码</w:t>
            </w:r>
          </w:p>
        </w:tc>
      </w:tr>
      <w:tr w14:paraId="08AA8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vAlign w:val="center"/>
          </w:tcPr>
          <w:p w14:paraId="4C4089DC">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回购简称</w:t>
            </w:r>
          </w:p>
        </w:tc>
        <w:tc>
          <w:tcPr>
            <w:tcW w:w="3917" w:type="dxa"/>
            <w:shd w:val="clear" w:color="auto" w:fill="FFFFFF"/>
            <w:vAlign w:val="center"/>
          </w:tcPr>
          <w:p w14:paraId="258E7F23">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通用回购简称</w:t>
            </w:r>
          </w:p>
        </w:tc>
      </w:tr>
      <w:tr w14:paraId="41409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vAlign w:val="center"/>
          </w:tcPr>
          <w:p w14:paraId="7AA0A9A5">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交易日期</w:t>
            </w:r>
          </w:p>
        </w:tc>
        <w:tc>
          <w:tcPr>
            <w:tcW w:w="3917" w:type="dxa"/>
            <w:shd w:val="clear" w:color="auto" w:fill="FFFFFF"/>
            <w:vAlign w:val="center"/>
          </w:tcPr>
          <w:p w14:paraId="15F044CF">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年月日</w:t>
            </w:r>
          </w:p>
        </w:tc>
      </w:tr>
      <w:tr w14:paraId="05490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vAlign w:val="center"/>
          </w:tcPr>
          <w:p w14:paraId="01BC37AD">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交易时间</w:t>
            </w:r>
          </w:p>
        </w:tc>
        <w:tc>
          <w:tcPr>
            <w:tcW w:w="3917" w:type="dxa"/>
            <w:shd w:val="clear" w:color="auto" w:fill="FFFFFF"/>
            <w:vAlign w:val="center"/>
          </w:tcPr>
          <w:p w14:paraId="6ACF119E">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时分秒</w:t>
            </w:r>
          </w:p>
        </w:tc>
      </w:tr>
      <w:tr w14:paraId="5931D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tcPr>
          <w:p w14:paraId="5EC07688">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最新成交时间</w:t>
            </w:r>
          </w:p>
        </w:tc>
        <w:tc>
          <w:tcPr>
            <w:tcW w:w="3917" w:type="dxa"/>
            <w:shd w:val="clear" w:color="auto" w:fill="FFFFFF"/>
            <w:vAlign w:val="center"/>
          </w:tcPr>
          <w:p w14:paraId="156812BD">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时分秒</w:t>
            </w:r>
          </w:p>
        </w:tc>
      </w:tr>
      <w:tr w14:paraId="19681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tcPr>
          <w:p w14:paraId="55EEA6E3">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昨日收盘利率</w:t>
            </w:r>
          </w:p>
        </w:tc>
        <w:tc>
          <w:tcPr>
            <w:tcW w:w="3917" w:type="dxa"/>
            <w:shd w:val="clear" w:color="auto" w:fill="FFFFFF"/>
            <w:vAlign w:val="center"/>
          </w:tcPr>
          <w:p w14:paraId="3E436619">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67AA7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tcPr>
          <w:p w14:paraId="5796D875">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昨日加权平均利率</w:t>
            </w:r>
          </w:p>
        </w:tc>
        <w:tc>
          <w:tcPr>
            <w:tcW w:w="3917" w:type="dxa"/>
            <w:shd w:val="clear" w:color="auto" w:fill="FFFFFF"/>
            <w:vAlign w:val="center"/>
          </w:tcPr>
          <w:p w14:paraId="54F58330">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02264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tcPr>
          <w:p w14:paraId="119BA055">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当日开盘利率</w:t>
            </w:r>
          </w:p>
        </w:tc>
        <w:tc>
          <w:tcPr>
            <w:tcW w:w="3917" w:type="dxa"/>
            <w:shd w:val="clear" w:color="auto" w:fill="FFFFFF"/>
            <w:vAlign w:val="center"/>
          </w:tcPr>
          <w:p w14:paraId="56C94C71">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6078D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tcPr>
          <w:p w14:paraId="147E1E2C">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当日最高利率</w:t>
            </w:r>
          </w:p>
        </w:tc>
        <w:tc>
          <w:tcPr>
            <w:tcW w:w="3917" w:type="dxa"/>
            <w:shd w:val="clear" w:color="auto" w:fill="FFFFFF"/>
            <w:vAlign w:val="center"/>
          </w:tcPr>
          <w:p w14:paraId="4A6F2339">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34B30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tcPr>
          <w:p w14:paraId="75E8E757">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当日最低利率</w:t>
            </w:r>
          </w:p>
        </w:tc>
        <w:tc>
          <w:tcPr>
            <w:tcW w:w="3917" w:type="dxa"/>
            <w:shd w:val="clear" w:color="auto" w:fill="FFFFFF"/>
          </w:tcPr>
          <w:p w14:paraId="6D24CFEF">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34B4B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tcPr>
          <w:p w14:paraId="4FFE7971">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当日最新利率</w:t>
            </w:r>
          </w:p>
        </w:tc>
        <w:tc>
          <w:tcPr>
            <w:tcW w:w="3917" w:type="dxa"/>
            <w:shd w:val="clear" w:color="auto" w:fill="FFFFFF"/>
          </w:tcPr>
          <w:p w14:paraId="7A70B85E">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4E40B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tcPr>
          <w:p w14:paraId="1DE7010C">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当日收盘利率</w:t>
            </w:r>
          </w:p>
        </w:tc>
        <w:tc>
          <w:tcPr>
            <w:tcW w:w="3917" w:type="dxa"/>
            <w:shd w:val="clear" w:color="auto" w:fill="FFFFFF"/>
            <w:vAlign w:val="center"/>
          </w:tcPr>
          <w:p w14:paraId="3C8881B9">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44564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tcPr>
          <w:p w14:paraId="377F984F">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当日加权平均利率</w:t>
            </w:r>
          </w:p>
        </w:tc>
        <w:tc>
          <w:tcPr>
            <w:tcW w:w="3917" w:type="dxa"/>
            <w:shd w:val="clear" w:color="auto" w:fill="FFFFFF"/>
          </w:tcPr>
          <w:p w14:paraId="0DBA60C7">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6B894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tcPr>
          <w:p w14:paraId="3D0090A9">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当日累计成交金额</w:t>
            </w:r>
          </w:p>
        </w:tc>
        <w:tc>
          <w:tcPr>
            <w:tcW w:w="3917" w:type="dxa"/>
            <w:shd w:val="clear" w:color="auto" w:fill="FFFFFF"/>
            <w:vAlign w:val="center"/>
          </w:tcPr>
          <w:p w14:paraId="6FEBDA27">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单位：元（2位小数）</w:t>
            </w:r>
          </w:p>
        </w:tc>
      </w:tr>
    </w:tbl>
    <w:p w14:paraId="2F58E05C">
      <w:pPr>
        <w:spacing w:line="600" w:lineRule="exact"/>
        <w:ind w:firstLine="602" w:firstLineChars="200"/>
        <w:outlineLvl w:val="3"/>
        <w:rPr>
          <w:rFonts w:ascii="仿宋_GB2312" w:eastAsia="仿宋_GB2312"/>
          <w:b/>
          <w:sz w:val="30"/>
          <w:szCs w:val="30"/>
        </w:rPr>
      </w:pPr>
      <w:r>
        <w:rPr>
          <w:rFonts w:hint="eastAsia" w:ascii="仿宋_GB2312" w:eastAsia="仿宋_GB2312"/>
          <w:b/>
          <w:sz w:val="30"/>
          <w:szCs w:val="30"/>
        </w:rPr>
        <w:t>（3）协议回购</w:t>
      </w:r>
    </w:p>
    <w:p w14:paraId="4BD17130">
      <w:pPr>
        <w:widowControl/>
        <w:spacing w:line="600" w:lineRule="exact"/>
        <w:ind w:firstLine="564" w:firstLineChars="188"/>
        <w:jc w:val="left"/>
        <w:rPr>
          <w:rFonts w:ascii="仿宋_GB2312" w:hAnsi="宋体" w:eastAsia="仿宋_GB2312" w:cs="宋体"/>
          <w:kern w:val="0"/>
          <w:sz w:val="30"/>
          <w:szCs w:val="30"/>
        </w:rPr>
      </w:pPr>
      <w:r>
        <w:rPr>
          <w:rFonts w:hint="eastAsia" w:ascii="仿宋_GB2312" w:hAnsi="宋体" w:eastAsia="仿宋_GB2312"/>
          <w:sz w:val="30"/>
          <w:szCs w:val="30"/>
        </w:rPr>
        <w:t>对于协议回购，本所实时发布债券投资者通过协商成交方式达成的成交统计行情。</w:t>
      </w:r>
      <w:r>
        <w:rPr>
          <w:rFonts w:hint="eastAsia" w:ascii="仿宋_GB2312" w:hAnsi="宋体" w:eastAsia="仿宋_GB2312" w:cs="宋体"/>
          <w:kern w:val="0"/>
          <w:sz w:val="30"/>
          <w:szCs w:val="30"/>
        </w:rPr>
        <w:t>协议回购的成交统计行情与申报统计行情维度一致</w:t>
      </w:r>
      <w:r>
        <w:rPr>
          <w:rFonts w:hint="eastAsia" w:ascii="仿宋_GB2312" w:hAnsi="宋体" w:eastAsia="仿宋_GB2312"/>
          <w:sz w:val="30"/>
          <w:szCs w:val="30"/>
        </w:rPr>
        <w:t>，按回购期限</w:t>
      </w:r>
      <w:r>
        <w:rPr>
          <w:rFonts w:hint="eastAsia" w:ascii="仿宋_GB2312" w:hAnsi="宋体" w:eastAsia="仿宋_GB2312" w:cs="宋体"/>
          <w:kern w:val="0"/>
          <w:sz w:val="30"/>
          <w:szCs w:val="30"/>
        </w:rPr>
        <w:t>分九个类型</w:t>
      </w:r>
      <w:r>
        <w:rPr>
          <w:rFonts w:hint="eastAsia" w:ascii="仿宋_GB2312" w:hAnsi="宋体" w:eastAsia="仿宋_GB2312"/>
          <w:sz w:val="30"/>
          <w:szCs w:val="30"/>
        </w:rPr>
        <w:t>进行成交统计。</w:t>
      </w:r>
    </w:p>
    <w:p w14:paraId="06C30C6B">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协议回购的成交统计行情包括回购期限、昨日收盘利率、昨日加权平均利率、当日开盘利率、当日最高利率、当日最低利率、当日最新利率、当日收盘利率、当日加权平均利率、当日累计成交金额、当日累计成交笔数等信息。具体如下：</w:t>
      </w:r>
    </w:p>
    <w:tbl>
      <w:tblPr>
        <w:tblStyle w:val="43"/>
        <w:tblW w:w="7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3560"/>
        <w:gridCol w:w="3917"/>
      </w:tblGrid>
      <w:tr w14:paraId="42267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31" w:hRule="atLeast"/>
          <w:jc w:val="center"/>
        </w:trPr>
        <w:tc>
          <w:tcPr>
            <w:tcW w:w="3560" w:type="dxa"/>
            <w:shd w:val="clear" w:color="auto" w:fill="FFFFFF"/>
            <w:vAlign w:val="center"/>
          </w:tcPr>
          <w:p w14:paraId="5BEDA9A3">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要素名称</w:t>
            </w:r>
          </w:p>
        </w:tc>
        <w:tc>
          <w:tcPr>
            <w:tcW w:w="3917" w:type="dxa"/>
            <w:shd w:val="clear" w:color="auto" w:fill="FFFFFF"/>
            <w:vAlign w:val="center"/>
          </w:tcPr>
          <w:p w14:paraId="71EA28F8">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要素说明</w:t>
            </w:r>
          </w:p>
        </w:tc>
      </w:tr>
      <w:tr w14:paraId="28224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vAlign w:val="center"/>
          </w:tcPr>
          <w:p w14:paraId="52F6D999">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交易日期</w:t>
            </w:r>
          </w:p>
        </w:tc>
        <w:tc>
          <w:tcPr>
            <w:tcW w:w="3917" w:type="dxa"/>
            <w:shd w:val="clear" w:color="auto" w:fill="FFFFFF"/>
            <w:vAlign w:val="center"/>
          </w:tcPr>
          <w:p w14:paraId="22D224C9">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年月日</w:t>
            </w:r>
          </w:p>
        </w:tc>
      </w:tr>
      <w:tr w14:paraId="5C682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vAlign w:val="center"/>
          </w:tcPr>
          <w:p w14:paraId="46B260E1">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交易时间</w:t>
            </w:r>
          </w:p>
        </w:tc>
        <w:tc>
          <w:tcPr>
            <w:tcW w:w="3917" w:type="dxa"/>
            <w:shd w:val="clear" w:color="auto" w:fill="FFFFFF"/>
            <w:vAlign w:val="center"/>
          </w:tcPr>
          <w:p w14:paraId="56546BE0">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时分秒</w:t>
            </w:r>
          </w:p>
        </w:tc>
      </w:tr>
      <w:tr w14:paraId="41306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vAlign w:val="center"/>
          </w:tcPr>
          <w:p w14:paraId="126B6CC8">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最新成交时间</w:t>
            </w:r>
          </w:p>
        </w:tc>
        <w:tc>
          <w:tcPr>
            <w:tcW w:w="3917" w:type="dxa"/>
            <w:shd w:val="clear" w:color="auto" w:fill="FFFFFF"/>
            <w:vAlign w:val="center"/>
          </w:tcPr>
          <w:p w14:paraId="46C7FBB1">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时分秒</w:t>
            </w:r>
          </w:p>
        </w:tc>
      </w:tr>
      <w:tr w14:paraId="1C044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vAlign w:val="center"/>
          </w:tcPr>
          <w:p w14:paraId="36B28526">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期限</w:t>
            </w:r>
          </w:p>
        </w:tc>
        <w:tc>
          <w:tcPr>
            <w:tcW w:w="3917" w:type="dxa"/>
            <w:shd w:val="clear" w:color="auto" w:fill="FFFFFF"/>
            <w:vAlign w:val="center"/>
          </w:tcPr>
          <w:p w14:paraId="4516018A">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单位：天</w:t>
            </w:r>
          </w:p>
        </w:tc>
      </w:tr>
      <w:tr w14:paraId="283AE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tcPr>
          <w:p w14:paraId="1E83F63A">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昨日收盘利率</w:t>
            </w:r>
          </w:p>
        </w:tc>
        <w:tc>
          <w:tcPr>
            <w:tcW w:w="3917" w:type="dxa"/>
            <w:shd w:val="clear" w:color="auto" w:fill="FFFFFF"/>
            <w:vAlign w:val="center"/>
          </w:tcPr>
          <w:p w14:paraId="2C191FCC">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76A06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tcPr>
          <w:p w14:paraId="20A0A451">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昨日加权平均利率</w:t>
            </w:r>
          </w:p>
        </w:tc>
        <w:tc>
          <w:tcPr>
            <w:tcW w:w="3917" w:type="dxa"/>
            <w:shd w:val="clear" w:color="auto" w:fill="FFFFFF"/>
            <w:vAlign w:val="center"/>
          </w:tcPr>
          <w:p w14:paraId="4984DA57">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7E918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tcPr>
          <w:p w14:paraId="401F8E1A">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当日开盘利率</w:t>
            </w:r>
          </w:p>
        </w:tc>
        <w:tc>
          <w:tcPr>
            <w:tcW w:w="3917" w:type="dxa"/>
            <w:shd w:val="clear" w:color="auto" w:fill="FFFFFF"/>
            <w:vAlign w:val="center"/>
          </w:tcPr>
          <w:p w14:paraId="64F3B911">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4D6DE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tcPr>
          <w:p w14:paraId="2DB58475">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当日收盘利率</w:t>
            </w:r>
          </w:p>
        </w:tc>
        <w:tc>
          <w:tcPr>
            <w:tcW w:w="3917" w:type="dxa"/>
            <w:shd w:val="clear" w:color="auto" w:fill="FFFFFF"/>
            <w:vAlign w:val="center"/>
          </w:tcPr>
          <w:p w14:paraId="7827EAA8">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68B78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tcPr>
          <w:p w14:paraId="556D9E7B">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当日最高利率</w:t>
            </w:r>
          </w:p>
        </w:tc>
        <w:tc>
          <w:tcPr>
            <w:tcW w:w="3917" w:type="dxa"/>
            <w:shd w:val="clear" w:color="auto" w:fill="FFFFFF"/>
            <w:vAlign w:val="center"/>
          </w:tcPr>
          <w:p w14:paraId="2E524015">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5935C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tcPr>
          <w:p w14:paraId="4BA6B437">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当日最低利率</w:t>
            </w:r>
          </w:p>
        </w:tc>
        <w:tc>
          <w:tcPr>
            <w:tcW w:w="3917" w:type="dxa"/>
            <w:shd w:val="clear" w:color="auto" w:fill="FFFFFF"/>
          </w:tcPr>
          <w:p w14:paraId="681916E9">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4CDD4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tcPr>
          <w:p w14:paraId="5D4F6E1E">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当日最新利率</w:t>
            </w:r>
          </w:p>
        </w:tc>
        <w:tc>
          <w:tcPr>
            <w:tcW w:w="3917" w:type="dxa"/>
            <w:shd w:val="clear" w:color="auto" w:fill="FFFFFF"/>
          </w:tcPr>
          <w:p w14:paraId="11A8B72B">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0FD14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tcPr>
          <w:p w14:paraId="0011F1FF">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当日加权平均利率</w:t>
            </w:r>
          </w:p>
        </w:tc>
        <w:tc>
          <w:tcPr>
            <w:tcW w:w="3917" w:type="dxa"/>
            <w:shd w:val="clear" w:color="auto" w:fill="FFFFFF"/>
          </w:tcPr>
          <w:p w14:paraId="7FB55B2A">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2DD63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tcPr>
          <w:p w14:paraId="1B9F1C32">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当日累计成交金额</w:t>
            </w:r>
          </w:p>
        </w:tc>
        <w:tc>
          <w:tcPr>
            <w:tcW w:w="3917" w:type="dxa"/>
            <w:shd w:val="clear" w:color="auto" w:fill="FFFFFF"/>
            <w:vAlign w:val="center"/>
          </w:tcPr>
          <w:p w14:paraId="40EA93E1">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单位：元（2位小数）</w:t>
            </w:r>
          </w:p>
        </w:tc>
      </w:tr>
      <w:tr w14:paraId="28A24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tcPr>
          <w:p w14:paraId="46AB5611">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当日累计成交笔数</w:t>
            </w:r>
          </w:p>
        </w:tc>
        <w:tc>
          <w:tcPr>
            <w:tcW w:w="3917" w:type="dxa"/>
            <w:shd w:val="clear" w:color="auto" w:fill="FFFFFF"/>
            <w:vAlign w:val="center"/>
          </w:tcPr>
          <w:p w14:paraId="59F7744D">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单位：笔</w:t>
            </w:r>
          </w:p>
        </w:tc>
      </w:tr>
    </w:tbl>
    <w:p w14:paraId="5301EEF6">
      <w:pPr>
        <w:spacing w:line="600" w:lineRule="exact"/>
        <w:ind w:firstLine="602" w:firstLineChars="200"/>
        <w:outlineLvl w:val="3"/>
        <w:rPr>
          <w:rFonts w:ascii="仿宋_GB2312" w:eastAsia="仿宋_GB2312"/>
          <w:b/>
          <w:sz w:val="30"/>
          <w:szCs w:val="30"/>
        </w:rPr>
      </w:pPr>
      <w:r>
        <w:rPr>
          <w:rFonts w:hint="eastAsia" w:ascii="仿宋_GB2312" w:eastAsia="仿宋_GB2312"/>
          <w:b/>
          <w:sz w:val="30"/>
          <w:szCs w:val="30"/>
        </w:rPr>
        <w:t>（4）三方回购</w:t>
      </w:r>
    </w:p>
    <w:p w14:paraId="00EB052C">
      <w:pPr>
        <w:widowControl/>
        <w:spacing w:line="600" w:lineRule="exact"/>
        <w:ind w:firstLine="600" w:firstLineChars="200"/>
        <w:rPr>
          <w:rFonts w:ascii="仿宋_GB2312" w:hAnsi="宋体" w:eastAsia="仿宋_GB2312" w:cs="宋体"/>
          <w:kern w:val="0"/>
          <w:sz w:val="30"/>
          <w:szCs w:val="30"/>
        </w:rPr>
      </w:pPr>
      <w:r>
        <w:rPr>
          <w:rFonts w:hint="eastAsia" w:ascii="仿宋_GB2312" w:hAnsi="宋体" w:eastAsia="仿宋_GB2312"/>
          <w:sz w:val="30"/>
          <w:szCs w:val="30"/>
        </w:rPr>
        <w:t>对于三方回购，本所实时发布债券投资者通过协商成交方式达成的成交统计行情。</w:t>
      </w:r>
      <w:r>
        <w:rPr>
          <w:rFonts w:hint="eastAsia" w:ascii="仿宋_GB2312" w:hAnsi="宋体" w:eastAsia="仿宋_GB2312" w:cs="宋体"/>
          <w:kern w:val="0"/>
          <w:sz w:val="30"/>
          <w:szCs w:val="30"/>
        </w:rPr>
        <w:t>三方回购的成交统计行情与申报统计行情维度一致</w:t>
      </w:r>
      <w:r>
        <w:rPr>
          <w:rFonts w:hint="eastAsia" w:ascii="仿宋_GB2312" w:hAnsi="宋体" w:eastAsia="仿宋_GB2312"/>
          <w:sz w:val="30"/>
          <w:szCs w:val="30"/>
        </w:rPr>
        <w:t>，按回购期限</w:t>
      </w:r>
      <w:r>
        <w:rPr>
          <w:rFonts w:hint="eastAsia" w:ascii="仿宋_GB2312" w:hAnsi="宋体" w:eastAsia="仿宋_GB2312" w:cs="宋体"/>
          <w:kern w:val="0"/>
          <w:sz w:val="30"/>
          <w:szCs w:val="30"/>
        </w:rPr>
        <w:t>分九个类型</w:t>
      </w:r>
      <w:r>
        <w:rPr>
          <w:rFonts w:hint="eastAsia" w:ascii="仿宋_GB2312" w:hAnsi="宋体" w:eastAsia="仿宋_GB2312"/>
          <w:sz w:val="30"/>
          <w:szCs w:val="30"/>
        </w:rPr>
        <w:t>进行成交统计。九个类型对应代码分别为</w:t>
      </w:r>
      <w:r>
        <w:rPr>
          <w:rFonts w:ascii="仿宋_GB2312" w:hAnsi="宋体" w:eastAsia="仿宋_GB2312"/>
          <w:sz w:val="30"/>
          <w:szCs w:val="30"/>
        </w:rPr>
        <w:t>207001</w:t>
      </w:r>
      <w:r>
        <w:rPr>
          <w:rFonts w:hint="eastAsia" w:ascii="仿宋_GB2312" w:hAnsi="宋体" w:eastAsia="仿宋_GB2312"/>
          <w:sz w:val="30"/>
          <w:szCs w:val="30"/>
        </w:rPr>
        <w:t>、</w:t>
      </w:r>
      <w:r>
        <w:rPr>
          <w:rFonts w:ascii="仿宋_GB2312" w:hAnsi="宋体" w:eastAsia="仿宋_GB2312"/>
          <w:sz w:val="30"/>
          <w:szCs w:val="30"/>
        </w:rPr>
        <w:t>207007</w:t>
      </w:r>
      <w:r>
        <w:rPr>
          <w:rFonts w:hint="eastAsia" w:ascii="仿宋_GB2312" w:hAnsi="宋体" w:eastAsia="仿宋_GB2312"/>
          <w:sz w:val="30"/>
          <w:szCs w:val="30"/>
        </w:rPr>
        <w:t>、</w:t>
      </w:r>
      <w:r>
        <w:rPr>
          <w:rFonts w:ascii="仿宋_GB2312" w:hAnsi="宋体" w:eastAsia="仿宋_GB2312"/>
          <w:sz w:val="30"/>
          <w:szCs w:val="30"/>
        </w:rPr>
        <w:t>207014</w:t>
      </w:r>
      <w:r>
        <w:rPr>
          <w:rFonts w:hint="eastAsia" w:ascii="仿宋_GB2312" w:hAnsi="宋体" w:eastAsia="仿宋_GB2312"/>
          <w:sz w:val="30"/>
          <w:szCs w:val="30"/>
        </w:rPr>
        <w:t>、</w:t>
      </w:r>
      <w:r>
        <w:rPr>
          <w:rFonts w:ascii="仿宋_GB2312" w:hAnsi="宋体" w:eastAsia="仿宋_GB2312"/>
          <w:sz w:val="30"/>
          <w:szCs w:val="30"/>
        </w:rPr>
        <w:t>207021</w:t>
      </w:r>
      <w:r>
        <w:rPr>
          <w:rFonts w:hint="eastAsia" w:ascii="仿宋_GB2312" w:hAnsi="宋体" w:eastAsia="仿宋_GB2312"/>
          <w:sz w:val="30"/>
          <w:szCs w:val="30"/>
        </w:rPr>
        <w:t>、</w:t>
      </w:r>
      <w:r>
        <w:rPr>
          <w:rFonts w:ascii="仿宋_GB2312" w:hAnsi="宋体" w:eastAsia="仿宋_GB2312"/>
          <w:sz w:val="30"/>
          <w:szCs w:val="30"/>
        </w:rPr>
        <w:t>207030</w:t>
      </w:r>
      <w:r>
        <w:rPr>
          <w:rFonts w:hint="eastAsia" w:ascii="仿宋_GB2312" w:hAnsi="宋体" w:eastAsia="仿宋_GB2312"/>
          <w:sz w:val="30"/>
          <w:szCs w:val="30"/>
        </w:rPr>
        <w:t>、</w:t>
      </w:r>
      <w:r>
        <w:rPr>
          <w:rFonts w:ascii="仿宋_GB2312" w:hAnsi="宋体" w:eastAsia="仿宋_GB2312"/>
          <w:sz w:val="30"/>
          <w:szCs w:val="30"/>
        </w:rPr>
        <w:t>207090</w:t>
      </w:r>
      <w:r>
        <w:rPr>
          <w:rFonts w:hint="eastAsia" w:ascii="仿宋_GB2312" w:hAnsi="宋体" w:eastAsia="仿宋_GB2312"/>
          <w:sz w:val="30"/>
          <w:szCs w:val="30"/>
        </w:rPr>
        <w:t>、</w:t>
      </w:r>
      <w:r>
        <w:rPr>
          <w:rFonts w:ascii="仿宋_GB2312" w:hAnsi="宋体" w:eastAsia="仿宋_GB2312"/>
          <w:sz w:val="30"/>
          <w:szCs w:val="30"/>
        </w:rPr>
        <w:t>207180</w:t>
      </w:r>
      <w:r>
        <w:rPr>
          <w:rFonts w:hint="eastAsia" w:ascii="仿宋_GB2312" w:hAnsi="宋体" w:eastAsia="仿宋_GB2312"/>
          <w:sz w:val="30"/>
          <w:szCs w:val="30"/>
        </w:rPr>
        <w:t>、</w:t>
      </w:r>
      <w:r>
        <w:rPr>
          <w:rFonts w:ascii="仿宋_GB2312" w:hAnsi="宋体" w:eastAsia="仿宋_GB2312"/>
          <w:sz w:val="30"/>
          <w:szCs w:val="30"/>
        </w:rPr>
        <w:t>207270</w:t>
      </w:r>
      <w:r>
        <w:rPr>
          <w:rFonts w:hint="eastAsia" w:ascii="仿宋_GB2312" w:hAnsi="宋体" w:eastAsia="仿宋_GB2312"/>
          <w:sz w:val="30"/>
          <w:szCs w:val="30"/>
        </w:rPr>
        <w:t>、</w:t>
      </w:r>
      <w:r>
        <w:rPr>
          <w:rFonts w:ascii="仿宋_GB2312" w:hAnsi="宋体" w:eastAsia="仿宋_GB2312"/>
          <w:sz w:val="30"/>
          <w:szCs w:val="30"/>
        </w:rPr>
        <w:t>207365</w:t>
      </w:r>
      <w:r>
        <w:rPr>
          <w:rFonts w:hint="eastAsia" w:ascii="仿宋_GB2312" w:hAnsi="宋体" w:eastAsia="仿宋_GB2312"/>
          <w:sz w:val="30"/>
          <w:szCs w:val="30"/>
        </w:rPr>
        <w:t>，简称分别为</w:t>
      </w:r>
      <w:r>
        <w:rPr>
          <w:rFonts w:ascii="仿宋_GB2312" w:hAnsi="宋体" w:eastAsia="仿宋_GB2312"/>
          <w:sz w:val="30"/>
          <w:szCs w:val="30"/>
        </w:rPr>
        <w:t>TPR001</w:t>
      </w:r>
      <w:r>
        <w:rPr>
          <w:rFonts w:hint="eastAsia" w:ascii="仿宋_GB2312" w:hAnsi="宋体" w:eastAsia="仿宋_GB2312"/>
          <w:sz w:val="30"/>
          <w:szCs w:val="30"/>
        </w:rPr>
        <w:t>、</w:t>
      </w:r>
      <w:r>
        <w:rPr>
          <w:rFonts w:ascii="仿宋_GB2312" w:hAnsi="宋体" w:eastAsia="仿宋_GB2312"/>
          <w:sz w:val="30"/>
          <w:szCs w:val="30"/>
        </w:rPr>
        <w:t>TPR007</w:t>
      </w:r>
      <w:r>
        <w:rPr>
          <w:rFonts w:hint="eastAsia" w:ascii="仿宋_GB2312" w:hAnsi="宋体" w:eastAsia="仿宋_GB2312"/>
          <w:sz w:val="30"/>
          <w:szCs w:val="30"/>
        </w:rPr>
        <w:t>、</w:t>
      </w:r>
      <w:r>
        <w:rPr>
          <w:rFonts w:ascii="仿宋_GB2312" w:hAnsi="宋体" w:eastAsia="仿宋_GB2312"/>
          <w:sz w:val="30"/>
          <w:szCs w:val="30"/>
        </w:rPr>
        <w:t>TPR014</w:t>
      </w:r>
      <w:r>
        <w:rPr>
          <w:rFonts w:hint="eastAsia" w:ascii="仿宋_GB2312" w:hAnsi="宋体" w:eastAsia="仿宋_GB2312"/>
          <w:sz w:val="30"/>
          <w:szCs w:val="30"/>
        </w:rPr>
        <w:t>、</w:t>
      </w:r>
      <w:r>
        <w:rPr>
          <w:rFonts w:ascii="仿宋_GB2312" w:hAnsi="宋体" w:eastAsia="仿宋_GB2312"/>
          <w:sz w:val="30"/>
          <w:szCs w:val="30"/>
        </w:rPr>
        <w:t>TPR021</w:t>
      </w:r>
      <w:r>
        <w:rPr>
          <w:rFonts w:hint="eastAsia" w:ascii="仿宋_GB2312" w:hAnsi="宋体" w:eastAsia="仿宋_GB2312"/>
          <w:sz w:val="30"/>
          <w:szCs w:val="30"/>
        </w:rPr>
        <w:t>、</w:t>
      </w:r>
      <w:r>
        <w:rPr>
          <w:rFonts w:ascii="仿宋_GB2312" w:hAnsi="宋体" w:eastAsia="仿宋_GB2312"/>
          <w:sz w:val="30"/>
          <w:szCs w:val="30"/>
        </w:rPr>
        <w:t>TPR1M</w:t>
      </w:r>
      <w:r>
        <w:rPr>
          <w:rFonts w:hint="eastAsia" w:ascii="仿宋_GB2312" w:hAnsi="宋体" w:eastAsia="仿宋_GB2312"/>
          <w:sz w:val="30"/>
          <w:szCs w:val="30"/>
        </w:rPr>
        <w:t>、</w:t>
      </w:r>
      <w:r>
        <w:rPr>
          <w:rFonts w:ascii="仿宋_GB2312" w:hAnsi="宋体" w:eastAsia="仿宋_GB2312"/>
          <w:sz w:val="30"/>
          <w:szCs w:val="30"/>
        </w:rPr>
        <w:t>TPR3M</w:t>
      </w:r>
      <w:r>
        <w:rPr>
          <w:rFonts w:hint="eastAsia" w:ascii="仿宋_GB2312" w:hAnsi="宋体" w:eastAsia="仿宋_GB2312"/>
          <w:sz w:val="30"/>
          <w:szCs w:val="30"/>
        </w:rPr>
        <w:t>、</w:t>
      </w:r>
      <w:r>
        <w:rPr>
          <w:rFonts w:ascii="仿宋_GB2312" w:hAnsi="宋体" w:eastAsia="仿宋_GB2312"/>
          <w:sz w:val="30"/>
          <w:szCs w:val="30"/>
        </w:rPr>
        <w:t>TPR6M</w:t>
      </w:r>
      <w:r>
        <w:rPr>
          <w:rFonts w:hint="eastAsia" w:ascii="仿宋_GB2312" w:hAnsi="宋体" w:eastAsia="仿宋_GB2312"/>
          <w:sz w:val="30"/>
          <w:szCs w:val="30"/>
        </w:rPr>
        <w:t>、</w:t>
      </w:r>
      <w:r>
        <w:rPr>
          <w:rFonts w:ascii="仿宋_GB2312" w:hAnsi="宋体" w:eastAsia="仿宋_GB2312"/>
          <w:sz w:val="30"/>
          <w:szCs w:val="30"/>
        </w:rPr>
        <w:t>TPR9M</w:t>
      </w:r>
      <w:r>
        <w:rPr>
          <w:rFonts w:hint="eastAsia" w:ascii="仿宋_GB2312" w:hAnsi="宋体" w:eastAsia="仿宋_GB2312"/>
          <w:sz w:val="30"/>
          <w:szCs w:val="30"/>
        </w:rPr>
        <w:t>、</w:t>
      </w:r>
      <w:r>
        <w:rPr>
          <w:rFonts w:ascii="仿宋_GB2312" w:hAnsi="宋体" w:eastAsia="仿宋_GB2312"/>
          <w:sz w:val="30"/>
          <w:szCs w:val="30"/>
        </w:rPr>
        <w:t>TPR12M</w:t>
      </w:r>
      <w:r>
        <w:rPr>
          <w:rFonts w:hint="eastAsia" w:ascii="仿宋_GB2312" w:hAnsi="宋体" w:eastAsia="仿宋_GB2312"/>
          <w:sz w:val="30"/>
          <w:szCs w:val="30"/>
        </w:rPr>
        <w:t>。其中，</w:t>
      </w:r>
      <w:r>
        <w:rPr>
          <w:rFonts w:ascii="仿宋_GB2312" w:hAnsi="宋体" w:eastAsia="仿宋_GB2312"/>
          <w:sz w:val="30"/>
          <w:szCs w:val="30"/>
        </w:rPr>
        <w:t>TPR001</w:t>
      </w:r>
      <w:r>
        <w:rPr>
          <w:rFonts w:hint="eastAsia" w:ascii="仿宋_GB2312" w:hAnsi="宋体" w:eastAsia="仿宋_GB2312"/>
          <w:sz w:val="30"/>
          <w:szCs w:val="30"/>
        </w:rPr>
        <w:t>为隔夜三方回购的加权平均利率；</w:t>
      </w:r>
      <w:r>
        <w:rPr>
          <w:rFonts w:ascii="仿宋_GB2312" w:hAnsi="宋体" w:eastAsia="仿宋_GB2312"/>
          <w:sz w:val="30"/>
          <w:szCs w:val="30"/>
        </w:rPr>
        <w:t>TPR007</w:t>
      </w:r>
      <w:r>
        <w:rPr>
          <w:rFonts w:hint="eastAsia" w:ascii="仿宋_GB2312" w:hAnsi="宋体" w:eastAsia="仿宋_GB2312"/>
          <w:sz w:val="30"/>
          <w:szCs w:val="30"/>
        </w:rPr>
        <w:t>为</w:t>
      </w:r>
      <w:r>
        <w:rPr>
          <w:rFonts w:ascii="仿宋_GB2312" w:hAnsi="宋体" w:eastAsia="仿宋_GB2312"/>
          <w:sz w:val="30"/>
          <w:szCs w:val="30"/>
        </w:rPr>
        <w:t>2-7</w:t>
      </w:r>
      <w:r>
        <w:rPr>
          <w:rFonts w:hint="eastAsia" w:ascii="仿宋_GB2312" w:hAnsi="宋体" w:eastAsia="仿宋_GB2312"/>
          <w:sz w:val="30"/>
          <w:szCs w:val="30"/>
        </w:rPr>
        <w:t>天的回购加权平均利率；</w:t>
      </w:r>
      <w:r>
        <w:rPr>
          <w:rFonts w:ascii="仿宋_GB2312" w:hAnsi="宋体" w:eastAsia="仿宋_GB2312"/>
          <w:sz w:val="30"/>
          <w:szCs w:val="30"/>
        </w:rPr>
        <w:t>TPR014</w:t>
      </w:r>
      <w:r>
        <w:rPr>
          <w:rFonts w:hint="eastAsia" w:ascii="仿宋_GB2312" w:hAnsi="宋体" w:eastAsia="仿宋_GB2312"/>
          <w:sz w:val="30"/>
          <w:szCs w:val="30"/>
        </w:rPr>
        <w:t>为</w:t>
      </w:r>
      <w:r>
        <w:rPr>
          <w:rFonts w:ascii="仿宋_GB2312" w:hAnsi="宋体" w:eastAsia="仿宋_GB2312"/>
          <w:sz w:val="30"/>
          <w:szCs w:val="30"/>
        </w:rPr>
        <w:t>8-14</w:t>
      </w:r>
      <w:r>
        <w:rPr>
          <w:rFonts w:hint="eastAsia" w:ascii="仿宋_GB2312" w:hAnsi="宋体" w:eastAsia="仿宋_GB2312"/>
          <w:sz w:val="30"/>
          <w:szCs w:val="30"/>
        </w:rPr>
        <w:t>天的加权平均利率，</w:t>
      </w:r>
      <w:r>
        <w:rPr>
          <w:rFonts w:ascii="仿宋_GB2312" w:hAnsi="宋体" w:eastAsia="仿宋_GB2312"/>
          <w:sz w:val="30"/>
          <w:szCs w:val="30"/>
        </w:rPr>
        <w:t>TPR021</w:t>
      </w:r>
      <w:r>
        <w:rPr>
          <w:rFonts w:hint="eastAsia" w:ascii="仿宋_GB2312" w:hAnsi="宋体" w:eastAsia="仿宋_GB2312"/>
          <w:sz w:val="30"/>
          <w:szCs w:val="30"/>
        </w:rPr>
        <w:t>为</w:t>
      </w:r>
      <w:r>
        <w:rPr>
          <w:rFonts w:ascii="仿宋_GB2312" w:hAnsi="宋体" w:eastAsia="仿宋_GB2312"/>
          <w:sz w:val="30"/>
          <w:szCs w:val="30"/>
        </w:rPr>
        <w:t>15-21</w:t>
      </w:r>
      <w:r>
        <w:rPr>
          <w:rFonts w:hint="eastAsia" w:ascii="仿宋_GB2312" w:hAnsi="宋体" w:eastAsia="仿宋_GB2312"/>
          <w:sz w:val="30"/>
          <w:szCs w:val="30"/>
        </w:rPr>
        <w:t>天的加权平均利率，</w:t>
      </w:r>
      <w:r>
        <w:rPr>
          <w:rFonts w:ascii="仿宋_GB2312" w:hAnsi="宋体" w:eastAsia="仿宋_GB2312"/>
          <w:sz w:val="30"/>
          <w:szCs w:val="30"/>
        </w:rPr>
        <w:t>TPR1M</w:t>
      </w:r>
      <w:r>
        <w:rPr>
          <w:rFonts w:hint="eastAsia" w:ascii="仿宋_GB2312" w:hAnsi="宋体" w:eastAsia="仿宋_GB2312"/>
          <w:sz w:val="30"/>
          <w:szCs w:val="30"/>
        </w:rPr>
        <w:t>为期限大于</w:t>
      </w:r>
      <w:r>
        <w:rPr>
          <w:rFonts w:ascii="仿宋_GB2312" w:hAnsi="宋体" w:eastAsia="仿宋_GB2312"/>
          <w:sz w:val="30"/>
          <w:szCs w:val="30"/>
        </w:rPr>
        <w:t>21</w:t>
      </w:r>
      <w:r>
        <w:rPr>
          <w:rFonts w:hint="eastAsia" w:ascii="仿宋_GB2312" w:hAnsi="宋体" w:eastAsia="仿宋_GB2312"/>
          <w:sz w:val="30"/>
          <w:szCs w:val="30"/>
        </w:rPr>
        <w:t>天、小于等于</w:t>
      </w:r>
      <w:r>
        <w:rPr>
          <w:rFonts w:ascii="仿宋_GB2312" w:hAnsi="宋体" w:eastAsia="仿宋_GB2312"/>
          <w:sz w:val="30"/>
          <w:szCs w:val="30"/>
        </w:rPr>
        <w:t>1</w:t>
      </w:r>
      <w:r>
        <w:rPr>
          <w:rFonts w:hint="eastAsia" w:ascii="仿宋_GB2312" w:hAnsi="宋体" w:eastAsia="仿宋_GB2312"/>
          <w:sz w:val="30"/>
          <w:szCs w:val="30"/>
        </w:rPr>
        <w:t>个月的加权平均利率。</w:t>
      </w:r>
    </w:p>
    <w:p w14:paraId="767A9A4F">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三方回购的成交统计行情包括回购期限、昨日收盘利率、昨日加权平均利率、当日开盘利率、当日最高利率、当日最低利率、当日最新利率、当日收盘利率、当日加权平均利率、当日累计成交金额、当日累计成交笔数等信息</w:t>
      </w:r>
      <w:r>
        <w:rPr>
          <w:rFonts w:hint="eastAsia" w:ascii="仿宋_GB2312" w:hAnsi="Calibri" w:eastAsia="仿宋_GB2312"/>
          <w:sz w:val="30"/>
          <w:szCs w:val="30"/>
        </w:rPr>
        <w:t>。具体如下：</w:t>
      </w:r>
    </w:p>
    <w:tbl>
      <w:tblPr>
        <w:tblStyle w:val="43"/>
        <w:tblW w:w="7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3560"/>
        <w:gridCol w:w="3917"/>
      </w:tblGrid>
      <w:tr w14:paraId="5758F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3560" w:type="dxa"/>
            <w:shd w:val="clear" w:color="auto" w:fill="FFFFFF"/>
            <w:vAlign w:val="center"/>
          </w:tcPr>
          <w:p w14:paraId="082C62CA">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要素名称</w:t>
            </w:r>
          </w:p>
        </w:tc>
        <w:tc>
          <w:tcPr>
            <w:tcW w:w="3917" w:type="dxa"/>
            <w:shd w:val="clear" w:color="auto" w:fill="FFFFFF"/>
            <w:vAlign w:val="center"/>
          </w:tcPr>
          <w:p w14:paraId="4E7869C3">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要素说明</w:t>
            </w:r>
          </w:p>
        </w:tc>
      </w:tr>
      <w:tr w14:paraId="3BEEC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vAlign w:val="center"/>
          </w:tcPr>
          <w:p w14:paraId="7F8701EF">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交易日期</w:t>
            </w:r>
          </w:p>
        </w:tc>
        <w:tc>
          <w:tcPr>
            <w:tcW w:w="3917" w:type="dxa"/>
            <w:shd w:val="clear" w:color="auto" w:fill="FFFFFF"/>
            <w:vAlign w:val="center"/>
          </w:tcPr>
          <w:p w14:paraId="0E159BFA">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年月日</w:t>
            </w:r>
          </w:p>
        </w:tc>
      </w:tr>
      <w:tr w14:paraId="4A41C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vAlign w:val="center"/>
          </w:tcPr>
          <w:p w14:paraId="7C439F57">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交易时间</w:t>
            </w:r>
          </w:p>
        </w:tc>
        <w:tc>
          <w:tcPr>
            <w:tcW w:w="3917" w:type="dxa"/>
            <w:shd w:val="clear" w:color="auto" w:fill="FFFFFF"/>
            <w:vAlign w:val="center"/>
          </w:tcPr>
          <w:p w14:paraId="4EB97AC9">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时分秒</w:t>
            </w:r>
          </w:p>
        </w:tc>
      </w:tr>
      <w:tr w14:paraId="7CC52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vAlign w:val="center"/>
          </w:tcPr>
          <w:p w14:paraId="2BD5CCB3">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最新成交时间</w:t>
            </w:r>
          </w:p>
        </w:tc>
        <w:tc>
          <w:tcPr>
            <w:tcW w:w="3917" w:type="dxa"/>
            <w:shd w:val="clear" w:color="auto" w:fill="FFFFFF"/>
            <w:vAlign w:val="center"/>
          </w:tcPr>
          <w:p w14:paraId="6B3BD773">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时分秒</w:t>
            </w:r>
          </w:p>
        </w:tc>
      </w:tr>
      <w:tr w14:paraId="47D07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vAlign w:val="center"/>
          </w:tcPr>
          <w:p w14:paraId="1AFFE4ED">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期限</w:t>
            </w:r>
          </w:p>
        </w:tc>
        <w:tc>
          <w:tcPr>
            <w:tcW w:w="3917" w:type="dxa"/>
            <w:shd w:val="clear" w:color="auto" w:fill="FFFFFF"/>
            <w:vAlign w:val="center"/>
          </w:tcPr>
          <w:p w14:paraId="2170C452">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三方回购约定期限，单位：天</w:t>
            </w:r>
          </w:p>
        </w:tc>
      </w:tr>
      <w:tr w14:paraId="6B337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tcPr>
          <w:p w14:paraId="160CDC05">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昨日收盘利率</w:t>
            </w:r>
          </w:p>
        </w:tc>
        <w:tc>
          <w:tcPr>
            <w:tcW w:w="3917" w:type="dxa"/>
            <w:shd w:val="clear" w:color="auto" w:fill="FFFFFF"/>
            <w:vAlign w:val="center"/>
          </w:tcPr>
          <w:p w14:paraId="77339F57">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43FFA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tcPr>
          <w:p w14:paraId="47FC8624">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昨日加权平均利率</w:t>
            </w:r>
          </w:p>
        </w:tc>
        <w:tc>
          <w:tcPr>
            <w:tcW w:w="3917" w:type="dxa"/>
            <w:shd w:val="clear" w:color="auto" w:fill="FFFFFF"/>
            <w:vAlign w:val="center"/>
          </w:tcPr>
          <w:p w14:paraId="0376C076">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725F6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tcPr>
          <w:p w14:paraId="4D3BCA36">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当日开盘利率</w:t>
            </w:r>
          </w:p>
        </w:tc>
        <w:tc>
          <w:tcPr>
            <w:tcW w:w="3917" w:type="dxa"/>
            <w:shd w:val="clear" w:color="auto" w:fill="FFFFFF"/>
            <w:vAlign w:val="center"/>
          </w:tcPr>
          <w:p w14:paraId="0A1BFC6E">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34AED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tcPr>
          <w:p w14:paraId="6C9DAA96">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当日收盘利率</w:t>
            </w:r>
          </w:p>
        </w:tc>
        <w:tc>
          <w:tcPr>
            <w:tcW w:w="3917" w:type="dxa"/>
            <w:shd w:val="clear" w:color="auto" w:fill="FFFFFF"/>
            <w:vAlign w:val="center"/>
          </w:tcPr>
          <w:p w14:paraId="3B5FCCBB">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20AA0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tcPr>
          <w:p w14:paraId="5D42B6AE">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当日最高利率</w:t>
            </w:r>
          </w:p>
        </w:tc>
        <w:tc>
          <w:tcPr>
            <w:tcW w:w="3917" w:type="dxa"/>
            <w:shd w:val="clear" w:color="auto" w:fill="FFFFFF"/>
            <w:vAlign w:val="center"/>
          </w:tcPr>
          <w:p w14:paraId="342721C1">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38B72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tcPr>
          <w:p w14:paraId="61348F90">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当日最低利率</w:t>
            </w:r>
          </w:p>
        </w:tc>
        <w:tc>
          <w:tcPr>
            <w:tcW w:w="3917" w:type="dxa"/>
            <w:shd w:val="clear" w:color="auto" w:fill="FFFFFF"/>
          </w:tcPr>
          <w:p w14:paraId="41A7A8DE">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593C6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tcPr>
          <w:p w14:paraId="61A6B0F5">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当日最新利率</w:t>
            </w:r>
          </w:p>
        </w:tc>
        <w:tc>
          <w:tcPr>
            <w:tcW w:w="3917" w:type="dxa"/>
            <w:shd w:val="clear" w:color="auto" w:fill="FFFFFF"/>
          </w:tcPr>
          <w:p w14:paraId="4F0DAD9E">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0AA1C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tcPr>
          <w:p w14:paraId="3DB2ADCB">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当日加权平均利率</w:t>
            </w:r>
          </w:p>
        </w:tc>
        <w:tc>
          <w:tcPr>
            <w:tcW w:w="3917" w:type="dxa"/>
            <w:shd w:val="clear" w:color="auto" w:fill="FFFFFF"/>
          </w:tcPr>
          <w:p w14:paraId="028A4FCE">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57351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tcPr>
          <w:p w14:paraId="2ECADE89">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当日累计成交金额</w:t>
            </w:r>
          </w:p>
        </w:tc>
        <w:tc>
          <w:tcPr>
            <w:tcW w:w="3917" w:type="dxa"/>
            <w:shd w:val="clear" w:color="auto" w:fill="FFFFFF"/>
            <w:vAlign w:val="center"/>
          </w:tcPr>
          <w:p w14:paraId="298241D3">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单位：元（2位小数）</w:t>
            </w:r>
          </w:p>
        </w:tc>
      </w:tr>
      <w:tr w14:paraId="5BA60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tcPr>
          <w:p w14:paraId="1B01E36A">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当日累计成交笔数</w:t>
            </w:r>
          </w:p>
        </w:tc>
        <w:tc>
          <w:tcPr>
            <w:tcW w:w="3917" w:type="dxa"/>
            <w:shd w:val="clear" w:color="auto" w:fill="FFFFFF"/>
            <w:vAlign w:val="center"/>
          </w:tcPr>
          <w:p w14:paraId="65F0190D">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单位：笔</w:t>
            </w:r>
          </w:p>
        </w:tc>
      </w:tr>
    </w:tbl>
    <w:p w14:paraId="7EB73583">
      <w:pPr>
        <w:spacing w:line="600" w:lineRule="exact"/>
        <w:ind w:firstLine="602" w:firstLineChars="200"/>
        <w:outlineLvl w:val="3"/>
        <w:rPr>
          <w:rFonts w:ascii="仿宋_GB2312" w:eastAsia="仿宋_GB2312"/>
          <w:b/>
          <w:sz w:val="30"/>
          <w:szCs w:val="30"/>
        </w:rPr>
      </w:pPr>
      <w:r>
        <w:rPr>
          <w:rFonts w:hint="eastAsia" w:ascii="仿宋_GB2312" w:eastAsia="仿宋_GB2312"/>
          <w:b/>
          <w:sz w:val="30"/>
          <w:szCs w:val="30"/>
        </w:rPr>
        <w:t>（5）国债预发行</w:t>
      </w:r>
    </w:p>
    <w:p w14:paraId="5F258628">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对于国债预发行，本所实时发布债券投资者通过匹配成交方式达成的成交统计行情。国债预发行的成交统计行情按预发行代码进行成交统计，通过价格招标发行的，价格单位为人民币元（三位小数）；通过利率招标发行的，价格单位为百分数</w:t>
      </w:r>
      <w:r>
        <w:rPr>
          <w:rFonts w:ascii="仿宋_GB2312" w:hAnsi="宋体" w:eastAsia="仿宋_GB2312"/>
          <w:sz w:val="30"/>
          <w:szCs w:val="30"/>
        </w:rPr>
        <w:t>%（</w:t>
      </w:r>
      <w:r>
        <w:rPr>
          <w:rFonts w:hint="eastAsia" w:ascii="仿宋_GB2312" w:hAnsi="宋体" w:eastAsia="仿宋_GB2312"/>
          <w:sz w:val="30"/>
          <w:szCs w:val="30"/>
        </w:rPr>
        <w:t>三</w:t>
      </w:r>
      <w:r>
        <w:rPr>
          <w:rFonts w:ascii="仿宋_GB2312" w:hAnsi="宋体" w:eastAsia="仿宋_GB2312"/>
          <w:sz w:val="30"/>
          <w:szCs w:val="30"/>
        </w:rPr>
        <w:t>位小数）。</w:t>
      </w:r>
    </w:p>
    <w:p w14:paraId="5CB5625C">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国债预发行的成交统计行情包括昨日收盘价、昨日加权平均价、当日开盘价、当日最高价、当日最低价、当日最新价、当日收盘价、当日加权平均价、当日累计成交数量、当日累计成交金额、当日累计成交笔数等信息。具体如下：</w:t>
      </w:r>
    </w:p>
    <w:tbl>
      <w:tblPr>
        <w:tblStyle w:val="43"/>
        <w:tblW w:w="7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2749"/>
        <w:gridCol w:w="4728"/>
      </w:tblGrid>
      <w:tr w14:paraId="5C30F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31" w:hRule="atLeast"/>
          <w:jc w:val="center"/>
        </w:trPr>
        <w:tc>
          <w:tcPr>
            <w:tcW w:w="2749" w:type="dxa"/>
            <w:shd w:val="clear" w:color="auto" w:fill="FFFFFF"/>
            <w:vAlign w:val="center"/>
          </w:tcPr>
          <w:p w14:paraId="31BBB871">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要素名称</w:t>
            </w:r>
          </w:p>
        </w:tc>
        <w:tc>
          <w:tcPr>
            <w:tcW w:w="4728" w:type="dxa"/>
            <w:shd w:val="clear" w:color="auto" w:fill="FFFFFF"/>
            <w:vAlign w:val="center"/>
          </w:tcPr>
          <w:p w14:paraId="0335BB10">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要素说明</w:t>
            </w:r>
          </w:p>
        </w:tc>
      </w:tr>
      <w:tr w14:paraId="37739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749" w:type="dxa"/>
            <w:shd w:val="clear" w:color="auto" w:fill="FFFFFF"/>
            <w:vAlign w:val="center"/>
          </w:tcPr>
          <w:p w14:paraId="4345F8BB">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证券代码</w:t>
            </w:r>
          </w:p>
        </w:tc>
        <w:tc>
          <w:tcPr>
            <w:tcW w:w="4728" w:type="dxa"/>
            <w:shd w:val="clear" w:color="auto" w:fill="FFFFFF"/>
            <w:vAlign w:val="center"/>
          </w:tcPr>
          <w:p w14:paraId="39466E9B">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预发行交易代码</w:t>
            </w:r>
          </w:p>
        </w:tc>
      </w:tr>
      <w:tr w14:paraId="16E5C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749" w:type="dxa"/>
            <w:shd w:val="clear" w:color="auto" w:fill="FFFFFF"/>
            <w:vAlign w:val="center"/>
          </w:tcPr>
          <w:p w14:paraId="0C33DA98">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证券简称</w:t>
            </w:r>
          </w:p>
        </w:tc>
        <w:tc>
          <w:tcPr>
            <w:tcW w:w="4728" w:type="dxa"/>
            <w:shd w:val="clear" w:color="auto" w:fill="FFFFFF"/>
            <w:vAlign w:val="center"/>
          </w:tcPr>
          <w:p w14:paraId="65F6E06D">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预发行交易简称</w:t>
            </w:r>
          </w:p>
        </w:tc>
      </w:tr>
      <w:tr w14:paraId="7E4F9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749" w:type="dxa"/>
            <w:shd w:val="clear" w:color="auto" w:fill="FFFFFF"/>
            <w:vAlign w:val="center"/>
          </w:tcPr>
          <w:p w14:paraId="1C12EB48">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交易日期</w:t>
            </w:r>
          </w:p>
        </w:tc>
        <w:tc>
          <w:tcPr>
            <w:tcW w:w="4728" w:type="dxa"/>
            <w:shd w:val="clear" w:color="auto" w:fill="FFFFFF"/>
            <w:vAlign w:val="center"/>
          </w:tcPr>
          <w:p w14:paraId="4733D8B7">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年月日</w:t>
            </w:r>
          </w:p>
        </w:tc>
      </w:tr>
      <w:tr w14:paraId="1FEEF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749" w:type="dxa"/>
            <w:shd w:val="clear" w:color="auto" w:fill="FFFFFF"/>
            <w:vAlign w:val="center"/>
          </w:tcPr>
          <w:p w14:paraId="1B240C71">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交易时间</w:t>
            </w:r>
          </w:p>
        </w:tc>
        <w:tc>
          <w:tcPr>
            <w:tcW w:w="4728" w:type="dxa"/>
            <w:shd w:val="clear" w:color="auto" w:fill="FFFFFF"/>
            <w:vAlign w:val="center"/>
          </w:tcPr>
          <w:p w14:paraId="4E60A4FC">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时分秒</w:t>
            </w:r>
          </w:p>
        </w:tc>
      </w:tr>
      <w:tr w14:paraId="54EB2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749" w:type="dxa"/>
            <w:shd w:val="clear" w:color="auto" w:fill="FFFFFF"/>
            <w:vAlign w:val="center"/>
          </w:tcPr>
          <w:p w14:paraId="37E090A9">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最新成交时间</w:t>
            </w:r>
          </w:p>
        </w:tc>
        <w:tc>
          <w:tcPr>
            <w:tcW w:w="4728" w:type="dxa"/>
            <w:shd w:val="clear" w:color="auto" w:fill="FFFFFF"/>
            <w:vAlign w:val="center"/>
          </w:tcPr>
          <w:p w14:paraId="386E1ADF">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时分秒</w:t>
            </w:r>
          </w:p>
        </w:tc>
      </w:tr>
      <w:tr w14:paraId="17C87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749" w:type="dxa"/>
            <w:shd w:val="clear" w:color="auto" w:fill="FFFFFF"/>
            <w:vAlign w:val="center"/>
          </w:tcPr>
          <w:p w14:paraId="75B5796E">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昨日收盘价</w:t>
            </w:r>
          </w:p>
        </w:tc>
        <w:tc>
          <w:tcPr>
            <w:tcW w:w="4728" w:type="dxa"/>
            <w:shd w:val="clear" w:color="auto" w:fill="FFFFFF"/>
            <w:vAlign w:val="center"/>
          </w:tcPr>
          <w:p w14:paraId="700DAA82">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w:t>
            </w:r>
            <w:r>
              <w:rPr>
                <w:rFonts w:ascii="仿宋_GB2312" w:eastAsia="仿宋_GB2312"/>
                <w:bCs/>
                <w:iCs/>
                <w:kern w:val="0"/>
                <w:sz w:val="24"/>
                <w:szCs w:val="24"/>
              </w:rPr>
              <w:t>3</w:t>
            </w:r>
            <w:r>
              <w:rPr>
                <w:rFonts w:hint="eastAsia" w:ascii="仿宋_GB2312" w:eastAsia="仿宋_GB2312"/>
                <w:bCs/>
                <w:iCs/>
                <w:kern w:val="0"/>
                <w:sz w:val="24"/>
                <w:szCs w:val="24"/>
              </w:rPr>
              <w:t>位小数）/</w:t>
            </w:r>
            <w:r>
              <w:rPr>
                <w:rFonts w:ascii="仿宋_GB2312" w:eastAsia="仿宋_GB2312"/>
                <w:bCs/>
                <w:iCs/>
                <w:kern w:val="0"/>
                <w:sz w:val="24"/>
                <w:szCs w:val="24"/>
              </w:rPr>
              <w:t xml:space="preserve"> </w:t>
            </w: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13FB2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749" w:type="dxa"/>
            <w:shd w:val="clear" w:color="auto" w:fill="FFFFFF"/>
            <w:vAlign w:val="center"/>
          </w:tcPr>
          <w:p w14:paraId="251D8243">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昨日加权平均价</w:t>
            </w:r>
          </w:p>
        </w:tc>
        <w:tc>
          <w:tcPr>
            <w:tcW w:w="4728" w:type="dxa"/>
            <w:shd w:val="clear" w:color="auto" w:fill="FFFFFF"/>
            <w:vAlign w:val="center"/>
          </w:tcPr>
          <w:p w14:paraId="6447D715">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w:t>
            </w:r>
            <w:r>
              <w:rPr>
                <w:rFonts w:ascii="仿宋_GB2312" w:eastAsia="仿宋_GB2312"/>
                <w:bCs/>
                <w:iCs/>
                <w:kern w:val="0"/>
                <w:sz w:val="24"/>
                <w:szCs w:val="24"/>
              </w:rPr>
              <w:t>3</w:t>
            </w:r>
            <w:r>
              <w:rPr>
                <w:rFonts w:hint="eastAsia" w:ascii="仿宋_GB2312" w:eastAsia="仿宋_GB2312"/>
                <w:bCs/>
                <w:iCs/>
                <w:kern w:val="0"/>
                <w:sz w:val="24"/>
                <w:szCs w:val="24"/>
              </w:rPr>
              <w:t>位小数）/</w:t>
            </w:r>
            <w:r>
              <w:rPr>
                <w:rFonts w:ascii="仿宋_GB2312" w:eastAsia="仿宋_GB2312"/>
                <w:bCs/>
                <w:iCs/>
                <w:kern w:val="0"/>
                <w:sz w:val="24"/>
                <w:szCs w:val="24"/>
              </w:rPr>
              <w:t xml:space="preserve"> </w:t>
            </w: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0DCE0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749" w:type="dxa"/>
            <w:shd w:val="clear" w:color="auto" w:fill="FFFFFF"/>
            <w:vAlign w:val="center"/>
          </w:tcPr>
          <w:p w14:paraId="45B8298F">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当日开盘价</w:t>
            </w:r>
          </w:p>
        </w:tc>
        <w:tc>
          <w:tcPr>
            <w:tcW w:w="4728" w:type="dxa"/>
            <w:shd w:val="clear" w:color="auto" w:fill="FFFFFF"/>
            <w:vAlign w:val="center"/>
          </w:tcPr>
          <w:p w14:paraId="642C2FE0">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w:t>
            </w:r>
            <w:r>
              <w:rPr>
                <w:rFonts w:ascii="仿宋_GB2312" w:eastAsia="仿宋_GB2312"/>
                <w:bCs/>
                <w:iCs/>
                <w:kern w:val="0"/>
                <w:sz w:val="24"/>
                <w:szCs w:val="24"/>
              </w:rPr>
              <w:t>3</w:t>
            </w:r>
            <w:r>
              <w:rPr>
                <w:rFonts w:hint="eastAsia" w:ascii="仿宋_GB2312" w:eastAsia="仿宋_GB2312"/>
                <w:bCs/>
                <w:iCs/>
                <w:kern w:val="0"/>
                <w:sz w:val="24"/>
                <w:szCs w:val="24"/>
              </w:rPr>
              <w:t>位小数）/</w:t>
            </w:r>
            <w:r>
              <w:rPr>
                <w:rFonts w:ascii="仿宋_GB2312" w:eastAsia="仿宋_GB2312"/>
                <w:bCs/>
                <w:iCs/>
                <w:kern w:val="0"/>
                <w:sz w:val="24"/>
                <w:szCs w:val="24"/>
              </w:rPr>
              <w:t xml:space="preserve"> </w:t>
            </w: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69B82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749" w:type="dxa"/>
            <w:shd w:val="clear" w:color="auto" w:fill="FFFFFF"/>
            <w:vAlign w:val="center"/>
          </w:tcPr>
          <w:p w14:paraId="25F8361B">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当日收盘价</w:t>
            </w:r>
          </w:p>
        </w:tc>
        <w:tc>
          <w:tcPr>
            <w:tcW w:w="4728" w:type="dxa"/>
            <w:shd w:val="clear" w:color="auto" w:fill="FFFFFF"/>
            <w:vAlign w:val="center"/>
          </w:tcPr>
          <w:p w14:paraId="7E14690C">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w:t>
            </w:r>
            <w:r>
              <w:rPr>
                <w:rFonts w:ascii="仿宋_GB2312" w:eastAsia="仿宋_GB2312"/>
                <w:bCs/>
                <w:iCs/>
                <w:kern w:val="0"/>
                <w:sz w:val="24"/>
                <w:szCs w:val="24"/>
              </w:rPr>
              <w:t>3</w:t>
            </w:r>
            <w:r>
              <w:rPr>
                <w:rFonts w:hint="eastAsia" w:ascii="仿宋_GB2312" w:eastAsia="仿宋_GB2312"/>
                <w:bCs/>
                <w:iCs/>
                <w:kern w:val="0"/>
                <w:sz w:val="24"/>
                <w:szCs w:val="24"/>
              </w:rPr>
              <w:t>位小数）/</w:t>
            </w:r>
            <w:r>
              <w:rPr>
                <w:rFonts w:ascii="仿宋_GB2312" w:eastAsia="仿宋_GB2312"/>
                <w:bCs/>
                <w:iCs/>
                <w:kern w:val="0"/>
                <w:sz w:val="24"/>
                <w:szCs w:val="24"/>
              </w:rPr>
              <w:t xml:space="preserve"> </w:t>
            </w: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3071B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749" w:type="dxa"/>
            <w:shd w:val="clear" w:color="auto" w:fill="FFFFFF"/>
            <w:vAlign w:val="center"/>
          </w:tcPr>
          <w:p w14:paraId="157A19E5">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当日最高价</w:t>
            </w:r>
          </w:p>
        </w:tc>
        <w:tc>
          <w:tcPr>
            <w:tcW w:w="4728" w:type="dxa"/>
            <w:shd w:val="clear" w:color="auto" w:fill="FFFFFF"/>
            <w:vAlign w:val="center"/>
          </w:tcPr>
          <w:p w14:paraId="1ABA92B7">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w:t>
            </w:r>
            <w:r>
              <w:rPr>
                <w:rFonts w:ascii="仿宋_GB2312" w:eastAsia="仿宋_GB2312"/>
                <w:bCs/>
                <w:iCs/>
                <w:kern w:val="0"/>
                <w:sz w:val="24"/>
                <w:szCs w:val="24"/>
              </w:rPr>
              <w:t>3</w:t>
            </w:r>
            <w:r>
              <w:rPr>
                <w:rFonts w:hint="eastAsia" w:ascii="仿宋_GB2312" w:eastAsia="仿宋_GB2312"/>
                <w:bCs/>
                <w:iCs/>
                <w:kern w:val="0"/>
                <w:sz w:val="24"/>
                <w:szCs w:val="24"/>
              </w:rPr>
              <w:t>位小数）/</w:t>
            </w:r>
            <w:r>
              <w:rPr>
                <w:rFonts w:ascii="仿宋_GB2312" w:eastAsia="仿宋_GB2312"/>
                <w:bCs/>
                <w:iCs/>
                <w:kern w:val="0"/>
                <w:sz w:val="24"/>
                <w:szCs w:val="24"/>
              </w:rPr>
              <w:t xml:space="preserve"> </w:t>
            </w: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055EF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749" w:type="dxa"/>
            <w:shd w:val="clear" w:color="auto" w:fill="FFFFFF"/>
            <w:vAlign w:val="center"/>
          </w:tcPr>
          <w:p w14:paraId="5ACEF294">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当日最低价</w:t>
            </w:r>
          </w:p>
        </w:tc>
        <w:tc>
          <w:tcPr>
            <w:tcW w:w="4728" w:type="dxa"/>
            <w:shd w:val="clear" w:color="auto" w:fill="FFFFFF"/>
            <w:vAlign w:val="center"/>
          </w:tcPr>
          <w:p w14:paraId="3C12DBF8">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w:t>
            </w:r>
            <w:r>
              <w:rPr>
                <w:rFonts w:ascii="仿宋_GB2312" w:eastAsia="仿宋_GB2312"/>
                <w:bCs/>
                <w:iCs/>
                <w:kern w:val="0"/>
                <w:sz w:val="24"/>
                <w:szCs w:val="24"/>
              </w:rPr>
              <w:t>3</w:t>
            </w:r>
            <w:r>
              <w:rPr>
                <w:rFonts w:hint="eastAsia" w:ascii="仿宋_GB2312" w:eastAsia="仿宋_GB2312"/>
                <w:bCs/>
                <w:iCs/>
                <w:kern w:val="0"/>
                <w:sz w:val="24"/>
                <w:szCs w:val="24"/>
              </w:rPr>
              <w:t>位小数）/</w:t>
            </w:r>
            <w:r>
              <w:rPr>
                <w:rFonts w:ascii="仿宋_GB2312" w:eastAsia="仿宋_GB2312"/>
                <w:bCs/>
                <w:iCs/>
                <w:kern w:val="0"/>
                <w:sz w:val="24"/>
                <w:szCs w:val="24"/>
              </w:rPr>
              <w:t xml:space="preserve"> </w:t>
            </w: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35840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749" w:type="dxa"/>
            <w:shd w:val="clear" w:color="auto" w:fill="FFFFFF"/>
            <w:vAlign w:val="center"/>
          </w:tcPr>
          <w:p w14:paraId="43612665">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当日最新价</w:t>
            </w:r>
          </w:p>
        </w:tc>
        <w:tc>
          <w:tcPr>
            <w:tcW w:w="4728" w:type="dxa"/>
            <w:shd w:val="clear" w:color="auto" w:fill="FFFFFF"/>
            <w:vAlign w:val="center"/>
          </w:tcPr>
          <w:p w14:paraId="325F7169">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w:t>
            </w:r>
            <w:r>
              <w:rPr>
                <w:rFonts w:ascii="仿宋_GB2312" w:eastAsia="仿宋_GB2312"/>
                <w:bCs/>
                <w:iCs/>
                <w:kern w:val="0"/>
                <w:sz w:val="24"/>
                <w:szCs w:val="24"/>
              </w:rPr>
              <w:t>3</w:t>
            </w:r>
            <w:r>
              <w:rPr>
                <w:rFonts w:hint="eastAsia" w:ascii="仿宋_GB2312" w:eastAsia="仿宋_GB2312"/>
                <w:bCs/>
                <w:iCs/>
                <w:kern w:val="0"/>
                <w:sz w:val="24"/>
                <w:szCs w:val="24"/>
              </w:rPr>
              <w:t>位小数）/</w:t>
            </w:r>
            <w:r>
              <w:rPr>
                <w:rFonts w:ascii="仿宋_GB2312" w:eastAsia="仿宋_GB2312"/>
                <w:bCs/>
                <w:iCs/>
                <w:kern w:val="0"/>
                <w:sz w:val="24"/>
                <w:szCs w:val="24"/>
              </w:rPr>
              <w:t xml:space="preserve"> </w:t>
            </w: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73DCA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749" w:type="dxa"/>
            <w:shd w:val="clear" w:color="auto" w:fill="FFFFFF"/>
            <w:vAlign w:val="center"/>
          </w:tcPr>
          <w:p w14:paraId="37541A63">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当日加权平均价</w:t>
            </w:r>
          </w:p>
        </w:tc>
        <w:tc>
          <w:tcPr>
            <w:tcW w:w="4728" w:type="dxa"/>
            <w:shd w:val="clear" w:color="auto" w:fill="FFFFFF"/>
            <w:vAlign w:val="center"/>
          </w:tcPr>
          <w:p w14:paraId="1C58079F">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w:t>
            </w:r>
            <w:r>
              <w:rPr>
                <w:rFonts w:ascii="仿宋_GB2312" w:eastAsia="仿宋_GB2312"/>
                <w:bCs/>
                <w:iCs/>
                <w:kern w:val="0"/>
                <w:sz w:val="24"/>
                <w:szCs w:val="24"/>
              </w:rPr>
              <w:t>3</w:t>
            </w:r>
            <w:r>
              <w:rPr>
                <w:rFonts w:hint="eastAsia" w:ascii="仿宋_GB2312" w:eastAsia="仿宋_GB2312"/>
                <w:bCs/>
                <w:iCs/>
                <w:kern w:val="0"/>
                <w:sz w:val="24"/>
                <w:szCs w:val="24"/>
              </w:rPr>
              <w:t>位小数）/</w:t>
            </w:r>
            <w:r>
              <w:rPr>
                <w:rFonts w:ascii="仿宋_GB2312" w:eastAsia="仿宋_GB2312"/>
                <w:bCs/>
                <w:iCs/>
                <w:kern w:val="0"/>
                <w:sz w:val="24"/>
                <w:szCs w:val="24"/>
              </w:rPr>
              <w:t xml:space="preserve"> </w:t>
            </w: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20D30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749" w:type="dxa"/>
            <w:shd w:val="clear" w:color="auto" w:fill="FFFFFF"/>
            <w:vAlign w:val="center"/>
          </w:tcPr>
          <w:p w14:paraId="6BD0C397">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当日累计成交数量</w:t>
            </w:r>
          </w:p>
        </w:tc>
        <w:tc>
          <w:tcPr>
            <w:tcW w:w="4728" w:type="dxa"/>
            <w:shd w:val="clear" w:color="auto" w:fill="FFFFFF"/>
            <w:vAlign w:val="center"/>
          </w:tcPr>
          <w:p w14:paraId="717E5BAA">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单位：千元面额（整数）</w:t>
            </w:r>
          </w:p>
        </w:tc>
      </w:tr>
      <w:tr w14:paraId="6442A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749" w:type="dxa"/>
            <w:shd w:val="clear" w:color="auto" w:fill="FFFFFF"/>
            <w:vAlign w:val="center"/>
          </w:tcPr>
          <w:p w14:paraId="20060C04">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当日累计成交金额</w:t>
            </w:r>
          </w:p>
        </w:tc>
        <w:tc>
          <w:tcPr>
            <w:tcW w:w="4728" w:type="dxa"/>
            <w:shd w:val="clear" w:color="auto" w:fill="FFFFFF"/>
            <w:vAlign w:val="center"/>
          </w:tcPr>
          <w:p w14:paraId="7EEEE140">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单位：元（2位小数）</w:t>
            </w:r>
          </w:p>
        </w:tc>
      </w:tr>
      <w:tr w14:paraId="72941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749" w:type="dxa"/>
            <w:shd w:val="clear" w:color="auto" w:fill="FFFFFF"/>
            <w:vAlign w:val="center"/>
          </w:tcPr>
          <w:p w14:paraId="7009CAB5">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当日累计成交笔数</w:t>
            </w:r>
          </w:p>
        </w:tc>
        <w:tc>
          <w:tcPr>
            <w:tcW w:w="4728" w:type="dxa"/>
            <w:shd w:val="clear" w:color="auto" w:fill="FFFFFF"/>
            <w:vAlign w:val="center"/>
          </w:tcPr>
          <w:p w14:paraId="773FC775">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单位：笔</w:t>
            </w:r>
          </w:p>
        </w:tc>
      </w:tr>
    </w:tbl>
    <w:p w14:paraId="2D20B417">
      <w:pPr>
        <w:numPr>
          <w:ilvl w:val="2"/>
          <w:numId w:val="4"/>
        </w:numPr>
        <w:spacing w:line="600" w:lineRule="exact"/>
        <w:ind w:left="0" w:firstLine="0"/>
        <w:outlineLvl w:val="2"/>
        <w:rPr>
          <w:rFonts w:ascii="仿宋_GB2312" w:eastAsia="仿宋_GB2312"/>
          <w:b/>
          <w:sz w:val="30"/>
          <w:szCs w:val="30"/>
        </w:rPr>
      </w:pPr>
      <w:bookmarkStart w:id="2639" w:name="_Toc47467050"/>
      <w:r>
        <w:rPr>
          <w:rFonts w:hint="eastAsia" w:ascii="仿宋_GB2312" w:eastAsia="仿宋_GB2312"/>
          <w:b/>
          <w:sz w:val="30"/>
          <w:szCs w:val="30"/>
        </w:rPr>
        <w:t>开盘价、收盘价</w:t>
      </w:r>
      <w:bookmarkEnd w:id="2639"/>
    </w:p>
    <w:p w14:paraId="03341F15">
      <w:pPr>
        <w:spacing w:line="600" w:lineRule="exact"/>
        <w:ind w:firstLine="600"/>
        <w:rPr>
          <w:rFonts w:ascii="Calibri" w:eastAsia="仿宋_GB2312"/>
          <w:sz w:val="30"/>
          <w:szCs w:val="30"/>
        </w:rPr>
      </w:pPr>
      <w:r>
        <w:rPr>
          <w:rFonts w:hint="eastAsia" w:ascii="Calibri" w:eastAsia="仿宋_GB2312"/>
          <w:sz w:val="30"/>
          <w:szCs w:val="30"/>
        </w:rPr>
        <w:t>本所实时发布债券现券交易和通用回购交易的开盘价和收盘价。</w:t>
      </w:r>
    </w:p>
    <w:p w14:paraId="5C832C24">
      <w:pPr>
        <w:spacing w:line="600" w:lineRule="exact"/>
        <w:ind w:firstLine="600"/>
        <w:rPr>
          <w:rFonts w:ascii="Calibri" w:eastAsia="仿宋_GB2312"/>
          <w:sz w:val="30"/>
          <w:szCs w:val="30"/>
        </w:rPr>
      </w:pPr>
      <w:r>
        <w:rPr>
          <w:rFonts w:hint="eastAsia" w:ascii="Calibri" w:eastAsia="仿宋_GB2312"/>
          <w:sz w:val="30"/>
          <w:szCs w:val="30"/>
        </w:rPr>
        <w:t>开盘价为当日第一笔成交价格。收盘价为当日最后一笔交易（含）前一小时内的成交量加权平均价。当日无成交的，以前收盘价为当日收盘价。</w:t>
      </w:r>
    </w:p>
    <w:p w14:paraId="31C55195">
      <w:pPr>
        <w:spacing w:line="600" w:lineRule="exact"/>
        <w:ind w:firstLine="600"/>
        <w:rPr>
          <w:rFonts w:ascii="Calibri" w:eastAsia="仿宋_GB2312"/>
          <w:sz w:val="30"/>
          <w:szCs w:val="30"/>
        </w:rPr>
      </w:pPr>
      <w:r>
        <w:rPr>
          <w:rFonts w:hint="eastAsia" w:ascii="Calibri" w:eastAsia="仿宋_GB2312"/>
          <w:sz w:val="30"/>
          <w:szCs w:val="30"/>
        </w:rPr>
        <w:t>匹配成交方式下及非匹配成交方式下的开盘价和收盘价单独计算，分别通过新债券交易系统和固定收益平台进行发布。</w:t>
      </w:r>
      <w:r>
        <w:rPr>
          <w:rFonts w:hint="eastAsia" w:ascii="仿宋_GB2312" w:eastAsia="仿宋_GB2312"/>
          <w:b/>
          <w:color w:val="000000"/>
          <w:sz w:val="30"/>
          <w:szCs w:val="30"/>
        </w:rPr>
        <w:t>《债券交易规则》第一百一十八条关于使用</w:t>
      </w:r>
      <w:r>
        <w:rPr>
          <w:rFonts w:hint="eastAsia" w:ascii="Calibri" w:eastAsia="仿宋_GB2312"/>
          <w:b/>
          <w:sz w:val="30"/>
          <w:szCs w:val="30"/>
        </w:rPr>
        <w:t>各类交易方式达成的成交数据计算开盘价和收盘价的规定</w:t>
      </w:r>
      <w:r>
        <w:rPr>
          <w:rFonts w:hint="eastAsia" w:ascii="仿宋_GB2312" w:eastAsia="仿宋_GB2312"/>
          <w:b/>
          <w:color w:val="000000"/>
          <w:sz w:val="30"/>
          <w:szCs w:val="30"/>
        </w:rPr>
        <w:t>暂缓实施，可转债的收盘价另行规定</w:t>
      </w:r>
      <w:r>
        <w:rPr>
          <w:rFonts w:hint="eastAsia" w:ascii="仿宋_GB2312" w:eastAsia="仿宋_GB2312"/>
          <w:color w:val="000000"/>
          <w:sz w:val="30"/>
          <w:szCs w:val="30"/>
        </w:rPr>
        <w:t>。</w:t>
      </w:r>
    </w:p>
    <w:p w14:paraId="1D888ABF">
      <w:pPr>
        <w:spacing w:line="600" w:lineRule="exact"/>
        <w:ind w:firstLine="600" w:firstLineChars="200"/>
        <w:rPr>
          <w:rFonts w:ascii="仿宋_GB2312" w:hAnsi="Calibri" w:eastAsia="仿宋_GB2312"/>
          <w:color w:val="000000"/>
          <w:sz w:val="30"/>
          <w:szCs w:val="30"/>
        </w:rPr>
      </w:pPr>
      <w:r>
        <w:rPr>
          <w:rFonts w:hint="eastAsia" w:ascii="Calibri" w:eastAsia="仿宋_GB2312"/>
          <w:sz w:val="30"/>
          <w:szCs w:val="30"/>
        </w:rPr>
        <w:t>根据市场发展需要，本所可以调整开盘价及收盘价计算方法</w:t>
      </w:r>
      <w:r>
        <w:rPr>
          <w:rFonts w:hint="eastAsia" w:ascii="仿宋_GB2312" w:hAnsi="宋体" w:eastAsia="仿宋_GB2312"/>
          <w:sz w:val="30"/>
          <w:szCs w:val="30"/>
        </w:rPr>
        <w:t>。</w:t>
      </w:r>
    </w:p>
    <w:p w14:paraId="2BE3712D">
      <w:pPr>
        <w:numPr>
          <w:ilvl w:val="1"/>
          <w:numId w:val="4"/>
        </w:numPr>
        <w:spacing w:line="600" w:lineRule="exact"/>
        <w:ind w:left="0" w:firstLine="0"/>
        <w:outlineLvl w:val="1"/>
        <w:rPr>
          <w:rFonts w:ascii="仿宋_GB2312" w:eastAsia="仿宋_GB2312"/>
          <w:b/>
          <w:sz w:val="30"/>
          <w:szCs w:val="30"/>
        </w:rPr>
      </w:pPr>
      <w:bookmarkStart w:id="2640" w:name="_Toc1996963531"/>
      <w:bookmarkStart w:id="2641" w:name="_Toc118057227"/>
      <w:bookmarkStart w:id="2642" w:name="_Toc56166115"/>
      <w:bookmarkStart w:id="2643" w:name="_Toc151137066"/>
      <w:bookmarkStart w:id="2644" w:name="_Toc56166304"/>
      <w:bookmarkStart w:id="2645" w:name="_Toc1841570844"/>
      <w:bookmarkStart w:id="2646" w:name="_Toc1544820028"/>
      <w:bookmarkStart w:id="2647" w:name="_Toc47467051"/>
      <w:r>
        <w:rPr>
          <w:rFonts w:hint="eastAsia" w:ascii="仿宋_GB2312" w:eastAsia="仿宋_GB2312"/>
          <w:b/>
          <w:sz w:val="30"/>
          <w:szCs w:val="30"/>
        </w:rPr>
        <w:t>参考数据</w:t>
      </w:r>
      <w:bookmarkEnd w:id="2640"/>
      <w:bookmarkEnd w:id="2641"/>
      <w:bookmarkEnd w:id="2642"/>
      <w:bookmarkEnd w:id="2643"/>
      <w:bookmarkEnd w:id="2644"/>
      <w:bookmarkEnd w:id="2645"/>
      <w:bookmarkEnd w:id="2646"/>
      <w:bookmarkEnd w:id="2647"/>
    </w:p>
    <w:p w14:paraId="7B9F2593">
      <w:pPr>
        <w:spacing w:line="600" w:lineRule="exact"/>
        <w:ind w:firstLine="600" w:firstLineChars="200"/>
        <w:jc w:val="left"/>
        <w:rPr>
          <w:rFonts w:ascii="仿宋_GB2312" w:hAnsi="宋体" w:eastAsia="仿宋_GB2312" w:cs="宋体"/>
          <w:kern w:val="0"/>
          <w:sz w:val="30"/>
          <w:szCs w:val="30"/>
        </w:rPr>
      </w:pPr>
      <w:r>
        <w:rPr>
          <w:rFonts w:hint="eastAsia" w:ascii="仿宋_GB2312" w:hAnsi="宋体" w:eastAsia="仿宋_GB2312" w:cs="宋体"/>
          <w:kern w:val="0"/>
          <w:sz w:val="30"/>
          <w:szCs w:val="30"/>
        </w:rPr>
        <w:t>本所对外发布的参考数据包括产品的基础信息、与产品相关的非交易基础信息、交易参与人信息、交易员信息、做市商及做市品种信息等。</w:t>
      </w:r>
    </w:p>
    <w:p w14:paraId="06CF1E01">
      <w:pPr>
        <w:spacing w:line="600" w:lineRule="exact"/>
        <w:ind w:firstLine="600" w:firstLineChars="200"/>
        <w:jc w:val="left"/>
        <w:rPr>
          <w:rFonts w:ascii="仿宋_GB2312" w:hAnsi="Calibri" w:eastAsia="仿宋_GB2312"/>
          <w:kern w:val="0"/>
          <w:sz w:val="30"/>
          <w:szCs w:val="30"/>
        </w:rPr>
      </w:pPr>
      <w:r>
        <w:rPr>
          <w:rFonts w:hint="eastAsia" w:ascii="仿宋_GB2312" w:hAnsi="Calibri" w:eastAsia="仿宋_GB2312"/>
          <w:kern w:val="0"/>
          <w:sz w:val="30"/>
          <w:szCs w:val="30"/>
        </w:rPr>
        <w:t>参考数据在交易日闭市后对外发送，交易日内不更新。</w:t>
      </w:r>
    </w:p>
    <w:p w14:paraId="723BE983">
      <w:pPr>
        <w:numPr>
          <w:ilvl w:val="2"/>
          <w:numId w:val="4"/>
        </w:numPr>
        <w:spacing w:line="600" w:lineRule="exact"/>
        <w:ind w:left="0" w:firstLine="0"/>
        <w:outlineLvl w:val="2"/>
        <w:rPr>
          <w:rFonts w:ascii="仿宋_GB2312" w:eastAsia="仿宋_GB2312"/>
          <w:b/>
          <w:sz w:val="30"/>
          <w:szCs w:val="30"/>
        </w:rPr>
      </w:pPr>
      <w:bookmarkStart w:id="2648" w:name="_Toc47458503"/>
      <w:bookmarkEnd w:id="2648"/>
      <w:bookmarkStart w:id="2649" w:name="_Toc47465940"/>
      <w:bookmarkEnd w:id="2649"/>
      <w:bookmarkStart w:id="2650" w:name="_Toc47458485"/>
      <w:bookmarkEnd w:id="2650"/>
      <w:bookmarkStart w:id="2651" w:name="_Toc47467077"/>
      <w:bookmarkEnd w:id="2651"/>
      <w:bookmarkStart w:id="2652" w:name="_Toc47458473"/>
      <w:bookmarkEnd w:id="2652"/>
      <w:bookmarkStart w:id="2653" w:name="_Toc47466010"/>
      <w:bookmarkEnd w:id="2653"/>
      <w:bookmarkStart w:id="2654" w:name="_Toc47467111"/>
      <w:bookmarkEnd w:id="2654"/>
      <w:bookmarkStart w:id="2655" w:name="_Toc47467052"/>
      <w:bookmarkEnd w:id="2655"/>
      <w:bookmarkStart w:id="2656" w:name="_Toc47428519"/>
      <w:bookmarkEnd w:id="2656"/>
      <w:bookmarkStart w:id="2657" w:name="_Toc47375488"/>
      <w:bookmarkEnd w:id="2657"/>
      <w:bookmarkStart w:id="2658" w:name="_Toc47428471"/>
      <w:bookmarkEnd w:id="2658"/>
      <w:bookmarkStart w:id="2659" w:name="_Toc47458488"/>
      <w:bookmarkEnd w:id="2659"/>
      <w:bookmarkStart w:id="2660" w:name="_Toc47375541"/>
      <w:bookmarkEnd w:id="2660"/>
      <w:bookmarkStart w:id="2661" w:name="_Toc47375594"/>
      <w:bookmarkEnd w:id="2661"/>
      <w:bookmarkStart w:id="2662" w:name="_Toc47458549"/>
      <w:bookmarkEnd w:id="2662"/>
      <w:bookmarkStart w:id="2663" w:name="_Toc47427207"/>
      <w:bookmarkEnd w:id="2663"/>
      <w:bookmarkStart w:id="2664" w:name="_Toc47428484"/>
      <w:bookmarkEnd w:id="2664"/>
      <w:bookmarkStart w:id="2665" w:name="_Toc47467074"/>
      <w:bookmarkEnd w:id="2665"/>
      <w:bookmarkStart w:id="2666" w:name="_Toc47427248"/>
      <w:bookmarkEnd w:id="2666"/>
      <w:bookmarkStart w:id="2667" w:name="_Toc47428440"/>
      <w:bookmarkEnd w:id="2667"/>
      <w:bookmarkStart w:id="2668" w:name="_Toc47467144"/>
      <w:bookmarkEnd w:id="2668"/>
      <w:bookmarkStart w:id="2669" w:name="_Toc47428498"/>
      <w:bookmarkEnd w:id="2669"/>
      <w:bookmarkStart w:id="2670" w:name="_Toc47427243"/>
      <w:bookmarkEnd w:id="2670"/>
      <w:bookmarkStart w:id="2671" w:name="_Toc47466044"/>
      <w:bookmarkEnd w:id="2671"/>
      <w:bookmarkStart w:id="2672" w:name="_Toc47427244"/>
      <w:bookmarkEnd w:id="2672"/>
      <w:bookmarkStart w:id="2673" w:name="_Toc47375585"/>
      <w:bookmarkEnd w:id="2673"/>
      <w:bookmarkStart w:id="2674" w:name="_Toc47428480"/>
      <w:bookmarkEnd w:id="2674"/>
      <w:bookmarkStart w:id="2675" w:name="_Toc47467053"/>
      <w:bookmarkEnd w:id="2675"/>
      <w:bookmarkStart w:id="2676" w:name="_Toc47466025"/>
      <w:bookmarkEnd w:id="2676"/>
      <w:bookmarkStart w:id="2677" w:name="_Toc47458464"/>
      <w:bookmarkEnd w:id="2677"/>
      <w:bookmarkStart w:id="2678" w:name="_Toc47375570"/>
      <w:bookmarkEnd w:id="2678"/>
      <w:bookmarkStart w:id="2679" w:name="_Toc47427202"/>
      <w:bookmarkEnd w:id="2679"/>
      <w:bookmarkStart w:id="2680" w:name="_Toc47466041"/>
      <w:bookmarkEnd w:id="2680"/>
      <w:bookmarkStart w:id="2681" w:name="_Toc47465966"/>
      <w:bookmarkEnd w:id="2681"/>
      <w:bookmarkStart w:id="2682" w:name="_Toc47458463"/>
      <w:bookmarkEnd w:id="2682"/>
      <w:bookmarkStart w:id="2683" w:name="_Toc47467086"/>
      <w:bookmarkEnd w:id="2683"/>
      <w:bookmarkStart w:id="2684" w:name="_Toc47375515"/>
      <w:bookmarkEnd w:id="2684"/>
      <w:bookmarkStart w:id="2685" w:name="_Toc47465967"/>
      <w:bookmarkEnd w:id="2685"/>
      <w:bookmarkStart w:id="2686" w:name="_Toc47427257"/>
      <w:bookmarkEnd w:id="2686"/>
      <w:bookmarkStart w:id="2687" w:name="_Toc47375497"/>
      <w:bookmarkEnd w:id="2687"/>
      <w:bookmarkStart w:id="2688" w:name="_Toc47465950"/>
      <w:bookmarkEnd w:id="2688"/>
      <w:bookmarkStart w:id="2689" w:name="_Toc47467067"/>
      <w:bookmarkEnd w:id="2689"/>
      <w:bookmarkStart w:id="2690" w:name="_Toc47375511"/>
      <w:bookmarkEnd w:id="2690"/>
      <w:bookmarkStart w:id="2691" w:name="_Toc47467105"/>
      <w:bookmarkEnd w:id="2691"/>
      <w:bookmarkStart w:id="2692" w:name="_Toc47465973"/>
      <w:bookmarkEnd w:id="2692"/>
      <w:bookmarkStart w:id="2693" w:name="_Toc47458525"/>
      <w:bookmarkEnd w:id="2693"/>
      <w:bookmarkStart w:id="2694" w:name="_Toc47375556"/>
      <w:bookmarkEnd w:id="2694"/>
      <w:bookmarkStart w:id="2695" w:name="_Toc47427225"/>
      <w:bookmarkEnd w:id="2695"/>
      <w:bookmarkStart w:id="2696" w:name="_Toc47458466"/>
      <w:bookmarkEnd w:id="2696"/>
      <w:bookmarkStart w:id="2697" w:name="_Toc47375532"/>
      <w:bookmarkEnd w:id="2697"/>
      <w:bookmarkStart w:id="2698" w:name="_Toc47465990"/>
      <w:bookmarkEnd w:id="2698"/>
      <w:bookmarkStart w:id="2699" w:name="_Toc47465989"/>
      <w:bookmarkEnd w:id="2699"/>
      <w:bookmarkStart w:id="2700" w:name="_Toc44688500"/>
      <w:bookmarkEnd w:id="2700"/>
      <w:bookmarkStart w:id="2701" w:name="_Toc44666417"/>
      <w:bookmarkEnd w:id="2701"/>
      <w:bookmarkStart w:id="2702" w:name="_Toc47375580"/>
      <w:bookmarkEnd w:id="2702"/>
      <w:bookmarkStart w:id="2703" w:name="_Toc47458524"/>
      <w:bookmarkEnd w:id="2703"/>
      <w:bookmarkStart w:id="2704" w:name="_Toc47465974"/>
      <w:bookmarkEnd w:id="2704"/>
      <w:bookmarkStart w:id="2705" w:name="_Toc47428458"/>
      <w:bookmarkEnd w:id="2705"/>
      <w:bookmarkStart w:id="2706" w:name="_Toc44688501"/>
      <w:bookmarkEnd w:id="2706"/>
      <w:bookmarkStart w:id="2707" w:name="_Toc47458553"/>
      <w:bookmarkEnd w:id="2707"/>
      <w:bookmarkStart w:id="2708" w:name="_Toc47375531"/>
      <w:bookmarkEnd w:id="2708"/>
      <w:bookmarkStart w:id="2709" w:name="_Toc47465976"/>
      <w:bookmarkEnd w:id="2709"/>
      <w:bookmarkStart w:id="2710" w:name="_Toc47375549"/>
      <w:bookmarkEnd w:id="2710"/>
      <w:bookmarkStart w:id="2711" w:name="_Toc47467106"/>
      <w:bookmarkEnd w:id="2711"/>
      <w:bookmarkStart w:id="2712" w:name="_Toc47428465"/>
      <w:bookmarkEnd w:id="2712"/>
      <w:bookmarkStart w:id="2713" w:name="_Toc47467092"/>
      <w:bookmarkEnd w:id="2713"/>
      <w:bookmarkStart w:id="2714" w:name="_Toc47458500"/>
      <w:bookmarkEnd w:id="2714"/>
      <w:bookmarkStart w:id="2715" w:name="_Toc47427251"/>
      <w:bookmarkEnd w:id="2715"/>
      <w:bookmarkStart w:id="2716" w:name="_Toc47467085"/>
      <w:bookmarkEnd w:id="2716"/>
      <w:bookmarkStart w:id="2717" w:name="_Toc47427166"/>
      <w:bookmarkEnd w:id="2717"/>
      <w:bookmarkStart w:id="2718" w:name="_Toc47467136"/>
      <w:bookmarkEnd w:id="2718"/>
      <w:bookmarkStart w:id="2719" w:name="_Toc47427187"/>
      <w:bookmarkEnd w:id="2719"/>
      <w:bookmarkStart w:id="2720" w:name="_Toc47458520"/>
      <w:bookmarkEnd w:id="2720"/>
      <w:bookmarkStart w:id="2721" w:name="_Toc47467141"/>
      <w:bookmarkEnd w:id="2721"/>
      <w:bookmarkStart w:id="2722" w:name="_Toc47467055"/>
      <w:bookmarkEnd w:id="2722"/>
      <w:bookmarkStart w:id="2723" w:name="_Toc47375578"/>
      <w:bookmarkEnd w:id="2723"/>
      <w:bookmarkStart w:id="2724" w:name="_Toc47458465"/>
      <w:bookmarkEnd w:id="2724"/>
      <w:bookmarkStart w:id="2725" w:name="_Toc47427159"/>
      <w:bookmarkEnd w:id="2725"/>
      <w:bookmarkStart w:id="2726" w:name="_Toc47465988"/>
      <w:bookmarkEnd w:id="2726"/>
      <w:bookmarkStart w:id="2727" w:name="_Toc47427195"/>
      <w:bookmarkEnd w:id="2727"/>
      <w:bookmarkStart w:id="2728" w:name="_Toc47428501"/>
      <w:bookmarkEnd w:id="2728"/>
      <w:bookmarkStart w:id="2729" w:name="_Toc47428485"/>
      <w:bookmarkEnd w:id="2729"/>
      <w:bookmarkStart w:id="2730" w:name="_Toc47465959"/>
      <w:bookmarkEnd w:id="2730"/>
      <w:bookmarkStart w:id="2731" w:name="_Toc47427216"/>
      <w:bookmarkEnd w:id="2731"/>
      <w:bookmarkStart w:id="2732" w:name="_Toc47427263"/>
      <w:bookmarkEnd w:id="2732"/>
      <w:bookmarkStart w:id="2733" w:name="_Toc47427204"/>
      <w:bookmarkEnd w:id="2733"/>
      <w:bookmarkStart w:id="2734" w:name="_Toc47428488"/>
      <w:bookmarkEnd w:id="2734"/>
      <w:bookmarkStart w:id="2735" w:name="_Toc47466047"/>
      <w:bookmarkEnd w:id="2735"/>
      <w:bookmarkStart w:id="2736" w:name="_Toc47375492"/>
      <w:bookmarkEnd w:id="2736"/>
      <w:bookmarkStart w:id="2737" w:name="_Toc47458512"/>
      <w:bookmarkEnd w:id="2737"/>
      <w:bookmarkStart w:id="2738" w:name="_Toc47458541"/>
      <w:bookmarkEnd w:id="2738"/>
      <w:bookmarkStart w:id="2739" w:name="_Toc47427191"/>
      <w:bookmarkEnd w:id="2739"/>
      <w:bookmarkStart w:id="2740" w:name="_Toc47428530"/>
      <w:bookmarkEnd w:id="2740"/>
      <w:bookmarkStart w:id="2741" w:name="_Toc47427188"/>
      <w:bookmarkEnd w:id="2741"/>
      <w:bookmarkStart w:id="2742" w:name="_Toc47427175"/>
      <w:bookmarkEnd w:id="2742"/>
      <w:bookmarkStart w:id="2743" w:name="_Toc44661494"/>
      <w:bookmarkEnd w:id="2743"/>
      <w:bookmarkStart w:id="2744" w:name="_Toc47467163"/>
      <w:bookmarkEnd w:id="2744"/>
      <w:bookmarkStart w:id="2745" w:name="_Toc44666378"/>
      <w:bookmarkEnd w:id="2745"/>
      <w:bookmarkStart w:id="2746" w:name="_Toc47427203"/>
      <w:bookmarkEnd w:id="2746"/>
      <w:bookmarkStart w:id="2747" w:name="_Toc47467124"/>
      <w:bookmarkEnd w:id="2747"/>
      <w:bookmarkStart w:id="2748" w:name="_Toc47465983"/>
      <w:bookmarkEnd w:id="2748"/>
      <w:bookmarkStart w:id="2749" w:name="_Toc47375560"/>
      <w:bookmarkEnd w:id="2749"/>
      <w:bookmarkStart w:id="2750" w:name="_Toc47465953"/>
      <w:bookmarkEnd w:id="2750"/>
      <w:bookmarkStart w:id="2751" w:name="_Toc47465975"/>
      <w:bookmarkEnd w:id="2751"/>
      <w:bookmarkStart w:id="2752" w:name="_Toc47465996"/>
      <w:bookmarkEnd w:id="2752"/>
      <w:bookmarkStart w:id="2753" w:name="_Toc44666375"/>
      <w:bookmarkEnd w:id="2753"/>
      <w:bookmarkStart w:id="2754" w:name="_Toc47466049"/>
      <w:bookmarkEnd w:id="2754"/>
      <w:bookmarkStart w:id="2755" w:name="_Toc47428442"/>
      <w:bookmarkEnd w:id="2755"/>
      <w:bookmarkStart w:id="2756" w:name="_Toc47458537"/>
      <w:bookmarkEnd w:id="2756"/>
      <w:bookmarkStart w:id="2757" w:name="_Toc47428481"/>
      <w:bookmarkEnd w:id="2757"/>
      <w:bookmarkStart w:id="2758" w:name="_Toc47428493"/>
      <w:bookmarkEnd w:id="2758"/>
      <w:bookmarkStart w:id="2759" w:name="_Toc47466038"/>
      <w:bookmarkEnd w:id="2759"/>
      <w:bookmarkStart w:id="2760" w:name="_Toc47427226"/>
      <w:bookmarkEnd w:id="2760"/>
      <w:bookmarkStart w:id="2761" w:name="_Toc44604378"/>
      <w:bookmarkEnd w:id="2761"/>
      <w:bookmarkStart w:id="2762" w:name="_Toc47375487"/>
      <w:bookmarkEnd w:id="2762"/>
      <w:bookmarkStart w:id="2763" w:name="_Toc47458486"/>
      <w:bookmarkEnd w:id="2763"/>
      <w:bookmarkStart w:id="2764" w:name="_Toc47428486"/>
      <w:bookmarkEnd w:id="2764"/>
      <w:bookmarkStart w:id="2765" w:name="_Toc47458533"/>
      <w:bookmarkEnd w:id="2765"/>
      <w:bookmarkStart w:id="2766" w:name="_Toc47466021"/>
      <w:bookmarkEnd w:id="2766"/>
      <w:bookmarkStart w:id="2767" w:name="_Toc47466046"/>
      <w:bookmarkEnd w:id="2767"/>
      <w:bookmarkStart w:id="2768" w:name="_Toc47467125"/>
      <w:bookmarkEnd w:id="2768"/>
      <w:bookmarkStart w:id="2769" w:name="_Toc47427256"/>
      <w:bookmarkEnd w:id="2769"/>
      <w:bookmarkStart w:id="2770" w:name="_Toc47375510"/>
      <w:bookmarkEnd w:id="2770"/>
      <w:bookmarkStart w:id="2771" w:name="_Toc47375563"/>
      <w:bookmarkEnd w:id="2771"/>
      <w:bookmarkStart w:id="2772" w:name="_Toc47375553"/>
      <w:bookmarkEnd w:id="2772"/>
      <w:bookmarkStart w:id="2773" w:name="_Toc47467142"/>
      <w:bookmarkEnd w:id="2773"/>
      <w:bookmarkStart w:id="2774" w:name="_Toc47466014"/>
      <w:bookmarkEnd w:id="2774"/>
      <w:bookmarkStart w:id="2775" w:name="_Toc47466018"/>
      <w:bookmarkEnd w:id="2775"/>
      <w:bookmarkStart w:id="2776" w:name="_Toc47427179"/>
      <w:bookmarkEnd w:id="2776"/>
      <w:bookmarkStart w:id="2777" w:name="_Toc47427253"/>
      <w:bookmarkEnd w:id="2777"/>
      <w:bookmarkStart w:id="2778" w:name="_Toc44666377"/>
      <w:bookmarkEnd w:id="2778"/>
      <w:bookmarkStart w:id="2779" w:name="_Toc47375582"/>
      <w:bookmarkEnd w:id="2779"/>
      <w:bookmarkStart w:id="2780" w:name="_Toc47427213"/>
      <w:bookmarkEnd w:id="2780"/>
      <w:bookmarkStart w:id="2781" w:name="_Toc47466048"/>
      <w:bookmarkEnd w:id="2781"/>
      <w:bookmarkStart w:id="2782" w:name="_Toc47458448"/>
      <w:bookmarkEnd w:id="2782"/>
      <w:bookmarkStart w:id="2783" w:name="_Toc47427173"/>
      <w:bookmarkEnd w:id="2783"/>
      <w:bookmarkStart w:id="2784" w:name="_Toc47467087"/>
      <w:bookmarkEnd w:id="2784"/>
      <w:bookmarkStart w:id="2785" w:name="_Toc47467073"/>
      <w:bookmarkEnd w:id="2785"/>
      <w:bookmarkStart w:id="2786" w:name="_Toc47427215"/>
      <w:bookmarkEnd w:id="2786"/>
      <w:bookmarkStart w:id="2787" w:name="_Toc47465970"/>
      <w:bookmarkEnd w:id="2787"/>
      <w:bookmarkStart w:id="2788" w:name="_Toc47375533"/>
      <w:bookmarkEnd w:id="2788"/>
      <w:bookmarkStart w:id="2789" w:name="_Toc47427208"/>
      <w:bookmarkEnd w:id="2789"/>
      <w:bookmarkStart w:id="2790" w:name="_Toc47458492"/>
      <w:bookmarkEnd w:id="2790"/>
      <w:bookmarkStart w:id="2791" w:name="_Toc47466023"/>
      <w:bookmarkEnd w:id="2791"/>
      <w:bookmarkStart w:id="2792" w:name="_Toc47427222"/>
      <w:bookmarkEnd w:id="2792"/>
      <w:bookmarkStart w:id="2793" w:name="_Toc47465985"/>
      <w:bookmarkEnd w:id="2793"/>
      <w:bookmarkStart w:id="2794" w:name="_Toc47458496"/>
      <w:bookmarkEnd w:id="2794"/>
      <w:bookmarkStart w:id="2795" w:name="_Toc47458509"/>
      <w:bookmarkEnd w:id="2795"/>
      <w:bookmarkStart w:id="2796" w:name="_Toc47375518"/>
      <w:bookmarkEnd w:id="2796"/>
      <w:bookmarkStart w:id="2797" w:name="_Toc47466006"/>
      <w:bookmarkEnd w:id="2797"/>
      <w:bookmarkStart w:id="2798" w:name="_Toc47458527"/>
      <w:bookmarkEnd w:id="2798"/>
      <w:bookmarkStart w:id="2799" w:name="_Toc47458484"/>
      <w:bookmarkEnd w:id="2799"/>
      <w:bookmarkStart w:id="2800" w:name="_Toc47465986"/>
      <w:bookmarkEnd w:id="2800"/>
      <w:bookmarkStart w:id="2801" w:name="_Toc47467107"/>
      <w:bookmarkEnd w:id="2801"/>
      <w:bookmarkStart w:id="2802" w:name="_Toc47458499"/>
      <w:bookmarkEnd w:id="2802"/>
      <w:bookmarkStart w:id="2803" w:name="_Toc47458504"/>
      <w:bookmarkEnd w:id="2803"/>
      <w:bookmarkStart w:id="2804" w:name="_Toc47466004"/>
      <w:bookmarkEnd w:id="2804"/>
      <w:bookmarkStart w:id="2805" w:name="_Toc47458548"/>
      <w:bookmarkEnd w:id="2805"/>
      <w:bookmarkStart w:id="2806" w:name="_Toc47375490"/>
      <w:bookmarkEnd w:id="2806"/>
      <w:bookmarkStart w:id="2807" w:name="_Toc47465992"/>
      <w:bookmarkEnd w:id="2807"/>
      <w:bookmarkStart w:id="2808" w:name="_Toc44666379"/>
      <w:bookmarkEnd w:id="2808"/>
      <w:bookmarkStart w:id="2809" w:name="_Toc47467161"/>
      <w:bookmarkEnd w:id="2809"/>
      <w:bookmarkStart w:id="2810" w:name="_Toc47467149"/>
      <w:bookmarkEnd w:id="2810"/>
      <w:bookmarkStart w:id="2811" w:name="_Toc47427168"/>
      <w:bookmarkEnd w:id="2811"/>
      <w:bookmarkStart w:id="2812" w:name="_Toc47466000"/>
      <w:bookmarkEnd w:id="2812"/>
      <w:bookmarkStart w:id="2813" w:name="_Toc47427162"/>
      <w:bookmarkEnd w:id="2813"/>
      <w:bookmarkStart w:id="2814" w:name="_Toc47467100"/>
      <w:bookmarkEnd w:id="2814"/>
      <w:bookmarkStart w:id="2815" w:name="_Toc47375547"/>
      <w:bookmarkEnd w:id="2815"/>
      <w:bookmarkStart w:id="2816" w:name="_Toc47458517"/>
      <w:bookmarkEnd w:id="2816"/>
      <w:bookmarkStart w:id="2817" w:name="_Toc47467061"/>
      <w:bookmarkEnd w:id="2817"/>
      <w:bookmarkStart w:id="2818" w:name="_Toc47427209"/>
      <w:bookmarkEnd w:id="2818"/>
      <w:bookmarkStart w:id="2819" w:name="_Toc47375571"/>
      <w:bookmarkEnd w:id="2819"/>
      <w:bookmarkStart w:id="2820" w:name="_Toc47375581"/>
      <w:bookmarkEnd w:id="2820"/>
      <w:bookmarkStart w:id="2821" w:name="_Toc47428445"/>
      <w:bookmarkEnd w:id="2821"/>
      <w:bookmarkStart w:id="2822" w:name="_Toc47465978"/>
      <w:bookmarkEnd w:id="2822"/>
      <w:bookmarkStart w:id="2823" w:name="_Toc47458476"/>
      <w:bookmarkEnd w:id="2823"/>
      <w:bookmarkStart w:id="2824" w:name="_Toc47427185"/>
      <w:bookmarkEnd w:id="2824"/>
      <w:bookmarkStart w:id="2825" w:name="_Toc47428513"/>
      <w:bookmarkEnd w:id="2825"/>
      <w:bookmarkStart w:id="2826" w:name="_Toc47458546"/>
      <w:bookmarkEnd w:id="2826"/>
      <w:bookmarkStart w:id="2827" w:name="_Toc47428507"/>
      <w:bookmarkEnd w:id="2827"/>
      <w:bookmarkStart w:id="2828" w:name="_Toc47375538"/>
      <w:bookmarkEnd w:id="2828"/>
      <w:bookmarkStart w:id="2829" w:name="_Toc47458487"/>
      <w:bookmarkEnd w:id="2829"/>
      <w:bookmarkStart w:id="2830" w:name="_Toc47375498"/>
      <w:bookmarkEnd w:id="2830"/>
      <w:bookmarkStart w:id="2831" w:name="_Toc47458522"/>
      <w:bookmarkEnd w:id="2831"/>
      <w:bookmarkStart w:id="2832" w:name="_Toc47428448"/>
      <w:bookmarkEnd w:id="2832"/>
      <w:bookmarkStart w:id="2833" w:name="_Toc47427224"/>
      <w:bookmarkEnd w:id="2833"/>
      <w:bookmarkStart w:id="2834" w:name="_Toc47467093"/>
      <w:bookmarkEnd w:id="2834"/>
      <w:bookmarkStart w:id="2835" w:name="_Toc47428429"/>
      <w:bookmarkEnd w:id="2835"/>
      <w:bookmarkStart w:id="2836" w:name="_Toc47458505"/>
      <w:bookmarkEnd w:id="2836"/>
      <w:bookmarkStart w:id="2837" w:name="_Toc47375514"/>
      <w:bookmarkEnd w:id="2837"/>
      <w:bookmarkStart w:id="2838" w:name="_Toc47375513"/>
      <w:bookmarkEnd w:id="2838"/>
      <w:bookmarkStart w:id="2839" w:name="_Toc47375562"/>
      <w:bookmarkEnd w:id="2839"/>
      <w:bookmarkStart w:id="2840" w:name="_Toc47428503"/>
      <w:bookmarkEnd w:id="2840"/>
      <w:bookmarkStart w:id="2841" w:name="_Toc47467129"/>
      <w:bookmarkEnd w:id="2841"/>
      <w:bookmarkStart w:id="2842" w:name="_Toc47458479"/>
      <w:bookmarkEnd w:id="2842"/>
      <w:bookmarkStart w:id="2843" w:name="_Toc47458543"/>
      <w:bookmarkEnd w:id="2843"/>
      <w:bookmarkStart w:id="2844" w:name="_Toc47427177"/>
      <w:bookmarkEnd w:id="2844"/>
      <w:bookmarkStart w:id="2845" w:name="_Toc47375491"/>
      <w:bookmarkEnd w:id="2845"/>
      <w:bookmarkStart w:id="2846" w:name="_Toc47466016"/>
      <w:bookmarkEnd w:id="2846"/>
      <w:bookmarkStart w:id="2847" w:name="_Toc47428521"/>
      <w:bookmarkEnd w:id="2847"/>
      <w:bookmarkStart w:id="2848" w:name="_Toc47427218"/>
      <w:bookmarkEnd w:id="2848"/>
      <w:bookmarkStart w:id="2849" w:name="_Toc47428459"/>
      <w:bookmarkEnd w:id="2849"/>
      <w:bookmarkStart w:id="2850" w:name="_Toc47466022"/>
      <w:bookmarkEnd w:id="2850"/>
      <w:bookmarkStart w:id="2851" w:name="_Toc47467150"/>
      <w:bookmarkEnd w:id="2851"/>
      <w:bookmarkStart w:id="2852" w:name="_Toc47467058"/>
      <w:bookmarkEnd w:id="2852"/>
      <w:bookmarkStart w:id="2853" w:name="_Toc47428518"/>
      <w:bookmarkEnd w:id="2853"/>
      <w:bookmarkStart w:id="2854" w:name="_Toc47467089"/>
      <w:bookmarkEnd w:id="2854"/>
      <w:bookmarkStart w:id="2855" w:name="_Toc47427254"/>
      <w:bookmarkEnd w:id="2855"/>
      <w:bookmarkStart w:id="2856" w:name="_Toc47467114"/>
      <w:bookmarkEnd w:id="2856"/>
      <w:bookmarkStart w:id="2857" w:name="_Toc47427205"/>
      <w:bookmarkEnd w:id="2857"/>
      <w:bookmarkStart w:id="2858" w:name="_Toc47428427"/>
      <w:bookmarkEnd w:id="2858"/>
      <w:bookmarkStart w:id="2859" w:name="_Toc47467071"/>
      <w:bookmarkEnd w:id="2859"/>
      <w:bookmarkStart w:id="2860" w:name="_Toc47458472"/>
      <w:bookmarkEnd w:id="2860"/>
      <w:bookmarkStart w:id="2861" w:name="_Toc47458489"/>
      <w:bookmarkEnd w:id="2861"/>
      <w:bookmarkStart w:id="2862" w:name="_Toc47427192"/>
      <w:bookmarkEnd w:id="2862"/>
      <w:bookmarkStart w:id="2863" w:name="_Toc47375569"/>
      <w:bookmarkEnd w:id="2863"/>
      <w:bookmarkStart w:id="2864" w:name="_Toc47427228"/>
      <w:bookmarkEnd w:id="2864"/>
      <w:bookmarkStart w:id="2865" w:name="_Toc47375576"/>
      <w:bookmarkEnd w:id="2865"/>
      <w:bookmarkStart w:id="2866" w:name="_Toc47466020"/>
      <w:bookmarkEnd w:id="2866"/>
      <w:bookmarkStart w:id="2867" w:name="_Toc47427182"/>
      <w:bookmarkEnd w:id="2867"/>
      <w:bookmarkStart w:id="2868" w:name="_Toc47427214"/>
      <w:bookmarkEnd w:id="2868"/>
      <w:bookmarkStart w:id="2869" w:name="_Toc47465999"/>
      <w:bookmarkEnd w:id="2869"/>
      <w:bookmarkStart w:id="2870" w:name="_Toc47428508"/>
      <w:bookmarkEnd w:id="2870"/>
      <w:bookmarkStart w:id="2871" w:name="_Toc47466045"/>
      <w:bookmarkEnd w:id="2871"/>
      <w:bookmarkStart w:id="2872" w:name="_Toc47427232"/>
      <w:bookmarkEnd w:id="2872"/>
      <w:bookmarkStart w:id="2873" w:name="_Toc47428457"/>
      <w:bookmarkEnd w:id="2873"/>
      <w:bookmarkStart w:id="2874" w:name="_Toc47375544"/>
      <w:bookmarkEnd w:id="2874"/>
      <w:bookmarkStart w:id="2875" w:name="_Toc47427217"/>
      <w:bookmarkEnd w:id="2875"/>
      <w:bookmarkStart w:id="2876" w:name="_Toc47466039"/>
      <w:bookmarkEnd w:id="2876"/>
      <w:bookmarkStart w:id="2877" w:name="_Toc47427261"/>
      <w:bookmarkEnd w:id="2877"/>
      <w:bookmarkStart w:id="2878" w:name="_Toc47428529"/>
      <w:bookmarkEnd w:id="2878"/>
      <w:bookmarkStart w:id="2879" w:name="_Toc47466015"/>
      <w:bookmarkEnd w:id="2879"/>
      <w:bookmarkStart w:id="2880" w:name="_Toc47467116"/>
      <w:bookmarkEnd w:id="2880"/>
      <w:bookmarkStart w:id="2881" w:name="_Toc47428482"/>
      <w:bookmarkEnd w:id="2881"/>
      <w:bookmarkStart w:id="2882" w:name="_Toc47458453"/>
      <w:bookmarkEnd w:id="2882"/>
      <w:bookmarkStart w:id="2883" w:name="_Toc47427247"/>
      <w:bookmarkEnd w:id="2883"/>
      <w:bookmarkStart w:id="2884" w:name="_Toc47428424"/>
      <w:bookmarkEnd w:id="2884"/>
      <w:bookmarkStart w:id="2885" w:name="_Toc47427197"/>
      <w:bookmarkEnd w:id="2885"/>
      <w:bookmarkStart w:id="2886" w:name="_Toc47465977"/>
      <w:bookmarkEnd w:id="2886"/>
      <w:bookmarkStart w:id="2887" w:name="_Toc47375508"/>
      <w:bookmarkEnd w:id="2887"/>
      <w:bookmarkStart w:id="2888" w:name="_Toc47466008"/>
      <w:bookmarkEnd w:id="2888"/>
      <w:bookmarkStart w:id="2889" w:name="_Toc47427240"/>
      <w:bookmarkEnd w:id="2889"/>
      <w:bookmarkStart w:id="2890" w:name="_Toc47458536"/>
      <w:bookmarkEnd w:id="2890"/>
      <w:bookmarkStart w:id="2891" w:name="_Toc47467133"/>
      <w:bookmarkEnd w:id="2891"/>
      <w:bookmarkStart w:id="2892" w:name="_Toc47427234"/>
      <w:bookmarkEnd w:id="2892"/>
      <w:bookmarkStart w:id="2893" w:name="_Toc47375598"/>
      <w:bookmarkEnd w:id="2893"/>
      <w:bookmarkStart w:id="2894" w:name="_Toc47375534"/>
      <w:bookmarkEnd w:id="2894"/>
      <w:bookmarkStart w:id="2895" w:name="_Toc47428438"/>
      <w:bookmarkEnd w:id="2895"/>
      <w:bookmarkStart w:id="2896" w:name="_Toc47428473"/>
      <w:bookmarkEnd w:id="2896"/>
      <w:bookmarkStart w:id="2897" w:name="_Toc47458540"/>
      <w:bookmarkEnd w:id="2897"/>
      <w:bookmarkStart w:id="2898" w:name="_Toc47458477"/>
      <w:bookmarkEnd w:id="2898"/>
      <w:bookmarkStart w:id="2899" w:name="_Toc47427221"/>
      <w:bookmarkEnd w:id="2899"/>
      <w:bookmarkStart w:id="2900" w:name="_Toc47427174"/>
      <w:bookmarkEnd w:id="2900"/>
      <w:bookmarkStart w:id="2901" w:name="_Toc47466028"/>
      <w:bookmarkEnd w:id="2901"/>
      <w:bookmarkStart w:id="2902" w:name="_Toc47458490"/>
      <w:bookmarkEnd w:id="2902"/>
      <w:bookmarkStart w:id="2903" w:name="_Toc47428533"/>
      <w:bookmarkEnd w:id="2903"/>
      <w:bookmarkStart w:id="2904" w:name="_Toc47458446"/>
      <w:bookmarkEnd w:id="2904"/>
      <w:bookmarkStart w:id="2905" w:name="_Toc47465998"/>
      <w:bookmarkEnd w:id="2905"/>
      <w:bookmarkStart w:id="2906" w:name="_Toc47428517"/>
      <w:bookmarkEnd w:id="2906"/>
      <w:bookmarkStart w:id="2907" w:name="_Toc47428441"/>
      <w:bookmarkEnd w:id="2907"/>
      <w:bookmarkStart w:id="2908" w:name="_Toc47458528"/>
      <w:bookmarkEnd w:id="2908"/>
      <w:bookmarkStart w:id="2909" w:name="_Toc47467113"/>
      <w:bookmarkEnd w:id="2909"/>
      <w:bookmarkStart w:id="2910" w:name="_Toc47458494"/>
      <w:bookmarkEnd w:id="2910"/>
      <w:bookmarkStart w:id="2911" w:name="_Toc47465979"/>
      <w:bookmarkEnd w:id="2911"/>
      <w:bookmarkStart w:id="2912" w:name="_Toc47458539"/>
      <w:bookmarkEnd w:id="2912"/>
      <w:bookmarkStart w:id="2913" w:name="_Toc47467146"/>
      <w:bookmarkEnd w:id="2913"/>
      <w:bookmarkStart w:id="2914" w:name="_Toc47465943"/>
      <w:bookmarkEnd w:id="2914"/>
      <w:bookmarkStart w:id="2915" w:name="_Toc47465972"/>
      <w:bookmarkEnd w:id="2915"/>
      <w:bookmarkStart w:id="2916" w:name="_Toc47428525"/>
      <w:bookmarkEnd w:id="2916"/>
      <w:bookmarkStart w:id="2917" w:name="_Toc47467097"/>
      <w:bookmarkEnd w:id="2917"/>
      <w:bookmarkStart w:id="2918" w:name="_Toc47465941"/>
      <w:bookmarkEnd w:id="2918"/>
      <w:bookmarkStart w:id="2919" w:name="_Toc47467062"/>
      <w:bookmarkEnd w:id="2919"/>
      <w:bookmarkStart w:id="2920" w:name="_Toc47458513"/>
      <w:bookmarkEnd w:id="2920"/>
      <w:bookmarkStart w:id="2921" w:name="_Toc47458530"/>
      <w:bookmarkEnd w:id="2921"/>
      <w:bookmarkStart w:id="2922" w:name="_Toc47428435"/>
      <w:bookmarkEnd w:id="2922"/>
      <w:bookmarkStart w:id="2923" w:name="_Toc47427158"/>
      <w:bookmarkEnd w:id="2923"/>
      <w:bookmarkStart w:id="2924" w:name="_Toc47465951"/>
      <w:bookmarkEnd w:id="2924"/>
      <w:bookmarkStart w:id="2925" w:name="_Toc47428433"/>
      <w:bookmarkEnd w:id="2925"/>
      <w:bookmarkStart w:id="2926" w:name="_Toc47467137"/>
      <w:bookmarkEnd w:id="2926"/>
      <w:bookmarkStart w:id="2927" w:name="_Toc47427200"/>
      <w:bookmarkEnd w:id="2927"/>
      <w:bookmarkStart w:id="2928" w:name="_Toc47467130"/>
      <w:bookmarkEnd w:id="2928"/>
      <w:bookmarkStart w:id="2929" w:name="_Toc47375495"/>
      <w:bookmarkEnd w:id="2929"/>
      <w:bookmarkStart w:id="2930" w:name="_Toc47466042"/>
      <w:bookmarkEnd w:id="2930"/>
      <w:bookmarkStart w:id="2931" w:name="_Toc47427238"/>
      <w:bookmarkEnd w:id="2931"/>
      <w:bookmarkStart w:id="2932" w:name="_Toc47466024"/>
      <w:bookmarkEnd w:id="2932"/>
      <w:bookmarkStart w:id="2933" w:name="_Toc47375535"/>
      <w:bookmarkEnd w:id="2933"/>
      <w:bookmarkStart w:id="2934" w:name="_Toc47467065"/>
      <w:bookmarkEnd w:id="2934"/>
      <w:bookmarkStart w:id="2935" w:name="_Toc47467104"/>
      <w:bookmarkEnd w:id="2935"/>
      <w:bookmarkStart w:id="2936" w:name="_Toc47467059"/>
      <w:bookmarkEnd w:id="2936"/>
      <w:bookmarkStart w:id="2937" w:name="_Toc47375512"/>
      <w:bookmarkEnd w:id="2937"/>
      <w:bookmarkStart w:id="2938" w:name="_Toc47375525"/>
      <w:bookmarkEnd w:id="2938"/>
      <w:bookmarkStart w:id="2939" w:name="_Toc47467145"/>
      <w:bookmarkEnd w:id="2939"/>
      <w:bookmarkStart w:id="2940" w:name="_Toc47467140"/>
      <w:bookmarkEnd w:id="2940"/>
      <w:bookmarkStart w:id="2941" w:name="_Toc47375524"/>
      <w:bookmarkEnd w:id="2941"/>
      <w:bookmarkStart w:id="2942" w:name="_Toc47465957"/>
      <w:bookmarkEnd w:id="2942"/>
      <w:bookmarkStart w:id="2943" w:name="_Toc47427250"/>
      <w:bookmarkEnd w:id="2943"/>
      <w:bookmarkStart w:id="2944" w:name="_Toc47467123"/>
      <w:bookmarkEnd w:id="2944"/>
      <w:bookmarkStart w:id="2945" w:name="_Toc47465994"/>
      <w:bookmarkEnd w:id="2945"/>
      <w:bookmarkStart w:id="2946" w:name="_Toc47458447"/>
      <w:bookmarkEnd w:id="2946"/>
      <w:bookmarkStart w:id="2947" w:name="_Toc47467054"/>
      <w:bookmarkEnd w:id="2947"/>
      <w:bookmarkStart w:id="2948" w:name="_Toc47375589"/>
      <w:bookmarkEnd w:id="2948"/>
      <w:bookmarkStart w:id="2949" w:name="_Toc47428494"/>
      <w:bookmarkEnd w:id="2949"/>
      <w:bookmarkStart w:id="2950" w:name="_Toc47467156"/>
      <w:bookmarkEnd w:id="2950"/>
      <w:bookmarkStart w:id="2951" w:name="_Toc47375584"/>
      <w:bookmarkEnd w:id="2951"/>
      <w:bookmarkStart w:id="2952" w:name="_Toc47427198"/>
      <w:bookmarkEnd w:id="2952"/>
      <w:bookmarkStart w:id="2953" w:name="_Toc47428466"/>
      <w:bookmarkEnd w:id="2953"/>
      <w:bookmarkStart w:id="2954" w:name="_Toc47375595"/>
      <w:bookmarkEnd w:id="2954"/>
      <w:bookmarkStart w:id="2955" w:name="_Toc47427246"/>
      <w:bookmarkEnd w:id="2955"/>
      <w:bookmarkStart w:id="2956" w:name="_Toc47467090"/>
      <w:bookmarkEnd w:id="2956"/>
      <w:bookmarkStart w:id="2957" w:name="_Toc47465960"/>
      <w:bookmarkEnd w:id="2957"/>
      <w:bookmarkStart w:id="2958" w:name="_Toc47427255"/>
      <w:bookmarkEnd w:id="2958"/>
      <w:bookmarkStart w:id="2959" w:name="_Toc47428463"/>
      <w:bookmarkEnd w:id="2959"/>
      <w:bookmarkStart w:id="2960" w:name="_Toc47458521"/>
      <w:bookmarkEnd w:id="2960"/>
      <w:bookmarkStart w:id="2961" w:name="_Toc47375573"/>
      <w:bookmarkEnd w:id="2961"/>
      <w:bookmarkStart w:id="2962" w:name="_Toc47465962"/>
      <w:bookmarkEnd w:id="2962"/>
      <w:bookmarkStart w:id="2963" w:name="_Toc47465982"/>
      <w:bookmarkEnd w:id="2963"/>
      <w:bookmarkStart w:id="2964" w:name="_Toc47465980"/>
      <w:bookmarkEnd w:id="2964"/>
      <w:bookmarkStart w:id="2965" w:name="_Toc47458510"/>
      <w:bookmarkEnd w:id="2965"/>
      <w:bookmarkStart w:id="2966" w:name="_Toc47375503"/>
      <w:bookmarkEnd w:id="2966"/>
      <w:bookmarkStart w:id="2967" w:name="_Toc47375548"/>
      <w:bookmarkEnd w:id="2967"/>
      <w:bookmarkStart w:id="2968" w:name="_Toc47458482"/>
      <w:bookmarkEnd w:id="2968"/>
      <w:bookmarkStart w:id="2969" w:name="_Toc47428492"/>
      <w:bookmarkEnd w:id="2969"/>
      <w:bookmarkStart w:id="2970" w:name="_Toc47467082"/>
      <w:bookmarkEnd w:id="2970"/>
      <w:bookmarkStart w:id="2971" w:name="_Toc47375597"/>
      <w:bookmarkEnd w:id="2971"/>
      <w:bookmarkStart w:id="2972" w:name="_Toc47467147"/>
      <w:bookmarkEnd w:id="2972"/>
      <w:bookmarkStart w:id="2973" w:name="_Toc47427233"/>
      <w:bookmarkEnd w:id="2973"/>
      <w:bookmarkStart w:id="2974" w:name="_Toc47375529"/>
      <w:bookmarkEnd w:id="2974"/>
      <w:bookmarkStart w:id="2975" w:name="_Toc47467122"/>
      <w:bookmarkEnd w:id="2975"/>
      <w:bookmarkStart w:id="2976" w:name="_Toc47427235"/>
      <w:bookmarkEnd w:id="2976"/>
      <w:bookmarkStart w:id="2977" w:name="_Toc47458451"/>
      <w:bookmarkEnd w:id="2977"/>
      <w:bookmarkStart w:id="2978" w:name="_Toc47466032"/>
      <w:bookmarkEnd w:id="2978"/>
      <w:bookmarkStart w:id="2979" w:name="_Toc47465969"/>
      <w:bookmarkEnd w:id="2979"/>
      <w:bookmarkStart w:id="2980" w:name="_Toc47428439"/>
      <w:bookmarkEnd w:id="2980"/>
      <w:bookmarkStart w:id="2981" w:name="_Toc47458445"/>
      <w:bookmarkEnd w:id="2981"/>
      <w:bookmarkStart w:id="2982" w:name="_Toc47427268"/>
      <w:bookmarkEnd w:id="2982"/>
      <w:bookmarkStart w:id="2983" w:name="_Toc47458518"/>
      <w:bookmarkEnd w:id="2983"/>
      <w:bookmarkStart w:id="2984" w:name="_Toc47465949"/>
      <w:bookmarkEnd w:id="2984"/>
      <w:bookmarkStart w:id="2985" w:name="_Toc47427172"/>
      <w:bookmarkEnd w:id="2985"/>
      <w:bookmarkStart w:id="2986" w:name="_Toc47458542"/>
      <w:bookmarkEnd w:id="2986"/>
      <w:bookmarkStart w:id="2987" w:name="_Toc47467069"/>
      <w:bookmarkEnd w:id="2987"/>
      <w:bookmarkStart w:id="2988" w:name="_Toc47375520"/>
      <w:bookmarkEnd w:id="2988"/>
      <w:bookmarkStart w:id="2989" w:name="_Toc47375557"/>
      <w:bookmarkEnd w:id="2989"/>
      <w:bookmarkStart w:id="2990" w:name="_Toc47428534"/>
      <w:bookmarkEnd w:id="2990"/>
      <w:bookmarkStart w:id="2991" w:name="_Toc47466050"/>
      <w:bookmarkEnd w:id="2991"/>
      <w:bookmarkStart w:id="2992" w:name="_Toc47458554"/>
      <w:bookmarkEnd w:id="2992"/>
      <w:bookmarkStart w:id="2993" w:name="_Toc47428477"/>
      <w:bookmarkEnd w:id="2993"/>
      <w:bookmarkStart w:id="2994" w:name="_Toc47465954"/>
      <w:bookmarkEnd w:id="2994"/>
      <w:bookmarkStart w:id="2995" w:name="_Toc47467151"/>
      <w:bookmarkEnd w:id="2995"/>
      <w:bookmarkStart w:id="2996" w:name="_Toc47458450"/>
      <w:bookmarkEnd w:id="2996"/>
      <w:bookmarkStart w:id="2997" w:name="_Toc47428452"/>
      <w:bookmarkEnd w:id="2997"/>
      <w:bookmarkStart w:id="2998" w:name="_Toc47467128"/>
      <w:bookmarkEnd w:id="2998"/>
      <w:bookmarkStart w:id="2999" w:name="_Toc47427160"/>
      <w:bookmarkEnd w:id="2999"/>
      <w:bookmarkStart w:id="3000" w:name="_Toc47466029"/>
      <w:bookmarkEnd w:id="3000"/>
      <w:bookmarkStart w:id="3001" w:name="_Toc47427245"/>
      <w:bookmarkEnd w:id="3001"/>
      <w:bookmarkStart w:id="3002" w:name="_Toc47458471"/>
      <w:bookmarkEnd w:id="3002"/>
      <w:bookmarkStart w:id="3003" w:name="_Toc47427249"/>
      <w:bookmarkEnd w:id="3003"/>
      <w:bookmarkStart w:id="3004" w:name="_Toc47375517"/>
      <w:bookmarkEnd w:id="3004"/>
      <w:bookmarkStart w:id="3005" w:name="_Toc47458526"/>
      <w:bookmarkEnd w:id="3005"/>
      <w:bookmarkStart w:id="3006" w:name="_Toc47458449"/>
      <w:bookmarkEnd w:id="3006"/>
      <w:bookmarkStart w:id="3007" w:name="_Toc47465939"/>
      <w:bookmarkEnd w:id="3007"/>
      <w:bookmarkStart w:id="3008" w:name="_Toc47458444"/>
      <w:bookmarkEnd w:id="3008"/>
      <w:bookmarkStart w:id="3009" w:name="_Toc47428443"/>
      <w:bookmarkEnd w:id="3009"/>
      <w:bookmarkStart w:id="3010" w:name="_Toc47427260"/>
      <w:bookmarkEnd w:id="3010"/>
      <w:bookmarkStart w:id="3011" w:name="_Toc47458516"/>
      <w:bookmarkEnd w:id="3011"/>
      <w:bookmarkStart w:id="3012" w:name="_Toc47427161"/>
      <w:bookmarkEnd w:id="3012"/>
      <w:bookmarkStart w:id="3013" w:name="_Toc47467127"/>
      <w:bookmarkEnd w:id="3013"/>
      <w:bookmarkStart w:id="3014" w:name="_Toc47465993"/>
      <w:bookmarkEnd w:id="3014"/>
      <w:bookmarkStart w:id="3015" w:name="_Toc47428527"/>
      <w:bookmarkEnd w:id="3015"/>
      <w:bookmarkStart w:id="3016" w:name="_Toc47375551"/>
      <w:bookmarkEnd w:id="3016"/>
      <w:bookmarkStart w:id="3017" w:name="_Toc47427210"/>
      <w:bookmarkEnd w:id="3017"/>
      <w:bookmarkStart w:id="3018" w:name="_Toc47466019"/>
      <w:bookmarkEnd w:id="3018"/>
      <w:bookmarkStart w:id="3019" w:name="_Toc47458470"/>
      <w:bookmarkEnd w:id="3019"/>
      <w:bookmarkStart w:id="3020" w:name="_Toc47458461"/>
      <w:bookmarkEnd w:id="3020"/>
      <w:bookmarkStart w:id="3021" w:name="_Toc47466033"/>
      <w:bookmarkEnd w:id="3021"/>
      <w:bookmarkStart w:id="3022" w:name="_Toc47375502"/>
      <w:bookmarkEnd w:id="3022"/>
      <w:bookmarkStart w:id="3023" w:name="_Toc47466037"/>
      <w:bookmarkEnd w:id="3023"/>
      <w:bookmarkStart w:id="3024" w:name="_Toc47467134"/>
      <w:bookmarkEnd w:id="3024"/>
      <w:bookmarkStart w:id="3025" w:name="_Toc47375574"/>
      <w:bookmarkEnd w:id="3025"/>
      <w:bookmarkStart w:id="3026" w:name="_Toc47458474"/>
      <w:bookmarkEnd w:id="3026"/>
      <w:bookmarkStart w:id="3027" w:name="_Toc47427184"/>
      <w:bookmarkEnd w:id="3027"/>
      <w:bookmarkStart w:id="3028" w:name="_Toc47467094"/>
      <w:bookmarkEnd w:id="3028"/>
      <w:bookmarkStart w:id="3029" w:name="_Toc47428495"/>
      <w:bookmarkEnd w:id="3029"/>
      <w:bookmarkStart w:id="3030" w:name="_Toc47375519"/>
      <w:bookmarkEnd w:id="3030"/>
      <w:bookmarkStart w:id="3031" w:name="_Toc47428479"/>
      <w:bookmarkEnd w:id="3031"/>
      <w:bookmarkStart w:id="3032" w:name="_Toc47458460"/>
      <w:bookmarkEnd w:id="3032"/>
      <w:bookmarkStart w:id="3033" w:name="_Toc47428523"/>
      <w:bookmarkEnd w:id="3033"/>
      <w:bookmarkStart w:id="3034" w:name="_Toc47375489"/>
      <w:bookmarkEnd w:id="3034"/>
      <w:bookmarkStart w:id="3035" w:name="_Toc47465987"/>
      <w:bookmarkEnd w:id="3035"/>
      <w:bookmarkStart w:id="3036" w:name="_Toc47458491"/>
      <w:bookmarkEnd w:id="3036"/>
      <w:bookmarkStart w:id="3037" w:name="_Toc47467119"/>
      <w:bookmarkEnd w:id="3037"/>
      <w:bookmarkStart w:id="3038" w:name="_Toc47466017"/>
      <w:bookmarkEnd w:id="3038"/>
      <w:bookmarkStart w:id="3039" w:name="_Toc47375521"/>
      <w:bookmarkEnd w:id="3039"/>
      <w:bookmarkStart w:id="3040" w:name="_Toc47467152"/>
      <w:bookmarkEnd w:id="3040"/>
      <w:bookmarkStart w:id="3041" w:name="_Toc47375542"/>
      <w:bookmarkEnd w:id="3041"/>
      <w:bookmarkStart w:id="3042" w:name="_Toc47428476"/>
      <w:bookmarkEnd w:id="3042"/>
      <w:bookmarkStart w:id="3043" w:name="_Toc47458507"/>
      <w:bookmarkEnd w:id="3043"/>
      <w:bookmarkStart w:id="3044" w:name="_Toc47467110"/>
      <w:bookmarkEnd w:id="3044"/>
      <w:bookmarkStart w:id="3045" w:name="_Toc47375543"/>
      <w:bookmarkEnd w:id="3045"/>
      <w:bookmarkStart w:id="3046" w:name="_Toc47375501"/>
      <w:bookmarkEnd w:id="3046"/>
      <w:bookmarkStart w:id="3047" w:name="_Toc47375591"/>
      <w:bookmarkEnd w:id="3047"/>
      <w:bookmarkStart w:id="3048" w:name="_Toc44666418"/>
      <w:bookmarkEnd w:id="3048"/>
      <w:bookmarkStart w:id="3049" w:name="_Toc44661492"/>
      <w:bookmarkEnd w:id="3049"/>
      <w:bookmarkStart w:id="3050" w:name="_Toc47428444"/>
      <w:bookmarkEnd w:id="3050"/>
      <w:bookmarkStart w:id="3051" w:name="_Toc47458455"/>
      <w:bookmarkEnd w:id="3051"/>
      <w:bookmarkStart w:id="3052" w:name="_Toc47427190"/>
      <w:bookmarkEnd w:id="3052"/>
      <w:bookmarkStart w:id="3053" w:name="_Toc47428428"/>
      <w:bookmarkEnd w:id="3053"/>
      <w:bookmarkStart w:id="3054" w:name="_Toc47427236"/>
      <w:bookmarkEnd w:id="3054"/>
      <w:bookmarkStart w:id="3055" w:name="_Toc47466012"/>
      <w:bookmarkEnd w:id="3055"/>
      <w:bookmarkStart w:id="3056" w:name="_Toc47427206"/>
      <w:bookmarkEnd w:id="3056"/>
      <w:bookmarkStart w:id="3057" w:name="_Toc47467121"/>
      <w:bookmarkEnd w:id="3057"/>
      <w:bookmarkStart w:id="3058" w:name="_Toc47375561"/>
      <w:bookmarkEnd w:id="3058"/>
      <w:bookmarkStart w:id="3059" w:name="_Toc47428510"/>
      <w:bookmarkEnd w:id="3059"/>
      <w:bookmarkStart w:id="3060" w:name="_Toc47428502"/>
      <w:bookmarkEnd w:id="3060"/>
      <w:bookmarkStart w:id="3061" w:name="_Toc47467088"/>
      <w:bookmarkEnd w:id="3061"/>
      <w:bookmarkStart w:id="3062" w:name="_Toc47467131"/>
      <w:bookmarkEnd w:id="3062"/>
      <w:bookmarkStart w:id="3063" w:name="_Toc47458515"/>
      <w:bookmarkEnd w:id="3063"/>
      <w:bookmarkStart w:id="3064" w:name="_Toc47458483"/>
      <w:bookmarkEnd w:id="3064"/>
      <w:bookmarkStart w:id="3065" w:name="_Toc47375555"/>
      <w:bookmarkEnd w:id="3065"/>
      <w:bookmarkStart w:id="3066" w:name="_Toc47428535"/>
      <w:bookmarkEnd w:id="3066"/>
      <w:bookmarkStart w:id="3067" w:name="_Toc47458493"/>
      <w:bookmarkEnd w:id="3067"/>
      <w:bookmarkStart w:id="3068" w:name="_Toc47467155"/>
      <w:bookmarkEnd w:id="3068"/>
      <w:bookmarkStart w:id="3069" w:name="_Toc47428461"/>
      <w:bookmarkEnd w:id="3069"/>
      <w:bookmarkStart w:id="3070" w:name="_Toc47428511"/>
      <w:bookmarkEnd w:id="3070"/>
      <w:bookmarkStart w:id="3071" w:name="_Toc47467158"/>
      <w:bookmarkEnd w:id="3071"/>
      <w:bookmarkStart w:id="3072" w:name="_Toc47427176"/>
      <w:bookmarkEnd w:id="3072"/>
      <w:bookmarkStart w:id="3073" w:name="_Toc47375567"/>
      <w:bookmarkEnd w:id="3073"/>
      <w:bookmarkStart w:id="3074" w:name="_Toc47427223"/>
      <w:bookmarkEnd w:id="3074"/>
      <w:bookmarkStart w:id="3075" w:name="_Toc47466026"/>
      <w:bookmarkEnd w:id="3075"/>
      <w:bookmarkStart w:id="3076" w:name="_Toc47427171"/>
      <w:bookmarkEnd w:id="3076"/>
      <w:bookmarkStart w:id="3077" w:name="_Toc47428474"/>
      <w:bookmarkEnd w:id="3077"/>
      <w:bookmarkStart w:id="3078" w:name="_Toc47428436"/>
      <w:bookmarkEnd w:id="3078"/>
      <w:bookmarkStart w:id="3079" w:name="_Toc47458467"/>
      <w:bookmarkEnd w:id="3079"/>
      <w:bookmarkStart w:id="3080" w:name="_Toc47458481"/>
      <w:bookmarkEnd w:id="3080"/>
      <w:bookmarkStart w:id="3081" w:name="_Toc47375506"/>
      <w:bookmarkEnd w:id="3081"/>
      <w:bookmarkStart w:id="3082" w:name="_Toc47427201"/>
      <w:bookmarkEnd w:id="3082"/>
      <w:bookmarkStart w:id="3083" w:name="_Toc47428469"/>
      <w:bookmarkEnd w:id="3083"/>
      <w:bookmarkStart w:id="3084" w:name="_Toc47428426"/>
      <w:bookmarkEnd w:id="3084"/>
      <w:bookmarkStart w:id="3085" w:name="_Toc47375558"/>
      <w:bookmarkEnd w:id="3085"/>
      <w:bookmarkStart w:id="3086" w:name="_Toc47375586"/>
      <w:bookmarkEnd w:id="3086"/>
      <w:bookmarkStart w:id="3087" w:name="_Toc47375540"/>
      <w:bookmarkEnd w:id="3087"/>
      <w:bookmarkStart w:id="3088" w:name="_Toc47375537"/>
      <w:bookmarkEnd w:id="3088"/>
      <w:bookmarkStart w:id="3089" w:name="_Toc47375587"/>
      <w:bookmarkEnd w:id="3089"/>
      <w:bookmarkStart w:id="3090" w:name="_Toc47467118"/>
      <w:bookmarkEnd w:id="3090"/>
      <w:bookmarkStart w:id="3091" w:name="_Toc47428447"/>
      <w:bookmarkEnd w:id="3091"/>
      <w:bookmarkStart w:id="3092" w:name="_Toc47427212"/>
      <w:bookmarkEnd w:id="3092"/>
      <w:bookmarkStart w:id="3093" w:name="_Toc47458480"/>
      <w:bookmarkEnd w:id="3093"/>
      <w:bookmarkStart w:id="3094" w:name="_Toc47428478"/>
      <w:bookmarkEnd w:id="3094"/>
      <w:bookmarkStart w:id="3095" w:name="_Toc47465997"/>
      <w:bookmarkEnd w:id="3095"/>
      <w:bookmarkStart w:id="3096" w:name="_Toc47428454"/>
      <w:bookmarkEnd w:id="3096"/>
      <w:bookmarkStart w:id="3097" w:name="_Toc47458545"/>
      <w:bookmarkEnd w:id="3097"/>
      <w:bookmarkStart w:id="3098" w:name="_Toc47375545"/>
      <w:bookmarkEnd w:id="3098"/>
      <w:bookmarkStart w:id="3099" w:name="_Toc47467115"/>
      <w:bookmarkEnd w:id="3099"/>
      <w:bookmarkStart w:id="3100" w:name="_Toc47427164"/>
      <w:bookmarkEnd w:id="3100"/>
      <w:bookmarkStart w:id="3101" w:name="_Toc47428460"/>
      <w:bookmarkEnd w:id="3101"/>
      <w:bookmarkStart w:id="3102" w:name="_Toc47427165"/>
      <w:bookmarkEnd w:id="3102"/>
      <w:bookmarkStart w:id="3103" w:name="_Toc47466030"/>
      <w:bookmarkEnd w:id="3103"/>
      <w:bookmarkStart w:id="3104" w:name="_Toc47465971"/>
      <w:bookmarkEnd w:id="3104"/>
      <w:bookmarkStart w:id="3105" w:name="_Toc47467060"/>
      <w:bookmarkEnd w:id="3105"/>
      <w:bookmarkStart w:id="3106" w:name="_Toc47458468"/>
      <w:bookmarkEnd w:id="3106"/>
      <w:bookmarkStart w:id="3107" w:name="_Toc47466031"/>
      <w:bookmarkEnd w:id="3107"/>
      <w:bookmarkStart w:id="3108" w:name="_Toc47375552"/>
      <w:bookmarkEnd w:id="3108"/>
      <w:bookmarkStart w:id="3109" w:name="_Toc47375568"/>
      <w:bookmarkEnd w:id="3109"/>
      <w:bookmarkStart w:id="3110" w:name="_Toc44666416"/>
      <w:bookmarkEnd w:id="3110"/>
      <w:bookmarkStart w:id="3111" w:name="_Toc47375564"/>
      <w:bookmarkEnd w:id="3111"/>
      <w:bookmarkStart w:id="3112" w:name="_Toc47428456"/>
      <w:bookmarkEnd w:id="3112"/>
      <w:bookmarkStart w:id="3113" w:name="_Toc47428475"/>
      <w:bookmarkEnd w:id="3113"/>
      <w:bookmarkStart w:id="3114" w:name="_Toc47427196"/>
      <w:bookmarkEnd w:id="3114"/>
      <w:bookmarkStart w:id="3115" w:name="_Toc47375528"/>
      <w:bookmarkEnd w:id="3115"/>
      <w:bookmarkStart w:id="3116" w:name="_Toc47467078"/>
      <w:bookmarkEnd w:id="3116"/>
      <w:bookmarkStart w:id="3117" w:name="_Toc47467099"/>
      <w:bookmarkEnd w:id="3117"/>
      <w:bookmarkStart w:id="3118" w:name="_Toc47427229"/>
      <w:bookmarkEnd w:id="3118"/>
      <w:bookmarkStart w:id="3119" w:name="_Toc47428500"/>
      <w:bookmarkEnd w:id="3119"/>
      <w:bookmarkStart w:id="3120" w:name="_Toc47465991"/>
      <w:bookmarkEnd w:id="3120"/>
      <w:bookmarkStart w:id="3121" w:name="_Toc47467070"/>
      <w:bookmarkEnd w:id="3121"/>
      <w:bookmarkStart w:id="3122" w:name="_Toc47427241"/>
      <w:bookmarkEnd w:id="3122"/>
      <w:bookmarkStart w:id="3123" w:name="_Toc47458495"/>
      <w:bookmarkEnd w:id="3123"/>
      <w:bookmarkStart w:id="3124" w:name="_Toc47428505"/>
      <w:bookmarkEnd w:id="3124"/>
      <w:bookmarkStart w:id="3125" w:name="_Toc47428497"/>
      <w:bookmarkEnd w:id="3125"/>
      <w:bookmarkStart w:id="3126" w:name="_Toc47427180"/>
      <w:bookmarkEnd w:id="3126"/>
      <w:bookmarkStart w:id="3127" w:name="_Toc47465965"/>
      <w:bookmarkEnd w:id="3127"/>
      <w:bookmarkStart w:id="3128" w:name="_Toc47375566"/>
      <w:bookmarkEnd w:id="3128"/>
      <w:bookmarkStart w:id="3129" w:name="_Toc47467112"/>
      <w:bookmarkEnd w:id="3129"/>
      <w:bookmarkStart w:id="3130" w:name="_Toc47428437"/>
      <w:bookmarkEnd w:id="3130"/>
      <w:bookmarkStart w:id="3131" w:name="_Toc47467138"/>
      <w:bookmarkEnd w:id="3131"/>
      <w:bookmarkStart w:id="3132" w:name="_Toc47375559"/>
      <w:bookmarkEnd w:id="3132"/>
      <w:bookmarkStart w:id="3133" w:name="_Toc47466005"/>
      <w:bookmarkEnd w:id="3133"/>
      <w:bookmarkStart w:id="3134" w:name="_Toc47458443"/>
      <w:bookmarkEnd w:id="3134"/>
      <w:bookmarkStart w:id="3135" w:name="_Toc47427242"/>
      <w:bookmarkEnd w:id="3135"/>
      <w:bookmarkStart w:id="3136" w:name="_Toc47428472"/>
      <w:bookmarkEnd w:id="3136"/>
      <w:bookmarkStart w:id="3137" w:name="_Toc47428514"/>
      <w:bookmarkEnd w:id="3137"/>
      <w:bookmarkStart w:id="3138" w:name="_Toc47375516"/>
      <w:bookmarkEnd w:id="3138"/>
      <w:bookmarkStart w:id="3139" w:name="_Toc47458519"/>
      <w:bookmarkEnd w:id="3139"/>
      <w:bookmarkStart w:id="3140" w:name="_Toc47428487"/>
      <w:bookmarkEnd w:id="3140"/>
      <w:bookmarkStart w:id="3141" w:name="_Toc47465981"/>
      <w:bookmarkEnd w:id="3141"/>
      <w:bookmarkStart w:id="3142" w:name="_Toc47458552"/>
      <w:bookmarkEnd w:id="3142"/>
      <w:bookmarkStart w:id="3143" w:name="_Toc47467091"/>
      <w:bookmarkEnd w:id="3143"/>
      <w:bookmarkStart w:id="3144" w:name="_Toc47467066"/>
      <w:bookmarkEnd w:id="3144"/>
      <w:bookmarkStart w:id="3145" w:name="_Toc47428455"/>
      <w:bookmarkEnd w:id="3145"/>
      <w:bookmarkStart w:id="3146" w:name="_Toc47458531"/>
      <w:bookmarkEnd w:id="3146"/>
      <w:bookmarkStart w:id="3147" w:name="_Toc47458547"/>
      <w:bookmarkEnd w:id="3147"/>
      <w:bookmarkStart w:id="3148" w:name="_Toc47428526"/>
      <w:bookmarkEnd w:id="3148"/>
      <w:bookmarkStart w:id="3149" w:name="_Toc47428432"/>
      <w:bookmarkEnd w:id="3149"/>
      <w:bookmarkStart w:id="3150" w:name="_Toc47467075"/>
      <w:bookmarkEnd w:id="3150"/>
      <w:bookmarkStart w:id="3151" w:name="_Toc47466043"/>
      <w:bookmarkEnd w:id="3151"/>
      <w:bookmarkStart w:id="3152" w:name="_Toc47427220"/>
      <w:bookmarkEnd w:id="3152"/>
      <w:bookmarkStart w:id="3153" w:name="_Toc47428449"/>
      <w:bookmarkEnd w:id="3153"/>
      <w:bookmarkStart w:id="3154" w:name="_Toc47375592"/>
      <w:bookmarkEnd w:id="3154"/>
      <w:bookmarkStart w:id="3155" w:name="_Toc47467120"/>
      <w:bookmarkEnd w:id="3155"/>
      <w:bookmarkStart w:id="3156" w:name="_Toc47467143"/>
      <w:bookmarkEnd w:id="3156"/>
      <w:bookmarkStart w:id="3157" w:name="_Toc47458523"/>
      <w:bookmarkEnd w:id="3157"/>
      <w:bookmarkStart w:id="3158" w:name="_Toc47428490"/>
      <w:bookmarkEnd w:id="3158"/>
      <w:bookmarkStart w:id="3159" w:name="_Toc47427178"/>
      <w:bookmarkEnd w:id="3159"/>
      <w:bookmarkStart w:id="3160" w:name="_Toc47428506"/>
      <w:bookmarkEnd w:id="3160"/>
      <w:bookmarkStart w:id="3161" w:name="_Toc47427259"/>
      <w:bookmarkEnd w:id="3161"/>
      <w:bookmarkStart w:id="3162" w:name="_Toc47458532"/>
      <w:bookmarkEnd w:id="3162"/>
      <w:bookmarkStart w:id="3163" w:name="_Toc47427262"/>
      <w:bookmarkEnd w:id="3163"/>
      <w:bookmarkStart w:id="3164" w:name="_Toc47375522"/>
      <w:bookmarkEnd w:id="3164"/>
      <w:bookmarkStart w:id="3165" w:name="_Toc47427265"/>
      <w:bookmarkEnd w:id="3165"/>
      <w:bookmarkStart w:id="3166" w:name="_Toc47458535"/>
      <w:bookmarkEnd w:id="3166"/>
      <w:bookmarkStart w:id="3167" w:name="_Toc47465944"/>
      <w:bookmarkEnd w:id="3167"/>
      <w:bookmarkStart w:id="3168" w:name="_Toc47428499"/>
      <w:bookmarkEnd w:id="3168"/>
      <w:bookmarkStart w:id="3169" w:name="_Toc47467079"/>
      <w:bookmarkEnd w:id="3169"/>
      <w:bookmarkStart w:id="3170" w:name="_Toc47458506"/>
      <w:bookmarkEnd w:id="3170"/>
      <w:bookmarkStart w:id="3171" w:name="_Toc47466035"/>
      <w:bookmarkEnd w:id="3171"/>
      <w:bookmarkStart w:id="3172" w:name="_Toc47458452"/>
      <w:bookmarkEnd w:id="3172"/>
      <w:bookmarkStart w:id="3173" w:name="_Toc47467076"/>
      <w:bookmarkEnd w:id="3173"/>
      <w:bookmarkStart w:id="3174" w:name="_Toc47428483"/>
      <w:bookmarkEnd w:id="3174"/>
      <w:bookmarkStart w:id="3175" w:name="_Toc47427169"/>
      <w:bookmarkEnd w:id="3175"/>
      <w:bookmarkStart w:id="3176" w:name="_Toc47428430"/>
      <w:bookmarkEnd w:id="3176"/>
      <w:bookmarkStart w:id="3177" w:name="_Toc47375507"/>
      <w:bookmarkEnd w:id="3177"/>
      <w:bookmarkStart w:id="3178" w:name="_Toc47467084"/>
      <w:bookmarkEnd w:id="3178"/>
      <w:bookmarkStart w:id="3179" w:name="_Toc47467135"/>
      <w:bookmarkEnd w:id="3179"/>
      <w:bookmarkStart w:id="3180" w:name="_Toc47465946"/>
      <w:bookmarkEnd w:id="3180"/>
      <w:bookmarkStart w:id="3181" w:name="_Toc47428512"/>
      <w:bookmarkEnd w:id="3181"/>
      <w:bookmarkStart w:id="3182" w:name="_Toc47467117"/>
      <w:bookmarkEnd w:id="3182"/>
      <w:bookmarkStart w:id="3183" w:name="_Toc47427267"/>
      <w:bookmarkEnd w:id="3183"/>
      <w:bookmarkStart w:id="3184" w:name="_Toc47375590"/>
      <w:bookmarkEnd w:id="3184"/>
      <w:bookmarkStart w:id="3185" w:name="_Toc47467139"/>
      <w:bookmarkEnd w:id="3185"/>
      <w:bookmarkStart w:id="3186" w:name="_Toc47428425"/>
      <w:bookmarkEnd w:id="3186"/>
      <w:bookmarkStart w:id="3187" w:name="_Toc47467160"/>
      <w:bookmarkEnd w:id="3187"/>
      <w:bookmarkStart w:id="3188" w:name="_Toc47428524"/>
      <w:bookmarkEnd w:id="3188"/>
      <w:bookmarkStart w:id="3189" w:name="_Toc47427189"/>
      <w:bookmarkEnd w:id="3189"/>
      <w:bookmarkStart w:id="3190" w:name="_Toc47465942"/>
      <w:bookmarkEnd w:id="3190"/>
      <w:bookmarkStart w:id="3191" w:name="_Toc47458544"/>
      <w:bookmarkEnd w:id="3191"/>
      <w:bookmarkStart w:id="3192" w:name="_Toc47427237"/>
      <w:bookmarkEnd w:id="3192"/>
      <w:bookmarkStart w:id="3193" w:name="_Toc47427157"/>
      <w:bookmarkEnd w:id="3193"/>
      <w:bookmarkStart w:id="3194" w:name="_Toc47375539"/>
      <w:bookmarkEnd w:id="3194"/>
      <w:bookmarkStart w:id="3195" w:name="_Toc47458551"/>
      <w:bookmarkEnd w:id="3195"/>
      <w:bookmarkStart w:id="3196" w:name="_Toc47467103"/>
      <w:bookmarkEnd w:id="3196"/>
      <w:bookmarkStart w:id="3197" w:name="_Toc47427167"/>
      <w:bookmarkEnd w:id="3197"/>
      <w:bookmarkStart w:id="3198" w:name="_Toc47375596"/>
      <w:bookmarkEnd w:id="3198"/>
      <w:bookmarkStart w:id="3199" w:name="_Toc47465947"/>
      <w:bookmarkEnd w:id="3199"/>
      <w:bookmarkStart w:id="3200" w:name="_Toc47458478"/>
      <w:bookmarkEnd w:id="3200"/>
      <w:bookmarkStart w:id="3201" w:name="_Toc47427252"/>
      <w:bookmarkEnd w:id="3201"/>
      <w:bookmarkStart w:id="3202" w:name="_Toc47465963"/>
      <w:bookmarkEnd w:id="3202"/>
      <w:bookmarkStart w:id="3203" w:name="_Toc47428496"/>
      <w:bookmarkEnd w:id="3203"/>
      <w:bookmarkStart w:id="3204" w:name="_Toc47375579"/>
      <w:bookmarkEnd w:id="3204"/>
      <w:bookmarkStart w:id="3205" w:name="_Toc47428467"/>
      <w:bookmarkEnd w:id="3205"/>
      <w:bookmarkStart w:id="3206" w:name="_Toc47427266"/>
      <w:bookmarkEnd w:id="3206"/>
      <w:bookmarkStart w:id="3207" w:name="_Toc47458534"/>
      <w:bookmarkEnd w:id="3207"/>
      <w:bookmarkStart w:id="3208" w:name="_Toc47375565"/>
      <w:bookmarkEnd w:id="3208"/>
      <w:bookmarkStart w:id="3209" w:name="_Toc47458538"/>
      <w:bookmarkEnd w:id="3209"/>
      <w:bookmarkStart w:id="3210" w:name="_Toc47375575"/>
      <w:bookmarkEnd w:id="3210"/>
      <w:bookmarkStart w:id="3211" w:name="_Toc47467064"/>
      <w:bookmarkEnd w:id="3211"/>
      <w:bookmarkStart w:id="3212" w:name="_Toc47465952"/>
      <w:bookmarkEnd w:id="3212"/>
      <w:bookmarkStart w:id="3213" w:name="_Toc47467095"/>
      <w:bookmarkEnd w:id="3213"/>
      <w:bookmarkStart w:id="3214" w:name="_Toc47375523"/>
      <w:bookmarkEnd w:id="3214"/>
      <w:bookmarkStart w:id="3215" w:name="_Toc47466007"/>
      <w:bookmarkEnd w:id="3215"/>
      <w:bookmarkStart w:id="3216" w:name="_Toc47467132"/>
      <w:bookmarkEnd w:id="3216"/>
      <w:bookmarkStart w:id="3217" w:name="_Toc47466034"/>
      <w:bookmarkEnd w:id="3217"/>
      <w:bookmarkStart w:id="3218" w:name="_Toc47375530"/>
      <w:bookmarkEnd w:id="3218"/>
      <w:bookmarkStart w:id="3219" w:name="_Toc47428468"/>
      <w:bookmarkEnd w:id="3219"/>
      <w:bookmarkStart w:id="3220" w:name="_Toc47465958"/>
      <w:bookmarkEnd w:id="3220"/>
      <w:bookmarkStart w:id="3221" w:name="_Toc47375527"/>
      <w:bookmarkEnd w:id="3221"/>
      <w:bookmarkStart w:id="3222" w:name="_Toc44661490"/>
      <w:bookmarkEnd w:id="3222"/>
      <w:bookmarkStart w:id="3223" w:name="_Toc47458469"/>
      <w:bookmarkEnd w:id="3223"/>
      <w:bookmarkStart w:id="3224" w:name="_Toc47465948"/>
      <w:bookmarkEnd w:id="3224"/>
      <w:bookmarkStart w:id="3225" w:name="_Toc47375494"/>
      <w:bookmarkEnd w:id="3225"/>
      <w:bookmarkStart w:id="3226" w:name="_Toc47428491"/>
      <w:bookmarkEnd w:id="3226"/>
      <w:bookmarkStart w:id="3227" w:name="_Toc47465984"/>
      <w:bookmarkEnd w:id="3227"/>
      <w:bookmarkStart w:id="3228" w:name="_Toc47427181"/>
      <w:bookmarkEnd w:id="3228"/>
      <w:bookmarkStart w:id="3229" w:name="_Toc47428516"/>
      <w:bookmarkEnd w:id="3229"/>
      <w:bookmarkStart w:id="3230" w:name="_Toc47467072"/>
      <w:bookmarkEnd w:id="3230"/>
      <w:bookmarkStart w:id="3231" w:name="_Toc47375546"/>
      <w:bookmarkEnd w:id="3231"/>
      <w:bookmarkStart w:id="3232" w:name="_Toc47428489"/>
      <w:bookmarkEnd w:id="3232"/>
      <w:bookmarkStart w:id="3233" w:name="_Toc47427193"/>
      <w:bookmarkEnd w:id="3233"/>
      <w:bookmarkStart w:id="3234" w:name="_Toc47467108"/>
      <w:bookmarkEnd w:id="3234"/>
      <w:bookmarkStart w:id="3235" w:name="_Toc47428470"/>
      <w:bookmarkEnd w:id="3235"/>
      <w:bookmarkStart w:id="3236" w:name="_Toc47465945"/>
      <w:bookmarkEnd w:id="3236"/>
      <w:bookmarkStart w:id="3237" w:name="_Toc47467057"/>
      <w:bookmarkEnd w:id="3237"/>
      <w:bookmarkStart w:id="3238" w:name="_Toc47427194"/>
      <w:bookmarkEnd w:id="3238"/>
      <w:bookmarkStart w:id="3239" w:name="_Toc47427231"/>
      <w:bookmarkEnd w:id="3239"/>
      <w:bookmarkStart w:id="3240" w:name="_Toc47427230"/>
      <w:bookmarkEnd w:id="3240"/>
      <w:bookmarkStart w:id="3241" w:name="_Toc47428434"/>
      <w:bookmarkEnd w:id="3241"/>
      <w:bookmarkStart w:id="3242" w:name="_Toc47428462"/>
      <w:bookmarkEnd w:id="3242"/>
      <w:bookmarkStart w:id="3243" w:name="_Toc47465964"/>
      <w:bookmarkEnd w:id="3243"/>
      <w:bookmarkStart w:id="3244" w:name="_Toc47467157"/>
      <w:bookmarkEnd w:id="3244"/>
      <w:bookmarkStart w:id="3245" w:name="_Toc47465956"/>
      <w:bookmarkEnd w:id="3245"/>
      <w:bookmarkStart w:id="3246" w:name="_Toc47467154"/>
      <w:bookmarkEnd w:id="3246"/>
      <w:bookmarkStart w:id="3247" w:name="_Toc47466002"/>
      <w:bookmarkEnd w:id="3247"/>
      <w:bookmarkStart w:id="3248" w:name="_Toc47375505"/>
      <w:bookmarkEnd w:id="3248"/>
      <w:bookmarkStart w:id="3249" w:name="_Toc47428451"/>
      <w:bookmarkEnd w:id="3249"/>
      <w:bookmarkStart w:id="3250" w:name="_Toc44661493"/>
      <w:bookmarkEnd w:id="3250"/>
      <w:bookmarkStart w:id="3251" w:name="_Toc47458502"/>
      <w:bookmarkEnd w:id="3251"/>
      <w:bookmarkStart w:id="3252" w:name="_Toc47427258"/>
      <w:bookmarkEnd w:id="3252"/>
      <w:bookmarkStart w:id="3253" w:name="_Toc47458475"/>
      <w:bookmarkEnd w:id="3253"/>
      <w:bookmarkStart w:id="3254" w:name="_Toc47428453"/>
      <w:bookmarkEnd w:id="3254"/>
      <w:bookmarkStart w:id="3255" w:name="_Toc47467068"/>
      <w:bookmarkEnd w:id="3255"/>
      <w:bookmarkStart w:id="3256" w:name="_Toc47458454"/>
      <w:bookmarkEnd w:id="3256"/>
      <w:bookmarkStart w:id="3257" w:name="_Toc47466013"/>
      <w:bookmarkEnd w:id="3257"/>
      <w:bookmarkStart w:id="3258" w:name="_Toc47428504"/>
      <w:bookmarkEnd w:id="3258"/>
      <w:bookmarkStart w:id="3259" w:name="_Toc47428520"/>
      <w:bookmarkEnd w:id="3259"/>
      <w:bookmarkStart w:id="3260" w:name="_Toc47465961"/>
      <w:bookmarkEnd w:id="3260"/>
      <w:bookmarkStart w:id="3261" w:name="_Toc47375504"/>
      <w:bookmarkEnd w:id="3261"/>
      <w:bookmarkStart w:id="3262" w:name="_Toc47466040"/>
      <w:bookmarkEnd w:id="3262"/>
      <w:bookmarkStart w:id="3263" w:name="_Toc47428532"/>
      <w:bookmarkEnd w:id="3263"/>
      <w:bookmarkStart w:id="3264" w:name="_Toc47375526"/>
      <w:bookmarkEnd w:id="3264"/>
      <w:bookmarkStart w:id="3265" w:name="_Toc47466011"/>
      <w:bookmarkEnd w:id="3265"/>
      <w:bookmarkStart w:id="3266" w:name="_Toc47465955"/>
      <w:bookmarkEnd w:id="3266"/>
      <w:bookmarkStart w:id="3267" w:name="_Toc47427170"/>
      <w:bookmarkEnd w:id="3267"/>
      <w:bookmarkStart w:id="3268" w:name="_Toc47467063"/>
      <w:bookmarkEnd w:id="3268"/>
      <w:bookmarkStart w:id="3269" w:name="_Toc47467159"/>
      <w:bookmarkEnd w:id="3269"/>
      <w:bookmarkStart w:id="3270" w:name="_Toc47428446"/>
      <w:bookmarkEnd w:id="3270"/>
      <w:bookmarkStart w:id="3271" w:name="_Toc47466003"/>
      <w:bookmarkEnd w:id="3271"/>
      <w:bookmarkStart w:id="3272" w:name="_Toc47375593"/>
      <w:bookmarkEnd w:id="3272"/>
      <w:bookmarkStart w:id="3273" w:name="_Toc47427211"/>
      <w:bookmarkEnd w:id="3273"/>
      <w:bookmarkStart w:id="3274" w:name="_Toc47458457"/>
      <w:bookmarkEnd w:id="3274"/>
      <w:bookmarkStart w:id="3275" w:name="_Toc47467153"/>
      <w:bookmarkEnd w:id="3275"/>
      <w:bookmarkStart w:id="3276" w:name="_Toc47375500"/>
      <w:bookmarkEnd w:id="3276"/>
      <w:bookmarkStart w:id="3277" w:name="_Toc47375499"/>
      <w:bookmarkEnd w:id="3277"/>
      <w:bookmarkStart w:id="3278" w:name="_Toc47458514"/>
      <w:bookmarkEnd w:id="3278"/>
      <w:bookmarkStart w:id="3279" w:name="_Toc47428528"/>
      <w:bookmarkEnd w:id="3279"/>
      <w:bookmarkStart w:id="3280" w:name="_Toc47427227"/>
      <w:bookmarkEnd w:id="3280"/>
      <w:bookmarkStart w:id="3281" w:name="_Toc47428509"/>
      <w:bookmarkEnd w:id="3281"/>
      <w:bookmarkStart w:id="3282" w:name="_Toc47375550"/>
      <w:bookmarkEnd w:id="3282"/>
      <w:bookmarkStart w:id="3283" w:name="_Toc47458462"/>
      <w:bookmarkEnd w:id="3283"/>
      <w:bookmarkStart w:id="3284" w:name="_Toc47427239"/>
      <w:bookmarkEnd w:id="3284"/>
      <w:bookmarkStart w:id="3285" w:name="_Toc47467101"/>
      <w:bookmarkEnd w:id="3285"/>
      <w:bookmarkStart w:id="3286" w:name="_Toc47427163"/>
      <w:bookmarkEnd w:id="3286"/>
      <w:bookmarkStart w:id="3287" w:name="_Toc47375588"/>
      <w:bookmarkEnd w:id="3287"/>
      <w:bookmarkStart w:id="3288" w:name="_Toc47458497"/>
      <w:bookmarkEnd w:id="3288"/>
      <w:bookmarkStart w:id="3289" w:name="_Toc47467109"/>
      <w:bookmarkEnd w:id="3289"/>
      <w:bookmarkStart w:id="3290" w:name="_Toc47375509"/>
      <w:bookmarkEnd w:id="3290"/>
      <w:bookmarkStart w:id="3291" w:name="_Toc47428515"/>
      <w:bookmarkEnd w:id="3291"/>
      <w:bookmarkStart w:id="3292" w:name="_Toc47467148"/>
      <w:bookmarkEnd w:id="3292"/>
      <w:bookmarkStart w:id="3293" w:name="_Toc47458458"/>
      <w:bookmarkEnd w:id="3293"/>
      <w:bookmarkStart w:id="3294" w:name="_Toc47465995"/>
      <w:bookmarkEnd w:id="3294"/>
      <w:bookmarkStart w:id="3295" w:name="_Toc47375496"/>
      <w:bookmarkEnd w:id="3295"/>
      <w:bookmarkStart w:id="3296" w:name="_Toc47427264"/>
      <w:bookmarkEnd w:id="3296"/>
      <w:bookmarkStart w:id="3297" w:name="_Toc47466001"/>
      <w:bookmarkEnd w:id="3297"/>
      <w:bookmarkStart w:id="3298" w:name="_Toc47467080"/>
      <w:bookmarkEnd w:id="3298"/>
      <w:bookmarkStart w:id="3299" w:name="_Toc47467083"/>
      <w:bookmarkEnd w:id="3299"/>
      <w:bookmarkStart w:id="3300" w:name="_Toc47458456"/>
      <w:bookmarkEnd w:id="3300"/>
      <w:bookmarkStart w:id="3301" w:name="_Toc47467098"/>
      <w:bookmarkEnd w:id="3301"/>
      <w:bookmarkStart w:id="3302" w:name="_Toc47375572"/>
      <w:bookmarkEnd w:id="3302"/>
      <w:bookmarkStart w:id="3303" w:name="_Toc44604465"/>
      <w:bookmarkEnd w:id="3303"/>
      <w:bookmarkStart w:id="3304" w:name="_Toc47427183"/>
      <w:bookmarkEnd w:id="3304"/>
      <w:bookmarkStart w:id="3305" w:name="_Toc47467096"/>
      <w:bookmarkEnd w:id="3305"/>
      <w:bookmarkStart w:id="3306" w:name="_Toc47458501"/>
      <w:bookmarkEnd w:id="3306"/>
      <w:bookmarkStart w:id="3307" w:name="_Toc47467056"/>
      <w:bookmarkEnd w:id="3307"/>
      <w:bookmarkStart w:id="3308" w:name="_Toc47466027"/>
      <w:bookmarkEnd w:id="3308"/>
      <w:bookmarkStart w:id="3309" w:name="_Toc47467081"/>
      <w:bookmarkEnd w:id="3309"/>
      <w:bookmarkStart w:id="3310" w:name="_Toc47428450"/>
      <w:bookmarkEnd w:id="3310"/>
      <w:bookmarkStart w:id="3311" w:name="_Toc47458508"/>
      <w:bookmarkEnd w:id="3311"/>
      <w:bookmarkStart w:id="3312" w:name="_Toc47375493"/>
      <w:bookmarkEnd w:id="3312"/>
      <w:bookmarkStart w:id="3313" w:name="_Toc44688502"/>
      <w:bookmarkEnd w:id="3313"/>
      <w:bookmarkStart w:id="3314" w:name="_Toc47458550"/>
      <w:bookmarkEnd w:id="3314"/>
      <w:bookmarkStart w:id="3315" w:name="_Toc47458529"/>
      <w:bookmarkEnd w:id="3315"/>
      <w:bookmarkStart w:id="3316" w:name="_Toc47375554"/>
      <w:bookmarkEnd w:id="3316"/>
      <w:bookmarkStart w:id="3317" w:name="_Toc47427186"/>
      <w:bookmarkEnd w:id="3317"/>
      <w:bookmarkStart w:id="3318" w:name="_Toc47458459"/>
      <w:bookmarkEnd w:id="3318"/>
      <w:bookmarkStart w:id="3319" w:name="_Toc47427199"/>
      <w:bookmarkEnd w:id="3319"/>
      <w:bookmarkStart w:id="3320" w:name="_Toc47428464"/>
      <w:bookmarkEnd w:id="3320"/>
      <w:bookmarkStart w:id="3321" w:name="_Toc47466036"/>
      <w:bookmarkEnd w:id="3321"/>
      <w:bookmarkStart w:id="3322" w:name="_Toc47467102"/>
      <w:bookmarkEnd w:id="3322"/>
      <w:bookmarkStart w:id="3323" w:name="_Toc47467126"/>
      <w:bookmarkEnd w:id="3323"/>
      <w:bookmarkStart w:id="3324" w:name="_Toc47467162"/>
      <w:bookmarkEnd w:id="3324"/>
      <w:bookmarkStart w:id="3325" w:name="_Toc47375583"/>
      <w:bookmarkEnd w:id="3325"/>
      <w:bookmarkStart w:id="3326" w:name="_Toc47375577"/>
      <w:bookmarkEnd w:id="3326"/>
      <w:bookmarkStart w:id="3327" w:name="_Toc47465968"/>
      <w:bookmarkEnd w:id="3327"/>
      <w:bookmarkStart w:id="3328" w:name="_Toc47458498"/>
      <w:bookmarkEnd w:id="3328"/>
      <w:bookmarkStart w:id="3329" w:name="_Toc47428431"/>
      <w:bookmarkEnd w:id="3329"/>
      <w:bookmarkStart w:id="3330" w:name="_Toc47466009"/>
      <w:bookmarkEnd w:id="3330"/>
      <w:bookmarkStart w:id="3331" w:name="_Toc47428531"/>
      <w:bookmarkEnd w:id="3331"/>
      <w:bookmarkStart w:id="3332" w:name="_Toc47375536"/>
      <w:bookmarkEnd w:id="3332"/>
      <w:bookmarkStart w:id="3333" w:name="_Toc47458511"/>
      <w:bookmarkEnd w:id="3333"/>
      <w:bookmarkStart w:id="3334" w:name="_Toc47427219"/>
      <w:bookmarkEnd w:id="3334"/>
      <w:bookmarkStart w:id="3335" w:name="_Toc47428522"/>
      <w:bookmarkEnd w:id="3335"/>
      <w:bookmarkStart w:id="3336" w:name="_Toc47467164"/>
      <w:r>
        <w:rPr>
          <w:rFonts w:hint="eastAsia" w:ascii="仿宋_GB2312" w:eastAsia="仿宋_GB2312"/>
          <w:b/>
          <w:sz w:val="30"/>
          <w:szCs w:val="30"/>
        </w:rPr>
        <w:t>基础信息</w:t>
      </w:r>
      <w:bookmarkEnd w:id="3336"/>
    </w:p>
    <w:p w14:paraId="5FD89A58">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债券基础信息主要为债券现券的基础信息，可分为债券基本属性、含权属性、交易属性、回购属性几大类。</w:t>
      </w:r>
    </w:p>
    <w:p w14:paraId="034CAFA4">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（1）基本属性</w:t>
      </w:r>
    </w:p>
    <w:p w14:paraId="4633FB34">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基本属性主要包括债券代码、债券简称、债券名称、债券类型、债券子类型、利率类型、票面利率、付息频率、基准利率（若有）、浮动利差（若有）、发行期限、剩余期限、数量、发行方式、起息日、到期日、发行人、主体评级、债项评级、评级机构、是否上市、发行量、上市量、特殊债券类型（若有）、结构化分档（若为</w:t>
      </w:r>
      <w:r>
        <w:rPr>
          <w:rFonts w:ascii="仿宋_GB2312" w:hAnsi="宋体" w:eastAsia="仿宋_GB2312"/>
          <w:sz w:val="30"/>
          <w:szCs w:val="30"/>
        </w:rPr>
        <w:t>ABS）、应计利息、价格类型、计息基准</w:t>
      </w:r>
      <w:r>
        <w:rPr>
          <w:rFonts w:hint="eastAsia" w:ascii="仿宋_GB2312" w:hAnsi="宋体" w:eastAsia="仿宋_GB2312"/>
          <w:sz w:val="30"/>
          <w:szCs w:val="30"/>
        </w:rPr>
        <w:t>和到期收益率</w:t>
      </w:r>
      <w:r>
        <w:rPr>
          <w:rFonts w:ascii="仿宋_GB2312" w:hAnsi="宋体" w:eastAsia="仿宋_GB2312"/>
          <w:sz w:val="30"/>
          <w:szCs w:val="30"/>
        </w:rPr>
        <w:t>等。</w:t>
      </w:r>
    </w:p>
    <w:p w14:paraId="5C1CF4F8">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（2）含权属性</w:t>
      </w:r>
    </w:p>
    <w:p w14:paraId="57024176">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含权属性主要包括含权类型、含权条款等信息。</w:t>
      </w:r>
    </w:p>
    <w:p w14:paraId="41110EE1">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（3）交易属性</w:t>
      </w:r>
    </w:p>
    <w:p w14:paraId="21DFB47C">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交易属性主要包括交易方式、结算方式、投资者适当性要求、是否提供特定债券转让、上市日、摘牌日、停牌日（若有）、复牌日（若有）等信息。</w:t>
      </w:r>
    </w:p>
    <w:p w14:paraId="6E31686A">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（4）回购属性</w:t>
      </w:r>
    </w:p>
    <w:p w14:paraId="7F7CA8F9">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回购属性主要包括通用回购折算率、三方回购折算率、三方回购所属篮子等信息。</w:t>
      </w:r>
    </w:p>
    <w:p w14:paraId="7E6DE07F">
      <w:pPr>
        <w:numPr>
          <w:ilvl w:val="2"/>
          <w:numId w:val="4"/>
        </w:numPr>
        <w:spacing w:line="600" w:lineRule="exact"/>
        <w:ind w:left="0" w:firstLine="0"/>
        <w:outlineLvl w:val="2"/>
        <w:rPr>
          <w:rFonts w:ascii="仿宋_GB2312" w:eastAsia="仿宋_GB2312"/>
          <w:b/>
          <w:sz w:val="30"/>
          <w:szCs w:val="30"/>
        </w:rPr>
      </w:pPr>
      <w:bookmarkStart w:id="3337" w:name="_Toc47467165"/>
      <w:r>
        <w:rPr>
          <w:rFonts w:hint="eastAsia" w:ascii="仿宋_GB2312" w:eastAsia="仿宋_GB2312"/>
          <w:b/>
          <w:sz w:val="30"/>
          <w:szCs w:val="30"/>
        </w:rPr>
        <w:t>非交易基础信息</w:t>
      </w:r>
      <w:bookmarkEnd w:id="3337"/>
    </w:p>
    <w:p w14:paraId="0141EBE0">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非交易基础信息主要包括债券回售、债券转股、债券换股等债券非交易服务的基础信息。</w:t>
      </w:r>
    </w:p>
    <w:p w14:paraId="0B6D217F">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债券回售信息主要包括回售起始日、回售终止日、回售价格、资金发放日、回售可撤销起始日、回售可撤销终止日、转售权利等信息。</w:t>
      </w:r>
    </w:p>
    <w:p w14:paraId="48EB8404">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债券转股信息主要包括转股类型、正股代码（若有）、正股简称（若有）、转股价格、转股起始日、转股终止日等信息。</w:t>
      </w:r>
    </w:p>
    <w:p w14:paraId="2D3F7842">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债券换股信息主要包括换股类型、正股代码、正股简称、换股价格、换股起始日、换股终止日等信息。</w:t>
      </w:r>
    </w:p>
    <w:p w14:paraId="341635D8">
      <w:pPr>
        <w:spacing w:line="600" w:lineRule="exact"/>
        <w:ind w:firstLine="602" w:firstLineChars="200"/>
        <w:outlineLvl w:val="3"/>
        <w:rPr>
          <w:rFonts w:ascii="仿宋_GB2312" w:eastAsia="仿宋_GB2312"/>
          <w:b/>
          <w:sz w:val="30"/>
          <w:szCs w:val="30"/>
        </w:rPr>
      </w:pPr>
      <w:r>
        <w:rPr>
          <w:rFonts w:hint="eastAsia" w:ascii="仿宋_GB2312" w:eastAsia="仿宋_GB2312"/>
          <w:b/>
          <w:sz w:val="30"/>
          <w:szCs w:val="30"/>
        </w:rPr>
        <w:t>（1）债券交易参与人信息</w:t>
      </w:r>
    </w:p>
    <w:p w14:paraId="31B4DD20">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债券交易参与人信息主要包括债券交易参与人全称、债券交易参与人简称、债券交易参与人编号等信息。</w:t>
      </w:r>
    </w:p>
    <w:p w14:paraId="23258A06">
      <w:pPr>
        <w:spacing w:line="600" w:lineRule="exact"/>
        <w:ind w:firstLine="602" w:firstLineChars="200"/>
        <w:outlineLvl w:val="3"/>
        <w:rPr>
          <w:rFonts w:ascii="仿宋_GB2312" w:eastAsia="仿宋_GB2312"/>
          <w:b/>
          <w:sz w:val="30"/>
          <w:szCs w:val="30"/>
        </w:rPr>
      </w:pPr>
      <w:r>
        <w:rPr>
          <w:rFonts w:hint="eastAsia" w:ascii="仿宋_GB2312" w:eastAsia="仿宋_GB2312"/>
          <w:b/>
          <w:sz w:val="30"/>
          <w:szCs w:val="30"/>
        </w:rPr>
        <w:t>（2）交易员信息</w:t>
      </w:r>
    </w:p>
    <w:p w14:paraId="18AD4087">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交易员信息主要包括交易员姓名、交易员编号、所属的债券交易参与人简称、联系电话</w:t>
      </w:r>
      <w:r>
        <w:rPr>
          <w:rFonts w:ascii="仿宋_GB2312" w:hAnsi="宋体" w:eastAsia="仿宋_GB2312"/>
          <w:sz w:val="30"/>
          <w:szCs w:val="30"/>
        </w:rPr>
        <w:t>等信息。</w:t>
      </w:r>
    </w:p>
    <w:p w14:paraId="3F42590C">
      <w:pPr>
        <w:spacing w:line="600" w:lineRule="exact"/>
        <w:ind w:firstLine="602" w:firstLineChars="200"/>
        <w:outlineLvl w:val="3"/>
        <w:rPr>
          <w:rFonts w:ascii="仿宋_GB2312" w:eastAsia="仿宋_GB2312"/>
          <w:b/>
          <w:sz w:val="30"/>
          <w:szCs w:val="30"/>
        </w:rPr>
      </w:pPr>
      <w:r>
        <w:rPr>
          <w:rFonts w:hint="eastAsia" w:ascii="仿宋_GB2312" w:eastAsia="仿宋_GB2312"/>
          <w:b/>
          <w:sz w:val="30"/>
          <w:szCs w:val="30"/>
        </w:rPr>
        <w:t>（3）做市商及做市品种信息</w:t>
      </w:r>
    </w:p>
    <w:p w14:paraId="09881F98">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做市商及做市品种信息主要包括当前正处于做市期间的债券及对应主做市商及一般做市商信息，如做市券种代码、做市券种简称、做市起始日期、做市终止日期、对应做市商名称、做市商类型。</w:t>
      </w:r>
    </w:p>
    <w:p w14:paraId="2CE2BC08">
      <w:pPr>
        <w:numPr>
          <w:ilvl w:val="1"/>
          <w:numId w:val="4"/>
        </w:numPr>
        <w:spacing w:line="600" w:lineRule="exact"/>
        <w:ind w:left="0" w:firstLine="0"/>
        <w:outlineLvl w:val="1"/>
        <w:rPr>
          <w:rFonts w:ascii="仿宋_GB2312" w:eastAsia="仿宋_GB2312"/>
          <w:b/>
          <w:sz w:val="30"/>
          <w:szCs w:val="30"/>
        </w:rPr>
      </w:pPr>
      <w:bookmarkStart w:id="3338" w:name="_Toc44688505"/>
      <w:bookmarkEnd w:id="3338"/>
      <w:bookmarkStart w:id="3339" w:name="_Toc44666384"/>
      <w:bookmarkEnd w:id="3339"/>
      <w:bookmarkStart w:id="3340" w:name="_Toc44688508"/>
      <w:bookmarkEnd w:id="3340"/>
      <w:bookmarkStart w:id="3341" w:name="_Toc44688506"/>
      <w:bookmarkEnd w:id="3341"/>
      <w:bookmarkStart w:id="3342" w:name="_Toc44666424"/>
      <w:bookmarkEnd w:id="3342"/>
      <w:bookmarkStart w:id="3343" w:name="_Toc44666425"/>
      <w:bookmarkEnd w:id="3343"/>
      <w:bookmarkStart w:id="3344" w:name="_Toc44666422"/>
      <w:bookmarkEnd w:id="3344"/>
      <w:bookmarkStart w:id="3345" w:name="_Toc44666386"/>
      <w:bookmarkEnd w:id="3345"/>
      <w:bookmarkStart w:id="3346" w:name="_Toc44666421"/>
      <w:bookmarkEnd w:id="3346"/>
      <w:bookmarkStart w:id="3347" w:name="_Toc44666423"/>
      <w:bookmarkEnd w:id="3347"/>
      <w:bookmarkStart w:id="3348" w:name="_Toc44688509"/>
      <w:bookmarkEnd w:id="3348"/>
      <w:bookmarkStart w:id="3349" w:name="_Toc44688507"/>
      <w:bookmarkEnd w:id="3349"/>
      <w:bookmarkStart w:id="3350" w:name="_Toc44666385"/>
      <w:bookmarkEnd w:id="3350"/>
      <w:bookmarkStart w:id="3351" w:name="_Toc44666383"/>
      <w:bookmarkEnd w:id="3351"/>
      <w:bookmarkStart w:id="3352" w:name="_Toc44666382"/>
      <w:bookmarkEnd w:id="3352"/>
      <w:bookmarkStart w:id="3353" w:name="_Toc802800234"/>
      <w:bookmarkStart w:id="3354" w:name="_Toc2096614546"/>
      <w:bookmarkStart w:id="3355" w:name="_Toc800026860"/>
      <w:bookmarkStart w:id="3356" w:name="_Toc56166305"/>
      <w:bookmarkStart w:id="3357" w:name="_Toc47467166"/>
      <w:bookmarkStart w:id="3358" w:name="_Toc56166116"/>
      <w:bookmarkStart w:id="3359" w:name="_Toc151137067"/>
      <w:bookmarkStart w:id="3360" w:name="_Toc2058151457"/>
      <w:r>
        <w:rPr>
          <w:rFonts w:hint="eastAsia" w:ascii="仿宋_GB2312" w:eastAsia="仿宋_GB2312"/>
          <w:b/>
          <w:sz w:val="30"/>
          <w:szCs w:val="30"/>
        </w:rPr>
        <w:t>交易信息权属</w:t>
      </w:r>
      <w:bookmarkEnd w:id="3353"/>
      <w:bookmarkEnd w:id="3354"/>
      <w:bookmarkEnd w:id="3355"/>
      <w:bookmarkEnd w:id="3356"/>
      <w:bookmarkEnd w:id="3357"/>
      <w:bookmarkEnd w:id="3358"/>
      <w:bookmarkEnd w:id="3359"/>
      <w:bookmarkEnd w:id="3360"/>
    </w:p>
    <w:p w14:paraId="5D8E5711">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本所债券市场产生的交易信息归本所所有。未经本所书面许可，任何单位或个人不得发布、使用、传播或经营本所债券市场产生的交易信息。经本所许可使用信息的机构和个人，未经本所同意，不得将信息提供给其他机构和个人使用或者传播。</w:t>
      </w:r>
    </w:p>
    <w:p w14:paraId="4E780DFB">
      <w:pPr>
        <w:numPr>
          <w:ilvl w:val="1"/>
          <w:numId w:val="4"/>
        </w:numPr>
        <w:spacing w:line="600" w:lineRule="exact"/>
        <w:ind w:left="0" w:firstLine="0"/>
        <w:outlineLvl w:val="1"/>
        <w:rPr>
          <w:rFonts w:ascii="仿宋_GB2312" w:eastAsia="仿宋_GB2312"/>
          <w:b/>
          <w:sz w:val="30"/>
          <w:szCs w:val="30"/>
        </w:rPr>
      </w:pPr>
      <w:bookmarkStart w:id="3361" w:name="_Toc47375621"/>
      <w:bookmarkEnd w:id="3361"/>
      <w:bookmarkStart w:id="3362" w:name="_Toc47375610"/>
      <w:bookmarkEnd w:id="3362"/>
      <w:bookmarkStart w:id="3363" w:name="_Toc47374953"/>
      <w:bookmarkEnd w:id="3363"/>
      <w:bookmarkStart w:id="3364" w:name="_Toc47467182"/>
      <w:bookmarkEnd w:id="3364"/>
      <w:bookmarkStart w:id="3365" w:name="_Toc47466063"/>
      <w:bookmarkEnd w:id="3365"/>
      <w:bookmarkStart w:id="3366" w:name="_Toc47372897"/>
      <w:bookmarkEnd w:id="3366"/>
      <w:bookmarkStart w:id="3367" w:name="_Toc47374422"/>
      <w:bookmarkEnd w:id="3367"/>
      <w:bookmarkStart w:id="3368" w:name="_Toc47427273"/>
      <w:bookmarkEnd w:id="3368"/>
      <w:bookmarkStart w:id="3369" w:name="_Toc47427277"/>
      <w:bookmarkEnd w:id="3369"/>
      <w:bookmarkStart w:id="3370" w:name="_Toc47428539"/>
      <w:bookmarkEnd w:id="3370"/>
      <w:bookmarkStart w:id="3371" w:name="_Toc47375604"/>
      <w:bookmarkEnd w:id="3371"/>
      <w:bookmarkStart w:id="3372" w:name="_Toc47467185"/>
      <w:bookmarkEnd w:id="3372"/>
      <w:bookmarkStart w:id="3373" w:name="_Toc47458561"/>
      <w:bookmarkEnd w:id="3373"/>
      <w:bookmarkStart w:id="3374" w:name="_Toc47467168"/>
      <w:bookmarkEnd w:id="3374"/>
      <w:bookmarkStart w:id="3375" w:name="_Toc47374401"/>
      <w:bookmarkEnd w:id="3375"/>
      <w:bookmarkStart w:id="3376" w:name="_Toc47467169"/>
      <w:bookmarkEnd w:id="3376"/>
      <w:bookmarkStart w:id="3377" w:name="_Toc47458558"/>
      <w:bookmarkEnd w:id="3377"/>
      <w:bookmarkStart w:id="3378" w:name="_Toc47372889"/>
      <w:bookmarkEnd w:id="3378"/>
      <w:bookmarkStart w:id="3379" w:name="_Toc41571885"/>
      <w:bookmarkEnd w:id="3379"/>
      <w:bookmarkStart w:id="3380" w:name="_Toc47375622"/>
      <w:bookmarkEnd w:id="3380"/>
      <w:bookmarkStart w:id="3381" w:name="_Toc47374392"/>
      <w:bookmarkEnd w:id="3381"/>
      <w:bookmarkStart w:id="3382" w:name="_Toc47375607"/>
      <w:bookmarkEnd w:id="3382"/>
      <w:bookmarkStart w:id="3383" w:name="_Toc47374947"/>
      <w:bookmarkEnd w:id="3383"/>
      <w:bookmarkStart w:id="3384" w:name="_Toc47458564"/>
      <w:bookmarkEnd w:id="3384"/>
      <w:bookmarkStart w:id="3385" w:name="_Toc47374962"/>
      <w:bookmarkEnd w:id="3385"/>
      <w:bookmarkStart w:id="3386" w:name="_Toc41571819"/>
      <w:bookmarkEnd w:id="3386"/>
      <w:bookmarkStart w:id="3387" w:name="_Toc47458576"/>
      <w:bookmarkEnd w:id="3387"/>
      <w:bookmarkStart w:id="3388" w:name="_Toc47428545"/>
      <w:bookmarkEnd w:id="3388"/>
      <w:bookmarkStart w:id="3389" w:name="_Toc47427279"/>
      <w:bookmarkEnd w:id="3389"/>
      <w:bookmarkStart w:id="3390" w:name="_Toc47375616"/>
      <w:bookmarkEnd w:id="3390"/>
      <w:bookmarkStart w:id="3391" w:name="_Toc47372900"/>
      <w:bookmarkEnd w:id="3391"/>
      <w:bookmarkStart w:id="3392" w:name="_Toc47458573"/>
      <w:bookmarkEnd w:id="3392"/>
      <w:bookmarkStart w:id="3393" w:name="_Toc47374946"/>
      <w:bookmarkEnd w:id="3393"/>
      <w:bookmarkStart w:id="3394" w:name="_Toc47428546"/>
      <w:bookmarkEnd w:id="3394"/>
      <w:bookmarkStart w:id="3395" w:name="_Toc47372888"/>
      <w:bookmarkEnd w:id="3395"/>
      <w:bookmarkStart w:id="3396" w:name="_Toc47372901"/>
      <w:bookmarkEnd w:id="3396"/>
      <w:bookmarkStart w:id="3397" w:name="_Toc47374950"/>
      <w:bookmarkEnd w:id="3397"/>
      <w:bookmarkStart w:id="3398" w:name="_Toc47428556"/>
      <w:bookmarkEnd w:id="3398"/>
      <w:bookmarkStart w:id="3399" w:name="_Toc47467171"/>
      <w:bookmarkEnd w:id="3399"/>
      <w:bookmarkStart w:id="3400" w:name="_Toc47372893"/>
      <w:bookmarkEnd w:id="3400"/>
      <w:bookmarkStart w:id="3401" w:name="_Toc47427289"/>
      <w:bookmarkEnd w:id="3401"/>
      <w:bookmarkStart w:id="3402" w:name="_Toc47374430"/>
      <w:bookmarkEnd w:id="3402"/>
      <w:bookmarkStart w:id="3403" w:name="_Toc41572352"/>
      <w:bookmarkEnd w:id="3403"/>
      <w:bookmarkStart w:id="3404" w:name="_Toc47374949"/>
      <w:bookmarkEnd w:id="3404"/>
      <w:bookmarkStart w:id="3405" w:name="_Toc47427281"/>
      <w:bookmarkEnd w:id="3405"/>
      <w:bookmarkStart w:id="3406" w:name="_Toc47375614"/>
      <w:bookmarkEnd w:id="3406"/>
      <w:bookmarkStart w:id="3407" w:name="_Toc47374398"/>
      <w:bookmarkEnd w:id="3407"/>
      <w:bookmarkStart w:id="3408" w:name="_Toc47374384"/>
      <w:bookmarkEnd w:id="3408"/>
      <w:bookmarkStart w:id="3409" w:name="_Toc47428540"/>
      <w:bookmarkEnd w:id="3409"/>
      <w:bookmarkStart w:id="3410" w:name="_Toc47458577"/>
      <w:bookmarkEnd w:id="3410"/>
      <w:bookmarkStart w:id="3411" w:name="_Toc47427275"/>
      <w:bookmarkEnd w:id="3411"/>
      <w:bookmarkStart w:id="3412" w:name="_Toc47427280"/>
      <w:bookmarkEnd w:id="3412"/>
      <w:bookmarkStart w:id="3413" w:name="_Toc47372895"/>
      <w:bookmarkEnd w:id="3413"/>
      <w:bookmarkStart w:id="3414" w:name="_Toc47428557"/>
      <w:bookmarkEnd w:id="3414"/>
      <w:bookmarkStart w:id="3415" w:name="_Toc47374387"/>
      <w:bookmarkEnd w:id="3415"/>
      <w:bookmarkStart w:id="3416" w:name="_Toc41572336"/>
      <w:bookmarkEnd w:id="3416"/>
      <w:bookmarkStart w:id="3417" w:name="_Toc47375611"/>
      <w:bookmarkEnd w:id="3417"/>
      <w:bookmarkStart w:id="3418" w:name="_Toc47374945"/>
      <w:bookmarkEnd w:id="3418"/>
      <w:bookmarkStart w:id="3419" w:name="_Toc47458578"/>
      <w:bookmarkEnd w:id="3419"/>
      <w:bookmarkStart w:id="3420" w:name="_Toc47466067"/>
      <w:bookmarkEnd w:id="3420"/>
      <w:bookmarkStart w:id="3421" w:name="_Toc47467181"/>
      <w:bookmarkEnd w:id="3421"/>
      <w:bookmarkStart w:id="3422" w:name="_Toc47467180"/>
      <w:bookmarkEnd w:id="3422"/>
      <w:bookmarkStart w:id="3423" w:name="_Toc47466062"/>
      <w:bookmarkEnd w:id="3423"/>
      <w:bookmarkStart w:id="3424" w:name="_Toc47428555"/>
      <w:bookmarkEnd w:id="3424"/>
      <w:bookmarkStart w:id="3425" w:name="_Toc47458562"/>
      <w:bookmarkEnd w:id="3425"/>
      <w:bookmarkStart w:id="3426" w:name="_Toc47466059"/>
      <w:bookmarkEnd w:id="3426"/>
      <w:bookmarkStart w:id="3427" w:name="_Toc47375606"/>
      <w:bookmarkEnd w:id="3427"/>
      <w:bookmarkStart w:id="3428" w:name="_Toc47428552"/>
      <w:bookmarkEnd w:id="3428"/>
      <w:bookmarkStart w:id="3429" w:name="_Toc47428553"/>
      <w:bookmarkEnd w:id="3429"/>
      <w:bookmarkStart w:id="3430" w:name="_Toc47466070"/>
      <w:bookmarkEnd w:id="3430"/>
      <w:bookmarkStart w:id="3431" w:name="_Toc47374948"/>
      <w:bookmarkEnd w:id="3431"/>
      <w:bookmarkStart w:id="3432" w:name="_Toc47458566"/>
      <w:bookmarkEnd w:id="3432"/>
      <w:bookmarkStart w:id="3433" w:name="_Toc47372903"/>
      <w:bookmarkEnd w:id="3433"/>
      <w:bookmarkStart w:id="3434" w:name="_Toc47374421"/>
      <w:bookmarkEnd w:id="3434"/>
      <w:bookmarkStart w:id="3435" w:name="_Toc47374437"/>
      <w:bookmarkEnd w:id="3435"/>
      <w:bookmarkStart w:id="3436" w:name="_Toc47467186"/>
      <w:bookmarkEnd w:id="3436"/>
      <w:bookmarkStart w:id="3437" w:name="_Toc47374957"/>
      <w:bookmarkEnd w:id="3437"/>
      <w:bookmarkStart w:id="3438" w:name="_Toc47375618"/>
      <w:bookmarkEnd w:id="3438"/>
      <w:bookmarkStart w:id="3439" w:name="_Toc47374956"/>
      <w:bookmarkEnd w:id="3439"/>
      <w:bookmarkStart w:id="3440" w:name="_Toc47374383"/>
      <w:bookmarkEnd w:id="3440"/>
      <w:bookmarkStart w:id="3441" w:name="_Toc47427274"/>
      <w:bookmarkEnd w:id="3441"/>
      <w:bookmarkStart w:id="3442" w:name="_Toc47375617"/>
      <w:bookmarkEnd w:id="3442"/>
      <w:bookmarkStart w:id="3443" w:name="_Toc47466066"/>
      <w:bookmarkEnd w:id="3443"/>
      <w:bookmarkStart w:id="3444" w:name="_Toc47374435"/>
      <w:bookmarkEnd w:id="3444"/>
      <w:bookmarkStart w:id="3445" w:name="_Toc41572210"/>
      <w:bookmarkEnd w:id="3445"/>
      <w:bookmarkStart w:id="3446" w:name="_Toc47466060"/>
      <w:bookmarkEnd w:id="3446"/>
      <w:bookmarkStart w:id="3447" w:name="_Toc47467179"/>
      <w:bookmarkEnd w:id="3447"/>
      <w:bookmarkStart w:id="3448" w:name="_Toc47372892"/>
      <w:bookmarkEnd w:id="3448"/>
      <w:bookmarkStart w:id="3449" w:name="_Toc47458568"/>
      <w:bookmarkEnd w:id="3449"/>
      <w:bookmarkStart w:id="3450" w:name="_Toc47466074"/>
      <w:bookmarkEnd w:id="3450"/>
      <w:bookmarkStart w:id="3451" w:name="_Toc47467173"/>
      <w:bookmarkEnd w:id="3451"/>
      <w:bookmarkStart w:id="3452" w:name="_Toc47375609"/>
      <w:bookmarkEnd w:id="3452"/>
      <w:bookmarkStart w:id="3453" w:name="_Toc47374397"/>
      <w:bookmarkEnd w:id="3453"/>
      <w:bookmarkStart w:id="3454" w:name="_Toc41571869"/>
      <w:bookmarkEnd w:id="3454"/>
      <w:bookmarkStart w:id="3455" w:name="_Toc47428541"/>
      <w:bookmarkEnd w:id="3455"/>
      <w:bookmarkStart w:id="3456" w:name="_Toc47458560"/>
      <w:bookmarkEnd w:id="3456"/>
      <w:bookmarkStart w:id="3457" w:name="_Toc47428544"/>
      <w:bookmarkEnd w:id="3457"/>
      <w:bookmarkStart w:id="3458" w:name="_Toc47428542"/>
      <w:bookmarkEnd w:id="3458"/>
      <w:bookmarkStart w:id="3459" w:name="_Toc47466065"/>
      <w:bookmarkEnd w:id="3459"/>
      <w:bookmarkStart w:id="3460" w:name="_Toc47374399"/>
      <w:bookmarkEnd w:id="3460"/>
      <w:bookmarkStart w:id="3461" w:name="_Toc47374420"/>
      <w:bookmarkEnd w:id="3461"/>
      <w:bookmarkStart w:id="3462" w:name="_Toc47428547"/>
      <w:bookmarkEnd w:id="3462"/>
      <w:bookmarkStart w:id="3463" w:name="_Toc47374426"/>
      <w:bookmarkEnd w:id="3463"/>
      <w:bookmarkStart w:id="3464" w:name="_Toc47374434"/>
      <w:bookmarkEnd w:id="3464"/>
      <w:bookmarkStart w:id="3465" w:name="_Toc47428554"/>
      <w:bookmarkEnd w:id="3465"/>
      <w:bookmarkStart w:id="3466" w:name="_Toc47374385"/>
      <w:bookmarkEnd w:id="3466"/>
      <w:bookmarkStart w:id="3467" w:name="_Toc47374951"/>
      <w:bookmarkEnd w:id="3467"/>
      <w:bookmarkStart w:id="3468" w:name="_Toc47428543"/>
      <w:bookmarkEnd w:id="3468"/>
      <w:bookmarkStart w:id="3469" w:name="_Toc47374958"/>
      <w:bookmarkEnd w:id="3469"/>
      <w:bookmarkStart w:id="3470" w:name="_Toc47466064"/>
      <w:bookmarkEnd w:id="3470"/>
      <w:bookmarkStart w:id="3471" w:name="_Toc47467176"/>
      <w:bookmarkEnd w:id="3471"/>
      <w:bookmarkStart w:id="3472" w:name="_Toc47372898"/>
      <w:bookmarkEnd w:id="3472"/>
      <w:bookmarkStart w:id="3473" w:name="_Toc47374425"/>
      <w:bookmarkEnd w:id="3473"/>
      <w:bookmarkStart w:id="3474" w:name="_Toc47458574"/>
      <w:bookmarkEnd w:id="3474"/>
      <w:bookmarkStart w:id="3475" w:name="_Toc47374428"/>
      <w:bookmarkEnd w:id="3475"/>
      <w:bookmarkStart w:id="3476" w:name="_Toc47374432"/>
      <w:bookmarkEnd w:id="3476"/>
      <w:bookmarkStart w:id="3477" w:name="_Toc47427282"/>
      <w:bookmarkEnd w:id="3477"/>
      <w:bookmarkStart w:id="3478" w:name="_Toc47374386"/>
      <w:bookmarkEnd w:id="3478"/>
      <w:bookmarkStart w:id="3479" w:name="_Toc47428548"/>
      <w:bookmarkEnd w:id="3479"/>
      <w:bookmarkStart w:id="3480" w:name="_Toc47466061"/>
      <w:bookmarkEnd w:id="3480"/>
      <w:bookmarkStart w:id="3481" w:name="_Toc47427284"/>
      <w:bookmarkEnd w:id="3481"/>
      <w:bookmarkStart w:id="3482" w:name="_Toc47466055"/>
      <w:bookmarkEnd w:id="3482"/>
      <w:bookmarkStart w:id="3483" w:name="_Toc47427287"/>
      <w:bookmarkEnd w:id="3483"/>
      <w:bookmarkStart w:id="3484" w:name="_Toc47372908"/>
      <w:bookmarkEnd w:id="3484"/>
      <w:bookmarkStart w:id="3485" w:name="_Toc47372906"/>
      <w:bookmarkEnd w:id="3485"/>
      <w:bookmarkStart w:id="3486" w:name="_Toc47372904"/>
      <w:bookmarkEnd w:id="3486"/>
      <w:bookmarkStart w:id="3487" w:name="_Toc47428551"/>
      <w:bookmarkEnd w:id="3487"/>
      <w:bookmarkStart w:id="3488" w:name="_Toc47466069"/>
      <w:bookmarkEnd w:id="3488"/>
      <w:bookmarkStart w:id="3489" w:name="_Toc47374436"/>
      <w:bookmarkEnd w:id="3489"/>
      <w:bookmarkStart w:id="3490" w:name="_Toc47458563"/>
      <w:bookmarkEnd w:id="3490"/>
      <w:bookmarkStart w:id="3491" w:name="_Toc47372894"/>
      <w:bookmarkEnd w:id="3491"/>
      <w:bookmarkStart w:id="3492" w:name="_Toc47375620"/>
      <w:bookmarkEnd w:id="3492"/>
      <w:bookmarkStart w:id="3493" w:name="_Toc47467172"/>
      <w:bookmarkEnd w:id="3493"/>
      <w:bookmarkStart w:id="3494" w:name="_Toc47427292"/>
      <w:bookmarkEnd w:id="3494"/>
      <w:bookmarkStart w:id="3495" w:name="_Toc47427283"/>
      <w:bookmarkEnd w:id="3495"/>
      <w:bookmarkStart w:id="3496" w:name="_Toc47375619"/>
      <w:bookmarkEnd w:id="3496"/>
      <w:bookmarkStart w:id="3497" w:name="_Toc47467170"/>
      <w:bookmarkEnd w:id="3497"/>
      <w:bookmarkStart w:id="3498" w:name="_Toc47374394"/>
      <w:bookmarkEnd w:id="3498"/>
      <w:bookmarkStart w:id="3499" w:name="_Toc47374400"/>
      <w:bookmarkEnd w:id="3499"/>
      <w:bookmarkStart w:id="3500" w:name="_Toc47374419"/>
      <w:bookmarkEnd w:id="3500"/>
      <w:bookmarkStart w:id="3501" w:name="_Toc47427285"/>
      <w:bookmarkEnd w:id="3501"/>
      <w:bookmarkStart w:id="3502" w:name="_Toc47372896"/>
      <w:bookmarkEnd w:id="3502"/>
      <w:bookmarkStart w:id="3503" w:name="_Toc47428559"/>
      <w:bookmarkEnd w:id="3503"/>
      <w:bookmarkStart w:id="3504" w:name="_Toc47427276"/>
      <w:bookmarkEnd w:id="3504"/>
      <w:bookmarkStart w:id="3505" w:name="_Toc47458575"/>
      <w:bookmarkEnd w:id="3505"/>
      <w:bookmarkStart w:id="3506" w:name="_Toc47427290"/>
      <w:bookmarkEnd w:id="3506"/>
      <w:bookmarkStart w:id="3507" w:name="_Toc47467177"/>
      <w:bookmarkEnd w:id="3507"/>
      <w:bookmarkStart w:id="3508" w:name="_Toc47467167"/>
      <w:bookmarkEnd w:id="3508"/>
      <w:bookmarkStart w:id="3509" w:name="_Toc47374961"/>
      <w:bookmarkEnd w:id="3509"/>
      <w:bookmarkStart w:id="3510" w:name="_Toc47374423"/>
      <w:bookmarkEnd w:id="3510"/>
      <w:bookmarkStart w:id="3511" w:name="_Toc47458567"/>
      <w:bookmarkEnd w:id="3511"/>
      <w:bookmarkStart w:id="3512" w:name="_Toc47466056"/>
      <w:bookmarkEnd w:id="3512"/>
      <w:bookmarkStart w:id="3513" w:name="_Toc47374395"/>
      <w:bookmarkEnd w:id="3513"/>
      <w:bookmarkStart w:id="3514" w:name="_Toc47374431"/>
      <w:bookmarkEnd w:id="3514"/>
      <w:bookmarkStart w:id="3515" w:name="_Toc47374382"/>
      <w:bookmarkEnd w:id="3515"/>
      <w:bookmarkStart w:id="3516" w:name="_Toc47374963"/>
      <w:bookmarkEnd w:id="3516"/>
      <w:bookmarkStart w:id="3517" w:name="_Toc47372907"/>
      <w:bookmarkEnd w:id="3517"/>
      <w:bookmarkStart w:id="3518" w:name="_Toc47428550"/>
      <w:bookmarkEnd w:id="3518"/>
      <w:bookmarkStart w:id="3519" w:name="_Toc47372899"/>
      <w:bookmarkEnd w:id="3519"/>
      <w:bookmarkStart w:id="3520" w:name="_Toc47458559"/>
      <w:bookmarkEnd w:id="3520"/>
      <w:bookmarkStart w:id="3521" w:name="_Toc47374393"/>
      <w:bookmarkEnd w:id="3521"/>
      <w:bookmarkStart w:id="3522" w:name="_Toc47428549"/>
      <w:bookmarkEnd w:id="3522"/>
      <w:bookmarkStart w:id="3523" w:name="_Toc47374960"/>
      <w:bookmarkEnd w:id="3523"/>
      <w:bookmarkStart w:id="3524" w:name="_Toc47466054"/>
      <w:bookmarkEnd w:id="3524"/>
      <w:bookmarkStart w:id="3525" w:name="_Toc47466068"/>
      <w:bookmarkEnd w:id="3525"/>
      <w:bookmarkStart w:id="3526" w:name="_Toc47374427"/>
      <w:bookmarkEnd w:id="3526"/>
      <w:bookmarkStart w:id="3527" w:name="_Toc47374439"/>
      <w:bookmarkEnd w:id="3527"/>
      <w:bookmarkStart w:id="3528" w:name="_Toc47374952"/>
      <w:bookmarkEnd w:id="3528"/>
      <w:bookmarkStart w:id="3529" w:name="_Toc47374429"/>
      <w:bookmarkEnd w:id="3529"/>
      <w:bookmarkStart w:id="3530" w:name="_Toc47374402"/>
      <w:bookmarkEnd w:id="3530"/>
      <w:bookmarkStart w:id="3531" w:name="_Toc47372891"/>
      <w:bookmarkEnd w:id="3531"/>
      <w:bookmarkStart w:id="3532" w:name="_Toc47458569"/>
      <w:bookmarkEnd w:id="3532"/>
      <w:bookmarkStart w:id="3533" w:name="_Toc47374955"/>
      <w:bookmarkEnd w:id="3533"/>
      <w:bookmarkStart w:id="3534" w:name="_Toc47374959"/>
      <w:bookmarkEnd w:id="3534"/>
      <w:bookmarkStart w:id="3535" w:name="_Toc47374965"/>
      <w:bookmarkEnd w:id="3535"/>
      <w:bookmarkStart w:id="3536" w:name="_Toc47466072"/>
      <w:bookmarkEnd w:id="3536"/>
      <w:bookmarkStart w:id="3537" w:name="_Toc47374388"/>
      <w:bookmarkEnd w:id="3537"/>
      <w:bookmarkStart w:id="3538" w:name="_Toc47374438"/>
      <w:bookmarkEnd w:id="3538"/>
      <w:bookmarkStart w:id="3539" w:name="_Toc47375615"/>
      <w:bookmarkEnd w:id="3539"/>
      <w:bookmarkStart w:id="3540" w:name="_Toc47467183"/>
      <w:bookmarkEnd w:id="3540"/>
      <w:bookmarkStart w:id="3541" w:name="_Toc47372905"/>
      <w:bookmarkEnd w:id="3541"/>
      <w:bookmarkStart w:id="3542" w:name="_Toc47374391"/>
      <w:bookmarkEnd w:id="3542"/>
      <w:bookmarkStart w:id="3543" w:name="_Toc41572226"/>
      <w:bookmarkEnd w:id="3543"/>
      <w:bookmarkStart w:id="3544" w:name="_Toc47427291"/>
      <w:bookmarkEnd w:id="3544"/>
      <w:bookmarkStart w:id="3545" w:name="_Toc47427272"/>
      <w:bookmarkEnd w:id="3545"/>
      <w:bookmarkStart w:id="3546" w:name="_Toc47466057"/>
      <w:bookmarkEnd w:id="3546"/>
      <w:bookmarkStart w:id="3547" w:name="_Toc47458572"/>
      <w:bookmarkEnd w:id="3547"/>
      <w:bookmarkStart w:id="3548" w:name="_Toc47466058"/>
      <w:bookmarkEnd w:id="3548"/>
      <w:bookmarkStart w:id="3549" w:name="_Toc47466071"/>
      <w:bookmarkEnd w:id="3549"/>
      <w:bookmarkStart w:id="3550" w:name="_Toc47467178"/>
      <w:bookmarkEnd w:id="3550"/>
      <w:bookmarkStart w:id="3551" w:name="_Toc47372902"/>
      <w:bookmarkEnd w:id="3551"/>
      <w:bookmarkStart w:id="3552" w:name="_Toc47458570"/>
      <w:bookmarkEnd w:id="3552"/>
      <w:bookmarkStart w:id="3553" w:name="_Toc47458571"/>
      <w:bookmarkEnd w:id="3553"/>
      <w:bookmarkStart w:id="3554" w:name="_Toc47467175"/>
      <w:bookmarkEnd w:id="3554"/>
      <w:bookmarkStart w:id="3555" w:name="_Toc47375602"/>
      <w:bookmarkEnd w:id="3555"/>
      <w:bookmarkStart w:id="3556" w:name="_Toc47428558"/>
      <w:bookmarkEnd w:id="3556"/>
      <w:bookmarkStart w:id="3557" w:name="_Toc47374389"/>
      <w:bookmarkEnd w:id="3557"/>
      <w:bookmarkStart w:id="3558" w:name="_Toc47375605"/>
      <w:bookmarkEnd w:id="3558"/>
      <w:bookmarkStart w:id="3559" w:name="_Toc47466073"/>
      <w:bookmarkEnd w:id="3559"/>
      <w:bookmarkStart w:id="3560" w:name="_Toc47374424"/>
      <w:bookmarkEnd w:id="3560"/>
      <w:bookmarkStart w:id="3561" w:name="_Toc47375613"/>
      <w:bookmarkEnd w:id="3561"/>
      <w:bookmarkStart w:id="3562" w:name="_Toc47427286"/>
      <w:bookmarkEnd w:id="3562"/>
      <w:bookmarkStart w:id="3563" w:name="_Toc47467187"/>
      <w:bookmarkEnd w:id="3563"/>
      <w:bookmarkStart w:id="3564" w:name="_Toc47375612"/>
      <w:bookmarkEnd w:id="3564"/>
      <w:bookmarkStart w:id="3565" w:name="_Toc47374964"/>
      <w:bookmarkEnd w:id="3565"/>
      <w:bookmarkStart w:id="3566" w:name="_Toc47458565"/>
      <w:bookmarkEnd w:id="3566"/>
      <w:bookmarkStart w:id="3567" w:name="_Toc47372890"/>
      <w:bookmarkEnd w:id="3567"/>
      <w:bookmarkStart w:id="3568" w:name="_Toc47374954"/>
      <w:bookmarkEnd w:id="3568"/>
      <w:bookmarkStart w:id="3569" w:name="_Toc47374390"/>
      <w:bookmarkEnd w:id="3569"/>
      <w:bookmarkStart w:id="3570" w:name="_Toc47375608"/>
      <w:bookmarkEnd w:id="3570"/>
      <w:bookmarkStart w:id="3571" w:name="_Toc47427278"/>
      <w:bookmarkEnd w:id="3571"/>
      <w:bookmarkStart w:id="3572" w:name="_Toc47427288"/>
      <w:bookmarkEnd w:id="3572"/>
      <w:bookmarkStart w:id="3573" w:name="_Toc47374433"/>
      <w:bookmarkEnd w:id="3573"/>
      <w:bookmarkStart w:id="3574" w:name="_Toc47375603"/>
      <w:bookmarkEnd w:id="3574"/>
      <w:bookmarkStart w:id="3575" w:name="_Toc47467184"/>
      <w:bookmarkEnd w:id="3575"/>
      <w:bookmarkStart w:id="3576" w:name="_Toc47467174"/>
      <w:bookmarkEnd w:id="3576"/>
      <w:bookmarkStart w:id="3577" w:name="_Toc47374396"/>
      <w:bookmarkEnd w:id="3577"/>
      <w:bookmarkStart w:id="3578" w:name="_Toc56166117"/>
      <w:bookmarkStart w:id="3579" w:name="_Toc56166306"/>
      <w:bookmarkStart w:id="3580" w:name="_Toc151137068"/>
      <w:bookmarkStart w:id="3581" w:name="_Toc614515079"/>
      <w:bookmarkStart w:id="3582" w:name="_Toc1329849563"/>
      <w:bookmarkStart w:id="3583" w:name="_Toc47467188"/>
      <w:bookmarkStart w:id="3584" w:name="_Toc489664341"/>
      <w:bookmarkStart w:id="3585" w:name="_Toc1345773939"/>
      <w:r>
        <w:rPr>
          <w:rFonts w:hint="eastAsia" w:ascii="仿宋_GB2312" w:eastAsia="仿宋_GB2312"/>
          <w:b/>
          <w:sz w:val="30"/>
          <w:szCs w:val="30"/>
        </w:rPr>
        <w:t>债券指数及其他</w:t>
      </w:r>
      <w:bookmarkEnd w:id="3578"/>
      <w:bookmarkEnd w:id="3579"/>
      <w:bookmarkEnd w:id="3580"/>
      <w:bookmarkEnd w:id="3581"/>
      <w:bookmarkEnd w:id="3582"/>
      <w:bookmarkEnd w:id="3583"/>
      <w:bookmarkEnd w:id="3584"/>
      <w:bookmarkEnd w:id="3585"/>
    </w:p>
    <w:p w14:paraId="5932B4B5">
      <w:pPr>
        <w:numPr>
          <w:ilvl w:val="2"/>
          <w:numId w:val="4"/>
        </w:numPr>
        <w:spacing w:line="600" w:lineRule="exact"/>
        <w:ind w:left="0" w:firstLine="0"/>
        <w:outlineLvl w:val="2"/>
        <w:rPr>
          <w:rFonts w:ascii="仿宋_GB2312" w:eastAsia="仿宋_GB2312"/>
          <w:b/>
          <w:sz w:val="30"/>
          <w:szCs w:val="30"/>
        </w:rPr>
      </w:pPr>
      <w:bookmarkStart w:id="3586" w:name="_Toc47467189"/>
      <w:r>
        <w:rPr>
          <w:rFonts w:hint="eastAsia" w:ascii="仿宋_GB2312" w:eastAsia="仿宋_GB2312"/>
          <w:b/>
          <w:sz w:val="30"/>
          <w:szCs w:val="30"/>
        </w:rPr>
        <w:t>债券指数</w:t>
      </w:r>
      <w:bookmarkEnd w:id="3586"/>
    </w:p>
    <w:p w14:paraId="4D1875C4">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本所或本所授权机构可编制各类债券指数，以反映债券交易总体价格或某类债券价格的变动和走势，并随即时行情发布。</w:t>
      </w:r>
    </w:p>
    <w:p w14:paraId="2D8E2CC0">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债券指数的编制遵循公开透明原则。债券指数设置和编制的具体方法由本所另行规定。目前本所公布的债券指数包括上证国债指数、上证企债指数、上证公司债指数、上证企债</w:t>
      </w:r>
      <w:r>
        <w:rPr>
          <w:rFonts w:ascii="仿宋_GB2312" w:hAnsi="宋体" w:eastAsia="仿宋_GB2312"/>
          <w:sz w:val="30"/>
          <w:szCs w:val="30"/>
        </w:rPr>
        <w:t>30指数等。</w:t>
      </w:r>
    </w:p>
    <w:p w14:paraId="4B5DF4C2">
      <w:pPr>
        <w:spacing w:line="600" w:lineRule="exact"/>
        <w:ind w:firstLine="602" w:firstLineChars="200"/>
        <w:outlineLvl w:val="3"/>
        <w:rPr>
          <w:rFonts w:ascii="仿宋_GB2312" w:eastAsia="仿宋_GB2312"/>
          <w:b/>
          <w:sz w:val="30"/>
          <w:szCs w:val="30"/>
        </w:rPr>
      </w:pPr>
      <w:r>
        <w:rPr>
          <w:rFonts w:hint="eastAsia" w:ascii="仿宋_GB2312" w:eastAsia="仿宋_GB2312"/>
          <w:b/>
          <w:sz w:val="30"/>
          <w:szCs w:val="30"/>
        </w:rPr>
        <w:t>（1）上证国债指数</w:t>
      </w:r>
    </w:p>
    <w:p w14:paraId="2FB6F077">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上证国债指数以本所上市的所有固定利率国债为样本，</w:t>
      </w:r>
      <w:r>
        <w:rPr>
          <w:rFonts w:ascii="仿宋_GB2312" w:hAnsi="宋体" w:eastAsia="仿宋_GB2312"/>
          <w:sz w:val="30"/>
          <w:szCs w:val="30"/>
        </w:rPr>
        <w:t>按照国债发行量加权而成，用来反映上交所上市国债的整体表现。指数于2003年1月2日起对外发布,该指数基日为2002年12月31日,基点为100点，指数代码为000012，指数简称为国债指数。</w:t>
      </w:r>
    </w:p>
    <w:p w14:paraId="7B12E2B0">
      <w:pPr>
        <w:spacing w:line="600" w:lineRule="exact"/>
        <w:ind w:firstLine="602" w:firstLineChars="200"/>
        <w:outlineLvl w:val="3"/>
        <w:rPr>
          <w:rFonts w:ascii="仿宋_GB2312" w:eastAsia="仿宋_GB2312"/>
          <w:b/>
          <w:sz w:val="30"/>
          <w:szCs w:val="30"/>
        </w:rPr>
      </w:pPr>
      <w:r>
        <w:rPr>
          <w:rFonts w:hint="eastAsia" w:ascii="仿宋_GB2312" w:eastAsia="仿宋_GB2312"/>
          <w:b/>
          <w:sz w:val="30"/>
          <w:szCs w:val="30"/>
        </w:rPr>
        <w:t>（2）上证企债指数</w:t>
      </w:r>
    </w:p>
    <w:p w14:paraId="1D48D838">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上证企债指数由在沪深交易所上市的企业债中满足一定条件、具有代表性的企业债券组成，于</w:t>
      </w:r>
      <w:r>
        <w:rPr>
          <w:rFonts w:ascii="仿宋_GB2312" w:hAnsi="宋体" w:eastAsia="仿宋_GB2312"/>
          <w:sz w:val="30"/>
          <w:szCs w:val="30"/>
        </w:rPr>
        <w:t>2003年6月9日正式发布，以反映沪深企债市场的整体表现。指数基日为2002年12月31日，基点为100点，指数代码为000013，指数简称企债指数。</w:t>
      </w:r>
    </w:p>
    <w:p w14:paraId="5B69CB50">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上证企债</w:t>
      </w:r>
      <w:r>
        <w:rPr>
          <w:rFonts w:ascii="仿宋_GB2312" w:hAnsi="宋体" w:eastAsia="仿宋_GB2312"/>
          <w:sz w:val="30"/>
          <w:szCs w:val="30"/>
        </w:rPr>
        <w:t>30指数从上海证券交易所市场挑选30只质地好、规模大、流动性强的企业债券组成样本，为债券投资者提供新的投资标的。该指数基日为2008年12月31日，基点为100点，指数代码为000061，指数简称为沪企债30。</w:t>
      </w:r>
    </w:p>
    <w:p w14:paraId="3AF24975">
      <w:pPr>
        <w:spacing w:line="600" w:lineRule="exact"/>
        <w:ind w:firstLine="602" w:firstLineChars="200"/>
        <w:outlineLvl w:val="3"/>
        <w:rPr>
          <w:rFonts w:ascii="仿宋_GB2312" w:eastAsia="仿宋_GB2312"/>
          <w:b/>
          <w:sz w:val="30"/>
          <w:szCs w:val="30"/>
        </w:rPr>
      </w:pPr>
      <w:r>
        <w:rPr>
          <w:rFonts w:hint="eastAsia" w:ascii="仿宋_GB2312" w:eastAsia="仿宋_GB2312"/>
          <w:b/>
          <w:sz w:val="30"/>
          <w:szCs w:val="30"/>
        </w:rPr>
        <w:t>（3）上证公司债指数</w:t>
      </w:r>
    </w:p>
    <w:p w14:paraId="7F7D5078">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上证公司债指数的样本是由在沪市交易的公司债券组成，上证所和中证指数公司每日实时计算并向市场发布，为债券投资者提供新的业绩评价基准和分析工具。该指数基日为</w:t>
      </w:r>
      <w:r>
        <w:rPr>
          <w:rFonts w:ascii="仿宋_GB2312" w:hAnsi="宋体" w:eastAsia="仿宋_GB2312"/>
          <w:sz w:val="30"/>
          <w:szCs w:val="30"/>
        </w:rPr>
        <w:t>2007年12月31日，基点为100点，指数代码为000022，指数简称为沪公司债。</w:t>
      </w:r>
    </w:p>
    <w:p w14:paraId="254C7DF6">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上证信用债100指数的样本由上海证券交易所市场剩余期限1年以上、信用等级AA及以上、发行量8亿元及以上的信用债券组成。</w:t>
      </w:r>
    </w:p>
    <w:p w14:paraId="7A316905">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上证公司债AAA指数、AA+、AA指数属于上证公司债细分指数系列，分别以上海证券交易所上市的公司债券为样本空间，选取信用级别为AAA、AA+、AA的公司债券组成样本。</w:t>
      </w:r>
    </w:p>
    <w:p w14:paraId="1EEF29F1">
      <w:pPr>
        <w:numPr>
          <w:ilvl w:val="2"/>
          <w:numId w:val="4"/>
        </w:numPr>
        <w:spacing w:line="600" w:lineRule="exact"/>
        <w:ind w:left="0" w:firstLine="0"/>
        <w:outlineLvl w:val="2"/>
        <w:rPr>
          <w:rFonts w:ascii="仿宋_GB2312" w:eastAsia="仿宋_GB2312"/>
          <w:b/>
          <w:sz w:val="30"/>
          <w:szCs w:val="30"/>
        </w:rPr>
      </w:pPr>
      <w:bookmarkStart w:id="3587" w:name="_Toc47467190"/>
      <w:r>
        <w:rPr>
          <w:rFonts w:hint="eastAsia" w:ascii="仿宋_GB2312" w:eastAsia="仿宋_GB2312"/>
          <w:b/>
          <w:sz w:val="30"/>
          <w:szCs w:val="30"/>
        </w:rPr>
        <w:t>债券估值及收益率曲线</w:t>
      </w:r>
      <w:bookmarkEnd w:id="3587"/>
    </w:p>
    <w:p w14:paraId="12A8698E">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本所或本所授权机构编制债券估值、债券收益率曲线等信息并发布。债券指数、债券估值及债券收益率曲线信息按照本所或本所授权机构的相关规则发送。</w:t>
      </w:r>
    </w:p>
    <w:p w14:paraId="1AECD6B7">
      <w:pPr>
        <w:spacing w:line="600" w:lineRule="exact"/>
        <w:ind w:firstLine="602" w:firstLineChars="200"/>
        <w:outlineLvl w:val="3"/>
        <w:rPr>
          <w:rFonts w:ascii="仿宋_GB2312" w:eastAsia="仿宋_GB2312"/>
          <w:b/>
          <w:sz w:val="30"/>
          <w:szCs w:val="30"/>
        </w:rPr>
      </w:pPr>
      <w:r>
        <w:rPr>
          <w:rFonts w:hint="eastAsia" w:ascii="仿宋_GB2312" w:eastAsia="仿宋_GB2312"/>
          <w:b/>
          <w:sz w:val="30"/>
          <w:szCs w:val="30"/>
        </w:rPr>
        <w:t>（1）债券估值</w:t>
      </w:r>
    </w:p>
    <w:p w14:paraId="172A8850">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对于本所挂牌上市债券，本所与中证指数公司为其提供公允价值。中证指数公司具体负责对本所上市的国债公司债等债券进行估值。债券估值原理是基于债券所对应的即期收益率曲线，对未来的现金流进行贴现，并汇总求和。</w:t>
      </w:r>
    </w:p>
    <w:p w14:paraId="308D5603">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对于交易活跃、流动性好的债券，估值主要依据当日的交易数据。</w:t>
      </w:r>
    </w:p>
    <w:p w14:paraId="5C854731">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除了每日计算发布全市场的债券估值之外，中证指数公司同时提供针对违约债券和信用风险缓释工具等特殊品种的估值，并发布中证隐含违约率、中证隐含评级、中证债券合同现金流量特征测试（“SPPI”）和中证债券预期信用损失（“ECL”）等其他数据产品。</w:t>
      </w:r>
    </w:p>
    <w:p w14:paraId="6FDCC827">
      <w:pPr>
        <w:spacing w:line="600" w:lineRule="exact"/>
        <w:ind w:firstLine="602" w:firstLineChars="200"/>
        <w:outlineLvl w:val="3"/>
        <w:rPr>
          <w:rFonts w:ascii="仿宋_GB2312" w:eastAsia="仿宋_GB2312"/>
          <w:b/>
          <w:sz w:val="30"/>
          <w:szCs w:val="30"/>
        </w:rPr>
      </w:pPr>
      <w:r>
        <w:rPr>
          <w:rFonts w:hint="eastAsia" w:ascii="仿宋_GB2312" w:eastAsia="仿宋_GB2312"/>
          <w:b/>
          <w:sz w:val="30"/>
          <w:szCs w:val="30"/>
        </w:rPr>
        <w:t>（2）债券收益率曲线</w:t>
      </w:r>
    </w:p>
    <w:p w14:paraId="055F1F64">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本所债券收益率曲线系列包括国债收益率曲线、公司债</w:t>
      </w:r>
      <w:r>
        <w:rPr>
          <w:rFonts w:ascii="仿宋_GB2312" w:hAnsi="宋体" w:eastAsia="仿宋_GB2312"/>
          <w:sz w:val="30"/>
          <w:szCs w:val="30"/>
        </w:rPr>
        <w:t>收益率曲线</w:t>
      </w:r>
      <w:r>
        <w:rPr>
          <w:rFonts w:hint="eastAsia" w:ascii="仿宋_GB2312" w:hAnsi="宋体" w:eastAsia="仿宋_GB2312"/>
          <w:sz w:val="30"/>
          <w:szCs w:val="30"/>
        </w:rPr>
        <w:t>系列</w:t>
      </w:r>
      <w:r>
        <w:rPr>
          <w:rFonts w:ascii="仿宋_GB2312" w:hAnsi="宋体" w:eastAsia="仿宋_GB2312"/>
          <w:sz w:val="30"/>
          <w:szCs w:val="30"/>
        </w:rPr>
        <w:t>、</w:t>
      </w:r>
      <w:r>
        <w:rPr>
          <w:rFonts w:hint="eastAsia" w:ascii="仿宋_GB2312" w:hAnsi="宋体" w:eastAsia="仿宋_GB2312"/>
          <w:sz w:val="30"/>
          <w:szCs w:val="30"/>
        </w:rPr>
        <w:t>企业债收益率曲线系列等，是由中证指数公司每日计算发布。收益率曲线采用三次样条函数法，根据当日市场中真实有效的报价和成交数据进行拟合所得，并分别计算了即期收益率、到期收益率、远期收益率三条曲线，用以从不同角度刻画市场利率的走势，为债券投资者判断市场趋势提供参考。</w:t>
      </w:r>
    </w:p>
    <w:p w14:paraId="486C876E">
      <w:pPr>
        <w:numPr>
          <w:ilvl w:val="2"/>
          <w:numId w:val="4"/>
        </w:numPr>
        <w:spacing w:line="600" w:lineRule="exact"/>
        <w:ind w:left="0" w:firstLine="0"/>
        <w:outlineLvl w:val="2"/>
        <w:rPr>
          <w:rFonts w:ascii="仿宋_GB2312" w:eastAsia="仿宋_GB2312"/>
          <w:b/>
          <w:sz w:val="30"/>
          <w:szCs w:val="30"/>
        </w:rPr>
      </w:pPr>
      <w:bookmarkStart w:id="3588" w:name="_Toc47467191"/>
      <w:r>
        <w:rPr>
          <w:rFonts w:hint="eastAsia" w:ascii="仿宋_GB2312" w:eastAsia="仿宋_GB2312"/>
          <w:b/>
          <w:sz w:val="30"/>
          <w:szCs w:val="30"/>
        </w:rPr>
        <w:t>特定债券行情展示</w:t>
      </w:r>
      <w:bookmarkEnd w:id="3588"/>
    </w:p>
    <w:p w14:paraId="654AE703">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特定债券所有交易方式下的转让行情仅在固定收益平台客户端展示，不对公众公开，不纳入交易系统对行情信息商发送的行情数据内。</w:t>
      </w:r>
    </w:p>
    <w:p w14:paraId="74FC16A6">
      <w:pPr>
        <w:numPr>
          <w:ilvl w:val="0"/>
          <w:numId w:val="4"/>
        </w:numPr>
        <w:outlineLvl w:val="0"/>
        <w:rPr>
          <w:b/>
          <w:sz w:val="36"/>
        </w:rPr>
      </w:pPr>
      <w:bookmarkStart w:id="3589" w:name="_Toc97819726"/>
      <w:bookmarkEnd w:id="3589"/>
      <w:bookmarkStart w:id="3590" w:name="_Toc97819693"/>
      <w:bookmarkEnd w:id="3590"/>
      <w:bookmarkStart w:id="3591" w:name="_Toc97819699"/>
      <w:bookmarkEnd w:id="3591"/>
      <w:bookmarkStart w:id="3592" w:name="_Toc97819718"/>
      <w:bookmarkEnd w:id="3592"/>
      <w:bookmarkStart w:id="3593" w:name="_Toc97819736"/>
      <w:bookmarkEnd w:id="3593"/>
      <w:bookmarkStart w:id="3594" w:name="_Toc97819709"/>
      <w:bookmarkEnd w:id="3594"/>
      <w:bookmarkStart w:id="3595" w:name="_Toc97819734"/>
      <w:bookmarkEnd w:id="3595"/>
      <w:bookmarkStart w:id="3596" w:name="_Toc97819704"/>
      <w:bookmarkEnd w:id="3596"/>
      <w:bookmarkStart w:id="3597" w:name="_Toc97819722"/>
      <w:bookmarkEnd w:id="3597"/>
      <w:bookmarkStart w:id="3598" w:name="_Toc97819731"/>
      <w:bookmarkEnd w:id="3598"/>
      <w:bookmarkStart w:id="3599" w:name="_Toc47540303"/>
      <w:bookmarkEnd w:id="3599"/>
      <w:bookmarkStart w:id="3600" w:name="_Toc97819700"/>
      <w:bookmarkEnd w:id="3600"/>
      <w:bookmarkStart w:id="3601" w:name="_Toc97819705"/>
      <w:bookmarkEnd w:id="3601"/>
      <w:bookmarkStart w:id="3602" w:name="_Toc97819720"/>
      <w:bookmarkEnd w:id="3602"/>
      <w:bookmarkStart w:id="3603" w:name="_Toc97819733"/>
      <w:bookmarkEnd w:id="3603"/>
      <w:bookmarkStart w:id="3604" w:name="_Toc97819697"/>
      <w:bookmarkEnd w:id="3604"/>
      <w:bookmarkStart w:id="3605" w:name="_Toc97819738"/>
      <w:bookmarkEnd w:id="3605"/>
      <w:bookmarkStart w:id="3606" w:name="_Toc45008340"/>
      <w:bookmarkEnd w:id="3606"/>
      <w:bookmarkStart w:id="3607" w:name="_Toc97819690"/>
      <w:bookmarkEnd w:id="3607"/>
      <w:bookmarkStart w:id="3608" w:name="_Toc97819728"/>
      <w:bookmarkEnd w:id="3608"/>
      <w:bookmarkStart w:id="3609" w:name="_Toc97819692"/>
      <w:bookmarkEnd w:id="3609"/>
      <w:bookmarkStart w:id="3610" w:name="_Toc97819703"/>
      <w:bookmarkEnd w:id="3610"/>
      <w:bookmarkStart w:id="3611" w:name="_Toc97819708"/>
      <w:bookmarkEnd w:id="3611"/>
      <w:bookmarkStart w:id="3612" w:name="_Toc97819698"/>
      <w:bookmarkEnd w:id="3612"/>
      <w:bookmarkStart w:id="3613" w:name="_Toc97819701"/>
      <w:bookmarkEnd w:id="3613"/>
      <w:bookmarkStart w:id="3614" w:name="_Toc97819737"/>
      <w:bookmarkEnd w:id="3614"/>
      <w:bookmarkStart w:id="3615" w:name="_Toc97819716"/>
      <w:bookmarkEnd w:id="3615"/>
      <w:bookmarkStart w:id="3616" w:name="_Toc97819735"/>
      <w:bookmarkEnd w:id="3616"/>
      <w:bookmarkStart w:id="3617" w:name="_Toc97819696"/>
      <w:bookmarkEnd w:id="3617"/>
      <w:bookmarkStart w:id="3618" w:name="_Toc97819702"/>
      <w:bookmarkEnd w:id="3618"/>
      <w:bookmarkStart w:id="3619" w:name="_Toc97819724"/>
      <w:bookmarkEnd w:id="3619"/>
      <w:bookmarkStart w:id="3620" w:name="_Toc97819707"/>
      <w:bookmarkEnd w:id="3620"/>
      <w:bookmarkStart w:id="3621" w:name="_Toc47466473"/>
      <w:bookmarkEnd w:id="3621"/>
      <w:bookmarkStart w:id="3622" w:name="_Toc97819711"/>
      <w:bookmarkEnd w:id="3622"/>
      <w:bookmarkStart w:id="3623" w:name="_Toc97819706"/>
      <w:bookmarkEnd w:id="3623"/>
      <w:bookmarkStart w:id="3624" w:name="_Toc97819710"/>
      <w:bookmarkEnd w:id="3624"/>
      <w:bookmarkStart w:id="3625" w:name="_Toc45008356"/>
      <w:bookmarkEnd w:id="3625"/>
      <w:bookmarkStart w:id="3626" w:name="_Toc97819713"/>
      <w:bookmarkEnd w:id="3626"/>
      <w:bookmarkStart w:id="3627" w:name="_Toc97819715"/>
      <w:bookmarkEnd w:id="3627"/>
      <w:bookmarkStart w:id="3628" w:name="_Toc97819691"/>
      <w:bookmarkEnd w:id="3628"/>
      <w:bookmarkStart w:id="3629" w:name="_Toc97819723"/>
      <w:bookmarkEnd w:id="3629"/>
      <w:bookmarkStart w:id="3630" w:name="_Toc97819727"/>
      <w:bookmarkEnd w:id="3630"/>
      <w:bookmarkStart w:id="3631" w:name="_Toc97819717"/>
      <w:bookmarkEnd w:id="3631"/>
      <w:bookmarkStart w:id="3632" w:name="_Toc97819741"/>
      <w:bookmarkEnd w:id="3632"/>
      <w:bookmarkStart w:id="3633" w:name="_Toc97819730"/>
      <w:bookmarkEnd w:id="3633"/>
      <w:bookmarkStart w:id="3634" w:name="_Toc97819719"/>
      <w:bookmarkEnd w:id="3634"/>
      <w:bookmarkStart w:id="3635" w:name="_Toc97819739"/>
      <w:bookmarkEnd w:id="3635"/>
      <w:bookmarkStart w:id="3636" w:name="_Toc97819712"/>
      <w:bookmarkEnd w:id="3636"/>
      <w:bookmarkStart w:id="3637" w:name="_Toc97819694"/>
      <w:bookmarkEnd w:id="3637"/>
      <w:bookmarkStart w:id="3638" w:name="_Toc97819695"/>
      <w:bookmarkEnd w:id="3638"/>
      <w:bookmarkStart w:id="3639" w:name="_Toc97819732"/>
      <w:bookmarkEnd w:id="3639"/>
      <w:bookmarkStart w:id="3640" w:name="_Toc97819740"/>
      <w:bookmarkEnd w:id="3640"/>
      <w:bookmarkStart w:id="3641" w:name="_Toc97819725"/>
      <w:bookmarkEnd w:id="3641"/>
      <w:bookmarkStart w:id="3642" w:name="_Toc97819729"/>
      <w:bookmarkEnd w:id="3642"/>
      <w:bookmarkStart w:id="3643" w:name="_Toc97819721"/>
      <w:bookmarkEnd w:id="3643"/>
      <w:bookmarkStart w:id="3644" w:name="_Toc97819714"/>
      <w:bookmarkEnd w:id="3644"/>
      <w:bookmarkStart w:id="3645" w:name="_Toc34763161"/>
      <w:bookmarkStart w:id="3646" w:name="_Toc56166125"/>
      <w:bookmarkStart w:id="3647" w:name="_Toc16497861"/>
      <w:bookmarkStart w:id="3648" w:name="_Toc19542133"/>
      <w:bookmarkStart w:id="3649" w:name="_Toc56166314"/>
      <w:bookmarkStart w:id="3650" w:name="_Toc24460014"/>
      <w:bookmarkStart w:id="3651" w:name="_Toc24460039"/>
      <w:bookmarkStart w:id="3652" w:name="_Toc34763186"/>
      <w:r>
        <w:rPr>
          <w:b/>
          <w:sz w:val="36"/>
        </w:rPr>
        <w:br w:type="page"/>
      </w:r>
      <w:bookmarkStart w:id="3653" w:name="_Toc1303470731"/>
      <w:bookmarkStart w:id="3654" w:name="_Toc151137069"/>
      <w:bookmarkStart w:id="3655" w:name="_Toc1225791152"/>
      <w:bookmarkStart w:id="3656" w:name="_Toc1639053865"/>
      <w:bookmarkStart w:id="3657" w:name="_Toc196120311"/>
      <w:r>
        <w:rPr>
          <w:rFonts w:hint="eastAsia" w:ascii="黑体" w:hAnsi="黑体" w:eastAsia="黑体" w:cs="黑体"/>
          <w:b/>
          <w:sz w:val="36"/>
        </w:rPr>
        <w:t>交易行为监督</w:t>
      </w:r>
      <w:bookmarkEnd w:id="3645"/>
      <w:bookmarkEnd w:id="3646"/>
      <w:bookmarkEnd w:id="3647"/>
      <w:bookmarkEnd w:id="3648"/>
      <w:bookmarkEnd w:id="3649"/>
      <w:bookmarkEnd w:id="3650"/>
      <w:bookmarkEnd w:id="3653"/>
      <w:bookmarkEnd w:id="3654"/>
      <w:bookmarkEnd w:id="3655"/>
      <w:bookmarkEnd w:id="3656"/>
      <w:bookmarkEnd w:id="3657"/>
    </w:p>
    <w:p w14:paraId="543C1EB0">
      <w:pPr>
        <w:numPr>
          <w:ilvl w:val="1"/>
          <w:numId w:val="4"/>
        </w:numPr>
        <w:spacing w:line="600" w:lineRule="exact"/>
        <w:ind w:left="0" w:firstLine="0"/>
        <w:outlineLvl w:val="1"/>
        <w:rPr>
          <w:rFonts w:ascii="仿宋_GB2312" w:eastAsia="仿宋_GB2312"/>
          <w:b/>
          <w:sz w:val="30"/>
          <w:szCs w:val="30"/>
        </w:rPr>
      </w:pPr>
      <w:bookmarkStart w:id="3658" w:name="_Toc1433957831"/>
      <w:bookmarkStart w:id="3659" w:name="_Toc1425039245"/>
      <w:bookmarkStart w:id="3660" w:name="_Toc151137070"/>
      <w:bookmarkStart w:id="3661" w:name="_Toc1436741252"/>
      <w:bookmarkStart w:id="3662" w:name="_Toc56166126"/>
      <w:bookmarkStart w:id="3663" w:name="_Toc56166315"/>
      <w:bookmarkStart w:id="3664" w:name="_Toc2112017060"/>
      <w:r>
        <w:rPr>
          <w:rFonts w:hint="eastAsia" w:ascii="仿宋_GB2312" w:eastAsia="仿宋_GB2312"/>
          <w:b/>
          <w:sz w:val="30"/>
          <w:szCs w:val="30"/>
        </w:rPr>
        <w:t>交易异常行为监督</w:t>
      </w:r>
      <w:bookmarkEnd w:id="3658"/>
      <w:bookmarkEnd w:id="3659"/>
      <w:bookmarkEnd w:id="3660"/>
      <w:bookmarkEnd w:id="3661"/>
      <w:bookmarkEnd w:id="3662"/>
      <w:bookmarkEnd w:id="3663"/>
      <w:bookmarkEnd w:id="3664"/>
    </w:p>
    <w:p w14:paraId="45B9BE90">
      <w:pPr>
        <w:spacing w:line="600" w:lineRule="exact"/>
        <w:ind w:firstLine="600" w:firstLineChars="200"/>
        <w:rPr>
          <w:rFonts w:ascii="仿宋_GB2312" w:eastAsia="仿宋_GB2312"/>
          <w:b/>
          <w:sz w:val="30"/>
          <w:szCs w:val="30"/>
        </w:rPr>
      </w:pPr>
      <w:r>
        <w:rPr>
          <w:rFonts w:hint="eastAsia" w:ascii="仿宋_GB2312" w:eastAsia="仿宋_GB2312"/>
          <w:color w:val="000000"/>
          <w:sz w:val="30"/>
          <w:szCs w:val="30"/>
        </w:rPr>
        <w:t>本所对债券交易进行实时监控，及时发现和处理异常交易行为。</w:t>
      </w:r>
    </w:p>
    <w:p w14:paraId="53CDE5F3">
      <w:pPr>
        <w:numPr>
          <w:ilvl w:val="2"/>
          <w:numId w:val="4"/>
        </w:numPr>
        <w:spacing w:line="600" w:lineRule="exact"/>
        <w:ind w:left="0" w:firstLine="0"/>
        <w:outlineLvl w:val="2"/>
        <w:rPr>
          <w:rFonts w:ascii="仿宋_GB2312" w:hAnsi="Cambria" w:eastAsia="仿宋_GB2312"/>
          <w:b/>
          <w:sz w:val="30"/>
          <w:szCs w:val="30"/>
        </w:rPr>
      </w:pPr>
      <w:r>
        <w:rPr>
          <w:rFonts w:hint="eastAsia" w:ascii="仿宋_GB2312" w:hAnsi="Cambria" w:eastAsia="仿宋_GB2312"/>
          <w:b/>
          <w:bCs/>
          <w:sz w:val="30"/>
          <w:szCs w:val="30"/>
        </w:rPr>
        <w:t>异常</w:t>
      </w:r>
      <w:r>
        <w:rPr>
          <w:rFonts w:hint="eastAsia" w:ascii="仿宋_GB2312" w:eastAsia="仿宋_GB2312"/>
          <w:b/>
          <w:sz w:val="30"/>
          <w:szCs w:val="30"/>
        </w:rPr>
        <w:t>交易</w:t>
      </w:r>
      <w:r>
        <w:rPr>
          <w:rFonts w:hint="eastAsia" w:ascii="仿宋_GB2312" w:hAnsi="Cambria" w:eastAsia="仿宋_GB2312"/>
          <w:b/>
          <w:bCs/>
          <w:sz w:val="30"/>
          <w:szCs w:val="30"/>
        </w:rPr>
        <w:t>行为类型</w:t>
      </w:r>
    </w:p>
    <w:p w14:paraId="6201486B">
      <w:pPr>
        <w:spacing w:line="600" w:lineRule="exact"/>
        <w:ind w:firstLine="600" w:firstLineChars="200"/>
        <w:rPr>
          <w:rFonts w:ascii="仿宋_GB2312" w:hAnsi="Cambria" w:eastAsia="仿宋_GB2312"/>
          <w:b/>
          <w:sz w:val="30"/>
          <w:szCs w:val="30"/>
        </w:rPr>
      </w:pPr>
      <w:r>
        <w:rPr>
          <w:rFonts w:hint="eastAsia" w:ascii="仿宋_GB2312" w:eastAsia="仿宋_GB2312"/>
          <w:color w:val="000000"/>
          <w:sz w:val="30"/>
          <w:szCs w:val="30"/>
        </w:rPr>
        <w:t>本所对下列可能影响债券交易价格或者债券交易量的异常交易行为予以重点监控</w:t>
      </w:r>
      <w:r>
        <w:rPr>
          <w:rFonts w:hint="eastAsia" w:ascii="仿宋_GB2312" w:hAnsi="Cambria" w:eastAsia="仿宋_GB2312"/>
          <w:bCs/>
          <w:sz w:val="30"/>
          <w:szCs w:val="30"/>
        </w:rPr>
        <w:t>：</w:t>
      </w:r>
    </w:p>
    <w:p w14:paraId="5F56AA7A">
      <w:pPr>
        <w:pStyle w:val="90"/>
        <w:numPr>
          <w:ilvl w:val="0"/>
          <w:numId w:val="22"/>
        </w:numPr>
        <w:ind w:left="0" w:firstLine="420" w:firstLineChars="0"/>
        <w:rPr>
          <w:rFonts w:hAnsi="Times New Roman"/>
          <w:sz w:val="30"/>
          <w:szCs w:val="30"/>
        </w:rPr>
      </w:pPr>
      <w:r>
        <w:rPr>
          <w:rFonts w:hint="eastAsia" w:hAnsi="Times New Roman"/>
          <w:sz w:val="30"/>
          <w:szCs w:val="30"/>
        </w:rPr>
        <w:t>虚假申报，即不以成交为目的，通过大量申报并撤销等行为，以引诱、误导或者影响其他债券投资者正常交易决策的；</w:t>
      </w:r>
    </w:p>
    <w:p w14:paraId="1534B780">
      <w:pPr>
        <w:pStyle w:val="90"/>
        <w:numPr>
          <w:ilvl w:val="0"/>
          <w:numId w:val="22"/>
        </w:numPr>
        <w:ind w:left="0" w:firstLine="420" w:firstLineChars="0"/>
        <w:rPr>
          <w:rFonts w:hAnsi="Times New Roman"/>
          <w:sz w:val="30"/>
          <w:szCs w:val="30"/>
        </w:rPr>
      </w:pPr>
      <w:r>
        <w:rPr>
          <w:rFonts w:hint="eastAsia" w:hAnsi="Times New Roman"/>
          <w:sz w:val="30"/>
          <w:szCs w:val="30"/>
        </w:rPr>
        <w:t>拉抬打压，即大笔申报、连续申报、密集申报或者以明显偏离债券最新成交价的价格申报成交，期间债券交易价格明显上涨（下跌）；</w:t>
      </w:r>
    </w:p>
    <w:p w14:paraId="0BB5679D">
      <w:pPr>
        <w:pStyle w:val="90"/>
        <w:numPr>
          <w:ilvl w:val="0"/>
          <w:numId w:val="22"/>
        </w:numPr>
        <w:ind w:left="0" w:firstLine="420" w:firstLineChars="0"/>
        <w:rPr>
          <w:rFonts w:hAnsi="Times New Roman"/>
          <w:sz w:val="30"/>
          <w:szCs w:val="30"/>
        </w:rPr>
      </w:pPr>
      <w:r>
        <w:rPr>
          <w:rFonts w:hint="eastAsia" w:hAnsi="Times New Roman"/>
          <w:sz w:val="30"/>
          <w:szCs w:val="30"/>
        </w:rPr>
        <w:t>报价严重偏离市场合理价格，以引诱或者误导其他债券投资者交易决策的；</w:t>
      </w:r>
    </w:p>
    <w:p w14:paraId="29B8433F">
      <w:pPr>
        <w:pStyle w:val="90"/>
        <w:numPr>
          <w:ilvl w:val="0"/>
          <w:numId w:val="22"/>
        </w:numPr>
        <w:ind w:left="0" w:firstLine="420" w:firstLineChars="0"/>
        <w:rPr>
          <w:rFonts w:hAnsi="Times New Roman"/>
          <w:sz w:val="30"/>
          <w:szCs w:val="30"/>
        </w:rPr>
      </w:pPr>
      <w:r>
        <w:rPr>
          <w:rFonts w:hint="eastAsia" w:hAnsi="Times New Roman"/>
          <w:sz w:val="30"/>
          <w:szCs w:val="30"/>
        </w:rPr>
        <w:t>自买自卖或者互为对手方交易，即在单个账户、自己实际控制的账户之间或者关联账户之间大量或者频繁进行债券交易，影响债券交易价格或者交易量；</w:t>
      </w:r>
    </w:p>
    <w:p w14:paraId="1CFEDF3E">
      <w:pPr>
        <w:pStyle w:val="90"/>
        <w:numPr>
          <w:ilvl w:val="0"/>
          <w:numId w:val="22"/>
        </w:numPr>
        <w:ind w:left="0" w:firstLine="420" w:firstLineChars="0"/>
        <w:rPr>
          <w:rFonts w:hAnsi="Times New Roman"/>
          <w:sz w:val="30"/>
          <w:szCs w:val="30"/>
        </w:rPr>
      </w:pPr>
      <w:r>
        <w:rPr>
          <w:rFonts w:hint="eastAsia" w:hAnsi="Times New Roman"/>
          <w:sz w:val="30"/>
          <w:szCs w:val="30"/>
        </w:rPr>
        <w:t>通过计算机程序自动生成或下达交易指令进行程序化交易，影响本所系统安全或正常交易秩序的；</w:t>
      </w:r>
    </w:p>
    <w:p w14:paraId="332ADF18">
      <w:pPr>
        <w:pStyle w:val="90"/>
        <w:numPr>
          <w:ilvl w:val="0"/>
          <w:numId w:val="22"/>
        </w:numPr>
        <w:ind w:left="0" w:firstLine="420" w:firstLineChars="0"/>
        <w:rPr>
          <w:rFonts w:hAnsi="Times New Roman"/>
          <w:sz w:val="30"/>
          <w:szCs w:val="30"/>
        </w:rPr>
      </w:pPr>
      <w:r>
        <w:rPr>
          <w:rFonts w:hint="eastAsia" w:hAnsi="Times New Roman"/>
          <w:sz w:val="30"/>
          <w:szCs w:val="30"/>
        </w:rPr>
        <w:t>在债券价格敏感期内，通过异常申报，影响相关证券或其衍生品的交易价格、结算价格或者参考价值的；</w:t>
      </w:r>
    </w:p>
    <w:p w14:paraId="29B7C975">
      <w:pPr>
        <w:pStyle w:val="90"/>
        <w:numPr>
          <w:ilvl w:val="0"/>
          <w:numId w:val="22"/>
        </w:numPr>
        <w:ind w:left="0" w:firstLine="420" w:firstLineChars="0"/>
        <w:rPr>
          <w:rFonts w:hAnsi="Times New Roman"/>
          <w:sz w:val="30"/>
          <w:szCs w:val="30"/>
        </w:rPr>
      </w:pPr>
      <w:r>
        <w:rPr>
          <w:rFonts w:hint="eastAsia" w:hAnsi="Times New Roman"/>
          <w:sz w:val="30"/>
          <w:szCs w:val="30"/>
        </w:rPr>
        <w:t>交易价格明显偏离合理价值，涉嫌通过债券交易进行利益输送的；</w:t>
      </w:r>
    </w:p>
    <w:p w14:paraId="57664446">
      <w:pPr>
        <w:pStyle w:val="90"/>
        <w:numPr>
          <w:ilvl w:val="0"/>
          <w:numId w:val="22"/>
        </w:numPr>
        <w:ind w:left="0" w:firstLine="420" w:firstLineChars="0"/>
        <w:rPr>
          <w:rFonts w:hAnsi="Times New Roman"/>
          <w:sz w:val="30"/>
          <w:szCs w:val="30"/>
        </w:rPr>
      </w:pPr>
      <w:r>
        <w:rPr>
          <w:rFonts w:hint="eastAsia" w:hAnsi="Times New Roman"/>
          <w:sz w:val="30"/>
          <w:szCs w:val="30"/>
        </w:rPr>
        <w:t>涉嫌操纵市场、内幕交易、利用未公开信息进行交易等违法违规行为的；</w:t>
      </w:r>
    </w:p>
    <w:p w14:paraId="3806A544">
      <w:pPr>
        <w:pStyle w:val="90"/>
        <w:numPr>
          <w:ilvl w:val="0"/>
          <w:numId w:val="22"/>
        </w:numPr>
        <w:ind w:left="0" w:firstLine="420" w:firstLineChars="0"/>
        <w:rPr>
          <w:rFonts w:hAnsi="Times New Roman"/>
          <w:sz w:val="30"/>
          <w:szCs w:val="30"/>
        </w:rPr>
      </w:pPr>
      <w:r>
        <w:rPr>
          <w:rFonts w:hint="eastAsia" w:hAnsi="Times New Roman"/>
          <w:sz w:val="30"/>
          <w:szCs w:val="30"/>
        </w:rPr>
        <w:t>利用其他相关市场的交易影响债券交易，或利用债券市场交易影响其他相关市场交易的；</w:t>
      </w:r>
    </w:p>
    <w:p w14:paraId="288FB2E9">
      <w:pPr>
        <w:pStyle w:val="90"/>
        <w:numPr>
          <w:ilvl w:val="0"/>
          <w:numId w:val="22"/>
        </w:numPr>
        <w:ind w:left="0" w:firstLine="420" w:firstLineChars="0"/>
        <w:rPr>
          <w:rFonts w:hAnsi="Times New Roman"/>
          <w:sz w:val="30"/>
          <w:szCs w:val="30"/>
        </w:rPr>
      </w:pPr>
      <w:r>
        <w:rPr>
          <w:rFonts w:hint="eastAsia" w:hAnsi="Times New Roman"/>
          <w:sz w:val="30"/>
          <w:szCs w:val="30"/>
        </w:rPr>
        <w:t>中国证监会</w:t>
      </w:r>
      <w:r>
        <w:rPr>
          <w:rFonts w:hint="eastAsia" w:hAnsi="Times New Roman"/>
          <w:bCs/>
          <w:sz w:val="30"/>
          <w:szCs w:val="30"/>
        </w:rPr>
        <w:t>或者本所认为需要重点监控的其他情形。</w:t>
      </w:r>
    </w:p>
    <w:p w14:paraId="49491B3F">
      <w:pPr>
        <w:spacing w:line="600" w:lineRule="exact"/>
        <w:ind w:firstLine="600" w:firstLineChars="200"/>
        <w:jc w:val="left"/>
        <w:rPr>
          <w:rFonts w:ascii="仿宋_GB2312" w:hAnsi="Cambria" w:eastAsia="仿宋_GB2312"/>
          <w:bCs/>
          <w:sz w:val="30"/>
          <w:szCs w:val="30"/>
        </w:rPr>
      </w:pPr>
      <w:r>
        <w:rPr>
          <w:rFonts w:hint="eastAsia" w:ascii="仿宋_GB2312" w:hAnsi="Cambria" w:eastAsia="仿宋_GB2312"/>
          <w:bCs/>
          <w:sz w:val="30"/>
          <w:szCs w:val="30"/>
        </w:rPr>
        <w:t>本所对债券投资者以本人名义开立或者由同一债券投资者实际控制的单个或者多个证券账户以及其他涉嫌关联的证券账户（组）进行合并监控。</w:t>
      </w:r>
    </w:p>
    <w:p w14:paraId="0904B447">
      <w:pPr>
        <w:spacing w:line="600" w:lineRule="exact"/>
        <w:ind w:firstLine="600" w:firstLineChars="200"/>
        <w:rPr>
          <w:rFonts w:ascii="仿宋_GB2312" w:hAnsi="Calibri" w:eastAsia="仿宋_GB2312"/>
          <w:b/>
          <w:bCs/>
          <w:sz w:val="30"/>
          <w:szCs w:val="30"/>
        </w:rPr>
      </w:pPr>
      <w:r>
        <w:rPr>
          <w:rFonts w:hint="eastAsia" w:ascii="仿宋_GB2312" w:hAnsi="Cambria" w:eastAsia="仿宋_GB2312"/>
          <w:bCs/>
          <w:sz w:val="30"/>
          <w:szCs w:val="30"/>
        </w:rPr>
        <w:t>债券投资者出现上述所列债券异常交易行为之一，本所可采取非现场检查和现场检查措施，要求相关债券交易参与人提供其开户资料、授权委托书（如有）、资金存取凭证、资金账户情况、相关交易情况等资料；如异常交易涉及经纪客户的，本所可以直接要求会员或者经纪客户提供有关材料，说明相关情况。</w:t>
      </w:r>
    </w:p>
    <w:p w14:paraId="315EA30F">
      <w:pPr>
        <w:numPr>
          <w:ilvl w:val="2"/>
          <w:numId w:val="4"/>
        </w:numPr>
        <w:spacing w:line="600" w:lineRule="exact"/>
        <w:ind w:left="0" w:firstLine="0"/>
        <w:outlineLvl w:val="2"/>
        <w:rPr>
          <w:rFonts w:ascii="仿宋_GB2312" w:hAnsi="Cambria" w:eastAsia="仿宋_GB2312"/>
          <w:b/>
          <w:sz w:val="30"/>
          <w:szCs w:val="30"/>
        </w:rPr>
      </w:pPr>
      <w:r>
        <w:rPr>
          <w:rFonts w:hint="eastAsia" w:ascii="仿宋_GB2312" w:hAnsi="Cambria" w:eastAsia="仿宋_GB2312"/>
          <w:b/>
          <w:bCs/>
          <w:sz w:val="30"/>
          <w:szCs w:val="30"/>
        </w:rPr>
        <w:t>会员</w:t>
      </w:r>
      <w:r>
        <w:rPr>
          <w:rFonts w:hint="eastAsia" w:ascii="仿宋_GB2312" w:eastAsia="仿宋_GB2312"/>
          <w:b/>
          <w:sz w:val="30"/>
          <w:szCs w:val="30"/>
        </w:rPr>
        <w:t>实时</w:t>
      </w:r>
      <w:r>
        <w:rPr>
          <w:rFonts w:hint="eastAsia" w:ascii="仿宋_GB2312" w:hAnsi="Cambria" w:eastAsia="仿宋_GB2312"/>
          <w:b/>
          <w:bCs/>
          <w:sz w:val="30"/>
          <w:szCs w:val="30"/>
        </w:rPr>
        <w:t>监控</w:t>
      </w:r>
    </w:p>
    <w:p w14:paraId="0951910F">
      <w:pPr>
        <w:spacing w:line="600" w:lineRule="exact"/>
        <w:ind w:firstLine="600" w:firstLineChars="200"/>
        <w:rPr>
          <w:rFonts w:ascii="仿宋_GB2312" w:hAnsi="Cambria" w:eastAsia="仿宋_GB2312"/>
          <w:b/>
          <w:sz w:val="30"/>
          <w:szCs w:val="30"/>
        </w:rPr>
      </w:pPr>
      <w:r>
        <w:rPr>
          <w:rFonts w:hint="eastAsia" w:ascii="仿宋_GB2312" w:hAnsi="Cambria" w:eastAsia="仿宋_GB2312"/>
          <w:bCs/>
          <w:sz w:val="30"/>
          <w:szCs w:val="30"/>
        </w:rPr>
        <w:t>会员及其营业部应当对其经纪客户的债券交易行为进行实时监控，发现经纪客户存在异常交易行为的，应当及时予以提醒和制止，并及时向本所报告。</w:t>
      </w:r>
    </w:p>
    <w:p w14:paraId="21B64E17">
      <w:pPr>
        <w:numPr>
          <w:ilvl w:val="2"/>
          <w:numId w:val="4"/>
        </w:numPr>
        <w:spacing w:line="600" w:lineRule="exact"/>
        <w:ind w:left="0" w:firstLine="0"/>
        <w:outlineLvl w:val="2"/>
        <w:rPr>
          <w:rFonts w:ascii="仿宋_GB2312" w:hAnsi="Cambria" w:eastAsia="仿宋_GB2312"/>
          <w:b/>
          <w:sz w:val="30"/>
          <w:szCs w:val="30"/>
        </w:rPr>
      </w:pPr>
      <w:r>
        <w:rPr>
          <w:rFonts w:hint="eastAsia" w:ascii="仿宋_GB2312" w:hAnsi="Cambria" w:eastAsia="仿宋_GB2312"/>
          <w:b/>
          <w:bCs/>
          <w:sz w:val="30"/>
          <w:szCs w:val="30"/>
        </w:rPr>
        <w:t>债券投资者配合</w:t>
      </w:r>
    </w:p>
    <w:p w14:paraId="56889629">
      <w:pPr>
        <w:spacing w:line="600" w:lineRule="exact"/>
        <w:ind w:firstLine="600" w:firstLineChars="200"/>
        <w:rPr>
          <w:rFonts w:ascii="仿宋_GB2312" w:hAnsi="Cambria" w:eastAsia="仿宋_GB2312"/>
          <w:b/>
          <w:sz w:val="30"/>
          <w:szCs w:val="30"/>
        </w:rPr>
      </w:pPr>
      <w:r>
        <w:rPr>
          <w:rFonts w:hint="eastAsia" w:ascii="仿宋_GB2312" w:hAnsi="Cambria" w:eastAsia="仿宋_GB2312"/>
          <w:bCs/>
          <w:sz w:val="30"/>
          <w:szCs w:val="30"/>
        </w:rPr>
        <w:t>债券投资者应当配合本所进行相关调查，及时、真实、准确、完整地提供有关文件和资料。</w:t>
      </w:r>
    </w:p>
    <w:p w14:paraId="1FA2220E">
      <w:pPr>
        <w:numPr>
          <w:ilvl w:val="1"/>
          <w:numId w:val="4"/>
        </w:numPr>
        <w:spacing w:line="600" w:lineRule="exact"/>
        <w:ind w:left="0" w:firstLine="0"/>
        <w:outlineLvl w:val="1"/>
        <w:rPr>
          <w:rFonts w:ascii="仿宋_GB2312" w:eastAsia="仿宋_GB2312"/>
          <w:b/>
          <w:sz w:val="30"/>
          <w:szCs w:val="30"/>
        </w:rPr>
      </w:pPr>
      <w:bookmarkStart w:id="3665" w:name="_Toc151137071"/>
      <w:bookmarkStart w:id="3666" w:name="_Toc649171282"/>
      <w:bookmarkStart w:id="3667" w:name="_Toc56166127"/>
      <w:bookmarkStart w:id="3668" w:name="_Toc1822530783"/>
      <w:bookmarkStart w:id="3669" w:name="_Toc1259273810"/>
      <w:bookmarkStart w:id="3670" w:name="_Toc56166316"/>
      <w:bookmarkStart w:id="3671" w:name="_Toc1324400418"/>
      <w:r>
        <w:rPr>
          <w:rFonts w:hint="eastAsia" w:ascii="仿宋_GB2312" w:eastAsia="仿宋_GB2312"/>
          <w:b/>
          <w:sz w:val="30"/>
          <w:szCs w:val="30"/>
        </w:rPr>
        <w:t>价格偏离报告</w:t>
      </w:r>
      <w:bookmarkEnd w:id="3665"/>
      <w:bookmarkEnd w:id="3666"/>
      <w:bookmarkEnd w:id="3667"/>
      <w:bookmarkEnd w:id="3668"/>
      <w:bookmarkEnd w:id="3669"/>
      <w:bookmarkEnd w:id="3670"/>
      <w:bookmarkEnd w:id="3671"/>
    </w:p>
    <w:p w14:paraId="27C4417E">
      <w:pPr>
        <w:numPr>
          <w:ilvl w:val="2"/>
          <w:numId w:val="4"/>
        </w:numPr>
        <w:spacing w:line="600" w:lineRule="exact"/>
        <w:ind w:left="0" w:firstLine="0"/>
        <w:outlineLvl w:val="2"/>
        <w:rPr>
          <w:rFonts w:ascii="Calibri" w:hAnsi="Calibri" w:eastAsia="仿宋_GB2312"/>
          <w:b/>
          <w:bCs/>
          <w:sz w:val="30"/>
          <w:szCs w:val="30"/>
        </w:rPr>
      </w:pPr>
      <w:r>
        <w:rPr>
          <w:rFonts w:hint="eastAsia" w:ascii="Calibri" w:hAnsi="Calibri" w:eastAsia="仿宋_GB2312"/>
          <w:b/>
          <w:bCs/>
          <w:sz w:val="30"/>
          <w:szCs w:val="30"/>
        </w:rPr>
        <w:t>价格比较基准</w:t>
      </w:r>
    </w:p>
    <w:p w14:paraId="552B78BE">
      <w:pPr>
        <w:spacing w:line="600" w:lineRule="exact"/>
        <w:ind w:firstLine="600" w:firstLineChars="200"/>
        <w:rPr>
          <w:rFonts w:ascii="Calibri" w:hAnsi="Calibri" w:eastAsia="仿宋_GB2312"/>
          <w:bCs/>
          <w:sz w:val="30"/>
          <w:szCs w:val="30"/>
        </w:rPr>
      </w:pPr>
      <w:r>
        <w:rPr>
          <w:rFonts w:hint="eastAsia" w:ascii="Calibri" w:hAnsi="Calibri" w:eastAsia="仿宋_GB2312"/>
          <w:bCs/>
          <w:sz w:val="30"/>
          <w:szCs w:val="30"/>
        </w:rPr>
        <w:t>债券交易参与人应当主动建立多指标、差异化的债券现券交易价格比较基准体系，相关比较基准包括但不限于中债估值、中证估值及本所认可的其他公允指标，本所另有规定的除外。</w:t>
      </w:r>
    </w:p>
    <w:p w14:paraId="52D1086A">
      <w:pPr>
        <w:numPr>
          <w:ilvl w:val="2"/>
          <w:numId w:val="4"/>
        </w:numPr>
        <w:spacing w:line="600" w:lineRule="exact"/>
        <w:ind w:left="0" w:firstLine="0"/>
        <w:outlineLvl w:val="2"/>
        <w:rPr>
          <w:rFonts w:ascii="仿宋_GB2312" w:hAnsi="Cambria" w:eastAsia="仿宋_GB2312"/>
          <w:sz w:val="30"/>
          <w:szCs w:val="30"/>
        </w:rPr>
      </w:pPr>
      <w:r>
        <w:rPr>
          <w:rFonts w:hint="eastAsia" w:ascii="仿宋_GB2312" w:hAnsi="Cambria" w:eastAsia="仿宋_GB2312"/>
          <w:b/>
          <w:bCs/>
          <w:sz w:val="30"/>
          <w:szCs w:val="30"/>
        </w:rPr>
        <w:t>报告流程</w:t>
      </w:r>
    </w:p>
    <w:p w14:paraId="65C1917D">
      <w:pPr>
        <w:spacing w:line="600" w:lineRule="exact"/>
        <w:ind w:firstLine="600" w:firstLineChars="200"/>
        <w:rPr>
          <w:rFonts w:ascii="Calibri" w:hAnsi="Calibri" w:eastAsia="仿宋_GB2312"/>
          <w:bCs/>
          <w:sz w:val="30"/>
          <w:szCs w:val="30"/>
        </w:rPr>
      </w:pPr>
      <w:r>
        <w:rPr>
          <w:rFonts w:hint="eastAsia" w:ascii="Calibri" w:hAnsi="Calibri" w:eastAsia="仿宋_GB2312"/>
          <w:bCs/>
          <w:sz w:val="30"/>
          <w:szCs w:val="30"/>
        </w:rPr>
        <w:t>债券现券交易价格（净价）偏离交易当日日终相关比较基准超过</w:t>
      </w:r>
      <w:r>
        <w:rPr>
          <w:rFonts w:hint="eastAsia" w:ascii="仿宋_GB2312" w:hAnsi="Calibri" w:eastAsia="仿宋_GB2312"/>
          <w:bCs/>
          <w:sz w:val="30"/>
          <w:szCs w:val="30"/>
        </w:rPr>
        <w:t>2%（</w:t>
      </w:r>
      <w:r>
        <w:rPr>
          <w:rFonts w:hint="eastAsia" w:ascii="Calibri" w:hAnsi="Calibri" w:eastAsia="仿宋_GB2312"/>
          <w:bCs/>
          <w:sz w:val="30"/>
          <w:szCs w:val="30"/>
        </w:rPr>
        <w:t>含）的，交易双方的债券交易参与人应不晚于收盘后次一交易日向本所报告该笔交易。</w:t>
      </w:r>
    </w:p>
    <w:p w14:paraId="0864BEA3">
      <w:pPr>
        <w:spacing w:line="600" w:lineRule="exact"/>
        <w:ind w:firstLine="600" w:firstLineChars="200"/>
        <w:rPr>
          <w:rFonts w:ascii="Calibri" w:hAnsi="Calibri" w:eastAsia="仿宋_GB2312"/>
          <w:bCs/>
          <w:sz w:val="30"/>
          <w:szCs w:val="30"/>
        </w:rPr>
      </w:pPr>
      <w:r>
        <w:rPr>
          <w:rFonts w:hint="eastAsia" w:ascii="Calibri" w:hAnsi="Calibri" w:eastAsia="仿宋_GB2312"/>
          <w:bCs/>
          <w:sz w:val="30"/>
          <w:szCs w:val="30"/>
        </w:rPr>
        <w:t>若涉及价格偏离的交易一方或双方为经纪客户的，会员应当及时向相关经纪客户了解情况并按前款规定向本所报告该笔交易。</w:t>
      </w:r>
    </w:p>
    <w:p w14:paraId="4EE63C35">
      <w:pPr>
        <w:spacing w:line="600" w:lineRule="exact"/>
        <w:ind w:firstLine="600" w:firstLineChars="200"/>
        <w:rPr>
          <w:rFonts w:ascii="仿宋_GB2312" w:hAnsi="Cambria" w:eastAsia="仿宋_GB2312"/>
          <w:bCs/>
          <w:sz w:val="30"/>
          <w:szCs w:val="30"/>
        </w:rPr>
      </w:pPr>
      <w:r>
        <w:rPr>
          <w:rFonts w:hint="eastAsia" w:ascii="Calibri" w:hAnsi="Calibri" w:eastAsia="仿宋_GB2312"/>
          <w:bCs/>
          <w:sz w:val="30"/>
          <w:szCs w:val="30"/>
        </w:rPr>
        <w:t>债券交易参与人根据前款规定进行报告的，报告内容包括但不限于交易方的基本信息、交易要素、交易情况及价格偏离原因</w:t>
      </w:r>
      <w:r>
        <w:rPr>
          <w:rFonts w:hint="eastAsia" w:ascii="仿宋_GB2312" w:hAnsi="Cambria" w:eastAsia="仿宋_GB2312"/>
          <w:bCs/>
          <w:sz w:val="30"/>
          <w:szCs w:val="30"/>
        </w:rPr>
        <w:t>等。债券交易参与人应当将包含相关内容的债券交易情况说明表（详见附件42）</w:t>
      </w:r>
      <w:r>
        <w:fldChar w:fldCharType="begin"/>
      </w:r>
      <w:r>
        <w:instrText xml:space="preserve"> HYPERLINK "mailto:扫描版发送至bondtrading@sse.com.cn" </w:instrText>
      </w:r>
      <w:r>
        <w:fldChar w:fldCharType="separate"/>
      </w:r>
      <w:r>
        <w:rPr>
          <w:rFonts w:hint="eastAsia" w:ascii="仿宋_GB2312" w:hAnsi="Cambria" w:eastAsia="仿宋_GB2312"/>
          <w:bCs/>
          <w:sz w:val="30"/>
          <w:szCs w:val="30"/>
        </w:rPr>
        <w:t>通过债券信息监控及分析平台（</w:t>
      </w:r>
      <w:r>
        <w:rPr>
          <w:rFonts w:ascii="仿宋_GB2312" w:hAnsi="Cambria" w:eastAsia="仿宋_GB2312"/>
          <w:bCs/>
          <w:sz w:val="30"/>
          <w:szCs w:val="30"/>
        </w:rPr>
        <w:t>https://ebp.sse.com.cn/bmp/</w:t>
      </w:r>
      <w:r>
        <w:rPr>
          <w:rFonts w:hint="eastAsia" w:ascii="仿宋_GB2312" w:hAnsi="Cambria" w:eastAsia="仿宋_GB2312"/>
          <w:bCs/>
          <w:sz w:val="30"/>
          <w:szCs w:val="30"/>
        </w:rPr>
        <w:t>）提交</w:t>
      </w:r>
      <w:r>
        <w:rPr>
          <w:rFonts w:hint="eastAsia" w:ascii="仿宋_GB2312" w:hAnsi="Cambria" w:eastAsia="仿宋_GB2312"/>
          <w:bCs/>
          <w:sz w:val="30"/>
          <w:szCs w:val="30"/>
        </w:rPr>
        <w:fldChar w:fldCharType="end"/>
      </w:r>
      <w:r>
        <w:rPr>
          <w:rFonts w:hint="eastAsia" w:ascii="仿宋_GB2312" w:hAnsi="Cambria" w:eastAsia="仿宋_GB2312"/>
          <w:bCs/>
          <w:sz w:val="30"/>
          <w:szCs w:val="30"/>
        </w:rPr>
        <w:t>。</w:t>
      </w:r>
    </w:p>
    <w:p w14:paraId="5D760C0C">
      <w:pPr>
        <w:numPr>
          <w:ilvl w:val="2"/>
          <w:numId w:val="4"/>
        </w:numPr>
        <w:spacing w:line="600" w:lineRule="exact"/>
        <w:outlineLvl w:val="2"/>
        <w:rPr>
          <w:rFonts w:ascii="仿宋_GB2312" w:hAnsi="Cambria" w:eastAsia="仿宋_GB2312"/>
          <w:b/>
          <w:sz w:val="30"/>
          <w:szCs w:val="30"/>
        </w:rPr>
      </w:pPr>
      <w:r>
        <w:rPr>
          <w:rFonts w:hint="eastAsia" w:ascii="仿宋_GB2312" w:hAnsi="Cambria" w:eastAsia="仿宋_GB2312"/>
          <w:b/>
          <w:sz w:val="30"/>
          <w:szCs w:val="30"/>
        </w:rPr>
        <w:t>债券信息监控及分析平台使用说明</w:t>
      </w:r>
    </w:p>
    <w:p w14:paraId="2DB5FE26">
      <w:pPr>
        <w:spacing w:line="600" w:lineRule="exact"/>
        <w:ind w:firstLine="600" w:firstLineChars="200"/>
        <w:rPr>
          <w:rFonts w:ascii="仿宋_GB2312" w:hAnsi="Cambria" w:eastAsia="仿宋_GB2312"/>
          <w:sz w:val="30"/>
          <w:szCs w:val="30"/>
        </w:rPr>
      </w:pPr>
      <w:r>
        <w:rPr>
          <w:rFonts w:hint="eastAsia" w:ascii="仿宋_GB2312" w:hAnsi="Cambria" w:eastAsia="仿宋_GB2312"/>
          <w:sz w:val="30"/>
          <w:szCs w:val="30"/>
        </w:rPr>
        <w:t>债券信息监控及分析平台需使用上证通行证账号登录。账号</w:t>
      </w:r>
      <w:r>
        <w:rPr>
          <w:rFonts w:ascii="仿宋_GB2312" w:hAnsi="Cambria" w:eastAsia="仿宋_GB2312"/>
          <w:sz w:val="30"/>
          <w:szCs w:val="30"/>
        </w:rPr>
        <w:t>注册地址为</w:t>
      </w:r>
      <w:r>
        <w:rPr>
          <w:rFonts w:hint="eastAsia" w:ascii="仿宋_GB2312" w:hAnsi="Cambria" w:eastAsia="仿宋_GB2312"/>
          <w:sz w:val="30"/>
          <w:szCs w:val="30"/>
        </w:rPr>
        <w:t>https://passport.sseinfo.com/auth/goLogin。完成</w:t>
      </w:r>
      <w:r>
        <w:rPr>
          <w:rFonts w:ascii="仿宋_GB2312" w:hAnsi="Cambria" w:eastAsia="仿宋_GB2312"/>
          <w:sz w:val="30"/>
          <w:szCs w:val="30"/>
        </w:rPr>
        <w:t>上证通行证</w:t>
      </w:r>
      <w:r>
        <w:rPr>
          <w:rFonts w:hint="eastAsia" w:ascii="仿宋_GB2312" w:hAnsi="Cambria" w:eastAsia="仿宋_GB2312"/>
          <w:sz w:val="30"/>
          <w:szCs w:val="30"/>
          <w:lang w:eastAsia="zh-CN"/>
        </w:rPr>
        <w:t>账</w:t>
      </w:r>
      <w:r>
        <w:rPr>
          <w:rFonts w:ascii="仿宋_GB2312" w:hAnsi="Cambria" w:eastAsia="仿宋_GB2312"/>
          <w:sz w:val="30"/>
          <w:szCs w:val="30"/>
        </w:rPr>
        <w:t>号注册后，</w:t>
      </w:r>
      <w:r>
        <w:rPr>
          <w:rFonts w:hint="eastAsia" w:ascii="仿宋_GB2312" w:hAnsi="Cambria" w:eastAsia="仿宋_GB2312"/>
          <w:sz w:val="30"/>
          <w:szCs w:val="30"/>
        </w:rPr>
        <w:t>需要将真实姓名、</w:t>
      </w:r>
      <w:r>
        <w:rPr>
          <w:rFonts w:ascii="仿宋_GB2312" w:hAnsi="Cambria" w:eastAsia="仿宋_GB2312"/>
          <w:sz w:val="30"/>
          <w:szCs w:val="30"/>
        </w:rPr>
        <w:t>注册使用的手机号、机构名称等注册</w:t>
      </w:r>
      <w:r>
        <w:rPr>
          <w:rFonts w:hint="eastAsia" w:ascii="仿宋_GB2312" w:hAnsi="Cambria" w:eastAsia="仿宋_GB2312"/>
          <w:sz w:val="30"/>
          <w:szCs w:val="30"/>
        </w:rPr>
        <w:t>信息</w:t>
      </w:r>
      <w:r>
        <w:rPr>
          <w:rFonts w:ascii="仿宋_GB2312" w:hAnsi="Cambria" w:eastAsia="仿宋_GB2312"/>
          <w:sz w:val="30"/>
          <w:szCs w:val="30"/>
        </w:rPr>
        <w:t>通过邮箱</w:t>
      </w:r>
      <w:r>
        <w:rPr>
          <w:rFonts w:hint="eastAsia" w:ascii="仿宋_GB2312" w:hAnsi="Cambria" w:eastAsia="仿宋_GB2312"/>
          <w:sz w:val="30"/>
          <w:szCs w:val="30"/>
        </w:rPr>
        <w:t>（bondtrading@sse.com.cn）提交至本所管理员处。</w:t>
      </w:r>
    </w:p>
    <w:p w14:paraId="5CC6147E">
      <w:pPr>
        <w:spacing w:line="600" w:lineRule="exact"/>
        <w:ind w:firstLine="600" w:firstLineChars="200"/>
        <w:rPr>
          <w:rFonts w:ascii="仿宋_GB2312" w:hAnsi="Cambria" w:eastAsia="仿宋_GB2312"/>
          <w:sz w:val="30"/>
          <w:szCs w:val="30"/>
        </w:rPr>
      </w:pPr>
      <w:r>
        <w:rPr>
          <w:rFonts w:hint="eastAsia" w:ascii="仿宋_GB2312" w:hAnsi="Cambria" w:eastAsia="仿宋_GB2312"/>
          <w:sz w:val="30"/>
          <w:szCs w:val="30"/>
        </w:rPr>
        <w:t>本所管理员给通行证开通相关角色权限之后，方可登录并使用债券信息监控及分析平台。</w:t>
      </w:r>
    </w:p>
    <w:p w14:paraId="134F1C33">
      <w:pPr>
        <w:numPr>
          <w:ilvl w:val="2"/>
          <w:numId w:val="4"/>
        </w:numPr>
        <w:spacing w:line="600" w:lineRule="exact"/>
        <w:ind w:left="0" w:firstLine="0"/>
        <w:outlineLvl w:val="2"/>
        <w:rPr>
          <w:rFonts w:ascii="仿宋_GB2312" w:hAnsi="Cambria" w:eastAsia="仿宋_GB2312"/>
          <w:b/>
          <w:sz w:val="30"/>
          <w:szCs w:val="30"/>
        </w:rPr>
      </w:pPr>
      <w:r>
        <w:rPr>
          <w:rFonts w:hint="eastAsia" w:ascii="仿宋_GB2312" w:hAnsi="Cambria" w:eastAsia="仿宋_GB2312"/>
          <w:b/>
          <w:bCs/>
          <w:sz w:val="30"/>
          <w:szCs w:val="30"/>
        </w:rPr>
        <w:t>除外情形</w:t>
      </w:r>
    </w:p>
    <w:p w14:paraId="794CECD0">
      <w:pPr>
        <w:spacing w:line="600" w:lineRule="exact"/>
        <w:ind w:firstLine="600" w:firstLineChars="200"/>
        <w:rPr>
          <w:rFonts w:ascii="仿宋_GB2312" w:hAnsi="Cambria" w:eastAsia="仿宋_GB2312"/>
          <w:sz w:val="30"/>
          <w:szCs w:val="30"/>
        </w:rPr>
      </w:pPr>
      <w:r>
        <w:rPr>
          <w:rFonts w:hint="eastAsia" w:ascii="仿宋_GB2312" w:hAnsi="Cambria" w:eastAsia="仿宋_GB2312"/>
          <w:bCs/>
          <w:sz w:val="30"/>
          <w:szCs w:val="30"/>
        </w:rPr>
        <w:t>采用匹配成交、竞买成交方式达成的债券交易，特定债券的转让以及本所认可的其他情形，无需提交价格偏离报告。</w:t>
      </w:r>
    </w:p>
    <w:p w14:paraId="705FAF40">
      <w:pPr>
        <w:numPr>
          <w:ilvl w:val="1"/>
          <w:numId w:val="4"/>
        </w:numPr>
        <w:spacing w:line="600" w:lineRule="exact"/>
        <w:ind w:left="0" w:firstLine="0"/>
        <w:outlineLvl w:val="1"/>
        <w:rPr>
          <w:rFonts w:ascii="仿宋_GB2312" w:eastAsia="仿宋_GB2312"/>
          <w:b/>
          <w:sz w:val="30"/>
          <w:szCs w:val="30"/>
        </w:rPr>
      </w:pPr>
      <w:bookmarkStart w:id="3672" w:name="_Toc917548944"/>
      <w:bookmarkStart w:id="3673" w:name="_Toc151137072"/>
      <w:bookmarkStart w:id="3674" w:name="_Toc56166317"/>
      <w:bookmarkStart w:id="3675" w:name="_Toc304825641"/>
      <w:bookmarkStart w:id="3676" w:name="_Toc364663108"/>
      <w:bookmarkStart w:id="3677" w:name="_Toc56166128"/>
      <w:bookmarkStart w:id="3678" w:name="_Toc827741417"/>
      <w:r>
        <w:rPr>
          <w:rFonts w:hint="eastAsia" w:ascii="仿宋_GB2312" w:eastAsia="仿宋_GB2312"/>
          <w:b/>
          <w:sz w:val="30"/>
          <w:szCs w:val="30"/>
        </w:rPr>
        <w:t>日常工作措施、监管措施和纪律处分</w:t>
      </w:r>
      <w:bookmarkEnd w:id="3672"/>
      <w:bookmarkEnd w:id="3673"/>
      <w:bookmarkEnd w:id="3674"/>
      <w:bookmarkEnd w:id="3675"/>
      <w:bookmarkEnd w:id="3676"/>
      <w:bookmarkEnd w:id="3677"/>
      <w:bookmarkEnd w:id="3678"/>
    </w:p>
    <w:p w14:paraId="129472B7">
      <w:pPr>
        <w:numPr>
          <w:ilvl w:val="2"/>
          <w:numId w:val="4"/>
        </w:numPr>
        <w:spacing w:line="600" w:lineRule="exact"/>
        <w:ind w:left="0" w:firstLine="0"/>
        <w:outlineLvl w:val="2"/>
        <w:rPr>
          <w:rFonts w:ascii="仿宋_GB2312" w:hAnsi="Calibri" w:eastAsia="仿宋_GB2312"/>
          <w:b/>
          <w:sz w:val="30"/>
          <w:szCs w:val="30"/>
        </w:rPr>
      </w:pPr>
      <w:r>
        <w:rPr>
          <w:rFonts w:hint="eastAsia" w:ascii="仿宋_GB2312" w:eastAsia="仿宋_GB2312"/>
          <w:b/>
          <w:sz w:val="30"/>
          <w:szCs w:val="30"/>
        </w:rPr>
        <w:t>监管</w:t>
      </w:r>
      <w:r>
        <w:rPr>
          <w:rFonts w:hint="eastAsia" w:ascii="仿宋_GB2312" w:hAnsi="Calibri" w:eastAsia="仿宋_GB2312"/>
          <w:b/>
          <w:sz w:val="30"/>
          <w:szCs w:val="30"/>
        </w:rPr>
        <w:t>对象</w:t>
      </w:r>
    </w:p>
    <w:p w14:paraId="4BEED084">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债券交易参与人、债券做市商、其他债券投资者、为债券交易提供专业服务的机构及其相关人员等监管对象应当接受本所的自律监管。</w:t>
      </w:r>
    </w:p>
    <w:p w14:paraId="1EF4ACF4">
      <w:pPr>
        <w:spacing w:line="600" w:lineRule="exact"/>
        <w:ind w:firstLine="600" w:firstLineChars="200"/>
        <w:jc w:val="left"/>
        <w:rPr>
          <w:rFonts w:ascii="仿宋_GB2312" w:hAnsi="Calibri" w:eastAsia="仿宋_GB2312"/>
          <w:sz w:val="30"/>
          <w:szCs w:val="30"/>
        </w:rPr>
      </w:pPr>
      <w:r>
        <w:rPr>
          <w:rFonts w:hint="eastAsia" w:ascii="仿宋_GB2312" w:hAnsi="Cambria" w:eastAsia="仿宋_GB2312"/>
          <w:bCs/>
          <w:sz w:val="30"/>
          <w:szCs w:val="30"/>
        </w:rPr>
        <w:t>监管对象违反《债券交易规则》或者本所其他债券交易相关规定的，本所可以采取日常工作措施、监管措施及纪律处分措施。</w:t>
      </w:r>
    </w:p>
    <w:p w14:paraId="2C0D0564">
      <w:pPr>
        <w:numPr>
          <w:ilvl w:val="2"/>
          <w:numId w:val="4"/>
        </w:numPr>
        <w:spacing w:line="600" w:lineRule="exact"/>
        <w:ind w:left="0" w:firstLine="0"/>
        <w:outlineLvl w:val="2"/>
        <w:rPr>
          <w:rFonts w:ascii="仿宋_GB2312" w:hAnsi="Cambria" w:eastAsia="仿宋_GB2312"/>
          <w:b/>
          <w:bCs/>
          <w:sz w:val="30"/>
          <w:szCs w:val="30"/>
        </w:rPr>
      </w:pPr>
      <w:r>
        <w:rPr>
          <w:rFonts w:hint="eastAsia" w:ascii="仿宋_GB2312" w:hAnsi="Cambria" w:eastAsia="仿宋_GB2312"/>
          <w:b/>
          <w:bCs/>
          <w:sz w:val="30"/>
          <w:szCs w:val="30"/>
        </w:rPr>
        <w:t>日常工作措施</w:t>
      </w:r>
    </w:p>
    <w:p w14:paraId="65A7823D">
      <w:pPr>
        <w:spacing w:line="600" w:lineRule="exact"/>
        <w:ind w:firstLine="600" w:firstLineChars="200"/>
        <w:rPr>
          <w:rFonts w:ascii="仿宋_GB2312" w:hAnsi="Cambria" w:eastAsia="仿宋_GB2312"/>
          <w:bCs/>
          <w:sz w:val="30"/>
          <w:szCs w:val="30"/>
        </w:rPr>
      </w:pPr>
      <w:r>
        <w:rPr>
          <w:rFonts w:hint="eastAsia" w:ascii="仿宋_GB2312" w:hAnsi="Cambria" w:eastAsia="仿宋_GB2312"/>
          <w:bCs/>
          <w:sz w:val="30"/>
          <w:szCs w:val="30"/>
        </w:rPr>
        <w:t>本所可以对监管对象单独或者合并采取下列日常工作措施，监管对象应当予以配合：</w:t>
      </w:r>
    </w:p>
    <w:p w14:paraId="30FA588D">
      <w:pPr>
        <w:spacing w:line="600" w:lineRule="exact"/>
        <w:ind w:firstLine="600" w:firstLineChars="200"/>
        <w:rPr>
          <w:rFonts w:ascii="仿宋_GB2312" w:hAnsi="Cambria" w:eastAsia="仿宋_GB2312"/>
          <w:bCs/>
          <w:sz w:val="30"/>
          <w:szCs w:val="30"/>
        </w:rPr>
      </w:pPr>
      <w:r>
        <w:rPr>
          <w:rFonts w:hint="eastAsia" w:ascii="仿宋_GB2312" w:hAnsi="Cambria" w:eastAsia="仿宋_GB2312"/>
          <w:bCs/>
          <w:sz w:val="30"/>
          <w:szCs w:val="30"/>
        </w:rPr>
        <w:t>（1）</w:t>
      </w:r>
      <w:r>
        <w:rPr>
          <w:rFonts w:ascii="仿宋_GB2312" w:hAnsi="Cambria" w:eastAsia="仿宋_GB2312"/>
          <w:bCs/>
          <w:sz w:val="30"/>
          <w:szCs w:val="30"/>
        </w:rPr>
        <w:tab/>
      </w:r>
      <w:r>
        <w:rPr>
          <w:rFonts w:hint="eastAsia" w:ascii="仿宋_GB2312" w:hAnsi="Cambria" w:eastAsia="仿宋_GB2312"/>
          <w:bCs/>
          <w:sz w:val="30"/>
          <w:szCs w:val="30"/>
        </w:rPr>
        <w:t>要求对有关问题作出解释和说明；</w:t>
      </w:r>
    </w:p>
    <w:p w14:paraId="271A0C82">
      <w:pPr>
        <w:spacing w:line="600" w:lineRule="exact"/>
        <w:ind w:firstLine="600" w:firstLineChars="200"/>
        <w:rPr>
          <w:rFonts w:ascii="仿宋_GB2312" w:hAnsi="Cambria" w:eastAsia="仿宋_GB2312"/>
          <w:bCs/>
          <w:sz w:val="30"/>
          <w:szCs w:val="30"/>
        </w:rPr>
      </w:pPr>
      <w:r>
        <w:rPr>
          <w:rFonts w:hint="eastAsia" w:ascii="仿宋_GB2312" w:hAnsi="Cambria" w:eastAsia="仿宋_GB2312"/>
          <w:bCs/>
          <w:sz w:val="30"/>
          <w:szCs w:val="30"/>
        </w:rPr>
        <w:t>（2）</w:t>
      </w:r>
      <w:r>
        <w:rPr>
          <w:rFonts w:ascii="仿宋_GB2312" w:hAnsi="Cambria" w:eastAsia="仿宋_GB2312"/>
          <w:bCs/>
          <w:sz w:val="30"/>
          <w:szCs w:val="30"/>
        </w:rPr>
        <w:tab/>
      </w:r>
      <w:r>
        <w:rPr>
          <w:rFonts w:hint="eastAsia" w:ascii="仿宋_GB2312" w:hAnsi="Cambria" w:eastAsia="仿宋_GB2312"/>
          <w:bCs/>
          <w:sz w:val="30"/>
          <w:szCs w:val="30"/>
        </w:rPr>
        <w:t>要求提供相关文件或资料；</w:t>
      </w:r>
    </w:p>
    <w:p w14:paraId="3DBA4E8C">
      <w:pPr>
        <w:spacing w:line="600" w:lineRule="exact"/>
        <w:ind w:firstLine="600" w:firstLineChars="200"/>
        <w:rPr>
          <w:rFonts w:ascii="仿宋_GB2312" w:hAnsi="Cambria" w:eastAsia="仿宋_GB2312"/>
          <w:bCs/>
          <w:sz w:val="30"/>
          <w:szCs w:val="30"/>
        </w:rPr>
      </w:pPr>
      <w:r>
        <w:rPr>
          <w:rFonts w:hint="eastAsia" w:ascii="仿宋_GB2312" w:hAnsi="Cambria" w:eastAsia="仿宋_GB2312"/>
          <w:bCs/>
          <w:sz w:val="30"/>
          <w:szCs w:val="30"/>
        </w:rPr>
        <w:t>（3）</w:t>
      </w:r>
      <w:r>
        <w:rPr>
          <w:rFonts w:ascii="仿宋_GB2312" w:hAnsi="Cambria" w:eastAsia="仿宋_GB2312"/>
          <w:bCs/>
          <w:sz w:val="30"/>
          <w:szCs w:val="30"/>
        </w:rPr>
        <w:tab/>
      </w:r>
      <w:r>
        <w:rPr>
          <w:rFonts w:hint="eastAsia" w:ascii="仿宋_GB2312" w:hAnsi="Cambria" w:eastAsia="仿宋_GB2312"/>
          <w:bCs/>
          <w:sz w:val="30"/>
          <w:szCs w:val="30"/>
        </w:rPr>
        <w:t>约见有关人员；</w:t>
      </w:r>
    </w:p>
    <w:p w14:paraId="175C25B3">
      <w:pPr>
        <w:spacing w:line="600" w:lineRule="exact"/>
        <w:ind w:firstLine="600" w:firstLineChars="200"/>
        <w:rPr>
          <w:rFonts w:ascii="仿宋_GB2312" w:hAnsi="Cambria" w:eastAsia="仿宋_GB2312"/>
          <w:bCs/>
          <w:sz w:val="30"/>
          <w:szCs w:val="30"/>
        </w:rPr>
      </w:pPr>
      <w:r>
        <w:rPr>
          <w:rFonts w:hint="eastAsia" w:ascii="仿宋_GB2312" w:hAnsi="Cambria" w:eastAsia="仿宋_GB2312"/>
          <w:bCs/>
          <w:sz w:val="30"/>
          <w:szCs w:val="30"/>
        </w:rPr>
        <w:t>（4）</w:t>
      </w:r>
      <w:r>
        <w:rPr>
          <w:rFonts w:ascii="仿宋_GB2312" w:hAnsi="Cambria" w:eastAsia="仿宋_GB2312"/>
          <w:bCs/>
          <w:sz w:val="30"/>
          <w:szCs w:val="30"/>
        </w:rPr>
        <w:tab/>
      </w:r>
      <w:r>
        <w:rPr>
          <w:rFonts w:hint="eastAsia" w:ascii="仿宋_GB2312" w:hAnsi="Cambria" w:eastAsia="仿宋_GB2312"/>
          <w:bCs/>
          <w:sz w:val="30"/>
          <w:szCs w:val="30"/>
        </w:rPr>
        <w:t>调阅、查看交易相关资料；</w:t>
      </w:r>
    </w:p>
    <w:p w14:paraId="5EFFB166">
      <w:pPr>
        <w:spacing w:line="600" w:lineRule="exact"/>
        <w:ind w:firstLine="600" w:firstLineChars="200"/>
        <w:rPr>
          <w:rFonts w:ascii="仿宋_GB2312" w:hAnsi="Cambria" w:eastAsia="仿宋_GB2312"/>
          <w:bCs/>
          <w:sz w:val="30"/>
          <w:szCs w:val="30"/>
        </w:rPr>
      </w:pPr>
      <w:r>
        <w:rPr>
          <w:rFonts w:hint="eastAsia" w:ascii="仿宋_GB2312" w:hAnsi="Cambria" w:eastAsia="仿宋_GB2312"/>
          <w:bCs/>
          <w:sz w:val="30"/>
          <w:szCs w:val="30"/>
        </w:rPr>
        <w:t>（5）</w:t>
      </w:r>
      <w:r>
        <w:rPr>
          <w:rFonts w:ascii="仿宋_GB2312" w:hAnsi="Cambria" w:eastAsia="仿宋_GB2312"/>
          <w:bCs/>
          <w:sz w:val="30"/>
          <w:szCs w:val="30"/>
        </w:rPr>
        <w:tab/>
      </w:r>
      <w:r>
        <w:rPr>
          <w:rFonts w:hint="eastAsia" w:ascii="仿宋_GB2312" w:hAnsi="Cambria" w:eastAsia="仿宋_GB2312"/>
          <w:bCs/>
          <w:sz w:val="30"/>
          <w:szCs w:val="30"/>
        </w:rPr>
        <w:t>发出规范交易建议书；</w:t>
      </w:r>
    </w:p>
    <w:p w14:paraId="3296B7AC">
      <w:pPr>
        <w:spacing w:line="600" w:lineRule="exact"/>
        <w:ind w:firstLine="600" w:firstLineChars="200"/>
        <w:rPr>
          <w:rFonts w:ascii="仿宋_GB2312" w:hAnsi="Cambria" w:eastAsia="仿宋_GB2312"/>
          <w:bCs/>
          <w:sz w:val="30"/>
          <w:szCs w:val="30"/>
        </w:rPr>
      </w:pPr>
      <w:r>
        <w:rPr>
          <w:rFonts w:hint="eastAsia" w:ascii="仿宋_GB2312" w:hAnsi="Cambria" w:eastAsia="仿宋_GB2312"/>
          <w:bCs/>
          <w:sz w:val="30"/>
          <w:szCs w:val="30"/>
        </w:rPr>
        <w:t>（6）</w:t>
      </w:r>
      <w:r>
        <w:rPr>
          <w:rFonts w:ascii="仿宋_GB2312" w:hAnsi="Cambria" w:eastAsia="仿宋_GB2312"/>
          <w:bCs/>
          <w:sz w:val="30"/>
          <w:szCs w:val="30"/>
        </w:rPr>
        <w:tab/>
      </w:r>
      <w:r>
        <w:rPr>
          <w:rFonts w:hint="eastAsia" w:ascii="仿宋_GB2312" w:hAnsi="Cambria" w:eastAsia="仿宋_GB2312"/>
          <w:bCs/>
          <w:sz w:val="30"/>
          <w:szCs w:val="30"/>
        </w:rPr>
        <w:t>向有关单位通报相关情况；</w:t>
      </w:r>
    </w:p>
    <w:p w14:paraId="61CB3B33">
      <w:pPr>
        <w:spacing w:line="600" w:lineRule="exact"/>
        <w:ind w:firstLine="600" w:firstLineChars="200"/>
        <w:rPr>
          <w:rFonts w:ascii="仿宋_GB2312" w:hAnsi="Cambria" w:eastAsia="仿宋_GB2312"/>
          <w:bCs/>
          <w:sz w:val="30"/>
          <w:szCs w:val="30"/>
        </w:rPr>
      </w:pPr>
      <w:r>
        <w:rPr>
          <w:rFonts w:hint="eastAsia" w:ascii="仿宋_GB2312" w:hAnsi="Cambria" w:eastAsia="仿宋_GB2312"/>
          <w:bCs/>
          <w:sz w:val="30"/>
          <w:szCs w:val="30"/>
        </w:rPr>
        <w:t>（7）</w:t>
      </w:r>
      <w:r>
        <w:rPr>
          <w:rFonts w:ascii="仿宋_GB2312" w:hAnsi="Cambria" w:eastAsia="仿宋_GB2312"/>
          <w:bCs/>
          <w:sz w:val="30"/>
          <w:szCs w:val="30"/>
        </w:rPr>
        <w:tab/>
      </w:r>
      <w:r>
        <w:rPr>
          <w:rFonts w:hint="eastAsia" w:ascii="仿宋_GB2312" w:hAnsi="Cambria" w:eastAsia="仿宋_GB2312"/>
          <w:bCs/>
          <w:sz w:val="30"/>
          <w:szCs w:val="30"/>
        </w:rPr>
        <w:t>其他日常工作措施。</w:t>
      </w:r>
    </w:p>
    <w:p w14:paraId="396B3B9A">
      <w:pPr>
        <w:numPr>
          <w:ilvl w:val="2"/>
          <w:numId w:val="4"/>
        </w:numPr>
        <w:spacing w:line="600" w:lineRule="exact"/>
        <w:ind w:left="0" w:firstLine="0"/>
        <w:outlineLvl w:val="2"/>
        <w:rPr>
          <w:rFonts w:ascii="仿宋_GB2312" w:hAnsi="Cambria" w:eastAsia="仿宋_GB2312"/>
          <w:b/>
          <w:bCs/>
          <w:sz w:val="30"/>
          <w:szCs w:val="30"/>
        </w:rPr>
      </w:pPr>
      <w:r>
        <w:rPr>
          <w:rFonts w:hint="eastAsia" w:ascii="仿宋_GB2312" w:hAnsi="Cambria" w:eastAsia="仿宋_GB2312"/>
          <w:b/>
          <w:bCs/>
          <w:sz w:val="30"/>
          <w:szCs w:val="30"/>
        </w:rPr>
        <w:t>现场</w:t>
      </w:r>
      <w:r>
        <w:rPr>
          <w:rFonts w:hint="eastAsia" w:ascii="仿宋_GB2312" w:eastAsia="仿宋_GB2312"/>
          <w:b/>
          <w:sz w:val="30"/>
          <w:szCs w:val="30"/>
        </w:rPr>
        <w:t>检查</w:t>
      </w:r>
      <w:r>
        <w:rPr>
          <w:rFonts w:hint="eastAsia" w:ascii="仿宋_GB2312" w:hAnsi="Cambria" w:eastAsia="仿宋_GB2312"/>
          <w:b/>
          <w:bCs/>
          <w:sz w:val="30"/>
          <w:szCs w:val="30"/>
        </w:rPr>
        <w:t>和非现场检查</w:t>
      </w:r>
    </w:p>
    <w:p w14:paraId="366F656E">
      <w:pPr>
        <w:spacing w:line="600" w:lineRule="exact"/>
        <w:ind w:firstLine="600" w:firstLineChars="200"/>
        <w:rPr>
          <w:rFonts w:ascii="仿宋_GB2312" w:hAnsi="Cambria" w:eastAsia="仿宋_GB2312"/>
          <w:bCs/>
          <w:sz w:val="30"/>
          <w:szCs w:val="30"/>
        </w:rPr>
      </w:pPr>
      <w:r>
        <w:rPr>
          <w:rFonts w:hint="eastAsia" w:ascii="仿宋_GB2312" w:hAnsi="Cambria" w:eastAsia="仿宋_GB2312"/>
          <w:bCs/>
          <w:sz w:val="30"/>
          <w:szCs w:val="30"/>
        </w:rPr>
        <w:t>本所可以根据需要对监管对象进行非现场检查和现场检查。相关监管对象应当配合本所进行相关检查，真实、准确、完整、及时地提供有关文件和资料，说明相关情况。</w:t>
      </w:r>
    </w:p>
    <w:p w14:paraId="787F5627">
      <w:pPr>
        <w:spacing w:line="600" w:lineRule="exact"/>
        <w:ind w:firstLine="600" w:firstLineChars="200"/>
        <w:rPr>
          <w:rFonts w:ascii="仿宋_GB2312" w:hAnsi="Cambria" w:eastAsia="仿宋_GB2312"/>
          <w:bCs/>
          <w:sz w:val="30"/>
          <w:szCs w:val="30"/>
        </w:rPr>
      </w:pPr>
      <w:r>
        <w:rPr>
          <w:rFonts w:hint="eastAsia" w:ascii="仿宋_GB2312" w:hAnsi="Cambria" w:eastAsia="仿宋_GB2312"/>
          <w:bCs/>
          <w:sz w:val="30"/>
          <w:szCs w:val="30"/>
        </w:rPr>
        <w:t>前款所述现场检查，是指本所在监管对象从事本规则规定的债券交易、提供专业服务的场所以及其他相关场所，采取查阅、复制文件和资料、查看实物、谈话及询问等方式，对监管对象的债券交易、提供专业服务及相关业务开展的规范运作情况或者履职情况进行监督检查。</w:t>
      </w:r>
    </w:p>
    <w:p w14:paraId="5402C840">
      <w:pPr>
        <w:numPr>
          <w:ilvl w:val="2"/>
          <w:numId w:val="4"/>
        </w:numPr>
        <w:spacing w:line="600" w:lineRule="exact"/>
        <w:ind w:left="0" w:firstLine="0"/>
        <w:outlineLvl w:val="2"/>
        <w:rPr>
          <w:rFonts w:ascii="仿宋_GB2312" w:hAnsi="Cambria" w:eastAsia="仿宋_GB2312"/>
          <w:b/>
          <w:bCs/>
          <w:sz w:val="30"/>
          <w:szCs w:val="30"/>
        </w:rPr>
      </w:pPr>
      <w:r>
        <w:rPr>
          <w:rFonts w:hint="eastAsia" w:ascii="仿宋_GB2312" w:hAnsi="Cambria" w:eastAsia="仿宋_GB2312"/>
          <w:b/>
          <w:bCs/>
          <w:sz w:val="30"/>
          <w:szCs w:val="30"/>
        </w:rPr>
        <w:t>报请中国</w:t>
      </w:r>
      <w:r>
        <w:rPr>
          <w:rFonts w:hint="eastAsia" w:ascii="仿宋_GB2312" w:eastAsia="仿宋_GB2312"/>
          <w:b/>
          <w:sz w:val="30"/>
          <w:szCs w:val="30"/>
        </w:rPr>
        <w:t>证监会</w:t>
      </w:r>
      <w:r>
        <w:rPr>
          <w:rFonts w:hint="eastAsia" w:ascii="仿宋_GB2312" w:hAnsi="Cambria" w:eastAsia="仿宋_GB2312"/>
          <w:b/>
          <w:bCs/>
          <w:sz w:val="30"/>
          <w:szCs w:val="30"/>
        </w:rPr>
        <w:t>查处</w:t>
      </w:r>
    </w:p>
    <w:p w14:paraId="1CEA874A">
      <w:pPr>
        <w:spacing w:line="600" w:lineRule="exact"/>
        <w:ind w:firstLine="600" w:firstLineChars="200"/>
        <w:rPr>
          <w:rFonts w:ascii="仿宋_GB2312" w:hAnsi="Cambria" w:eastAsia="仿宋_GB2312"/>
          <w:bCs/>
          <w:sz w:val="30"/>
          <w:szCs w:val="30"/>
        </w:rPr>
      </w:pPr>
      <w:r>
        <w:rPr>
          <w:rFonts w:hint="eastAsia" w:ascii="仿宋_GB2312" w:hAnsi="Cambria" w:eastAsia="仿宋_GB2312"/>
          <w:bCs/>
          <w:sz w:val="30"/>
          <w:szCs w:val="30"/>
        </w:rPr>
        <w:t>监管对象违反法律、行政法规、部门规章、规范性文件和本所相关业务规则规定或者严重扰乱市场交易秩序的，本所可以报请中国证监会冻结相关证券账户、资金账户，</w:t>
      </w:r>
      <w:r>
        <w:rPr>
          <w:rFonts w:hint="eastAsia" w:ascii="仿宋_GB2312" w:hAnsi="Cambria" w:eastAsia="仿宋_GB2312"/>
          <w:sz w:val="30"/>
          <w:szCs w:val="30"/>
        </w:rPr>
        <w:t>或者报请中国证监会查处</w:t>
      </w:r>
      <w:r>
        <w:rPr>
          <w:rFonts w:hint="eastAsia" w:ascii="仿宋_GB2312" w:hAnsi="Cambria" w:eastAsia="仿宋_GB2312"/>
          <w:bCs/>
          <w:sz w:val="30"/>
          <w:szCs w:val="30"/>
        </w:rPr>
        <w:t>。</w:t>
      </w:r>
    </w:p>
    <w:p w14:paraId="66C9B712">
      <w:pPr>
        <w:numPr>
          <w:ilvl w:val="2"/>
          <w:numId w:val="4"/>
        </w:numPr>
        <w:spacing w:line="600" w:lineRule="exact"/>
        <w:ind w:left="0" w:firstLine="0"/>
        <w:outlineLvl w:val="2"/>
        <w:rPr>
          <w:rFonts w:ascii="仿宋_GB2312" w:hAnsi="Cambria" w:eastAsia="仿宋_GB2312"/>
          <w:b/>
          <w:bCs/>
          <w:sz w:val="30"/>
          <w:szCs w:val="30"/>
        </w:rPr>
      </w:pPr>
      <w:r>
        <w:rPr>
          <w:rFonts w:hint="eastAsia" w:ascii="仿宋_GB2312" w:hAnsi="Cambria" w:eastAsia="仿宋_GB2312"/>
          <w:b/>
          <w:bCs/>
          <w:sz w:val="30"/>
          <w:szCs w:val="30"/>
        </w:rPr>
        <w:t>监管措施</w:t>
      </w:r>
    </w:p>
    <w:p w14:paraId="59F35364">
      <w:pPr>
        <w:spacing w:line="600" w:lineRule="exact"/>
        <w:ind w:firstLine="600" w:firstLineChars="200"/>
        <w:rPr>
          <w:rFonts w:ascii="仿宋_GB2312" w:hAnsi="Cambria" w:eastAsia="仿宋_GB2312"/>
          <w:bCs/>
          <w:sz w:val="30"/>
          <w:szCs w:val="30"/>
        </w:rPr>
      </w:pPr>
      <w:r>
        <w:rPr>
          <w:rFonts w:hint="eastAsia" w:ascii="仿宋_GB2312" w:hAnsi="Cambria" w:eastAsia="仿宋_GB2312"/>
          <w:bCs/>
          <w:sz w:val="30"/>
          <w:szCs w:val="30"/>
        </w:rPr>
        <w:t>监管对象违反本所债券交易及相关业务规则规定的，本所可以视情节轻重对其采取下列监管措施：</w:t>
      </w:r>
    </w:p>
    <w:p w14:paraId="444BE6DC">
      <w:pPr>
        <w:numPr>
          <w:ilvl w:val="0"/>
          <w:numId w:val="23"/>
        </w:numPr>
        <w:spacing w:line="600" w:lineRule="exact"/>
        <w:ind w:left="567" w:firstLine="13"/>
        <w:jc w:val="left"/>
        <w:rPr>
          <w:rFonts w:ascii="仿宋_GB2312" w:hAnsi="Cambria" w:eastAsia="仿宋_GB2312"/>
          <w:bCs/>
          <w:sz w:val="30"/>
          <w:szCs w:val="30"/>
        </w:rPr>
      </w:pPr>
      <w:r>
        <w:rPr>
          <w:rFonts w:hint="eastAsia" w:ascii="仿宋_GB2312" w:hAnsi="Cambria" w:eastAsia="仿宋_GB2312"/>
          <w:bCs/>
          <w:sz w:val="30"/>
          <w:szCs w:val="30"/>
        </w:rPr>
        <w:t>口头警示；</w:t>
      </w:r>
    </w:p>
    <w:p w14:paraId="1E38FF0E">
      <w:pPr>
        <w:numPr>
          <w:ilvl w:val="0"/>
          <w:numId w:val="23"/>
        </w:numPr>
        <w:spacing w:line="600" w:lineRule="exact"/>
        <w:ind w:left="567" w:firstLine="13"/>
        <w:jc w:val="left"/>
        <w:rPr>
          <w:rFonts w:ascii="仿宋_GB2312" w:hAnsi="Cambria" w:eastAsia="仿宋_GB2312"/>
          <w:bCs/>
          <w:sz w:val="30"/>
          <w:szCs w:val="30"/>
        </w:rPr>
      </w:pPr>
      <w:r>
        <w:rPr>
          <w:rFonts w:hint="eastAsia" w:ascii="仿宋_GB2312" w:hAnsi="Cambria" w:eastAsia="仿宋_GB2312"/>
          <w:bCs/>
          <w:sz w:val="30"/>
          <w:szCs w:val="30"/>
        </w:rPr>
        <w:t>书面警示；</w:t>
      </w:r>
    </w:p>
    <w:p w14:paraId="2CB20DF4">
      <w:pPr>
        <w:numPr>
          <w:ilvl w:val="0"/>
          <w:numId w:val="23"/>
        </w:numPr>
        <w:spacing w:line="600" w:lineRule="exact"/>
        <w:ind w:left="567" w:firstLine="13"/>
        <w:jc w:val="left"/>
        <w:rPr>
          <w:rFonts w:ascii="仿宋_GB2312" w:hAnsi="Cambria" w:eastAsia="仿宋_GB2312"/>
          <w:bCs/>
          <w:sz w:val="30"/>
          <w:szCs w:val="30"/>
        </w:rPr>
      </w:pPr>
      <w:r>
        <w:rPr>
          <w:rFonts w:hint="eastAsia" w:ascii="仿宋_GB2312" w:hAnsi="Cambria" w:eastAsia="仿宋_GB2312"/>
          <w:bCs/>
          <w:sz w:val="30"/>
          <w:szCs w:val="30"/>
        </w:rPr>
        <w:t>监管谈话；</w:t>
      </w:r>
    </w:p>
    <w:p w14:paraId="5902E8A3">
      <w:pPr>
        <w:numPr>
          <w:ilvl w:val="0"/>
          <w:numId w:val="23"/>
        </w:numPr>
        <w:spacing w:line="600" w:lineRule="exact"/>
        <w:ind w:left="567" w:firstLine="13"/>
        <w:jc w:val="left"/>
        <w:rPr>
          <w:rFonts w:ascii="仿宋_GB2312" w:hAnsi="Cambria" w:eastAsia="仿宋_GB2312"/>
          <w:bCs/>
          <w:sz w:val="30"/>
          <w:szCs w:val="30"/>
        </w:rPr>
      </w:pPr>
      <w:r>
        <w:rPr>
          <w:rFonts w:hint="eastAsia" w:ascii="仿宋_GB2312" w:hAnsi="Cambria" w:eastAsia="仿宋_GB2312"/>
          <w:bCs/>
          <w:sz w:val="30"/>
          <w:szCs w:val="30"/>
        </w:rPr>
        <w:t>要求限期改正；</w:t>
      </w:r>
    </w:p>
    <w:p w14:paraId="7FBE8B50">
      <w:pPr>
        <w:numPr>
          <w:ilvl w:val="0"/>
          <w:numId w:val="23"/>
        </w:numPr>
        <w:spacing w:line="600" w:lineRule="exact"/>
        <w:ind w:left="567" w:firstLine="13"/>
        <w:jc w:val="left"/>
        <w:rPr>
          <w:rFonts w:ascii="仿宋_GB2312" w:hAnsi="Cambria" w:eastAsia="仿宋_GB2312"/>
          <w:bCs/>
          <w:sz w:val="30"/>
          <w:szCs w:val="30"/>
        </w:rPr>
      </w:pPr>
      <w:r>
        <w:rPr>
          <w:rFonts w:hint="eastAsia" w:ascii="仿宋_GB2312" w:hAnsi="Cambria" w:eastAsia="仿宋_GB2312"/>
          <w:bCs/>
          <w:sz w:val="30"/>
          <w:szCs w:val="30"/>
        </w:rPr>
        <w:t>要求公开更正、澄清或说明；</w:t>
      </w:r>
    </w:p>
    <w:p w14:paraId="3AD3D0DE">
      <w:pPr>
        <w:numPr>
          <w:ilvl w:val="0"/>
          <w:numId w:val="23"/>
        </w:numPr>
        <w:spacing w:line="600" w:lineRule="exact"/>
        <w:ind w:left="567" w:firstLine="13"/>
        <w:jc w:val="left"/>
        <w:rPr>
          <w:rFonts w:ascii="仿宋_GB2312" w:hAnsi="Cambria" w:eastAsia="仿宋_GB2312"/>
          <w:bCs/>
          <w:sz w:val="30"/>
          <w:szCs w:val="30"/>
        </w:rPr>
      </w:pPr>
      <w:r>
        <w:rPr>
          <w:rFonts w:hint="eastAsia" w:ascii="仿宋_GB2312" w:hAnsi="Cambria" w:eastAsia="仿宋_GB2312"/>
          <w:bCs/>
          <w:sz w:val="30"/>
          <w:szCs w:val="30"/>
        </w:rPr>
        <w:t>将账户列为重点监控账户；</w:t>
      </w:r>
    </w:p>
    <w:p w14:paraId="0AEA99E2">
      <w:pPr>
        <w:numPr>
          <w:ilvl w:val="0"/>
          <w:numId w:val="23"/>
        </w:numPr>
        <w:spacing w:line="600" w:lineRule="exact"/>
        <w:ind w:left="567" w:firstLine="13"/>
        <w:jc w:val="left"/>
        <w:rPr>
          <w:rFonts w:ascii="仿宋_GB2312" w:hAnsi="Cambria" w:eastAsia="仿宋_GB2312"/>
          <w:bCs/>
          <w:sz w:val="30"/>
          <w:szCs w:val="30"/>
        </w:rPr>
      </w:pPr>
      <w:r>
        <w:rPr>
          <w:rFonts w:hint="eastAsia" w:ascii="仿宋_GB2312" w:hAnsi="Cambria" w:eastAsia="仿宋_GB2312"/>
          <w:bCs/>
          <w:sz w:val="30"/>
          <w:szCs w:val="30"/>
        </w:rPr>
        <w:t>要求提交合规交易承诺书；</w:t>
      </w:r>
    </w:p>
    <w:p w14:paraId="738243F9">
      <w:pPr>
        <w:numPr>
          <w:ilvl w:val="0"/>
          <w:numId w:val="23"/>
        </w:numPr>
        <w:spacing w:line="600" w:lineRule="exact"/>
        <w:ind w:left="567" w:firstLine="13"/>
        <w:jc w:val="left"/>
        <w:rPr>
          <w:rFonts w:ascii="仿宋_GB2312" w:hAnsi="Cambria" w:eastAsia="仿宋_GB2312"/>
          <w:bCs/>
          <w:sz w:val="30"/>
          <w:szCs w:val="30"/>
        </w:rPr>
      </w:pPr>
      <w:r>
        <w:rPr>
          <w:rFonts w:hint="eastAsia" w:ascii="仿宋_GB2312" w:hAnsi="Cambria" w:eastAsia="仿宋_GB2312"/>
          <w:bCs/>
          <w:sz w:val="30"/>
          <w:szCs w:val="30"/>
        </w:rPr>
        <w:t>暂停证券账户交易；</w:t>
      </w:r>
    </w:p>
    <w:p w14:paraId="765356C6">
      <w:pPr>
        <w:numPr>
          <w:ilvl w:val="0"/>
          <w:numId w:val="23"/>
        </w:numPr>
        <w:spacing w:line="600" w:lineRule="exact"/>
        <w:ind w:left="567" w:firstLine="13"/>
        <w:jc w:val="left"/>
        <w:rPr>
          <w:rFonts w:ascii="仿宋_GB2312" w:hAnsi="Cambria" w:eastAsia="仿宋_GB2312"/>
          <w:bCs/>
          <w:sz w:val="30"/>
          <w:szCs w:val="30"/>
        </w:rPr>
      </w:pPr>
      <w:r>
        <w:rPr>
          <w:rFonts w:hint="eastAsia" w:ascii="仿宋_GB2312" w:hAnsi="Cambria" w:eastAsia="仿宋_GB2312"/>
          <w:bCs/>
          <w:sz w:val="30"/>
          <w:szCs w:val="30"/>
        </w:rPr>
        <w:t>暂停受理或办理相关业务；</w:t>
      </w:r>
    </w:p>
    <w:p w14:paraId="6E7587D4">
      <w:pPr>
        <w:numPr>
          <w:ilvl w:val="0"/>
          <w:numId w:val="23"/>
        </w:numPr>
        <w:spacing w:line="600" w:lineRule="exact"/>
        <w:ind w:left="567" w:firstLine="13"/>
        <w:jc w:val="left"/>
        <w:rPr>
          <w:rFonts w:ascii="仿宋_GB2312" w:hAnsi="Cambria" w:eastAsia="仿宋_GB2312"/>
          <w:bCs/>
          <w:sz w:val="30"/>
          <w:szCs w:val="30"/>
        </w:rPr>
      </w:pPr>
      <w:r>
        <w:rPr>
          <w:rFonts w:hint="eastAsia" w:ascii="仿宋_GB2312" w:hAnsi="Cambria" w:eastAsia="仿宋_GB2312"/>
          <w:bCs/>
          <w:sz w:val="30"/>
          <w:szCs w:val="30"/>
        </w:rPr>
        <w:t>向相关主管部门出具监管建议函；</w:t>
      </w:r>
    </w:p>
    <w:p w14:paraId="2C63E888">
      <w:pPr>
        <w:numPr>
          <w:ilvl w:val="0"/>
          <w:numId w:val="23"/>
        </w:numPr>
        <w:spacing w:line="600" w:lineRule="exact"/>
        <w:ind w:left="567" w:firstLine="13"/>
        <w:jc w:val="left"/>
        <w:rPr>
          <w:rFonts w:ascii="仿宋_GB2312" w:hAnsi="Cambria" w:eastAsia="仿宋_GB2312"/>
          <w:bCs/>
          <w:sz w:val="30"/>
          <w:szCs w:val="30"/>
        </w:rPr>
      </w:pPr>
      <w:r>
        <w:rPr>
          <w:rFonts w:hint="eastAsia" w:ascii="仿宋_GB2312" w:hAnsi="Cambria" w:eastAsia="仿宋_GB2312"/>
          <w:bCs/>
          <w:sz w:val="30"/>
          <w:szCs w:val="30"/>
        </w:rPr>
        <w:t>本所规定的其他监管措施。</w:t>
      </w:r>
    </w:p>
    <w:p w14:paraId="6A1AF097">
      <w:pPr>
        <w:spacing w:line="600" w:lineRule="exact"/>
        <w:ind w:firstLine="600" w:firstLineChars="200"/>
        <w:rPr>
          <w:rFonts w:ascii="仿宋_GB2312" w:hAnsi="Cambria" w:eastAsia="仿宋_GB2312"/>
          <w:bCs/>
          <w:sz w:val="30"/>
          <w:szCs w:val="30"/>
        </w:rPr>
      </w:pPr>
      <w:r>
        <w:rPr>
          <w:rFonts w:hint="eastAsia" w:ascii="仿宋_GB2312" w:hAnsi="Cambria" w:eastAsia="仿宋_GB2312"/>
          <w:bCs/>
          <w:sz w:val="30"/>
          <w:szCs w:val="30"/>
        </w:rPr>
        <w:t>监管对象被采取前款第（8）项规定的监管措施后，拒不配合本所监管的，在其改正前，本所可对其连续实施该监管措施。</w:t>
      </w:r>
    </w:p>
    <w:p w14:paraId="69434F6F">
      <w:pPr>
        <w:numPr>
          <w:ilvl w:val="2"/>
          <w:numId w:val="4"/>
        </w:numPr>
        <w:spacing w:line="600" w:lineRule="exact"/>
        <w:ind w:left="0" w:firstLine="0"/>
        <w:outlineLvl w:val="2"/>
        <w:rPr>
          <w:rFonts w:ascii="仿宋_GB2312" w:hAnsi="Cambria" w:eastAsia="仿宋_GB2312"/>
          <w:b/>
          <w:bCs/>
          <w:sz w:val="30"/>
          <w:szCs w:val="30"/>
        </w:rPr>
      </w:pPr>
      <w:r>
        <w:rPr>
          <w:rFonts w:hint="eastAsia" w:ascii="仿宋_GB2312" w:eastAsia="仿宋_GB2312"/>
          <w:b/>
          <w:sz w:val="30"/>
          <w:szCs w:val="30"/>
        </w:rPr>
        <w:t>纪律处分</w:t>
      </w:r>
    </w:p>
    <w:p w14:paraId="53CDE741">
      <w:pPr>
        <w:spacing w:line="600" w:lineRule="exact"/>
        <w:ind w:firstLine="602" w:firstLineChars="200"/>
        <w:outlineLvl w:val="3"/>
        <w:rPr>
          <w:rFonts w:ascii="仿宋_GB2312" w:hAnsi="Cambria" w:eastAsia="仿宋_GB2312"/>
          <w:b/>
          <w:bCs/>
          <w:sz w:val="30"/>
          <w:szCs w:val="30"/>
        </w:rPr>
      </w:pPr>
      <w:r>
        <w:rPr>
          <w:rFonts w:hint="eastAsia" w:ascii="仿宋_GB2312" w:hAnsi="Cambria" w:eastAsia="仿宋_GB2312"/>
          <w:b/>
          <w:bCs/>
          <w:sz w:val="30"/>
          <w:szCs w:val="30"/>
        </w:rPr>
        <w:t>（1）纪律处分类别</w:t>
      </w:r>
    </w:p>
    <w:p w14:paraId="6F475458">
      <w:pPr>
        <w:spacing w:line="600" w:lineRule="exact"/>
        <w:ind w:firstLine="600" w:firstLineChars="200"/>
        <w:rPr>
          <w:rFonts w:ascii="仿宋_GB2312" w:hAnsi="Cambria" w:eastAsia="仿宋_GB2312"/>
          <w:bCs/>
          <w:sz w:val="30"/>
          <w:szCs w:val="30"/>
        </w:rPr>
      </w:pPr>
      <w:r>
        <w:rPr>
          <w:rFonts w:hint="eastAsia" w:ascii="仿宋_GB2312" w:hAnsi="Cambria" w:eastAsia="仿宋_GB2312"/>
          <w:bCs/>
          <w:sz w:val="30"/>
          <w:szCs w:val="30"/>
        </w:rPr>
        <w:t>监管对象违反本规则或本所其他相关业务规则规定的，本所可以视情节轻重对其实施下列纪律处分：</w:t>
      </w:r>
    </w:p>
    <w:p w14:paraId="0FB7D194">
      <w:pPr>
        <w:numPr>
          <w:ilvl w:val="0"/>
          <w:numId w:val="24"/>
        </w:numPr>
        <w:spacing w:line="600" w:lineRule="exact"/>
        <w:ind w:left="567" w:firstLine="13"/>
        <w:jc w:val="left"/>
        <w:rPr>
          <w:rFonts w:ascii="仿宋_GB2312" w:hAnsi="Cambria" w:eastAsia="仿宋_GB2312"/>
          <w:bCs/>
          <w:sz w:val="30"/>
          <w:szCs w:val="30"/>
        </w:rPr>
      </w:pPr>
      <w:r>
        <w:rPr>
          <w:rFonts w:hint="eastAsia" w:ascii="仿宋_GB2312" w:hAnsi="Cambria" w:eastAsia="仿宋_GB2312"/>
          <w:bCs/>
          <w:sz w:val="30"/>
          <w:szCs w:val="30"/>
        </w:rPr>
        <w:t>通报批评；</w:t>
      </w:r>
    </w:p>
    <w:p w14:paraId="47C89436">
      <w:pPr>
        <w:numPr>
          <w:ilvl w:val="0"/>
          <w:numId w:val="24"/>
        </w:numPr>
        <w:spacing w:line="600" w:lineRule="exact"/>
        <w:ind w:left="567" w:firstLine="13"/>
        <w:jc w:val="left"/>
        <w:rPr>
          <w:rFonts w:ascii="仿宋_GB2312" w:hAnsi="Cambria" w:eastAsia="仿宋_GB2312"/>
          <w:bCs/>
          <w:sz w:val="30"/>
          <w:szCs w:val="30"/>
        </w:rPr>
      </w:pPr>
      <w:r>
        <w:rPr>
          <w:rFonts w:hint="eastAsia" w:ascii="仿宋_GB2312" w:hAnsi="Cambria" w:eastAsia="仿宋_GB2312"/>
          <w:bCs/>
          <w:sz w:val="30"/>
          <w:szCs w:val="30"/>
        </w:rPr>
        <w:t>公开谴责；</w:t>
      </w:r>
    </w:p>
    <w:p w14:paraId="22AB4697">
      <w:pPr>
        <w:numPr>
          <w:ilvl w:val="0"/>
          <w:numId w:val="24"/>
        </w:numPr>
        <w:spacing w:line="600" w:lineRule="exact"/>
        <w:ind w:left="567" w:firstLine="13"/>
        <w:jc w:val="left"/>
        <w:rPr>
          <w:rFonts w:ascii="仿宋_GB2312" w:hAnsi="Cambria" w:eastAsia="仿宋_GB2312"/>
          <w:bCs/>
          <w:sz w:val="30"/>
          <w:szCs w:val="30"/>
        </w:rPr>
      </w:pPr>
      <w:r>
        <w:rPr>
          <w:rFonts w:hint="eastAsia" w:ascii="仿宋_GB2312" w:hAnsi="Cambria" w:eastAsia="仿宋_GB2312"/>
          <w:bCs/>
          <w:sz w:val="30"/>
          <w:szCs w:val="30"/>
        </w:rPr>
        <w:t>暂停或者限制债券交易权限；</w:t>
      </w:r>
    </w:p>
    <w:p w14:paraId="7D2B012F">
      <w:pPr>
        <w:numPr>
          <w:ilvl w:val="0"/>
          <w:numId w:val="24"/>
        </w:numPr>
        <w:spacing w:line="600" w:lineRule="exact"/>
        <w:ind w:left="567" w:firstLine="13"/>
        <w:jc w:val="left"/>
        <w:rPr>
          <w:rFonts w:ascii="仿宋_GB2312" w:hAnsi="Cambria" w:eastAsia="仿宋_GB2312"/>
          <w:bCs/>
          <w:sz w:val="30"/>
          <w:szCs w:val="30"/>
        </w:rPr>
      </w:pPr>
      <w:r>
        <w:rPr>
          <w:rFonts w:hint="eastAsia" w:ascii="仿宋_GB2312" w:hAnsi="Cambria" w:eastAsia="仿宋_GB2312"/>
          <w:bCs/>
          <w:sz w:val="30"/>
          <w:szCs w:val="30"/>
        </w:rPr>
        <w:t>终止其作为债券交易参与人；</w:t>
      </w:r>
    </w:p>
    <w:p w14:paraId="5DE1DE4A">
      <w:pPr>
        <w:numPr>
          <w:ilvl w:val="0"/>
          <w:numId w:val="24"/>
        </w:numPr>
        <w:spacing w:line="600" w:lineRule="exact"/>
        <w:ind w:left="567" w:firstLine="13"/>
        <w:jc w:val="left"/>
        <w:rPr>
          <w:rFonts w:ascii="仿宋_GB2312" w:hAnsi="Cambria" w:eastAsia="仿宋_GB2312"/>
          <w:bCs/>
          <w:sz w:val="30"/>
          <w:szCs w:val="30"/>
        </w:rPr>
      </w:pPr>
      <w:r>
        <w:rPr>
          <w:rFonts w:hint="eastAsia" w:ascii="仿宋_GB2312" w:hAnsi="Cambria" w:eastAsia="仿宋_GB2312"/>
          <w:bCs/>
          <w:sz w:val="30"/>
          <w:szCs w:val="30"/>
        </w:rPr>
        <w:t>限制证券账户交易；</w:t>
      </w:r>
    </w:p>
    <w:p w14:paraId="48AFAC2D">
      <w:pPr>
        <w:numPr>
          <w:ilvl w:val="0"/>
          <w:numId w:val="24"/>
        </w:numPr>
        <w:spacing w:line="600" w:lineRule="exact"/>
        <w:ind w:left="567" w:firstLine="13"/>
        <w:jc w:val="left"/>
        <w:rPr>
          <w:rFonts w:ascii="仿宋_GB2312" w:hAnsi="Cambria" w:eastAsia="仿宋_GB2312"/>
          <w:bCs/>
          <w:sz w:val="30"/>
          <w:szCs w:val="30"/>
        </w:rPr>
      </w:pPr>
      <w:r>
        <w:rPr>
          <w:rFonts w:hint="eastAsia" w:ascii="仿宋_GB2312" w:hAnsi="Cambria" w:eastAsia="仿宋_GB2312"/>
          <w:bCs/>
          <w:sz w:val="30"/>
          <w:szCs w:val="30"/>
        </w:rPr>
        <w:t>认定为不合格投资者；</w:t>
      </w:r>
    </w:p>
    <w:p w14:paraId="75494F78">
      <w:pPr>
        <w:numPr>
          <w:ilvl w:val="0"/>
          <w:numId w:val="24"/>
        </w:numPr>
        <w:spacing w:line="600" w:lineRule="exact"/>
        <w:ind w:left="567" w:firstLine="13"/>
        <w:jc w:val="left"/>
        <w:rPr>
          <w:rFonts w:ascii="仿宋_GB2312" w:hAnsi="Cambria" w:eastAsia="仿宋_GB2312"/>
          <w:bCs/>
          <w:sz w:val="30"/>
          <w:szCs w:val="30"/>
        </w:rPr>
      </w:pPr>
      <w:r>
        <w:rPr>
          <w:rFonts w:hint="eastAsia" w:ascii="仿宋_GB2312" w:hAnsi="Cambria" w:eastAsia="仿宋_GB2312"/>
          <w:bCs/>
          <w:sz w:val="30"/>
          <w:szCs w:val="30"/>
        </w:rPr>
        <w:t>收取惩罚性违约金；</w:t>
      </w:r>
    </w:p>
    <w:p w14:paraId="55258C97">
      <w:pPr>
        <w:numPr>
          <w:ilvl w:val="0"/>
          <w:numId w:val="24"/>
        </w:numPr>
        <w:spacing w:line="600" w:lineRule="exact"/>
        <w:ind w:left="567" w:firstLine="13"/>
        <w:jc w:val="left"/>
        <w:rPr>
          <w:rFonts w:ascii="仿宋_GB2312" w:hAnsi="Cambria" w:eastAsia="仿宋_GB2312"/>
          <w:bCs/>
          <w:sz w:val="30"/>
          <w:szCs w:val="30"/>
        </w:rPr>
      </w:pPr>
      <w:r>
        <w:rPr>
          <w:rFonts w:hint="eastAsia" w:ascii="仿宋_GB2312" w:hAnsi="Cambria" w:eastAsia="仿宋_GB2312"/>
          <w:bCs/>
          <w:sz w:val="30"/>
          <w:szCs w:val="30"/>
        </w:rPr>
        <w:t>本所规定的其他纪律处分。</w:t>
      </w:r>
    </w:p>
    <w:p w14:paraId="6FBA56B5">
      <w:pPr>
        <w:spacing w:line="600" w:lineRule="exact"/>
        <w:ind w:firstLine="602" w:firstLineChars="200"/>
        <w:outlineLvl w:val="3"/>
        <w:rPr>
          <w:rFonts w:ascii="仿宋_GB2312" w:hAnsi="Cambria" w:eastAsia="仿宋_GB2312"/>
          <w:b/>
          <w:bCs/>
          <w:sz w:val="30"/>
          <w:szCs w:val="30"/>
        </w:rPr>
      </w:pPr>
      <w:bookmarkStart w:id="3679" w:name="_Toc56166318"/>
      <w:bookmarkStart w:id="3680" w:name="_Toc56166129"/>
      <w:r>
        <w:rPr>
          <w:rFonts w:hint="eastAsia" w:ascii="仿宋_GB2312" w:hAnsi="Cambria" w:eastAsia="仿宋_GB2312"/>
          <w:b/>
          <w:bCs/>
          <w:sz w:val="30"/>
          <w:szCs w:val="30"/>
        </w:rPr>
        <w:t>（2）</w:t>
      </w:r>
      <w:bookmarkEnd w:id="3679"/>
      <w:bookmarkEnd w:id="3680"/>
      <w:r>
        <w:rPr>
          <w:rFonts w:hint="eastAsia" w:ascii="仿宋_GB2312" w:hAnsi="Cambria" w:eastAsia="仿宋_GB2312"/>
          <w:b/>
          <w:bCs/>
          <w:sz w:val="30"/>
          <w:szCs w:val="30"/>
        </w:rPr>
        <w:t>纪律处分复核情形</w:t>
      </w:r>
    </w:p>
    <w:p w14:paraId="0F190161">
      <w:pPr>
        <w:spacing w:line="600" w:lineRule="exact"/>
        <w:ind w:firstLine="600" w:firstLineChars="200"/>
        <w:rPr>
          <w:rFonts w:ascii="仿宋_GB2312" w:hAnsi="Cambria" w:eastAsia="仿宋_GB2312"/>
          <w:bCs/>
          <w:sz w:val="30"/>
          <w:szCs w:val="30"/>
        </w:rPr>
      </w:pPr>
      <w:r>
        <w:rPr>
          <w:rFonts w:hint="eastAsia" w:ascii="仿宋_GB2312" w:hAnsi="Cambria" w:eastAsia="仿宋_GB2312"/>
          <w:bCs/>
          <w:sz w:val="30"/>
          <w:szCs w:val="30"/>
        </w:rPr>
        <w:t>监管对象对上述纪律处分类别中的第3）、4）、5）、6）、7）项处分有异议的，可以在收到本所有关决定或者本所公告有关决定之日（以在先者为准）起15个交易日内向本所提交复核申请。复核期间相关处分不停止执行。</w:t>
      </w:r>
    </w:p>
    <w:p w14:paraId="2C10B465">
      <w:pPr>
        <w:spacing w:line="600" w:lineRule="exact"/>
        <w:ind w:firstLine="602" w:firstLineChars="200"/>
        <w:outlineLvl w:val="3"/>
        <w:rPr>
          <w:rFonts w:ascii="仿宋_GB2312" w:hAnsi="Cambria" w:eastAsia="仿宋_GB2312"/>
          <w:b/>
          <w:bCs/>
          <w:sz w:val="30"/>
          <w:szCs w:val="30"/>
        </w:rPr>
      </w:pPr>
      <w:r>
        <w:rPr>
          <w:rFonts w:hint="eastAsia" w:ascii="仿宋_GB2312" w:hAnsi="Cambria" w:eastAsia="仿宋_GB2312"/>
          <w:b/>
          <w:bCs/>
          <w:sz w:val="30"/>
          <w:szCs w:val="30"/>
        </w:rPr>
        <w:t>（3）复核材料</w:t>
      </w:r>
    </w:p>
    <w:p w14:paraId="5CA1CC7A">
      <w:pPr>
        <w:spacing w:line="600" w:lineRule="exact"/>
        <w:ind w:firstLine="600" w:firstLineChars="200"/>
        <w:rPr>
          <w:rFonts w:ascii="仿宋_GB2312" w:hAnsi="Cambria" w:eastAsia="仿宋_GB2312"/>
          <w:bCs/>
          <w:sz w:val="30"/>
          <w:szCs w:val="30"/>
        </w:rPr>
      </w:pPr>
      <w:r>
        <w:rPr>
          <w:rFonts w:hint="eastAsia" w:ascii="仿宋_GB2312" w:hAnsi="Cambria" w:eastAsia="仿宋_GB2312"/>
          <w:bCs/>
          <w:sz w:val="30"/>
          <w:szCs w:val="30"/>
        </w:rPr>
        <w:t>申请人申请复核的，应当提交以下材料：</w:t>
      </w:r>
    </w:p>
    <w:p w14:paraId="478B55F7">
      <w:pPr>
        <w:spacing w:line="600" w:lineRule="exact"/>
        <w:ind w:firstLine="600" w:firstLineChars="200"/>
        <w:rPr>
          <w:rFonts w:ascii="仿宋_GB2312" w:hAnsi="Cambria" w:eastAsia="仿宋_GB2312"/>
          <w:bCs/>
          <w:sz w:val="30"/>
          <w:szCs w:val="30"/>
        </w:rPr>
      </w:pPr>
      <w:r>
        <w:rPr>
          <w:rFonts w:hint="eastAsia" w:ascii="仿宋_GB2312" w:hAnsi="Cambria" w:eastAsia="仿宋_GB2312"/>
          <w:bCs/>
          <w:sz w:val="30"/>
          <w:szCs w:val="30"/>
        </w:rPr>
        <w:t>1）复核申请书，其中应明确复核的具体请求、事实和理由；</w:t>
      </w:r>
    </w:p>
    <w:p w14:paraId="16B5CF51">
      <w:pPr>
        <w:spacing w:line="600" w:lineRule="exact"/>
        <w:ind w:firstLine="600" w:firstLineChars="200"/>
        <w:rPr>
          <w:rFonts w:ascii="仿宋_GB2312" w:hAnsi="Cambria" w:eastAsia="仿宋_GB2312"/>
          <w:bCs/>
          <w:sz w:val="30"/>
          <w:szCs w:val="30"/>
        </w:rPr>
      </w:pPr>
      <w:r>
        <w:rPr>
          <w:rFonts w:hint="eastAsia" w:ascii="仿宋_GB2312" w:hAnsi="Cambria" w:eastAsia="仿宋_GB2312"/>
          <w:bCs/>
          <w:sz w:val="30"/>
          <w:szCs w:val="30"/>
        </w:rPr>
        <w:t>2）申请人的身份证明材料，包括身份证件或者营业执照复印件等；</w:t>
      </w:r>
    </w:p>
    <w:p w14:paraId="6FA579ED">
      <w:pPr>
        <w:spacing w:line="600" w:lineRule="exact"/>
        <w:ind w:firstLine="600" w:firstLineChars="200"/>
        <w:rPr>
          <w:rFonts w:ascii="仿宋_GB2312" w:hAnsi="Cambria" w:eastAsia="仿宋_GB2312"/>
          <w:bCs/>
          <w:sz w:val="30"/>
          <w:szCs w:val="30"/>
        </w:rPr>
      </w:pPr>
      <w:r>
        <w:rPr>
          <w:rFonts w:hint="eastAsia" w:ascii="仿宋_GB2312" w:hAnsi="Cambria" w:eastAsia="仿宋_GB2312"/>
          <w:bCs/>
          <w:sz w:val="30"/>
          <w:szCs w:val="30"/>
        </w:rPr>
        <w:t>3）本所要求的其他材料。</w:t>
      </w:r>
    </w:p>
    <w:p w14:paraId="7E0853CE">
      <w:pPr>
        <w:spacing w:line="600" w:lineRule="exact"/>
        <w:ind w:firstLine="600" w:firstLineChars="200"/>
        <w:rPr>
          <w:rFonts w:ascii="仿宋_GB2312" w:hAnsi="Cambria" w:eastAsia="仿宋_GB2312"/>
          <w:bCs/>
          <w:sz w:val="30"/>
          <w:szCs w:val="30"/>
        </w:rPr>
      </w:pPr>
      <w:r>
        <w:rPr>
          <w:rFonts w:hint="eastAsia" w:ascii="仿宋_GB2312" w:hAnsi="Cambria" w:eastAsia="仿宋_GB2312"/>
          <w:bCs/>
          <w:sz w:val="30"/>
          <w:szCs w:val="30"/>
        </w:rPr>
        <w:t>前款第1）、2）项材料应由申请人签名，申请人为法人的，应当加盖公章并由法定代表人签名。</w:t>
      </w:r>
    </w:p>
    <w:p w14:paraId="1914C383">
      <w:pPr>
        <w:spacing w:line="600" w:lineRule="exact"/>
        <w:ind w:firstLine="602" w:firstLineChars="200"/>
        <w:outlineLvl w:val="3"/>
        <w:rPr>
          <w:rFonts w:ascii="仿宋_GB2312" w:hAnsi="Cambria" w:eastAsia="仿宋_GB2312"/>
          <w:b/>
          <w:bCs/>
          <w:sz w:val="30"/>
          <w:szCs w:val="30"/>
        </w:rPr>
      </w:pPr>
      <w:r>
        <w:rPr>
          <w:rFonts w:hint="eastAsia" w:ascii="仿宋_GB2312" w:hAnsi="Cambria" w:eastAsia="仿宋_GB2312"/>
          <w:b/>
          <w:bCs/>
          <w:sz w:val="30"/>
          <w:szCs w:val="30"/>
        </w:rPr>
        <w:t>（4）复核申请提交途径</w:t>
      </w:r>
    </w:p>
    <w:p w14:paraId="4B479433">
      <w:pPr>
        <w:spacing w:line="600" w:lineRule="exact"/>
        <w:ind w:firstLine="600" w:firstLineChars="200"/>
        <w:rPr>
          <w:rFonts w:ascii="仿宋_GB2312" w:hAnsi="Cambria" w:eastAsia="仿宋_GB2312"/>
          <w:bCs/>
          <w:sz w:val="30"/>
          <w:szCs w:val="30"/>
        </w:rPr>
      </w:pPr>
      <w:r>
        <w:rPr>
          <w:rFonts w:hint="eastAsia" w:ascii="仿宋_GB2312" w:hAnsi="Cambria" w:eastAsia="仿宋_GB2312"/>
          <w:bCs/>
          <w:sz w:val="30"/>
          <w:szCs w:val="30"/>
        </w:rPr>
        <w:t>复核申请材料提交途径及复核工作小组联系方式在本所官网公布及更新，具体如下：</w:t>
      </w:r>
    </w:p>
    <w:p w14:paraId="02BFFAAC">
      <w:pPr>
        <w:spacing w:line="600" w:lineRule="exact"/>
        <w:ind w:firstLine="600" w:firstLineChars="200"/>
        <w:rPr>
          <w:rFonts w:ascii="仿宋_GB2312" w:hAnsi="Cambria" w:eastAsia="仿宋_GB2312"/>
          <w:bCs/>
          <w:sz w:val="30"/>
          <w:szCs w:val="30"/>
        </w:rPr>
      </w:pPr>
      <w:r>
        <w:rPr>
          <w:rFonts w:hint="eastAsia" w:ascii="仿宋_GB2312" w:hAnsi="Cambria" w:eastAsia="仿宋_GB2312"/>
          <w:bCs/>
          <w:sz w:val="30"/>
          <w:szCs w:val="30"/>
        </w:rPr>
        <w:t>联系电话：</w:t>
      </w:r>
      <w:r>
        <w:rPr>
          <w:rFonts w:ascii="仿宋_GB2312" w:hAnsi="Cambria"/>
          <w:bCs/>
          <w:sz w:val="30"/>
          <w:szCs w:val="30"/>
        </w:rPr>
        <w:t>021-68602361</w:t>
      </w:r>
      <w:r>
        <w:rPr>
          <w:rFonts w:hint="eastAsia" w:ascii="仿宋_GB2312" w:hAnsi="Cambria" w:eastAsia="仿宋_GB2312"/>
          <w:bCs/>
          <w:sz w:val="30"/>
          <w:szCs w:val="30"/>
        </w:rPr>
        <w:t>，021-68808888转法律事务部</w:t>
      </w:r>
    </w:p>
    <w:p w14:paraId="13E12D7E">
      <w:pPr>
        <w:spacing w:line="600" w:lineRule="exact"/>
        <w:ind w:firstLine="600" w:firstLineChars="200"/>
        <w:rPr>
          <w:rFonts w:ascii="仿宋_GB2312" w:hAnsi="Cambria" w:eastAsia="仿宋_GB2312"/>
          <w:bCs/>
          <w:sz w:val="30"/>
          <w:szCs w:val="30"/>
        </w:rPr>
      </w:pPr>
      <w:r>
        <w:rPr>
          <w:rFonts w:hint="eastAsia" w:ascii="仿宋_GB2312" w:hAnsi="Cambria" w:eastAsia="仿宋_GB2312"/>
          <w:bCs/>
          <w:sz w:val="30"/>
          <w:szCs w:val="30"/>
        </w:rPr>
        <w:t>邮寄地址：上海市浦东新区杨高南路388号上海证券交易所法律事务部</w:t>
      </w:r>
    </w:p>
    <w:p w14:paraId="0E7D9B76">
      <w:pPr>
        <w:spacing w:line="600" w:lineRule="exact"/>
        <w:ind w:firstLine="600" w:firstLineChars="200"/>
        <w:rPr>
          <w:rFonts w:ascii="仿宋_GB2312" w:hAnsi="Cambria" w:eastAsia="仿宋_GB2312"/>
          <w:bCs/>
          <w:sz w:val="30"/>
          <w:szCs w:val="30"/>
        </w:rPr>
      </w:pPr>
      <w:r>
        <w:rPr>
          <w:rFonts w:hint="eastAsia" w:ascii="仿宋_GB2312" w:hAnsi="Cambria" w:eastAsia="仿宋_GB2312"/>
          <w:bCs/>
          <w:sz w:val="30"/>
          <w:szCs w:val="30"/>
        </w:rPr>
        <w:t>邮政编码：</w:t>
      </w:r>
      <w:r>
        <w:rPr>
          <w:rFonts w:ascii="仿宋_GB2312" w:hAnsi="Cambria"/>
          <w:bCs/>
          <w:sz w:val="30"/>
          <w:szCs w:val="30"/>
        </w:rPr>
        <w:t>200127</w:t>
      </w:r>
    </w:p>
    <w:p w14:paraId="4452301B">
      <w:pPr>
        <w:spacing w:line="600" w:lineRule="exact"/>
        <w:ind w:firstLine="602" w:firstLineChars="200"/>
        <w:outlineLvl w:val="3"/>
        <w:rPr>
          <w:rFonts w:ascii="仿宋_GB2312" w:hAnsi="Cambria" w:eastAsia="仿宋_GB2312"/>
          <w:b/>
          <w:bCs/>
          <w:sz w:val="30"/>
          <w:szCs w:val="30"/>
        </w:rPr>
      </w:pPr>
      <w:r>
        <w:rPr>
          <w:rFonts w:hint="eastAsia" w:ascii="仿宋_GB2312" w:hAnsi="Cambria" w:eastAsia="仿宋_GB2312"/>
          <w:b/>
          <w:bCs/>
          <w:sz w:val="30"/>
          <w:szCs w:val="30"/>
        </w:rPr>
        <w:t>（5）复核审查</w:t>
      </w:r>
    </w:p>
    <w:p w14:paraId="2589C132">
      <w:pPr>
        <w:spacing w:line="600" w:lineRule="exact"/>
        <w:ind w:firstLine="600" w:firstLineChars="200"/>
        <w:rPr>
          <w:rFonts w:ascii="仿宋_GB2312" w:hAnsi="Cambria" w:eastAsia="仿宋_GB2312"/>
          <w:bCs/>
          <w:sz w:val="30"/>
          <w:szCs w:val="30"/>
        </w:rPr>
      </w:pPr>
      <w:r>
        <w:rPr>
          <w:rFonts w:hint="eastAsia" w:ascii="仿宋_GB2312" w:hAnsi="Cambria" w:eastAsia="仿宋_GB2312"/>
          <w:bCs/>
          <w:sz w:val="30"/>
          <w:szCs w:val="30"/>
        </w:rPr>
        <w:t>本所收到复核申请材料后，在5个交易日内进行审查，作出是否受理的决定，并书面通知申请人。申请人未按规定提交复核申请材料的，本所不受理其复核申请。</w:t>
      </w:r>
    </w:p>
    <w:p w14:paraId="17ADCAB1">
      <w:pPr>
        <w:spacing w:line="600" w:lineRule="exact"/>
        <w:ind w:firstLine="600" w:firstLineChars="200"/>
        <w:rPr>
          <w:rFonts w:ascii="仿宋_GB2312" w:hAnsi="Cambria" w:eastAsia="仿宋_GB2312"/>
          <w:bCs/>
          <w:sz w:val="30"/>
          <w:szCs w:val="30"/>
        </w:rPr>
      </w:pPr>
      <w:r>
        <w:rPr>
          <w:rFonts w:hint="eastAsia" w:ascii="仿宋_GB2312" w:hAnsi="Cambria" w:eastAsia="仿宋_GB2312"/>
          <w:bCs/>
          <w:sz w:val="30"/>
          <w:szCs w:val="30"/>
        </w:rPr>
        <w:t>本所受理复核申请后，按照《上海证券交易所复核实施办法》实施复核。</w:t>
      </w:r>
    </w:p>
    <w:p w14:paraId="157F0C64">
      <w:pPr>
        <w:numPr>
          <w:ilvl w:val="1"/>
          <w:numId w:val="4"/>
        </w:numPr>
        <w:spacing w:line="600" w:lineRule="exact"/>
        <w:ind w:left="0" w:firstLine="0"/>
        <w:outlineLvl w:val="1"/>
        <w:rPr>
          <w:rFonts w:ascii="仿宋_GB2312" w:eastAsia="仿宋_GB2312"/>
          <w:b/>
          <w:sz w:val="30"/>
          <w:szCs w:val="30"/>
        </w:rPr>
      </w:pPr>
      <w:bookmarkStart w:id="3681" w:name="_Toc2131597258"/>
      <w:bookmarkStart w:id="3682" w:name="_Toc1928448957"/>
      <w:bookmarkStart w:id="3683" w:name="_Toc1887398381"/>
      <w:bookmarkStart w:id="3684" w:name="_Toc1416566600"/>
      <w:bookmarkStart w:id="3685" w:name="_Toc151137073"/>
      <w:bookmarkStart w:id="3686" w:name="_Toc56166130"/>
      <w:bookmarkStart w:id="3687" w:name="_Toc56166319"/>
      <w:r>
        <w:rPr>
          <w:rFonts w:hint="eastAsia" w:ascii="仿宋_GB2312" w:eastAsia="仿宋_GB2312"/>
          <w:b/>
          <w:sz w:val="30"/>
          <w:szCs w:val="30"/>
        </w:rPr>
        <w:t>其他</w:t>
      </w:r>
      <w:bookmarkEnd w:id="3681"/>
      <w:bookmarkEnd w:id="3682"/>
      <w:bookmarkEnd w:id="3683"/>
      <w:bookmarkEnd w:id="3684"/>
      <w:bookmarkEnd w:id="3685"/>
    </w:p>
    <w:p w14:paraId="0C85F4E8">
      <w:pPr>
        <w:spacing w:line="600" w:lineRule="exact"/>
        <w:ind w:left="567"/>
        <w:rPr>
          <w:rFonts w:ascii="仿宋_GB2312" w:eastAsia="仿宋_GB2312"/>
          <w:b/>
          <w:sz w:val="30"/>
          <w:szCs w:val="30"/>
        </w:rPr>
      </w:pPr>
      <w:r>
        <w:rPr>
          <w:rFonts w:hint="eastAsia" w:ascii="仿宋_GB2312" w:eastAsia="仿宋_GB2312"/>
          <w:b/>
          <w:sz w:val="30"/>
          <w:szCs w:val="30"/>
        </w:rPr>
        <w:t>（1）诚信档案</w:t>
      </w:r>
      <w:bookmarkEnd w:id="3686"/>
      <w:bookmarkEnd w:id="3687"/>
    </w:p>
    <w:p w14:paraId="480FC199">
      <w:pPr>
        <w:spacing w:line="600" w:lineRule="exact"/>
        <w:ind w:firstLine="600" w:firstLineChars="200"/>
        <w:rPr>
          <w:rFonts w:ascii="仿宋_GB2312" w:hAnsi="Cambria" w:eastAsia="仿宋_GB2312"/>
          <w:bCs/>
          <w:sz w:val="30"/>
          <w:szCs w:val="30"/>
        </w:rPr>
      </w:pPr>
      <w:r>
        <w:rPr>
          <w:rFonts w:hint="eastAsia" w:ascii="仿宋_GB2312" w:hAnsi="Cambria" w:eastAsia="仿宋_GB2312"/>
          <w:bCs/>
          <w:sz w:val="30"/>
          <w:szCs w:val="30"/>
        </w:rPr>
        <w:t>监管对象出现下列情形之一的，本所可以将其记入诚信档案：</w:t>
      </w:r>
    </w:p>
    <w:p w14:paraId="50BB79F1">
      <w:pPr>
        <w:numPr>
          <w:ilvl w:val="0"/>
          <w:numId w:val="25"/>
        </w:numPr>
        <w:spacing w:line="600" w:lineRule="exact"/>
        <w:ind w:left="0" w:firstLine="600" w:firstLineChars="200"/>
        <w:jc w:val="left"/>
        <w:rPr>
          <w:rFonts w:ascii="仿宋_GB2312" w:hAnsi="Cambria" w:eastAsia="仿宋_GB2312"/>
          <w:bCs/>
          <w:sz w:val="30"/>
          <w:szCs w:val="30"/>
        </w:rPr>
      </w:pPr>
      <w:r>
        <w:rPr>
          <w:rFonts w:hint="eastAsia" w:ascii="仿宋_GB2312" w:hAnsi="Cambria" w:eastAsia="仿宋_GB2312"/>
          <w:bCs/>
          <w:sz w:val="30"/>
          <w:szCs w:val="30"/>
        </w:rPr>
        <w:t>屡次达成交易或者达成重大交易却不履行交收义务的，但交收开始前交易双方协商一致并经交易所认可后解除相关交易的</w:t>
      </w:r>
      <w:r>
        <w:rPr>
          <w:rFonts w:ascii="仿宋_GB2312" w:hAnsi="Cambria" w:eastAsia="仿宋_GB2312"/>
          <w:bCs/>
          <w:sz w:val="30"/>
          <w:szCs w:val="30"/>
        </w:rPr>
        <w:t>情形除外</w:t>
      </w:r>
      <w:r>
        <w:rPr>
          <w:rFonts w:hint="eastAsia" w:ascii="仿宋_GB2312" w:hAnsi="Cambria" w:eastAsia="仿宋_GB2312"/>
          <w:bCs/>
          <w:sz w:val="30"/>
          <w:szCs w:val="30"/>
        </w:rPr>
        <w:t>；</w:t>
      </w:r>
    </w:p>
    <w:p w14:paraId="0D93E50D">
      <w:pPr>
        <w:numPr>
          <w:ilvl w:val="0"/>
          <w:numId w:val="25"/>
        </w:numPr>
        <w:spacing w:line="600" w:lineRule="exact"/>
        <w:ind w:left="0" w:firstLine="600" w:firstLineChars="200"/>
        <w:jc w:val="left"/>
        <w:rPr>
          <w:rFonts w:ascii="仿宋_GB2312" w:hAnsi="Cambria" w:eastAsia="仿宋_GB2312"/>
          <w:bCs/>
          <w:sz w:val="30"/>
          <w:szCs w:val="30"/>
        </w:rPr>
      </w:pPr>
      <w:r>
        <w:rPr>
          <w:rFonts w:hint="eastAsia" w:ascii="仿宋_GB2312" w:hAnsi="Cambria" w:eastAsia="仿宋_GB2312"/>
          <w:bCs/>
          <w:sz w:val="30"/>
          <w:szCs w:val="30"/>
        </w:rPr>
        <w:t>被本所实施监管措施或者纪律处分的；</w:t>
      </w:r>
    </w:p>
    <w:p w14:paraId="0FCB40F3">
      <w:pPr>
        <w:numPr>
          <w:ilvl w:val="0"/>
          <w:numId w:val="25"/>
        </w:numPr>
        <w:spacing w:line="600" w:lineRule="exact"/>
        <w:ind w:left="0" w:firstLine="600" w:firstLineChars="200"/>
        <w:jc w:val="left"/>
        <w:rPr>
          <w:rFonts w:ascii="仿宋_GB2312" w:hAnsi="Cambria" w:eastAsia="仿宋_GB2312"/>
          <w:bCs/>
          <w:sz w:val="30"/>
          <w:szCs w:val="30"/>
        </w:rPr>
      </w:pPr>
      <w:r>
        <w:rPr>
          <w:rFonts w:hint="eastAsia" w:ascii="仿宋_GB2312" w:hAnsi="Cambria" w:eastAsia="仿宋_GB2312"/>
          <w:bCs/>
          <w:sz w:val="30"/>
          <w:szCs w:val="30"/>
        </w:rPr>
        <w:t>本所规定的其他情形。</w:t>
      </w:r>
    </w:p>
    <w:p w14:paraId="43D58E1D">
      <w:pPr>
        <w:spacing w:line="600" w:lineRule="exact"/>
        <w:ind w:firstLine="602" w:firstLineChars="200"/>
        <w:rPr>
          <w:rFonts w:ascii="仿宋_GB2312" w:eastAsia="仿宋_GB2312"/>
          <w:b/>
          <w:sz w:val="30"/>
          <w:szCs w:val="30"/>
        </w:rPr>
      </w:pPr>
      <w:bookmarkStart w:id="3688" w:name="_Toc59034623"/>
      <w:bookmarkStart w:id="3689" w:name="_Toc56166131"/>
      <w:bookmarkStart w:id="3690" w:name="_Toc56166320"/>
      <w:r>
        <w:rPr>
          <w:rFonts w:hint="eastAsia" w:ascii="仿宋_GB2312" w:eastAsia="仿宋_GB2312"/>
          <w:b/>
          <w:sz w:val="30"/>
          <w:szCs w:val="30"/>
        </w:rPr>
        <w:t>（2）争议解决</w:t>
      </w:r>
      <w:bookmarkEnd w:id="3688"/>
      <w:bookmarkEnd w:id="3689"/>
      <w:bookmarkEnd w:id="3690"/>
    </w:p>
    <w:p w14:paraId="691B7BDA">
      <w:pPr>
        <w:spacing w:line="600" w:lineRule="exact"/>
        <w:ind w:firstLine="600" w:firstLineChars="200"/>
        <w:jc w:val="left"/>
        <w:rPr>
          <w:rFonts w:ascii="仿宋_GB2312" w:hAnsi="Calibri" w:eastAsia="仿宋_GB2312"/>
          <w:sz w:val="30"/>
          <w:szCs w:val="30"/>
        </w:rPr>
      </w:pPr>
      <w:r>
        <w:rPr>
          <w:rFonts w:hint="eastAsia" w:ascii="仿宋_GB2312" w:hAnsi="Calibri" w:eastAsia="仿宋_GB2312"/>
          <w:sz w:val="30"/>
          <w:szCs w:val="30"/>
        </w:rPr>
        <w:t>债券交易出现争议的，相关各方可以自行协商解决。无法通过协商解决的，可以按照相关法律法规规定或者约定提请调解、仲裁或者诉讼。</w:t>
      </w:r>
    </w:p>
    <w:p w14:paraId="5E1DEAF4">
      <w:pPr>
        <w:numPr>
          <w:ilvl w:val="0"/>
          <w:numId w:val="4"/>
        </w:numPr>
        <w:outlineLvl w:val="0"/>
        <w:rPr>
          <w:b/>
          <w:sz w:val="36"/>
        </w:rPr>
      </w:pPr>
      <w:bookmarkStart w:id="3691" w:name="_Toc56166132"/>
      <w:bookmarkStart w:id="3692" w:name="_Toc34763172"/>
      <w:bookmarkStart w:id="3693" w:name="_Toc56166321"/>
      <w:bookmarkStart w:id="3694" w:name="_Toc24460025"/>
      <w:r>
        <w:rPr>
          <w:b/>
          <w:sz w:val="36"/>
        </w:rPr>
        <w:br w:type="page"/>
      </w:r>
      <w:bookmarkStart w:id="3695" w:name="_Toc1477930204"/>
      <w:bookmarkStart w:id="3696" w:name="_Toc98471214"/>
      <w:bookmarkStart w:id="3697" w:name="_Toc151137074"/>
      <w:bookmarkStart w:id="3698" w:name="_Toc1864976607"/>
      <w:bookmarkStart w:id="3699" w:name="_Toc912199981"/>
      <w:r>
        <w:rPr>
          <w:rFonts w:hint="eastAsia" w:ascii="黑体" w:hAnsi="黑体" w:eastAsia="黑体" w:cs="黑体"/>
          <w:b/>
          <w:sz w:val="36"/>
        </w:rPr>
        <w:t>应急交易及交易异常情况处理</w:t>
      </w:r>
      <w:bookmarkEnd w:id="3691"/>
      <w:bookmarkEnd w:id="3692"/>
      <w:bookmarkEnd w:id="3693"/>
      <w:bookmarkEnd w:id="3694"/>
      <w:bookmarkEnd w:id="3695"/>
      <w:bookmarkEnd w:id="3696"/>
      <w:bookmarkEnd w:id="3697"/>
      <w:bookmarkEnd w:id="3698"/>
      <w:bookmarkEnd w:id="3699"/>
    </w:p>
    <w:p w14:paraId="756A1B24">
      <w:pPr>
        <w:numPr>
          <w:ilvl w:val="1"/>
          <w:numId w:val="4"/>
        </w:numPr>
        <w:spacing w:line="600" w:lineRule="exact"/>
        <w:ind w:left="0" w:firstLine="0"/>
        <w:outlineLvl w:val="1"/>
        <w:rPr>
          <w:rFonts w:ascii="仿宋_GB2312" w:eastAsia="仿宋_GB2312"/>
          <w:b/>
          <w:sz w:val="30"/>
          <w:szCs w:val="30"/>
        </w:rPr>
      </w:pPr>
      <w:bookmarkStart w:id="3700" w:name="_Toc1663171025"/>
      <w:bookmarkStart w:id="3701" w:name="_Toc762881845"/>
      <w:bookmarkStart w:id="3702" w:name="_Toc513734040"/>
      <w:bookmarkStart w:id="3703" w:name="_Toc151137075"/>
      <w:bookmarkStart w:id="3704" w:name="_Toc1409615337"/>
      <w:bookmarkStart w:id="3705" w:name="_Toc56166133"/>
      <w:bookmarkStart w:id="3706" w:name="_Toc56166322"/>
      <w:r>
        <w:rPr>
          <w:rFonts w:hint="eastAsia" w:ascii="仿宋_GB2312" w:eastAsia="仿宋_GB2312"/>
          <w:b/>
          <w:sz w:val="30"/>
          <w:szCs w:val="30"/>
        </w:rPr>
        <w:t>债券交易停复牌管理</w:t>
      </w:r>
      <w:bookmarkEnd w:id="3700"/>
      <w:bookmarkEnd w:id="3701"/>
      <w:bookmarkEnd w:id="3702"/>
      <w:bookmarkEnd w:id="3703"/>
      <w:bookmarkEnd w:id="3704"/>
    </w:p>
    <w:p w14:paraId="42276566">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停复牌</w:t>
      </w:r>
    </w:p>
    <w:p w14:paraId="163F99ED">
      <w:pPr>
        <w:spacing w:line="600" w:lineRule="exact"/>
        <w:ind w:firstLine="600" w:firstLineChars="200"/>
        <w:rPr>
          <w:rFonts w:ascii="仿宋_GB2312" w:eastAsia="仿宋_GB2312"/>
          <w:sz w:val="30"/>
          <w:szCs w:val="30"/>
        </w:rPr>
      </w:pPr>
      <w:r>
        <w:rPr>
          <w:rFonts w:hint="eastAsia" w:ascii="仿宋_GB2312" w:eastAsia="仿宋_GB2312"/>
          <w:sz w:val="30"/>
          <w:szCs w:val="30"/>
        </w:rPr>
        <w:t>为保证信息披露的及时与公平，本所可以根据中国证监会的要求、债券上市及挂牌转让规则以及本所其他规定、发行人的申请或者实际情况，决定债券停牌与复牌事项。</w:t>
      </w:r>
    </w:p>
    <w:p w14:paraId="3700B003">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债券交易中出现债券交易价格异常大幅波动，对相关债券合理定价产生重大不利影响，以及其他严重影响本所债券交易秩序情形的，本所可以视情况对相关债券实施停牌。</w:t>
      </w:r>
    </w:p>
    <w:p w14:paraId="4F2F1D39">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相关情形消除后，本所根据相关规则对债券予以复牌。</w:t>
      </w:r>
    </w:p>
    <w:p w14:paraId="6E9EDFFC">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停牌相关申报安排</w:t>
      </w:r>
    </w:p>
    <w:p w14:paraId="5B105C6D">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债券在交易时间内停牌后复牌的，停牌前的未成交申报可以继续参加当日该债券复牌后的交易。</w:t>
      </w:r>
    </w:p>
    <w:p w14:paraId="69E660BB">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债券停牌期间，债券的匹配成交、点击成交、询价成交、协商成交等方式不接受交易申报。投资者可以在停牌期间撤销当日已申报未成交的申报。</w:t>
      </w:r>
    </w:p>
    <w:p w14:paraId="11BC3252">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停牌行情展示</w:t>
      </w:r>
    </w:p>
    <w:p w14:paraId="20C049B4">
      <w:pPr>
        <w:spacing w:line="600" w:lineRule="exact"/>
        <w:ind w:firstLine="600" w:firstLineChars="200"/>
        <w:rPr>
          <w:rFonts w:ascii="仿宋_GB2312" w:eastAsia="仿宋_GB2312"/>
          <w:sz w:val="30"/>
          <w:szCs w:val="30"/>
        </w:rPr>
      </w:pPr>
      <w:r>
        <w:rPr>
          <w:rFonts w:hint="eastAsia" w:ascii="仿宋_GB2312" w:eastAsia="仿宋_GB2312"/>
          <w:color w:val="000000"/>
          <w:sz w:val="30"/>
          <w:szCs w:val="30"/>
        </w:rPr>
        <w:t>债券停牌期间，本所发布的行情中包括该债券的信息。</w:t>
      </w:r>
    </w:p>
    <w:p w14:paraId="7F6F63E9">
      <w:pPr>
        <w:numPr>
          <w:ilvl w:val="1"/>
          <w:numId w:val="4"/>
        </w:numPr>
        <w:spacing w:line="600" w:lineRule="exact"/>
        <w:ind w:left="0" w:firstLine="0"/>
        <w:outlineLvl w:val="1"/>
        <w:rPr>
          <w:rFonts w:ascii="仿宋_GB2312" w:eastAsia="仿宋_GB2312"/>
          <w:b/>
          <w:sz w:val="30"/>
          <w:szCs w:val="30"/>
        </w:rPr>
      </w:pPr>
      <w:bookmarkStart w:id="3707" w:name="_Toc255042983"/>
      <w:bookmarkStart w:id="3708" w:name="_Toc151137076"/>
      <w:bookmarkStart w:id="3709" w:name="_Toc27338455"/>
      <w:bookmarkStart w:id="3710" w:name="_Toc331418557"/>
      <w:bookmarkStart w:id="3711" w:name="_Toc1320374877"/>
      <w:r>
        <w:rPr>
          <w:rFonts w:hint="eastAsia" w:ascii="仿宋_GB2312" w:eastAsia="仿宋_GB2312"/>
          <w:b/>
          <w:sz w:val="30"/>
          <w:szCs w:val="30"/>
        </w:rPr>
        <w:t>债券交易突发性事件</w:t>
      </w:r>
      <w:bookmarkEnd w:id="3705"/>
      <w:bookmarkEnd w:id="3706"/>
      <w:bookmarkEnd w:id="3707"/>
      <w:bookmarkEnd w:id="3708"/>
      <w:bookmarkEnd w:id="3709"/>
      <w:bookmarkEnd w:id="3710"/>
      <w:bookmarkEnd w:id="3711"/>
    </w:p>
    <w:p w14:paraId="7D8F697E">
      <w:pPr>
        <w:spacing w:line="600" w:lineRule="exact"/>
        <w:ind w:firstLine="600" w:firstLineChars="200"/>
        <w:rPr>
          <w:rFonts w:ascii="仿宋_GB2312" w:eastAsia="仿宋_GB2312"/>
          <w:sz w:val="30"/>
          <w:szCs w:val="30"/>
        </w:rPr>
      </w:pPr>
      <w:r>
        <w:rPr>
          <w:rFonts w:hint="eastAsia" w:ascii="仿宋_GB2312" w:eastAsia="仿宋_GB2312"/>
          <w:sz w:val="30"/>
          <w:szCs w:val="30"/>
        </w:rPr>
        <w:t>本所债券市场发生突发性事件的具体认定标准、处置程序等，按照《上海证券交易所交易异常情况处理实施细则（试行）》执行。</w:t>
      </w:r>
    </w:p>
    <w:p w14:paraId="66C2D071">
      <w:pPr>
        <w:numPr>
          <w:ilvl w:val="2"/>
          <w:numId w:val="4"/>
        </w:numPr>
        <w:spacing w:line="600" w:lineRule="exact"/>
        <w:ind w:left="0" w:firstLine="0"/>
        <w:outlineLvl w:val="2"/>
        <w:rPr>
          <w:rFonts w:ascii="仿宋_GB2312" w:eastAsia="仿宋_GB2312"/>
          <w:b/>
          <w:color w:val="000000"/>
          <w:sz w:val="30"/>
          <w:szCs w:val="30"/>
        </w:rPr>
      </w:pPr>
      <w:r>
        <w:rPr>
          <w:rFonts w:hint="eastAsia" w:ascii="仿宋_GB2312" w:eastAsia="仿宋_GB2312"/>
          <w:b/>
          <w:color w:val="000000"/>
          <w:sz w:val="30"/>
          <w:szCs w:val="30"/>
        </w:rPr>
        <w:t>突发事件类型及措施</w:t>
      </w:r>
    </w:p>
    <w:p w14:paraId="1CED8A9A">
      <w:pPr>
        <w:spacing w:line="60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因不可抗力、意外事件、技术故障、重大人为差错等突发性事件，影响本所债券交易正常进行或者导致债券交易结果出现重大异常的，本所为维护债券交易正常秩序和市场公平，可以采取下列处置措施：</w:t>
      </w:r>
    </w:p>
    <w:p w14:paraId="35B57089">
      <w:pPr>
        <w:widowControl/>
        <w:spacing w:line="600" w:lineRule="exact"/>
        <w:ind w:firstLine="600" w:firstLineChars="200"/>
        <w:jc w:val="left"/>
        <w:rPr>
          <w:rFonts w:ascii="仿宋_GB2312" w:eastAsia="仿宋_GB2312"/>
          <w:sz w:val="30"/>
          <w:szCs w:val="30"/>
        </w:rPr>
      </w:pPr>
      <w:r>
        <w:rPr>
          <w:rFonts w:hint="eastAsia" w:ascii="仿宋_GB2312" w:eastAsia="仿宋_GB2312"/>
          <w:sz w:val="30"/>
          <w:szCs w:val="30"/>
        </w:rPr>
        <w:t>（1）对部分债券交易品种采取技术性停牌措施；</w:t>
      </w:r>
    </w:p>
    <w:p w14:paraId="140EC65F">
      <w:pPr>
        <w:widowControl/>
        <w:spacing w:line="600" w:lineRule="exact"/>
        <w:ind w:firstLine="600" w:firstLineChars="200"/>
        <w:jc w:val="left"/>
        <w:rPr>
          <w:rFonts w:ascii="仿宋_GB2312" w:eastAsia="仿宋_GB2312"/>
          <w:sz w:val="30"/>
          <w:szCs w:val="30"/>
        </w:rPr>
      </w:pPr>
      <w:r>
        <w:rPr>
          <w:rFonts w:hint="eastAsia" w:ascii="仿宋_GB2312" w:eastAsia="仿宋_GB2312"/>
          <w:sz w:val="30"/>
          <w:szCs w:val="30"/>
        </w:rPr>
        <w:t>（</w:t>
      </w:r>
      <w:r>
        <w:rPr>
          <w:rFonts w:ascii="仿宋_GB2312" w:eastAsia="仿宋_GB2312"/>
          <w:sz w:val="30"/>
          <w:szCs w:val="30"/>
        </w:rPr>
        <w:t>2</w:t>
      </w:r>
      <w:r>
        <w:rPr>
          <w:rFonts w:hint="eastAsia" w:ascii="仿宋_GB2312" w:eastAsia="仿宋_GB2312"/>
          <w:sz w:val="30"/>
          <w:szCs w:val="30"/>
        </w:rPr>
        <w:t>）采取临时停市措施；</w:t>
      </w:r>
    </w:p>
    <w:p w14:paraId="719CD309">
      <w:pPr>
        <w:widowControl/>
        <w:spacing w:line="600" w:lineRule="exact"/>
        <w:ind w:firstLine="600" w:firstLineChars="200"/>
        <w:jc w:val="left"/>
        <w:rPr>
          <w:rFonts w:ascii="仿宋_GB2312" w:eastAsia="仿宋_GB2312"/>
          <w:sz w:val="30"/>
          <w:szCs w:val="30"/>
        </w:rPr>
      </w:pPr>
      <w:r>
        <w:rPr>
          <w:rFonts w:hint="eastAsia" w:ascii="仿宋_GB2312" w:eastAsia="仿宋_GB2312"/>
          <w:sz w:val="30"/>
          <w:szCs w:val="30"/>
        </w:rPr>
        <w:t>（</w:t>
      </w:r>
      <w:r>
        <w:rPr>
          <w:rFonts w:ascii="仿宋_GB2312" w:eastAsia="仿宋_GB2312"/>
          <w:sz w:val="30"/>
          <w:szCs w:val="30"/>
        </w:rPr>
        <w:t>3</w:t>
      </w:r>
      <w:r>
        <w:rPr>
          <w:rFonts w:hint="eastAsia" w:ascii="仿宋_GB2312" w:eastAsia="仿宋_GB2312"/>
          <w:sz w:val="30"/>
          <w:szCs w:val="30"/>
        </w:rPr>
        <w:t>）上述突发性事件导致债券交易结果出现重大异常，按交易结果进行交收将对债券交易正常秩序和市场公平造成重大影响的，可以采取取消交易、通知登记结算机构暂缓交收等措施；</w:t>
      </w:r>
    </w:p>
    <w:p w14:paraId="1B69398E">
      <w:pPr>
        <w:spacing w:line="600" w:lineRule="exact"/>
        <w:ind w:firstLine="600" w:firstLineChars="200"/>
        <w:jc w:val="left"/>
        <w:rPr>
          <w:rFonts w:ascii="仿宋_GB2312" w:eastAsia="仿宋_GB2312"/>
          <w:color w:val="000000"/>
          <w:sz w:val="30"/>
          <w:szCs w:val="30"/>
        </w:rPr>
      </w:pPr>
      <w:r>
        <w:rPr>
          <w:rFonts w:hint="eastAsia" w:ascii="仿宋_GB2312" w:eastAsia="仿宋_GB2312"/>
          <w:color w:val="000000"/>
          <w:sz w:val="30"/>
          <w:szCs w:val="30"/>
        </w:rPr>
        <w:t>（4）本所为处置突发性事件、维护债券交易正常秩序和市场公平采取的其他必要措施。</w:t>
      </w:r>
    </w:p>
    <w:p w14:paraId="23210C70">
      <w:pPr>
        <w:spacing w:line="600" w:lineRule="exact"/>
        <w:ind w:firstLine="600" w:firstLineChars="200"/>
        <w:jc w:val="left"/>
        <w:rPr>
          <w:rFonts w:ascii="仿宋_GB2312" w:eastAsia="仿宋_GB2312"/>
          <w:color w:val="000000"/>
          <w:sz w:val="30"/>
          <w:szCs w:val="30"/>
        </w:rPr>
      </w:pPr>
      <w:r>
        <w:rPr>
          <w:rFonts w:hint="eastAsia" w:ascii="仿宋_GB2312" w:eastAsia="仿宋_GB2312"/>
          <w:color w:val="000000"/>
          <w:sz w:val="30"/>
          <w:szCs w:val="30"/>
        </w:rPr>
        <w:t>突发性事件的具体认定标准、处置程序等，由本所另行规定。</w:t>
      </w:r>
    </w:p>
    <w:p w14:paraId="685A14D7">
      <w:pPr>
        <w:numPr>
          <w:ilvl w:val="2"/>
          <w:numId w:val="4"/>
        </w:numPr>
        <w:spacing w:line="600" w:lineRule="exact"/>
        <w:ind w:left="0" w:firstLine="0"/>
        <w:outlineLvl w:val="2"/>
        <w:rPr>
          <w:rFonts w:ascii="仿宋_GB2312" w:eastAsia="仿宋_GB2312" w:cs="宋体"/>
          <w:b/>
          <w:color w:val="000000"/>
          <w:kern w:val="0"/>
          <w:sz w:val="30"/>
          <w:szCs w:val="30"/>
        </w:rPr>
      </w:pPr>
      <w:r>
        <w:rPr>
          <w:rFonts w:hint="eastAsia" w:ascii="仿宋_GB2312" w:eastAsia="仿宋_GB2312"/>
          <w:b/>
          <w:sz w:val="30"/>
          <w:szCs w:val="30"/>
        </w:rPr>
        <w:t>不可抗力</w:t>
      </w:r>
    </w:p>
    <w:p w14:paraId="6E07D1B5">
      <w:pPr>
        <w:spacing w:line="600" w:lineRule="exact"/>
        <w:ind w:firstLine="600" w:firstLineChars="200"/>
        <w:rPr>
          <w:rFonts w:ascii="仿宋_GB2312" w:eastAsia="仿宋_GB2312" w:cs="宋体"/>
          <w:color w:val="000000"/>
          <w:kern w:val="0"/>
          <w:sz w:val="30"/>
          <w:szCs w:val="30"/>
        </w:rPr>
      </w:pPr>
      <w:r>
        <w:rPr>
          <w:rFonts w:hint="eastAsia" w:ascii="仿宋_GB2312" w:eastAsia="仿宋_GB2312" w:cs="宋体"/>
          <w:color w:val="000000"/>
          <w:kern w:val="0"/>
          <w:sz w:val="30"/>
          <w:szCs w:val="30"/>
        </w:rPr>
        <w:t>不可抗力是指本所市场所在地或全国其他</w:t>
      </w:r>
      <w:r>
        <w:rPr>
          <w:rFonts w:hint="eastAsia" w:ascii="仿宋_GB2312" w:hAnsi="Calibri" w:eastAsia="仿宋_GB2312"/>
          <w:sz w:val="30"/>
          <w:szCs w:val="30"/>
        </w:rPr>
        <w:t>部分区域出现或据灾情预警可能出现严重自然灾害、出现重大公</w:t>
      </w:r>
      <w:r>
        <w:rPr>
          <w:rFonts w:hint="eastAsia" w:ascii="仿宋_GB2312" w:eastAsia="仿宋_GB2312" w:cs="宋体"/>
          <w:color w:val="000000"/>
          <w:kern w:val="0"/>
          <w:sz w:val="30"/>
          <w:szCs w:val="30"/>
        </w:rPr>
        <w:t>共卫生事件或社会安全事件等情形。</w:t>
      </w:r>
    </w:p>
    <w:p w14:paraId="0278CEC9">
      <w:pPr>
        <w:numPr>
          <w:ilvl w:val="2"/>
          <w:numId w:val="4"/>
        </w:numPr>
        <w:spacing w:line="600" w:lineRule="exact"/>
        <w:ind w:left="0" w:firstLine="0"/>
        <w:outlineLvl w:val="2"/>
        <w:rPr>
          <w:rFonts w:ascii="仿宋_GB2312" w:eastAsia="仿宋_GB2312" w:cs="宋体"/>
          <w:b/>
          <w:bCs/>
          <w:color w:val="000000"/>
          <w:kern w:val="0"/>
          <w:sz w:val="30"/>
          <w:szCs w:val="30"/>
        </w:rPr>
      </w:pPr>
      <w:r>
        <w:rPr>
          <w:rFonts w:hint="eastAsia" w:ascii="仿宋_GB2312" w:eastAsia="仿宋_GB2312"/>
          <w:b/>
          <w:sz w:val="30"/>
          <w:szCs w:val="30"/>
        </w:rPr>
        <w:t>意外事件</w:t>
      </w:r>
    </w:p>
    <w:p w14:paraId="3BC120D3">
      <w:pPr>
        <w:spacing w:line="600" w:lineRule="exact"/>
        <w:ind w:firstLine="600" w:firstLineChars="200"/>
        <w:rPr>
          <w:rFonts w:ascii="仿宋_GB2312" w:eastAsia="仿宋_GB2312" w:cs="宋体"/>
          <w:bCs/>
          <w:color w:val="000000"/>
          <w:kern w:val="0"/>
          <w:sz w:val="30"/>
          <w:szCs w:val="30"/>
        </w:rPr>
      </w:pPr>
      <w:r>
        <w:rPr>
          <w:rFonts w:hint="eastAsia" w:ascii="仿宋_GB2312" w:eastAsia="仿宋_GB2312" w:cs="宋体"/>
          <w:bCs/>
          <w:color w:val="000000"/>
          <w:kern w:val="0"/>
          <w:sz w:val="30"/>
          <w:szCs w:val="30"/>
        </w:rPr>
        <w:t>意外事件是指本所市场所在地发生火灾或电力供应出现故障等情形。</w:t>
      </w:r>
    </w:p>
    <w:p w14:paraId="5C369019">
      <w:pPr>
        <w:numPr>
          <w:ilvl w:val="2"/>
          <w:numId w:val="4"/>
        </w:numPr>
        <w:spacing w:line="600" w:lineRule="exact"/>
        <w:ind w:left="0" w:firstLine="0"/>
        <w:outlineLvl w:val="2"/>
        <w:rPr>
          <w:rFonts w:ascii="仿宋_GB2312" w:hAnsi="Calibri" w:eastAsia="仿宋_GB2312"/>
          <w:b/>
          <w:sz w:val="30"/>
          <w:szCs w:val="30"/>
        </w:rPr>
      </w:pPr>
      <w:r>
        <w:rPr>
          <w:rFonts w:hint="eastAsia" w:ascii="仿宋_GB2312" w:eastAsia="仿宋_GB2312"/>
          <w:b/>
          <w:sz w:val="30"/>
          <w:szCs w:val="30"/>
        </w:rPr>
        <w:t>技术</w:t>
      </w:r>
      <w:r>
        <w:rPr>
          <w:rFonts w:hint="eastAsia" w:ascii="仿宋_GB2312" w:eastAsia="仿宋_GB2312" w:cs="宋体"/>
          <w:b/>
          <w:bCs/>
          <w:color w:val="000000"/>
          <w:kern w:val="0"/>
          <w:sz w:val="30"/>
          <w:szCs w:val="30"/>
        </w:rPr>
        <w:t>故障</w:t>
      </w:r>
    </w:p>
    <w:p w14:paraId="7A63AEF7">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技术故障是指：</w:t>
      </w:r>
    </w:p>
    <w:p w14:paraId="2981843B">
      <w:pPr>
        <w:spacing w:line="600" w:lineRule="exact"/>
        <w:ind w:firstLine="600" w:firstLineChars="200"/>
        <w:jc w:val="left"/>
        <w:rPr>
          <w:rFonts w:ascii="仿宋_GB2312" w:hAnsi="Calibri" w:eastAsia="仿宋_GB2312"/>
          <w:sz w:val="30"/>
          <w:szCs w:val="30"/>
        </w:rPr>
      </w:pPr>
      <w:r>
        <w:rPr>
          <w:rFonts w:hint="eastAsia" w:ascii="仿宋_GB2312" w:hAnsi="Calibri" w:eastAsia="仿宋_GB2312"/>
          <w:sz w:val="30"/>
          <w:szCs w:val="30"/>
        </w:rPr>
        <w:t>（1）本所交易、通信系统中的网络、硬件设备、应用软件等无法正常运行；</w:t>
      </w:r>
    </w:p>
    <w:p w14:paraId="129AD0F5">
      <w:pPr>
        <w:spacing w:line="600" w:lineRule="exact"/>
        <w:ind w:firstLine="600" w:firstLineChars="200"/>
        <w:jc w:val="left"/>
        <w:rPr>
          <w:rFonts w:ascii="仿宋_GB2312" w:hAnsi="Calibri" w:eastAsia="仿宋_GB2312"/>
          <w:sz w:val="30"/>
          <w:szCs w:val="30"/>
        </w:rPr>
      </w:pPr>
      <w:r>
        <w:rPr>
          <w:rFonts w:hint="eastAsia" w:ascii="仿宋_GB2312" w:hAnsi="Calibri" w:eastAsia="仿宋_GB2312"/>
          <w:sz w:val="30"/>
          <w:szCs w:val="30"/>
        </w:rPr>
        <w:t>（2）本所交易、通信系统在运行、主备系统切换、软硬件系统及相关程序升级、上线时出现意外；</w:t>
      </w:r>
    </w:p>
    <w:p w14:paraId="367147A8">
      <w:pPr>
        <w:spacing w:line="600" w:lineRule="exact"/>
        <w:ind w:firstLine="600" w:firstLineChars="200"/>
        <w:jc w:val="left"/>
        <w:rPr>
          <w:rFonts w:ascii="仿宋_GB2312" w:hAnsi="Calibri" w:eastAsia="仿宋_GB2312"/>
          <w:sz w:val="30"/>
          <w:szCs w:val="30"/>
        </w:rPr>
      </w:pPr>
      <w:r>
        <w:rPr>
          <w:rFonts w:hint="eastAsia" w:ascii="仿宋_GB2312" w:hAnsi="Calibri" w:eastAsia="仿宋_GB2312"/>
          <w:sz w:val="30"/>
          <w:szCs w:val="30"/>
        </w:rPr>
        <w:t>（3）本所交易、通信系统被非法侵入或遭受其他人为破坏等情形。</w:t>
      </w:r>
    </w:p>
    <w:p w14:paraId="49965E90">
      <w:pPr>
        <w:numPr>
          <w:ilvl w:val="1"/>
          <w:numId w:val="4"/>
        </w:numPr>
        <w:spacing w:line="600" w:lineRule="exact"/>
        <w:ind w:left="0" w:firstLine="0"/>
        <w:outlineLvl w:val="1"/>
        <w:rPr>
          <w:rFonts w:ascii="仿宋_GB2312" w:eastAsia="仿宋_GB2312"/>
          <w:b/>
          <w:sz w:val="30"/>
          <w:szCs w:val="30"/>
        </w:rPr>
      </w:pPr>
      <w:bookmarkStart w:id="3712" w:name="_Toc1280477320"/>
      <w:bookmarkStart w:id="3713" w:name="_Toc1324729549"/>
      <w:bookmarkStart w:id="3714" w:name="_Toc746126064"/>
      <w:bookmarkStart w:id="3715" w:name="_Toc82711724"/>
      <w:bookmarkStart w:id="3716" w:name="_Toc56166323"/>
      <w:bookmarkStart w:id="3717" w:name="_Toc56166134"/>
      <w:bookmarkStart w:id="3718" w:name="_Toc151137077"/>
      <w:r>
        <w:rPr>
          <w:rFonts w:hint="eastAsia" w:ascii="仿宋_GB2312" w:eastAsia="仿宋_GB2312"/>
          <w:b/>
          <w:sz w:val="30"/>
          <w:szCs w:val="30"/>
        </w:rPr>
        <w:t>债券交易重大异常波动</w:t>
      </w:r>
      <w:bookmarkEnd w:id="3712"/>
      <w:bookmarkEnd w:id="3713"/>
      <w:bookmarkEnd w:id="3714"/>
      <w:bookmarkEnd w:id="3715"/>
      <w:bookmarkEnd w:id="3716"/>
      <w:bookmarkEnd w:id="3717"/>
      <w:bookmarkEnd w:id="3718"/>
    </w:p>
    <w:p w14:paraId="42423E19">
      <w:pPr>
        <w:spacing w:line="600" w:lineRule="exact"/>
        <w:ind w:firstLine="600" w:firstLineChars="200"/>
        <w:jc w:val="left"/>
        <w:rPr>
          <w:rFonts w:ascii="仿宋_GB2312" w:eastAsia="仿宋_GB2312"/>
          <w:color w:val="000000"/>
          <w:sz w:val="30"/>
          <w:szCs w:val="30"/>
        </w:rPr>
      </w:pPr>
      <w:r>
        <w:rPr>
          <w:rFonts w:hint="eastAsia" w:ascii="仿宋_GB2312" w:eastAsia="仿宋_GB2312"/>
          <w:color w:val="000000"/>
          <w:sz w:val="30"/>
          <w:szCs w:val="30"/>
        </w:rPr>
        <w:t>本所加强对债券交易的风险监测，债券交易出现重大异常波动的，本所可以视情况采取下列处置措施：</w:t>
      </w:r>
    </w:p>
    <w:p w14:paraId="48DBC6C0">
      <w:pPr>
        <w:spacing w:line="600" w:lineRule="exact"/>
        <w:ind w:firstLine="600" w:firstLineChars="200"/>
        <w:jc w:val="left"/>
        <w:rPr>
          <w:rFonts w:ascii="仿宋_GB2312" w:eastAsia="仿宋_GB2312"/>
          <w:color w:val="000000"/>
          <w:sz w:val="30"/>
          <w:szCs w:val="30"/>
        </w:rPr>
      </w:pPr>
      <w:r>
        <w:rPr>
          <w:rFonts w:hint="eastAsia" w:ascii="仿宋_GB2312" w:eastAsia="仿宋_GB2312"/>
          <w:color w:val="000000"/>
          <w:sz w:val="30"/>
          <w:szCs w:val="30"/>
        </w:rPr>
        <w:t>（</w:t>
      </w:r>
      <w:r>
        <w:rPr>
          <w:rFonts w:ascii="仿宋_GB2312" w:eastAsia="仿宋_GB2312"/>
          <w:color w:val="000000"/>
          <w:sz w:val="30"/>
          <w:szCs w:val="30"/>
        </w:rPr>
        <w:t>1</w:t>
      </w:r>
      <w:r>
        <w:rPr>
          <w:rFonts w:hint="eastAsia" w:ascii="仿宋_GB2312" w:eastAsia="仿宋_GB2312"/>
          <w:color w:val="000000"/>
          <w:sz w:val="30"/>
          <w:szCs w:val="30"/>
        </w:rPr>
        <w:t>）限制部分债券投资者的交易；</w:t>
      </w:r>
    </w:p>
    <w:p w14:paraId="0E5A9A9F">
      <w:pPr>
        <w:widowControl/>
        <w:spacing w:line="600" w:lineRule="exact"/>
        <w:ind w:firstLine="600" w:firstLineChars="200"/>
        <w:jc w:val="left"/>
        <w:rPr>
          <w:rFonts w:ascii="仿宋_GB2312" w:eastAsia="仿宋_GB2312"/>
          <w:color w:val="000000"/>
          <w:sz w:val="30"/>
          <w:szCs w:val="30"/>
        </w:rPr>
      </w:pPr>
      <w:r>
        <w:rPr>
          <w:rFonts w:hint="eastAsia" w:ascii="仿宋_GB2312" w:eastAsia="仿宋_GB2312"/>
          <w:color w:val="000000"/>
          <w:sz w:val="30"/>
          <w:szCs w:val="30"/>
        </w:rPr>
        <w:t>（</w:t>
      </w:r>
      <w:r>
        <w:rPr>
          <w:rFonts w:ascii="仿宋_GB2312" w:eastAsia="仿宋_GB2312"/>
          <w:color w:val="000000"/>
          <w:sz w:val="30"/>
          <w:szCs w:val="30"/>
        </w:rPr>
        <w:t>2</w:t>
      </w:r>
      <w:r>
        <w:rPr>
          <w:rFonts w:hint="eastAsia" w:ascii="仿宋_GB2312" w:eastAsia="仿宋_GB2312"/>
          <w:color w:val="000000"/>
          <w:sz w:val="30"/>
          <w:szCs w:val="30"/>
        </w:rPr>
        <w:t>）对部分债券交易品种采取强制停牌措施；</w:t>
      </w:r>
    </w:p>
    <w:p w14:paraId="0C357248">
      <w:pPr>
        <w:widowControl/>
        <w:spacing w:line="600" w:lineRule="exact"/>
        <w:ind w:firstLine="600" w:firstLineChars="200"/>
        <w:jc w:val="left"/>
        <w:rPr>
          <w:rFonts w:ascii="仿宋_GB2312" w:eastAsia="仿宋_GB2312"/>
          <w:color w:val="000000"/>
          <w:sz w:val="30"/>
          <w:szCs w:val="30"/>
        </w:rPr>
      </w:pPr>
      <w:r>
        <w:rPr>
          <w:rFonts w:hint="eastAsia" w:ascii="仿宋_GB2312" w:eastAsia="仿宋_GB2312"/>
          <w:color w:val="000000"/>
          <w:sz w:val="30"/>
          <w:szCs w:val="30"/>
        </w:rPr>
        <w:t>（</w:t>
      </w:r>
      <w:r>
        <w:rPr>
          <w:rFonts w:ascii="仿宋_GB2312" w:eastAsia="仿宋_GB2312"/>
          <w:color w:val="000000"/>
          <w:sz w:val="30"/>
          <w:szCs w:val="30"/>
        </w:rPr>
        <w:t>3</w:t>
      </w:r>
      <w:r>
        <w:rPr>
          <w:rFonts w:hint="eastAsia" w:ascii="仿宋_GB2312" w:eastAsia="仿宋_GB2312"/>
          <w:color w:val="000000"/>
          <w:sz w:val="30"/>
          <w:szCs w:val="30"/>
        </w:rPr>
        <w:t>）出现严重影响市场稳定情形的，采取临时停市措施；</w:t>
      </w:r>
    </w:p>
    <w:p w14:paraId="6759A805">
      <w:pPr>
        <w:spacing w:line="600" w:lineRule="exact"/>
        <w:ind w:firstLine="600" w:firstLineChars="200"/>
        <w:jc w:val="left"/>
        <w:rPr>
          <w:rFonts w:ascii="仿宋_GB2312" w:eastAsia="仿宋_GB2312" w:cs="宋体"/>
          <w:color w:val="000000"/>
          <w:kern w:val="0"/>
          <w:sz w:val="30"/>
          <w:szCs w:val="30"/>
        </w:rPr>
      </w:pPr>
      <w:r>
        <w:rPr>
          <w:rFonts w:hint="eastAsia" w:ascii="仿宋_GB2312" w:eastAsia="仿宋_GB2312"/>
          <w:color w:val="000000"/>
          <w:sz w:val="30"/>
          <w:szCs w:val="30"/>
        </w:rPr>
        <w:t>（</w:t>
      </w:r>
      <w:r>
        <w:rPr>
          <w:rFonts w:ascii="仿宋_GB2312" w:eastAsia="仿宋_GB2312"/>
          <w:color w:val="000000"/>
          <w:sz w:val="30"/>
          <w:szCs w:val="30"/>
        </w:rPr>
        <w:t>4</w:t>
      </w:r>
      <w:r>
        <w:rPr>
          <w:rFonts w:hint="eastAsia" w:ascii="仿宋_GB2312" w:eastAsia="仿宋_GB2312"/>
          <w:color w:val="000000"/>
          <w:sz w:val="30"/>
          <w:szCs w:val="30"/>
        </w:rPr>
        <w:t>）本所为处置重大异常波动、维护债券市场稳定采取的</w:t>
      </w:r>
      <w:r>
        <w:rPr>
          <w:rFonts w:hint="eastAsia" w:ascii="仿宋_GB2312" w:hAnsi="Calibri" w:eastAsia="仿宋_GB2312"/>
          <w:sz w:val="30"/>
          <w:szCs w:val="30"/>
        </w:rPr>
        <w:t>其他必要</w:t>
      </w:r>
      <w:r>
        <w:rPr>
          <w:rFonts w:hint="eastAsia" w:ascii="仿宋_GB2312" w:eastAsia="仿宋_GB2312" w:cs="宋体"/>
          <w:color w:val="000000"/>
          <w:kern w:val="0"/>
          <w:sz w:val="30"/>
          <w:szCs w:val="30"/>
        </w:rPr>
        <w:t>措施。</w:t>
      </w:r>
    </w:p>
    <w:p w14:paraId="3A7F0832">
      <w:pPr>
        <w:spacing w:line="600" w:lineRule="exact"/>
        <w:ind w:firstLine="600" w:firstLineChars="200"/>
        <w:jc w:val="left"/>
        <w:rPr>
          <w:rFonts w:ascii="仿宋_GB2312" w:eastAsia="仿宋_GB2312" w:cs="宋体"/>
          <w:color w:val="000000"/>
          <w:kern w:val="0"/>
          <w:sz w:val="30"/>
          <w:szCs w:val="30"/>
        </w:rPr>
      </w:pPr>
      <w:r>
        <w:rPr>
          <w:rFonts w:hint="eastAsia" w:ascii="仿宋_GB2312" w:eastAsia="仿宋_GB2312"/>
          <w:color w:val="000000"/>
          <w:sz w:val="30"/>
          <w:szCs w:val="30"/>
        </w:rPr>
        <w:t>重大异常波动的具体认定标准、处置程序等，由本所另行规定。</w:t>
      </w:r>
    </w:p>
    <w:p w14:paraId="5BA7D6C3">
      <w:pPr>
        <w:numPr>
          <w:ilvl w:val="1"/>
          <w:numId w:val="4"/>
        </w:numPr>
        <w:spacing w:line="600" w:lineRule="exact"/>
        <w:ind w:left="0" w:firstLine="0"/>
        <w:outlineLvl w:val="1"/>
        <w:rPr>
          <w:rFonts w:ascii="仿宋_GB2312" w:eastAsia="仿宋_GB2312"/>
          <w:b/>
          <w:sz w:val="30"/>
          <w:szCs w:val="30"/>
        </w:rPr>
      </w:pPr>
      <w:bookmarkStart w:id="3719" w:name="_Toc60327167"/>
      <w:bookmarkEnd w:id="3719"/>
      <w:bookmarkStart w:id="3720" w:name="_Toc60331924"/>
      <w:bookmarkEnd w:id="3720"/>
      <w:bookmarkStart w:id="3721" w:name="_Toc60327166"/>
      <w:bookmarkEnd w:id="3721"/>
      <w:bookmarkStart w:id="3722" w:name="_Toc60327165"/>
      <w:bookmarkEnd w:id="3722"/>
      <w:bookmarkStart w:id="3723" w:name="_Toc60327168"/>
      <w:bookmarkEnd w:id="3723"/>
      <w:bookmarkStart w:id="3724" w:name="_Toc60331928"/>
      <w:bookmarkEnd w:id="3724"/>
      <w:bookmarkStart w:id="3725" w:name="_Toc60331926"/>
      <w:bookmarkEnd w:id="3725"/>
      <w:bookmarkStart w:id="3726" w:name="_Toc60331925"/>
      <w:bookmarkEnd w:id="3726"/>
      <w:bookmarkStart w:id="3727" w:name="_Toc60327170"/>
      <w:bookmarkEnd w:id="3727"/>
      <w:bookmarkStart w:id="3728" w:name="_Toc60331923"/>
      <w:bookmarkEnd w:id="3728"/>
      <w:bookmarkStart w:id="3729" w:name="_Toc60331922"/>
      <w:bookmarkEnd w:id="3729"/>
      <w:bookmarkStart w:id="3730" w:name="_Toc60327172"/>
      <w:bookmarkEnd w:id="3730"/>
      <w:bookmarkStart w:id="3731" w:name="_Toc60327169"/>
      <w:bookmarkEnd w:id="3731"/>
      <w:bookmarkStart w:id="3732" w:name="_Toc60327171"/>
      <w:bookmarkEnd w:id="3732"/>
      <w:bookmarkStart w:id="3733" w:name="_Toc60331929"/>
      <w:bookmarkEnd w:id="3733"/>
      <w:bookmarkStart w:id="3734" w:name="_Toc60331927"/>
      <w:bookmarkEnd w:id="3734"/>
      <w:bookmarkStart w:id="3735" w:name="_Toc44978522"/>
      <w:bookmarkStart w:id="3736" w:name="_Toc707810506"/>
      <w:bookmarkStart w:id="3737" w:name="_Toc1530433938"/>
      <w:bookmarkStart w:id="3738" w:name="_Toc56166135"/>
      <w:bookmarkStart w:id="3739" w:name="_Toc151137078"/>
      <w:bookmarkStart w:id="3740" w:name="_Toc86237022"/>
      <w:bookmarkStart w:id="3741" w:name="_Toc56166324"/>
      <w:r>
        <w:rPr>
          <w:rFonts w:hint="eastAsia" w:ascii="仿宋_GB2312" w:eastAsia="仿宋_GB2312"/>
          <w:b/>
          <w:sz w:val="30"/>
          <w:szCs w:val="30"/>
        </w:rPr>
        <w:t>交易异常处置措施</w:t>
      </w:r>
      <w:bookmarkEnd w:id="3735"/>
      <w:bookmarkEnd w:id="3736"/>
      <w:bookmarkEnd w:id="3737"/>
      <w:bookmarkEnd w:id="3738"/>
      <w:bookmarkEnd w:id="3739"/>
      <w:bookmarkEnd w:id="3740"/>
      <w:bookmarkEnd w:id="3741"/>
    </w:p>
    <w:p w14:paraId="09420E03">
      <w:pPr>
        <w:numPr>
          <w:ilvl w:val="2"/>
          <w:numId w:val="4"/>
        </w:numPr>
        <w:spacing w:line="600" w:lineRule="exact"/>
        <w:ind w:left="0" w:firstLine="0"/>
        <w:outlineLvl w:val="2"/>
        <w:rPr>
          <w:rFonts w:ascii="仿宋_GB2312" w:hAnsi="Calibri" w:eastAsia="仿宋_GB2312"/>
          <w:b/>
          <w:sz w:val="30"/>
          <w:szCs w:val="30"/>
        </w:rPr>
      </w:pPr>
      <w:r>
        <w:rPr>
          <w:rFonts w:hint="eastAsia" w:ascii="仿宋_GB2312" w:eastAsia="仿宋_GB2312" w:cs="宋体"/>
          <w:b/>
          <w:color w:val="000000"/>
          <w:kern w:val="0"/>
          <w:sz w:val="30"/>
          <w:szCs w:val="30"/>
        </w:rPr>
        <w:t>向中国证监会报告</w:t>
      </w:r>
    </w:p>
    <w:p w14:paraId="7B813B87">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债券交易发生突发性事件、重大异常波动，本所将及时向中国证监会报告事件发生情况、事件产生或者可能产生的影响、采取的处置措施及其效果等。</w:t>
      </w:r>
    </w:p>
    <w:p w14:paraId="6DFEBFF4">
      <w:pPr>
        <w:widowControl/>
        <w:spacing w:line="600" w:lineRule="exact"/>
        <w:ind w:firstLine="600" w:firstLineChars="200"/>
        <w:jc w:val="left"/>
        <w:rPr>
          <w:rFonts w:ascii="仿宋_GB2312" w:hAnsi="Calibri" w:eastAsia="仿宋_GB2312"/>
          <w:sz w:val="30"/>
          <w:szCs w:val="30"/>
        </w:rPr>
      </w:pPr>
      <w:r>
        <w:rPr>
          <w:rFonts w:hint="eastAsia" w:ascii="仿宋_GB2312" w:hAnsi="Calibri" w:eastAsia="仿宋_GB2312"/>
          <w:sz w:val="30"/>
          <w:szCs w:val="30"/>
        </w:rPr>
        <w:t>本所处置突发性事件、重大异常波动所采取的措施将通过本所官网、上证债券信息网等渠道及时予以公告，但影响处置、市场秩序和市场稳定等的除外。</w:t>
      </w:r>
    </w:p>
    <w:p w14:paraId="3DAA159A">
      <w:pPr>
        <w:numPr>
          <w:ilvl w:val="2"/>
          <w:numId w:val="4"/>
        </w:numPr>
        <w:spacing w:line="600" w:lineRule="exact"/>
        <w:ind w:left="0" w:firstLine="0"/>
        <w:outlineLvl w:val="2"/>
        <w:rPr>
          <w:rFonts w:ascii="仿宋_GB2312" w:eastAsia="仿宋_GB2312" w:cs="宋体"/>
          <w:b/>
          <w:bCs/>
          <w:color w:val="000000"/>
          <w:kern w:val="0"/>
          <w:sz w:val="30"/>
          <w:szCs w:val="30"/>
        </w:rPr>
      </w:pPr>
      <w:r>
        <w:rPr>
          <w:rFonts w:hint="eastAsia" w:ascii="仿宋_GB2312" w:eastAsia="仿宋_GB2312" w:cs="宋体"/>
          <w:b/>
          <w:bCs/>
          <w:color w:val="000000"/>
          <w:kern w:val="0"/>
          <w:sz w:val="30"/>
          <w:szCs w:val="30"/>
        </w:rPr>
        <w:t>恢复交易</w:t>
      </w:r>
    </w:p>
    <w:p w14:paraId="6F41E1DE">
      <w:pPr>
        <w:spacing w:line="600" w:lineRule="exact"/>
        <w:ind w:firstLine="600" w:firstLineChars="200"/>
        <w:rPr>
          <w:rFonts w:ascii="仿宋_GB2312" w:eastAsia="仿宋_GB2312" w:cs="宋体"/>
          <w:bCs/>
          <w:color w:val="000000"/>
          <w:kern w:val="0"/>
          <w:sz w:val="30"/>
          <w:szCs w:val="30"/>
        </w:rPr>
      </w:pPr>
      <w:r>
        <w:rPr>
          <w:rFonts w:hint="eastAsia" w:ascii="仿宋_GB2312" w:eastAsia="仿宋_GB2312" w:cs="宋体"/>
          <w:bCs/>
          <w:color w:val="000000"/>
          <w:kern w:val="0"/>
          <w:sz w:val="30"/>
          <w:szCs w:val="30"/>
        </w:rPr>
        <w:t>停牌或者临时停市原因消除后，本所恢复债券交易。</w:t>
      </w:r>
    </w:p>
    <w:p w14:paraId="7328E8D0">
      <w:pPr>
        <w:numPr>
          <w:ilvl w:val="2"/>
          <w:numId w:val="4"/>
        </w:numPr>
        <w:spacing w:line="600" w:lineRule="exact"/>
        <w:ind w:left="0" w:firstLine="0"/>
        <w:outlineLvl w:val="2"/>
        <w:rPr>
          <w:rFonts w:ascii="仿宋_GB2312" w:hAnsi="Calibri" w:eastAsia="仿宋_GB2312"/>
          <w:b/>
          <w:sz w:val="30"/>
          <w:szCs w:val="30"/>
        </w:rPr>
      </w:pPr>
      <w:r>
        <w:rPr>
          <w:rFonts w:hint="eastAsia" w:ascii="仿宋_GB2312" w:eastAsia="仿宋_GB2312" w:cs="宋体"/>
          <w:b/>
          <w:color w:val="000000"/>
          <w:kern w:val="0"/>
          <w:sz w:val="30"/>
          <w:szCs w:val="30"/>
        </w:rPr>
        <w:t>申报有效</w:t>
      </w:r>
    </w:p>
    <w:p w14:paraId="6191614C">
      <w:pPr>
        <w:spacing w:line="600" w:lineRule="exact"/>
        <w:ind w:firstLine="600" w:firstLineChars="200"/>
        <w:rPr>
          <w:rFonts w:ascii="仿宋_GB2312" w:hAnsi="Calibri" w:eastAsia="仿宋_GB2312"/>
          <w:sz w:val="30"/>
          <w:szCs w:val="30"/>
        </w:rPr>
      </w:pPr>
      <w:r>
        <w:rPr>
          <w:rFonts w:hint="eastAsia" w:ascii="仿宋_GB2312" w:eastAsia="仿宋_GB2312" w:cs="宋体"/>
          <w:color w:val="000000"/>
          <w:kern w:val="0"/>
          <w:sz w:val="30"/>
          <w:szCs w:val="30"/>
        </w:rPr>
        <w:t>除</w:t>
      </w:r>
      <w:r>
        <w:rPr>
          <w:rFonts w:hint="eastAsia" w:ascii="仿宋_GB2312" w:hAnsi="Calibri" w:eastAsia="仿宋_GB2312"/>
          <w:sz w:val="30"/>
          <w:szCs w:val="30"/>
        </w:rPr>
        <w:t>本所认定的特殊情况外，停牌或者临时停市后当日恢复债券交易的，停牌或者临时停市前交易系统已经接受的申报有效。</w:t>
      </w:r>
    </w:p>
    <w:p w14:paraId="7B64EBC9">
      <w:pPr>
        <w:numPr>
          <w:ilvl w:val="2"/>
          <w:numId w:val="4"/>
        </w:numPr>
        <w:spacing w:line="600" w:lineRule="exact"/>
        <w:ind w:left="0" w:firstLine="0"/>
        <w:outlineLvl w:val="2"/>
        <w:rPr>
          <w:rFonts w:ascii="仿宋_GB2312" w:hAnsi="Calibri" w:eastAsia="仿宋_GB2312"/>
          <w:b/>
          <w:sz w:val="30"/>
          <w:szCs w:val="30"/>
        </w:rPr>
      </w:pPr>
      <w:r>
        <w:rPr>
          <w:rFonts w:hint="eastAsia" w:ascii="仿宋_GB2312" w:hAnsi="Calibri" w:eastAsia="仿宋_GB2312"/>
          <w:b/>
          <w:sz w:val="30"/>
          <w:szCs w:val="30"/>
        </w:rPr>
        <w:t>责任</w:t>
      </w:r>
      <w:r>
        <w:rPr>
          <w:rFonts w:hint="eastAsia" w:ascii="仿宋_GB2312" w:eastAsia="仿宋_GB2312"/>
          <w:b/>
          <w:sz w:val="30"/>
          <w:szCs w:val="30"/>
        </w:rPr>
        <w:t>免除</w:t>
      </w:r>
    </w:p>
    <w:p w14:paraId="508139C8">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本所处置突发性事件、重大异常波动采取措施造成的损失，本所不承担民事赔偿责任，但本所存在重大过错的情形除外。</w:t>
      </w:r>
    </w:p>
    <w:p w14:paraId="2AE5FC40">
      <w:pPr>
        <w:numPr>
          <w:ilvl w:val="2"/>
          <w:numId w:val="4"/>
        </w:numPr>
        <w:spacing w:line="600" w:lineRule="exact"/>
        <w:ind w:left="0" w:firstLine="0"/>
        <w:outlineLvl w:val="2"/>
        <w:rPr>
          <w:rFonts w:ascii="仿宋_GB2312" w:hAnsi="Calibri" w:eastAsia="仿宋_GB2312"/>
          <w:b/>
          <w:sz w:val="30"/>
          <w:szCs w:val="30"/>
        </w:rPr>
      </w:pPr>
      <w:r>
        <w:rPr>
          <w:rFonts w:hint="eastAsia" w:ascii="仿宋_GB2312" w:hAnsi="Calibri" w:eastAsia="仿宋_GB2312"/>
          <w:b/>
          <w:sz w:val="30"/>
          <w:szCs w:val="30"/>
        </w:rPr>
        <w:t>债券交易参与人异常情况</w:t>
      </w:r>
      <w:r>
        <w:rPr>
          <w:rFonts w:ascii="仿宋_GB2312" w:hAnsi="Calibri" w:eastAsia="仿宋_GB2312"/>
          <w:b/>
          <w:sz w:val="30"/>
          <w:szCs w:val="30"/>
        </w:rPr>
        <w:t>报告义务</w:t>
      </w:r>
    </w:p>
    <w:p w14:paraId="0831D929">
      <w:pPr>
        <w:spacing w:line="600" w:lineRule="exact"/>
        <w:ind w:firstLine="600" w:firstLineChars="200"/>
        <w:rPr>
          <w:rFonts w:ascii="仿宋_GB2312" w:hAnsi="Calibri" w:eastAsia="仿宋_GB2312"/>
          <w:sz w:val="30"/>
          <w:szCs w:val="30"/>
        </w:rPr>
      </w:pPr>
      <w:r>
        <w:rPr>
          <w:rFonts w:hint="eastAsia" w:ascii="仿宋_GB2312" w:eastAsia="仿宋_GB2312"/>
          <w:color w:val="000000"/>
          <w:sz w:val="30"/>
          <w:szCs w:val="30"/>
        </w:rPr>
        <w:t>债券交易参与人债券交易、技术系统运行出现异常情况的，应当</w:t>
      </w:r>
      <w:r>
        <w:rPr>
          <w:rFonts w:hint="eastAsia" w:ascii="仿宋_GB2312" w:hAnsi="Cambria" w:eastAsia="仿宋_GB2312"/>
          <w:bCs/>
          <w:sz w:val="30"/>
          <w:szCs w:val="30"/>
        </w:rPr>
        <w:t>于异常情况发生之日起</w:t>
      </w:r>
      <w:r>
        <w:rPr>
          <w:rFonts w:ascii="仿宋_GB2312" w:hAnsi="Cambria" w:eastAsia="仿宋_GB2312"/>
          <w:bCs/>
          <w:sz w:val="30"/>
          <w:szCs w:val="30"/>
        </w:rPr>
        <w:t>1</w:t>
      </w:r>
      <w:r>
        <w:rPr>
          <w:rFonts w:hint="eastAsia" w:ascii="仿宋_GB2312" w:hAnsi="Cambria" w:eastAsia="仿宋_GB2312"/>
          <w:bCs/>
          <w:sz w:val="30"/>
          <w:szCs w:val="30"/>
        </w:rPr>
        <w:t>个交易日内通过邮件</w:t>
      </w:r>
      <w:r>
        <w:rPr>
          <w:rFonts w:ascii="仿宋_GB2312" w:hAnsi="Cambria" w:eastAsia="仿宋_GB2312"/>
          <w:bCs/>
          <w:sz w:val="30"/>
          <w:szCs w:val="30"/>
        </w:rPr>
        <w:t>bondtrading@sse.com.cn</w:t>
      </w:r>
      <w:r>
        <w:rPr>
          <w:rFonts w:hint="eastAsia" w:ascii="仿宋_GB2312" w:hAnsi="Cambria" w:eastAsia="仿宋_GB2312"/>
          <w:bCs/>
          <w:sz w:val="30"/>
          <w:szCs w:val="30"/>
        </w:rPr>
        <w:t>及时向本所报告。</w:t>
      </w:r>
    </w:p>
    <w:p w14:paraId="3C3FD74F">
      <w:pPr>
        <w:numPr>
          <w:ilvl w:val="1"/>
          <w:numId w:val="4"/>
        </w:numPr>
        <w:spacing w:line="600" w:lineRule="exact"/>
        <w:ind w:left="0" w:firstLine="0"/>
        <w:outlineLvl w:val="1"/>
        <w:rPr>
          <w:rFonts w:ascii="仿宋_GB2312" w:eastAsia="仿宋_GB2312"/>
          <w:b/>
          <w:sz w:val="30"/>
          <w:szCs w:val="30"/>
        </w:rPr>
      </w:pPr>
      <w:bookmarkStart w:id="3742" w:name="_Toc1379708608"/>
      <w:bookmarkStart w:id="3743" w:name="_Toc1819934435"/>
      <w:bookmarkStart w:id="3744" w:name="_Toc56166136"/>
      <w:bookmarkStart w:id="3745" w:name="_Toc1687647394"/>
      <w:bookmarkStart w:id="3746" w:name="_Toc1224570018"/>
      <w:bookmarkStart w:id="3747" w:name="_Toc56166325"/>
      <w:bookmarkStart w:id="3748" w:name="_Toc151137079"/>
      <w:r>
        <w:rPr>
          <w:rFonts w:hint="eastAsia" w:ascii="仿宋_GB2312" w:eastAsia="仿宋_GB2312"/>
          <w:b/>
          <w:sz w:val="30"/>
          <w:szCs w:val="30"/>
        </w:rPr>
        <w:t>应急申报与成交</w:t>
      </w:r>
      <w:bookmarkEnd w:id="3742"/>
      <w:bookmarkEnd w:id="3743"/>
      <w:bookmarkEnd w:id="3744"/>
      <w:bookmarkEnd w:id="3745"/>
      <w:bookmarkEnd w:id="3746"/>
      <w:bookmarkEnd w:id="3747"/>
      <w:bookmarkEnd w:id="3748"/>
    </w:p>
    <w:p w14:paraId="5BB7ED12">
      <w:pPr>
        <w:spacing w:line="600" w:lineRule="exact"/>
        <w:ind w:firstLine="600" w:firstLineChars="200"/>
        <w:rPr>
          <w:rFonts w:ascii="仿宋_GB2312" w:hAnsi="Calibri" w:eastAsia="仿宋_GB2312"/>
          <w:sz w:val="30"/>
          <w:szCs w:val="30"/>
        </w:rPr>
      </w:pPr>
      <w:r>
        <w:rPr>
          <w:rFonts w:hint="eastAsia" w:ascii="仿宋_GB2312" w:eastAsia="仿宋_GB2312" w:cs="宋体"/>
          <w:color w:val="000000"/>
          <w:kern w:val="0"/>
          <w:sz w:val="30"/>
          <w:szCs w:val="30"/>
        </w:rPr>
        <w:t>债券交易参与人因技术故障等原因无法使用固收平台进行交易申报的，经审慎评估确需进行交易的，可以</w:t>
      </w:r>
      <w:r>
        <w:rPr>
          <w:rFonts w:hint="eastAsia" w:ascii="仿宋_GB2312" w:eastAsia="仿宋_GB2312" w:cs="宋体"/>
          <w:color w:val="000000"/>
          <w:kern w:val="0"/>
          <w:sz w:val="30"/>
          <w:szCs w:val="30"/>
          <w:lang w:eastAsia="zh-CN"/>
        </w:rPr>
        <w:t>将</w:t>
      </w:r>
      <w:r>
        <w:rPr>
          <w:rFonts w:hint="eastAsia" w:ascii="仿宋_GB2312" w:eastAsia="仿宋_GB2312" w:cs="宋体"/>
          <w:color w:val="000000"/>
          <w:kern w:val="0"/>
          <w:sz w:val="30"/>
          <w:szCs w:val="30"/>
        </w:rPr>
        <w:t>加盖公章的应急成交相关</w:t>
      </w:r>
      <w:r>
        <w:rPr>
          <w:rFonts w:hint="eastAsia" w:ascii="仿宋_GB2312" w:hAnsi="Calibri" w:eastAsia="仿宋_GB2312"/>
          <w:sz w:val="30"/>
          <w:szCs w:val="30"/>
        </w:rPr>
        <w:t>申报申请</w:t>
      </w:r>
      <w:r>
        <w:rPr>
          <w:rFonts w:hint="eastAsia" w:ascii="仿宋_GB2312" w:hAnsi="Calibri" w:eastAsia="仿宋_GB2312"/>
          <w:sz w:val="30"/>
          <w:szCs w:val="30"/>
          <w:lang w:eastAsia="zh-CN"/>
        </w:rPr>
        <w:t>发送至</w:t>
      </w:r>
      <w:r>
        <w:rPr>
          <w:rFonts w:hint="eastAsia" w:ascii="仿宋_GB2312" w:hAnsi="Calibri" w:eastAsia="仿宋_GB2312"/>
          <w:sz w:val="30"/>
          <w:szCs w:val="30"/>
          <w:lang w:val="en-US" w:eastAsia="zh-CN"/>
        </w:rPr>
        <w:t>bond@sse.com.cn</w:t>
      </w:r>
      <w:r>
        <w:rPr>
          <w:rFonts w:hint="eastAsia" w:ascii="仿宋_GB2312" w:hAnsi="Calibri" w:eastAsia="仿宋_GB2312"/>
          <w:sz w:val="30"/>
          <w:szCs w:val="30"/>
        </w:rPr>
        <w:t>。目前，应急成交仅支持采用协商成交交易方式的债券现券交易。</w:t>
      </w:r>
    </w:p>
    <w:p w14:paraId="1BD82FC6">
      <w:pPr>
        <w:spacing w:line="600" w:lineRule="exact"/>
        <w:ind w:firstLine="600" w:firstLineChars="200"/>
        <w:rPr>
          <w:rFonts w:ascii="仿宋_GB2312" w:hAnsi="Calibri"/>
          <w:sz w:val="30"/>
          <w:szCs w:val="30"/>
        </w:rPr>
      </w:pPr>
      <w:r>
        <w:rPr>
          <w:rFonts w:hint="eastAsia" w:ascii="仿宋_GB2312" w:hAnsi="Calibri" w:eastAsia="仿宋_GB2312"/>
          <w:sz w:val="30"/>
          <w:szCs w:val="30"/>
        </w:rPr>
        <w:t>本所根据债券交易参与人的应急成交申请进行相应操作，本所根据应急成交申请进行成交确认的，交易双方应当承认成交结果，履行清算交收义务。</w:t>
      </w:r>
    </w:p>
    <w:p w14:paraId="1FC4F2F6">
      <w:pPr>
        <w:numPr>
          <w:ilvl w:val="1"/>
          <w:numId w:val="4"/>
        </w:numPr>
        <w:spacing w:line="600" w:lineRule="exact"/>
        <w:ind w:left="0" w:firstLine="0"/>
        <w:outlineLvl w:val="1"/>
        <w:rPr>
          <w:rFonts w:ascii="仿宋_GB2312" w:eastAsia="仿宋_GB2312"/>
          <w:b/>
          <w:sz w:val="30"/>
          <w:szCs w:val="30"/>
        </w:rPr>
      </w:pPr>
      <w:bookmarkStart w:id="3749" w:name="_Toc812347560"/>
      <w:bookmarkStart w:id="3750" w:name="_Toc151137080"/>
      <w:bookmarkStart w:id="3751" w:name="_Toc56166137"/>
      <w:bookmarkStart w:id="3752" w:name="_Toc45038834"/>
      <w:bookmarkStart w:id="3753" w:name="_Toc1895212872"/>
      <w:bookmarkStart w:id="3754" w:name="_Toc346386900"/>
      <w:bookmarkStart w:id="3755" w:name="_Toc56166326"/>
      <w:r>
        <w:rPr>
          <w:rFonts w:hint="eastAsia" w:ascii="仿宋_GB2312" w:eastAsia="仿宋_GB2312"/>
          <w:b/>
          <w:sz w:val="30"/>
          <w:szCs w:val="30"/>
        </w:rPr>
        <w:t>交易解除</w:t>
      </w:r>
      <w:bookmarkEnd w:id="3749"/>
      <w:bookmarkEnd w:id="3750"/>
      <w:bookmarkEnd w:id="3751"/>
      <w:bookmarkEnd w:id="3752"/>
      <w:bookmarkEnd w:id="3753"/>
      <w:bookmarkEnd w:id="3754"/>
      <w:bookmarkEnd w:id="3755"/>
    </w:p>
    <w:p w14:paraId="2113EC76">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债券交易采用竞买成交方式，或者采用其他交易方式并以多边净额结算方式结算的，经交易系统确认成交后不得解除交易或者改变交易结果，但《债券交易规则》第一百三十条规定的情形除外。</w:t>
      </w:r>
    </w:p>
    <w:p w14:paraId="2EEA32AB">
      <w:pPr>
        <w:spacing w:line="600" w:lineRule="exact"/>
        <w:ind w:firstLine="600" w:firstLineChars="200"/>
        <w:rPr>
          <w:rFonts w:ascii="仿宋_GB2312" w:hAnsi="Calibri" w:eastAsia="仿宋_GB2312"/>
          <w:b/>
          <w:bCs/>
          <w:sz w:val="28"/>
          <w:szCs w:val="22"/>
        </w:rPr>
      </w:pPr>
      <w:r>
        <w:rPr>
          <w:rFonts w:hint="eastAsia" w:ascii="仿宋_GB2312" w:eastAsia="仿宋_GB2312"/>
          <w:color w:val="000000"/>
          <w:sz w:val="30"/>
          <w:szCs w:val="30"/>
        </w:rPr>
        <w:t>采用点击成交、</w:t>
      </w:r>
      <w:r>
        <w:rPr>
          <w:rFonts w:hint="eastAsia" w:ascii="仿宋_GB2312" w:hAnsi="Calibri" w:eastAsia="仿宋_GB2312"/>
          <w:sz w:val="30"/>
          <w:szCs w:val="30"/>
        </w:rPr>
        <w:t>询价成交、协商成交交易方式达成交易，且采用逐笔全额结算方式结算的债券交易，出现因不可抗力、预期违约、延迟履行等情形导致交易目的无法实现或者交易不能继续履行的，在交收开始前，交易双方协商一致并经本所认可后，可以解除相关交易。</w:t>
      </w:r>
      <w:bookmarkEnd w:id="3651"/>
      <w:bookmarkEnd w:id="3652"/>
    </w:p>
    <w:p w14:paraId="7909B8F7">
      <w:pPr>
        <w:widowControl/>
        <w:jc w:val="left"/>
        <w:rPr>
          <w:rFonts w:ascii="仿宋_GB2312" w:hAnsi="黑体" w:eastAsia="仿宋_GB2312"/>
          <w:b/>
          <w:sz w:val="30"/>
          <w:szCs w:val="30"/>
        </w:rPr>
      </w:pPr>
      <w:r>
        <w:rPr>
          <w:rFonts w:ascii="仿宋_GB2312" w:hAnsi="黑体" w:eastAsia="仿宋_GB2312"/>
          <w:b/>
          <w:sz w:val="30"/>
          <w:szCs w:val="30"/>
        </w:rPr>
        <w:br w:type="page"/>
      </w:r>
    </w:p>
    <w:p w14:paraId="3411892E">
      <w:pPr>
        <w:widowControl/>
        <w:jc w:val="left"/>
        <w:outlineLvl w:val="1"/>
        <w:rPr>
          <w:rFonts w:ascii="仿宋_GB2312" w:hAnsi="黑体" w:eastAsia="仿宋_GB2312"/>
          <w:b/>
          <w:sz w:val="30"/>
          <w:szCs w:val="30"/>
        </w:rPr>
      </w:pPr>
      <w:bookmarkStart w:id="3756" w:name="_Toc1050900095"/>
      <w:bookmarkStart w:id="3757" w:name="_Toc151137081"/>
      <w:bookmarkStart w:id="3758" w:name="_Toc980511441"/>
      <w:bookmarkStart w:id="3759" w:name="_Toc785289050"/>
      <w:bookmarkStart w:id="3760" w:name="_Toc455118873"/>
      <w:r>
        <w:rPr>
          <w:rFonts w:hint="eastAsia" w:ascii="仿宋_GB2312" w:hAnsi="黑体" w:eastAsia="仿宋_GB2312"/>
          <w:b/>
          <w:sz w:val="30"/>
          <w:szCs w:val="30"/>
        </w:rPr>
        <w:t>附件</w:t>
      </w:r>
      <w:r>
        <w:rPr>
          <w:rFonts w:ascii="仿宋_GB2312" w:hAnsi="黑体" w:eastAsia="仿宋_GB2312"/>
          <w:b/>
          <w:sz w:val="30"/>
          <w:szCs w:val="30"/>
        </w:rPr>
        <w:t xml:space="preserve">1 </w:t>
      </w:r>
      <w:r>
        <w:rPr>
          <w:rFonts w:hint="eastAsia" w:ascii="仿宋_GB2312" w:hAnsi="黑体" w:eastAsia="仿宋_GB2312"/>
          <w:b/>
          <w:sz w:val="30"/>
          <w:szCs w:val="30"/>
        </w:rPr>
        <w:t>债券交易参与人申请表</w:t>
      </w:r>
      <w:bookmarkEnd w:id="3756"/>
      <w:bookmarkEnd w:id="3757"/>
      <w:bookmarkEnd w:id="3758"/>
      <w:bookmarkEnd w:id="3759"/>
      <w:bookmarkEnd w:id="3760"/>
    </w:p>
    <w:p w14:paraId="3FBB155D">
      <w:pPr>
        <w:spacing w:line="560" w:lineRule="exact"/>
        <w:ind w:firstLine="602"/>
        <w:rPr>
          <w:rFonts w:ascii="仿宋_GB2312" w:hAnsi="Calibri" w:eastAsia="仿宋_GB2312"/>
          <w:b/>
          <w:bCs/>
          <w:sz w:val="30"/>
          <w:szCs w:val="30"/>
        </w:rPr>
      </w:pPr>
    </w:p>
    <w:p w14:paraId="2AF6FE23">
      <w:pPr>
        <w:spacing w:line="560" w:lineRule="exact"/>
        <w:jc w:val="center"/>
        <w:rPr>
          <w:rFonts w:ascii="黑体" w:hAnsi="黑体" w:eastAsia="黑体" w:cs="黑体"/>
          <w:b/>
          <w:sz w:val="44"/>
          <w:szCs w:val="44"/>
        </w:rPr>
      </w:pPr>
      <w:r>
        <w:rPr>
          <w:rFonts w:hint="eastAsia" w:ascii="黑体" w:hAnsi="黑体" w:eastAsia="黑体" w:cs="黑体"/>
          <w:b/>
          <w:sz w:val="44"/>
          <w:szCs w:val="44"/>
        </w:rPr>
        <w:t>债券交易参与人申请表</w:t>
      </w:r>
      <w:bookmarkEnd w:id="1968"/>
      <w:bookmarkEnd w:id="1969"/>
    </w:p>
    <w:p w14:paraId="242BDB29">
      <w:pPr>
        <w:spacing w:line="560" w:lineRule="exact"/>
        <w:rPr>
          <w:rFonts w:ascii="仿宋_GB2312" w:hAnsi="Calibri" w:eastAsia="仿宋_GB2312"/>
          <w:sz w:val="30"/>
          <w:szCs w:val="30"/>
        </w:rPr>
      </w:pPr>
      <w:r>
        <w:rPr>
          <w:rFonts w:hint="eastAsia" w:ascii="仿宋_GB2312" w:hAnsi="Calibri" w:eastAsia="仿宋_GB2312"/>
          <w:sz w:val="30"/>
          <w:szCs w:val="30"/>
        </w:rPr>
        <w:t>上海证券交易所：</w:t>
      </w:r>
    </w:p>
    <w:p w14:paraId="3FEF8B87">
      <w:pPr>
        <w:spacing w:line="560" w:lineRule="exact"/>
        <w:ind w:firstLine="600"/>
        <w:rPr>
          <w:rFonts w:ascii="仿宋_GB2312" w:hAnsi="Calibri" w:eastAsia="仿宋_GB2312"/>
          <w:kern w:val="28"/>
          <w:sz w:val="30"/>
          <w:szCs w:val="30"/>
        </w:rPr>
      </w:pPr>
      <w:r>
        <w:rPr>
          <w:rFonts w:hint="eastAsia" w:ascii="仿宋_GB2312" w:hAnsi="Calibri" w:eastAsia="仿宋_GB2312"/>
          <w:sz w:val="30"/>
          <w:szCs w:val="30"/>
        </w:rPr>
        <w:t>经我公司研究决定，特向上交所申请成为债券交易参与人，现将有关事项申请如下：</w:t>
      </w:r>
    </w:p>
    <w:tbl>
      <w:tblPr>
        <w:tblStyle w:val="43"/>
        <w:tblW w:w="49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0"/>
        <w:gridCol w:w="955"/>
        <w:gridCol w:w="746"/>
        <w:gridCol w:w="1277"/>
        <w:gridCol w:w="847"/>
        <w:gridCol w:w="1829"/>
        <w:gridCol w:w="1583"/>
      </w:tblGrid>
      <w:tr w14:paraId="5A243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5000" w:type="pct"/>
            <w:gridSpan w:val="7"/>
            <w:vAlign w:val="center"/>
          </w:tcPr>
          <w:p w14:paraId="777E1F8D">
            <w:pPr>
              <w:rPr>
                <w:rFonts w:ascii="仿宋_GB2312" w:hAnsi="Calibri" w:eastAsia="仿宋_GB2312"/>
                <w:sz w:val="24"/>
                <w:szCs w:val="30"/>
              </w:rPr>
            </w:pPr>
            <w:r>
              <w:rPr>
                <w:rFonts w:hint="eastAsia" w:ascii="仿宋_GB2312" w:hAnsi="Calibri" w:eastAsia="仿宋_GB2312"/>
                <w:sz w:val="24"/>
                <w:szCs w:val="30"/>
              </w:rPr>
              <w:t>机构名称：</w:t>
            </w:r>
          </w:p>
        </w:tc>
      </w:tr>
      <w:tr w14:paraId="4979B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2978" w:type="pct"/>
            <w:gridSpan w:val="5"/>
            <w:vAlign w:val="center"/>
          </w:tcPr>
          <w:p w14:paraId="1B38450C">
            <w:pPr>
              <w:rPr>
                <w:rFonts w:ascii="仿宋_GB2312" w:hAnsi="Calibri" w:eastAsia="仿宋_GB2312"/>
                <w:sz w:val="24"/>
                <w:szCs w:val="30"/>
              </w:rPr>
            </w:pPr>
            <w:r>
              <w:rPr>
                <w:rFonts w:hint="eastAsia" w:ascii="仿宋_GB2312" w:hAnsi="Calibri" w:eastAsia="仿宋_GB2312"/>
                <w:sz w:val="24"/>
                <w:szCs w:val="30"/>
              </w:rPr>
              <w:t>邮政地址：</w:t>
            </w:r>
          </w:p>
        </w:tc>
        <w:tc>
          <w:tcPr>
            <w:tcW w:w="2022" w:type="pct"/>
            <w:gridSpan w:val="2"/>
            <w:vAlign w:val="center"/>
          </w:tcPr>
          <w:p w14:paraId="37F72E42">
            <w:pPr>
              <w:rPr>
                <w:rFonts w:ascii="仿宋_GB2312" w:hAnsi="Calibri" w:eastAsia="仿宋_GB2312"/>
                <w:sz w:val="24"/>
                <w:szCs w:val="30"/>
              </w:rPr>
            </w:pPr>
            <w:r>
              <w:rPr>
                <w:rFonts w:hint="eastAsia" w:ascii="仿宋_GB2312" w:hAnsi="Calibri" w:eastAsia="仿宋_GB2312"/>
                <w:sz w:val="24"/>
                <w:szCs w:val="30"/>
              </w:rPr>
              <w:t>邮政编码：</w:t>
            </w:r>
          </w:p>
        </w:tc>
      </w:tr>
      <w:tr w14:paraId="498DA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2978" w:type="pct"/>
            <w:gridSpan w:val="5"/>
            <w:vAlign w:val="center"/>
          </w:tcPr>
          <w:p w14:paraId="021FCE2D">
            <w:pPr>
              <w:rPr>
                <w:rFonts w:ascii="仿宋_GB2312" w:hAnsi="Calibri" w:eastAsia="仿宋_GB2312"/>
                <w:sz w:val="24"/>
                <w:szCs w:val="30"/>
              </w:rPr>
            </w:pPr>
            <w:r>
              <w:rPr>
                <w:rFonts w:hint="eastAsia" w:ascii="仿宋_GB2312" w:hAnsi="Calibri" w:eastAsia="仿宋_GB2312"/>
                <w:sz w:val="24"/>
                <w:szCs w:val="30"/>
              </w:rPr>
              <w:t>机构联系电话：</w:t>
            </w:r>
          </w:p>
        </w:tc>
        <w:tc>
          <w:tcPr>
            <w:tcW w:w="2022" w:type="pct"/>
            <w:gridSpan w:val="2"/>
            <w:vAlign w:val="center"/>
          </w:tcPr>
          <w:p w14:paraId="4F493DCD">
            <w:pPr>
              <w:rPr>
                <w:rFonts w:ascii="仿宋_GB2312" w:hAnsi="Calibri" w:eastAsia="仿宋_GB2312"/>
                <w:sz w:val="24"/>
                <w:szCs w:val="30"/>
              </w:rPr>
            </w:pPr>
            <w:r>
              <w:rPr>
                <w:rFonts w:hint="eastAsia" w:ascii="仿宋_GB2312" w:hAnsi="Calibri" w:eastAsia="仿宋_GB2312"/>
                <w:sz w:val="24"/>
                <w:szCs w:val="30"/>
              </w:rPr>
              <w:t>联系人：</w:t>
            </w:r>
          </w:p>
        </w:tc>
      </w:tr>
      <w:tr w14:paraId="673C1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2978" w:type="pct"/>
            <w:gridSpan w:val="5"/>
            <w:vAlign w:val="center"/>
          </w:tcPr>
          <w:p w14:paraId="46AD5892">
            <w:pPr>
              <w:rPr>
                <w:rFonts w:ascii="仿宋_GB2312" w:hAnsi="Calibri" w:eastAsia="仿宋_GB2312"/>
                <w:sz w:val="24"/>
                <w:szCs w:val="30"/>
              </w:rPr>
            </w:pPr>
            <w:r>
              <w:rPr>
                <w:rFonts w:hint="eastAsia" w:ascii="仿宋_GB2312" w:hAnsi="Calibri" w:eastAsia="仿宋_GB2312"/>
                <w:sz w:val="24"/>
                <w:szCs w:val="30"/>
              </w:rPr>
              <w:t>法定代表人：</w:t>
            </w:r>
          </w:p>
        </w:tc>
        <w:tc>
          <w:tcPr>
            <w:tcW w:w="2022" w:type="pct"/>
            <w:gridSpan w:val="2"/>
            <w:vAlign w:val="center"/>
          </w:tcPr>
          <w:p w14:paraId="5E0E63AB">
            <w:pPr>
              <w:rPr>
                <w:rFonts w:ascii="仿宋_GB2312" w:hAnsi="Calibri" w:eastAsia="仿宋_GB2312"/>
                <w:sz w:val="24"/>
                <w:szCs w:val="30"/>
              </w:rPr>
            </w:pPr>
            <w:r>
              <w:rPr>
                <w:rFonts w:hint="eastAsia" w:ascii="仿宋_GB2312" w:hAnsi="Calibri" w:eastAsia="仿宋_GB2312"/>
                <w:sz w:val="24"/>
                <w:szCs w:val="30"/>
              </w:rPr>
              <w:t>联系人电子邮箱：</w:t>
            </w:r>
          </w:p>
        </w:tc>
      </w:tr>
      <w:tr w14:paraId="3DCDB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5000" w:type="pct"/>
            <w:gridSpan w:val="7"/>
            <w:vAlign w:val="center"/>
          </w:tcPr>
          <w:p w14:paraId="677A1FA6">
            <w:pPr>
              <w:rPr>
                <w:rFonts w:ascii="仿宋_GB2312" w:hAnsi="Calibri" w:eastAsia="仿宋_GB2312"/>
                <w:sz w:val="24"/>
                <w:szCs w:val="30"/>
              </w:rPr>
            </w:pPr>
            <w:r>
              <w:rPr>
                <w:rFonts w:hint="eastAsia" w:ascii="仿宋_GB2312" w:hAnsi="Calibri" w:eastAsia="仿宋_GB2312"/>
                <w:sz w:val="24"/>
                <w:szCs w:val="30"/>
              </w:rPr>
              <w:t>注册地址：</w:t>
            </w:r>
          </w:p>
        </w:tc>
      </w:tr>
      <w:tr w14:paraId="19602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5000" w:type="pct"/>
            <w:gridSpan w:val="7"/>
            <w:vAlign w:val="center"/>
          </w:tcPr>
          <w:p w14:paraId="291901AC">
            <w:pPr>
              <w:rPr>
                <w:rFonts w:ascii="仿宋_GB2312" w:hAnsi="Calibri" w:eastAsia="仿宋_GB2312"/>
                <w:sz w:val="24"/>
                <w:szCs w:val="30"/>
              </w:rPr>
            </w:pPr>
            <w:r>
              <w:rPr>
                <w:rFonts w:hint="eastAsia" w:ascii="仿宋_GB2312" w:hAnsi="Calibri" w:eastAsia="仿宋_GB2312"/>
                <w:sz w:val="24"/>
                <w:szCs w:val="30"/>
              </w:rPr>
              <w:t>统一社会信用代码：</w:t>
            </w:r>
          </w:p>
        </w:tc>
      </w:tr>
      <w:tr w14:paraId="436CB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277" w:type="pct"/>
            <w:gridSpan w:val="2"/>
            <w:tcBorders>
              <w:bottom w:val="single" w:color="auto" w:sz="4" w:space="0"/>
            </w:tcBorders>
            <w:vAlign w:val="center"/>
          </w:tcPr>
          <w:p w14:paraId="76E6730C">
            <w:pPr>
              <w:rPr>
                <w:rFonts w:ascii="仿宋_GB2312" w:hAnsi="Calibri" w:eastAsia="仿宋_GB2312"/>
                <w:sz w:val="24"/>
                <w:szCs w:val="30"/>
              </w:rPr>
            </w:pPr>
            <w:r>
              <w:rPr>
                <w:rFonts w:hint="eastAsia" w:ascii="仿宋_GB2312" w:hAnsi="Calibri" w:eastAsia="仿宋_GB2312"/>
                <w:sz w:val="24"/>
                <w:szCs w:val="30"/>
              </w:rPr>
              <w:t>注册资本</w:t>
            </w:r>
          </w:p>
        </w:tc>
        <w:tc>
          <w:tcPr>
            <w:tcW w:w="3723" w:type="pct"/>
            <w:gridSpan w:val="5"/>
            <w:tcBorders>
              <w:bottom w:val="single" w:color="auto" w:sz="4" w:space="0"/>
            </w:tcBorders>
            <w:vAlign w:val="center"/>
          </w:tcPr>
          <w:p w14:paraId="57CBB370">
            <w:pPr>
              <w:ind w:firstLine="2160" w:firstLineChars="900"/>
              <w:rPr>
                <w:rFonts w:ascii="仿宋_GB2312" w:hAnsi="Calibri" w:eastAsia="仿宋_GB2312"/>
                <w:sz w:val="24"/>
                <w:szCs w:val="30"/>
              </w:rPr>
            </w:pPr>
            <w:r>
              <w:rPr>
                <w:rFonts w:hint="eastAsia" w:ascii="仿宋_GB2312" w:hAnsi="Calibri" w:eastAsia="仿宋_GB2312"/>
                <w:sz w:val="24"/>
                <w:szCs w:val="30"/>
              </w:rPr>
              <w:t>亿元</w:t>
            </w:r>
          </w:p>
        </w:tc>
      </w:tr>
      <w:tr w14:paraId="186E9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277" w:type="pct"/>
            <w:gridSpan w:val="2"/>
            <w:tcBorders>
              <w:bottom w:val="single" w:color="auto" w:sz="4" w:space="0"/>
            </w:tcBorders>
            <w:vAlign w:val="center"/>
          </w:tcPr>
          <w:p w14:paraId="1209FF96">
            <w:pPr>
              <w:rPr>
                <w:rFonts w:ascii="仿宋_GB2312" w:hAnsi="Calibri" w:eastAsia="仿宋_GB2312"/>
                <w:sz w:val="24"/>
                <w:szCs w:val="30"/>
              </w:rPr>
            </w:pPr>
            <w:r>
              <w:rPr>
                <w:rFonts w:hint="eastAsia" w:ascii="仿宋_GB2312" w:hAnsi="Calibri" w:eastAsia="仿宋_GB2312"/>
                <w:sz w:val="24"/>
                <w:szCs w:val="30"/>
              </w:rPr>
              <w:t>上一年度净资产规模</w:t>
            </w:r>
          </w:p>
        </w:tc>
        <w:tc>
          <w:tcPr>
            <w:tcW w:w="3723" w:type="pct"/>
            <w:gridSpan w:val="5"/>
            <w:tcBorders>
              <w:bottom w:val="single" w:color="auto" w:sz="4" w:space="0"/>
            </w:tcBorders>
            <w:vAlign w:val="center"/>
          </w:tcPr>
          <w:p w14:paraId="3BFF978F">
            <w:pPr>
              <w:rPr>
                <w:rFonts w:ascii="仿宋_GB2312" w:hAnsi="Calibri" w:eastAsia="仿宋_GB2312"/>
                <w:sz w:val="24"/>
                <w:szCs w:val="30"/>
              </w:rPr>
            </w:pPr>
            <w:r>
              <w:rPr>
                <w:rFonts w:ascii="仿宋_GB2312" w:hAnsi="Calibri" w:eastAsia="仿宋_GB2312"/>
                <w:sz w:val="24"/>
                <w:szCs w:val="30"/>
              </w:rPr>
              <w:t xml:space="preserve">                  </w:t>
            </w:r>
            <w:r>
              <w:rPr>
                <w:rFonts w:hint="eastAsia" w:ascii="仿宋_GB2312" w:hAnsi="Calibri" w:eastAsia="仿宋_GB2312"/>
                <w:sz w:val="24"/>
                <w:szCs w:val="30"/>
              </w:rPr>
              <w:t>亿元</w:t>
            </w:r>
          </w:p>
        </w:tc>
      </w:tr>
      <w:tr w14:paraId="71DD0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277" w:type="pct"/>
            <w:gridSpan w:val="2"/>
            <w:tcBorders>
              <w:bottom w:val="single" w:color="auto" w:sz="4" w:space="0"/>
            </w:tcBorders>
            <w:vAlign w:val="center"/>
          </w:tcPr>
          <w:p w14:paraId="1AD1265C">
            <w:pPr>
              <w:rPr>
                <w:rFonts w:ascii="仿宋_GB2312" w:hAnsi="Calibri" w:eastAsia="仿宋_GB2312"/>
                <w:sz w:val="24"/>
                <w:szCs w:val="30"/>
              </w:rPr>
            </w:pPr>
            <w:r>
              <w:rPr>
                <w:rFonts w:hint="eastAsia" w:ascii="仿宋_GB2312" w:hAnsi="Calibri" w:eastAsia="仿宋_GB2312"/>
                <w:sz w:val="24"/>
                <w:szCs w:val="30"/>
              </w:rPr>
              <w:t>上一年度资产管理规模</w:t>
            </w:r>
          </w:p>
        </w:tc>
        <w:tc>
          <w:tcPr>
            <w:tcW w:w="3723" w:type="pct"/>
            <w:gridSpan w:val="5"/>
            <w:tcBorders>
              <w:bottom w:val="single" w:color="auto" w:sz="4" w:space="0"/>
            </w:tcBorders>
            <w:vAlign w:val="center"/>
          </w:tcPr>
          <w:p w14:paraId="6E8B90F4">
            <w:pPr>
              <w:ind w:firstLine="2160" w:firstLineChars="900"/>
              <w:rPr>
                <w:rFonts w:ascii="仿宋_GB2312" w:hAnsi="Calibri" w:eastAsia="仿宋_GB2312"/>
                <w:sz w:val="24"/>
                <w:szCs w:val="30"/>
              </w:rPr>
            </w:pPr>
            <w:r>
              <w:rPr>
                <w:rFonts w:hint="eastAsia" w:ascii="仿宋_GB2312" w:hAnsi="Calibri" w:eastAsia="仿宋_GB2312"/>
                <w:sz w:val="24"/>
                <w:szCs w:val="30"/>
              </w:rPr>
              <w:t>亿元</w:t>
            </w:r>
          </w:p>
        </w:tc>
      </w:tr>
      <w:tr w14:paraId="1899B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277" w:type="pct"/>
            <w:gridSpan w:val="2"/>
            <w:tcBorders>
              <w:bottom w:val="single" w:color="auto" w:sz="4" w:space="0"/>
            </w:tcBorders>
            <w:vAlign w:val="center"/>
          </w:tcPr>
          <w:p w14:paraId="2AE1F2CE">
            <w:pPr>
              <w:rPr>
                <w:rFonts w:ascii="仿宋_GB2312" w:hAnsi="Calibri" w:eastAsia="仿宋_GB2312"/>
                <w:sz w:val="24"/>
                <w:szCs w:val="30"/>
              </w:rPr>
            </w:pPr>
            <w:r>
              <w:rPr>
                <w:rFonts w:hint="eastAsia" w:ascii="仿宋_GB2312" w:hAnsi="Calibri" w:eastAsia="仿宋_GB2312"/>
                <w:sz w:val="24"/>
                <w:szCs w:val="30"/>
              </w:rPr>
              <w:t>上一年度债券交易规模</w:t>
            </w:r>
          </w:p>
        </w:tc>
        <w:tc>
          <w:tcPr>
            <w:tcW w:w="3723" w:type="pct"/>
            <w:gridSpan w:val="5"/>
            <w:tcBorders>
              <w:bottom w:val="single" w:color="auto" w:sz="4" w:space="0"/>
            </w:tcBorders>
            <w:vAlign w:val="center"/>
          </w:tcPr>
          <w:p w14:paraId="1BCF55F1">
            <w:pPr>
              <w:ind w:firstLine="2160" w:firstLineChars="900"/>
              <w:rPr>
                <w:rFonts w:ascii="仿宋_GB2312" w:hAnsi="Calibri" w:eastAsia="仿宋_GB2312"/>
                <w:sz w:val="24"/>
                <w:szCs w:val="30"/>
              </w:rPr>
            </w:pPr>
            <w:r>
              <w:rPr>
                <w:rFonts w:hint="eastAsia" w:ascii="仿宋_GB2312" w:hAnsi="Calibri" w:eastAsia="仿宋_GB2312"/>
                <w:sz w:val="24"/>
                <w:szCs w:val="30"/>
              </w:rPr>
              <w:t>亿元</w:t>
            </w:r>
          </w:p>
        </w:tc>
      </w:tr>
      <w:tr w14:paraId="12955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711" w:type="pct"/>
            <w:vMerge w:val="restart"/>
            <w:vAlign w:val="center"/>
          </w:tcPr>
          <w:p w14:paraId="0BCEBAAA">
            <w:pPr>
              <w:rPr>
                <w:rFonts w:ascii="仿宋_GB2312" w:hAnsi="Calibri" w:eastAsia="仿宋_GB2312"/>
                <w:sz w:val="24"/>
                <w:szCs w:val="30"/>
              </w:rPr>
            </w:pPr>
            <w:r>
              <w:rPr>
                <w:rFonts w:hint="eastAsia" w:ascii="仿宋_GB2312" w:hAnsi="Calibri" w:eastAsia="仿宋_GB2312"/>
                <w:sz w:val="24"/>
                <w:szCs w:val="30"/>
              </w:rPr>
              <w:t>经办人</w:t>
            </w:r>
          </w:p>
        </w:tc>
        <w:tc>
          <w:tcPr>
            <w:tcW w:w="1008" w:type="pct"/>
            <w:gridSpan w:val="2"/>
            <w:vAlign w:val="center"/>
          </w:tcPr>
          <w:p w14:paraId="7F8135B1">
            <w:pPr>
              <w:rPr>
                <w:rFonts w:ascii="仿宋_GB2312" w:hAnsi="Calibri" w:eastAsia="仿宋_GB2312"/>
                <w:sz w:val="24"/>
                <w:szCs w:val="30"/>
              </w:rPr>
            </w:pPr>
            <w:r>
              <w:rPr>
                <w:rFonts w:hint="eastAsia" w:ascii="仿宋_GB2312" w:hAnsi="Calibri" w:eastAsia="仿宋_GB2312"/>
                <w:sz w:val="24"/>
                <w:szCs w:val="30"/>
              </w:rPr>
              <w:t>姓名</w:t>
            </w:r>
          </w:p>
        </w:tc>
        <w:tc>
          <w:tcPr>
            <w:tcW w:w="757" w:type="pct"/>
            <w:vAlign w:val="center"/>
          </w:tcPr>
          <w:p w14:paraId="2A8C6CB8">
            <w:pPr>
              <w:rPr>
                <w:rFonts w:ascii="仿宋_GB2312" w:hAnsi="Calibri" w:eastAsia="仿宋_GB2312"/>
                <w:sz w:val="24"/>
                <w:szCs w:val="30"/>
              </w:rPr>
            </w:pPr>
          </w:p>
        </w:tc>
        <w:tc>
          <w:tcPr>
            <w:tcW w:w="1586" w:type="pct"/>
            <w:gridSpan w:val="2"/>
            <w:vAlign w:val="center"/>
          </w:tcPr>
          <w:p w14:paraId="4B0F4C76">
            <w:pPr>
              <w:rPr>
                <w:rFonts w:ascii="仿宋_GB2312" w:hAnsi="Calibri" w:eastAsia="仿宋_GB2312"/>
                <w:sz w:val="24"/>
                <w:szCs w:val="30"/>
              </w:rPr>
            </w:pPr>
            <w:r>
              <w:rPr>
                <w:rFonts w:hint="eastAsia" w:ascii="仿宋_GB2312" w:hAnsi="Calibri" w:eastAsia="仿宋_GB2312"/>
                <w:sz w:val="24"/>
                <w:szCs w:val="30"/>
              </w:rPr>
              <w:t>身份证号</w:t>
            </w:r>
          </w:p>
        </w:tc>
        <w:tc>
          <w:tcPr>
            <w:tcW w:w="938" w:type="pct"/>
            <w:vAlign w:val="center"/>
          </w:tcPr>
          <w:p w14:paraId="3B083FE9">
            <w:pPr>
              <w:ind w:firstLine="480"/>
              <w:rPr>
                <w:rFonts w:ascii="仿宋_GB2312" w:hAnsi="Calibri" w:eastAsia="仿宋_GB2312"/>
                <w:sz w:val="24"/>
                <w:szCs w:val="30"/>
              </w:rPr>
            </w:pPr>
          </w:p>
        </w:tc>
      </w:tr>
      <w:tr w14:paraId="02710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711" w:type="pct"/>
            <w:vMerge w:val="continue"/>
            <w:vAlign w:val="center"/>
          </w:tcPr>
          <w:p w14:paraId="3FD28C76">
            <w:pPr>
              <w:rPr>
                <w:rFonts w:ascii="仿宋_GB2312" w:hAnsi="Calibri" w:eastAsia="仿宋_GB2312"/>
                <w:sz w:val="24"/>
                <w:szCs w:val="30"/>
              </w:rPr>
            </w:pPr>
          </w:p>
        </w:tc>
        <w:tc>
          <w:tcPr>
            <w:tcW w:w="1008" w:type="pct"/>
            <w:gridSpan w:val="2"/>
            <w:vAlign w:val="center"/>
          </w:tcPr>
          <w:p w14:paraId="49B70A1F">
            <w:pPr>
              <w:rPr>
                <w:rFonts w:ascii="仿宋_GB2312" w:hAnsi="Calibri" w:eastAsia="仿宋_GB2312"/>
                <w:sz w:val="24"/>
                <w:szCs w:val="30"/>
              </w:rPr>
            </w:pPr>
            <w:r>
              <w:rPr>
                <w:rFonts w:hint="eastAsia" w:ascii="仿宋_GB2312" w:hAnsi="Calibri" w:eastAsia="仿宋_GB2312"/>
                <w:sz w:val="24"/>
                <w:szCs w:val="30"/>
              </w:rPr>
              <w:t>手机（重要）</w:t>
            </w:r>
          </w:p>
        </w:tc>
        <w:tc>
          <w:tcPr>
            <w:tcW w:w="757" w:type="pct"/>
            <w:vAlign w:val="center"/>
          </w:tcPr>
          <w:p w14:paraId="5611B6F0">
            <w:pPr>
              <w:rPr>
                <w:rFonts w:ascii="仿宋_GB2312" w:hAnsi="Calibri" w:eastAsia="仿宋_GB2312"/>
                <w:sz w:val="24"/>
                <w:szCs w:val="30"/>
              </w:rPr>
            </w:pPr>
          </w:p>
        </w:tc>
        <w:tc>
          <w:tcPr>
            <w:tcW w:w="1586" w:type="pct"/>
            <w:gridSpan w:val="2"/>
            <w:vAlign w:val="center"/>
          </w:tcPr>
          <w:p w14:paraId="6341C327">
            <w:pPr>
              <w:rPr>
                <w:rFonts w:ascii="仿宋_GB2312" w:hAnsi="Calibri" w:eastAsia="仿宋_GB2312"/>
                <w:sz w:val="24"/>
                <w:szCs w:val="30"/>
              </w:rPr>
            </w:pPr>
            <w:r>
              <w:rPr>
                <w:rFonts w:hint="eastAsia" w:ascii="仿宋_GB2312" w:hAnsi="Calibri" w:eastAsia="仿宋_GB2312"/>
                <w:sz w:val="24"/>
                <w:szCs w:val="30"/>
              </w:rPr>
              <w:t>固话（带区号）</w:t>
            </w:r>
          </w:p>
        </w:tc>
        <w:tc>
          <w:tcPr>
            <w:tcW w:w="938" w:type="pct"/>
            <w:vAlign w:val="center"/>
          </w:tcPr>
          <w:p w14:paraId="599ECC76">
            <w:pPr>
              <w:ind w:firstLine="480"/>
              <w:rPr>
                <w:rFonts w:ascii="仿宋_GB2312" w:hAnsi="Calibri" w:eastAsia="仿宋_GB2312"/>
                <w:sz w:val="24"/>
                <w:szCs w:val="30"/>
              </w:rPr>
            </w:pPr>
          </w:p>
        </w:tc>
      </w:tr>
      <w:tr w14:paraId="3A278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711" w:type="pct"/>
            <w:vMerge w:val="continue"/>
            <w:vAlign w:val="center"/>
          </w:tcPr>
          <w:p w14:paraId="33FC4D05">
            <w:pPr>
              <w:rPr>
                <w:rFonts w:ascii="仿宋_GB2312" w:hAnsi="Calibri" w:eastAsia="仿宋_GB2312"/>
                <w:sz w:val="24"/>
                <w:szCs w:val="30"/>
              </w:rPr>
            </w:pPr>
          </w:p>
        </w:tc>
        <w:tc>
          <w:tcPr>
            <w:tcW w:w="1008" w:type="pct"/>
            <w:gridSpan w:val="2"/>
            <w:vAlign w:val="center"/>
          </w:tcPr>
          <w:p w14:paraId="6B514779">
            <w:pPr>
              <w:rPr>
                <w:rFonts w:ascii="仿宋_GB2312" w:hAnsi="Calibri" w:eastAsia="仿宋_GB2312"/>
                <w:sz w:val="24"/>
                <w:szCs w:val="30"/>
              </w:rPr>
            </w:pPr>
            <w:r>
              <w:rPr>
                <w:rFonts w:hint="eastAsia" w:ascii="仿宋_GB2312" w:hAnsi="Calibri" w:eastAsia="仿宋_GB2312"/>
                <w:sz w:val="24"/>
                <w:szCs w:val="30"/>
              </w:rPr>
              <w:t>电子邮箱</w:t>
            </w:r>
          </w:p>
        </w:tc>
        <w:tc>
          <w:tcPr>
            <w:tcW w:w="757" w:type="pct"/>
            <w:vAlign w:val="center"/>
          </w:tcPr>
          <w:p w14:paraId="248889C7">
            <w:pPr>
              <w:rPr>
                <w:rFonts w:ascii="仿宋_GB2312" w:hAnsi="Calibri" w:eastAsia="仿宋_GB2312"/>
                <w:sz w:val="24"/>
                <w:szCs w:val="30"/>
              </w:rPr>
            </w:pPr>
          </w:p>
        </w:tc>
        <w:tc>
          <w:tcPr>
            <w:tcW w:w="1586" w:type="pct"/>
            <w:gridSpan w:val="2"/>
            <w:vAlign w:val="center"/>
          </w:tcPr>
          <w:p w14:paraId="2D7C5B1F">
            <w:pPr>
              <w:rPr>
                <w:rFonts w:ascii="仿宋_GB2312" w:hAnsi="Calibri" w:eastAsia="仿宋_GB2312"/>
                <w:sz w:val="24"/>
                <w:szCs w:val="30"/>
              </w:rPr>
            </w:pPr>
            <w:r>
              <w:rPr>
                <w:rFonts w:hint="eastAsia" w:ascii="仿宋_GB2312" w:hAnsi="Calibri" w:eastAsia="仿宋_GB2312"/>
                <w:sz w:val="24"/>
                <w:szCs w:val="30"/>
              </w:rPr>
              <w:t>传真</w:t>
            </w:r>
          </w:p>
        </w:tc>
        <w:tc>
          <w:tcPr>
            <w:tcW w:w="938" w:type="pct"/>
            <w:vAlign w:val="center"/>
          </w:tcPr>
          <w:p w14:paraId="56A4E3CD">
            <w:pPr>
              <w:ind w:firstLine="480"/>
              <w:rPr>
                <w:rFonts w:ascii="仿宋_GB2312" w:hAnsi="Calibri" w:eastAsia="仿宋_GB2312"/>
                <w:sz w:val="24"/>
                <w:szCs w:val="30"/>
              </w:rPr>
            </w:pPr>
          </w:p>
        </w:tc>
      </w:tr>
    </w:tbl>
    <w:p w14:paraId="0346CE3C">
      <w:pPr>
        <w:spacing w:line="560" w:lineRule="exact"/>
        <w:ind w:left="420" w:firstLine="600"/>
        <w:rPr>
          <w:rFonts w:ascii="仿宋_GB2312" w:hAnsi="Calibri" w:eastAsia="仿宋_GB2312"/>
          <w:kern w:val="28"/>
          <w:sz w:val="30"/>
          <w:szCs w:val="30"/>
        </w:rPr>
      </w:pPr>
    </w:p>
    <w:p w14:paraId="3BC6CFED">
      <w:pPr>
        <w:spacing w:line="560" w:lineRule="exact"/>
        <w:ind w:left="420" w:firstLine="600"/>
        <w:rPr>
          <w:rFonts w:ascii="仿宋_GB2312" w:hAnsi="Calibri" w:eastAsia="仿宋_GB2312"/>
          <w:sz w:val="30"/>
          <w:szCs w:val="30"/>
        </w:rPr>
      </w:pPr>
      <w:r>
        <w:rPr>
          <w:rFonts w:hint="eastAsia" w:ascii="仿宋_GB2312" w:hAnsi="Calibri" w:eastAsia="仿宋_GB2312"/>
          <w:sz w:val="30"/>
          <w:szCs w:val="30"/>
        </w:rPr>
        <w:t>我公司在此郑重承诺：</w:t>
      </w:r>
    </w:p>
    <w:p w14:paraId="66CEB2EC">
      <w:pPr>
        <w:spacing w:line="560" w:lineRule="exact"/>
        <w:ind w:firstLine="600"/>
        <w:rPr>
          <w:rFonts w:ascii="仿宋_GB2312" w:hAnsi="Calibri" w:eastAsia="仿宋_GB2312"/>
          <w:sz w:val="30"/>
          <w:szCs w:val="30"/>
        </w:rPr>
      </w:pPr>
      <w:r>
        <w:rPr>
          <w:rFonts w:hint="eastAsia" w:ascii="仿宋_GB2312" w:hAnsi="Calibri" w:eastAsia="仿宋_GB2312"/>
          <w:sz w:val="30"/>
          <w:szCs w:val="30"/>
        </w:rPr>
        <w:t>一、遵守法律、法规、规章及上交所相关业务规则，依法参与上交所债券业务。</w:t>
      </w:r>
    </w:p>
    <w:p w14:paraId="6A459BA2">
      <w:pPr>
        <w:spacing w:line="560" w:lineRule="exact"/>
        <w:ind w:firstLine="600"/>
        <w:rPr>
          <w:rFonts w:ascii="仿宋_GB2312" w:hAnsi="Calibri" w:eastAsia="仿宋_GB2312"/>
          <w:sz w:val="30"/>
          <w:szCs w:val="30"/>
        </w:rPr>
      </w:pPr>
      <w:r>
        <w:rPr>
          <w:rFonts w:hint="eastAsia" w:ascii="仿宋_GB2312" w:hAnsi="Calibri" w:eastAsia="仿宋_GB2312"/>
          <w:sz w:val="30"/>
          <w:szCs w:val="30"/>
        </w:rPr>
        <w:t>二、诚实守信，自觉遵守商业道德，维护上交所债券市场秩序。</w:t>
      </w:r>
    </w:p>
    <w:p w14:paraId="23CC28B9">
      <w:pPr>
        <w:spacing w:line="560" w:lineRule="exact"/>
        <w:ind w:firstLine="600"/>
        <w:rPr>
          <w:rFonts w:ascii="仿宋_GB2312" w:hAnsi="Calibri" w:eastAsia="仿宋_GB2312"/>
          <w:sz w:val="30"/>
          <w:szCs w:val="30"/>
        </w:rPr>
      </w:pPr>
      <w:r>
        <w:rPr>
          <w:rFonts w:hint="eastAsia" w:ascii="仿宋_GB2312" w:hAnsi="Calibri" w:eastAsia="仿宋_GB2312"/>
          <w:sz w:val="30"/>
          <w:szCs w:val="30"/>
        </w:rPr>
        <w:t>三、同意遵守上交所关于债券交易参与人的相关规定，接受上交所的自律管理和评价考核。</w:t>
      </w:r>
    </w:p>
    <w:p w14:paraId="53C9FD48">
      <w:pPr>
        <w:spacing w:line="560" w:lineRule="exact"/>
        <w:ind w:firstLine="600"/>
        <w:rPr>
          <w:rFonts w:ascii="仿宋_GB2312" w:hAnsi="Calibri" w:eastAsia="仿宋_GB2312"/>
          <w:sz w:val="30"/>
          <w:szCs w:val="30"/>
        </w:rPr>
      </w:pPr>
      <w:r>
        <w:rPr>
          <w:rFonts w:hint="eastAsia" w:ascii="仿宋_GB2312" w:hAnsi="Calibri" w:eastAsia="仿宋_GB2312"/>
          <w:sz w:val="30"/>
          <w:szCs w:val="30"/>
        </w:rPr>
        <w:t>四、如违反法律、法规、规章及上交所相关业务规则，接受上交所做出的监管措施，并对此承担一切法律责任。</w:t>
      </w:r>
    </w:p>
    <w:p w14:paraId="2A490F16">
      <w:pPr>
        <w:tabs>
          <w:tab w:val="left" w:pos="7020"/>
        </w:tabs>
        <w:spacing w:line="560" w:lineRule="exact"/>
        <w:ind w:firstLine="600"/>
        <w:rPr>
          <w:rFonts w:ascii="仿宋_GB2312" w:eastAsia="仿宋_GB2312"/>
          <w:sz w:val="30"/>
          <w:szCs w:val="30"/>
        </w:rPr>
      </w:pPr>
      <w:r>
        <w:rPr>
          <w:rFonts w:hint="eastAsia" w:ascii="仿宋_GB2312" w:eastAsia="仿宋_GB2312"/>
          <w:sz w:val="30"/>
          <w:szCs w:val="30"/>
        </w:rPr>
        <w:t>我公司保证向上交所提供的书面和电子申请资料真实、准确、完整与合法。</w:t>
      </w:r>
    </w:p>
    <w:p w14:paraId="4F236526">
      <w:pPr>
        <w:tabs>
          <w:tab w:val="left" w:pos="7020"/>
        </w:tabs>
        <w:spacing w:line="560" w:lineRule="exact"/>
        <w:ind w:left="420" w:firstLine="600"/>
        <w:rPr>
          <w:rFonts w:ascii="仿宋_GB2312" w:eastAsia="仿宋_GB2312"/>
          <w:sz w:val="30"/>
          <w:szCs w:val="30"/>
        </w:rPr>
      </w:pPr>
    </w:p>
    <w:p w14:paraId="64385922">
      <w:pPr>
        <w:tabs>
          <w:tab w:val="left" w:pos="7020"/>
        </w:tabs>
        <w:spacing w:line="560" w:lineRule="exact"/>
        <w:ind w:left="420" w:firstLine="600"/>
        <w:jc w:val="right"/>
        <w:rPr>
          <w:rFonts w:ascii="仿宋_GB2312" w:eastAsia="仿宋_GB2312"/>
          <w:sz w:val="30"/>
          <w:szCs w:val="30"/>
        </w:rPr>
      </w:pPr>
      <w:r>
        <w:rPr>
          <w:rFonts w:hint="eastAsia" w:ascii="仿宋_GB2312" w:eastAsia="仿宋_GB2312"/>
          <w:sz w:val="30"/>
          <w:szCs w:val="30"/>
        </w:rPr>
        <w:t>申请人：_____________________</w:t>
      </w:r>
      <w:r>
        <w:rPr>
          <w:rFonts w:ascii="仿宋_GB2312" w:eastAsia="仿宋_GB2312"/>
          <w:sz w:val="30"/>
          <w:szCs w:val="30"/>
        </w:rPr>
        <w:t xml:space="preserve">   </w:t>
      </w:r>
      <w:r>
        <w:rPr>
          <w:rFonts w:hint="eastAsia" w:ascii="仿宋_GB2312" w:eastAsia="仿宋_GB2312"/>
          <w:sz w:val="30"/>
          <w:szCs w:val="30"/>
        </w:rPr>
        <w:t>（加盖公章）</w:t>
      </w:r>
    </w:p>
    <w:p w14:paraId="5F54FC96">
      <w:pPr>
        <w:tabs>
          <w:tab w:val="left" w:pos="7020"/>
        </w:tabs>
        <w:spacing w:line="560" w:lineRule="exact"/>
        <w:ind w:left="420" w:firstLine="600"/>
        <w:jc w:val="right"/>
        <w:rPr>
          <w:rFonts w:ascii="仿宋_GB2312" w:eastAsia="仿宋_GB2312"/>
          <w:sz w:val="30"/>
          <w:szCs w:val="30"/>
        </w:rPr>
      </w:pPr>
    </w:p>
    <w:p w14:paraId="3306DBAA">
      <w:pPr>
        <w:tabs>
          <w:tab w:val="left" w:pos="7020"/>
        </w:tabs>
        <w:spacing w:line="560" w:lineRule="exact"/>
        <w:ind w:left="420" w:right="560" w:firstLine="600"/>
        <w:jc w:val="right"/>
        <w:rPr>
          <w:rFonts w:ascii="仿宋_GB2312" w:hAnsi="Calibri" w:eastAsia="仿宋_GB2312"/>
          <w:sz w:val="30"/>
          <w:szCs w:val="30"/>
        </w:rPr>
      </w:pPr>
      <w:r>
        <w:rPr>
          <w:rFonts w:ascii="仿宋_GB2312" w:eastAsia="仿宋_GB2312"/>
          <w:sz w:val="30"/>
          <w:szCs w:val="30"/>
        </w:rPr>
        <w:t xml:space="preserve">                                    </w:t>
      </w:r>
      <w:r>
        <w:rPr>
          <w:rFonts w:hint="eastAsia" w:ascii="仿宋_GB2312" w:eastAsia="仿宋_GB2312"/>
          <w:sz w:val="30"/>
          <w:szCs w:val="30"/>
        </w:rPr>
        <w:t>经办人（签字）：</w:t>
      </w:r>
      <w:r>
        <w:rPr>
          <w:rFonts w:hint="eastAsia" w:ascii="仿宋_GB2312" w:hAnsi="Calibri" w:eastAsia="仿宋_GB2312"/>
          <w:sz w:val="30"/>
          <w:szCs w:val="30"/>
        </w:rPr>
        <w:t xml:space="preserve">                                        联系电话：</w:t>
      </w:r>
    </w:p>
    <w:p w14:paraId="4BB8EE4A">
      <w:pPr>
        <w:tabs>
          <w:tab w:val="left" w:pos="7020"/>
        </w:tabs>
        <w:spacing w:line="560" w:lineRule="exact"/>
        <w:ind w:left="420" w:right="560" w:firstLine="600"/>
        <w:jc w:val="right"/>
        <w:rPr>
          <w:rFonts w:ascii="仿宋_GB2312" w:eastAsia="仿宋_GB2312"/>
          <w:sz w:val="30"/>
          <w:szCs w:val="30"/>
        </w:rPr>
      </w:pPr>
      <w:r>
        <w:rPr>
          <w:rFonts w:ascii="仿宋_GB2312" w:eastAsia="仿宋_GB2312"/>
          <w:sz w:val="30"/>
          <w:szCs w:val="30"/>
        </w:rPr>
        <w:t xml:space="preserve">                                  </w:t>
      </w:r>
      <w:r>
        <w:rPr>
          <w:rFonts w:hint="eastAsia" w:ascii="仿宋_GB2312" w:eastAsia="仿宋_GB2312"/>
          <w:sz w:val="30"/>
          <w:szCs w:val="30"/>
        </w:rPr>
        <w:t>申请日期：</w:t>
      </w:r>
      <w:bookmarkStart w:id="3761" w:name="_债券交易参与人业务联络人基本信息表"/>
      <w:bookmarkEnd w:id="3761"/>
      <w:bookmarkStart w:id="3762" w:name="_Toc35006353"/>
      <w:bookmarkStart w:id="3763" w:name="_Toc24460046"/>
    </w:p>
    <w:p w14:paraId="0962AAF2">
      <w:pPr>
        <w:tabs>
          <w:tab w:val="left" w:pos="7020"/>
        </w:tabs>
        <w:spacing w:line="560" w:lineRule="exact"/>
        <w:ind w:left="420" w:right="560" w:firstLine="600"/>
        <w:jc w:val="right"/>
        <w:rPr>
          <w:rFonts w:ascii="仿宋_GB2312" w:eastAsia="仿宋_GB2312"/>
          <w:sz w:val="30"/>
          <w:szCs w:val="30"/>
        </w:rPr>
      </w:pPr>
    </w:p>
    <w:p w14:paraId="250D0ADE">
      <w:pPr>
        <w:tabs>
          <w:tab w:val="left" w:pos="7020"/>
        </w:tabs>
        <w:spacing w:line="560" w:lineRule="exact"/>
        <w:ind w:left="420" w:right="560" w:firstLine="600"/>
        <w:jc w:val="right"/>
        <w:rPr>
          <w:rFonts w:ascii="仿宋_GB2312" w:eastAsia="仿宋_GB2312"/>
          <w:sz w:val="30"/>
          <w:szCs w:val="30"/>
        </w:rPr>
      </w:pPr>
    </w:p>
    <w:p w14:paraId="4E841735">
      <w:pPr>
        <w:outlineLvl w:val="1"/>
        <w:rPr>
          <w:rFonts w:ascii="仿宋_GB2312" w:hAnsi="黑体" w:eastAsia="仿宋_GB2312"/>
          <w:b/>
          <w:sz w:val="30"/>
          <w:szCs w:val="30"/>
        </w:rPr>
      </w:pPr>
      <w:r>
        <w:rPr>
          <w:rFonts w:ascii="仿宋_GB2312" w:hAnsi="黑体" w:eastAsia="仿宋_GB2312"/>
          <w:b/>
          <w:sz w:val="36"/>
          <w:szCs w:val="36"/>
        </w:rPr>
        <w:br w:type="page"/>
      </w:r>
      <w:bookmarkStart w:id="3764" w:name="_Toc151137082"/>
      <w:bookmarkStart w:id="3765" w:name="_Toc722157199"/>
      <w:bookmarkStart w:id="3766" w:name="_Toc1905768769"/>
      <w:bookmarkStart w:id="3767" w:name="_Toc1080348210"/>
      <w:bookmarkStart w:id="3768" w:name="_Toc661661421"/>
      <w:r>
        <w:rPr>
          <w:rFonts w:hint="eastAsia" w:ascii="仿宋_GB2312" w:hAnsi="黑体" w:eastAsia="仿宋_GB2312"/>
          <w:b/>
          <w:sz w:val="30"/>
          <w:szCs w:val="30"/>
        </w:rPr>
        <w:t>附件</w:t>
      </w:r>
      <w:r>
        <w:rPr>
          <w:rFonts w:ascii="仿宋_GB2312" w:hAnsi="黑体" w:eastAsia="仿宋_GB2312"/>
          <w:b/>
          <w:sz w:val="30"/>
          <w:szCs w:val="30"/>
        </w:rPr>
        <w:t xml:space="preserve">2 </w:t>
      </w:r>
      <w:r>
        <w:rPr>
          <w:rFonts w:hint="eastAsia" w:ascii="仿宋_GB2312" w:hAnsi="黑体" w:eastAsia="仿宋_GB2312"/>
          <w:b/>
          <w:sz w:val="30"/>
          <w:szCs w:val="30"/>
        </w:rPr>
        <w:t>会籍系统资格申请报告</w:t>
      </w:r>
      <w:bookmarkEnd w:id="3764"/>
      <w:bookmarkEnd w:id="3765"/>
      <w:bookmarkEnd w:id="3766"/>
      <w:bookmarkEnd w:id="3767"/>
      <w:bookmarkEnd w:id="3768"/>
    </w:p>
    <w:p w14:paraId="41A8D1D9">
      <w:pPr>
        <w:pStyle w:val="18"/>
        <w:ind w:firstLine="0" w:firstLineChars="0"/>
        <w:jc w:val="center"/>
        <w:rPr>
          <w:rFonts w:ascii="黑体" w:hAnsi="黑体" w:eastAsia="黑体"/>
          <w:b/>
          <w:sz w:val="44"/>
          <w:szCs w:val="44"/>
        </w:rPr>
      </w:pPr>
    </w:p>
    <w:p w14:paraId="1B0A0140">
      <w:pPr>
        <w:pStyle w:val="18"/>
        <w:ind w:firstLine="0" w:firstLineChars="0"/>
        <w:jc w:val="center"/>
        <w:rPr>
          <w:rFonts w:ascii="黑体" w:hAnsi="黑体" w:eastAsia="黑体"/>
          <w:b/>
          <w:sz w:val="44"/>
          <w:szCs w:val="44"/>
        </w:rPr>
      </w:pPr>
      <w:r>
        <w:rPr>
          <w:rFonts w:hint="eastAsia" w:ascii="黑体" w:hAnsi="黑体" w:eastAsia="黑体"/>
          <w:b/>
          <w:sz w:val="44"/>
          <w:szCs w:val="44"/>
        </w:rPr>
        <w:t>会籍系统资格申请报告</w:t>
      </w:r>
    </w:p>
    <w:p w14:paraId="42E8B332">
      <w:pPr>
        <w:spacing w:line="560" w:lineRule="exact"/>
        <w:ind w:left="420" w:firstLine="600"/>
        <w:rPr>
          <w:rFonts w:ascii="仿宋_GB2312" w:hAnsi="Calibri" w:eastAsia="仿宋_GB2312"/>
          <w:sz w:val="30"/>
          <w:szCs w:val="30"/>
        </w:rPr>
      </w:pPr>
      <w:r>
        <w:rPr>
          <w:rFonts w:hint="eastAsia" w:ascii="仿宋_GB2312" w:hAnsi="Calibri" w:eastAsia="仿宋_GB2312"/>
          <w:sz w:val="30"/>
          <w:szCs w:val="30"/>
        </w:rPr>
        <w:t>我公司在此郑重承诺：</w:t>
      </w:r>
    </w:p>
    <w:p w14:paraId="385474E6">
      <w:pPr>
        <w:spacing w:line="560" w:lineRule="exact"/>
        <w:ind w:firstLine="600"/>
        <w:rPr>
          <w:rFonts w:ascii="仿宋_GB2312" w:hAnsi="Calibri" w:eastAsia="仿宋_GB2312"/>
          <w:sz w:val="30"/>
          <w:szCs w:val="30"/>
        </w:rPr>
      </w:pPr>
      <w:r>
        <w:rPr>
          <w:rFonts w:hint="eastAsia" w:ascii="仿宋_GB2312" w:hAnsi="Calibri" w:eastAsia="仿宋_GB2312"/>
          <w:sz w:val="30"/>
          <w:szCs w:val="30"/>
        </w:rPr>
        <w:t>一、遵守法律、法规、规章及上交所相关业务规则，依法参与上交所债券业务。</w:t>
      </w:r>
    </w:p>
    <w:p w14:paraId="4CE64887">
      <w:pPr>
        <w:spacing w:line="560" w:lineRule="exact"/>
        <w:ind w:firstLine="600"/>
        <w:rPr>
          <w:rFonts w:ascii="仿宋_GB2312" w:hAnsi="Calibri" w:eastAsia="仿宋_GB2312"/>
          <w:sz w:val="30"/>
          <w:szCs w:val="30"/>
        </w:rPr>
      </w:pPr>
      <w:r>
        <w:rPr>
          <w:rFonts w:hint="eastAsia" w:ascii="仿宋_GB2312" w:hAnsi="Calibri" w:eastAsia="仿宋_GB2312"/>
          <w:sz w:val="30"/>
          <w:szCs w:val="30"/>
        </w:rPr>
        <w:t>二、诚实守信，自觉遵守商业道德，维护上交所债券市场秩序。</w:t>
      </w:r>
    </w:p>
    <w:p w14:paraId="0A471D11">
      <w:pPr>
        <w:spacing w:line="560" w:lineRule="exact"/>
        <w:ind w:firstLine="600"/>
        <w:rPr>
          <w:rFonts w:ascii="仿宋_GB2312" w:hAnsi="Calibri" w:eastAsia="仿宋_GB2312"/>
          <w:sz w:val="30"/>
          <w:szCs w:val="30"/>
        </w:rPr>
      </w:pPr>
      <w:r>
        <w:rPr>
          <w:rFonts w:hint="eastAsia" w:ascii="仿宋_GB2312" w:hAnsi="Calibri" w:eastAsia="仿宋_GB2312"/>
          <w:sz w:val="30"/>
          <w:szCs w:val="30"/>
        </w:rPr>
        <w:t>三、同意遵守上交所关于债券交易参与人的相关规定，接受上交所的自律管理和评价考核。</w:t>
      </w:r>
    </w:p>
    <w:p w14:paraId="12EAD3F1">
      <w:pPr>
        <w:spacing w:line="560" w:lineRule="exact"/>
        <w:ind w:firstLine="600"/>
        <w:rPr>
          <w:rFonts w:ascii="仿宋_GB2312" w:hAnsi="Calibri" w:eastAsia="仿宋_GB2312"/>
          <w:sz w:val="30"/>
          <w:szCs w:val="30"/>
        </w:rPr>
      </w:pPr>
      <w:r>
        <w:rPr>
          <w:rFonts w:hint="eastAsia" w:ascii="仿宋_GB2312" w:hAnsi="Calibri" w:eastAsia="仿宋_GB2312"/>
          <w:sz w:val="30"/>
          <w:szCs w:val="30"/>
        </w:rPr>
        <w:t>四、如违反法律、法规、规章及上交所相关业务规则，接受上交所做出的监管措施，并对此承担一切法律责任。</w:t>
      </w:r>
    </w:p>
    <w:p w14:paraId="5B8A2565">
      <w:pPr>
        <w:tabs>
          <w:tab w:val="left" w:pos="7020"/>
        </w:tabs>
        <w:spacing w:line="560" w:lineRule="exact"/>
        <w:ind w:firstLine="600"/>
        <w:rPr>
          <w:rFonts w:ascii="仿宋_GB2312" w:eastAsia="仿宋_GB2312"/>
          <w:sz w:val="30"/>
          <w:szCs w:val="30"/>
        </w:rPr>
      </w:pPr>
      <w:r>
        <w:rPr>
          <w:rFonts w:hint="eastAsia" w:ascii="仿宋_GB2312" w:eastAsia="仿宋_GB2312"/>
          <w:sz w:val="30"/>
          <w:szCs w:val="30"/>
        </w:rPr>
        <w:t>我公司保证向上交所提供的书面和电子申请资料真实、准确、完整与合法。</w:t>
      </w:r>
    </w:p>
    <w:p w14:paraId="34753E2E">
      <w:pPr>
        <w:tabs>
          <w:tab w:val="left" w:pos="7020"/>
        </w:tabs>
        <w:spacing w:line="560" w:lineRule="exact"/>
        <w:ind w:left="420" w:firstLine="600"/>
        <w:rPr>
          <w:rFonts w:ascii="仿宋_GB2312" w:eastAsia="仿宋_GB2312"/>
          <w:sz w:val="30"/>
          <w:szCs w:val="30"/>
        </w:rPr>
      </w:pPr>
    </w:p>
    <w:p w14:paraId="3CA3B401">
      <w:pPr>
        <w:tabs>
          <w:tab w:val="left" w:pos="7020"/>
        </w:tabs>
        <w:spacing w:line="560" w:lineRule="exact"/>
        <w:ind w:left="420" w:firstLine="600"/>
        <w:jc w:val="right"/>
        <w:rPr>
          <w:rFonts w:ascii="仿宋_GB2312" w:eastAsia="仿宋_GB2312"/>
          <w:sz w:val="30"/>
          <w:szCs w:val="30"/>
        </w:rPr>
      </w:pPr>
      <w:r>
        <w:rPr>
          <w:rFonts w:hint="eastAsia" w:ascii="仿宋_GB2312" w:eastAsia="仿宋_GB2312"/>
          <w:sz w:val="30"/>
          <w:szCs w:val="30"/>
        </w:rPr>
        <w:t>申请人：_____________________</w:t>
      </w:r>
      <w:r>
        <w:rPr>
          <w:rFonts w:ascii="仿宋_GB2312" w:eastAsia="仿宋_GB2312"/>
          <w:sz w:val="30"/>
          <w:szCs w:val="30"/>
        </w:rPr>
        <w:t xml:space="preserve">   </w:t>
      </w:r>
      <w:r>
        <w:rPr>
          <w:rFonts w:hint="eastAsia" w:ascii="仿宋_GB2312" w:eastAsia="仿宋_GB2312"/>
          <w:sz w:val="30"/>
          <w:szCs w:val="30"/>
        </w:rPr>
        <w:t>（加盖公章）</w:t>
      </w:r>
    </w:p>
    <w:p w14:paraId="1DF3FFD8">
      <w:pPr>
        <w:tabs>
          <w:tab w:val="left" w:pos="7020"/>
        </w:tabs>
        <w:spacing w:line="560" w:lineRule="exact"/>
        <w:ind w:left="420" w:firstLine="600"/>
        <w:jc w:val="right"/>
        <w:rPr>
          <w:rFonts w:ascii="仿宋_GB2312" w:eastAsia="仿宋_GB2312"/>
          <w:sz w:val="30"/>
          <w:szCs w:val="30"/>
        </w:rPr>
      </w:pPr>
    </w:p>
    <w:p w14:paraId="3FF25FAE">
      <w:pPr>
        <w:tabs>
          <w:tab w:val="left" w:pos="7020"/>
        </w:tabs>
        <w:spacing w:line="560" w:lineRule="exact"/>
        <w:ind w:left="420" w:right="560" w:firstLine="600"/>
        <w:jc w:val="right"/>
        <w:rPr>
          <w:rFonts w:ascii="仿宋_GB2312" w:hAnsi="Calibri" w:eastAsia="仿宋_GB2312"/>
          <w:sz w:val="30"/>
          <w:szCs w:val="30"/>
        </w:rPr>
      </w:pPr>
      <w:r>
        <w:rPr>
          <w:rFonts w:ascii="仿宋_GB2312" w:eastAsia="仿宋_GB2312"/>
          <w:sz w:val="30"/>
          <w:szCs w:val="30"/>
        </w:rPr>
        <w:t xml:space="preserve">                                    </w:t>
      </w:r>
      <w:r>
        <w:rPr>
          <w:rFonts w:hint="eastAsia" w:ascii="仿宋_GB2312" w:eastAsia="仿宋_GB2312"/>
          <w:sz w:val="30"/>
          <w:szCs w:val="30"/>
        </w:rPr>
        <w:t>经办人（签字）：</w:t>
      </w:r>
      <w:r>
        <w:rPr>
          <w:rFonts w:hint="eastAsia" w:ascii="仿宋_GB2312" w:hAnsi="Calibri" w:eastAsia="仿宋_GB2312"/>
          <w:sz w:val="30"/>
          <w:szCs w:val="30"/>
        </w:rPr>
        <w:t xml:space="preserve">                                        联系电话：</w:t>
      </w:r>
    </w:p>
    <w:p w14:paraId="1462C87B">
      <w:pPr>
        <w:tabs>
          <w:tab w:val="left" w:pos="7020"/>
        </w:tabs>
        <w:spacing w:line="560" w:lineRule="exact"/>
        <w:ind w:left="420" w:right="560" w:firstLine="600"/>
        <w:jc w:val="right"/>
        <w:rPr>
          <w:rFonts w:ascii="仿宋_GB2312" w:eastAsia="仿宋_GB2312"/>
          <w:sz w:val="30"/>
          <w:szCs w:val="30"/>
        </w:rPr>
      </w:pPr>
      <w:r>
        <w:rPr>
          <w:rFonts w:ascii="仿宋_GB2312" w:eastAsia="仿宋_GB2312"/>
          <w:sz w:val="30"/>
          <w:szCs w:val="30"/>
        </w:rPr>
        <w:t xml:space="preserve">                                  </w:t>
      </w:r>
      <w:r>
        <w:rPr>
          <w:rFonts w:hint="eastAsia" w:ascii="仿宋_GB2312" w:eastAsia="仿宋_GB2312"/>
          <w:sz w:val="30"/>
          <w:szCs w:val="30"/>
        </w:rPr>
        <w:t>申请日期：</w:t>
      </w:r>
    </w:p>
    <w:p w14:paraId="7353BC66">
      <w:pPr>
        <w:spacing w:line="560" w:lineRule="exact"/>
        <w:ind w:firstLine="600"/>
        <w:rPr>
          <w:rFonts w:ascii="仿宋_GB2312" w:eastAsia="仿宋_GB2312"/>
          <w:sz w:val="30"/>
          <w:szCs w:val="30"/>
        </w:rPr>
      </w:pPr>
    </w:p>
    <w:p w14:paraId="2F5DE1C0">
      <w:pPr>
        <w:outlineLvl w:val="1"/>
        <w:rPr>
          <w:rFonts w:ascii="仿宋_GB2312" w:hAnsi="黑体" w:eastAsia="仿宋_GB2312"/>
          <w:b/>
          <w:sz w:val="30"/>
          <w:szCs w:val="30"/>
        </w:rPr>
      </w:pPr>
      <w:r>
        <w:rPr>
          <w:rFonts w:ascii="仿宋_GB2312" w:hAnsi="黑体" w:eastAsia="仿宋_GB2312"/>
          <w:b/>
          <w:sz w:val="36"/>
          <w:szCs w:val="36"/>
        </w:rPr>
        <w:br w:type="page"/>
      </w:r>
      <w:bookmarkStart w:id="3769" w:name="_Toc1260777007"/>
      <w:bookmarkStart w:id="3770" w:name="_Toc710783317"/>
      <w:bookmarkStart w:id="3771" w:name="_Toc819908927"/>
      <w:bookmarkStart w:id="3772" w:name="_Toc151137083"/>
      <w:bookmarkStart w:id="3773" w:name="_Toc1735658957"/>
      <w:r>
        <w:rPr>
          <w:rFonts w:hint="eastAsia" w:ascii="仿宋_GB2312" w:hAnsi="黑体" w:eastAsia="仿宋_GB2312"/>
          <w:b/>
          <w:sz w:val="30"/>
          <w:szCs w:val="30"/>
        </w:rPr>
        <w:t>附件3 债券交易参与人业务联络人基本信息表</w:t>
      </w:r>
      <w:bookmarkEnd w:id="3769"/>
      <w:bookmarkEnd w:id="3770"/>
      <w:bookmarkEnd w:id="3771"/>
      <w:bookmarkEnd w:id="3772"/>
      <w:bookmarkEnd w:id="3773"/>
    </w:p>
    <w:p w14:paraId="13E1AFA4">
      <w:pPr>
        <w:spacing w:line="560" w:lineRule="exact"/>
        <w:rPr>
          <w:rFonts w:ascii="仿宋_GB2312" w:hAnsi="黑体" w:eastAsia="仿宋_GB2312"/>
          <w:sz w:val="30"/>
          <w:szCs w:val="30"/>
        </w:rPr>
      </w:pPr>
    </w:p>
    <w:p w14:paraId="7C40114A">
      <w:pPr>
        <w:spacing w:line="560" w:lineRule="exact"/>
        <w:jc w:val="center"/>
        <w:rPr>
          <w:rFonts w:ascii="黑体" w:hAnsi="黑体" w:eastAsia="黑体" w:cs="黑体"/>
          <w:b/>
          <w:sz w:val="44"/>
          <w:szCs w:val="44"/>
        </w:rPr>
      </w:pPr>
      <w:r>
        <w:rPr>
          <w:rFonts w:hint="eastAsia" w:ascii="黑体" w:hAnsi="黑体" w:eastAsia="黑体" w:cs="黑体"/>
          <w:b/>
          <w:sz w:val="44"/>
          <w:szCs w:val="44"/>
        </w:rPr>
        <w:t>债券交易参与人业务联络人基本信息表</w:t>
      </w:r>
      <w:bookmarkEnd w:id="3762"/>
      <w:bookmarkEnd w:id="3763"/>
    </w:p>
    <w:p w14:paraId="4CADCE22">
      <w:pPr>
        <w:spacing w:line="560" w:lineRule="exact"/>
        <w:ind w:firstLine="883"/>
        <w:jc w:val="center"/>
        <w:rPr>
          <w:rFonts w:ascii="黑体" w:hAnsi="黑体"/>
          <w:b/>
          <w:sz w:val="44"/>
          <w:szCs w:val="44"/>
        </w:rPr>
      </w:pP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992"/>
        <w:gridCol w:w="2126"/>
        <w:gridCol w:w="1276"/>
        <w:gridCol w:w="2600"/>
      </w:tblGrid>
      <w:tr w14:paraId="2AAFB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526" w:type="dxa"/>
            <w:tcBorders>
              <w:top w:val="single" w:color="auto" w:sz="4" w:space="0"/>
              <w:left w:val="single" w:color="auto" w:sz="4" w:space="0"/>
              <w:bottom w:val="single" w:color="auto" w:sz="4" w:space="0"/>
              <w:right w:val="single" w:color="auto" w:sz="4" w:space="0"/>
            </w:tcBorders>
            <w:vAlign w:val="center"/>
          </w:tcPr>
          <w:p w14:paraId="62A467B7">
            <w:pPr>
              <w:spacing w:line="560" w:lineRule="exact"/>
              <w:rPr>
                <w:rFonts w:ascii="仿宋_GB2312" w:eastAsia="仿宋_GB2312"/>
                <w:sz w:val="24"/>
                <w:szCs w:val="30"/>
              </w:rPr>
            </w:pPr>
            <w:r>
              <w:rPr>
                <w:rFonts w:hint="eastAsia" w:ascii="仿宋_GB2312" w:eastAsia="仿宋_GB2312"/>
                <w:sz w:val="24"/>
                <w:szCs w:val="30"/>
              </w:rPr>
              <w:t>公司名称</w:t>
            </w:r>
          </w:p>
        </w:tc>
        <w:tc>
          <w:tcPr>
            <w:tcW w:w="6994" w:type="dxa"/>
            <w:gridSpan w:val="4"/>
            <w:tcBorders>
              <w:top w:val="single" w:color="auto" w:sz="4" w:space="0"/>
              <w:left w:val="single" w:color="auto" w:sz="4" w:space="0"/>
              <w:bottom w:val="single" w:color="auto" w:sz="4" w:space="0"/>
              <w:right w:val="single" w:color="auto" w:sz="4" w:space="0"/>
            </w:tcBorders>
          </w:tcPr>
          <w:p w14:paraId="7A942B81">
            <w:pPr>
              <w:spacing w:line="560" w:lineRule="exact"/>
              <w:ind w:firstLine="480"/>
              <w:rPr>
                <w:rFonts w:ascii="仿宋_GB2312" w:eastAsia="仿宋_GB2312"/>
                <w:sz w:val="24"/>
                <w:szCs w:val="30"/>
              </w:rPr>
            </w:pPr>
          </w:p>
        </w:tc>
      </w:tr>
      <w:tr w14:paraId="64D9E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526" w:type="dxa"/>
            <w:vMerge w:val="restart"/>
            <w:tcBorders>
              <w:top w:val="single" w:color="auto" w:sz="4" w:space="0"/>
              <w:left w:val="single" w:color="auto" w:sz="4" w:space="0"/>
              <w:bottom w:val="single" w:color="auto" w:sz="4" w:space="0"/>
              <w:right w:val="single" w:color="auto" w:sz="4" w:space="0"/>
            </w:tcBorders>
          </w:tcPr>
          <w:p w14:paraId="033A3183">
            <w:pPr>
              <w:spacing w:line="560" w:lineRule="exact"/>
              <w:rPr>
                <w:rFonts w:ascii="仿宋_GB2312" w:eastAsia="仿宋_GB2312"/>
                <w:sz w:val="24"/>
                <w:szCs w:val="30"/>
              </w:rPr>
            </w:pPr>
            <w:r>
              <w:rPr>
                <w:rFonts w:hint="eastAsia" w:ascii="仿宋_GB2312" w:eastAsia="仿宋_GB2312"/>
                <w:sz w:val="24"/>
                <w:szCs w:val="30"/>
              </w:rPr>
              <w:t>债券业务</w:t>
            </w:r>
          </w:p>
          <w:p w14:paraId="6C284359">
            <w:pPr>
              <w:spacing w:line="560" w:lineRule="exact"/>
              <w:rPr>
                <w:rFonts w:ascii="仿宋_GB2312" w:eastAsia="仿宋_GB2312"/>
                <w:sz w:val="24"/>
                <w:szCs w:val="30"/>
              </w:rPr>
            </w:pPr>
            <w:r>
              <w:rPr>
                <w:rFonts w:hint="eastAsia" w:ascii="仿宋_GB2312" w:eastAsia="仿宋_GB2312"/>
                <w:sz w:val="24"/>
                <w:szCs w:val="30"/>
              </w:rPr>
              <w:t>联络人</w:t>
            </w:r>
          </w:p>
        </w:tc>
        <w:tc>
          <w:tcPr>
            <w:tcW w:w="992" w:type="dxa"/>
            <w:tcBorders>
              <w:top w:val="single" w:color="auto" w:sz="4" w:space="0"/>
              <w:left w:val="single" w:color="auto" w:sz="4" w:space="0"/>
              <w:bottom w:val="single" w:color="auto" w:sz="4" w:space="0"/>
              <w:right w:val="single" w:color="auto" w:sz="4" w:space="0"/>
            </w:tcBorders>
          </w:tcPr>
          <w:p w14:paraId="0F56BC20">
            <w:pPr>
              <w:spacing w:line="560" w:lineRule="exact"/>
              <w:rPr>
                <w:rFonts w:ascii="仿宋_GB2312" w:eastAsia="仿宋_GB2312"/>
                <w:sz w:val="24"/>
                <w:szCs w:val="30"/>
              </w:rPr>
            </w:pPr>
            <w:r>
              <w:rPr>
                <w:rFonts w:hint="eastAsia" w:ascii="仿宋_GB2312" w:eastAsia="仿宋_GB2312"/>
                <w:sz w:val="24"/>
                <w:szCs w:val="30"/>
              </w:rPr>
              <w:t>姓名</w:t>
            </w:r>
          </w:p>
        </w:tc>
        <w:tc>
          <w:tcPr>
            <w:tcW w:w="6002" w:type="dxa"/>
            <w:gridSpan w:val="3"/>
            <w:tcBorders>
              <w:top w:val="single" w:color="auto" w:sz="4" w:space="0"/>
              <w:left w:val="single" w:color="auto" w:sz="4" w:space="0"/>
              <w:bottom w:val="single" w:color="auto" w:sz="4" w:space="0"/>
              <w:right w:val="single" w:color="auto" w:sz="4" w:space="0"/>
            </w:tcBorders>
          </w:tcPr>
          <w:p w14:paraId="05C046B9">
            <w:pPr>
              <w:spacing w:line="560" w:lineRule="exact"/>
              <w:rPr>
                <w:rFonts w:ascii="仿宋_GB2312" w:eastAsia="仿宋_GB2312"/>
                <w:sz w:val="24"/>
                <w:szCs w:val="30"/>
              </w:rPr>
            </w:pPr>
          </w:p>
        </w:tc>
      </w:tr>
      <w:tr w14:paraId="07C62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526" w:type="dxa"/>
            <w:vMerge w:val="continue"/>
            <w:tcBorders>
              <w:top w:val="single" w:color="auto" w:sz="4" w:space="0"/>
              <w:left w:val="single" w:color="auto" w:sz="4" w:space="0"/>
              <w:bottom w:val="single" w:color="auto" w:sz="4" w:space="0"/>
              <w:right w:val="single" w:color="auto" w:sz="4" w:space="0"/>
            </w:tcBorders>
            <w:vAlign w:val="center"/>
          </w:tcPr>
          <w:p w14:paraId="19D4D603">
            <w:pPr>
              <w:spacing w:line="560" w:lineRule="exact"/>
              <w:rPr>
                <w:rFonts w:ascii="仿宋_GB2312" w:eastAsia="仿宋_GB2312"/>
                <w:sz w:val="24"/>
                <w:szCs w:val="30"/>
              </w:rPr>
            </w:pPr>
          </w:p>
        </w:tc>
        <w:tc>
          <w:tcPr>
            <w:tcW w:w="992" w:type="dxa"/>
            <w:tcBorders>
              <w:top w:val="single" w:color="auto" w:sz="4" w:space="0"/>
              <w:left w:val="single" w:color="auto" w:sz="4" w:space="0"/>
              <w:bottom w:val="single" w:color="auto" w:sz="4" w:space="0"/>
              <w:right w:val="single" w:color="auto" w:sz="4" w:space="0"/>
            </w:tcBorders>
          </w:tcPr>
          <w:p w14:paraId="2FEB353B">
            <w:pPr>
              <w:spacing w:line="560" w:lineRule="exact"/>
              <w:rPr>
                <w:rFonts w:ascii="仿宋_GB2312" w:eastAsia="仿宋_GB2312"/>
                <w:sz w:val="24"/>
                <w:szCs w:val="30"/>
              </w:rPr>
            </w:pPr>
            <w:r>
              <w:rPr>
                <w:rFonts w:hint="eastAsia" w:ascii="仿宋_GB2312" w:eastAsia="仿宋_GB2312"/>
                <w:sz w:val="24"/>
                <w:szCs w:val="30"/>
              </w:rPr>
              <w:t>部门</w:t>
            </w:r>
          </w:p>
        </w:tc>
        <w:tc>
          <w:tcPr>
            <w:tcW w:w="6002" w:type="dxa"/>
            <w:gridSpan w:val="3"/>
            <w:tcBorders>
              <w:top w:val="single" w:color="auto" w:sz="4" w:space="0"/>
              <w:left w:val="single" w:color="auto" w:sz="4" w:space="0"/>
              <w:bottom w:val="single" w:color="auto" w:sz="4" w:space="0"/>
              <w:right w:val="single" w:color="auto" w:sz="4" w:space="0"/>
            </w:tcBorders>
          </w:tcPr>
          <w:p w14:paraId="2343A8A9">
            <w:pPr>
              <w:spacing w:line="560" w:lineRule="exact"/>
              <w:rPr>
                <w:rFonts w:ascii="仿宋_GB2312" w:eastAsia="仿宋_GB2312"/>
                <w:sz w:val="24"/>
                <w:szCs w:val="30"/>
              </w:rPr>
            </w:pPr>
          </w:p>
        </w:tc>
      </w:tr>
      <w:tr w14:paraId="05BE1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526" w:type="dxa"/>
            <w:vMerge w:val="continue"/>
            <w:tcBorders>
              <w:top w:val="single" w:color="auto" w:sz="4" w:space="0"/>
              <w:left w:val="single" w:color="auto" w:sz="4" w:space="0"/>
              <w:bottom w:val="single" w:color="auto" w:sz="4" w:space="0"/>
              <w:right w:val="single" w:color="auto" w:sz="4" w:space="0"/>
            </w:tcBorders>
            <w:vAlign w:val="center"/>
          </w:tcPr>
          <w:p w14:paraId="598454AC">
            <w:pPr>
              <w:spacing w:line="560" w:lineRule="exact"/>
              <w:rPr>
                <w:rFonts w:ascii="仿宋_GB2312" w:eastAsia="仿宋_GB2312"/>
                <w:sz w:val="24"/>
                <w:szCs w:val="30"/>
              </w:rPr>
            </w:pPr>
          </w:p>
        </w:tc>
        <w:tc>
          <w:tcPr>
            <w:tcW w:w="992" w:type="dxa"/>
            <w:tcBorders>
              <w:top w:val="single" w:color="auto" w:sz="4" w:space="0"/>
              <w:left w:val="single" w:color="auto" w:sz="4" w:space="0"/>
              <w:bottom w:val="single" w:color="auto" w:sz="4" w:space="0"/>
              <w:right w:val="single" w:color="auto" w:sz="4" w:space="0"/>
            </w:tcBorders>
          </w:tcPr>
          <w:p w14:paraId="3820442A">
            <w:pPr>
              <w:spacing w:line="560" w:lineRule="exact"/>
              <w:rPr>
                <w:rFonts w:ascii="仿宋_GB2312" w:eastAsia="仿宋_GB2312"/>
                <w:sz w:val="24"/>
                <w:szCs w:val="30"/>
              </w:rPr>
            </w:pPr>
            <w:r>
              <w:rPr>
                <w:rFonts w:hint="eastAsia" w:ascii="仿宋_GB2312" w:eastAsia="仿宋_GB2312"/>
                <w:sz w:val="24"/>
                <w:szCs w:val="30"/>
              </w:rPr>
              <w:t>手机</w:t>
            </w:r>
          </w:p>
        </w:tc>
        <w:tc>
          <w:tcPr>
            <w:tcW w:w="2126" w:type="dxa"/>
            <w:tcBorders>
              <w:top w:val="single" w:color="auto" w:sz="4" w:space="0"/>
              <w:left w:val="single" w:color="auto" w:sz="4" w:space="0"/>
              <w:bottom w:val="single" w:color="auto" w:sz="4" w:space="0"/>
              <w:right w:val="single" w:color="auto" w:sz="4" w:space="0"/>
            </w:tcBorders>
          </w:tcPr>
          <w:p w14:paraId="060DD305">
            <w:pPr>
              <w:spacing w:line="560" w:lineRule="exact"/>
              <w:rPr>
                <w:rFonts w:ascii="仿宋_GB2312" w:eastAsia="仿宋_GB2312"/>
                <w:sz w:val="24"/>
                <w:szCs w:val="30"/>
              </w:rPr>
            </w:pPr>
          </w:p>
        </w:tc>
        <w:tc>
          <w:tcPr>
            <w:tcW w:w="1276" w:type="dxa"/>
            <w:tcBorders>
              <w:top w:val="single" w:color="auto" w:sz="4" w:space="0"/>
              <w:left w:val="single" w:color="auto" w:sz="4" w:space="0"/>
              <w:bottom w:val="single" w:color="auto" w:sz="4" w:space="0"/>
              <w:right w:val="single" w:color="auto" w:sz="4" w:space="0"/>
            </w:tcBorders>
          </w:tcPr>
          <w:p w14:paraId="7F839B0E">
            <w:pPr>
              <w:spacing w:line="560" w:lineRule="exact"/>
              <w:rPr>
                <w:rFonts w:ascii="仿宋_GB2312" w:eastAsia="仿宋_GB2312"/>
                <w:sz w:val="24"/>
                <w:szCs w:val="30"/>
              </w:rPr>
            </w:pPr>
            <w:r>
              <w:rPr>
                <w:rFonts w:hint="eastAsia" w:ascii="仿宋_GB2312" w:eastAsia="仿宋_GB2312"/>
                <w:sz w:val="24"/>
                <w:szCs w:val="30"/>
              </w:rPr>
              <w:t>电子邮件</w:t>
            </w:r>
          </w:p>
        </w:tc>
        <w:tc>
          <w:tcPr>
            <w:tcW w:w="2600" w:type="dxa"/>
            <w:tcBorders>
              <w:top w:val="single" w:color="auto" w:sz="4" w:space="0"/>
              <w:left w:val="single" w:color="auto" w:sz="4" w:space="0"/>
              <w:bottom w:val="single" w:color="auto" w:sz="4" w:space="0"/>
              <w:right w:val="single" w:color="auto" w:sz="4" w:space="0"/>
            </w:tcBorders>
          </w:tcPr>
          <w:p w14:paraId="4B9311C7">
            <w:pPr>
              <w:spacing w:line="560" w:lineRule="exact"/>
              <w:rPr>
                <w:rFonts w:ascii="仿宋_GB2312" w:eastAsia="仿宋_GB2312"/>
                <w:sz w:val="24"/>
                <w:szCs w:val="30"/>
              </w:rPr>
            </w:pPr>
          </w:p>
        </w:tc>
      </w:tr>
      <w:tr w14:paraId="34BBB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526" w:type="dxa"/>
            <w:vMerge w:val="restart"/>
            <w:tcBorders>
              <w:top w:val="single" w:color="auto" w:sz="4" w:space="0"/>
              <w:left w:val="single" w:color="auto" w:sz="4" w:space="0"/>
              <w:bottom w:val="single" w:color="auto" w:sz="4" w:space="0"/>
              <w:right w:val="single" w:color="auto" w:sz="4" w:space="0"/>
            </w:tcBorders>
          </w:tcPr>
          <w:p w14:paraId="338906BA">
            <w:pPr>
              <w:spacing w:line="560" w:lineRule="exact"/>
              <w:rPr>
                <w:rFonts w:ascii="仿宋_GB2312" w:eastAsia="仿宋_GB2312"/>
                <w:sz w:val="24"/>
                <w:szCs w:val="30"/>
              </w:rPr>
            </w:pPr>
            <w:r>
              <w:rPr>
                <w:rFonts w:hint="eastAsia" w:ascii="仿宋_GB2312" w:eastAsia="仿宋_GB2312"/>
                <w:sz w:val="24"/>
                <w:szCs w:val="30"/>
              </w:rPr>
              <w:t>债券业务</w:t>
            </w:r>
          </w:p>
          <w:p w14:paraId="5B52882D">
            <w:pPr>
              <w:spacing w:line="560" w:lineRule="exact"/>
              <w:rPr>
                <w:rFonts w:ascii="仿宋_GB2312" w:eastAsia="仿宋_GB2312"/>
                <w:sz w:val="24"/>
                <w:szCs w:val="30"/>
              </w:rPr>
            </w:pPr>
            <w:r>
              <w:rPr>
                <w:rFonts w:hint="eastAsia" w:ascii="仿宋_GB2312" w:eastAsia="仿宋_GB2312"/>
                <w:sz w:val="24"/>
                <w:szCs w:val="30"/>
              </w:rPr>
              <w:t>联络人</w:t>
            </w:r>
          </w:p>
        </w:tc>
        <w:tc>
          <w:tcPr>
            <w:tcW w:w="992" w:type="dxa"/>
            <w:tcBorders>
              <w:top w:val="single" w:color="auto" w:sz="4" w:space="0"/>
              <w:left w:val="single" w:color="auto" w:sz="4" w:space="0"/>
              <w:bottom w:val="single" w:color="auto" w:sz="4" w:space="0"/>
              <w:right w:val="single" w:color="auto" w:sz="4" w:space="0"/>
            </w:tcBorders>
          </w:tcPr>
          <w:p w14:paraId="1041CC0B">
            <w:pPr>
              <w:spacing w:line="560" w:lineRule="exact"/>
              <w:rPr>
                <w:rFonts w:ascii="仿宋_GB2312" w:eastAsia="仿宋_GB2312"/>
                <w:sz w:val="24"/>
                <w:szCs w:val="30"/>
              </w:rPr>
            </w:pPr>
            <w:r>
              <w:rPr>
                <w:rFonts w:hint="eastAsia" w:ascii="仿宋_GB2312" w:eastAsia="仿宋_GB2312"/>
                <w:sz w:val="24"/>
                <w:szCs w:val="30"/>
              </w:rPr>
              <w:t>姓名</w:t>
            </w:r>
          </w:p>
        </w:tc>
        <w:tc>
          <w:tcPr>
            <w:tcW w:w="6002" w:type="dxa"/>
            <w:gridSpan w:val="3"/>
            <w:tcBorders>
              <w:top w:val="single" w:color="auto" w:sz="4" w:space="0"/>
              <w:left w:val="single" w:color="auto" w:sz="4" w:space="0"/>
              <w:bottom w:val="single" w:color="auto" w:sz="4" w:space="0"/>
              <w:right w:val="single" w:color="auto" w:sz="4" w:space="0"/>
            </w:tcBorders>
          </w:tcPr>
          <w:p w14:paraId="057E698B">
            <w:pPr>
              <w:spacing w:line="560" w:lineRule="exact"/>
              <w:rPr>
                <w:rFonts w:ascii="仿宋_GB2312" w:eastAsia="仿宋_GB2312"/>
                <w:sz w:val="24"/>
                <w:szCs w:val="30"/>
              </w:rPr>
            </w:pPr>
          </w:p>
        </w:tc>
      </w:tr>
      <w:tr w14:paraId="477C0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526" w:type="dxa"/>
            <w:vMerge w:val="continue"/>
            <w:tcBorders>
              <w:top w:val="single" w:color="auto" w:sz="4" w:space="0"/>
              <w:left w:val="single" w:color="auto" w:sz="4" w:space="0"/>
              <w:bottom w:val="single" w:color="auto" w:sz="4" w:space="0"/>
              <w:right w:val="single" w:color="auto" w:sz="4" w:space="0"/>
            </w:tcBorders>
            <w:vAlign w:val="center"/>
          </w:tcPr>
          <w:p w14:paraId="63811B35">
            <w:pPr>
              <w:spacing w:line="560" w:lineRule="exact"/>
              <w:rPr>
                <w:rFonts w:ascii="仿宋_GB2312" w:eastAsia="仿宋_GB2312"/>
                <w:sz w:val="24"/>
                <w:szCs w:val="30"/>
              </w:rPr>
            </w:pPr>
          </w:p>
        </w:tc>
        <w:tc>
          <w:tcPr>
            <w:tcW w:w="992" w:type="dxa"/>
            <w:tcBorders>
              <w:top w:val="single" w:color="auto" w:sz="4" w:space="0"/>
              <w:left w:val="single" w:color="auto" w:sz="4" w:space="0"/>
              <w:bottom w:val="single" w:color="auto" w:sz="4" w:space="0"/>
              <w:right w:val="single" w:color="auto" w:sz="4" w:space="0"/>
            </w:tcBorders>
          </w:tcPr>
          <w:p w14:paraId="4EB35663">
            <w:pPr>
              <w:spacing w:line="560" w:lineRule="exact"/>
              <w:rPr>
                <w:rFonts w:ascii="仿宋_GB2312" w:eastAsia="仿宋_GB2312"/>
                <w:sz w:val="24"/>
                <w:szCs w:val="30"/>
              </w:rPr>
            </w:pPr>
            <w:r>
              <w:rPr>
                <w:rFonts w:hint="eastAsia" w:ascii="仿宋_GB2312" w:eastAsia="仿宋_GB2312"/>
                <w:sz w:val="24"/>
                <w:szCs w:val="30"/>
              </w:rPr>
              <w:t>部门</w:t>
            </w:r>
          </w:p>
        </w:tc>
        <w:tc>
          <w:tcPr>
            <w:tcW w:w="6002" w:type="dxa"/>
            <w:gridSpan w:val="3"/>
            <w:tcBorders>
              <w:top w:val="single" w:color="auto" w:sz="4" w:space="0"/>
              <w:left w:val="single" w:color="auto" w:sz="4" w:space="0"/>
              <w:bottom w:val="single" w:color="auto" w:sz="4" w:space="0"/>
              <w:right w:val="single" w:color="auto" w:sz="4" w:space="0"/>
            </w:tcBorders>
          </w:tcPr>
          <w:p w14:paraId="6BA1C9A3">
            <w:pPr>
              <w:spacing w:line="560" w:lineRule="exact"/>
              <w:rPr>
                <w:rFonts w:ascii="仿宋_GB2312" w:eastAsia="仿宋_GB2312"/>
                <w:sz w:val="24"/>
                <w:szCs w:val="30"/>
              </w:rPr>
            </w:pPr>
          </w:p>
        </w:tc>
      </w:tr>
      <w:tr w14:paraId="4F875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526" w:type="dxa"/>
            <w:vMerge w:val="continue"/>
            <w:tcBorders>
              <w:top w:val="single" w:color="auto" w:sz="4" w:space="0"/>
              <w:left w:val="single" w:color="auto" w:sz="4" w:space="0"/>
              <w:bottom w:val="single" w:color="auto" w:sz="4" w:space="0"/>
              <w:right w:val="single" w:color="auto" w:sz="4" w:space="0"/>
            </w:tcBorders>
            <w:vAlign w:val="center"/>
          </w:tcPr>
          <w:p w14:paraId="2F442D5C">
            <w:pPr>
              <w:spacing w:line="560" w:lineRule="exact"/>
              <w:rPr>
                <w:rFonts w:ascii="仿宋_GB2312" w:eastAsia="仿宋_GB2312"/>
                <w:sz w:val="24"/>
                <w:szCs w:val="30"/>
              </w:rPr>
            </w:pPr>
          </w:p>
        </w:tc>
        <w:tc>
          <w:tcPr>
            <w:tcW w:w="992" w:type="dxa"/>
            <w:tcBorders>
              <w:top w:val="single" w:color="auto" w:sz="4" w:space="0"/>
              <w:left w:val="single" w:color="auto" w:sz="4" w:space="0"/>
              <w:bottom w:val="single" w:color="auto" w:sz="4" w:space="0"/>
              <w:right w:val="single" w:color="auto" w:sz="4" w:space="0"/>
            </w:tcBorders>
          </w:tcPr>
          <w:p w14:paraId="01B81616">
            <w:pPr>
              <w:spacing w:line="560" w:lineRule="exact"/>
              <w:rPr>
                <w:rFonts w:ascii="仿宋_GB2312" w:eastAsia="仿宋_GB2312"/>
                <w:sz w:val="24"/>
                <w:szCs w:val="30"/>
              </w:rPr>
            </w:pPr>
            <w:r>
              <w:rPr>
                <w:rFonts w:hint="eastAsia" w:ascii="仿宋_GB2312" w:eastAsia="仿宋_GB2312"/>
                <w:sz w:val="24"/>
                <w:szCs w:val="30"/>
              </w:rPr>
              <w:t>手机</w:t>
            </w:r>
          </w:p>
        </w:tc>
        <w:tc>
          <w:tcPr>
            <w:tcW w:w="2126" w:type="dxa"/>
            <w:tcBorders>
              <w:top w:val="single" w:color="auto" w:sz="4" w:space="0"/>
              <w:left w:val="single" w:color="auto" w:sz="4" w:space="0"/>
              <w:bottom w:val="single" w:color="auto" w:sz="4" w:space="0"/>
              <w:right w:val="single" w:color="auto" w:sz="4" w:space="0"/>
            </w:tcBorders>
          </w:tcPr>
          <w:p w14:paraId="122785C2">
            <w:pPr>
              <w:spacing w:line="560" w:lineRule="exact"/>
              <w:rPr>
                <w:rFonts w:ascii="仿宋_GB2312" w:eastAsia="仿宋_GB2312"/>
                <w:sz w:val="24"/>
                <w:szCs w:val="30"/>
              </w:rPr>
            </w:pPr>
          </w:p>
        </w:tc>
        <w:tc>
          <w:tcPr>
            <w:tcW w:w="1276" w:type="dxa"/>
            <w:tcBorders>
              <w:top w:val="single" w:color="auto" w:sz="4" w:space="0"/>
              <w:left w:val="single" w:color="auto" w:sz="4" w:space="0"/>
              <w:bottom w:val="single" w:color="auto" w:sz="4" w:space="0"/>
              <w:right w:val="single" w:color="auto" w:sz="4" w:space="0"/>
            </w:tcBorders>
          </w:tcPr>
          <w:p w14:paraId="58EE28CD">
            <w:pPr>
              <w:spacing w:line="560" w:lineRule="exact"/>
              <w:rPr>
                <w:rFonts w:ascii="仿宋_GB2312" w:eastAsia="仿宋_GB2312"/>
                <w:sz w:val="24"/>
                <w:szCs w:val="30"/>
              </w:rPr>
            </w:pPr>
            <w:r>
              <w:rPr>
                <w:rFonts w:hint="eastAsia" w:ascii="仿宋_GB2312" w:eastAsia="仿宋_GB2312"/>
                <w:sz w:val="24"/>
                <w:szCs w:val="30"/>
              </w:rPr>
              <w:t>电子邮件</w:t>
            </w:r>
          </w:p>
        </w:tc>
        <w:tc>
          <w:tcPr>
            <w:tcW w:w="2600" w:type="dxa"/>
            <w:tcBorders>
              <w:top w:val="single" w:color="auto" w:sz="4" w:space="0"/>
              <w:left w:val="single" w:color="auto" w:sz="4" w:space="0"/>
              <w:bottom w:val="single" w:color="auto" w:sz="4" w:space="0"/>
              <w:right w:val="single" w:color="auto" w:sz="4" w:space="0"/>
            </w:tcBorders>
          </w:tcPr>
          <w:p w14:paraId="6A8EBF1C">
            <w:pPr>
              <w:spacing w:line="560" w:lineRule="exact"/>
              <w:rPr>
                <w:rFonts w:ascii="仿宋_GB2312" w:eastAsia="仿宋_GB2312"/>
                <w:sz w:val="24"/>
                <w:szCs w:val="30"/>
              </w:rPr>
            </w:pPr>
          </w:p>
        </w:tc>
      </w:tr>
      <w:tr w14:paraId="458AE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526" w:type="dxa"/>
            <w:vMerge w:val="restart"/>
            <w:tcBorders>
              <w:top w:val="single" w:color="auto" w:sz="4" w:space="0"/>
              <w:left w:val="single" w:color="auto" w:sz="4" w:space="0"/>
              <w:right w:val="single" w:color="auto" w:sz="4" w:space="0"/>
            </w:tcBorders>
            <w:vAlign w:val="center"/>
          </w:tcPr>
          <w:p w14:paraId="595EBF9A">
            <w:pPr>
              <w:spacing w:line="560" w:lineRule="exact"/>
              <w:rPr>
                <w:rFonts w:ascii="仿宋_GB2312" w:eastAsia="仿宋_GB2312"/>
                <w:sz w:val="24"/>
                <w:szCs w:val="30"/>
              </w:rPr>
            </w:pPr>
            <w:r>
              <w:rPr>
                <w:rFonts w:hint="eastAsia" w:ascii="仿宋_GB2312" w:eastAsia="仿宋_GB2312"/>
                <w:sz w:val="24"/>
                <w:szCs w:val="30"/>
              </w:rPr>
              <w:t>债券业务</w:t>
            </w:r>
          </w:p>
          <w:p w14:paraId="6DB01BF4">
            <w:pPr>
              <w:spacing w:line="560" w:lineRule="exact"/>
              <w:rPr>
                <w:rFonts w:ascii="仿宋_GB2312" w:eastAsia="仿宋_GB2312"/>
                <w:sz w:val="24"/>
                <w:szCs w:val="30"/>
              </w:rPr>
            </w:pPr>
            <w:r>
              <w:rPr>
                <w:rFonts w:hint="eastAsia" w:ascii="仿宋_GB2312" w:eastAsia="仿宋_GB2312"/>
                <w:sz w:val="24"/>
                <w:szCs w:val="30"/>
              </w:rPr>
              <w:t>联络人</w:t>
            </w:r>
          </w:p>
        </w:tc>
        <w:tc>
          <w:tcPr>
            <w:tcW w:w="992" w:type="dxa"/>
            <w:tcBorders>
              <w:top w:val="single" w:color="auto" w:sz="4" w:space="0"/>
              <w:left w:val="single" w:color="auto" w:sz="4" w:space="0"/>
              <w:bottom w:val="single" w:color="auto" w:sz="4" w:space="0"/>
              <w:right w:val="single" w:color="auto" w:sz="4" w:space="0"/>
            </w:tcBorders>
          </w:tcPr>
          <w:p w14:paraId="56B9AF79">
            <w:pPr>
              <w:spacing w:line="560" w:lineRule="exact"/>
              <w:rPr>
                <w:rFonts w:ascii="仿宋_GB2312" w:eastAsia="仿宋_GB2312"/>
                <w:sz w:val="24"/>
                <w:szCs w:val="30"/>
              </w:rPr>
            </w:pPr>
            <w:r>
              <w:rPr>
                <w:rFonts w:hint="eastAsia" w:ascii="仿宋_GB2312" w:eastAsia="仿宋_GB2312"/>
                <w:sz w:val="24"/>
                <w:szCs w:val="30"/>
              </w:rPr>
              <w:t>姓名</w:t>
            </w:r>
          </w:p>
        </w:tc>
        <w:tc>
          <w:tcPr>
            <w:tcW w:w="6002" w:type="dxa"/>
            <w:gridSpan w:val="3"/>
            <w:tcBorders>
              <w:top w:val="single" w:color="auto" w:sz="4" w:space="0"/>
              <w:left w:val="single" w:color="auto" w:sz="4" w:space="0"/>
              <w:bottom w:val="single" w:color="auto" w:sz="4" w:space="0"/>
              <w:right w:val="single" w:color="auto" w:sz="4" w:space="0"/>
            </w:tcBorders>
          </w:tcPr>
          <w:p w14:paraId="41A1AC9D">
            <w:pPr>
              <w:spacing w:line="560" w:lineRule="exact"/>
              <w:rPr>
                <w:rFonts w:ascii="仿宋_GB2312" w:eastAsia="仿宋_GB2312"/>
                <w:sz w:val="24"/>
                <w:szCs w:val="30"/>
              </w:rPr>
            </w:pPr>
          </w:p>
        </w:tc>
      </w:tr>
      <w:tr w14:paraId="038E6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526" w:type="dxa"/>
            <w:vMerge w:val="continue"/>
            <w:tcBorders>
              <w:left w:val="single" w:color="auto" w:sz="4" w:space="0"/>
              <w:right w:val="single" w:color="auto" w:sz="4" w:space="0"/>
            </w:tcBorders>
            <w:vAlign w:val="center"/>
          </w:tcPr>
          <w:p w14:paraId="1E12EC31">
            <w:pPr>
              <w:spacing w:line="560" w:lineRule="exact"/>
              <w:rPr>
                <w:rFonts w:ascii="仿宋_GB2312" w:eastAsia="仿宋_GB2312"/>
                <w:sz w:val="24"/>
                <w:szCs w:val="30"/>
              </w:rPr>
            </w:pPr>
          </w:p>
        </w:tc>
        <w:tc>
          <w:tcPr>
            <w:tcW w:w="992" w:type="dxa"/>
            <w:tcBorders>
              <w:top w:val="single" w:color="auto" w:sz="4" w:space="0"/>
              <w:left w:val="single" w:color="auto" w:sz="4" w:space="0"/>
              <w:bottom w:val="single" w:color="auto" w:sz="4" w:space="0"/>
              <w:right w:val="single" w:color="auto" w:sz="4" w:space="0"/>
            </w:tcBorders>
          </w:tcPr>
          <w:p w14:paraId="18AB107F">
            <w:pPr>
              <w:spacing w:line="560" w:lineRule="exact"/>
              <w:rPr>
                <w:rFonts w:ascii="仿宋_GB2312" w:eastAsia="仿宋_GB2312"/>
                <w:sz w:val="24"/>
                <w:szCs w:val="30"/>
              </w:rPr>
            </w:pPr>
            <w:r>
              <w:rPr>
                <w:rFonts w:hint="eastAsia" w:ascii="仿宋_GB2312" w:eastAsia="仿宋_GB2312"/>
                <w:sz w:val="24"/>
                <w:szCs w:val="30"/>
              </w:rPr>
              <w:t>部门</w:t>
            </w:r>
          </w:p>
        </w:tc>
        <w:tc>
          <w:tcPr>
            <w:tcW w:w="6002" w:type="dxa"/>
            <w:gridSpan w:val="3"/>
            <w:tcBorders>
              <w:top w:val="single" w:color="auto" w:sz="4" w:space="0"/>
              <w:left w:val="single" w:color="auto" w:sz="4" w:space="0"/>
              <w:bottom w:val="single" w:color="auto" w:sz="4" w:space="0"/>
              <w:right w:val="single" w:color="auto" w:sz="4" w:space="0"/>
            </w:tcBorders>
          </w:tcPr>
          <w:p w14:paraId="6B32AEBD">
            <w:pPr>
              <w:spacing w:line="560" w:lineRule="exact"/>
              <w:rPr>
                <w:rFonts w:ascii="仿宋_GB2312" w:eastAsia="仿宋_GB2312"/>
                <w:sz w:val="24"/>
                <w:szCs w:val="30"/>
              </w:rPr>
            </w:pPr>
          </w:p>
        </w:tc>
      </w:tr>
      <w:tr w14:paraId="34496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526" w:type="dxa"/>
            <w:vMerge w:val="continue"/>
            <w:tcBorders>
              <w:left w:val="single" w:color="auto" w:sz="4" w:space="0"/>
              <w:bottom w:val="single" w:color="auto" w:sz="4" w:space="0"/>
              <w:right w:val="single" w:color="auto" w:sz="4" w:space="0"/>
            </w:tcBorders>
            <w:vAlign w:val="center"/>
          </w:tcPr>
          <w:p w14:paraId="7F2E6974">
            <w:pPr>
              <w:spacing w:line="560" w:lineRule="exact"/>
              <w:rPr>
                <w:rFonts w:ascii="仿宋_GB2312" w:eastAsia="仿宋_GB2312"/>
                <w:sz w:val="24"/>
                <w:szCs w:val="30"/>
              </w:rPr>
            </w:pPr>
          </w:p>
        </w:tc>
        <w:tc>
          <w:tcPr>
            <w:tcW w:w="992" w:type="dxa"/>
            <w:tcBorders>
              <w:top w:val="single" w:color="auto" w:sz="4" w:space="0"/>
              <w:left w:val="single" w:color="auto" w:sz="4" w:space="0"/>
              <w:bottom w:val="single" w:color="auto" w:sz="4" w:space="0"/>
              <w:right w:val="single" w:color="auto" w:sz="4" w:space="0"/>
            </w:tcBorders>
          </w:tcPr>
          <w:p w14:paraId="61FACE79">
            <w:pPr>
              <w:spacing w:line="560" w:lineRule="exact"/>
              <w:rPr>
                <w:rFonts w:ascii="仿宋_GB2312" w:eastAsia="仿宋_GB2312"/>
                <w:sz w:val="24"/>
                <w:szCs w:val="30"/>
              </w:rPr>
            </w:pPr>
            <w:r>
              <w:rPr>
                <w:rFonts w:hint="eastAsia" w:ascii="仿宋_GB2312" w:eastAsia="仿宋_GB2312"/>
                <w:sz w:val="24"/>
                <w:szCs w:val="30"/>
              </w:rPr>
              <w:t>手机</w:t>
            </w:r>
          </w:p>
        </w:tc>
        <w:tc>
          <w:tcPr>
            <w:tcW w:w="2126" w:type="dxa"/>
            <w:tcBorders>
              <w:top w:val="single" w:color="auto" w:sz="4" w:space="0"/>
              <w:left w:val="single" w:color="auto" w:sz="4" w:space="0"/>
              <w:bottom w:val="single" w:color="auto" w:sz="4" w:space="0"/>
              <w:right w:val="single" w:color="auto" w:sz="4" w:space="0"/>
            </w:tcBorders>
          </w:tcPr>
          <w:p w14:paraId="318DE675">
            <w:pPr>
              <w:spacing w:line="560" w:lineRule="exact"/>
              <w:rPr>
                <w:rFonts w:ascii="仿宋_GB2312" w:eastAsia="仿宋_GB2312"/>
                <w:sz w:val="24"/>
                <w:szCs w:val="30"/>
              </w:rPr>
            </w:pPr>
          </w:p>
        </w:tc>
        <w:tc>
          <w:tcPr>
            <w:tcW w:w="1276" w:type="dxa"/>
            <w:tcBorders>
              <w:top w:val="single" w:color="auto" w:sz="4" w:space="0"/>
              <w:left w:val="single" w:color="auto" w:sz="4" w:space="0"/>
              <w:bottom w:val="single" w:color="auto" w:sz="4" w:space="0"/>
              <w:right w:val="single" w:color="auto" w:sz="4" w:space="0"/>
            </w:tcBorders>
          </w:tcPr>
          <w:p w14:paraId="3D257B7C">
            <w:pPr>
              <w:spacing w:line="560" w:lineRule="exact"/>
              <w:rPr>
                <w:rFonts w:ascii="仿宋_GB2312" w:eastAsia="仿宋_GB2312"/>
                <w:sz w:val="24"/>
                <w:szCs w:val="30"/>
              </w:rPr>
            </w:pPr>
            <w:r>
              <w:rPr>
                <w:rFonts w:hint="eastAsia" w:ascii="仿宋_GB2312" w:eastAsia="仿宋_GB2312"/>
                <w:sz w:val="24"/>
                <w:szCs w:val="30"/>
              </w:rPr>
              <w:t>电子邮件</w:t>
            </w:r>
          </w:p>
        </w:tc>
        <w:tc>
          <w:tcPr>
            <w:tcW w:w="2600" w:type="dxa"/>
            <w:tcBorders>
              <w:top w:val="single" w:color="auto" w:sz="4" w:space="0"/>
              <w:left w:val="single" w:color="auto" w:sz="4" w:space="0"/>
              <w:bottom w:val="single" w:color="auto" w:sz="4" w:space="0"/>
              <w:right w:val="single" w:color="auto" w:sz="4" w:space="0"/>
            </w:tcBorders>
          </w:tcPr>
          <w:p w14:paraId="25054061">
            <w:pPr>
              <w:spacing w:line="560" w:lineRule="exact"/>
              <w:rPr>
                <w:rFonts w:ascii="仿宋_GB2312" w:eastAsia="仿宋_GB2312"/>
                <w:sz w:val="24"/>
                <w:szCs w:val="30"/>
              </w:rPr>
            </w:pPr>
          </w:p>
        </w:tc>
      </w:tr>
      <w:tr w14:paraId="3F56E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526" w:type="dxa"/>
            <w:vMerge w:val="restart"/>
            <w:tcBorders>
              <w:top w:val="single" w:color="auto" w:sz="4" w:space="0"/>
              <w:left w:val="single" w:color="auto" w:sz="4" w:space="0"/>
              <w:right w:val="single" w:color="auto" w:sz="4" w:space="0"/>
            </w:tcBorders>
            <w:vAlign w:val="center"/>
          </w:tcPr>
          <w:p w14:paraId="40EDE208">
            <w:pPr>
              <w:spacing w:line="560" w:lineRule="exact"/>
              <w:rPr>
                <w:rFonts w:ascii="仿宋_GB2312" w:eastAsia="仿宋_GB2312"/>
                <w:sz w:val="24"/>
                <w:szCs w:val="30"/>
              </w:rPr>
            </w:pPr>
            <w:r>
              <w:rPr>
                <w:rFonts w:hint="eastAsia" w:ascii="仿宋_GB2312" w:eastAsia="仿宋_GB2312"/>
                <w:sz w:val="24"/>
                <w:szCs w:val="30"/>
              </w:rPr>
              <w:t>债券业务</w:t>
            </w:r>
          </w:p>
          <w:p w14:paraId="3081C2B6">
            <w:pPr>
              <w:spacing w:line="560" w:lineRule="exact"/>
              <w:rPr>
                <w:rFonts w:ascii="仿宋_GB2312" w:eastAsia="仿宋_GB2312"/>
                <w:sz w:val="24"/>
                <w:szCs w:val="30"/>
              </w:rPr>
            </w:pPr>
            <w:r>
              <w:rPr>
                <w:rFonts w:hint="eastAsia" w:ascii="仿宋_GB2312" w:eastAsia="仿宋_GB2312"/>
                <w:sz w:val="24"/>
                <w:szCs w:val="30"/>
              </w:rPr>
              <w:t>联络人</w:t>
            </w:r>
          </w:p>
        </w:tc>
        <w:tc>
          <w:tcPr>
            <w:tcW w:w="992" w:type="dxa"/>
            <w:tcBorders>
              <w:top w:val="single" w:color="auto" w:sz="4" w:space="0"/>
              <w:left w:val="single" w:color="auto" w:sz="4" w:space="0"/>
              <w:bottom w:val="single" w:color="auto" w:sz="4" w:space="0"/>
              <w:right w:val="single" w:color="auto" w:sz="4" w:space="0"/>
            </w:tcBorders>
          </w:tcPr>
          <w:p w14:paraId="7D59C062">
            <w:pPr>
              <w:spacing w:line="560" w:lineRule="exact"/>
              <w:rPr>
                <w:rFonts w:ascii="仿宋_GB2312" w:eastAsia="仿宋_GB2312"/>
                <w:sz w:val="24"/>
                <w:szCs w:val="30"/>
              </w:rPr>
            </w:pPr>
            <w:r>
              <w:rPr>
                <w:rFonts w:hint="eastAsia" w:ascii="仿宋_GB2312" w:eastAsia="仿宋_GB2312"/>
                <w:sz w:val="24"/>
                <w:szCs w:val="30"/>
              </w:rPr>
              <w:t>姓名</w:t>
            </w:r>
          </w:p>
        </w:tc>
        <w:tc>
          <w:tcPr>
            <w:tcW w:w="6002" w:type="dxa"/>
            <w:gridSpan w:val="3"/>
            <w:tcBorders>
              <w:top w:val="single" w:color="auto" w:sz="4" w:space="0"/>
              <w:left w:val="single" w:color="auto" w:sz="4" w:space="0"/>
              <w:bottom w:val="single" w:color="auto" w:sz="4" w:space="0"/>
              <w:right w:val="single" w:color="auto" w:sz="4" w:space="0"/>
            </w:tcBorders>
          </w:tcPr>
          <w:p w14:paraId="4BD8A6B0">
            <w:pPr>
              <w:spacing w:line="560" w:lineRule="exact"/>
              <w:rPr>
                <w:rFonts w:ascii="仿宋_GB2312" w:eastAsia="仿宋_GB2312"/>
                <w:sz w:val="24"/>
                <w:szCs w:val="30"/>
              </w:rPr>
            </w:pPr>
          </w:p>
        </w:tc>
      </w:tr>
      <w:tr w14:paraId="26CB8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526" w:type="dxa"/>
            <w:vMerge w:val="continue"/>
            <w:tcBorders>
              <w:left w:val="single" w:color="auto" w:sz="4" w:space="0"/>
              <w:right w:val="single" w:color="auto" w:sz="4" w:space="0"/>
            </w:tcBorders>
            <w:vAlign w:val="center"/>
          </w:tcPr>
          <w:p w14:paraId="2653C58C">
            <w:pPr>
              <w:spacing w:line="560" w:lineRule="exact"/>
              <w:rPr>
                <w:rFonts w:ascii="仿宋_GB2312" w:eastAsia="仿宋_GB2312"/>
                <w:sz w:val="24"/>
                <w:szCs w:val="30"/>
              </w:rPr>
            </w:pPr>
          </w:p>
        </w:tc>
        <w:tc>
          <w:tcPr>
            <w:tcW w:w="992" w:type="dxa"/>
            <w:tcBorders>
              <w:top w:val="single" w:color="auto" w:sz="4" w:space="0"/>
              <w:left w:val="single" w:color="auto" w:sz="4" w:space="0"/>
              <w:bottom w:val="single" w:color="auto" w:sz="4" w:space="0"/>
              <w:right w:val="single" w:color="auto" w:sz="4" w:space="0"/>
            </w:tcBorders>
          </w:tcPr>
          <w:p w14:paraId="45D5BD72">
            <w:pPr>
              <w:spacing w:line="560" w:lineRule="exact"/>
              <w:rPr>
                <w:rFonts w:ascii="仿宋_GB2312" w:eastAsia="仿宋_GB2312"/>
                <w:sz w:val="24"/>
                <w:szCs w:val="30"/>
              </w:rPr>
            </w:pPr>
            <w:r>
              <w:rPr>
                <w:rFonts w:hint="eastAsia" w:ascii="仿宋_GB2312" w:eastAsia="仿宋_GB2312"/>
                <w:sz w:val="24"/>
                <w:szCs w:val="30"/>
              </w:rPr>
              <w:t>部门</w:t>
            </w:r>
          </w:p>
        </w:tc>
        <w:tc>
          <w:tcPr>
            <w:tcW w:w="6002" w:type="dxa"/>
            <w:gridSpan w:val="3"/>
            <w:tcBorders>
              <w:top w:val="single" w:color="auto" w:sz="4" w:space="0"/>
              <w:left w:val="single" w:color="auto" w:sz="4" w:space="0"/>
              <w:bottom w:val="single" w:color="auto" w:sz="4" w:space="0"/>
              <w:right w:val="single" w:color="auto" w:sz="4" w:space="0"/>
            </w:tcBorders>
          </w:tcPr>
          <w:p w14:paraId="0F4C6BB8">
            <w:pPr>
              <w:spacing w:line="560" w:lineRule="exact"/>
              <w:rPr>
                <w:rFonts w:ascii="仿宋_GB2312" w:eastAsia="仿宋_GB2312"/>
                <w:sz w:val="24"/>
                <w:szCs w:val="30"/>
              </w:rPr>
            </w:pPr>
          </w:p>
        </w:tc>
      </w:tr>
      <w:tr w14:paraId="6319A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526" w:type="dxa"/>
            <w:vMerge w:val="continue"/>
            <w:tcBorders>
              <w:left w:val="single" w:color="auto" w:sz="4" w:space="0"/>
              <w:bottom w:val="single" w:color="auto" w:sz="4" w:space="0"/>
              <w:right w:val="single" w:color="auto" w:sz="4" w:space="0"/>
            </w:tcBorders>
            <w:vAlign w:val="center"/>
          </w:tcPr>
          <w:p w14:paraId="5A287398">
            <w:pPr>
              <w:spacing w:line="560" w:lineRule="exact"/>
              <w:rPr>
                <w:rFonts w:ascii="仿宋_GB2312" w:eastAsia="仿宋_GB2312"/>
                <w:sz w:val="24"/>
                <w:szCs w:val="30"/>
              </w:rPr>
            </w:pPr>
          </w:p>
        </w:tc>
        <w:tc>
          <w:tcPr>
            <w:tcW w:w="992" w:type="dxa"/>
            <w:tcBorders>
              <w:top w:val="single" w:color="auto" w:sz="4" w:space="0"/>
              <w:left w:val="single" w:color="auto" w:sz="4" w:space="0"/>
              <w:bottom w:val="single" w:color="auto" w:sz="4" w:space="0"/>
              <w:right w:val="single" w:color="auto" w:sz="4" w:space="0"/>
            </w:tcBorders>
          </w:tcPr>
          <w:p w14:paraId="5FE92D8E">
            <w:pPr>
              <w:spacing w:line="560" w:lineRule="exact"/>
              <w:rPr>
                <w:rFonts w:ascii="仿宋_GB2312" w:eastAsia="仿宋_GB2312"/>
                <w:sz w:val="24"/>
                <w:szCs w:val="30"/>
              </w:rPr>
            </w:pPr>
            <w:r>
              <w:rPr>
                <w:rFonts w:hint="eastAsia" w:ascii="仿宋_GB2312" w:eastAsia="仿宋_GB2312"/>
                <w:sz w:val="24"/>
                <w:szCs w:val="30"/>
              </w:rPr>
              <w:t>手机</w:t>
            </w:r>
          </w:p>
        </w:tc>
        <w:tc>
          <w:tcPr>
            <w:tcW w:w="2126" w:type="dxa"/>
            <w:tcBorders>
              <w:top w:val="single" w:color="auto" w:sz="4" w:space="0"/>
              <w:left w:val="single" w:color="auto" w:sz="4" w:space="0"/>
              <w:bottom w:val="single" w:color="auto" w:sz="4" w:space="0"/>
              <w:right w:val="single" w:color="auto" w:sz="4" w:space="0"/>
            </w:tcBorders>
          </w:tcPr>
          <w:p w14:paraId="4BA8E0BF">
            <w:pPr>
              <w:spacing w:line="560" w:lineRule="exact"/>
              <w:rPr>
                <w:rFonts w:ascii="仿宋_GB2312" w:eastAsia="仿宋_GB2312"/>
                <w:sz w:val="24"/>
                <w:szCs w:val="30"/>
              </w:rPr>
            </w:pPr>
          </w:p>
        </w:tc>
        <w:tc>
          <w:tcPr>
            <w:tcW w:w="1276" w:type="dxa"/>
            <w:tcBorders>
              <w:top w:val="single" w:color="auto" w:sz="4" w:space="0"/>
              <w:left w:val="single" w:color="auto" w:sz="4" w:space="0"/>
              <w:bottom w:val="single" w:color="auto" w:sz="4" w:space="0"/>
              <w:right w:val="single" w:color="auto" w:sz="4" w:space="0"/>
            </w:tcBorders>
          </w:tcPr>
          <w:p w14:paraId="106E2B63">
            <w:pPr>
              <w:spacing w:line="560" w:lineRule="exact"/>
              <w:rPr>
                <w:rFonts w:ascii="仿宋_GB2312" w:eastAsia="仿宋_GB2312"/>
                <w:sz w:val="24"/>
                <w:szCs w:val="30"/>
              </w:rPr>
            </w:pPr>
            <w:r>
              <w:rPr>
                <w:rFonts w:hint="eastAsia" w:ascii="仿宋_GB2312" w:eastAsia="仿宋_GB2312"/>
                <w:sz w:val="24"/>
                <w:szCs w:val="30"/>
              </w:rPr>
              <w:t>电子邮件</w:t>
            </w:r>
          </w:p>
        </w:tc>
        <w:tc>
          <w:tcPr>
            <w:tcW w:w="2600" w:type="dxa"/>
            <w:tcBorders>
              <w:top w:val="single" w:color="auto" w:sz="4" w:space="0"/>
              <w:left w:val="single" w:color="auto" w:sz="4" w:space="0"/>
              <w:bottom w:val="single" w:color="auto" w:sz="4" w:space="0"/>
              <w:right w:val="single" w:color="auto" w:sz="4" w:space="0"/>
            </w:tcBorders>
          </w:tcPr>
          <w:p w14:paraId="406B757E">
            <w:pPr>
              <w:spacing w:line="560" w:lineRule="exact"/>
              <w:rPr>
                <w:rFonts w:ascii="仿宋_GB2312" w:eastAsia="仿宋_GB2312"/>
                <w:sz w:val="24"/>
                <w:szCs w:val="30"/>
              </w:rPr>
            </w:pPr>
          </w:p>
        </w:tc>
      </w:tr>
    </w:tbl>
    <w:p w14:paraId="726F5B29">
      <w:pPr>
        <w:spacing w:line="560" w:lineRule="exact"/>
        <w:ind w:firstLine="600"/>
        <w:rPr>
          <w:rFonts w:ascii="仿宋_GB2312" w:hAnsi="黑体" w:eastAsia="仿宋_GB2312"/>
          <w:sz w:val="30"/>
          <w:szCs w:val="30"/>
        </w:rPr>
      </w:pPr>
      <w:r>
        <w:rPr>
          <w:rFonts w:hint="eastAsia" w:ascii="仿宋_GB2312" w:hAnsi="黑体" w:eastAsia="仿宋_GB2312"/>
          <w:sz w:val="30"/>
          <w:szCs w:val="30"/>
        </w:rPr>
        <w:t>备注：债券交易业务联络人需为本部门债券交易业务骨干。若联络人信息有变更的，须及时向本所报备。</w:t>
      </w:r>
    </w:p>
    <w:p w14:paraId="2498AD5A">
      <w:pPr>
        <w:spacing w:line="560" w:lineRule="exact"/>
        <w:ind w:firstLine="600"/>
        <w:rPr>
          <w:rFonts w:ascii="仿宋_GB2312" w:hAnsi="黑体" w:eastAsia="仿宋_GB2312"/>
          <w:sz w:val="30"/>
          <w:szCs w:val="30"/>
        </w:rPr>
      </w:pPr>
    </w:p>
    <w:p w14:paraId="2FE37430">
      <w:pPr>
        <w:spacing w:line="560" w:lineRule="exact"/>
        <w:ind w:firstLine="600"/>
        <w:jc w:val="center"/>
        <w:rPr>
          <w:rFonts w:ascii="仿宋_GB2312" w:hAnsi="黑体" w:eastAsia="仿宋_GB2312"/>
          <w:sz w:val="30"/>
          <w:szCs w:val="30"/>
        </w:rPr>
      </w:pPr>
      <w:r>
        <w:rPr>
          <w:rFonts w:ascii="仿宋_GB2312" w:hAnsi="黑体" w:eastAsia="仿宋_GB2312"/>
          <w:sz w:val="30"/>
          <w:szCs w:val="30"/>
        </w:rPr>
        <w:t xml:space="preserve">                       经办人</w:t>
      </w:r>
      <w:r>
        <w:rPr>
          <w:rFonts w:hint="eastAsia" w:ascii="仿宋_GB2312" w:hAnsi="黑体" w:eastAsia="仿宋_GB2312"/>
          <w:sz w:val="30"/>
          <w:szCs w:val="30"/>
        </w:rPr>
        <w:t>（</w:t>
      </w:r>
      <w:r>
        <w:rPr>
          <w:rFonts w:ascii="仿宋_GB2312" w:hAnsi="黑体" w:eastAsia="仿宋_GB2312"/>
          <w:sz w:val="30"/>
          <w:szCs w:val="30"/>
        </w:rPr>
        <w:t>签字</w:t>
      </w:r>
      <w:r>
        <w:rPr>
          <w:rFonts w:hint="eastAsia" w:ascii="仿宋_GB2312" w:hAnsi="黑体" w:eastAsia="仿宋_GB2312"/>
          <w:sz w:val="30"/>
          <w:szCs w:val="30"/>
        </w:rPr>
        <w:t>）</w:t>
      </w:r>
      <w:r>
        <w:rPr>
          <w:rFonts w:ascii="仿宋_GB2312" w:hAnsi="黑体" w:eastAsia="仿宋_GB2312"/>
          <w:sz w:val="30"/>
          <w:szCs w:val="30"/>
        </w:rPr>
        <w:t>：</w:t>
      </w:r>
    </w:p>
    <w:p w14:paraId="64013B64">
      <w:pPr>
        <w:spacing w:line="560" w:lineRule="exact"/>
        <w:ind w:firstLine="600"/>
        <w:jc w:val="center"/>
        <w:rPr>
          <w:rFonts w:ascii="仿宋_GB2312" w:hAnsi="黑体" w:eastAsia="仿宋_GB2312"/>
          <w:sz w:val="30"/>
          <w:szCs w:val="30"/>
        </w:rPr>
      </w:pPr>
      <w:r>
        <w:rPr>
          <w:rFonts w:ascii="仿宋_GB2312" w:hAnsi="黑体" w:eastAsia="仿宋_GB2312"/>
          <w:sz w:val="30"/>
          <w:szCs w:val="30"/>
        </w:rPr>
        <w:t xml:space="preserve">                   联系电话：</w:t>
      </w:r>
    </w:p>
    <w:p w14:paraId="0CFED3F4">
      <w:pPr>
        <w:pStyle w:val="92"/>
        <w:spacing w:line="560" w:lineRule="exact"/>
        <w:ind w:left="0" w:firstLine="600"/>
        <w:jc w:val="center"/>
        <w:rPr>
          <w:rFonts w:ascii="仿宋_GB2312" w:hAnsi="黑体" w:eastAsia="仿宋_GB2312"/>
          <w:sz w:val="30"/>
          <w:szCs w:val="30"/>
          <w:lang w:eastAsia="zh-CN"/>
        </w:rPr>
      </w:pPr>
      <w:r>
        <w:rPr>
          <w:rFonts w:ascii="仿宋_GB2312" w:hAnsi="黑体" w:eastAsia="仿宋_GB2312"/>
          <w:sz w:val="30"/>
          <w:szCs w:val="30"/>
          <w:lang w:eastAsia="zh-CN"/>
        </w:rPr>
        <w:t xml:space="preserve">                   申请日期：</w:t>
      </w:r>
      <w:bookmarkStart w:id="3774" w:name="_上海证券交易所债券市场交易单元申请表"/>
      <w:bookmarkEnd w:id="3774"/>
      <w:bookmarkStart w:id="3775" w:name="_Toc35006354"/>
      <w:r>
        <w:rPr>
          <w:rFonts w:ascii="仿宋_GB2312" w:hAnsi="黑体" w:eastAsia="仿宋_GB2312"/>
          <w:sz w:val="30"/>
          <w:szCs w:val="30"/>
          <w:lang w:eastAsia="zh-CN"/>
        </w:rPr>
        <w:t xml:space="preserve"> </w:t>
      </w:r>
      <w:bookmarkEnd w:id="3775"/>
    </w:p>
    <w:p w14:paraId="4FC4FF10">
      <w:pPr>
        <w:widowControl/>
        <w:jc w:val="left"/>
        <w:rPr>
          <w:rFonts w:ascii="仿宋_GB2312" w:hAnsi="黑体" w:eastAsia="仿宋_GB2312"/>
          <w:b/>
          <w:kern w:val="0"/>
          <w:sz w:val="36"/>
          <w:szCs w:val="36"/>
          <w:lang w:bidi="en-US"/>
        </w:rPr>
      </w:pPr>
      <w:r>
        <w:rPr>
          <w:rFonts w:ascii="仿宋_GB2312" w:hAnsi="黑体" w:eastAsia="仿宋_GB2312"/>
          <w:b/>
          <w:sz w:val="36"/>
          <w:szCs w:val="36"/>
        </w:rPr>
        <w:br w:type="page"/>
      </w:r>
    </w:p>
    <w:p w14:paraId="5C394753">
      <w:pPr>
        <w:widowControl/>
        <w:jc w:val="left"/>
        <w:outlineLvl w:val="1"/>
        <w:rPr>
          <w:rFonts w:ascii="仿宋_GB2312" w:hAnsi="黑体" w:eastAsia="仿宋_GB2312"/>
          <w:b/>
          <w:sz w:val="30"/>
          <w:szCs w:val="30"/>
        </w:rPr>
      </w:pPr>
      <w:bookmarkStart w:id="3776" w:name="_Toc1731367462"/>
      <w:bookmarkStart w:id="3777" w:name="_Toc1197666805"/>
      <w:bookmarkStart w:id="3778" w:name="_Toc151137084"/>
      <w:bookmarkStart w:id="3779" w:name="_Toc1274182556"/>
      <w:bookmarkStart w:id="3780" w:name="_Toc1068548968"/>
      <w:r>
        <w:rPr>
          <w:rFonts w:hint="eastAsia" w:ascii="仿宋_GB2312" w:hAnsi="黑体" w:eastAsia="仿宋_GB2312"/>
          <w:b/>
          <w:sz w:val="30"/>
          <w:szCs w:val="30"/>
        </w:rPr>
        <w:t>附件4 境外机构投资者信息报送表</w:t>
      </w:r>
      <w:bookmarkEnd w:id="3776"/>
      <w:bookmarkEnd w:id="3777"/>
      <w:bookmarkEnd w:id="3778"/>
      <w:bookmarkEnd w:id="3779"/>
      <w:bookmarkEnd w:id="3780"/>
    </w:p>
    <w:tbl>
      <w:tblPr>
        <w:tblStyle w:val="43"/>
        <w:tblW w:w="8222" w:type="dxa"/>
        <w:tblInd w:w="108" w:type="dxa"/>
        <w:tblLayout w:type="fixed"/>
        <w:tblCellMar>
          <w:top w:w="0" w:type="dxa"/>
          <w:left w:w="108" w:type="dxa"/>
          <w:bottom w:w="0" w:type="dxa"/>
          <w:right w:w="108" w:type="dxa"/>
        </w:tblCellMar>
      </w:tblPr>
      <w:tblGrid>
        <w:gridCol w:w="2025"/>
        <w:gridCol w:w="1311"/>
        <w:gridCol w:w="775"/>
        <w:gridCol w:w="962"/>
        <w:gridCol w:w="314"/>
        <w:gridCol w:w="850"/>
        <w:gridCol w:w="44"/>
        <w:gridCol w:w="807"/>
        <w:gridCol w:w="142"/>
        <w:gridCol w:w="992"/>
      </w:tblGrid>
      <w:tr w14:paraId="29D1D43F">
        <w:tblPrEx>
          <w:tblCellMar>
            <w:top w:w="0" w:type="dxa"/>
            <w:left w:w="108" w:type="dxa"/>
            <w:bottom w:w="0" w:type="dxa"/>
            <w:right w:w="108" w:type="dxa"/>
          </w:tblCellMar>
        </w:tblPrEx>
        <w:trPr>
          <w:trHeight w:val="350" w:hRule="atLeast"/>
        </w:trPr>
        <w:tc>
          <w:tcPr>
            <w:tcW w:w="8222" w:type="dxa"/>
            <w:gridSpan w:val="10"/>
            <w:noWrap/>
            <w:vAlign w:val="bottom"/>
          </w:tcPr>
          <w:p w14:paraId="54DFD5D7">
            <w:pPr>
              <w:widowControl/>
              <w:jc w:val="left"/>
              <w:rPr>
                <w:rFonts w:ascii="仿宋_GB2312" w:hAnsi="华文细黑" w:eastAsia="仿宋_GB2312" w:cs="华文细黑"/>
                <w:color w:val="000000"/>
                <w:sz w:val="30"/>
                <w:szCs w:val="30"/>
              </w:rPr>
            </w:pPr>
          </w:p>
          <w:p w14:paraId="6C823700">
            <w:pPr>
              <w:widowControl/>
              <w:jc w:val="center"/>
              <w:rPr>
                <w:rFonts w:ascii="黑体" w:hAnsi="黑体" w:eastAsia="黑体"/>
                <w:b/>
                <w:bCs/>
                <w:kern w:val="0"/>
                <w:sz w:val="28"/>
                <w:szCs w:val="28"/>
              </w:rPr>
            </w:pPr>
            <w:r>
              <w:rPr>
                <w:rFonts w:hint="eastAsia" w:ascii="黑体" w:hAnsi="黑体" w:eastAsia="黑体"/>
                <w:b/>
                <w:sz w:val="44"/>
                <w:szCs w:val="44"/>
              </w:rPr>
              <w:t>境外机构投资者信息报送表</w:t>
            </w:r>
          </w:p>
          <w:p w14:paraId="729A2CE1">
            <w:pPr>
              <w:pStyle w:val="39"/>
              <w:spacing w:before="0" w:beforeAutospacing="0" w:after="0" w:afterAutospacing="0" w:line="560" w:lineRule="exact"/>
              <w:contextualSpacing/>
              <w:jc w:val="center"/>
              <w:rPr>
                <w:rFonts w:ascii="Times New Roman" w:hAnsi="Times New Roman"/>
                <w:color w:val="000000"/>
                <w:sz w:val="22"/>
              </w:rPr>
            </w:pPr>
            <w:r>
              <w:rPr>
                <w:rFonts w:hint="eastAsia" w:ascii="Times New Roman" w:hAnsi="Times New Roman" w:eastAsiaTheme="minorEastAsia"/>
                <w:b/>
                <w:sz w:val="36"/>
                <w:szCs w:val="36"/>
              </w:rPr>
              <w:t>Information</w:t>
            </w:r>
            <w:r>
              <w:rPr>
                <w:rFonts w:ascii="Times New Roman" w:hAnsi="Times New Roman" w:eastAsiaTheme="minorEastAsia"/>
                <w:b/>
                <w:sz w:val="36"/>
                <w:szCs w:val="36"/>
              </w:rPr>
              <w:t xml:space="preserve"> Form</w:t>
            </w:r>
            <w:r>
              <w:rPr>
                <w:rFonts w:hint="eastAsia" w:ascii="Times New Roman" w:hAnsi="Times New Roman" w:eastAsiaTheme="minorEastAsia"/>
                <w:b/>
                <w:sz w:val="36"/>
                <w:szCs w:val="36"/>
              </w:rPr>
              <w:t xml:space="preserve"> For Foreign Institutional Investors</w:t>
            </w:r>
          </w:p>
        </w:tc>
      </w:tr>
      <w:tr w14:paraId="7A159C27">
        <w:tblPrEx>
          <w:tblCellMar>
            <w:top w:w="0" w:type="dxa"/>
            <w:left w:w="108" w:type="dxa"/>
            <w:bottom w:w="0" w:type="dxa"/>
            <w:right w:w="108" w:type="dxa"/>
          </w:tblCellMar>
        </w:tblPrEx>
        <w:trPr>
          <w:trHeight w:val="320" w:hRule="atLeast"/>
        </w:trPr>
        <w:tc>
          <w:tcPr>
            <w:tcW w:w="8222" w:type="dxa"/>
            <w:gridSpan w:val="10"/>
            <w:tcBorders>
              <w:bottom w:val="single" w:color="auto" w:sz="4" w:space="0"/>
            </w:tcBorders>
            <w:noWrap/>
            <w:vAlign w:val="bottom"/>
          </w:tcPr>
          <w:p w14:paraId="03CE71DE">
            <w:pPr>
              <w:pStyle w:val="92"/>
              <w:keepNext/>
              <w:keepLines/>
              <w:spacing w:before="340" w:after="330" w:line="578" w:lineRule="auto"/>
              <w:ind w:left="420" w:firstLine="0"/>
            </w:pPr>
          </w:p>
        </w:tc>
      </w:tr>
      <w:tr w14:paraId="284ACFFA">
        <w:tblPrEx>
          <w:tblCellMar>
            <w:top w:w="0" w:type="dxa"/>
            <w:left w:w="108" w:type="dxa"/>
            <w:bottom w:w="0" w:type="dxa"/>
            <w:right w:w="108" w:type="dxa"/>
          </w:tblCellMar>
        </w:tblPrEx>
        <w:trPr>
          <w:trHeight w:val="900" w:hRule="atLeast"/>
        </w:trPr>
        <w:tc>
          <w:tcPr>
            <w:tcW w:w="2025" w:type="dxa"/>
            <w:tcBorders>
              <w:top w:val="single" w:color="auto" w:sz="4" w:space="0"/>
              <w:left w:val="single" w:color="auto" w:sz="4" w:space="0"/>
              <w:bottom w:val="single" w:color="auto" w:sz="4" w:space="0"/>
              <w:right w:val="single" w:color="auto" w:sz="4" w:space="0"/>
            </w:tcBorders>
            <w:vAlign w:val="center"/>
          </w:tcPr>
          <w:p w14:paraId="29BD144F">
            <w:pPr>
              <w:jc w:val="left"/>
              <w:rPr>
                <w:rFonts w:eastAsiaTheme="minorEastAsia"/>
                <w:b/>
                <w:bCs/>
              </w:rPr>
            </w:pPr>
            <w:r>
              <w:rPr>
                <w:rFonts w:hint="eastAsia" w:eastAsiaTheme="minorEastAsia"/>
                <w:b/>
                <w:bCs/>
              </w:rPr>
              <w:t>申报类别</w:t>
            </w:r>
          </w:p>
        </w:tc>
        <w:tc>
          <w:tcPr>
            <w:tcW w:w="6197" w:type="dxa"/>
            <w:gridSpan w:val="9"/>
            <w:tcBorders>
              <w:top w:val="single" w:color="auto" w:sz="4" w:space="0"/>
              <w:left w:val="nil"/>
              <w:bottom w:val="single" w:color="auto" w:sz="4" w:space="0"/>
              <w:right w:val="single" w:color="auto" w:sz="4" w:space="0"/>
            </w:tcBorders>
            <w:vAlign w:val="center"/>
          </w:tcPr>
          <w:p w14:paraId="11D6D981">
            <w:pPr>
              <w:jc w:val="left"/>
              <w:rPr>
                <w:rFonts w:eastAsiaTheme="minorEastAsia"/>
                <w:b/>
                <w:bCs/>
              </w:rPr>
            </w:pPr>
            <w:r>
              <w:rPr>
                <w:rFonts w:hint="eastAsia" w:eastAsia="黑体"/>
                <w:b/>
                <w:bCs/>
              </w:rPr>
              <w:t>法人</w:t>
            </w:r>
            <w:r>
              <w:rPr>
                <w:rFonts w:hint="eastAsia" w:eastAsiaTheme="minorEastAsia"/>
                <w:b/>
                <w:bCs/>
              </w:rPr>
              <w:t>/</w:t>
            </w:r>
            <w:r>
              <w:rPr>
                <w:rFonts w:hint="eastAsia" w:eastAsia="黑体"/>
                <w:b/>
                <w:bCs/>
              </w:rPr>
              <w:t>非法人产品的资产管理人</w:t>
            </w:r>
          </w:p>
          <w:p w14:paraId="452CBDC5">
            <w:pPr>
              <w:jc w:val="left"/>
              <w:rPr>
                <w:rFonts w:eastAsiaTheme="minorEastAsia"/>
                <w:b/>
                <w:bCs/>
              </w:rPr>
            </w:pPr>
            <w:r>
              <w:rPr>
                <w:rFonts w:eastAsia="黑体"/>
              </w:rPr>
              <w:t>Incorporated Entity</w:t>
            </w:r>
            <w:r>
              <w:rPr>
                <w:rFonts w:hint="eastAsia" w:eastAsiaTheme="minorEastAsia"/>
              </w:rPr>
              <w:t>/</w:t>
            </w:r>
            <w:r>
              <w:rPr>
                <w:rFonts w:eastAsia="黑体"/>
              </w:rPr>
              <w:t>Asset Management Company of Unincorporated Fund Products</w:t>
            </w:r>
          </w:p>
        </w:tc>
      </w:tr>
      <w:tr w14:paraId="399E5253">
        <w:tblPrEx>
          <w:tblCellMar>
            <w:top w:w="0" w:type="dxa"/>
            <w:left w:w="108" w:type="dxa"/>
            <w:bottom w:w="0" w:type="dxa"/>
            <w:right w:w="108" w:type="dxa"/>
          </w:tblCellMar>
        </w:tblPrEx>
        <w:trPr>
          <w:trHeight w:val="900" w:hRule="atLeast"/>
        </w:trPr>
        <w:tc>
          <w:tcPr>
            <w:tcW w:w="2025" w:type="dxa"/>
            <w:tcBorders>
              <w:top w:val="single" w:color="auto" w:sz="4" w:space="0"/>
              <w:left w:val="single" w:color="auto" w:sz="4" w:space="0"/>
              <w:bottom w:val="single" w:color="auto" w:sz="4" w:space="0"/>
              <w:right w:val="single" w:color="auto" w:sz="4" w:space="0"/>
            </w:tcBorders>
            <w:vAlign w:val="center"/>
          </w:tcPr>
          <w:p w14:paraId="5E2ACF58">
            <w:pPr>
              <w:jc w:val="left"/>
              <w:rPr>
                <w:rFonts w:eastAsia="黑体"/>
                <w:b/>
                <w:bCs/>
              </w:rPr>
            </w:pPr>
            <w:r>
              <w:rPr>
                <w:rFonts w:hint="eastAsia" w:eastAsia="黑体"/>
                <w:b/>
                <w:bCs/>
              </w:rPr>
              <w:t>机构全称</w:t>
            </w:r>
          </w:p>
          <w:p w14:paraId="1504E009">
            <w:pPr>
              <w:jc w:val="left"/>
              <w:rPr>
                <w:rFonts w:eastAsia="黑体"/>
                <w:bCs/>
              </w:rPr>
            </w:pPr>
            <w:r>
              <w:rPr>
                <w:rFonts w:eastAsia="黑体"/>
              </w:rPr>
              <w:t>Full Name of Applicant Institution</w:t>
            </w:r>
          </w:p>
        </w:tc>
        <w:tc>
          <w:tcPr>
            <w:tcW w:w="6197" w:type="dxa"/>
            <w:gridSpan w:val="9"/>
            <w:tcBorders>
              <w:top w:val="single" w:color="auto" w:sz="4" w:space="0"/>
              <w:left w:val="nil"/>
              <w:bottom w:val="single" w:color="auto" w:sz="4" w:space="0"/>
              <w:right w:val="single" w:color="auto" w:sz="4" w:space="0"/>
            </w:tcBorders>
            <w:vAlign w:val="center"/>
          </w:tcPr>
          <w:p w14:paraId="1A163A4A">
            <w:pPr>
              <w:jc w:val="left"/>
              <w:rPr>
                <w:rFonts w:eastAsia="黑体"/>
                <w:b/>
                <w:bCs/>
              </w:rPr>
            </w:pPr>
          </w:p>
          <w:p w14:paraId="312B9638">
            <w:pPr>
              <w:jc w:val="left"/>
              <w:rPr>
                <w:rFonts w:eastAsia="黑体"/>
                <w:bCs/>
              </w:rPr>
            </w:pPr>
          </w:p>
        </w:tc>
      </w:tr>
      <w:tr w14:paraId="198BE698">
        <w:tblPrEx>
          <w:tblCellMar>
            <w:top w:w="0" w:type="dxa"/>
            <w:left w:w="108" w:type="dxa"/>
            <w:bottom w:w="0" w:type="dxa"/>
            <w:right w:w="108" w:type="dxa"/>
          </w:tblCellMar>
        </w:tblPrEx>
        <w:trPr>
          <w:trHeight w:val="600" w:hRule="atLeast"/>
        </w:trPr>
        <w:tc>
          <w:tcPr>
            <w:tcW w:w="2025" w:type="dxa"/>
            <w:tcBorders>
              <w:top w:val="nil"/>
              <w:left w:val="single" w:color="auto" w:sz="4" w:space="0"/>
              <w:bottom w:val="single" w:color="auto" w:sz="4" w:space="0"/>
              <w:right w:val="single" w:color="auto" w:sz="4" w:space="0"/>
            </w:tcBorders>
            <w:vAlign w:val="center"/>
          </w:tcPr>
          <w:p w14:paraId="422BE08C">
            <w:pPr>
              <w:jc w:val="left"/>
              <w:rPr>
                <w:rFonts w:eastAsia="黑体"/>
                <w:b/>
                <w:bCs/>
              </w:rPr>
            </w:pPr>
            <w:r>
              <w:rPr>
                <w:rFonts w:hint="eastAsia" w:eastAsia="黑体"/>
                <w:b/>
                <w:bCs/>
              </w:rPr>
              <w:t>机构类别</w:t>
            </w:r>
          </w:p>
          <w:p w14:paraId="12450F63">
            <w:pPr>
              <w:jc w:val="left"/>
              <w:rPr>
                <w:rFonts w:eastAsia="黑体"/>
                <w:bCs/>
              </w:rPr>
            </w:pPr>
            <w:r>
              <w:rPr>
                <w:rFonts w:eastAsia="黑体"/>
              </w:rPr>
              <w:t>Type of Institution</w:t>
            </w:r>
          </w:p>
        </w:tc>
        <w:tc>
          <w:tcPr>
            <w:tcW w:w="6197" w:type="dxa"/>
            <w:gridSpan w:val="9"/>
            <w:tcBorders>
              <w:top w:val="single" w:color="auto" w:sz="4" w:space="0"/>
              <w:left w:val="nil"/>
              <w:bottom w:val="single" w:color="auto" w:sz="4" w:space="0"/>
              <w:right w:val="single" w:color="auto" w:sz="4" w:space="0"/>
            </w:tcBorders>
            <w:vAlign w:val="center"/>
          </w:tcPr>
          <w:p w14:paraId="7EF5BB6A">
            <w:pPr>
              <w:jc w:val="left"/>
              <w:rPr>
                <w:rFonts w:eastAsiaTheme="minorEastAsia"/>
                <w:bCs/>
              </w:rPr>
            </w:pPr>
            <w:r>
              <w:rPr>
                <w:rFonts w:hint="eastAsia" w:eastAsia="黑体"/>
                <w:bCs/>
              </w:rPr>
              <w:t>□</w:t>
            </w:r>
            <w:r>
              <w:rPr>
                <w:rFonts w:hint="eastAsia" w:eastAsiaTheme="minorEastAsia"/>
                <w:bCs/>
              </w:rPr>
              <w:t>主权机构 Sovereign fund</w:t>
            </w:r>
          </w:p>
          <w:p w14:paraId="27C16604">
            <w:pPr>
              <w:jc w:val="left"/>
              <w:rPr>
                <w:rFonts w:eastAsiaTheme="minorEastAsia"/>
                <w:bCs/>
              </w:rPr>
            </w:pPr>
            <w:r>
              <w:rPr>
                <w:rFonts w:hint="eastAsia" w:eastAsia="黑体"/>
                <w:bCs/>
              </w:rPr>
              <w:t>□商业银行</w:t>
            </w:r>
            <w:r>
              <w:rPr>
                <w:rFonts w:hint="eastAsia" w:eastAsiaTheme="minorEastAsia"/>
                <w:bCs/>
              </w:rPr>
              <w:t xml:space="preserve"> </w:t>
            </w:r>
            <w:r>
              <w:rPr>
                <w:rFonts w:eastAsia="黑体"/>
                <w:bCs/>
              </w:rPr>
              <w:t>Commercial bank</w:t>
            </w:r>
          </w:p>
          <w:p w14:paraId="4376E806">
            <w:pPr>
              <w:jc w:val="left"/>
              <w:rPr>
                <w:rFonts w:eastAsiaTheme="minorEastAsia"/>
                <w:bCs/>
              </w:rPr>
            </w:pPr>
            <w:r>
              <w:rPr>
                <w:rFonts w:hint="eastAsia" w:eastAsia="黑体"/>
                <w:bCs/>
              </w:rPr>
              <w:t>□保险公司</w:t>
            </w:r>
            <w:r>
              <w:rPr>
                <w:rFonts w:hint="eastAsia" w:eastAsiaTheme="minorEastAsia"/>
                <w:bCs/>
              </w:rPr>
              <w:t xml:space="preserve"> </w:t>
            </w:r>
            <w:r>
              <w:rPr>
                <w:rFonts w:eastAsia="黑体"/>
                <w:bCs/>
              </w:rPr>
              <w:t>Insurance company</w:t>
            </w:r>
          </w:p>
          <w:p w14:paraId="5A788224">
            <w:pPr>
              <w:jc w:val="left"/>
              <w:rPr>
                <w:rFonts w:eastAsiaTheme="minorEastAsia"/>
                <w:bCs/>
              </w:rPr>
            </w:pPr>
            <w:r>
              <w:rPr>
                <w:rFonts w:hint="eastAsia" w:eastAsia="黑体"/>
                <w:bCs/>
              </w:rPr>
              <w:t>□证券公司</w:t>
            </w:r>
            <w:r>
              <w:rPr>
                <w:rFonts w:hint="eastAsia" w:eastAsiaTheme="minorEastAsia"/>
                <w:bCs/>
              </w:rPr>
              <w:t xml:space="preserve"> </w:t>
            </w:r>
            <w:r>
              <w:rPr>
                <w:rFonts w:eastAsia="黑体"/>
                <w:bCs/>
              </w:rPr>
              <w:t>Securities company</w:t>
            </w:r>
          </w:p>
          <w:p w14:paraId="6A92B64B">
            <w:pPr>
              <w:jc w:val="left"/>
              <w:rPr>
                <w:rFonts w:eastAsiaTheme="minorEastAsia"/>
                <w:bCs/>
              </w:rPr>
            </w:pPr>
            <w:r>
              <w:rPr>
                <w:rFonts w:hint="eastAsia" w:eastAsia="黑体"/>
                <w:bCs/>
              </w:rPr>
              <w:t>□基金管理</w:t>
            </w:r>
            <w:r>
              <w:rPr>
                <w:rFonts w:hint="eastAsia" w:eastAsiaTheme="minorEastAsia"/>
                <w:bCs/>
              </w:rPr>
              <w:t xml:space="preserve">公司 </w:t>
            </w:r>
            <w:r>
              <w:rPr>
                <w:rFonts w:eastAsia="黑体"/>
                <w:bCs/>
              </w:rPr>
              <w:t xml:space="preserve">Fund management </w:t>
            </w:r>
            <w:r>
              <w:rPr>
                <w:rFonts w:hint="eastAsia" w:eastAsiaTheme="minorEastAsia"/>
                <w:bCs/>
              </w:rPr>
              <w:t>company</w:t>
            </w:r>
          </w:p>
          <w:p w14:paraId="2C21410C">
            <w:pPr>
              <w:jc w:val="left"/>
              <w:rPr>
                <w:rFonts w:eastAsiaTheme="minorEastAsia"/>
                <w:bCs/>
              </w:rPr>
            </w:pPr>
            <w:r>
              <w:rPr>
                <w:rFonts w:hint="eastAsia" w:eastAsia="黑体"/>
                <w:bCs/>
              </w:rPr>
              <w:t>□</w:t>
            </w:r>
            <w:r>
              <w:rPr>
                <w:rFonts w:hint="eastAsia" w:eastAsiaTheme="minorEastAsia"/>
                <w:bCs/>
              </w:rPr>
              <w:t>期货公司 Futures company</w:t>
            </w:r>
          </w:p>
          <w:p w14:paraId="72AA5134">
            <w:pPr>
              <w:jc w:val="left"/>
              <w:rPr>
                <w:rFonts w:eastAsiaTheme="minorEastAsia"/>
                <w:bCs/>
              </w:rPr>
            </w:pPr>
            <w:r>
              <w:rPr>
                <w:rFonts w:hint="eastAsia" w:eastAsia="黑体"/>
                <w:bCs/>
              </w:rPr>
              <w:t>□</w:t>
            </w:r>
            <w:r>
              <w:rPr>
                <w:rFonts w:hint="eastAsia" w:eastAsiaTheme="minorEastAsia"/>
                <w:bCs/>
              </w:rPr>
              <w:t>信托公司 Trust company</w:t>
            </w:r>
          </w:p>
          <w:p w14:paraId="2B41E31E">
            <w:pPr>
              <w:jc w:val="left"/>
              <w:rPr>
                <w:rFonts w:eastAsiaTheme="minorEastAsia"/>
                <w:bCs/>
              </w:rPr>
            </w:pPr>
            <w:r>
              <w:rPr>
                <w:rFonts w:hint="eastAsia" w:eastAsia="黑体"/>
                <w:bCs/>
              </w:rPr>
              <w:t>□</w:t>
            </w:r>
            <w:r>
              <w:rPr>
                <w:rFonts w:hint="eastAsia" w:eastAsiaTheme="minorEastAsia"/>
                <w:bCs/>
              </w:rPr>
              <w:t>养老基金 Pension fund</w:t>
            </w:r>
          </w:p>
          <w:p w14:paraId="25EDAA92">
            <w:pPr>
              <w:jc w:val="left"/>
              <w:rPr>
                <w:rFonts w:eastAsiaTheme="minorEastAsia"/>
                <w:bCs/>
              </w:rPr>
            </w:pPr>
            <w:r>
              <w:rPr>
                <w:rFonts w:hint="eastAsia" w:eastAsia="黑体"/>
                <w:bCs/>
              </w:rPr>
              <w:t>□</w:t>
            </w:r>
            <w:r>
              <w:rPr>
                <w:rFonts w:hint="eastAsia" w:eastAsiaTheme="minorEastAsia"/>
                <w:bCs/>
              </w:rPr>
              <w:t>慈善基金 Charitable fundation</w:t>
            </w:r>
          </w:p>
          <w:p w14:paraId="7D1D4A82">
            <w:pPr>
              <w:jc w:val="left"/>
              <w:rPr>
                <w:rFonts w:eastAsiaTheme="minorEastAsia"/>
                <w:bCs/>
              </w:rPr>
            </w:pPr>
            <w:r>
              <w:rPr>
                <w:rFonts w:hint="eastAsia" w:eastAsia="黑体"/>
                <w:bCs/>
              </w:rPr>
              <w:t>□</w:t>
            </w:r>
            <w:r>
              <w:rPr>
                <w:rFonts w:hint="eastAsia" w:eastAsiaTheme="minorEastAsia"/>
                <w:bCs/>
              </w:rPr>
              <w:t>捐赠基金 Endowment fund</w:t>
            </w:r>
          </w:p>
          <w:p w14:paraId="547DB694">
            <w:pPr>
              <w:jc w:val="left"/>
              <w:rPr>
                <w:rFonts w:eastAsiaTheme="minorEastAsia"/>
                <w:bCs/>
              </w:rPr>
            </w:pPr>
            <w:r>
              <w:rPr>
                <w:rFonts w:hint="eastAsia" w:eastAsia="黑体"/>
                <w:bCs/>
              </w:rPr>
              <w:t>□其他机构（请说明）</w:t>
            </w:r>
            <w:r>
              <w:rPr>
                <w:rFonts w:hint="eastAsia" w:eastAsiaTheme="minorEastAsia"/>
                <w:bCs/>
              </w:rPr>
              <w:t xml:space="preserve"> </w:t>
            </w:r>
            <w:r>
              <w:rPr>
                <w:rFonts w:eastAsia="黑体"/>
                <w:bCs/>
              </w:rPr>
              <w:t>Other</w:t>
            </w:r>
            <w:r>
              <w:rPr>
                <w:rFonts w:hint="eastAsia" w:eastAsia="黑体"/>
                <w:bCs/>
              </w:rPr>
              <w:t>（</w:t>
            </w:r>
            <w:r>
              <w:rPr>
                <w:rFonts w:eastAsia="黑体"/>
                <w:bCs/>
              </w:rPr>
              <w:t>please specify</w:t>
            </w:r>
            <w:r>
              <w:rPr>
                <w:rFonts w:hint="eastAsia" w:eastAsiaTheme="minorEastAsia"/>
                <w:bCs/>
              </w:rPr>
              <w:t>）</w:t>
            </w:r>
          </w:p>
        </w:tc>
      </w:tr>
      <w:tr w14:paraId="50355302">
        <w:tblPrEx>
          <w:tblCellMar>
            <w:top w:w="0" w:type="dxa"/>
            <w:left w:w="108" w:type="dxa"/>
            <w:bottom w:w="0" w:type="dxa"/>
            <w:right w:w="108" w:type="dxa"/>
          </w:tblCellMar>
        </w:tblPrEx>
        <w:trPr>
          <w:trHeight w:val="620" w:hRule="atLeast"/>
        </w:trPr>
        <w:tc>
          <w:tcPr>
            <w:tcW w:w="2025" w:type="dxa"/>
            <w:tcBorders>
              <w:top w:val="nil"/>
              <w:left w:val="single" w:color="auto" w:sz="4" w:space="0"/>
              <w:bottom w:val="single" w:color="auto" w:sz="4" w:space="0"/>
              <w:right w:val="single" w:color="auto" w:sz="4" w:space="0"/>
            </w:tcBorders>
            <w:vAlign w:val="center"/>
          </w:tcPr>
          <w:p w14:paraId="57B1EB08">
            <w:pPr>
              <w:jc w:val="left"/>
              <w:rPr>
                <w:rFonts w:eastAsiaTheme="minorEastAsia"/>
                <w:b/>
                <w:bCs/>
              </w:rPr>
            </w:pPr>
            <w:r>
              <w:rPr>
                <w:rFonts w:hint="eastAsia" w:eastAsiaTheme="minorEastAsia"/>
                <w:b/>
                <w:bCs/>
              </w:rPr>
              <w:t>所在国家/地区</w:t>
            </w:r>
          </w:p>
          <w:p w14:paraId="5D4922C1">
            <w:pPr>
              <w:jc w:val="left"/>
              <w:rPr>
                <w:rFonts w:eastAsiaTheme="minorEastAsia"/>
                <w:bCs/>
              </w:rPr>
            </w:pPr>
            <w:r>
              <w:rPr>
                <w:rFonts w:eastAsiaTheme="minorEastAsia"/>
                <w:bCs/>
              </w:rPr>
              <w:t>Country/Region</w:t>
            </w:r>
          </w:p>
        </w:tc>
        <w:tc>
          <w:tcPr>
            <w:tcW w:w="6197" w:type="dxa"/>
            <w:gridSpan w:val="9"/>
            <w:tcBorders>
              <w:top w:val="single" w:color="auto" w:sz="4" w:space="0"/>
              <w:left w:val="nil"/>
              <w:bottom w:val="single" w:color="auto" w:sz="4" w:space="0"/>
              <w:right w:val="single" w:color="auto" w:sz="4" w:space="0"/>
            </w:tcBorders>
            <w:vAlign w:val="center"/>
          </w:tcPr>
          <w:p w14:paraId="437FA21D">
            <w:pPr>
              <w:ind w:left="210" w:hanging="210" w:hangingChars="100"/>
              <w:jc w:val="left"/>
              <w:rPr>
                <w:rFonts w:eastAsiaTheme="minorEastAsia"/>
                <w:bCs/>
              </w:rPr>
            </w:pPr>
          </w:p>
        </w:tc>
      </w:tr>
      <w:tr w14:paraId="75E05193">
        <w:tblPrEx>
          <w:tblCellMar>
            <w:top w:w="0" w:type="dxa"/>
            <w:left w:w="108" w:type="dxa"/>
            <w:bottom w:w="0" w:type="dxa"/>
            <w:right w:w="108" w:type="dxa"/>
          </w:tblCellMar>
        </w:tblPrEx>
        <w:trPr>
          <w:trHeight w:val="620" w:hRule="atLeast"/>
        </w:trPr>
        <w:tc>
          <w:tcPr>
            <w:tcW w:w="2025" w:type="dxa"/>
            <w:tcBorders>
              <w:top w:val="nil"/>
              <w:left w:val="single" w:color="auto" w:sz="4" w:space="0"/>
              <w:bottom w:val="single" w:color="auto" w:sz="4" w:space="0"/>
              <w:right w:val="single" w:color="auto" w:sz="4" w:space="0"/>
            </w:tcBorders>
            <w:vAlign w:val="center"/>
          </w:tcPr>
          <w:p w14:paraId="637FF0DF">
            <w:pPr>
              <w:jc w:val="left"/>
              <w:rPr>
                <w:rFonts w:eastAsiaTheme="minorEastAsia"/>
                <w:b/>
                <w:bCs/>
              </w:rPr>
            </w:pPr>
            <w:r>
              <w:rPr>
                <w:rFonts w:hint="eastAsia" w:eastAsiaTheme="minorEastAsia"/>
                <w:b/>
                <w:bCs/>
              </w:rPr>
              <w:t>证券帐户</w:t>
            </w:r>
          </w:p>
          <w:p w14:paraId="0D9B4E72">
            <w:pPr>
              <w:jc w:val="left"/>
              <w:rPr>
                <w:rFonts w:eastAsiaTheme="minorEastAsia"/>
                <w:bCs/>
              </w:rPr>
            </w:pPr>
            <w:r>
              <w:rPr>
                <w:rFonts w:hint="eastAsia" w:eastAsiaTheme="minorEastAsia"/>
                <w:bCs/>
              </w:rPr>
              <w:t>Security Account（s）</w:t>
            </w:r>
          </w:p>
        </w:tc>
        <w:tc>
          <w:tcPr>
            <w:tcW w:w="6197" w:type="dxa"/>
            <w:gridSpan w:val="9"/>
            <w:tcBorders>
              <w:top w:val="single" w:color="auto" w:sz="4" w:space="0"/>
              <w:left w:val="nil"/>
              <w:bottom w:val="single" w:color="auto" w:sz="4" w:space="0"/>
              <w:right w:val="single" w:color="auto" w:sz="4" w:space="0"/>
            </w:tcBorders>
            <w:vAlign w:val="center"/>
          </w:tcPr>
          <w:p w14:paraId="749F95C6">
            <w:pPr>
              <w:ind w:left="210" w:hanging="210" w:hangingChars="100"/>
              <w:jc w:val="left"/>
              <w:rPr>
                <w:rFonts w:eastAsiaTheme="minorEastAsia"/>
                <w:bCs/>
              </w:rPr>
            </w:pPr>
            <w:r>
              <w:rPr>
                <w:rFonts w:hint="eastAsia" w:eastAsiaTheme="minorEastAsia"/>
                <w:bCs/>
              </w:rPr>
              <w:t>（可填多项）</w:t>
            </w:r>
          </w:p>
          <w:p w14:paraId="5F7B0FBB">
            <w:pPr>
              <w:ind w:left="210" w:leftChars="50" w:hanging="105" w:hangingChars="50"/>
              <w:jc w:val="left"/>
              <w:rPr>
                <w:rFonts w:eastAsiaTheme="minorEastAsia"/>
                <w:bCs/>
              </w:rPr>
            </w:pPr>
          </w:p>
        </w:tc>
      </w:tr>
      <w:tr w14:paraId="4FE89943">
        <w:tblPrEx>
          <w:tblCellMar>
            <w:top w:w="0" w:type="dxa"/>
            <w:left w:w="108" w:type="dxa"/>
            <w:bottom w:w="0" w:type="dxa"/>
            <w:right w:w="108" w:type="dxa"/>
          </w:tblCellMar>
        </w:tblPrEx>
        <w:trPr>
          <w:trHeight w:val="620" w:hRule="atLeast"/>
        </w:trPr>
        <w:tc>
          <w:tcPr>
            <w:tcW w:w="2025" w:type="dxa"/>
            <w:tcBorders>
              <w:top w:val="nil"/>
              <w:left w:val="single" w:color="auto" w:sz="4" w:space="0"/>
              <w:bottom w:val="single" w:color="auto" w:sz="4" w:space="0"/>
              <w:right w:val="single" w:color="auto" w:sz="4" w:space="0"/>
            </w:tcBorders>
            <w:vAlign w:val="center"/>
          </w:tcPr>
          <w:p w14:paraId="065B5372">
            <w:pPr>
              <w:jc w:val="left"/>
              <w:rPr>
                <w:rFonts w:eastAsiaTheme="minorEastAsia"/>
                <w:b/>
                <w:bCs/>
              </w:rPr>
            </w:pPr>
            <w:r>
              <w:rPr>
                <w:rFonts w:hint="eastAsia" w:eastAsiaTheme="minorEastAsia"/>
                <w:b/>
                <w:bCs/>
              </w:rPr>
              <w:t>账户名称</w:t>
            </w:r>
          </w:p>
          <w:p w14:paraId="283D1EA5">
            <w:pPr>
              <w:jc w:val="left"/>
              <w:rPr>
                <w:rFonts w:eastAsiaTheme="minorEastAsia"/>
                <w:b/>
                <w:bCs/>
              </w:rPr>
            </w:pPr>
            <w:r>
              <w:rPr>
                <w:rFonts w:hint="eastAsia" w:eastAsiaTheme="minorEastAsia"/>
                <w:bCs/>
              </w:rPr>
              <w:t>Account Name（s）</w:t>
            </w:r>
          </w:p>
        </w:tc>
        <w:tc>
          <w:tcPr>
            <w:tcW w:w="6197" w:type="dxa"/>
            <w:gridSpan w:val="9"/>
            <w:tcBorders>
              <w:top w:val="single" w:color="auto" w:sz="4" w:space="0"/>
              <w:left w:val="nil"/>
              <w:bottom w:val="single" w:color="auto" w:sz="4" w:space="0"/>
              <w:right w:val="single" w:color="auto" w:sz="4" w:space="0"/>
            </w:tcBorders>
            <w:vAlign w:val="center"/>
          </w:tcPr>
          <w:p w14:paraId="516B39E7">
            <w:pPr>
              <w:ind w:left="210" w:hanging="210" w:hangingChars="100"/>
              <w:jc w:val="left"/>
              <w:rPr>
                <w:rFonts w:eastAsiaTheme="minorEastAsia"/>
                <w:bCs/>
              </w:rPr>
            </w:pPr>
            <w:r>
              <w:rPr>
                <w:rFonts w:hint="eastAsia" w:eastAsiaTheme="minorEastAsia"/>
                <w:bCs/>
              </w:rPr>
              <w:t>（可填多项）</w:t>
            </w:r>
          </w:p>
          <w:p w14:paraId="081D8CDF">
            <w:pPr>
              <w:ind w:left="210" w:leftChars="50" w:hanging="105" w:hangingChars="50"/>
              <w:jc w:val="left"/>
              <w:rPr>
                <w:rFonts w:eastAsia="黑体"/>
                <w:bCs/>
              </w:rPr>
            </w:pPr>
          </w:p>
        </w:tc>
      </w:tr>
      <w:tr w14:paraId="2DCD98B6">
        <w:tblPrEx>
          <w:tblCellMar>
            <w:top w:w="0" w:type="dxa"/>
            <w:left w:w="108" w:type="dxa"/>
            <w:bottom w:w="0" w:type="dxa"/>
            <w:right w:w="108" w:type="dxa"/>
          </w:tblCellMar>
        </w:tblPrEx>
        <w:trPr>
          <w:trHeight w:val="620" w:hRule="atLeast"/>
        </w:trPr>
        <w:tc>
          <w:tcPr>
            <w:tcW w:w="2025" w:type="dxa"/>
            <w:vMerge w:val="restart"/>
            <w:tcBorders>
              <w:top w:val="nil"/>
              <w:left w:val="single" w:color="auto" w:sz="4" w:space="0"/>
              <w:bottom w:val="single" w:color="auto" w:sz="4" w:space="0"/>
              <w:right w:val="single" w:color="auto" w:sz="4" w:space="0"/>
            </w:tcBorders>
            <w:vAlign w:val="center"/>
          </w:tcPr>
          <w:p w14:paraId="27C6486D">
            <w:pPr>
              <w:jc w:val="left"/>
              <w:rPr>
                <w:rFonts w:eastAsiaTheme="minorEastAsia"/>
                <w:bCs/>
              </w:rPr>
            </w:pPr>
            <w:r>
              <w:rPr>
                <w:rFonts w:hint="eastAsia" w:eastAsiaTheme="minorEastAsia"/>
                <w:b/>
                <w:bCs/>
              </w:rPr>
              <w:t>报送</w:t>
            </w:r>
            <w:r>
              <w:rPr>
                <w:rFonts w:hint="eastAsia" w:eastAsia="黑体"/>
                <w:b/>
                <w:bCs/>
              </w:rPr>
              <w:t>内容</w:t>
            </w:r>
          </w:p>
          <w:p w14:paraId="71114D08">
            <w:pPr>
              <w:jc w:val="left"/>
              <w:rPr>
                <w:rFonts w:eastAsia="黑体"/>
                <w:b/>
                <w:bCs/>
              </w:rPr>
            </w:pPr>
            <w:r>
              <w:rPr>
                <w:rFonts w:eastAsia="黑体"/>
                <w:bCs/>
              </w:rPr>
              <w:t>Contents</w:t>
            </w:r>
          </w:p>
        </w:tc>
        <w:tc>
          <w:tcPr>
            <w:tcW w:w="6197" w:type="dxa"/>
            <w:gridSpan w:val="9"/>
            <w:tcBorders>
              <w:top w:val="single" w:color="auto" w:sz="4" w:space="0"/>
              <w:left w:val="nil"/>
              <w:bottom w:val="single" w:color="auto" w:sz="4" w:space="0"/>
              <w:right w:val="single" w:color="auto" w:sz="4" w:space="0"/>
            </w:tcBorders>
            <w:vAlign w:val="center"/>
          </w:tcPr>
          <w:p w14:paraId="16135E9F">
            <w:pPr>
              <w:ind w:left="210" w:hanging="210" w:hangingChars="100"/>
              <w:jc w:val="left"/>
              <w:rPr>
                <w:rFonts w:eastAsia="黑体"/>
              </w:rPr>
            </w:pPr>
            <w:r>
              <w:rPr>
                <w:rFonts w:hint="eastAsia" w:eastAsia="黑体"/>
                <w:bCs/>
              </w:rPr>
              <w:t>□</w:t>
            </w:r>
            <w:r>
              <w:rPr>
                <w:rFonts w:hint="eastAsia" w:eastAsiaTheme="minorEastAsia"/>
                <w:bCs/>
              </w:rPr>
              <w:t>初始报送</w:t>
            </w:r>
            <w:r>
              <w:rPr>
                <w:rFonts w:hint="eastAsia" w:eastAsiaTheme="minorEastAsia"/>
              </w:rPr>
              <w:t xml:space="preserve"> </w:t>
            </w:r>
            <w:r>
              <w:rPr>
                <w:rFonts w:eastAsiaTheme="minorEastAsia"/>
              </w:rPr>
              <w:t>Initial</w:t>
            </w:r>
            <w:r>
              <w:rPr>
                <w:rFonts w:hint="eastAsia" w:eastAsiaTheme="minorEastAsia"/>
              </w:rPr>
              <w:t xml:space="preserve"> registration</w:t>
            </w:r>
            <w:r>
              <w:rPr>
                <w:rFonts w:eastAsia="黑体"/>
              </w:rPr>
              <w:t xml:space="preserve">              </w:t>
            </w:r>
          </w:p>
          <w:p w14:paraId="70FD0F66">
            <w:pPr>
              <w:ind w:left="210" w:hanging="210" w:hangingChars="100"/>
              <w:jc w:val="left"/>
              <w:rPr>
                <w:rFonts w:eastAsia="黑体"/>
                <w:bCs/>
              </w:rPr>
            </w:pPr>
            <w:r>
              <w:rPr>
                <w:rFonts w:hint="eastAsia" w:eastAsia="黑体"/>
              </w:rPr>
              <w:t>□</w:t>
            </w:r>
            <w:r>
              <w:rPr>
                <w:rFonts w:hint="eastAsia" w:eastAsiaTheme="minorEastAsia"/>
              </w:rPr>
              <w:t>信息变更</w:t>
            </w:r>
            <w:r>
              <w:rPr>
                <w:rFonts w:eastAsia="黑体"/>
              </w:rPr>
              <w:t xml:space="preserve"> </w:t>
            </w:r>
            <w:r>
              <w:rPr>
                <w:rFonts w:hint="eastAsia" w:eastAsiaTheme="minorEastAsia"/>
              </w:rPr>
              <w:t>Information u</w:t>
            </w:r>
            <w:r>
              <w:rPr>
                <w:rFonts w:eastAsia="黑体"/>
              </w:rPr>
              <w:t>pdate</w:t>
            </w:r>
          </w:p>
        </w:tc>
      </w:tr>
      <w:tr w14:paraId="1865F210">
        <w:tblPrEx>
          <w:tblCellMar>
            <w:top w:w="0" w:type="dxa"/>
            <w:left w:w="108" w:type="dxa"/>
            <w:bottom w:w="0" w:type="dxa"/>
            <w:right w:w="108" w:type="dxa"/>
          </w:tblCellMar>
        </w:tblPrEx>
        <w:trPr>
          <w:trHeight w:val="310" w:hRule="atLeast"/>
        </w:trPr>
        <w:tc>
          <w:tcPr>
            <w:tcW w:w="2025" w:type="dxa"/>
            <w:vMerge w:val="continue"/>
            <w:tcBorders>
              <w:top w:val="nil"/>
              <w:left w:val="single" w:color="auto" w:sz="4" w:space="0"/>
              <w:bottom w:val="single" w:color="auto" w:sz="4" w:space="0"/>
              <w:right w:val="single" w:color="auto" w:sz="4" w:space="0"/>
            </w:tcBorders>
            <w:vAlign w:val="center"/>
          </w:tcPr>
          <w:p w14:paraId="1E1F8F89">
            <w:pPr>
              <w:jc w:val="left"/>
              <w:rPr>
                <w:rFonts w:eastAsia="黑体"/>
                <w:b/>
                <w:bCs/>
              </w:rPr>
            </w:pPr>
          </w:p>
        </w:tc>
        <w:tc>
          <w:tcPr>
            <w:tcW w:w="6197" w:type="dxa"/>
            <w:gridSpan w:val="9"/>
            <w:tcBorders>
              <w:top w:val="single" w:color="auto" w:sz="4" w:space="0"/>
              <w:left w:val="nil"/>
              <w:bottom w:val="single" w:color="auto" w:sz="4" w:space="0"/>
              <w:right w:val="single" w:color="auto" w:sz="4" w:space="0"/>
            </w:tcBorders>
            <w:vAlign w:val="center"/>
          </w:tcPr>
          <w:p w14:paraId="6D5428A9">
            <w:pPr>
              <w:ind w:left="211" w:hanging="211" w:hangingChars="100"/>
              <w:jc w:val="left"/>
              <w:rPr>
                <w:rFonts w:eastAsiaTheme="minorEastAsia"/>
                <w:b/>
                <w:bCs/>
              </w:rPr>
            </w:pPr>
            <w:r>
              <w:rPr>
                <w:rFonts w:hint="eastAsia" w:eastAsia="黑体"/>
                <w:b/>
                <w:bCs/>
              </w:rPr>
              <w:t>变更事项</w:t>
            </w:r>
            <w:r>
              <w:rPr>
                <w:rFonts w:hint="eastAsia" w:eastAsiaTheme="minorEastAsia"/>
                <w:b/>
                <w:bCs/>
              </w:rPr>
              <w:t xml:space="preserve">                （</w:t>
            </w:r>
            <w:r>
              <w:rPr>
                <w:rFonts w:hint="eastAsia" w:eastAsia="黑体"/>
                <w:b/>
                <w:bCs/>
              </w:rPr>
              <w:t>可添加多项</w:t>
            </w:r>
            <w:r>
              <w:rPr>
                <w:rFonts w:hint="eastAsia" w:eastAsiaTheme="minorEastAsia"/>
                <w:b/>
                <w:bCs/>
              </w:rPr>
              <w:t>）</w:t>
            </w:r>
          </w:p>
          <w:p w14:paraId="43842036">
            <w:pPr>
              <w:ind w:left="210" w:hanging="210" w:hangingChars="100"/>
              <w:jc w:val="left"/>
              <w:rPr>
                <w:rFonts w:eastAsiaTheme="minorEastAsia"/>
                <w:bCs/>
              </w:rPr>
            </w:pPr>
            <w:r>
              <w:rPr>
                <w:rFonts w:eastAsia="黑体"/>
              </w:rPr>
              <w:t>Update Item</w:t>
            </w:r>
            <w:r>
              <w:rPr>
                <w:rFonts w:hint="eastAsia" w:eastAsiaTheme="minorEastAsia"/>
              </w:rPr>
              <w:t>（</w:t>
            </w:r>
            <w:r>
              <w:rPr>
                <w:rFonts w:eastAsia="黑体"/>
              </w:rPr>
              <w:t>s</w:t>
            </w:r>
            <w:r>
              <w:rPr>
                <w:rFonts w:hint="eastAsia" w:eastAsiaTheme="minorEastAsia"/>
              </w:rPr>
              <w:t>）</w:t>
            </w:r>
            <w:r>
              <w:rPr>
                <w:rFonts w:eastAsia="黑体"/>
              </w:rPr>
              <w:t xml:space="preserve">: </w:t>
            </w:r>
            <w:r>
              <w:rPr>
                <w:rFonts w:hint="eastAsia" w:eastAsiaTheme="minorEastAsia"/>
              </w:rPr>
              <w:t xml:space="preserve">             </w:t>
            </w:r>
          </w:p>
        </w:tc>
      </w:tr>
      <w:tr w14:paraId="3178F6F4">
        <w:tblPrEx>
          <w:tblCellMar>
            <w:top w:w="0" w:type="dxa"/>
            <w:left w:w="108" w:type="dxa"/>
            <w:bottom w:w="0" w:type="dxa"/>
            <w:right w:w="108" w:type="dxa"/>
          </w:tblCellMar>
        </w:tblPrEx>
        <w:trPr>
          <w:trHeight w:val="600" w:hRule="atLeast"/>
        </w:trPr>
        <w:tc>
          <w:tcPr>
            <w:tcW w:w="2025" w:type="dxa"/>
            <w:vMerge w:val="restart"/>
            <w:tcBorders>
              <w:top w:val="nil"/>
              <w:left w:val="single" w:color="auto" w:sz="4" w:space="0"/>
              <w:bottom w:val="single" w:color="000000" w:sz="4" w:space="0"/>
              <w:right w:val="single" w:color="auto" w:sz="4" w:space="0"/>
            </w:tcBorders>
            <w:vAlign w:val="center"/>
          </w:tcPr>
          <w:p w14:paraId="6951B9DE">
            <w:pPr>
              <w:jc w:val="left"/>
              <w:rPr>
                <w:rFonts w:eastAsiaTheme="minorEastAsia"/>
                <w:b/>
                <w:bCs/>
              </w:rPr>
            </w:pPr>
            <w:r>
              <w:rPr>
                <w:rFonts w:hint="eastAsia" w:eastAsia="黑体"/>
                <w:b/>
                <w:bCs/>
              </w:rPr>
              <w:t>法人</w:t>
            </w:r>
            <w:r>
              <w:rPr>
                <w:rFonts w:eastAsia="黑体"/>
                <w:b/>
                <w:bCs/>
              </w:rPr>
              <w:t>/</w:t>
            </w:r>
            <w:r>
              <w:rPr>
                <w:rFonts w:hint="eastAsia" w:eastAsia="黑体"/>
                <w:b/>
                <w:bCs/>
              </w:rPr>
              <w:t>管理人</w:t>
            </w:r>
          </w:p>
          <w:p w14:paraId="67B543E2">
            <w:pPr>
              <w:jc w:val="left"/>
              <w:rPr>
                <w:rFonts w:eastAsia="黑体"/>
                <w:b/>
                <w:bCs/>
              </w:rPr>
            </w:pPr>
            <w:r>
              <w:rPr>
                <w:rFonts w:hint="eastAsia" w:eastAsia="黑体"/>
                <w:b/>
                <w:bCs/>
              </w:rPr>
              <w:t>等联系方式</w:t>
            </w:r>
          </w:p>
          <w:p w14:paraId="04C8D1D7">
            <w:pPr>
              <w:jc w:val="left"/>
              <w:rPr>
                <w:rFonts w:eastAsia="黑体"/>
                <w:bCs/>
              </w:rPr>
            </w:pPr>
            <w:r>
              <w:rPr>
                <w:rFonts w:eastAsia="黑体"/>
                <w:bCs/>
              </w:rPr>
              <w:t>Contact of Incorporated Entity / Asset Management Company</w:t>
            </w:r>
          </w:p>
        </w:tc>
        <w:tc>
          <w:tcPr>
            <w:tcW w:w="1311" w:type="dxa"/>
            <w:tcBorders>
              <w:top w:val="nil"/>
              <w:left w:val="nil"/>
              <w:bottom w:val="single" w:color="auto" w:sz="4" w:space="0"/>
              <w:right w:val="single" w:color="auto" w:sz="4" w:space="0"/>
            </w:tcBorders>
            <w:vAlign w:val="center"/>
          </w:tcPr>
          <w:p w14:paraId="1212A15C">
            <w:pPr>
              <w:jc w:val="left"/>
              <w:rPr>
                <w:rFonts w:eastAsia="黑体"/>
                <w:b/>
                <w:bCs/>
              </w:rPr>
            </w:pPr>
            <w:r>
              <w:rPr>
                <w:rFonts w:hint="eastAsia" w:eastAsia="黑体"/>
                <w:b/>
                <w:bCs/>
              </w:rPr>
              <w:t>部门名称</w:t>
            </w:r>
          </w:p>
          <w:p w14:paraId="1AC6AF32">
            <w:pPr>
              <w:jc w:val="left"/>
              <w:rPr>
                <w:rFonts w:eastAsia="黑体"/>
                <w:bCs/>
              </w:rPr>
            </w:pPr>
            <w:r>
              <w:rPr>
                <w:rFonts w:eastAsia="黑体"/>
                <w:bCs/>
              </w:rPr>
              <w:t>Department Name</w:t>
            </w:r>
          </w:p>
        </w:tc>
        <w:tc>
          <w:tcPr>
            <w:tcW w:w="4886" w:type="dxa"/>
            <w:gridSpan w:val="8"/>
            <w:tcBorders>
              <w:top w:val="single" w:color="auto" w:sz="4" w:space="0"/>
              <w:left w:val="nil"/>
              <w:bottom w:val="single" w:color="auto" w:sz="4" w:space="0"/>
              <w:right w:val="single" w:color="000000" w:sz="4" w:space="0"/>
            </w:tcBorders>
            <w:vAlign w:val="center"/>
          </w:tcPr>
          <w:p w14:paraId="3F30E94B">
            <w:pPr>
              <w:ind w:left="210" w:hanging="210" w:hangingChars="100"/>
              <w:jc w:val="left"/>
              <w:rPr>
                <w:rFonts w:eastAsia="黑体"/>
                <w:bCs/>
              </w:rPr>
            </w:pPr>
          </w:p>
        </w:tc>
      </w:tr>
      <w:tr w14:paraId="7D1DE989">
        <w:tblPrEx>
          <w:tblCellMar>
            <w:top w:w="0" w:type="dxa"/>
            <w:left w:w="108" w:type="dxa"/>
            <w:bottom w:w="0" w:type="dxa"/>
            <w:right w:w="108" w:type="dxa"/>
          </w:tblCellMar>
        </w:tblPrEx>
        <w:trPr>
          <w:trHeight w:val="1500" w:hRule="atLeast"/>
        </w:trPr>
        <w:tc>
          <w:tcPr>
            <w:tcW w:w="2025" w:type="dxa"/>
            <w:vMerge w:val="continue"/>
            <w:tcBorders>
              <w:top w:val="nil"/>
              <w:left w:val="single" w:color="auto" w:sz="4" w:space="0"/>
              <w:bottom w:val="single" w:color="000000" w:sz="4" w:space="0"/>
              <w:right w:val="single" w:color="auto" w:sz="4" w:space="0"/>
            </w:tcBorders>
            <w:vAlign w:val="center"/>
          </w:tcPr>
          <w:p w14:paraId="514AD771">
            <w:pPr>
              <w:keepNext/>
              <w:keepLines/>
              <w:spacing w:before="340" w:after="330" w:line="578" w:lineRule="auto"/>
              <w:ind w:left="210" w:hanging="210" w:hangingChars="100"/>
              <w:jc w:val="left"/>
              <w:rPr>
                <w:rFonts w:eastAsia="黑体"/>
              </w:rPr>
            </w:pPr>
          </w:p>
        </w:tc>
        <w:tc>
          <w:tcPr>
            <w:tcW w:w="1311" w:type="dxa"/>
            <w:tcBorders>
              <w:top w:val="nil"/>
              <w:left w:val="nil"/>
              <w:bottom w:val="single" w:color="auto" w:sz="4" w:space="0"/>
              <w:right w:val="single" w:color="auto" w:sz="4" w:space="0"/>
            </w:tcBorders>
            <w:vAlign w:val="center"/>
          </w:tcPr>
          <w:p w14:paraId="5741C1D3">
            <w:pPr>
              <w:jc w:val="left"/>
              <w:rPr>
                <w:rFonts w:eastAsia="黑体"/>
                <w:b/>
                <w:bCs/>
              </w:rPr>
            </w:pPr>
            <w:r>
              <w:rPr>
                <w:rFonts w:hint="eastAsia" w:eastAsia="黑体"/>
                <w:b/>
                <w:bCs/>
              </w:rPr>
              <w:t>负责人职务</w:t>
            </w:r>
          </w:p>
          <w:p w14:paraId="309C36F9">
            <w:pPr>
              <w:tabs>
                <w:tab w:val="center" w:pos="4153"/>
                <w:tab w:val="right" w:pos="8306"/>
              </w:tabs>
              <w:snapToGrid w:val="0"/>
              <w:jc w:val="left"/>
              <w:rPr>
                <w:rFonts w:eastAsiaTheme="minorEastAsia"/>
                <w:bCs/>
              </w:rPr>
            </w:pPr>
            <w:r>
              <w:rPr>
                <w:rFonts w:eastAsia="黑体"/>
                <w:bCs/>
              </w:rPr>
              <w:t xml:space="preserve">Title of </w:t>
            </w:r>
            <w:r>
              <w:rPr>
                <w:rFonts w:hint="eastAsia" w:eastAsiaTheme="minorEastAsia"/>
                <w:bCs/>
              </w:rPr>
              <w:t>P</w:t>
            </w:r>
            <w:r>
              <w:rPr>
                <w:rFonts w:eastAsia="黑体"/>
                <w:bCs/>
              </w:rPr>
              <w:t>erson</w:t>
            </w:r>
            <w:r>
              <w:rPr>
                <w:rFonts w:hint="eastAsia" w:eastAsiaTheme="minorEastAsia"/>
                <w:bCs/>
              </w:rPr>
              <w:t xml:space="preserve"> in Charge</w:t>
            </w:r>
          </w:p>
        </w:tc>
        <w:tc>
          <w:tcPr>
            <w:tcW w:w="775" w:type="dxa"/>
            <w:tcBorders>
              <w:top w:val="nil"/>
              <w:left w:val="nil"/>
              <w:bottom w:val="single" w:color="auto" w:sz="4" w:space="0"/>
              <w:right w:val="single" w:color="auto" w:sz="4" w:space="0"/>
            </w:tcBorders>
            <w:vAlign w:val="center"/>
          </w:tcPr>
          <w:p w14:paraId="31160CB9">
            <w:pPr>
              <w:ind w:left="210" w:hanging="210" w:hangingChars="100"/>
              <w:jc w:val="center"/>
              <w:rPr>
                <w:rFonts w:eastAsia="黑体"/>
                <w:bCs/>
              </w:rPr>
            </w:pPr>
            <w:r>
              <w:rPr>
                <w:rFonts w:hint="eastAsia" w:eastAsia="黑体"/>
                <w:bCs/>
              </w:rPr>
              <w:t>　</w:t>
            </w:r>
          </w:p>
        </w:tc>
        <w:tc>
          <w:tcPr>
            <w:tcW w:w="1276" w:type="dxa"/>
            <w:gridSpan w:val="2"/>
            <w:tcBorders>
              <w:top w:val="nil"/>
              <w:left w:val="nil"/>
              <w:bottom w:val="single" w:color="auto" w:sz="4" w:space="0"/>
              <w:right w:val="single" w:color="auto" w:sz="4" w:space="0"/>
            </w:tcBorders>
            <w:vAlign w:val="center"/>
          </w:tcPr>
          <w:p w14:paraId="0A2F9A5C">
            <w:pPr>
              <w:jc w:val="left"/>
              <w:rPr>
                <w:rFonts w:eastAsia="黑体"/>
                <w:b/>
                <w:bCs/>
              </w:rPr>
            </w:pPr>
            <w:r>
              <w:rPr>
                <w:rFonts w:hint="eastAsia" w:eastAsia="黑体"/>
                <w:b/>
                <w:bCs/>
              </w:rPr>
              <w:t>负责人姓名</w:t>
            </w:r>
          </w:p>
          <w:p w14:paraId="610C5829">
            <w:pPr>
              <w:tabs>
                <w:tab w:val="center" w:pos="4153"/>
                <w:tab w:val="right" w:pos="8306"/>
              </w:tabs>
              <w:snapToGrid w:val="0"/>
              <w:jc w:val="left"/>
              <w:rPr>
                <w:rFonts w:eastAsiaTheme="minorEastAsia"/>
                <w:bCs/>
              </w:rPr>
            </w:pPr>
            <w:r>
              <w:rPr>
                <w:rFonts w:eastAsia="黑体"/>
                <w:bCs/>
              </w:rPr>
              <w:t xml:space="preserve">Name of </w:t>
            </w:r>
            <w:r>
              <w:rPr>
                <w:rFonts w:hint="eastAsia" w:eastAsiaTheme="minorEastAsia"/>
                <w:bCs/>
              </w:rPr>
              <w:t>P</w:t>
            </w:r>
            <w:r>
              <w:rPr>
                <w:rFonts w:eastAsia="黑体"/>
                <w:bCs/>
              </w:rPr>
              <w:t>erson</w:t>
            </w:r>
            <w:r>
              <w:rPr>
                <w:rFonts w:hint="eastAsia" w:eastAsiaTheme="minorEastAsia"/>
                <w:bCs/>
              </w:rPr>
              <w:t xml:space="preserve"> in Charge</w:t>
            </w:r>
          </w:p>
        </w:tc>
        <w:tc>
          <w:tcPr>
            <w:tcW w:w="894" w:type="dxa"/>
            <w:gridSpan w:val="2"/>
            <w:tcBorders>
              <w:top w:val="nil"/>
              <w:left w:val="nil"/>
              <w:bottom w:val="single" w:color="auto" w:sz="4" w:space="0"/>
              <w:right w:val="single" w:color="auto" w:sz="4" w:space="0"/>
            </w:tcBorders>
            <w:noWrap/>
            <w:vAlign w:val="bottom"/>
          </w:tcPr>
          <w:p w14:paraId="7A89D418">
            <w:pPr>
              <w:ind w:left="200" w:hanging="200" w:hangingChars="100"/>
              <w:jc w:val="center"/>
              <w:rPr>
                <w:sz w:val="20"/>
                <w:szCs w:val="20"/>
              </w:rPr>
            </w:pPr>
            <w:r>
              <w:rPr>
                <w:rFonts w:hint="eastAsia"/>
                <w:sz w:val="20"/>
                <w:szCs w:val="20"/>
              </w:rPr>
              <w:t>　</w:t>
            </w:r>
          </w:p>
        </w:tc>
        <w:tc>
          <w:tcPr>
            <w:tcW w:w="807" w:type="dxa"/>
            <w:tcBorders>
              <w:top w:val="nil"/>
              <w:left w:val="nil"/>
              <w:bottom w:val="single" w:color="auto" w:sz="4" w:space="0"/>
              <w:right w:val="single" w:color="auto" w:sz="4" w:space="0"/>
            </w:tcBorders>
            <w:vAlign w:val="center"/>
          </w:tcPr>
          <w:p w14:paraId="4780BFD4">
            <w:pPr>
              <w:jc w:val="left"/>
              <w:rPr>
                <w:rFonts w:eastAsia="黑体"/>
                <w:b/>
                <w:bCs/>
              </w:rPr>
            </w:pPr>
            <w:r>
              <w:rPr>
                <w:rFonts w:hint="eastAsia" w:eastAsia="黑体"/>
                <w:b/>
                <w:bCs/>
              </w:rPr>
              <w:t>联系电话</w:t>
            </w:r>
          </w:p>
          <w:p w14:paraId="6C7166B1">
            <w:pPr>
              <w:jc w:val="left"/>
              <w:rPr>
                <w:rFonts w:eastAsia="黑体"/>
                <w:b/>
                <w:bCs/>
              </w:rPr>
            </w:pPr>
            <w:r>
              <w:rPr>
                <w:rFonts w:eastAsia="黑体"/>
                <w:bCs/>
              </w:rPr>
              <w:t>Tel</w:t>
            </w:r>
            <w:r>
              <w:rPr>
                <w:rFonts w:eastAsia="黑体"/>
                <w:b/>
                <w:bCs/>
              </w:rPr>
              <w:t>.</w:t>
            </w:r>
          </w:p>
        </w:tc>
        <w:tc>
          <w:tcPr>
            <w:tcW w:w="1134" w:type="dxa"/>
            <w:gridSpan w:val="2"/>
            <w:tcBorders>
              <w:top w:val="nil"/>
              <w:left w:val="nil"/>
              <w:bottom w:val="single" w:color="auto" w:sz="4" w:space="0"/>
              <w:right w:val="single" w:color="auto" w:sz="4" w:space="0"/>
            </w:tcBorders>
            <w:vAlign w:val="center"/>
          </w:tcPr>
          <w:p w14:paraId="184073D7">
            <w:pPr>
              <w:ind w:left="210" w:hanging="210" w:hangingChars="100"/>
              <w:jc w:val="center"/>
              <w:rPr>
                <w:rFonts w:eastAsia="黑体"/>
                <w:bCs/>
              </w:rPr>
            </w:pPr>
            <w:r>
              <w:rPr>
                <w:rFonts w:hint="eastAsia" w:eastAsia="黑体"/>
                <w:bCs/>
              </w:rPr>
              <w:t>　</w:t>
            </w:r>
          </w:p>
        </w:tc>
      </w:tr>
      <w:tr w14:paraId="092A5BD5">
        <w:tblPrEx>
          <w:tblCellMar>
            <w:top w:w="0" w:type="dxa"/>
            <w:left w:w="108" w:type="dxa"/>
            <w:bottom w:w="0" w:type="dxa"/>
            <w:right w:w="108" w:type="dxa"/>
          </w:tblCellMar>
        </w:tblPrEx>
        <w:trPr>
          <w:trHeight w:val="620" w:hRule="atLeast"/>
        </w:trPr>
        <w:tc>
          <w:tcPr>
            <w:tcW w:w="2025" w:type="dxa"/>
            <w:vMerge w:val="continue"/>
            <w:tcBorders>
              <w:top w:val="nil"/>
              <w:left w:val="single" w:color="auto" w:sz="4" w:space="0"/>
              <w:bottom w:val="single" w:color="000000" w:sz="4" w:space="0"/>
              <w:right w:val="single" w:color="auto" w:sz="4" w:space="0"/>
            </w:tcBorders>
            <w:vAlign w:val="center"/>
          </w:tcPr>
          <w:p w14:paraId="50BE1554">
            <w:pPr>
              <w:keepNext/>
              <w:keepLines/>
              <w:spacing w:before="340" w:after="330" w:line="578" w:lineRule="auto"/>
              <w:ind w:left="210" w:hanging="210" w:hangingChars="100"/>
              <w:jc w:val="left"/>
              <w:rPr>
                <w:rFonts w:eastAsia="黑体"/>
              </w:rPr>
            </w:pPr>
          </w:p>
        </w:tc>
        <w:tc>
          <w:tcPr>
            <w:tcW w:w="1311" w:type="dxa"/>
            <w:tcBorders>
              <w:top w:val="nil"/>
              <w:left w:val="nil"/>
              <w:bottom w:val="single" w:color="auto" w:sz="4" w:space="0"/>
              <w:right w:val="single" w:color="auto" w:sz="4" w:space="0"/>
            </w:tcBorders>
            <w:vAlign w:val="center"/>
          </w:tcPr>
          <w:p w14:paraId="3559BB44">
            <w:pPr>
              <w:jc w:val="left"/>
              <w:rPr>
                <w:rFonts w:eastAsia="黑体"/>
                <w:b/>
                <w:bCs/>
              </w:rPr>
            </w:pPr>
            <w:r>
              <w:rPr>
                <w:rFonts w:hint="eastAsia" w:eastAsia="黑体"/>
                <w:b/>
                <w:bCs/>
              </w:rPr>
              <w:t>经办人职务</w:t>
            </w:r>
          </w:p>
          <w:p w14:paraId="0E754651">
            <w:pPr>
              <w:tabs>
                <w:tab w:val="center" w:pos="4153"/>
                <w:tab w:val="right" w:pos="8306"/>
              </w:tabs>
              <w:snapToGrid w:val="0"/>
              <w:jc w:val="left"/>
              <w:rPr>
                <w:rFonts w:eastAsiaTheme="minorEastAsia"/>
              </w:rPr>
            </w:pPr>
            <w:r>
              <w:rPr>
                <w:rFonts w:eastAsia="黑体"/>
                <w:bCs/>
              </w:rPr>
              <w:t xml:space="preserve">Title of </w:t>
            </w:r>
            <w:r>
              <w:rPr>
                <w:rFonts w:hint="eastAsia" w:eastAsiaTheme="minorEastAsia"/>
                <w:bCs/>
              </w:rPr>
              <w:t>Handling Person</w:t>
            </w:r>
          </w:p>
        </w:tc>
        <w:tc>
          <w:tcPr>
            <w:tcW w:w="775" w:type="dxa"/>
            <w:tcBorders>
              <w:top w:val="nil"/>
              <w:left w:val="nil"/>
              <w:bottom w:val="single" w:color="auto" w:sz="4" w:space="0"/>
              <w:right w:val="single" w:color="auto" w:sz="4" w:space="0"/>
            </w:tcBorders>
            <w:vAlign w:val="center"/>
          </w:tcPr>
          <w:p w14:paraId="17F955C2">
            <w:pPr>
              <w:ind w:left="210" w:hanging="210" w:hangingChars="100"/>
              <w:jc w:val="center"/>
              <w:rPr>
                <w:rFonts w:eastAsia="黑体"/>
                <w:bCs/>
              </w:rPr>
            </w:pPr>
            <w:r>
              <w:rPr>
                <w:rFonts w:hint="eastAsia" w:eastAsia="黑体"/>
                <w:bCs/>
              </w:rPr>
              <w:t>　</w:t>
            </w:r>
          </w:p>
        </w:tc>
        <w:tc>
          <w:tcPr>
            <w:tcW w:w="1276" w:type="dxa"/>
            <w:gridSpan w:val="2"/>
            <w:tcBorders>
              <w:top w:val="nil"/>
              <w:left w:val="nil"/>
              <w:bottom w:val="single" w:color="auto" w:sz="4" w:space="0"/>
              <w:right w:val="single" w:color="auto" w:sz="4" w:space="0"/>
            </w:tcBorders>
            <w:vAlign w:val="center"/>
          </w:tcPr>
          <w:p w14:paraId="65D06AF2">
            <w:pPr>
              <w:jc w:val="left"/>
              <w:rPr>
                <w:rFonts w:eastAsia="黑体"/>
                <w:b/>
                <w:bCs/>
              </w:rPr>
            </w:pPr>
            <w:r>
              <w:rPr>
                <w:rFonts w:hint="eastAsia" w:eastAsia="黑体"/>
                <w:b/>
                <w:bCs/>
              </w:rPr>
              <w:t>经办人姓名</w:t>
            </w:r>
          </w:p>
          <w:p w14:paraId="7A71A419">
            <w:pPr>
              <w:tabs>
                <w:tab w:val="center" w:pos="4153"/>
                <w:tab w:val="right" w:pos="8306"/>
              </w:tabs>
              <w:snapToGrid w:val="0"/>
              <w:jc w:val="left"/>
              <w:rPr>
                <w:rFonts w:eastAsiaTheme="minorEastAsia"/>
                <w:bCs/>
              </w:rPr>
            </w:pPr>
            <w:r>
              <w:rPr>
                <w:rFonts w:eastAsia="黑体"/>
                <w:bCs/>
              </w:rPr>
              <w:t xml:space="preserve">Name of </w:t>
            </w:r>
            <w:r>
              <w:rPr>
                <w:rFonts w:hint="eastAsia" w:eastAsiaTheme="minorEastAsia"/>
                <w:bCs/>
              </w:rPr>
              <w:t>Handling Person</w:t>
            </w:r>
          </w:p>
        </w:tc>
        <w:tc>
          <w:tcPr>
            <w:tcW w:w="894" w:type="dxa"/>
            <w:gridSpan w:val="2"/>
            <w:tcBorders>
              <w:top w:val="nil"/>
              <w:left w:val="nil"/>
              <w:bottom w:val="single" w:color="auto" w:sz="4" w:space="0"/>
              <w:right w:val="single" w:color="auto" w:sz="4" w:space="0"/>
            </w:tcBorders>
            <w:noWrap/>
            <w:vAlign w:val="bottom"/>
          </w:tcPr>
          <w:p w14:paraId="10455A69">
            <w:pPr>
              <w:rPr>
                <w:rFonts w:eastAsiaTheme="minorEastAsia"/>
                <w:sz w:val="20"/>
                <w:szCs w:val="20"/>
              </w:rPr>
            </w:pPr>
          </w:p>
        </w:tc>
        <w:tc>
          <w:tcPr>
            <w:tcW w:w="807" w:type="dxa"/>
            <w:tcBorders>
              <w:top w:val="nil"/>
              <w:left w:val="nil"/>
              <w:bottom w:val="single" w:color="auto" w:sz="4" w:space="0"/>
              <w:right w:val="single" w:color="auto" w:sz="4" w:space="0"/>
            </w:tcBorders>
            <w:vAlign w:val="center"/>
          </w:tcPr>
          <w:p w14:paraId="1D12394A">
            <w:pPr>
              <w:jc w:val="left"/>
              <w:rPr>
                <w:rFonts w:eastAsia="黑体"/>
                <w:b/>
                <w:bCs/>
              </w:rPr>
            </w:pPr>
            <w:r>
              <w:rPr>
                <w:rFonts w:hint="eastAsia" w:eastAsia="黑体"/>
                <w:b/>
                <w:bCs/>
              </w:rPr>
              <w:t>联系电话</w:t>
            </w:r>
          </w:p>
          <w:p w14:paraId="7EC665DF">
            <w:pPr>
              <w:jc w:val="left"/>
              <w:rPr>
                <w:rFonts w:eastAsia="黑体"/>
                <w:bCs/>
              </w:rPr>
            </w:pPr>
            <w:r>
              <w:rPr>
                <w:rFonts w:eastAsia="黑体"/>
                <w:bCs/>
              </w:rPr>
              <w:t>Tel.</w:t>
            </w:r>
          </w:p>
        </w:tc>
        <w:tc>
          <w:tcPr>
            <w:tcW w:w="1134" w:type="dxa"/>
            <w:gridSpan w:val="2"/>
            <w:tcBorders>
              <w:top w:val="nil"/>
              <w:left w:val="nil"/>
              <w:bottom w:val="single" w:color="auto" w:sz="4" w:space="0"/>
              <w:right w:val="single" w:color="auto" w:sz="4" w:space="0"/>
            </w:tcBorders>
            <w:vAlign w:val="center"/>
          </w:tcPr>
          <w:p w14:paraId="4EBC35A7">
            <w:pPr>
              <w:ind w:left="200" w:hanging="200" w:hangingChars="100"/>
              <w:jc w:val="center"/>
              <w:rPr>
                <w:sz w:val="20"/>
                <w:szCs w:val="20"/>
              </w:rPr>
            </w:pPr>
            <w:r>
              <w:rPr>
                <w:rFonts w:hint="eastAsia"/>
                <w:sz w:val="20"/>
                <w:szCs w:val="20"/>
              </w:rPr>
              <w:t>　</w:t>
            </w:r>
          </w:p>
        </w:tc>
      </w:tr>
      <w:tr w14:paraId="5411E8B2">
        <w:tblPrEx>
          <w:tblCellMar>
            <w:top w:w="0" w:type="dxa"/>
            <w:left w:w="108" w:type="dxa"/>
            <w:bottom w:w="0" w:type="dxa"/>
            <w:right w:w="108" w:type="dxa"/>
          </w:tblCellMar>
        </w:tblPrEx>
        <w:trPr>
          <w:trHeight w:val="310" w:hRule="atLeast"/>
        </w:trPr>
        <w:tc>
          <w:tcPr>
            <w:tcW w:w="2025" w:type="dxa"/>
            <w:vMerge w:val="continue"/>
            <w:tcBorders>
              <w:top w:val="nil"/>
              <w:left w:val="single" w:color="auto" w:sz="4" w:space="0"/>
              <w:bottom w:val="single" w:color="000000" w:sz="4" w:space="0"/>
              <w:right w:val="single" w:color="auto" w:sz="4" w:space="0"/>
            </w:tcBorders>
            <w:vAlign w:val="center"/>
          </w:tcPr>
          <w:p w14:paraId="3575E22F">
            <w:pPr>
              <w:keepNext/>
              <w:keepLines/>
              <w:spacing w:before="340" w:after="330" w:line="578" w:lineRule="auto"/>
              <w:ind w:left="210" w:hanging="210" w:hangingChars="100"/>
              <w:jc w:val="left"/>
              <w:rPr>
                <w:rFonts w:eastAsia="黑体"/>
              </w:rPr>
            </w:pPr>
          </w:p>
        </w:tc>
        <w:tc>
          <w:tcPr>
            <w:tcW w:w="1311" w:type="dxa"/>
            <w:tcBorders>
              <w:top w:val="nil"/>
              <w:left w:val="nil"/>
              <w:bottom w:val="single" w:color="auto" w:sz="4" w:space="0"/>
              <w:right w:val="single" w:color="auto" w:sz="4" w:space="0"/>
            </w:tcBorders>
            <w:vAlign w:val="center"/>
          </w:tcPr>
          <w:p w14:paraId="5835E2BC">
            <w:pPr>
              <w:jc w:val="left"/>
              <w:rPr>
                <w:rFonts w:eastAsia="黑体"/>
                <w:b/>
                <w:bCs/>
              </w:rPr>
            </w:pPr>
            <w:r>
              <w:rPr>
                <w:rFonts w:hint="eastAsia" w:eastAsia="黑体"/>
                <w:b/>
                <w:bCs/>
              </w:rPr>
              <w:t>传真</w:t>
            </w:r>
          </w:p>
          <w:p w14:paraId="04234C9E">
            <w:pPr>
              <w:jc w:val="left"/>
              <w:rPr>
                <w:rFonts w:eastAsia="黑体"/>
                <w:bCs/>
              </w:rPr>
            </w:pPr>
            <w:r>
              <w:rPr>
                <w:rFonts w:eastAsia="黑体"/>
                <w:bCs/>
              </w:rPr>
              <w:t>Fax</w:t>
            </w:r>
          </w:p>
        </w:tc>
        <w:tc>
          <w:tcPr>
            <w:tcW w:w="2051" w:type="dxa"/>
            <w:gridSpan w:val="3"/>
            <w:tcBorders>
              <w:top w:val="single" w:color="auto" w:sz="4" w:space="0"/>
              <w:left w:val="nil"/>
              <w:bottom w:val="single" w:color="auto" w:sz="4" w:space="0"/>
              <w:right w:val="single" w:color="auto" w:sz="4" w:space="0"/>
            </w:tcBorders>
            <w:vAlign w:val="center"/>
          </w:tcPr>
          <w:p w14:paraId="3E3187CA">
            <w:pPr>
              <w:ind w:left="210" w:hanging="210" w:hangingChars="100"/>
              <w:jc w:val="left"/>
              <w:rPr>
                <w:rFonts w:eastAsiaTheme="minorEastAsia"/>
                <w:bCs/>
              </w:rPr>
            </w:pPr>
          </w:p>
        </w:tc>
        <w:tc>
          <w:tcPr>
            <w:tcW w:w="894" w:type="dxa"/>
            <w:gridSpan w:val="2"/>
            <w:tcBorders>
              <w:top w:val="nil"/>
              <w:left w:val="nil"/>
              <w:bottom w:val="single" w:color="auto" w:sz="4" w:space="0"/>
              <w:right w:val="single" w:color="auto" w:sz="4" w:space="0"/>
            </w:tcBorders>
            <w:vAlign w:val="center"/>
          </w:tcPr>
          <w:p w14:paraId="6EDA088D">
            <w:pPr>
              <w:jc w:val="left"/>
              <w:rPr>
                <w:rFonts w:eastAsia="黑体"/>
                <w:b/>
                <w:bCs/>
              </w:rPr>
            </w:pPr>
            <w:r>
              <w:rPr>
                <w:rFonts w:hint="eastAsia" w:eastAsia="黑体"/>
                <w:b/>
                <w:bCs/>
              </w:rPr>
              <w:t>邮件</w:t>
            </w:r>
          </w:p>
          <w:p w14:paraId="4C0DEC07">
            <w:pPr>
              <w:jc w:val="left"/>
              <w:rPr>
                <w:rFonts w:eastAsia="黑体"/>
                <w:bCs/>
              </w:rPr>
            </w:pPr>
            <w:r>
              <w:rPr>
                <w:rFonts w:eastAsia="黑体"/>
                <w:bCs/>
              </w:rPr>
              <w:t>Email</w:t>
            </w:r>
          </w:p>
        </w:tc>
        <w:tc>
          <w:tcPr>
            <w:tcW w:w="1941" w:type="dxa"/>
            <w:gridSpan w:val="3"/>
            <w:tcBorders>
              <w:top w:val="single" w:color="auto" w:sz="4" w:space="0"/>
              <w:left w:val="nil"/>
              <w:bottom w:val="single" w:color="auto" w:sz="4" w:space="0"/>
              <w:right w:val="single" w:color="auto" w:sz="4" w:space="0"/>
            </w:tcBorders>
            <w:vAlign w:val="center"/>
          </w:tcPr>
          <w:p w14:paraId="608EE722">
            <w:pPr>
              <w:ind w:left="210" w:hanging="210" w:hangingChars="100"/>
              <w:jc w:val="left"/>
              <w:rPr>
                <w:rFonts w:eastAsia="黑体"/>
                <w:bCs/>
              </w:rPr>
            </w:pPr>
            <w:r>
              <w:rPr>
                <w:rFonts w:hint="eastAsia" w:eastAsia="黑体"/>
                <w:bCs/>
              </w:rPr>
              <w:t>　</w:t>
            </w:r>
          </w:p>
        </w:tc>
      </w:tr>
      <w:tr w14:paraId="070D38B2">
        <w:tblPrEx>
          <w:tblCellMar>
            <w:top w:w="0" w:type="dxa"/>
            <w:left w:w="108" w:type="dxa"/>
            <w:bottom w:w="0" w:type="dxa"/>
            <w:right w:w="108" w:type="dxa"/>
          </w:tblCellMar>
        </w:tblPrEx>
        <w:trPr>
          <w:trHeight w:val="600" w:hRule="atLeast"/>
        </w:trPr>
        <w:tc>
          <w:tcPr>
            <w:tcW w:w="2025" w:type="dxa"/>
            <w:vMerge w:val="continue"/>
            <w:tcBorders>
              <w:top w:val="nil"/>
              <w:left w:val="single" w:color="auto" w:sz="4" w:space="0"/>
              <w:bottom w:val="single" w:color="000000" w:sz="4" w:space="0"/>
              <w:right w:val="single" w:color="auto" w:sz="4" w:space="0"/>
            </w:tcBorders>
            <w:vAlign w:val="center"/>
          </w:tcPr>
          <w:p w14:paraId="49DB201F">
            <w:pPr>
              <w:keepNext/>
              <w:keepLines/>
              <w:spacing w:before="340" w:after="330" w:line="578" w:lineRule="auto"/>
              <w:ind w:left="210" w:hanging="210" w:hangingChars="100"/>
              <w:jc w:val="left"/>
              <w:rPr>
                <w:rFonts w:eastAsia="黑体"/>
              </w:rPr>
            </w:pPr>
          </w:p>
        </w:tc>
        <w:tc>
          <w:tcPr>
            <w:tcW w:w="1311" w:type="dxa"/>
            <w:tcBorders>
              <w:top w:val="nil"/>
              <w:left w:val="nil"/>
              <w:bottom w:val="single" w:color="auto" w:sz="4" w:space="0"/>
              <w:right w:val="single" w:color="auto" w:sz="4" w:space="0"/>
            </w:tcBorders>
            <w:vAlign w:val="center"/>
          </w:tcPr>
          <w:p w14:paraId="1415090F">
            <w:pPr>
              <w:jc w:val="left"/>
              <w:rPr>
                <w:rFonts w:eastAsia="黑体"/>
                <w:b/>
                <w:bCs/>
              </w:rPr>
            </w:pPr>
            <w:r>
              <w:rPr>
                <w:rFonts w:hint="eastAsia" w:eastAsia="黑体"/>
                <w:b/>
                <w:bCs/>
              </w:rPr>
              <w:t>详细地址</w:t>
            </w:r>
          </w:p>
          <w:p w14:paraId="425F8BB7">
            <w:pPr>
              <w:jc w:val="left"/>
              <w:rPr>
                <w:rFonts w:eastAsia="黑体"/>
                <w:bCs/>
              </w:rPr>
            </w:pPr>
            <w:r>
              <w:rPr>
                <w:rFonts w:eastAsia="黑体"/>
                <w:bCs/>
              </w:rPr>
              <w:t>Address</w:t>
            </w:r>
          </w:p>
        </w:tc>
        <w:tc>
          <w:tcPr>
            <w:tcW w:w="4886" w:type="dxa"/>
            <w:gridSpan w:val="8"/>
            <w:tcBorders>
              <w:top w:val="single" w:color="auto" w:sz="4" w:space="0"/>
              <w:left w:val="nil"/>
              <w:bottom w:val="single" w:color="auto" w:sz="4" w:space="0"/>
              <w:right w:val="single" w:color="000000" w:sz="4" w:space="0"/>
            </w:tcBorders>
            <w:vAlign w:val="center"/>
          </w:tcPr>
          <w:p w14:paraId="55AEFEA5">
            <w:pPr>
              <w:ind w:left="210" w:hanging="210" w:hangingChars="100"/>
              <w:jc w:val="left"/>
              <w:rPr>
                <w:rFonts w:eastAsia="黑体"/>
                <w:bCs/>
              </w:rPr>
            </w:pPr>
            <w:r>
              <w:rPr>
                <w:rFonts w:hint="eastAsia" w:eastAsia="黑体"/>
                <w:bCs/>
              </w:rPr>
              <w:t>　</w:t>
            </w:r>
          </w:p>
        </w:tc>
      </w:tr>
      <w:tr w14:paraId="3EF87203">
        <w:tblPrEx>
          <w:tblCellMar>
            <w:top w:w="0" w:type="dxa"/>
            <w:left w:w="108" w:type="dxa"/>
            <w:bottom w:w="0" w:type="dxa"/>
            <w:right w:w="108" w:type="dxa"/>
          </w:tblCellMar>
        </w:tblPrEx>
        <w:trPr>
          <w:trHeight w:val="600" w:hRule="atLeast"/>
        </w:trPr>
        <w:tc>
          <w:tcPr>
            <w:tcW w:w="2025" w:type="dxa"/>
            <w:vMerge w:val="restart"/>
            <w:tcBorders>
              <w:top w:val="nil"/>
              <w:left w:val="single" w:color="auto" w:sz="4" w:space="0"/>
              <w:bottom w:val="single" w:color="000000" w:sz="4" w:space="0"/>
              <w:right w:val="single" w:color="auto" w:sz="4" w:space="0"/>
            </w:tcBorders>
            <w:vAlign w:val="center"/>
          </w:tcPr>
          <w:p w14:paraId="00EE8F35">
            <w:pPr>
              <w:snapToGrid w:val="0"/>
              <w:jc w:val="left"/>
              <w:rPr>
                <w:rFonts w:eastAsia="黑体"/>
                <w:b/>
                <w:bCs/>
              </w:rPr>
            </w:pPr>
            <w:r>
              <w:rPr>
                <w:rFonts w:hint="eastAsia" w:eastAsia="黑体"/>
                <w:b/>
                <w:bCs/>
              </w:rPr>
              <w:t>托管人联系方式</w:t>
            </w:r>
          </w:p>
          <w:p w14:paraId="3989F1A5">
            <w:pPr>
              <w:snapToGrid w:val="0"/>
              <w:jc w:val="left"/>
              <w:rPr>
                <w:rFonts w:eastAsia="黑体"/>
                <w:bCs/>
              </w:rPr>
            </w:pPr>
            <w:r>
              <w:rPr>
                <w:rFonts w:eastAsia="黑体"/>
                <w:bCs/>
              </w:rPr>
              <w:t xml:space="preserve">Contact of </w:t>
            </w:r>
            <w:r>
              <w:rPr>
                <w:rFonts w:hint="eastAsia" w:eastAsiaTheme="minorEastAsia"/>
                <w:bCs/>
              </w:rPr>
              <w:t xml:space="preserve">Main </w:t>
            </w:r>
            <w:r>
              <w:rPr>
                <w:rFonts w:eastAsia="黑体"/>
                <w:bCs/>
              </w:rPr>
              <w:t>Custodian</w:t>
            </w:r>
          </w:p>
        </w:tc>
        <w:tc>
          <w:tcPr>
            <w:tcW w:w="1311" w:type="dxa"/>
            <w:tcBorders>
              <w:top w:val="nil"/>
              <w:left w:val="nil"/>
              <w:bottom w:val="single" w:color="auto" w:sz="4" w:space="0"/>
              <w:right w:val="single" w:color="auto" w:sz="4" w:space="0"/>
            </w:tcBorders>
            <w:vAlign w:val="center"/>
          </w:tcPr>
          <w:p w14:paraId="25FC186A">
            <w:pPr>
              <w:snapToGrid w:val="0"/>
              <w:jc w:val="left"/>
              <w:rPr>
                <w:rFonts w:eastAsia="黑体"/>
                <w:b/>
                <w:bCs/>
              </w:rPr>
            </w:pPr>
            <w:r>
              <w:rPr>
                <w:rFonts w:hint="eastAsia" w:eastAsiaTheme="minorEastAsia"/>
                <w:b/>
                <w:bCs/>
              </w:rPr>
              <w:t>机构</w:t>
            </w:r>
            <w:r>
              <w:rPr>
                <w:rFonts w:hint="eastAsia" w:eastAsia="黑体"/>
                <w:b/>
                <w:bCs/>
              </w:rPr>
              <w:t>名称</w:t>
            </w:r>
          </w:p>
          <w:p w14:paraId="38BCCDC3">
            <w:pPr>
              <w:snapToGrid w:val="0"/>
              <w:jc w:val="left"/>
              <w:rPr>
                <w:rFonts w:eastAsia="黑体"/>
                <w:bCs/>
              </w:rPr>
            </w:pPr>
            <w:r>
              <w:rPr>
                <w:rFonts w:eastAsia="黑体"/>
                <w:bCs/>
              </w:rPr>
              <w:t>Company Name</w:t>
            </w:r>
          </w:p>
        </w:tc>
        <w:tc>
          <w:tcPr>
            <w:tcW w:w="4886" w:type="dxa"/>
            <w:gridSpan w:val="8"/>
            <w:tcBorders>
              <w:top w:val="single" w:color="auto" w:sz="4" w:space="0"/>
              <w:left w:val="nil"/>
              <w:bottom w:val="single" w:color="auto" w:sz="4" w:space="0"/>
              <w:right w:val="single" w:color="000000" w:sz="4" w:space="0"/>
            </w:tcBorders>
            <w:vAlign w:val="center"/>
          </w:tcPr>
          <w:p w14:paraId="1BB25731">
            <w:pPr>
              <w:snapToGrid w:val="0"/>
              <w:jc w:val="left"/>
              <w:rPr>
                <w:rFonts w:eastAsia="黑体"/>
                <w:b/>
                <w:bCs/>
              </w:rPr>
            </w:pPr>
          </w:p>
        </w:tc>
      </w:tr>
      <w:tr w14:paraId="2184EF09">
        <w:tblPrEx>
          <w:tblCellMar>
            <w:top w:w="0" w:type="dxa"/>
            <w:left w:w="108" w:type="dxa"/>
            <w:bottom w:w="0" w:type="dxa"/>
            <w:right w:w="108" w:type="dxa"/>
          </w:tblCellMar>
        </w:tblPrEx>
        <w:trPr>
          <w:trHeight w:val="600" w:hRule="atLeast"/>
        </w:trPr>
        <w:tc>
          <w:tcPr>
            <w:tcW w:w="2025" w:type="dxa"/>
            <w:vMerge w:val="continue"/>
            <w:tcBorders>
              <w:top w:val="nil"/>
              <w:left w:val="single" w:color="auto" w:sz="4" w:space="0"/>
              <w:bottom w:val="single" w:color="000000" w:sz="4" w:space="0"/>
              <w:right w:val="single" w:color="auto" w:sz="4" w:space="0"/>
            </w:tcBorders>
            <w:vAlign w:val="center"/>
          </w:tcPr>
          <w:p w14:paraId="60339540">
            <w:pPr>
              <w:jc w:val="left"/>
              <w:rPr>
                <w:rFonts w:eastAsia="黑体"/>
                <w:b/>
                <w:bCs/>
              </w:rPr>
            </w:pPr>
          </w:p>
        </w:tc>
        <w:tc>
          <w:tcPr>
            <w:tcW w:w="1311" w:type="dxa"/>
            <w:tcBorders>
              <w:top w:val="nil"/>
              <w:left w:val="nil"/>
              <w:bottom w:val="single" w:color="auto" w:sz="4" w:space="0"/>
              <w:right w:val="single" w:color="auto" w:sz="4" w:space="0"/>
            </w:tcBorders>
            <w:vAlign w:val="center"/>
          </w:tcPr>
          <w:p w14:paraId="65ED3DE6">
            <w:pPr>
              <w:jc w:val="left"/>
              <w:rPr>
                <w:rFonts w:eastAsia="黑体"/>
                <w:b/>
                <w:bCs/>
              </w:rPr>
            </w:pPr>
            <w:r>
              <w:rPr>
                <w:rFonts w:hint="eastAsia" w:eastAsia="黑体"/>
                <w:b/>
                <w:bCs/>
              </w:rPr>
              <w:t>部门名称</w:t>
            </w:r>
          </w:p>
          <w:p w14:paraId="6AE2FDCE">
            <w:pPr>
              <w:jc w:val="left"/>
              <w:rPr>
                <w:rFonts w:eastAsia="黑体"/>
                <w:bCs/>
              </w:rPr>
            </w:pPr>
            <w:r>
              <w:rPr>
                <w:rFonts w:eastAsia="黑体"/>
                <w:bCs/>
              </w:rPr>
              <w:t>Department Name</w:t>
            </w:r>
          </w:p>
        </w:tc>
        <w:tc>
          <w:tcPr>
            <w:tcW w:w="4886" w:type="dxa"/>
            <w:gridSpan w:val="8"/>
            <w:tcBorders>
              <w:top w:val="single" w:color="auto" w:sz="4" w:space="0"/>
              <w:left w:val="nil"/>
              <w:bottom w:val="single" w:color="auto" w:sz="4" w:space="0"/>
              <w:right w:val="single" w:color="000000" w:sz="4" w:space="0"/>
            </w:tcBorders>
            <w:vAlign w:val="center"/>
          </w:tcPr>
          <w:p w14:paraId="625DDA3D">
            <w:pPr>
              <w:rPr>
                <w:rFonts w:eastAsia="黑体"/>
                <w:b/>
                <w:bCs/>
              </w:rPr>
            </w:pPr>
            <w:r>
              <w:rPr>
                <w:rFonts w:hint="eastAsia" w:eastAsia="黑体"/>
                <w:b/>
                <w:bCs/>
              </w:rPr>
              <w:t>　</w:t>
            </w:r>
          </w:p>
        </w:tc>
      </w:tr>
      <w:tr w14:paraId="675E1661">
        <w:tblPrEx>
          <w:tblCellMar>
            <w:top w:w="0" w:type="dxa"/>
            <w:left w:w="108" w:type="dxa"/>
            <w:bottom w:w="0" w:type="dxa"/>
            <w:right w:w="108" w:type="dxa"/>
          </w:tblCellMar>
        </w:tblPrEx>
        <w:trPr>
          <w:trHeight w:val="930" w:hRule="atLeast"/>
        </w:trPr>
        <w:tc>
          <w:tcPr>
            <w:tcW w:w="2025" w:type="dxa"/>
            <w:vMerge w:val="continue"/>
            <w:tcBorders>
              <w:top w:val="nil"/>
              <w:left w:val="single" w:color="auto" w:sz="4" w:space="0"/>
              <w:bottom w:val="single" w:color="000000" w:sz="4" w:space="0"/>
              <w:right w:val="single" w:color="auto" w:sz="4" w:space="0"/>
            </w:tcBorders>
            <w:vAlign w:val="center"/>
          </w:tcPr>
          <w:p w14:paraId="4939250C">
            <w:pPr>
              <w:keepNext/>
              <w:keepLines/>
              <w:spacing w:before="340" w:after="330" w:line="578" w:lineRule="auto"/>
              <w:jc w:val="left"/>
              <w:rPr>
                <w:rFonts w:eastAsia="黑体"/>
                <w:b/>
                <w:bCs/>
              </w:rPr>
            </w:pPr>
          </w:p>
        </w:tc>
        <w:tc>
          <w:tcPr>
            <w:tcW w:w="1311" w:type="dxa"/>
            <w:tcBorders>
              <w:top w:val="nil"/>
              <w:left w:val="nil"/>
              <w:bottom w:val="single" w:color="auto" w:sz="4" w:space="0"/>
              <w:right w:val="single" w:color="auto" w:sz="4" w:space="0"/>
            </w:tcBorders>
            <w:vAlign w:val="center"/>
          </w:tcPr>
          <w:p w14:paraId="278A3E10">
            <w:pPr>
              <w:jc w:val="left"/>
              <w:rPr>
                <w:rFonts w:eastAsia="黑体"/>
                <w:b/>
                <w:bCs/>
              </w:rPr>
            </w:pPr>
            <w:r>
              <w:rPr>
                <w:rFonts w:hint="eastAsia" w:eastAsia="黑体"/>
                <w:b/>
                <w:bCs/>
              </w:rPr>
              <w:t>负责人职务</w:t>
            </w:r>
          </w:p>
          <w:p w14:paraId="05D10009">
            <w:pPr>
              <w:tabs>
                <w:tab w:val="center" w:pos="4153"/>
                <w:tab w:val="right" w:pos="8306"/>
              </w:tabs>
              <w:snapToGrid w:val="0"/>
              <w:jc w:val="left"/>
              <w:rPr>
                <w:rFonts w:eastAsiaTheme="minorEastAsia"/>
                <w:bCs/>
              </w:rPr>
            </w:pPr>
            <w:r>
              <w:rPr>
                <w:rFonts w:eastAsia="黑体"/>
                <w:bCs/>
              </w:rPr>
              <w:t>Title of Person</w:t>
            </w:r>
            <w:r>
              <w:rPr>
                <w:rFonts w:hint="eastAsia" w:eastAsiaTheme="minorEastAsia"/>
                <w:bCs/>
              </w:rPr>
              <w:t xml:space="preserve"> in Charge</w:t>
            </w:r>
          </w:p>
        </w:tc>
        <w:tc>
          <w:tcPr>
            <w:tcW w:w="775" w:type="dxa"/>
            <w:tcBorders>
              <w:top w:val="nil"/>
              <w:left w:val="nil"/>
              <w:bottom w:val="single" w:color="auto" w:sz="4" w:space="0"/>
              <w:right w:val="single" w:color="auto" w:sz="4" w:space="0"/>
            </w:tcBorders>
            <w:vAlign w:val="center"/>
          </w:tcPr>
          <w:p w14:paraId="1FEB7BCF">
            <w:pPr>
              <w:jc w:val="center"/>
              <w:rPr>
                <w:rFonts w:eastAsia="黑体"/>
                <w:b/>
                <w:bCs/>
              </w:rPr>
            </w:pPr>
          </w:p>
        </w:tc>
        <w:tc>
          <w:tcPr>
            <w:tcW w:w="1276" w:type="dxa"/>
            <w:gridSpan w:val="2"/>
            <w:tcBorders>
              <w:top w:val="nil"/>
              <w:left w:val="nil"/>
              <w:bottom w:val="single" w:color="auto" w:sz="4" w:space="0"/>
              <w:right w:val="single" w:color="auto" w:sz="4" w:space="0"/>
            </w:tcBorders>
            <w:vAlign w:val="center"/>
          </w:tcPr>
          <w:p w14:paraId="3A31F601">
            <w:pPr>
              <w:jc w:val="left"/>
              <w:rPr>
                <w:rFonts w:eastAsia="黑体"/>
                <w:b/>
                <w:bCs/>
              </w:rPr>
            </w:pPr>
            <w:r>
              <w:rPr>
                <w:rFonts w:hint="eastAsia" w:eastAsia="黑体"/>
                <w:b/>
                <w:bCs/>
              </w:rPr>
              <w:t>负责人姓名</w:t>
            </w:r>
          </w:p>
          <w:p w14:paraId="1F3EA021">
            <w:pPr>
              <w:jc w:val="left"/>
              <w:rPr>
                <w:rFonts w:eastAsiaTheme="minorEastAsia"/>
                <w:bCs/>
              </w:rPr>
            </w:pPr>
            <w:r>
              <w:rPr>
                <w:rFonts w:eastAsia="黑体"/>
                <w:bCs/>
              </w:rPr>
              <w:t>Name</w:t>
            </w:r>
            <w:r>
              <w:rPr>
                <w:rFonts w:hint="eastAsia" w:eastAsiaTheme="minorEastAsia"/>
                <w:bCs/>
              </w:rPr>
              <w:t xml:space="preserve"> of Person in Charge</w:t>
            </w:r>
          </w:p>
        </w:tc>
        <w:tc>
          <w:tcPr>
            <w:tcW w:w="850" w:type="dxa"/>
            <w:tcBorders>
              <w:top w:val="nil"/>
              <w:left w:val="nil"/>
              <w:bottom w:val="single" w:color="auto" w:sz="4" w:space="0"/>
              <w:right w:val="single" w:color="auto" w:sz="4" w:space="0"/>
            </w:tcBorders>
            <w:noWrap/>
            <w:vAlign w:val="bottom"/>
          </w:tcPr>
          <w:p w14:paraId="455CC2E5">
            <w:pPr>
              <w:jc w:val="left"/>
              <w:rPr>
                <w:rFonts w:eastAsia="黑体"/>
                <w:b/>
                <w:bCs/>
              </w:rPr>
            </w:pPr>
          </w:p>
        </w:tc>
        <w:tc>
          <w:tcPr>
            <w:tcW w:w="993" w:type="dxa"/>
            <w:gridSpan w:val="3"/>
            <w:tcBorders>
              <w:top w:val="nil"/>
              <w:left w:val="nil"/>
              <w:bottom w:val="single" w:color="auto" w:sz="4" w:space="0"/>
              <w:right w:val="single" w:color="auto" w:sz="4" w:space="0"/>
            </w:tcBorders>
            <w:vAlign w:val="center"/>
          </w:tcPr>
          <w:p w14:paraId="631E427E">
            <w:pPr>
              <w:jc w:val="left"/>
              <w:rPr>
                <w:rFonts w:eastAsia="黑体"/>
                <w:b/>
                <w:bCs/>
              </w:rPr>
            </w:pPr>
            <w:r>
              <w:rPr>
                <w:rFonts w:hint="eastAsia" w:eastAsia="黑体"/>
                <w:b/>
                <w:bCs/>
              </w:rPr>
              <w:t>联系电话</w:t>
            </w:r>
          </w:p>
          <w:p w14:paraId="0CF03228">
            <w:pPr>
              <w:jc w:val="left"/>
              <w:rPr>
                <w:rFonts w:eastAsia="黑体"/>
                <w:bCs/>
              </w:rPr>
            </w:pPr>
            <w:r>
              <w:rPr>
                <w:rFonts w:eastAsia="黑体"/>
                <w:bCs/>
              </w:rPr>
              <w:t>Tel.</w:t>
            </w:r>
          </w:p>
        </w:tc>
        <w:tc>
          <w:tcPr>
            <w:tcW w:w="992" w:type="dxa"/>
            <w:tcBorders>
              <w:top w:val="nil"/>
              <w:left w:val="nil"/>
              <w:bottom w:val="single" w:color="auto" w:sz="4" w:space="0"/>
              <w:right w:val="single" w:color="auto" w:sz="4" w:space="0"/>
            </w:tcBorders>
            <w:vAlign w:val="center"/>
          </w:tcPr>
          <w:p w14:paraId="23AAA211">
            <w:pPr>
              <w:jc w:val="center"/>
              <w:rPr>
                <w:rFonts w:eastAsia="黑体"/>
                <w:b/>
                <w:bCs/>
              </w:rPr>
            </w:pPr>
          </w:p>
        </w:tc>
      </w:tr>
      <w:tr w14:paraId="35FA3F16">
        <w:tblPrEx>
          <w:tblCellMar>
            <w:top w:w="0" w:type="dxa"/>
            <w:left w:w="108" w:type="dxa"/>
            <w:bottom w:w="0" w:type="dxa"/>
            <w:right w:w="108" w:type="dxa"/>
          </w:tblCellMar>
        </w:tblPrEx>
        <w:trPr>
          <w:trHeight w:val="620" w:hRule="atLeast"/>
        </w:trPr>
        <w:tc>
          <w:tcPr>
            <w:tcW w:w="2025" w:type="dxa"/>
            <w:vMerge w:val="continue"/>
            <w:tcBorders>
              <w:top w:val="nil"/>
              <w:left w:val="single" w:color="auto" w:sz="4" w:space="0"/>
              <w:bottom w:val="single" w:color="000000" w:sz="4" w:space="0"/>
              <w:right w:val="single" w:color="auto" w:sz="4" w:space="0"/>
            </w:tcBorders>
            <w:vAlign w:val="center"/>
          </w:tcPr>
          <w:p w14:paraId="6DD4B4A6">
            <w:pPr>
              <w:keepNext/>
              <w:keepLines/>
              <w:spacing w:before="340" w:after="330" w:line="578" w:lineRule="auto"/>
              <w:jc w:val="left"/>
              <w:rPr>
                <w:rFonts w:eastAsia="黑体"/>
                <w:b/>
                <w:bCs/>
              </w:rPr>
            </w:pPr>
          </w:p>
        </w:tc>
        <w:tc>
          <w:tcPr>
            <w:tcW w:w="1311" w:type="dxa"/>
            <w:tcBorders>
              <w:top w:val="nil"/>
              <w:left w:val="nil"/>
              <w:bottom w:val="single" w:color="auto" w:sz="4" w:space="0"/>
              <w:right w:val="single" w:color="auto" w:sz="4" w:space="0"/>
            </w:tcBorders>
            <w:vAlign w:val="center"/>
          </w:tcPr>
          <w:p w14:paraId="3AB9AA91">
            <w:pPr>
              <w:tabs>
                <w:tab w:val="center" w:pos="4153"/>
                <w:tab w:val="right" w:pos="8306"/>
              </w:tabs>
              <w:snapToGrid w:val="0"/>
              <w:jc w:val="left"/>
              <w:rPr>
                <w:rFonts w:eastAsiaTheme="minorEastAsia"/>
                <w:b/>
                <w:bCs/>
              </w:rPr>
            </w:pPr>
            <w:r>
              <w:rPr>
                <w:rFonts w:hint="eastAsia" w:eastAsia="黑体"/>
                <w:b/>
                <w:bCs/>
              </w:rPr>
              <w:t>经办人职务</w:t>
            </w:r>
            <w:r>
              <w:rPr>
                <w:rFonts w:eastAsia="黑体"/>
                <w:bCs/>
              </w:rPr>
              <w:t xml:space="preserve">Title of </w:t>
            </w:r>
            <w:r>
              <w:rPr>
                <w:rFonts w:hint="eastAsia" w:eastAsiaTheme="minorEastAsia"/>
                <w:bCs/>
              </w:rPr>
              <w:t>Handling Person</w:t>
            </w:r>
          </w:p>
        </w:tc>
        <w:tc>
          <w:tcPr>
            <w:tcW w:w="775" w:type="dxa"/>
            <w:tcBorders>
              <w:top w:val="nil"/>
              <w:left w:val="nil"/>
              <w:bottom w:val="single" w:color="auto" w:sz="4" w:space="0"/>
              <w:right w:val="single" w:color="auto" w:sz="4" w:space="0"/>
            </w:tcBorders>
            <w:vAlign w:val="center"/>
          </w:tcPr>
          <w:p w14:paraId="041C5985">
            <w:pPr>
              <w:jc w:val="center"/>
              <w:rPr>
                <w:rFonts w:eastAsia="黑体"/>
                <w:b/>
                <w:bCs/>
              </w:rPr>
            </w:pPr>
            <w:r>
              <w:rPr>
                <w:rFonts w:hint="eastAsia" w:eastAsia="黑体"/>
                <w:b/>
                <w:bCs/>
              </w:rPr>
              <w:t>　</w:t>
            </w:r>
          </w:p>
        </w:tc>
        <w:tc>
          <w:tcPr>
            <w:tcW w:w="1276" w:type="dxa"/>
            <w:gridSpan w:val="2"/>
            <w:tcBorders>
              <w:top w:val="nil"/>
              <w:left w:val="nil"/>
              <w:bottom w:val="single" w:color="auto" w:sz="4" w:space="0"/>
              <w:right w:val="single" w:color="auto" w:sz="4" w:space="0"/>
            </w:tcBorders>
            <w:vAlign w:val="center"/>
          </w:tcPr>
          <w:p w14:paraId="50ADB6F5">
            <w:pPr>
              <w:jc w:val="left"/>
              <w:rPr>
                <w:rFonts w:eastAsia="黑体"/>
                <w:b/>
                <w:bCs/>
              </w:rPr>
            </w:pPr>
            <w:r>
              <w:rPr>
                <w:rFonts w:hint="eastAsia" w:eastAsia="黑体"/>
                <w:b/>
                <w:bCs/>
              </w:rPr>
              <w:t>经办人姓名</w:t>
            </w:r>
          </w:p>
          <w:p w14:paraId="1240BCAF">
            <w:pPr>
              <w:tabs>
                <w:tab w:val="center" w:pos="4153"/>
                <w:tab w:val="right" w:pos="8306"/>
              </w:tabs>
              <w:snapToGrid w:val="0"/>
              <w:jc w:val="left"/>
              <w:rPr>
                <w:rFonts w:eastAsiaTheme="minorEastAsia"/>
                <w:bCs/>
              </w:rPr>
            </w:pPr>
            <w:r>
              <w:rPr>
                <w:rFonts w:eastAsia="黑体"/>
                <w:bCs/>
              </w:rPr>
              <w:t xml:space="preserve">Name of </w:t>
            </w:r>
            <w:r>
              <w:rPr>
                <w:rFonts w:hint="eastAsia" w:eastAsiaTheme="minorEastAsia"/>
                <w:bCs/>
              </w:rPr>
              <w:t>Handling Person</w:t>
            </w:r>
          </w:p>
        </w:tc>
        <w:tc>
          <w:tcPr>
            <w:tcW w:w="850" w:type="dxa"/>
            <w:tcBorders>
              <w:top w:val="nil"/>
              <w:left w:val="nil"/>
              <w:bottom w:val="single" w:color="auto" w:sz="4" w:space="0"/>
              <w:right w:val="single" w:color="auto" w:sz="4" w:space="0"/>
            </w:tcBorders>
            <w:noWrap/>
            <w:vAlign w:val="bottom"/>
          </w:tcPr>
          <w:p w14:paraId="3FEF321A">
            <w:pPr>
              <w:jc w:val="left"/>
              <w:rPr>
                <w:rFonts w:eastAsia="黑体"/>
                <w:b/>
                <w:bCs/>
              </w:rPr>
            </w:pPr>
          </w:p>
        </w:tc>
        <w:tc>
          <w:tcPr>
            <w:tcW w:w="993" w:type="dxa"/>
            <w:gridSpan w:val="3"/>
            <w:tcBorders>
              <w:top w:val="nil"/>
              <w:left w:val="nil"/>
              <w:bottom w:val="single" w:color="auto" w:sz="4" w:space="0"/>
              <w:right w:val="single" w:color="auto" w:sz="4" w:space="0"/>
            </w:tcBorders>
            <w:vAlign w:val="center"/>
          </w:tcPr>
          <w:p w14:paraId="594AFA40">
            <w:pPr>
              <w:jc w:val="left"/>
              <w:rPr>
                <w:rFonts w:eastAsia="黑体"/>
                <w:b/>
                <w:bCs/>
              </w:rPr>
            </w:pPr>
            <w:r>
              <w:rPr>
                <w:rFonts w:hint="eastAsia" w:eastAsia="黑体"/>
                <w:b/>
                <w:bCs/>
              </w:rPr>
              <w:t>联系电话</w:t>
            </w:r>
          </w:p>
          <w:p w14:paraId="46122337">
            <w:pPr>
              <w:jc w:val="left"/>
              <w:rPr>
                <w:rFonts w:eastAsia="黑体"/>
                <w:bCs/>
              </w:rPr>
            </w:pPr>
            <w:r>
              <w:rPr>
                <w:rFonts w:eastAsia="黑体"/>
                <w:bCs/>
              </w:rPr>
              <w:t>Tel.</w:t>
            </w:r>
          </w:p>
        </w:tc>
        <w:tc>
          <w:tcPr>
            <w:tcW w:w="992" w:type="dxa"/>
            <w:tcBorders>
              <w:top w:val="nil"/>
              <w:left w:val="nil"/>
              <w:bottom w:val="single" w:color="auto" w:sz="4" w:space="0"/>
              <w:right w:val="single" w:color="auto" w:sz="4" w:space="0"/>
            </w:tcBorders>
            <w:vAlign w:val="center"/>
          </w:tcPr>
          <w:p w14:paraId="04835D6E">
            <w:pPr>
              <w:rPr>
                <w:rFonts w:eastAsia="黑体"/>
                <w:b/>
                <w:bCs/>
              </w:rPr>
            </w:pPr>
          </w:p>
        </w:tc>
      </w:tr>
      <w:tr w14:paraId="2F22B7C3">
        <w:tblPrEx>
          <w:tblCellMar>
            <w:top w:w="0" w:type="dxa"/>
            <w:left w:w="108" w:type="dxa"/>
            <w:bottom w:w="0" w:type="dxa"/>
            <w:right w:w="108" w:type="dxa"/>
          </w:tblCellMar>
        </w:tblPrEx>
        <w:trPr>
          <w:trHeight w:val="310" w:hRule="atLeast"/>
        </w:trPr>
        <w:tc>
          <w:tcPr>
            <w:tcW w:w="2025" w:type="dxa"/>
            <w:vMerge w:val="continue"/>
            <w:tcBorders>
              <w:top w:val="nil"/>
              <w:left w:val="single" w:color="auto" w:sz="4" w:space="0"/>
              <w:bottom w:val="single" w:color="000000" w:sz="4" w:space="0"/>
              <w:right w:val="single" w:color="auto" w:sz="4" w:space="0"/>
            </w:tcBorders>
            <w:vAlign w:val="center"/>
          </w:tcPr>
          <w:p w14:paraId="733EE4B8">
            <w:pPr>
              <w:keepNext/>
              <w:keepLines/>
              <w:spacing w:before="340" w:after="330" w:line="578" w:lineRule="auto"/>
              <w:jc w:val="left"/>
              <w:rPr>
                <w:rFonts w:eastAsia="黑体"/>
                <w:b/>
                <w:bCs/>
              </w:rPr>
            </w:pPr>
          </w:p>
        </w:tc>
        <w:tc>
          <w:tcPr>
            <w:tcW w:w="1311" w:type="dxa"/>
            <w:tcBorders>
              <w:top w:val="nil"/>
              <w:left w:val="nil"/>
              <w:bottom w:val="single" w:color="auto" w:sz="4" w:space="0"/>
              <w:right w:val="single" w:color="auto" w:sz="4" w:space="0"/>
            </w:tcBorders>
            <w:vAlign w:val="center"/>
          </w:tcPr>
          <w:p w14:paraId="0C80C11E">
            <w:pPr>
              <w:rPr>
                <w:rFonts w:eastAsia="黑体"/>
                <w:b/>
                <w:bCs/>
              </w:rPr>
            </w:pPr>
            <w:r>
              <w:rPr>
                <w:rFonts w:hint="eastAsia" w:eastAsia="黑体"/>
                <w:b/>
                <w:bCs/>
              </w:rPr>
              <w:t>传真</w:t>
            </w:r>
          </w:p>
          <w:p w14:paraId="0915406A">
            <w:pPr>
              <w:rPr>
                <w:rFonts w:eastAsia="黑体"/>
                <w:bCs/>
              </w:rPr>
            </w:pPr>
            <w:r>
              <w:rPr>
                <w:rFonts w:eastAsia="黑体"/>
                <w:bCs/>
              </w:rPr>
              <w:t>Fax</w:t>
            </w:r>
          </w:p>
        </w:tc>
        <w:tc>
          <w:tcPr>
            <w:tcW w:w="2051" w:type="dxa"/>
            <w:gridSpan w:val="3"/>
            <w:tcBorders>
              <w:top w:val="single" w:color="auto" w:sz="4" w:space="0"/>
              <w:left w:val="nil"/>
              <w:bottom w:val="single" w:color="auto" w:sz="4" w:space="0"/>
              <w:right w:val="single" w:color="auto" w:sz="4" w:space="0"/>
            </w:tcBorders>
            <w:vAlign w:val="center"/>
          </w:tcPr>
          <w:p w14:paraId="1296CC11">
            <w:pPr>
              <w:jc w:val="left"/>
              <w:rPr>
                <w:rFonts w:eastAsia="黑体"/>
                <w:b/>
                <w:bCs/>
              </w:rPr>
            </w:pPr>
            <w:r>
              <w:rPr>
                <w:rFonts w:hint="eastAsia" w:eastAsia="黑体"/>
                <w:b/>
                <w:bCs/>
              </w:rPr>
              <w:t>　</w:t>
            </w:r>
          </w:p>
        </w:tc>
        <w:tc>
          <w:tcPr>
            <w:tcW w:w="850" w:type="dxa"/>
            <w:tcBorders>
              <w:top w:val="nil"/>
              <w:left w:val="nil"/>
              <w:bottom w:val="single" w:color="auto" w:sz="4" w:space="0"/>
              <w:right w:val="single" w:color="auto" w:sz="4" w:space="0"/>
            </w:tcBorders>
            <w:vAlign w:val="center"/>
          </w:tcPr>
          <w:p w14:paraId="5831FC1B">
            <w:pPr>
              <w:jc w:val="left"/>
              <w:rPr>
                <w:rFonts w:eastAsia="黑体"/>
                <w:b/>
                <w:bCs/>
              </w:rPr>
            </w:pPr>
            <w:r>
              <w:rPr>
                <w:rFonts w:hint="eastAsia" w:eastAsia="黑体"/>
                <w:b/>
                <w:bCs/>
              </w:rPr>
              <w:t>邮件</w:t>
            </w:r>
            <w:r>
              <w:rPr>
                <w:rFonts w:eastAsia="黑体"/>
                <w:bCs/>
              </w:rPr>
              <w:t>Email</w:t>
            </w:r>
          </w:p>
        </w:tc>
        <w:tc>
          <w:tcPr>
            <w:tcW w:w="1985" w:type="dxa"/>
            <w:gridSpan w:val="4"/>
            <w:tcBorders>
              <w:top w:val="single" w:color="auto" w:sz="4" w:space="0"/>
              <w:left w:val="nil"/>
              <w:bottom w:val="single" w:color="auto" w:sz="4" w:space="0"/>
              <w:right w:val="single" w:color="auto" w:sz="4" w:space="0"/>
            </w:tcBorders>
            <w:vAlign w:val="center"/>
          </w:tcPr>
          <w:p w14:paraId="77D44710">
            <w:pPr>
              <w:jc w:val="left"/>
              <w:rPr>
                <w:rFonts w:eastAsia="黑体"/>
                <w:b/>
                <w:bCs/>
              </w:rPr>
            </w:pPr>
          </w:p>
        </w:tc>
      </w:tr>
      <w:tr w14:paraId="18171C1B">
        <w:tblPrEx>
          <w:tblCellMar>
            <w:top w:w="0" w:type="dxa"/>
            <w:left w:w="108" w:type="dxa"/>
            <w:bottom w:w="0" w:type="dxa"/>
            <w:right w:w="108" w:type="dxa"/>
          </w:tblCellMar>
        </w:tblPrEx>
        <w:trPr>
          <w:trHeight w:val="600" w:hRule="atLeast"/>
        </w:trPr>
        <w:tc>
          <w:tcPr>
            <w:tcW w:w="2025" w:type="dxa"/>
            <w:vMerge w:val="continue"/>
            <w:tcBorders>
              <w:top w:val="nil"/>
              <w:left w:val="single" w:color="auto" w:sz="4" w:space="0"/>
              <w:bottom w:val="single" w:color="000000" w:sz="4" w:space="0"/>
              <w:right w:val="single" w:color="auto" w:sz="4" w:space="0"/>
            </w:tcBorders>
            <w:vAlign w:val="center"/>
          </w:tcPr>
          <w:p w14:paraId="601CA901">
            <w:pPr>
              <w:keepNext/>
              <w:keepLines/>
              <w:spacing w:before="340" w:after="330" w:line="578" w:lineRule="auto"/>
              <w:jc w:val="left"/>
              <w:rPr>
                <w:rFonts w:eastAsia="黑体"/>
                <w:b/>
                <w:bCs/>
              </w:rPr>
            </w:pPr>
          </w:p>
        </w:tc>
        <w:tc>
          <w:tcPr>
            <w:tcW w:w="1311" w:type="dxa"/>
            <w:tcBorders>
              <w:top w:val="nil"/>
              <w:left w:val="nil"/>
              <w:bottom w:val="single" w:color="auto" w:sz="4" w:space="0"/>
              <w:right w:val="single" w:color="auto" w:sz="4" w:space="0"/>
            </w:tcBorders>
            <w:vAlign w:val="center"/>
          </w:tcPr>
          <w:p w14:paraId="54B9E8E0">
            <w:pPr>
              <w:jc w:val="left"/>
              <w:rPr>
                <w:rFonts w:eastAsia="黑体"/>
                <w:b/>
                <w:bCs/>
              </w:rPr>
            </w:pPr>
            <w:r>
              <w:rPr>
                <w:rFonts w:hint="eastAsia" w:eastAsia="黑体"/>
                <w:b/>
                <w:bCs/>
              </w:rPr>
              <w:t>详细地址</w:t>
            </w:r>
          </w:p>
          <w:p w14:paraId="180A30AF">
            <w:pPr>
              <w:jc w:val="left"/>
              <w:rPr>
                <w:rFonts w:eastAsia="黑体"/>
                <w:bCs/>
              </w:rPr>
            </w:pPr>
            <w:r>
              <w:rPr>
                <w:rFonts w:eastAsia="黑体"/>
                <w:bCs/>
              </w:rPr>
              <w:t>Address</w:t>
            </w:r>
          </w:p>
          <w:p w14:paraId="39915883">
            <w:pPr>
              <w:jc w:val="center"/>
              <w:rPr>
                <w:rFonts w:eastAsia="黑体"/>
                <w:b/>
                <w:bCs/>
              </w:rPr>
            </w:pPr>
          </w:p>
        </w:tc>
        <w:tc>
          <w:tcPr>
            <w:tcW w:w="4886" w:type="dxa"/>
            <w:gridSpan w:val="8"/>
            <w:tcBorders>
              <w:top w:val="single" w:color="auto" w:sz="4" w:space="0"/>
              <w:left w:val="nil"/>
              <w:bottom w:val="single" w:color="auto" w:sz="4" w:space="0"/>
              <w:right w:val="single" w:color="000000" w:sz="4" w:space="0"/>
            </w:tcBorders>
            <w:vAlign w:val="center"/>
          </w:tcPr>
          <w:p w14:paraId="112E1ACC">
            <w:pPr>
              <w:jc w:val="left"/>
              <w:rPr>
                <w:rFonts w:eastAsia="黑体"/>
                <w:b/>
                <w:bCs/>
              </w:rPr>
            </w:pPr>
          </w:p>
        </w:tc>
      </w:tr>
      <w:tr w14:paraId="571EA496">
        <w:tblPrEx>
          <w:tblCellMar>
            <w:top w:w="0" w:type="dxa"/>
            <w:left w:w="108" w:type="dxa"/>
            <w:bottom w:w="0" w:type="dxa"/>
            <w:right w:w="108" w:type="dxa"/>
          </w:tblCellMar>
        </w:tblPrEx>
        <w:trPr>
          <w:trHeight w:val="600" w:hRule="atLeast"/>
        </w:trPr>
        <w:tc>
          <w:tcPr>
            <w:tcW w:w="2025" w:type="dxa"/>
            <w:vMerge w:val="restart"/>
            <w:tcBorders>
              <w:top w:val="nil"/>
              <w:left w:val="single" w:color="auto" w:sz="4" w:space="0"/>
              <w:bottom w:val="single" w:color="000000" w:sz="4" w:space="0"/>
              <w:right w:val="single" w:color="auto" w:sz="4" w:space="0"/>
            </w:tcBorders>
            <w:vAlign w:val="center"/>
          </w:tcPr>
          <w:p w14:paraId="05EA3F97">
            <w:pPr>
              <w:snapToGrid w:val="0"/>
              <w:jc w:val="left"/>
              <w:rPr>
                <w:rFonts w:eastAsiaTheme="minorEastAsia"/>
                <w:b/>
                <w:bCs/>
              </w:rPr>
            </w:pPr>
            <w:r>
              <w:rPr>
                <w:rFonts w:hint="eastAsia" w:eastAsiaTheme="minorEastAsia"/>
                <w:b/>
                <w:bCs/>
              </w:rPr>
              <w:t>交易参与</w:t>
            </w:r>
            <w:r>
              <w:rPr>
                <w:rFonts w:hint="eastAsia" w:eastAsia="黑体"/>
                <w:b/>
                <w:bCs/>
              </w:rPr>
              <w:t>人</w:t>
            </w:r>
          </w:p>
          <w:p w14:paraId="0B63A1EA">
            <w:pPr>
              <w:snapToGrid w:val="0"/>
              <w:jc w:val="left"/>
              <w:rPr>
                <w:rFonts w:eastAsia="黑体"/>
                <w:b/>
                <w:bCs/>
              </w:rPr>
            </w:pPr>
            <w:r>
              <w:rPr>
                <w:rFonts w:hint="eastAsia" w:eastAsia="黑体"/>
                <w:b/>
                <w:bCs/>
              </w:rPr>
              <w:t>联系方式</w:t>
            </w:r>
          </w:p>
          <w:p w14:paraId="0CFE5148">
            <w:pPr>
              <w:snapToGrid w:val="0"/>
              <w:jc w:val="left"/>
              <w:rPr>
                <w:rFonts w:eastAsiaTheme="minorEastAsia"/>
                <w:bCs/>
              </w:rPr>
            </w:pPr>
            <w:r>
              <w:rPr>
                <w:rFonts w:eastAsia="黑体"/>
                <w:bCs/>
              </w:rPr>
              <w:t xml:space="preserve">Contact of </w:t>
            </w:r>
            <w:r>
              <w:rPr>
                <w:rFonts w:hint="eastAsia" w:eastAsiaTheme="minorEastAsia"/>
                <w:bCs/>
              </w:rPr>
              <w:t>Trading Participant</w:t>
            </w:r>
          </w:p>
        </w:tc>
        <w:tc>
          <w:tcPr>
            <w:tcW w:w="1311" w:type="dxa"/>
            <w:tcBorders>
              <w:top w:val="nil"/>
              <w:left w:val="nil"/>
              <w:bottom w:val="single" w:color="auto" w:sz="4" w:space="0"/>
              <w:right w:val="single" w:color="auto" w:sz="4" w:space="0"/>
            </w:tcBorders>
            <w:vAlign w:val="center"/>
          </w:tcPr>
          <w:p w14:paraId="77339B9F">
            <w:pPr>
              <w:snapToGrid w:val="0"/>
              <w:jc w:val="left"/>
              <w:rPr>
                <w:rFonts w:eastAsia="黑体"/>
                <w:b/>
                <w:bCs/>
              </w:rPr>
            </w:pPr>
            <w:r>
              <w:rPr>
                <w:rFonts w:hint="eastAsia" w:eastAsiaTheme="minorEastAsia"/>
                <w:b/>
                <w:bCs/>
              </w:rPr>
              <w:t>机构</w:t>
            </w:r>
            <w:r>
              <w:rPr>
                <w:rFonts w:hint="eastAsia" w:eastAsia="黑体"/>
                <w:b/>
                <w:bCs/>
              </w:rPr>
              <w:t>名称</w:t>
            </w:r>
          </w:p>
          <w:p w14:paraId="664E02C8">
            <w:pPr>
              <w:snapToGrid w:val="0"/>
              <w:jc w:val="left"/>
              <w:rPr>
                <w:rFonts w:eastAsia="黑体"/>
                <w:bCs/>
              </w:rPr>
            </w:pPr>
            <w:r>
              <w:rPr>
                <w:rFonts w:eastAsia="黑体"/>
                <w:bCs/>
              </w:rPr>
              <w:t>Company Name</w:t>
            </w:r>
          </w:p>
        </w:tc>
        <w:tc>
          <w:tcPr>
            <w:tcW w:w="4886" w:type="dxa"/>
            <w:gridSpan w:val="8"/>
            <w:tcBorders>
              <w:top w:val="single" w:color="auto" w:sz="4" w:space="0"/>
              <w:left w:val="nil"/>
              <w:bottom w:val="single" w:color="auto" w:sz="4" w:space="0"/>
              <w:right w:val="single" w:color="000000" w:sz="4" w:space="0"/>
            </w:tcBorders>
            <w:vAlign w:val="center"/>
          </w:tcPr>
          <w:p w14:paraId="597F42F0">
            <w:pPr>
              <w:snapToGrid w:val="0"/>
              <w:jc w:val="left"/>
              <w:rPr>
                <w:rFonts w:eastAsia="黑体"/>
                <w:b/>
                <w:bCs/>
              </w:rPr>
            </w:pPr>
          </w:p>
        </w:tc>
      </w:tr>
      <w:tr w14:paraId="79D93FD0">
        <w:tblPrEx>
          <w:tblCellMar>
            <w:top w:w="0" w:type="dxa"/>
            <w:left w:w="108" w:type="dxa"/>
            <w:bottom w:w="0" w:type="dxa"/>
            <w:right w:w="108" w:type="dxa"/>
          </w:tblCellMar>
        </w:tblPrEx>
        <w:trPr>
          <w:trHeight w:val="600" w:hRule="atLeast"/>
        </w:trPr>
        <w:tc>
          <w:tcPr>
            <w:tcW w:w="2025" w:type="dxa"/>
            <w:vMerge w:val="continue"/>
            <w:tcBorders>
              <w:top w:val="nil"/>
              <w:left w:val="single" w:color="auto" w:sz="4" w:space="0"/>
              <w:bottom w:val="single" w:color="000000" w:sz="4" w:space="0"/>
              <w:right w:val="single" w:color="auto" w:sz="4" w:space="0"/>
            </w:tcBorders>
            <w:vAlign w:val="center"/>
          </w:tcPr>
          <w:p w14:paraId="09367200">
            <w:pPr>
              <w:jc w:val="left"/>
              <w:rPr>
                <w:rFonts w:eastAsia="黑体"/>
                <w:b/>
                <w:bCs/>
              </w:rPr>
            </w:pPr>
          </w:p>
        </w:tc>
        <w:tc>
          <w:tcPr>
            <w:tcW w:w="1311" w:type="dxa"/>
            <w:tcBorders>
              <w:top w:val="nil"/>
              <w:left w:val="nil"/>
              <w:bottom w:val="single" w:color="auto" w:sz="4" w:space="0"/>
              <w:right w:val="single" w:color="auto" w:sz="4" w:space="0"/>
            </w:tcBorders>
            <w:vAlign w:val="center"/>
          </w:tcPr>
          <w:p w14:paraId="0FBE2985">
            <w:pPr>
              <w:jc w:val="left"/>
              <w:rPr>
                <w:rFonts w:eastAsia="黑体"/>
                <w:b/>
                <w:bCs/>
              </w:rPr>
            </w:pPr>
            <w:r>
              <w:rPr>
                <w:rFonts w:hint="eastAsia" w:eastAsia="黑体"/>
                <w:b/>
                <w:bCs/>
              </w:rPr>
              <w:t>部门名称</w:t>
            </w:r>
          </w:p>
          <w:p w14:paraId="0D67BA47">
            <w:pPr>
              <w:jc w:val="left"/>
              <w:rPr>
                <w:rFonts w:eastAsia="黑体"/>
                <w:bCs/>
              </w:rPr>
            </w:pPr>
            <w:r>
              <w:rPr>
                <w:rFonts w:eastAsia="黑体"/>
                <w:bCs/>
              </w:rPr>
              <w:t>Department Name</w:t>
            </w:r>
          </w:p>
        </w:tc>
        <w:tc>
          <w:tcPr>
            <w:tcW w:w="4886" w:type="dxa"/>
            <w:gridSpan w:val="8"/>
            <w:tcBorders>
              <w:top w:val="single" w:color="auto" w:sz="4" w:space="0"/>
              <w:left w:val="nil"/>
              <w:bottom w:val="single" w:color="auto" w:sz="4" w:space="0"/>
              <w:right w:val="single" w:color="000000" w:sz="4" w:space="0"/>
            </w:tcBorders>
            <w:vAlign w:val="center"/>
          </w:tcPr>
          <w:p w14:paraId="2B637502">
            <w:pPr>
              <w:rPr>
                <w:rFonts w:eastAsia="黑体"/>
                <w:b/>
                <w:bCs/>
              </w:rPr>
            </w:pPr>
            <w:r>
              <w:rPr>
                <w:rFonts w:hint="eastAsia" w:eastAsia="黑体"/>
                <w:b/>
                <w:bCs/>
              </w:rPr>
              <w:t>　</w:t>
            </w:r>
          </w:p>
        </w:tc>
      </w:tr>
      <w:tr w14:paraId="28B0475C">
        <w:tblPrEx>
          <w:tblCellMar>
            <w:top w:w="0" w:type="dxa"/>
            <w:left w:w="108" w:type="dxa"/>
            <w:bottom w:w="0" w:type="dxa"/>
            <w:right w:w="108" w:type="dxa"/>
          </w:tblCellMar>
        </w:tblPrEx>
        <w:trPr>
          <w:trHeight w:val="930" w:hRule="atLeast"/>
        </w:trPr>
        <w:tc>
          <w:tcPr>
            <w:tcW w:w="2025" w:type="dxa"/>
            <w:vMerge w:val="continue"/>
            <w:tcBorders>
              <w:top w:val="nil"/>
              <w:left w:val="single" w:color="auto" w:sz="4" w:space="0"/>
              <w:bottom w:val="single" w:color="000000" w:sz="4" w:space="0"/>
              <w:right w:val="single" w:color="auto" w:sz="4" w:space="0"/>
            </w:tcBorders>
            <w:vAlign w:val="center"/>
          </w:tcPr>
          <w:p w14:paraId="147D1EEC">
            <w:pPr>
              <w:keepNext/>
              <w:keepLines/>
              <w:spacing w:before="340" w:after="330" w:line="578" w:lineRule="auto"/>
              <w:jc w:val="left"/>
              <w:rPr>
                <w:rFonts w:eastAsia="黑体"/>
                <w:b/>
                <w:bCs/>
              </w:rPr>
            </w:pPr>
          </w:p>
        </w:tc>
        <w:tc>
          <w:tcPr>
            <w:tcW w:w="1311" w:type="dxa"/>
            <w:tcBorders>
              <w:top w:val="nil"/>
              <w:left w:val="nil"/>
              <w:bottom w:val="single" w:color="auto" w:sz="4" w:space="0"/>
              <w:right w:val="single" w:color="auto" w:sz="4" w:space="0"/>
            </w:tcBorders>
            <w:vAlign w:val="center"/>
          </w:tcPr>
          <w:p w14:paraId="1E535CEF">
            <w:pPr>
              <w:jc w:val="left"/>
              <w:rPr>
                <w:rFonts w:eastAsia="黑体"/>
                <w:b/>
                <w:bCs/>
              </w:rPr>
            </w:pPr>
            <w:r>
              <w:rPr>
                <w:rFonts w:hint="eastAsia" w:eastAsia="黑体"/>
                <w:b/>
                <w:bCs/>
              </w:rPr>
              <w:t>负责人职务</w:t>
            </w:r>
          </w:p>
          <w:p w14:paraId="7CE8A321">
            <w:pPr>
              <w:tabs>
                <w:tab w:val="center" w:pos="4153"/>
                <w:tab w:val="right" w:pos="8306"/>
              </w:tabs>
              <w:snapToGrid w:val="0"/>
              <w:jc w:val="left"/>
              <w:rPr>
                <w:rFonts w:eastAsiaTheme="minorEastAsia"/>
                <w:bCs/>
              </w:rPr>
            </w:pPr>
            <w:r>
              <w:rPr>
                <w:rFonts w:eastAsia="黑体"/>
                <w:bCs/>
              </w:rPr>
              <w:t>Title of Person</w:t>
            </w:r>
            <w:r>
              <w:rPr>
                <w:rFonts w:hint="eastAsia" w:eastAsiaTheme="minorEastAsia"/>
                <w:bCs/>
              </w:rPr>
              <w:t xml:space="preserve"> in Charge</w:t>
            </w:r>
          </w:p>
        </w:tc>
        <w:tc>
          <w:tcPr>
            <w:tcW w:w="775" w:type="dxa"/>
            <w:tcBorders>
              <w:top w:val="nil"/>
              <w:left w:val="nil"/>
              <w:bottom w:val="single" w:color="auto" w:sz="4" w:space="0"/>
              <w:right w:val="single" w:color="auto" w:sz="4" w:space="0"/>
            </w:tcBorders>
            <w:vAlign w:val="center"/>
          </w:tcPr>
          <w:p w14:paraId="7B9D8C8B">
            <w:pPr>
              <w:jc w:val="center"/>
              <w:rPr>
                <w:rFonts w:eastAsia="黑体"/>
                <w:b/>
                <w:bCs/>
              </w:rPr>
            </w:pPr>
          </w:p>
        </w:tc>
        <w:tc>
          <w:tcPr>
            <w:tcW w:w="1276" w:type="dxa"/>
            <w:gridSpan w:val="2"/>
            <w:tcBorders>
              <w:top w:val="nil"/>
              <w:left w:val="nil"/>
              <w:bottom w:val="single" w:color="auto" w:sz="4" w:space="0"/>
              <w:right w:val="single" w:color="auto" w:sz="4" w:space="0"/>
            </w:tcBorders>
            <w:vAlign w:val="center"/>
          </w:tcPr>
          <w:p w14:paraId="6FCCA7E4">
            <w:pPr>
              <w:jc w:val="left"/>
              <w:rPr>
                <w:rFonts w:eastAsia="黑体"/>
                <w:b/>
                <w:bCs/>
              </w:rPr>
            </w:pPr>
            <w:r>
              <w:rPr>
                <w:rFonts w:hint="eastAsia" w:eastAsia="黑体"/>
                <w:b/>
                <w:bCs/>
              </w:rPr>
              <w:t>负责人姓名</w:t>
            </w:r>
          </w:p>
          <w:p w14:paraId="5FCE2452">
            <w:pPr>
              <w:tabs>
                <w:tab w:val="center" w:pos="4153"/>
                <w:tab w:val="right" w:pos="8306"/>
              </w:tabs>
              <w:snapToGrid w:val="0"/>
              <w:jc w:val="left"/>
              <w:rPr>
                <w:rFonts w:eastAsiaTheme="minorEastAsia"/>
                <w:bCs/>
              </w:rPr>
            </w:pPr>
            <w:r>
              <w:rPr>
                <w:rFonts w:eastAsia="黑体"/>
                <w:bCs/>
              </w:rPr>
              <w:t>Name</w:t>
            </w:r>
            <w:r>
              <w:rPr>
                <w:rFonts w:hint="eastAsia" w:eastAsiaTheme="minorEastAsia"/>
                <w:bCs/>
              </w:rPr>
              <w:t xml:space="preserve"> of Person in Charge</w:t>
            </w:r>
          </w:p>
        </w:tc>
        <w:tc>
          <w:tcPr>
            <w:tcW w:w="850" w:type="dxa"/>
            <w:tcBorders>
              <w:top w:val="nil"/>
              <w:left w:val="nil"/>
              <w:bottom w:val="single" w:color="auto" w:sz="4" w:space="0"/>
              <w:right w:val="single" w:color="auto" w:sz="4" w:space="0"/>
            </w:tcBorders>
            <w:noWrap/>
            <w:vAlign w:val="bottom"/>
          </w:tcPr>
          <w:p w14:paraId="1292248C">
            <w:pPr>
              <w:jc w:val="left"/>
              <w:rPr>
                <w:rFonts w:eastAsia="黑体"/>
                <w:b/>
                <w:bCs/>
              </w:rPr>
            </w:pPr>
          </w:p>
        </w:tc>
        <w:tc>
          <w:tcPr>
            <w:tcW w:w="993" w:type="dxa"/>
            <w:gridSpan w:val="3"/>
            <w:tcBorders>
              <w:top w:val="nil"/>
              <w:left w:val="nil"/>
              <w:bottom w:val="single" w:color="auto" w:sz="4" w:space="0"/>
              <w:right w:val="single" w:color="auto" w:sz="4" w:space="0"/>
            </w:tcBorders>
            <w:vAlign w:val="center"/>
          </w:tcPr>
          <w:p w14:paraId="4B5034A2">
            <w:pPr>
              <w:jc w:val="left"/>
              <w:rPr>
                <w:rFonts w:eastAsia="黑体"/>
                <w:b/>
                <w:bCs/>
              </w:rPr>
            </w:pPr>
            <w:r>
              <w:rPr>
                <w:rFonts w:hint="eastAsia" w:eastAsia="黑体"/>
                <w:b/>
                <w:bCs/>
              </w:rPr>
              <w:t>联系电话</w:t>
            </w:r>
          </w:p>
          <w:p w14:paraId="624AF2CA">
            <w:pPr>
              <w:jc w:val="left"/>
              <w:rPr>
                <w:rFonts w:eastAsia="黑体"/>
                <w:bCs/>
              </w:rPr>
            </w:pPr>
            <w:r>
              <w:rPr>
                <w:rFonts w:eastAsia="黑体"/>
                <w:bCs/>
              </w:rPr>
              <w:t>Tel.</w:t>
            </w:r>
          </w:p>
        </w:tc>
        <w:tc>
          <w:tcPr>
            <w:tcW w:w="992" w:type="dxa"/>
            <w:tcBorders>
              <w:top w:val="nil"/>
              <w:left w:val="nil"/>
              <w:bottom w:val="single" w:color="auto" w:sz="4" w:space="0"/>
              <w:right w:val="single" w:color="auto" w:sz="4" w:space="0"/>
            </w:tcBorders>
            <w:vAlign w:val="center"/>
          </w:tcPr>
          <w:p w14:paraId="7472DA85">
            <w:pPr>
              <w:jc w:val="center"/>
              <w:rPr>
                <w:rFonts w:eastAsia="黑体"/>
                <w:b/>
                <w:bCs/>
              </w:rPr>
            </w:pPr>
          </w:p>
        </w:tc>
      </w:tr>
      <w:tr w14:paraId="19E36B4C">
        <w:tblPrEx>
          <w:tblCellMar>
            <w:top w:w="0" w:type="dxa"/>
            <w:left w:w="108" w:type="dxa"/>
            <w:bottom w:w="0" w:type="dxa"/>
            <w:right w:w="108" w:type="dxa"/>
          </w:tblCellMar>
        </w:tblPrEx>
        <w:trPr>
          <w:trHeight w:val="620" w:hRule="atLeast"/>
        </w:trPr>
        <w:tc>
          <w:tcPr>
            <w:tcW w:w="2025" w:type="dxa"/>
            <w:vMerge w:val="continue"/>
            <w:tcBorders>
              <w:top w:val="nil"/>
              <w:left w:val="single" w:color="auto" w:sz="4" w:space="0"/>
              <w:bottom w:val="single" w:color="000000" w:sz="4" w:space="0"/>
              <w:right w:val="single" w:color="auto" w:sz="4" w:space="0"/>
            </w:tcBorders>
            <w:vAlign w:val="center"/>
          </w:tcPr>
          <w:p w14:paraId="1DFCD329">
            <w:pPr>
              <w:keepNext/>
              <w:keepLines/>
              <w:spacing w:before="340" w:after="330" w:line="578" w:lineRule="auto"/>
              <w:jc w:val="left"/>
              <w:rPr>
                <w:rFonts w:eastAsia="黑体"/>
                <w:b/>
                <w:bCs/>
              </w:rPr>
            </w:pPr>
          </w:p>
        </w:tc>
        <w:tc>
          <w:tcPr>
            <w:tcW w:w="1311" w:type="dxa"/>
            <w:tcBorders>
              <w:top w:val="nil"/>
              <w:left w:val="nil"/>
              <w:bottom w:val="single" w:color="auto" w:sz="4" w:space="0"/>
              <w:right w:val="single" w:color="auto" w:sz="4" w:space="0"/>
            </w:tcBorders>
            <w:vAlign w:val="center"/>
          </w:tcPr>
          <w:p w14:paraId="3FA9A4E5">
            <w:pPr>
              <w:jc w:val="left"/>
              <w:rPr>
                <w:rFonts w:eastAsiaTheme="minorEastAsia"/>
                <w:b/>
                <w:bCs/>
              </w:rPr>
            </w:pPr>
            <w:r>
              <w:rPr>
                <w:rFonts w:hint="eastAsia" w:eastAsia="黑体"/>
                <w:b/>
                <w:bCs/>
              </w:rPr>
              <w:t>经办人职务</w:t>
            </w:r>
            <w:r>
              <w:rPr>
                <w:rFonts w:eastAsia="黑体"/>
                <w:bCs/>
              </w:rPr>
              <w:t xml:space="preserve">Title of </w:t>
            </w:r>
            <w:r>
              <w:rPr>
                <w:rFonts w:hint="eastAsia" w:eastAsiaTheme="minorEastAsia"/>
                <w:bCs/>
              </w:rPr>
              <w:t>Handling Person</w:t>
            </w:r>
          </w:p>
        </w:tc>
        <w:tc>
          <w:tcPr>
            <w:tcW w:w="775" w:type="dxa"/>
            <w:tcBorders>
              <w:top w:val="nil"/>
              <w:left w:val="nil"/>
              <w:bottom w:val="single" w:color="auto" w:sz="4" w:space="0"/>
              <w:right w:val="single" w:color="auto" w:sz="4" w:space="0"/>
            </w:tcBorders>
            <w:vAlign w:val="center"/>
          </w:tcPr>
          <w:p w14:paraId="3B7C9CFA">
            <w:pPr>
              <w:jc w:val="center"/>
              <w:rPr>
                <w:rFonts w:eastAsia="黑体"/>
                <w:b/>
                <w:bCs/>
              </w:rPr>
            </w:pPr>
            <w:r>
              <w:rPr>
                <w:rFonts w:hint="eastAsia" w:eastAsia="黑体"/>
                <w:b/>
                <w:bCs/>
              </w:rPr>
              <w:t>　</w:t>
            </w:r>
          </w:p>
        </w:tc>
        <w:tc>
          <w:tcPr>
            <w:tcW w:w="1276" w:type="dxa"/>
            <w:gridSpan w:val="2"/>
            <w:tcBorders>
              <w:top w:val="nil"/>
              <w:left w:val="nil"/>
              <w:bottom w:val="single" w:color="auto" w:sz="4" w:space="0"/>
              <w:right w:val="single" w:color="auto" w:sz="4" w:space="0"/>
            </w:tcBorders>
            <w:vAlign w:val="center"/>
          </w:tcPr>
          <w:p w14:paraId="6FAD6F6A">
            <w:pPr>
              <w:jc w:val="left"/>
              <w:rPr>
                <w:rFonts w:eastAsia="黑体"/>
                <w:b/>
                <w:bCs/>
              </w:rPr>
            </w:pPr>
            <w:r>
              <w:rPr>
                <w:rFonts w:hint="eastAsia" w:eastAsia="黑体"/>
                <w:b/>
                <w:bCs/>
              </w:rPr>
              <w:t>经办人姓名</w:t>
            </w:r>
          </w:p>
          <w:p w14:paraId="3046EBEB">
            <w:pPr>
              <w:jc w:val="left"/>
              <w:rPr>
                <w:rFonts w:eastAsiaTheme="minorEastAsia"/>
                <w:bCs/>
              </w:rPr>
            </w:pPr>
            <w:r>
              <w:rPr>
                <w:rFonts w:eastAsia="黑体"/>
                <w:bCs/>
              </w:rPr>
              <w:t xml:space="preserve">Name of </w:t>
            </w:r>
            <w:r>
              <w:rPr>
                <w:rFonts w:hint="eastAsia" w:eastAsiaTheme="minorEastAsia"/>
                <w:bCs/>
              </w:rPr>
              <w:t>Handling Person</w:t>
            </w:r>
          </w:p>
        </w:tc>
        <w:tc>
          <w:tcPr>
            <w:tcW w:w="850" w:type="dxa"/>
            <w:tcBorders>
              <w:top w:val="nil"/>
              <w:left w:val="nil"/>
              <w:bottom w:val="single" w:color="auto" w:sz="4" w:space="0"/>
              <w:right w:val="single" w:color="auto" w:sz="4" w:space="0"/>
            </w:tcBorders>
            <w:noWrap/>
            <w:vAlign w:val="bottom"/>
          </w:tcPr>
          <w:p w14:paraId="50E3C88D">
            <w:pPr>
              <w:jc w:val="left"/>
              <w:rPr>
                <w:rFonts w:eastAsia="黑体"/>
                <w:b/>
                <w:bCs/>
              </w:rPr>
            </w:pPr>
          </w:p>
        </w:tc>
        <w:tc>
          <w:tcPr>
            <w:tcW w:w="993" w:type="dxa"/>
            <w:gridSpan w:val="3"/>
            <w:tcBorders>
              <w:top w:val="nil"/>
              <w:left w:val="nil"/>
              <w:bottom w:val="single" w:color="auto" w:sz="4" w:space="0"/>
              <w:right w:val="single" w:color="auto" w:sz="4" w:space="0"/>
            </w:tcBorders>
            <w:vAlign w:val="center"/>
          </w:tcPr>
          <w:p w14:paraId="278A64E5">
            <w:pPr>
              <w:jc w:val="left"/>
              <w:rPr>
                <w:rFonts w:eastAsia="黑体"/>
                <w:b/>
                <w:bCs/>
              </w:rPr>
            </w:pPr>
            <w:r>
              <w:rPr>
                <w:rFonts w:hint="eastAsia" w:eastAsia="黑体"/>
                <w:b/>
                <w:bCs/>
              </w:rPr>
              <w:t>联系电话</w:t>
            </w:r>
          </w:p>
          <w:p w14:paraId="02C71841">
            <w:pPr>
              <w:jc w:val="left"/>
              <w:rPr>
                <w:rFonts w:eastAsia="黑体"/>
                <w:bCs/>
              </w:rPr>
            </w:pPr>
            <w:r>
              <w:rPr>
                <w:rFonts w:eastAsia="黑体"/>
                <w:bCs/>
              </w:rPr>
              <w:t>Tel.</w:t>
            </w:r>
          </w:p>
        </w:tc>
        <w:tc>
          <w:tcPr>
            <w:tcW w:w="992" w:type="dxa"/>
            <w:tcBorders>
              <w:top w:val="nil"/>
              <w:left w:val="nil"/>
              <w:bottom w:val="single" w:color="auto" w:sz="4" w:space="0"/>
              <w:right w:val="single" w:color="auto" w:sz="4" w:space="0"/>
            </w:tcBorders>
            <w:vAlign w:val="center"/>
          </w:tcPr>
          <w:p w14:paraId="25A03CF1">
            <w:pPr>
              <w:rPr>
                <w:rFonts w:eastAsia="黑体"/>
                <w:b/>
                <w:bCs/>
              </w:rPr>
            </w:pPr>
          </w:p>
        </w:tc>
      </w:tr>
      <w:tr w14:paraId="583BEBDE">
        <w:tblPrEx>
          <w:tblCellMar>
            <w:top w:w="0" w:type="dxa"/>
            <w:left w:w="108" w:type="dxa"/>
            <w:bottom w:w="0" w:type="dxa"/>
            <w:right w:w="108" w:type="dxa"/>
          </w:tblCellMar>
        </w:tblPrEx>
        <w:trPr>
          <w:trHeight w:val="310" w:hRule="atLeast"/>
        </w:trPr>
        <w:tc>
          <w:tcPr>
            <w:tcW w:w="2025" w:type="dxa"/>
            <w:vMerge w:val="continue"/>
            <w:tcBorders>
              <w:top w:val="nil"/>
              <w:left w:val="single" w:color="auto" w:sz="4" w:space="0"/>
              <w:bottom w:val="single" w:color="000000" w:sz="4" w:space="0"/>
              <w:right w:val="single" w:color="auto" w:sz="4" w:space="0"/>
            </w:tcBorders>
            <w:vAlign w:val="center"/>
          </w:tcPr>
          <w:p w14:paraId="56649EE2">
            <w:pPr>
              <w:keepNext/>
              <w:keepLines/>
              <w:spacing w:before="340" w:after="330" w:line="578" w:lineRule="auto"/>
              <w:jc w:val="left"/>
              <w:rPr>
                <w:rFonts w:eastAsia="黑体"/>
                <w:b/>
                <w:bCs/>
              </w:rPr>
            </w:pPr>
          </w:p>
        </w:tc>
        <w:tc>
          <w:tcPr>
            <w:tcW w:w="1311" w:type="dxa"/>
            <w:tcBorders>
              <w:top w:val="nil"/>
              <w:left w:val="nil"/>
              <w:bottom w:val="single" w:color="auto" w:sz="4" w:space="0"/>
              <w:right w:val="single" w:color="auto" w:sz="4" w:space="0"/>
            </w:tcBorders>
            <w:vAlign w:val="center"/>
          </w:tcPr>
          <w:p w14:paraId="2C2EAF0E">
            <w:pPr>
              <w:rPr>
                <w:rFonts w:eastAsia="黑体"/>
                <w:b/>
                <w:bCs/>
              </w:rPr>
            </w:pPr>
            <w:r>
              <w:rPr>
                <w:rFonts w:hint="eastAsia" w:eastAsia="黑体"/>
                <w:b/>
                <w:bCs/>
              </w:rPr>
              <w:t>传真</w:t>
            </w:r>
          </w:p>
          <w:p w14:paraId="713EC4EB">
            <w:pPr>
              <w:rPr>
                <w:rFonts w:eastAsia="黑体"/>
                <w:bCs/>
              </w:rPr>
            </w:pPr>
            <w:r>
              <w:rPr>
                <w:rFonts w:eastAsia="黑体"/>
                <w:bCs/>
              </w:rPr>
              <w:t>Fax</w:t>
            </w:r>
          </w:p>
        </w:tc>
        <w:tc>
          <w:tcPr>
            <w:tcW w:w="2051" w:type="dxa"/>
            <w:gridSpan w:val="3"/>
            <w:tcBorders>
              <w:top w:val="single" w:color="auto" w:sz="4" w:space="0"/>
              <w:left w:val="nil"/>
              <w:bottom w:val="single" w:color="auto" w:sz="4" w:space="0"/>
              <w:right w:val="single" w:color="auto" w:sz="4" w:space="0"/>
            </w:tcBorders>
            <w:vAlign w:val="center"/>
          </w:tcPr>
          <w:p w14:paraId="4D6F9D85">
            <w:pPr>
              <w:jc w:val="left"/>
              <w:rPr>
                <w:rFonts w:eastAsia="黑体"/>
                <w:b/>
                <w:bCs/>
              </w:rPr>
            </w:pPr>
            <w:r>
              <w:rPr>
                <w:rFonts w:hint="eastAsia" w:eastAsia="黑体"/>
                <w:b/>
                <w:bCs/>
              </w:rPr>
              <w:t>　</w:t>
            </w:r>
          </w:p>
        </w:tc>
        <w:tc>
          <w:tcPr>
            <w:tcW w:w="850" w:type="dxa"/>
            <w:tcBorders>
              <w:top w:val="nil"/>
              <w:left w:val="nil"/>
              <w:bottom w:val="single" w:color="auto" w:sz="4" w:space="0"/>
              <w:right w:val="single" w:color="auto" w:sz="4" w:space="0"/>
            </w:tcBorders>
            <w:vAlign w:val="center"/>
          </w:tcPr>
          <w:p w14:paraId="2040CAAE">
            <w:pPr>
              <w:jc w:val="left"/>
              <w:rPr>
                <w:rFonts w:eastAsia="黑体"/>
                <w:b/>
                <w:bCs/>
              </w:rPr>
            </w:pPr>
            <w:r>
              <w:rPr>
                <w:rFonts w:hint="eastAsia" w:eastAsia="黑体"/>
                <w:b/>
                <w:bCs/>
              </w:rPr>
              <w:t>邮件</w:t>
            </w:r>
            <w:r>
              <w:rPr>
                <w:rFonts w:eastAsia="黑体"/>
                <w:bCs/>
              </w:rPr>
              <w:t>Email</w:t>
            </w:r>
          </w:p>
        </w:tc>
        <w:tc>
          <w:tcPr>
            <w:tcW w:w="1985" w:type="dxa"/>
            <w:gridSpan w:val="4"/>
            <w:tcBorders>
              <w:top w:val="single" w:color="auto" w:sz="4" w:space="0"/>
              <w:left w:val="nil"/>
              <w:bottom w:val="single" w:color="auto" w:sz="4" w:space="0"/>
              <w:right w:val="single" w:color="auto" w:sz="4" w:space="0"/>
            </w:tcBorders>
            <w:vAlign w:val="center"/>
          </w:tcPr>
          <w:p w14:paraId="7C258CB7">
            <w:pPr>
              <w:jc w:val="left"/>
              <w:rPr>
                <w:rFonts w:eastAsia="黑体"/>
                <w:b/>
                <w:bCs/>
              </w:rPr>
            </w:pPr>
          </w:p>
        </w:tc>
      </w:tr>
      <w:tr w14:paraId="7BB0BCC4">
        <w:tblPrEx>
          <w:tblCellMar>
            <w:top w:w="0" w:type="dxa"/>
            <w:left w:w="108" w:type="dxa"/>
            <w:bottom w:w="0" w:type="dxa"/>
            <w:right w:w="108" w:type="dxa"/>
          </w:tblCellMar>
        </w:tblPrEx>
        <w:trPr>
          <w:trHeight w:val="600" w:hRule="atLeast"/>
        </w:trPr>
        <w:tc>
          <w:tcPr>
            <w:tcW w:w="2025" w:type="dxa"/>
            <w:vMerge w:val="continue"/>
            <w:tcBorders>
              <w:top w:val="nil"/>
              <w:left w:val="single" w:color="auto" w:sz="4" w:space="0"/>
              <w:bottom w:val="single" w:color="000000" w:sz="4" w:space="0"/>
              <w:right w:val="single" w:color="auto" w:sz="4" w:space="0"/>
            </w:tcBorders>
            <w:vAlign w:val="center"/>
          </w:tcPr>
          <w:p w14:paraId="5BF33AFC">
            <w:pPr>
              <w:keepNext/>
              <w:keepLines/>
              <w:spacing w:before="340" w:after="330" w:line="578" w:lineRule="auto"/>
              <w:jc w:val="left"/>
              <w:rPr>
                <w:rFonts w:eastAsia="黑体"/>
                <w:b/>
                <w:bCs/>
              </w:rPr>
            </w:pPr>
          </w:p>
        </w:tc>
        <w:tc>
          <w:tcPr>
            <w:tcW w:w="1311" w:type="dxa"/>
            <w:tcBorders>
              <w:top w:val="nil"/>
              <w:left w:val="nil"/>
              <w:bottom w:val="single" w:color="auto" w:sz="4" w:space="0"/>
              <w:right w:val="single" w:color="auto" w:sz="4" w:space="0"/>
            </w:tcBorders>
            <w:vAlign w:val="center"/>
          </w:tcPr>
          <w:p w14:paraId="5AA29178">
            <w:pPr>
              <w:jc w:val="left"/>
              <w:rPr>
                <w:rFonts w:eastAsia="黑体"/>
                <w:b/>
                <w:bCs/>
              </w:rPr>
            </w:pPr>
            <w:r>
              <w:rPr>
                <w:rFonts w:hint="eastAsia" w:eastAsia="黑体"/>
                <w:b/>
                <w:bCs/>
              </w:rPr>
              <w:t>详细地址</w:t>
            </w:r>
          </w:p>
          <w:p w14:paraId="363744B0">
            <w:pPr>
              <w:jc w:val="left"/>
              <w:rPr>
                <w:rFonts w:eastAsia="黑体"/>
                <w:bCs/>
              </w:rPr>
            </w:pPr>
            <w:r>
              <w:rPr>
                <w:rFonts w:eastAsia="黑体"/>
                <w:bCs/>
              </w:rPr>
              <w:t>Address</w:t>
            </w:r>
          </w:p>
          <w:p w14:paraId="6B6FD567">
            <w:pPr>
              <w:jc w:val="center"/>
              <w:rPr>
                <w:rFonts w:eastAsia="黑体"/>
                <w:b/>
                <w:bCs/>
              </w:rPr>
            </w:pPr>
          </w:p>
        </w:tc>
        <w:tc>
          <w:tcPr>
            <w:tcW w:w="4886" w:type="dxa"/>
            <w:gridSpan w:val="8"/>
            <w:tcBorders>
              <w:top w:val="single" w:color="auto" w:sz="4" w:space="0"/>
              <w:left w:val="nil"/>
              <w:bottom w:val="single" w:color="auto" w:sz="4" w:space="0"/>
              <w:right w:val="single" w:color="000000" w:sz="4" w:space="0"/>
            </w:tcBorders>
            <w:vAlign w:val="center"/>
          </w:tcPr>
          <w:p w14:paraId="22CA5E80">
            <w:pPr>
              <w:jc w:val="left"/>
              <w:rPr>
                <w:rFonts w:eastAsia="黑体"/>
                <w:b/>
                <w:bCs/>
              </w:rPr>
            </w:pPr>
          </w:p>
        </w:tc>
      </w:tr>
      <w:tr w14:paraId="1F43EFA7">
        <w:tblPrEx>
          <w:tblCellMar>
            <w:top w:w="0" w:type="dxa"/>
            <w:left w:w="108" w:type="dxa"/>
            <w:bottom w:w="0" w:type="dxa"/>
            <w:right w:w="108" w:type="dxa"/>
          </w:tblCellMar>
        </w:tblPrEx>
        <w:trPr>
          <w:trHeight w:val="620" w:hRule="atLeast"/>
        </w:trPr>
        <w:tc>
          <w:tcPr>
            <w:tcW w:w="2025" w:type="dxa"/>
            <w:tcBorders>
              <w:top w:val="nil"/>
              <w:left w:val="single" w:color="auto" w:sz="4" w:space="0"/>
              <w:bottom w:val="single" w:color="auto" w:sz="4" w:space="0"/>
              <w:right w:val="single" w:color="auto" w:sz="4" w:space="0"/>
            </w:tcBorders>
            <w:vAlign w:val="center"/>
          </w:tcPr>
          <w:p w14:paraId="26BEAA02">
            <w:pPr>
              <w:jc w:val="left"/>
              <w:rPr>
                <w:rFonts w:eastAsia="黑体"/>
                <w:b/>
                <w:bCs/>
              </w:rPr>
            </w:pPr>
            <w:r>
              <w:rPr>
                <w:rFonts w:hint="eastAsia" w:eastAsiaTheme="minorEastAsia"/>
                <w:b/>
                <w:bCs/>
              </w:rPr>
              <w:t>报送</w:t>
            </w:r>
            <w:r>
              <w:rPr>
                <w:rFonts w:hint="eastAsia" w:eastAsia="黑体"/>
                <w:b/>
                <w:bCs/>
              </w:rPr>
              <w:t>机构</w:t>
            </w:r>
          </w:p>
          <w:p w14:paraId="05AF3CBA">
            <w:pPr>
              <w:jc w:val="left"/>
              <w:rPr>
                <w:rFonts w:eastAsia="黑体"/>
                <w:bCs/>
              </w:rPr>
            </w:pPr>
            <w:r>
              <w:rPr>
                <w:rFonts w:eastAsia="黑体"/>
                <w:bCs/>
              </w:rPr>
              <w:t>Name of Submitting Institution</w:t>
            </w:r>
          </w:p>
        </w:tc>
        <w:tc>
          <w:tcPr>
            <w:tcW w:w="6197" w:type="dxa"/>
            <w:gridSpan w:val="9"/>
            <w:tcBorders>
              <w:top w:val="single" w:color="auto" w:sz="4" w:space="0"/>
              <w:left w:val="nil"/>
              <w:bottom w:val="single" w:color="auto" w:sz="4" w:space="0"/>
              <w:right w:val="single" w:color="000000" w:sz="4" w:space="0"/>
            </w:tcBorders>
            <w:vAlign w:val="center"/>
          </w:tcPr>
          <w:p w14:paraId="5145BEA7">
            <w:pPr>
              <w:jc w:val="left"/>
              <w:rPr>
                <w:rFonts w:eastAsia="黑体"/>
                <w:b/>
                <w:bCs/>
              </w:rPr>
            </w:pPr>
            <w:r>
              <w:rPr>
                <w:rFonts w:hint="eastAsia" w:eastAsia="黑体"/>
                <w:b/>
                <w:bCs/>
              </w:rPr>
              <w:t>　</w:t>
            </w:r>
          </w:p>
        </w:tc>
      </w:tr>
      <w:tr w14:paraId="6402DF78">
        <w:tblPrEx>
          <w:tblCellMar>
            <w:top w:w="0" w:type="dxa"/>
            <w:left w:w="108" w:type="dxa"/>
            <w:bottom w:w="0" w:type="dxa"/>
            <w:right w:w="108" w:type="dxa"/>
          </w:tblCellMar>
        </w:tblPrEx>
        <w:trPr>
          <w:trHeight w:val="620" w:hRule="atLeast"/>
        </w:trPr>
        <w:tc>
          <w:tcPr>
            <w:tcW w:w="2025" w:type="dxa"/>
            <w:tcBorders>
              <w:top w:val="nil"/>
              <w:left w:val="single" w:color="auto" w:sz="4" w:space="0"/>
              <w:bottom w:val="single" w:color="auto" w:sz="4" w:space="0"/>
              <w:right w:val="single" w:color="auto" w:sz="4" w:space="0"/>
            </w:tcBorders>
            <w:noWrap/>
            <w:vAlign w:val="bottom"/>
          </w:tcPr>
          <w:p w14:paraId="0AEE2D7D">
            <w:pPr>
              <w:jc w:val="left"/>
              <w:rPr>
                <w:rFonts w:eastAsia="黑体"/>
                <w:b/>
                <w:bCs/>
              </w:rPr>
            </w:pPr>
            <w:r>
              <w:rPr>
                <w:rFonts w:hint="eastAsia" w:eastAsia="黑体"/>
                <w:b/>
                <w:bCs/>
              </w:rPr>
              <w:t>提交人及联系方式</w:t>
            </w:r>
          </w:p>
          <w:p w14:paraId="560FA60E">
            <w:pPr>
              <w:jc w:val="left"/>
              <w:rPr>
                <w:rFonts w:eastAsia="黑体"/>
                <w:bCs/>
              </w:rPr>
            </w:pPr>
            <w:r>
              <w:rPr>
                <w:rFonts w:eastAsia="黑体"/>
                <w:bCs/>
              </w:rPr>
              <w:t>Name and Contact of Submitter</w:t>
            </w:r>
          </w:p>
        </w:tc>
        <w:tc>
          <w:tcPr>
            <w:tcW w:w="3048" w:type="dxa"/>
            <w:gridSpan w:val="3"/>
            <w:tcBorders>
              <w:top w:val="single" w:color="auto" w:sz="4" w:space="0"/>
              <w:left w:val="nil"/>
              <w:bottom w:val="single" w:color="auto" w:sz="4" w:space="0"/>
              <w:right w:val="single" w:color="000000" w:sz="4" w:space="0"/>
            </w:tcBorders>
            <w:noWrap/>
            <w:vAlign w:val="bottom"/>
          </w:tcPr>
          <w:p w14:paraId="1C0C85AB">
            <w:pPr>
              <w:jc w:val="left"/>
              <w:rPr>
                <w:rFonts w:eastAsia="黑体"/>
                <w:b/>
                <w:bCs/>
              </w:rPr>
            </w:pPr>
            <w:r>
              <w:rPr>
                <w:rFonts w:hint="eastAsia" w:eastAsia="黑体"/>
                <w:b/>
                <w:bCs/>
              </w:rPr>
              <w:t>　</w:t>
            </w:r>
          </w:p>
        </w:tc>
        <w:tc>
          <w:tcPr>
            <w:tcW w:w="1208" w:type="dxa"/>
            <w:gridSpan w:val="3"/>
            <w:tcBorders>
              <w:top w:val="nil"/>
              <w:left w:val="nil"/>
              <w:bottom w:val="single" w:color="auto" w:sz="4" w:space="0"/>
              <w:right w:val="single" w:color="auto" w:sz="4" w:space="0"/>
            </w:tcBorders>
            <w:vAlign w:val="center"/>
          </w:tcPr>
          <w:p w14:paraId="60D454B5">
            <w:pPr>
              <w:jc w:val="left"/>
              <w:rPr>
                <w:rFonts w:eastAsia="黑体"/>
                <w:b/>
                <w:bCs/>
              </w:rPr>
            </w:pPr>
            <w:r>
              <w:rPr>
                <w:rFonts w:hint="eastAsia" w:eastAsiaTheme="minorEastAsia"/>
                <w:b/>
                <w:bCs/>
              </w:rPr>
              <w:t>报送</w:t>
            </w:r>
            <w:r>
              <w:rPr>
                <w:rFonts w:hint="eastAsia" w:eastAsia="黑体"/>
                <w:b/>
                <w:bCs/>
              </w:rPr>
              <w:t>日期</w:t>
            </w:r>
          </w:p>
          <w:p w14:paraId="246A4F6B">
            <w:pPr>
              <w:jc w:val="left"/>
              <w:rPr>
                <w:rFonts w:eastAsia="黑体"/>
                <w:bCs/>
              </w:rPr>
            </w:pPr>
            <w:r>
              <w:rPr>
                <w:rFonts w:hint="eastAsia" w:eastAsiaTheme="minorEastAsia"/>
                <w:bCs/>
              </w:rPr>
              <w:t>Submission</w:t>
            </w:r>
            <w:r>
              <w:rPr>
                <w:rFonts w:eastAsia="黑体"/>
                <w:bCs/>
              </w:rPr>
              <w:t xml:space="preserve"> Date</w:t>
            </w:r>
          </w:p>
        </w:tc>
        <w:tc>
          <w:tcPr>
            <w:tcW w:w="1941" w:type="dxa"/>
            <w:gridSpan w:val="3"/>
            <w:tcBorders>
              <w:top w:val="single" w:color="auto" w:sz="4" w:space="0"/>
              <w:left w:val="nil"/>
              <w:bottom w:val="single" w:color="auto" w:sz="4" w:space="0"/>
              <w:right w:val="single" w:color="000000" w:sz="4" w:space="0"/>
            </w:tcBorders>
            <w:vAlign w:val="center"/>
          </w:tcPr>
          <w:p w14:paraId="1DB61E4D">
            <w:pPr>
              <w:jc w:val="left"/>
              <w:rPr>
                <w:rFonts w:eastAsia="黑体"/>
                <w:b/>
                <w:bCs/>
              </w:rPr>
            </w:pPr>
            <w:r>
              <w:rPr>
                <w:rFonts w:hint="eastAsia" w:eastAsia="黑体"/>
                <w:b/>
                <w:bCs/>
              </w:rPr>
              <w:t>年月日</w:t>
            </w:r>
          </w:p>
          <w:p w14:paraId="14B41CCB">
            <w:pPr>
              <w:jc w:val="left"/>
              <w:rPr>
                <w:rFonts w:eastAsia="黑体"/>
                <w:b/>
                <w:bCs/>
              </w:rPr>
            </w:pPr>
            <w:r>
              <w:rPr>
                <w:rFonts w:eastAsia="黑体"/>
                <w:bCs/>
              </w:rPr>
              <w:t>Year/Month/Date</w:t>
            </w:r>
          </w:p>
        </w:tc>
      </w:tr>
    </w:tbl>
    <w:p w14:paraId="7FB2FE19">
      <w:pPr>
        <w:pStyle w:val="92"/>
        <w:spacing w:line="560" w:lineRule="exact"/>
        <w:ind w:left="0" w:firstLine="0"/>
        <w:rPr>
          <w:rFonts w:ascii="仿宋_GB2312" w:hAnsi="黑体" w:eastAsia="仿宋_GB2312"/>
          <w:b/>
          <w:sz w:val="36"/>
          <w:szCs w:val="36"/>
          <w:lang w:eastAsia="zh-CN"/>
        </w:rPr>
      </w:pPr>
      <w:r>
        <w:rPr>
          <w:rFonts w:hint="eastAsia" w:eastAsia="黑体"/>
          <w:b/>
        </w:rPr>
        <w:t>盖章</w:t>
      </w:r>
      <w:r>
        <w:rPr>
          <w:rFonts w:eastAsia="黑体"/>
          <w:b/>
        </w:rPr>
        <w:t>/</w:t>
      </w:r>
      <w:r>
        <w:rPr>
          <w:rFonts w:hint="eastAsia" w:eastAsia="黑体"/>
          <w:b/>
        </w:rPr>
        <w:t>签字</w:t>
      </w:r>
      <w:r>
        <w:rPr>
          <w:rFonts w:hint="eastAsia" w:eastAsia="黑体"/>
          <w:b/>
          <w:lang w:eastAsia="zh-CN"/>
        </w:rPr>
        <w:t>（</w:t>
      </w:r>
      <w:r>
        <w:rPr>
          <w:rFonts w:eastAsia="黑体"/>
          <w:b/>
        </w:rPr>
        <w:t>Official Seal/Signature</w:t>
      </w:r>
      <w:r>
        <w:rPr>
          <w:rFonts w:hint="eastAsia" w:eastAsia="黑体"/>
          <w:b/>
          <w:lang w:eastAsia="zh-CN"/>
        </w:rPr>
        <w:t>）</w:t>
      </w:r>
      <w:r>
        <w:rPr>
          <w:rFonts w:eastAsia="黑体"/>
          <w:b/>
        </w:rPr>
        <w:t>:</w:t>
      </w:r>
    </w:p>
    <w:p w14:paraId="0E42FF74">
      <w:pPr>
        <w:pStyle w:val="92"/>
        <w:spacing w:line="560" w:lineRule="exact"/>
        <w:ind w:left="0" w:firstLine="0"/>
        <w:rPr>
          <w:rFonts w:ascii="仿宋_GB2312" w:hAnsi="黑体" w:eastAsia="仿宋_GB2312"/>
          <w:b/>
          <w:sz w:val="36"/>
          <w:szCs w:val="36"/>
          <w:lang w:eastAsia="zh-CN"/>
        </w:rPr>
      </w:pPr>
    </w:p>
    <w:p w14:paraId="6C2D48AB">
      <w:pPr>
        <w:outlineLvl w:val="1"/>
        <w:rPr>
          <w:rFonts w:hAnsi="黑体"/>
          <w:b/>
          <w:sz w:val="30"/>
          <w:szCs w:val="30"/>
        </w:rPr>
      </w:pPr>
      <w:r>
        <w:rPr>
          <w:b/>
          <w:sz w:val="30"/>
          <w:szCs w:val="30"/>
        </w:rPr>
        <w:br w:type="page"/>
      </w:r>
      <w:bookmarkStart w:id="3781" w:name="_Toc1661706961"/>
      <w:bookmarkStart w:id="3782" w:name="_Toc400620555"/>
      <w:bookmarkStart w:id="3783" w:name="_Toc1568965170"/>
      <w:bookmarkStart w:id="3784" w:name="_Toc151137085"/>
      <w:bookmarkStart w:id="3785" w:name="_Toc710376400"/>
      <w:r>
        <w:rPr>
          <w:rFonts w:hint="eastAsia" w:ascii="仿宋_GB2312" w:hAnsi="黑体" w:eastAsia="仿宋_GB2312"/>
          <w:b/>
          <w:sz w:val="30"/>
          <w:szCs w:val="30"/>
        </w:rPr>
        <w:t>附件5 资金前端控制设置流程说明</w:t>
      </w:r>
      <w:bookmarkEnd w:id="3781"/>
      <w:bookmarkEnd w:id="3782"/>
      <w:bookmarkEnd w:id="3783"/>
      <w:bookmarkEnd w:id="3784"/>
      <w:bookmarkEnd w:id="3785"/>
    </w:p>
    <w:p w14:paraId="4E58613F">
      <w:pPr>
        <w:pStyle w:val="90"/>
        <w:adjustRightInd w:val="0"/>
        <w:snapToGrid w:val="0"/>
        <w:spacing w:line="600" w:lineRule="exact"/>
        <w:ind w:firstLine="883"/>
        <w:jc w:val="center"/>
        <w:rPr>
          <w:rFonts w:ascii="黑体" w:hAnsi="黑体" w:eastAsia="黑体"/>
          <w:b/>
          <w:sz w:val="44"/>
          <w:szCs w:val="44"/>
        </w:rPr>
      </w:pPr>
    </w:p>
    <w:p w14:paraId="58305F8F">
      <w:pPr>
        <w:pStyle w:val="90"/>
        <w:adjustRightInd w:val="0"/>
        <w:snapToGrid w:val="0"/>
        <w:spacing w:line="600" w:lineRule="exact"/>
        <w:ind w:firstLine="883"/>
        <w:jc w:val="center"/>
        <w:rPr>
          <w:rFonts w:ascii="黑体" w:hAnsi="黑体" w:eastAsia="黑体"/>
          <w:b/>
          <w:sz w:val="44"/>
          <w:szCs w:val="44"/>
        </w:rPr>
      </w:pPr>
      <w:r>
        <w:rPr>
          <w:rFonts w:hint="eastAsia" w:ascii="黑体" w:hAnsi="黑体" w:eastAsia="黑体"/>
          <w:b/>
          <w:sz w:val="44"/>
          <w:szCs w:val="44"/>
        </w:rPr>
        <w:t>资金前端控制设置流程说明</w:t>
      </w:r>
    </w:p>
    <w:p w14:paraId="1B9FBFAA">
      <w:pPr>
        <w:pStyle w:val="90"/>
        <w:adjustRightInd w:val="0"/>
        <w:snapToGrid w:val="0"/>
        <w:spacing w:line="600" w:lineRule="exact"/>
        <w:ind w:firstLine="602"/>
        <w:rPr>
          <w:rFonts w:hAnsi="Times New Roman"/>
          <w:b/>
          <w:sz w:val="30"/>
          <w:szCs w:val="30"/>
        </w:rPr>
      </w:pPr>
    </w:p>
    <w:p w14:paraId="7B720D56">
      <w:pPr>
        <w:pStyle w:val="90"/>
        <w:spacing w:line="600" w:lineRule="exact"/>
        <w:ind w:firstLine="602"/>
        <w:rPr>
          <w:rFonts w:hAnsi="Times New Roman"/>
          <w:sz w:val="30"/>
          <w:szCs w:val="30"/>
        </w:rPr>
      </w:pPr>
      <w:bookmarkStart w:id="3786" w:name="_Toc513119170"/>
      <w:bookmarkStart w:id="3787" w:name="_Toc510065092"/>
      <w:r>
        <w:rPr>
          <w:rFonts w:hint="eastAsia" w:hAnsi="Times New Roman"/>
          <w:b/>
          <w:sz w:val="30"/>
          <w:szCs w:val="30"/>
        </w:rPr>
        <w:t>一、最高额度申报</w:t>
      </w:r>
      <w:bookmarkEnd w:id="3786"/>
      <w:bookmarkEnd w:id="3787"/>
    </w:p>
    <w:p w14:paraId="5973FCF3">
      <w:pPr>
        <w:pStyle w:val="90"/>
        <w:spacing w:line="600" w:lineRule="exact"/>
        <w:ind w:firstLine="600"/>
        <w:rPr>
          <w:rFonts w:hAnsi="Times New Roman"/>
          <w:sz w:val="30"/>
          <w:szCs w:val="30"/>
        </w:rPr>
      </w:pPr>
      <w:r>
        <w:rPr>
          <w:rFonts w:hint="eastAsia" w:hAnsi="Times New Roman"/>
          <w:sz w:val="30"/>
          <w:szCs w:val="30"/>
        </w:rPr>
        <w:t>债券交易参与人通过结算参与人向</w:t>
      </w:r>
      <w:r>
        <w:rPr>
          <w:rFonts w:hint="eastAsia" w:hAnsi="Calibri"/>
          <w:kern w:val="2"/>
          <w:sz w:val="30"/>
          <w:szCs w:val="30"/>
        </w:rPr>
        <w:t>登记结算机构</w:t>
      </w:r>
      <w:r>
        <w:rPr>
          <w:rFonts w:hint="eastAsia" w:hAnsi="Times New Roman"/>
          <w:sz w:val="30"/>
          <w:szCs w:val="30"/>
        </w:rPr>
        <w:t>进行最高额度申报。申报方式由《中国证券登记结算有限责任公司上海分公司证券交易资金前端风险控制业务指南》具体规定。最高额度的常规申报于次一交易日生效。</w:t>
      </w:r>
    </w:p>
    <w:p w14:paraId="44693B1F">
      <w:pPr>
        <w:pStyle w:val="90"/>
        <w:spacing w:line="600" w:lineRule="exact"/>
        <w:ind w:firstLine="600"/>
        <w:rPr>
          <w:rFonts w:hAnsi="Times New Roman"/>
          <w:sz w:val="30"/>
          <w:szCs w:val="30"/>
        </w:rPr>
      </w:pPr>
      <w:r>
        <w:rPr>
          <w:rFonts w:hint="eastAsia" w:hAnsi="Times New Roman"/>
          <w:sz w:val="30"/>
          <w:szCs w:val="30"/>
        </w:rPr>
        <w:t>债券交易参与人可以按前述方式对最高额度进行盘中紧急调整。紧急调整后的最高额度实时生效，并持续有效。</w:t>
      </w:r>
    </w:p>
    <w:p w14:paraId="661CE736">
      <w:pPr>
        <w:pStyle w:val="90"/>
        <w:spacing w:line="600" w:lineRule="exact"/>
        <w:ind w:firstLine="602"/>
        <w:rPr>
          <w:rFonts w:hAnsi="Times New Roman"/>
          <w:sz w:val="30"/>
          <w:szCs w:val="30"/>
        </w:rPr>
      </w:pPr>
      <w:bookmarkStart w:id="3788" w:name="_Toc510065093"/>
      <w:bookmarkStart w:id="3789" w:name="_Toc513119171"/>
      <w:r>
        <w:rPr>
          <w:rFonts w:hint="eastAsia" w:hAnsi="Times New Roman"/>
          <w:b/>
          <w:sz w:val="30"/>
          <w:szCs w:val="30"/>
        </w:rPr>
        <w:t>二、自设额度申报</w:t>
      </w:r>
      <w:bookmarkEnd w:id="3788"/>
      <w:bookmarkEnd w:id="3789"/>
    </w:p>
    <w:p w14:paraId="701EF5D0">
      <w:pPr>
        <w:pStyle w:val="90"/>
        <w:spacing w:line="600" w:lineRule="exact"/>
        <w:ind w:firstLine="600"/>
        <w:rPr>
          <w:rFonts w:hAnsi="Times New Roman"/>
          <w:sz w:val="30"/>
          <w:szCs w:val="30"/>
        </w:rPr>
      </w:pPr>
      <w:r>
        <w:rPr>
          <w:rFonts w:hint="eastAsia" w:hAnsi="Times New Roman"/>
          <w:sz w:val="30"/>
          <w:szCs w:val="30"/>
        </w:rPr>
        <w:t>债券交易参与人应当根据自身业务和风控需要，及时向本所申报关联交易单元自设额度。债券交易参与人可通过常规申报或应急申报两种方式向本所申报自设额度。</w:t>
      </w:r>
    </w:p>
    <w:p w14:paraId="265A4E1B">
      <w:pPr>
        <w:pStyle w:val="90"/>
        <w:spacing w:line="600" w:lineRule="exact"/>
        <w:ind w:firstLine="602"/>
        <w:rPr>
          <w:rFonts w:hAnsi="Times New Roman"/>
          <w:b/>
          <w:sz w:val="30"/>
          <w:szCs w:val="30"/>
        </w:rPr>
      </w:pPr>
      <w:r>
        <w:rPr>
          <w:rFonts w:hint="eastAsia" w:hAnsi="Times New Roman"/>
          <w:b/>
          <w:sz w:val="30"/>
          <w:szCs w:val="30"/>
        </w:rPr>
        <w:t>（一）自设额度常规申报</w:t>
      </w:r>
    </w:p>
    <w:p w14:paraId="570E65AE">
      <w:pPr>
        <w:pStyle w:val="90"/>
        <w:spacing w:line="600" w:lineRule="exact"/>
        <w:ind w:firstLine="600"/>
        <w:rPr>
          <w:rFonts w:hAnsi="Times New Roman"/>
          <w:sz w:val="30"/>
          <w:szCs w:val="30"/>
        </w:rPr>
      </w:pPr>
      <w:r>
        <w:rPr>
          <w:rFonts w:hAnsi="Times New Roman"/>
          <w:sz w:val="30"/>
          <w:szCs w:val="30"/>
        </w:rPr>
        <w:t xml:space="preserve">1. </w:t>
      </w:r>
      <w:r>
        <w:rPr>
          <w:rFonts w:hint="eastAsia" w:hAnsi="Times New Roman"/>
          <w:sz w:val="30"/>
          <w:szCs w:val="30"/>
        </w:rPr>
        <w:t>申报方式</w:t>
      </w:r>
    </w:p>
    <w:p w14:paraId="1D9CFECE">
      <w:pPr>
        <w:pStyle w:val="90"/>
        <w:spacing w:line="600" w:lineRule="exact"/>
        <w:ind w:firstLine="600"/>
        <w:rPr>
          <w:rFonts w:hAnsi="Times New Roman"/>
          <w:sz w:val="30"/>
          <w:szCs w:val="30"/>
        </w:rPr>
      </w:pPr>
      <w:r>
        <w:rPr>
          <w:rFonts w:hint="eastAsia" w:hAnsi="Times New Roman"/>
          <w:sz w:val="30"/>
          <w:szCs w:val="30"/>
        </w:rPr>
        <w:t>债券交易参与人可通过本所会员专区“业务办理—资金前端控制业务办理-全天控制自设额度申报”进行自设额度的常规申报，申报时间为每个交易日的9:00至16:30。交易参与人可以在申报时间段内重复申报，本所以最后一次申报为准。16:30后，本所会员专区不再接受自设额度的相关申报。</w:t>
      </w:r>
    </w:p>
    <w:p w14:paraId="24DDDE0F">
      <w:pPr>
        <w:pStyle w:val="90"/>
        <w:spacing w:line="600" w:lineRule="exact"/>
        <w:ind w:firstLine="600"/>
        <w:rPr>
          <w:rFonts w:hAnsi="Times New Roman"/>
          <w:sz w:val="30"/>
          <w:szCs w:val="30"/>
        </w:rPr>
      </w:pPr>
      <w:r>
        <w:rPr>
          <w:rFonts w:hint="eastAsia" w:hAnsi="Times New Roman"/>
          <w:sz w:val="30"/>
          <w:szCs w:val="30"/>
        </w:rPr>
        <w:t>债券交易参与人申报设定关联交易单元的自设额度的具体操作流程参见本所《会籍业务网上办理指引》“全天控制自设额度申报”章节。</w:t>
      </w:r>
    </w:p>
    <w:tbl>
      <w:tblPr>
        <w:tblStyle w:val="43"/>
        <w:tblW w:w="8495" w:type="dxa"/>
        <w:tblInd w:w="0" w:type="dxa"/>
        <w:tblBorders>
          <w:top w:val="dashed" w:color="auto" w:sz="4" w:space="0"/>
          <w:left w:val="dashed" w:color="auto" w:sz="4" w:space="0"/>
          <w:bottom w:val="dashed" w:color="auto" w:sz="4" w:space="0"/>
          <w:right w:val="dashed" w:color="auto" w:sz="4" w:space="0"/>
          <w:insideH w:val="none" w:color="auto" w:sz="0" w:space="0"/>
          <w:insideV w:val="dashed" w:color="auto" w:sz="4" w:space="0"/>
        </w:tblBorders>
        <w:tblLayout w:type="autofit"/>
        <w:tblCellMar>
          <w:top w:w="0" w:type="dxa"/>
          <w:left w:w="108" w:type="dxa"/>
          <w:bottom w:w="0" w:type="dxa"/>
          <w:right w:w="108" w:type="dxa"/>
        </w:tblCellMar>
      </w:tblPr>
      <w:tblGrid>
        <w:gridCol w:w="8522"/>
      </w:tblGrid>
      <w:tr w14:paraId="29108EB1">
        <w:tblPrEx>
          <w:tblBorders>
            <w:top w:val="dashed" w:color="auto" w:sz="4" w:space="0"/>
            <w:left w:val="dashed" w:color="auto" w:sz="4" w:space="0"/>
            <w:bottom w:val="dashed" w:color="auto" w:sz="4" w:space="0"/>
            <w:right w:val="dashed" w:color="auto" w:sz="4" w:space="0"/>
            <w:insideH w:val="none" w:color="auto" w:sz="0" w:space="0"/>
            <w:insideV w:val="dashed" w:color="auto" w:sz="4" w:space="0"/>
          </w:tblBorders>
          <w:tblCellMar>
            <w:top w:w="0" w:type="dxa"/>
            <w:left w:w="108" w:type="dxa"/>
            <w:bottom w:w="0" w:type="dxa"/>
            <w:right w:w="108" w:type="dxa"/>
          </w:tblCellMar>
        </w:tblPrEx>
        <w:trPr>
          <w:trHeight w:val="465" w:hRule="atLeast"/>
        </w:trPr>
        <w:tc>
          <w:tcPr>
            <w:tcW w:w="8495" w:type="dxa"/>
          </w:tcPr>
          <w:p w14:paraId="793C6EC7">
            <w:pPr>
              <w:pStyle w:val="90"/>
              <w:spacing w:line="600" w:lineRule="exact"/>
              <w:ind w:firstLine="600"/>
              <w:rPr>
                <w:rFonts w:hAnsi="Times New Roman"/>
                <w:sz w:val="30"/>
                <w:szCs w:val="30"/>
              </w:rPr>
            </w:pPr>
            <w:r>
              <w:rPr>
                <w:rFonts w:hint="eastAsia" w:hAnsi="Times New Roman"/>
                <w:sz w:val="30"/>
                <w:szCs w:val="30"/>
              </w:rPr>
              <w:t>《上海证券交易所会籍业务网上办理指引》网址为：</w:t>
            </w:r>
          </w:p>
        </w:tc>
      </w:tr>
      <w:tr w14:paraId="1F36EE62">
        <w:tblPrEx>
          <w:tblBorders>
            <w:top w:val="dashed" w:color="auto" w:sz="4" w:space="0"/>
            <w:left w:val="dashed" w:color="auto" w:sz="4" w:space="0"/>
            <w:bottom w:val="dashed" w:color="auto" w:sz="4" w:space="0"/>
            <w:right w:val="dashed" w:color="auto" w:sz="4" w:space="0"/>
            <w:insideH w:val="none" w:color="auto" w:sz="0" w:space="0"/>
            <w:insideV w:val="dashed" w:color="auto" w:sz="4" w:space="0"/>
          </w:tblBorders>
          <w:tblCellMar>
            <w:top w:w="0" w:type="dxa"/>
            <w:left w:w="108" w:type="dxa"/>
            <w:bottom w:w="0" w:type="dxa"/>
            <w:right w:w="108" w:type="dxa"/>
          </w:tblCellMar>
        </w:tblPrEx>
        <w:trPr>
          <w:trHeight w:val="309" w:hRule="atLeast"/>
        </w:trPr>
        <w:tc>
          <w:tcPr>
            <w:tcW w:w="8495" w:type="dxa"/>
          </w:tcPr>
          <w:p w14:paraId="09E67D3D">
            <w:pPr>
              <w:pStyle w:val="90"/>
              <w:spacing w:line="600" w:lineRule="exact"/>
              <w:rPr>
                <w:rFonts w:hAnsi="Times New Roman"/>
                <w:sz w:val="30"/>
                <w:szCs w:val="30"/>
              </w:rPr>
            </w:pPr>
            <w:r>
              <w:fldChar w:fldCharType="begin"/>
            </w:r>
            <w:r>
              <w:instrText xml:space="preserve"> HYPERLINK "http://www.sse.com.cn/lawandrules/guide/hyznlc/c/4469202.doc" </w:instrText>
            </w:r>
            <w:r>
              <w:fldChar w:fldCharType="separate"/>
            </w:r>
            <w:r>
              <w:rPr>
                <w:rStyle w:val="51"/>
                <w:rFonts w:hAnsi="Times New Roman"/>
                <w:sz w:val="30"/>
                <w:szCs w:val="30"/>
              </w:rPr>
              <w:t>http://www.sse.com.cn/lawandrules/guide/hyznlc/c/4469202.doc</w:t>
            </w:r>
            <w:r>
              <w:rPr>
                <w:rStyle w:val="51"/>
                <w:rFonts w:hAnsi="Times New Roman"/>
                <w:sz w:val="30"/>
                <w:szCs w:val="30"/>
              </w:rPr>
              <w:fldChar w:fldCharType="end"/>
            </w:r>
          </w:p>
        </w:tc>
      </w:tr>
    </w:tbl>
    <w:p w14:paraId="4B863851">
      <w:pPr>
        <w:pStyle w:val="90"/>
        <w:spacing w:line="600" w:lineRule="exact"/>
        <w:ind w:firstLine="600"/>
        <w:rPr>
          <w:rFonts w:hAnsi="Times New Roman"/>
          <w:sz w:val="30"/>
          <w:szCs w:val="30"/>
        </w:rPr>
      </w:pPr>
      <w:r>
        <w:rPr>
          <w:rFonts w:hint="eastAsia" w:hAnsi="Times New Roman"/>
          <w:sz w:val="30"/>
          <w:szCs w:val="30"/>
        </w:rPr>
        <w:t>债券交易参与人未申报的，自设额度将被设置为对应关联交易单元的最高额度。</w:t>
      </w:r>
    </w:p>
    <w:p w14:paraId="21E1A664">
      <w:pPr>
        <w:pStyle w:val="90"/>
        <w:spacing w:line="600" w:lineRule="exact"/>
        <w:ind w:firstLine="600"/>
        <w:rPr>
          <w:rFonts w:hAnsi="Times New Roman"/>
          <w:sz w:val="30"/>
          <w:szCs w:val="30"/>
        </w:rPr>
      </w:pPr>
      <w:r>
        <w:rPr>
          <w:rFonts w:hAnsi="Times New Roman"/>
          <w:sz w:val="30"/>
          <w:szCs w:val="30"/>
        </w:rPr>
        <w:t xml:space="preserve">2. </w:t>
      </w:r>
      <w:r>
        <w:rPr>
          <w:rFonts w:hint="eastAsia" w:hAnsi="Times New Roman"/>
          <w:sz w:val="30"/>
          <w:szCs w:val="30"/>
        </w:rPr>
        <w:t>生效时间</w:t>
      </w:r>
    </w:p>
    <w:p w14:paraId="06A88099">
      <w:pPr>
        <w:pStyle w:val="90"/>
        <w:spacing w:line="600" w:lineRule="exact"/>
        <w:ind w:firstLine="600"/>
        <w:rPr>
          <w:rFonts w:hAnsi="Times New Roman"/>
          <w:sz w:val="30"/>
          <w:szCs w:val="30"/>
        </w:rPr>
      </w:pPr>
      <w:r>
        <w:rPr>
          <w:rFonts w:hint="eastAsia" w:hAnsi="Times New Roman"/>
          <w:sz w:val="30"/>
          <w:szCs w:val="30"/>
        </w:rPr>
        <w:t>符合要求的自设额度将于次一交易日起持续有效。</w:t>
      </w:r>
    </w:p>
    <w:p w14:paraId="3DD38D2F">
      <w:pPr>
        <w:pStyle w:val="90"/>
        <w:spacing w:line="600" w:lineRule="exact"/>
        <w:ind w:firstLine="600"/>
        <w:rPr>
          <w:rFonts w:hAnsi="Times New Roman"/>
          <w:sz w:val="30"/>
          <w:szCs w:val="30"/>
        </w:rPr>
      </w:pPr>
      <w:r>
        <w:rPr>
          <w:rFonts w:hAnsi="Times New Roman"/>
          <w:sz w:val="30"/>
          <w:szCs w:val="30"/>
        </w:rPr>
        <w:t xml:space="preserve">3. </w:t>
      </w:r>
      <w:r>
        <w:rPr>
          <w:rFonts w:hint="eastAsia" w:hAnsi="Times New Roman"/>
          <w:sz w:val="30"/>
          <w:szCs w:val="30"/>
        </w:rPr>
        <w:t>申报校验</w:t>
      </w:r>
    </w:p>
    <w:p w14:paraId="7396C2D8">
      <w:pPr>
        <w:pStyle w:val="90"/>
        <w:spacing w:line="600" w:lineRule="exact"/>
        <w:ind w:firstLine="600"/>
        <w:rPr>
          <w:rFonts w:hAnsi="Times New Roman"/>
          <w:sz w:val="30"/>
          <w:szCs w:val="30"/>
        </w:rPr>
      </w:pPr>
      <w:r>
        <w:rPr>
          <w:rFonts w:hint="eastAsia" w:hAnsi="Times New Roman"/>
          <w:sz w:val="30"/>
          <w:szCs w:val="30"/>
        </w:rPr>
        <w:t>申报的自设额度不得高于对应的最高额度，若申报的自设额度超过其生效日对应的关联交易单元最高额度，该自设额度申报无效，下一交易日本所将按最近一次生效的自设额度进行前端控制。</w:t>
      </w:r>
    </w:p>
    <w:p w14:paraId="265B05AD">
      <w:pPr>
        <w:pStyle w:val="90"/>
        <w:spacing w:line="600" w:lineRule="exact"/>
        <w:ind w:firstLine="600"/>
        <w:rPr>
          <w:rFonts w:hAnsi="Times New Roman"/>
          <w:sz w:val="30"/>
          <w:szCs w:val="30"/>
        </w:rPr>
      </w:pPr>
      <w:r>
        <w:rPr>
          <w:rFonts w:hint="eastAsia" w:hAnsi="Times New Roman"/>
          <w:sz w:val="30"/>
          <w:szCs w:val="30"/>
        </w:rPr>
        <w:t>本所技术系统对债券交易参与人申报的自设额度进行提示。当申报的自设额度超过申报日最高额度（非紧急调整）的70%或100%，或申报的自设额度低于对应关联交易单元前20交易日全天净买入申报金额最高值时，本所将进行预警提示，债券交易参与人确认无误后可再提交申报。</w:t>
      </w:r>
    </w:p>
    <w:p w14:paraId="57B303F2">
      <w:pPr>
        <w:pStyle w:val="90"/>
        <w:spacing w:line="600" w:lineRule="exact"/>
        <w:ind w:firstLine="602"/>
        <w:rPr>
          <w:rFonts w:hAnsi="Times New Roman"/>
          <w:b/>
          <w:sz w:val="30"/>
          <w:szCs w:val="30"/>
        </w:rPr>
      </w:pPr>
      <w:r>
        <w:rPr>
          <w:rFonts w:hint="eastAsia" w:hAnsi="Times New Roman"/>
          <w:b/>
          <w:sz w:val="30"/>
          <w:szCs w:val="30"/>
        </w:rPr>
        <w:t>（二）自设额度应急申报</w:t>
      </w:r>
    </w:p>
    <w:p w14:paraId="1BE99907">
      <w:pPr>
        <w:pStyle w:val="90"/>
        <w:spacing w:line="600" w:lineRule="exact"/>
        <w:ind w:firstLine="600"/>
        <w:rPr>
          <w:rFonts w:hAnsi="Times New Roman"/>
          <w:sz w:val="30"/>
          <w:szCs w:val="30"/>
        </w:rPr>
      </w:pPr>
      <w:r>
        <w:rPr>
          <w:rFonts w:hint="eastAsia" w:hAnsi="Times New Roman"/>
          <w:sz w:val="30"/>
          <w:szCs w:val="30"/>
        </w:rPr>
        <w:t>1.申报方式</w:t>
      </w:r>
    </w:p>
    <w:p w14:paraId="1E7E877D">
      <w:pPr>
        <w:pStyle w:val="90"/>
        <w:spacing w:line="600" w:lineRule="exact"/>
        <w:ind w:firstLine="600"/>
        <w:rPr>
          <w:rFonts w:hAnsi="Times New Roman"/>
          <w:sz w:val="30"/>
          <w:szCs w:val="30"/>
        </w:rPr>
      </w:pPr>
      <w:r>
        <w:rPr>
          <w:rFonts w:hint="eastAsia" w:hAnsi="Times New Roman"/>
          <w:sz w:val="30"/>
          <w:szCs w:val="30"/>
        </w:rPr>
        <w:t>债券交易参与人因业务原因，需要在盘中进行自设额度应急调整的，可以在本所交易时间内通过特定交易单元以交易申报的方式向本所竞价</w:t>
      </w:r>
      <w:r>
        <w:rPr>
          <w:rFonts w:hAnsi="Times New Roman"/>
          <w:sz w:val="30"/>
          <w:szCs w:val="30"/>
        </w:rPr>
        <w:t>撮合平台</w:t>
      </w:r>
      <w:r>
        <w:rPr>
          <w:rFonts w:hint="eastAsia" w:hAnsi="Times New Roman"/>
          <w:sz w:val="30"/>
          <w:szCs w:val="30"/>
        </w:rPr>
        <w:t>提交。自设额度应急调整的申报代码为799970，申报自设额度的单位为百万元。</w:t>
      </w:r>
    </w:p>
    <w:p w14:paraId="796FDD0E">
      <w:pPr>
        <w:pStyle w:val="90"/>
        <w:spacing w:line="600" w:lineRule="exact"/>
        <w:ind w:firstLine="600"/>
        <w:rPr>
          <w:rFonts w:hAnsi="Times New Roman"/>
          <w:sz w:val="30"/>
          <w:szCs w:val="30"/>
        </w:rPr>
      </w:pPr>
      <w:r>
        <w:rPr>
          <w:rFonts w:hAnsi="Times New Roman"/>
          <w:sz w:val="30"/>
          <w:szCs w:val="30"/>
        </w:rPr>
        <w:t xml:space="preserve">2. </w:t>
      </w:r>
      <w:r>
        <w:rPr>
          <w:rFonts w:hint="eastAsia" w:hAnsi="Times New Roman"/>
          <w:sz w:val="30"/>
          <w:szCs w:val="30"/>
        </w:rPr>
        <w:t>生效时间</w:t>
      </w:r>
    </w:p>
    <w:p w14:paraId="51394C56">
      <w:pPr>
        <w:pStyle w:val="90"/>
        <w:spacing w:line="600" w:lineRule="exact"/>
        <w:ind w:firstLine="600"/>
        <w:rPr>
          <w:rFonts w:hAnsi="Times New Roman"/>
          <w:sz w:val="30"/>
          <w:szCs w:val="30"/>
        </w:rPr>
      </w:pPr>
      <w:r>
        <w:rPr>
          <w:rFonts w:hint="eastAsia" w:hAnsi="Times New Roman"/>
          <w:sz w:val="30"/>
          <w:szCs w:val="30"/>
        </w:rPr>
        <w:t>符合要求的自设额度应急申报经本所技术系统接受并进行相应设置后，实时生效，但仅当日有效。债券交易参与人应根据需要，通过自设额度的常规申报实现自设额度调整的持续有效。</w:t>
      </w:r>
    </w:p>
    <w:p w14:paraId="0E48D8E6">
      <w:pPr>
        <w:pStyle w:val="90"/>
        <w:spacing w:line="600" w:lineRule="exact"/>
        <w:ind w:firstLine="600"/>
        <w:rPr>
          <w:rFonts w:hAnsi="Times New Roman"/>
          <w:sz w:val="30"/>
          <w:szCs w:val="30"/>
        </w:rPr>
      </w:pPr>
      <w:r>
        <w:rPr>
          <w:rFonts w:hint="eastAsia" w:hAnsi="Times New Roman"/>
          <w:sz w:val="30"/>
          <w:szCs w:val="30"/>
        </w:rPr>
        <w:t>3.申报校验</w:t>
      </w:r>
    </w:p>
    <w:p w14:paraId="19FAB814">
      <w:pPr>
        <w:pStyle w:val="90"/>
        <w:spacing w:line="600" w:lineRule="exact"/>
        <w:ind w:firstLine="600"/>
        <w:rPr>
          <w:rFonts w:hAnsi="Times New Roman"/>
          <w:sz w:val="30"/>
          <w:szCs w:val="30"/>
        </w:rPr>
      </w:pPr>
      <w:r>
        <w:rPr>
          <w:rFonts w:hint="eastAsia" w:hAnsi="Times New Roman"/>
          <w:sz w:val="30"/>
          <w:szCs w:val="30"/>
        </w:rPr>
        <w:t>应急申报的自设额度不得高于该控制类别的最高额度，超过最高额度的应急申报将做无效处理。</w:t>
      </w:r>
    </w:p>
    <w:p w14:paraId="7A7E4BDA">
      <w:pPr>
        <w:pStyle w:val="90"/>
        <w:spacing w:line="600" w:lineRule="exact"/>
        <w:ind w:firstLine="600"/>
        <w:rPr>
          <w:rFonts w:hAnsi="Times New Roman"/>
          <w:sz w:val="30"/>
          <w:szCs w:val="30"/>
        </w:rPr>
      </w:pPr>
      <w:r>
        <w:rPr>
          <w:rFonts w:hint="eastAsia" w:hAnsi="Times New Roman"/>
          <w:sz w:val="30"/>
          <w:szCs w:val="30"/>
        </w:rPr>
        <w:t>其中，控制类别是指交易单元对应产品或业务的属性类别，分为“自营”、“经纪”、“资管”、“机构业务”四种。</w:t>
      </w:r>
    </w:p>
    <w:p w14:paraId="62BA7034">
      <w:pPr>
        <w:pStyle w:val="90"/>
        <w:spacing w:line="600" w:lineRule="exact"/>
        <w:ind w:firstLine="602"/>
        <w:rPr>
          <w:rFonts w:hAnsi="Times New Roman"/>
          <w:b/>
          <w:sz w:val="30"/>
          <w:szCs w:val="30"/>
        </w:rPr>
      </w:pPr>
      <w:r>
        <w:rPr>
          <w:rFonts w:hint="eastAsia" w:hAnsi="Times New Roman"/>
          <w:b/>
          <w:sz w:val="30"/>
          <w:szCs w:val="30"/>
        </w:rPr>
        <w:t>（三）额度调整相关说明</w:t>
      </w:r>
    </w:p>
    <w:p w14:paraId="2B815899">
      <w:pPr>
        <w:pStyle w:val="90"/>
        <w:spacing w:line="600" w:lineRule="exact"/>
        <w:ind w:firstLine="600"/>
        <w:rPr>
          <w:rFonts w:hAnsi="Times New Roman"/>
          <w:sz w:val="30"/>
          <w:szCs w:val="30"/>
        </w:rPr>
      </w:pPr>
      <w:r>
        <w:rPr>
          <w:rFonts w:hint="eastAsia" w:hAnsi="Times New Roman"/>
          <w:sz w:val="30"/>
          <w:szCs w:val="30"/>
        </w:rPr>
        <w:t>最高额度调整时，债券交易参与人应当根据最高额度调整的具体情形及时评估、调整自设额度，对未及时调整自设额度的：</w:t>
      </w:r>
    </w:p>
    <w:p w14:paraId="298DA930">
      <w:pPr>
        <w:pStyle w:val="90"/>
        <w:spacing w:line="600" w:lineRule="exact"/>
        <w:ind w:firstLine="600"/>
        <w:rPr>
          <w:rFonts w:hAnsi="Times New Roman"/>
          <w:sz w:val="30"/>
          <w:szCs w:val="30"/>
        </w:rPr>
      </w:pPr>
      <w:r>
        <w:rPr>
          <w:rFonts w:hAnsi="Times New Roman"/>
          <w:sz w:val="30"/>
          <w:szCs w:val="30"/>
        </w:rPr>
        <w:t xml:space="preserve">1. </w:t>
      </w:r>
      <w:r>
        <w:rPr>
          <w:rFonts w:hint="eastAsia" w:hAnsi="Times New Roman"/>
          <w:sz w:val="30"/>
          <w:szCs w:val="30"/>
        </w:rPr>
        <w:t>最高额度常规调整导致调整后的最高额度低于该关联交易单元自设额度，则下一交易日最高额度调整生效时，自设额度将被设置为生效后的最高额度。其中，关联交易单元是指相同机构名下且控制类别相同的一组交易单元。</w:t>
      </w:r>
    </w:p>
    <w:p w14:paraId="0851A8C0">
      <w:pPr>
        <w:pStyle w:val="90"/>
        <w:spacing w:line="600" w:lineRule="exact"/>
        <w:ind w:firstLine="600"/>
        <w:rPr>
          <w:rFonts w:hAnsi="Times New Roman"/>
          <w:sz w:val="30"/>
          <w:szCs w:val="30"/>
        </w:rPr>
      </w:pPr>
      <w:r>
        <w:rPr>
          <w:rFonts w:hAnsi="Times New Roman"/>
          <w:sz w:val="30"/>
          <w:szCs w:val="30"/>
        </w:rPr>
        <w:t xml:space="preserve">2. </w:t>
      </w:r>
      <w:r>
        <w:rPr>
          <w:rFonts w:hint="eastAsia" w:hAnsi="Times New Roman"/>
          <w:sz w:val="30"/>
          <w:szCs w:val="30"/>
        </w:rPr>
        <w:t>最高额度盘中紧急调整导致调整后的最高额度低于该关联交易单元自设额度，则最高额度紧急调整生效时，自设额度将被设置为紧急调整生效后的最高额度。</w:t>
      </w:r>
    </w:p>
    <w:p w14:paraId="538EA843">
      <w:pPr>
        <w:pStyle w:val="90"/>
        <w:spacing w:line="600" w:lineRule="exact"/>
        <w:ind w:firstLine="600"/>
        <w:rPr>
          <w:rFonts w:hAnsi="Times New Roman"/>
          <w:sz w:val="30"/>
          <w:szCs w:val="30"/>
        </w:rPr>
      </w:pPr>
      <w:r>
        <w:rPr>
          <w:rFonts w:hAnsi="Times New Roman"/>
          <w:sz w:val="30"/>
          <w:szCs w:val="30"/>
        </w:rPr>
        <w:t xml:space="preserve">3. </w:t>
      </w:r>
      <w:r>
        <w:rPr>
          <w:rFonts w:hint="eastAsia" w:hAnsi="Times New Roman"/>
          <w:sz w:val="30"/>
          <w:szCs w:val="30"/>
        </w:rPr>
        <w:t>关联交易单元最高额度盘中紧急调整导致调整后的最高额度低于该关联交易单元当前全天净买入申报金额的，最高额度盘中紧急调整有效，同时，本所对该关联交易单元的申报开始实施前端控制。</w:t>
      </w:r>
    </w:p>
    <w:p w14:paraId="6FA63A5A">
      <w:pPr>
        <w:pStyle w:val="90"/>
        <w:spacing w:line="600" w:lineRule="exact"/>
        <w:ind w:firstLine="600"/>
        <w:rPr>
          <w:rFonts w:hAnsi="Times New Roman"/>
          <w:sz w:val="30"/>
          <w:szCs w:val="30"/>
        </w:rPr>
      </w:pPr>
      <w:bookmarkStart w:id="3790" w:name="_Toc513119172"/>
      <w:r>
        <w:rPr>
          <w:rFonts w:hint="eastAsia" w:hAnsi="Times New Roman"/>
          <w:sz w:val="30"/>
          <w:szCs w:val="30"/>
        </w:rPr>
        <w:t>三、特定交易单元</w:t>
      </w:r>
      <w:bookmarkEnd w:id="3790"/>
    </w:p>
    <w:p w14:paraId="3F911224">
      <w:pPr>
        <w:pStyle w:val="90"/>
        <w:spacing w:line="600" w:lineRule="exact"/>
        <w:ind w:firstLine="600"/>
        <w:rPr>
          <w:rFonts w:hAnsi="Times New Roman"/>
          <w:sz w:val="30"/>
          <w:szCs w:val="30"/>
        </w:rPr>
      </w:pPr>
      <w:r>
        <w:rPr>
          <w:rFonts w:hint="eastAsia" w:hAnsi="Times New Roman"/>
          <w:sz w:val="30"/>
          <w:szCs w:val="30"/>
        </w:rPr>
        <w:t>债券交易参与人应当为每种控制类别指定一个特定交易单元，以用于该控制类别的自设额度盘中应急申报。</w:t>
      </w:r>
    </w:p>
    <w:p w14:paraId="28FA978D">
      <w:pPr>
        <w:pStyle w:val="90"/>
        <w:spacing w:line="600" w:lineRule="exact"/>
        <w:ind w:firstLine="600"/>
        <w:rPr>
          <w:rFonts w:hAnsi="Times New Roman"/>
          <w:sz w:val="30"/>
          <w:szCs w:val="30"/>
        </w:rPr>
      </w:pPr>
      <w:r>
        <w:rPr>
          <w:rFonts w:hint="eastAsia" w:hAnsi="Times New Roman"/>
          <w:sz w:val="30"/>
          <w:szCs w:val="30"/>
        </w:rPr>
        <w:t>每个关联交易单元只可指定该关联交易单元中的一个交易单元作为特定交易单元。本所只接受关联交易单元对应的特定交易单元提交的自设额度应急申报。</w:t>
      </w:r>
    </w:p>
    <w:p w14:paraId="361D3963">
      <w:pPr>
        <w:pStyle w:val="90"/>
        <w:spacing w:line="600" w:lineRule="exact"/>
        <w:ind w:firstLine="600"/>
        <w:rPr>
          <w:rFonts w:hAnsi="Times New Roman"/>
          <w:sz w:val="30"/>
          <w:szCs w:val="30"/>
        </w:rPr>
      </w:pPr>
      <w:r>
        <w:rPr>
          <w:rFonts w:hint="eastAsia" w:hAnsi="Times New Roman"/>
          <w:sz w:val="30"/>
          <w:szCs w:val="30"/>
        </w:rPr>
        <w:t>停用、注销及正在办理租用或退租等业务的交易单元不得指定为特定交易单元。</w:t>
      </w:r>
    </w:p>
    <w:p w14:paraId="2AFB4C28">
      <w:pPr>
        <w:pStyle w:val="90"/>
        <w:spacing w:line="600" w:lineRule="exact"/>
        <w:ind w:firstLine="600"/>
        <w:rPr>
          <w:rFonts w:hAnsi="Times New Roman"/>
          <w:sz w:val="30"/>
          <w:szCs w:val="30"/>
        </w:rPr>
      </w:pPr>
      <w:r>
        <w:rPr>
          <w:rFonts w:hint="eastAsia" w:hAnsi="Times New Roman"/>
          <w:sz w:val="30"/>
          <w:szCs w:val="30"/>
        </w:rPr>
        <w:t>特定交易单元不可办理注销、停用、退租或租用等业务。交易参与人应先完成特定交易单元的更改，方可办理上述业务。</w:t>
      </w:r>
    </w:p>
    <w:p w14:paraId="7C04C7FE">
      <w:pPr>
        <w:pStyle w:val="90"/>
        <w:spacing w:line="600" w:lineRule="exact"/>
        <w:ind w:firstLine="602"/>
        <w:rPr>
          <w:rFonts w:hAnsi="Times New Roman"/>
          <w:b/>
          <w:sz w:val="30"/>
          <w:szCs w:val="30"/>
        </w:rPr>
      </w:pPr>
      <w:r>
        <w:rPr>
          <w:rFonts w:hint="eastAsia" w:hAnsi="Times New Roman"/>
          <w:b/>
          <w:sz w:val="30"/>
          <w:szCs w:val="30"/>
        </w:rPr>
        <w:t>（一）特定交易单元的指定</w:t>
      </w:r>
    </w:p>
    <w:p w14:paraId="62E06E8C">
      <w:pPr>
        <w:pStyle w:val="90"/>
        <w:spacing w:line="600" w:lineRule="exact"/>
        <w:ind w:firstLine="600"/>
        <w:rPr>
          <w:rFonts w:hAnsi="Times New Roman"/>
          <w:sz w:val="30"/>
          <w:szCs w:val="30"/>
        </w:rPr>
      </w:pPr>
      <w:r>
        <w:rPr>
          <w:rFonts w:hint="eastAsia" w:hAnsi="Times New Roman"/>
          <w:sz w:val="30"/>
          <w:szCs w:val="30"/>
        </w:rPr>
        <w:t>债券交易参与人可于每个交易日9:00至16:30通过本所会员专区“业务办理—资金前端控制业务办理—全天控制自设额度设置特定交易单元”栏目进行指定。当日16:30之后，本所不接受特定交易单元的相关申报。</w:t>
      </w:r>
    </w:p>
    <w:p w14:paraId="0120CA7F">
      <w:pPr>
        <w:pStyle w:val="90"/>
        <w:spacing w:line="600" w:lineRule="exact"/>
        <w:ind w:firstLine="600"/>
        <w:rPr>
          <w:rFonts w:hAnsi="Times New Roman"/>
          <w:sz w:val="30"/>
          <w:szCs w:val="30"/>
        </w:rPr>
      </w:pPr>
      <w:r>
        <w:rPr>
          <w:rFonts w:hint="eastAsia" w:hAnsi="Times New Roman"/>
          <w:sz w:val="30"/>
          <w:szCs w:val="30"/>
        </w:rPr>
        <w:t>特定交易单元的指定于下一交易日生效。</w:t>
      </w:r>
    </w:p>
    <w:p w14:paraId="1F7C5AC3">
      <w:pPr>
        <w:pStyle w:val="90"/>
        <w:spacing w:line="600" w:lineRule="exact"/>
        <w:ind w:firstLine="600"/>
        <w:rPr>
          <w:rFonts w:hAnsi="Times New Roman"/>
          <w:sz w:val="30"/>
          <w:szCs w:val="30"/>
        </w:rPr>
      </w:pPr>
      <w:r>
        <w:rPr>
          <w:rFonts w:hint="eastAsia" w:hAnsi="Times New Roman"/>
          <w:sz w:val="30"/>
          <w:szCs w:val="30"/>
        </w:rPr>
        <w:t>债券交易参与人可在上述时间段内重复指定，以最后一次指定为准。</w:t>
      </w:r>
    </w:p>
    <w:p w14:paraId="17D48EA4">
      <w:pPr>
        <w:pStyle w:val="90"/>
        <w:spacing w:line="600" w:lineRule="exact"/>
        <w:ind w:firstLine="602"/>
        <w:rPr>
          <w:rFonts w:hAnsi="Times New Roman"/>
          <w:b/>
          <w:sz w:val="30"/>
          <w:szCs w:val="30"/>
        </w:rPr>
      </w:pPr>
      <w:r>
        <w:rPr>
          <w:rFonts w:hint="eastAsia" w:hAnsi="Times New Roman"/>
          <w:b/>
          <w:sz w:val="30"/>
          <w:szCs w:val="30"/>
        </w:rPr>
        <w:t>（二）</w:t>
      </w:r>
      <w:r>
        <w:rPr>
          <w:rFonts w:hAnsi="Times New Roman"/>
          <w:b/>
          <w:sz w:val="30"/>
          <w:szCs w:val="30"/>
        </w:rPr>
        <w:t xml:space="preserve"> </w:t>
      </w:r>
      <w:r>
        <w:rPr>
          <w:rFonts w:hint="eastAsia" w:hAnsi="Times New Roman"/>
          <w:b/>
          <w:sz w:val="30"/>
          <w:szCs w:val="30"/>
        </w:rPr>
        <w:t>特定交易单元的撤销</w:t>
      </w:r>
    </w:p>
    <w:p w14:paraId="077EB3D1">
      <w:pPr>
        <w:pStyle w:val="90"/>
        <w:spacing w:line="600" w:lineRule="exact"/>
        <w:ind w:firstLine="600"/>
        <w:rPr>
          <w:rFonts w:hAnsi="Times New Roman"/>
          <w:sz w:val="30"/>
          <w:szCs w:val="30"/>
        </w:rPr>
      </w:pPr>
      <w:r>
        <w:rPr>
          <w:rFonts w:hint="eastAsia" w:hAnsi="Times New Roman"/>
          <w:sz w:val="30"/>
          <w:szCs w:val="30"/>
        </w:rPr>
        <w:t>当关联交易单元中仅有一个交易单元时，才可申报撤销该关联交易单元对应的特定交易单元。</w:t>
      </w:r>
    </w:p>
    <w:p w14:paraId="04461BE1">
      <w:pPr>
        <w:pStyle w:val="90"/>
        <w:spacing w:line="600" w:lineRule="exact"/>
        <w:ind w:firstLine="600"/>
        <w:rPr>
          <w:rFonts w:hAnsi="Times New Roman"/>
          <w:sz w:val="30"/>
          <w:szCs w:val="30"/>
        </w:rPr>
      </w:pPr>
      <w:r>
        <w:rPr>
          <w:rFonts w:hint="eastAsia" w:hAnsi="Times New Roman"/>
          <w:sz w:val="30"/>
          <w:szCs w:val="30"/>
        </w:rPr>
        <w:t>债券交易参与人可于每个交易日9:00至16:30通过本所会员专区“业务办理—资金前端控制业务办理—全天控制自设额度设置特定交易单元撤销”申报撤销特定交易单元。</w:t>
      </w:r>
    </w:p>
    <w:p w14:paraId="3110765D">
      <w:pPr>
        <w:pStyle w:val="90"/>
        <w:adjustRightInd w:val="0"/>
        <w:snapToGrid w:val="0"/>
        <w:spacing w:line="600" w:lineRule="exact"/>
        <w:ind w:firstLine="600"/>
        <w:rPr>
          <w:rFonts w:hAnsi="Times New Roman"/>
          <w:sz w:val="30"/>
          <w:szCs w:val="30"/>
        </w:rPr>
      </w:pPr>
    </w:p>
    <w:p w14:paraId="68C481B1">
      <w:pPr>
        <w:pStyle w:val="90"/>
        <w:adjustRightInd w:val="0"/>
        <w:snapToGrid w:val="0"/>
        <w:spacing w:line="600" w:lineRule="exact"/>
        <w:ind w:firstLine="0" w:firstLineChars="0"/>
        <w:rPr>
          <w:rFonts w:hAnsi="Times New Roman"/>
          <w:sz w:val="30"/>
          <w:szCs w:val="30"/>
        </w:rPr>
      </w:pPr>
    </w:p>
    <w:p w14:paraId="3E302F71">
      <w:pPr>
        <w:spacing w:line="560" w:lineRule="exact"/>
        <w:ind w:firstLine="600"/>
        <w:rPr>
          <w:rFonts w:ascii="仿宋_GB2312" w:eastAsia="仿宋_GB2312"/>
          <w:sz w:val="30"/>
          <w:szCs w:val="30"/>
        </w:rPr>
      </w:pPr>
    </w:p>
    <w:p w14:paraId="141C8912">
      <w:pPr>
        <w:spacing w:line="600" w:lineRule="exact"/>
        <w:outlineLvl w:val="1"/>
        <w:rPr>
          <w:rFonts w:ascii="仿宋_GB2312" w:eastAsia="仿宋_GB2312"/>
          <w:b/>
          <w:sz w:val="30"/>
          <w:szCs w:val="30"/>
        </w:rPr>
      </w:pPr>
      <w:r>
        <w:rPr>
          <w:rFonts w:ascii="仿宋_GB2312" w:hAnsi="黑体" w:eastAsia="仿宋_GB2312"/>
          <w:b/>
          <w:sz w:val="36"/>
          <w:szCs w:val="36"/>
        </w:rPr>
        <w:br w:type="page"/>
      </w:r>
      <w:bookmarkStart w:id="3791" w:name="_Toc249863847"/>
      <w:bookmarkStart w:id="3792" w:name="_Toc1918375412"/>
      <w:bookmarkStart w:id="3793" w:name="_Toc151137086"/>
      <w:bookmarkStart w:id="3794" w:name="_Toc1615023490"/>
      <w:bookmarkStart w:id="3795" w:name="_Toc1148594991"/>
      <w:r>
        <w:rPr>
          <w:rFonts w:hint="eastAsia" w:ascii="仿宋_GB2312" w:hAnsi="黑体" w:eastAsia="仿宋_GB2312"/>
          <w:b/>
          <w:sz w:val="30"/>
          <w:szCs w:val="30"/>
        </w:rPr>
        <w:t>附件6-1 竞买预约提示</w:t>
      </w:r>
      <w:bookmarkEnd w:id="3791"/>
      <w:bookmarkEnd w:id="3792"/>
      <w:bookmarkEnd w:id="3793"/>
      <w:bookmarkEnd w:id="3794"/>
      <w:bookmarkEnd w:id="3795"/>
    </w:p>
    <w:p w14:paraId="7D83176D">
      <w:pPr>
        <w:rPr>
          <w:rFonts w:ascii="仿宋_GB2312" w:eastAsia="仿宋_GB2312"/>
          <w:b/>
          <w:sz w:val="30"/>
          <w:szCs w:val="30"/>
        </w:rPr>
      </w:pPr>
      <w:r>
        <w:rPr>
          <w:rFonts w:hint="eastAsia" w:ascii="仿宋_GB2312" w:eastAsia="仿宋_GB2312"/>
          <w:b/>
          <w:sz w:val="30"/>
          <w:szCs w:val="30"/>
        </w:rPr>
        <w:t>示例一：</w:t>
      </w:r>
    </w:p>
    <w:p w14:paraId="29E44042">
      <w:pPr>
        <w:jc w:val="center"/>
        <w:rPr>
          <w:rFonts w:ascii="黑体" w:hAnsi="黑体" w:eastAsia="黑体" w:cs="黑体"/>
          <w:b/>
          <w:sz w:val="44"/>
          <w:szCs w:val="44"/>
        </w:rPr>
      </w:pPr>
      <w:r>
        <w:rPr>
          <w:rFonts w:hint="eastAsia" w:ascii="黑体" w:hAnsi="黑体" w:eastAsia="黑体" w:cs="黑体"/>
          <w:b/>
          <w:sz w:val="44"/>
          <w:szCs w:val="44"/>
        </w:rPr>
        <w:t>关于组织开展{债券简称}（{债券代码}）竞买的提示（预约编号{YYYYMMDD}XXX号）</w:t>
      </w:r>
    </w:p>
    <w:p w14:paraId="74BDCBA2">
      <w:pPr>
        <w:ind w:left="420" w:leftChars="200" w:firstLine="420"/>
      </w:pPr>
    </w:p>
    <w:tbl>
      <w:tblPr>
        <w:tblStyle w:val="4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9"/>
        <w:gridCol w:w="6593"/>
      </w:tblGrid>
      <w:tr w14:paraId="14B86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9" w:type="dxa"/>
          </w:tcPr>
          <w:p w14:paraId="33538117">
            <w:pPr>
              <w:pStyle w:val="12"/>
              <w:ind w:firstLine="0" w:firstLineChars="0"/>
              <w:jc w:val="left"/>
              <w:rPr>
                <w:rFonts w:ascii="宋体" w:hAnsi="宋体"/>
                <w:lang w:eastAsia="en-US" w:bidi="en-US"/>
              </w:rPr>
            </w:pPr>
            <w:r>
              <w:rPr>
                <w:rFonts w:hint="eastAsia" w:ascii="宋体" w:hAnsi="宋体"/>
                <w:lang w:eastAsia="en-US" w:bidi="en-US"/>
              </w:rPr>
              <w:t>竞买预约发布日</w:t>
            </w:r>
          </w:p>
        </w:tc>
        <w:tc>
          <w:tcPr>
            <w:tcW w:w="6593" w:type="dxa"/>
          </w:tcPr>
          <w:p w14:paraId="073022AC">
            <w:pPr>
              <w:pStyle w:val="12"/>
              <w:ind w:firstLine="0" w:firstLineChars="0"/>
              <w:jc w:val="left"/>
              <w:rPr>
                <w:rFonts w:ascii="宋体" w:hAnsi="宋体"/>
                <w:lang w:eastAsia="en-US" w:bidi="en-US"/>
              </w:rPr>
            </w:pPr>
            <w:r>
              <w:rPr>
                <w:rFonts w:ascii="宋体" w:hAnsi="宋体" w:cs="宋体"/>
                <w:szCs w:val="21"/>
                <w:lang w:eastAsia="en-US" w:bidi="en-US"/>
              </w:rPr>
              <w:t>{YYYY}</w:t>
            </w:r>
            <w:r>
              <w:rPr>
                <w:rFonts w:hint="eastAsia" w:ascii="宋体" w:hAnsi="宋体" w:cs="宋体"/>
                <w:szCs w:val="21"/>
                <w:lang w:eastAsia="en-US" w:bidi="en-US"/>
              </w:rPr>
              <w:t>年</w:t>
            </w:r>
            <w:r>
              <w:rPr>
                <w:rFonts w:ascii="宋体" w:hAnsi="宋体" w:cs="宋体"/>
                <w:szCs w:val="21"/>
                <w:lang w:eastAsia="en-US" w:bidi="en-US"/>
              </w:rPr>
              <w:t>{MM}</w:t>
            </w:r>
            <w:r>
              <w:rPr>
                <w:rFonts w:hint="eastAsia" w:ascii="宋体" w:hAnsi="宋体" w:cs="宋体"/>
                <w:szCs w:val="21"/>
                <w:lang w:eastAsia="en-US" w:bidi="en-US"/>
              </w:rPr>
              <w:t>月</w:t>
            </w:r>
            <w:r>
              <w:rPr>
                <w:rFonts w:ascii="宋体" w:hAnsi="宋体" w:cs="宋体"/>
                <w:szCs w:val="21"/>
                <w:lang w:eastAsia="en-US" w:bidi="en-US"/>
              </w:rPr>
              <w:t>{DD}</w:t>
            </w:r>
            <w:r>
              <w:rPr>
                <w:rFonts w:hint="eastAsia" w:ascii="宋体" w:hAnsi="宋体" w:cs="宋体"/>
                <w:szCs w:val="21"/>
                <w:lang w:eastAsia="en-US" w:bidi="en-US"/>
              </w:rPr>
              <w:t>日</w:t>
            </w:r>
          </w:p>
        </w:tc>
      </w:tr>
      <w:tr w14:paraId="2108B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9" w:type="dxa"/>
          </w:tcPr>
          <w:p w14:paraId="74875E14">
            <w:pPr>
              <w:pStyle w:val="12"/>
              <w:ind w:firstLine="0" w:firstLineChars="0"/>
              <w:jc w:val="left"/>
              <w:rPr>
                <w:rFonts w:ascii="宋体" w:hAnsi="宋体"/>
                <w:lang w:eastAsia="en-US" w:bidi="en-US"/>
              </w:rPr>
            </w:pPr>
            <w:r>
              <w:rPr>
                <w:rFonts w:hint="eastAsia" w:ascii="宋体" w:hAnsi="宋体"/>
                <w:lang w:eastAsia="en-US" w:bidi="en-US"/>
              </w:rPr>
              <w:t>债券简称</w:t>
            </w:r>
          </w:p>
        </w:tc>
        <w:tc>
          <w:tcPr>
            <w:tcW w:w="6593" w:type="dxa"/>
          </w:tcPr>
          <w:p w14:paraId="66845E09">
            <w:pPr>
              <w:pStyle w:val="12"/>
              <w:ind w:firstLine="0" w:firstLineChars="0"/>
              <w:jc w:val="left"/>
              <w:rPr>
                <w:rFonts w:ascii="宋体" w:hAnsi="宋体" w:cs="宋体"/>
                <w:szCs w:val="21"/>
                <w:lang w:eastAsia="en-US" w:bidi="en-US"/>
              </w:rPr>
            </w:pPr>
          </w:p>
        </w:tc>
      </w:tr>
      <w:tr w14:paraId="17632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9" w:type="dxa"/>
          </w:tcPr>
          <w:p w14:paraId="30292692">
            <w:pPr>
              <w:pStyle w:val="12"/>
              <w:ind w:firstLine="0" w:firstLineChars="0"/>
              <w:jc w:val="left"/>
              <w:rPr>
                <w:rFonts w:ascii="宋体" w:hAnsi="宋体"/>
                <w:lang w:eastAsia="en-US" w:bidi="en-US"/>
              </w:rPr>
            </w:pPr>
            <w:r>
              <w:rPr>
                <w:rFonts w:hint="eastAsia" w:ascii="宋体" w:hAnsi="宋体"/>
                <w:lang w:eastAsia="en-US" w:bidi="en-US"/>
              </w:rPr>
              <w:t>债券代码</w:t>
            </w:r>
          </w:p>
        </w:tc>
        <w:tc>
          <w:tcPr>
            <w:tcW w:w="6593" w:type="dxa"/>
          </w:tcPr>
          <w:p w14:paraId="0D6CD8DA">
            <w:pPr>
              <w:pStyle w:val="12"/>
              <w:ind w:firstLine="0" w:firstLineChars="0"/>
              <w:jc w:val="left"/>
              <w:rPr>
                <w:rFonts w:ascii="宋体" w:hAnsi="宋体" w:cs="宋体"/>
                <w:szCs w:val="21"/>
                <w:lang w:eastAsia="en-US" w:bidi="en-US"/>
              </w:rPr>
            </w:pPr>
          </w:p>
        </w:tc>
      </w:tr>
      <w:tr w14:paraId="76F44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9" w:type="dxa"/>
          </w:tcPr>
          <w:p w14:paraId="3B754E8A">
            <w:pPr>
              <w:pStyle w:val="12"/>
              <w:ind w:firstLine="0" w:firstLineChars="0"/>
              <w:jc w:val="left"/>
              <w:rPr>
                <w:rFonts w:ascii="宋体" w:hAnsi="宋体"/>
                <w:lang w:eastAsia="en-US" w:bidi="en-US"/>
              </w:rPr>
            </w:pPr>
            <w:r>
              <w:rPr>
                <w:rFonts w:hint="eastAsia" w:ascii="宋体" w:hAnsi="宋体"/>
                <w:lang w:eastAsia="en-US" w:bidi="en-US"/>
              </w:rPr>
              <w:t>竞买预约编号</w:t>
            </w:r>
          </w:p>
        </w:tc>
        <w:tc>
          <w:tcPr>
            <w:tcW w:w="6593" w:type="dxa"/>
          </w:tcPr>
          <w:p w14:paraId="3C85593D">
            <w:pPr>
              <w:pStyle w:val="12"/>
              <w:ind w:firstLine="0" w:firstLineChars="0"/>
              <w:jc w:val="left"/>
              <w:rPr>
                <w:rFonts w:ascii="宋体" w:hAnsi="宋体"/>
                <w:lang w:eastAsia="en-US" w:bidi="en-US"/>
              </w:rPr>
            </w:pPr>
            <w:r>
              <w:rPr>
                <w:rFonts w:ascii="宋体" w:hAnsi="宋体" w:cs="宋体"/>
                <w:szCs w:val="21"/>
                <w:lang w:eastAsia="en-US" w:bidi="en-US"/>
              </w:rPr>
              <w:t>{YYYY</w:t>
            </w:r>
            <w:r>
              <w:rPr>
                <w:rFonts w:hint="eastAsia" w:ascii="宋体" w:hAnsi="宋体" w:cs="宋体"/>
                <w:szCs w:val="21"/>
                <w:lang w:eastAsia="en-US" w:bidi="en-US"/>
              </w:rPr>
              <w:t>MMDD</w:t>
            </w:r>
            <w:r>
              <w:rPr>
                <w:rFonts w:ascii="宋体" w:hAnsi="宋体" w:cs="宋体"/>
                <w:szCs w:val="21"/>
                <w:lang w:eastAsia="en-US" w:bidi="en-US"/>
              </w:rPr>
              <w:t>}</w:t>
            </w:r>
            <w:r>
              <w:rPr>
                <w:rFonts w:hint="eastAsia" w:ascii="宋体" w:hAnsi="宋体" w:cs="宋体"/>
                <w:szCs w:val="21"/>
                <w:lang w:eastAsia="en-US" w:bidi="en-US"/>
              </w:rPr>
              <w:t>XXX号</w:t>
            </w:r>
          </w:p>
        </w:tc>
      </w:tr>
      <w:tr w14:paraId="562C1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9" w:type="dxa"/>
          </w:tcPr>
          <w:p w14:paraId="289BF169">
            <w:pPr>
              <w:pStyle w:val="12"/>
              <w:ind w:firstLine="0" w:firstLineChars="0"/>
              <w:jc w:val="left"/>
              <w:rPr>
                <w:rFonts w:ascii="宋体" w:hAnsi="宋体"/>
                <w:lang w:eastAsia="en-US" w:bidi="en-US"/>
              </w:rPr>
            </w:pPr>
            <w:r>
              <w:rPr>
                <w:rFonts w:hint="eastAsia" w:ascii="宋体" w:hAnsi="宋体"/>
                <w:lang w:eastAsia="en-US" w:bidi="en-US"/>
              </w:rPr>
              <w:t>竞买方式</w:t>
            </w:r>
          </w:p>
        </w:tc>
        <w:tc>
          <w:tcPr>
            <w:tcW w:w="6593" w:type="dxa"/>
          </w:tcPr>
          <w:p w14:paraId="7EDC3D1E">
            <w:pPr>
              <w:pStyle w:val="12"/>
              <w:ind w:firstLine="0" w:firstLineChars="0"/>
              <w:jc w:val="left"/>
              <w:rPr>
                <w:rFonts w:ascii="宋体" w:hAnsi="宋体"/>
                <w:lang w:eastAsia="en-US" w:bidi="en-US"/>
              </w:rPr>
            </w:pPr>
            <w:r>
              <w:rPr>
                <w:rFonts w:hint="eastAsia" w:ascii="宋体" w:hAnsi="宋体"/>
                <w:lang w:eastAsia="en-US" w:bidi="en-US"/>
              </w:rPr>
              <w:t>单一主体中标/单一价格中标/多重价格中标</w:t>
            </w:r>
          </w:p>
        </w:tc>
      </w:tr>
      <w:tr w14:paraId="2203B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9" w:type="dxa"/>
          </w:tcPr>
          <w:p w14:paraId="0BD56D15">
            <w:pPr>
              <w:pStyle w:val="12"/>
              <w:ind w:firstLine="0" w:firstLineChars="0"/>
              <w:jc w:val="left"/>
              <w:rPr>
                <w:rFonts w:ascii="宋体" w:hAnsi="宋体"/>
                <w:lang w:eastAsia="en-US" w:bidi="en-US"/>
              </w:rPr>
            </w:pPr>
            <w:r>
              <w:rPr>
                <w:rFonts w:hint="eastAsia" w:ascii="宋体" w:hAnsi="宋体"/>
                <w:lang w:eastAsia="en-US" w:bidi="en-US"/>
              </w:rPr>
              <w:t>底价（元）</w:t>
            </w:r>
          </w:p>
        </w:tc>
        <w:tc>
          <w:tcPr>
            <w:tcW w:w="6593" w:type="dxa"/>
          </w:tcPr>
          <w:p w14:paraId="2EE63542">
            <w:pPr>
              <w:pStyle w:val="12"/>
              <w:ind w:firstLine="0" w:firstLineChars="0"/>
              <w:jc w:val="left"/>
              <w:rPr>
                <w:rFonts w:ascii="宋体" w:hAnsi="宋体"/>
                <w:lang w:eastAsia="en-US" w:bidi="en-US"/>
              </w:rPr>
            </w:pPr>
            <w:r>
              <w:rPr>
                <w:rFonts w:hint="eastAsia" w:ascii="宋体" w:hAnsi="宋体"/>
                <w:lang w:eastAsia="en-US" w:bidi="en-US"/>
              </w:rPr>
              <w:t>XX.XXX</w:t>
            </w:r>
          </w:p>
        </w:tc>
      </w:tr>
      <w:tr w14:paraId="06DAB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29" w:type="dxa"/>
          </w:tcPr>
          <w:p w14:paraId="7802DA38">
            <w:pPr>
              <w:pStyle w:val="12"/>
              <w:ind w:firstLine="0" w:firstLineChars="0"/>
              <w:jc w:val="left"/>
              <w:rPr>
                <w:rFonts w:ascii="宋体" w:hAnsi="宋体"/>
                <w:lang w:eastAsia="en-US" w:bidi="en-US"/>
              </w:rPr>
            </w:pPr>
            <w:r>
              <w:rPr>
                <w:rFonts w:hint="eastAsia" w:ascii="宋体" w:hAnsi="宋体"/>
                <w:lang w:eastAsia="en-US" w:bidi="en-US"/>
              </w:rPr>
              <w:t>竞买数量（千元面额）</w:t>
            </w:r>
          </w:p>
        </w:tc>
        <w:tc>
          <w:tcPr>
            <w:tcW w:w="6593" w:type="dxa"/>
          </w:tcPr>
          <w:p w14:paraId="177BE548">
            <w:pPr>
              <w:pStyle w:val="12"/>
              <w:ind w:firstLine="0" w:firstLineChars="0"/>
              <w:jc w:val="left"/>
              <w:rPr>
                <w:rFonts w:ascii="宋体" w:hAnsi="宋体"/>
                <w:lang w:eastAsia="en-US" w:bidi="en-US"/>
              </w:rPr>
            </w:pPr>
            <w:r>
              <w:rPr>
                <w:rFonts w:hint="eastAsia" w:ascii="宋体" w:hAnsi="宋体"/>
                <w:lang w:eastAsia="en-US" w:bidi="en-US"/>
              </w:rPr>
              <w:t>XXXX</w:t>
            </w:r>
          </w:p>
        </w:tc>
      </w:tr>
      <w:tr w14:paraId="3192E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9" w:type="dxa"/>
          </w:tcPr>
          <w:p w14:paraId="37BB0DC8">
            <w:pPr>
              <w:pStyle w:val="12"/>
              <w:ind w:firstLine="0" w:firstLineChars="0"/>
              <w:jc w:val="left"/>
              <w:rPr>
                <w:rFonts w:ascii="宋体" w:hAnsi="宋体"/>
                <w:lang w:eastAsia="en-US" w:bidi="en-US"/>
              </w:rPr>
            </w:pPr>
            <w:r>
              <w:rPr>
                <w:rFonts w:hint="eastAsia" w:ascii="宋体" w:hAnsi="宋体"/>
                <w:lang w:eastAsia="en-US" w:bidi="en-US"/>
              </w:rPr>
              <w:t>发起方</w:t>
            </w:r>
          </w:p>
        </w:tc>
        <w:tc>
          <w:tcPr>
            <w:tcW w:w="6593" w:type="dxa"/>
          </w:tcPr>
          <w:p w14:paraId="5CA8BC10">
            <w:pPr>
              <w:pStyle w:val="12"/>
              <w:ind w:firstLine="0" w:firstLineChars="0"/>
              <w:jc w:val="left"/>
              <w:rPr>
                <w:rFonts w:ascii="宋体" w:hAnsi="宋体"/>
                <w:lang w:eastAsia="en-US" w:bidi="en-US"/>
              </w:rPr>
            </w:pPr>
            <w:r>
              <w:rPr>
                <w:rFonts w:hint="eastAsia" w:ascii="宋体" w:hAnsi="宋体"/>
                <w:lang w:eastAsia="en-US" w:bidi="en-US"/>
              </w:rPr>
              <w:t>交易参与人简称，可为匿名</w:t>
            </w:r>
          </w:p>
        </w:tc>
      </w:tr>
      <w:tr w14:paraId="65587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9" w:type="dxa"/>
          </w:tcPr>
          <w:p w14:paraId="54D65FEC">
            <w:pPr>
              <w:pStyle w:val="12"/>
              <w:ind w:firstLine="0" w:firstLineChars="0"/>
              <w:jc w:val="left"/>
              <w:rPr>
                <w:rFonts w:ascii="宋体" w:hAnsi="宋体"/>
                <w:lang w:eastAsia="en-US" w:bidi="en-US"/>
              </w:rPr>
            </w:pPr>
            <w:r>
              <w:rPr>
                <w:rFonts w:hint="eastAsia" w:ascii="宋体" w:hAnsi="宋体"/>
                <w:lang w:eastAsia="en-US" w:bidi="en-US"/>
              </w:rPr>
              <w:t>竞买日</w:t>
            </w:r>
          </w:p>
        </w:tc>
        <w:tc>
          <w:tcPr>
            <w:tcW w:w="6593" w:type="dxa"/>
          </w:tcPr>
          <w:p w14:paraId="551E6476">
            <w:pPr>
              <w:pStyle w:val="12"/>
              <w:ind w:firstLine="0" w:firstLineChars="0"/>
              <w:jc w:val="left"/>
              <w:rPr>
                <w:rFonts w:ascii="宋体" w:hAnsi="宋体"/>
                <w:lang w:eastAsia="en-US" w:bidi="en-US"/>
              </w:rPr>
            </w:pPr>
            <w:r>
              <w:rPr>
                <w:rFonts w:ascii="宋体" w:hAnsi="宋体" w:cs="宋体"/>
                <w:szCs w:val="21"/>
                <w:lang w:eastAsia="en-US" w:bidi="en-US"/>
              </w:rPr>
              <w:t>{YYYY}</w:t>
            </w:r>
            <w:r>
              <w:rPr>
                <w:rFonts w:hint="eastAsia" w:ascii="宋体" w:hAnsi="宋体" w:cs="宋体"/>
                <w:szCs w:val="21"/>
                <w:lang w:eastAsia="en-US" w:bidi="en-US"/>
              </w:rPr>
              <w:t>年</w:t>
            </w:r>
            <w:r>
              <w:rPr>
                <w:rFonts w:ascii="宋体" w:hAnsi="宋体" w:cs="宋体"/>
                <w:szCs w:val="21"/>
                <w:lang w:eastAsia="en-US" w:bidi="en-US"/>
              </w:rPr>
              <w:t>{MM}</w:t>
            </w:r>
            <w:r>
              <w:rPr>
                <w:rFonts w:hint="eastAsia" w:ascii="宋体" w:hAnsi="宋体" w:cs="宋体"/>
                <w:szCs w:val="21"/>
                <w:lang w:eastAsia="en-US" w:bidi="en-US"/>
              </w:rPr>
              <w:t>月</w:t>
            </w:r>
            <w:r>
              <w:rPr>
                <w:rFonts w:ascii="宋体" w:hAnsi="宋体" w:cs="宋体"/>
                <w:szCs w:val="21"/>
                <w:lang w:eastAsia="en-US" w:bidi="en-US"/>
              </w:rPr>
              <w:t>{DD}</w:t>
            </w:r>
            <w:r>
              <w:rPr>
                <w:rFonts w:hint="eastAsia" w:ascii="宋体" w:hAnsi="宋体" w:cs="宋体"/>
                <w:szCs w:val="21"/>
                <w:lang w:eastAsia="en-US" w:bidi="en-US"/>
              </w:rPr>
              <w:t>日</w:t>
            </w:r>
          </w:p>
        </w:tc>
      </w:tr>
      <w:tr w14:paraId="2D4DF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9" w:type="dxa"/>
          </w:tcPr>
          <w:p w14:paraId="24856FCF">
            <w:pPr>
              <w:pStyle w:val="12"/>
              <w:ind w:firstLine="0" w:firstLineChars="0"/>
              <w:jc w:val="left"/>
              <w:rPr>
                <w:rFonts w:ascii="宋体" w:hAnsi="宋体"/>
                <w:lang w:eastAsia="en-US" w:bidi="en-US"/>
              </w:rPr>
            </w:pPr>
            <w:r>
              <w:rPr>
                <w:rFonts w:hint="eastAsia" w:ascii="宋体" w:hAnsi="宋体"/>
                <w:lang w:eastAsia="en-US" w:bidi="en-US"/>
              </w:rPr>
              <w:t>竞买时间</w:t>
            </w:r>
          </w:p>
        </w:tc>
        <w:tc>
          <w:tcPr>
            <w:tcW w:w="6593" w:type="dxa"/>
          </w:tcPr>
          <w:p w14:paraId="071877CC">
            <w:pPr>
              <w:pStyle w:val="12"/>
              <w:ind w:firstLine="0" w:firstLineChars="0"/>
              <w:jc w:val="left"/>
              <w:rPr>
                <w:rFonts w:ascii="宋体" w:hAnsi="宋体"/>
                <w:lang w:eastAsia="en-US" w:bidi="en-US"/>
              </w:rPr>
            </w:pPr>
            <w:r>
              <w:rPr>
                <w:rFonts w:hint="eastAsia" w:ascii="宋体" w:hAnsi="宋体"/>
                <w:lang w:eastAsia="en-US" w:bidi="en-US"/>
              </w:rPr>
              <w:t>10:00-11:30</w:t>
            </w:r>
          </w:p>
        </w:tc>
      </w:tr>
      <w:tr w14:paraId="46B1A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9" w:type="dxa"/>
          </w:tcPr>
          <w:p w14:paraId="72D6B298">
            <w:pPr>
              <w:pStyle w:val="12"/>
              <w:ind w:firstLine="0" w:firstLineChars="0"/>
              <w:jc w:val="left"/>
              <w:rPr>
                <w:rFonts w:ascii="宋体" w:hAnsi="宋体"/>
                <w:lang w:eastAsia="en-US" w:bidi="en-US"/>
              </w:rPr>
            </w:pPr>
            <w:r>
              <w:rPr>
                <w:rFonts w:hint="eastAsia" w:ascii="宋体" w:hAnsi="宋体"/>
                <w:lang w:eastAsia="en-US" w:bidi="en-US"/>
              </w:rPr>
              <w:t>相关提示</w:t>
            </w:r>
          </w:p>
        </w:tc>
        <w:tc>
          <w:tcPr>
            <w:tcW w:w="6593" w:type="dxa"/>
          </w:tcPr>
          <w:p w14:paraId="7F516EB6">
            <w:pPr>
              <w:pStyle w:val="12"/>
              <w:ind w:firstLine="0" w:firstLineChars="0"/>
              <w:jc w:val="left"/>
              <w:rPr>
                <w:rFonts w:ascii="宋体" w:hAnsi="宋体"/>
                <w:lang w:eastAsia="en-US" w:bidi="en-US"/>
              </w:rPr>
            </w:pPr>
            <w:r>
              <w:rPr>
                <w:rFonts w:hint="eastAsia" w:ascii="宋体" w:hAnsi="宋体"/>
                <w:lang w:eastAsia="en-US" w:bidi="en-US"/>
              </w:rPr>
              <w:t>本提示展示信息仅为发起方意向信息，关于本次债券竞买的具体信息以竞买日当天实际申报信息为准。</w:t>
            </w:r>
          </w:p>
        </w:tc>
      </w:tr>
    </w:tbl>
    <w:p w14:paraId="235E1A0F">
      <w:pPr>
        <w:spacing w:line="600" w:lineRule="exact"/>
        <w:ind w:firstLine="600"/>
        <w:jc w:val="right"/>
        <w:rPr>
          <w:rFonts w:ascii="仿宋_GB2312" w:eastAsia="仿宋_GB2312"/>
          <w:sz w:val="30"/>
          <w:szCs w:val="30"/>
        </w:rPr>
      </w:pPr>
    </w:p>
    <w:p w14:paraId="00B70F2D">
      <w:pPr>
        <w:spacing w:line="600" w:lineRule="exact"/>
        <w:outlineLvl w:val="1"/>
        <w:rPr>
          <w:rFonts w:ascii="宋体" w:hAnsi="宋体" w:eastAsia="仿宋_GB2312"/>
        </w:rPr>
      </w:pPr>
      <w:bookmarkStart w:id="3796" w:name="_Toc393870239"/>
      <w:bookmarkStart w:id="3797" w:name="_Toc151137087"/>
      <w:bookmarkStart w:id="3798" w:name="_Toc1772142337"/>
      <w:bookmarkStart w:id="3799" w:name="_Toc1593413982"/>
      <w:bookmarkStart w:id="3800" w:name="_Toc191817191"/>
      <w:r>
        <w:rPr>
          <w:rFonts w:hint="eastAsia" w:ascii="仿宋_GB2312" w:eastAsia="仿宋_GB2312"/>
          <w:b/>
          <w:sz w:val="30"/>
          <w:szCs w:val="30"/>
        </w:rPr>
        <w:t>附件6-2 竞买预约撤销提示</w:t>
      </w:r>
      <w:bookmarkEnd w:id="3796"/>
      <w:bookmarkEnd w:id="3797"/>
      <w:bookmarkEnd w:id="3798"/>
      <w:bookmarkEnd w:id="3799"/>
      <w:bookmarkEnd w:id="3800"/>
    </w:p>
    <w:p w14:paraId="0804DA2F">
      <w:pPr>
        <w:rPr>
          <w:rFonts w:ascii="仿宋_GB2312" w:eastAsia="仿宋_GB2312"/>
          <w:b/>
          <w:sz w:val="30"/>
          <w:szCs w:val="30"/>
        </w:rPr>
      </w:pPr>
      <w:r>
        <w:rPr>
          <w:rFonts w:hint="eastAsia" w:ascii="仿宋_GB2312" w:eastAsia="仿宋_GB2312"/>
          <w:b/>
          <w:sz w:val="30"/>
          <w:szCs w:val="30"/>
        </w:rPr>
        <w:t>示例二：</w:t>
      </w:r>
    </w:p>
    <w:p w14:paraId="3C4D6F18">
      <w:pPr>
        <w:jc w:val="center"/>
        <w:rPr>
          <w:rFonts w:ascii="黑体" w:hAnsi="黑体" w:eastAsia="黑体" w:cs="黑体"/>
          <w:b/>
          <w:sz w:val="44"/>
          <w:szCs w:val="44"/>
        </w:rPr>
      </w:pPr>
      <w:r>
        <w:rPr>
          <w:rFonts w:hint="eastAsia" w:ascii="黑体" w:hAnsi="黑体" w:eastAsia="黑体" w:cs="黑体"/>
          <w:b/>
          <w:sz w:val="44"/>
          <w:szCs w:val="44"/>
        </w:rPr>
        <w:t>{债券简称}（{债券代码}）（预约编号{YYYYM</w:t>
      </w:r>
      <w:r>
        <w:rPr>
          <w:rFonts w:hint="eastAsia" w:ascii="黑体" w:hAnsi="黑体" w:eastAsia="黑体" w:cs="黑体"/>
          <w:b/>
          <w:sz w:val="44"/>
          <w:szCs w:val="44"/>
          <w:lang w:val="en-US" w:eastAsia="zh-CN"/>
        </w:rPr>
        <w:t>M</w:t>
      </w:r>
      <w:r>
        <w:rPr>
          <w:rFonts w:hint="eastAsia" w:ascii="黑体" w:hAnsi="黑体" w:eastAsia="黑体" w:cs="黑体"/>
          <w:b/>
          <w:sz w:val="44"/>
          <w:szCs w:val="44"/>
        </w:rPr>
        <w:t>DD}XXX号）竞买预约撤销的提示</w:t>
      </w:r>
    </w:p>
    <w:p w14:paraId="7ABA076A">
      <w:pPr>
        <w:ind w:left="420" w:leftChars="200" w:firstLine="420"/>
        <w:jc w:val="right"/>
      </w:pPr>
    </w:p>
    <w:tbl>
      <w:tblPr>
        <w:tblStyle w:val="4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6542"/>
      </w:tblGrid>
      <w:tr w14:paraId="36191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38F156F1">
            <w:pPr>
              <w:pStyle w:val="12"/>
              <w:ind w:firstLine="0" w:firstLineChars="0"/>
              <w:jc w:val="left"/>
              <w:rPr>
                <w:rFonts w:ascii="宋体" w:hAnsi="宋体"/>
                <w:lang w:eastAsia="en-US" w:bidi="en-US"/>
              </w:rPr>
            </w:pPr>
            <w:r>
              <w:rPr>
                <w:rFonts w:hint="eastAsia" w:ascii="宋体" w:hAnsi="宋体"/>
                <w:lang w:eastAsia="en-US" w:bidi="en-US"/>
              </w:rPr>
              <w:t>竞买预约发布日</w:t>
            </w:r>
          </w:p>
        </w:tc>
        <w:tc>
          <w:tcPr>
            <w:tcW w:w="6542" w:type="dxa"/>
          </w:tcPr>
          <w:p w14:paraId="73399000">
            <w:pPr>
              <w:pStyle w:val="12"/>
              <w:ind w:firstLine="0" w:firstLineChars="0"/>
              <w:jc w:val="left"/>
              <w:rPr>
                <w:rFonts w:ascii="宋体" w:hAnsi="宋体"/>
                <w:lang w:eastAsia="en-US" w:bidi="en-US"/>
              </w:rPr>
            </w:pPr>
            <w:r>
              <w:rPr>
                <w:rFonts w:ascii="宋体" w:hAnsi="宋体" w:cs="宋体"/>
                <w:szCs w:val="21"/>
                <w:lang w:eastAsia="en-US" w:bidi="en-US"/>
              </w:rPr>
              <w:t>{YYYY}</w:t>
            </w:r>
            <w:r>
              <w:rPr>
                <w:rFonts w:hint="eastAsia" w:ascii="宋体" w:hAnsi="宋体" w:cs="宋体"/>
                <w:szCs w:val="21"/>
                <w:lang w:eastAsia="en-US" w:bidi="en-US"/>
              </w:rPr>
              <w:t>年</w:t>
            </w:r>
            <w:r>
              <w:rPr>
                <w:rFonts w:ascii="宋体" w:hAnsi="宋体" w:cs="宋体"/>
                <w:szCs w:val="21"/>
                <w:lang w:eastAsia="en-US" w:bidi="en-US"/>
              </w:rPr>
              <w:t>{MM}</w:t>
            </w:r>
            <w:r>
              <w:rPr>
                <w:rFonts w:hint="eastAsia" w:ascii="宋体" w:hAnsi="宋体" w:cs="宋体"/>
                <w:szCs w:val="21"/>
                <w:lang w:eastAsia="en-US" w:bidi="en-US"/>
              </w:rPr>
              <w:t>月</w:t>
            </w:r>
            <w:r>
              <w:rPr>
                <w:rFonts w:ascii="宋体" w:hAnsi="宋体" w:cs="宋体"/>
                <w:szCs w:val="21"/>
                <w:lang w:eastAsia="en-US" w:bidi="en-US"/>
              </w:rPr>
              <w:t>{DD}</w:t>
            </w:r>
            <w:r>
              <w:rPr>
                <w:rFonts w:hint="eastAsia" w:ascii="宋体" w:hAnsi="宋体" w:cs="宋体"/>
                <w:szCs w:val="21"/>
                <w:lang w:eastAsia="en-US" w:bidi="en-US"/>
              </w:rPr>
              <w:t>日</w:t>
            </w:r>
          </w:p>
        </w:tc>
      </w:tr>
      <w:tr w14:paraId="0384E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18B84C46">
            <w:pPr>
              <w:pStyle w:val="12"/>
              <w:ind w:firstLine="0" w:firstLineChars="0"/>
              <w:jc w:val="left"/>
              <w:rPr>
                <w:rFonts w:ascii="宋体" w:hAnsi="宋体"/>
                <w:lang w:eastAsia="en-US" w:bidi="en-US"/>
              </w:rPr>
            </w:pPr>
            <w:r>
              <w:rPr>
                <w:rFonts w:hint="eastAsia" w:ascii="宋体" w:hAnsi="宋体"/>
                <w:lang w:eastAsia="en-US" w:bidi="en-US"/>
              </w:rPr>
              <w:t>债券简称</w:t>
            </w:r>
          </w:p>
        </w:tc>
        <w:tc>
          <w:tcPr>
            <w:tcW w:w="6542" w:type="dxa"/>
          </w:tcPr>
          <w:p w14:paraId="6CE9C5ED">
            <w:pPr>
              <w:pStyle w:val="12"/>
              <w:ind w:firstLine="0" w:firstLineChars="0"/>
              <w:jc w:val="left"/>
              <w:rPr>
                <w:rFonts w:ascii="宋体" w:hAnsi="宋体" w:cs="宋体"/>
                <w:szCs w:val="21"/>
                <w:lang w:eastAsia="en-US" w:bidi="en-US"/>
              </w:rPr>
            </w:pPr>
          </w:p>
        </w:tc>
      </w:tr>
      <w:tr w14:paraId="424B3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1923620C">
            <w:pPr>
              <w:pStyle w:val="12"/>
              <w:ind w:firstLine="0" w:firstLineChars="0"/>
              <w:jc w:val="left"/>
              <w:rPr>
                <w:rFonts w:ascii="宋体" w:hAnsi="宋体"/>
                <w:lang w:eastAsia="en-US" w:bidi="en-US"/>
              </w:rPr>
            </w:pPr>
            <w:r>
              <w:rPr>
                <w:rFonts w:hint="eastAsia" w:ascii="宋体" w:hAnsi="宋体"/>
                <w:lang w:eastAsia="en-US" w:bidi="en-US"/>
              </w:rPr>
              <w:t>债券代码</w:t>
            </w:r>
          </w:p>
        </w:tc>
        <w:tc>
          <w:tcPr>
            <w:tcW w:w="6542" w:type="dxa"/>
          </w:tcPr>
          <w:p w14:paraId="46761EC3">
            <w:pPr>
              <w:pStyle w:val="12"/>
              <w:ind w:firstLine="0" w:firstLineChars="0"/>
              <w:jc w:val="left"/>
              <w:rPr>
                <w:rFonts w:ascii="宋体" w:hAnsi="宋体" w:cs="宋体"/>
                <w:szCs w:val="21"/>
                <w:lang w:eastAsia="en-US" w:bidi="en-US"/>
              </w:rPr>
            </w:pPr>
          </w:p>
        </w:tc>
      </w:tr>
      <w:tr w14:paraId="403FF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49DBE390">
            <w:pPr>
              <w:pStyle w:val="12"/>
              <w:ind w:firstLine="0" w:firstLineChars="0"/>
              <w:jc w:val="left"/>
              <w:rPr>
                <w:rFonts w:ascii="宋体" w:hAnsi="宋体"/>
                <w:lang w:eastAsia="en-US" w:bidi="en-US"/>
              </w:rPr>
            </w:pPr>
            <w:r>
              <w:rPr>
                <w:rFonts w:hint="eastAsia" w:ascii="宋体" w:hAnsi="宋体"/>
                <w:lang w:eastAsia="en-US" w:bidi="en-US"/>
              </w:rPr>
              <w:t>竞买预约编号</w:t>
            </w:r>
          </w:p>
        </w:tc>
        <w:tc>
          <w:tcPr>
            <w:tcW w:w="6542" w:type="dxa"/>
          </w:tcPr>
          <w:p w14:paraId="6626AD11">
            <w:pPr>
              <w:pStyle w:val="12"/>
              <w:ind w:firstLine="0" w:firstLineChars="0"/>
              <w:jc w:val="left"/>
              <w:rPr>
                <w:rFonts w:ascii="宋体" w:hAnsi="宋体"/>
                <w:lang w:eastAsia="en-US" w:bidi="en-US"/>
              </w:rPr>
            </w:pPr>
            <w:r>
              <w:rPr>
                <w:rFonts w:ascii="宋体" w:hAnsi="宋体" w:cs="宋体"/>
                <w:szCs w:val="21"/>
                <w:lang w:eastAsia="en-US" w:bidi="en-US"/>
              </w:rPr>
              <w:t>{YYYY</w:t>
            </w:r>
            <w:r>
              <w:rPr>
                <w:rFonts w:hint="eastAsia" w:ascii="宋体" w:hAnsi="宋体" w:cs="宋体"/>
                <w:szCs w:val="21"/>
                <w:lang w:eastAsia="en-US" w:bidi="en-US"/>
              </w:rPr>
              <w:t>MMDD</w:t>
            </w:r>
            <w:r>
              <w:rPr>
                <w:rFonts w:ascii="宋体" w:hAnsi="宋体" w:cs="宋体"/>
                <w:szCs w:val="21"/>
                <w:lang w:eastAsia="en-US" w:bidi="en-US"/>
              </w:rPr>
              <w:t>}</w:t>
            </w:r>
            <w:r>
              <w:rPr>
                <w:rFonts w:hint="eastAsia" w:ascii="宋体" w:hAnsi="宋体" w:cs="宋体"/>
                <w:szCs w:val="21"/>
                <w:lang w:eastAsia="en-US" w:bidi="en-US"/>
              </w:rPr>
              <w:t>XXX号</w:t>
            </w:r>
          </w:p>
        </w:tc>
      </w:tr>
      <w:tr w14:paraId="56A58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438FE446">
            <w:pPr>
              <w:pStyle w:val="12"/>
              <w:ind w:firstLine="0" w:firstLineChars="0"/>
              <w:jc w:val="left"/>
              <w:rPr>
                <w:rFonts w:ascii="宋体" w:hAnsi="宋体"/>
                <w:lang w:eastAsia="en-US" w:bidi="en-US"/>
              </w:rPr>
            </w:pPr>
            <w:r>
              <w:rPr>
                <w:rFonts w:hint="eastAsia" w:ascii="宋体" w:hAnsi="宋体"/>
                <w:lang w:eastAsia="en-US" w:bidi="en-US"/>
              </w:rPr>
              <w:t>发起方</w:t>
            </w:r>
          </w:p>
        </w:tc>
        <w:tc>
          <w:tcPr>
            <w:tcW w:w="6542" w:type="dxa"/>
          </w:tcPr>
          <w:p w14:paraId="3F94346D">
            <w:pPr>
              <w:pStyle w:val="12"/>
              <w:ind w:firstLine="0" w:firstLineChars="0"/>
              <w:jc w:val="left"/>
              <w:rPr>
                <w:rFonts w:ascii="宋体" w:hAnsi="宋体"/>
                <w:lang w:eastAsia="en-US" w:bidi="en-US"/>
              </w:rPr>
            </w:pPr>
            <w:r>
              <w:rPr>
                <w:rFonts w:hint="eastAsia" w:ascii="宋体" w:hAnsi="宋体"/>
                <w:lang w:eastAsia="en-US" w:bidi="en-US"/>
              </w:rPr>
              <w:t>交易参与人简称，可为匿名</w:t>
            </w:r>
          </w:p>
        </w:tc>
      </w:tr>
      <w:tr w14:paraId="05372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18335CAE">
            <w:pPr>
              <w:pStyle w:val="12"/>
              <w:ind w:firstLine="0" w:firstLineChars="0"/>
              <w:jc w:val="left"/>
              <w:rPr>
                <w:rFonts w:ascii="宋体" w:hAnsi="宋体"/>
                <w:lang w:eastAsia="en-US" w:bidi="en-US"/>
              </w:rPr>
            </w:pPr>
            <w:r>
              <w:rPr>
                <w:rFonts w:hint="eastAsia" w:ascii="宋体" w:hAnsi="宋体"/>
                <w:lang w:eastAsia="en-US" w:bidi="en-US"/>
              </w:rPr>
              <w:t>竞买日</w:t>
            </w:r>
          </w:p>
        </w:tc>
        <w:tc>
          <w:tcPr>
            <w:tcW w:w="6542" w:type="dxa"/>
          </w:tcPr>
          <w:p w14:paraId="633C367F">
            <w:pPr>
              <w:pStyle w:val="12"/>
              <w:ind w:firstLine="0" w:firstLineChars="0"/>
              <w:jc w:val="left"/>
              <w:rPr>
                <w:rFonts w:ascii="宋体" w:hAnsi="宋体"/>
                <w:lang w:eastAsia="en-US" w:bidi="en-US"/>
              </w:rPr>
            </w:pPr>
            <w:r>
              <w:rPr>
                <w:rFonts w:ascii="宋体" w:hAnsi="宋体" w:cs="宋体"/>
                <w:szCs w:val="21"/>
                <w:lang w:eastAsia="en-US" w:bidi="en-US"/>
              </w:rPr>
              <w:t>{YYYY}</w:t>
            </w:r>
            <w:r>
              <w:rPr>
                <w:rFonts w:hint="eastAsia" w:ascii="宋体" w:hAnsi="宋体" w:cs="宋体"/>
                <w:szCs w:val="21"/>
                <w:lang w:eastAsia="en-US" w:bidi="en-US"/>
              </w:rPr>
              <w:t>年</w:t>
            </w:r>
            <w:r>
              <w:rPr>
                <w:rFonts w:ascii="宋体" w:hAnsi="宋体" w:cs="宋体"/>
                <w:szCs w:val="21"/>
                <w:lang w:eastAsia="en-US" w:bidi="en-US"/>
              </w:rPr>
              <w:t>{MM}</w:t>
            </w:r>
            <w:r>
              <w:rPr>
                <w:rFonts w:hint="eastAsia" w:ascii="宋体" w:hAnsi="宋体" w:cs="宋体"/>
                <w:szCs w:val="21"/>
                <w:lang w:eastAsia="en-US" w:bidi="en-US"/>
              </w:rPr>
              <w:t>月</w:t>
            </w:r>
            <w:r>
              <w:rPr>
                <w:rFonts w:ascii="宋体" w:hAnsi="宋体" w:cs="宋体"/>
                <w:szCs w:val="21"/>
                <w:lang w:eastAsia="en-US" w:bidi="en-US"/>
              </w:rPr>
              <w:t>{DD}</w:t>
            </w:r>
            <w:r>
              <w:rPr>
                <w:rFonts w:hint="eastAsia" w:ascii="宋体" w:hAnsi="宋体" w:cs="宋体"/>
                <w:szCs w:val="21"/>
                <w:lang w:eastAsia="en-US" w:bidi="en-US"/>
              </w:rPr>
              <w:t>日</w:t>
            </w:r>
          </w:p>
        </w:tc>
      </w:tr>
      <w:tr w14:paraId="1171D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20FE12D3">
            <w:pPr>
              <w:pStyle w:val="12"/>
              <w:ind w:firstLine="0" w:firstLineChars="0"/>
              <w:jc w:val="left"/>
              <w:rPr>
                <w:rFonts w:ascii="宋体" w:hAnsi="宋体"/>
                <w:lang w:eastAsia="en-US" w:bidi="en-US"/>
              </w:rPr>
            </w:pPr>
            <w:r>
              <w:rPr>
                <w:rFonts w:hint="eastAsia" w:ascii="宋体" w:hAnsi="宋体"/>
                <w:lang w:eastAsia="en-US" w:bidi="en-US"/>
              </w:rPr>
              <w:t>相关提示</w:t>
            </w:r>
          </w:p>
        </w:tc>
        <w:tc>
          <w:tcPr>
            <w:tcW w:w="6542" w:type="dxa"/>
          </w:tcPr>
          <w:p w14:paraId="25BEF709">
            <w:pPr>
              <w:pStyle w:val="12"/>
              <w:ind w:firstLine="0" w:firstLineChars="0"/>
              <w:jc w:val="left"/>
              <w:rPr>
                <w:rFonts w:ascii="宋体" w:hAnsi="宋体"/>
                <w:lang w:eastAsia="en-US" w:bidi="en-US"/>
              </w:rPr>
            </w:pPr>
            <w:r>
              <w:rPr>
                <w:rFonts w:hint="eastAsia" w:ascii="宋体" w:hAnsi="宋体"/>
                <w:lang w:eastAsia="en-US" w:bidi="en-US"/>
              </w:rPr>
              <w:t>由于发起方意向变更，现撤销此次竞买预约。</w:t>
            </w:r>
          </w:p>
        </w:tc>
      </w:tr>
    </w:tbl>
    <w:p w14:paraId="248476C9">
      <w:pPr>
        <w:pStyle w:val="12"/>
        <w:ind w:firstLine="0" w:firstLineChars="0"/>
        <w:rPr>
          <w:rFonts w:ascii="宋体" w:hAnsi="宋体"/>
        </w:rPr>
      </w:pPr>
    </w:p>
    <w:p w14:paraId="6C561555">
      <w:pPr>
        <w:widowControl/>
        <w:jc w:val="left"/>
        <w:outlineLvl w:val="1"/>
        <w:rPr>
          <w:rFonts w:ascii="仿宋_GB2312" w:hAnsi="黑体" w:eastAsia="仿宋_GB2312"/>
          <w:b/>
          <w:sz w:val="30"/>
          <w:szCs w:val="30"/>
        </w:rPr>
      </w:pPr>
      <w:bookmarkStart w:id="3801" w:name="_Toc1201460276"/>
      <w:bookmarkStart w:id="3802" w:name="_Toc1968575715"/>
      <w:bookmarkStart w:id="3803" w:name="_Toc1586989269"/>
      <w:bookmarkStart w:id="3804" w:name="_Toc1591889243"/>
      <w:bookmarkStart w:id="3805" w:name="_Toc151137088"/>
      <w:r>
        <w:rPr>
          <w:rFonts w:hint="eastAsia" w:ascii="仿宋_GB2312" w:hAnsi="黑体" w:eastAsia="仿宋_GB2312"/>
          <w:b/>
          <w:sz w:val="30"/>
          <w:szCs w:val="30"/>
        </w:rPr>
        <w:t>附件6-3 竞买取消提示</w:t>
      </w:r>
      <w:bookmarkEnd w:id="3801"/>
      <w:bookmarkEnd w:id="3802"/>
      <w:bookmarkEnd w:id="3803"/>
      <w:bookmarkEnd w:id="3804"/>
      <w:bookmarkEnd w:id="3805"/>
    </w:p>
    <w:p w14:paraId="2BA597DE">
      <w:pPr>
        <w:rPr>
          <w:rFonts w:ascii="仿宋_GB2312" w:eastAsia="仿宋_GB2312"/>
          <w:b/>
          <w:sz w:val="30"/>
          <w:szCs w:val="30"/>
        </w:rPr>
      </w:pPr>
      <w:r>
        <w:rPr>
          <w:rFonts w:hint="eastAsia" w:ascii="仿宋_GB2312" w:eastAsia="仿宋_GB2312"/>
          <w:b/>
          <w:sz w:val="30"/>
          <w:szCs w:val="30"/>
        </w:rPr>
        <w:t>示例三：</w:t>
      </w:r>
    </w:p>
    <w:p w14:paraId="6337C04D">
      <w:pPr>
        <w:jc w:val="center"/>
        <w:rPr>
          <w:rFonts w:ascii="黑体" w:hAnsi="黑体" w:eastAsia="黑体" w:cs="黑体"/>
          <w:b/>
          <w:sz w:val="44"/>
          <w:szCs w:val="44"/>
        </w:rPr>
      </w:pPr>
      <w:r>
        <w:rPr>
          <w:rFonts w:hint="eastAsia" w:ascii="黑体" w:hAnsi="黑体" w:eastAsia="黑体" w:cs="黑体"/>
          <w:b/>
          <w:sz w:val="44"/>
          <w:szCs w:val="44"/>
        </w:rPr>
        <w:t>{债券简称}（{债券代码}）（预约编号{YYYYMMDD}XXX号）竞买取消的提示</w:t>
      </w:r>
    </w:p>
    <w:tbl>
      <w:tblPr>
        <w:tblStyle w:val="4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6542"/>
      </w:tblGrid>
      <w:tr w14:paraId="129FA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41ED8E94">
            <w:pPr>
              <w:pStyle w:val="12"/>
              <w:ind w:firstLine="0" w:firstLineChars="0"/>
              <w:jc w:val="left"/>
              <w:rPr>
                <w:rFonts w:ascii="宋体" w:hAnsi="宋体"/>
                <w:lang w:eastAsia="en-US" w:bidi="en-US"/>
              </w:rPr>
            </w:pPr>
            <w:r>
              <w:rPr>
                <w:rFonts w:hint="eastAsia" w:ascii="宋体" w:hAnsi="宋体"/>
                <w:lang w:eastAsia="en-US" w:bidi="en-US"/>
              </w:rPr>
              <w:t>竞买预约发布日</w:t>
            </w:r>
          </w:p>
        </w:tc>
        <w:tc>
          <w:tcPr>
            <w:tcW w:w="6542" w:type="dxa"/>
          </w:tcPr>
          <w:p w14:paraId="1F1E5E25">
            <w:pPr>
              <w:pStyle w:val="12"/>
              <w:ind w:firstLine="0" w:firstLineChars="0"/>
              <w:jc w:val="left"/>
              <w:rPr>
                <w:rFonts w:ascii="宋体" w:hAnsi="宋体"/>
                <w:lang w:eastAsia="en-US" w:bidi="en-US"/>
              </w:rPr>
            </w:pPr>
            <w:r>
              <w:rPr>
                <w:rFonts w:ascii="宋体" w:hAnsi="宋体" w:cs="宋体"/>
                <w:szCs w:val="21"/>
                <w:lang w:eastAsia="en-US" w:bidi="en-US"/>
              </w:rPr>
              <w:t>{YYYY}</w:t>
            </w:r>
            <w:r>
              <w:rPr>
                <w:rFonts w:hint="eastAsia" w:ascii="宋体" w:hAnsi="宋体" w:cs="宋体"/>
                <w:szCs w:val="21"/>
                <w:lang w:eastAsia="en-US" w:bidi="en-US"/>
              </w:rPr>
              <w:t>年</w:t>
            </w:r>
            <w:r>
              <w:rPr>
                <w:rFonts w:ascii="宋体" w:hAnsi="宋体" w:cs="宋体"/>
                <w:szCs w:val="21"/>
                <w:lang w:eastAsia="en-US" w:bidi="en-US"/>
              </w:rPr>
              <w:t>{MM}</w:t>
            </w:r>
            <w:r>
              <w:rPr>
                <w:rFonts w:hint="eastAsia" w:ascii="宋体" w:hAnsi="宋体" w:cs="宋体"/>
                <w:szCs w:val="21"/>
                <w:lang w:eastAsia="en-US" w:bidi="en-US"/>
              </w:rPr>
              <w:t>月</w:t>
            </w:r>
            <w:r>
              <w:rPr>
                <w:rFonts w:ascii="宋体" w:hAnsi="宋体" w:cs="宋体"/>
                <w:szCs w:val="21"/>
                <w:lang w:eastAsia="en-US" w:bidi="en-US"/>
              </w:rPr>
              <w:t>{DD}</w:t>
            </w:r>
            <w:r>
              <w:rPr>
                <w:rFonts w:hint="eastAsia" w:ascii="宋体" w:hAnsi="宋体" w:cs="宋体"/>
                <w:szCs w:val="21"/>
                <w:lang w:eastAsia="en-US" w:bidi="en-US"/>
              </w:rPr>
              <w:t>日</w:t>
            </w:r>
          </w:p>
        </w:tc>
      </w:tr>
      <w:tr w14:paraId="1BD3F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020D2463">
            <w:pPr>
              <w:pStyle w:val="12"/>
              <w:ind w:firstLine="0" w:firstLineChars="0"/>
              <w:jc w:val="left"/>
              <w:rPr>
                <w:rFonts w:ascii="宋体" w:hAnsi="宋体"/>
                <w:lang w:eastAsia="en-US" w:bidi="en-US"/>
              </w:rPr>
            </w:pPr>
            <w:r>
              <w:rPr>
                <w:rFonts w:hint="eastAsia" w:ascii="宋体" w:hAnsi="宋体"/>
                <w:lang w:eastAsia="en-US" w:bidi="en-US"/>
              </w:rPr>
              <w:t>债券简称</w:t>
            </w:r>
          </w:p>
        </w:tc>
        <w:tc>
          <w:tcPr>
            <w:tcW w:w="6542" w:type="dxa"/>
          </w:tcPr>
          <w:p w14:paraId="371879E0">
            <w:pPr>
              <w:pStyle w:val="12"/>
              <w:ind w:firstLine="0" w:firstLineChars="0"/>
              <w:jc w:val="left"/>
              <w:rPr>
                <w:rFonts w:ascii="宋体" w:hAnsi="宋体" w:cs="宋体"/>
                <w:szCs w:val="21"/>
                <w:lang w:eastAsia="en-US" w:bidi="en-US"/>
              </w:rPr>
            </w:pPr>
          </w:p>
        </w:tc>
      </w:tr>
      <w:tr w14:paraId="0A14C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359D7418">
            <w:pPr>
              <w:pStyle w:val="12"/>
              <w:ind w:firstLine="0" w:firstLineChars="0"/>
              <w:jc w:val="left"/>
              <w:rPr>
                <w:rFonts w:ascii="宋体" w:hAnsi="宋体"/>
                <w:lang w:eastAsia="en-US" w:bidi="en-US"/>
              </w:rPr>
            </w:pPr>
            <w:r>
              <w:rPr>
                <w:rFonts w:hint="eastAsia" w:ascii="宋体" w:hAnsi="宋体"/>
                <w:lang w:eastAsia="en-US" w:bidi="en-US"/>
              </w:rPr>
              <w:t>债券代码</w:t>
            </w:r>
          </w:p>
        </w:tc>
        <w:tc>
          <w:tcPr>
            <w:tcW w:w="6542" w:type="dxa"/>
          </w:tcPr>
          <w:p w14:paraId="1B29332D">
            <w:pPr>
              <w:pStyle w:val="12"/>
              <w:ind w:firstLine="0" w:firstLineChars="0"/>
              <w:jc w:val="left"/>
              <w:rPr>
                <w:rFonts w:ascii="宋体" w:hAnsi="宋体" w:cs="宋体"/>
                <w:szCs w:val="21"/>
                <w:lang w:eastAsia="en-US" w:bidi="en-US"/>
              </w:rPr>
            </w:pPr>
          </w:p>
        </w:tc>
      </w:tr>
      <w:tr w14:paraId="46D4B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49542980">
            <w:pPr>
              <w:pStyle w:val="12"/>
              <w:ind w:firstLine="0" w:firstLineChars="0"/>
              <w:jc w:val="left"/>
              <w:rPr>
                <w:rFonts w:ascii="宋体" w:hAnsi="宋体"/>
                <w:lang w:eastAsia="en-US" w:bidi="en-US"/>
              </w:rPr>
            </w:pPr>
            <w:r>
              <w:rPr>
                <w:rFonts w:hint="eastAsia" w:ascii="宋体" w:hAnsi="宋体"/>
                <w:lang w:eastAsia="en-US" w:bidi="en-US"/>
              </w:rPr>
              <w:t>竞买预约编号</w:t>
            </w:r>
          </w:p>
        </w:tc>
        <w:tc>
          <w:tcPr>
            <w:tcW w:w="6542" w:type="dxa"/>
          </w:tcPr>
          <w:p w14:paraId="2A84908D">
            <w:pPr>
              <w:pStyle w:val="12"/>
              <w:ind w:firstLine="0" w:firstLineChars="0"/>
              <w:jc w:val="left"/>
              <w:rPr>
                <w:rFonts w:ascii="宋体" w:hAnsi="宋体"/>
                <w:lang w:eastAsia="en-US" w:bidi="en-US"/>
              </w:rPr>
            </w:pPr>
            <w:r>
              <w:rPr>
                <w:rFonts w:ascii="宋体" w:hAnsi="宋体" w:cs="宋体"/>
                <w:szCs w:val="21"/>
                <w:lang w:eastAsia="en-US" w:bidi="en-US"/>
              </w:rPr>
              <w:t>{YYYY</w:t>
            </w:r>
            <w:r>
              <w:rPr>
                <w:rFonts w:hint="eastAsia" w:ascii="宋体" w:hAnsi="宋体" w:cs="宋体"/>
                <w:szCs w:val="21"/>
                <w:lang w:eastAsia="en-US" w:bidi="en-US"/>
              </w:rPr>
              <w:t>MMDD</w:t>
            </w:r>
            <w:r>
              <w:rPr>
                <w:rFonts w:ascii="宋体" w:hAnsi="宋体" w:cs="宋体"/>
                <w:szCs w:val="21"/>
                <w:lang w:eastAsia="en-US" w:bidi="en-US"/>
              </w:rPr>
              <w:t>}</w:t>
            </w:r>
            <w:r>
              <w:rPr>
                <w:rFonts w:hint="eastAsia" w:ascii="宋体" w:hAnsi="宋体" w:cs="宋体"/>
                <w:szCs w:val="21"/>
                <w:lang w:eastAsia="en-US" w:bidi="en-US"/>
              </w:rPr>
              <w:t>XXX号</w:t>
            </w:r>
          </w:p>
        </w:tc>
      </w:tr>
      <w:tr w14:paraId="741A3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3DFD733D">
            <w:pPr>
              <w:pStyle w:val="12"/>
              <w:ind w:firstLine="0" w:firstLineChars="0"/>
              <w:jc w:val="left"/>
              <w:rPr>
                <w:rFonts w:ascii="宋体" w:hAnsi="宋体"/>
                <w:lang w:eastAsia="en-US" w:bidi="en-US"/>
              </w:rPr>
            </w:pPr>
            <w:r>
              <w:rPr>
                <w:rFonts w:hint="eastAsia" w:ascii="宋体" w:hAnsi="宋体"/>
                <w:lang w:eastAsia="en-US" w:bidi="en-US"/>
              </w:rPr>
              <w:t>发起方</w:t>
            </w:r>
          </w:p>
        </w:tc>
        <w:tc>
          <w:tcPr>
            <w:tcW w:w="6542" w:type="dxa"/>
          </w:tcPr>
          <w:p w14:paraId="72CE5F80">
            <w:pPr>
              <w:pStyle w:val="12"/>
              <w:ind w:firstLine="0" w:firstLineChars="0"/>
              <w:jc w:val="left"/>
              <w:rPr>
                <w:rFonts w:ascii="宋体" w:hAnsi="宋体"/>
                <w:lang w:eastAsia="en-US" w:bidi="en-US"/>
              </w:rPr>
            </w:pPr>
            <w:r>
              <w:rPr>
                <w:rFonts w:hint="eastAsia" w:ascii="宋体" w:hAnsi="宋体"/>
                <w:lang w:eastAsia="en-US" w:bidi="en-US"/>
              </w:rPr>
              <w:t>交易参与人简称，可为匿名</w:t>
            </w:r>
          </w:p>
        </w:tc>
      </w:tr>
      <w:tr w14:paraId="18F61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63A3C022">
            <w:pPr>
              <w:pStyle w:val="12"/>
              <w:ind w:firstLine="0" w:firstLineChars="0"/>
              <w:jc w:val="left"/>
              <w:rPr>
                <w:rFonts w:ascii="宋体" w:hAnsi="宋体"/>
                <w:lang w:eastAsia="en-US" w:bidi="en-US"/>
              </w:rPr>
            </w:pPr>
            <w:r>
              <w:rPr>
                <w:rFonts w:hint="eastAsia" w:ascii="宋体" w:hAnsi="宋体"/>
                <w:lang w:eastAsia="en-US" w:bidi="en-US"/>
              </w:rPr>
              <w:t>竞买日</w:t>
            </w:r>
          </w:p>
        </w:tc>
        <w:tc>
          <w:tcPr>
            <w:tcW w:w="6542" w:type="dxa"/>
          </w:tcPr>
          <w:p w14:paraId="0A4C39F8">
            <w:pPr>
              <w:pStyle w:val="12"/>
              <w:ind w:firstLine="0" w:firstLineChars="0"/>
              <w:jc w:val="left"/>
              <w:rPr>
                <w:rFonts w:ascii="宋体" w:hAnsi="宋体"/>
                <w:lang w:eastAsia="en-US" w:bidi="en-US"/>
              </w:rPr>
            </w:pPr>
            <w:r>
              <w:rPr>
                <w:rFonts w:ascii="宋体" w:hAnsi="宋体" w:cs="宋体"/>
                <w:szCs w:val="21"/>
                <w:lang w:eastAsia="en-US" w:bidi="en-US"/>
              </w:rPr>
              <w:t>{YYYY}</w:t>
            </w:r>
            <w:r>
              <w:rPr>
                <w:rFonts w:hint="eastAsia" w:ascii="宋体" w:hAnsi="宋体" w:cs="宋体"/>
                <w:szCs w:val="21"/>
                <w:lang w:eastAsia="en-US" w:bidi="en-US"/>
              </w:rPr>
              <w:t>年</w:t>
            </w:r>
            <w:r>
              <w:rPr>
                <w:rFonts w:ascii="宋体" w:hAnsi="宋体" w:cs="宋体"/>
                <w:szCs w:val="21"/>
                <w:lang w:eastAsia="en-US" w:bidi="en-US"/>
              </w:rPr>
              <w:t>{MM}</w:t>
            </w:r>
            <w:r>
              <w:rPr>
                <w:rFonts w:hint="eastAsia" w:ascii="宋体" w:hAnsi="宋体" w:cs="宋体"/>
                <w:szCs w:val="21"/>
                <w:lang w:eastAsia="en-US" w:bidi="en-US"/>
              </w:rPr>
              <w:t>月</w:t>
            </w:r>
            <w:r>
              <w:rPr>
                <w:rFonts w:ascii="宋体" w:hAnsi="宋体" w:cs="宋体"/>
                <w:szCs w:val="21"/>
                <w:lang w:eastAsia="en-US" w:bidi="en-US"/>
              </w:rPr>
              <w:t>{DD}</w:t>
            </w:r>
            <w:r>
              <w:rPr>
                <w:rFonts w:hint="eastAsia" w:ascii="宋体" w:hAnsi="宋体" w:cs="宋体"/>
                <w:szCs w:val="21"/>
                <w:lang w:eastAsia="en-US" w:bidi="en-US"/>
              </w:rPr>
              <w:t>日</w:t>
            </w:r>
          </w:p>
        </w:tc>
      </w:tr>
      <w:tr w14:paraId="7BB5D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34B04D5D">
            <w:pPr>
              <w:pStyle w:val="12"/>
              <w:ind w:firstLine="0" w:firstLineChars="0"/>
              <w:jc w:val="left"/>
              <w:rPr>
                <w:rFonts w:ascii="宋体" w:hAnsi="宋体"/>
                <w:lang w:eastAsia="en-US" w:bidi="en-US"/>
              </w:rPr>
            </w:pPr>
            <w:r>
              <w:rPr>
                <w:rFonts w:hint="eastAsia" w:ascii="宋体" w:hAnsi="宋体"/>
                <w:lang w:eastAsia="en-US" w:bidi="en-US"/>
              </w:rPr>
              <w:t>相关提示</w:t>
            </w:r>
          </w:p>
        </w:tc>
        <w:tc>
          <w:tcPr>
            <w:tcW w:w="6542" w:type="dxa"/>
          </w:tcPr>
          <w:p w14:paraId="5D8F5E3D">
            <w:pPr>
              <w:pStyle w:val="12"/>
              <w:ind w:firstLine="0" w:firstLineChars="0"/>
              <w:jc w:val="left"/>
              <w:rPr>
                <w:rFonts w:ascii="宋体" w:hAnsi="宋体"/>
                <w:lang w:eastAsia="en-US" w:bidi="en-US"/>
              </w:rPr>
            </w:pPr>
            <w:r>
              <w:rPr>
                <w:rFonts w:hint="eastAsia" w:ascii="宋体" w:hAnsi="宋体"/>
                <w:lang w:eastAsia="en-US" w:bidi="en-US"/>
              </w:rPr>
              <w:t>由于发起方意向变更，现取消此次竞买预约。</w:t>
            </w:r>
          </w:p>
        </w:tc>
      </w:tr>
    </w:tbl>
    <w:p w14:paraId="4816E68D">
      <w:pPr>
        <w:spacing w:line="600" w:lineRule="exact"/>
        <w:jc w:val="left"/>
        <w:rPr>
          <w:rFonts w:ascii="黑体" w:hAnsi="黑体" w:eastAsia="黑体"/>
          <w:b/>
          <w:sz w:val="44"/>
          <w:szCs w:val="44"/>
        </w:rPr>
      </w:pPr>
    </w:p>
    <w:p w14:paraId="51857F7D">
      <w:pPr>
        <w:widowControl/>
        <w:jc w:val="left"/>
        <w:outlineLvl w:val="1"/>
        <w:rPr>
          <w:rFonts w:ascii="仿宋_GB2312" w:hAnsi="黑体" w:eastAsia="仿宋_GB2312"/>
          <w:b/>
          <w:sz w:val="30"/>
          <w:szCs w:val="30"/>
        </w:rPr>
      </w:pPr>
      <w:bookmarkStart w:id="3806" w:name="_Toc1391318212"/>
      <w:bookmarkStart w:id="3807" w:name="_Toc151137089"/>
      <w:bookmarkStart w:id="3808" w:name="_Toc562402491"/>
      <w:bookmarkStart w:id="3809" w:name="_Toc2048580938"/>
      <w:bookmarkStart w:id="3810" w:name="_Toc832531486"/>
      <w:r>
        <w:rPr>
          <w:rFonts w:hint="eastAsia" w:ascii="仿宋_GB2312" w:hAnsi="黑体" w:eastAsia="仿宋_GB2312"/>
          <w:b/>
          <w:sz w:val="30"/>
          <w:szCs w:val="30"/>
        </w:rPr>
        <w:t>附件6-4 竞买结果提示</w:t>
      </w:r>
      <w:bookmarkEnd w:id="3806"/>
      <w:bookmarkEnd w:id="3807"/>
      <w:bookmarkEnd w:id="3808"/>
      <w:bookmarkEnd w:id="3809"/>
      <w:bookmarkEnd w:id="3810"/>
    </w:p>
    <w:p w14:paraId="0913C459">
      <w:pPr>
        <w:spacing w:line="600" w:lineRule="exact"/>
        <w:jc w:val="left"/>
        <w:rPr>
          <w:rFonts w:ascii="仿宋_GB2312" w:eastAsia="仿宋_GB2312"/>
          <w:b/>
          <w:sz w:val="30"/>
          <w:szCs w:val="30"/>
        </w:rPr>
      </w:pPr>
      <w:r>
        <w:rPr>
          <w:rFonts w:hint="eastAsia" w:ascii="仿宋_GB2312" w:eastAsia="仿宋_GB2312"/>
          <w:b/>
          <w:sz w:val="30"/>
          <w:szCs w:val="30"/>
        </w:rPr>
        <w:t>示例四：</w:t>
      </w:r>
    </w:p>
    <w:p w14:paraId="1105BEE6">
      <w:pPr>
        <w:jc w:val="center"/>
        <w:rPr>
          <w:rFonts w:ascii="黑体" w:hAnsi="黑体" w:eastAsia="黑体" w:cs="黑体"/>
          <w:b/>
          <w:sz w:val="44"/>
          <w:szCs w:val="44"/>
        </w:rPr>
      </w:pPr>
      <w:r>
        <w:rPr>
          <w:rFonts w:hint="eastAsia" w:ascii="黑体" w:hAnsi="黑体" w:eastAsia="黑体" w:cs="黑体"/>
          <w:b/>
          <w:sz w:val="44"/>
          <w:szCs w:val="44"/>
        </w:rPr>
        <w:t>{债券简称}（{债券代码}）（预约编号{YYYYMMDD}XXX号）竞买结果的提示</w:t>
      </w:r>
    </w:p>
    <w:tbl>
      <w:tblPr>
        <w:tblStyle w:val="4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93"/>
        <w:gridCol w:w="6429"/>
      </w:tblGrid>
      <w:tr w14:paraId="30A0E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3096B91F">
            <w:pPr>
              <w:pStyle w:val="12"/>
              <w:ind w:firstLine="0" w:firstLineChars="0"/>
              <w:jc w:val="left"/>
              <w:rPr>
                <w:rFonts w:ascii="宋体" w:hAnsi="宋体"/>
                <w:lang w:eastAsia="en-US" w:bidi="en-US"/>
              </w:rPr>
            </w:pPr>
            <w:r>
              <w:rPr>
                <w:rFonts w:hint="eastAsia" w:ascii="宋体" w:hAnsi="宋体"/>
                <w:lang w:eastAsia="en-US" w:bidi="en-US"/>
              </w:rPr>
              <w:t>债券简称</w:t>
            </w:r>
          </w:p>
        </w:tc>
        <w:tc>
          <w:tcPr>
            <w:tcW w:w="6429" w:type="dxa"/>
          </w:tcPr>
          <w:p w14:paraId="1979231C">
            <w:pPr>
              <w:pStyle w:val="12"/>
              <w:ind w:firstLine="0" w:firstLineChars="0"/>
              <w:jc w:val="left"/>
              <w:rPr>
                <w:rFonts w:ascii="宋体" w:hAnsi="宋体" w:cs="宋体"/>
                <w:szCs w:val="21"/>
                <w:lang w:eastAsia="en-US" w:bidi="en-US"/>
              </w:rPr>
            </w:pPr>
          </w:p>
        </w:tc>
      </w:tr>
      <w:tr w14:paraId="47C03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5CF5406D">
            <w:pPr>
              <w:pStyle w:val="12"/>
              <w:ind w:firstLine="0" w:firstLineChars="0"/>
              <w:jc w:val="left"/>
              <w:rPr>
                <w:rFonts w:ascii="宋体" w:hAnsi="宋体"/>
                <w:lang w:eastAsia="en-US" w:bidi="en-US"/>
              </w:rPr>
            </w:pPr>
            <w:r>
              <w:rPr>
                <w:rFonts w:hint="eastAsia" w:ascii="宋体" w:hAnsi="宋体"/>
                <w:lang w:eastAsia="en-US" w:bidi="en-US"/>
              </w:rPr>
              <w:t>债券代码</w:t>
            </w:r>
          </w:p>
        </w:tc>
        <w:tc>
          <w:tcPr>
            <w:tcW w:w="6429" w:type="dxa"/>
          </w:tcPr>
          <w:p w14:paraId="524821D9">
            <w:pPr>
              <w:pStyle w:val="12"/>
              <w:ind w:firstLine="0" w:firstLineChars="0"/>
              <w:jc w:val="left"/>
              <w:rPr>
                <w:rFonts w:ascii="宋体" w:hAnsi="宋体" w:cs="宋体"/>
                <w:szCs w:val="21"/>
                <w:lang w:eastAsia="en-US" w:bidi="en-US"/>
              </w:rPr>
            </w:pPr>
          </w:p>
        </w:tc>
      </w:tr>
      <w:tr w14:paraId="5B4A5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553DB0F5">
            <w:pPr>
              <w:pStyle w:val="12"/>
              <w:ind w:firstLine="0" w:firstLineChars="0"/>
              <w:jc w:val="left"/>
              <w:rPr>
                <w:rFonts w:ascii="宋体" w:hAnsi="宋体"/>
                <w:lang w:eastAsia="en-US" w:bidi="en-US"/>
              </w:rPr>
            </w:pPr>
            <w:r>
              <w:rPr>
                <w:rFonts w:hint="eastAsia" w:ascii="宋体" w:hAnsi="宋体"/>
                <w:lang w:eastAsia="en-US" w:bidi="en-US"/>
              </w:rPr>
              <w:t>竞买预约编号</w:t>
            </w:r>
          </w:p>
        </w:tc>
        <w:tc>
          <w:tcPr>
            <w:tcW w:w="6429" w:type="dxa"/>
          </w:tcPr>
          <w:p w14:paraId="3CC52F38">
            <w:pPr>
              <w:pStyle w:val="12"/>
              <w:ind w:firstLine="0" w:firstLineChars="0"/>
              <w:jc w:val="left"/>
              <w:rPr>
                <w:rFonts w:ascii="宋体" w:hAnsi="宋体"/>
                <w:lang w:eastAsia="en-US" w:bidi="en-US"/>
              </w:rPr>
            </w:pPr>
            <w:r>
              <w:rPr>
                <w:rFonts w:ascii="宋体" w:hAnsi="宋体" w:cs="宋体"/>
                <w:szCs w:val="21"/>
                <w:lang w:eastAsia="en-US" w:bidi="en-US"/>
              </w:rPr>
              <w:t>{YYYY</w:t>
            </w:r>
            <w:r>
              <w:rPr>
                <w:rFonts w:hint="eastAsia" w:ascii="宋体" w:hAnsi="宋体" w:cs="宋体"/>
                <w:szCs w:val="21"/>
                <w:lang w:eastAsia="en-US" w:bidi="en-US"/>
              </w:rPr>
              <w:t>MMDD</w:t>
            </w:r>
            <w:r>
              <w:rPr>
                <w:rFonts w:ascii="宋体" w:hAnsi="宋体" w:cs="宋体"/>
                <w:szCs w:val="21"/>
                <w:lang w:eastAsia="en-US" w:bidi="en-US"/>
              </w:rPr>
              <w:t>}</w:t>
            </w:r>
            <w:r>
              <w:rPr>
                <w:rFonts w:hint="eastAsia" w:ascii="宋体" w:hAnsi="宋体" w:cs="宋体"/>
                <w:szCs w:val="21"/>
                <w:lang w:eastAsia="en-US" w:bidi="en-US"/>
              </w:rPr>
              <w:t>XXX号</w:t>
            </w:r>
          </w:p>
        </w:tc>
      </w:tr>
      <w:tr w14:paraId="1DB1E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62C9FFC0">
            <w:pPr>
              <w:pStyle w:val="12"/>
              <w:ind w:firstLine="0" w:firstLineChars="0"/>
              <w:jc w:val="left"/>
              <w:rPr>
                <w:rFonts w:ascii="宋体" w:hAnsi="宋体"/>
                <w:lang w:eastAsia="en-US" w:bidi="en-US"/>
              </w:rPr>
            </w:pPr>
            <w:r>
              <w:rPr>
                <w:rFonts w:hint="eastAsia" w:ascii="宋体" w:hAnsi="宋体"/>
                <w:lang w:eastAsia="en-US" w:bidi="en-US"/>
              </w:rPr>
              <w:t>竞买方式</w:t>
            </w:r>
          </w:p>
        </w:tc>
        <w:tc>
          <w:tcPr>
            <w:tcW w:w="6429" w:type="dxa"/>
          </w:tcPr>
          <w:p w14:paraId="1C72679E">
            <w:pPr>
              <w:pStyle w:val="12"/>
              <w:ind w:firstLine="0" w:firstLineChars="0"/>
              <w:jc w:val="left"/>
              <w:rPr>
                <w:rFonts w:ascii="宋体" w:hAnsi="宋体"/>
                <w:lang w:eastAsia="en-US" w:bidi="en-US"/>
              </w:rPr>
            </w:pPr>
            <w:r>
              <w:rPr>
                <w:rFonts w:hint="eastAsia" w:ascii="宋体" w:hAnsi="宋体"/>
                <w:lang w:eastAsia="en-US" w:bidi="en-US"/>
              </w:rPr>
              <w:t>单一主体中标</w:t>
            </w:r>
          </w:p>
        </w:tc>
      </w:tr>
      <w:tr w14:paraId="381DF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6D15902E">
            <w:pPr>
              <w:pStyle w:val="12"/>
              <w:ind w:firstLine="0" w:firstLineChars="0"/>
              <w:jc w:val="left"/>
              <w:rPr>
                <w:rFonts w:ascii="宋体" w:hAnsi="宋体"/>
                <w:lang w:eastAsia="en-US" w:bidi="en-US"/>
              </w:rPr>
            </w:pPr>
            <w:r>
              <w:rPr>
                <w:rFonts w:hint="eastAsia" w:ascii="宋体" w:hAnsi="宋体"/>
                <w:lang w:eastAsia="en-US" w:bidi="en-US"/>
              </w:rPr>
              <w:t>底价（元）</w:t>
            </w:r>
          </w:p>
        </w:tc>
        <w:tc>
          <w:tcPr>
            <w:tcW w:w="6429" w:type="dxa"/>
          </w:tcPr>
          <w:p w14:paraId="0DF8397A">
            <w:pPr>
              <w:pStyle w:val="12"/>
              <w:ind w:firstLine="0" w:firstLineChars="0"/>
              <w:jc w:val="left"/>
              <w:rPr>
                <w:rFonts w:ascii="宋体" w:hAnsi="宋体"/>
                <w:lang w:eastAsia="en-US" w:bidi="en-US"/>
              </w:rPr>
            </w:pPr>
            <w:r>
              <w:rPr>
                <w:rFonts w:hint="eastAsia" w:ascii="宋体" w:hAnsi="宋体"/>
                <w:lang w:eastAsia="en-US" w:bidi="en-US"/>
              </w:rPr>
              <w:t>XX.XXX</w:t>
            </w:r>
          </w:p>
        </w:tc>
      </w:tr>
      <w:tr w14:paraId="46662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2F3E5CF2">
            <w:pPr>
              <w:pStyle w:val="12"/>
              <w:ind w:firstLine="0" w:firstLineChars="0"/>
              <w:jc w:val="left"/>
              <w:rPr>
                <w:rFonts w:ascii="宋体" w:hAnsi="宋体"/>
                <w:lang w:eastAsia="en-US" w:bidi="en-US"/>
              </w:rPr>
            </w:pPr>
            <w:r>
              <w:rPr>
                <w:rFonts w:hint="eastAsia" w:ascii="宋体" w:hAnsi="宋体"/>
                <w:lang w:eastAsia="en-US" w:bidi="en-US"/>
              </w:rPr>
              <w:t>竞买数量（千元面额）</w:t>
            </w:r>
          </w:p>
        </w:tc>
        <w:tc>
          <w:tcPr>
            <w:tcW w:w="6429" w:type="dxa"/>
          </w:tcPr>
          <w:p w14:paraId="077EE838">
            <w:pPr>
              <w:pStyle w:val="12"/>
              <w:ind w:firstLine="0" w:firstLineChars="0"/>
              <w:jc w:val="left"/>
              <w:rPr>
                <w:rFonts w:ascii="宋体" w:hAnsi="宋体"/>
                <w:lang w:eastAsia="en-US" w:bidi="en-US"/>
              </w:rPr>
            </w:pPr>
            <w:r>
              <w:rPr>
                <w:rFonts w:hint="eastAsia" w:ascii="宋体" w:hAnsi="宋体"/>
                <w:lang w:eastAsia="en-US" w:bidi="en-US"/>
              </w:rPr>
              <w:t>XXXX</w:t>
            </w:r>
          </w:p>
        </w:tc>
      </w:tr>
      <w:tr w14:paraId="150F2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778E5C0C">
            <w:pPr>
              <w:pStyle w:val="12"/>
              <w:ind w:firstLine="0" w:firstLineChars="0"/>
              <w:jc w:val="left"/>
              <w:rPr>
                <w:rFonts w:ascii="宋体" w:hAnsi="宋体"/>
                <w:lang w:eastAsia="en-US" w:bidi="en-US"/>
              </w:rPr>
            </w:pPr>
            <w:r>
              <w:rPr>
                <w:rFonts w:hint="eastAsia" w:ascii="宋体" w:hAnsi="宋体"/>
                <w:lang w:eastAsia="en-US" w:bidi="en-US"/>
              </w:rPr>
              <w:t>发起方</w:t>
            </w:r>
          </w:p>
        </w:tc>
        <w:tc>
          <w:tcPr>
            <w:tcW w:w="6429" w:type="dxa"/>
          </w:tcPr>
          <w:p w14:paraId="36AB8ECC">
            <w:pPr>
              <w:pStyle w:val="12"/>
              <w:ind w:firstLine="0" w:firstLineChars="0"/>
              <w:jc w:val="left"/>
              <w:rPr>
                <w:rFonts w:ascii="宋体" w:hAnsi="宋体"/>
                <w:lang w:eastAsia="en-US" w:bidi="en-US"/>
              </w:rPr>
            </w:pPr>
            <w:r>
              <w:rPr>
                <w:rFonts w:hint="eastAsia" w:ascii="宋体" w:hAnsi="宋体"/>
                <w:lang w:eastAsia="en-US" w:bidi="en-US"/>
              </w:rPr>
              <w:t>交易参与人简称，可为匿名</w:t>
            </w:r>
          </w:p>
        </w:tc>
      </w:tr>
      <w:tr w14:paraId="65273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6E552743">
            <w:pPr>
              <w:pStyle w:val="12"/>
              <w:ind w:firstLine="0" w:firstLineChars="0"/>
              <w:jc w:val="left"/>
              <w:rPr>
                <w:rFonts w:ascii="宋体" w:hAnsi="宋体"/>
                <w:lang w:eastAsia="en-US" w:bidi="en-US"/>
              </w:rPr>
            </w:pPr>
            <w:r>
              <w:rPr>
                <w:rFonts w:hint="eastAsia" w:ascii="宋体" w:hAnsi="宋体"/>
                <w:lang w:eastAsia="en-US" w:bidi="en-US"/>
              </w:rPr>
              <w:t>竞买日</w:t>
            </w:r>
          </w:p>
        </w:tc>
        <w:tc>
          <w:tcPr>
            <w:tcW w:w="6429" w:type="dxa"/>
          </w:tcPr>
          <w:p w14:paraId="7C9CD1AA">
            <w:pPr>
              <w:pStyle w:val="12"/>
              <w:ind w:firstLine="0" w:firstLineChars="0"/>
              <w:jc w:val="left"/>
              <w:rPr>
                <w:rFonts w:ascii="宋体" w:hAnsi="宋体"/>
                <w:lang w:eastAsia="en-US" w:bidi="en-US"/>
              </w:rPr>
            </w:pPr>
            <w:r>
              <w:rPr>
                <w:rFonts w:ascii="宋体" w:hAnsi="宋体" w:cs="宋体"/>
                <w:szCs w:val="21"/>
                <w:lang w:eastAsia="en-US" w:bidi="en-US"/>
              </w:rPr>
              <w:t>{YYYY}</w:t>
            </w:r>
            <w:r>
              <w:rPr>
                <w:rFonts w:hint="eastAsia" w:ascii="宋体" w:hAnsi="宋体" w:cs="宋体"/>
                <w:szCs w:val="21"/>
                <w:lang w:eastAsia="en-US" w:bidi="en-US"/>
              </w:rPr>
              <w:t>年</w:t>
            </w:r>
            <w:r>
              <w:rPr>
                <w:rFonts w:ascii="宋体" w:hAnsi="宋体" w:cs="宋体"/>
                <w:szCs w:val="21"/>
                <w:lang w:eastAsia="en-US" w:bidi="en-US"/>
              </w:rPr>
              <w:t>{MM}</w:t>
            </w:r>
            <w:r>
              <w:rPr>
                <w:rFonts w:hint="eastAsia" w:ascii="宋体" w:hAnsi="宋体" w:cs="宋体"/>
                <w:szCs w:val="21"/>
                <w:lang w:eastAsia="en-US" w:bidi="en-US"/>
              </w:rPr>
              <w:t>月</w:t>
            </w:r>
            <w:r>
              <w:rPr>
                <w:rFonts w:ascii="宋体" w:hAnsi="宋体" w:cs="宋体"/>
                <w:szCs w:val="21"/>
                <w:lang w:eastAsia="en-US" w:bidi="en-US"/>
              </w:rPr>
              <w:t>{DD}</w:t>
            </w:r>
            <w:r>
              <w:rPr>
                <w:rFonts w:hint="eastAsia" w:ascii="宋体" w:hAnsi="宋体" w:cs="宋体"/>
                <w:szCs w:val="21"/>
                <w:lang w:eastAsia="en-US" w:bidi="en-US"/>
              </w:rPr>
              <w:t>日</w:t>
            </w:r>
          </w:p>
        </w:tc>
      </w:tr>
      <w:tr w14:paraId="414C7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7B77CA0B">
            <w:pPr>
              <w:pStyle w:val="12"/>
              <w:ind w:firstLine="0" w:firstLineChars="0"/>
              <w:jc w:val="left"/>
              <w:rPr>
                <w:rFonts w:ascii="宋体" w:hAnsi="宋体"/>
                <w:lang w:eastAsia="en-US" w:bidi="en-US"/>
              </w:rPr>
            </w:pPr>
            <w:r>
              <w:rPr>
                <w:rFonts w:hint="eastAsia" w:ascii="宋体" w:hAnsi="宋体"/>
                <w:lang w:eastAsia="en-US" w:bidi="en-US"/>
              </w:rPr>
              <w:t>结算方式</w:t>
            </w:r>
          </w:p>
        </w:tc>
        <w:tc>
          <w:tcPr>
            <w:tcW w:w="6429" w:type="dxa"/>
          </w:tcPr>
          <w:p w14:paraId="77766332">
            <w:pPr>
              <w:pStyle w:val="12"/>
              <w:ind w:firstLine="0" w:firstLineChars="0"/>
              <w:jc w:val="left"/>
              <w:rPr>
                <w:rFonts w:ascii="宋体" w:hAnsi="宋体"/>
                <w:lang w:eastAsia="en-US" w:bidi="en-US"/>
              </w:rPr>
            </w:pPr>
            <w:r>
              <w:rPr>
                <w:rFonts w:hint="eastAsia" w:ascii="宋体" w:hAnsi="宋体"/>
                <w:lang w:eastAsia="en-US" w:bidi="en-US"/>
              </w:rPr>
              <w:t>多边净额/逐笔全额（分别</w:t>
            </w:r>
            <w:r>
              <w:rPr>
                <w:rFonts w:ascii="宋体" w:hAnsi="宋体"/>
                <w:lang w:eastAsia="en-US" w:bidi="en-US"/>
              </w:rPr>
              <w:t>对应净额结算</w:t>
            </w:r>
            <w:r>
              <w:rPr>
                <w:rFonts w:hint="eastAsia" w:ascii="宋体" w:hAnsi="宋体"/>
                <w:lang w:eastAsia="en-US" w:bidi="en-US"/>
              </w:rPr>
              <w:t>/RTGS）</w:t>
            </w:r>
          </w:p>
        </w:tc>
      </w:tr>
      <w:tr w14:paraId="714E8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019E7FD3">
            <w:pPr>
              <w:pStyle w:val="12"/>
              <w:ind w:firstLine="0" w:firstLineChars="0"/>
              <w:jc w:val="left"/>
              <w:rPr>
                <w:rFonts w:ascii="宋体" w:hAnsi="宋体"/>
                <w:lang w:eastAsia="en-US" w:bidi="en-US"/>
              </w:rPr>
            </w:pPr>
            <w:r>
              <w:rPr>
                <w:rFonts w:hint="eastAsia" w:ascii="宋体" w:hAnsi="宋体"/>
                <w:lang w:eastAsia="en-US" w:bidi="en-US"/>
              </w:rPr>
              <w:t>结算速度</w:t>
            </w:r>
          </w:p>
        </w:tc>
        <w:tc>
          <w:tcPr>
            <w:tcW w:w="6429" w:type="dxa"/>
          </w:tcPr>
          <w:p w14:paraId="4EB8F236">
            <w:pPr>
              <w:pStyle w:val="12"/>
              <w:ind w:firstLine="0" w:firstLineChars="0"/>
              <w:jc w:val="left"/>
              <w:rPr>
                <w:rFonts w:ascii="宋体" w:hAnsi="宋体"/>
                <w:lang w:eastAsia="en-US" w:bidi="en-US"/>
              </w:rPr>
            </w:pPr>
            <w:r>
              <w:rPr>
                <w:rFonts w:hint="eastAsia" w:ascii="宋体" w:hAnsi="宋体"/>
                <w:lang w:eastAsia="en-US" w:bidi="en-US"/>
              </w:rPr>
              <w:t>T+0/T+1</w:t>
            </w:r>
            <w:r>
              <w:rPr>
                <w:rFonts w:ascii="宋体" w:hAnsi="宋体"/>
                <w:lang w:eastAsia="en-US" w:bidi="en-US"/>
              </w:rPr>
              <w:t xml:space="preserve"> </w:t>
            </w:r>
            <w:r>
              <w:rPr>
                <w:rFonts w:hint="eastAsia" w:ascii="宋体" w:hAnsi="宋体"/>
                <w:lang w:eastAsia="en-US" w:bidi="en-US"/>
              </w:rPr>
              <w:t>（</w:t>
            </w:r>
            <w:r>
              <w:rPr>
                <w:rFonts w:ascii="宋体" w:hAnsi="宋体"/>
                <w:lang w:eastAsia="en-US" w:bidi="en-US"/>
              </w:rPr>
              <w:t>净额结算显示</w:t>
            </w:r>
            <w:r>
              <w:rPr>
                <w:rFonts w:hint="eastAsia" w:ascii="宋体" w:hAnsi="宋体"/>
                <w:lang w:eastAsia="en-US" w:bidi="en-US"/>
              </w:rPr>
              <w:t>T+1，</w:t>
            </w:r>
            <w:r>
              <w:rPr>
                <w:rFonts w:ascii="宋体" w:hAnsi="宋体"/>
                <w:lang w:eastAsia="en-US" w:bidi="en-US"/>
              </w:rPr>
              <w:t>逐笔全额显示</w:t>
            </w:r>
            <w:r>
              <w:rPr>
                <w:rFonts w:hint="eastAsia" w:ascii="宋体" w:hAnsi="宋体"/>
                <w:lang w:eastAsia="en-US" w:bidi="en-US"/>
              </w:rPr>
              <w:t>T+0）</w:t>
            </w:r>
          </w:p>
        </w:tc>
      </w:tr>
      <w:tr w14:paraId="37248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660EC6F0">
            <w:pPr>
              <w:pStyle w:val="12"/>
              <w:ind w:firstLine="0" w:firstLineChars="0"/>
              <w:jc w:val="left"/>
              <w:rPr>
                <w:rFonts w:ascii="宋体" w:hAnsi="宋体"/>
                <w:lang w:eastAsia="en-US" w:bidi="en-US"/>
              </w:rPr>
            </w:pPr>
            <w:r>
              <w:rPr>
                <w:rFonts w:hint="eastAsia" w:ascii="宋体" w:hAnsi="宋体"/>
                <w:lang w:eastAsia="en-US" w:bidi="en-US"/>
              </w:rPr>
              <w:t>中标方</w:t>
            </w:r>
          </w:p>
        </w:tc>
        <w:tc>
          <w:tcPr>
            <w:tcW w:w="6429" w:type="dxa"/>
          </w:tcPr>
          <w:p w14:paraId="2FF786CD">
            <w:pPr>
              <w:pStyle w:val="12"/>
              <w:ind w:firstLine="0" w:firstLineChars="0"/>
              <w:jc w:val="left"/>
              <w:rPr>
                <w:rFonts w:ascii="宋体" w:hAnsi="宋体"/>
                <w:lang w:eastAsia="en-US" w:bidi="en-US"/>
              </w:rPr>
            </w:pPr>
            <w:r>
              <w:rPr>
                <w:rFonts w:hint="eastAsia" w:ascii="宋体" w:hAnsi="宋体"/>
                <w:lang w:eastAsia="en-US" w:bidi="en-US"/>
              </w:rPr>
              <w:t>交易参与人简称，可为匿名</w:t>
            </w:r>
          </w:p>
        </w:tc>
      </w:tr>
      <w:tr w14:paraId="558A0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2BBD4924">
            <w:pPr>
              <w:pStyle w:val="12"/>
              <w:ind w:firstLine="0" w:firstLineChars="0"/>
              <w:jc w:val="left"/>
              <w:rPr>
                <w:rFonts w:ascii="宋体" w:hAnsi="宋体"/>
                <w:lang w:eastAsia="en-US" w:bidi="en-US"/>
              </w:rPr>
            </w:pPr>
            <w:r>
              <w:rPr>
                <w:rFonts w:hint="eastAsia" w:ascii="宋体" w:hAnsi="宋体"/>
                <w:lang w:eastAsia="en-US" w:bidi="en-US"/>
              </w:rPr>
              <w:t>中标价格（元）</w:t>
            </w:r>
          </w:p>
        </w:tc>
        <w:tc>
          <w:tcPr>
            <w:tcW w:w="6429" w:type="dxa"/>
          </w:tcPr>
          <w:p w14:paraId="5D4F5B39">
            <w:pPr>
              <w:pStyle w:val="12"/>
              <w:ind w:firstLine="0" w:firstLineChars="0"/>
              <w:jc w:val="left"/>
              <w:rPr>
                <w:rFonts w:ascii="宋体" w:hAnsi="宋体"/>
                <w:lang w:eastAsia="en-US" w:bidi="en-US"/>
              </w:rPr>
            </w:pPr>
            <w:r>
              <w:rPr>
                <w:rFonts w:hint="eastAsia" w:ascii="宋体" w:hAnsi="宋体" w:cs="宋体"/>
                <w:szCs w:val="21"/>
                <w:lang w:eastAsia="en-US" w:bidi="en-US"/>
              </w:rPr>
              <w:t>XX.XXX</w:t>
            </w:r>
          </w:p>
        </w:tc>
      </w:tr>
      <w:tr w14:paraId="2ED2A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0AE628A1">
            <w:pPr>
              <w:pStyle w:val="12"/>
              <w:ind w:firstLine="0" w:firstLineChars="0"/>
              <w:jc w:val="left"/>
              <w:rPr>
                <w:rFonts w:ascii="宋体" w:hAnsi="宋体"/>
                <w:lang w:eastAsia="en-US" w:bidi="en-US"/>
              </w:rPr>
            </w:pPr>
            <w:r>
              <w:rPr>
                <w:rFonts w:hint="eastAsia" w:ascii="宋体" w:hAnsi="宋体"/>
                <w:lang w:eastAsia="en-US" w:bidi="en-US"/>
              </w:rPr>
              <w:t>中标数量（千元面额）</w:t>
            </w:r>
          </w:p>
        </w:tc>
        <w:tc>
          <w:tcPr>
            <w:tcW w:w="6429" w:type="dxa"/>
          </w:tcPr>
          <w:p w14:paraId="48E8110B">
            <w:pPr>
              <w:pStyle w:val="12"/>
              <w:ind w:firstLine="0" w:firstLineChars="0"/>
              <w:jc w:val="left"/>
              <w:rPr>
                <w:rFonts w:ascii="宋体" w:hAnsi="宋体"/>
                <w:lang w:eastAsia="en-US" w:bidi="en-US"/>
              </w:rPr>
            </w:pPr>
            <w:r>
              <w:rPr>
                <w:rFonts w:hint="eastAsia" w:ascii="宋体" w:hAnsi="宋体"/>
                <w:lang w:eastAsia="en-US" w:bidi="en-US"/>
              </w:rPr>
              <w:t>XXXX</w:t>
            </w:r>
          </w:p>
        </w:tc>
      </w:tr>
    </w:tbl>
    <w:p w14:paraId="40F0BE2B">
      <w:pPr>
        <w:ind w:firstLine="600" w:firstLineChars="200"/>
        <w:jc w:val="right"/>
        <w:rPr>
          <w:rFonts w:ascii="仿宋_GB2312" w:hAnsi="仿宋" w:eastAsia="仿宋_GB2312"/>
          <w:sz w:val="30"/>
          <w:szCs w:val="30"/>
        </w:rPr>
      </w:pPr>
    </w:p>
    <w:p w14:paraId="3FE34DEC">
      <w:pPr>
        <w:spacing w:line="600" w:lineRule="exact"/>
        <w:ind w:firstLine="480"/>
        <w:rPr>
          <w:rFonts w:ascii="宋体" w:hAnsi="宋体"/>
          <w:sz w:val="24"/>
          <w:szCs w:val="24"/>
        </w:rPr>
      </w:pPr>
    </w:p>
    <w:p w14:paraId="6E6C30F7">
      <w:pPr>
        <w:widowControl/>
        <w:jc w:val="left"/>
        <w:outlineLvl w:val="1"/>
        <w:rPr>
          <w:rFonts w:ascii="黑体" w:hAnsi="黑体"/>
          <w:b/>
          <w:sz w:val="44"/>
          <w:szCs w:val="44"/>
        </w:rPr>
      </w:pPr>
      <w:r>
        <w:rPr>
          <w:rFonts w:ascii="黑体" w:hAnsi="黑体"/>
          <w:b/>
          <w:sz w:val="44"/>
          <w:szCs w:val="44"/>
        </w:rPr>
        <w:br w:type="page"/>
      </w:r>
      <w:bookmarkStart w:id="3811" w:name="_Toc151137090"/>
      <w:bookmarkStart w:id="3812" w:name="_Toc592382684"/>
      <w:bookmarkStart w:id="3813" w:name="_Toc1154451803"/>
      <w:bookmarkStart w:id="3814" w:name="_Toc768305754"/>
      <w:bookmarkStart w:id="3815" w:name="_Toc168851585"/>
      <w:r>
        <w:rPr>
          <w:rFonts w:hint="eastAsia" w:ascii="仿宋_GB2312" w:hAnsi="黑体" w:eastAsia="仿宋_GB2312"/>
          <w:b/>
          <w:sz w:val="30"/>
          <w:szCs w:val="30"/>
        </w:rPr>
        <w:t>附件7 做市交易业务技术测试和专项检查申请</w:t>
      </w:r>
      <w:r>
        <w:rPr>
          <w:rFonts w:hint="eastAsia" w:ascii="仿宋_GB2312" w:eastAsia="仿宋_GB2312"/>
          <w:b/>
          <w:sz w:val="30"/>
          <w:szCs w:val="30"/>
        </w:rPr>
        <w:t>书</w:t>
      </w:r>
      <w:bookmarkEnd w:id="3811"/>
      <w:bookmarkEnd w:id="3812"/>
      <w:bookmarkEnd w:id="3813"/>
      <w:bookmarkEnd w:id="3814"/>
      <w:bookmarkEnd w:id="3815"/>
    </w:p>
    <w:p w14:paraId="2F043802">
      <w:pPr>
        <w:jc w:val="center"/>
        <w:rPr>
          <w:rFonts w:ascii="黑体" w:hAnsi="黑体" w:eastAsia="黑体"/>
          <w:b/>
          <w:sz w:val="44"/>
          <w:szCs w:val="44"/>
        </w:rPr>
      </w:pPr>
    </w:p>
    <w:p w14:paraId="1D8E134F">
      <w:pPr>
        <w:jc w:val="center"/>
        <w:rPr>
          <w:rFonts w:ascii="黑体" w:hAnsi="黑体" w:eastAsia="黑体"/>
          <w:b/>
          <w:sz w:val="44"/>
          <w:szCs w:val="44"/>
        </w:rPr>
      </w:pPr>
      <w:r>
        <w:rPr>
          <w:rFonts w:ascii="黑体" w:hAnsi="黑体" w:eastAsia="黑体"/>
          <w:b/>
          <w:sz w:val="44"/>
          <w:szCs w:val="44"/>
        </w:rPr>
        <w:t>XX公司关于申请上海证券交易所</w:t>
      </w:r>
      <w:r>
        <w:rPr>
          <w:rFonts w:hint="eastAsia" w:ascii="黑体" w:hAnsi="黑体" w:eastAsia="黑体"/>
          <w:b/>
          <w:sz w:val="44"/>
          <w:szCs w:val="44"/>
        </w:rPr>
        <w:t>债券做市交易业务技术测试和专项检查的函</w:t>
      </w:r>
    </w:p>
    <w:p w14:paraId="1FA12302">
      <w:pPr>
        <w:rPr>
          <w:rFonts w:ascii="仿宋_GB2312" w:eastAsia="仿宋_GB2312"/>
          <w:szCs w:val="28"/>
        </w:rPr>
      </w:pPr>
    </w:p>
    <w:p w14:paraId="21B27BCF">
      <w:pPr>
        <w:rPr>
          <w:rFonts w:ascii="仿宋_GB2312" w:eastAsia="仿宋_GB2312"/>
          <w:sz w:val="32"/>
          <w:szCs w:val="44"/>
        </w:rPr>
      </w:pPr>
      <w:r>
        <w:rPr>
          <w:rFonts w:hint="eastAsia" w:ascii="仿宋_GB2312" w:eastAsia="仿宋_GB2312"/>
          <w:sz w:val="32"/>
          <w:szCs w:val="44"/>
        </w:rPr>
        <w:t>上海证券交易所：</w:t>
      </w:r>
    </w:p>
    <w:p w14:paraId="6968AA96">
      <w:pPr>
        <w:ind w:firstLine="640" w:firstLineChars="200"/>
        <w:rPr>
          <w:rFonts w:ascii="仿宋_GB2312" w:eastAsia="仿宋_GB2312"/>
          <w:sz w:val="32"/>
          <w:szCs w:val="44"/>
        </w:rPr>
      </w:pPr>
      <w:r>
        <w:rPr>
          <w:rFonts w:hint="eastAsia" w:ascii="仿宋_GB2312" w:eastAsia="仿宋_GB2312"/>
          <w:sz w:val="32"/>
          <w:szCs w:val="44"/>
        </w:rPr>
        <w:t>根据《上海证券交易所债券交易规则》《上海证券交易所债券交易规则适用指引第3号——债券做市业务》等相关规定，我司向贵所申请债券做市交易业务技术测试和专项检查。我司符合开展债券做市交易业务的基本条件，并已做好相关准备工作，特向贵所申请债券做市交易业务技术测试和专项检查。</w:t>
      </w:r>
    </w:p>
    <w:p w14:paraId="3726E7FA">
      <w:pPr>
        <w:ind w:firstLine="640" w:firstLineChars="200"/>
        <w:rPr>
          <w:rFonts w:ascii="仿宋_GB2312" w:eastAsia="仿宋_GB2312"/>
          <w:sz w:val="32"/>
          <w:szCs w:val="44"/>
        </w:rPr>
      </w:pPr>
      <w:r>
        <w:rPr>
          <w:rFonts w:hint="eastAsia" w:ascii="仿宋_GB2312" w:eastAsia="仿宋_GB2312"/>
          <w:sz w:val="32"/>
          <w:szCs w:val="44"/>
        </w:rPr>
        <w:t>我司承诺提交的申请材料内容真实、准确、完整，如存在虚假记载、误导性陈述或重大遗漏，将承担相关法律责任。</w:t>
      </w:r>
    </w:p>
    <w:p w14:paraId="5F82B245">
      <w:pPr>
        <w:ind w:firstLine="640" w:firstLineChars="200"/>
        <w:rPr>
          <w:rFonts w:ascii="仿宋_GB2312" w:eastAsia="仿宋_GB2312"/>
          <w:sz w:val="32"/>
          <w:szCs w:val="44"/>
        </w:rPr>
      </w:pPr>
      <w:r>
        <w:rPr>
          <w:rFonts w:hint="eastAsia" w:ascii="仿宋_GB2312" w:eastAsia="仿宋_GB2312"/>
          <w:sz w:val="32"/>
          <w:szCs w:val="44"/>
        </w:rPr>
        <w:t>特此致函。</w:t>
      </w:r>
    </w:p>
    <w:p w14:paraId="39E63FA6">
      <w:pPr>
        <w:ind w:firstLine="640" w:firstLineChars="200"/>
        <w:rPr>
          <w:rFonts w:ascii="仿宋_GB2312" w:eastAsia="仿宋_GB2312"/>
          <w:sz w:val="32"/>
          <w:szCs w:val="44"/>
        </w:rPr>
      </w:pPr>
    </w:p>
    <w:p w14:paraId="4DA5D90C">
      <w:pPr>
        <w:ind w:firstLine="640" w:firstLineChars="200"/>
        <w:jc w:val="right"/>
        <w:rPr>
          <w:rFonts w:ascii="仿宋_GB2312" w:eastAsia="仿宋_GB2312"/>
          <w:sz w:val="32"/>
          <w:szCs w:val="44"/>
        </w:rPr>
      </w:pPr>
      <w:r>
        <w:rPr>
          <w:rFonts w:hint="eastAsia" w:ascii="仿宋_GB2312" w:eastAsia="仿宋_GB2312"/>
          <w:sz w:val="32"/>
          <w:szCs w:val="44"/>
        </w:rPr>
        <w:t>XX公司（盖章）</w:t>
      </w:r>
    </w:p>
    <w:p w14:paraId="668833D7">
      <w:pPr>
        <w:ind w:firstLine="640" w:firstLineChars="200"/>
        <w:jc w:val="right"/>
        <w:rPr>
          <w:rFonts w:ascii="仿宋_GB2312" w:eastAsia="仿宋_GB2312"/>
          <w:sz w:val="32"/>
          <w:szCs w:val="44"/>
        </w:rPr>
      </w:pPr>
      <w:r>
        <w:rPr>
          <w:rFonts w:hint="eastAsia" w:ascii="仿宋_GB2312" w:eastAsia="仿宋_GB2312"/>
          <w:sz w:val="32"/>
          <w:szCs w:val="44"/>
        </w:rPr>
        <w:t>XX年XX月XX日</w:t>
      </w:r>
    </w:p>
    <w:p w14:paraId="3DBEAE72">
      <w:pPr>
        <w:widowControl/>
        <w:jc w:val="left"/>
        <w:rPr>
          <w:rFonts w:ascii="黑体" w:hAnsi="黑体" w:eastAsia="黑体"/>
          <w:b/>
          <w:sz w:val="36"/>
          <w:szCs w:val="36"/>
        </w:rPr>
      </w:pPr>
    </w:p>
    <w:p w14:paraId="1DC8C663">
      <w:pPr>
        <w:widowControl/>
        <w:jc w:val="left"/>
        <w:rPr>
          <w:rFonts w:ascii="黑体" w:hAnsi="黑体"/>
          <w:b/>
          <w:sz w:val="44"/>
          <w:szCs w:val="44"/>
        </w:rPr>
      </w:pPr>
      <w:r>
        <w:rPr>
          <w:rFonts w:ascii="黑体" w:hAnsi="黑体"/>
          <w:b/>
          <w:sz w:val="44"/>
          <w:szCs w:val="44"/>
        </w:rPr>
        <w:br w:type="page"/>
      </w:r>
    </w:p>
    <w:p w14:paraId="32B02404">
      <w:pPr>
        <w:widowControl/>
        <w:jc w:val="left"/>
        <w:outlineLvl w:val="1"/>
        <w:rPr>
          <w:rFonts w:ascii="仿宋_GB2312" w:hAnsi="黑体" w:eastAsia="仿宋_GB2312"/>
          <w:b/>
          <w:sz w:val="30"/>
          <w:szCs w:val="30"/>
        </w:rPr>
      </w:pPr>
      <w:bookmarkStart w:id="3816" w:name="_Toc88643358"/>
      <w:bookmarkStart w:id="3817" w:name="_Toc1130046084"/>
      <w:bookmarkStart w:id="3818" w:name="_Toc2055023211"/>
      <w:bookmarkStart w:id="3819" w:name="_Toc2023596677"/>
      <w:bookmarkStart w:id="3820" w:name="_Toc151137091"/>
      <w:r>
        <w:rPr>
          <w:rFonts w:hint="eastAsia" w:ascii="仿宋_GB2312" w:hAnsi="黑体" w:eastAsia="仿宋_GB2312"/>
          <w:b/>
          <w:sz w:val="30"/>
          <w:szCs w:val="30"/>
        </w:rPr>
        <w:t>附件8 做市交易业务实施方案与管理制度必备要点</w:t>
      </w:r>
      <w:bookmarkEnd w:id="3816"/>
      <w:bookmarkEnd w:id="3817"/>
      <w:bookmarkEnd w:id="3818"/>
      <w:bookmarkEnd w:id="3819"/>
      <w:bookmarkEnd w:id="3820"/>
    </w:p>
    <w:tbl>
      <w:tblPr>
        <w:tblStyle w:val="43"/>
        <w:tblW w:w="553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4"/>
        <w:gridCol w:w="2409"/>
        <w:gridCol w:w="6202"/>
      </w:tblGrid>
      <w:tr w14:paraId="7D66D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pct"/>
            <w:tcBorders>
              <w:top w:val="single" w:color="auto" w:sz="4" w:space="0"/>
              <w:left w:val="single" w:color="auto" w:sz="4" w:space="0"/>
              <w:bottom w:val="single" w:color="auto" w:sz="4" w:space="0"/>
              <w:right w:val="single" w:color="auto" w:sz="4" w:space="0"/>
            </w:tcBorders>
            <w:vAlign w:val="center"/>
          </w:tcPr>
          <w:p w14:paraId="2F5A1C16">
            <w:pPr>
              <w:widowControl/>
              <w:spacing w:line="360" w:lineRule="auto"/>
              <w:jc w:val="center"/>
              <w:rPr>
                <w:rFonts w:eastAsia="仿宋_GB2312"/>
                <w:sz w:val="24"/>
                <w:szCs w:val="28"/>
              </w:rPr>
            </w:pPr>
          </w:p>
        </w:tc>
        <w:tc>
          <w:tcPr>
            <w:tcW w:w="1278" w:type="pct"/>
            <w:tcBorders>
              <w:top w:val="single" w:color="auto" w:sz="4" w:space="0"/>
              <w:left w:val="single" w:color="auto" w:sz="4" w:space="0"/>
              <w:bottom w:val="single" w:color="auto" w:sz="4" w:space="0"/>
              <w:right w:val="single" w:color="auto" w:sz="4" w:space="0"/>
            </w:tcBorders>
            <w:vAlign w:val="center"/>
          </w:tcPr>
          <w:p w14:paraId="28BA90F1">
            <w:pPr>
              <w:widowControl/>
              <w:spacing w:line="360" w:lineRule="auto"/>
              <w:jc w:val="center"/>
              <w:rPr>
                <w:rFonts w:eastAsia="仿宋_GB2312"/>
                <w:sz w:val="24"/>
                <w:szCs w:val="28"/>
              </w:rPr>
            </w:pPr>
            <w:r>
              <w:rPr>
                <w:rFonts w:hint="eastAsia" w:eastAsia="仿宋_GB2312"/>
                <w:sz w:val="24"/>
                <w:szCs w:val="28"/>
              </w:rPr>
              <w:t>必备章节</w:t>
            </w:r>
          </w:p>
        </w:tc>
        <w:tc>
          <w:tcPr>
            <w:tcW w:w="3290" w:type="pct"/>
            <w:tcBorders>
              <w:top w:val="single" w:color="auto" w:sz="4" w:space="0"/>
              <w:left w:val="single" w:color="auto" w:sz="4" w:space="0"/>
              <w:bottom w:val="single" w:color="auto" w:sz="4" w:space="0"/>
              <w:right w:val="single" w:color="auto" w:sz="4" w:space="0"/>
            </w:tcBorders>
            <w:vAlign w:val="center"/>
          </w:tcPr>
          <w:p w14:paraId="72276635">
            <w:pPr>
              <w:widowControl/>
              <w:spacing w:line="360" w:lineRule="auto"/>
              <w:jc w:val="center"/>
              <w:rPr>
                <w:rFonts w:eastAsia="仿宋_GB2312"/>
                <w:sz w:val="24"/>
                <w:szCs w:val="28"/>
              </w:rPr>
            </w:pPr>
            <w:r>
              <w:rPr>
                <w:rFonts w:hint="eastAsia" w:eastAsia="仿宋_GB2312"/>
                <w:sz w:val="24"/>
                <w:szCs w:val="28"/>
              </w:rPr>
              <w:t>内容参考</w:t>
            </w:r>
          </w:p>
        </w:tc>
      </w:tr>
      <w:tr w14:paraId="0E120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3"/>
            <w:tcBorders>
              <w:top w:val="single" w:color="auto" w:sz="4" w:space="0"/>
              <w:left w:val="single" w:color="auto" w:sz="4" w:space="0"/>
              <w:bottom w:val="single" w:color="auto" w:sz="4" w:space="0"/>
              <w:right w:val="single" w:color="auto" w:sz="4" w:space="0"/>
            </w:tcBorders>
            <w:vAlign w:val="center"/>
          </w:tcPr>
          <w:p w14:paraId="6D83D02E">
            <w:pPr>
              <w:widowControl/>
              <w:spacing w:line="360" w:lineRule="auto"/>
              <w:jc w:val="center"/>
              <w:rPr>
                <w:rFonts w:eastAsia="仿宋_GB2312"/>
                <w:b/>
                <w:sz w:val="24"/>
                <w:szCs w:val="28"/>
              </w:rPr>
            </w:pPr>
            <w:r>
              <w:rPr>
                <w:rFonts w:hint="eastAsia" w:eastAsia="仿宋_GB2312"/>
                <w:b/>
                <w:sz w:val="24"/>
                <w:szCs w:val="28"/>
              </w:rPr>
              <w:t>债券做市交易业务实施方案</w:t>
            </w:r>
          </w:p>
        </w:tc>
      </w:tr>
      <w:tr w14:paraId="6D4B1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pct"/>
            <w:tcBorders>
              <w:top w:val="single" w:color="auto" w:sz="4" w:space="0"/>
              <w:left w:val="single" w:color="auto" w:sz="4" w:space="0"/>
              <w:bottom w:val="single" w:color="auto" w:sz="4" w:space="0"/>
              <w:right w:val="single" w:color="auto" w:sz="4" w:space="0"/>
            </w:tcBorders>
            <w:vAlign w:val="center"/>
          </w:tcPr>
          <w:p w14:paraId="30C9010D">
            <w:pPr>
              <w:widowControl/>
              <w:spacing w:line="360" w:lineRule="auto"/>
              <w:jc w:val="center"/>
              <w:rPr>
                <w:rFonts w:eastAsia="仿宋_GB2312"/>
                <w:sz w:val="24"/>
                <w:szCs w:val="28"/>
              </w:rPr>
            </w:pPr>
            <w:r>
              <w:rPr>
                <w:rFonts w:eastAsia="仿宋_GB2312"/>
                <w:sz w:val="24"/>
                <w:szCs w:val="28"/>
              </w:rPr>
              <w:t>1</w:t>
            </w:r>
          </w:p>
        </w:tc>
        <w:tc>
          <w:tcPr>
            <w:tcW w:w="1278" w:type="pct"/>
            <w:tcBorders>
              <w:top w:val="single" w:color="auto" w:sz="4" w:space="0"/>
              <w:left w:val="single" w:color="auto" w:sz="4" w:space="0"/>
              <w:bottom w:val="single" w:color="auto" w:sz="4" w:space="0"/>
              <w:right w:val="single" w:color="auto" w:sz="4" w:space="0"/>
            </w:tcBorders>
            <w:vAlign w:val="center"/>
          </w:tcPr>
          <w:p w14:paraId="147395CD">
            <w:pPr>
              <w:widowControl/>
              <w:spacing w:line="360" w:lineRule="auto"/>
              <w:jc w:val="center"/>
              <w:rPr>
                <w:rFonts w:eastAsia="仿宋_GB2312"/>
                <w:sz w:val="24"/>
                <w:szCs w:val="28"/>
              </w:rPr>
            </w:pPr>
            <w:r>
              <w:rPr>
                <w:rFonts w:hint="eastAsia" w:eastAsia="仿宋_GB2312"/>
                <w:sz w:val="24"/>
                <w:szCs w:val="28"/>
              </w:rPr>
              <w:t>做市交易业务总体设想</w:t>
            </w:r>
          </w:p>
        </w:tc>
        <w:tc>
          <w:tcPr>
            <w:tcW w:w="3290" w:type="pct"/>
            <w:tcBorders>
              <w:top w:val="single" w:color="auto" w:sz="4" w:space="0"/>
              <w:left w:val="single" w:color="auto" w:sz="4" w:space="0"/>
              <w:bottom w:val="single" w:color="auto" w:sz="4" w:space="0"/>
              <w:right w:val="single" w:color="auto" w:sz="4" w:space="0"/>
            </w:tcBorders>
            <w:vAlign w:val="center"/>
          </w:tcPr>
          <w:p w14:paraId="77792B16">
            <w:pPr>
              <w:widowControl/>
              <w:spacing w:line="360" w:lineRule="auto"/>
              <w:rPr>
                <w:rFonts w:eastAsia="仿宋_GB2312"/>
                <w:sz w:val="24"/>
                <w:szCs w:val="28"/>
              </w:rPr>
            </w:pPr>
            <w:r>
              <w:rPr>
                <w:rFonts w:hint="eastAsia" w:eastAsia="仿宋_GB2312"/>
                <w:sz w:val="24"/>
                <w:szCs w:val="28"/>
              </w:rPr>
              <w:t>内容应包括但不限于做市情况概述（含其他市场做市交易业务开展情况），债券做市交易业务计划（资金、人员、岗位设置、职责等），债券做市交易业务发展规划。</w:t>
            </w:r>
          </w:p>
        </w:tc>
      </w:tr>
      <w:tr w14:paraId="05DA2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32" w:type="pct"/>
            <w:tcBorders>
              <w:top w:val="single" w:color="auto" w:sz="4" w:space="0"/>
              <w:left w:val="single" w:color="auto" w:sz="4" w:space="0"/>
              <w:bottom w:val="single" w:color="auto" w:sz="4" w:space="0"/>
              <w:right w:val="single" w:color="auto" w:sz="4" w:space="0"/>
            </w:tcBorders>
            <w:vAlign w:val="center"/>
          </w:tcPr>
          <w:p w14:paraId="4E1120C1">
            <w:pPr>
              <w:widowControl/>
              <w:spacing w:line="360" w:lineRule="auto"/>
              <w:jc w:val="center"/>
              <w:rPr>
                <w:rFonts w:eastAsia="仿宋_GB2312"/>
                <w:sz w:val="24"/>
                <w:szCs w:val="28"/>
              </w:rPr>
            </w:pPr>
            <w:r>
              <w:rPr>
                <w:rFonts w:eastAsia="仿宋_GB2312"/>
                <w:sz w:val="24"/>
                <w:szCs w:val="28"/>
              </w:rPr>
              <w:t>2</w:t>
            </w:r>
          </w:p>
        </w:tc>
        <w:tc>
          <w:tcPr>
            <w:tcW w:w="1278" w:type="pct"/>
            <w:tcBorders>
              <w:top w:val="single" w:color="auto" w:sz="4" w:space="0"/>
              <w:left w:val="single" w:color="auto" w:sz="4" w:space="0"/>
              <w:bottom w:val="single" w:color="auto" w:sz="4" w:space="0"/>
              <w:right w:val="single" w:color="auto" w:sz="4" w:space="0"/>
            </w:tcBorders>
            <w:vAlign w:val="center"/>
          </w:tcPr>
          <w:p w14:paraId="62818F42">
            <w:pPr>
              <w:widowControl/>
              <w:spacing w:line="360" w:lineRule="auto"/>
              <w:jc w:val="center"/>
              <w:rPr>
                <w:rFonts w:eastAsia="仿宋_GB2312"/>
                <w:sz w:val="24"/>
                <w:szCs w:val="28"/>
              </w:rPr>
            </w:pPr>
            <w:r>
              <w:rPr>
                <w:rFonts w:hint="eastAsia" w:eastAsia="仿宋_GB2312"/>
                <w:sz w:val="24"/>
                <w:szCs w:val="28"/>
              </w:rPr>
              <w:t>做市策略</w:t>
            </w:r>
          </w:p>
        </w:tc>
        <w:tc>
          <w:tcPr>
            <w:tcW w:w="3290" w:type="pct"/>
            <w:tcBorders>
              <w:top w:val="single" w:color="auto" w:sz="4" w:space="0"/>
              <w:left w:val="single" w:color="auto" w:sz="4" w:space="0"/>
              <w:bottom w:val="single" w:color="auto" w:sz="4" w:space="0"/>
              <w:right w:val="single" w:color="auto" w:sz="4" w:space="0"/>
            </w:tcBorders>
            <w:vAlign w:val="center"/>
          </w:tcPr>
          <w:p w14:paraId="11429F64">
            <w:pPr>
              <w:widowControl/>
              <w:spacing w:line="360" w:lineRule="auto"/>
              <w:rPr>
                <w:rFonts w:eastAsia="仿宋_GB2312"/>
                <w:sz w:val="24"/>
                <w:szCs w:val="28"/>
              </w:rPr>
            </w:pPr>
            <w:r>
              <w:rPr>
                <w:rFonts w:hint="eastAsia" w:eastAsia="仿宋_GB2312"/>
                <w:sz w:val="24"/>
                <w:szCs w:val="28"/>
              </w:rPr>
              <w:t>内容应包括但不限于与做市策略相关的定价策略、报价策略、存货管理策略及</w:t>
            </w:r>
            <w:r>
              <w:rPr>
                <w:rFonts w:eastAsia="仿宋_GB2312"/>
                <w:sz w:val="24"/>
                <w:szCs w:val="28"/>
              </w:rPr>
              <w:t>压力测试</w:t>
            </w:r>
            <w:r>
              <w:rPr>
                <w:rFonts w:hint="eastAsia" w:eastAsia="仿宋_GB2312"/>
                <w:sz w:val="24"/>
                <w:szCs w:val="28"/>
              </w:rPr>
              <w:t>。</w:t>
            </w:r>
          </w:p>
        </w:tc>
      </w:tr>
      <w:tr w14:paraId="74343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pct"/>
            <w:tcBorders>
              <w:top w:val="single" w:color="auto" w:sz="4" w:space="0"/>
              <w:left w:val="single" w:color="auto" w:sz="4" w:space="0"/>
              <w:bottom w:val="single" w:color="auto" w:sz="4" w:space="0"/>
              <w:right w:val="single" w:color="auto" w:sz="4" w:space="0"/>
            </w:tcBorders>
            <w:vAlign w:val="center"/>
          </w:tcPr>
          <w:p w14:paraId="6BB08C30">
            <w:pPr>
              <w:widowControl/>
              <w:spacing w:line="360" w:lineRule="auto"/>
              <w:jc w:val="center"/>
              <w:rPr>
                <w:rFonts w:eastAsia="仿宋_GB2312"/>
                <w:sz w:val="24"/>
                <w:szCs w:val="28"/>
              </w:rPr>
            </w:pPr>
            <w:r>
              <w:rPr>
                <w:rFonts w:eastAsia="仿宋_GB2312"/>
                <w:sz w:val="24"/>
                <w:szCs w:val="28"/>
              </w:rPr>
              <w:t>3</w:t>
            </w:r>
          </w:p>
        </w:tc>
        <w:tc>
          <w:tcPr>
            <w:tcW w:w="1278" w:type="pct"/>
            <w:tcBorders>
              <w:top w:val="single" w:color="auto" w:sz="4" w:space="0"/>
              <w:left w:val="single" w:color="auto" w:sz="4" w:space="0"/>
              <w:bottom w:val="single" w:color="auto" w:sz="4" w:space="0"/>
              <w:right w:val="single" w:color="auto" w:sz="4" w:space="0"/>
            </w:tcBorders>
            <w:vAlign w:val="center"/>
          </w:tcPr>
          <w:p w14:paraId="7E83E83E">
            <w:pPr>
              <w:widowControl/>
              <w:spacing w:line="360" w:lineRule="auto"/>
              <w:jc w:val="center"/>
              <w:rPr>
                <w:rFonts w:eastAsia="仿宋_GB2312"/>
                <w:sz w:val="24"/>
                <w:szCs w:val="28"/>
              </w:rPr>
            </w:pPr>
            <w:r>
              <w:rPr>
                <w:rFonts w:hint="eastAsia" w:eastAsia="仿宋_GB2312"/>
                <w:sz w:val="24"/>
                <w:szCs w:val="28"/>
              </w:rPr>
              <w:t>基本功能</w:t>
            </w:r>
          </w:p>
        </w:tc>
        <w:tc>
          <w:tcPr>
            <w:tcW w:w="3290" w:type="pct"/>
            <w:tcBorders>
              <w:top w:val="single" w:color="auto" w:sz="4" w:space="0"/>
              <w:left w:val="single" w:color="auto" w:sz="4" w:space="0"/>
              <w:bottom w:val="single" w:color="auto" w:sz="4" w:space="0"/>
              <w:right w:val="single" w:color="auto" w:sz="4" w:space="0"/>
            </w:tcBorders>
            <w:vAlign w:val="center"/>
          </w:tcPr>
          <w:p w14:paraId="44F32A8F">
            <w:pPr>
              <w:widowControl/>
              <w:spacing w:line="360" w:lineRule="auto"/>
              <w:rPr>
                <w:rFonts w:eastAsia="仿宋_GB2312"/>
                <w:sz w:val="24"/>
                <w:szCs w:val="28"/>
              </w:rPr>
            </w:pPr>
            <w:r>
              <w:rPr>
                <w:rFonts w:hint="eastAsia" w:eastAsia="仿宋_GB2312"/>
                <w:sz w:val="24"/>
                <w:szCs w:val="28"/>
              </w:rPr>
              <w:t>内容应包括但不限于交易系统能够实现行情揭示、做市交易等功能。</w:t>
            </w:r>
          </w:p>
        </w:tc>
      </w:tr>
      <w:tr w14:paraId="58D0B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pct"/>
            <w:tcBorders>
              <w:top w:val="single" w:color="auto" w:sz="4" w:space="0"/>
              <w:left w:val="single" w:color="auto" w:sz="4" w:space="0"/>
              <w:bottom w:val="single" w:color="auto" w:sz="4" w:space="0"/>
              <w:right w:val="single" w:color="auto" w:sz="4" w:space="0"/>
            </w:tcBorders>
            <w:vAlign w:val="center"/>
          </w:tcPr>
          <w:p w14:paraId="4FD80AF9">
            <w:pPr>
              <w:widowControl/>
              <w:spacing w:line="360" w:lineRule="auto"/>
              <w:jc w:val="center"/>
              <w:rPr>
                <w:rFonts w:eastAsia="仿宋_GB2312"/>
                <w:sz w:val="24"/>
                <w:szCs w:val="28"/>
              </w:rPr>
            </w:pPr>
            <w:r>
              <w:rPr>
                <w:rFonts w:hint="eastAsia" w:eastAsia="仿宋_GB2312"/>
                <w:sz w:val="24"/>
                <w:szCs w:val="28"/>
              </w:rPr>
              <w:t>4</w:t>
            </w:r>
          </w:p>
        </w:tc>
        <w:tc>
          <w:tcPr>
            <w:tcW w:w="1278" w:type="pct"/>
            <w:tcBorders>
              <w:top w:val="single" w:color="auto" w:sz="4" w:space="0"/>
              <w:left w:val="single" w:color="auto" w:sz="4" w:space="0"/>
              <w:bottom w:val="single" w:color="auto" w:sz="4" w:space="0"/>
              <w:right w:val="single" w:color="auto" w:sz="4" w:space="0"/>
            </w:tcBorders>
            <w:vAlign w:val="center"/>
          </w:tcPr>
          <w:p w14:paraId="491C9760">
            <w:pPr>
              <w:widowControl/>
              <w:spacing w:line="360" w:lineRule="auto"/>
              <w:jc w:val="center"/>
              <w:rPr>
                <w:rFonts w:eastAsia="仿宋_GB2312"/>
                <w:sz w:val="24"/>
                <w:szCs w:val="28"/>
              </w:rPr>
            </w:pPr>
            <w:r>
              <w:rPr>
                <w:rFonts w:hint="eastAsia" w:eastAsia="仿宋_GB2312"/>
                <w:sz w:val="24"/>
                <w:szCs w:val="28"/>
              </w:rPr>
              <w:t>应急预案</w:t>
            </w:r>
          </w:p>
        </w:tc>
        <w:tc>
          <w:tcPr>
            <w:tcW w:w="3290" w:type="pct"/>
            <w:tcBorders>
              <w:top w:val="single" w:color="auto" w:sz="4" w:space="0"/>
              <w:left w:val="single" w:color="auto" w:sz="4" w:space="0"/>
              <w:bottom w:val="single" w:color="auto" w:sz="4" w:space="0"/>
              <w:right w:val="single" w:color="auto" w:sz="4" w:space="0"/>
            </w:tcBorders>
            <w:vAlign w:val="center"/>
          </w:tcPr>
          <w:p w14:paraId="688E2575">
            <w:pPr>
              <w:widowControl/>
              <w:spacing w:line="360" w:lineRule="auto"/>
              <w:rPr>
                <w:rFonts w:eastAsia="仿宋_GB2312"/>
                <w:sz w:val="24"/>
                <w:szCs w:val="28"/>
              </w:rPr>
            </w:pPr>
            <w:r>
              <w:rPr>
                <w:rFonts w:hint="eastAsia" w:eastAsia="仿宋_GB2312"/>
                <w:sz w:val="24"/>
                <w:szCs w:val="28"/>
              </w:rPr>
              <w:t>内容应包括但不限于突发事件的情形，应急处理方式及流程。</w:t>
            </w:r>
          </w:p>
        </w:tc>
      </w:tr>
      <w:tr w14:paraId="5E4F5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3"/>
            <w:tcBorders>
              <w:top w:val="single" w:color="auto" w:sz="4" w:space="0"/>
              <w:left w:val="single" w:color="auto" w:sz="4" w:space="0"/>
              <w:bottom w:val="single" w:color="auto" w:sz="4" w:space="0"/>
              <w:right w:val="single" w:color="auto" w:sz="4" w:space="0"/>
            </w:tcBorders>
            <w:vAlign w:val="center"/>
          </w:tcPr>
          <w:p w14:paraId="1B4302B3">
            <w:pPr>
              <w:widowControl/>
              <w:spacing w:line="360" w:lineRule="auto"/>
              <w:jc w:val="center"/>
              <w:rPr>
                <w:rFonts w:eastAsia="仿宋_GB2312"/>
                <w:b/>
                <w:sz w:val="24"/>
                <w:szCs w:val="28"/>
              </w:rPr>
            </w:pPr>
            <w:r>
              <w:rPr>
                <w:rFonts w:hint="eastAsia" w:eastAsia="仿宋_GB2312"/>
                <w:b/>
                <w:sz w:val="24"/>
                <w:szCs w:val="28"/>
              </w:rPr>
              <w:t>债券做市交易业务内部管理制度</w:t>
            </w:r>
          </w:p>
        </w:tc>
      </w:tr>
      <w:tr w14:paraId="50C9F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32" w:type="pct"/>
            <w:tcBorders>
              <w:top w:val="single" w:color="auto" w:sz="4" w:space="0"/>
              <w:left w:val="single" w:color="auto" w:sz="4" w:space="0"/>
              <w:bottom w:val="single" w:color="auto" w:sz="4" w:space="0"/>
              <w:right w:val="single" w:color="auto" w:sz="4" w:space="0"/>
            </w:tcBorders>
            <w:vAlign w:val="center"/>
          </w:tcPr>
          <w:p w14:paraId="371330C3">
            <w:pPr>
              <w:widowControl/>
              <w:spacing w:line="360" w:lineRule="auto"/>
              <w:jc w:val="center"/>
              <w:rPr>
                <w:rFonts w:eastAsia="仿宋_GB2312"/>
                <w:sz w:val="24"/>
                <w:szCs w:val="28"/>
              </w:rPr>
            </w:pPr>
            <w:r>
              <w:rPr>
                <w:rFonts w:eastAsia="仿宋_GB2312"/>
                <w:sz w:val="24"/>
                <w:szCs w:val="28"/>
              </w:rPr>
              <w:t>1</w:t>
            </w:r>
          </w:p>
        </w:tc>
        <w:tc>
          <w:tcPr>
            <w:tcW w:w="1278" w:type="pct"/>
            <w:tcBorders>
              <w:top w:val="single" w:color="auto" w:sz="4" w:space="0"/>
              <w:left w:val="single" w:color="auto" w:sz="4" w:space="0"/>
              <w:bottom w:val="single" w:color="auto" w:sz="4" w:space="0"/>
              <w:right w:val="single" w:color="auto" w:sz="4" w:space="0"/>
            </w:tcBorders>
            <w:vAlign w:val="center"/>
          </w:tcPr>
          <w:p w14:paraId="03EF6C0A">
            <w:pPr>
              <w:widowControl/>
              <w:spacing w:line="360" w:lineRule="auto"/>
              <w:jc w:val="center"/>
              <w:rPr>
                <w:rFonts w:eastAsia="仿宋_GB2312"/>
                <w:sz w:val="24"/>
                <w:szCs w:val="28"/>
              </w:rPr>
            </w:pPr>
            <w:r>
              <w:rPr>
                <w:rFonts w:hint="eastAsia" w:eastAsia="仿宋_GB2312"/>
                <w:sz w:val="24"/>
                <w:szCs w:val="28"/>
              </w:rPr>
              <w:t>业务运行管理</w:t>
            </w:r>
          </w:p>
        </w:tc>
        <w:tc>
          <w:tcPr>
            <w:tcW w:w="3290" w:type="pct"/>
            <w:tcBorders>
              <w:top w:val="single" w:color="auto" w:sz="4" w:space="0"/>
              <w:left w:val="single" w:color="auto" w:sz="4" w:space="0"/>
              <w:bottom w:val="single" w:color="auto" w:sz="4" w:space="0"/>
              <w:right w:val="single" w:color="auto" w:sz="4" w:space="0"/>
            </w:tcBorders>
            <w:vAlign w:val="center"/>
          </w:tcPr>
          <w:p w14:paraId="65D92578">
            <w:pPr>
              <w:widowControl/>
              <w:spacing w:line="360" w:lineRule="auto"/>
              <w:rPr>
                <w:rFonts w:eastAsia="仿宋_GB2312"/>
                <w:sz w:val="24"/>
                <w:szCs w:val="28"/>
              </w:rPr>
            </w:pPr>
            <w:r>
              <w:rPr>
                <w:rFonts w:hint="eastAsia" w:eastAsia="仿宋_GB2312"/>
                <w:sz w:val="24"/>
                <w:szCs w:val="28"/>
              </w:rPr>
              <w:t>内容应包括但不限于做市交易业务运行相关流程及管理。</w:t>
            </w:r>
          </w:p>
        </w:tc>
      </w:tr>
      <w:tr w14:paraId="70CE6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pct"/>
            <w:tcBorders>
              <w:top w:val="single" w:color="auto" w:sz="4" w:space="0"/>
              <w:left w:val="single" w:color="auto" w:sz="4" w:space="0"/>
              <w:bottom w:val="single" w:color="auto" w:sz="4" w:space="0"/>
              <w:right w:val="single" w:color="auto" w:sz="4" w:space="0"/>
            </w:tcBorders>
            <w:vAlign w:val="center"/>
          </w:tcPr>
          <w:p w14:paraId="54CB46B6">
            <w:pPr>
              <w:widowControl/>
              <w:spacing w:line="360" w:lineRule="auto"/>
              <w:jc w:val="center"/>
              <w:rPr>
                <w:rFonts w:eastAsia="仿宋_GB2312"/>
                <w:sz w:val="24"/>
                <w:szCs w:val="28"/>
              </w:rPr>
            </w:pPr>
            <w:r>
              <w:rPr>
                <w:rFonts w:eastAsia="仿宋_GB2312"/>
                <w:sz w:val="24"/>
                <w:szCs w:val="28"/>
              </w:rPr>
              <w:t>2</w:t>
            </w:r>
          </w:p>
        </w:tc>
        <w:tc>
          <w:tcPr>
            <w:tcW w:w="1278" w:type="pct"/>
            <w:tcBorders>
              <w:top w:val="single" w:color="auto" w:sz="4" w:space="0"/>
              <w:left w:val="single" w:color="auto" w:sz="4" w:space="0"/>
              <w:bottom w:val="single" w:color="auto" w:sz="4" w:space="0"/>
              <w:right w:val="single" w:color="auto" w:sz="4" w:space="0"/>
            </w:tcBorders>
            <w:vAlign w:val="center"/>
          </w:tcPr>
          <w:p w14:paraId="47C99BBD">
            <w:pPr>
              <w:widowControl/>
              <w:spacing w:line="360" w:lineRule="auto"/>
              <w:jc w:val="center"/>
              <w:rPr>
                <w:rFonts w:eastAsia="仿宋_GB2312"/>
                <w:sz w:val="24"/>
                <w:szCs w:val="28"/>
              </w:rPr>
            </w:pPr>
            <w:r>
              <w:rPr>
                <w:rFonts w:hint="eastAsia" w:eastAsia="仿宋_GB2312"/>
                <w:sz w:val="24"/>
                <w:szCs w:val="28"/>
              </w:rPr>
              <w:t>合规与内部控制</w:t>
            </w:r>
          </w:p>
        </w:tc>
        <w:tc>
          <w:tcPr>
            <w:tcW w:w="3290" w:type="pct"/>
            <w:tcBorders>
              <w:top w:val="single" w:color="auto" w:sz="4" w:space="0"/>
              <w:left w:val="single" w:color="auto" w:sz="4" w:space="0"/>
              <w:bottom w:val="single" w:color="auto" w:sz="4" w:space="0"/>
              <w:right w:val="single" w:color="auto" w:sz="4" w:space="0"/>
            </w:tcBorders>
            <w:vAlign w:val="center"/>
          </w:tcPr>
          <w:p w14:paraId="51C25CA4">
            <w:pPr>
              <w:widowControl/>
              <w:spacing w:line="360" w:lineRule="auto"/>
              <w:rPr>
                <w:rFonts w:eastAsia="仿宋_GB2312"/>
                <w:sz w:val="24"/>
                <w:szCs w:val="28"/>
              </w:rPr>
            </w:pPr>
            <w:r>
              <w:rPr>
                <w:rFonts w:hint="eastAsia" w:eastAsia="仿宋_GB2312"/>
                <w:sz w:val="24"/>
                <w:szCs w:val="28"/>
              </w:rPr>
              <w:t>内容应包括但不限于业务合规审查机制、授权管理机制、投资决策流程。</w:t>
            </w:r>
          </w:p>
        </w:tc>
      </w:tr>
      <w:tr w14:paraId="04241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pct"/>
            <w:tcBorders>
              <w:top w:val="single" w:color="auto" w:sz="4" w:space="0"/>
              <w:left w:val="single" w:color="auto" w:sz="4" w:space="0"/>
              <w:bottom w:val="single" w:color="auto" w:sz="4" w:space="0"/>
              <w:right w:val="single" w:color="auto" w:sz="4" w:space="0"/>
            </w:tcBorders>
            <w:vAlign w:val="center"/>
          </w:tcPr>
          <w:p w14:paraId="1E16D33F">
            <w:pPr>
              <w:widowControl/>
              <w:spacing w:line="360" w:lineRule="auto"/>
              <w:jc w:val="center"/>
              <w:rPr>
                <w:rFonts w:eastAsia="仿宋_GB2312"/>
                <w:sz w:val="24"/>
                <w:szCs w:val="28"/>
              </w:rPr>
            </w:pPr>
            <w:r>
              <w:rPr>
                <w:rFonts w:eastAsia="仿宋_GB2312"/>
                <w:sz w:val="24"/>
                <w:szCs w:val="28"/>
              </w:rPr>
              <w:t>3</w:t>
            </w:r>
          </w:p>
        </w:tc>
        <w:tc>
          <w:tcPr>
            <w:tcW w:w="1278" w:type="pct"/>
            <w:tcBorders>
              <w:top w:val="single" w:color="auto" w:sz="4" w:space="0"/>
              <w:left w:val="single" w:color="auto" w:sz="4" w:space="0"/>
              <w:bottom w:val="single" w:color="auto" w:sz="4" w:space="0"/>
              <w:right w:val="single" w:color="auto" w:sz="4" w:space="0"/>
            </w:tcBorders>
            <w:vAlign w:val="center"/>
          </w:tcPr>
          <w:p w14:paraId="7E47C525">
            <w:pPr>
              <w:widowControl/>
              <w:spacing w:line="360" w:lineRule="auto"/>
              <w:jc w:val="center"/>
              <w:rPr>
                <w:rFonts w:eastAsia="仿宋_GB2312"/>
                <w:sz w:val="24"/>
                <w:szCs w:val="28"/>
              </w:rPr>
            </w:pPr>
            <w:r>
              <w:rPr>
                <w:rFonts w:hint="eastAsia" w:eastAsia="仿宋_GB2312"/>
                <w:sz w:val="24"/>
                <w:szCs w:val="28"/>
              </w:rPr>
              <w:t>责任人及其职责管理</w:t>
            </w:r>
          </w:p>
        </w:tc>
        <w:tc>
          <w:tcPr>
            <w:tcW w:w="3290" w:type="pct"/>
            <w:tcBorders>
              <w:top w:val="single" w:color="auto" w:sz="4" w:space="0"/>
              <w:left w:val="single" w:color="auto" w:sz="4" w:space="0"/>
              <w:bottom w:val="single" w:color="auto" w:sz="4" w:space="0"/>
              <w:right w:val="single" w:color="auto" w:sz="4" w:space="0"/>
            </w:tcBorders>
            <w:vAlign w:val="center"/>
          </w:tcPr>
          <w:p w14:paraId="66B26A57">
            <w:pPr>
              <w:widowControl/>
              <w:spacing w:line="360" w:lineRule="auto"/>
              <w:rPr>
                <w:rFonts w:eastAsia="仿宋_GB2312"/>
                <w:sz w:val="24"/>
                <w:szCs w:val="28"/>
              </w:rPr>
            </w:pPr>
            <w:r>
              <w:rPr>
                <w:rFonts w:hint="eastAsia" w:eastAsia="仿宋_GB2312"/>
                <w:sz w:val="24"/>
                <w:szCs w:val="28"/>
              </w:rPr>
              <w:t>内容应包括做市交易业务部门及相关部门的岗位人员及其职责管理。</w:t>
            </w:r>
          </w:p>
        </w:tc>
      </w:tr>
      <w:tr w14:paraId="03DDD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3"/>
            <w:tcBorders>
              <w:top w:val="single" w:color="auto" w:sz="4" w:space="0"/>
              <w:left w:val="single" w:color="auto" w:sz="4" w:space="0"/>
              <w:bottom w:val="single" w:color="auto" w:sz="4" w:space="0"/>
              <w:right w:val="single" w:color="auto" w:sz="4" w:space="0"/>
            </w:tcBorders>
            <w:vAlign w:val="center"/>
          </w:tcPr>
          <w:p w14:paraId="65775089">
            <w:pPr>
              <w:widowControl/>
              <w:spacing w:line="360" w:lineRule="auto"/>
              <w:jc w:val="center"/>
              <w:rPr>
                <w:rFonts w:eastAsia="仿宋_GB2312"/>
                <w:b/>
                <w:sz w:val="24"/>
                <w:szCs w:val="28"/>
              </w:rPr>
            </w:pPr>
            <w:r>
              <w:rPr>
                <w:rFonts w:hint="eastAsia" w:eastAsia="仿宋_GB2312"/>
                <w:b/>
                <w:sz w:val="24"/>
                <w:szCs w:val="28"/>
              </w:rPr>
              <w:t>债券做市交易业务风险控制制度</w:t>
            </w:r>
          </w:p>
        </w:tc>
      </w:tr>
      <w:tr w14:paraId="22479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32" w:type="pct"/>
            <w:tcBorders>
              <w:top w:val="single" w:color="auto" w:sz="4" w:space="0"/>
              <w:left w:val="single" w:color="auto" w:sz="4" w:space="0"/>
              <w:bottom w:val="single" w:color="auto" w:sz="4" w:space="0"/>
              <w:right w:val="single" w:color="auto" w:sz="4" w:space="0"/>
            </w:tcBorders>
            <w:vAlign w:val="center"/>
          </w:tcPr>
          <w:p w14:paraId="6F345FF1">
            <w:pPr>
              <w:widowControl/>
              <w:spacing w:line="360" w:lineRule="auto"/>
              <w:jc w:val="center"/>
              <w:rPr>
                <w:rFonts w:eastAsia="仿宋_GB2312"/>
                <w:sz w:val="24"/>
                <w:szCs w:val="28"/>
              </w:rPr>
            </w:pPr>
            <w:r>
              <w:rPr>
                <w:rFonts w:eastAsia="仿宋_GB2312"/>
                <w:sz w:val="24"/>
                <w:szCs w:val="28"/>
              </w:rPr>
              <w:t>1</w:t>
            </w:r>
          </w:p>
        </w:tc>
        <w:tc>
          <w:tcPr>
            <w:tcW w:w="1278" w:type="pct"/>
            <w:tcBorders>
              <w:top w:val="single" w:color="auto" w:sz="4" w:space="0"/>
              <w:left w:val="single" w:color="auto" w:sz="4" w:space="0"/>
              <w:bottom w:val="single" w:color="auto" w:sz="4" w:space="0"/>
              <w:right w:val="single" w:color="auto" w:sz="4" w:space="0"/>
            </w:tcBorders>
            <w:vAlign w:val="center"/>
          </w:tcPr>
          <w:p w14:paraId="76F5E41E">
            <w:pPr>
              <w:widowControl/>
              <w:spacing w:line="360" w:lineRule="auto"/>
              <w:jc w:val="center"/>
              <w:rPr>
                <w:rFonts w:eastAsia="仿宋_GB2312"/>
                <w:sz w:val="24"/>
                <w:szCs w:val="28"/>
              </w:rPr>
            </w:pPr>
            <w:r>
              <w:rPr>
                <w:rFonts w:hint="eastAsia" w:eastAsia="仿宋_GB2312"/>
                <w:sz w:val="24"/>
                <w:szCs w:val="28"/>
              </w:rPr>
              <w:t>风控管理概述</w:t>
            </w:r>
          </w:p>
        </w:tc>
        <w:tc>
          <w:tcPr>
            <w:tcW w:w="3290" w:type="pct"/>
            <w:tcBorders>
              <w:top w:val="single" w:color="auto" w:sz="4" w:space="0"/>
              <w:left w:val="single" w:color="auto" w:sz="4" w:space="0"/>
              <w:bottom w:val="single" w:color="auto" w:sz="4" w:space="0"/>
              <w:right w:val="single" w:color="auto" w:sz="4" w:space="0"/>
            </w:tcBorders>
            <w:vAlign w:val="center"/>
          </w:tcPr>
          <w:p w14:paraId="20846D5B">
            <w:pPr>
              <w:widowControl/>
              <w:spacing w:line="360" w:lineRule="auto"/>
              <w:rPr>
                <w:rFonts w:eastAsia="仿宋_GB2312"/>
                <w:sz w:val="24"/>
                <w:szCs w:val="28"/>
              </w:rPr>
            </w:pPr>
            <w:r>
              <w:rPr>
                <w:rFonts w:hint="eastAsia" w:eastAsia="仿宋_GB2312"/>
                <w:sz w:val="24"/>
                <w:szCs w:val="28"/>
              </w:rPr>
              <w:t>内容应包含风控目标与原则、体系与分工、风险识别与评估、风控措施等</w:t>
            </w:r>
            <w:r>
              <w:rPr>
                <w:rFonts w:eastAsia="仿宋_GB2312"/>
                <w:sz w:val="24"/>
                <w:szCs w:val="28"/>
              </w:rPr>
              <w:t>。</w:t>
            </w:r>
          </w:p>
        </w:tc>
      </w:tr>
      <w:tr w14:paraId="507EB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pct"/>
            <w:tcBorders>
              <w:top w:val="single" w:color="auto" w:sz="4" w:space="0"/>
              <w:left w:val="single" w:color="auto" w:sz="4" w:space="0"/>
              <w:bottom w:val="single" w:color="auto" w:sz="4" w:space="0"/>
              <w:right w:val="single" w:color="auto" w:sz="4" w:space="0"/>
            </w:tcBorders>
            <w:vAlign w:val="center"/>
          </w:tcPr>
          <w:p w14:paraId="664F304C">
            <w:pPr>
              <w:widowControl/>
              <w:spacing w:line="360" w:lineRule="auto"/>
              <w:jc w:val="center"/>
              <w:rPr>
                <w:rFonts w:eastAsia="仿宋_GB2312"/>
                <w:sz w:val="24"/>
                <w:szCs w:val="28"/>
              </w:rPr>
            </w:pPr>
            <w:r>
              <w:rPr>
                <w:rFonts w:eastAsia="仿宋_GB2312"/>
                <w:sz w:val="24"/>
                <w:szCs w:val="28"/>
              </w:rPr>
              <w:t>2</w:t>
            </w:r>
          </w:p>
        </w:tc>
        <w:tc>
          <w:tcPr>
            <w:tcW w:w="1278" w:type="pct"/>
            <w:tcBorders>
              <w:top w:val="single" w:color="auto" w:sz="4" w:space="0"/>
              <w:left w:val="single" w:color="auto" w:sz="4" w:space="0"/>
              <w:bottom w:val="single" w:color="auto" w:sz="4" w:space="0"/>
              <w:right w:val="single" w:color="auto" w:sz="4" w:space="0"/>
            </w:tcBorders>
            <w:vAlign w:val="center"/>
          </w:tcPr>
          <w:p w14:paraId="4D5A5F7F">
            <w:pPr>
              <w:widowControl/>
              <w:spacing w:line="360" w:lineRule="auto"/>
              <w:jc w:val="center"/>
              <w:rPr>
                <w:rFonts w:eastAsia="仿宋_GB2312"/>
                <w:sz w:val="24"/>
                <w:szCs w:val="28"/>
              </w:rPr>
            </w:pPr>
            <w:r>
              <w:rPr>
                <w:rFonts w:hint="eastAsia" w:eastAsia="仿宋_GB2312"/>
                <w:sz w:val="24"/>
                <w:szCs w:val="28"/>
              </w:rPr>
              <w:t>风控体系架构</w:t>
            </w:r>
          </w:p>
        </w:tc>
        <w:tc>
          <w:tcPr>
            <w:tcW w:w="3290" w:type="pct"/>
            <w:tcBorders>
              <w:top w:val="single" w:color="auto" w:sz="4" w:space="0"/>
              <w:left w:val="single" w:color="auto" w:sz="4" w:space="0"/>
              <w:bottom w:val="single" w:color="auto" w:sz="4" w:space="0"/>
              <w:right w:val="single" w:color="auto" w:sz="4" w:space="0"/>
            </w:tcBorders>
            <w:vAlign w:val="center"/>
          </w:tcPr>
          <w:p w14:paraId="71062403">
            <w:pPr>
              <w:widowControl/>
              <w:spacing w:line="360" w:lineRule="auto"/>
              <w:rPr>
                <w:rFonts w:eastAsia="仿宋_GB2312"/>
                <w:sz w:val="24"/>
                <w:szCs w:val="28"/>
              </w:rPr>
            </w:pPr>
            <w:r>
              <w:rPr>
                <w:rFonts w:hint="eastAsia" w:eastAsia="仿宋_GB2312"/>
                <w:sz w:val="24"/>
                <w:szCs w:val="28"/>
              </w:rPr>
              <w:t>内容应包括但不限于风控职责与风控措施。</w:t>
            </w:r>
          </w:p>
        </w:tc>
      </w:tr>
      <w:tr w14:paraId="2E158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pct"/>
            <w:tcBorders>
              <w:top w:val="single" w:color="auto" w:sz="4" w:space="0"/>
              <w:left w:val="single" w:color="auto" w:sz="4" w:space="0"/>
              <w:bottom w:val="single" w:color="auto" w:sz="4" w:space="0"/>
              <w:right w:val="single" w:color="auto" w:sz="4" w:space="0"/>
            </w:tcBorders>
            <w:vAlign w:val="center"/>
          </w:tcPr>
          <w:p w14:paraId="303157DB">
            <w:pPr>
              <w:widowControl/>
              <w:spacing w:line="360" w:lineRule="auto"/>
              <w:jc w:val="center"/>
              <w:rPr>
                <w:rFonts w:eastAsia="仿宋_GB2312"/>
                <w:sz w:val="24"/>
                <w:szCs w:val="28"/>
              </w:rPr>
            </w:pPr>
            <w:r>
              <w:rPr>
                <w:rFonts w:eastAsia="仿宋_GB2312"/>
                <w:sz w:val="24"/>
                <w:szCs w:val="28"/>
              </w:rPr>
              <w:t>3</w:t>
            </w:r>
          </w:p>
        </w:tc>
        <w:tc>
          <w:tcPr>
            <w:tcW w:w="1278" w:type="pct"/>
            <w:tcBorders>
              <w:top w:val="single" w:color="auto" w:sz="4" w:space="0"/>
              <w:left w:val="single" w:color="auto" w:sz="4" w:space="0"/>
              <w:bottom w:val="single" w:color="auto" w:sz="4" w:space="0"/>
              <w:right w:val="single" w:color="auto" w:sz="4" w:space="0"/>
            </w:tcBorders>
            <w:vAlign w:val="center"/>
          </w:tcPr>
          <w:p w14:paraId="38DC6280">
            <w:pPr>
              <w:widowControl/>
              <w:spacing w:line="360" w:lineRule="auto"/>
              <w:jc w:val="center"/>
              <w:rPr>
                <w:rFonts w:eastAsia="仿宋_GB2312"/>
                <w:sz w:val="24"/>
                <w:szCs w:val="28"/>
              </w:rPr>
            </w:pPr>
            <w:r>
              <w:rPr>
                <w:rFonts w:hint="eastAsia" w:eastAsia="仿宋_GB2312"/>
                <w:sz w:val="24"/>
                <w:szCs w:val="28"/>
              </w:rPr>
              <w:t>风险管理</w:t>
            </w:r>
          </w:p>
        </w:tc>
        <w:tc>
          <w:tcPr>
            <w:tcW w:w="3290" w:type="pct"/>
            <w:tcBorders>
              <w:top w:val="single" w:color="auto" w:sz="4" w:space="0"/>
              <w:left w:val="single" w:color="auto" w:sz="4" w:space="0"/>
              <w:bottom w:val="single" w:color="auto" w:sz="4" w:space="0"/>
              <w:right w:val="single" w:color="auto" w:sz="4" w:space="0"/>
            </w:tcBorders>
            <w:vAlign w:val="center"/>
          </w:tcPr>
          <w:p w14:paraId="41793B87">
            <w:pPr>
              <w:widowControl/>
              <w:spacing w:line="360" w:lineRule="auto"/>
              <w:rPr>
                <w:rFonts w:eastAsia="仿宋_GB2312"/>
                <w:sz w:val="24"/>
                <w:szCs w:val="28"/>
              </w:rPr>
            </w:pPr>
            <w:r>
              <w:rPr>
                <w:rFonts w:hint="eastAsia" w:eastAsia="仿宋_GB2312"/>
                <w:sz w:val="24"/>
                <w:szCs w:val="28"/>
              </w:rPr>
              <w:t>内容应包括但不限于存货风险、操作风险</w:t>
            </w:r>
            <w:r>
              <w:rPr>
                <w:rFonts w:eastAsia="仿宋_GB2312"/>
                <w:sz w:val="24"/>
                <w:szCs w:val="28"/>
              </w:rPr>
              <w:t>、市场风险、流动性风险</w:t>
            </w:r>
            <w:r>
              <w:rPr>
                <w:rFonts w:hint="eastAsia" w:eastAsia="仿宋_GB2312"/>
                <w:sz w:val="24"/>
                <w:szCs w:val="28"/>
              </w:rPr>
              <w:t>管理。</w:t>
            </w:r>
          </w:p>
        </w:tc>
      </w:tr>
      <w:tr w14:paraId="50C28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pct"/>
            <w:tcBorders>
              <w:top w:val="single" w:color="auto" w:sz="4" w:space="0"/>
              <w:left w:val="single" w:color="auto" w:sz="4" w:space="0"/>
              <w:bottom w:val="single" w:color="auto" w:sz="4" w:space="0"/>
              <w:right w:val="single" w:color="auto" w:sz="4" w:space="0"/>
            </w:tcBorders>
            <w:vAlign w:val="center"/>
          </w:tcPr>
          <w:p w14:paraId="7C7EA74F">
            <w:pPr>
              <w:widowControl/>
              <w:spacing w:line="360" w:lineRule="auto"/>
              <w:jc w:val="center"/>
              <w:rPr>
                <w:rFonts w:eastAsia="仿宋_GB2312"/>
                <w:sz w:val="24"/>
                <w:szCs w:val="28"/>
              </w:rPr>
            </w:pPr>
            <w:r>
              <w:rPr>
                <w:rFonts w:eastAsia="仿宋_GB2312"/>
                <w:sz w:val="24"/>
                <w:szCs w:val="28"/>
              </w:rPr>
              <w:t>4</w:t>
            </w:r>
          </w:p>
        </w:tc>
        <w:tc>
          <w:tcPr>
            <w:tcW w:w="1278" w:type="pct"/>
            <w:tcBorders>
              <w:top w:val="single" w:color="auto" w:sz="4" w:space="0"/>
              <w:left w:val="single" w:color="auto" w:sz="4" w:space="0"/>
              <w:bottom w:val="single" w:color="auto" w:sz="4" w:space="0"/>
              <w:right w:val="single" w:color="auto" w:sz="4" w:space="0"/>
            </w:tcBorders>
            <w:vAlign w:val="center"/>
          </w:tcPr>
          <w:p w14:paraId="0414DC3C">
            <w:pPr>
              <w:widowControl/>
              <w:spacing w:line="360" w:lineRule="auto"/>
              <w:jc w:val="center"/>
              <w:rPr>
                <w:rFonts w:eastAsia="仿宋_GB2312"/>
                <w:sz w:val="24"/>
                <w:szCs w:val="28"/>
              </w:rPr>
            </w:pPr>
            <w:r>
              <w:rPr>
                <w:rFonts w:hint="eastAsia" w:eastAsia="仿宋_GB2312"/>
                <w:sz w:val="24"/>
                <w:szCs w:val="28"/>
              </w:rPr>
              <w:t>异常交易监控机制</w:t>
            </w:r>
          </w:p>
        </w:tc>
        <w:tc>
          <w:tcPr>
            <w:tcW w:w="3290" w:type="pct"/>
            <w:tcBorders>
              <w:top w:val="single" w:color="auto" w:sz="4" w:space="0"/>
              <w:left w:val="single" w:color="auto" w:sz="4" w:space="0"/>
              <w:bottom w:val="single" w:color="auto" w:sz="4" w:space="0"/>
              <w:right w:val="single" w:color="auto" w:sz="4" w:space="0"/>
            </w:tcBorders>
            <w:vAlign w:val="center"/>
          </w:tcPr>
          <w:p w14:paraId="4F74D4F6">
            <w:pPr>
              <w:widowControl/>
              <w:spacing w:line="360" w:lineRule="auto"/>
              <w:rPr>
                <w:rFonts w:eastAsia="仿宋_GB2312"/>
                <w:sz w:val="24"/>
                <w:szCs w:val="28"/>
              </w:rPr>
            </w:pPr>
            <w:r>
              <w:rPr>
                <w:rFonts w:hint="eastAsia" w:eastAsia="仿宋_GB2312"/>
                <w:sz w:val="24"/>
                <w:szCs w:val="28"/>
              </w:rPr>
              <w:t>内容应包括但不限于异常交易的监控及应对方式，债券异常波动处理措施。</w:t>
            </w:r>
          </w:p>
        </w:tc>
      </w:tr>
      <w:tr w14:paraId="45ADE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000" w:type="pct"/>
            <w:gridSpan w:val="3"/>
            <w:tcBorders>
              <w:top w:val="single" w:color="auto" w:sz="4" w:space="0"/>
              <w:left w:val="single" w:color="auto" w:sz="4" w:space="0"/>
              <w:bottom w:val="single" w:color="auto" w:sz="4" w:space="0"/>
              <w:right w:val="single" w:color="auto" w:sz="4" w:space="0"/>
            </w:tcBorders>
            <w:vAlign w:val="center"/>
          </w:tcPr>
          <w:p w14:paraId="124FE946">
            <w:pPr>
              <w:widowControl/>
              <w:spacing w:line="360" w:lineRule="auto"/>
              <w:jc w:val="center"/>
              <w:rPr>
                <w:rFonts w:eastAsia="仿宋_GB2312"/>
                <w:sz w:val="24"/>
                <w:szCs w:val="28"/>
              </w:rPr>
            </w:pPr>
            <w:r>
              <w:rPr>
                <w:rFonts w:hint="eastAsia" w:eastAsia="仿宋_GB2312"/>
                <w:b/>
                <w:sz w:val="24"/>
                <w:szCs w:val="28"/>
              </w:rPr>
              <w:t>债券做市交易业务应急风险处置制度</w:t>
            </w:r>
          </w:p>
        </w:tc>
      </w:tr>
      <w:tr w14:paraId="415F5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pct"/>
            <w:tcBorders>
              <w:top w:val="single" w:color="auto" w:sz="4" w:space="0"/>
              <w:left w:val="single" w:color="auto" w:sz="4" w:space="0"/>
              <w:bottom w:val="single" w:color="auto" w:sz="4" w:space="0"/>
              <w:right w:val="single" w:color="auto" w:sz="4" w:space="0"/>
            </w:tcBorders>
            <w:vAlign w:val="center"/>
          </w:tcPr>
          <w:p w14:paraId="7E541642">
            <w:pPr>
              <w:widowControl/>
              <w:spacing w:line="360" w:lineRule="auto"/>
              <w:jc w:val="center"/>
              <w:rPr>
                <w:rFonts w:eastAsia="仿宋_GB2312"/>
                <w:sz w:val="24"/>
                <w:szCs w:val="28"/>
              </w:rPr>
            </w:pPr>
            <w:r>
              <w:rPr>
                <w:rFonts w:hint="eastAsia" w:eastAsia="仿宋_GB2312"/>
                <w:sz w:val="24"/>
                <w:szCs w:val="28"/>
              </w:rPr>
              <w:t>1</w:t>
            </w:r>
          </w:p>
        </w:tc>
        <w:tc>
          <w:tcPr>
            <w:tcW w:w="1278" w:type="pct"/>
            <w:tcBorders>
              <w:top w:val="single" w:color="auto" w:sz="4" w:space="0"/>
              <w:left w:val="single" w:color="auto" w:sz="4" w:space="0"/>
              <w:bottom w:val="single" w:color="auto" w:sz="4" w:space="0"/>
              <w:right w:val="single" w:color="auto" w:sz="4" w:space="0"/>
            </w:tcBorders>
            <w:vAlign w:val="center"/>
          </w:tcPr>
          <w:p w14:paraId="6F67B867">
            <w:pPr>
              <w:widowControl/>
              <w:spacing w:line="360" w:lineRule="auto"/>
              <w:jc w:val="center"/>
              <w:rPr>
                <w:rFonts w:eastAsia="仿宋_GB2312"/>
                <w:sz w:val="24"/>
                <w:szCs w:val="28"/>
              </w:rPr>
            </w:pPr>
            <w:r>
              <w:rPr>
                <w:rFonts w:hint="eastAsia" w:eastAsia="仿宋_GB2312"/>
                <w:sz w:val="24"/>
                <w:szCs w:val="28"/>
              </w:rPr>
              <w:t>应急处置人员安排</w:t>
            </w:r>
          </w:p>
        </w:tc>
        <w:tc>
          <w:tcPr>
            <w:tcW w:w="3290" w:type="pct"/>
            <w:tcBorders>
              <w:top w:val="single" w:color="auto" w:sz="4" w:space="0"/>
              <w:left w:val="single" w:color="auto" w:sz="4" w:space="0"/>
              <w:bottom w:val="single" w:color="auto" w:sz="4" w:space="0"/>
              <w:right w:val="single" w:color="auto" w:sz="4" w:space="0"/>
            </w:tcBorders>
            <w:vAlign w:val="center"/>
          </w:tcPr>
          <w:p w14:paraId="3A4E37ED">
            <w:pPr>
              <w:widowControl/>
              <w:spacing w:line="360" w:lineRule="auto"/>
              <w:rPr>
                <w:rFonts w:eastAsia="仿宋_GB2312"/>
                <w:sz w:val="24"/>
                <w:szCs w:val="28"/>
              </w:rPr>
            </w:pPr>
            <w:r>
              <w:rPr>
                <w:rFonts w:hint="eastAsia" w:eastAsia="仿宋_GB2312"/>
                <w:sz w:val="24"/>
                <w:szCs w:val="28"/>
              </w:rPr>
              <w:t>内容应包括但不限于应急处置工作成员、职责等。</w:t>
            </w:r>
          </w:p>
        </w:tc>
      </w:tr>
      <w:tr w14:paraId="509E8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pct"/>
            <w:tcBorders>
              <w:top w:val="single" w:color="auto" w:sz="4" w:space="0"/>
              <w:left w:val="single" w:color="auto" w:sz="4" w:space="0"/>
              <w:bottom w:val="single" w:color="auto" w:sz="4" w:space="0"/>
              <w:right w:val="single" w:color="auto" w:sz="4" w:space="0"/>
            </w:tcBorders>
            <w:vAlign w:val="center"/>
          </w:tcPr>
          <w:p w14:paraId="277502C7">
            <w:pPr>
              <w:widowControl/>
              <w:spacing w:line="360" w:lineRule="auto"/>
              <w:jc w:val="center"/>
              <w:rPr>
                <w:rFonts w:eastAsia="仿宋_GB2312"/>
                <w:sz w:val="24"/>
                <w:szCs w:val="28"/>
              </w:rPr>
            </w:pPr>
            <w:r>
              <w:rPr>
                <w:rFonts w:hint="eastAsia" w:eastAsia="仿宋_GB2312"/>
                <w:sz w:val="24"/>
                <w:szCs w:val="28"/>
              </w:rPr>
              <w:t>2</w:t>
            </w:r>
          </w:p>
        </w:tc>
        <w:tc>
          <w:tcPr>
            <w:tcW w:w="1278" w:type="pct"/>
            <w:tcBorders>
              <w:top w:val="single" w:color="auto" w:sz="4" w:space="0"/>
              <w:left w:val="single" w:color="auto" w:sz="4" w:space="0"/>
              <w:bottom w:val="single" w:color="auto" w:sz="4" w:space="0"/>
              <w:right w:val="single" w:color="auto" w:sz="4" w:space="0"/>
            </w:tcBorders>
            <w:vAlign w:val="center"/>
          </w:tcPr>
          <w:p w14:paraId="6328F606">
            <w:pPr>
              <w:widowControl/>
              <w:spacing w:line="360" w:lineRule="auto"/>
              <w:jc w:val="center"/>
              <w:rPr>
                <w:rFonts w:eastAsia="仿宋_GB2312"/>
                <w:sz w:val="24"/>
                <w:szCs w:val="28"/>
              </w:rPr>
            </w:pPr>
            <w:r>
              <w:rPr>
                <w:rFonts w:hint="eastAsia" w:eastAsia="仿宋_GB2312"/>
                <w:sz w:val="24"/>
                <w:szCs w:val="28"/>
              </w:rPr>
              <w:t>突发事件</w:t>
            </w:r>
          </w:p>
        </w:tc>
        <w:tc>
          <w:tcPr>
            <w:tcW w:w="3290" w:type="pct"/>
            <w:tcBorders>
              <w:top w:val="single" w:color="auto" w:sz="4" w:space="0"/>
              <w:left w:val="single" w:color="auto" w:sz="4" w:space="0"/>
              <w:bottom w:val="single" w:color="auto" w:sz="4" w:space="0"/>
              <w:right w:val="single" w:color="auto" w:sz="4" w:space="0"/>
            </w:tcBorders>
            <w:vAlign w:val="center"/>
          </w:tcPr>
          <w:p w14:paraId="1CA4564C">
            <w:pPr>
              <w:widowControl/>
              <w:spacing w:line="360" w:lineRule="auto"/>
              <w:rPr>
                <w:rFonts w:eastAsia="仿宋_GB2312"/>
                <w:sz w:val="24"/>
                <w:szCs w:val="28"/>
              </w:rPr>
            </w:pPr>
            <w:r>
              <w:rPr>
                <w:rFonts w:hint="eastAsia" w:eastAsia="仿宋_GB2312"/>
                <w:sz w:val="24"/>
                <w:szCs w:val="28"/>
              </w:rPr>
              <w:t>内容应包括但不限于突发事件的等级分类、突发事件的场景及量化指标。</w:t>
            </w:r>
          </w:p>
        </w:tc>
      </w:tr>
      <w:tr w14:paraId="6586B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pct"/>
            <w:tcBorders>
              <w:top w:val="single" w:color="auto" w:sz="4" w:space="0"/>
              <w:left w:val="single" w:color="auto" w:sz="4" w:space="0"/>
              <w:bottom w:val="single" w:color="auto" w:sz="4" w:space="0"/>
              <w:right w:val="single" w:color="auto" w:sz="4" w:space="0"/>
            </w:tcBorders>
            <w:vAlign w:val="center"/>
          </w:tcPr>
          <w:p w14:paraId="1790D32E">
            <w:pPr>
              <w:widowControl/>
              <w:spacing w:line="360" w:lineRule="auto"/>
              <w:jc w:val="center"/>
              <w:rPr>
                <w:rFonts w:eastAsia="仿宋_GB2312"/>
                <w:sz w:val="24"/>
                <w:szCs w:val="28"/>
              </w:rPr>
            </w:pPr>
            <w:r>
              <w:rPr>
                <w:rFonts w:hint="eastAsia" w:eastAsia="仿宋_GB2312"/>
                <w:sz w:val="24"/>
                <w:szCs w:val="28"/>
              </w:rPr>
              <w:t>3</w:t>
            </w:r>
          </w:p>
        </w:tc>
        <w:tc>
          <w:tcPr>
            <w:tcW w:w="1278" w:type="pct"/>
            <w:tcBorders>
              <w:top w:val="single" w:color="auto" w:sz="4" w:space="0"/>
              <w:left w:val="single" w:color="auto" w:sz="4" w:space="0"/>
              <w:bottom w:val="single" w:color="auto" w:sz="4" w:space="0"/>
              <w:right w:val="single" w:color="auto" w:sz="4" w:space="0"/>
            </w:tcBorders>
            <w:vAlign w:val="center"/>
          </w:tcPr>
          <w:p w14:paraId="35F529A3">
            <w:pPr>
              <w:widowControl/>
              <w:spacing w:line="360" w:lineRule="auto"/>
              <w:jc w:val="center"/>
              <w:rPr>
                <w:rFonts w:eastAsia="仿宋_GB2312"/>
                <w:sz w:val="24"/>
                <w:szCs w:val="28"/>
              </w:rPr>
            </w:pPr>
            <w:r>
              <w:rPr>
                <w:rFonts w:hint="eastAsia" w:eastAsia="仿宋_GB2312"/>
                <w:sz w:val="24"/>
                <w:szCs w:val="28"/>
              </w:rPr>
              <w:t>应急处置决策措施</w:t>
            </w:r>
          </w:p>
        </w:tc>
        <w:tc>
          <w:tcPr>
            <w:tcW w:w="3290" w:type="pct"/>
            <w:tcBorders>
              <w:top w:val="single" w:color="auto" w:sz="4" w:space="0"/>
              <w:left w:val="single" w:color="auto" w:sz="4" w:space="0"/>
              <w:bottom w:val="single" w:color="auto" w:sz="4" w:space="0"/>
              <w:right w:val="single" w:color="auto" w:sz="4" w:space="0"/>
            </w:tcBorders>
            <w:vAlign w:val="center"/>
          </w:tcPr>
          <w:p w14:paraId="1359CB80">
            <w:pPr>
              <w:widowControl/>
              <w:spacing w:line="360" w:lineRule="auto"/>
              <w:rPr>
                <w:rFonts w:eastAsia="仿宋_GB2312"/>
                <w:sz w:val="24"/>
                <w:szCs w:val="28"/>
              </w:rPr>
            </w:pPr>
            <w:r>
              <w:rPr>
                <w:rFonts w:hint="eastAsia" w:eastAsia="仿宋_GB2312"/>
                <w:sz w:val="24"/>
                <w:szCs w:val="28"/>
              </w:rPr>
              <w:t>内容应包括但不限于各类突发事件场景的预防措施、突发事件预警及响应机制、应急处置的决策与实施机制。</w:t>
            </w:r>
          </w:p>
        </w:tc>
      </w:tr>
    </w:tbl>
    <w:p w14:paraId="0F9D42AB">
      <w:pPr>
        <w:widowControl/>
        <w:jc w:val="left"/>
        <w:rPr>
          <w:rFonts w:ascii="仿宋_GB2312" w:eastAsia="仿宋_GB2312"/>
          <w:b/>
          <w:sz w:val="30"/>
          <w:szCs w:val="30"/>
        </w:rPr>
      </w:pPr>
    </w:p>
    <w:p w14:paraId="21DE8488">
      <w:pPr>
        <w:widowControl/>
        <w:jc w:val="left"/>
        <w:rPr>
          <w:rFonts w:ascii="仿宋_GB2312" w:eastAsia="仿宋_GB2312"/>
          <w:b/>
          <w:sz w:val="30"/>
          <w:szCs w:val="30"/>
        </w:rPr>
      </w:pPr>
      <w:r>
        <w:rPr>
          <w:rFonts w:ascii="仿宋_GB2312" w:eastAsia="仿宋_GB2312"/>
          <w:b/>
          <w:sz w:val="30"/>
          <w:szCs w:val="30"/>
        </w:rPr>
        <w:br w:type="page"/>
      </w:r>
    </w:p>
    <w:p w14:paraId="41017388">
      <w:pPr>
        <w:widowControl/>
        <w:jc w:val="left"/>
        <w:outlineLvl w:val="1"/>
        <w:rPr>
          <w:rFonts w:ascii="仿宋_GB2312" w:hAnsi="黑体" w:eastAsia="仿宋_GB2312"/>
          <w:b/>
          <w:sz w:val="30"/>
          <w:szCs w:val="30"/>
        </w:rPr>
      </w:pPr>
      <w:bookmarkStart w:id="3821" w:name="_Toc987815076"/>
      <w:bookmarkStart w:id="3822" w:name="_Toc1266798039"/>
      <w:bookmarkStart w:id="3823" w:name="_Toc280310204"/>
      <w:bookmarkStart w:id="3824" w:name="_Toc151137092"/>
      <w:bookmarkStart w:id="3825" w:name="_Toc2662656"/>
      <w:r>
        <w:rPr>
          <w:rFonts w:hint="eastAsia" w:ascii="仿宋_GB2312" w:hAnsi="黑体" w:eastAsia="仿宋_GB2312"/>
          <w:b/>
          <w:sz w:val="30"/>
          <w:szCs w:val="30"/>
        </w:rPr>
        <w:t>附件9 债券做市交易业务人员情况表</w:t>
      </w:r>
      <w:bookmarkEnd w:id="3821"/>
      <w:bookmarkEnd w:id="3822"/>
      <w:bookmarkEnd w:id="3823"/>
      <w:bookmarkEnd w:id="3824"/>
      <w:bookmarkEnd w:id="3825"/>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9"/>
        <w:gridCol w:w="1183"/>
        <w:gridCol w:w="1559"/>
        <w:gridCol w:w="422"/>
        <w:gridCol w:w="1279"/>
        <w:gridCol w:w="138"/>
        <w:gridCol w:w="2320"/>
      </w:tblGrid>
      <w:tr w14:paraId="05F99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619" w:type="dxa"/>
            <w:tcBorders>
              <w:top w:val="single" w:color="auto" w:sz="4" w:space="0"/>
              <w:left w:val="single" w:color="auto" w:sz="4" w:space="0"/>
              <w:bottom w:val="single" w:color="auto" w:sz="4" w:space="0"/>
              <w:right w:val="single" w:color="auto" w:sz="4" w:space="0"/>
            </w:tcBorders>
            <w:vAlign w:val="center"/>
          </w:tcPr>
          <w:p w14:paraId="5004BDA9">
            <w:pPr>
              <w:spacing w:line="600" w:lineRule="exact"/>
              <w:jc w:val="center"/>
              <w:rPr>
                <w:rFonts w:ascii="仿宋_GB2312" w:hAnsi="仿宋" w:eastAsia="仿宋_GB2312"/>
                <w:sz w:val="20"/>
                <w:szCs w:val="20"/>
              </w:rPr>
            </w:pPr>
            <w:r>
              <w:rPr>
                <w:rFonts w:hint="eastAsia" w:ascii="仿宋_GB2312" w:hAnsi="仿宋" w:eastAsia="仿宋_GB2312"/>
                <w:sz w:val="20"/>
                <w:szCs w:val="20"/>
              </w:rPr>
              <w:t>公司名称</w:t>
            </w:r>
          </w:p>
        </w:tc>
        <w:tc>
          <w:tcPr>
            <w:tcW w:w="6901" w:type="dxa"/>
            <w:gridSpan w:val="6"/>
            <w:tcBorders>
              <w:top w:val="single" w:color="auto" w:sz="4" w:space="0"/>
              <w:left w:val="single" w:color="auto" w:sz="4" w:space="0"/>
              <w:right w:val="single" w:color="auto" w:sz="4" w:space="0"/>
            </w:tcBorders>
            <w:vAlign w:val="center"/>
          </w:tcPr>
          <w:p w14:paraId="26A2D325">
            <w:pPr>
              <w:spacing w:line="600" w:lineRule="exact"/>
              <w:rPr>
                <w:rFonts w:ascii="仿宋_GB2312" w:hAnsi="仿宋" w:eastAsia="仿宋_GB2312"/>
                <w:b/>
                <w:bCs/>
                <w:sz w:val="20"/>
                <w:szCs w:val="20"/>
              </w:rPr>
            </w:pPr>
          </w:p>
        </w:tc>
      </w:tr>
      <w:tr w14:paraId="180E9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619" w:type="dxa"/>
            <w:vMerge w:val="restart"/>
            <w:tcBorders>
              <w:top w:val="single" w:color="auto" w:sz="4" w:space="0"/>
              <w:left w:val="single" w:color="auto" w:sz="4" w:space="0"/>
              <w:bottom w:val="single" w:color="auto" w:sz="4" w:space="0"/>
              <w:right w:val="single" w:color="auto" w:sz="4" w:space="0"/>
            </w:tcBorders>
            <w:vAlign w:val="center"/>
          </w:tcPr>
          <w:p w14:paraId="4645AB68">
            <w:pPr>
              <w:spacing w:line="600" w:lineRule="exact"/>
              <w:jc w:val="center"/>
              <w:rPr>
                <w:rFonts w:ascii="仿宋_GB2312" w:hAnsi="仿宋" w:eastAsia="仿宋_GB2312"/>
                <w:sz w:val="20"/>
                <w:szCs w:val="20"/>
              </w:rPr>
            </w:pPr>
            <w:r>
              <w:rPr>
                <w:rFonts w:hint="eastAsia" w:ascii="仿宋_GB2312" w:hAnsi="仿宋" w:eastAsia="仿宋_GB2312"/>
                <w:sz w:val="20"/>
                <w:szCs w:val="20"/>
              </w:rPr>
              <w:t>做市业务负责人</w:t>
            </w:r>
          </w:p>
        </w:tc>
        <w:tc>
          <w:tcPr>
            <w:tcW w:w="1183" w:type="dxa"/>
            <w:tcBorders>
              <w:top w:val="single" w:color="auto" w:sz="4" w:space="0"/>
              <w:left w:val="single" w:color="auto" w:sz="4" w:space="0"/>
              <w:bottom w:val="single" w:color="auto" w:sz="4" w:space="0"/>
              <w:right w:val="single" w:color="auto" w:sz="4" w:space="0"/>
            </w:tcBorders>
            <w:vAlign w:val="center"/>
          </w:tcPr>
          <w:p w14:paraId="1480AA55">
            <w:pPr>
              <w:spacing w:line="600" w:lineRule="exact"/>
              <w:rPr>
                <w:rFonts w:ascii="仿宋_GB2312" w:hAnsi="仿宋" w:eastAsia="仿宋_GB2312"/>
                <w:sz w:val="20"/>
                <w:szCs w:val="20"/>
              </w:rPr>
            </w:pPr>
            <w:r>
              <w:rPr>
                <w:rFonts w:hint="eastAsia" w:ascii="仿宋_GB2312" w:hAnsi="仿宋" w:eastAsia="仿宋_GB2312"/>
                <w:sz w:val="20"/>
                <w:szCs w:val="20"/>
              </w:rPr>
              <w:t>姓名</w:t>
            </w:r>
          </w:p>
        </w:tc>
        <w:tc>
          <w:tcPr>
            <w:tcW w:w="5718" w:type="dxa"/>
            <w:gridSpan w:val="5"/>
            <w:tcBorders>
              <w:top w:val="single" w:color="auto" w:sz="4" w:space="0"/>
              <w:left w:val="single" w:color="auto" w:sz="4" w:space="0"/>
              <w:bottom w:val="single" w:color="auto" w:sz="4" w:space="0"/>
              <w:right w:val="single" w:color="auto" w:sz="4" w:space="0"/>
            </w:tcBorders>
            <w:vAlign w:val="center"/>
          </w:tcPr>
          <w:p w14:paraId="0439C60B">
            <w:pPr>
              <w:spacing w:line="600" w:lineRule="exact"/>
              <w:rPr>
                <w:rFonts w:ascii="仿宋_GB2312" w:hAnsi="仿宋" w:eastAsia="仿宋_GB2312"/>
                <w:b/>
                <w:bCs/>
                <w:sz w:val="20"/>
                <w:szCs w:val="20"/>
              </w:rPr>
            </w:pPr>
          </w:p>
        </w:tc>
      </w:tr>
      <w:tr w14:paraId="4943A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619" w:type="dxa"/>
            <w:vMerge w:val="continue"/>
            <w:tcBorders>
              <w:top w:val="single" w:color="auto" w:sz="4" w:space="0"/>
              <w:left w:val="single" w:color="auto" w:sz="4" w:space="0"/>
              <w:bottom w:val="single" w:color="auto" w:sz="4" w:space="0"/>
              <w:right w:val="single" w:color="auto" w:sz="4" w:space="0"/>
            </w:tcBorders>
            <w:vAlign w:val="center"/>
          </w:tcPr>
          <w:p w14:paraId="74D47ED2">
            <w:pPr>
              <w:widowControl/>
              <w:spacing w:line="600" w:lineRule="exact"/>
              <w:jc w:val="center"/>
              <w:rPr>
                <w:rFonts w:ascii="仿宋_GB2312" w:hAnsi="仿宋" w:eastAsia="仿宋_GB2312"/>
                <w:b/>
                <w:bCs/>
                <w:sz w:val="20"/>
                <w:szCs w:val="20"/>
              </w:rPr>
            </w:pPr>
          </w:p>
        </w:tc>
        <w:tc>
          <w:tcPr>
            <w:tcW w:w="1183" w:type="dxa"/>
            <w:tcBorders>
              <w:top w:val="single" w:color="auto" w:sz="4" w:space="0"/>
              <w:left w:val="single" w:color="auto" w:sz="4" w:space="0"/>
              <w:bottom w:val="single" w:color="auto" w:sz="4" w:space="0"/>
              <w:right w:val="single" w:color="auto" w:sz="4" w:space="0"/>
            </w:tcBorders>
            <w:vAlign w:val="center"/>
          </w:tcPr>
          <w:p w14:paraId="25FDF788">
            <w:pPr>
              <w:spacing w:line="600" w:lineRule="exact"/>
              <w:rPr>
                <w:rFonts w:ascii="仿宋_GB2312" w:hAnsi="仿宋" w:eastAsia="仿宋_GB2312"/>
                <w:sz w:val="20"/>
                <w:szCs w:val="20"/>
              </w:rPr>
            </w:pPr>
            <w:r>
              <w:rPr>
                <w:rFonts w:hint="eastAsia" w:ascii="仿宋_GB2312" w:hAnsi="仿宋" w:eastAsia="仿宋_GB2312"/>
                <w:sz w:val="20"/>
                <w:szCs w:val="20"/>
              </w:rPr>
              <w:t>部门</w:t>
            </w:r>
          </w:p>
        </w:tc>
        <w:tc>
          <w:tcPr>
            <w:tcW w:w="5718" w:type="dxa"/>
            <w:gridSpan w:val="5"/>
            <w:tcBorders>
              <w:top w:val="single" w:color="auto" w:sz="4" w:space="0"/>
              <w:left w:val="single" w:color="auto" w:sz="4" w:space="0"/>
              <w:bottom w:val="single" w:color="auto" w:sz="4" w:space="0"/>
              <w:right w:val="single" w:color="auto" w:sz="4" w:space="0"/>
            </w:tcBorders>
            <w:vAlign w:val="center"/>
          </w:tcPr>
          <w:p w14:paraId="35501526">
            <w:pPr>
              <w:spacing w:line="600" w:lineRule="exact"/>
              <w:rPr>
                <w:rFonts w:ascii="仿宋_GB2312" w:hAnsi="仿宋" w:eastAsia="仿宋_GB2312"/>
                <w:b/>
                <w:bCs/>
                <w:sz w:val="20"/>
                <w:szCs w:val="20"/>
              </w:rPr>
            </w:pPr>
          </w:p>
        </w:tc>
      </w:tr>
      <w:tr w14:paraId="2790B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5" w:hRule="atLeast"/>
        </w:trPr>
        <w:tc>
          <w:tcPr>
            <w:tcW w:w="1619" w:type="dxa"/>
            <w:vMerge w:val="continue"/>
            <w:tcBorders>
              <w:top w:val="single" w:color="auto" w:sz="4" w:space="0"/>
              <w:left w:val="single" w:color="auto" w:sz="4" w:space="0"/>
              <w:bottom w:val="single" w:color="auto" w:sz="4" w:space="0"/>
              <w:right w:val="single" w:color="auto" w:sz="4" w:space="0"/>
            </w:tcBorders>
            <w:vAlign w:val="center"/>
          </w:tcPr>
          <w:p w14:paraId="4978F15F">
            <w:pPr>
              <w:widowControl/>
              <w:spacing w:line="600" w:lineRule="exact"/>
              <w:jc w:val="center"/>
              <w:rPr>
                <w:rFonts w:ascii="仿宋_GB2312" w:hAnsi="仿宋" w:eastAsia="仿宋_GB2312"/>
                <w:b/>
                <w:bCs/>
                <w:sz w:val="20"/>
                <w:szCs w:val="20"/>
              </w:rPr>
            </w:pPr>
          </w:p>
        </w:tc>
        <w:tc>
          <w:tcPr>
            <w:tcW w:w="1183" w:type="dxa"/>
            <w:tcBorders>
              <w:top w:val="single" w:color="auto" w:sz="4" w:space="0"/>
              <w:left w:val="single" w:color="auto" w:sz="4" w:space="0"/>
              <w:bottom w:val="single" w:color="auto" w:sz="4" w:space="0"/>
              <w:right w:val="single" w:color="auto" w:sz="4" w:space="0"/>
            </w:tcBorders>
            <w:vAlign w:val="center"/>
          </w:tcPr>
          <w:p w14:paraId="7C5EDA7C">
            <w:pPr>
              <w:spacing w:line="600" w:lineRule="exact"/>
              <w:rPr>
                <w:rFonts w:ascii="仿宋_GB2312" w:hAnsi="仿宋" w:eastAsia="仿宋_GB2312"/>
                <w:sz w:val="20"/>
                <w:szCs w:val="20"/>
              </w:rPr>
            </w:pPr>
            <w:r>
              <w:rPr>
                <w:rFonts w:hint="eastAsia" w:ascii="仿宋_GB2312" w:hAnsi="仿宋" w:eastAsia="仿宋_GB2312"/>
                <w:sz w:val="20"/>
                <w:szCs w:val="20"/>
              </w:rPr>
              <w:t>电话</w:t>
            </w:r>
          </w:p>
        </w:tc>
        <w:tc>
          <w:tcPr>
            <w:tcW w:w="1981" w:type="dxa"/>
            <w:gridSpan w:val="2"/>
            <w:tcBorders>
              <w:top w:val="single" w:color="auto" w:sz="4" w:space="0"/>
              <w:left w:val="single" w:color="auto" w:sz="4" w:space="0"/>
              <w:bottom w:val="single" w:color="auto" w:sz="4" w:space="0"/>
              <w:right w:val="single" w:color="auto" w:sz="4" w:space="0"/>
            </w:tcBorders>
            <w:vAlign w:val="center"/>
          </w:tcPr>
          <w:p w14:paraId="1D3C9BC5">
            <w:pPr>
              <w:spacing w:line="600" w:lineRule="exact"/>
              <w:rPr>
                <w:rFonts w:ascii="仿宋_GB2312" w:hAnsi="仿宋" w:eastAsia="仿宋_GB2312"/>
                <w:b/>
                <w:bCs/>
                <w:sz w:val="20"/>
                <w:szCs w:val="20"/>
              </w:rPr>
            </w:pPr>
          </w:p>
        </w:tc>
        <w:tc>
          <w:tcPr>
            <w:tcW w:w="1417" w:type="dxa"/>
            <w:gridSpan w:val="2"/>
            <w:tcBorders>
              <w:top w:val="single" w:color="auto" w:sz="4" w:space="0"/>
              <w:left w:val="single" w:color="auto" w:sz="4" w:space="0"/>
              <w:bottom w:val="single" w:color="auto" w:sz="4" w:space="0"/>
              <w:right w:val="single" w:color="auto" w:sz="4" w:space="0"/>
            </w:tcBorders>
            <w:vAlign w:val="center"/>
          </w:tcPr>
          <w:p w14:paraId="1F528295">
            <w:pPr>
              <w:spacing w:line="600" w:lineRule="exact"/>
              <w:rPr>
                <w:rFonts w:ascii="仿宋_GB2312" w:hAnsi="仿宋" w:eastAsia="仿宋_GB2312"/>
                <w:sz w:val="20"/>
                <w:szCs w:val="20"/>
              </w:rPr>
            </w:pPr>
            <w:r>
              <w:rPr>
                <w:rFonts w:hint="eastAsia" w:ascii="仿宋_GB2312" w:hAnsi="仿宋" w:eastAsia="仿宋_GB2312"/>
                <w:sz w:val="20"/>
                <w:szCs w:val="20"/>
              </w:rPr>
              <w:t>邮件地址</w:t>
            </w:r>
          </w:p>
        </w:tc>
        <w:tc>
          <w:tcPr>
            <w:tcW w:w="2320" w:type="dxa"/>
            <w:tcBorders>
              <w:top w:val="single" w:color="auto" w:sz="4" w:space="0"/>
              <w:left w:val="single" w:color="auto" w:sz="4" w:space="0"/>
              <w:bottom w:val="single" w:color="auto" w:sz="4" w:space="0"/>
              <w:right w:val="single" w:color="auto" w:sz="4" w:space="0"/>
            </w:tcBorders>
            <w:vAlign w:val="center"/>
          </w:tcPr>
          <w:p w14:paraId="19B675BF">
            <w:pPr>
              <w:spacing w:line="600" w:lineRule="exact"/>
              <w:rPr>
                <w:rFonts w:ascii="仿宋_GB2312" w:hAnsi="仿宋" w:eastAsia="仿宋_GB2312"/>
                <w:b/>
                <w:bCs/>
                <w:sz w:val="20"/>
                <w:szCs w:val="20"/>
              </w:rPr>
            </w:pPr>
          </w:p>
        </w:tc>
      </w:tr>
      <w:tr w14:paraId="5C632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619" w:type="dxa"/>
            <w:vMerge w:val="restart"/>
            <w:tcBorders>
              <w:top w:val="single" w:color="auto" w:sz="4" w:space="0"/>
              <w:left w:val="single" w:color="auto" w:sz="4" w:space="0"/>
              <w:bottom w:val="single" w:color="auto" w:sz="4" w:space="0"/>
              <w:right w:val="single" w:color="auto" w:sz="4" w:space="0"/>
            </w:tcBorders>
            <w:vAlign w:val="center"/>
          </w:tcPr>
          <w:p w14:paraId="36FC8535">
            <w:pPr>
              <w:spacing w:line="600" w:lineRule="exact"/>
              <w:jc w:val="center"/>
              <w:rPr>
                <w:rFonts w:ascii="仿宋_GB2312" w:hAnsi="仿宋" w:eastAsia="仿宋_GB2312"/>
                <w:sz w:val="20"/>
                <w:szCs w:val="20"/>
              </w:rPr>
            </w:pPr>
            <w:r>
              <w:rPr>
                <w:rFonts w:hint="eastAsia" w:ascii="仿宋_GB2312" w:hAnsi="仿宋" w:eastAsia="仿宋_GB2312"/>
                <w:sz w:val="20"/>
                <w:szCs w:val="20"/>
              </w:rPr>
              <w:t>做市业务联络人</w:t>
            </w:r>
          </w:p>
        </w:tc>
        <w:tc>
          <w:tcPr>
            <w:tcW w:w="1183" w:type="dxa"/>
            <w:tcBorders>
              <w:top w:val="single" w:color="auto" w:sz="4" w:space="0"/>
              <w:left w:val="single" w:color="auto" w:sz="4" w:space="0"/>
              <w:bottom w:val="single" w:color="auto" w:sz="4" w:space="0"/>
              <w:right w:val="single" w:color="auto" w:sz="4" w:space="0"/>
            </w:tcBorders>
            <w:vAlign w:val="center"/>
          </w:tcPr>
          <w:p w14:paraId="3EF94729">
            <w:pPr>
              <w:spacing w:line="600" w:lineRule="exact"/>
              <w:rPr>
                <w:rFonts w:ascii="仿宋_GB2312" w:hAnsi="仿宋" w:eastAsia="仿宋_GB2312"/>
                <w:sz w:val="20"/>
                <w:szCs w:val="20"/>
              </w:rPr>
            </w:pPr>
            <w:r>
              <w:rPr>
                <w:rFonts w:hint="eastAsia" w:ascii="仿宋_GB2312" w:hAnsi="仿宋" w:eastAsia="仿宋_GB2312"/>
                <w:sz w:val="20"/>
                <w:szCs w:val="20"/>
              </w:rPr>
              <w:t>姓名</w:t>
            </w:r>
          </w:p>
        </w:tc>
        <w:tc>
          <w:tcPr>
            <w:tcW w:w="5718" w:type="dxa"/>
            <w:gridSpan w:val="5"/>
            <w:tcBorders>
              <w:top w:val="single" w:color="auto" w:sz="4" w:space="0"/>
              <w:left w:val="single" w:color="auto" w:sz="4" w:space="0"/>
              <w:bottom w:val="single" w:color="auto" w:sz="4" w:space="0"/>
              <w:right w:val="single" w:color="auto" w:sz="4" w:space="0"/>
            </w:tcBorders>
            <w:vAlign w:val="center"/>
          </w:tcPr>
          <w:p w14:paraId="700994A5">
            <w:pPr>
              <w:spacing w:line="600" w:lineRule="exact"/>
              <w:rPr>
                <w:rFonts w:ascii="仿宋_GB2312" w:hAnsi="仿宋" w:eastAsia="仿宋_GB2312"/>
                <w:b/>
                <w:bCs/>
                <w:sz w:val="20"/>
                <w:szCs w:val="20"/>
              </w:rPr>
            </w:pPr>
          </w:p>
        </w:tc>
      </w:tr>
      <w:tr w14:paraId="2BA18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619" w:type="dxa"/>
            <w:vMerge w:val="continue"/>
            <w:tcBorders>
              <w:top w:val="single" w:color="auto" w:sz="4" w:space="0"/>
              <w:left w:val="single" w:color="auto" w:sz="4" w:space="0"/>
              <w:bottom w:val="single" w:color="auto" w:sz="4" w:space="0"/>
              <w:right w:val="single" w:color="auto" w:sz="4" w:space="0"/>
            </w:tcBorders>
            <w:vAlign w:val="center"/>
          </w:tcPr>
          <w:p w14:paraId="0BB9B025">
            <w:pPr>
              <w:widowControl/>
              <w:spacing w:line="600" w:lineRule="exact"/>
              <w:jc w:val="left"/>
              <w:rPr>
                <w:rFonts w:ascii="仿宋_GB2312" w:hAnsi="仿宋" w:eastAsia="仿宋_GB2312"/>
                <w:b/>
                <w:bCs/>
                <w:sz w:val="20"/>
                <w:szCs w:val="20"/>
              </w:rPr>
            </w:pPr>
          </w:p>
        </w:tc>
        <w:tc>
          <w:tcPr>
            <w:tcW w:w="1183" w:type="dxa"/>
            <w:tcBorders>
              <w:top w:val="single" w:color="auto" w:sz="4" w:space="0"/>
              <w:left w:val="single" w:color="auto" w:sz="4" w:space="0"/>
              <w:bottom w:val="single" w:color="auto" w:sz="4" w:space="0"/>
              <w:right w:val="single" w:color="auto" w:sz="4" w:space="0"/>
            </w:tcBorders>
            <w:vAlign w:val="center"/>
          </w:tcPr>
          <w:p w14:paraId="3A309F4E">
            <w:pPr>
              <w:spacing w:line="600" w:lineRule="exact"/>
              <w:rPr>
                <w:rFonts w:ascii="仿宋_GB2312" w:hAnsi="仿宋" w:eastAsia="仿宋_GB2312"/>
                <w:sz w:val="20"/>
                <w:szCs w:val="20"/>
              </w:rPr>
            </w:pPr>
            <w:r>
              <w:rPr>
                <w:rFonts w:hint="eastAsia" w:ascii="仿宋_GB2312" w:hAnsi="仿宋" w:eastAsia="仿宋_GB2312"/>
                <w:sz w:val="20"/>
                <w:szCs w:val="20"/>
              </w:rPr>
              <w:t>部门</w:t>
            </w:r>
          </w:p>
        </w:tc>
        <w:tc>
          <w:tcPr>
            <w:tcW w:w="5718" w:type="dxa"/>
            <w:gridSpan w:val="5"/>
            <w:tcBorders>
              <w:top w:val="single" w:color="auto" w:sz="4" w:space="0"/>
              <w:left w:val="single" w:color="auto" w:sz="4" w:space="0"/>
              <w:bottom w:val="single" w:color="auto" w:sz="4" w:space="0"/>
              <w:right w:val="single" w:color="auto" w:sz="4" w:space="0"/>
            </w:tcBorders>
            <w:vAlign w:val="center"/>
          </w:tcPr>
          <w:p w14:paraId="33A724AD">
            <w:pPr>
              <w:spacing w:line="600" w:lineRule="exact"/>
              <w:rPr>
                <w:rFonts w:ascii="仿宋_GB2312" w:hAnsi="仿宋" w:eastAsia="仿宋_GB2312"/>
                <w:b/>
                <w:bCs/>
                <w:sz w:val="20"/>
                <w:szCs w:val="20"/>
              </w:rPr>
            </w:pPr>
          </w:p>
        </w:tc>
      </w:tr>
      <w:tr w14:paraId="39678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619" w:type="dxa"/>
            <w:vMerge w:val="continue"/>
            <w:tcBorders>
              <w:top w:val="single" w:color="auto" w:sz="4" w:space="0"/>
              <w:left w:val="single" w:color="auto" w:sz="4" w:space="0"/>
              <w:bottom w:val="single" w:color="auto" w:sz="4" w:space="0"/>
              <w:right w:val="single" w:color="auto" w:sz="4" w:space="0"/>
            </w:tcBorders>
            <w:vAlign w:val="center"/>
          </w:tcPr>
          <w:p w14:paraId="5F7D03CA">
            <w:pPr>
              <w:widowControl/>
              <w:spacing w:line="600" w:lineRule="exact"/>
              <w:jc w:val="left"/>
              <w:rPr>
                <w:rFonts w:ascii="仿宋_GB2312" w:hAnsi="仿宋" w:eastAsia="仿宋_GB2312"/>
                <w:b/>
                <w:bCs/>
                <w:sz w:val="20"/>
                <w:szCs w:val="20"/>
              </w:rPr>
            </w:pPr>
          </w:p>
        </w:tc>
        <w:tc>
          <w:tcPr>
            <w:tcW w:w="1183" w:type="dxa"/>
            <w:tcBorders>
              <w:top w:val="single" w:color="auto" w:sz="4" w:space="0"/>
              <w:left w:val="single" w:color="auto" w:sz="4" w:space="0"/>
              <w:bottom w:val="single" w:color="auto" w:sz="4" w:space="0"/>
              <w:right w:val="single" w:color="auto" w:sz="4" w:space="0"/>
            </w:tcBorders>
            <w:vAlign w:val="center"/>
          </w:tcPr>
          <w:p w14:paraId="2D455478">
            <w:pPr>
              <w:spacing w:line="600" w:lineRule="exact"/>
              <w:rPr>
                <w:rFonts w:ascii="仿宋_GB2312" w:hAnsi="仿宋" w:eastAsia="仿宋_GB2312"/>
                <w:sz w:val="20"/>
                <w:szCs w:val="20"/>
              </w:rPr>
            </w:pPr>
            <w:r>
              <w:rPr>
                <w:rFonts w:hint="eastAsia" w:ascii="仿宋_GB2312" w:hAnsi="仿宋" w:eastAsia="仿宋_GB2312"/>
                <w:sz w:val="20"/>
                <w:szCs w:val="20"/>
              </w:rPr>
              <w:t>电话</w:t>
            </w:r>
          </w:p>
        </w:tc>
        <w:tc>
          <w:tcPr>
            <w:tcW w:w="1981" w:type="dxa"/>
            <w:gridSpan w:val="2"/>
            <w:tcBorders>
              <w:top w:val="single" w:color="auto" w:sz="4" w:space="0"/>
              <w:left w:val="single" w:color="auto" w:sz="4" w:space="0"/>
              <w:bottom w:val="single" w:color="auto" w:sz="4" w:space="0"/>
              <w:right w:val="single" w:color="auto" w:sz="4" w:space="0"/>
            </w:tcBorders>
            <w:vAlign w:val="center"/>
          </w:tcPr>
          <w:p w14:paraId="6B42BA38">
            <w:pPr>
              <w:spacing w:line="600" w:lineRule="exact"/>
              <w:rPr>
                <w:rFonts w:ascii="仿宋_GB2312" w:hAnsi="仿宋" w:eastAsia="仿宋_GB2312"/>
                <w:b/>
                <w:bCs/>
                <w:sz w:val="20"/>
                <w:szCs w:val="20"/>
              </w:rPr>
            </w:pPr>
          </w:p>
        </w:tc>
        <w:tc>
          <w:tcPr>
            <w:tcW w:w="1417" w:type="dxa"/>
            <w:gridSpan w:val="2"/>
            <w:tcBorders>
              <w:top w:val="single" w:color="auto" w:sz="4" w:space="0"/>
              <w:left w:val="single" w:color="auto" w:sz="4" w:space="0"/>
              <w:bottom w:val="single" w:color="auto" w:sz="4" w:space="0"/>
              <w:right w:val="single" w:color="auto" w:sz="4" w:space="0"/>
            </w:tcBorders>
            <w:vAlign w:val="center"/>
          </w:tcPr>
          <w:p w14:paraId="664070DC">
            <w:pPr>
              <w:spacing w:line="600" w:lineRule="exact"/>
              <w:rPr>
                <w:rFonts w:ascii="仿宋_GB2312" w:hAnsi="仿宋" w:eastAsia="仿宋_GB2312"/>
                <w:sz w:val="20"/>
                <w:szCs w:val="20"/>
              </w:rPr>
            </w:pPr>
            <w:r>
              <w:rPr>
                <w:rFonts w:hint="eastAsia" w:ascii="仿宋_GB2312" w:hAnsi="仿宋" w:eastAsia="仿宋_GB2312"/>
                <w:sz w:val="20"/>
                <w:szCs w:val="20"/>
              </w:rPr>
              <w:t>邮件地址</w:t>
            </w:r>
          </w:p>
        </w:tc>
        <w:tc>
          <w:tcPr>
            <w:tcW w:w="2320" w:type="dxa"/>
            <w:tcBorders>
              <w:top w:val="single" w:color="auto" w:sz="4" w:space="0"/>
              <w:left w:val="single" w:color="auto" w:sz="4" w:space="0"/>
              <w:bottom w:val="single" w:color="auto" w:sz="4" w:space="0"/>
              <w:right w:val="single" w:color="auto" w:sz="4" w:space="0"/>
            </w:tcBorders>
            <w:vAlign w:val="center"/>
          </w:tcPr>
          <w:p w14:paraId="5E13D5CF">
            <w:pPr>
              <w:spacing w:line="600" w:lineRule="exact"/>
              <w:rPr>
                <w:rFonts w:ascii="仿宋_GB2312" w:hAnsi="仿宋" w:eastAsia="仿宋_GB2312"/>
                <w:b/>
                <w:bCs/>
                <w:sz w:val="20"/>
                <w:szCs w:val="20"/>
              </w:rPr>
            </w:pPr>
          </w:p>
        </w:tc>
      </w:tr>
      <w:tr w14:paraId="62374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5" w:hRule="atLeast"/>
        </w:trPr>
        <w:tc>
          <w:tcPr>
            <w:tcW w:w="8520" w:type="dxa"/>
            <w:gridSpan w:val="7"/>
            <w:tcBorders>
              <w:top w:val="single" w:color="auto" w:sz="4" w:space="0"/>
              <w:left w:val="single" w:color="auto" w:sz="4" w:space="0"/>
              <w:bottom w:val="single" w:color="auto" w:sz="4" w:space="0"/>
              <w:right w:val="single" w:color="auto" w:sz="4" w:space="0"/>
            </w:tcBorders>
            <w:shd w:val="clear" w:color="auto" w:fill="F2F2F2"/>
            <w:vAlign w:val="center"/>
          </w:tcPr>
          <w:p w14:paraId="0D07D74D">
            <w:pPr>
              <w:spacing w:line="600" w:lineRule="exact"/>
              <w:rPr>
                <w:rFonts w:ascii="仿宋_GB2312" w:hAnsi="仿宋" w:eastAsia="仿宋_GB2312"/>
                <w:b/>
                <w:sz w:val="20"/>
                <w:szCs w:val="20"/>
              </w:rPr>
            </w:pPr>
            <w:r>
              <w:rPr>
                <w:rFonts w:hint="eastAsia" w:ascii="仿宋_GB2312" w:hAnsi="仿宋" w:eastAsia="仿宋_GB2312"/>
                <w:b/>
                <w:sz w:val="20"/>
                <w:szCs w:val="20"/>
              </w:rPr>
              <w:t>部门与岗位设置</w:t>
            </w:r>
          </w:p>
        </w:tc>
      </w:tr>
      <w:tr w14:paraId="10186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8520" w:type="dxa"/>
            <w:gridSpan w:val="7"/>
            <w:tcBorders>
              <w:top w:val="single" w:color="auto" w:sz="4" w:space="0"/>
              <w:left w:val="single" w:color="auto" w:sz="4" w:space="0"/>
              <w:bottom w:val="single" w:color="auto" w:sz="4" w:space="0"/>
              <w:right w:val="single" w:color="auto" w:sz="4" w:space="0"/>
            </w:tcBorders>
            <w:vAlign w:val="center"/>
          </w:tcPr>
          <w:p w14:paraId="717D501C">
            <w:pPr>
              <w:spacing w:line="600" w:lineRule="exact"/>
              <w:rPr>
                <w:rFonts w:ascii="仿宋_GB2312" w:hAnsi="仿宋" w:eastAsia="仿宋_GB2312"/>
                <w:sz w:val="20"/>
                <w:szCs w:val="20"/>
              </w:rPr>
            </w:pPr>
            <w:r>
              <w:rPr>
                <w:rFonts w:hint="eastAsia" w:ascii="仿宋_GB2312" w:hAnsi="仿宋" w:eastAsia="仿宋_GB2312"/>
                <w:sz w:val="20"/>
                <w:szCs w:val="20"/>
              </w:rPr>
              <w:t>（部门名称1）工作职责包括：</w:t>
            </w:r>
          </w:p>
          <w:p w14:paraId="5EAE4D08">
            <w:pPr>
              <w:spacing w:line="600" w:lineRule="exact"/>
              <w:rPr>
                <w:rFonts w:ascii="仿宋_GB2312" w:hAnsi="仿宋" w:eastAsia="仿宋_GB2312"/>
                <w:sz w:val="20"/>
                <w:szCs w:val="20"/>
              </w:rPr>
            </w:pPr>
            <w:r>
              <w:rPr>
                <w:rFonts w:hint="eastAsia" w:ascii="仿宋_GB2312" w:hAnsi="仿宋" w:eastAsia="仿宋_GB2312"/>
                <w:sz w:val="20"/>
                <w:szCs w:val="20"/>
              </w:rPr>
              <w:t>（1）</w:t>
            </w:r>
          </w:p>
          <w:p w14:paraId="3CF17184">
            <w:pPr>
              <w:spacing w:line="600" w:lineRule="exact"/>
              <w:rPr>
                <w:rFonts w:ascii="仿宋_GB2312" w:hAnsi="仿宋" w:eastAsia="仿宋_GB2312"/>
                <w:sz w:val="20"/>
                <w:szCs w:val="20"/>
              </w:rPr>
            </w:pPr>
            <w:r>
              <w:rPr>
                <w:rFonts w:hint="eastAsia" w:ascii="仿宋_GB2312" w:hAnsi="仿宋" w:eastAsia="仿宋_GB2312"/>
                <w:sz w:val="20"/>
                <w:szCs w:val="20"/>
              </w:rPr>
              <w:t>（2）</w:t>
            </w:r>
          </w:p>
        </w:tc>
      </w:tr>
      <w:tr w14:paraId="49F02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619" w:type="dxa"/>
            <w:tcBorders>
              <w:top w:val="single" w:color="auto" w:sz="4" w:space="0"/>
              <w:left w:val="single" w:color="auto" w:sz="4" w:space="0"/>
              <w:bottom w:val="single" w:color="auto" w:sz="4" w:space="0"/>
              <w:right w:val="single" w:color="auto" w:sz="4" w:space="0"/>
            </w:tcBorders>
            <w:vAlign w:val="center"/>
          </w:tcPr>
          <w:p w14:paraId="326AAE87">
            <w:pPr>
              <w:widowControl/>
              <w:spacing w:line="600" w:lineRule="exact"/>
              <w:rPr>
                <w:rFonts w:ascii="仿宋_GB2312" w:hAnsi="仿宋" w:eastAsia="仿宋_GB2312"/>
                <w:sz w:val="20"/>
                <w:szCs w:val="20"/>
              </w:rPr>
            </w:pPr>
            <w:r>
              <w:rPr>
                <w:rFonts w:hint="eastAsia" w:ascii="仿宋_GB2312" w:hAnsi="仿宋" w:eastAsia="仿宋_GB2312"/>
                <w:sz w:val="20"/>
                <w:szCs w:val="20"/>
              </w:rPr>
              <w:t>岗位</w:t>
            </w:r>
          </w:p>
        </w:tc>
        <w:tc>
          <w:tcPr>
            <w:tcW w:w="1183" w:type="dxa"/>
            <w:tcBorders>
              <w:top w:val="single" w:color="auto" w:sz="4" w:space="0"/>
              <w:left w:val="single" w:color="auto" w:sz="4" w:space="0"/>
              <w:bottom w:val="single" w:color="auto" w:sz="4" w:space="0"/>
              <w:right w:val="single" w:color="auto" w:sz="4" w:space="0"/>
            </w:tcBorders>
            <w:vAlign w:val="center"/>
          </w:tcPr>
          <w:p w14:paraId="402B34C5">
            <w:pPr>
              <w:spacing w:line="600" w:lineRule="exact"/>
              <w:rPr>
                <w:rFonts w:ascii="仿宋_GB2312" w:hAnsi="仿宋" w:eastAsia="仿宋_GB2312"/>
                <w:sz w:val="20"/>
                <w:szCs w:val="20"/>
              </w:rPr>
            </w:pPr>
            <w:r>
              <w:rPr>
                <w:rFonts w:hint="eastAsia" w:ascii="仿宋_GB2312" w:hAnsi="仿宋" w:eastAsia="仿宋_GB2312"/>
                <w:sz w:val="20"/>
                <w:szCs w:val="20"/>
              </w:rPr>
              <w:t>人员姓名</w:t>
            </w:r>
          </w:p>
        </w:tc>
        <w:tc>
          <w:tcPr>
            <w:tcW w:w="1559" w:type="dxa"/>
            <w:tcBorders>
              <w:top w:val="single" w:color="auto" w:sz="4" w:space="0"/>
              <w:left w:val="single" w:color="auto" w:sz="4" w:space="0"/>
              <w:bottom w:val="single" w:color="auto" w:sz="4" w:space="0"/>
              <w:right w:val="single" w:color="auto" w:sz="4" w:space="0"/>
            </w:tcBorders>
            <w:vAlign w:val="center"/>
          </w:tcPr>
          <w:p w14:paraId="335BEE0C">
            <w:pPr>
              <w:spacing w:line="600" w:lineRule="exact"/>
              <w:rPr>
                <w:rFonts w:ascii="仿宋_GB2312" w:hAnsi="仿宋" w:eastAsia="仿宋_GB2312"/>
                <w:sz w:val="20"/>
                <w:szCs w:val="20"/>
              </w:rPr>
            </w:pPr>
            <w:r>
              <w:rPr>
                <w:rFonts w:hint="eastAsia" w:ascii="仿宋_GB2312" w:hAnsi="仿宋" w:eastAsia="仿宋_GB2312"/>
                <w:sz w:val="20"/>
                <w:szCs w:val="20"/>
              </w:rPr>
              <w:t>职责描述（标明人员为主岗或备岗）</w:t>
            </w: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0FDDFEB0">
            <w:pPr>
              <w:spacing w:line="600" w:lineRule="exact"/>
              <w:rPr>
                <w:rFonts w:ascii="仿宋_GB2312" w:hAnsi="仿宋" w:eastAsia="仿宋_GB2312"/>
                <w:sz w:val="20"/>
                <w:szCs w:val="20"/>
              </w:rPr>
            </w:pPr>
            <w:r>
              <w:rPr>
                <w:rFonts w:hint="eastAsia" w:ascii="仿宋_GB2312" w:hAnsi="仿宋" w:eastAsia="仿宋_GB2312"/>
                <w:sz w:val="20"/>
                <w:szCs w:val="20"/>
              </w:rPr>
              <w:t>联系方式</w:t>
            </w:r>
          </w:p>
        </w:tc>
        <w:tc>
          <w:tcPr>
            <w:tcW w:w="2458" w:type="dxa"/>
            <w:gridSpan w:val="2"/>
            <w:tcBorders>
              <w:top w:val="single" w:color="auto" w:sz="4" w:space="0"/>
              <w:left w:val="single" w:color="auto" w:sz="4" w:space="0"/>
              <w:bottom w:val="single" w:color="auto" w:sz="4" w:space="0"/>
              <w:right w:val="single" w:color="auto" w:sz="4" w:space="0"/>
            </w:tcBorders>
            <w:vAlign w:val="center"/>
          </w:tcPr>
          <w:p w14:paraId="5A015018">
            <w:pPr>
              <w:spacing w:line="600" w:lineRule="exact"/>
              <w:rPr>
                <w:rFonts w:ascii="仿宋_GB2312" w:hAnsi="仿宋" w:eastAsia="仿宋_GB2312"/>
                <w:sz w:val="20"/>
                <w:szCs w:val="20"/>
              </w:rPr>
            </w:pPr>
            <w:r>
              <w:rPr>
                <w:rFonts w:hint="eastAsia" w:ascii="仿宋_GB2312" w:hAnsi="仿宋" w:eastAsia="仿宋_GB2312"/>
                <w:sz w:val="20"/>
                <w:szCs w:val="20"/>
              </w:rPr>
              <w:t>工作履历</w:t>
            </w:r>
          </w:p>
        </w:tc>
      </w:tr>
      <w:tr w14:paraId="728DC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619" w:type="dxa"/>
            <w:tcBorders>
              <w:top w:val="single" w:color="auto" w:sz="4" w:space="0"/>
              <w:left w:val="single" w:color="auto" w:sz="4" w:space="0"/>
              <w:bottom w:val="single" w:color="auto" w:sz="4" w:space="0"/>
              <w:right w:val="single" w:color="auto" w:sz="4" w:space="0"/>
            </w:tcBorders>
            <w:vAlign w:val="center"/>
          </w:tcPr>
          <w:p w14:paraId="4B26CA8B">
            <w:pPr>
              <w:widowControl/>
              <w:spacing w:line="600" w:lineRule="exact"/>
              <w:rPr>
                <w:rFonts w:ascii="仿宋_GB2312" w:hAnsi="仿宋" w:eastAsia="仿宋_GB2312"/>
                <w:i/>
                <w:sz w:val="20"/>
                <w:szCs w:val="20"/>
              </w:rPr>
            </w:pPr>
            <w:r>
              <w:rPr>
                <w:rFonts w:hint="eastAsia" w:ascii="仿宋_GB2312" w:hAnsi="仿宋" w:eastAsia="仿宋_GB2312"/>
                <w:i/>
                <w:sz w:val="20"/>
                <w:szCs w:val="20"/>
              </w:rPr>
              <w:t>（部门负责人）</w:t>
            </w:r>
          </w:p>
        </w:tc>
        <w:tc>
          <w:tcPr>
            <w:tcW w:w="1183" w:type="dxa"/>
            <w:tcBorders>
              <w:top w:val="single" w:color="auto" w:sz="4" w:space="0"/>
              <w:left w:val="single" w:color="auto" w:sz="4" w:space="0"/>
              <w:bottom w:val="single" w:color="auto" w:sz="4" w:space="0"/>
              <w:right w:val="single" w:color="auto" w:sz="4" w:space="0"/>
            </w:tcBorders>
            <w:vAlign w:val="center"/>
          </w:tcPr>
          <w:p w14:paraId="0737EC91">
            <w:pPr>
              <w:spacing w:line="600" w:lineRule="exact"/>
              <w:rPr>
                <w:rFonts w:ascii="仿宋_GB2312" w:hAnsi="仿宋" w:eastAsia="仿宋_GB2312"/>
                <w:b/>
                <w:bCs/>
                <w:sz w:val="20"/>
                <w:szCs w:val="20"/>
              </w:rPr>
            </w:pPr>
          </w:p>
        </w:tc>
        <w:tc>
          <w:tcPr>
            <w:tcW w:w="1559" w:type="dxa"/>
            <w:tcBorders>
              <w:top w:val="single" w:color="auto" w:sz="4" w:space="0"/>
              <w:left w:val="single" w:color="auto" w:sz="4" w:space="0"/>
              <w:bottom w:val="single" w:color="auto" w:sz="4" w:space="0"/>
              <w:right w:val="single" w:color="auto" w:sz="4" w:space="0"/>
            </w:tcBorders>
            <w:vAlign w:val="center"/>
          </w:tcPr>
          <w:p w14:paraId="0ABD6F6D">
            <w:pPr>
              <w:spacing w:line="600" w:lineRule="exact"/>
              <w:rPr>
                <w:rFonts w:ascii="仿宋_GB2312" w:hAnsi="仿宋" w:eastAsia="仿宋_GB2312"/>
                <w:b/>
                <w:bCs/>
                <w:sz w:val="20"/>
                <w:szCs w:val="20"/>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4A209732">
            <w:pPr>
              <w:spacing w:line="600" w:lineRule="exact"/>
              <w:rPr>
                <w:rFonts w:ascii="仿宋_GB2312" w:hAnsi="仿宋" w:eastAsia="仿宋_GB2312"/>
                <w:i/>
                <w:sz w:val="20"/>
                <w:szCs w:val="20"/>
              </w:rPr>
            </w:pPr>
            <w:r>
              <w:rPr>
                <w:rFonts w:hint="eastAsia" w:ascii="仿宋_GB2312" w:hAnsi="仿宋" w:eastAsia="仿宋_GB2312"/>
                <w:i/>
                <w:sz w:val="20"/>
                <w:szCs w:val="20"/>
              </w:rPr>
              <w:t>（座机）</w:t>
            </w:r>
          </w:p>
          <w:p w14:paraId="312D4FD3">
            <w:pPr>
              <w:spacing w:line="600" w:lineRule="exact"/>
              <w:rPr>
                <w:rFonts w:ascii="仿宋_GB2312" w:hAnsi="仿宋" w:eastAsia="仿宋_GB2312"/>
                <w:i/>
                <w:sz w:val="20"/>
                <w:szCs w:val="20"/>
              </w:rPr>
            </w:pPr>
            <w:r>
              <w:rPr>
                <w:rFonts w:hint="eastAsia" w:ascii="仿宋_GB2312" w:hAnsi="仿宋" w:eastAsia="仿宋_GB2312"/>
                <w:i/>
                <w:sz w:val="20"/>
                <w:szCs w:val="20"/>
              </w:rPr>
              <w:t>（手机）</w:t>
            </w:r>
          </w:p>
          <w:p w14:paraId="6D6F7A1C">
            <w:pPr>
              <w:spacing w:line="600" w:lineRule="exact"/>
              <w:rPr>
                <w:rFonts w:ascii="仿宋_GB2312" w:hAnsi="仿宋" w:eastAsia="仿宋_GB2312"/>
                <w:sz w:val="20"/>
                <w:szCs w:val="20"/>
              </w:rPr>
            </w:pPr>
            <w:r>
              <w:rPr>
                <w:rFonts w:hint="eastAsia" w:ascii="仿宋_GB2312" w:hAnsi="仿宋" w:eastAsia="仿宋_GB2312"/>
                <w:i/>
                <w:sz w:val="20"/>
                <w:szCs w:val="20"/>
              </w:rPr>
              <w:t>（邮件）</w:t>
            </w:r>
          </w:p>
        </w:tc>
        <w:tc>
          <w:tcPr>
            <w:tcW w:w="2458" w:type="dxa"/>
            <w:gridSpan w:val="2"/>
            <w:tcBorders>
              <w:top w:val="single" w:color="auto" w:sz="4" w:space="0"/>
              <w:left w:val="single" w:color="auto" w:sz="4" w:space="0"/>
              <w:bottom w:val="single" w:color="auto" w:sz="4" w:space="0"/>
              <w:right w:val="single" w:color="auto" w:sz="4" w:space="0"/>
            </w:tcBorders>
            <w:vAlign w:val="center"/>
          </w:tcPr>
          <w:p w14:paraId="59BB304A">
            <w:pPr>
              <w:rPr>
                <w:rFonts w:ascii="仿宋_GB2312" w:hAnsi="仿宋" w:eastAsia="仿宋_GB2312"/>
                <w:i/>
                <w:sz w:val="20"/>
                <w:szCs w:val="20"/>
              </w:rPr>
            </w:pPr>
          </w:p>
          <w:p w14:paraId="41E5832D">
            <w:pPr>
              <w:spacing w:line="600" w:lineRule="exact"/>
              <w:rPr>
                <w:rFonts w:ascii="仿宋_GB2312" w:hAnsi="仿宋" w:eastAsia="仿宋_GB2312"/>
                <w:i/>
                <w:sz w:val="20"/>
                <w:szCs w:val="20"/>
              </w:rPr>
            </w:pPr>
            <w:r>
              <w:rPr>
                <w:rFonts w:hint="eastAsia" w:ascii="仿宋_GB2312" w:hAnsi="仿宋" w:eastAsia="仿宋_GB2312"/>
                <w:i/>
                <w:sz w:val="20"/>
                <w:szCs w:val="20"/>
              </w:rPr>
              <w:t>工作履历：</w:t>
            </w:r>
          </w:p>
          <w:p w14:paraId="30093A31">
            <w:pPr>
              <w:rPr>
                <w:rFonts w:ascii="仿宋_GB2312" w:hAnsi="仿宋" w:eastAsia="仿宋_GB2312"/>
                <w:i/>
                <w:sz w:val="20"/>
                <w:szCs w:val="20"/>
              </w:rPr>
            </w:pPr>
            <w:r>
              <w:rPr>
                <w:rFonts w:hint="eastAsia" w:ascii="仿宋_GB2312" w:hAnsi="仿宋" w:eastAsia="仿宋_GB2312"/>
                <w:i/>
                <w:sz w:val="20"/>
                <w:szCs w:val="20"/>
              </w:rPr>
              <w:t>（年份-单位-职责）</w:t>
            </w:r>
          </w:p>
        </w:tc>
      </w:tr>
      <w:tr w14:paraId="15E54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5" w:hRule="atLeast"/>
        </w:trPr>
        <w:tc>
          <w:tcPr>
            <w:tcW w:w="1619" w:type="dxa"/>
            <w:tcBorders>
              <w:top w:val="single" w:color="auto" w:sz="4" w:space="0"/>
              <w:left w:val="single" w:color="auto" w:sz="4" w:space="0"/>
              <w:bottom w:val="single" w:color="auto" w:sz="4" w:space="0"/>
              <w:right w:val="single" w:color="auto" w:sz="4" w:space="0"/>
            </w:tcBorders>
            <w:vAlign w:val="center"/>
          </w:tcPr>
          <w:p w14:paraId="699E1D46">
            <w:pPr>
              <w:widowControl/>
              <w:spacing w:line="600" w:lineRule="exact"/>
              <w:rPr>
                <w:rFonts w:ascii="仿宋_GB2312" w:hAnsi="仿宋" w:eastAsia="仿宋_GB2312"/>
                <w:b/>
                <w:bCs/>
                <w:sz w:val="20"/>
                <w:szCs w:val="20"/>
              </w:rPr>
            </w:pPr>
          </w:p>
        </w:tc>
        <w:tc>
          <w:tcPr>
            <w:tcW w:w="1183" w:type="dxa"/>
            <w:tcBorders>
              <w:top w:val="single" w:color="auto" w:sz="4" w:space="0"/>
              <w:left w:val="single" w:color="auto" w:sz="4" w:space="0"/>
              <w:bottom w:val="single" w:color="auto" w:sz="4" w:space="0"/>
              <w:right w:val="single" w:color="auto" w:sz="4" w:space="0"/>
            </w:tcBorders>
            <w:vAlign w:val="center"/>
          </w:tcPr>
          <w:p w14:paraId="0A4CC49A">
            <w:pPr>
              <w:spacing w:line="600" w:lineRule="exact"/>
              <w:rPr>
                <w:rFonts w:ascii="仿宋_GB2312" w:hAnsi="仿宋" w:eastAsia="仿宋_GB2312"/>
                <w:b/>
                <w:bCs/>
                <w:sz w:val="20"/>
                <w:szCs w:val="20"/>
              </w:rPr>
            </w:pPr>
          </w:p>
        </w:tc>
        <w:tc>
          <w:tcPr>
            <w:tcW w:w="1559" w:type="dxa"/>
            <w:tcBorders>
              <w:top w:val="single" w:color="auto" w:sz="4" w:space="0"/>
              <w:left w:val="single" w:color="auto" w:sz="4" w:space="0"/>
              <w:bottom w:val="single" w:color="auto" w:sz="4" w:space="0"/>
              <w:right w:val="single" w:color="auto" w:sz="4" w:space="0"/>
            </w:tcBorders>
            <w:vAlign w:val="center"/>
          </w:tcPr>
          <w:p w14:paraId="3A142E38">
            <w:pPr>
              <w:spacing w:line="600" w:lineRule="exact"/>
              <w:rPr>
                <w:rFonts w:ascii="仿宋_GB2312" w:hAnsi="仿宋" w:eastAsia="仿宋_GB2312"/>
                <w:b/>
                <w:bCs/>
                <w:sz w:val="20"/>
                <w:szCs w:val="20"/>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362F873F">
            <w:pPr>
              <w:spacing w:line="600" w:lineRule="exact"/>
              <w:rPr>
                <w:rFonts w:ascii="仿宋_GB2312" w:hAnsi="仿宋" w:eastAsia="仿宋_GB2312"/>
                <w:b/>
                <w:bCs/>
                <w:sz w:val="20"/>
                <w:szCs w:val="20"/>
              </w:rPr>
            </w:pPr>
          </w:p>
        </w:tc>
        <w:tc>
          <w:tcPr>
            <w:tcW w:w="2458" w:type="dxa"/>
            <w:gridSpan w:val="2"/>
            <w:tcBorders>
              <w:top w:val="single" w:color="auto" w:sz="4" w:space="0"/>
              <w:left w:val="single" w:color="auto" w:sz="4" w:space="0"/>
              <w:bottom w:val="single" w:color="auto" w:sz="4" w:space="0"/>
              <w:right w:val="single" w:color="auto" w:sz="4" w:space="0"/>
            </w:tcBorders>
            <w:vAlign w:val="center"/>
          </w:tcPr>
          <w:p w14:paraId="72364619">
            <w:pPr>
              <w:spacing w:line="600" w:lineRule="exact"/>
              <w:rPr>
                <w:rFonts w:ascii="仿宋_GB2312" w:hAnsi="仿宋" w:eastAsia="仿宋_GB2312"/>
                <w:b/>
                <w:bCs/>
                <w:sz w:val="20"/>
                <w:szCs w:val="20"/>
              </w:rPr>
            </w:pPr>
          </w:p>
        </w:tc>
      </w:tr>
      <w:tr w14:paraId="34F09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619" w:type="dxa"/>
            <w:tcBorders>
              <w:top w:val="single" w:color="auto" w:sz="4" w:space="0"/>
              <w:left w:val="single" w:color="auto" w:sz="4" w:space="0"/>
              <w:bottom w:val="single" w:color="auto" w:sz="4" w:space="0"/>
              <w:right w:val="single" w:color="auto" w:sz="4" w:space="0"/>
            </w:tcBorders>
            <w:vAlign w:val="center"/>
          </w:tcPr>
          <w:p w14:paraId="4C0FDF9A">
            <w:pPr>
              <w:widowControl/>
              <w:spacing w:line="600" w:lineRule="exact"/>
              <w:rPr>
                <w:rFonts w:ascii="仿宋_GB2312" w:hAnsi="仿宋" w:eastAsia="仿宋_GB2312"/>
                <w:b/>
                <w:bCs/>
                <w:sz w:val="20"/>
                <w:szCs w:val="20"/>
              </w:rPr>
            </w:pPr>
          </w:p>
        </w:tc>
        <w:tc>
          <w:tcPr>
            <w:tcW w:w="1183" w:type="dxa"/>
            <w:tcBorders>
              <w:top w:val="single" w:color="auto" w:sz="4" w:space="0"/>
              <w:left w:val="single" w:color="auto" w:sz="4" w:space="0"/>
              <w:bottom w:val="single" w:color="auto" w:sz="4" w:space="0"/>
              <w:right w:val="single" w:color="auto" w:sz="4" w:space="0"/>
            </w:tcBorders>
            <w:vAlign w:val="center"/>
          </w:tcPr>
          <w:p w14:paraId="51071A0A">
            <w:pPr>
              <w:spacing w:line="600" w:lineRule="exact"/>
              <w:rPr>
                <w:rFonts w:ascii="仿宋_GB2312" w:hAnsi="仿宋" w:eastAsia="仿宋_GB2312"/>
                <w:b/>
                <w:bCs/>
                <w:sz w:val="20"/>
                <w:szCs w:val="20"/>
              </w:rPr>
            </w:pPr>
          </w:p>
        </w:tc>
        <w:tc>
          <w:tcPr>
            <w:tcW w:w="1559" w:type="dxa"/>
            <w:tcBorders>
              <w:top w:val="single" w:color="auto" w:sz="4" w:space="0"/>
              <w:left w:val="single" w:color="auto" w:sz="4" w:space="0"/>
              <w:bottom w:val="single" w:color="auto" w:sz="4" w:space="0"/>
              <w:right w:val="single" w:color="auto" w:sz="4" w:space="0"/>
            </w:tcBorders>
            <w:vAlign w:val="center"/>
          </w:tcPr>
          <w:p w14:paraId="6A289BD7">
            <w:pPr>
              <w:spacing w:line="600" w:lineRule="exact"/>
              <w:rPr>
                <w:rFonts w:ascii="仿宋_GB2312" w:hAnsi="仿宋" w:eastAsia="仿宋_GB2312"/>
                <w:b/>
                <w:bCs/>
                <w:sz w:val="20"/>
                <w:szCs w:val="20"/>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18021584">
            <w:pPr>
              <w:spacing w:line="600" w:lineRule="exact"/>
              <w:rPr>
                <w:rFonts w:ascii="仿宋_GB2312" w:hAnsi="仿宋" w:eastAsia="仿宋_GB2312"/>
                <w:b/>
                <w:bCs/>
                <w:sz w:val="20"/>
                <w:szCs w:val="20"/>
              </w:rPr>
            </w:pPr>
          </w:p>
        </w:tc>
        <w:tc>
          <w:tcPr>
            <w:tcW w:w="2458" w:type="dxa"/>
            <w:gridSpan w:val="2"/>
            <w:tcBorders>
              <w:top w:val="single" w:color="auto" w:sz="4" w:space="0"/>
              <w:left w:val="single" w:color="auto" w:sz="4" w:space="0"/>
              <w:bottom w:val="single" w:color="auto" w:sz="4" w:space="0"/>
              <w:right w:val="single" w:color="auto" w:sz="4" w:space="0"/>
            </w:tcBorders>
            <w:vAlign w:val="center"/>
          </w:tcPr>
          <w:p w14:paraId="15651222">
            <w:pPr>
              <w:spacing w:line="600" w:lineRule="exact"/>
              <w:rPr>
                <w:rFonts w:ascii="仿宋_GB2312" w:hAnsi="仿宋" w:eastAsia="仿宋_GB2312"/>
                <w:b/>
                <w:bCs/>
                <w:sz w:val="20"/>
                <w:szCs w:val="20"/>
              </w:rPr>
            </w:pPr>
          </w:p>
        </w:tc>
      </w:tr>
      <w:tr w14:paraId="02A49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8520" w:type="dxa"/>
            <w:gridSpan w:val="7"/>
            <w:tcBorders>
              <w:top w:val="single" w:color="auto" w:sz="4" w:space="0"/>
              <w:left w:val="single" w:color="auto" w:sz="4" w:space="0"/>
              <w:bottom w:val="single" w:color="auto" w:sz="4" w:space="0"/>
              <w:right w:val="single" w:color="auto" w:sz="4" w:space="0"/>
            </w:tcBorders>
            <w:vAlign w:val="center"/>
          </w:tcPr>
          <w:p w14:paraId="1C4C62EA">
            <w:pPr>
              <w:spacing w:line="600" w:lineRule="exact"/>
              <w:rPr>
                <w:rFonts w:ascii="仿宋_GB2312" w:hAnsi="仿宋" w:eastAsia="仿宋_GB2312"/>
                <w:sz w:val="20"/>
                <w:szCs w:val="20"/>
              </w:rPr>
            </w:pPr>
            <w:r>
              <w:rPr>
                <w:rFonts w:hint="eastAsia" w:ascii="仿宋_GB2312" w:hAnsi="仿宋" w:eastAsia="仿宋_GB2312"/>
                <w:sz w:val="20"/>
                <w:szCs w:val="20"/>
              </w:rPr>
              <w:t>（部门名称2）工作职责包括：</w:t>
            </w:r>
          </w:p>
          <w:p w14:paraId="1DE52699">
            <w:pPr>
              <w:spacing w:line="600" w:lineRule="exact"/>
              <w:rPr>
                <w:rFonts w:ascii="仿宋_GB2312" w:hAnsi="仿宋" w:eastAsia="仿宋_GB2312"/>
                <w:sz w:val="20"/>
                <w:szCs w:val="20"/>
              </w:rPr>
            </w:pPr>
            <w:r>
              <w:rPr>
                <w:rFonts w:hint="eastAsia" w:ascii="仿宋_GB2312" w:hAnsi="仿宋" w:eastAsia="仿宋_GB2312"/>
                <w:sz w:val="20"/>
                <w:szCs w:val="20"/>
              </w:rPr>
              <w:t>（1）</w:t>
            </w:r>
          </w:p>
          <w:p w14:paraId="0F96B667">
            <w:pPr>
              <w:spacing w:line="600" w:lineRule="exact"/>
              <w:rPr>
                <w:rFonts w:ascii="仿宋_GB2312" w:hAnsi="仿宋" w:eastAsia="仿宋_GB2312"/>
                <w:sz w:val="20"/>
                <w:szCs w:val="20"/>
              </w:rPr>
            </w:pPr>
            <w:r>
              <w:rPr>
                <w:rFonts w:hint="eastAsia" w:ascii="仿宋_GB2312" w:hAnsi="仿宋" w:eastAsia="仿宋_GB2312"/>
                <w:sz w:val="20"/>
                <w:szCs w:val="20"/>
              </w:rPr>
              <w:t>（2）</w:t>
            </w:r>
          </w:p>
        </w:tc>
      </w:tr>
      <w:tr w14:paraId="637D6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619" w:type="dxa"/>
            <w:tcBorders>
              <w:top w:val="single" w:color="auto" w:sz="4" w:space="0"/>
              <w:left w:val="single" w:color="auto" w:sz="4" w:space="0"/>
              <w:bottom w:val="single" w:color="auto" w:sz="4" w:space="0"/>
              <w:right w:val="single" w:color="auto" w:sz="4" w:space="0"/>
            </w:tcBorders>
            <w:vAlign w:val="center"/>
          </w:tcPr>
          <w:p w14:paraId="0DDCD9B4">
            <w:pPr>
              <w:widowControl/>
              <w:spacing w:line="600" w:lineRule="exact"/>
              <w:rPr>
                <w:rFonts w:ascii="仿宋_GB2312" w:hAnsi="仿宋" w:eastAsia="仿宋_GB2312"/>
                <w:sz w:val="20"/>
                <w:szCs w:val="20"/>
              </w:rPr>
            </w:pPr>
            <w:r>
              <w:rPr>
                <w:rFonts w:hint="eastAsia" w:ascii="仿宋_GB2312" w:hAnsi="仿宋" w:eastAsia="仿宋_GB2312"/>
                <w:sz w:val="20"/>
                <w:szCs w:val="20"/>
              </w:rPr>
              <w:t>岗位</w:t>
            </w:r>
          </w:p>
        </w:tc>
        <w:tc>
          <w:tcPr>
            <w:tcW w:w="1183" w:type="dxa"/>
            <w:tcBorders>
              <w:top w:val="single" w:color="auto" w:sz="4" w:space="0"/>
              <w:left w:val="single" w:color="auto" w:sz="4" w:space="0"/>
              <w:bottom w:val="single" w:color="auto" w:sz="4" w:space="0"/>
              <w:right w:val="single" w:color="auto" w:sz="4" w:space="0"/>
            </w:tcBorders>
            <w:vAlign w:val="center"/>
          </w:tcPr>
          <w:p w14:paraId="5358F2C2">
            <w:pPr>
              <w:spacing w:line="600" w:lineRule="exact"/>
              <w:rPr>
                <w:rFonts w:ascii="仿宋_GB2312" w:hAnsi="仿宋" w:eastAsia="仿宋_GB2312"/>
                <w:sz w:val="20"/>
                <w:szCs w:val="20"/>
              </w:rPr>
            </w:pPr>
            <w:r>
              <w:rPr>
                <w:rFonts w:hint="eastAsia" w:ascii="仿宋_GB2312" w:hAnsi="仿宋" w:eastAsia="仿宋_GB2312"/>
                <w:sz w:val="20"/>
                <w:szCs w:val="20"/>
              </w:rPr>
              <w:t>人员姓名</w:t>
            </w:r>
          </w:p>
        </w:tc>
        <w:tc>
          <w:tcPr>
            <w:tcW w:w="1559" w:type="dxa"/>
            <w:tcBorders>
              <w:top w:val="single" w:color="auto" w:sz="4" w:space="0"/>
              <w:left w:val="single" w:color="auto" w:sz="4" w:space="0"/>
              <w:bottom w:val="single" w:color="auto" w:sz="4" w:space="0"/>
              <w:right w:val="single" w:color="auto" w:sz="4" w:space="0"/>
            </w:tcBorders>
            <w:vAlign w:val="center"/>
          </w:tcPr>
          <w:p w14:paraId="51D79613">
            <w:pPr>
              <w:spacing w:line="600" w:lineRule="exact"/>
              <w:rPr>
                <w:rFonts w:ascii="仿宋_GB2312" w:hAnsi="仿宋" w:eastAsia="仿宋_GB2312"/>
                <w:sz w:val="20"/>
                <w:szCs w:val="20"/>
              </w:rPr>
            </w:pPr>
            <w:r>
              <w:rPr>
                <w:rFonts w:hint="eastAsia" w:ascii="仿宋_GB2312" w:hAnsi="仿宋" w:eastAsia="仿宋_GB2312"/>
                <w:sz w:val="20"/>
                <w:szCs w:val="20"/>
              </w:rPr>
              <w:t>职责描述</w:t>
            </w: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3F3B6133">
            <w:pPr>
              <w:spacing w:line="600" w:lineRule="exact"/>
              <w:rPr>
                <w:rFonts w:ascii="仿宋_GB2312" w:hAnsi="仿宋" w:eastAsia="仿宋_GB2312"/>
                <w:sz w:val="20"/>
                <w:szCs w:val="20"/>
              </w:rPr>
            </w:pPr>
            <w:r>
              <w:rPr>
                <w:rFonts w:hint="eastAsia" w:ascii="仿宋_GB2312" w:hAnsi="仿宋" w:eastAsia="仿宋_GB2312"/>
                <w:sz w:val="20"/>
                <w:szCs w:val="20"/>
              </w:rPr>
              <w:t>联系方式</w:t>
            </w:r>
          </w:p>
        </w:tc>
        <w:tc>
          <w:tcPr>
            <w:tcW w:w="2458" w:type="dxa"/>
            <w:gridSpan w:val="2"/>
            <w:tcBorders>
              <w:top w:val="single" w:color="auto" w:sz="4" w:space="0"/>
              <w:left w:val="single" w:color="auto" w:sz="4" w:space="0"/>
              <w:bottom w:val="single" w:color="auto" w:sz="4" w:space="0"/>
              <w:right w:val="single" w:color="auto" w:sz="4" w:space="0"/>
            </w:tcBorders>
            <w:vAlign w:val="center"/>
          </w:tcPr>
          <w:p w14:paraId="435C1C23">
            <w:pPr>
              <w:spacing w:line="600" w:lineRule="exact"/>
              <w:rPr>
                <w:rFonts w:ascii="仿宋_GB2312" w:hAnsi="仿宋" w:eastAsia="仿宋_GB2312"/>
                <w:sz w:val="20"/>
                <w:szCs w:val="20"/>
              </w:rPr>
            </w:pPr>
            <w:r>
              <w:rPr>
                <w:rFonts w:hint="eastAsia" w:ascii="仿宋_GB2312" w:hAnsi="仿宋" w:eastAsia="仿宋_GB2312"/>
                <w:sz w:val="20"/>
                <w:szCs w:val="20"/>
              </w:rPr>
              <w:t>工作履历</w:t>
            </w:r>
          </w:p>
        </w:tc>
      </w:tr>
      <w:tr w14:paraId="324D3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5" w:hRule="atLeast"/>
        </w:trPr>
        <w:tc>
          <w:tcPr>
            <w:tcW w:w="1619" w:type="dxa"/>
            <w:tcBorders>
              <w:top w:val="single" w:color="auto" w:sz="4" w:space="0"/>
              <w:left w:val="single" w:color="auto" w:sz="4" w:space="0"/>
              <w:bottom w:val="single" w:color="auto" w:sz="4" w:space="0"/>
              <w:right w:val="single" w:color="auto" w:sz="4" w:space="0"/>
            </w:tcBorders>
            <w:vAlign w:val="center"/>
          </w:tcPr>
          <w:p w14:paraId="7F563B99">
            <w:pPr>
              <w:widowControl/>
              <w:spacing w:line="600" w:lineRule="exact"/>
              <w:rPr>
                <w:rFonts w:ascii="仿宋_GB2312" w:hAnsi="仿宋" w:eastAsia="仿宋_GB2312"/>
                <w:b/>
                <w:bCs/>
                <w:sz w:val="20"/>
                <w:szCs w:val="20"/>
              </w:rPr>
            </w:pPr>
          </w:p>
        </w:tc>
        <w:tc>
          <w:tcPr>
            <w:tcW w:w="1183" w:type="dxa"/>
            <w:tcBorders>
              <w:top w:val="single" w:color="auto" w:sz="4" w:space="0"/>
              <w:left w:val="single" w:color="auto" w:sz="4" w:space="0"/>
              <w:bottom w:val="single" w:color="auto" w:sz="4" w:space="0"/>
              <w:right w:val="single" w:color="auto" w:sz="4" w:space="0"/>
            </w:tcBorders>
            <w:vAlign w:val="center"/>
          </w:tcPr>
          <w:p w14:paraId="172B2B7F">
            <w:pPr>
              <w:spacing w:line="600" w:lineRule="exact"/>
              <w:rPr>
                <w:rFonts w:ascii="仿宋_GB2312" w:hAnsi="仿宋" w:eastAsia="仿宋_GB2312"/>
                <w:b/>
                <w:bCs/>
                <w:sz w:val="20"/>
                <w:szCs w:val="20"/>
              </w:rPr>
            </w:pPr>
          </w:p>
        </w:tc>
        <w:tc>
          <w:tcPr>
            <w:tcW w:w="1559" w:type="dxa"/>
            <w:tcBorders>
              <w:top w:val="single" w:color="auto" w:sz="4" w:space="0"/>
              <w:left w:val="single" w:color="auto" w:sz="4" w:space="0"/>
              <w:bottom w:val="single" w:color="auto" w:sz="4" w:space="0"/>
              <w:right w:val="single" w:color="auto" w:sz="4" w:space="0"/>
            </w:tcBorders>
            <w:vAlign w:val="center"/>
          </w:tcPr>
          <w:p w14:paraId="5B08054A">
            <w:pPr>
              <w:spacing w:line="600" w:lineRule="exact"/>
              <w:rPr>
                <w:rFonts w:ascii="仿宋_GB2312" w:hAnsi="仿宋" w:eastAsia="仿宋_GB2312"/>
                <w:b/>
                <w:bCs/>
                <w:sz w:val="20"/>
                <w:szCs w:val="20"/>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12746A35">
            <w:pPr>
              <w:spacing w:line="600" w:lineRule="exact"/>
              <w:rPr>
                <w:rFonts w:ascii="仿宋_GB2312" w:hAnsi="仿宋" w:eastAsia="仿宋_GB2312"/>
                <w:b/>
                <w:bCs/>
                <w:sz w:val="20"/>
                <w:szCs w:val="20"/>
              </w:rPr>
            </w:pPr>
          </w:p>
        </w:tc>
        <w:tc>
          <w:tcPr>
            <w:tcW w:w="2458" w:type="dxa"/>
            <w:gridSpan w:val="2"/>
            <w:tcBorders>
              <w:top w:val="single" w:color="auto" w:sz="4" w:space="0"/>
              <w:left w:val="single" w:color="auto" w:sz="4" w:space="0"/>
              <w:bottom w:val="single" w:color="auto" w:sz="4" w:space="0"/>
              <w:right w:val="single" w:color="auto" w:sz="4" w:space="0"/>
            </w:tcBorders>
            <w:vAlign w:val="center"/>
          </w:tcPr>
          <w:p w14:paraId="7A2FA694">
            <w:pPr>
              <w:spacing w:line="600" w:lineRule="exact"/>
              <w:rPr>
                <w:rFonts w:ascii="仿宋_GB2312" w:hAnsi="仿宋" w:eastAsia="仿宋_GB2312"/>
                <w:b/>
                <w:bCs/>
                <w:sz w:val="20"/>
                <w:szCs w:val="20"/>
              </w:rPr>
            </w:pPr>
          </w:p>
        </w:tc>
      </w:tr>
      <w:tr w14:paraId="06553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619" w:type="dxa"/>
            <w:tcBorders>
              <w:top w:val="single" w:color="auto" w:sz="4" w:space="0"/>
              <w:left w:val="single" w:color="auto" w:sz="4" w:space="0"/>
              <w:bottom w:val="single" w:color="auto" w:sz="4" w:space="0"/>
              <w:right w:val="single" w:color="auto" w:sz="4" w:space="0"/>
            </w:tcBorders>
            <w:vAlign w:val="center"/>
          </w:tcPr>
          <w:p w14:paraId="21F3CC19">
            <w:pPr>
              <w:widowControl/>
              <w:spacing w:line="600" w:lineRule="exact"/>
              <w:rPr>
                <w:rFonts w:ascii="仿宋_GB2312" w:hAnsi="仿宋" w:eastAsia="仿宋_GB2312"/>
                <w:b/>
                <w:bCs/>
                <w:sz w:val="20"/>
                <w:szCs w:val="20"/>
              </w:rPr>
            </w:pPr>
          </w:p>
        </w:tc>
        <w:tc>
          <w:tcPr>
            <w:tcW w:w="1183" w:type="dxa"/>
            <w:tcBorders>
              <w:top w:val="single" w:color="auto" w:sz="4" w:space="0"/>
              <w:left w:val="single" w:color="auto" w:sz="4" w:space="0"/>
              <w:bottom w:val="single" w:color="auto" w:sz="4" w:space="0"/>
              <w:right w:val="single" w:color="auto" w:sz="4" w:space="0"/>
            </w:tcBorders>
            <w:vAlign w:val="center"/>
          </w:tcPr>
          <w:p w14:paraId="76C0740C">
            <w:pPr>
              <w:spacing w:line="600" w:lineRule="exact"/>
              <w:rPr>
                <w:rFonts w:ascii="仿宋_GB2312" w:hAnsi="仿宋" w:eastAsia="仿宋_GB2312"/>
                <w:b/>
                <w:bCs/>
                <w:sz w:val="20"/>
                <w:szCs w:val="20"/>
              </w:rPr>
            </w:pPr>
          </w:p>
        </w:tc>
        <w:tc>
          <w:tcPr>
            <w:tcW w:w="1559" w:type="dxa"/>
            <w:tcBorders>
              <w:top w:val="single" w:color="auto" w:sz="4" w:space="0"/>
              <w:left w:val="single" w:color="auto" w:sz="4" w:space="0"/>
              <w:bottom w:val="single" w:color="auto" w:sz="4" w:space="0"/>
              <w:right w:val="single" w:color="auto" w:sz="4" w:space="0"/>
            </w:tcBorders>
            <w:vAlign w:val="center"/>
          </w:tcPr>
          <w:p w14:paraId="641F4318">
            <w:pPr>
              <w:spacing w:line="600" w:lineRule="exact"/>
              <w:rPr>
                <w:rFonts w:ascii="仿宋_GB2312" w:hAnsi="仿宋" w:eastAsia="仿宋_GB2312"/>
                <w:b/>
                <w:bCs/>
                <w:sz w:val="20"/>
                <w:szCs w:val="20"/>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7AB35149">
            <w:pPr>
              <w:spacing w:line="600" w:lineRule="exact"/>
              <w:rPr>
                <w:rFonts w:ascii="仿宋_GB2312" w:hAnsi="仿宋" w:eastAsia="仿宋_GB2312"/>
                <w:b/>
                <w:bCs/>
                <w:sz w:val="20"/>
                <w:szCs w:val="20"/>
              </w:rPr>
            </w:pPr>
          </w:p>
        </w:tc>
        <w:tc>
          <w:tcPr>
            <w:tcW w:w="2458" w:type="dxa"/>
            <w:gridSpan w:val="2"/>
            <w:tcBorders>
              <w:top w:val="single" w:color="auto" w:sz="4" w:space="0"/>
              <w:left w:val="single" w:color="auto" w:sz="4" w:space="0"/>
              <w:bottom w:val="single" w:color="auto" w:sz="4" w:space="0"/>
              <w:right w:val="single" w:color="auto" w:sz="4" w:space="0"/>
            </w:tcBorders>
            <w:vAlign w:val="center"/>
          </w:tcPr>
          <w:p w14:paraId="66CF257C">
            <w:pPr>
              <w:spacing w:line="600" w:lineRule="exact"/>
              <w:rPr>
                <w:rFonts w:ascii="仿宋_GB2312" w:hAnsi="仿宋" w:eastAsia="仿宋_GB2312"/>
                <w:b/>
                <w:bCs/>
                <w:sz w:val="20"/>
                <w:szCs w:val="20"/>
              </w:rPr>
            </w:pPr>
          </w:p>
        </w:tc>
      </w:tr>
      <w:tr w14:paraId="63013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8520" w:type="dxa"/>
            <w:gridSpan w:val="7"/>
            <w:tcBorders>
              <w:top w:val="single" w:color="auto" w:sz="4" w:space="0"/>
              <w:left w:val="single" w:color="auto" w:sz="4" w:space="0"/>
              <w:bottom w:val="single" w:color="auto" w:sz="4" w:space="0"/>
              <w:right w:val="single" w:color="auto" w:sz="4" w:space="0"/>
            </w:tcBorders>
            <w:vAlign w:val="center"/>
          </w:tcPr>
          <w:p w14:paraId="7EB9E319">
            <w:pPr>
              <w:spacing w:line="600" w:lineRule="exact"/>
              <w:rPr>
                <w:rFonts w:ascii="仿宋_GB2312" w:hAnsi="仿宋" w:eastAsia="仿宋_GB2312"/>
                <w:sz w:val="20"/>
                <w:szCs w:val="20"/>
              </w:rPr>
            </w:pPr>
            <w:r>
              <w:rPr>
                <w:rFonts w:hint="eastAsia" w:ascii="仿宋_GB2312" w:hAnsi="仿宋" w:eastAsia="仿宋_GB2312"/>
                <w:sz w:val="20"/>
                <w:szCs w:val="20"/>
              </w:rPr>
              <w:t>（部门名称3）工作职责包括：</w:t>
            </w:r>
          </w:p>
          <w:p w14:paraId="6EAC30E0">
            <w:pPr>
              <w:spacing w:line="600" w:lineRule="exact"/>
              <w:rPr>
                <w:rFonts w:ascii="仿宋_GB2312" w:hAnsi="仿宋" w:eastAsia="仿宋_GB2312"/>
                <w:sz w:val="20"/>
                <w:szCs w:val="20"/>
              </w:rPr>
            </w:pPr>
            <w:r>
              <w:rPr>
                <w:rFonts w:hint="eastAsia" w:ascii="仿宋_GB2312" w:hAnsi="仿宋" w:eastAsia="仿宋_GB2312"/>
                <w:sz w:val="20"/>
                <w:szCs w:val="20"/>
              </w:rPr>
              <w:t>（1）</w:t>
            </w:r>
          </w:p>
          <w:p w14:paraId="555292A5">
            <w:pPr>
              <w:spacing w:line="600" w:lineRule="exact"/>
              <w:rPr>
                <w:rFonts w:ascii="仿宋_GB2312" w:hAnsi="仿宋" w:eastAsia="仿宋_GB2312"/>
                <w:sz w:val="20"/>
                <w:szCs w:val="20"/>
              </w:rPr>
            </w:pPr>
            <w:r>
              <w:rPr>
                <w:rFonts w:hint="eastAsia" w:ascii="仿宋_GB2312" w:hAnsi="仿宋" w:eastAsia="仿宋_GB2312"/>
                <w:sz w:val="20"/>
                <w:szCs w:val="20"/>
              </w:rPr>
              <w:t>（2）</w:t>
            </w:r>
          </w:p>
        </w:tc>
      </w:tr>
      <w:tr w14:paraId="3CF4A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619" w:type="dxa"/>
            <w:tcBorders>
              <w:top w:val="single" w:color="auto" w:sz="4" w:space="0"/>
              <w:left w:val="single" w:color="auto" w:sz="4" w:space="0"/>
              <w:bottom w:val="single" w:color="auto" w:sz="4" w:space="0"/>
              <w:right w:val="single" w:color="auto" w:sz="4" w:space="0"/>
            </w:tcBorders>
            <w:vAlign w:val="center"/>
          </w:tcPr>
          <w:p w14:paraId="057734BD">
            <w:pPr>
              <w:widowControl/>
              <w:spacing w:line="600" w:lineRule="exact"/>
              <w:rPr>
                <w:rFonts w:ascii="仿宋_GB2312" w:hAnsi="仿宋" w:eastAsia="仿宋_GB2312"/>
                <w:sz w:val="20"/>
                <w:szCs w:val="20"/>
              </w:rPr>
            </w:pPr>
            <w:r>
              <w:rPr>
                <w:rFonts w:hint="eastAsia" w:ascii="仿宋_GB2312" w:hAnsi="仿宋" w:eastAsia="仿宋_GB2312"/>
                <w:sz w:val="20"/>
                <w:szCs w:val="20"/>
              </w:rPr>
              <w:t>岗位</w:t>
            </w:r>
          </w:p>
        </w:tc>
        <w:tc>
          <w:tcPr>
            <w:tcW w:w="1183" w:type="dxa"/>
            <w:tcBorders>
              <w:top w:val="single" w:color="auto" w:sz="4" w:space="0"/>
              <w:left w:val="single" w:color="auto" w:sz="4" w:space="0"/>
              <w:bottom w:val="single" w:color="auto" w:sz="4" w:space="0"/>
              <w:right w:val="single" w:color="auto" w:sz="4" w:space="0"/>
            </w:tcBorders>
            <w:vAlign w:val="center"/>
          </w:tcPr>
          <w:p w14:paraId="7743C80B">
            <w:pPr>
              <w:spacing w:line="600" w:lineRule="exact"/>
              <w:rPr>
                <w:rFonts w:ascii="仿宋_GB2312" w:hAnsi="仿宋" w:eastAsia="仿宋_GB2312"/>
                <w:sz w:val="20"/>
                <w:szCs w:val="20"/>
              </w:rPr>
            </w:pPr>
            <w:r>
              <w:rPr>
                <w:rFonts w:hint="eastAsia" w:ascii="仿宋_GB2312" w:hAnsi="仿宋" w:eastAsia="仿宋_GB2312"/>
                <w:sz w:val="20"/>
                <w:szCs w:val="20"/>
              </w:rPr>
              <w:t>人员姓名</w:t>
            </w:r>
          </w:p>
        </w:tc>
        <w:tc>
          <w:tcPr>
            <w:tcW w:w="1559" w:type="dxa"/>
            <w:tcBorders>
              <w:top w:val="single" w:color="auto" w:sz="4" w:space="0"/>
              <w:left w:val="single" w:color="auto" w:sz="4" w:space="0"/>
              <w:bottom w:val="single" w:color="auto" w:sz="4" w:space="0"/>
              <w:right w:val="single" w:color="auto" w:sz="4" w:space="0"/>
            </w:tcBorders>
            <w:vAlign w:val="center"/>
          </w:tcPr>
          <w:p w14:paraId="359D54FF">
            <w:pPr>
              <w:spacing w:line="600" w:lineRule="exact"/>
              <w:rPr>
                <w:rFonts w:ascii="仿宋_GB2312" w:hAnsi="仿宋" w:eastAsia="仿宋_GB2312"/>
                <w:sz w:val="20"/>
                <w:szCs w:val="20"/>
              </w:rPr>
            </w:pPr>
            <w:r>
              <w:rPr>
                <w:rFonts w:hint="eastAsia" w:ascii="仿宋_GB2312" w:hAnsi="仿宋" w:eastAsia="仿宋_GB2312"/>
                <w:sz w:val="20"/>
                <w:szCs w:val="20"/>
              </w:rPr>
              <w:t>职责描述</w:t>
            </w: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122B667F">
            <w:pPr>
              <w:spacing w:line="600" w:lineRule="exact"/>
              <w:rPr>
                <w:rFonts w:ascii="仿宋_GB2312" w:hAnsi="仿宋" w:eastAsia="仿宋_GB2312"/>
                <w:sz w:val="20"/>
                <w:szCs w:val="20"/>
              </w:rPr>
            </w:pPr>
            <w:r>
              <w:rPr>
                <w:rFonts w:hint="eastAsia" w:ascii="仿宋_GB2312" w:hAnsi="仿宋" w:eastAsia="仿宋_GB2312"/>
                <w:sz w:val="20"/>
                <w:szCs w:val="20"/>
              </w:rPr>
              <w:t>联系方式</w:t>
            </w:r>
          </w:p>
        </w:tc>
        <w:tc>
          <w:tcPr>
            <w:tcW w:w="2458" w:type="dxa"/>
            <w:gridSpan w:val="2"/>
            <w:tcBorders>
              <w:top w:val="single" w:color="auto" w:sz="4" w:space="0"/>
              <w:left w:val="single" w:color="auto" w:sz="4" w:space="0"/>
              <w:bottom w:val="single" w:color="auto" w:sz="4" w:space="0"/>
              <w:right w:val="single" w:color="auto" w:sz="4" w:space="0"/>
            </w:tcBorders>
            <w:vAlign w:val="center"/>
          </w:tcPr>
          <w:p w14:paraId="08B278B8">
            <w:pPr>
              <w:spacing w:line="600" w:lineRule="exact"/>
              <w:rPr>
                <w:rFonts w:ascii="仿宋_GB2312" w:hAnsi="仿宋" w:eastAsia="仿宋_GB2312"/>
                <w:sz w:val="20"/>
                <w:szCs w:val="20"/>
              </w:rPr>
            </w:pPr>
            <w:r>
              <w:rPr>
                <w:rFonts w:hint="eastAsia" w:ascii="仿宋_GB2312" w:hAnsi="仿宋" w:eastAsia="仿宋_GB2312"/>
                <w:sz w:val="20"/>
                <w:szCs w:val="20"/>
              </w:rPr>
              <w:t>工作履历</w:t>
            </w:r>
          </w:p>
        </w:tc>
      </w:tr>
      <w:tr w14:paraId="50A5B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5" w:hRule="atLeast"/>
        </w:trPr>
        <w:tc>
          <w:tcPr>
            <w:tcW w:w="1619" w:type="dxa"/>
            <w:tcBorders>
              <w:top w:val="single" w:color="auto" w:sz="4" w:space="0"/>
              <w:left w:val="single" w:color="auto" w:sz="4" w:space="0"/>
              <w:bottom w:val="single" w:color="auto" w:sz="4" w:space="0"/>
              <w:right w:val="single" w:color="auto" w:sz="4" w:space="0"/>
            </w:tcBorders>
            <w:vAlign w:val="center"/>
          </w:tcPr>
          <w:p w14:paraId="30858E63">
            <w:pPr>
              <w:widowControl/>
              <w:spacing w:line="600" w:lineRule="exact"/>
              <w:rPr>
                <w:rFonts w:ascii="仿宋_GB2312" w:hAnsi="仿宋" w:eastAsia="仿宋_GB2312"/>
                <w:b/>
                <w:bCs/>
                <w:sz w:val="20"/>
                <w:szCs w:val="20"/>
              </w:rPr>
            </w:pPr>
          </w:p>
        </w:tc>
        <w:tc>
          <w:tcPr>
            <w:tcW w:w="1183" w:type="dxa"/>
            <w:tcBorders>
              <w:top w:val="single" w:color="auto" w:sz="4" w:space="0"/>
              <w:left w:val="single" w:color="auto" w:sz="4" w:space="0"/>
              <w:bottom w:val="single" w:color="auto" w:sz="4" w:space="0"/>
              <w:right w:val="single" w:color="auto" w:sz="4" w:space="0"/>
            </w:tcBorders>
            <w:vAlign w:val="center"/>
          </w:tcPr>
          <w:p w14:paraId="324B7E63">
            <w:pPr>
              <w:spacing w:line="600" w:lineRule="exact"/>
              <w:rPr>
                <w:rFonts w:ascii="仿宋_GB2312" w:hAnsi="仿宋" w:eastAsia="仿宋_GB2312"/>
                <w:b/>
                <w:bCs/>
                <w:sz w:val="20"/>
                <w:szCs w:val="20"/>
              </w:rPr>
            </w:pPr>
          </w:p>
        </w:tc>
        <w:tc>
          <w:tcPr>
            <w:tcW w:w="1559" w:type="dxa"/>
            <w:tcBorders>
              <w:top w:val="single" w:color="auto" w:sz="4" w:space="0"/>
              <w:left w:val="single" w:color="auto" w:sz="4" w:space="0"/>
              <w:bottom w:val="single" w:color="auto" w:sz="4" w:space="0"/>
              <w:right w:val="single" w:color="auto" w:sz="4" w:space="0"/>
            </w:tcBorders>
            <w:vAlign w:val="center"/>
          </w:tcPr>
          <w:p w14:paraId="699A4400">
            <w:pPr>
              <w:spacing w:line="600" w:lineRule="exact"/>
              <w:rPr>
                <w:rFonts w:ascii="仿宋_GB2312" w:hAnsi="仿宋" w:eastAsia="仿宋_GB2312"/>
                <w:b/>
                <w:bCs/>
                <w:sz w:val="20"/>
                <w:szCs w:val="20"/>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3AB96AC9">
            <w:pPr>
              <w:spacing w:line="600" w:lineRule="exact"/>
              <w:rPr>
                <w:rFonts w:ascii="仿宋_GB2312" w:hAnsi="仿宋" w:eastAsia="仿宋_GB2312"/>
                <w:b/>
                <w:bCs/>
                <w:sz w:val="20"/>
                <w:szCs w:val="20"/>
              </w:rPr>
            </w:pPr>
          </w:p>
        </w:tc>
        <w:tc>
          <w:tcPr>
            <w:tcW w:w="2458" w:type="dxa"/>
            <w:gridSpan w:val="2"/>
            <w:tcBorders>
              <w:top w:val="single" w:color="auto" w:sz="4" w:space="0"/>
              <w:left w:val="single" w:color="auto" w:sz="4" w:space="0"/>
              <w:bottom w:val="single" w:color="auto" w:sz="4" w:space="0"/>
              <w:right w:val="single" w:color="auto" w:sz="4" w:space="0"/>
            </w:tcBorders>
            <w:vAlign w:val="center"/>
          </w:tcPr>
          <w:p w14:paraId="1F2AFCF7">
            <w:pPr>
              <w:spacing w:line="600" w:lineRule="exact"/>
              <w:rPr>
                <w:rFonts w:ascii="仿宋_GB2312" w:hAnsi="仿宋" w:eastAsia="仿宋_GB2312"/>
                <w:b/>
                <w:bCs/>
                <w:sz w:val="20"/>
                <w:szCs w:val="20"/>
              </w:rPr>
            </w:pPr>
          </w:p>
        </w:tc>
      </w:tr>
      <w:tr w14:paraId="7A220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619" w:type="dxa"/>
            <w:tcBorders>
              <w:top w:val="single" w:color="auto" w:sz="4" w:space="0"/>
              <w:left w:val="single" w:color="auto" w:sz="4" w:space="0"/>
              <w:bottom w:val="single" w:color="auto" w:sz="4" w:space="0"/>
              <w:right w:val="single" w:color="auto" w:sz="4" w:space="0"/>
            </w:tcBorders>
            <w:vAlign w:val="center"/>
          </w:tcPr>
          <w:p w14:paraId="5A5A41CA">
            <w:pPr>
              <w:widowControl/>
              <w:spacing w:line="600" w:lineRule="exact"/>
              <w:rPr>
                <w:rFonts w:ascii="仿宋_GB2312" w:hAnsi="仿宋" w:eastAsia="仿宋_GB2312"/>
                <w:b/>
                <w:bCs/>
                <w:sz w:val="20"/>
                <w:szCs w:val="20"/>
              </w:rPr>
            </w:pPr>
          </w:p>
        </w:tc>
        <w:tc>
          <w:tcPr>
            <w:tcW w:w="1183" w:type="dxa"/>
            <w:tcBorders>
              <w:top w:val="single" w:color="auto" w:sz="4" w:space="0"/>
              <w:left w:val="single" w:color="auto" w:sz="4" w:space="0"/>
              <w:bottom w:val="single" w:color="auto" w:sz="4" w:space="0"/>
              <w:right w:val="single" w:color="auto" w:sz="4" w:space="0"/>
            </w:tcBorders>
            <w:vAlign w:val="center"/>
          </w:tcPr>
          <w:p w14:paraId="3FE7B31C">
            <w:pPr>
              <w:spacing w:line="600" w:lineRule="exact"/>
              <w:rPr>
                <w:rFonts w:ascii="仿宋_GB2312" w:hAnsi="仿宋" w:eastAsia="仿宋_GB2312"/>
                <w:b/>
                <w:bCs/>
                <w:sz w:val="20"/>
                <w:szCs w:val="20"/>
              </w:rPr>
            </w:pPr>
          </w:p>
        </w:tc>
        <w:tc>
          <w:tcPr>
            <w:tcW w:w="1559" w:type="dxa"/>
            <w:tcBorders>
              <w:top w:val="single" w:color="auto" w:sz="4" w:space="0"/>
              <w:left w:val="single" w:color="auto" w:sz="4" w:space="0"/>
              <w:bottom w:val="single" w:color="auto" w:sz="4" w:space="0"/>
              <w:right w:val="single" w:color="auto" w:sz="4" w:space="0"/>
            </w:tcBorders>
            <w:vAlign w:val="center"/>
          </w:tcPr>
          <w:p w14:paraId="04F2DD69">
            <w:pPr>
              <w:spacing w:line="600" w:lineRule="exact"/>
              <w:rPr>
                <w:rFonts w:ascii="仿宋_GB2312" w:hAnsi="仿宋" w:eastAsia="仿宋_GB2312"/>
                <w:b/>
                <w:bCs/>
                <w:sz w:val="20"/>
                <w:szCs w:val="20"/>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133CBFD9">
            <w:pPr>
              <w:spacing w:line="600" w:lineRule="exact"/>
              <w:rPr>
                <w:rFonts w:ascii="仿宋_GB2312" w:hAnsi="仿宋" w:eastAsia="仿宋_GB2312"/>
                <w:b/>
                <w:bCs/>
                <w:sz w:val="20"/>
                <w:szCs w:val="20"/>
              </w:rPr>
            </w:pPr>
          </w:p>
        </w:tc>
        <w:tc>
          <w:tcPr>
            <w:tcW w:w="2458" w:type="dxa"/>
            <w:gridSpan w:val="2"/>
            <w:tcBorders>
              <w:top w:val="single" w:color="auto" w:sz="4" w:space="0"/>
              <w:left w:val="single" w:color="auto" w:sz="4" w:space="0"/>
              <w:bottom w:val="single" w:color="auto" w:sz="4" w:space="0"/>
              <w:right w:val="single" w:color="auto" w:sz="4" w:space="0"/>
            </w:tcBorders>
            <w:vAlign w:val="center"/>
          </w:tcPr>
          <w:p w14:paraId="59E78985">
            <w:pPr>
              <w:spacing w:line="600" w:lineRule="exact"/>
              <w:rPr>
                <w:rFonts w:ascii="仿宋_GB2312" w:hAnsi="仿宋" w:eastAsia="仿宋_GB2312"/>
                <w:b/>
                <w:bCs/>
                <w:sz w:val="20"/>
                <w:szCs w:val="20"/>
              </w:rPr>
            </w:pPr>
          </w:p>
        </w:tc>
      </w:tr>
    </w:tbl>
    <w:p w14:paraId="5AF013A6">
      <w:pPr>
        <w:widowControl/>
        <w:spacing w:line="600" w:lineRule="exact"/>
        <w:jc w:val="left"/>
        <w:rPr>
          <w:rFonts w:ascii="仿宋_GB2312" w:hAnsi="仿宋" w:eastAsia="仿宋_GB2312"/>
          <w:sz w:val="20"/>
          <w:szCs w:val="20"/>
        </w:rPr>
      </w:pPr>
      <w:r>
        <w:rPr>
          <w:rFonts w:hint="eastAsia" w:ascii="仿宋_GB2312" w:hAnsi="仿宋" w:eastAsia="仿宋_GB2312"/>
          <w:sz w:val="20"/>
          <w:szCs w:val="20"/>
        </w:rPr>
        <w:t>备注：做市部门人员包括做市部门负责人、交易岗（包括备岗）、风险控制岗、技术支持岗、</w:t>
      </w:r>
      <w:r>
        <w:rPr>
          <w:rFonts w:ascii="仿宋_GB2312" w:hAnsi="仿宋" w:eastAsia="仿宋_GB2312"/>
          <w:sz w:val="20"/>
          <w:szCs w:val="20"/>
        </w:rPr>
        <w:t>应急处置岗</w:t>
      </w:r>
      <w:r>
        <w:rPr>
          <w:rFonts w:hint="eastAsia" w:ascii="仿宋_GB2312" w:hAnsi="仿宋" w:eastAsia="仿宋_GB2312"/>
          <w:sz w:val="20"/>
          <w:szCs w:val="20"/>
        </w:rPr>
        <w:t>。</w:t>
      </w:r>
    </w:p>
    <w:p w14:paraId="1DD8239A">
      <w:pPr>
        <w:widowControl/>
        <w:spacing w:line="600" w:lineRule="exact"/>
        <w:jc w:val="left"/>
        <w:rPr>
          <w:rFonts w:ascii="仿宋_GB2312" w:hAnsi="仿宋" w:eastAsia="仿宋_GB2312"/>
          <w:sz w:val="20"/>
          <w:szCs w:val="20"/>
        </w:rPr>
      </w:pPr>
    </w:p>
    <w:p w14:paraId="139B5210">
      <w:pPr>
        <w:widowControl/>
        <w:spacing w:line="600" w:lineRule="exact"/>
        <w:jc w:val="right"/>
        <w:rPr>
          <w:rFonts w:ascii="仿宋_GB2312" w:hAnsi="黑体" w:eastAsia="仿宋_GB2312"/>
          <w:kern w:val="44"/>
          <w:szCs w:val="36"/>
        </w:rPr>
      </w:pPr>
      <w:r>
        <w:rPr>
          <w:rFonts w:hint="eastAsia" w:ascii="仿宋_GB2312" w:hAnsi="黑体" w:eastAsia="仿宋_GB2312"/>
          <w:kern w:val="44"/>
          <w:szCs w:val="36"/>
        </w:rPr>
        <w:t>年   月   日</w:t>
      </w:r>
    </w:p>
    <w:p w14:paraId="5C1C42FD">
      <w:pPr>
        <w:widowControl/>
        <w:spacing w:line="600" w:lineRule="exact"/>
        <w:jc w:val="right"/>
        <w:rPr>
          <w:rFonts w:ascii="仿宋_GB2312" w:hAnsi="黑体" w:eastAsia="仿宋_GB2312"/>
          <w:kern w:val="44"/>
          <w:szCs w:val="36"/>
        </w:rPr>
      </w:pPr>
      <w:r>
        <w:rPr>
          <w:rFonts w:hint="eastAsia" w:ascii="仿宋_GB2312" w:hAnsi="黑体" w:eastAsia="仿宋_GB2312"/>
          <w:kern w:val="44"/>
          <w:szCs w:val="36"/>
        </w:rPr>
        <w:t>（加盖单位公章）</w:t>
      </w:r>
    </w:p>
    <w:p w14:paraId="0EAF5D34">
      <w:pPr>
        <w:widowControl/>
        <w:jc w:val="left"/>
        <w:rPr>
          <w:rFonts w:ascii="仿宋_GB2312" w:eastAsia="仿宋_GB2312"/>
          <w:b/>
          <w:sz w:val="30"/>
          <w:szCs w:val="30"/>
        </w:rPr>
      </w:pPr>
      <w:r>
        <w:rPr>
          <w:rFonts w:ascii="仿宋_GB2312" w:eastAsia="仿宋_GB2312"/>
          <w:b/>
          <w:sz w:val="30"/>
          <w:szCs w:val="30"/>
        </w:rPr>
        <w:br w:type="page"/>
      </w:r>
    </w:p>
    <w:p w14:paraId="22265C31">
      <w:pPr>
        <w:widowControl/>
        <w:jc w:val="left"/>
        <w:outlineLvl w:val="1"/>
        <w:rPr>
          <w:rFonts w:ascii="仿宋_GB2312" w:eastAsia="仿宋_GB2312"/>
          <w:b/>
          <w:sz w:val="30"/>
          <w:szCs w:val="30"/>
        </w:rPr>
      </w:pPr>
      <w:bookmarkStart w:id="3826" w:name="_Toc315291938"/>
      <w:bookmarkStart w:id="3827" w:name="_Toc1426413288"/>
      <w:bookmarkStart w:id="3828" w:name="_Toc1864527738"/>
      <w:bookmarkStart w:id="3829" w:name="_Toc521896596"/>
      <w:bookmarkStart w:id="3830" w:name="_Toc151137093"/>
      <w:r>
        <w:rPr>
          <w:rFonts w:hint="eastAsia" w:ascii="仿宋_GB2312" w:hAnsi="黑体" w:eastAsia="仿宋_GB2312"/>
          <w:b/>
          <w:sz w:val="30"/>
          <w:szCs w:val="30"/>
        </w:rPr>
        <w:t>附件10 上海证券交易所债券做市交易业务检查工作底稿</w:t>
      </w:r>
      <w:bookmarkEnd w:id="3826"/>
      <w:bookmarkEnd w:id="3827"/>
      <w:bookmarkEnd w:id="3828"/>
      <w:bookmarkEnd w:id="3829"/>
      <w:bookmarkEnd w:id="3830"/>
    </w:p>
    <w:p w14:paraId="4C8A950C">
      <w:pPr>
        <w:rPr>
          <w:rFonts w:ascii="黑体" w:hAnsi="华文细黑" w:eastAsia="黑体"/>
          <w:b/>
          <w:sz w:val="28"/>
          <w:szCs w:val="28"/>
        </w:rPr>
      </w:pPr>
      <w:r>
        <w:rPr>
          <w:rFonts w:hint="eastAsia" w:ascii="黑体" w:hAnsi="华文细黑" w:eastAsia="黑体"/>
          <w:b/>
          <w:sz w:val="28"/>
          <w:szCs w:val="28"/>
        </w:rPr>
        <w:t>一</w:t>
      </w:r>
      <w:r>
        <w:rPr>
          <w:rFonts w:ascii="黑体" w:hAnsi="华文细黑" w:eastAsia="黑体"/>
          <w:b/>
          <w:sz w:val="28"/>
          <w:szCs w:val="28"/>
        </w:rPr>
        <w:t>、</w:t>
      </w:r>
      <w:r>
        <w:rPr>
          <w:rFonts w:hint="eastAsia" w:ascii="黑体" w:hAnsi="华文细黑" w:eastAsia="黑体"/>
          <w:b/>
          <w:sz w:val="28"/>
          <w:szCs w:val="28"/>
        </w:rPr>
        <w:t>基础文件</w:t>
      </w:r>
    </w:p>
    <w:p w14:paraId="20CE0490"/>
    <w:tbl>
      <w:tblPr>
        <w:tblStyle w:val="43"/>
        <w:tblpPr w:leftFromText="180" w:rightFromText="180" w:vertAnchor="page" w:horzAnchor="margin" w:tblpY="2893"/>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681"/>
        <w:gridCol w:w="6631"/>
      </w:tblGrid>
      <w:tr w14:paraId="06ED8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43498EC4">
            <w:pPr>
              <w:pStyle w:val="100"/>
              <w:rPr>
                <w:rFonts w:hAnsi="仿宋"/>
                <w:b/>
                <w:bCs/>
                <w:sz w:val="20"/>
                <w:szCs w:val="20"/>
              </w:rPr>
            </w:pPr>
            <w:bookmarkStart w:id="3831" w:name="_Hlk107782041"/>
            <w:r>
              <w:rPr>
                <w:rFonts w:hint="eastAsia" w:hAnsi="仿宋"/>
                <w:b/>
                <w:bCs/>
                <w:sz w:val="20"/>
                <w:szCs w:val="20"/>
              </w:rPr>
              <w:t>检查项目</w:t>
            </w:r>
          </w:p>
        </w:tc>
        <w:tc>
          <w:tcPr>
            <w:tcW w:w="681" w:type="dxa"/>
            <w:tcBorders>
              <w:top w:val="single" w:color="auto" w:sz="4" w:space="0"/>
              <w:left w:val="single" w:color="auto" w:sz="4" w:space="0"/>
              <w:bottom w:val="single" w:color="auto" w:sz="4" w:space="0"/>
              <w:right w:val="single" w:color="auto" w:sz="4" w:space="0"/>
            </w:tcBorders>
            <w:vAlign w:val="center"/>
          </w:tcPr>
          <w:p w14:paraId="425E9F7A">
            <w:pPr>
              <w:pStyle w:val="100"/>
              <w:rPr>
                <w:rFonts w:hAnsi="仿宋"/>
                <w:b/>
                <w:bCs/>
                <w:sz w:val="20"/>
                <w:szCs w:val="20"/>
              </w:rPr>
            </w:pPr>
            <w:r>
              <w:rPr>
                <w:rFonts w:hint="eastAsia" w:hAnsi="仿宋"/>
                <w:b/>
                <w:bCs/>
                <w:sz w:val="20"/>
                <w:szCs w:val="20"/>
              </w:rPr>
              <w:t>编号</w:t>
            </w:r>
          </w:p>
        </w:tc>
        <w:tc>
          <w:tcPr>
            <w:tcW w:w="6631" w:type="dxa"/>
            <w:tcBorders>
              <w:top w:val="single" w:color="auto" w:sz="4" w:space="0"/>
              <w:left w:val="single" w:color="auto" w:sz="4" w:space="0"/>
              <w:bottom w:val="single" w:color="auto" w:sz="4" w:space="0"/>
              <w:right w:val="single" w:color="auto" w:sz="4" w:space="0"/>
            </w:tcBorders>
            <w:vAlign w:val="center"/>
          </w:tcPr>
          <w:p w14:paraId="2F6C75EC">
            <w:pPr>
              <w:pStyle w:val="100"/>
              <w:rPr>
                <w:rFonts w:hAnsi="仿宋"/>
                <w:b/>
                <w:bCs/>
                <w:sz w:val="20"/>
                <w:szCs w:val="20"/>
              </w:rPr>
            </w:pPr>
            <w:r>
              <w:rPr>
                <w:rFonts w:hint="eastAsia" w:hAnsi="仿宋"/>
                <w:b/>
                <w:bCs/>
                <w:sz w:val="20"/>
                <w:szCs w:val="20"/>
              </w:rPr>
              <w:t>检查内容</w:t>
            </w:r>
          </w:p>
        </w:tc>
      </w:tr>
      <w:tr w14:paraId="1E82D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Merge w:val="restart"/>
            <w:tcBorders>
              <w:top w:val="single" w:color="auto" w:sz="4" w:space="0"/>
              <w:left w:val="single" w:color="auto" w:sz="4" w:space="0"/>
              <w:right w:val="single" w:color="auto" w:sz="4" w:space="0"/>
            </w:tcBorders>
            <w:vAlign w:val="center"/>
          </w:tcPr>
          <w:p w14:paraId="165D62FE">
            <w:pPr>
              <w:pStyle w:val="100"/>
              <w:rPr>
                <w:rFonts w:hAnsi="仿宋"/>
                <w:b/>
                <w:bCs/>
                <w:sz w:val="20"/>
                <w:szCs w:val="20"/>
              </w:rPr>
            </w:pPr>
            <w:r>
              <w:rPr>
                <w:rFonts w:hint="eastAsia" w:hAnsi="仿宋"/>
                <w:b/>
                <w:bCs/>
                <w:sz w:val="20"/>
                <w:szCs w:val="20"/>
              </w:rPr>
              <w:t>组织架构</w:t>
            </w:r>
          </w:p>
        </w:tc>
        <w:tc>
          <w:tcPr>
            <w:tcW w:w="681" w:type="dxa"/>
            <w:tcBorders>
              <w:top w:val="single" w:color="auto" w:sz="4" w:space="0"/>
              <w:left w:val="single" w:color="auto" w:sz="4" w:space="0"/>
              <w:bottom w:val="single" w:color="auto" w:sz="4" w:space="0"/>
              <w:right w:val="single" w:color="auto" w:sz="4" w:space="0"/>
            </w:tcBorders>
            <w:vAlign w:val="center"/>
          </w:tcPr>
          <w:p w14:paraId="72AC2CD0">
            <w:pPr>
              <w:pStyle w:val="100"/>
              <w:rPr>
                <w:rFonts w:hAnsi="仿宋"/>
                <w:sz w:val="20"/>
                <w:szCs w:val="20"/>
              </w:rPr>
            </w:pPr>
            <w:r>
              <w:rPr>
                <w:rFonts w:hAnsi="仿宋"/>
                <w:sz w:val="20"/>
                <w:szCs w:val="20"/>
              </w:rPr>
              <w:t>1</w:t>
            </w:r>
          </w:p>
        </w:tc>
        <w:tc>
          <w:tcPr>
            <w:tcW w:w="6631" w:type="dxa"/>
            <w:tcBorders>
              <w:top w:val="single" w:color="auto" w:sz="4" w:space="0"/>
              <w:left w:val="single" w:color="auto" w:sz="4" w:space="0"/>
              <w:bottom w:val="single" w:color="auto" w:sz="4" w:space="0"/>
              <w:right w:val="single" w:color="auto" w:sz="4" w:space="0"/>
            </w:tcBorders>
            <w:vAlign w:val="center"/>
          </w:tcPr>
          <w:p w14:paraId="369C2D76">
            <w:pPr>
              <w:pStyle w:val="100"/>
              <w:rPr>
                <w:rFonts w:hAnsi="仿宋"/>
                <w:sz w:val="20"/>
                <w:szCs w:val="20"/>
              </w:rPr>
            </w:pPr>
            <w:r>
              <w:rPr>
                <w:rFonts w:hint="eastAsia" w:hAnsi="仿宋"/>
                <w:sz w:val="20"/>
                <w:szCs w:val="20"/>
              </w:rPr>
              <w:t>设立包括交易岗、风险控制岗、技术运维岗等岗位，并建立备岗制度</w:t>
            </w:r>
          </w:p>
        </w:tc>
      </w:tr>
      <w:tr w14:paraId="673B1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Merge w:val="continue"/>
            <w:tcBorders>
              <w:left w:val="single" w:color="auto" w:sz="4" w:space="0"/>
              <w:right w:val="single" w:color="auto" w:sz="4" w:space="0"/>
            </w:tcBorders>
            <w:vAlign w:val="center"/>
          </w:tcPr>
          <w:p w14:paraId="09A63973">
            <w:pPr>
              <w:pStyle w:val="100"/>
              <w:rPr>
                <w:rFonts w:hAnsi="仿宋"/>
                <w:b/>
                <w:bCs/>
                <w:sz w:val="20"/>
                <w:szCs w:val="20"/>
              </w:rPr>
            </w:pPr>
          </w:p>
        </w:tc>
        <w:tc>
          <w:tcPr>
            <w:tcW w:w="681" w:type="dxa"/>
            <w:tcBorders>
              <w:top w:val="single" w:color="auto" w:sz="4" w:space="0"/>
              <w:left w:val="single" w:color="auto" w:sz="4" w:space="0"/>
              <w:bottom w:val="single" w:color="auto" w:sz="4" w:space="0"/>
              <w:right w:val="single" w:color="auto" w:sz="4" w:space="0"/>
            </w:tcBorders>
            <w:vAlign w:val="center"/>
          </w:tcPr>
          <w:p w14:paraId="7FBFF483">
            <w:pPr>
              <w:pStyle w:val="100"/>
              <w:rPr>
                <w:rFonts w:hAnsi="仿宋"/>
                <w:sz w:val="20"/>
                <w:szCs w:val="20"/>
              </w:rPr>
            </w:pPr>
            <w:r>
              <w:rPr>
                <w:rFonts w:hAnsi="仿宋"/>
                <w:sz w:val="20"/>
                <w:szCs w:val="20"/>
              </w:rPr>
              <w:t>2</w:t>
            </w:r>
          </w:p>
        </w:tc>
        <w:tc>
          <w:tcPr>
            <w:tcW w:w="6631" w:type="dxa"/>
            <w:tcBorders>
              <w:top w:val="single" w:color="auto" w:sz="4" w:space="0"/>
              <w:left w:val="single" w:color="auto" w:sz="4" w:space="0"/>
              <w:bottom w:val="single" w:color="auto" w:sz="4" w:space="0"/>
              <w:right w:val="single" w:color="auto" w:sz="4" w:space="0"/>
            </w:tcBorders>
            <w:vAlign w:val="center"/>
          </w:tcPr>
          <w:p w14:paraId="1AB4377D">
            <w:pPr>
              <w:pStyle w:val="100"/>
              <w:rPr>
                <w:rFonts w:hAnsi="仿宋"/>
                <w:sz w:val="20"/>
                <w:szCs w:val="20"/>
              </w:rPr>
            </w:pPr>
            <w:r>
              <w:rPr>
                <w:rFonts w:hint="eastAsia" w:hAnsi="仿宋"/>
                <w:sz w:val="20"/>
                <w:szCs w:val="20"/>
              </w:rPr>
              <w:t>明确业务部门与风控、合规、结算等相关部门职能和责任</w:t>
            </w:r>
          </w:p>
        </w:tc>
      </w:tr>
      <w:tr w14:paraId="29111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88" w:type="dxa"/>
            <w:vMerge w:val="continue"/>
            <w:tcBorders>
              <w:left w:val="single" w:color="auto" w:sz="4" w:space="0"/>
              <w:right w:val="single" w:color="auto" w:sz="4" w:space="0"/>
            </w:tcBorders>
            <w:vAlign w:val="center"/>
          </w:tcPr>
          <w:p w14:paraId="5D298647">
            <w:pPr>
              <w:pStyle w:val="100"/>
              <w:rPr>
                <w:rFonts w:hAnsi="仿宋"/>
                <w:b/>
                <w:bCs/>
                <w:sz w:val="20"/>
                <w:szCs w:val="20"/>
              </w:rPr>
            </w:pPr>
          </w:p>
        </w:tc>
        <w:tc>
          <w:tcPr>
            <w:tcW w:w="681" w:type="dxa"/>
            <w:tcBorders>
              <w:top w:val="single" w:color="auto" w:sz="4" w:space="0"/>
              <w:left w:val="single" w:color="auto" w:sz="4" w:space="0"/>
              <w:bottom w:val="single" w:color="auto" w:sz="4" w:space="0"/>
              <w:right w:val="single" w:color="auto" w:sz="4" w:space="0"/>
            </w:tcBorders>
            <w:vAlign w:val="center"/>
          </w:tcPr>
          <w:p w14:paraId="70D2A5BB">
            <w:pPr>
              <w:pStyle w:val="100"/>
              <w:rPr>
                <w:rFonts w:hAnsi="仿宋"/>
                <w:sz w:val="20"/>
                <w:szCs w:val="20"/>
              </w:rPr>
            </w:pPr>
            <w:r>
              <w:rPr>
                <w:rFonts w:hAnsi="仿宋"/>
                <w:sz w:val="20"/>
                <w:szCs w:val="20"/>
              </w:rPr>
              <w:t>3</w:t>
            </w:r>
          </w:p>
        </w:tc>
        <w:tc>
          <w:tcPr>
            <w:tcW w:w="6631" w:type="dxa"/>
            <w:tcBorders>
              <w:top w:val="single" w:color="auto" w:sz="4" w:space="0"/>
              <w:left w:val="single" w:color="auto" w:sz="4" w:space="0"/>
              <w:bottom w:val="single" w:color="auto" w:sz="4" w:space="0"/>
              <w:right w:val="single" w:color="auto" w:sz="4" w:space="0"/>
            </w:tcBorders>
            <w:vAlign w:val="center"/>
          </w:tcPr>
          <w:p w14:paraId="3F10CFE8">
            <w:pPr>
              <w:pStyle w:val="100"/>
              <w:rPr>
                <w:rFonts w:hAnsi="仿宋"/>
                <w:sz w:val="20"/>
                <w:szCs w:val="20"/>
              </w:rPr>
            </w:pPr>
            <w:r>
              <w:rPr>
                <w:rFonts w:hint="eastAsia" w:hAnsi="仿宋"/>
                <w:sz w:val="20"/>
                <w:szCs w:val="20"/>
              </w:rPr>
              <w:t>团队成员具备相应专业背景和工作经历</w:t>
            </w:r>
          </w:p>
        </w:tc>
      </w:tr>
      <w:tr w14:paraId="0776A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1188" w:type="dxa"/>
            <w:vMerge w:val="restart"/>
            <w:tcBorders>
              <w:top w:val="single" w:color="auto" w:sz="4" w:space="0"/>
              <w:left w:val="single" w:color="auto" w:sz="4" w:space="0"/>
              <w:right w:val="single" w:color="auto" w:sz="4" w:space="0"/>
            </w:tcBorders>
            <w:vAlign w:val="center"/>
          </w:tcPr>
          <w:p w14:paraId="0DBD047C">
            <w:pPr>
              <w:pStyle w:val="100"/>
              <w:rPr>
                <w:rFonts w:hAnsi="仿宋"/>
                <w:b/>
                <w:bCs/>
                <w:sz w:val="20"/>
                <w:szCs w:val="20"/>
              </w:rPr>
            </w:pPr>
            <w:r>
              <w:rPr>
                <w:rFonts w:hint="eastAsia" w:hAnsi="仿宋"/>
                <w:b/>
                <w:bCs/>
                <w:sz w:val="20"/>
                <w:szCs w:val="20"/>
              </w:rPr>
              <w:t>制度与管理办法</w:t>
            </w:r>
          </w:p>
          <w:p w14:paraId="29F07C3C">
            <w:pPr>
              <w:pStyle w:val="100"/>
              <w:rPr>
                <w:rFonts w:hAnsi="仿宋"/>
                <w:b/>
                <w:bCs/>
                <w:sz w:val="20"/>
                <w:szCs w:val="20"/>
              </w:rPr>
            </w:pPr>
          </w:p>
        </w:tc>
        <w:tc>
          <w:tcPr>
            <w:tcW w:w="681" w:type="dxa"/>
            <w:tcBorders>
              <w:top w:val="single" w:color="auto" w:sz="4" w:space="0"/>
              <w:left w:val="single" w:color="auto" w:sz="4" w:space="0"/>
              <w:bottom w:val="single" w:color="auto" w:sz="4" w:space="0"/>
              <w:right w:val="single" w:color="auto" w:sz="4" w:space="0"/>
            </w:tcBorders>
            <w:vAlign w:val="center"/>
          </w:tcPr>
          <w:p w14:paraId="44801946">
            <w:pPr>
              <w:pStyle w:val="100"/>
              <w:rPr>
                <w:rFonts w:hAnsi="仿宋"/>
                <w:sz w:val="20"/>
                <w:szCs w:val="20"/>
              </w:rPr>
            </w:pPr>
            <w:r>
              <w:rPr>
                <w:rFonts w:hAnsi="仿宋"/>
                <w:sz w:val="20"/>
                <w:szCs w:val="20"/>
              </w:rPr>
              <w:t>4</w:t>
            </w:r>
          </w:p>
        </w:tc>
        <w:tc>
          <w:tcPr>
            <w:tcW w:w="6631" w:type="dxa"/>
            <w:tcBorders>
              <w:top w:val="single" w:color="auto" w:sz="4" w:space="0"/>
              <w:left w:val="single" w:color="auto" w:sz="4" w:space="0"/>
              <w:bottom w:val="single" w:color="auto" w:sz="4" w:space="0"/>
              <w:right w:val="single" w:color="auto" w:sz="4" w:space="0"/>
            </w:tcBorders>
            <w:vAlign w:val="center"/>
          </w:tcPr>
          <w:p w14:paraId="534EB695">
            <w:pPr>
              <w:pStyle w:val="100"/>
              <w:rPr>
                <w:rFonts w:hAnsi="仿宋"/>
                <w:sz w:val="20"/>
                <w:szCs w:val="20"/>
              </w:rPr>
            </w:pPr>
            <w:r>
              <w:rPr>
                <w:rFonts w:hint="eastAsia" w:hAnsi="仿宋"/>
                <w:sz w:val="20"/>
                <w:szCs w:val="20"/>
              </w:rPr>
              <w:t>制定了债券做市业务方案</w:t>
            </w:r>
            <w:r>
              <w:rPr>
                <w:rFonts w:hAnsi="仿宋"/>
                <w:sz w:val="20"/>
                <w:szCs w:val="20"/>
              </w:rPr>
              <w:t xml:space="preserve">, </w:t>
            </w:r>
            <w:r>
              <w:rPr>
                <w:rFonts w:hint="eastAsia" w:hAnsi="仿宋"/>
                <w:sz w:val="20"/>
                <w:szCs w:val="20"/>
              </w:rPr>
              <w:t>包括机构组织架构、业务决策、系统建设、风险报告和压力测试等</w:t>
            </w:r>
          </w:p>
        </w:tc>
      </w:tr>
      <w:tr w14:paraId="05E9A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Merge w:val="continue"/>
            <w:tcBorders>
              <w:left w:val="single" w:color="auto" w:sz="4" w:space="0"/>
              <w:right w:val="single" w:color="auto" w:sz="4" w:space="0"/>
            </w:tcBorders>
            <w:vAlign w:val="center"/>
          </w:tcPr>
          <w:p w14:paraId="760E057E">
            <w:pPr>
              <w:pStyle w:val="100"/>
              <w:rPr>
                <w:rFonts w:hAnsi="仿宋"/>
                <w:sz w:val="20"/>
                <w:szCs w:val="20"/>
              </w:rPr>
            </w:pPr>
          </w:p>
        </w:tc>
        <w:tc>
          <w:tcPr>
            <w:tcW w:w="681" w:type="dxa"/>
            <w:tcBorders>
              <w:top w:val="single" w:color="auto" w:sz="4" w:space="0"/>
              <w:left w:val="single" w:color="auto" w:sz="4" w:space="0"/>
              <w:bottom w:val="single" w:color="auto" w:sz="4" w:space="0"/>
              <w:right w:val="single" w:color="auto" w:sz="4" w:space="0"/>
            </w:tcBorders>
            <w:vAlign w:val="center"/>
          </w:tcPr>
          <w:p w14:paraId="7DF9EB75">
            <w:pPr>
              <w:pStyle w:val="100"/>
              <w:rPr>
                <w:rFonts w:hAnsi="仿宋"/>
                <w:sz w:val="20"/>
                <w:szCs w:val="20"/>
              </w:rPr>
            </w:pPr>
            <w:r>
              <w:rPr>
                <w:rFonts w:hAnsi="仿宋"/>
                <w:sz w:val="20"/>
                <w:szCs w:val="20"/>
              </w:rPr>
              <w:t>5</w:t>
            </w:r>
          </w:p>
        </w:tc>
        <w:tc>
          <w:tcPr>
            <w:tcW w:w="6631" w:type="dxa"/>
            <w:tcBorders>
              <w:top w:val="single" w:color="auto" w:sz="4" w:space="0"/>
              <w:left w:val="single" w:color="auto" w:sz="4" w:space="0"/>
              <w:bottom w:val="single" w:color="auto" w:sz="4" w:space="0"/>
              <w:right w:val="single" w:color="auto" w:sz="4" w:space="0"/>
            </w:tcBorders>
            <w:vAlign w:val="center"/>
          </w:tcPr>
          <w:p w14:paraId="566A38C6">
            <w:pPr>
              <w:pStyle w:val="100"/>
              <w:rPr>
                <w:rFonts w:hAnsi="仿宋"/>
                <w:sz w:val="20"/>
                <w:szCs w:val="20"/>
              </w:rPr>
            </w:pPr>
            <w:r>
              <w:rPr>
                <w:rFonts w:hint="eastAsia" w:hAnsi="仿宋"/>
                <w:sz w:val="20"/>
                <w:szCs w:val="20"/>
              </w:rPr>
              <w:t>制定了业务相关内部管理办法，包括权限管理、内部报告等</w:t>
            </w:r>
          </w:p>
        </w:tc>
      </w:tr>
      <w:tr w14:paraId="2A44E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Merge w:val="continue"/>
            <w:tcBorders>
              <w:left w:val="single" w:color="auto" w:sz="4" w:space="0"/>
              <w:right w:val="single" w:color="auto" w:sz="4" w:space="0"/>
            </w:tcBorders>
            <w:vAlign w:val="center"/>
          </w:tcPr>
          <w:p w14:paraId="4550C8B0">
            <w:pPr>
              <w:pStyle w:val="100"/>
              <w:rPr>
                <w:rFonts w:hAnsi="仿宋"/>
                <w:sz w:val="20"/>
                <w:szCs w:val="20"/>
              </w:rPr>
            </w:pPr>
          </w:p>
        </w:tc>
        <w:tc>
          <w:tcPr>
            <w:tcW w:w="681" w:type="dxa"/>
            <w:tcBorders>
              <w:top w:val="single" w:color="auto" w:sz="4" w:space="0"/>
              <w:left w:val="single" w:color="auto" w:sz="4" w:space="0"/>
              <w:bottom w:val="single" w:color="auto" w:sz="4" w:space="0"/>
              <w:right w:val="single" w:color="auto" w:sz="4" w:space="0"/>
            </w:tcBorders>
            <w:vAlign w:val="center"/>
          </w:tcPr>
          <w:p w14:paraId="03FC2505">
            <w:pPr>
              <w:pStyle w:val="100"/>
              <w:rPr>
                <w:rFonts w:hAnsi="仿宋"/>
                <w:sz w:val="20"/>
                <w:szCs w:val="20"/>
              </w:rPr>
            </w:pPr>
            <w:r>
              <w:rPr>
                <w:rFonts w:hAnsi="仿宋"/>
                <w:sz w:val="20"/>
                <w:szCs w:val="20"/>
              </w:rPr>
              <w:t>6</w:t>
            </w:r>
          </w:p>
        </w:tc>
        <w:tc>
          <w:tcPr>
            <w:tcW w:w="6631" w:type="dxa"/>
            <w:tcBorders>
              <w:top w:val="single" w:color="auto" w:sz="4" w:space="0"/>
              <w:left w:val="single" w:color="auto" w:sz="4" w:space="0"/>
              <w:bottom w:val="single" w:color="auto" w:sz="4" w:space="0"/>
              <w:right w:val="single" w:color="auto" w:sz="4" w:space="0"/>
            </w:tcBorders>
            <w:vAlign w:val="center"/>
          </w:tcPr>
          <w:p w14:paraId="4C902623">
            <w:pPr>
              <w:pStyle w:val="100"/>
              <w:rPr>
                <w:rFonts w:hAnsi="仿宋"/>
                <w:sz w:val="20"/>
                <w:szCs w:val="20"/>
              </w:rPr>
            </w:pPr>
            <w:r>
              <w:rPr>
                <w:rFonts w:hint="eastAsia" w:hAnsi="仿宋"/>
                <w:sz w:val="20"/>
                <w:szCs w:val="20"/>
              </w:rPr>
              <w:t>制定了相关业务流程，包括决策流程、操作规范、流程控制管理等</w:t>
            </w:r>
          </w:p>
        </w:tc>
      </w:tr>
      <w:tr w14:paraId="7FA4C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Merge w:val="continue"/>
            <w:tcBorders>
              <w:left w:val="single" w:color="auto" w:sz="4" w:space="0"/>
              <w:bottom w:val="single" w:color="auto" w:sz="4" w:space="0"/>
              <w:right w:val="single" w:color="auto" w:sz="4" w:space="0"/>
            </w:tcBorders>
            <w:vAlign w:val="center"/>
          </w:tcPr>
          <w:p w14:paraId="575F48CF">
            <w:pPr>
              <w:pStyle w:val="100"/>
              <w:rPr>
                <w:rFonts w:hAnsi="仿宋"/>
                <w:sz w:val="20"/>
                <w:szCs w:val="20"/>
              </w:rPr>
            </w:pPr>
          </w:p>
        </w:tc>
        <w:tc>
          <w:tcPr>
            <w:tcW w:w="681" w:type="dxa"/>
            <w:tcBorders>
              <w:top w:val="single" w:color="auto" w:sz="4" w:space="0"/>
              <w:left w:val="single" w:color="auto" w:sz="4" w:space="0"/>
              <w:bottom w:val="single" w:color="auto" w:sz="4" w:space="0"/>
              <w:right w:val="single" w:color="auto" w:sz="4" w:space="0"/>
            </w:tcBorders>
            <w:vAlign w:val="center"/>
          </w:tcPr>
          <w:p w14:paraId="29907A2F">
            <w:pPr>
              <w:pStyle w:val="100"/>
              <w:rPr>
                <w:rFonts w:hAnsi="仿宋"/>
                <w:sz w:val="20"/>
                <w:szCs w:val="20"/>
              </w:rPr>
            </w:pPr>
            <w:r>
              <w:rPr>
                <w:rFonts w:hint="eastAsia" w:hAnsi="仿宋"/>
                <w:sz w:val="20"/>
                <w:szCs w:val="20"/>
              </w:rPr>
              <w:t>7</w:t>
            </w:r>
          </w:p>
        </w:tc>
        <w:tc>
          <w:tcPr>
            <w:tcW w:w="6631" w:type="dxa"/>
            <w:tcBorders>
              <w:top w:val="single" w:color="auto" w:sz="4" w:space="0"/>
              <w:left w:val="single" w:color="auto" w:sz="4" w:space="0"/>
              <w:bottom w:val="single" w:color="auto" w:sz="4" w:space="0"/>
              <w:right w:val="single" w:color="auto" w:sz="4" w:space="0"/>
            </w:tcBorders>
            <w:vAlign w:val="center"/>
          </w:tcPr>
          <w:p w14:paraId="0710671F">
            <w:pPr>
              <w:pStyle w:val="100"/>
              <w:rPr>
                <w:rFonts w:hAnsi="仿宋"/>
                <w:sz w:val="20"/>
                <w:szCs w:val="20"/>
              </w:rPr>
            </w:pPr>
            <w:r>
              <w:rPr>
                <w:rFonts w:hint="eastAsia" w:hAnsi="仿宋"/>
                <w:sz w:val="20"/>
                <w:szCs w:val="20"/>
              </w:rPr>
              <w:t>制定了应急风险处置制度，包括应急处置人员安排、突发事件场景、预防措施、突发事件预警及响应机制、应急处置决策与实施机制等</w:t>
            </w:r>
          </w:p>
        </w:tc>
      </w:tr>
      <w:bookmarkEnd w:id="3831"/>
    </w:tbl>
    <w:p w14:paraId="2DEA67CF">
      <w:pPr>
        <w:rPr>
          <w:rFonts w:ascii="黑体" w:hAnsi="华文细黑" w:eastAsia="黑体"/>
          <w:b/>
          <w:sz w:val="28"/>
          <w:szCs w:val="28"/>
        </w:rPr>
      </w:pPr>
      <w:r>
        <w:rPr>
          <w:rFonts w:hint="eastAsia" w:ascii="黑体" w:hAnsi="华文细黑" w:eastAsia="黑体"/>
          <w:b/>
          <w:sz w:val="28"/>
          <w:szCs w:val="28"/>
        </w:rPr>
        <w:t>二、功能要求</w:t>
      </w:r>
    </w:p>
    <w:tbl>
      <w:tblPr>
        <w:tblStyle w:val="43"/>
        <w:tblW w:w="86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8"/>
        <w:gridCol w:w="665"/>
        <w:gridCol w:w="6809"/>
      </w:tblGrid>
      <w:tr w14:paraId="2D341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8" w:type="dxa"/>
            <w:tcBorders>
              <w:top w:val="single" w:color="auto" w:sz="4" w:space="0"/>
              <w:left w:val="single" w:color="auto" w:sz="4" w:space="0"/>
              <w:bottom w:val="single" w:color="auto" w:sz="4" w:space="0"/>
              <w:right w:val="single" w:color="auto" w:sz="4" w:space="0"/>
            </w:tcBorders>
            <w:vAlign w:val="center"/>
          </w:tcPr>
          <w:p w14:paraId="66909AD6">
            <w:pPr>
              <w:rPr>
                <w:rFonts w:ascii="仿宋_GB2312" w:eastAsia="仿宋_GB2312"/>
                <w:b/>
              </w:rPr>
            </w:pPr>
            <w:bookmarkStart w:id="3832" w:name="_Hlk107782684"/>
            <w:r>
              <w:rPr>
                <w:rFonts w:hint="eastAsia" w:ascii="仿宋_GB2312" w:eastAsia="仿宋_GB2312"/>
                <w:b/>
              </w:rPr>
              <w:t>检查项目</w:t>
            </w:r>
          </w:p>
        </w:tc>
        <w:tc>
          <w:tcPr>
            <w:tcW w:w="665" w:type="dxa"/>
            <w:tcBorders>
              <w:top w:val="single" w:color="auto" w:sz="4" w:space="0"/>
              <w:left w:val="single" w:color="auto" w:sz="4" w:space="0"/>
              <w:bottom w:val="single" w:color="auto" w:sz="4" w:space="0"/>
              <w:right w:val="single" w:color="auto" w:sz="4" w:space="0"/>
            </w:tcBorders>
            <w:vAlign w:val="center"/>
          </w:tcPr>
          <w:p w14:paraId="2B4C693F">
            <w:pPr>
              <w:rPr>
                <w:rFonts w:ascii="仿宋_GB2312" w:eastAsia="仿宋_GB2312"/>
                <w:b/>
              </w:rPr>
            </w:pPr>
            <w:r>
              <w:rPr>
                <w:rFonts w:hint="eastAsia" w:ascii="仿宋_GB2312" w:eastAsia="仿宋_GB2312"/>
                <w:b/>
              </w:rPr>
              <w:t>编号</w:t>
            </w:r>
          </w:p>
        </w:tc>
        <w:tc>
          <w:tcPr>
            <w:tcW w:w="6809" w:type="dxa"/>
            <w:tcBorders>
              <w:top w:val="single" w:color="auto" w:sz="4" w:space="0"/>
              <w:left w:val="single" w:color="auto" w:sz="4" w:space="0"/>
              <w:bottom w:val="single" w:color="auto" w:sz="4" w:space="0"/>
              <w:right w:val="single" w:color="auto" w:sz="4" w:space="0"/>
            </w:tcBorders>
            <w:vAlign w:val="center"/>
          </w:tcPr>
          <w:p w14:paraId="40874719">
            <w:pPr>
              <w:rPr>
                <w:rFonts w:ascii="仿宋_GB2312" w:eastAsia="仿宋_GB2312"/>
                <w:b/>
              </w:rPr>
            </w:pPr>
            <w:r>
              <w:rPr>
                <w:rFonts w:hint="eastAsia" w:ascii="仿宋_GB2312" w:eastAsia="仿宋_GB2312"/>
                <w:b/>
              </w:rPr>
              <w:t>检查内容</w:t>
            </w:r>
          </w:p>
        </w:tc>
      </w:tr>
      <w:tr w14:paraId="31EBE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168" w:type="dxa"/>
            <w:vMerge w:val="restart"/>
            <w:tcBorders>
              <w:top w:val="single" w:color="auto" w:sz="4" w:space="0"/>
              <w:left w:val="single" w:color="auto" w:sz="4" w:space="0"/>
              <w:bottom w:val="single" w:color="auto" w:sz="4" w:space="0"/>
              <w:right w:val="single" w:color="auto" w:sz="4" w:space="0"/>
            </w:tcBorders>
            <w:vAlign w:val="center"/>
          </w:tcPr>
          <w:p w14:paraId="312C7803">
            <w:pPr>
              <w:pStyle w:val="100"/>
              <w:rPr>
                <w:rFonts w:hAnsi="仿宋"/>
                <w:b/>
                <w:bCs/>
                <w:sz w:val="20"/>
                <w:szCs w:val="20"/>
              </w:rPr>
            </w:pPr>
            <w:r>
              <w:rPr>
                <w:rFonts w:hint="eastAsia" w:hAnsi="仿宋"/>
                <w:b/>
                <w:bCs/>
                <w:sz w:val="20"/>
                <w:szCs w:val="20"/>
              </w:rPr>
              <w:t>交</w:t>
            </w:r>
            <w:r>
              <w:rPr>
                <w:rFonts w:hint="eastAsia" w:hAnsi="Times New Roman" w:cs="Times New Roman"/>
                <w:b/>
                <w:bCs/>
                <w:color w:val="auto"/>
                <w:kern w:val="2"/>
                <w:sz w:val="21"/>
                <w:szCs w:val="21"/>
              </w:rPr>
              <w:t>易设置</w:t>
            </w:r>
          </w:p>
        </w:tc>
        <w:tc>
          <w:tcPr>
            <w:tcW w:w="665" w:type="dxa"/>
            <w:tcBorders>
              <w:top w:val="single" w:color="auto" w:sz="4" w:space="0"/>
              <w:left w:val="single" w:color="auto" w:sz="4" w:space="0"/>
              <w:bottom w:val="single" w:color="auto" w:sz="4" w:space="0"/>
              <w:right w:val="single" w:color="auto" w:sz="4" w:space="0"/>
            </w:tcBorders>
            <w:vAlign w:val="center"/>
          </w:tcPr>
          <w:p w14:paraId="6B6A2E73">
            <w:pPr>
              <w:pStyle w:val="100"/>
              <w:rPr>
                <w:rFonts w:hAnsi="仿宋"/>
                <w:sz w:val="20"/>
                <w:szCs w:val="20"/>
              </w:rPr>
            </w:pPr>
            <w:r>
              <w:rPr>
                <w:rFonts w:hAnsi="仿宋"/>
                <w:sz w:val="20"/>
                <w:szCs w:val="20"/>
              </w:rPr>
              <w:t>1</w:t>
            </w:r>
          </w:p>
        </w:tc>
        <w:tc>
          <w:tcPr>
            <w:tcW w:w="6809" w:type="dxa"/>
            <w:tcBorders>
              <w:top w:val="single" w:color="auto" w:sz="4" w:space="0"/>
              <w:left w:val="single" w:color="auto" w:sz="4" w:space="0"/>
              <w:bottom w:val="single" w:color="auto" w:sz="4" w:space="0"/>
              <w:right w:val="single" w:color="auto" w:sz="4" w:space="0"/>
            </w:tcBorders>
            <w:vAlign w:val="center"/>
          </w:tcPr>
          <w:p w14:paraId="56628AB3">
            <w:pPr>
              <w:pStyle w:val="100"/>
              <w:rPr>
                <w:rFonts w:hAnsi="仿宋"/>
                <w:sz w:val="20"/>
                <w:szCs w:val="20"/>
              </w:rPr>
            </w:pPr>
            <w:r>
              <w:rPr>
                <w:rFonts w:hint="eastAsia" w:hAnsi="仿宋"/>
                <w:sz w:val="20"/>
                <w:szCs w:val="20"/>
              </w:rPr>
              <w:t>最小报价数量设置</w:t>
            </w:r>
          </w:p>
        </w:tc>
      </w:tr>
      <w:tr w14:paraId="1E8AD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1168" w:type="dxa"/>
            <w:vMerge w:val="continue"/>
            <w:tcBorders>
              <w:top w:val="single" w:color="auto" w:sz="4" w:space="0"/>
              <w:left w:val="single" w:color="auto" w:sz="4" w:space="0"/>
              <w:bottom w:val="single" w:color="auto" w:sz="4" w:space="0"/>
              <w:right w:val="single" w:color="auto" w:sz="4" w:space="0"/>
            </w:tcBorders>
            <w:vAlign w:val="center"/>
          </w:tcPr>
          <w:p w14:paraId="5DE6A36B">
            <w:pPr>
              <w:pStyle w:val="100"/>
              <w:rPr>
                <w:rFonts w:hAnsi="仿宋"/>
                <w:sz w:val="20"/>
                <w:szCs w:val="20"/>
              </w:rPr>
            </w:pPr>
          </w:p>
        </w:tc>
        <w:tc>
          <w:tcPr>
            <w:tcW w:w="665" w:type="dxa"/>
            <w:tcBorders>
              <w:top w:val="single" w:color="auto" w:sz="4" w:space="0"/>
              <w:left w:val="single" w:color="auto" w:sz="4" w:space="0"/>
              <w:bottom w:val="single" w:color="auto" w:sz="4" w:space="0"/>
              <w:right w:val="single" w:color="auto" w:sz="4" w:space="0"/>
            </w:tcBorders>
            <w:vAlign w:val="center"/>
          </w:tcPr>
          <w:p w14:paraId="3FCD432F">
            <w:pPr>
              <w:pStyle w:val="100"/>
              <w:rPr>
                <w:rFonts w:hAnsi="仿宋"/>
                <w:sz w:val="20"/>
                <w:szCs w:val="20"/>
              </w:rPr>
            </w:pPr>
            <w:r>
              <w:rPr>
                <w:rFonts w:hAnsi="仿宋"/>
                <w:sz w:val="20"/>
                <w:szCs w:val="20"/>
              </w:rPr>
              <w:t>2</w:t>
            </w:r>
          </w:p>
        </w:tc>
        <w:tc>
          <w:tcPr>
            <w:tcW w:w="6809" w:type="dxa"/>
            <w:tcBorders>
              <w:top w:val="single" w:color="auto" w:sz="4" w:space="0"/>
              <w:left w:val="single" w:color="auto" w:sz="4" w:space="0"/>
              <w:bottom w:val="single" w:color="auto" w:sz="4" w:space="0"/>
              <w:right w:val="single" w:color="auto" w:sz="4" w:space="0"/>
            </w:tcBorders>
            <w:vAlign w:val="center"/>
          </w:tcPr>
          <w:p w14:paraId="2CD5F994">
            <w:pPr>
              <w:pStyle w:val="100"/>
              <w:rPr>
                <w:rFonts w:hAnsi="仿宋"/>
                <w:sz w:val="20"/>
                <w:szCs w:val="20"/>
              </w:rPr>
            </w:pPr>
            <w:r>
              <w:rPr>
                <w:rFonts w:hint="eastAsia" w:hAnsi="仿宋"/>
                <w:sz w:val="20"/>
                <w:szCs w:val="20"/>
              </w:rPr>
              <w:t>行情数据接收管理</w:t>
            </w:r>
          </w:p>
        </w:tc>
      </w:tr>
      <w:tr w14:paraId="71044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8" w:type="dxa"/>
            <w:vMerge w:val="continue"/>
            <w:tcBorders>
              <w:top w:val="single" w:color="auto" w:sz="4" w:space="0"/>
              <w:left w:val="single" w:color="auto" w:sz="4" w:space="0"/>
              <w:bottom w:val="single" w:color="auto" w:sz="4" w:space="0"/>
              <w:right w:val="single" w:color="auto" w:sz="4" w:space="0"/>
            </w:tcBorders>
            <w:vAlign w:val="center"/>
          </w:tcPr>
          <w:p w14:paraId="19C0BC14">
            <w:pPr>
              <w:pStyle w:val="100"/>
              <w:rPr>
                <w:rFonts w:hAnsi="仿宋"/>
                <w:sz w:val="20"/>
                <w:szCs w:val="20"/>
              </w:rPr>
            </w:pPr>
          </w:p>
        </w:tc>
        <w:tc>
          <w:tcPr>
            <w:tcW w:w="665" w:type="dxa"/>
            <w:tcBorders>
              <w:top w:val="single" w:color="auto" w:sz="4" w:space="0"/>
              <w:left w:val="single" w:color="auto" w:sz="4" w:space="0"/>
              <w:bottom w:val="single" w:color="auto" w:sz="4" w:space="0"/>
              <w:right w:val="single" w:color="auto" w:sz="4" w:space="0"/>
            </w:tcBorders>
            <w:vAlign w:val="center"/>
          </w:tcPr>
          <w:p w14:paraId="656819A9">
            <w:pPr>
              <w:pStyle w:val="100"/>
              <w:rPr>
                <w:rFonts w:hAnsi="仿宋"/>
                <w:sz w:val="20"/>
                <w:szCs w:val="20"/>
              </w:rPr>
            </w:pPr>
            <w:r>
              <w:rPr>
                <w:rFonts w:hAnsi="仿宋"/>
                <w:sz w:val="20"/>
                <w:szCs w:val="20"/>
              </w:rPr>
              <w:t>3</w:t>
            </w:r>
          </w:p>
        </w:tc>
        <w:tc>
          <w:tcPr>
            <w:tcW w:w="6809" w:type="dxa"/>
            <w:tcBorders>
              <w:top w:val="single" w:color="auto" w:sz="4" w:space="0"/>
              <w:left w:val="single" w:color="auto" w:sz="4" w:space="0"/>
              <w:bottom w:val="single" w:color="auto" w:sz="4" w:space="0"/>
              <w:right w:val="single" w:color="auto" w:sz="4" w:space="0"/>
            </w:tcBorders>
            <w:vAlign w:val="center"/>
          </w:tcPr>
          <w:p w14:paraId="4732DBD2">
            <w:pPr>
              <w:pStyle w:val="100"/>
              <w:rPr>
                <w:rFonts w:hAnsi="仿宋"/>
                <w:sz w:val="20"/>
                <w:szCs w:val="20"/>
              </w:rPr>
            </w:pPr>
            <w:r>
              <w:rPr>
                <w:rFonts w:hint="eastAsia" w:hAnsi="仿宋"/>
                <w:sz w:val="20"/>
                <w:szCs w:val="20"/>
              </w:rPr>
              <w:t>持仓管理、订单管理、报价参数管理</w:t>
            </w:r>
          </w:p>
        </w:tc>
      </w:tr>
      <w:tr w14:paraId="2D382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8" w:type="dxa"/>
            <w:vMerge w:val="continue"/>
            <w:tcBorders>
              <w:top w:val="single" w:color="auto" w:sz="4" w:space="0"/>
              <w:left w:val="single" w:color="auto" w:sz="4" w:space="0"/>
              <w:bottom w:val="single" w:color="auto" w:sz="4" w:space="0"/>
              <w:right w:val="single" w:color="auto" w:sz="4" w:space="0"/>
            </w:tcBorders>
            <w:vAlign w:val="center"/>
          </w:tcPr>
          <w:p w14:paraId="04FECCD7">
            <w:pPr>
              <w:pStyle w:val="100"/>
              <w:rPr>
                <w:rFonts w:hAnsi="仿宋"/>
                <w:sz w:val="20"/>
                <w:szCs w:val="20"/>
              </w:rPr>
            </w:pPr>
          </w:p>
        </w:tc>
        <w:tc>
          <w:tcPr>
            <w:tcW w:w="665" w:type="dxa"/>
            <w:tcBorders>
              <w:top w:val="single" w:color="auto" w:sz="4" w:space="0"/>
              <w:left w:val="single" w:color="auto" w:sz="4" w:space="0"/>
              <w:bottom w:val="single" w:color="auto" w:sz="4" w:space="0"/>
              <w:right w:val="single" w:color="auto" w:sz="4" w:space="0"/>
            </w:tcBorders>
            <w:vAlign w:val="center"/>
          </w:tcPr>
          <w:p w14:paraId="21CC2B58">
            <w:pPr>
              <w:pStyle w:val="100"/>
              <w:rPr>
                <w:rFonts w:hAnsi="仿宋"/>
                <w:sz w:val="20"/>
                <w:szCs w:val="20"/>
              </w:rPr>
            </w:pPr>
            <w:r>
              <w:rPr>
                <w:rFonts w:hAnsi="仿宋"/>
                <w:sz w:val="20"/>
                <w:szCs w:val="20"/>
              </w:rPr>
              <w:t>4</w:t>
            </w:r>
          </w:p>
        </w:tc>
        <w:tc>
          <w:tcPr>
            <w:tcW w:w="6809" w:type="dxa"/>
            <w:tcBorders>
              <w:top w:val="single" w:color="auto" w:sz="4" w:space="0"/>
              <w:left w:val="single" w:color="auto" w:sz="4" w:space="0"/>
              <w:bottom w:val="single" w:color="auto" w:sz="4" w:space="0"/>
              <w:right w:val="single" w:color="auto" w:sz="4" w:space="0"/>
            </w:tcBorders>
          </w:tcPr>
          <w:p w14:paraId="41E20E7D">
            <w:pPr>
              <w:pStyle w:val="100"/>
              <w:rPr>
                <w:rFonts w:hAnsi="仿宋"/>
                <w:sz w:val="20"/>
                <w:szCs w:val="20"/>
              </w:rPr>
            </w:pPr>
            <w:r>
              <w:rPr>
                <w:rFonts w:hint="eastAsia" w:hAnsi="仿宋"/>
                <w:sz w:val="20"/>
                <w:szCs w:val="20"/>
              </w:rPr>
              <w:t>支持做市相关基本交易指令以及前端控制</w:t>
            </w:r>
          </w:p>
        </w:tc>
      </w:tr>
      <w:bookmarkEnd w:id="3832"/>
    </w:tbl>
    <w:p w14:paraId="56838060"/>
    <w:p w14:paraId="3F678D63">
      <w:pPr>
        <w:rPr>
          <w:rFonts w:ascii="黑体" w:hAnsi="华文细黑" w:eastAsia="黑体"/>
          <w:b/>
          <w:sz w:val="28"/>
          <w:szCs w:val="28"/>
        </w:rPr>
      </w:pPr>
      <w:r>
        <w:rPr>
          <w:rFonts w:hint="eastAsia" w:ascii="黑体" w:hAnsi="华文细黑" w:eastAsia="黑体"/>
          <w:b/>
          <w:sz w:val="28"/>
          <w:szCs w:val="28"/>
        </w:rPr>
        <w:t>三、风险管理与控制体系</w:t>
      </w:r>
    </w:p>
    <w:tbl>
      <w:tblPr>
        <w:tblStyle w:val="43"/>
        <w:tblpPr w:leftFromText="180" w:rightFromText="180" w:vertAnchor="text" w:horzAnchor="margin" w:tblpY="158"/>
        <w:tblW w:w="864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92"/>
        <w:gridCol w:w="678"/>
        <w:gridCol w:w="6772"/>
      </w:tblGrid>
      <w:tr w14:paraId="29B923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92" w:type="dxa"/>
            <w:tcBorders>
              <w:top w:val="single" w:color="000000" w:sz="4" w:space="0"/>
              <w:left w:val="single" w:color="000000" w:sz="4" w:space="0"/>
              <w:bottom w:val="single" w:color="000000" w:sz="4" w:space="0"/>
              <w:right w:val="single" w:color="000000" w:sz="4" w:space="0"/>
            </w:tcBorders>
            <w:vAlign w:val="center"/>
          </w:tcPr>
          <w:p w14:paraId="40AF7E98">
            <w:pPr>
              <w:pStyle w:val="100"/>
              <w:rPr>
                <w:rFonts w:hAnsi="仿宋"/>
                <w:b/>
                <w:bCs/>
                <w:sz w:val="20"/>
                <w:szCs w:val="20"/>
              </w:rPr>
            </w:pPr>
            <w:bookmarkStart w:id="3833" w:name="_Hlk107783130"/>
            <w:r>
              <w:rPr>
                <w:rFonts w:hint="eastAsia" w:hAnsi="仿宋"/>
                <w:b/>
                <w:bCs/>
                <w:sz w:val="20"/>
                <w:szCs w:val="20"/>
              </w:rPr>
              <w:t>检查项目</w:t>
            </w:r>
          </w:p>
        </w:tc>
        <w:tc>
          <w:tcPr>
            <w:tcW w:w="678" w:type="dxa"/>
            <w:tcBorders>
              <w:top w:val="single" w:color="000000" w:sz="4" w:space="0"/>
              <w:left w:val="single" w:color="000000" w:sz="4" w:space="0"/>
              <w:bottom w:val="single" w:color="000000" w:sz="4" w:space="0"/>
              <w:right w:val="single" w:color="000000" w:sz="4" w:space="0"/>
            </w:tcBorders>
            <w:vAlign w:val="center"/>
          </w:tcPr>
          <w:p w14:paraId="5DF53C76">
            <w:pPr>
              <w:rPr>
                <w:rFonts w:ascii="仿宋_GB2312" w:hAnsi="仿宋" w:eastAsia="仿宋_GB2312" w:cs="仿宋_GB2312"/>
                <w:b/>
                <w:bCs/>
                <w:color w:val="000000"/>
                <w:kern w:val="0"/>
                <w:sz w:val="20"/>
                <w:szCs w:val="20"/>
              </w:rPr>
            </w:pPr>
            <w:r>
              <w:rPr>
                <w:rFonts w:hint="eastAsia" w:ascii="仿宋_GB2312" w:hAnsi="仿宋" w:eastAsia="仿宋_GB2312" w:cs="仿宋_GB2312"/>
                <w:b/>
                <w:bCs/>
                <w:color w:val="000000"/>
                <w:kern w:val="0"/>
                <w:sz w:val="20"/>
                <w:szCs w:val="20"/>
              </w:rPr>
              <w:t>编号</w:t>
            </w:r>
          </w:p>
        </w:tc>
        <w:tc>
          <w:tcPr>
            <w:tcW w:w="6772" w:type="dxa"/>
            <w:tcBorders>
              <w:top w:val="single" w:color="000000" w:sz="4" w:space="0"/>
              <w:left w:val="single" w:color="000000" w:sz="4" w:space="0"/>
              <w:bottom w:val="single" w:color="000000" w:sz="4" w:space="0"/>
              <w:right w:val="single" w:color="000000" w:sz="4" w:space="0"/>
            </w:tcBorders>
            <w:vAlign w:val="center"/>
          </w:tcPr>
          <w:p w14:paraId="6FE49BA7">
            <w:pPr>
              <w:rPr>
                <w:rFonts w:ascii="仿宋_GB2312" w:hAnsi="仿宋" w:eastAsia="仿宋_GB2312" w:cs="仿宋_GB2312"/>
                <w:b/>
                <w:bCs/>
                <w:color w:val="000000"/>
                <w:kern w:val="0"/>
                <w:sz w:val="20"/>
                <w:szCs w:val="20"/>
              </w:rPr>
            </w:pPr>
            <w:r>
              <w:rPr>
                <w:rFonts w:hint="eastAsia" w:ascii="仿宋_GB2312" w:hAnsi="仿宋" w:eastAsia="仿宋_GB2312" w:cs="仿宋_GB2312"/>
                <w:b/>
                <w:bCs/>
                <w:color w:val="000000"/>
                <w:kern w:val="0"/>
                <w:sz w:val="20"/>
                <w:szCs w:val="20"/>
              </w:rPr>
              <w:t>检查内容</w:t>
            </w:r>
          </w:p>
        </w:tc>
      </w:tr>
      <w:tr w14:paraId="28270F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92" w:type="dxa"/>
            <w:vMerge w:val="restart"/>
            <w:tcBorders>
              <w:top w:val="single" w:color="000000" w:sz="4" w:space="0"/>
              <w:left w:val="single" w:color="000000" w:sz="4" w:space="0"/>
              <w:bottom w:val="single" w:color="000000" w:sz="4" w:space="0"/>
              <w:right w:val="single" w:color="000000" w:sz="4" w:space="0"/>
            </w:tcBorders>
            <w:vAlign w:val="center"/>
          </w:tcPr>
          <w:p w14:paraId="3E24BD57">
            <w:pPr>
              <w:pStyle w:val="100"/>
              <w:rPr>
                <w:rFonts w:hAnsi="仿宋"/>
                <w:b/>
                <w:bCs/>
                <w:sz w:val="20"/>
                <w:szCs w:val="20"/>
              </w:rPr>
            </w:pPr>
            <w:r>
              <w:rPr>
                <w:rFonts w:hint="eastAsia" w:hAnsi="仿宋"/>
                <w:b/>
                <w:bCs/>
                <w:sz w:val="20"/>
                <w:szCs w:val="20"/>
              </w:rPr>
              <w:t>风险管理与处置</w:t>
            </w:r>
          </w:p>
        </w:tc>
        <w:tc>
          <w:tcPr>
            <w:tcW w:w="678" w:type="dxa"/>
            <w:tcBorders>
              <w:top w:val="single" w:color="000000" w:sz="4" w:space="0"/>
              <w:left w:val="single" w:color="000000" w:sz="4" w:space="0"/>
              <w:bottom w:val="single" w:color="000000" w:sz="4" w:space="0"/>
              <w:right w:val="single" w:color="000000" w:sz="4" w:space="0"/>
            </w:tcBorders>
            <w:vAlign w:val="center"/>
          </w:tcPr>
          <w:p w14:paraId="63B7BC4D">
            <w:pPr>
              <w:pStyle w:val="100"/>
              <w:rPr>
                <w:rFonts w:hAnsi="仿宋"/>
                <w:sz w:val="20"/>
                <w:szCs w:val="20"/>
              </w:rPr>
            </w:pPr>
            <w:r>
              <w:rPr>
                <w:rFonts w:hAnsi="仿宋"/>
                <w:sz w:val="20"/>
                <w:szCs w:val="20"/>
              </w:rPr>
              <w:t>1</w:t>
            </w:r>
          </w:p>
        </w:tc>
        <w:tc>
          <w:tcPr>
            <w:tcW w:w="6772" w:type="dxa"/>
            <w:tcBorders>
              <w:top w:val="single" w:color="000000" w:sz="4" w:space="0"/>
              <w:left w:val="single" w:color="000000" w:sz="4" w:space="0"/>
              <w:bottom w:val="single" w:color="000000" w:sz="4" w:space="0"/>
              <w:right w:val="single" w:color="000000" w:sz="4" w:space="0"/>
            </w:tcBorders>
            <w:vAlign w:val="center"/>
          </w:tcPr>
          <w:p w14:paraId="26453FAC">
            <w:pPr>
              <w:pStyle w:val="100"/>
              <w:rPr>
                <w:rFonts w:hAnsi="仿宋"/>
                <w:sz w:val="20"/>
                <w:szCs w:val="20"/>
              </w:rPr>
            </w:pPr>
            <w:r>
              <w:rPr>
                <w:rFonts w:hint="eastAsia" w:hAnsi="仿宋"/>
                <w:sz w:val="20"/>
                <w:szCs w:val="20"/>
              </w:rPr>
              <w:t>风控体系架构</w:t>
            </w:r>
          </w:p>
        </w:tc>
      </w:tr>
      <w:tr w14:paraId="547A4C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92" w:type="dxa"/>
            <w:vMerge w:val="continue"/>
            <w:tcBorders>
              <w:top w:val="single" w:color="000000" w:sz="4" w:space="0"/>
              <w:left w:val="single" w:color="000000" w:sz="4" w:space="0"/>
              <w:bottom w:val="single" w:color="000000" w:sz="4" w:space="0"/>
              <w:right w:val="single" w:color="000000" w:sz="4" w:space="0"/>
            </w:tcBorders>
            <w:vAlign w:val="center"/>
          </w:tcPr>
          <w:p w14:paraId="47E146FF">
            <w:pPr>
              <w:pStyle w:val="100"/>
              <w:rPr>
                <w:rFonts w:hAnsi="仿宋"/>
                <w:sz w:val="20"/>
                <w:szCs w:val="20"/>
              </w:rPr>
            </w:pPr>
          </w:p>
        </w:tc>
        <w:tc>
          <w:tcPr>
            <w:tcW w:w="678" w:type="dxa"/>
            <w:tcBorders>
              <w:top w:val="single" w:color="000000" w:sz="4" w:space="0"/>
              <w:left w:val="single" w:color="000000" w:sz="4" w:space="0"/>
              <w:bottom w:val="single" w:color="000000" w:sz="4" w:space="0"/>
              <w:right w:val="single" w:color="000000" w:sz="4" w:space="0"/>
            </w:tcBorders>
            <w:vAlign w:val="center"/>
          </w:tcPr>
          <w:p w14:paraId="769680A5">
            <w:pPr>
              <w:pStyle w:val="100"/>
              <w:rPr>
                <w:rFonts w:hAnsi="仿宋"/>
                <w:sz w:val="20"/>
                <w:szCs w:val="20"/>
              </w:rPr>
            </w:pPr>
            <w:r>
              <w:rPr>
                <w:rFonts w:hAnsi="仿宋"/>
                <w:sz w:val="20"/>
                <w:szCs w:val="20"/>
              </w:rPr>
              <w:t>2</w:t>
            </w:r>
          </w:p>
        </w:tc>
        <w:tc>
          <w:tcPr>
            <w:tcW w:w="6772" w:type="dxa"/>
            <w:tcBorders>
              <w:top w:val="single" w:color="000000" w:sz="4" w:space="0"/>
              <w:left w:val="single" w:color="000000" w:sz="4" w:space="0"/>
              <w:bottom w:val="single" w:color="000000" w:sz="4" w:space="0"/>
              <w:right w:val="single" w:color="000000" w:sz="4" w:space="0"/>
            </w:tcBorders>
            <w:vAlign w:val="center"/>
          </w:tcPr>
          <w:p w14:paraId="05660C65">
            <w:pPr>
              <w:pStyle w:val="100"/>
              <w:rPr>
                <w:rFonts w:hAnsi="仿宋"/>
                <w:sz w:val="20"/>
                <w:szCs w:val="20"/>
              </w:rPr>
            </w:pPr>
            <w:r>
              <w:rPr>
                <w:rFonts w:hint="eastAsia" w:hAnsi="仿宋"/>
                <w:sz w:val="20"/>
                <w:szCs w:val="20"/>
              </w:rPr>
              <w:t>操作风险</w:t>
            </w:r>
            <w:r>
              <w:rPr>
                <w:rFonts w:hAnsi="仿宋"/>
                <w:sz w:val="20"/>
                <w:szCs w:val="20"/>
              </w:rPr>
              <w:t>、</w:t>
            </w:r>
            <w:r>
              <w:rPr>
                <w:rFonts w:hint="eastAsia" w:hAnsi="仿宋"/>
                <w:sz w:val="20"/>
                <w:szCs w:val="20"/>
              </w:rPr>
              <w:t>市场风险</w:t>
            </w:r>
            <w:r>
              <w:rPr>
                <w:rFonts w:hAnsi="仿宋"/>
                <w:sz w:val="20"/>
                <w:szCs w:val="20"/>
              </w:rPr>
              <w:t>、</w:t>
            </w:r>
            <w:r>
              <w:rPr>
                <w:rFonts w:hint="eastAsia" w:hAnsi="仿宋"/>
                <w:sz w:val="20"/>
                <w:szCs w:val="20"/>
              </w:rPr>
              <w:t>流动性风险管理</w:t>
            </w:r>
          </w:p>
        </w:tc>
      </w:tr>
      <w:tr w14:paraId="69BF22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192" w:type="dxa"/>
            <w:vMerge w:val="continue"/>
            <w:tcBorders>
              <w:top w:val="single" w:color="000000" w:sz="4" w:space="0"/>
              <w:left w:val="single" w:color="000000" w:sz="4" w:space="0"/>
              <w:bottom w:val="single" w:color="000000" w:sz="4" w:space="0"/>
              <w:right w:val="single" w:color="000000" w:sz="4" w:space="0"/>
            </w:tcBorders>
            <w:vAlign w:val="center"/>
          </w:tcPr>
          <w:p w14:paraId="5007757C">
            <w:pPr>
              <w:pStyle w:val="100"/>
              <w:rPr>
                <w:rFonts w:hAnsi="仿宋"/>
                <w:sz w:val="20"/>
                <w:szCs w:val="20"/>
              </w:rPr>
            </w:pPr>
          </w:p>
        </w:tc>
        <w:tc>
          <w:tcPr>
            <w:tcW w:w="678" w:type="dxa"/>
            <w:tcBorders>
              <w:top w:val="single" w:color="000000" w:sz="4" w:space="0"/>
              <w:left w:val="single" w:color="000000" w:sz="4" w:space="0"/>
              <w:bottom w:val="single" w:color="000000" w:sz="4" w:space="0"/>
              <w:right w:val="single" w:color="000000" w:sz="4" w:space="0"/>
            </w:tcBorders>
            <w:vAlign w:val="center"/>
          </w:tcPr>
          <w:p w14:paraId="505FB834">
            <w:pPr>
              <w:pStyle w:val="100"/>
              <w:rPr>
                <w:rFonts w:hAnsi="仿宋"/>
                <w:sz w:val="20"/>
                <w:szCs w:val="20"/>
              </w:rPr>
            </w:pPr>
            <w:r>
              <w:rPr>
                <w:rFonts w:hAnsi="仿宋"/>
                <w:sz w:val="20"/>
                <w:szCs w:val="20"/>
              </w:rPr>
              <w:t>3</w:t>
            </w:r>
          </w:p>
        </w:tc>
        <w:tc>
          <w:tcPr>
            <w:tcW w:w="6772" w:type="dxa"/>
            <w:tcBorders>
              <w:top w:val="single" w:color="000000" w:sz="4" w:space="0"/>
              <w:left w:val="single" w:color="000000" w:sz="4" w:space="0"/>
              <w:bottom w:val="single" w:color="000000" w:sz="4" w:space="0"/>
              <w:right w:val="single" w:color="000000" w:sz="4" w:space="0"/>
            </w:tcBorders>
            <w:vAlign w:val="center"/>
          </w:tcPr>
          <w:p w14:paraId="05702100">
            <w:pPr>
              <w:pStyle w:val="100"/>
              <w:rPr>
                <w:rFonts w:hAnsi="仿宋"/>
                <w:sz w:val="20"/>
                <w:szCs w:val="20"/>
              </w:rPr>
            </w:pPr>
            <w:r>
              <w:rPr>
                <w:rFonts w:hint="eastAsia" w:hAnsi="仿宋"/>
                <w:sz w:val="20"/>
                <w:szCs w:val="20"/>
              </w:rPr>
              <w:t>异常交易的监控及应对</w:t>
            </w:r>
          </w:p>
        </w:tc>
      </w:tr>
      <w:bookmarkEnd w:id="3833"/>
    </w:tbl>
    <w:p w14:paraId="2A83AC2C">
      <w:pPr>
        <w:spacing w:line="288" w:lineRule="auto"/>
        <w:jc w:val="left"/>
        <w:rPr>
          <w:rFonts w:ascii="黑体" w:hAnsi="华文细黑" w:eastAsia="黑体"/>
          <w:b/>
          <w:sz w:val="28"/>
          <w:szCs w:val="28"/>
        </w:rPr>
      </w:pPr>
    </w:p>
    <w:p w14:paraId="120967FB">
      <w:pPr>
        <w:spacing w:line="288" w:lineRule="auto"/>
        <w:jc w:val="left"/>
        <w:rPr>
          <w:rFonts w:ascii="黑体" w:hAnsi="华文细黑" w:eastAsia="黑体"/>
          <w:b/>
          <w:sz w:val="28"/>
          <w:szCs w:val="28"/>
        </w:rPr>
      </w:pPr>
      <w:r>
        <w:rPr>
          <w:rFonts w:hint="eastAsia" w:ascii="黑体" w:hAnsi="华文细黑" w:eastAsia="黑体"/>
          <w:b/>
          <w:sz w:val="28"/>
          <w:szCs w:val="28"/>
        </w:rPr>
        <w:t>四、技术系统</w:t>
      </w:r>
    </w:p>
    <w:tbl>
      <w:tblPr>
        <w:tblStyle w:val="43"/>
        <w:tblW w:w="864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53"/>
        <w:gridCol w:w="656"/>
        <w:gridCol w:w="6833"/>
      </w:tblGrid>
      <w:tr w14:paraId="2DF8F5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53" w:type="dxa"/>
            <w:tcBorders>
              <w:top w:val="single" w:color="000000" w:sz="4" w:space="0"/>
              <w:left w:val="single" w:color="000000" w:sz="4" w:space="0"/>
              <w:bottom w:val="single" w:color="000000" w:sz="4" w:space="0"/>
              <w:right w:val="single" w:color="000000" w:sz="4" w:space="0"/>
            </w:tcBorders>
            <w:vAlign w:val="center"/>
          </w:tcPr>
          <w:p w14:paraId="621F325C">
            <w:pPr>
              <w:pStyle w:val="100"/>
              <w:jc w:val="both"/>
              <w:rPr>
                <w:rFonts w:hAnsi="仿宋"/>
                <w:b/>
                <w:kern w:val="2"/>
                <w:sz w:val="20"/>
                <w:szCs w:val="20"/>
              </w:rPr>
            </w:pPr>
            <w:bookmarkStart w:id="3834" w:name="_Hlk107783635"/>
            <w:r>
              <w:rPr>
                <w:rFonts w:hint="eastAsia" w:hAnsi="仿宋"/>
                <w:b/>
                <w:sz w:val="20"/>
                <w:szCs w:val="20"/>
              </w:rPr>
              <w:t>检查项目</w:t>
            </w:r>
          </w:p>
        </w:tc>
        <w:tc>
          <w:tcPr>
            <w:tcW w:w="656" w:type="dxa"/>
            <w:tcBorders>
              <w:top w:val="single" w:color="000000" w:sz="4" w:space="0"/>
              <w:left w:val="single" w:color="000000" w:sz="4" w:space="0"/>
              <w:bottom w:val="single" w:color="000000" w:sz="4" w:space="0"/>
              <w:right w:val="single" w:color="000000" w:sz="4" w:space="0"/>
            </w:tcBorders>
            <w:vAlign w:val="center"/>
          </w:tcPr>
          <w:p w14:paraId="39DFC63B">
            <w:pPr>
              <w:pStyle w:val="100"/>
              <w:jc w:val="both"/>
              <w:rPr>
                <w:rFonts w:hAnsi="仿宋"/>
                <w:b/>
                <w:kern w:val="2"/>
                <w:sz w:val="20"/>
                <w:szCs w:val="20"/>
              </w:rPr>
            </w:pPr>
            <w:r>
              <w:rPr>
                <w:rFonts w:hint="eastAsia" w:hAnsi="仿宋"/>
                <w:b/>
                <w:sz w:val="20"/>
                <w:szCs w:val="20"/>
              </w:rPr>
              <w:t>编号</w:t>
            </w:r>
          </w:p>
        </w:tc>
        <w:tc>
          <w:tcPr>
            <w:tcW w:w="6833" w:type="dxa"/>
            <w:tcBorders>
              <w:top w:val="single" w:color="000000" w:sz="4" w:space="0"/>
              <w:left w:val="single" w:color="000000" w:sz="4" w:space="0"/>
              <w:bottom w:val="single" w:color="000000" w:sz="4" w:space="0"/>
              <w:right w:val="single" w:color="000000" w:sz="4" w:space="0"/>
            </w:tcBorders>
            <w:vAlign w:val="center"/>
          </w:tcPr>
          <w:p w14:paraId="131A3A8C">
            <w:pPr>
              <w:pStyle w:val="100"/>
              <w:jc w:val="both"/>
              <w:rPr>
                <w:rFonts w:hAnsi="仿宋"/>
                <w:b/>
                <w:kern w:val="2"/>
                <w:sz w:val="20"/>
                <w:szCs w:val="20"/>
              </w:rPr>
            </w:pPr>
            <w:r>
              <w:rPr>
                <w:rFonts w:hint="eastAsia" w:hAnsi="仿宋"/>
                <w:b/>
                <w:sz w:val="20"/>
                <w:szCs w:val="20"/>
              </w:rPr>
              <w:t>检查内容</w:t>
            </w:r>
          </w:p>
        </w:tc>
      </w:tr>
      <w:tr w14:paraId="4D2F66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53" w:type="dxa"/>
            <w:vMerge w:val="restart"/>
            <w:tcBorders>
              <w:top w:val="single" w:color="000000" w:sz="4" w:space="0"/>
              <w:left w:val="single" w:color="000000" w:sz="4" w:space="0"/>
              <w:right w:val="single" w:color="000000" w:sz="4" w:space="0"/>
            </w:tcBorders>
            <w:vAlign w:val="center"/>
          </w:tcPr>
          <w:p w14:paraId="4CC39F6D">
            <w:pPr>
              <w:pStyle w:val="100"/>
              <w:rPr>
                <w:rFonts w:hAnsi="仿宋"/>
                <w:b/>
                <w:kern w:val="2"/>
                <w:sz w:val="20"/>
                <w:szCs w:val="20"/>
              </w:rPr>
            </w:pPr>
            <w:r>
              <w:rPr>
                <w:rFonts w:hint="eastAsia" w:hAnsi="仿宋"/>
                <w:b/>
                <w:sz w:val="20"/>
                <w:szCs w:val="20"/>
              </w:rPr>
              <w:t>技术系统</w:t>
            </w:r>
          </w:p>
          <w:p w14:paraId="6B96CE90">
            <w:pPr>
              <w:pStyle w:val="100"/>
              <w:rPr>
                <w:rFonts w:hAnsi="仿宋"/>
                <w:b/>
                <w:kern w:val="2"/>
                <w:sz w:val="20"/>
                <w:szCs w:val="20"/>
              </w:rPr>
            </w:pPr>
            <w:r>
              <w:rPr>
                <w:rFonts w:hint="eastAsia" w:hAnsi="仿宋"/>
                <w:b/>
                <w:sz w:val="20"/>
                <w:szCs w:val="20"/>
              </w:rPr>
              <w:t>（新债券交易系统/固收</w:t>
            </w:r>
            <w:r>
              <w:rPr>
                <w:rFonts w:hAnsi="仿宋"/>
                <w:b/>
                <w:sz w:val="20"/>
                <w:szCs w:val="20"/>
              </w:rPr>
              <w:t>EzDA/</w:t>
            </w:r>
            <w:r>
              <w:rPr>
                <w:rFonts w:hint="eastAsia" w:hAnsi="仿宋"/>
                <w:b/>
                <w:sz w:val="20"/>
                <w:szCs w:val="20"/>
              </w:rPr>
              <w:t>自动报价）</w:t>
            </w:r>
          </w:p>
        </w:tc>
        <w:tc>
          <w:tcPr>
            <w:tcW w:w="656" w:type="dxa"/>
            <w:tcBorders>
              <w:top w:val="single" w:color="000000" w:sz="4" w:space="0"/>
              <w:left w:val="single" w:color="000000" w:sz="4" w:space="0"/>
              <w:bottom w:val="single" w:color="000000" w:sz="4" w:space="0"/>
              <w:right w:val="single" w:color="000000" w:sz="4" w:space="0"/>
            </w:tcBorders>
            <w:vAlign w:val="center"/>
          </w:tcPr>
          <w:p w14:paraId="6FFE1C8B">
            <w:pPr>
              <w:pStyle w:val="100"/>
              <w:rPr>
                <w:rFonts w:hAnsi="仿宋"/>
                <w:kern w:val="2"/>
                <w:sz w:val="20"/>
                <w:szCs w:val="20"/>
              </w:rPr>
            </w:pPr>
            <w:r>
              <w:rPr>
                <w:rFonts w:hAnsi="仿宋"/>
                <w:sz w:val="20"/>
                <w:szCs w:val="20"/>
              </w:rPr>
              <w:t>1</w:t>
            </w:r>
          </w:p>
        </w:tc>
        <w:tc>
          <w:tcPr>
            <w:tcW w:w="6833" w:type="dxa"/>
            <w:tcBorders>
              <w:top w:val="single" w:color="000000" w:sz="4" w:space="0"/>
              <w:left w:val="single" w:color="000000" w:sz="4" w:space="0"/>
              <w:bottom w:val="single" w:color="000000" w:sz="4" w:space="0"/>
              <w:right w:val="single" w:color="000000" w:sz="4" w:space="0"/>
            </w:tcBorders>
            <w:vAlign w:val="center"/>
          </w:tcPr>
          <w:p w14:paraId="48FE5890">
            <w:pPr>
              <w:pStyle w:val="100"/>
              <w:rPr>
                <w:rFonts w:hAnsi="仿宋"/>
                <w:kern w:val="2"/>
                <w:sz w:val="20"/>
                <w:szCs w:val="20"/>
              </w:rPr>
            </w:pPr>
            <w:r>
              <w:rPr>
                <w:rFonts w:hint="eastAsia" w:hAnsi="仿宋"/>
                <w:sz w:val="20"/>
                <w:szCs w:val="20"/>
              </w:rPr>
              <w:t>系统建设方案</w:t>
            </w:r>
          </w:p>
        </w:tc>
      </w:tr>
      <w:tr w14:paraId="409851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53" w:type="dxa"/>
            <w:vMerge w:val="continue"/>
            <w:tcBorders>
              <w:left w:val="single" w:color="000000" w:sz="4" w:space="0"/>
              <w:right w:val="single" w:color="000000" w:sz="4" w:space="0"/>
            </w:tcBorders>
            <w:vAlign w:val="center"/>
          </w:tcPr>
          <w:p w14:paraId="7E979732">
            <w:pPr>
              <w:pStyle w:val="100"/>
              <w:jc w:val="both"/>
              <w:rPr>
                <w:rFonts w:hAnsi="仿宋"/>
                <w:b/>
                <w:kern w:val="2"/>
                <w:sz w:val="20"/>
                <w:szCs w:val="20"/>
              </w:rPr>
            </w:pPr>
          </w:p>
        </w:tc>
        <w:tc>
          <w:tcPr>
            <w:tcW w:w="656" w:type="dxa"/>
            <w:tcBorders>
              <w:top w:val="single" w:color="000000" w:sz="4" w:space="0"/>
              <w:left w:val="single" w:color="000000" w:sz="4" w:space="0"/>
              <w:bottom w:val="single" w:color="000000" w:sz="4" w:space="0"/>
              <w:right w:val="single" w:color="000000" w:sz="4" w:space="0"/>
            </w:tcBorders>
            <w:vAlign w:val="center"/>
          </w:tcPr>
          <w:p w14:paraId="54930887">
            <w:pPr>
              <w:pStyle w:val="100"/>
              <w:rPr>
                <w:rFonts w:hAnsi="仿宋"/>
                <w:kern w:val="2"/>
                <w:sz w:val="20"/>
                <w:szCs w:val="20"/>
              </w:rPr>
            </w:pPr>
            <w:r>
              <w:rPr>
                <w:rFonts w:hAnsi="仿宋"/>
                <w:sz w:val="20"/>
                <w:szCs w:val="20"/>
              </w:rPr>
              <w:t>2</w:t>
            </w:r>
          </w:p>
        </w:tc>
        <w:tc>
          <w:tcPr>
            <w:tcW w:w="6833" w:type="dxa"/>
            <w:tcBorders>
              <w:top w:val="single" w:color="000000" w:sz="4" w:space="0"/>
              <w:left w:val="single" w:color="000000" w:sz="4" w:space="0"/>
              <w:bottom w:val="single" w:color="000000" w:sz="4" w:space="0"/>
              <w:right w:val="single" w:color="000000" w:sz="4" w:space="0"/>
            </w:tcBorders>
            <w:vAlign w:val="center"/>
          </w:tcPr>
          <w:p w14:paraId="7971E963">
            <w:pPr>
              <w:pStyle w:val="100"/>
              <w:rPr>
                <w:rFonts w:hAnsi="仿宋"/>
                <w:kern w:val="2"/>
                <w:sz w:val="20"/>
                <w:szCs w:val="20"/>
              </w:rPr>
            </w:pPr>
            <w:r>
              <w:rPr>
                <w:rFonts w:hint="eastAsia" w:hAnsi="仿宋"/>
                <w:sz w:val="20"/>
                <w:szCs w:val="20"/>
              </w:rPr>
              <w:t>系统交付物（包括需求规格说明书、技术方案、程序清单、用户手册等）</w:t>
            </w:r>
          </w:p>
        </w:tc>
      </w:tr>
      <w:tr w14:paraId="29B2DE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153" w:type="dxa"/>
            <w:vMerge w:val="continue"/>
            <w:tcBorders>
              <w:left w:val="single" w:color="000000" w:sz="4" w:space="0"/>
              <w:right w:val="single" w:color="000000" w:sz="4" w:space="0"/>
            </w:tcBorders>
            <w:vAlign w:val="center"/>
          </w:tcPr>
          <w:p w14:paraId="7A7012F4">
            <w:pPr>
              <w:pStyle w:val="100"/>
              <w:jc w:val="both"/>
              <w:rPr>
                <w:rFonts w:hAnsi="仿宋"/>
                <w:b/>
                <w:kern w:val="2"/>
                <w:sz w:val="20"/>
                <w:szCs w:val="20"/>
              </w:rPr>
            </w:pPr>
          </w:p>
        </w:tc>
        <w:tc>
          <w:tcPr>
            <w:tcW w:w="656" w:type="dxa"/>
            <w:tcBorders>
              <w:top w:val="single" w:color="000000" w:sz="4" w:space="0"/>
              <w:left w:val="single" w:color="000000" w:sz="4" w:space="0"/>
              <w:bottom w:val="single" w:color="000000" w:sz="4" w:space="0"/>
              <w:right w:val="single" w:color="000000" w:sz="4" w:space="0"/>
            </w:tcBorders>
            <w:vAlign w:val="center"/>
          </w:tcPr>
          <w:p w14:paraId="2814DC03">
            <w:pPr>
              <w:pStyle w:val="100"/>
              <w:rPr>
                <w:rFonts w:hAnsi="仿宋"/>
                <w:kern w:val="2"/>
                <w:sz w:val="20"/>
                <w:szCs w:val="20"/>
              </w:rPr>
            </w:pPr>
            <w:r>
              <w:rPr>
                <w:rFonts w:hAnsi="仿宋"/>
                <w:sz w:val="20"/>
                <w:szCs w:val="20"/>
              </w:rPr>
              <w:t>3</w:t>
            </w:r>
          </w:p>
        </w:tc>
        <w:tc>
          <w:tcPr>
            <w:tcW w:w="6833" w:type="dxa"/>
            <w:tcBorders>
              <w:top w:val="single" w:color="000000" w:sz="4" w:space="0"/>
              <w:left w:val="single" w:color="000000" w:sz="4" w:space="0"/>
              <w:bottom w:val="single" w:color="000000" w:sz="4" w:space="0"/>
              <w:right w:val="single" w:color="000000" w:sz="4" w:space="0"/>
            </w:tcBorders>
            <w:vAlign w:val="center"/>
          </w:tcPr>
          <w:p w14:paraId="46C1F2F2">
            <w:pPr>
              <w:pStyle w:val="100"/>
              <w:rPr>
                <w:rFonts w:hAnsi="仿宋"/>
                <w:kern w:val="2"/>
                <w:sz w:val="20"/>
                <w:szCs w:val="20"/>
              </w:rPr>
            </w:pPr>
            <w:r>
              <w:rPr>
                <w:rFonts w:hint="eastAsia" w:hAnsi="仿宋"/>
                <w:sz w:val="20"/>
                <w:szCs w:val="20"/>
              </w:rPr>
              <w:t>系统配置和部署情况（包括硬件、软件、网络情况等）</w:t>
            </w:r>
          </w:p>
        </w:tc>
      </w:tr>
      <w:tr w14:paraId="42E9AA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53" w:type="dxa"/>
            <w:vMerge w:val="continue"/>
            <w:tcBorders>
              <w:left w:val="single" w:color="000000" w:sz="4" w:space="0"/>
              <w:right w:val="single" w:color="000000" w:sz="4" w:space="0"/>
            </w:tcBorders>
            <w:vAlign w:val="center"/>
          </w:tcPr>
          <w:p w14:paraId="1D61ED6A">
            <w:pPr>
              <w:pStyle w:val="100"/>
              <w:jc w:val="both"/>
              <w:rPr>
                <w:rFonts w:hAnsi="仿宋"/>
                <w:b/>
                <w:kern w:val="2"/>
                <w:sz w:val="20"/>
                <w:szCs w:val="20"/>
              </w:rPr>
            </w:pPr>
          </w:p>
        </w:tc>
        <w:tc>
          <w:tcPr>
            <w:tcW w:w="656" w:type="dxa"/>
            <w:tcBorders>
              <w:top w:val="single" w:color="000000" w:sz="4" w:space="0"/>
              <w:left w:val="single" w:color="000000" w:sz="4" w:space="0"/>
              <w:bottom w:val="single" w:color="000000" w:sz="4" w:space="0"/>
              <w:right w:val="single" w:color="000000" w:sz="4" w:space="0"/>
            </w:tcBorders>
            <w:vAlign w:val="center"/>
          </w:tcPr>
          <w:p w14:paraId="1328C3CC">
            <w:pPr>
              <w:pStyle w:val="100"/>
              <w:rPr>
                <w:rFonts w:hAnsi="仿宋"/>
                <w:kern w:val="2"/>
                <w:sz w:val="20"/>
                <w:szCs w:val="20"/>
              </w:rPr>
            </w:pPr>
            <w:r>
              <w:rPr>
                <w:rFonts w:hAnsi="仿宋"/>
                <w:sz w:val="20"/>
                <w:szCs w:val="20"/>
              </w:rPr>
              <w:t>4</w:t>
            </w:r>
          </w:p>
        </w:tc>
        <w:tc>
          <w:tcPr>
            <w:tcW w:w="6833" w:type="dxa"/>
            <w:tcBorders>
              <w:top w:val="single" w:color="000000" w:sz="4" w:space="0"/>
              <w:left w:val="single" w:color="000000" w:sz="4" w:space="0"/>
              <w:bottom w:val="single" w:color="000000" w:sz="4" w:space="0"/>
              <w:right w:val="single" w:color="000000" w:sz="4" w:space="0"/>
            </w:tcBorders>
            <w:vAlign w:val="center"/>
          </w:tcPr>
          <w:p w14:paraId="331E31FD">
            <w:pPr>
              <w:pStyle w:val="100"/>
              <w:rPr>
                <w:rFonts w:hAnsi="仿宋"/>
                <w:kern w:val="2"/>
                <w:sz w:val="20"/>
                <w:szCs w:val="20"/>
              </w:rPr>
            </w:pPr>
            <w:r>
              <w:rPr>
                <w:rFonts w:hint="eastAsia" w:hAnsi="仿宋"/>
                <w:sz w:val="20"/>
                <w:szCs w:val="20"/>
              </w:rPr>
              <w:t>系统测试情况（包括功能测试、性能测试等）</w:t>
            </w:r>
          </w:p>
        </w:tc>
      </w:tr>
      <w:tr w14:paraId="754674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53" w:type="dxa"/>
            <w:vMerge w:val="continue"/>
            <w:tcBorders>
              <w:left w:val="single" w:color="000000" w:sz="4" w:space="0"/>
              <w:right w:val="single" w:color="000000" w:sz="4" w:space="0"/>
            </w:tcBorders>
            <w:vAlign w:val="center"/>
          </w:tcPr>
          <w:p w14:paraId="5FC3EA1D">
            <w:pPr>
              <w:pStyle w:val="100"/>
              <w:jc w:val="both"/>
              <w:rPr>
                <w:rFonts w:hAnsi="仿宋"/>
                <w:b/>
                <w:kern w:val="2"/>
                <w:sz w:val="20"/>
                <w:szCs w:val="20"/>
              </w:rPr>
            </w:pPr>
          </w:p>
        </w:tc>
        <w:tc>
          <w:tcPr>
            <w:tcW w:w="656" w:type="dxa"/>
            <w:tcBorders>
              <w:top w:val="single" w:color="000000" w:sz="4" w:space="0"/>
              <w:left w:val="single" w:color="000000" w:sz="4" w:space="0"/>
              <w:bottom w:val="single" w:color="000000" w:sz="4" w:space="0"/>
              <w:right w:val="single" w:color="000000" w:sz="4" w:space="0"/>
            </w:tcBorders>
            <w:vAlign w:val="center"/>
          </w:tcPr>
          <w:p w14:paraId="4E9E5463">
            <w:pPr>
              <w:pStyle w:val="100"/>
              <w:rPr>
                <w:rFonts w:hAnsi="仿宋"/>
                <w:kern w:val="2"/>
                <w:sz w:val="20"/>
                <w:szCs w:val="20"/>
              </w:rPr>
            </w:pPr>
            <w:r>
              <w:rPr>
                <w:rFonts w:hAnsi="仿宋"/>
                <w:sz w:val="20"/>
                <w:szCs w:val="20"/>
              </w:rPr>
              <w:t>5</w:t>
            </w:r>
          </w:p>
        </w:tc>
        <w:tc>
          <w:tcPr>
            <w:tcW w:w="6833" w:type="dxa"/>
            <w:tcBorders>
              <w:top w:val="single" w:color="000000" w:sz="4" w:space="0"/>
              <w:left w:val="single" w:color="000000" w:sz="4" w:space="0"/>
              <w:bottom w:val="single" w:color="000000" w:sz="4" w:space="0"/>
              <w:right w:val="single" w:color="000000" w:sz="4" w:space="0"/>
            </w:tcBorders>
            <w:vAlign w:val="center"/>
          </w:tcPr>
          <w:p w14:paraId="1E1DE115">
            <w:pPr>
              <w:pStyle w:val="100"/>
              <w:rPr>
                <w:rFonts w:hAnsi="仿宋"/>
                <w:kern w:val="2"/>
                <w:sz w:val="20"/>
                <w:szCs w:val="20"/>
              </w:rPr>
            </w:pPr>
            <w:r>
              <w:rPr>
                <w:rFonts w:hint="eastAsia" w:hAnsi="仿宋"/>
                <w:sz w:val="20"/>
                <w:szCs w:val="20"/>
              </w:rPr>
              <w:t>运维团队情况（包括人员配备等）</w:t>
            </w:r>
          </w:p>
        </w:tc>
      </w:tr>
      <w:tr w14:paraId="5D9383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 w:hRule="atLeast"/>
        </w:trPr>
        <w:tc>
          <w:tcPr>
            <w:tcW w:w="1153" w:type="dxa"/>
            <w:vMerge w:val="continue"/>
            <w:tcBorders>
              <w:left w:val="single" w:color="000000" w:sz="4" w:space="0"/>
              <w:right w:val="single" w:color="000000" w:sz="4" w:space="0"/>
            </w:tcBorders>
            <w:vAlign w:val="center"/>
          </w:tcPr>
          <w:p w14:paraId="72DF0C30">
            <w:pPr>
              <w:pStyle w:val="100"/>
              <w:jc w:val="both"/>
              <w:rPr>
                <w:rFonts w:hAnsi="仿宋"/>
                <w:b/>
                <w:kern w:val="2"/>
                <w:sz w:val="20"/>
                <w:szCs w:val="20"/>
              </w:rPr>
            </w:pPr>
          </w:p>
        </w:tc>
        <w:tc>
          <w:tcPr>
            <w:tcW w:w="656" w:type="dxa"/>
            <w:tcBorders>
              <w:top w:val="single" w:color="000000" w:sz="4" w:space="0"/>
              <w:left w:val="single" w:color="000000" w:sz="4" w:space="0"/>
              <w:bottom w:val="single" w:color="000000" w:sz="4" w:space="0"/>
              <w:right w:val="single" w:color="000000" w:sz="4" w:space="0"/>
            </w:tcBorders>
            <w:vAlign w:val="center"/>
          </w:tcPr>
          <w:p w14:paraId="45759495">
            <w:pPr>
              <w:pStyle w:val="100"/>
              <w:rPr>
                <w:rFonts w:hAnsi="仿宋"/>
                <w:kern w:val="2"/>
                <w:sz w:val="20"/>
                <w:szCs w:val="20"/>
              </w:rPr>
            </w:pPr>
            <w:r>
              <w:rPr>
                <w:rFonts w:hAnsi="仿宋"/>
                <w:sz w:val="20"/>
                <w:szCs w:val="20"/>
              </w:rPr>
              <w:t>6</w:t>
            </w:r>
          </w:p>
        </w:tc>
        <w:tc>
          <w:tcPr>
            <w:tcW w:w="6833" w:type="dxa"/>
            <w:tcBorders>
              <w:top w:val="single" w:color="000000" w:sz="4" w:space="0"/>
              <w:left w:val="single" w:color="000000" w:sz="4" w:space="0"/>
              <w:bottom w:val="single" w:color="000000" w:sz="4" w:space="0"/>
              <w:right w:val="single" w:color="000000" w:sz="4" w:space="0"/>
            </w:tcBorders>
            <w:vAlign w:val="center"/>
          </w:tcPr>
          <w:p w14:paraId="4E3F432E">
            <w:pPr>
              <w:pStyle w:val="100"/>
              <w:rPr>
                <w:rFonts w:hAnsi="仿宋"/>
                <w:kern w:val="2"/>
                <w:sz w:val="20"/>
                <w:szCs w:val="20"/>
              </w:rPr>
            </w:pPr>
            <w:r>
              <w:rPr>
                <w:rFonts w:hint="eastAsia" w:hAnsi="仿宋"/>
                <w:sz w:val="20"/>
                <w:szCs w:val="20"/>
              </w:rPr>
              <w:t>运维流程情况</w:t>
            </w:r>
          </w:p>
        </w:tc>
      </w:tr>
      <w:tr w14:paraId="5EAA67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0" w:hRule="atLeast"/>
        </w:trPr>
        <w:tc>
          <w:tcPr>
            <w:tcW w:w="1153" w:type="dxa"/>
            <w:vMerge w:val="continue"/>
            <w:tcBorders>
              <w:left w:val="single" w:color="000000" w:sz="4" w:space="0"/>
              <w:right w:val="single" w:color="000000" w:sz="4" w:space="0"/>
            </w:tcBorders>
            <w:vAlign w:val="center"/>
          </w:tcPr>
          <w:p w14:paraId="136CE26F">
            <w:pPr>
              <w:pStyle w:val="100"/>
              <w:jc w:val="both"/>
              <w:rPr>
                <w:rFonts w:hAnsi="仿宋"/>
                <w:b/>
                <w:kern w:val="2"/>
                <w:sz w:val="20"/>
                <w:szCs w:val="20"/>
              </w:rPr>
            </w:pPr>
          </w:p>
        </w:tc>
        <w:tc>
          <w:tcPr>
            <w:tcW w:w="656" w:type="dxa"/>
            <w:tcBorders>
              <w:top w:val="single" w:color="000000" w:sz="4" w:space="0"/>
              <w:left w:val="single" w:color="000000" w:sz="4" w:space="0"/>
              <w:bottom w:val="single" w:color="000000" w:sz="4" w:space="0"/>
              <w:right w:val="single" w:color="000000" w:sz="4" w:space="0"/>
            </w:tcBorders>
            <w:vAlign w:val="center"/>
          </w:tcPr>
          <w:p w14:paraId="755D0886">
            <w:pPr>
              <w:pStyle w:val="100"/>
              <w:rPr>
                <w:rFonts w:hAnsi="仿宋"/>
                <w:kern w:val="2"/>
                <w:sz w:val="20"/>
                <w:szCs w:val="20"/>
              </w:rPr>
            </w:pPr>
            <w:r>
              <w:rPr>
                <w:rFonts w:hAnsi="仿宋"/>
                <w:sz w:val="20"/>
                <w:szCs w:val="20"/>
              </w:rPr>
              <w:t>7</w:t>
            </w:r>
          </w:p>
        </w:tc>
        <w:tc>
          <w:tcPr>
            <w:tcW w:w="6833" w:type="dxa"/>
            <w:tcBorders>
              <w:top w:val="single" w:color="000000" w:sz="4" w:space="0"/>
              <w:left w:val="single" w:color="000000" w:sz="4" w:space="0"/>
              <w:bottom w:val="single" w:color="000000" w:sz="4" w:space="0"/>
              <w:right w:val="single" w:color="000000" w:sz="4" w:space="0"/>
            </w:tcBorders>
            <w:vAlign w:val="center"/>
          </w:tcPr>
          <w:p w14:paraId="525C1C92">
            <w:pPr>
              <w:pStyle w:val="100"/>
              <w:rPr>
                <w:rFonts w:hAnsi="仿宋"/>
                <w:kern w:val="2"/>
                <w:sz w:val="20"/>
                <w:szCs w:val="20"/>
              </w:rPr>
            </w:pPr>
            <w:r>
              <w:rPr>
                <w:rFonts w:hint="eastAsia" w:hAnsi="仿宋"/>
                <w:sz w:val="20"/>
                <w:szCs w:val="20"/>
              </w:rPr>
              <w:t>有系统升级、变更的相关管理规范；</w:t>
            </w:r>
          </w:p>
        </w:tc>
      </w:tr>
      <w:bookmarkEnd w:id="3834"/>
    </w:tbl>
    <w:p w14:paraId="4244042E">
      <w:pPr>
        <w:widowControl/>
        <w:jc w:val="left"/>
        <w:rPr>
          <w:rFonts w:hAnsi="仿宋"/>
          <w:sz w:val="20"/>
          <w:szCs w:val="20"/>
        </w:rPr>
      </w:pPr>
    </w:p>
    <w:p w14:paraId="31B6F429">
      <w:pPr>
        <w:widowControl/>
        <w:jc w:val="left"/>
        <w:outlineLvl w:val="1"/>
        <w:rPr>
          <w:rFonts w:ascii="仿宋_GB2312" w:eastAsia="仿宋_GB2312"/>
          <w:b/>
          <w:sz w:val="30"/>
          <w:szCs w:val="30"/>
        </w:rPr>
      </w:pPr>
      <w:r>
        <w:rPr>
          <w:rFonts w:hAnsi="仿宋"/>
          <w:sz w:val="20"/>
          <w:szCs w:val="20"/>
        </w:rPr>
        <w:br w:type="page"/>
      </w:r>
      <w:bookmarkStart w:id="3835" w:name="_Toc1016882028"/>
      <w:bookmarkStart w:id="3836" w:name="_Toc1732945999"/>
      <w:bookmarkStart w:id="3837" w:name="_Toc1312173981"/>
      <w:bookmarkStart w:id="3838" w:name="_Toc156020115"/>
      <w:bookmarkStart w:id="3839" w:name="_Toc151137094"/>
      <w:r>
        <w:rPr>
          <w:rFonts w:hint="eastAsia" w:ascii="仿宋_GB2312" w:hAnsi="黑体" w:eastAsia="仿宋_GB2312"/>
          <w:b/>
          <w:sz w:val="30"/>
          <w:szCs w:val="30"/>
        </w:rPr>
        <w:t>附件11 债券基准做市业务方案</w:t>
      </w:r>
      <w:bookmarkEnd w:id="3835"/>
      <w:bookmarkEnd w:id="3836"/>
      <w:bookmarkEnd w:id="3837"/>
      <w:bookmarkEnd w:id="3838"/>
      <w:bookmarkEnd w:id="3839"/>
    </w:p>
    <w:p w14:paraId="6AE95E60">
      <w:pPr>
        <w:spacing w:line="600" w:lineRule="exact"/>
        <w:jc w:val="center"/>
        <w:rPr>
          <w:rFonts w:ascii="黑体" w:hAnsi="黑体"/>
          <w:b/>
          <w:sz w:val="44"/>
          <w:szCs w:val="44"/>
        </w:rPr>
      </w:pPr>
    </w:p>
    <w:p w14:paraId="32A23916">
      <w:pPr>
        <w:spacing w:line="600" w:lineRule="exact"/>
        <w:jc w:val="center"/>
        <w:rPr>
          <w:rFonts w:ascii="黑体" w:hAnsi="黑体" w:eastAsia="黑体" w:cs="黑体"/>
          <w:sz w:val="44"/>
          <w:szCs w:val="44"/>
        </w:rPr>
      </w:pPr>
      <w:r>
        <w:rPr>
          <w:rFonts w:hint="eastAsia" w:ascii="黑体" w:hAnsi="黑体" w:eastAsia="黑体" w:cs="黑体"/>
          <w:b/>
          <w:sz w:val="44"/>
          <w:szCs w:val="44"/>
        </w:rPr>
        <w:t>债券基准做市业务方案</w:t>
      </w:r>
    </w:p>
    <w:p w14:paraId="65B5E946">
      <w:pPr>
        <w:spacing w:line="600" w:lineRule="exact"/>
        <w:ind w:firstLine="880"/>
        <w:jc w:val="center"/>
        <w:rPr>
          <w:rFonts w:ascii="仿宋_GB2312" w:eastAsia="仿宋_GB2312"/>
          <w:kern w:val="28"/>
          <w:sz w:val="44"/>
          <w:szCs w:val="44"/>
        </w:rPr>
      </w:pPr>
    </w:p>
    <w:tbl>
      <w:tblPr>
        <w:tblStyle w:val="43"/>
        <w:tblW w:w="49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0"/>
        <w:gridCol w:w="142"/>
        <w:gridCol w:w="709"/>
        <w:gridCol w:w="464"/>
        <w:gridCol w:w="47"/>
        <w:gridCol w:w="337"/>
        <w:gridCol w:w="913"/>
        <w:gridCol w:w="364"/>
        <w:gridCol w:w="1004"/>
        <w:gridCol w:w="415"/>
        <w:gridCol w:w="680"/>
        <w:gridCol w:w="579"/>
        <w:gridCol w:w="1583"/>
      </w:tblGrid>
      <w:tr w14:paraId="4844B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3315" w:type="pct"/>
            <w:gridSpan w:val="10"/>
            <w:vAlign w:val="center"/>
          </w:tcPr>
          <w:p w14:paraId="788BBEDD">
            <w:pPr>
              <w:rPr>
                <w:rFonts w:ascii="仿宋_GB2312" w:eastAsia="仿宋_GB2312"/>
                <w:sz w:val="24"/>
                <w:szCs w:val="24"/>
              </w:rPr>
            </w:pPr>
            <w:r>
              <w:rPr>
                <w:rFonts w:hint="eastAsia" w:ascii="仿宋_GB2312" w:eastAsia="仿宋_GB2312"/>
                <w:sz w:val="24"/>
                <w:szCs w:val="24"/>
              </w:rPr>
              <w:t>申请人全称：</w:t>
            </w:r>
          </w:p>
        </w:tc>
        <w:tc>
          <w:tcPr>
            <w:tcW w:w="1684" w:type="pct"/>
            <w:gridSpan w:val="3"/>
            <w:vAlign w:val="center"/>
          </w:tcPr>
          <w:p w14:paraId="35FB8963">
            <w:pPr>
              <w:rPr>
                <w:rFonts w:ascii="仿宋_GB2312" w:eastAsia="仿宋_GB2312"/>
                <w:sz w:val="24"/>
                <w:szCs w:val="24"/>
              </w:rPr>
            </w:pPr>
            <w:r>
              <w:rPr>
                <w:rFonts w:hint="eastAsia" w:ascii="仿宋_GB2312" w:eastAsia="仿宋_GB2312"/>
                <w:sz w:val="24"/>
                <w:szCs w:val="24"/>
              </w:rPr>
              <w:t>电话：</w:t>
            </w:r>
          </w:p>
        </w:tc>
      </w:tr>
      <w:tr w14:paraId="6DDA0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3315" w:type="pct"/>
            <w:gridSpan w:val="10"/>
            <w:vAlign w:val="center"/>
          </w:tcPr>
          <w:p w14:paraId="7DF94A80">
            <w:pPr>
              <w:rPr>
                <w:rFonts w:ascii="仿宋_GB2312" w:eastAsia="仿宋_GB2312"/>
                <w:sz w:val="24"/>
                <w:szCs w:val="24"/>
              </w:rPr>
            </w:pPr>
            <w:r>
              <w:rPr>
                <w:rFonts w:hint="eastAsia" w:ascii="仿宋_GB2312" w:eastAsia="仿宋_GB2312"/>
                <w:sz w:val="24"/>
                <w:szCs w:val="24"/>
              </w:rPr>
              <w:t xml:space="preserve">公司地址： </w:t>
            </w:r>
          </w:p>
        </w:tc>
        <w:tc>
          <w:tcPr>
            <w:tcW w:w="1684" w:type="pct"/>
            <w:gridSpan w:val="3"/>
            <w:vAlign w:val="center"/>
          </w:tcPr>
          <w:p w14:paraId="2A8D8CA2">
            <w:pPr>
              <w:rPr>
                <w:rFonts w:ascii="仿宋_GB2312" w:eastAsia="仿宋_GB2312"/>
                <w:sz w:val="24"/>
                <w:szCs w:val="24"/>
              </w:rPr>
            </w:pPr>
            <w:r>
              <w:rPr>
                <w:rFonts w:hint="eastAsia" w:ascii="仿宋_GB2312" w:eastAsia="仿宋_GB2312"/>
                <w:sz w:val="24"/>
                <w:szCs w:val="24"/>
              </w:rPr>
              <w:t>传真：</w:t>
            </w:r>
          </w:p>
        </w:tc>
      </w:tr>
      <w:tr w14:paraId="7CB06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1490" w:type="pct"/>
            <w:gridSpan w:val="4"/>
            <w:vAlign w:val="center"/>
          </w:tcPr>
          <w:p w14:paraId="14D9261D">
            <w:pPr>
              <w:rPr>
                <w:rFonts w:ascii="仿宋_GB2312" w:eastAsia="仿宋_GB2312"/>
                <w:sz w:val="24"/>
                <w:szCs w:val="24"/>
              </w:rPr>
            </w:pPr>
            <w:r>
              <w:rPr>
                <w:rFonts w:hint="eastAsia" w:ascii="仿宋_GB2312" w:eastAsia="仿宋_GB2312"/>
                <w:sz w:val="24"/>
                <w:szCs w:val="24"/>
              </w:rPr>
              <w:t>债券投资者类型</w:t>
            </w:r>
          </w:p>
        </w:tc>
        <w:tc>
          <w:tcPr>
            <w:tcW w:w="3509" w:type="pct"/>
            <w:gridSpan w:val="9"/>
            <w:vAlign w:val="center"/>
          </w:tcPr>
          <w:p w14:paraId="587818F7">
            <w:pPr>
              <w:rPr>
                <w:rFonts w:ascii="仿宋_GB2312" w:eastAsia="仿宋_GB2312"/>
                <w:sz w:val="24"/>
                <w:szCs w:val="24"/>
              </w:rPr>
            </w:pPr>
            <w:r>
              <w:rPr>
                <w:rFonts w:hint="eastAsia" w:ascii="仿宋_GB2312" w:eastAsia="仿宋_GB2312"/>
                <w:sz w:val="24"/>
                <w:szCs w:val="24"/>
              </w:rPr>
              <w:t>□证券公司</w:t>
            </w:r>
            <w:r>
              <w:rPr>
                <w:rFonts w:ascii="仿宋_GB2312" w:eastAsia="仿宋_GB2312"/>
                <w:sz w:val="24"/>
                <w:szCs w:val="24"/>
              </w:rPr>
              <w:t xml:space="preserve">  </w:t>
            </w:r>
            <w:r>
              <w:rPr>
                <w:rFonts w:hint="eastAsia" w:ascii="仿宋_GB2312" w:eastAsia="仿宋_GB2312"/>
                <w:sz w:val="24"/>
                <w:szCs w:val="24"/>
              </w:rPr>
              <w:t>□银行  □证券公司资产管理子公司</w:t>
            </w:r>
            <w:r>
              <w:rPr>
                <w:rFonts w:ascii="仿宋_GB2312" w:eastAsia="仿宋_GB2312"/>
                <w:sz w:val="24"/>
                <w:szCs w:val="24"/>
              </w:rPr>
              <w:t xml:space="preserve">  </w:t>
            </w:r>
          </w:p>
          <w:p w14:paraId="47B3BAD5">
            <w:pPr>
              <w:rPr>
                <w:rFonts w:ascii="仿宋_GB2312" w:eastAsia="仿宋_GB2312"/>
                <w:sz w:val="24"/>
                <w:szCs w:val="24"/>
              </w:rPr>
            </w:pPr>
            <w:r>
              <w:rPr>
                <w:rFonts w:hint="eastAsia" w:ascii="仿宋_GB2312" w:eastAsia="仿宋_GB2312"/>
                <w:sz w:val="24"/>
                <w:szCs w:val="24"/>
              </w:rPr>
              <w:t>□银行理财子公司</w:t>
            </w:r>
            <w:r>
              <w:rPr>
                <w:rFonts w:ascii="仿宋_GB2312" w:eastAsia="仿宋_GB2312"/>
                <w:sz w:val="24"/>
                <w:szCs w:val="24"/>
              </w:rPr>
              <w:t xml:space="preserve">  </w:t>
            </w:r>
            <w:r>
              <w:rPr>
                <w:rFonts w:hint="eastAsia" w:ascii="仿宋_GB2312" w:eastAsia="仿宋_GB2312"/>
                <w:sz w:val="24"/>
                <w:szCs w:val="24"/>
              </w:rPr>
              <w:t>□证券投资基金管理公司</w:t>
            </w:r>
            <w:r>
              <w:rPr>
                <w:rFonts w:ascii="仿宋_GB2312" w:eastAsia="仿宋_GB2312"/>
                <w:sz w:val="24"/>
                <w:szCs w:val="24"/>
              </w:rPr>
              <w:t xml:space="preserve">  </w:t>
            </w:r>
          </w:p>
          <w:p w14:paraId="635B89BC">
            <w:pPr>
              <w:rPr>
                <w:rFonts w:ascii="仿宋_GB2312" w:eastAsia="仿宋_GB2312"/>
                <w:sz w:val="24"/>
                <w:szCs w:val="24"/>
              </w:rPr>
            </w:pPr>
            <w:r>
              <w:rPr>
                <w:rFonts w:hint="eastAsia" w:ascii="仿宋_GB2312" w:eastAsia="仿宋_GB2312"/>
                <w:sz w:val="24"/>
                <w:szCs w:val="24"/>
              </w:rPr>
              <w:t>□保险公司 □保险资产管理公司</w:t>
            </w:r>
            <w:r>
              <w:rPr>
                <w:rFonts w:ascii="仿宋_GB2312" w:eastAsia="仿宋_GB2312"/>
                <w:sz w:val="24"/>
                <w:szCs w:val="24"/>
              </w:rPr>
              <w:t xml:space="preserve">  </w:t>
            </w:r>
            <w:r>
              <w:rPr>
                <w:rFonts w:hint="eastAsia" w:ascii="仿宋_GB2312" w:eastAsia="仿宋_GB2312"/>
                <w:sz w:val="24"/>
                <w:szCs w:val="24"/>
              </w:rPr>
              <w:t>□信托公司</w:t>
            </w:r>
            <w:r>
              <w:rPr>
                <w:rFonts w:ascii="仿宋_GB2312" w:eastAsia="仿宋_GB2312"/>
                <w:sz w:val="24"/>
                <w:szCs w:val="24"/>
              </w:rPr>
              <w:t xml:space="preserve">  </w:t>
            </w:r>
          </w:p>
          <w:p w14:paraId="642BC4EC">
            <w:pPr>
              <w:rPr>
                <w:rFonts w:ascii="仿宋_GB2312" w:eastAsia="仿宋_GB2312"/>
                <w:sz w:val="24"/>
                <w:szCs w:val="24"/>
              </w:rPr>
            </w:pPr>
            <w:r>
              <w:rPr>
                <w:rFonts w:hint="eastAsia" w:ascii="仿宋_GB2312" w:eastAsia="仿宋_GB2312"/>
                <w:sz w:val="24"/>
                <w:szCs w:val="24"/>
              </w:rPr>
              <w:t>□财务公司  □期货公司</w:t>
            </w:r>
            <w:r>
              <w:rPr>
                <w:rFonts w:ascii="仿宋_GB2312" w:eastAsia="仿宋_GB2312"/>
                <w:sz w:val="24"/>
                <w:szCs w:val="24"/>
              </w:rPr>
              <w:t xml:space="preserve">  </w:t>
            </w:r>
            <w:r>
              <w:rPr>
                <w:rFonts w:hint="eastAsia" w:ascii="仿宋_GB2312" w:eastAsia="仿宋_GB2312"/>
                <w:sz w:val="24"/>
                <w:szCs w:val="24"/>
              </w:rPr>
              <w:t>□其他机构</w:t>
            </w:r>
            <w:r>
              <w:rPr>
                <w:rFonts w:ascii="仿宋_GB2312" w:eastAsia="仿宋_GB2312"/>
                <w:sz w:val="24"/>
                <w:szCs w:val="24"/>
              </w:rPr>
              <w:t xml:space="preserve"> </w:t>
            </w:r>
          </w:p>
        </w:tc>
      </w:tr>
      <w:tr w14:paraId="4D287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490" w:type="pct"/>
            <w:gridSpan w:val="4"/>
            <w:tcBorders>
              <w:bottom w:val="single" w:color="auto" w:sz="4" w:space="0"/>
            </w:tcBorders>
            <w:vAlign w:val="center"/>
          </w:tcPr>
          <w:p w14:paraId="5785A51C">
            <w:pPr>
              <w:rPr>
                <w:rFonts w:ascii="仿宋_GB2312" w:eastAsia="仿宋_GB2312"/>
                <w:sz w:val="24"/>
                <w:szCs w:val="24"/>
              </w:rPr>
            </w:pPr>
            <w:r>
              <w:rPr>
                <w:rFonts w:hint="eastAsia" w:ascii="仿宋_GB2312" w:eastAsia="仿宋_GB2312"/>
                <w:sz w:val="24"/>
                <w:szCs w:val="24"/>
              </w:rPr>
              <w:t>最近一个会计年度注册资本（万元）</w:t>
            </w:r>
          </w:p>
        </w:tc>
        <w:tc>
          <w:tcPr>
            <w:tcW w:w="985" w:type="pct"/>
            <w:gridSpan w:val="4"/>
            <w:tcBorders>
              <w:bottom w:val="single" w:color="auto" w:sz="4" w:space="0"/>
            </w:tcBorders>
            <w:vAlign w:val="center"/>
          </w:tcPr>
          <w:p w14:paraId="191E5C3A">
            <w:pPr>
              <w:rPr>
                <w:rFonts w:ascii="仿宋_GB2312" w:eastAsia="仿宋_GB2312"/>
                <w:sz w:val="24"/>
                <w:szCs w:val="24"/>
              </w:rPr>
            </w:pPr>
          </w:p>
        </w:tc>
        <w:tc>
          <w:tcPr>
            <w:tcW w:w="1242" w:type="pct"/>
            <w:gridSpan w:val="3"/>
            <w:tcBorders>
              <w:bottom w:val="single" w:color="auto" w:sz="4" w:space="0"/>
            </w:tcBorders>
            <w:vAlign w:val="center"/>
          </w:tcPr>
          <w:p w14:paraId="1590CD40">
            <w:pPr>
              <w:rPr>
                <w:rFonts w:ascii="仿宋_GB2312" w:eastAsia="仿宋_GB2312"/>
                <w:sz w:val="24"/>
                <w:szCs w:val="24"/>
              </w:rPr>
            </w:pPr>
            <w:r>
              <w:rPr>
                <w:rFonts w:hint="eastAsia" w:ascii="仿宋_GB2312" w:eastAsia="仿宋_GB2312"/>
                <w:sz w:val="24"/>
                <w:szCs w:val="24"/>
              </w:rPr>
              <w:t>最近一个会计年度净资本（万元）</w:t>
            </w:r>
          </w:p>
        </w:tc>
        <w:tc>
          <w:tcPr>
            <w:tcW w:w="1281" w:type="pct"/>
            <w:gridSpan w:val="2"/>
            <w:tcBorders>
              <w:bottom w:val="single" w:color="auto" w:sz="4" w:space="0"/>
            </w:tcBorders>
            <w:vAlign w:val="center"/>
          </w:tcPr>
          <w:p w14:paraId="4E608D19">
            <w:pPr>
              <w:rPr>
                <w:rFonts w:ascii="仿宋_GB2312" w:eastAsia="仿宋_GB2312"/>
                <w:sz w:val="24"/>
                <w:szCs w:val="24"/>
              </w:rPr>
            </w:pPr>
          </w:p>
        </w:tc>
      </w:tr>
      <w:tr w14:paraId="5230B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490" w:type="pct"/>
            <w:gridSpan w:val="4"/>
            <w:vMerge w:val="restart"/>
            <w:vAlign w:val="center"/>
          </w:tcPr>
          <w:p w14:paraId="73F92C21">
            <w:pPr>
              <w:rPr>
                <w:rFonts w:ascii="仿宋_GB2312" w:eastAsia="仿宋_GB2312"/>
                <w:sz w:val="24"/>
                <w:szCs w:val="24"/>
              </w:rPr>
            </w:pPr>
            <w:r>
              <w:rPr>
                <w:rFonts w:hint="eastAsia" w:ascii="仿宋_GB2312" w:eastAsia="仿宋_GB2312"/>
                <w:sz w:val="24"/>
                <w:szCs w:val="24"/>
              </w:rPr>
              <w:t>最近2年交易所市场债券现券年交易量（亿元）</w:t>
            </w:r>
          </w:p>
        </w:tc>
        <w:tc>
          <w:tcPr>
            <w:tcW w:w="985" w:type="pct"/>
            <w:gridSpan w:val="4"/>
            <w:tcBorders>
              <w:bottom w:val="single" w:color="auto" w:sz="4" w:space="0"/>
            </w:tcBorders>
            <w:vAlign w:val="center"/>
          </w:tcPr>
          <w:p w14:paraId="7CBFD973">
            <w:pPr>
              <w:rPr>
                <w:rFonts w:ascii="仿宋_GB2312" w:eastAsia="仿宋_GB2312"/>
                <w:sz w:val="24"/>
                <w:szCs w:val="24"/>
              </w:rPr>
            </w:pPr>
            <w:r>
              <w:rPr>
                <w:rFonts w:hint="eastAsia" w:ascii="仿宋_GB2312" w:eastAsia="仿宋_GB2312"/>
                <w:sz w:val="24"/>
                <w:szCs w:val="24"/>
              </w:rPr>
              <w:t>去年</w:t>
            </w:r>
            <w:r>
              <w:rPr>
                <w:rFonts w:ascii="仿宋_GB2312" w:eastAsia="仿宋_GB2312"/>
                <w:sz w:val="24"/>
                <w:szCs w:val="24"/>
              </w:rPr>
              <w:t>:</w:t>
            </w:r>
          </w:p>
        </w:tc>
        <w:tc>
          <w:tcPr>
            <w:tcW w:w="1242" w:type="pct"/>
            <w:gridSpan w:val="3"/>
            <w:vMerge w:val="restart"/>
            <w:vAlign w:val="center"/>
          </w:tcPr>
          <w:p w14:paraId="548711F0">
            <w:pPr>
              <w:rPr>
                <w:rFonts w:ascii="仿宋_GB2312" w:eastAsia="仿宋_GB2312"/>
                <w:sz w:val="24"/>
                <w:szCs w:val="24"/>
              </w:rPr>
            </w:pPr>
            <w:r>
              <w:rPr>
                <w:rFonts w:hint="eastAsia" w:ascii="仿宋_GB2312" w:eastAsia="仿宋_GB2312"/>
                <w:sz w:val="24"/>
                <w:szCs w:val="24"/>
              </w:rPr>
              <w:t>最近2年交易所市场债券现券年日均持仓量（亿元）</w:t>
            </w:r>
          </w:p>
        </w:tc>
        <w:tc>
          <w:tcPr>
            <w:tcW w:w="1281" w:type="pct"/>
            <w:gridSpan w:val="2"/>
            <w:vAlign w:val="center"/>
          </w:tcPr>
          <w:p w14:paraId="603116CD">
            <w:pPr>
              <w:rPr>
                <w:rFonts w:ascii="仿宋_GB2312" w:eastAsia="仿宋_GB2312"/>
                <w:sz w:val="24"/>
                <w:szCs w:val="24"/>
              </w:rPr>
            </w:pPr>
            <w:r>
              <w:rPr>
                <w:rFonts w:hint="eastAsia" w:ascii="仿宋_GB2312" w:eastAsia="仿宋_GB2312"/>
                <w:sz w:val="24"/>
                <w:szCs w:val="24"/>
              </w:rPr>
              <w:t>去年</w:t>
            </w:r>
            <w:r>
              <w:rPr>
                <w:rFonts w:ascii="仿宋_GB2312" w:eastAsia="仿宋_GB2312"/>
                <w:sz w:val="24"/>
                <w:szCs w:val="24"/>
              </w:rPr>
              <w:t>:</w:t>
            </w:r>
          </w:p>
        </w:tc>
      </w:tr>
      <w:tr w14:paraId="6FF74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90" w:type="pct"/>
            <w:gridSpan w:val="4"/>
            <w:vMerge w:val="continue"/>
            <w:tcBorders>
              <w:bottom w:val="single" w:color="auto" w:sz="4" w:space="0"/>
            </w:tcBorders>
            <w:vAlign w:val="center"/>
          </w:tcPr>
          <w:p w14:paraId="2FE28CEE">
            <w:pPr>
              <w:rPr>
                <w:rFonts w:ascii="仿宋_GB2312" w:eastAsia="仿宋_GB2312"/>
                <w:sz w:val="24"/>
                <w:szCs w:val="24"/>
              </w:rPr>
            </w:pPr>
          </w:p>
        </w:tc>
        <w:tc>
          <w:tcPr>
            <w:tcW w:w="985" w:type="pct"/>
            <w:gridSpan w:val="4"/>
            <w:tcBorders>
              <w:bottom w:val="single" w:color="auto" w:sz="4" w:space="0"/>
            </w:tcBorders>
            <w:vAlign w:val="center"/>
          </w:tcPr>
          <w:p w14:paraId="6F0843BE">
            <w:pPr>
              <w:rPr>
                <w:rFonts w:ascii="仿宋_GB2312" w:eastAsia="仿宋_GB2312"/>
                <w:sz w:val="24"/>
                <w:szCs w:val="24"/>
              </w:rPr>
            </w:pPr>
            <w:r>
              <w:rPr>
                <w:rFonts w:hint="eastAsia" w:ascii="仿宋_GB2312" w:eastAsia="仿宋_GB2312"/>
                <w:sz w:val="24"/>
                <w:szCs w:val="24"/>
              </w:rPr>
              <w:t>前年</w:t>
            </w:r>
            <w:r>
              <w:rPr>
                <w:rFonts w:ascii="仿宋_GB2312" w:eastAsia="仿宋_GB2312"/>
                <w:sz w:val="24"/>
                <w:szCs w:val="24"/>
              </w:rPr>
              <w:t>:</w:t>
            </w:r>
          </w:p>
        </w:tc>
        <w:tc>
          <w:tcPr>
            <w:tcW w:w="1242" w:type="pct"/>
            <w:gridSpan w:val="3"/>
            <w:vMerge w:val="continue"/>
            <w:tcBorders>
              <w:bottom w:val="single" w:color="auto" w:sz="4" w:space="0"/>
            </w:tcBorders>
            <w:vAlign w:val="center"/>
          </w:tcPr>
          <w:p w14:paraId="493A7303">
            <w:pPr>
              <w:rPr>
                <w:rFonts w:ascii="仿宋_GB2312" w:eastAsia="仿宋_GB2312"/>
                <w:sz w:val="24"/>
                <w:szCs w:val="24"/>
              </w:rPr>
            </w:pPr>
          </w:p>
        </w:tc>
        <w:tc>
          <w:tcPr>
            <w:tcW w:w="1281" w:type="pct"/>
            <w:gridSpan w:val="2"/>
            <w:tcBorders>
              <w:bottom w:val="single" w:color="auto" w:sz="4" w:space="0"/>
            </w:tcBorders>
            <w:vAlign w:val="center"/>
          </w:tcPr>
          <w:p w14:paraId="6F28F3EA">
            <w:pPr>
              <w:rPr>
                <w:rFonts w:ascii="仿宋_GB2312" w:eastAsia="仿宋_GB2312"/>
                <w:sz w:val="24"/>
                <w:szCs w:val="24"/>
              </w:rPr>
            </w:pPr>
            <w:r>
              <w:rPr>
                <w:rFonts w:hint="eastAsia" w:ascii="仿宋_GB2312" w:eastAsia="仿宋_GB2312"/>
                <w:sz w:val="24"/>
                <w:szCs w:val="24"/>
              </w:rPr>
              <w:t>前年</w:t>
            </w:r>
            <w:r>
              <w:rPr>
                <w:rFonts w:ascii="仿宋_GB2312" w:eastAsia="仿宋_GB2312"/>
                <w:sz w:val="24"/>
                <w:szCs w:val="24"/>
              </w:rPr>
              <w:t>:</w:t>
            </w:r>
          </w:p>
        </w:tc>
      </w:tr>
      <w:tr w14:paraId="34551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490" w:type="pct"/>
            <w:gridSpan w:val="4"/>
            <w:vMerge w:val="restart"/>
            <w:vAlign w:val="center"/>
          </w:tcPr>
          <w:p w14:paraId="29D4C3C4">
            <w:pPr>
              <w:rPr>
                <w:rFonts w:ascii="仿宋_GB2312" w:eastAsia="仿宋_GB2312"/>
                <w:sz w:val="24"/>
                <w:szCs w:val="24"/>
              </w:rPr>
            </w:pPr>
            <w:r>
              <w:rPr>
                <w:rFonts w:hint="eastAsia" w:ascii="仿宋_GB2312" w:eastAsia="仿宋_GB2312"/>
                <w:sz w:val="24"/>
                <w:szCs w:val="24"/>
              </w:rPr>
              <w:t>最近2年银行间市场债券现券年交易量（亿元）</w:t>
            </w:r>
          </w:p>
        </w:tc>
        <w:tc>
          <w:tcPr>
            <w:tcW w:w="985" w:type="pct"/>
            <w:gridSpan w:val="4"/>
            <w:tcBorders>
              <w:bottom w:val="single" w:color="auto" w:sz="4" w:space="0"/>
            </w:tcBorders>
            <w:vAlign w:val="center"/>
          </w:tcPr>
          <w:p w14:paraId="32805764">
            <w:pPr>
              <w:rPr>
                <w:rFonts w:ascii="仿宋_GB2312" w:eastAsia="仿宋_GB2312"/>
                <w:sz w:val="24"/>
                <w:szCs w:val="24"/>
              </w:rPr>
            </w:pPr>
            <w:r>
              <w:rPr>
                <w:rFonts w:hint="eastAsia" w:ascii="仿宋_GB2312" w:eastAsia="仿宋_GB2312"/>
                <w:sz w:val="24"/>
                <w:szCs w:val="24"/>
              </w:rPr>
              <w:t>去年</w:t>
            </w:r>
            <w:r>
              <w:rPr>
                <w:rFonts w:ascii="仿宋_GB2312" w:eastAsia="仿宋_GB2312"/>
                <w:sz w:val="24"/>
                <w:szCs w:val="24"/>
              </w:rPr>
              <w:t>:</w:t>
            </w:r>
          </w:p>
        </w:tc>
        <w:tc>
          <w:tcPr>
            <w:tcW w:w="1242" w:type="pct"/>
            <w:gridSpan w:val="3"/>
            <w:vMerge w:val="restart"/>
            <w:vAlign w:val="center"/>
          </w:tcPr>
          <w:p w14:paraId="4EFC6DCB">
            <w:pPr>
              <w:rPr>
                <w:rFonts w:ascii="仿宋_GB2312" w:eastAsia="仿宋_GB2312"/>
                <w:sz w:val="24"/>
                <w:szCs w:val="24"/>
              </w:rPr>
            </w:pPr>
            <w:r>
              <w:rPr>
                <w:rFonts w:hint="eastAsia" w:ascii="仿宋_GB2312" w:eastAsia="仿宋_GB2312"/>
                <w:sz w:val="24"/>
                <w:szCs w:val="24"/>
              </w:rPr>
              <w:t>最近2年银行间市场债券现券年日均持仓量（亿元）</w:t>
            </w:r>
          </w:p>
        </w:tc>
        <w:tc>
          <w:tcPr>
            <w:tcW w:w="1281" w:type="pct"/>
            <w:gridSpan w:val="2"/>
            <w:vAlign w:val="center"/>
          </w:tcPr>
          <w:p w14:paraId="4C44296C">
            <w:pPr>
              <w:rPr>
                <w:rFonts w:ascii="仿宋_GB2312" w:eastAsia="仿宋_GB2312"/>
                <w:sz w:val="24"/>
                <w:szCs w:val="24"/>
              </w:rPr>
            </w:pPr>
            <w:r>
              <w:rPr>
                <w:rFonts w:hint="eastAsia" w:ascii="仿宋_GB2312" w:eastAsia="仿宋_GB2312"/>
                <w:sz w:val="24"/>
                <w:szCs w:val="24"/>
              </w:rPr>
              <w:t>去年</w:t>
            </w:r>
            <w:r>
              <w:rPr>
                <w:rFonts w:ascii="仿宋_GB2312" w:eastAsia="仿宋_GB2312"/>
                <w:sz w:val="24"/>
                <w:szCs w:val="24"/>
              </w:rPr>
              <w:t>:</w:t>
            </w:r>
          </w:p>
        </w:tc>
      </w:tr>
      <w:tr w14:paraId="1616A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90" w:type="pct"/>
            <w:gridSpan w:val="4"/>
            <w:vMerge w:val="continue"/>
            <w:tcBorders>
              <w:bottom w:val="single" w:color="auto" w:sz="4" w:space="0"/>
            </w:tcBorders>
            <w:vAlign w:val="center"/>
          </w:tcPr>
          <w:p w14:paraId="06CAFB74">
            <w:pPr>
              <w:rPr>
                <w:rFonts w:ascii="仿宋_GB2312" w:eastAsia="仿宋_GB2312"/>
                <w:sz w:val="24"/>
                <w:szCs w:val="24"/>
              </w:rPr>
            </w:pPr>
          </w:p>
        </w:tc>
        <w:tc>
          <w:tcPr>
            <w:tcW w:w="985" w:type="pct"/>
            <w:gridSpan w:val="4"/>
            <w:tcBorders>
              <w:bottom w:val="single" w:color="auto" w:sz="4" w:space="0"/>
            </w:tcBorders>
            <w:vAlign w:val="center"/>
          </w:tcPr>
          <w:p w14:paraId="2E88A60B">
            <w:pPr>
              <w:rPr>
                <w:rFonts w:ascii="仿宋_GB2312" w:eastAsia="仿宋_GB2312"/>
                <w:sz w:val="24"/>
                <w:szCs w:val="24"/>
              </w:rPr>
            </w:pPr>
            <w:r>
              <w:rPr>
                <w:rFonts w:hint="eastAsia" w:ascii="仿宋_GB2312" w:eastAsia="仿宋_GB2312"/>
                <w:sz w:val="24"/>
                <w:szCs w:val="24"/>
              </w:rPr>
              <w:t>前年</w:t>
            </w:r>
            <w:r>
              <w:rPr>
                <w:rFonts w:ascii="仿宋_GB2312" w:eastAsia="仿宋_GB2312"/>
                <w:sz w:val="24"/>
                <w:szCs w:val="24"/>
              </w:rPr>
              <w:t>:</w:t>
            </w:r>
          </w:p>
        </w:tc>
        <w:tc>
          <w:tcPr>
            <w:tcW w:w="1242" w:type="pct"/>
            <w:gridSpan w:val="3"/>
            <w:vMerge w:val="continue"/>
            <w:tcBorders>
              <w:bottom w:val="single" w:color="auto" w:sz="4" w:space="0"/>
            </w:tcBorders>
            <w:vAlign w:val="center"/>
          </w:tcPr>
          <w:p w14:paraId="16A246C8">
            <w:pPr>
              <w:rPr>
                <w:rFonts w:ascii="仿宋_GB2312" w:eastAsia="仿宋_GB2312"/>
                <w:sz w:val="24"/>
                <w:szCs w:val="24"/>
              </w:rPr>
            </w:pPr>
          </w:p>
        </w:tc>
        <w:tc>
          <w:tcPr>
            <w:tcW w:w="1281" w:type="pct"/>
            <w:gridSpan w:val="2"/>
            <w:tcBorders>
              <w:bottom w:val="single" w:color="auto" w:sz="4" w:space="0"/>
            </w:tcBorders>
            <w:vAlign w:val="center"/>
          </w:tcPr>
          <w:p w14:paraId="7910A099">
            <w:pPr>
              <w:rPr>
                <w:rFonts w:ascii="仿宋_GB2312" w:eastAsia="仿宋_GB2312"/>
                <w:sz w:val="24"/>
                <w:szCs w:val="24"/>
              </w:rPr>
            </w:pPr>
            <w:r>
              <w:rPr>
                <w:rFonts w:hint="eastAsia" w:ascii="仿宋_GB2312" w:eastAsia="仿宋_GB2312"/>
                <w:sz w:val="24"/>
                <w:szCs w:val="24"/>
              </w:rPr>
              <w:t>前年</w:t>
            </w:r>
            <w:r>
              <w:rPr>
                <w:rFonts w:ascii="仿宋_GB2312" w:eastAsia="仿宋_GB2312"/>
                <w:sz w:val="24"/>
                <w:szCs w:val="24"/>
              </w:rPr>
              <w:t>:</w:t>
            </w:r>
          </w:p>
        </w:tc>
      </w:tr>
      <w:tr w14:paraId="6EE51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711" w:type="pct"/>
            <w:tcBorders>
              <w:bottom w:val="single" w:color="auto" w:sz="4" w:space="0"/>
            </w:tcBorders>
            <w:vAlign w:val="center"/>
          </w:tcPr>
          <w:p w14:paraId="72846DA2">
            <w:pPr>
              <w:rPr>
                <w:rFonts w:ascii="仿宋_GB2312" w:eastAsia="仿宋_GB2312"/>
                <w:sz w:val="24"/>
                <w:szCs w:val="24"/>
              </w:rPr>
            </w:pPr>
            <w:r>
              <w:rPr>
                <w:rFonts w:hint="eastAsia" w:ascii="仿宋_GB2312" w:eastAsia="仿宋_GB2312"/>
                <w:sz w:val="24"/>
                <w:szCs w:val="24"/>
              </w:rPr>
              <w:t>证券或资金违约情况说明</w:t>
            </w:r>
          </w:p>
        </w:tc>
        <w:tc>
          <w:tcPr>
            <w:tcW w:w="4288" w:type="pct"/>
            <w:gridSpan w:val="12"/>
            <w:tcBorders>
              <w:bottom w:val="single" w:color="auto" w:sz="4" w:space="0"/>
            </w:tcBorders>
            <w:vAlign w:val="center"/>
          </w:tcPr>
          <w:p w14:paraId="34D07BF5">
            <w:pPr>
              <w:rPr>
                <w:rFonts w:ascii="仿宋_GB2312" w:eastAsia="仿宋_GB2312"/>
                <w:sz w:val="24"/>
                <w:szCs w:val="24"/>
              </w:rPr>
            </w:pPr>
            <w:r>
              <w:rPr>
                <w:rFonts w:hint="eastAsia" w:ascii="仿宋_GB2312" w:eastAsia="仿宋_GB2312"/>
                <w:sz w:val="24"/>
                <w:szCs w:val="24"/>
              </w:rPr>
              <w:t>近两年是否发生过监管机构关注的证券或资金交收违约事件（包括交易所及银行间债券市场）。如有，请说明相关情况。</w:t>
            </w:r>
          </w:p>
        </w:tc>
      </w:tr>
      <w:tr w14:paraId="09A29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711" w:type="pct"/>
            <w:tcBorders>
              <w:bottom w:val="single" w:color="auto" w:sz="4" w:space="0"/>
            </w:tcBorders>
            <w:vAlign w:val="center"/>
          </w:tcPr>
          <w:p w14:paraId="54782FD8">
            <w:pPr>
              <w:rPr>
                <w:rFonts w:ascii="仿宋_GB2312" w:eastAsia="仿宋_GB2312"/>
                <w:sz w:val="24"/>
                <w:szCs w:val="24"/>
              </w:rPr>
            </w:pPr>
            <w:r>
              <w:rPr>
                <w:rFonts w:hint="eastAsia" w:ascii="仿宋_GB2312" w:eastAsia="仿宋_GB2312"/>
                <w:sz w:val="24"/>
                <w:szCs w:val="24"/>
              </w:rPr>
              <w:t>合规情况说明</w:t>
            </w:r>
          </w:p>
        </w:tc>
        <w:tc>
          <w:tcPr>
            <w:tcW w:w="4288" w:type="pct"/>
            <w:gridSpan w:val="12"/>
            <w:tcBorders>
              <w:bottom w:val="single" w:color="auto" w:sz="4" w:space="0"/>
            </w:tcBorders>
            <w:vAlign w:val="center"/>
          </w:tcPr>
          <w:p w14:paraId="6BEF5112">
            <w:pPr>
              <w:rPr>
                <w:rFonts w:ascii="仿宋_GB2312" w:eastAsia="仿宋_GB2312"/>
                <w:sz w:val="24"/>
                <w:szCs w:val="24"/>
              </w:rPr>
            </w:pPr>
            <w:r>
              <w:rPr>
                <w:rFonts w:hint="eastAsia" w:ascii="仿宋_GB2312" w:eastAsia="仿宋_GB2312"/>
                <w:sz w:val="24"/>
                <w:szCs w:val="24"/>
              </w:rPr>
              <w:t>近两年</w:t>
            </w:r>
            <w:r>
              <w:rPr>
                <w:rFonts w:ascii="仿宋_GB2312" w:eastAsia="仿宋_GB2312"/>
                <w:sz w:val="24"/>
                <w:szCs w:val="24"/>
              </w:rPr>
              <w:t>是否</w:t>
            </w:r>
            <w:r>
              <w:rPr>
                <w:rFonts w:hint="eastAsia" w:ascii="仿宋_GB2312" w:eastAsia="仿宋_GB2312"/>
                <w:sz w:val="24"/>
                <w:szCs w:val="24"/>
              </w:rPr>
              <w:t>因为违法或重大违规受到处罚（包括交易所及银行间债券市场）。</w:t>
            </w:r>
            <w:r>
              <w:rPr>
                <w:rFonts w:ascii="仿宋_GB2312" w:eastAsia="仿宋_GB2312"/>
                <w:sz w:val="24"/>
                <w:szCs w:val="24"/>
              </w:rPr>
              <w:t>如有，</w:t>
            </w:r>
            <w:r>
              <w:rPr>
                <w:rFonts w:hint="eastAsia" w:ascii="仿宋_GB2312" w:eastAsia="仿宋_GB2312"/>
                <w:sz w:val="24"/>
                <w:szCs w:val="24"/>
              </w:rPr>
              <w:t>请</w:t>
            </w:r>
            <w:r>
              <w:rPr>
                <w:rFonts w:ascii="仿宋_GB2312" w:eastAsia="仿宋_GB2312"/>
                <w:sz w:val="24"/>
                <w:szCs w:val="24"/>
              </w:rPr>
              <w:t>说明相关情况。</w:t>
            </w:r>
          </w:p>
        </w:tc>
      </w:tr>
      <w:tr w14:paraId="1F7AF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711" w:type="pct"/>
            <w:vAlign w:val="center"/>
          </w:tcPr>
          <w:p w14:paraId="18D1AFDA">
            <w:pPr>
              <w:rPr>
                <w:rFonts w:ascii="仿宋_GB2312" w:eastAsia="仿宋_GB2312"/>
                <w:sz w:val="24"/>
                <w:szCs w:val="24"/>
              </w:rPr>
            </w:pPr>
            <w:r>
              <w:rPr>
                <w:rFonts w:hint="eastAsia" w:ascii="仿宋_GB2312" w:eastAsia="仿宋_GB2312"/>
                <w:sz w:val="24"/>
                <w:szCs w:val="24"/>
              </w:rPr>
              <w:t>做市业务负责人</w:t>
            </w:r>
          </w:p>
        </w:tc>
        <w:tc>
          <w:tcPr>
            <w:tcW w:w="504" w:type="pct"/>
            <w:gridSpan w:val="2"/>
            <w:vAlign w:val="center"/>
          </w:tcPr>
          <w:p w14:paraId="16F8EF76">
            <w:pPr>
              <w:rPr>
                <w:rFonts w:ascii="仿宋_GB2312" w:eastAsia="仿宋_GB2312"/>
                <w:sz w:val="24"/>
                <w:szCs w:val="24"/>
              </w:rPr>
            </w:pPr>
            <w:r>
              <w:rPr>
                <w:rFonts w:hint="eastAsia" w:ascii="仿宋_GB2312" w:eastAsia="仿宋_GB2312"/>
                <w:sz w:val="24"/>
                <w:szCs w:val="24"/>
              </w:rPr>
              <w:t>部门</w:t>
            </w:r>
          </w:p>
        </w:tc>
        <w:tc>
          <w:tcPr>
            <w:tcW w:w="503" w:type="pct"/>
            <w:gridSpan w:val="3"/>
            <w:vAlign w:val="center"/>
          </w:tcPr>
          <w:p w14:paraId="5B2F793B">
            <w:pPr>
              <w:rPr>
                <w:rFonts w:ascii="仿宋_GB2312" w:eastAsia="仿宋_GB2312"/>
                <w:sz w:val="24"/>
                <w:szCs w:val="24"/>
              </w:rPr>
            </w:pPr>
            <w:r>
              <w:rPr>
                <w:rFonts w:hint="eastAsia" w:ascii="仿宋_GB2312" w:eastAsia="仿宋_GB2312"/>
                <w:sz w:val="24"/>
                <w:szCs w:val="24"/>
              </w:rPr>
              <w:t>职务</w:t>
            </w:r>
          </w:p>
        </w:tc>
        <w:tc>
          <w:tcPr>
            <w:tcW w:w="756" w:type="pct"/>
            <w:gridSpan w:val="2"/>
            <w:vAlign w:val="center"/>
          </w:tcPr>
          <w:p w14:paraId="6685634C">
            <w:pPr>
              <w:rPr>
                <w:rFonts w:ascii="仿宋_GB2312" w:eastAsia="仿宋_GB2312"/>
                <w:sz w:val="24"/>
                <w:szCs w:val="24"/>
              </w:rPr>
            </w:pPr>
            <w:r>
              <w:rPr>
                <w:rFonts w:hint="eastAsia" w:ascii="仿宋_GB2312" w:eastAsia="仿宋_GB2312"/>
                <w:sz w:val="24"/>
                <w:szCs w:val="24"/>
              </w:rPr>
              <w:t>电话</w:t>
            </w:r>
          </w:p>
        </w:tc>
        <w:tc>
          <w:tcPr>
            <w:tcW w:w="839" w:type="pct"/>
            <w:gridSpan w:val="2"/>
            <w:vAlign w:val="center"/>
          </w:tcPr>
          <w:p w14:paraId="71C81D42">
            <w:pPr>
              <w:ind w:firstLine="26" w:firstLineChars="11"/>
              <w:rPr>
                <w:rFonts w:ascii="仿宋_GB2312" w:eastAsia="仿宋_GB2312"/>
                <w:sz w:val="24"/>
                <w:szCs w:val="24"/>
              </w:rPr>
            </w:pPr>
            <w:r>
              <w:rPr>
                <w:rFonts w:hint="eastAsia" w:ascii="仿宋_GB2312" w:eastAsia="仿宋_GB2312"/>
                <w:sz w:val="24"/>
                <w:szCs w:val="24"/>
              </w:rPr>
              <w:t>手机</w:t>
            </w:r>
          </w:p>
        </w:tc>
        <w:tc>
          <w:tcPr>
            <w:tcW w:w="746" w:type="pct"/>
            <w:gridSpan w:val="2"/>
            <w:vAlign w:val="center"/>
          </w:tcPr>
          <w:p w14:paraId="1B7D401A">
            <w:pPr>
              <w:ind w:firstLine="26" w:firstLineChars="11"/>
              <w:rPr>
                <w:rFonts w:ascii="仿宋_GB2312" w:eastAsia="仿宋_GB2312"/>
                <w:sz w:val="24"/>
                <w:szCs w:val="24"/>
              </w:rPr>
            </w:pPr>
            <w:r>
              <w:rPr>
                <w:rFonts w:hint="eastAsia" w:ascii="仿宋_GB2312" w:eastAsia="仿宋_GB2312"/>
                <w:sz w:val="24"/>
                <w:szCs w:val="24"/>
              </w:rPr>
              <w:t>传真</w:t>
            </w:r>
          </w:p>
        </w:tc>
        <w:tc>
          <w:tcPr>
            <w:tcW w:w="938" w:type="pct"/>
            <w:vAlign w:val="center"/>
          </w:tcPr>
          <w:p w14:paraId="5E541D2F">
            <w:pPr>
              <w:ind w:firstLine="26" w:firstLineChars="11"/>
              <w:rPr>
                <w:rFonts w:ascii="仿宋_GB2312" w:eastAsia="仿宋_GB2312"/>
                <w:sz w:val="24"/>
                <w:szCs w:val="24"/>
              </w:rPr>
            </w:pPr>
            <w:r>
              <w:rPr>
                <w:rFonts w:ascii="仿宋_GB2312" w:eastAsia="仿宋_GB2312"/>
                <w:sz w:val="24"/>
                <w:szCs w:val="24"/>
              </w:rPr>
              <w:t>E-mail</w:t>
            </w:r>
          </w:p>
        </w:tc>
      </w:tr>
      <w:tr w14:paraId="08B31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711" w:type="pct"/>
            <w:vAlign w:val="center"/>
          </w:tcPr>
          <w:p w14:paraId="0A5BB3AF">
            <w:pPr>
              <w:rPr>
                <w:rFonts w:ascii="仿宋_GB2312" w:eastAsia="仿宋_GB2312"/>
                <w:sz w:val="24"/>
                <w:szCs w:val="24"/>
              </w:rPr>
            </w:pPr>
          </w:p>
        </w:tc>
        <w:tc>
          <w:tcPr>
            <w:tcW w:w="504" w:type="pct"/>
            <w:gridSpan w:val="2"/>
            <w:vAlign w:val="center"/>
          </w:tcPr>
          <w:p w14:paraId="7438BEF9">
            <w:pPr>
              <w:rPr>
                <w:rFonts w:ascii="仿宋_GB2312" w:eastAsia="仿宋_GB2312"/>
                <w:sz w:val="24"/>
                <w:szCs w:val="24"/>
              </w:rPr>
            </w:pPr>
          </w:p>
        </w:tc>
        <w:tc>
          <w:tcPr>
            <w:tcW w:w="503" w:type="pct"/>
            <w:gridSpan w:val="3"/>
            <w:vAlign w:val="center"/>
          </w:tcPr>
          <w:p w14:paraId="08E0ABC7">
            <w:pPr>
              <w:rPr>
                <w:rFonts w:ascii="仿宋_GB2312" w:eastAsia="仿宋_GB2312"/>
                <w:sz w:val="24"/>
                <w:szCs w:val="24"/>
              </w:rPr>
            </w:pPr>
          </w:p>
        </w:tc>
        <w:tc>
          <w:tcPr>
            <w:tcW w:w="756" w:type="pct"/>
            <w:gridSpan w:val="2"/>
            <w:vAlign w:val="center"/>
          </w:tcPr>
          <w:p w14:paraId="689C6014">
            <w:pPr>
              <w:rPr>
                <w:rFonts w:ascii="仿宋_GB2312" w:eastAsia="仿宋_GB2312"/>
                <w:sz w:val="24"/>
                <w:szCs w:val="24"/>
              </w:rPr>
            </w:pPr>
          </w:p>
        </w:tc>
        <w:tc>
          <w:tcPr>
            <w:tcW w:w="839" w:type="pct"/>
            <w:gridSpan w:val="2"/>
            <w:vAlign w:val="center"/>
          </w:tcPr>
          <w:p w14:paraId="709015CA">
            <w:pPr>
              <w:rPr>
                <w:rFonts w:ascii="仿宋_GB2312" w:eastAsia="仿宋_GB2312"/>
                <w:sz w:val="24"/>
                <w:szCs w:val="24"/>
              </w:rPr>
            </w:pPr>
          </w:p>
        </w:tc>
        <w:tc>
          <w:tcPr>
            <w:tcW w:w="746" w:type="pct"/>
            <w:gridSpan w:val="2"/>
            <w:vAlign w:val="center"/>
          </w:tcPr>
          <w:p w14:paraId="7014C0C3">
            <w:pPr>
              <w:rPr>
                <w:rFonts w:ascii="仿宋_GB2312" w:eastAsia="仿宋_GB2312"/>
                <w:sz w:val="24"/>
                <w:szCs w:val="24"/>
              </w:rPr>
            </w:pPr>
          </w:p>
        </w:tc>
        <w:tc>
          <w:tcPr>
            <w:tcW w:w="938" w:type="pct"/>
            <w:vAlign w:val="center"/>
          </w:tcPr>
          <w:p w14:paraId="2C3FB372">
            <w:pPr>
              <w:rPr>
                <w:rFonts w:ascii="仿宋_GB2312" w:eastAsia="仿宋_GB2312"/>
                <w:sz w:val="24"/>
                <w:szCs w:val="24"/>
              </w:rPr>
            </w:pPr>
          </w:p>
        </w:tc>
      </w:tr>
      <w:tr w14:paraId="1D4CB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711" w:type="pct"/>
            <w:vAlign w:val="center"/>
          </w:tcPr>
          <w:p w14:paraId="37DB0558">
            <w:pPr>
              <w:rPr>
                <w:rFonts w:ascii="仿宋_GB2312" w:eastAsia="仿宋_GB2312"/>
                <w:sz w:val="24"/>
                <w:szCs w:val="24"/>
              </w:rPr>
            </w:pPr>
            <w:r>
              <w:rPr>
                <w:rFonts w:hint="eastAsia" w:ascii="仿宋_GB2312" w:eastAsia="仿宋_GB2312"/>
                <w:sz w:val="24"/>
                <w:szCs w:val="24"/>
              </w:rPr>
              <w:t>做市业务联络人</w:t>
            </w:r>
          </w:p>
        </w:tc>
        <w:tc>
          <w:tcPr>
            <w:tcW w:w="504" w:type="pct"/>
            <w:gridSpan w:val="2"/>
            <w:vAlign w:val="center"/>
          </w:tcPr>
          <w:p w14:paraId="08261975">
            <w:pPr>
              <w:rPr>
                <w:rFonts w:ascii="仿宋_GB2312" w:eastAsia="仿宋_GB2312"/>
                <w:sz w:val="24"/>
                <w:szCs w:val="24"/>
              </w:rPr>
            </w:pPr>
            <w:r>
              <w:rPr>
                <w:rFonts w:hint="eastAsia" w:ascii="仿宋_GB2312" w:eastAsia="仿宋_GB2312"/>
                <w:sz w:val="24"/>
                <w:szCs w:val="24"/>
              </w:rPr>
              <w:t>部门</w:t>
            </w:r>
          </w:p>
        </w:tc>
        <w:tc>
          <w:tcPr>
            <w:tcW w:w="503" w:type="pct"/>
            <w:gridSpan w:val="3"/>
            <w:vAlign w:val="center"/>
          </w:tcPr>
          <w:p w14:paraId="5D2D96AD">
            <w:pPr>
              <w:rPr>
                <w:rFonts w:ascii="仿宋_GB2312" w:eastAsia="仿宋_GB2312"/>
                <w:sz w:val="24"/>
                <w:szCs w:val="24"/>
              </w:rPr>
            </w:pPr>
            <w:r>
              <w:rPr>
                <w:rFonts w:hint="eastAsia" w:ascii="仿宋_GB2312" w:eastAsia="仿宋_GB2312"/>
                <w:sz w:val="24"/>
                <w:szCs w:val="24"/>
              </w:rPr>
              <w:t>职务</w:t>
            </w:r>
          </w:p>
        </w:tc>
        <w:tc>
          <w:tcPr>
            <w:tcW w:w="756" w:type="pct"/>
            <w:gridSpan w:val="2"/>
            <w:vAlign w:val="center"/>
          </w:tcPr>
          <w:p w14:paraId="5296B2C0">
            <w:pPr>
              <w:rPr>
                <w:rFonts w:ascii="仿宋_GB2312" w:eastAsia="仿宋_GB2312"/>
                <w:sz w:val="24"/>
                <w:szCs w:val="24"/>
              </w:rPr>
            </w:pPr>
            <w:r>
              <w:rPr>
                <w:rFonts w:hint="eastAsia" w:ascii="仿宋_GB2312" w:eastAsia="仿宋_GB2312"/>
                <w:sz w:val="24"/>
                <w:szCs w:val="24"/>
              </w:rPr>
              <w:t>电话</w:t>
            </w:r>
          </w:p>
        </w:tc>
        <w:tc>
          <w:tcPr>
            <w:tcW w:w="839" w:type="pct"/>
            <w:gridSpan w:val="2"/>
            <w:vAlign w:val="center"/>
          </w:tcPr>
          <w:p w14:paraId="25DC1C44">
            <w:pPr>
              <w:rPr>
                <w:rFonts w:ascii="仿宋_GB2312" w:eastAsia="仿宋_GB2312"/>
                <w:sz w:val="24"/>
                <w:szCs w:val="24"/>
              </w:rPr>
            </w:pPr>
            <w:r>
              <w:rPr>
                <w:rFonts w:hint="eastAsia" w:ascii="仿宋_GB2312" w:eastAsia="仿宋_GB2312"/>
                <w:sz w:val="24"/>
                <w:szCs w:val="24"/>
              </w:rPr>
              <w:t>手机</w:t>
            </w:r>
          </w:p>
        </w:tc>
        <w:tc>
          <w:tcPr>
            <w:tcW w:w="746" w:type="pct"/>
            <w:gridSpan w:val="2"/>
            <w:vAlign w:val="center"/>
          </w:tcPr>
          <w:p w14:paraId="713DC9EB">
            <w:pPr>
              <w:rPr>
                <w:rFonts w:ascii="仿宋_GB2312" w:eastAsia="仿宋_GB2312"/>
                <w:sz w:val="24"/>
                <w:szCs w:val="24"/>
              </w:rPr>
            </w:pPr>
            <w:r>
              <w:rPr>
                <w:rFonts w:hint="eastAsia" w:ascii="仿宋_GB2312" w:eastAsia="仿宋_GB2312"/>
                <w:sz w:val="24"/>
                <w:szCs w:val="24"/>
              </w:rPr>
              <w:t>传真</w:t>
            </w:r>
          </w:p>
        </w:tc>
        <w:tc>
          <w:tcPr>
            <w:tcW w:w="938" w:type="pct"/>
            <w:vAlign w:val="center"/>
          </w:tcPr>
          <w:p w14:paraId="3A625638">
            <w:pPr>
              <w:rPr>
                <w:rFonts w:ascii="仿宋_GB2312" w:eastAsia="仿宋_GB2312"/>
                <w:sz w:val="24"/>
                <w:szCs w:val="24"/>
              </w:rPr>
            </w:pPr>
            <w:r>
              <w:rPr>
                <w:rFonts w:ascii="仿宋_GB2312" w:eastAsia="仿宋_GB2312"/>
                <w:sz w:val="24"/>
                <w:szCs w:val="24"/>
              </w:rPr>
              <w:t>E-mail</w:t>
            </w:r>
          </w:p>
        </w:tc>
      </w:tr>
      <w:tr w14:paraId="4FC92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711" w:type="pct"/>
            <w:vAlign w:val="center"/>
          </w:tcPr>
          <w:p w14:paraId="2783DD11">
            <w:pPr>
              <w:ind w:firstLine="480"/>
              <w:rPr>
                <w:rFonts w:ascii="仿宋_GB2312" w:eastAsia="仿宋_GB2312"/>
                <w:sz w:val="24"/>
                <w:szCs w:val="24"/>
              </w:rPr>
            </w:pPr>
          </w:p>
        </w:tc>
        <w:tc>
          <w:tcPr>
            <w:tcW w:w="504" w:type="pct"/>
            <w:gridSpan w:val="2"/>
            <w:vAlign w:val="center"/>
          </w:tcPr>
          <w:p w14:paraId="044FFEE8">
            <w:pPr>
              <w:ind w:firstLine="480"/>
              <w:rPr>
                <w:rFonts w:ascii="仿宋_GB2312" w:eastAsia="仿宋_GB2312"/>
                <w:sz w:val="24"/>
                <w:szCs w:val="24"/>
              </w:rPr>
            </w:pPr>
          </w:p>
        </w:tc>
        <w:tc>
          <w:tcPr>
            <w:tcW w:w="503" w:type="pct"/>
            <w:gridSpan w:val="3"/>
            <w:vAlign w:val="center"/>
          </w:tcPr>
          <w:p w14:paraId="140E5DEB">
            <w:pPr>
              <w:ind w:firstLine="480"/>
              <w:rPr>
                <w:rFonts w:ascii="仿宋_GB2312" w:eastAsia="仿宋_GB2312"/>
                <w:sz w:val="24"/>
                <w:szCs w:val="24"/>
              </w:rPr>
            </w:pPr>
          </w:p>
        </w:tc>
        <w:tc>
          <w:tcPr>
            <w:tcW w:w="756" w:type="pct"/>
            <w:gridSpan w:val="2"/>
            <w:vAlign w:val="center"/>
          </w:tcPr>
          <w:p w14:paraId="14FFCE30">
            <w:pPr>
              <w:ind w:firstLine="480"/>
              <w:rPr>
                <w:rFonts w:ascii="仿宋_GB2312" w:eastAsia="仿宋_GB2312"/>
                <w:sz w:val="24"/>
                <w:szCs w:val="24"/>
              </w:rPr>
            </w:pPr>
          </w:p>
        </w:tc>
        <w:tc>
          <w:tcPr>
            <w:tcW w:w="839" w:type="pct"/>
            <w:gridSpan w:val="2"/>
            <w:vAlign w:val="center"/>
          </w:tcPr>
          <w:p w14:paraId="736F861B">
            <w:pPr>
              <w:ind w:firstLine="480"/>
              <w:rPr>
                <w:rFonts w:ascii="仿宋_GB2312" w:eastAsia="仿宋_GB2312"/>
                <w:sz w:val="24"/>
                <w:szCs w:val="24"/>
              </w:rPr>
            </w:pPr>
          </w:p>
        </w:tc>
        <w:tc>
          <w:tcPr>
            <w:tcW w:w="746" w:type="pct"/>
            <w:gridSpan w:val="2"/>
            <w:vAlign w:val="center"/>
          </w:tcPr>
          <w:p w14:paraId="55F94713">
            <w:pPr>
              <w:ind w:firstLine="480"/>
              <w:rPr>
                <w:rFonts w:ascii="仿宋_GB2312" w:eastAsia="仿宋_GB2312"/>
                <w:sz w:val="24"/>
                <w:szCs w:val="24"/>
              </w:rPr>
            </w:pPr>
          </w:p>
        </w:tc>
        <w:tc>
          <w:tcPr>
            <w:tcW w:w="938" w:type="pct"/>
            <w:vAlign w:val="center"/>
          </w:tcPr>
          <w:p w14:paraId="3463470A">
            <w:pPr>
              <w:ind w:firstLine="480"/>
              <w:rPr>
                <w:rFonts w:ascii="仿宋_GB2312" w:eastAsia="仿宋_GB2312"/>
                <w:sz w:val="24"/>
                <w:szCs w:val="24"/>
              </w:rPr>
            </w:pPr>
          </w:p>
        </w:tc>
      </w:tr>
      <w:tr w14:paraId="32AA6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000" w:type="pct"/>
            <w:gridSpan w:val="13"/>
            <w:tcBorders>
              <w:top w:val="single" w:color="auto" w:sz="4" w:space="0"/>
              <w:left w:val="single" w:color="auto" w:sz="4" w:space="0"/>
              <w:bottom w:val="single" w:color="auto" w:sz="4" w:space="0"/>
              <w:right w:val="single" w:color="auto" w:sz="4" w:space="0"/>
            </w:tcBorders>
            <w:shd w:val="clear" w:color="auto" w:fill="F2F2F2"/>
            <w:vAlign w:val="center"/>
          </w:tcPr>
          <w:p w14:paraId="269B2C30">
            <w:pPr>
              <w:rPr>
                <w:rFonts w:ascii="仿宋_GB2312" w:eastAsia="仿宋_GB2312"/>
                <w:sz w:val="24"/>
                <w:szCs w:val="24"/>
              </w:rPr>
            </w:pPr>
            <w:r>
              <w:rPr>
                <w:rFonts w:hint="eastAsia" w:ascii="仿宋_GB2312" w:eastAsia="仿宋_GB2312"/>
                <w:sz w:val="24"/>
                <w:szCs w:val="24"/>
              </w:rPr>
              <w:t>本机构基本情况（包括但不限于</w:t>
            </w:r>
            <w:r>
              <w:rPr>
                <w:rFonts w:ascii="仿宋_GB2312" w:eastAsia="仿宋_GB2312"/>
                <w:sz w:val="24"/>
                <w:szCs w:val="24"/>
              </w:rPr>
              <w:t>公司及做市相关部门基本情况</w:t>
            </w:r>
            <w:r>
              <w:rPr>
                <w:rFonts w:hint="eastAsia" w:ascii="仿宋_GB2312" w:eastAsia="仿宋_GB2312"/>
                <w:sz w:val="24"/>
                <w:szCs w:val="24"/>
              </w:rPr>
              <w:t>、</w:t>
            </w:r>
            <w:r>
              <w:rPr>
                <w:rFonts w:ascii="仿宋_GB2312" w:eastAsia="仿宋_GB2312"/>
                <w:sz w:val="24"/>
                <w:szCs w:val="24"/>
              </w:rPr>
              <w:t>公司治理机制、金融市场投资交易经验）</w:t>
            </w:r>
          </w:p>
          <w:p w14:paraId="7AFB0241">
            <w:pPr>
              <w:rPr>
                <w:rFonts w:ascii="仿宋_GB2312" w:eastAsia="仿宋_GB2312"/>
                <w:sz w:val="24"/>
                <w:szCs w:val="24"/>
              </w:rPr>
            </w:pPr>
          </w:p>
          <w:p w14:paraId="2C3E561D">
            <w:pPr>
              <w:rPr>
                <w:rFonts w:ascii="仿宋_GB2312" w:eastAsia="仿宋_GB2312"/>
                <w:sz w:val="24"/>
                <w:szCs w:val="24"/>
              </w:rPr>
            </w:pPr>
          </w:p>
        </w:tc>
      </w:tr>
      <w:tr w14:paraId="34DEC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6" w:hRule="atLeast"/>
          <w:jc w:val="center"/>
        </w:trPr>
        <w:tc>
          <w:tcPr>
            <w:tcW w:w="5000" w:type="pct"/>
            <w:gridSpan w:val="13"/>
            <w:tcBorders>
              <w:top w:val="single" w:color="auto" w:sz="4" w:space="0"/>
              <w:left w:val="single" w:color="auto" w:sz="4" w:space="0"/>
              <w:bottom w:val="single" w:color="auto" w:sz="4" w:space="0"/>
              <w:right w:val="single" w:color="auto" w:sz="4" w:space="0"/>
            </w:tcBorders>
            <w:shd w:val="clear" w:color="auto" w:fill="F2F2F2"/>
          </w:tcPr>
          <w:p w14:paraId="1BE1266D">
            <w:pPr>
              <w:rPr>
                <w:rFonts w:ascii="仿宋_GB2312" w:eastAsia="仿宋_GB2312"/>
                <w:sz w:val="24"/>
                <w:szCs w:val="24"/>
              </w:rPr>
            </w:pPr>
            <w:r>
              <w:rPr>
                <w:rFonts w:hint="eastAsia" w:ascii="仿宋_GB2312" w:eastAsia="仿宋_GB2312"/>
                <w:sz w:val="24"/>
                <w:szCs w:val="24"/>
              </w:rPr>
              <w:t>业务</w:t>
            </w:r>
            <w:r>
              <w:rPr>
                <w:rFonts w:ascii="仿宋_GB2312" w:eastAsia="仿宋_GB2312"/>
                <w:sz w:val="24"/>
                <w:szCs w:val="24"/>
              </w:rPr>
              <w:t>开展情况</w:t>
            </w:r>
          </w:p>
          <w:p w14:paraId="64AE8ADC">
            <w:pPr>
              <w:rPr>
                <w:rFonts w:ascii="仿宋_GB2312" w:eastAsia="仿宋_GB2312"/>
                <w:sz w:val="24"/>
                <w:szCs w:val="24"/>
              </w:rPr>
            </w:pPr>
            <w:r>
              <w:rPr>
                <w:rFonts w:hint="eastAsia" w:ascii="仿宋_GB2312" w:eastAsia="仿宋_GB2312"/>
                <w:sz w:val="24"/>
                <w:szCs w:val="24"/>
              </w:rPr>
              <w:t>（包括但不限于</w:t>
            </w:r>
            <w:r>
              <w:rPr>
                <w:rFonts w:ascii="仿宋_GB2312" w:eastAsia="仿宋_GB2312"/>
                <w:sz w:val="24"/>
                <w:szCs w:val="24"/>
              </w:rPr>
              <w:t>近两年</w:t>
            </w:r>
            <w:r>
              <w:rPr>
                <w:rFonts w:hint="eastAsia" w:ascii="仿宋_GB2312" w:eastAsia="仿宋_GB2312"/>
                <w:sz w:val="24"/>
                <w:szCs w:val="24"/>
              </w:rPr>
              <w:t>交易所</w:t>
            </w:r>
            <w:r>
              <w:rPr>
                <w:rFonts w:ascii="仿宋_GB2312" w:eastAsia="仿宋_GB2312"/>
                <w:sz w:val="24"/>
                <w:szCs w:val="24"/>
              </w:rPr>
              <w:t>债券市场交易情况、</w:t>
            </w:r>
            <w:r>
              <w:rPr>
                <w:rFonts w:hint="eastAsia" w:ascii="仿宋_GB2312" w:eastAsia="仿宋_GB2312"/>
                <w:sz w:val="24"/>
                <w:szCs w:val="24"/>
              </w:rPr>
              <w:t>其他</w:t>
            </w:r>
            <w:r>
              <w:rPr>
                <w:rFonts w:ascii="仿宋_GB2312" w:eastAsia="仿宋_GB2312"/>
                <w:sz w:val="24"/>
                <w:szCs w:val="24"/>
              </w:rPr>
              <w:t>相关做市业务</w:t>
            </w:r>
            <w:r>
              <w:rPr>
                <w:rFonts w:hint="eastAsia" w:ascii="仿宋_GB2312" w:eastAsia="仿宋_GB2312"/>
                <w:sz w:val="24"/>
                <w:szCs w:val="24"/>
              </w:rPr>
              <w:t>开展</w:t>
            </w:r>
            <w:r>
              <w:rPr>
                <w:rFonts w:ascii="仿宋_GB2312" w:eastAsia="仿宋_GB2312"/>
                <w:sz w:val="24"/>
                <w:szCs w:val="24"/>
              </w:rPr>
              <w:t>情况</w:t>
            </w:r>
            <w:r>
              <w:rPr>
                <w:rFonts w:hint="eastAsia" w:ascii="仿宋_GB2312" w:eastAsia="仿宋_GB2312"/>
                <w:sz w:val="24"/>
                <w:szCs w:val="24"/>
              </w:rPr>
              <w:t>）</w:t>
            </w:r>
          </w:p>
          <w:p w14:paraId="2D237A27">
            <w:pPr>
              <w:rPr>
                <w:rFonts w:ascii="仿宋_GB2312" w:eastAsia="仿宋_GB2312"/>
                <w:sz w:val="24"/>
                <w:szCs w:val="24"/>
              </w:rPr>
            </w:pPr>
          </w:p>
        </w:tc>
      </w:tr>
      <w:tr w14:paraId="4FD83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4" w:hRule="atLeast"/>
          <w:jc w:val="center"/>
        </w:trPr>
        <w:tc>
          <w:tcPr>
            <w:tcW w:w="5000" w:type="pct"/>
            <w:gridSpan w:val="13"/>
            <w:tcBorders>
              <w:top w:val="single" w:color="auto" w:sz="4" w:space="0"/>
              <w:left w:val="single" w:color="auto" w:sz="4" w:space="0"/>
              <w:bottom w:val="single" w:color="auto" w:sz="4" w:space="0"/>
              <w:right w:val="single" w:color="auto" w:sz="4" w:space="0"/>
            </w:tcBorders>
            <w:shd w:val="clear" w:color="auto" w:fill="F2F2F2"/>
          </w:tcPr>
          <w:p w14:paraId="7478092F">
            <w:pPr>
              <w:rPr>
                <w:rFonts w:ascii="仿宋_GB2312" w:eastAsia="仿宋_GB2312"/>
                <w:sz w:val="24"/>
                <w:szCs w:val="24"/>
              </w:rPr>
            </w:pPr>
            <w:r>
              <w:rPr>
                <w:rFonts w:hint="eastAsia" w:ascii="仿宋_GB2312" w:eastAsia="仿宋_GB2312"/>
                <w:sz w:val="24"/>
                <w:szCs w:val="24"/>
              </w:rPr>
              <w:t>内部管理办法</w:t>
            </w:r>
          </w:p>
          <w:p w14:paraId="7FA23A59">
            <w:pPr>
              <w:rPr>
                <w:rFonts w:ascii="仿宋_GB2312" w:eastAsia="仿宋_GB2312"/>
                <w:sz w:val="24"/>
                <w:szCs w:val="24"/>
              </w:rPr>
            </w:pPr>
            <w:r>
              <w:rPr>
                <w:rFonts w:hint="eastAsia" w:ascii="仿宋_GB2312" w:eastAsia="仿宋_GB2312"/>
                <w:sz w:val="24"/>
                <w:szCs w:val="24"/>
              </w:rPr>
              <w:t>（包括但不限于做市内部管理制度、</w:t>
            </w:r>
            <w:r>
              <w:rPr>
                <w:rFonts w:ascii="仿宋_GB2312" w:eastAsia="仿宋_GB2312"/>
                <w:sz w:val="24"/>
                <w:szCs w:val="24"/>
              </w:rPr>
              <w:t>操作流程</w:t>
            </w:r>
            <w:r>
              <w:rPr>
                <w:rFonts w:hint="eastAsia" w:ascii="仿宋_GB2312" w:eastAsia="仿宋_GB2312"/>
                <w:sz w:val="24"/>
                <w:szCs w:val="24"/>
              </w:rPr>
              <w:t>及</w:t>
            </w:r>
            <w:r>
              <w:rPr>
                <w:rFonts w:ascii="仿宋_GB2312" w:eastAsia="仿宋_GB2312"/>
                <w:sz w:val="24"/>
                <w:szCs w:val="24"/>
              </w:rPr>
              <w:t>权限管理</w:t>
            </w:r>
            <w:r>
              <w:rPr>
                <w:rFonts w:hint="eastAsia" w:ascii="仿宋_GB2312" w:eastAsia="仿宋_GB2312"/>
                <w:sz w:val="24"/>
                <w:szCs w:val="24"/>
              </w:rPr>
              <w:t>）</w:t>
            </w:r>
          </w:p>
        </w:tc>
      </w:tr>
      <w:tr w14:paraId="42F8E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8" w:hRule="atLeast"/>
          <w:jc w:val="center"/>
        </w:trPr>
        <w:tc>
          <w:tcPr>
            <w:tcW w:w="5000" w:type="pct"/>
            <w:gridSpan w:val="13"/>
            <w:tcBorders>
              <w:top w:val="single" w:color="auto" w:sz="4" w:space="0"/>
              <w:left w:val="single" w:color="auto" w:sz="4" w:space="0"/>
              <w:bottom w:val="single" w:color="auto" w:sz="4" w:space="0"/>
              <w:right w:val="single" w:color="auto" w:sz="4" w:space="0"/>
            </w:tcBorders>
            <w:shd w:val="clear" w:color="auto" w:fill="F2F2F2"/>
          </w:tcPr>
          <w:p w14:paraId="482C20FC">
            <w:pPr>
              <w:rPr>
                <w:rFonts w:ascii="仿宋_GB2312" w:eastAsia="仿宋_GB2312"/>
                <w:sz w:val="24"/>
                <w:szCs w:val="24"/>
              </w:rPr>
            </w:pPr>
            <w:r>
              <w:rPr>
                <w:rFonts w:hint="eastAsia" w:ascii="仿宋_GB2312" w:eastAsia="仿宋_GB2312"/>
                <w:sz w:val="24"/>
                <w:szCs w:val="24"/>
              </w:rPr>
              <w:t>信息技术情况</w:t>
            </w:r>
          </w:p>
          <w:p w14:paraId="520F9850">
            <w:pPr>
              <w:rPr>
                <w:rFonts w:ascii="仿宋_GB2312" w:eastAsia="仿宋_GB2312"/>
                <w:sz w:val="24"/>
                <w:szCs w:val="24"/>
              </w:rPr>
            </w:pPr>
            <w:r>
              <w:rPr>
                <w:rFonts w:hint="eastAsia" w:ascii="仿宋_GB2312" w:eastAsia="仿宋_GB2312"/>
                <w:sz w:val="24"/>
                <w:szCs w:val="24"/>
              </w:rPr>
              <w:t>（</w:t>
            </w:r>
            <w:r>
              <w:rPr>
                <w:rFonts w:ascii="仿宋_GB2312" w:eastAsia="仿宋_GB2312"/>
                <w:sz w:val="24"/>
                <w:szCs w:val="24"/>
              </w:rPr>
              <w:t>包括但不限于做市业务相关的信息技术</w:t>
            </w:r>
            <w:r>
              <w:rPr>
                <w:rFonts w:hint="eastAsia" w:ascii="仿宋_GB2312" w:eastAsia="仿宋_GB2312"/>
                <w:sz w:val="24"/>
                <w:szCs w:val="24"/>
              </w:rPr>
              <w:t>设施、</w:t>
            </w:r>
            <w:r>
              <w:rPr>
                <w:rFonts w:ascii="仿宋_GB2312" w:eastAsia="仿宋_GB2312"/>
                <w:sz w:val="24"/>
                <w:szCs w:val="24"/>
              </w:rPr>
              <w:t>支持人员信息系统</w:t>
            </w:r>
            <w:r>
              <w:rPr>
                <w:rFonts w:hint="eastAsia" w:ascii="仿宋_GB2312" w:eastAsia="仿宋_GB2312"/>
                <w:sz w:val="24"/>
                <w:szCs w:val="24"/>
              </w:rPr>
              <w:t>管理制度</w:t>
            </w:r>
            <w:r>
              <w:rPr>
                <w:rFonts w:ascii="仿宋_GB2312" w:eastAsia="仿宋_GB2312"/>
                <w:sz w:val="24"/>
                <w:szCs w:val="24"/>
              </w:rPr>
              <w:t>等情况说明。</w:t>
            </w:r>
            <w:r>
              <w:rPr>
                <w:rFonts w:hint="eastAsia" w:ascii="仿宋_GB2312" w:eastAsia="仿宋_GB2312"/>
                <w:sz w:val="24"/>
                <w:szCs w:val="24"/>
              </w:rPr>
              <w:t>拟开展程序化</w:t>
            </w:r>
            <w:r>
              <w:rPr>
                <w:rFonts w:ascii="仿宋_GB2312" w:eastAsia="仿宋_GB2312"/>
                <w:sz w:val="24"/>
                <w:szCs w:val="24"/>
              </w:rPr>
              <w:t>交易的，应就报价策略、风控措施、应急预案等事项作出说明</w:t>
            </w:r>
            <w:r>
              <w:rPr>
                <w:rFonts w:hint="eastAsia" w:ascii="仿宋_GB2312" w:eastAsia="仿宋_GB2312"/>
                <w:sz w:val="24"/>
                <w:szCs w:val="24"/>
              </w:rPr>
              <w:t>）</w:t>
            </w:r>
          </w:p>
          <w:p w14:paraId="543E5A7D">
            <w:pPr>
              <w:rPr>
                <w:rFonts w:ascii="仿宋_GB2312" w:eastAsia="仿宋_GB2312"/>
                <w:sz w:val="24"/>
                <w:szCs w:val="24"/>
              </w:rPr>
            </w:pPr>
          </w:p>
        </w:tc>
      </w:tr>
      <w:tr w14:paraId="29C8A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000" w:type="pct"/>
            <w:gridSpan w:val="13"/>
            <w:tcBorders>
              <w:top w:val="single" w:color="auto" w:sz="4" w:space="0"/>
              <w:left w:val="single" w:color="auto" w:sz="4" w:space="0"/>
              <w:bottom w:val="single" w:color="auto" w:sz="4" w:space="0"/>
              <w:right w:val="single" w:color="auto" w:sz="4" w:space="0"/>
            </w:tcBorders>
            <w:shd w:val="clear" w:color="auto" w:fill="F2F2F2"/>
            <w:vAlign w:val="center"/>
          </w:tcPr>
          <w:p w14:paraId="0BAFA932">
            <w:pPr>
              <w:rPr>
                <w:rFonts w:ascii="仿宋_GB2312" w:eastAsia="仿宋_GB2312"/>
                <w:sz w:val="24"/>
                <w:szCs w:val="24"/>
              </w:rPr>
            </w:pPr>
            <w:r>
              <w:rPr>
                <w:rFonts w:hint="eastAsia" w:ascii="仿宋_GB2312" w:eastAsia="仿宋_GB2312"/>
                <w:sz w:val="24"/>
                <w:szCs w:val="24"/>
              </w:rPr>
              <w:t>做市相关部门与岗位设置</w:t>
            </w:r>
          </w:p>
          <w:p w14:paraId="26A850A2">
            <w:pPr>
              <w:rPr>
                <w:rFonts w:ascii="仿宋_GB2312" w:eastAsia="仿宋_GB2312"/>
                <w:sz w:val="24"/>
                <w:szCs w:val="24"/>
              </w:rPr>
            </w:pPr>
            <w:r>
              <w:rPr>
                <w:rFonts w:hint="eastAsia" w:ascii="仿宋_GB2312" w:eastAsia="仿宋_GB2312"/>
                <w:sz w:val="24"/>
                <w:szCs w:val="24"/>
              </w:rPr>
              <w:t>（工作履历一栏中，做市部门负责人、交易岗、操作岗</w:t>
            </w:r>
            <w:r>
              <w:rPr>
                <w:rFonts w:ascii="仿宋_GB2312" w:eastAsia="仿宋_GB2312"/>
                <w:sz w:val="24"/>
                <w:szCs w:val="24"/>
              </w:rPr>
              <w:t>、</w:t>
            </w:r>
            <w:r>
              <w:rPr>
                <w:rFonts w:hint="eastAsia" w:ascii="仿宋_GB2312" w:eastAsia="仿宋_GB2312"/>
                <w:sz w:val="24"/>
                <w:szCs w:val="24"/>
              </w:rPr>
              <w:t>合规岗</w:t>
            </w:r>
            <w:r>
              <w:rPr>
                <w:rFonts w:ascii="仿宋_GB2312" w:eastAsia="仿宋_GB2312"/>
                <w:sz w:val="24"/>
                <w:szCs w:val="24"/>
              </w:rPr>
              <w:t>、</w:t>
            </w:r>
            <w:r>
              <w:rPr>
                <w:rFonts w:hint="eastAsia" w:ascii="仿宋_GB2312" w:eastAsia="仿宋_GB2312"/>
                <w:sz w:val="24"/>
                <w:szCs w:val="24"/>
              </w:rPr>
              <w:t>风险控制岗必须详细填写工作履历）</w:t>
            </w:r>
          </w:p>
        </w:tc>
      </w:tr>
      <w:tr w14:paraId="59065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000" w:type="pct"/>
            <w:gridSpan w:val="13"/>
            <w:tcBorders>
              <w:top w:val="single" w:color="auto" w:sz="4" w:space="0"/>
              <w:left w:val="single" w:color="auto" w:sz="4" w:space="0"/>
              <w:bottom w:val="single" w:color="auto" w:sz="4" w:space="0"/>
              <w:right w:val="single" w:color="auto" w:sz="4" w:space="0"/>
            </w:tcBorders>
            <w:vAlign w:val="center"/>
          </w:tcPr>
          <w:p w14:paraId="01EFA467">
            <w:pPr>
              <w:rPr>
                <w:rFonts w:ascii="仿宋_GB2312" w:eastAsia="仿宋_GB2312"/>
                <w:sz w:val="24"/>
                <w:szCs w:val="24"/>
              </w:rPr>
            </w:pPr>
            <w:r>
              <w:rPr>
                <w:rFonts w:hint="eastAsia" w:ascii="仿宋_GB2312" w:eastAsia="仿宋_GB2312"/>
                <w:sz w:val="24"/>
                <w:szCs w:val="24"/>
              </w:rPr>
              <w:t>（部门名称</w:t>
            </w:r>
            <w:r>
              <w:rPr>
                <w:rFonts w:ascii="仿宋_GB2312" w:eastAsia="仿宋_GB2312"/>
                <w:sz w:val="24"/>
                <w:szCs w:val="24"/>
              </w:rPr>
              <w:t>1）工作职责包括：</w:t>
            </w:r>
          </w:p>
          <w:p w14:paraId="08E04F73">
            <w:pPr>
              <w:rPr>
                <w:rFonts w:ascii="仿宋_GB2312" w:eastAsia="仿宋_GB2312"/>
                <w:sz w:val="24"/>
                <w:szCs w:val="24"/>
              </w:rPr>
            </w:pPr>
            <w:r>
              <w:rPr>
                <w:rFonts w:hint="eastAsia" w:ascii="仿宋_GB2312" w:eastAsia="仿宋_GB2312"/>
                <w:sz w:val="24"/>
                <w:szCs w:val="24"/>
              </w:rPr>
              <w:t>（</w:t>
            </w:r>
            <w:r>
              <w:rPr>
                <w:rFonts w:ascii="仿宋_GB2312" w:eastAsia="仿宋_GB2312"/>
                <w:sz w:val="24"/>
                <w:szCs w:val="24"/>
              </w:rPr>
              <w:t>1）</w:t>
            </w:r>
          </w:p>
          <w:p w14:paraId="08D3E126">
            <w:pPr>
              <w:rPr>
                <w:rFonts w:ascii="仿宋_GB2312" w:eastAsia="仿宋_GB2312"/>
                <w:sz w:val="24"/>
                <w:szCs w:val="24"/>
              </w:rPr>
            </w:pPr>
            <w:r>
              <w:rPr>
                <w:rFonts w:hint="eastAsia" w:ascii="仿宋_GB2312" w:eastAsia="仿宋_GB2312"/>
                <w:sz w:val="24"/>
                <w:szCs w:val="24"/>
              </w:rPr>
              <w:t>（</w:t>
            </w:r>
            <w:r>
              <w:rPr>
                <w:rFonts w:ascii="仿宋_GB2312" w:eastAsia="仿宋_GB2312"/>
                <w:sz w:val="24"/>
                <w:szCs w:val="24"/>
              </w:rPr>
              <w:t>2）</w:t>
            </w:r>
          </w:p>
        </w:tc>
      </w:tr>
      <w:tr w14:paraId="0D45F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795" w:type="pct"/>
            <w:gridSpan w:val="2"/>
            <w:tcBorders>
              <w:top w:val="single" w:color="auto" w:sz="4" w:space="0"/>
              <w:left w:val="single" w:color="auto" w:sz="4" w:space="0"/>
              <w:bottom w:val="single" w:color="auto" w:sz="4" w:space="0"/>
              <w:right w:val="single" w:color="auto" w:sz="4" w:space="0"/>
            </w:tcBorders>
            <w:vAlign w:val="center"/>
          </w:tcPr>
          <w:p w14:paraId="7122293B">
            <w:pPr>
              <w:rPr>
                <w:rFonts w:ascii="仿宋_GB2312" w:eastAsia="仿宋_GB2312"/>
                <w:sz w:val="24"/>
                <w:szCs w:val="24"/>
              </w:rPr>
            </w:pPr>
            <w:r>
              <w:rPr>
                <w:rFonts w:hint="eastAsia" w:ascii="仿宋_GB2312" w:eastAsia="仿宋_GB2312"/>
                <w:sz w:val="24"/>
                <w:szCs w:val="24"/>
              </w:rPr>
              <w:t>岗位</w:t>
            </w:r>
          </w:p>
        </w:tc>
        <w:tc>
          <w:tcPr>
            <w:tcW w:w="723" w:type="pct"/>
            <w:gridSpan w:val="3"/>
            <w:tcBorders>
              <w:top w:val="single" w:color="auto" w:sz="4" w:space="0"/>
              <w:left w:val="single" w:color="auto" w:sz="4" w:space="0"/>
              <w:bottom w:val="single" w:color="auto" w:sz="4" w:space="0"/>
              <w:right w:val="single" w:color="auto" w:sz="4" w:space="0"/>
            </w:tcBorders>
            <w:vAlign w:val="center"/>
          </w:tcPr>
          <w:p w14:paraId="05A0DC33">
            <w:pPr>
              <w:rPr>
                <w:rFonts w:ascii="仿宋_GB2312" w:eastAsia="仿宋_GB2312"/>
                <w:sz w:val="24"/>
                <w:szCs w:val="24"/>
              </w:rPr>
            </w:pPr>
            <w:r>
              <w:rPr>
                <w:rFonts w:hint="eastAsia" w:ascii="仿宋_GB2312" w:eastAsia="仿宋_GB2312"/>
                <w:sz w:val="24"/>
                <w:szCs w:val="24"/>
              </w:rPr>
              <w:t>人员姓名</w:t>
            </w:r>
          </w:p>
        </w:tc>
        <w:tc>
          <w:tcPr>
            <w:tcW w:w="741" w:type="pct"/>
            <w:gridSpan w:val="2"/>
            <w:tcBorders>
              <w:top w:val="single" w:color="auto" w:sz="4" w:space="0"/>
              <w:left w:val="single" w:color="auto" w:sz="4" w:space="0"/>
              <w:bottom w:val="single" w:color="auto" w:sz="4" w:space="0"/>
              <w:right w:val="single" w:color="auto" w:sz="4" w:space="0"/>
            </w:tcBorders>
            <w:vAlign w:val="center"/>
          </w:tcPr>
          <w:p w14:paraId="3515D84A">
            <w:pPr>
              <w:rPr>
                <w:rFonts w:ascii="仿宋_GB2312" w:eastAsia="仿宋_GB2312"/>
                <w:sz w:val="24"/>
                <w:szCs w:val="24"/>
              </w:rPr>
            </w:pPr>
            <w:r>
              <w:rPr>
                <w:rFonts w:hint="eastAsia" w:ascii="仿宋_GB2312" w:eastAsia="仿宋_GB2312"/>
                <w:sz w:val="24"/>
                <w:szCs w:val="24"/>
              </w:rPr>
              <w:t>职责描述</w:t>
            </w:r>
          </w:p>
        </w:tc>
        <w:tc>
          <w:tcPr>
            <w:tcW w:w="810" w:type="pct"/>
            <w:gridSpan w:val="2"/>
            <w:tcBorders>
              <w:top w:val="single" w:color="auto" w:sz="4" w:space="0"/>
              <w:left w:val="single" w:color="auto" w:sz="4" w:space="0"/>
              <w:bottom w:val="single" w:color="auto" w:sz="4" w:space="0"/>
              <w:right w:val="single" w:color="auto" w:sz="4" w:space="0"/>
            </w:tcBorders>
            <w:vAlign w:val="center"/>
          </w:tcPr>
          <w:p w14:paraId="585C75C1">
            <w:pPr>
              <w:rPr>
                <w:rFonts w:ascii="仿宋_GB2312" w:eastAsia="仿宋_GB2312"/>
                <w:sz w:val="24"/>
                <w:szCs w:val="24"/>
              </w:rPr>
            </w:pPr>
            <w:r>
              <w:rPr>
                <w:rFonts w:hint="eastAsia" w:ascii="仿宋_GB2312" w:eastAsia="仿宋_GB2312"/>
                <w:sz w:val="24"/>
                <w:szCs w:val="24"/>
              </w:rPr>
              <w:t>联系方式</w:t>
            </w:r>
          </w:p>
        </w:tc>
        <w:tc>
          <w:tcPr>
            <w:tcW w:w="1929" w:type="pct"/>
            <w:gridSpan w:val="4"/>
            <w:tcBorders>
              <w:top w:val="single" w:color="auto" w:sz="4" w:space="0"/>
              <w:left w:val="single" w:color="auto" w:sz="4" w:space="0"/>
              <w:bottom w:val="single" w:color="auto" w:sz="4" w:space="0"/>
              <w:right w:val="single" w:color="auto" w:sz="4" w:space="0"/>
            </w:tcBorders>
            <w:vAlign w:val="center"/>
          </w:tcPr>
          <w:p w14:paraId="09FB1994">
            <w:pPr>
              <w:rPr>
                <w:rFonts w:ascii="仿宋_GB2312" w:eastAsia="仿宋_GB2312"/>
                <w:sz w:val="24"/>
                <w:szCs w:val="24"/>
              </w:rPr>
            </w:pPr>
            <w:r>
              <w:rPr>
                <w:rFonts w:hint="eastAsia" w:ascii="仿宋_GB2312" w:eastAsia="仿宋_GB2312"/>
                <w:sz w:val="24"/>
                <w:szCs w:val="24"/>
              </w:rPr>
              <w:t>工作履历</w:t>
            </w:r>
          </w:p>
        </w:tc>
      </w:tr>
      <w:tr w14:paraId="77D6C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795" w:type="pct"/>
            <w:gridSpan w:val="2"/>
            <w:tcBorders>
              <w:top w:val="single" w:color="auto" w:sz="4" w:space="0"/>
              <w:left w:val="single" w:color="auto" w:sz="4" w:space="0"/>
              <w:bottom w:val="single" w:color="auto" w:sz="4" w:space="0"/>
              <w:right w:val="single" w:color="auto" w:sz="4" w:space="0"/>
            </w:tcBorders>
            <w:vAlign w:val="center"/>
          </w:tcPr>
          <w:p w14:paraId="5E453CE1">
            <w:pPr>
              <w:rPr>
                <w:rFonts w:ascii="仿宋_GB2312" w:eastAsia="仿宋_GB2312"/>
                <w:sz w:val="24"/>
                <w:szCs w:val="24"/>
              </w:rPr>
            </w:pPr>
            <w:r>
              <w:rPr>
                <w:rFonts w:hint="eastAsia" w:ascii="仿宋_GB2312" w:eastAsia="仿宋_GB2312"/>
                <w:sz w:val="24"/>
                <w:szCs w:val="24"/>
              </w:rPr>
              <w:t>（部门负责人）</w:t>
            </w:r>
          </w:p>
        </w:tc>
        <w:tc>
          <w:tcPr>
            <w:tcW w:w="723" w:type="pct"/>
            <w:gridSpan w:val="3"/>
            <w:tcBorders>
              <w:top w:val="single" w:color="auto" w:sz="4" w:space="0"/>
              <w:left w:val="single" w:color="auto" w:sz="4" w:space="0"/>
              <w:bottom w:val="single" w:color="auto" w:sz="4" w:space="0"/>
              <w:right w:val="single" w:color="auto" w:sz="4" w:space="0"/>
            </w:tcBorders>
            <w:vAlign w:val="center"/>
          </w:tcPr>
          <w:p w14:paraId="386468BF">
            <w:pPr>
              <w:rPr>
                <w:rFonts w:ascii="仿宋_GB2312" w:eastAsia="仿宋_GB2312"/>
                <w:sz w:val="24"/>
                <w:szCs w:val="24"/>
              </w:rPr>
            </w:pPr>
          </w:p>
        </w:tc>
        <w:tc>
          <w:tcPr>
            <w:tcW w:w="741" w:type="pct"/>
            <w:gridSpan w:val="2"/>
            <w:tcBorders>
              <w:top w:val="single" w:color="auto" w:sz="4" w:space="0"/>
              <w:left w:val="single" w:color="auto" w:sz="4" w:space="0"/>
              <w:bottom w:val="single" w:color="auto" w:sz="4" w:space="0"/>
              <w:right w:val="single" w:color="auto" w:sz="4" w:space="0"/>
            </w:tcBorders>
            <w:vAlign w:val="center"/>
          </w:tcPr>
          <w:p w14:paraId="0A6A59E9">
            <w:pPr>
              <w:rPr>
                <w:rFonts w:ascii="仿宋_GB2312" w:eastAsia="仿宋_GB2312"/>
                <w:sz w:val="24"/>
                <w:szCs w:val="24"/>
              </w:rPr>
            </w:pPr>
          </w:p>
        </w:tc>
        <w:tc>
          <w:tcPr>
            <w:tcW w:w="810" w:type="pct"/>
            <w:gridSpan w:val="2"/>
            <w:tcBorders>
              <w:top w:val="single" w:color="auto" w:sz="4" w:space="0"/>
              <w:left w:val="single" w:color="auto" w:sz="4" w:space="0"/>
              <w:bottom w:val="single" w:color="auto" w:sz="4" w:space="0"/>
              <w:right w:val="single" w:color="auto" w:sz="4" w:space="0"/>
            </w:tcBorders>
            <w:vAlign w:val="center"/>
          </w:tcPr>
          <w:p w14:paraId="7A286AE0">
            <w:pPr>
              <w:rPr>
                <w:rFonts w:ascii="仿宋_GB2312" w:eastAsia="仿宋_GB2312"/>
                <w:sz w:val="24"/>
                <w:szCs w:val="24"/>
              </w:rPr>
            </w:pPr>
            <w:r>
              <w:rPr>
                <w:rFonts w:hint="eastAsia" w:ascii="仿宋_GB2312" w:eastAsia="仿宋_GB2312"/>
                <w:sz w:val="24"/>
                <w:szCs w:val="24"/>
              </w:rPr>
              <w:t>（座机）</w:t>
            </w:r>
          </w:p>
          <w:p w14:paraId="4D476C34">
            <w:pPr>
              <w:rPr>
                <w:rFonts w:ascii="仿宋_GB2312" w:eastAsia="仿宋_GB2312"/>
                <w:sz w:val="24"/>
                <w:szCs w:val="24"/>
              </w:rPr>
            </w:pPr>
            <w:r>
              <w:rPr>
                <w:rFonts w:hint="eastAsia" w:ascii="仿宋_GB2312" w:eastAsia="仿宋_GB2312"/>
                <w:sz w:val="24"/>
                <w:szCs w:val="24"/>
              </w:rPr>
              <w:t>（手机）</w:t>
            </w:r>
          </w:p>
          <w:p w14:paraId="17055D85">
            <w:pPr>
              <w:rPr>
                <w:rFonts w:ascii="仿宋_GB2312" w:eastAsia="仿宋_GB2312"/>
                <w:sz w:val="24"/>
                <w:szCs w:val="24"/>
              </w:rPr>
            </w:pPr>
            <w:r>
              <w:rPr>
                <w:rFonts w:hint="eastAsia" w:ascii="仿宋_GB2312" w:eastAsia="仿宋_GB2312"/>
                <w:sz w:val="24"/>
                <w:szCs w:val="24"/>
              </w:rPr>
              <w:t>（邮件）</w:t>
            </w:r>
          </w:p>
        </w:tc>
        <w:tc>
          <w:tcPr>
            <w:tcW w:w="1929" w:type="pct"/>
            <w:gridSpan w:val="4"/>
            <w:tcBorders>
              <w:top w:val="single" w:color="auto" w:sz="4" w:space="0"/>
              <w:left w:val="single" w:color="auto" w:sz="4" w:space="0"/>
              <w:bottom w:val="single" w:color="auto" w:sz="4" w:space="0"/>
              <w:right w:val="single" w:color="auto" w:sz="4" w:space="0"/>
            </w:tcBorders>
            <w:vAlign w:val="center"/>
          </w:tcPr>
          <w:p w14:paraId="39276F93">
            <w:pPr>
              <w:rPr>
                <w:rFonts w:ascii="仿宋_GB2312" w:eastAsia="仿宋_GB2312"/>
                <w:sz w:val="24"/>
                <w:szCs w:val="24"/>
              </w:rPr>
            </w:pPr>
            <w:r>
              <w:rPr>
                <w:rFonts w:hint="eastAsia" w:ascii="仿宋_GB2312" w:eastAsia="仿宋_GB2312"/>
                <w:sz w:val="24"/>
                <w:szCs w:val="24"/>
              </w:rPr>
              <w:t>（年份</w:t>
            </w:r>
            <w:r>
              <w:rPr>
                <w:rFonts w:ascii="仿宋_GB2312" w:eastAsia="仿宋_GB2312"/>
                <w:sz w:val="24"/>
                <w:szCs w:val="24"/>
              </w:rPr>
              <w:t>-单位-职责）</w:t>
            </w:r>
          </w:p>
        </w:tc>
      </w:tr>
      <w:tr w14:paraId="3044E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795" w:type="pct"/>
            <w:gridSpan w:val="2"/>
            <w:tcBorders>
              <w:top w:val="single" w:color="auto" w:sz="4" w:space="0"/>
              <w:left w:val="single" w:color="auto" w:sz="4" w:space="0"/>
              <w:bottom w:val="single" w:color="auto" w:sz="4" w:space="0"/>
              <w:right w:val="single" w:color="auto" w:sz="4" w:space="0"/>
            </w:tcBorders>
            <w:vAlign w:val="center"/>
          </w:tcPr>
          <w:p w14:paraId="7FC6228C">
            <w:pPr>
              <w:rPr>
                <w:rFonts w:ascii="仿宋_GB2312" w:eastAsia="仿宋_GB2312"/>
                <w:sz w:val="24"/>
                <w:szCs w:val="24"/>
              </w:rPr>
            </w:pPr>
          </w:p>
        </w:tc>
        <w:tc>
          <w:tcPr>
            <w:tcW w:w="723" w:type="pct"/>
            <w:gridSpan w:val="3"/>
            <w:tcBorders>
              <w:top w:val="single" w:color="auto" w:sz="4" w:space="0"/>
              <w:left w:val="single" w:color="auto" w:sz="4" w:space="0"/>
              <w:bottom w:val="single" w:color="auto" w:sz="4" w:space="0"/>
              <w:right w:val="single" w:color="auto" w:sz="4" w:space="0"/>
            </w:tcBorders>
            <w:vAlign w:val="center"/>
          </w:tcPr>
          <w:p w14:paraId="3081429E">
            <w:pPr>
              <w:rPr>
                <w:rFonts w:ascii="仿宋_GB2312" w:eastAsia="仿宋_GB2312"/>
                <w:sz w:val="24"/>
                <w:szCs w:val="24"/>
              </w:rPr>
            </w:pPr>
          </w:p>
        </w:tc>
        <w:tc>
          <w:tcPr>
            <w:tcW w:w="741" w:type="pct"/>
            <w:gridSpan w:val="2"/>
            <w:tcBorders>
              <w:top w:val="single" w:color="auto" w:sz="4" w:space="0"/>
              <w:left w:val="single" w:color="auto" w:sz="4" w:space="0"/>
              <w:bottom w:val="single" w:color="auto" w:sz="4" w:space="0"/>
              <w:right w:val="single" w:color="auto" w:sz="4" w:space="0"/>
            </w:tcBorders>
            <w:vAlign w:val="center"/>
          </w:tcPr>
          <w:p w14:paraId="1282225A">
            <w:pPr>
              <w:rPr>
                <w:rFonts w:ascii="仿宋_GB2312" w:eastAsia="仿宋_GB2312"/>
                <w:sz w:val="24"/>
                <w:szCs w:val="24"/>
              </w:rPr>
            </w:pPr>
          </w:p>
        </w:tc>
        <w:tc>
          <w:tcPr>
            <w:tcW w:w="810" w:type="pct"/>
            <w:gridSpan w:val="2"/>
            <w:tcBorders>
              <w:top w:val="single" w:color="auto" w:sz="4" w:space="0"/>
              <w:left w:val="single" w:color="auto" w:sz="4" w:space="0"/>
              <w:bottom w:val="single" w:color="auto" w:sz="4" w:space="0"/>
              <w:right w:val="single" w:color="auto" w:sz="4" w:space="0"/>
            </w:tcBorders>
            <w:vAlign w:val="center"/>
          </w:tcPr>
          <w:p w14:paraId="05E191B9">
            <w:pPr>
              <w:rPr>
                <w:rFonts w:ascii="仿宋_GB2312" w:eastAsia="仿宋_GB2312"/>
                <w:sz w:val="24"/>
                <w:szCs w:val="24"/>
              </w:rPr>
            </w:pPr>
          </w:p>
        </w:tc>
        <w:tc>
          <w:tcPr>
            <w:tcW w:w="1929" w:type="pct"/>
            <w:gridSpan w:val="4"/>
            <w:tcBorders>
              <w:top w:val="single" w:color="auto" w:sz="4" w:space="0"/>
              <w:left w:val="single" w:color="auto" w:sz="4" w:space="0"/>
              <w:bottom w:val="single" w:color="auto" w:sz="4" w:space="0"/>
              <w:right w:val="single" w:color="auto" w:sz="4" w:space="0"/>
            </w:tcBorders>
            <w:vAlign w:val="center"/>
          </w:tcPr>
          <w:p w14:paraId="249763A3">
            <w:pPr>
              <w:rPr>
                <w:rFonts w:ascii="仿宋_GB2312" w:eastAsia="仿宋_GB2312"/>
                <w:sz w:val="24"/>
                <w:szCs w:val="24"/>
              </w:rPr>
            </w:pPr>
          </w:p>
        </w:tc>
      </w:tr>
      <w:tr w14:paraId="1250E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795" w:type="pct"/>
            <w:gridSpan w:val="2"/>
            <w:tcBorders>
              <w:top w:val="single" w:color="auto" w:sz="4" w:space="0"/>
              <w:left w:val="single" w:color="auto" w:sz="4" w:space="0"/>
              <w:bottom w:val="single" w:color="auto" w:sz="4" w:space="0"/>
              <w:right w:val="single" w:color="auto" w:sz="4" w:space="0"/>
            </w:tcBorders>
            <w:vAlign w:val="center"/>
          </w:tcPr>
          <w:p w14:paraId="6AF1B11E">
            <w:pPr>
              <w:rPr>
                <w:rFonts w:ascii="仿宋_GB2312" w:eastAsia="仿宋_GB2312"/>
                <w:sz w:val="24"/>
                <w:szCs w:val="24"/>
              </w:rPr>
            </w:pPr>
          </w:p>
        </w:tc>
        <w:tc>
          <w:tcPr>
            <w:tcW w:w="723" w:type="pct"/>
            <w:gridSpan w:val="3"/>
            <w:tcBorders>
              <w:top w:val="single" w:color="auto" w:sz="4" w:space="0"/>
              <w:left w:val="single" w:color="auto" w:sz="4" w:space="0"/>
              <w:bottom w:val="single" w:color="auto" w:sz="4" w:space="0"/>
              <w:right w:val="single" w:color="auto" w:sz="4" w:space="0"/>
            </w:tcBorders>
            <w:vAlign w:val="center"/>
          </w:tcPr>
          <w:p w14:paraId="08C79879">
            <w:pPr>
              <w:rPr>
                <w:rFonts w:ascii="仿宋_GB2312" w:eastAsia="仿宋_GB2312"/>
                <w:sz w:val="24"/>
                <w:szCs w:val="24"/>
              </w:rPr>
            </w:pPr>
          </w:p>
        </w:tc>
        <w:tc>
          <w:tcPr>
            <w:tcW w:w="741" w:type="pct"/>
            <w:gridSpan w:val="2"/>
            <w:tcBorders>
              <w:top w:val="single" w:color="auto" w:sz="4" w:space="0"/>
              <w:left w:val="single" w:color="auto" w:sz="4" w:space="0"/>
              <w:bottom w:val="single" w:color="auto" w:sz="4" w:space="0"/>
              <w:right w:val="single" w:color="auto" w:sz="4" w:space="0"/>
            </w:tcBorders>
            <w:vAlign w:val="center"/>
          </w:tcPr>
          <w:p w14:paraId="6623E310">
            <w:pPr>
              <w:rPr>
                <w:rFonts w:ascii="仿宋_GB2312" w:eastAsia="仿宋_GB2312"/>
                <w:sz w:val="24"/>
                <w:szCs w:val="24"/>
              </w:rPr>
            </w:pPr>
          </w:p>
        </w:tc>
        <w:tc>
          <w:tcPr>
            <w:tcW w:w="810" w:type="pct"/>
            <w:gridSpan w:val="2"/>
            <w:tcBorders>
              <w:top w:val="single" w:color="auto" w:sz="4" w:space="0"/>
              <w:left w:val="single" w:color="auto" w:sz="4" w:space="0"/>
              <w:bottom w:val="single" w:color="auto" w:sz="4" w:space="0"/>
              <w:right w:val="single" w:color="auto" w:sz="4" w:space="0"/>
            </w:tcBorders>
            <w:vAlign w:val="center"/>
          </w:tcPr>
          <w:p w14:paraId="22154BB1">
            <w:pPr>
              <w:rPr>
                <w:rFonts w:ascii="仿宋_GB2312" w:eastAsia="仿宋_GB2312"/>
                <w:sz w:val="24"/>
                <w:szCs w:val="24"/>
              </w:rPr>
            </w:pPr>
          </w:p>
        </w:tc>
        <w:tc>
          <w:tcPr>
            <w:tcW w:w="1929" w:type="pct"/>
            <w:gridSpan w:val="4"/>
            <w:tcBorders>
              <w:top w:val="single" w:color="auto" w:sz="4" w:space="0"/>
              <w:left w:val="single" w:color="auto" w:sz="4" w:space="0"/>
              <w:bottom w:val="single" w:color="auto" w:sz="4" w:space="0"/>
              <w:right w:val="single" w:color="auto" w:sz="4" w:space="0"/>
            </w:tcBorders>
            <w:vAlign w:val="center"/>
          </w:tcPr>
          <w:p w14:paraId="58B26CC1">
            <w:pPr>
              <w:rPr>
                <w:rFonts w:ascii="仿宋_GB2312" w:eastAsia="仿宋_GB2312"/>
                <w:sz w:val="24"/>
                <w:szCs w:val="24"/>
              </w:rPr>
            </w:pPr>
          </w:p>
        </w:tc>
      </w:tr>
      <w:tr w14:paraId="53FD9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000" w:type="pct"/>
            <w:gridSpan w:val="13"/>
            <w:tcBorders>
              <w:top w:val="single" w:color="auto" w:sz="4" w:space="0"/>
              <w:left w:val="single" w:color="auto" w:sz="4" w:space="0"/>
              <w:bottom w:val="single" w:color="auto" w:sz="4" w:space="0"/>
              <w:right w:val="single" w:color="auto" w:sz="4" w:space="0"/>
            </w:tcBorders>
            <w:vAlign w:val="center"/>
          </w:tcPr>
          <w:p w14:paraId="306FBEBD">
            <w:pPr>
              <w:rPr>
                <w:rFonts w:ascii="仿宋_GB2312" w:eastAsia="仿宋_GB2312"/>
                <w:sz w:val="24"/>
                <w:szCs w:val="24"/>
              </w:rPr>
            </w:pPr>
            <w:r>
              <w:rPr>
                <w:rFonts w:hint="eastAsia" w:ascii="仿宋_GB2312" w:eastAsia="仿宋_GB2312"/>
                <w:sz w:val="24"/>
                <w:szCs w:val="24"/>
              </w:rPr>
              <w:t>（部门名称</w:t>
            </w:r>
            <w:r>
              <w:rPr>
                <w:rFonts w:ascii="仿宋_GB2312" w:eastAsia="仿宋_GB2312"/>
                <w:sz w:val="24"/>
                <w:szCs w:val="24"/>
              </w:rPr>
              <w:t>2）工作职责包括：</w:t>
            </w:r>
          </w:p>
          <w:p w14:paraId="30B98321">
            <w:pPr>
              <w:rPr>
                <w:rFonts w:ascii="仿宋_GB2312" w:eastAsia="仿宋_GB2312"/>
                <w:sz w:val="24"/>
                <w:szCs w:val="24"/>
              </w:rPr>
            </w:pPr>
            <w:r>
              <w:rPr>
                <w:rFonts w:hint="eastAsia" w:ascii="仿宋_GB2312" w:eastAsia="仿宋_GB2312"/>
                <w:sz w:val="24"/>
                <w:szCs w:val="24"/>
              </w:rPr>
              <w:t>（</w:t>
            </w:r>
            <w:r>
              <w:rPr>
                <w:rFonts w:ascii="仿宋_GB2312" w:eastAsia="仿宋_GB2312"/>
                <w:sz w:val="24"/>
                <w:szCs w:val="24"/>
              </w:rPr>
              <w:t>1）</w:t>
            </w:r>
          </w:p>
          <w:p w14:paraId="449DE786">
            <w:pPr>
              <w:rPr>
                <w:rFonts w:ascii="仿宋_GB2312" w:eastAsia="仿宋_GB2312"/>
                <w:sz w:val="24"/>
                <w:szCs w:val="24"/>
              </w:rPr>
            </w:pPr>
            <w:r>
              <w:rPr>
                <w:rFonts w:hint="eastAsia" w:ascii="仿宋_GB2312" w:eastAsia="仿宋_GB2312"/>
                <w:sz w:val="24"/>
                <w:szCs w:val="24"/>
              </w:rPr>
              <w:t>（</w:t>
            </w:r>
            <w:r>
              <w:rPr>
                <w:rFonts w:ascii="仿宋_GB2312" w:eastAsia="仿宋_GB2312"/>
                <w:sz w:val="24"/>
                <w:szCs w:val="24"/>
              </w:rPr>
              <w:t>2）</w:t>
            </w:r>
          </w:p>
        </w:tc>
      </w:tr>
      <w:tr w14:paraId="2AFBB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795" w:type="pct"/>
            <w:gridSpan w:val="2"/>
            <w:tcBorders>
              <w:top w:val="single" w:color="auto" w:sz="4" w:space="0"/>
              <w:left w:val="single" w:color="auto" w:sz="4" w:space="0"/>
              <w:bottom w:val="single" w:color="auto" w:sz="4" w:space="0"/>
              <w:right w:val="single" w:color="auto" w:sz="4" w:space="0"/>
            </w:tcBorders>
            <w:vAlign w:val="center"/>
          </w:tcPr>
          <w:p w14:paraId="4BFE6433">
            <w:pPr>
              <w:rPr>
                <w:rFonts w:ascii="仿宋_GB2312" w:eastAsia="仿宋_GB2312"/>
                <w:sz w:val="24"/>
                <w:szCs w:val="24"/>
              </w:rPr>
            </w:pPr>
            <w:r>
              <w:rPr>
                <w:rFonts w:hint="eastAsia" w:ascii="仿宋_GB2312" w:eastAsia="仿宋_GB2312"/>
                <w:sz w:val="24"/>
                <w:szCs w:val="24"/>
              </w:rPr>
              <w:t>岗位</w:t>
            </w:r>
          </w:p>
        </w:tc>
        <w:tc>
          <w:tcPr>
            <w:tcW w:w="723" w:type="pct"/>
            <w:gridSpan w:val="3"/>
            <w:tcBorders>
              <w:top w:val="single" w:color="auto" w:sz="4" w:space="0"/>
              <w:left w:val="single" w:color="auto" w:sz="4" w:space="0"/>
              <w:bottom w:val="single" w:color="auto" w:sz="4" w:space="0"/>
              <w:right w:val="single" w:color="auto" w:sz="4" w:space="0"/>
            </w:tcBorders>
            <w:vAlign w:val="center"/>
          </w:tcPr>
          <w:p w14:paraId="41BD91F8">
            <w:pPr>
              <w:rPr>
                <w:rFonts w:ascii="仿宋_GB2312" w:eastAsia="仿宋_GB2312"/>
                <w:sz w:val="24"/>
                <w:szCs w:val="24"/>
              </w:rPr>
            </w:pPr>
            <w:r>
              <w:rPr>
                <w:rFonts w:hint="eastAsia" w:ascii="仿宋_GB2312" w:eastAsia="仿宋_GB2312"/>
                <w:sz w:val="24"/>
                <w:szCs w:val="24"/>
              </w:rPr>
              <w:t>人员姓名</w:t>
            </w:r>
          </w:p>
        </w:tc>
        <w:tc>
          <w:tcPr>
            <w:tcW w:w="741" w:type="pct"/>
            <w:gridSpan w:val="2"/>
            <w:tcBorders>
              <w:top w:val="single" w:color="auto" w:sz="4" w:space="0"/>
              <w:left w:val="single" w:color="auto" w:sz="4" w:space="0"/>
              <w:bottom w:val="single" w:color="auto" w:sz="4" w:space="0"/>
              <w:right w:val="single" w:color="auto" w:sz="4" w:space="0"/>
            </w:tcBorders>
            <w:vAlign w:val="center"/>
          </w:tcPr>
          <w:p w14:paraId="097FFC55">
            <w:pPr>
              <w:rPr>
                <w:rFonts w:ascii="仿宋_GB2312" w:eastAsia="仿宋_GB2312"/>
                <w:sz w:val="24"/>
                <w:szCs w:val="24"/>
              </w:rPr>
            </w:pPr>
            <w:r>
              <w:rPr>
                <w:rFonts w:hint="eastAsia" w:ascii="仿宋_GB2312" w:eastAsia="仿宋_GB2312"/>
                <w:sz w:val="24"/>
                <w:szCs w:val="24"/>
              </w:rPr>
              <w:t>职责描述</w:t>
            </w:r>
          </w:p>
        </w:tc>
        <w:tc>
          <w:tcPr>
            <w:tcW w:w="810" w:type="pct"/>
            <w:gridSpan w:val="2"/>
            <w:tcBorders>
              <w:top w:val="single" w:color="auto" w:sz="4" w:space="0"/>
              <w:left w:val="single" w:color="auto" w:sz="4" w:space="0"/>
              <w:bottom w:val="single" w:color="auto" w:sz="4" w:space="0"/>
              <w:right w:val="single" w:color="auto" w:sz="4" w:space="0"/>
            </w:tcBorders>
            <w:vAlign w:val="center"/>
          </w:tcPr>
          <w:p w14:paraId="2E20B64C">
            <w:pPr>
              <w:rPr>
                <w:rFonts w:ascii="仿宋_GB2312" w:eastAsia="仿宋_GB2312"/>
                <w:sz w:val="24"/>
                <w:szCs w:val="24"/>
              </w:rPr>
            </w:pPr>
            <w:r>
              <w:rPr>
                <w:rFonts w:hint="eastAsia" w:ascii="仿宋_GB2312" w:eastAsia="仿宋_GB2312"/>
                <w:sz w:val="24"/>
                <w:szCs w:val="24"/>
              </w:rPr>
              <w:t>联系方式</w:t>
            </w:r>
          </w:p>
        </w:tc>
        <w:tc>
          <w:tcPr>
            <w:tcW w:w="1929" w:type="pct"/>
            <w:gridSpan w:val="4"/>
            <w:tcBorders>
              <w:top w:val="single" w:color="auto" w:sz="4" w:space="0"/>
              <w:left w:val="single" w:color="auto" w:sz="4" w:space="0"/>
              <w:bottom w:val="single" w:color="auto" w:sz="4" w:space="0"/>
              <w:right w:val="single" w:color="auto" w:sz="4" w:space="0"/>
            </w:tcBorders>
            <w:vAlign w:val="center"/>
          </w:tcPr>
          <w:p w14:paraId="601B5F3F">
            <w:pPr>
              <w:rPr>
                <w:rFonts w:ascii="仿宋_GB2312" w:eastAsia="仿宋_GB2312"/>
                <w:sz w:val="24"/>
                <w:szCs w:val="24"/>
              </w:rPr>
            </w:pPr>
            <w:r>
              <w:rPr>
                <w:rFonts w:hint="eastAsia" w:ascii="仿宋_GB2312" w:eastAsia="仿宋_GB2312"/>
                <w:sz w:val="24"/>
                <w:szCs w:val="24"/>
              </w:rPr>
              <w:t>工作履历</w:t>
            </w:r>
          </w:p>
        </w:tc>
      </w:tr>
      <w:tr w14:paraId="7D1D8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795" w:type="pct"/>
            <w:gridSpan w:val="2"/>
            <w:tcBorders>
              <w:top w:val="single" w:color="auto" w:sz="4" w:space="0"/>
              <w:left w:val="single" w:color="auto" w:sz="4" w:space="0"/>
              <w:bottom w:val="single" w:color="auto" w:sz="4" w:space="0"/>
              <w:right w:val="single" w:color="auto" w:sz="4" w:space="0"/>
            </w:tcBorders>
            <w:vAlign w:val="center"/>
          </w:tcPr>
          <w:p w14:paraId="151D3EF7">
            <w:pPr>
              <w:rPr>
                <w:rFonts w:ascii="仿宋_GB2312" w:eastAsia="仿宋_GB2312"/>
                <w:sz w:val="24"/>
                <w:szCs w:val="24"/>
              </w:rPr>
            </w:pPr>
          </w:p>
        </w:tc>
        <w:tc>
          <w:tcPr>
            <w:tcW w:w="723" w:type="pct"/>
            <w:gridSpan w:val="3"/>
            <w:tcBorders>
              <w:top w:val="single" w:color="auto" w:sz="4" w:space="0"/>
              <w:left w:val="single" w:color="auto" w:sz="4" w:space="0"/>
              <w:bottom w:val="single" w:color="auto" w:sz="4" w:space="0"/>
              <w:right w:val="single" w:color="auto" w:sz="4" w:space="0"/>
            </w:tcBorders>
            <w:vAlign w:val="center"/>
          </w:tcPr>
          <w:p w14:paraId="1BA3EF75">
            <w:pPr>
              <w:rPr>
                <w:rFonts w:ascii="仿宋_GB2312" w:eastAsia="仿宋_GB2312"/>
                <w:sz w:val="24"/>
                <w:szCs w:val="24"/>
              </w:rPr>
            </w:pPr>
          </w:p>
        </w:tc>
        <w:tc>
          <w:tcPr>
            <w:tcW w:w="741" w:type="pct"/>
            <w:gridSpan w:val="2"/>
            <w:tcBorders>
              <w:top w:val="single" w:color="auto" w:sz="4" w:space="0"/>
              <w:left w:val="single" w:color="auto" w:sz="4" w:space="0"/>
              <w:bottom w:val="single" w:color="auto" w:sz="4" w:space="0"/>
              <w:right w:val="single" w:color="auto" w:sz="4" w:space="0"/>
            </w:tcBorders>
            <w:vAlign w:val="center"/>
          </w:tcPr>
          <w:p w14:paraId="3D1CFB3A">
            <w:pPr>
              <w:rPr>
                <w:rFonts w:ascii="仿宋_GB2312" w:eastAsia="仿宋_GB2312"/>
                <w:sz w:val="24"/>
                <w:szCs w:val="24"/>
              </w:rPr>
            </w:pPr>
          </w:p>
        </w:tc>
        <w:tc>
          <w:tcPr>
            <w:tcW w:w="810" w:type="pct"/>
            <w:gridSpan w:val="2"/>
            <w:tcBorders>
              <w:top w:val="single" w:color="auto" w:sz="4" w:space="0"/>
              <w:left w:val="single" w:color="auto" w:sz="4" w:space="0"/>
              <w:bottom w:val="single" w:color="auto" w:sz="4" w:space="0"/>
              <w:right w:val="single" w:color="auto" w:sz="4" w:space="0"/>
            </w:tcBorders>
            <w:vAlign w:val="center"/>
          </w:tcPr>
          <w:p w14:paraId="18BFF43B">
            <w:pPr>
              <w:rPr>
                <w:rFonts w:ascii="仿宋_GB2312" w:eastAsia="仿宋_GB2312"/>
                <w:sz w:val="24"/>
                <w:szCs w:val="24"/>
              </w:rPr>
            </w:pPr>
          </w:p>
        </w:tc>
        <w:tc>
          <w:tcPr>
            <w:tcW w:w="1929" w:type="pct"/>
            <w:gridSpan w:val="4"/>
            <w:tcBorders>
              <w:top w:val="single" w:color="auto" w:sz="4" w:space="0"/>
              <w:left w:val="single" w:color="auto" w:sz="4" w:space="0"/>
              <w:bottom w:val="single" w:color="auto" w:sz="4" w:space="0"/>
              <w:right w:val="single" w:color="auto" w:sz="4" w:space="0"/>
            </w:tcBorders>
            <w:vAlign w:val="center"/>
          </w:tcPr>
          <w:p w14:paraId="6B09FFC9">
            <w:pPr>
              <w:rPr>
                <w:rFonts w:ascii="仿宋_GB2312" w:eastAsia="仿宋_GB2312"/>
                <w:sz w:val="24"/>
                <w:szCs w:val="24"/>
              </w:rPr>
            </w:pPr>
          </w:p>
        </w:tc>
      </w:tr>
      <w:tr w14:paraId="5E8E7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795" w:type="pct"/>
            <w:gridSpan w:val="2"/>
            <w:tcBorders>
              <w:top w:val="single" w:color="auto" w:sz="4" w:space="0"/>
              <w:left w:val="single" w:color="auto" w:sz="4" w:space="0"/>
              <w:bottom w:val="single" w:color="auto" w:sz="4" w:space="0"/>
              <w:right w:val="single" w:color="auto" w:sz="4" w:space="0"/>
            </w:tcBorders>
            <w:vAlign w:val="center"/>
          </w:tcPr>
          <w:p w14:paraId="67F80C6D">
            <w:pPr>
              <w:rPr>
                <w:rFonts w:ascii="仿宋_GB2312" w:eastAsia="仿宋_GB2312"/>
                <w:sz w:val="24"/>
                <w:szCs w:val="24"/>
              </w:rPr>
            </w:pPr>
          </w:p>
        </w:tc>
        <w:tc>
          <w:tcPr>
            <w:tcW w:w="723" w:type="pct"/>
            <w:gridSpan w:val="3"/>
            <w:tcBorders>
              <w:top w:val="single" w:color="auto" w:sz="4" w:space="0"/>
              <w:left w:val="single" w:color="auto" w:sz="4" w:space="0"/>
              <w:bottom w:val="single" w:color="auto" w:sz="4" w:space="0"/>
              <w:right w:val="single" w:color="auto" w:sz="4" w:space="0"/>
            </w:tcBorders>
            <w:vAlign w:val="center"/>
          </w:tcPr>
          <w:p w14:paraId="6A17CA22">
            <w:pPr>
              <w:rPr>
                <w:rFonts w:ascii="仿宋_GB2312" w:eastAsia="仿宋_GB2312"/>
                <w:sz w:val="24"/>
                <w:szCs w:val="24"/>
              </w:rPr>
            </w:pPr>
          </w:p>
        </w:tc>
        <w:tc>
          <w:tcPr>
            <w:tcW w:w="741" w:type="pct"/>
            <w:gridSpan w:val="2"/>
            <w:tcBorders>
              <w:top w:val="single" w:color="auto" w:sz="4" w:space="0"/>
              <w:left w:val="single" w:color="auto" w:sz="4" w:space="0"/>
              <w:bottom w:val="single" w:color="auto" w:sz="4" w:space="0"/>
              <w:right w:val="single" w:color="auto" w:sz="4" w:space="0"/>
            </w:tcBorders>
            <w:vAlign w:val="center"/>
          </w:tcPr>
          <w:p w14:paraId="0307822F">
            <w:pPr>
              <w:rPr>
                <w:rFonts w:ascii="仿宋_GB2312" w:eastAsia="仿宋_GB2312"/>
                <w:sz w:val="24"/>
                <w:szCs w:val="24"/>
              </w:rPr>
            </w:pPr>
          </w:p>
        </w:tc>
        <w:tc>
          <w:tcPr>
            <w:tcW w:w="810" w:type="pct"/>
            <w:gridSpan w:val="2"/>
            <w:tcBorders>
              <w:top w:val="single" w:color="auto" w:sz="4" w:space="0"/>
              <w:left w:val="single" w:color="auto" w:sz="4" w:space="0"/>
              <w:bottom w:val="single" w:color="auto" w:sz="4" w:space="0"/>
              <w:right w:val="single" w:color="auto" w:sz="4" w:space="0"/>
            </w:tcBorders>
            <w:vAlign w:val="center"/>
          </w:tcPr>
          <w:p w14:paraId="3042C5B9">
            <w:pPr>
              <w:rPr>
                <w:rFonts w:ascii="仿宋_GB2312" w:eastAsia="仿宋_GB2312"/>
                <w:sz w:val="24"/>
                <w:szCs w:val="24"/>
              </w:rPr>
            </w:pPr>
          </w:p>
        </w:tc>
        <w:tc>
          <w:tcPr>
            <w:tcW w:w="1929" w:type="pct"/>
            <w:gridSpan w:val="4"/>
            <w:tcBorders>
              <w:top w:val="single" w:color="auto" w:sz="4" w:space="0"/>
              <w:left w:val="single" w:color="auto" w:sz="4" w:space="0"/>
              <w:bottom w:val="single" w:color="auto" w:sz="4" w:space="0"/>
              <w:right w:val="single" w:color="auto" w:sz="4" w:space="0"/>
            </w:tcBorders>
            <w:vAlign w:val="center"/>
          </w:tcPr>
          <w:p w14:paraId="27A8143A">
            <w:pPr>
              <w:rPr>
                <w:rFonts w:ascii="仿宋_GB2312" w:eastAsia="仿宋_GB2312"/>
                <w:sz w:val="24"/>
                <w:szCs w:val="24"/>
              </w:rPr>
            </w:pPr>
          </w:p>
        </w:tc>
      </w:tr>
      <w:tr w14:paraId="08DF5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000" w:type="pct"/>
            <w:gridSpan w:val="13"/>
            <w:tcBorders>
              <w:top w:val="single" w:color="auto" w:sz="4" w:space="0"/>
              <w:left w:val="single" w:color="auto" w:sz="4" w:space="0"/>
              <w:bottom w:val="single" w:color="auto" w:sz="4" w:space="0"/>
              <w:right w:val="single" w:color="auto" w:sz="4" w:space="0"/>
            </w:tcBorders>
            <w:vAlign w:val="center"/>
          </w:tcPr>
          <w:p w14:paraId="11D0A728">
            <w:pPr>
              <w:rPr>
                <w:rFonts w:ascii="仿宋_GB2312" w:eastAsia="仿宋_GB2312"/>
                <w:sz w:val="24"/>
                <w:szCs w:val="24"/>
              </w:rPr>
            </w:pPr>
            <w:r>
              <w:rPr>
                <w:rFonts w:hint="eastAsia" w:ascii="仿宋_GB2312" w:eastAsia="仿宋_GB2312"/>
                <w:sz w:val="24"/>
                <w:szCs w:val="24"/>
              </w:rPr>
              <w:t>（部门名称</w:t>
            </w:r>
            <w:r>
              <w:rPr>
                <w:rFonts w:ascii="仿宋_GB2312" w:eastAsia="仿宋_GB2312"/>
                <w:sz w:val="24"/>
                <w:szCs w:val="24"/>
              </w:rPr>
              <w:t>3）工作职责包括：</w:t>
            </w:r>
          </w:p>
          <w:p w14:paraId="383493EA">
            <w:pPr>
              <w:rPr>
                <w:rFonts w:ascii="仿宋_GB2312" w:eastAsia="仿宋_GB2312"/>
                <w:sz w:val="24"/>
                <w:szCs w:val="24"/>
              </w:rPr>
            </w:pPr>
            <w:r>
              <w:rPr>
                <w:rFonts w:hint="eastAsia" w:ascii="仿宋_GB2312" w:eastAsia="仿宋_GB2312"/>
                <w:sz w:val="24"/>
                <w:szCs w:val="24"/>
              </w:rPr>
              <w:t>（</w:t>
            </w:r>
            <w:r>
              <w:rPr>
                <w:rFonts w:ascii="仿宋_GB2312" w:eastAsia="仿宋_GB2312"/>
                <w:sz w:val="24"/>
                <w:szCs w:val="24"/>
              </w:rPr>
              <w:t>1）</w:t>
            </w:r>
          </w:p>
          <w:p w14:paraId="76F09615">
            <w:pPr>
              <w:rPr>
                <w:rFonts w:ascii="仿宋_GB2312" w:eastAsia="仿宋_GB2312"/>
                <w:sz w:val="24"/>
                <w:szCs w:val="24"/>
              </w:rPr>
            </w:pPr>
            <w:r>
              <w:rPr>
                <w:rFonts w:hint="eastAsia" w:ascii="仿宋_GB2312" w:eastAsia="仿宋_GB2312"/>
                <w:sz w:val="24"/>
                <w:szCs w:val="24"/>
              </w:rPr>
              <w:t>（</w:t>
            </w:r>
            <w:r>
              <w:rPr>
                <w:rFonts w:ascii="仿宋_GB2312" w:eastAsia="仿宋_GB2312"/>
                <w:sz w:val="24"/>
                <w:szCs w:val="24"/>
              </w:rPr>
              <w:t>2）</w:t>
            </w:r>
          </w:p>
        </w:tc>
      </w:tr>
      <w:tr w14:paraId="66005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795" w:type="pct"/>
            <w:gridSpan w:val="2"/>
            <w:tcBorders>
              <w:top w:val="single" w:color="auto" w:sz="4" w:space="0"/>
              <w:left w:val="single" w:color="auto" w:sz="4" w:space="0"/>
              <w:bottom w:val="single" w:color="auto" w:sz="4" w:space="0"/>
              <w:right w:val="single" w:color="auto" w:sz="4" w:space="0"/>
            </w:tcBorders>
            <w:vAlign w:val="center"/>
          </w:tcPr>
          <w:p w14:paraId="63E649EF">
            <w:pPr>
              <w:rPr>
                <w:rFonts w:ascii="仿宋_GB2312" w:eastAsia="仿宋_GB2312"/>
                <w:sz w:val="24"/>
                <w:szCs w:val="24"/>
              </w:rPr>
            </w:pPr>
            <w:r>
              <w:rPr>
                <w:rFonts w:hint="eastAsia" w:ascii="仿宋_GB2312" w:eastAsia="仿宋_GB2312"/>
                <w:sz w:val="24"/>
                <w:szCs w:val="24"/>
              </w:rPr>
              <w:t>岗位</w:t>
            </w:r>
          </w:p>
        </w:tc>
        <w:tc>
          <w:tcPr>
            <w:tcW w:w="723" w:type="pct"/>
            <w:gridSpan w:val="3"/>
            <w:tcBorders>
              <w:top w:val="single" w:color="auto" w:sz="4" w:space="0"/>
              <w:left w:val="single" w:color="auto" w:sz="4" w:space="0"/>
              <w:bottom w:val="single" w:color="auto" w:sz="4" w:space="0"/>
              <w:right w:val="single" w:color="auto" w:sz="4" w:space="0"/>
            </w:tcBorders>
            <w:vAlign w:val="center"/>
          </w:tcPr>
          <w:p w14:paraId="020FF3EC">
            <w:pPr>
              <w:rPr>
                <w:rFonts w:ascii="仿宋_GB2312" w:eastAsia="仿宋_GB2312"/>
                <w:sz w:val="24"/>
                <w:szCs w:val="24"/>
              </w:rPr>
            </w:pPr>
            <w:r>
              <w:rPr>
                <w:rFonts w:hint="eastAsia" w:ascii="仿宋_GB2312" w:eastAsia="仿宋_GB2312"/>
                <w:sz w:val="24"/>
                <w:szCs w:val="24"/>
              </w:rPr>
              <w:t>人员姓名</w:t>
            </w:r>
          </w:p>
        </w:tc>
        <w:tc>
          <w:tcPr>
            <w:tcW w:w="741" w:type="pct"/>
            <w:gridSpan w:val="2"/>
            <w:tcBorders>
              <w:top w:val="single" w:color="auto" w:sz="4" w:space="0"/>
              <w:left w:val="single" w:color="auto" w:sz="4" w:space="0"/>
              <w:bottom w:val="single" w:color="auto" w:sz="4" w:space="0"/>
              <w:right w:val="single" w:color="auto" w:sz="4" w:space="0"/>
            </w:tcBorders>
            <w:vAlign w:val="center"/>
          </w:tcPr>
          <w:p w14:paraId="73453DE4">
            <w:pPr>
              <w:rPr>
                <w:rFonts w:ascii="仿宋_GB2312" w:eastAsia="仿宋_GB2312"/>
                <w:sz w:val="24"/>
                <w:szCs w:val="24"/>
              </w:rPr>
            </w:pPr>
            <w:r>
              <w:rPr>
                <w:rFonts w:hint="eastAsia" w:ascii="仿宋_GB2312" w:eastAsia="仿宋_GB2312"/>
                <w:sz w:val="24"/>
                <w:szCs w:val="24"/>
              </w:rPr>
              <w:t>职责描述</w:t>
            </w:r>
          </w:p>
        </w:tc>
        <w:tc>
          <w:tcPr>
            <w:tcW w:w="810" w:type="pct"/>
            <w:gridSpan w:val="2"/>
            <w:tcBorders>
              <w:top w:val="single" w:color="auto" w:sz="4" w:space="0"/>
              <w:left w:val="single" w:color="auto" w:sz="4" w:space="0"/>
              <w:bottom w:val="single" w:color="auto" w:sz="4" w:space="0"/>
              <w:right w:val="single" w:color="auto" w:sz="4" w:space="0"/>
            </w:tcBorders>
            <w:vAlign w:val="center"/>
          </w:tcPr>
          <w:p w14:paraId="224E1315">
            <w:pPr>
              <w:rPr>
                <w:rFonts w:ascii="仿宋_GB2312" w:eastAsia="仿宋_GB2312"/>
                <w:sz w:val="24"/>
                <w:szCs w:val="24"/>
              </w:rPr>
            </w:pPr>
            <w:r>
              <w:rPr>
                <w:rFonts w:hint="eastAsia" w:ascii="仿宋_GB2312" w:eastAsia="仿宋_GB2312"/>
                <w:sz w:val="24"/>
                <w:szCs w:val="24"/>
              </w:rPr>
              <w:t>联系方式</w:t>
            </w:r>
          </w:p>
        </w:tc>
        <w:tc>
          <w:tcPr>
            <w:tcW w:w="1929" w:type="pct"/>
            <w:gridSpan w:val="4"/>
            <w:tcBorders>
              <w:top w:val="single" w:color="auto" w:sz="4" w:space="0"/>
              <w:left w:val="single" w:color="auto" w:sz="4" w:space="0"/>
              <w:bottom w:val="single" w:color="auto" w:sz="4" w:space="0"/>
              <w:right w:val="single" w:color="auto" w:sz="4" w:space="0"/>
            </w:tcBorders>
            <w:vAlign w:val="center"/>
          </w:tcPr>
          <w:p w14:paraId="00666D8E">
            <w:pPr>
              <w:rPr>
                <w:rFonts w:ascii="仿宋_GB2312" w:eastAsia="仿宋_GB2312"/>
                <w:sz w:val="24"/>
                <w:szCs w:val="24"/>
              </w:rPr>
            </w:pPr>
            <w:r>
              <w:rPr>
                <w:rFonts w:hint="eastAsia" w:ascii="仿宋_GB2312" w:eastAsia="仿宋_GB2312"/>
                <w:sz w:val="24"/>
                <w:szCs w:val="24"/>
              </w:rPr>
              <w:t>工作履历</w:t>
            </w:r>
          </w:p>
        </w:tc>
      </w:tr>
      <w:tr w14:paraId="6D8B7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795" w:type="pct"/>
            <w:gridSpan w:val="2"/>
            <w:tcBorders>
              <w:top w:val="single" w:color="auto" w:sz="4" w:space="0"/>
              <w:left w:val="single" w:color="auto" w:sz="4" w:space="0"/>
              <w:bottom w:val="single" w:color="auto" w:sz="4" w:space="0"/>
              <w:right w:val="single" w:color="auto" w:sz="4" w:space="0"/>
            </w:tcBorders>
            <w:vAlign w:val="center"/>
          </w:tcPr>
          <w:p w14:paraId="6A2F19B1">
            <w:pPr>
              <w:rPr>
                <w:rFonts w:ascii="仿宋_GB2312" w:eastAsia="仿宋_GB2312"/>
                <w:sz w:val="24"/>
                <w:szCs w:val="24"/>
              </w:rPr>
            </w:pPr>
          </w:p>
        </w:tc>
        <w:tc>
          <w:tcPr>
            <w:tcW w:w="723" w:type="pct"/>
            <w:gridSpan w:val="3"/>
            <w:tcBorders>
              <w:top w:val="single" w:color="auto" w:sz="4" w:space="0"/>
              <w:left w:val="single" w:color="auto" w:sz="4" w:space="0"/>
              <w:bottom w:val="single" w:color="auto" w:sz="4" w:space="0"/>
              <w:right w:val="single" w:color="auto" w:sz="4" w:space="0"/>
            </w:tcBorders>
            <w:vAlign w:val="center"/>
          </w:tcPr>
          <w:p w14:paraId="46E66ECC">
            <w:pPr>
              <w:rPr>
                <w:rFonts w:ascii="仿宋_GB2312" w:eastAsia="仿宋_GB2312"/>
                <w:sz w:val="24"/>
                <w:szCs w:val="24"/>
              </w:rPr>
            </w:pPr>
          </w:p>
        </w:tc>
        <w:tc>
          <w:tcPr>
            <w:tcW w:w="741" w:type="pct"/>
            <w:gridSpan w:val="2"/>
            <w:tcBorders>
              <w:top w:val="single" w:color="auto" w:sz="4" w:space="0"/>
              <w:left w:val="single" w:color="auto" w:sz="4" w:space="0"/>
              <w:bottom w:val="single" w:color="auto" w:sz="4" w:space="0"/>
              <w:right w:val="single" w:color="auto" w:sz="4" w:space="0"/>
            </w:tcBorders>
            <w:vAlign w:val="center"/>
          </w:tcPr>
          <w:p w14:paraId="5A60C496">
            <w:pPr>
              <w:rPr>
                <w:rFonts w:ascii="仿宋_GB2312" w:eastAsia="仿宋_GB2312"/>
                <w:sz w:val="24"/>
                <w:szCs w:val="24"/>
              </w:rPr>
            </w:pPr>
          </w:p>
        </w:tc>
        <w:tc>
          <w:tcPr>
            <w:tcW w:w="810" w:type="pct"/>
            <w:gridSpan w:val="2"/>
            <w:tcBorders>
              <w:top w:val="single" w:color="auto" w:sz="4" w:space="0"/>
              <w:left w:val="single" w:color="auto" w:sz="4" w:space="0"/>
              <w:bottom w:val="single" w:color="auto" w:sz="4" w:space="0"/>
              <w:right w:val="single" w:color="auto" w:sz="4" w:space="0"/>
            </w:tcBorders>
            <w:vAlign w:val="center"/>
          </w:tcPr>
          <w:p w14:paraId="11C323B5">
            <w:pPr>
              <w:rPr>
                <w:rFonts w:ascii="仿宋_GB2312" w:eastAsia="仿宋_GB2312"/>
                <w:sz w:val="24"/>
                <w:szCs w:val="24"/>
              </w:rPr>
            </w:pPr>
          </w:p>
        </w:tc>
        <w:tc>
          <w:tcPr>
            <w:tcW w:w="1929" w:type="pct"/>
            <w:gridSpan w:val="4"/>
            <w:tcBorders>
              <w:top w:val="single" w:color="auto" w:sz="4" w:space="0"/>
              <w:left w:val="single" w:color="auto" w:sz="4" w:space="0"/>
              <w:bottom w:val="single" w:color="auto" w:sz="4" w:space="0"/>
              <w:right w:val="single" w:color="auto" w:sz="4" w:space="0"/>
            </w:tcBorders>
            <w:vAlign w:val="center"/>
          </w:tcPr>
          <w:p w14:paraId="7C66635E">
            <w:pPr>
              <w:rPr>
                <w:rFonts w:ascii="仿宋_GB2312" w:eastAsia="仿宋_GB2312"/>
                <w:sz w:val="24"/>
                <w:szCs w:val="24"/>
              </w:rPr>
            </w:pPr>
          </w:p>
        </w:tc>
      </w:tr>
      <w:tr w14:paraId="70364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795" w:type="pct"/>
            <w:gridSpan w:val="2"/>
            <w:tcBorders>
              <w:top w:val="single" w:color="auto" w:sz="4" w:space="0"/>
              <w:left w:val="single" w:color="auto" w:sz="4" w:space="0"/>
              <w:bottom w:val="single" w:color="auto" w:sz="4" w:space="0"/>
              <w:right w:val="single" w:color="auto" w:sz="4" w:space="0"/>
            </w:tcBorders>
            <w:vAlign w:val="center"/>
          </w:tcPr>
          <w:p w14:paraId="6FC00469">
            <w:pPr>
              <w:widowControl/>
              <w:ind w:firstLine="480"/>
              <w:rPr>
                <w:rFonts w:ascii="仿宋_GB2312" w:hAnsi="仿宋" w:eastAsia="仿宋_GB2312"/>
                <w:sz w:val="24"/>
                <w:szCs w:val="24"/>
              </w:rPr>
            </w:pPr>
          </w:p>
        </w:tc>
        <w:tc>
          <w:tcPr>
            <w:tcW w:w="723" w:type="pct"/>
            <w:gridSpan w:val="3"/>
            <w:tcBorders>
              <w:top w:val="single" w:color="auto" w:sz="4" w:space="0"/>
              <w:left w:val="single" w:color="auto" w:sz="4" w:space="0"/>
              <w:bottom w:val="single" w:color="auto" w:sz="4" w:space="0"/>
              <w:right w:val="single" w:color="auto" w:sz="4" w:space="0"/>
            </w:tcBorders>
            <w:vAlign w:val="center"/>
          </w:tcPr>
          <w:p w14:paraId="4F49348B">
            <w:pPr>
              <w:ind w:firstLine="480"/>
              <w:rPr>
                <w:rFonts w:ascii="仿宋_GB2312" w:hAnsi="仿宋" w:eastAsia="仿宋_GB2312"/>
                <w:sz w:val="24"/>
                <w:szCs w:val="24"/>
              </w:rPr>
            </w:pPr>
          </w:p>
        </w:tc>
        <w:tc>
          <w:tcPr>
            <w:tcW w:w="741" w:type="pct"/>
            <w:gridSpan w:val="2"/>
            <w:tcBorders>
              <w:top w:val="single" w:color="auto" w:sz="4" w:space="0"/>
              <w:left w:val="single" w:color="auto" w:sz="4" w:space="0"/>
              <w:bottom w:val="single" w:color="auto" w:sz="4" w:space="0"/>
              <w:right w:val="single" w:color="auto" w:sz="4" w:space="0"/>
            </w:tcBorders>
            <w:vAlign w:val="center"/>
          </w:tcPr>
          <w:p w14:paraId="2B0DF519">
            <w:pPr>
              <w:ind w:firstLine="480"/>
              <w:rPr>
                <w:rFonts w:ascii="仿宋_GB2312" w:hAnsi="仿宋" w:eastAsia="仿宋_GB2312"/>
                <w:sz w:val="24"/>
                <w:szCs w:val="24"/>
              </w:rPr>
            </w:pPr>
          </w:p>
        </w:tc>
        <w:tc>
          <w:tcPr>
            <w:tcW w:w="810" w:type="pct"/>
            <w:gridSpan w:val="2"/>
            <w:tcBorders>
              <w:top w:val="single" w:color="auto" w:sz="4" w:space="0"/>
              <w:left w:val="single" w:color="auto" w:sz="4" w:space="0"/>
              <w:bottom w:val="single" w:color="auto" w:sz="4" w:space="0"/>
              <w:right w:val="single" w:color="auto" w:sz="4" w:space="0"/>
            </w:tcBorders>
            <w:vAlign w:val="center"/>
          </w:tcPr>
          <w:p w14:paraId="644817A0">
            <w:pPr>
              <w:ind w:firstLine="480"/>
              <w:rPr>
                <w:rFonts w:ascii="仿宋_GB2312" w:hAnsi="仿宋" w:eastAsia="仿宋_GB2312"/>
                <w:sz w:val="24"/>
                <w:szCs w:val="24"/>
              </w:rPr>
            </w:pPr>
          </w:p>
        </w:tc>
        <w:tc>
          <w:tcPr>
            <w:tcW w:w="1929" w:type="pct"/>
            <w:gridSpan w:val="4"/>
            <w:tcBorders>
              <w:top w:val="single" w:color="auto" w:sz="4" w:space="0"/>
              <w:left w:val="single" w:color="auto" w:sz="4" w:space="0"/>
              <w:bottom w:val="single" w:color="auto" w:sz="4" w:space="0"/>
              <w:right w:val="single" w:color="auto" w:sz="4" w:space="0"/>
            </w:tcBorders>
            <w:vAlign w:val="center"/>
          </w:tcPr>
          <w:p w14:paraId="63FFB3DE">
            <w:pPr>
              <w:ind w:firstLine="480"/>
              <w:rPr>
                <w:rFonts w:ascii="仿宋_GB2312" w:hAnsi="仿宋" w:eastAsia="仿宋_GB2312"/>
                <w:sz w:val="24"/>
                <w:szCs w:val="24"/>
              </w:rPr>
            </w:pPr>
          </w:p>
        </w:tc>
      </w:tr>
    </w:tbl>
    <w:p w14:paraId="527FEC99">
      <w:pPr>
        <w:spacing w:line="600" w:lineRule="exact"/>
        <w:ind w:firstLine="600" w:firstLineChars="200"/>
        <w:rPr>
          <w:rFonts w:ascii="仿宋_GB2312" w:eastAsia="仿宋_GB2312"/>
          <w:kern w:val="28"/>
          <w:sz w:val="30"/>
          <w:szCs w:val="30"/>
        </w:rPr>
      </w:pPr>
    </w:p>
    <w:p w14:paraId="0D481253">
      <w:pPr>
        <w:spacing w:line="600" w:lineRule="exact"/>
        <w:ind w:firstLine="600" w:firstLineChars="200"/>
        <w:rPr>
          <w:rFonts w:ascii="仿宋_GB2312" w:eastAsia="仿宋_GB2312"/>
          <w:sz w:val="30"/>
          <w:szCs w:val="30"/>
        </w:rPr>
      </w:pPr>
      <w:r>
        <w:rPr>
          <w:rFonts w:hint="eastAsia" w:ascii="仿宋_GB2312" w:eastAsia="仿宋_GB2312"/>
          <w:sz w:val="30"/>
          <w:szCs w:val="30"/>
        </w:rPr>
        <w:t>我公司在此郑重承诺：</w:t>
      </w:r>
    </w:p>
    <w:p w14:paraId="68CDCD93">
      <w:pPr>
        <w:spacing w:line="600" w:lineRule="exact"/>
        <w:ind w:firstLine="600" w:firstLineChars="200"/>
        <w:rPr>
          <w:rFonts w:ascii="仿宋_GB2312" w:eastAsia="仿宋_GB2312"/>
          <w:sz w:val="30"/>
          <w:szCs w:val="30"/>
        </w:rPr>
      </w:pPr>
      <w:r>
        <w:rPr>
          <w:rFonts w:hint="eastAsia" w:ascii="仿宋_GB2312" w:eastAsia="仿宋_GB2312"/>
          <w:sz w:val="30"/>
          <w:szCs w:val="30"/>
        </w:rPr>
        <w:t>一、遵守法律、法规、规章及上交所相关业务规则，依法参与上交所债券做市业务。</w:t>
      </w:r>
    </w:p>
    <w:p w14:paraId="3109C157">
      <w:pPr>
        <w:spacing w:line="600" w:lineRule="exact"/>
        <w:ind w:firstLine="600" w:firstLineChars="200"/>
        <w:rPr>
          <w:rFonts w:ascii="仿宋_GB2312" w:eastAsia="仿宋_GB2312"/>
          <w:sz w:val="30"/>
          <w:szCs w:val="30"/>
        </w:rPr>
      </w:pPr>
      <w:r>
        <w:rPr>
          <w:rFonts w:hint="eastAsia" w:ascii="仿宋_GB2312" w:eastAsia="仿宋_GB2312"/>
          <w:sz w:val="30"/>
          <w:szCs w:val="30"/>
        </w:rPr>
        <w:t>二、诚实守信，自觉遵守商业道德，维护上交所债券市场秩序。</w:t>
      </w:r>
    </w:p>
    <w:p w14:paraId="1C890056">
      <w:pPr>
        <w:spacing w:line="600" w:lineRule="exact"/>
        <w:ind w:firstLine="600" w:firstLineChars="200"/>
        <w:rPr>
          <w:rFonts w:ascii="仿宋_GB2312" w:eastAsia="仿宋_GB2312"/>
          <w:sz w:val="30"/>
          <w:szCs w:val="30"/>
        </w:rPr>
      </w:pPr>
      <w:r>
        <w:rPr>
          <w:rFonts w:hint="eastAsia" w:ascii="仿宋_GB2312" w:eastAsia="仿宋_GB2312"/>
          <w:sz w:val="30"/>
          <w:szCs w:val="30"/>
        </w:rPr>
        <w:t>三、同意遵守上交所关于债券做市的相关规定，接受上交所的自律管理和评价考核。</w:t>
      </w:r>
    </w:p>
    <w:p w14:paraId="5846D065">
      <w:pPr>
        <w:spacing w:line="600" w:lineRule="exact"/>
        <w:ind w:firstLine="600" w:firstLineChars="200"/>
        <w:rPr>
          <w:rFonts w:ascii="仿宋_GB2312" w:eastAsia="仿宋_GB2312"/>
          <w:sz w:val="30"/>
          <w:szCs w:val="30"/>
        </w:rPr>
      </w:pPr>
      <w:r>
        <w:rPr>
          <w:rFonts w:hint="eastAsia" w:ascii="仿宋_GB2312" w:eastAsia="仿宋_GB2312"/>
          <w:sz w:val="30"/>
          <w:szCs w:val="30"/>
        </w:rPr>
        <w:t>四、如违反法律、法规、规章及上交所相关业务规则，接受上交所做出的监管措施和纪律处分，并对此承担一切法律责任。</w:t>
      </w:r>
    </w:p>
    <w:p w14:paraId="6FD7C1C5">
      <w:pPr>
        <w:pStyle w:val="18"/>
        <w:rPr>
          <w:szCs w:val="30"/>
        </w:rPr>
      </w:pPr>
      <w:r>
        <w:rPr>
          <w:rFonts w:hint="eastAsia"/>
          <w:szCs w:val="30"/>
        </w:rPr>
        <w:t>我公司保证向上交所提供的书面和电子资料真实、准确、完整与合法。</w:t>
      </w:r>
    </w:p>
    <w:p w14:paraId="3068342E">
      <w:pPr>
        <w:pStyle w:val="18"/>
        <w:rPr>
          <w:szCs w:val="30"/>
        </w:rPr>
      </w:pPr>
    </w:p>
    <w:p w14:paraId="1F376BA9">
      <w:pPr>
        <w:pStyle w:val="18"/>
        <w:jc w:val="right"/>
        <w:rPr>
          <w:szCs w:val="30"/>
        </w:rPr>
      </w:pPr>
      <w:r>
        <w:rPr>
          <w:rFonts w:hint="eastAsia"/>
          <w:szCs w:val="30"/>
        </w:rPr>
        <w:t>申请人：_____________________</w:t>
      </w:r>
      <w:r>
        <w:rPr>
          <w:szCs w:val="30"/>
        </w:rPr>
        <w:t xml:space="preserve">   </w:t>
      </w:r>
      <w:r>
        <w:rPr>
          <w:rFonts w:hint="eastAsia"/>
          <w:szCs w:val="30"/>
        </w:rPr>
        <w:t>（加盖公章）</w:t>
      </w:r>
    </w:p>
    <w:p w14:paraId="76F67079">
      <w:pPr>
        <w:pStyle w:val="18"/>
        <w:jc w:val="right"/>
        <w:rPr>
          <w:szCs w:val="30"/>
        </w:rPr>
      </w:pPr>
    </w:p>
    <w:p w14:paraId="27E79FF4">
      <w:pPr>
        <w:pStyle w:val="18"/>
        <w:jc w:val="right"/>
        <w:rPr>
          <w:szCs w:val="30"/>
        </w:rPr>
      </w:pPr>
      <w:r>
        <w:rPr>
          <w:rFonts w:hint="eastAsia"/>
          <w:szCs w:val="30"/>
        </w:rPr>
        <w:t xml:space="preserve">                                    法定代表人或授权代表（签字）：</w:t>
      </w:r>
    </w:p>
    <w:p w14:paraId="252DF714">
      <w:pPr>
        <w:pStyle w:val="18"/>
        <w:jc w:val="right"/>
        <w:rPr>
          <w:szCs w:val="30"/>
        </w:rPr>
      </w:pPr>
      <w:r>
        <w:rPr>
          <w:rFonts w:hint="eastAsia"/>
          <w:szCs w:val="30"/>
        </w:rPr>
        <w:t xml:space="preserve">                                     申请日期：</w:t>
      </w:r>
    </w:p>
    <w:p w14:paraId="2D04C064">
      <w:pPr>
        <w:pStyle w:val="18"/>
        <w:jc w:val="right"/>
        <w:rPr>
          <w:szCs w:val="30"/>
        </w:rPr>
      </w:pPr>
      <w:r>
        <w:rPr>
          <w:rFonts w:hint="eastAsia"/>
          <w:szCs w:val="30"/>
        </w:rPr>
        <w:t xml:space="preserve">                                     联系电话：</w:t>
      </w:r>
    </w:p>
    <w:p w14:paraId="40F7D24F">
      <w:pPr>
        <w:widowControl/>
        <w:jc w:val="left"/>
        <w:outlineLvl w:val="1"/>
        <w:rPr>
          <w:rFonts w:ascii="仿宋_GB2312" w:hAnsi="仿宋" w:eastAsia="仿宋_GB2312"/>
          <w:sz w:val="30"/>
          <w:szCs w:val="30"/>
        </w:rPr>
      </w:pPr>
      <w:r>
        <w:rPr>
          <w:rFonts w:ascii="仿宋_GB2312" w:eastAsia="仿宋_GB2312"/>
          <w:b/>
          <w:sz w:val="30"/>
          <w:szCs w:val="30"/>
        </w:rPr>
        <w:br w:type="page"/>
      </w:r>
      <w:bookmarkStart w:id="3840" w:name="_Toc55318687"/>
      <w:bookmarkEnd w:id="3840"/>
      <w:bookmarkStart w:id="3841" w:name="_Toc1277866164"/>
      <w:bookmarkStart w:id="3842" w:name="_Toc1312575285"/>
      <w:bookmarkStart w:id="3843" w:name="_Toc151137095"/>
      <w:bookmarkStart w:id="3844" w:name="_Toc1070645925"/>
      <w:bookmarkStart w:id="3845" w:name="_Toc210838203"/>
      <w:r>
        <w:rPr>
          <w:rFonts w:hint="eastAsia" w:ascii="仿宋_GB2312" w:hAnsi="黑体" w:eastAsia="仿宋_GB2312"/>
          <w:b/>
          <w:sz w:val="30"/>
          <w:szCs w:val="30"/>
        </w:rPr>
        <w:t>附件12 债券一般做市商登记表</w:t>
      </w:r>
      <w:bookmarkEnd w:id="3841"/>
      <w:bookmarkEnd w:id="3842"/>
      <w:bookmarkEnd w:id="3843"/>
      <w:bookmarkEnd w:id="3844"/>
      <w:bookmarkEnd w:id="3845"/>
    </w:p>
    <w:p w14:paraId="68EC9041">
      <w:pPr>
        <w:spacing w:line="600" w:lineRule="exact"/>
        <w:jc w:val="center"/>
        <w:rPr>
          <w:rFonts w:ascii="黑体" w:hAnsi="黑体"/>
          <w:b/>
          <w:sz w:val="44"/>
          <w:szCs w:val="44"/>
        </w:rPr>
      </w:pPr>
    </w:p>
    <w:p w14:paraId="234EA5B0">
      <w:pPr>
        <w:spacing w:line="600" w:lineRule="exact"/>
        <w:jc w:val="center"/>
        <w:rPr>
          <w:rFonts w:ascii="黑体" w:hAnsi="黑体" w:eastAsia="黑体" w:cs="黑体"/>
          <w:sz w:val="30"/>
          <w:szCs w:val="30"/>
        </w:rPr>
      </w:pPr>
      <w:r>
        <w:rPr>
          <w:rFonts w:hint="eastAsia" w:ascii="黑体" w:hAnsi="黑体" w:eastAsia="黑体" w:cs="黑体"/>
          <w:b/>
          <w:sz w:val="44"/>
          <w:szCs w:val="44"/>
        </w:rPr>
        <w:t>债券一般做市商登记表</w:t>
      </w:r>
    </w:p>
    <w:p w14:paraId="32D11D38">
      <w:pPr>
        <w:spacing w:line="600" w:lineRule="exact"/>
        <w:ind w:firstLine="600" w:firstLineChars="200"/>
        <w:rPr>
          <w:rFonts w:ascii="仿宋_GB2312" w:eastAsia="仿宋_GB2312"/>
          <w:kern w:val="28"/>
          <w:sz w:val="30"/>
          <w:szCs w:val="30"/>
        </w:rPr>
      </w:pPr>
    </w:p>
    <w:tbl>
      <w:tblPr>
        <w:tblStyle w:val="43"/>
        <w:tblW w:w="49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9"/>
        <w:gridCol w:w="849"/>
        <w:gridCol w:w="425"/>
        <w:gridCol w:w="425"/>
        <w:gridCol w:w="1276"/>
        <w:gridCol w:w="1421"/>
        <w:gridCol w:w="1259"/>
        <w:gridCol w:w="1583"/>
      </w:tblGrid>
      <w:tr w14:paraId="7F636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3316" w:type="pct"/>
            <w:gridSpan w:val="6"/>
            <w:vAlign w:val="center"/>
          </w:tcPr>
          <w:p w14:paraId="3147796E">
            <w:pPr>
              <w:rPr>
                <w:rFonts w:ascii="仿宋_GB2312" w:eastAsia="仿宋_GB2312"/>
                <w:sz w:val="24"/>
                <w:szCs w:val="24"/>
              </w:rPr>
            </w:pPr>
            <w:r>
              <w:rPr>
                <w:rFonts w:hint="eastAsia" w:ascii="仿宋_GB2312" w:eastAsia="仿宋_GB2312"/>
                <w:sz w:val="24"/>
                <w:szCs w:val="24"/>
              </w:rPr>
              <w:t>申请人全称：</w:t>
            </w:r>
          </w:p>
        </w:tc>
        <w:tc>
          <w:tcPr>
            <w:tcW w:w="1683" w:type="pct"/>
            <w:gridSpan w:val="2"/>
            <w:vAlign w:val="center"/>
          </w:tcPr>
          <w:p w14:paraId="662C8ECF">
            <w:pPr>
              <w:rPr>
                <w:rFonts w:ascii="仿宋_GB2312" w:eastAsia="仿宋_GB2312"/>
                <w:sz w:val="24"/>
                <w:szCs w:val="24"/>
              </w:rPr>
            </w:pPr>
            <w:r>
              <w:rPr>
                <w:rFonts w:hint="eastAsia" w:ascii="仿宋_GB2312" w:eastAsia="仿宋_GB2312"/>
                <w:sz w:val="24"/>
                <w:szCs w:val="24"/>
              </w:rPr>
              <w:t>电话：</w:t>
            </w:r>
          </w:p>
        </w:tc>
      </w:tr>
      <w:tr w14:paraId="1F0F1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3316" w:type="pct"/>
            <w:gridSpan w:val="6"/>
            <w:vAlign w:val="center"/>
          </w:tcPr>
          <w:p w14:paraId="21EFF2A9">
            <w:pPr>
              <w:rPr>
                <w:rFonts w:ascii="仿宋_GB2312" w:eastAsia="仿宋_GB2312"/>
                <w:sz w:val="24"/>
                <w:szCs w:val="24"/>
              </w:rPr>
            </w:pPr>
            <w:r>
              <w:rPr>
                <w:rFonts w:hint="eastAsia" w:ascii="仿宋_GB2312" w:eastAsia="仿宋_GB2312"/>
                <w:sz w:val="24"/>
                <w:szCs w:val="24"/>
              </w:rPr>
              <w:t xml:space="preserve">公司地址： </w:t>
            </w:r>
          </w:p>
        </w:tc>
        <w:tc>
          <w:tcPr>
            <w:tcW w:w="1683" w:type="pct"/>
            <w:gridSpan w:val="2"/>
            <w:vAlign w:val="center"/>
          </w:tcPr>
          <w:p w14:paraId="350E99E9">
            <w:pPr>
              <w:rPr>
                <w:rFonts w:ascii="仿宋_GB2312" w:eastAsia="仿宋_GB2312"/>
                <w:sz w:val="24"/>
                <w:szCs w:val="24"/>
              </w:rPr>
            </w:pPr>
            <w:r>
              <w:rPr>
                <w:rFonts w:hint="eastAsia" w:ascii="仿宋_GB2312" w:eastAsia="仿宋_GB2312"/>
                <w:sz w:val="24"/>
                <w:szCs w:val="24"/>
              </w:rPr>
              <w:t>传真：</w:t>
            </w:r>
          </w:p>
        </w:tc>
      </w:tr>
      <w:tr w14:paraId="2E944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1466" w:type="pct"/>
            <w:gridSpan w:val="3"/>
            <w:vAlign w:val="center"/>
          </w:tcPr>
          <w:p w14:paraId="4A7139CC">
            <w:pPr>
              <w:rPr>
                <w:rFonts w:ascii="仿宋_GB2312" w:eastAsia="仿宋_GB2312"/>
                <w:sz w:val="24"/>
                <w:szCs w:val="24"/>
              </w:rPr>
            </w:pPr>
            <w:r>
              <w:rPr>
                <w:rFonts w:hint="eastAsia" w:ascii="仿宋_GB2312" w:eastAsia="仿宋_GB2312"/>
                <w:sz w:val="24"/>
                <w:szCs w:val="24"/>
              </w:rPr>
              <w:t>债券投资者类型</w:t>
            </w:r>
          </w:p>
        </w:tc>
        <w:tc>
          <w:tcPr>
            <w:tcW w:w="3533" w:type="pct"/>
            <w:gridSpan w:val="5"/>
            <w:vAlign w:val="center"/>
          </w:tcPr>
          <w:p w14:paraId="4CC04F4A">
            <w:pPr>
              <w:rPr>
                <w:rFonts w:ascii="仿宋_GB2312" w:eastAsia="仿宋_GB2312"/>
                <w:sz w:val="24"/>
                <w:szCs w:val="24"/>
              </w:rPr>
            </w:pPr>
            <w:r>
              <w:rPr>
                <w:rFonts w:hint="eastAsia" w:ascii="仿宋_GB2312" w:eastAsia="仿宋_GB2312"/>
                <w:sz w:val="24"/>
                <w:szCs w:val="24"/>
              </w:rPr>
              <w:t>□证券公司</w:t>
            </w:r>
            <w:r>
              <w:rPr>
                <w:rFonts w:ascii="仿宋_GB2312" w:eastAsia="仿宋_GB2312"/>
                <w:sz w:val="24"/>
                <w:szCs w:val="24"/>
              </w:rPr>
              <w:t xml:space="preserve">  </w:t>
            </w:r>
            <w:r>
              <w:rPr>
                <w:rFonts w:hint="eastAsia" w:ascii="仿宋_GB2312" w:eastAsia="仿宋_GB2312"/>
                <w:sz w:val="24"/>
                <w:szCs w:val="24"/>
              </w:rPr>
              <w:t>□银行  □证券公司资产管理子公司</w:t>
            </w:r>
            <w:r>
              <w:rPr>
                <w:rFonts w:ascii="仿宋_GB2312" w:eastAsia="仿宋_GB2312"/>
                <w:sz w:val="24"/>
                <w:szCs w:val="24"/>
              </w:rPr>
              <w:t xml:space="preserve">  </w:t>
            </w:r>
          </w:p>
          <w:p w14:paraId="741FF860">
            <w:pPr>
              <w:rPr>
                <w:rFonts w:ascii="仿宋_GB2312" w:eastAsia="仿宋_GB2312"/>
                <w:sz w:val="24"/>
                <w:szCs w:val="24"/>
              </w:rPr>
            </w:pPr>
            <w:r>
              <w:rPr>
                <w:rFonts w:hint="eastAsia" w:ascii="仿宋_GB2312" w:eastAsia="仿宋_GB2312"/>
                <w:sz w:val="24"/>
                <w:szCs w:val="24"/>
              </w:rPr>
              <w:t>□银行理财子公司</w:t>
            </w:r>
            <w:r>
              <w:rPr>
                <w:rFonts w:ascii="仿宋_GB2312" w:eastAsia="仿宋_GB2312"/>
                <w:sz w:val="24"/>
                <w:szCs w:val="24"/>
              </w:rPr>
              <w:t xml:space="preserve">  </w:t>
            </w:r>
            <w:r>
              <w:rPr>
                <w:rFonts w:hint="eastAsia" w:ascii="仿宋_GB2312" w:eastAsia="仿宋_GB2312"/>
                <w:sz w:val="24"/>
                <w:szCs w:val="24"/>
              </w:rPr>
              <w:t>□证券投资基金管理公司</w:t>
            </w:r>
            <w:r>
              <w:rPr>
                <w:rFonts w:ascii="仿宋_GB2312" w:eastAsia="仿宋_GB2312"/>
                <w:sz w:val="24"/>
                <w:szCs w:val="24"/>
              </w:rPr>
              <w:t xml:space="preserve">  </w:t>
            </w:r>
          </w:p>
          <w:p w14:paraId="27228C15">
            <w:pPr>
              <w:rPr>
                <w:rFonts w:ascii="仿宋_GB2312" w:eastAsia="仿宋_GB2312"/>
                <w:sz w:val="24"/>
                <w:szCs w:val="24"/>
              </w:rPr>
            </w:pPr>
            <w:r>
              <w:rPr>
                <w:rFonts w:hint="eastAsia" w:ascii="仿宋_GB2312" w:eastAsia="仿宋_GB2312"/>
                <w:sz w:val="24"/>
                <w:szCs w:val="24"/>
              </w:rPr>
              <w:t>□保险公司 □保险资产管理公司</w:t>
            </w:r>
            <w:r>
              <w:rPr>
                <w:rFonts w:ascii="仿宋_GB2312" w:eastAsia="仿宋_GB2312"/>
                <w:sz w:val="24"/>
                <w:szCs w:val="24"/>
              </w:rPr>
              <w:t xml:space="preserve">  </w:t>
            </w:r>
            <w:r>
              <w:rPr>
                <w:rFonts w:hint="eastAsia" w:ascii="仿宋_GB2312" w:eastAsia="仿宋_GB2312"/>
                <w:sz w:val="24"/>
                <w:szCs w:val="24"/>
              </w:rPr>
              <w:t>□信托公司</w:t>
            </w:r>
            <w:r>
              <w:rPr>
                <w:rFonts w:ascii="仿宋_GB2312" w:eastAsia="仿宋_GB2312"/>
                <w:sz w:val="24"/>
                <w:szCs w:val="24"/>
              </w:rPr>
              <w:t xml:space="preserve">  </w:t>
            </w:r>
          </w:p>
          <w:p w14:paraId="57956014">
            <w:pPr>
              <w:rPr>
                <w:rFonts w:ascii="仿宋_GB2312" w:eastAsia="仿宋_GB2312"/>
                <w:sz w:val="24"/>
                <w:szCs w:val="24"/>
              </w:rPr>
            </w:pPr>
            <w:r>
              <w:rPr>
                <w:rFonts w:hint="eastAsia" w:ascii="仿宋_GB2312" w:eastAsia="仿宋_GB2312"/>
                <w:sz w:val="24"/>
                <w:szCs w:val="24"/>
              </w:rPr>
              <w:t>□财务公司  □期货公司</w:t>
            </w:r>
            <w:r>
              <w:rPr>
                <w:rFonts w:ascii="仿宋_GB2312" w:eastAsia="仿宋_GB2312"/>
                <w:sz w:val="24"/>
                <w:szCs w:val="24"/>
              </w:rPr>
              <w:t xml:space="preserve">  </w:t>
            </w:r>
            <w:r>
              <w:rPr>
                <w:rFonts w:hint="eastAsia" w:ascii="仿宋_GB2312" w:eastAsia="仿宋_GB2312"/>
                <w:sz w:val="24"/>
                <w:szCs w:val="24"/>
              </w:rPr>
              <w:t>□其他机构</w:t>
            </w:r>
          </w:p>
        </w:tc>
      </w:tr>
      <w:tr w14:paraId="21EA0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711" w:type="pct"/>
            <w:vAlign w:val="center"/>
          </w:tcPr>
          <w:p w14:paraId="5552326A">
            <w:pPr>
              <w:rPr>
                <w:rFonts w:ascii="仿宋_GB2312" w:eastAsia="仿宋_GB2312"/>
                <w:sz w:val="24"/>
                <w:szCs w:val="24"/>
              </w:rPr>
            </w:pPr>
            <w:r>
              <w:rPr>
                <w:rFonts w:hint="eastAsia" w:ascii="仿宋_GB2312" w:eastAsia="仿宋_GB2312"/>
                <w:sz w:val="24"/>
                <w:szCs w:val="24"/>
              </w:rPr>
              <w:t>做市业务负责人</w:t>
            </w:r>
          </w:p>
        </w:tc>
        <w:tc>
          <w:tcPr>
            <w:tcW w:w="503" w:type="pct"/>
            <w:vAlign w:val="center"/>
          </w:tcPr>
          <w:p w14:paraId="62BB41EC">
            <w:pPr>
              <w:rPr>
                <w:rFonts w:ascii="仿宋_GB2312" w:eastAsia="仿宋_GB2312"/>
                <w:sz w:val="24"/>
                <w:szCs w:val="24"/>
              </w:rPr>
            </w:pPr>
            <w:r>
              <w:rPr>
                <w:rFonts w:hint="eastAsia" w:ascii="仿宋_GB2312" w:eastAsia="仿宋_GB2312"/>
                <w:sz w:val="24"/>
                <w:szCs w:val="24"/>
              </w:rPr>
              <w:t>部门</w:t>
            </w:r>
          </w:p>
        </w:tc>
        <w:tc>
          <w:tcPr>
            <w:tcW w:w="504" w:type="pct"/>
            <w:gridSpan w:val="2"/>
            <w:vAlign w:val="center"/>
          </w:tcPr>
          <w:p w14:paraId="1BFA0E23">
            <w:pPr>
              <w:rPr>
                <w:rFonts w:ascii="仿宋_GB2312" w:eastAsia="仿宋_GB2312"/>
                <w:sz w:val="24"/>
                <w:szCs w:val="24"/>
              </w:rPr>
            </w:pPr>
            <w:r>
              <w:rPr>
                <w:rFonts w:hint="eastAsia" w:ascii="仿宋_GB2312" w:eastAsia="仿宋_GB2312"/>
                <w:sz w:val="24"/>
                <w:szCs w:val="24"/>
              </w:rPr>
              <w:t>职务</w:t>
            </w:r>
          </w:p>
        </w:tc>
        <w:tc>
          <w:tcPr>
            <w:tcW w:w="756" w:type="pct"/>
            <w:vAlign w:val="center"/>
          </w:tcPr>
          <w:p w14:paraId="257CC44F">
            <w:pPr>
              <w:rPr>
                <w:rFonts w:ascii="仿宋_GB2312" w:eastAsia="仿宋_GB2312"/>
                <w:sz w:val="24"/>
                <w:szCs w:val="24"/>
              </w:rPr>
            </w:pPr>
            <w:r>
              <w:rPr>
                <w:rFonts w:hint="eastAsia" w:ascii="仿宋_GB2312" w:eastAsia="仿宋_GB2312"/>
                <w:sz w:val="24"/>
                <w:szCs w:val="24"/>
              </w:rPr>
              <w:t>电话</w:t>
            </w:r>
          </w:p>
        </w:tc>
        <w:tc>
          <w:tcPr>
            <w:tcW w:w="839" w:type="pct"/>
            <w:vAlign w:val="center"/>
          </w:tcPr>
          <w:p w14:paraId="159F9D57">
            <w:pPr>
              <w:rPr>
                <w:rFonts w:ascii="仿宋_GB2312" w:eastAsia="仿宋_GB2312"/>
                <w:sz w:val="24"/>
                <w:szCs w:val="24"/>
              </w:rPr>
            </w:pPr>
            <w:r>
              <w:rPr>
                <w:rFonts w:hint="eastAsia" w:ascii="仿宋_GB2312" w:eastAsia="仿宋_GB2312"/>
                <w:sz w:val="24"/>
                <w:szCs w:val="24"/>
              </w:rPr>
              <w:t>手机</w:t>
            </w:r>
          </w:p>
        </w:tc>
        <w:tc>
          <w:tcPr>
            <w:tcW w:w="746" w:type="pct"/>
            <w:vAlign w:val="center"/>
          </w:tcPr>
          <w:p w14:paraId="5C70A1B7">
            <w:pPr>
              <w:rPr>
                <w:rFonts w:ascii="仿宋_GB2312" w:eastAsia="仿宋_GB2312"/>
                <w:sz w:val="24"/>
                <w:szCs w:val="24"/>
              </w:rPr>
            </w:pPr>
            <w:r>
              <w:rPr>
                <w:rFonts w:hint="eastAsia" w:ascii="仿宋_GB2312" w:eastAsia="仿宋_GB2312"/>
                <w:sz w:val="24"/>
                <w:szCs w:val="24"/>
              </w:rPr>
              <w:t>传真</w:t>
            </w:r>
          </w:p>
        </w:tc>
        <w:tc>
          <w:tcPr>
            <w:tcW w:w="937" w:type="pct"/>
            <w:vAlign w:val="center"/>
          </w:tcPr>
          <w:p w14:paraId="15D63D1D">
            <w:pPr>
              <w:rPr>
                <w:rFonts w:ascii="仿宋_GB2312" w:eastAsia="仿宋_GB2312"/>
                <w:sz w:val="24"/>
                <w:szCs w:val="24"/>
              </w:rPr>
            </w:pPr>
            <w:r>
              <w:rPr>
                <w:rFonts w:ascii="仿宋_GB2312" w:eastAsia="仿宋_GB2312"/>
                <w:sz w:val="24"/>
                <w:szCs w:val="24"/>
              </w:rPr>
              <w:t>E-mail</w:t>
            </w:r>
          </w:p>
        </w:tc>
      </w:tr>
      <w:tr w14:paraId="23DCD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711" w:type="pct"/>
            <w:vAlign w:val="center"/>
          </w:tcPr>
          <w:p w14:paraId="6737A928">
            <w:pPr>
              <w:rPr>
                <w:rFonts w:ascii="仿宋_GB2312" w:eastAsia="仿宋_GB2312"/>
                <w:sz w:val="24"/>
                <w:szCs w:val="24"/>
              </w:rPr>
            </w:pPr>
          </w:p>
        </w:tc>
        <w:tc>
          <w:tcPr>
            <w:tcW w:w="503" w:type="pct"/>
            <w:vAlign w:val="center"/>
          </w:tcPr>
          <w:p w14:paraId="32F19694">
            <w:pPr>
              <w:rPr>
                <w:rFonts w:ascii="仿宋_GB2312" w:eastAsia="仿宋_GB2312"/>
                <w:sz w:val="24"/>
                <w:szCs w:val="24"/>
              </w:rPr>
            </w:pPr>
          </w:p>
        </w:tc>
        <w:tc>
          <w:tcPr>
            <w:tcW w:w="504" w:type="pct"/>
            <w:gridSpan w:val="2"/>
            <w:vAlign w:val="center"/>
          </w:tcPr>
          <w:p w14:paraId="2AEF90B9">
            <w:pPr>
              <w:rPr>
                <w:rFonts w:ascii="仿宋_GB2312" w:eastAsia="仿宋_GB2312"/>
                <w:sz w:val="24"/>
                <w:szCs w:val="24"/>
              </w:rPr>
            </w:pPr>
          </w:p>
        </w:tc>
        <w:tc>
          <w:tcPr>
            <w:tcW w:w="756" w:type="pct"/>
            <w:vAlign w:val="center"/>
          </w:tcPr>
          <w:p w14:paraId="54C4C364">
            <w:pPr>
              <w:rPr>
                <w:rFonts w:ascii="仿宋_GB2312" w:eastAsia="仿宋_GB2312"/>
                <w:sz w:val="24"/>
                <w:szCs w:val="24"/>
              </w:rPr>
            </w:pPr>
          </w:p>
        </w:tc>
        <w:tc>
          <w:tcPr>
            <w:tcW w:w="839" w:type="pct"/>
            <w:vAlign w:val="center"/>
          </w:tcPr>
          <w:p w14:paraId="50527BCE">
            <w:pPr>
              <w:rPr>
                <w:rFonts w:ascii="仿宋_GB2312" w:eastAsia="仿宋_GB2312"/>
                <w:sz w:val="24"/>
                <w:szCs w:val="24"/>
              </w:rPr>
            </w:pPr>
          </w:p>
        </w:tc>
        <w:tc>
          <w:tcPr>
            <w:tcW w:w="746" w:type="pct"/>
            <w:vAlign w:val="center"/>
          </w:tcPr>
          <w:p w14:paraId="5D394C95">
            <w:pPr>
              <w:rPr>
                <w:rFonts w:ascii="仿宋_GB2312" w:eastAsia="仿宋_GB2312"/>
                <w:sz w:val="24"/>
                <w:szCs w:val="24"/>
              </w:rPr>
            </w:pPr>
          </w:p>
        </w:tc>
        <w:tc>
          <w:tcPr>
            <w:tcW w:w="937" w:type="pct"/>
            <w:vAlign w:val="center"/>
          </w:tcPr>
          <w:p w14:paraId="17B8B5D2">
            <w:pPr>
              <w:rPr>
                <w:rFonts w:ascii="仿宋_GB2312" w:eastAsia="仿宋_GB2312"/>
                <w:sz w:val="24"/>
                <w:szCs w:val="24"/>
              </w:rPr>
            </w:pPr>
          </w:p>
        </w:tc>
      </w:tr>
      <w:tr w14:paraId="3DE32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711" w:type="pct"/>
            <w:vAlign w:val="center"/>
          </w:tcPr>
          <w:p w14:paraId="495EF4DE">
            <w:pPr>
              <w:rPr>
                <w:rFonts w:ascii="仿宋_GB2312" w:eastAsia="仿宋_GB2312"/>
                <w:sz w:val="24"/>
                <w:szCs w:val="24"/>
              </w:rPr>
            </w:pPr>
            <w:r>
              <w:rPr>
                <w:rFonts w:hint="eastAsia" w:ascii="仿宋_GB2312" w:eastAsia="仿宋_GB2312"/>
                <w:sz w:val="24"/>
                <w:szCs w:val="24"/>
              </w:rPr>
              <w:t>做市业务联络人</w:t>
            </w:r>
          </w:p>
        </w:tc>
        <w:tc>
          <w:tcPr>
            <w:tcW w:w="503" w:type="pct"/>
            <w:vAlign w:val="center"/>
          </w:tcPr>
          <w:p w14:paraId="19EFE714">
            <w:pPr>
              <w:rPr>
                <w:rFonts w:ascii="仿宋_GB2312" w:eastAsia="仿宋_GB2312"/>
                <w:sz w:val="24"/>
                <w:szCs w:val="24"/>
              </w:rPr>
            </w:pPr>
            <w:r>
              <w:rPr>
                <w:rFonts w:hint="eastAsia" w:ascii="仿宋_GB2312" w:eastAsia="仿宋_GB2312"/>
                <w:sz w:val="24"/>
                <w:szCs w:val="24"/>
              </w:rPr>
              <w:t>部门</w:t>
            </w:r>
          </w:p>
        </w:tc>
        <w:tc>
          <w:tcPr>
            <w:tcW w:w="504" w:type="pct"/>
            <w:gridSpan w:val="2"/>
            <w:vAlign w:val="center"/>
          </w:tcPr>
          <w:p w14:paraId="01C10D92">
            <w:pPr>
              <w:rPr>
                <w:rFonts w:ascii="仿宋_GB2312" w:eastAsia="仿宋_GB2312"/>
                <w:sz w:val="24"/>
                <w:szCs w:val="24"/>
              </w:rPr>
            </w:pPr>
            <w:r>
              <w:rPr>
                <w:rFonts w:hint="eastAsia" w:ascii="仿宋_GB2312" w:eastAsia="仿宋_GB2312"/>
                <w:sz w:val="24"/>
                <w:szCs w:val="24"/>
              </w:rPr>
              <w:t>职务</w:t>
            </w:r>
          </w:p>
        </w:tc>
        <w:tc>
          <w:tcPr>
            <w:tcW w:w="756" w:type="pct"/>
            <w:vAlign w:val="center"/>
          </w:tcPr>
          <w:p w14:paraId="0A61E53F">
            <w:pPr>
              <w:rPr>
                <w:rFonts w:ascii="仿宋_GB2312" w:eastAsia="仿宋_GB2312"/>
                <w:sz w:val="24"/>
                <w:szCs w:val="24"/>
              </w:rPr>
            </w:pPr>
            <w:r>
              <w:rPr>
                <w:rFonts w:hint="eastAsia" w:ascii="仿宋_GB2312" w:eastAsia="仿宋_GB2312"/>
                <w:sz w:val="24"/>
                <w:szCs w:val="24"/>
              </w:rPr>
              <w:t>电话</w:t>
            </w:r>
          </w:p>
        </w:tc>
        <w:tc>
          <w:tcPr>
            <w:tcW w:w="839" w:type="pct"/>
            <w:vAlign w:val="center"/>
          </w:tcPr>
          <w:p w14:paraId="59C9FDED">
            <w:pPr>
              <w:rPr>
                <w:rFonts w:ascii="仿宋_GB2312" w:eastAsia="仿宋_GB2312"/>
                <w:sz w:val="24"/>
                <w:szCs w:val="24"/>
              </w:rPr>
            </w:pPr>
            <w:r>
              <w:rPr>
                <w:rFonts w:hint="eastAsia" w:ascii="仿宋_GB2312" w:eastAsia="仿宋_GB2312"/>
                <w:sz w:val="24"/>
                <w:szCs w:val="24"/>
              </w:rPr>
              <w:t>手机</w:t>
            </w:r>
          </w:p>
        </w:tc>
        <w:tc>
          <w:tcPr>
            <w:tcW w:w="746" w:type="pct"/>
            <w:vAlign w:val="center"/>
          </w:tcPr>
          <w:p w14:paraId="02B62CF9">
            <w:pPr>
              <w:rPr>
                <w:rFonts w:ascii="仿宋_GB2312" w:eastAsia="仿宋_GB2312"/>
                <w:sz w:val="24"/>
                <w:szCs w:val="24"/>
              </w:rPr>
            </w:pPr>
            <w:r>
              <w:rPr>
                <w:rFonts w:hint="eastAsia" w:ascii="仿宋_GB2312" w:eastAsia="仿宋_GB2312"/>
                <w:sz w:val="24"/>
                <w:szCs w:val="24"/>
              </w:rPr>
              <w:t>传真</w:t>
            </w:r>
          </w:p>
        </w:tc>
        <w:tc>
          <w:tcPr>
            <w:tcW w:w="937" w:type="pct"/>
            <w:vAlign w:val="center"/>
          </w:tcPr>
          <w:p w14:paraId="74FC5C3B">
            <w:pPr>
              <w:rPr>
                <w:rFonts w:ascii="仿宋_GB2312" w:eastAsia="仿宋_GB2312"/>
                <w:sz w:val="24"/>
                <w:szCs w:val="24"/>
              </w:rPr>
            </w:pPr>
            <w:r>
              <w:rPr>
                <w:rFonts w:ascii="仿宋_GB2312" w:eastAsia="仿宋_GB2312"/>
                <w:sz w:val="24"/>
                <w:szCs w:val="24"/>
              </w:rPr>
              <w:t>E-mail</w:t>
            </w:r>
          </w:p>
        </w:tc>
      </w:tr>
      <w:tr w14:paraId="38EE5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711" w:type="pct"/>
            <w:vAlign w:val="center"/>
          </w:tcPr>
          <w:p w14:paraId="05E1F868">
            <w:pPr>
              <w:ind w:firstLine="480"/>
              <w:rPr>
                <w:rFonts w:ascii="仿宋_GB2312" w:eastAsia="仿宋_GB2312"/>
                <w:sz w:val="24"/>
                <w:szCs w:val="24"/>
              </w:rPr>
            </w:pPr>
          </w:p>
        </w:tc>
        <w:tc>
          <w:tcPr>
            <w:tcW w:w="503" w:type="pct"/>
            <w:vAlign w:val="center"/>
          </w:tcPr>
          <w:p w14:paraId="37D947E0">
            <w:pPr>
              <w:ind w:firstLine="480"/>
              <w:rPr>
                <w:rFonts w:ascii="仿宋_GB2312" w:eastAsia="仿宋_GB2312"/>
                <w:sz w:val="24"/>
                <w:szCs w:val="24"/>
              </w:rPr>
            </w:pPr>
          </w:p>
        </w:tc>
        <w:tc>
          <w:tcPr>
            <w:tcW w:w="504" w:type="pct"/>
            <w:gridSpan w:val="2"/>
            <w:vAlign w:val="center"/>
          </w:tcPr>
          <w:p w14:paraId="5E066CEB">
            <w:pPr>
              <w:ind w:firstLine="480"/>
              <w:rPr>
                <w:rFonts w:ascii="仿宋_GB2312" w:eastAsia="仿宋_GB2312"/>
                <w:sz w:val="24"/>
                <w:szCs w:val="24"/>
              </w:rPr>
            </w:pPr>
          </w:p>
        </w:tc>
        <w:tc>
          <w:tcPr>
            <w:tcW w:w="756" w:type="pct"/>
            <w:vAlign w:val="center"/>
          </w:tcPr>
          <w:p w14:paraId="24E0BE05">
            <w:pPr>
              <w:ind w:firstLine="480"/>
              <w:rPr>
                <w:rFonts w:ascii="仿宋_GB2312" w:eastAsia="仿宋_GB2312"/>
                <w:sz w:val="24"/>
                <w:szCs w:val="24"/>
              </w:rPr>
            </w:pPr>
          </w:p>
        </w:tc>
        <w:tc>
          <w:tcPr>
            <w:tcW w:w="839" w:type="pct"/>
            <w:vAlign w:val="center"/>
          </w:tcPr>
          <w:p w14:paraId="3CB74E03">
            <w:pPr>
              <w:ind w:firstLine="480"/>
              <w:rPr>
                <w:rFonts w:ascii="仿宋_GB2312" w:eastAsia="仿宋_GB2312"/>
                <w:sz w:val="24"/>
                <w:szCs w:val="24"/>
              </w:rPr>
            </w:pPr>
          </w:p>
        </w:tc>
        <w:tc>
          <w:tcPr>
            <w:tcW w:w="746" w:type="pct"/>
            <w:vAlign w:val="center"/>
          </w:tcPr>
          <w:p w14:paraId="40B0D898">
            <w:pPr>
              <w:ind w:firstLine="480"/>
              <w:rPr>
                <w:rFonts w:ascii="仿宋_GB2312" w:eastAsia="仿宋_GB2312"/>
                <w:sz w:val="24"/>
                <w:szCs w:val="24"/>
              </w:rPr>
            </w:pPr>
          </w:p>
        </w:tc>
        <w:tc>
          <w:tcPr>
            <w:tcW w:w="937" w:type="pct"/>
            <w:vAlign w:val="center"/>
          </w:tcPr>
          <w:p w14:paraId="46B35012">
            <w:pPr>
              <w:ind w:firstLine="480"/>
              <w:rPr>
                <w:rFonts w:ascii="仿宋_GB2312" w:eastAsia="仿宋_GB2312"/>
                <w:sz w:val="24"/>
                <w:szCs w:val="24"/>
              </w:rPr>
            </w:pPr>
          </w:p>
        </w:tc>
      </w:tr>
    </w:tbl>
    <w:p w14:paraId="0A93F8A5">
      <w:pPr>
        <w:spacing w:line="600" w:lineRule="exact"/>
        <w:ind w:firstLine="600" w:firstLineChars="200"/>
        <w:rPr>
          <w:rFonts w:ascii="仿宋_GB2312" w:eastAsia="仿宋_GB2312"/>
          <w:kern w:val="28"/>
          <w:sz w:val="30"/>
          <w:szCs w:val="30"/>
        </w:rPr>
      </w:pPr>
    </w:p>
    <w:p w14:paraId="4F1D24A0">
      <w:pPr>
        <w:spacing w:line="600" w:lineRule="exact"/>
        <w:ind w:firstLine="600" w:firstLineChars="200"/>
        <w:rPr>
          <w:rFonts w:ascii="仿宋_GB2312" w:eastAsia="仿宋_GB2312"/>
          <w:sz w:val="30"/>
          <w:szCs w:val="30"/>
        </w:rPr>
      </w:pPr>
      <w:r>
        <w:rPr>
          <w:rFonts w:hint="eastAsia" w:ascii="仿宋_GB2312" w:eastAsia="仿宋_GB2312"/>
          <w:sz w:val="30"/>
          <w:szCs w:val="30"/>
        </w:rPr>
        <w:t>我公司在此郑重承诺：</w:t>
      </w:r>
    </w:p>
    <w:p w14:paraId="5C8ED094">
      <w:pPr>
        <w:spacing w:line="600" w:lineRule="exact"/>
        <w:ind w:firstLine="600" w:firstLineChars="200"/>
        <w:rPr>
          <w:rFonts w:ascii="仿宋_GB2312" w:eastAsia="仿宋_GB2312"/>
          <w:sz w:val="30"/>
          <w:szCs w:val="30"/>
        </w:rPr>
      </w:pPr>
      <w:r>
        <w:rPr>
          <w:rFonts w:hint="eastAsia" w:ascii="仿宋_GB2312" w:eastAsia="仿宋_GB2312"/>
          <w:sz w:val="30"/>
          <w:szCs w:val="30"/>
        </w:rPr>
        <w:t>一、遵守法律、法规、规章及上交所相关业务规则，依法参与上交所债券做市业务。</w:t>
      </w:r>
    </w:p>
    <w:p w14:paraId="78F52084">
      <w:pPr>
        <w:spacing w:line="600" w:lineRule="exact"/>
        <w:ind w:firstLine="600" w:firstLineChars="200"/>
        <w:rPr>
          <w:rFonts w:ascii="仿宋_GB2312" w:eastAsia="仿宋_GB2312"/>
          <w:sz w:val="30"/>
          <w:szCs w:val="30"/>
        </w:rPr>
      </w:pPr>
      <w:r>
        <w:rPr>
          <w:rFonts w:hint="eastAsia" w:ascii="仿宋_GB2312" w:eastAsia="仿宋_GB2312"/>
          <w:sz w:val="30"/>
          <w:szCs w:val="30"/>
        </w:rPr>
        <w:t>二、诚实守信，自觉遵守商业道德，维护上交所债券市场秩序。</w:t>
      </w:r>
    </w:p>
    <w:p w14:paraId="1FB9C82C">
      <w:pPr>
        <w:spacing w:line="600" w:lineRule="exact"/>
        <w:ind w:firstLine="600" w:firstLineChars="200"/>
        <w:rPr>
          <w:rFonts w:ascii="仿宋_GB2312" w:eastAsia="仿宋_GB2312"/>
          <w:sz w:val="30"/>
          <w:szCs w:val="30"/>
        </w:rPr>
      </w:pPr>
      <w:r>
        <w:rPr>
          <w:rFonts w:hint="eastAsia" w:ascii="仿宋_GB2312" w:eastAsia="仿宋_GB2312"/>
          <w:sz w:val="30"/>
          <w:szCs w:val="30"/>
        </w:rPr>
        <w:t>三、同意遵守上交所关于债券做市的相关规定，接受上交所的自律管理和评价考核。</w:t>
      </w:r>
    </w:p>
    <w:p w14:paraId="69E197DA">
      <w:pPr>
        <w:spacing w:line="600" w:lineRule="exact"/>
        <w:ind w:firstLine="600" w:firstLineChars="200"/>
        <w:rPr>
          <w:rFonts w:ascii="仿宋_GB2312" w:eastAsia="仿宋_GB2312"/>
          <w:sz w:val="30"/>
          <w:szCs w:val="30"/>
        </w:rPr>
      </w:pPr>
      <w:r>
        <w:rPr>
          <w:rFonts w:hint="eastAsia" w:ascii="仿宋_GB2312" w:eastAsia="仿宋_GB2312"/>
          <w:sz w:val="30"/>
          <w:szCs w:val="30"/>
        </w:rPr>
        <w:t>四、如违反法律、法规、规章及上交所相关业务规则，接受上交所做出的监管措施和纪律处分，并对此承担一切法律责任。</w:t>
      </w:r>
    </w:p>
    <w:p w14:paraId="75072B34">
      <w:pPr>
        <w:pStyle w:val="18"/>
        <w:rPr>
          <w:szCs w:val="30"/>
        </w:rPr>
      </w:pPr>
      <w:r>
        <w:rPr>
          <w:rFonts w:hint="eastAsia"/>
          <w:szCs w:val="30"/>
        </w:rPr>
        <w:t>我公司保证向上交所提供的书面和电子资料真实、准确、完整与合法。</w:t>
      </w:r>
    </w:p>
    <w:p w14:paraId="479F1EB6">
      <w:pPr>
        <w:pStyle w:val="18"/>
        <w:jc w:val="right"/>
        <w:rPr>
          <w:szCs w:val="30"/>
        </w:rPr>
      </w:pPr>
      <w:r>
        <w:rPr>
          <w:rFonts w:hint="eastAsia"/>
          <w:szCs w:val="30"/>
        </w:rPr>
        <w:t>申请人：_____________________</w:t>
      </w:r>
      <w:r>
        <w:rPr>
          <w:szCs w:val="30"/>
        </w:rPr>
        <w:t xml:space="preserve">   </w:t>
      </w:r>
      <w:r>
        <w:rPr>
          <w:rFonts w:hint="eastAsia"/>
          <w:szCs w:val="30"/>
        </w:rPr>
        <w:t>（加盖公章）</w:t>
      </w:r>
    </w:p>
    <w:p w14:paraId="3BC5663D">
      <w:pPr>
        <w:pStyle w:val="18"/>
        <w:jc w:val="right"/>
        <w:rPr>
          <w:szCs w:val="30"/>
        </w:rPr>
      </w:pPr>
      <w:r>
        <w:rPr>
          <w:rFonts w:hint="eastAsia"/>
          <w:szCs w:val="30"/>
        </w:rPr>
        <w:t xml:space="preserve">                                     经办人（签字）：</w:t>
      </w:r>
    </w:p>
    <w:p w14:paraId="635CCAC6">
      <w:pPr>
        <w:pStyle w:val="18"/>
        <w:jc w:val="right"/>
        <w:rPr>
          <w:szCs w:val="30"/>
        </w:rPr>
      </w:pPr>
      <w:r>
        <w:rPr>
          <w:rFonts w:hint="eastAsia"/>
          <w:szCs w:val="30"/>
        </w:rPr>
        <w:t xml:space="preserve">                                     申请日期：</w:t>
      </w:r>
    </w:p>
    <w:p w14:paraId="5A8B7151">
      <w:pPr>
        <w:pStyle w:val="18"/>
        <w:jc w:val="right"/>
        <w:rPr>
          <w:szCs w:val="30"/>
        </w:rPr>
      </w:pPr>
      <w:r>
        <w:rPr>
          <w:rFonts w:hint="eastAsia"/>
          <w:szCs w:val="30"/>
        </w:rPr>
        <w:t xml:space="preserve">                                     联系电话：</w:t>
      </w:r>
    </w:p>
    <w:p w14:paraId="53704037">
      <w:pPr>
        <w:widowControl/>
        <w:jc w:val="left"/>
        <w:outlineLvl w:val="1"/>
        <w:rPr>
          <w:rFonts w:ascii="仿宋_GB2312" w:eastAsia="仿宋_GB2312"/>
          <w:b/>
          <w:sz w:val="30"/>
          <w:szCs w:val="30"/>
        </w:rPr>
      </w:pPr>
      <w:bookmarkStart w:id="3846" w:name="_Toc55318688"/>
      <w:bookmarkEnd w:id="3846"/>
      <w:r>
        <w:rPr>
          <w:rFonts w:ascii="仿宋_GB2312" w:eastAsia="仿宋_GB2312"/>
          <w:b/>
          <w:sz w:val="30"/>
          <w:szCs w:val="30"/>
        </w:rPr>
        <w:br w:type="page"/>
      </w:r>
      <w:bookmarkStart w:id="3847" w:name="_Toc2130705310"/>
      <w:bookmarkStart w:id="3848" w:name="_Toc352517410"/>
      <w:bookmarkStart w:id="3849" w:name="_Toc1135492001"/>
      <w:bookmarkStart w:id="3850" w:name="_Toc151137096"/>
      <w:bookmarkStart w:id="3851" w:name="_Toc642476557"/>
      <w:r>
        <w:rPr>
          <w:rFonts w:hint="eastAsia" w:ascii="仿宋_GB2312" w:hAnsi="黑体" w:eastAsia="仿宋_GB2312"/>
          <w:b/>
          <w:sz w:val="30"/>
          <w:szCs w:val="30"/>
        </w:rPr>
        <w:t>附件13 债券做市账户登记表</w:t>
      </w:r>
      <w:bookmarkEnd w:id="3847"/>
      <w:bookmarkEnd w:id="3848"/>
      <w:bookmarkEnd w:id="3849"/>
      <w:bookmarkEnd w:id="3850"/>
      <w:bookmarkEnd w:id="3851"/>
    </w:p>
    <w:p w14:paraId="77BD7A0E">
      <w:pPr>
        <w:spacing w:line="600" w:lineRule="exact"/>
        <w:jc w:val="center"/>
        <w:rPr>
          <w:rFonts w:ascii="黑体" w:hAnsi="黑体" w:eastAsia="黑体" w:cs="黑体"/>
          <w:b/>
          <w:sz w:val="44"/>
          <w:szCs w:val="44"/>
        </w:rPr>
      </w:pPr>
    </w:p>
    <w:p w14:paraId="4C054876">
      <w:pPr>
        <w:spacing w:line="600" w:lineRule="exact"/>
        <w:jc w:val="center"/>
        <w:rPr>
          <w:rFonts w:ascii="黑体" w:hAnsi="黑体" w:eastAsia="黑体" w:cs="黑体"/>
          <w:b/>
          <w:sz w:val="44"/>
          <w:szCs w:val="44"/>
        </w:rPr>
      </w:pPr>
      <w:r>
        <w:rPr>
          <w:rFonts w:hint="eastAsia" w:ascii="黑体" w:hAnsi="黑体" w:eastAsia="黑体" w:cs="黑体"/>
          <w:b/>
          <w:sz w:val="44"/>
          <w:szCs w:val="44"/>
        </w:rPr>
        <w:t>债券做市账户登记表</w:t>
      </w:r>
    </w:p>
    <w:p w14:paraId="42763A9A">
      <w:pPr>
        <w:spacing w:line="600" w:lineRule="exact"/>
        <w:ind w:firstLine="600" w:firstLineChars="200"/>
        <w:rPr>
          <w:rFonts w:ascii="仿宋_GB2312" w:eastAsia="仿宋_GB2312"/>
          <w:sz w:val="30"/>
          <w:szCs w:val="30"/>
        </w:rPr>
      </w:pPr>
    </w:p>
    <w:tbl>
      <w:tblPr>
        <w:tblStyle w:val="43"/>
        <w:tblW w:w="49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1"/>
        <w:gridCol w:w="952"/>
        <w:gridCol w:w="748"/>
        <w:gridCol w:w="1279"/>
        <w:gridCol w:w="1417"/>
        <w:gridCol w:w="680"/>
        <w:gridCol w:w="579"/>
        <w:gridCol w:w="1581"/>
      </w:tblGrid>
      <w:tr w14:paraId="28240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3317" w:type="pct"/>
            <w:gridSpan w:val="5"/>
            <w:vAlign w:val="center"/>
          </w:tcPr>
          <w:p w14:paraId="05B74284">
            <w:pPr>
              <w:rPr>
                <w:rFonts w:ascii="仿宋_GB2312" w:eastAsia="仿宋_GB2312"/>
                <w:sz w:val="24"/>
                <w:szCs w:val="24"/>
              </w:rPr>
            </w:pPr>
            <w:r>
              <w:rPr>
                <w:rFonts w:hint="eastAsia" w:ascii="仿宋_GB2312" w:eastAsia="仿宋_GB2312"/>
                <w:sz w:val="24"/>
                <w:szCs w:val="24"/>
              </w:rPr>
              <w:t>做市商全称：</w:t>
            </w:r>
          </w:p>
        </w:tc>
        <w:tc>
          <w:tcPr>
            <w:tcW w:w="1683" w:type="pct"/>
            <w:gridSpan w:val="3"/>
            <w:vAlign w:val="center"/>
          </w:tcPr>
          <w:p w14:paraId="00AA534D">
            <w:pPr>
              <w:rPr>
                <w:rFonts w:ascii="仿宋_GB2312" w:eastAsia="仿宋_GB2312"/>
                <w:sz w:val="24"/>
                <w:szCs w:val="24"/>
              </w:rPr>
            </w:pPr>
            <w:r>
              <w:rPr>
                <w:rFonts w:hint="eastAsia" w:ascii="仿宋_GB2312" w:eastAsia="仿宋_GB2312"/>
                <w:sz w:val="24"/>
                <w:szCs w:val="24"/>
              </w:rPr>
              <w:t>电话：</w:t>
            </w:r>
          </w:p>
        </w:tc>
      </w:tr>
      <w:tr w14:paraId="26A11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3317" w:type="pct"/>
            <w:gridSpan w:val="5"/>
            <w:vAlign w:val="center"/>
          </w:tcPr>
          <w:p w14:paraId="567AADB5">
            <w:pPr>
              <w:rPr>
                <w:rFonts w:ascii="仿宋_GB2312" w:eastAsia="仿宋_GB2312"/>
                <w:sz w:val="24"/>
                <w:szCs w:val="24"/>
              </w:rPr>
            </w:pPr>
            <w:r>
              <w:rPr>
                <w:rFonts w:hint="eastAsia" w:ascii="仿宋_GB2312" w:eastAsia="仿宋_GB2312"/>
                <w:sz w:val="24"/>
                <w:szCs w:val="24"/>
              </w:rPr>
              <w:t xml:space="preserve">公司地址： </w:t>
            </w:r>
          </w:p>
        </w:tc>
        <w:tc>
          <w:tcPr>
            <w:tcW w:w="1683" w:type="pct"/>
            <w:gridSpan w:val="3"/>
            <w:vAlign w:val="center"/>
          </w:tcPr>
          <w:p w14:paraId="3931CF48">
            <w:pPr>
              <w:rPr>
                <w:rFonts w:ascii="仿宋_GB2312" w:eastAsia="仿宋_GB2312"/>
                <w:sz w:val="24"/>
                <w:szCs w:val="24"/>
              </w:rPr>
            </w:pPr>
            <w:r>
              <w:rPr>
                <w:rFonts w:hint="eastAsia" w:ascii="仿宋_GB2312" w:eastAsia="仿宋_GB2312"/>
                <w:sz w:val="24"/>
                <w:szCs w:val="24"/>
              </w:rPr>
              <w:t>传真：</w:t>
            </w:r>
          </w:p>
        </w:tc>
      </w:tr>
      <w:tr w14:paraId="319E0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1276" w:type="pct"/>
            <w:gridSpan w:val="2"/>
            <w:vAlign w:val="center"/>
          </w:tcPr>
          <w:p w14:paraId="16BF33AF">
            <w:pPr>
              <w:rPr>
                <w:rFonts w:ascii="仿宋_GB2312" w:eastAsia="仿宋_GB2312"/>
                <w:sz w:val="24"/>
                <w:szCs w:val="24"/>
              </w:rPr>
            </w:pPr>
            <w:r>
              <w:rPr>
                <w:rFonts w:hint="eastAsia" w:ascii="仿宋_GB2312" w:eastAsia="仿宋_GB2312"/>
                <w:sz w:val="24"/>
                <w:szCs w:val="24"/>
              </w:rPr>
              <w:t>债券投资者类型</w:t>
            </w:r>
          </w:p>
        </w:tc>
        <w:tc>
          <w:tcPr>
            <w:tcW w:w="3724" w:type="pct"/>
            <w:gridSpan w:val="6"/>
            <w:vAlign w:val="center"/>
          </w:tcPr>
          <w:p w14:paraId="12DEA3C4">
            <w:pPr>
              <w:rPr>
                <w:rFonts w:ascii="仿宋_GB2312" w:eastAsia="仿宋_GB2312"/>
                <w:sz w:val="24"/>
                <w:szCs w:val="24"/>
              </w:rPr>
            </w:pPr>
            <w:r>
              <w:rPr>
                <w:rFonts w:hint="eastAsia" w:ascii="仿宋_GB2312" w:eastAsia="仿宋_GB2312"/>
                <w:sz w:val="24"/>
                <w:szCs w:val="24"/>
              </w:rPr>
              <w:t>□证券公司</w:t>
            </w:r>
            <w:r>
              <w:rPr>
                <w:rFonts w:ascii="仿宋_GB2312" w:eastAsia="仿宋_GB2312"/>
                <w:sz w:val="24"/>
                <w:szCs w:val="24"/>
              </w:rPr>
              <w:t xml:space="preserve">  </w:t>
            </w:r>
            <w:r>
              <w:rPr>
                <w:rFonts w:hint="eastAsia" w:ascii="仿宋_GB2312" w:eastAsia="仿宋_GB2312"/>
                <w:sz w:val="24"/>
                <w:szCs w:val="24"/>
              </w:rPr>
              <w:t>□银行  □证券公司资产管理子公司</w:t>
            </w:r>
            <w:r>
              <w:rPr>
                <w:rFonts w:ascii="仿宋_GB2312" w:eastAsia="仿宋_GB2312"/>
                <w:sz w:val="24"/>
                <w:szCs w:val="24"/>
              </w:rPr>
              <w:t xml:space="preserve">  </w:t>
            </w:r>
          </w:p>
          <w:p w14:paraId="32EFEAF4">
            <w:pPr>
              <w:rPr>
                <w:rFonts w:ascii="仿宋_GB2312" w:eastAsia="仿宋_GB2312"/>
                <w:sz w:val="24"/>
                <w:szCs w:val="24"/>
              </w:rPr>
            </w:pPr>
            <w:r>
              <w:rPr>
                <w:rFonts w:hint="eastAsia" w:ascii="仿宋_GB2312" w:eastAsia="仿宋_GB2312"/>
                <w:sz w:val="24"/>
                <w:szCs w:val="24"/>
              </w:rPr>
              <w:t>□银行理财子公司</w:t>
            </w:r>
            <w:r>
              <w:rPr>
                <w:rFonts w:ascii="仿宋_GB2312" w:eastAsia="仿宋_GB2312"/>
                <w:sz w:val="24"/>
                <w:szCs w:val="24"/>
              </w:rPr>
              <w:t xml:space="preserve">  </w:t>
            </w:r>
            <w:r>
              <w:rPr>
                <w:rFonts w:hint="eastAsia" w:ascii="仿宋_GB2312" w:eastAsia="仿宋_GB2312"/>
                <w:sz w:val="24"/>
                <w:szCs w:val="24"/>
              </w:rPr>
              <w:t>□证券投资基金管理公司</w:t>
            </w:r>
            <w:r>
              <w:rPr>
                <w:rFonts w:ascii="仿宋_GB2312" w:eastAsia="仿宋_GB2312"/>
                <w:sz w:val="24"/>
                <w:szCs w:val="24"/>
              </w:rPr>
              <w:t xml:space="preserve">  </w:t>
            </w:r>
          </w:p>
          <w:p w14:paraId="4DA76DF9">
            <w:pPr>
              <w:rPr>
                <w:rFonts w:ascii="仿宋_GB2312" w:eastAsia="仿宋_GB2312"/>
                <w:sz w:val="24"/>
                <w:szCs w:val="24"/>
              </w:rPr>
            </w:pPr>
            <w:r>
              <w:rPr>
                <w:rFonts w:hint="eastAsia" w:ascii="仿宋_GB2312" w:eastAsia="仿宋_GB2312"/>
                <w:sz w:val="24"/>
                <w:szCs w:val="24"/>
              </w:rPr>
              <w:t>□保险公司 □保险资产管理公司</w:t>
            </w:r>
            <w:r>
              <w:rPr>
                <w:rFonts w:ascii="仿宋_GB2312" w:eastAsia="仿宋_GB2312"/>
                <w:sz w:val="24"/>
                <w:szCs w:val="24"/>
              </w:rPr>
              <w:t xml:space="preserve">  </w:t>
            </w:r>
            <w:r>
              <w:rPr>
                <w:rFonts w:hint="eastAsia" w:ascii="仿宋_GB2312" w:eastAsia="仿宋_GB2312"/>
                <w:sz w:val="24"/>
                <w:szCs w:val="24"/>
              </w:rPr>
              <w:t>□信托公司</w:t>
            </w:r>
            <w:r>
              <w:rPr>
                <w:rFonts w:ascii="仿宋_GB2312" w:eastAsia="仿宋_GB2312"/>
                <w:sz w:val="24"/>
                <w:szCs w:val="24"/>
              </w:rPr>
              <w:t xml:space="preserve">  </w:t>
            </w:r>
          </w:p>
          <w:p w14:paraId="4E3F64FC">
            <w:pPr>
              <w:rPr>
                <w:rFonts w:ascii="仿宋_GB2312" w:eastAsia="仿宋_GB2312"/>
                <w:sz w:val="24"/>
                <w:szCs w:val="24"/>
              </w:rPr>
            </w:pPr>
            <w:r>
              <w:rPr>
                <w:rFonts w:hint="eastAsia" w:ascii="仿宋_GB2312" w:eastAsia="仿宋_GB2312"/>
                <w:sz w:val="24"/>
                <w:szCs w:val="24"/>
              </w:rPr>
              <w:t>□财务公司  □期货公司</w:t>
            </w:r>
            <w:r>
              <w:rPr>
                <w:rFonts w:ascii="仿宋_GB2312" w:eastAsia="仿宋_GB2312"/>
                <w:sz w:val="24"/>
                <w:szCs w:val="24"/>
              </w:rPr>
              <w:t xml:space="preserve"> </w:t>
            </w:r>
            <w:r>
              <w:rPr>
                <w:rFonts w:hint="eastAsia" w:ascii="仿宋_GB2312" w:eastAsia="仿宋_GB2312"/>
                <w:sz w:val="24"/>
                <w:szCs w:val="24"/>
              </w:rPr>
              <w:t>□其他机构</w:t>
            </w:r>
          </w:p>
        </w:tc>
      </w:tr>
      <w:tr w14:paraId="1CF61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276" w:type="pct"/>
            <w:gridSpan w:val="2"/>
            <w:tcBorders>
              <w:bottom w:val="single" w:color="auto" w:sz="4" w:space="0"/>
            </w:tcBorders>
            <w:vAlign w:val="center"/>
          </w:tcPr>
          <w:p w14:paraId="6940725A">
            <w:pPr>
              <w:rPr>
                <w:rFonts w:ascii="仿宋_GB2312" w:eastAsia="仿宋_GB2312"/>
                <w:sz w:val="24"/>
                <w:szCs w:val="24"/>
              </w:rPr>
            </w:pPr>
            <w:r>
              <w:rPr>
                <w:rFonts w:hint="eastAsia" w:ascii="仿宋_GB2312" w:eastAsia="仿宋_GB2312"/>
                <w:sz w:val="24"/>
                <w:szCs w:val="24"/>
              </w:rPr>
              <w:t>做市证券账户</w:t>
            </w:r>
          </w:p>
        </w:tc>
        <w:tc>
          <w:tcPr>
            <w:tcW w:w="1201" w:type="pct"/>
            <w:gridSpan w:val="2"/>
            <w:tcBorders>
              <w:bottom w:val="single" w:color="auto" w:sz="4" w:space="0"/>
            </w:tcBorders>
            <w:vAlign w:val="center"/>
          </w:tcPr>
          <w:p w14:paraId="51EC1144">
            <w:pPr>
              <w:rPr>
                <w:rFonts w:ascii="仿宋_GB2312" w:eastAsia="仿宋_GB2312"/>
                <w:sz w:val="24"/>
                <w:szCs w:val="24"/>
              </w:rPr>
            </w:pPr>
          </w:p>
        </w:tc>
        <w:tc>
          <w:tcPr>
            <w:tcW w:w="1243" w:type="pct"/>
            <w:gridSpan w:val="2"/>
            <w:tcBorders>
              <w:bottom w:val="single" w:color="auto" w:sz="4" w:space="0"/>
            </w:tcBorders>
            <w:vAlign w:val="center"/>
          </w:tcPr>
          <w:p w14:paraId="1B67D782">
            <w:pPr>
              <w:rPr>
                <w:rFonts w:ascii="仿宋_GB2312" w:eastAsia="仿宋_GB2312"/>
                <w:sz w:val="24"/>
                <w:szCs w:val="24"/>
              </w:rPr>
            </w:pPr>
            <w:r>
              <w:rPr>
                <w:rFonts w:hint="eastAsia" w:ascii="仿宋_GB2312" w:eastAsia="仿宋_GB2312"/>
                <w:sz w:val="24"/>
                <w:szCs w:val="24"/>
              </w:rPr>
              <w:t>做市证券账户名称</w:t>
            </w:r>
          </w:p>
        </w:tc>
        <w:tc>
          <w:tcPr>
            <w:tcW w:w="1280" w:type="pct"/>
            <w:gridSpan w:val="2"/>
            <w:tcBorders>
              <w:bottom w:val="single" w:color="auto" w:sz="4" w:space="0"/>
            </w:tcBorders>
            <w:vAlign w:val="center"/>
          </w:tcPr>
          <w:p w14:paraId="02EC4E22">
            <w:pPr>
              <w:rPr>
                <w:rFonts w:ascii="仿宋_GB2312" w:eastAsia="仿宋_GB2312"/>
                <w:sz w:val="24"/>
                <w:szCs w:val="24"/>
              </w:rPr>
            </w:pPr>
          </w:p>
        </w:tc>
      </w:tr>
      <w:tr w14:paraId="604F5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276" w:type="pct"/>
            <w:gridSpan w:val="2"/>
            <w:tcBorders>
              <w:bottom w:val="single" w:color="auto" w:sz="4" w:space="0"/>
            </w:tcBorders>
            <w:vAlign w:val="center"/>
          </w:tcPr>
          <w:p w14:paraId="3D64ED31">
            <w:pPr>
              <w:rPr>
                <w:rFonts w:ascii="仿宋_GB2312" w:eastAsia="仿宋_GB2312"/>
                <w:sz w:val="24"/>
                <w:szCs w:val="24"/>
              </w:rPr>
            </w:pPr>
            <w:r>
              <w:rPr>
                <w:rFonts w:hint="eastAsia" w:ascii="仿宋_GB2312" w:eastAsia="仿宋_GB2312"/>
                <w:sz w:val="24"/>
                <w:szCs w:val="24"/>
              </w:rPr>
              <w:t>做市交易单元</w:t>
            </w:r>
          </w:p>
        </w:tc>
        <w:tc>
          <w:tcPr>
            <w:tcW w:w="1201" w:type="pct"/>
            <w:gridSpan w:val="2"/>
            <w:tcBorders>
              <w:bottom w:val="single" w:color="auto" w:sz="4" w:space="0"/>
            </w:tcBorders>
            <w:vAlign w:val="center"/>
          </w:tcPr>
          <w:p w14:paraId="35399520">
            <w:pPr>
              <w:rPr>
                <w:rFonts w:ascii="仿宋_GB2312" w:eastAsia="仿宋_GB2312"/>
                <w:sz w:val="24"/>
                <w:szCs w:val="24"/>
              </w:rPr>
            </w:pPr>
          </w:p>
        </w:tc>
        <w:tc>
          <w:tcPr>
            <w:tcW w:w="2523" w:type="pct"/>
            <w:gridSpan w:val="4"/>
            <w:tcBorders>
              <w:bottom w:val="single" w:color="auto" w:sz="4" w:space="0"/>
            </w:tcBorders>
            <w:vAlign w:val="center"/>
          </w:tcPr>
          <w:p w14:paraId="50167075">
            <w:pPr>
              <w:rPr>
                <w:rFonts w:ascii="仿宋_GB2312" w:eastAsia="仿宋_GB2312"/>
                <w:sz w:val="24"/>
                <w:szCs w:val="24"/>
              </w:rPr>
            </w:pPr>
          </w:p>
        </w:tc>
      </w:tr>
      <w:tr w14:paraId="06645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712" w:type="pct"/>
            <w:vAlign w:val="center"/>
          </w:tcPr>
          <w:p w14:paraId="728A71CB">
            <w:pPr>
              <w:rPr>
                <w:rFonts w:ascii="仿宋_GB2312" w:eastAsia="仿宋_GB2312"/>
                <w:sz w:val="24"/>
                <w:szCs w:val="24"/>
              </w:rPr>
            </w:pPr>
            <w:r>
              <w:rPr>
                <w:rFonts w:hint="eastAsia" w:ascii="仿宋_GB2312" w:eastAsia="仿宋_GB2312"/>
                <w:sz w:val="24"/>
                <w:szCs w:val="24"/>
              </w:rPr>
              <w:t>做市业务负责人</w:t>
            </w:r>
          </w:p>
        </w:tc>
        <w:tc>
          <w:tcPr>
            <w:tcW w:w="564" w:type="pct"/>
            <w:vAlign w:val="center"/>
          </w:tcPr>
          <w:p w14:paraId="3D107BAE">
            <w:pPr>
              <w:rPr>
                <w:rFonts w:ascii="仿宋_GB2312" w:eastAsia="仿宋_GB2312"/>
                <w:sz w:val="24"/>
                <w:szCs w:val="24"/>
              </w:rPr>
            </w:pPr>
            <w:r>
              <w:rPr>
                <w:rFonts w:hint="eastAsia" w:ascii="仿宋_GB2312" w:eastAsia="仿宋_GB2312"/>
                <w:sz w:val="24"/>
                <w:szCs w:val="24"/>
              </w:rPr>
              <w:t>部门</w:t>
            </w:r>
          </w:p>
        </w:tc>
        <w:tc>
          <w:tcPr>
            <w:tcW w:w="443" w:type="pct"/>
            <w:vAlign w:val="center"/>
          </w:tcPr>
          <w:p w14:paraId="0CDCE840">
            <w:pPr>
              <w:rPr>
                <w:rFonts w:ascii="仿宋_GB2312" w:eastAsia="仿宋_GB2312"/>
                <w:sz w:val="24"/>
                <w:szCs w:val="24"/>
              </w:rPr>
            </w:pPr>
            <w:r>
              <w:rPr>
                <w:rFonts w:hint="eastAsia" w:ascii="仿宋_GB2312" w:eastAsia="仿宋_GB2312"/>
                <w:sz w:val="24"/>
                <w:szCs w:val="24"/>
              </w:rPr>
              <w:t>职务</w:t>
            </w:r>
          </w:p>
        </w:tc>
        <w:tc>
          <w:tcPr>
            <w:tcW w:w="758" w:type="pct"/>
            <w:vAlign w:val="center"/>
          </w:tcPr>
          <w:p w14:paraId="23C3C0C2">
            <w:pPr>
              <w:rPr>
                <w:rFonts w:ascii="仿宋_GB2312" w:eastAsia="仿宋_GB2312"/>
                <w:sz w:val="24"/>
                <w:szCs w:val="24"/>
              </w:rPr>
            </w:pPr>
            <w:r>
              <w:rPr>
                <w:rFonts w:hint="eastAsia" w:ascii="仿宋_GB2312" w:eastAsia="仿宋_GB2312"/>
                <w:sz w:val="24"/>
                <w:szCs w:val="24"/>
              </w:rPr>
              <w:t>电话</w:t>
            </w:r>
          </w:p>
        </w:tc>
        <w:tc>
          <w:tcPr>
            <w:tcW w:w="840" w:type="pct"/>
            <w:vAlign w:val="center"/>
          </w:tcPr>
          <w:p w14:paraId="542CC3A3">
            <w:pPr>
              <w:rPr>
                <w:rFonts w:ascii="仿宋_GB2312" w:eastAsia="仿宋_GB2312"/>
                <w:sz w:val="24"/>
                <w:szCs w:val="24"/>
              </w:rPr>
            </w:pPr>
            <w:r>
              <w:rPr>
                <w:rFonts w:hint="eastAsia" w:ascii="仿宋_GB2312" w:eastAsia="仿宋_GB2312"/>
                <w:sz w:val="24"/>
                <w:szCs w:val="24"/>
              </w:rPr>
              <w:t>手机</w:t>
            </w:r>
          </w:p>
        </w:tc>
        <w:tc>
          <w:tcPr>
            <w:tcW w:w="746" w:type="pct"/>
            <w:gridSpan w:val="2"/>
            <w:vAlign w:val="center"/>
          </w:tcPr>
          <w:p w14:paraId="31BDAD94">
            <w:pPr>
              <w:rPr>
                <w:rFonts w:ascii="仿宋_GB2312" w:eastAsia="仿宋_GB2312"/>
                <w:sz w:val="24"/>
                <w:szCs w:val="24"/>
              </w:rPr>
            </w:pPr>
            <w:r>
              <w:rPr>
                <w:rFonts w:hint="eastAsia" w:ascii="仿宋_GB2312" w:eastAsia="仿宋_GB2312"/>
                <w:sz w:val="24"/>
                <w:szCs w:val="24"/>
              </w:rPr>
              <w:t>传真</w:t>
            </w:r>
          </w:p>
        </w:tc>
        <w:tc>
          <w:tcPr>
            <w:tcW w:w="937" w:type="pct"/>
            <w:vAlign w:val="center"/>
          </w:tcPr>
          <w:p w14:paraId="695B7245">
            <w:pPr>
              <w:rPr>
                <w:rFonts w:ascii="仿宋_GB2312" w:eastAsia="仿宋_GB2312"/>
                <w:sz w:val="24"/>
                <w:szCs w:val="24"/>
              </w:rPr>
            </w:pPr>
            <w:r>
              <w:rPr>
                <w:rFonts w:ascii="仿宋_GB2312" w:eastAsia="仿宋_GB2312"/>
                <w:sz w:val="24"/>
                <w:szCs w:val="24"/>
              </w:rPr>
              <w:t>E-mail</w:t>
            </w:r>
          </w:p>
        </w:tc>
      </w:tr>
      <w:tr w14:paraId="64735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712" w:type="pct"/>
            <w:vAlign w:val="center"/>
          </w:tcPr>
          <w:p w14:paraId="34BE8140">
            <w:pPr>
              <w:rPr>
                <w:rFonts w:ascii="仿宋_GB2312" w:eastAsia="仿宋_GB2312"/>
                <w:sz w:val="24"/>
                <w:szCs w:val="24"/>
              </w:rPr>
            </w:pPr>
          </w:p>
        </w:tc>
        <w:tc>
          <w:tcPr>
            <w:tcW w:w="564" w:type="pct"/>
            <w:vAlign w:val="center"/>
          </w:tcPr>
          <w:p w14:paraId="25781E75">
            <w:pPr>
              <w:rPr>
                <w:rFonts w:ascii="仿宋_GB2312" w:eastAsia="仿宋_GB2312"/>
                <w:sz w:val="24"/>
                <w:szCs w:val="24"/>
              </w:rPr>
            </w:pPr>
          </w:p>
        </w:tc>
        <w:tc>
          <w:tcPr>
            <w:tcW w:w="443" w:type="pct"/>
            <w:vAlign w:val="center"/>
          </w:tcPr>
          <w:p w14:paraId="632A2620">
            <w:pPr>
              <w:rPr>
                <w:rFonts w:ascii="仿宋_GB2312" w:eastAsia="仿宋_GB2312"/>
                <w:sz w:val="24"/>
                <w:szCs w:val="24"/>
              </w:rPr>
            </w:pPr>
          </w:p>
        </w:tc>
        <w:tc>
          <w:tcPr>
            <w:tcW w:w="758" w:type="pct"/>
            <w:vAlign w:val="center"/>
          </w:tcPr>
          <w:p w14:paraId="2F0CF3F7">
            <w:pPr>
              <w:rPr>
                <w:rFonts w:ascii="仿宋_GB2312" w:eastAsia="仿宋_GB2312"/>
                <w:sz w:val="24"/>
                <w:szCs w:val="24"/>
              </w:rPr>
            </w:pPr>
          </w:p>
        </w:tc>
        <w:tc>
          <w:tcPr>
            <w:tcW w:w="840" w:type="pct"/>
            <w:vAlign w:val="center"/>
          </w:tcPr>
          <w:p w14:paraId="6F31C837">
            <w:pPr>
              <w:rPr>
                <w:rFonts w:ascii="仿宋_GB2312" w:eastAsia="仿宋_GB2312"/>
                <w:sz w:val="24"/>
                <w:szCs w:val="24"/>
              </w:rPr>
            </w:pPr>
          </w:p>
        </w:tc>
        <w:tc>
          <w:tcPr>
            <w:tcW w:w="746" w:type="pct"/>
            <w:gridSpan w:val="2"/>
            <w:vAlign w:val="center"/>
          </w:tcPr>
          <w:p w14:paraId="4C2482ED">
            <w:pPr>
              <w:rPr>
                <w:rFonts w:ascii="仿宋_GB2312" w:eastAsia="仿宋_GB2312"/>
                <w:sz w:val="24"/>
                <w:szCs w:val="24"/>
              </w:rPr>
            </w:pPr>
          </w:p>
        </w:tc>
        <w:tc>
          <w:tcPr>
            <w:tcW w:w="937" w:type="pct"/>
            <w:vAlign w:val="center"/>
          </w:tcPr>
          <w:p w14:paraId="2AAED8F4">
            <w:pPr>
              <w:rPr>
                <w:rFonts w:ascii="仿宋_GB2312" w:eastAsia="仿宋_GB2312"/>
                <w:sz w:val="24"/>
                <w:szCs w:val="24"/>
              </w:rPr>
            </w:pPr>
          </w:p>
        </w:tc>
      </w:tr>
      <w:tr w14:paraId="4F982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712" w:type="pct"/>
            <w:vAlign w:val="center"/>
          </w:tcPr>
          <w:p w14:paraId="45ED3695">
            <w:pPr>
              <w:rPr>
                <w:rFonts w:ascii="仿宋_GB2312" w:eastAsia="仿宋_GB2312"/>
                <w:sz w:val="24"/>
                <w:szCs w:val="24"/>
              </w:rPr>
            </w:pPr>
            <w:r>
              <w:rPr>
                <w:rFonts w:hint="eastAsia" w:ascii="仿宋_GB2312" w:eastAsia="仿宋_GB2312"/>
                <w:sz w:val="24"/>
                <w:szCs w:val="24"/>
              </w:rPr>
              <w:t>做市业务联络人</w:t>
            </w:r>
          </w:p>
        </w:tc>
        <w:tc>
          <w:tcPr>
            <w:tcW w:w="564" w:type="pct"/>
            <w:vAlign w:val="center"/>
          </w:tcPr>
          <w:p w14:paraId="340B20D3">
            <w:pPr>
              <w:rPr>
                <w:rFonts w:ascii="仿宋_GB2312" w:eastAsia="仿宋_GB2312"/>
                <w:sz w:val="24"/>
                <w:szCs w:val="24"/>
              </w:rPr>
            </w:pPr>
            <w:r>
              <w:rPr>
                <w:rFonts w:hint="eastAsia" w:ascii="仿宋_GB2312" w:eastAsia="仿宋_GB2312"/>
                <w:sz w:val="24"/>
                <w:szCs w:val="24"/>
              </w:rPr>
              <w:t>部门</w:t>
            </w:r>
          </w:p>
        </w:tc>
        <w:tc>
          <w:tcPr>
            <w:tcW w:w="443" w:type="pct"/>
            <w:vAlign w:val="center"/>
          </w:tcPr>
          <w:p w14:paraId="7C09C787">
            <w:pPr>
              <w:rPr>
                <w:rFonts w:ascii="仿宋_GB2312" w:eastAsia="仿宋_GB2312"/>
                <w:sz w:val="24"/>
                <w:szCs w:val="24"/>
              </w:rPr>
            </w:pPr>
            <w:r>
              <w:rPr>
                <w:rFonts w:hint="eastAsia" w:ascii="仿宋_GB2312" w:eastAsia="仿宋_GB2312"/>
                <w:sz w:val="24"/>
                <w:szCs w:val="24"/>
              </w:rPr>
              <w:t>职务</w:t>
            </w:r>
          </w:p>
        </w:tc>
        <w:tc>
          <w:tcPr>
            <w:tcW w:w="758" w:type="pct"/>
            <w:vAlign w:val="center"/>
          </w:tcPr>
          <w:p w14:paraId="5E978BE2">
            <w:pPr>
              <w:rPr>
                <w:rFonts w:ascii="仿宋_GB2312" w:eastAsia="仿宋_GB2312"/>
                <w:sz w:val="24"/>
                <w:szCs w:val="24"/>
              </w:rPr>
            </w:pPr>
            <w:r>
              <w:rPr>
                <w:rFonts w:hint="eastAsia" w:ascii="仿宋_GB2312" w:eastAsia="仿宋_GB2312"/>
                <w:sz w:val="24"/>
                <w:szCs w:val="24"/>
              </w:rPr>
              <w:t>电话</w:t>
            </w:r>
          </w:p>
        </w:tc>
        <w:tc>
          <w:tcPr>
            <w:tcW w:w="840" w:type="pct"/>
            <w:vAlign w:val="center"/>
          </w:tcPr>
          <w:p w14:paraId="02CB5361">
            <w:pPr>
              <w:rPr>
                <w:rFonts w:ascii="仿宋_GB2312" w:eastAsia="仿宋_GB2312"/>
                <w:sz w:val="24"/>
                <w:szCs w:val="24"/>
              </w:rPr>
            </w:pPr>
            <w:r>
              <w:rPr>
                <w:rFonts w:hint="eastAsia" w:ascii="仿宋_GB2312" w:eastAsia="仿宋_GB2312"/>
                <w:sz w:val="24"/>
                <w:szCs w:val="24"/>
              </w:rPr>
              <w:t>手机</w:t>
            </w:r>
          </w:p>
        </w:tc>
        <w:tc>
          <w:tcPr>
            <w:tcW w:w="746" w:type="pct"/>
            <w:gridSpan w:val="2"/>
            <w:vAlign w:val="center"/>
          </w:tcPr>
          <w:p w14:paraId="2387FE8E">
            <w:pPr>
              <w:rPr>
                <w:rFonts w:ascii="仿宋_GB2312" w:eastAsia="仿宋_GB2312"/>
                <w:sz w:val="24"/>
                <w:szCs w:val="24"/>
              </w:rPr>
            </w:pPr>
            <w:r>
              <w:rPr>
                <w:rFonts w:hint="eastAsia" w:ascii="仿宋_GB2312" w:eastAsia="仿宋_GB2312"/>
                <w:sz w:val="24"/>
                <w:szCs w:val="24"/>
              </w:rPr>
              <w:t>传真</w:t>
            </w:r>
          </w:p>
        </w:tc>
        <w:tc>
          <w:tcPr>
            <w:tcW w:w="937" w:type="pct"/>
            <w:vAlign w:val="center"/>
          </w:tcPr>
          <w:p w14:paraId="36B2FAC6">
            <w:pPr>
              <w:rPr>
                <w:rFonts w:ascii="仿宋_GB2312" w:eastAsia="仿宋_GB2312"/>
                <w:sz w:val="24"/>
                <w:szCs w:val="24"/>
              </w:rPr>
            </w:pPr>
            <w:r>
              <w:rPr>
                <w:rFonts w:ascii="仿宋_GB2312" w:eastAsia="仿宋_GB2312"/>
                <w:sz w:val="24"/>
                <w:szCs w:val="24"/>
              </w:rPr>
              <w:t>E-mail</w:t>
            </w:r>
          </w:p>
        </w:tc>
      </w:tr>
      <w:tr w14:paraId="0ECDD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712" w:type="pct"/>
            <w:vAlign w:val="center"/>
          </w:tcPr>
          <w:p w14:paraId="4894D820">
            <w:pPr>
              <w:rPr>
                <w:rFonts w:ascii="仿宋_GB2312" w:eastAsia="仿宋_GB2312"/>
                <w:sz w:val="24"/>
                <w:szCs w:val="24"/>
              </w:rPr>
            </w:pPr>
          </w:p>
        </w:tc>
        <w:tc>
          <w:tcPr>
            <w:tcW w:w="564" w:type="pct"/>
            <w:vAlign w:val="center"/>
          </w:tcPr>
          <w:p w14:paraId="54B662CA">
            <w:pPr>
              <w:rPr>
                <w:rFonts w:ascii="仿宋_GB2312" w:eastAsia="仿宋_GB2312"/>
                <w:sz w:val="24"/>
                <w:szCs w:val="24"/>
              </w:rPr>
            </w:pPr>
          </w:p>
        </w:tc>
        <w:tc>
          <w:tcPr>
            <w:tcW w:w="443" w:type="pct"/>
            <w:vAlign w:val="center"/>
          </w:tcPr>
          <w:p w14:paraId="743F30BC">
            <w:pPr>
              <w:rPr>
                <w:rFonts w:ascii="仿宋_GB2312" w:eastAsia="仿宋_GB2312"/>
                <w:sz w:val="24"/>
                <w:szCs w:val="24"/>
              </w:rPr>
            </w:pPr>
          </w:p>
        </w:tc>
        <w:tc>
          <w:tcPr>
            <w:tcW w:w="758" w:type="pct"/>
            <w:vAlign w:val="center"/>
          </w:tcPr>
          <w:p w14:paraId="123C2F7C">
            <w:pPr>
              <w:rPr>
                <w:rFonts w:ascii="仿宋_GB2312" w:eastAsia="仿宋_GB2312"/>
                <w:sz w:val="24"/>
                <w:szCs w:val="24"/>
              </w:rPr>
            </w:pPr>
          </w:p>
        </w:tc>
        <w:tc>
          <w:tcPr>
            <w:tcW w:w="840" w:type="pct"/>
            <w:vAlign w:val="center"/>
          </w:tcPr>
          <w:p w14:paraId="366EBC37">
            <w:pPr>
              <w:rPr>
                <w:rFonts w:ascii="仿宋_GB2312" w:eastAsia="仿宋_GB2312"/>
                <w:sz w:val="24"/>
                <w:szCs w:val="24"/>
              </w:rPr>
            </w:pPr>
          </w:p>
        </w:tc>
        <w:tc>
          <w:tcPr>
            <w:tcW w:w="746" w:type="pct"/>
            <w:gridSpan w:val="2"/>
            <w:vAlign w:val="center"/>
          </w:tcPr>
          <w:p w14:paraId="41E4BD03">
            <w:pPr>
              <w:rPr>
                <w:rFonts w:ascii="仿宋_GB2312" w:eastAsia="仿宋_GB2312"/>
                <w:sz w:val="24"/>
                <w:szCs w:val="24"/>
              </w:rPr>
            </w:pPr>
          </w:p>
        </w:tc>
        <w:tc>
          <w:tcPr>
            <w:tcW w:w="937" w:type="pct"/>
            <w:vAlign w:val="center"/>
          </w:tcPr>
          <w:p w14:paraId="44A66B30">
            <w:pPr>
              <w:rPr>
                <w:rFonts w:ascii="仿宋_GB2312" w:eastAsia="仿宋_GB2312"/>
                <w:sz w:val="24"/>
                <w:szCs w:val="24"/>
              </w:rPr>
            </w:pPr>
          </w:p>
        </w:tc>
      </w:tr>
    </w:tbl>
    <w:p w14:paraId="5555A311">
      <w:pPr>
        <w:pStyle w:val="18"/>
        <w:rPr>
          <w:szCs w:val="30"/>
        </w:rPr>
      </w:pPr>
    </w:p>
    <w:p w14:paraId="112467E9">
      <w:pPr>
        <w:pStyle w:val="18"/>
        <w:jc w:val="right"/>
        <w:rPr>
          <w:szCs w:val="30"/>
        </w:rPr>
      </w:pPr>
      <w:r>
        <w:rPr>
          <w:rFonts w:hint="eastAsia"/>
          <w:szCs w:val="30"/>
        </w:rPr>
        <w:t>做市商：_____________________</w:t>
      </w:r>
      <w:r>
        <w:rPr>
          <w:szCs w:val="30"/>
        </w:rPr>
        <w:t xml:space="preserve">   </w:t>
      </w:r>
      <w:r>
        <w:rPr>
          <w:rFonts w:hint="eastAsia"/>
          <w:szCs w:val="30"/>
        </w:rPr>
        <w:t>（加盖公章）</w:t>
      </w:r>
    </w:p>
    <w:p w14:paraId="6CCC71B4">
      <w:pPr>
        <w:pStyle w:val="18"/>
        <w:jc w:val="right"/>
        <w:rPr>
          <w:szCs w:val="30"/>
        </w:rPr>
      </w:pPr>
    </w:p>
    <w:p w14:paraId="57FE5C9B">
      <w:pPr>
        <w:pStyle w:val="18"/>
        <w:jc w:val="right"/>
        <w:rPr>
          <w:szCs w:val="30"/>
        </w:rPr>
      </w:pPr>
      <w:r>
        <w:rPr>
          <w:rFonts w:hint="eastAsia"/>
          <w:szCs w:val="30"/>
        </w:rPr>
        <w:t xml:space="preserve">                                     经办人（签字）：</w:t>
      </w:r>
    </w:p>
    <w:p w14:paraId="0A4F9F7A">
      <w:pPr>
        <w:pStyle w:val="18"/>
        <w:jc w:val="right"/>
        <w:rPr>
          <w:szCs w:val="30"/>
        </w:rPr>
      </w:pPr>
      <w:r>
        <w:rPr>
          <w:rFonts w:hint="eastAsia"/>
          <w:szCs w:val="30"/>
        </w:rPr>
        <w:t xml:space="preserve">                                     申请日期：</w:t>
      </w:r>
    </w:p>
    <w:p w14:paraId="27905B9B">
      <w:pPr>
        <w:pStyle w:val="18"/>
        <w:jc w:val="right"/>
        <w:rPr>
          <w:szCs w:val="30"/>
        </w:rPr>
      </w:pPr>
      <w:r>
        <w:rPr>
          <w:rFonts w:hint="eastAsia"/>
          <w:szCs w:val="30"/>
        </w:rPr>
        <w:t xml:space="preserve">                                     联系电话：</w:t>
      </w:r>
    </w:p>
    <w:p w14:paraId="6CB13936">
      <w:pPr>
        <w:spacing w:line="600" w:lineRule="exact"/>
        <w:ind w:firstLine="600" w:firstLineChars="200"/>
        <w:rPr>
          <w:rFonts w:ascii="仿宋_GB2312" w:hAnsi="微软雅黑" w:eastAsia="仿宋_GB2312"/>
          <w:sz w:val="30"/>
          <w:szCs w:val="30"/>
        </w:rPr>
      </w:pPr>
    </w:p>
    <w:p w14:paraId="00044A2E">
      <w:pPr>
        <w:widowControl/>
        <w:jc w:val="left"/>
        <w:outlineLvl w:val="1"/>
        <w:rPr>
          <w:rFonts w:ascii="仿宋_GB2312" w:hAnsi="仿宋" w:eastAsia="仿宋_GB2312"/>
          <w:sz w:val="30"/>
          <w:szCs w:val="30"/>
        </w:rPr>
      </w:pPr>
      <w:bookmarkStart w:id="3852" w:name="_Toc55318689"/>
      <w:bookmarkEnd w:id="3852"/>
      <w:r>
        <w:rPr>
          <w:rFonts w:ascii="仿宋_GB2312" w:eastAsia="仿宋_GB2312"/>
          <w:b/>
          <w:sz w:val="30"/>
          <w:szCs w:val="30"/>
        </w:rPr>
        <w:br w:type="page"/>
      </w:r>
      <w:bookmarkStart w:id="3853" w:name="_Toc1582425883"/>
      <w:bookmarkStart w:id="3854" w:name="_Toc274077342"/>
      <w:bookmarkStart w:id="3855" w:name="_Toc414218408"/>
      <w:bookmarkStart w:id="3856" w:name="_Toc1006261178"/>
      <w:bookmarkStart w:id="3857" w:name="_Toc151137097"/>
      <w:r>
        <w:rPr>
          <w:rFonts w:hint="eastAsia" w:ascii="仿宋_GB2312" w:hAnsi="黑体" w:eastAsia="仿宋_GB2312"/>
          <w:b/>
          <w:sz w:val="30"/>
          <w:szCs w:val="30"/>
        </w:rPr>
        <w:t>附件14 债券做市账户变更表</w:t>
      </w:r>
      <w:bookmarkEnd w:id="3853"/>
      <w:bookmarkEnd w:id="3854"/>
      <w:bookmarkEnd w:id="3855"/>
      <w:bookmarkEnd w:id="3856"/>
      <w:bookmarkEnd w:id="3857"/>
    </w:p>
    <w:p w14:paraId="1F45A29B">
      <w:pPr>
        <w:spacing w:line="600" w:lineRule="exact"/>
        <w:jc w:val="center"/>
        <w:rPr>
          <w:rFonts w:ascii="黑体" w:hAnsi="黑体"/>
          <w:b/>
          <w:sz w:val="44"/>
          <w:szCs w:val="44"/>
        </w:rPr>
      </w:pPr>
    </w:p>
    <w:p w14:paraId="68D25AB6">
      <w:pPr>
        <w:spacing w:line="600" w:lineRule="exact"/>
        <w:jc w:val="center"/>
        <w:rPr>
          <w:rFonts w:ascii="黑体" w:hAnsi="黑体" w:eastAsia="黑体" w:cs="黑体"/>
          <w:b/>
          <w:sz w:val="44"/>
          <w:szCs w:val="44"/>
        </w:rPr>
      </w:pPr>
      <w:r>
        <w:rPr>
          <w:rFonts w:hint="eastAsia" w:ascii="黑体" w:hAnsi="黑体" w:eastAsia="黑体" w:cs="黑体"/>
          <w:b/>
          <w:sz w:val="44"/>
          <w:szCs w:val="44"/>
        </w:rPr>
        <w:t>债券做市账户变更表</w:t>
      </w:r>
    </w:p>
    <w:p w14:paraId="73EDE34E">
      <w:pPr>
        <w:spacing w:line="600" w:lineRule="exact"/>
        <w:ind w:firstLine="600" w:firstLineChars="200"/>
        <w:rPr>
          <w:rFonts w:ascii="仿宋_GB2312" w:eastAsia="仿宋_GB2312"/>
          <w:sz w:val="30"/>
          <w:szCs w:val="30"/>
        </w:rPr>
      </w:pPr>
    </w:p>
    <w:tbl>
      <w:tblPr>
        <w:tblStyle w:val="43"/>
        <w:tblW w:w="49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1"/>
        <w:gridCol w:w="952"/>
        <w:gridCol w:w="748"/>
        <w:gridCol w:w="1279"/>
        <w:gridCol w:w="1417"/>
        <w:gridCol w:w="680"/>
        <w:gridCol w:w="579"/>
        <w:gridCol w:w="1581"/>
      </w:tblGrid>
      <w:tr w14:paraId="54FA6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3317" w:type="pct"/>
            <w:gridSpan w:val="5"/>
            <w:vAlign w:val="center"/>
          </w:tcPr>
          <w:p w14:paraId="2A197419">
            <w:pPr>
              <w:rPr>
                <w:rFonts w:ascii="仿宋_GB2312" w:eastAsia="仿宋_GB2312"/>
                <w:sz w:val="24"/>
                <w:szCs w:val="24"/>
              </w:rPr>
            </w:pPr>
            <w:r>
              <w:rPr>
                <w:rFonts w:hint="eastAsia" w:ascii="仿宋_GB2312" w:eastAsia="仿宋_GB2312"/>
                <w:sz w:val="24"/>
                <w:szCs w:val="24"/>
              </w:rPr>
              <w:t>做市商全称：</w:t>
            </w:r>
          </w:p>
        </w:tc>
        <w:tc>
          <w:tcPr>
            <w:tcW w:w="1683" w:type="pct"/>
            <w:gridSpan w:val="3"/>
            <w:vAlign w:val="center"/>
          </w:tcPr>
          <w:p w14:paraId="7DFB5105">
            <w:pPr>
              <w:rPr>
                <w:rFonts w:ascii="仿宋_GB2312" w:eastAsia="仿宋_GB2312"/>
                <w:sz w:val="24"/>
                <w:szCs w:val="24"/>
              </w:rPr>
            </w:pPr>
            <w:r>
              <w:rPr>
                <w:rFonts w:hint="eastAsia" w:ascii="仿宋_GB2312" w:eastAsia="仿宋_GB2312"/>
                <w:sz w:val="24"/>
                <w:szCs w:val="24"/>
              </w:rPr>
              <w:t>电话：</w:t>
            </w:r>
          </w:p>
        </w:tc>
      </w:tr>
      <w:tr w14:paraId="22081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3317" w:type="pct"/>
            <w:gridSpan w:val="5"/>
            <w:vAlign w:val="center"/>
          </w:tcPr>
          <w:p w14:paraId="798CDD11">
            <w:pPr>
              <w:rPr>
                <w:rFonts w:ascii="仿宋_GB2312" w:eastAsia="仿宋_GB2312"/>
                <w:sz w:val="24"/>
                <w:szCs w:val="24"/>
              </w:rPr>
            </w:pPr>
            <w:r>
              <w:rPr>
                <w:rFonts w:hint="eastAsia" w:ascii="仿宋_GB2312" w:eastAsia="仿宋_GB2312"/>
                <w:sz w:val="24"/>
                <w:szCs w:val="24"/>
              </w:rPr>
              <w:t xml:space="preserve">公司地址： </w:t>
            </w:r>
          </w:p>
        </w:tc>
        <w:tc>
          <w:tcPr>
            <w:tcW w:w="1683" w:type="pct"/>
            <w:gridSpan w:val="3"/>
            <w:vAlign w:val="center"/>
          </w:tcPr>
          <w:p w14:paraId="038DB6C0">
            <w:pPr>
              <w:rPr>
                <w:rFonts w:ascii="仿宋_GB2312" w:eastAsia="仿宋_GB2312"/>
                <w:sz w:val="24"/>
                <w:szCs w:val="24"/>
              </w:rPr>
            </w:pPr>
            <w:r>
              <w:rPr>
                <w:rFonts w:hint="eastAsia" w:ascii="仿宋_GB2312" w:eastAsia="仿宋_GB2312"/>
                <w:sz w:val="24"/>
                <w:szCs w:val="24"/>
              </w:rPr>
              <w:t>传真：</w:t>
            </w:r>
          </w:p>
        </w:tc>
      </w:tr>
      <w:tr w14:paraId="4CBBE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1276" w:type="pct"/>
            <w:gridSpan w:val="2"/>
            <w:vAlign w:val="center"/>
          </w:tcPr>
          <w:p w14:paraId="5B143B2A">
            <w:pPr>
              <w:rPr>
                <w:rFonts w:ascii="仿宋_GB2312" w:eastAsia="仿宋_GB2312"/>
                <w:sz w:val="24"/>
                <w:szCs w:val="24"/>
              </w:rPr>
            </w:pPr>
            <w:r>
              <w:rPr>
                <w:rFonts w:hint="eastAsia" w:ascii="仿宋_GB2312" w:eastAsia="仿宋_GB2312"/>
                <w:sz w:val="24"/>
                <w:szCs w:val="24"/>
              </w:rPr>
              <w:t>债券投资者类型</w:t>
            </w:r>
          </w:p>
        </w:tc>
        <w:tc>
          <w:tcPr>
            <w:tcW w:w="3724" w:type="pct"/>
            <w:gridSpan w:val="6"/>
            <w:vAlign w:val="center"/>
          </w:tcPr>
          <w:p w14:paraId="1FDF174E">
            <w:pPr>
              <w:rPr>
                <w:rFonts w:ascii="仿宋_GB2312" w:eastAsia="仿宋_GB2312"/>
                <w:sz w:val="24"/>
                <w:szCs w:val="24"/>
              </w:rPr>
            </w:pPr>
            <w:r>
              <w:rPr>
                <w:rFonts w:hint="eastAsia" w:ascii="仿宋_GB2312" w:eastAsia="仿宋_GB2312"/>
                <w:sz w:val="24"/>
                <w:szCs w:val="24"/>
              </w:rPr>
              <w:t>□证券公司</w:t>
            </w:r>
            <w:r>
              <w:rPr>
                <w:rFonts w:ascii="仿宋_GB2312" w:eastAsia="仿宋_GB2312"/>
                <w:sz w:val="24"/>
                <w:szCs w:val="24"/>
              </w:rPr>
              <w:t xml:space="preserve">  </w:t>
            </w:r>
            <w:r>
              <w:rPr>
                <w:rFonts w:hint="eastAsia" w:ascii="仿宋_GB2312" w:eastAsia="仿宋_GB2312"/>
                <w:sz w:val="24"/>
                <w:szCs w:val="24"/>
              </w:rPr>
              <w:t>□银行  □证券公司资产管理子公司</w:t>
            </w:r>
            <w:r>
              <w:rPr>
                <w:rFonts w:ascii="仿宋_GB2312" w:eastAsia="仿宋_GB2312"/>
                <w:sz w:val="24"/>
                <w:szCs w:val="24"/>
              </w:rPr>
              <w:t xml:space="preserve">  </w:t>
            </w:r>
          </w:p>
          <w:p w14:paraId="16500D6D">
            <w:pPr>
              <w:rPr>
                <w:rFonts w:ascii="仿宋_GB2312" w:eastAsia="仿宋_GB2312"/>
                <w:sz w:val="24"/>
                <w:szCs w:val="24"/>
              </w:rPr>
            </w:pPr>
            <w:r>
              <w:rPr>
                <w:rFonts w:hint="eastAsia" w:ascii="仿宋_GB2312" w:eastAsia="仿宋_GB2312"/>
                <w:sz w:val="24"/>
                <w:szCs w:val="24"/>
              </w:rPr>
              <w:t>□银行理财子公司</w:t>
            </w:r>
            <w:r>
              <w:rPr>
                <w:rFonts w:ascii="仿宋_GB2312" w:eastAsia="仿宋_GB2312"/>
                <w:sz w:val="24"/>
                <w:szCs w:val="24"/>
              </w:rPr>
              <w:t xml:space="preserve">  </w:t>
            </w:r>
            <w:r>
              <w:rPr>
                <w:rFonts w:hint="eastAsia" w:ascii="仿宋_GB2312" w:eastAsia="仿宋_GB2312"/>
                <w:sz w:val="24"/>
                <w:szCs w:val="24"/>
              </w:rPr>
              <w:t>□证券投资基金管理公司</w:t>
            </w:r>
            <w:r>
              <w:rPr>
                <w:rFonts w:ascii="仿宋_GB2312" w:eastAsia="仿宋_GB2312"/>
                <w:sz w:val="24"/>
                <w:szCs w:val="24"/>
              </w:rPr>
              <w:t xml:space="preserve">  </w:t>
            </w:r>
          </w:p>
          <w:p w14:paraId="37350321">
            <w:pPr>
              <w:rPr>
                <w:rFonts w:ascii="仿宋_GB2312" w:eastAsia="仿宋_GB2312"/>
                <w:sz w:val="24"/>
                <w:szCs w:val="24"/>
              </w:rPr>
            </w:pPr>
            <w:r>
              <w:rPr>
                <w:rFonts w:hint="eastAsia" w:ascii="仿宋_GB2312" w:eastAsia="仿宋_GB2312"/>
                <w:sz w:val="24"/>
                <w:szCs w:val="24"/>
              </w:rPr>
              <w:t>□保险公司 □保险资产管理公司</w:t>
            </w:r>
            <w:r>
              <w:rPr>
                <w:rFonts w:ascii="仿宋_GB2312" w:eastAsia="仿宋_GB2312"/>
                <w:sz w:val="24"/>
                <w:szCs w:val="24"/>
              </w:rPr>
              <w:t xml:space="preserve">  </w:t>
            </w:r>
            <w:r>
              <w:rPr>
                <w:rFonts w:hint="eastAsia" w:ascii="仿宋_GB2312" w:eastAsia="仿宋_GB2312"/>
                <w:sz w:val="24"/>
                <w:szCs w:val="24"/>
              </w:rPr>
              <w:t>□信托公司</w:t>
            </w:r>
            <w:r>
              <w:rPr>
                <w:rFonts w:ascii="仿宋_GB2312" w:eastAsia="仿宋_GB2312"/>
                <w:sz w:val="24"/>
                <w:szCs w:val="24"/>
              </w:rPr>
              <w:t xml:space="preserve">  </w:t>
            </w:r>
          </w:p>
          <w:p w14:paraId="6F643FD8">
            <w:pPr>
              <w:rPr>
                <w:rFonts w:ascii="仿宋_GB2312" w:eastAsia="仿宋_GB2312"/>
                <w:sz w:val="24"/>
                <w:szCs w:val="24"/>
              </w:rPr>
            </w:pPr>
            <w:r>
              <w:rPr>
                <w:rFonts w:hint="eastAsia" w:ascii="仿宋_GB2312" w:eastAsia="仿宋_GB2312"/>
                <w:sz w:val="24"/>
                <w:szCs w:val="24"/>
              </w:rPr>
              <w:t>□财务公司  □期货公司</w:t>
            </w:r>
            <w:r>
              <w:rPr>
                <w:rFonts w:ascii="仿宋_GB2312" w:eastAsia="仿宋_GB2312"/>
                <w:sz w:val="24"/>
                <w:szCs w:val="24"/>
              </w:rPr>
              <w:t xml:space="preserve">  </w:t>
            </w:r>
            <w:r>
              <w:rPr>
                <w:rFonts w:hint="eastAsia" w:ascii="仿宋_GB2312" w:eastAsia="仿宋_GB2312"/>
                <w:sz w:val="24"/>
                <w:szCs w:val="24"/>
              </w:rPr>
              <w:t>□其他机构</w:t>
            </w:r>
          </w:p>
        </w:tc>
      </w:tr>
      <w:tr w14:paraId="42BC3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5000" w:type="pct"/>
            <w:gridSpan w:val="8"/>
            <w:vAlign w:val="center"/>
          </w:tcPr>
          <w:p w14:paraId="749440FD">
            <w:pPr>
              <w:rPr>
                <w:rFonts w:ascii="仿宋_GB2312" w:eastAsia="仿宋_GB2312"/>
                <w:sz w:val="24"/>
                <w:szCs w:val="24"/>
              </w:rPr>
            </w:pPr>
            <w:r>
              <w:rPr>
                <w:rFonts w:hint="eastAsia" w:ascii="仿宋_GB2312" w:eastAsia="仿宋_GB2312"/>
                <w:sz w:val="24"/>
                <w:szCs w:val="24"/>
              </w:rPr>
              <w:t>变更前</w:t>
            </w:r>
          </w:p>
        </w:tc>
      </w:tr>
      <w:tr w14:paraId="3A362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276" w:type="pct"/>
            <w:gridSpan w:val="2"/>
            <w:tcBorders>
              <w:bottom w:val="single" w:color="auto" w:sz="4" w:space="0"/>
            </w:tcBorders>
            <w:vAlign w:val="center"/>
          </w:tcPr>
          <w:p w14:paraId="20245188">
            <w:pPr>
              <w:rPr>
                <w:rFonts w:ascii="仿宋_GB2312" w:eastAsia="仿宋_GB2312"/>
                <w:sz w:val="24"/>
                <w:szCs w:val="24"/>
              </w:rPr>
            </w:pPr>
            <w:r>
              <w:rPr>
                <w:rFonts w:hint="eastAsia" w:ascii="仿宋_GB2312" w:eastAsia="仿宋_GB2312"/>
                <w:sz w:val="24"/>
                <w:szCs w:val="24"/>
              </w:rPr>
              <w:t>做市证券账户</w:t>
            </w:r>
          </w:p>
        </w:tc>
        <w:tc>
          <w:tcPr>
            <w:tcW w:w="1201" w:type="pct"/>
            <w:gridSpan w:val="2"/>
            <w:tcBorders>
              <w:bottom w:val="single" w:color="auto" w:sz="4" w:space="0"/>
            </w:tcBorders>
            <w:vAlign w:val="center"/>
          </w:tcPr>
          <w:p w14:paraId="693F8187">
            <w:pPr>
              <w:rPr>
                <w:rFonts w:ascii="仿宋_GB2312" w:eastAsia="仿宋_GB2312"/>
                <w:sz w:val="24"/>
                <w:szCs w:val="24"/>
              </w:rPr>
            </w:pPr>
          </w:p>
        </w:tc>
        <w:tc>
          <w:tcPr>
            <w:tcW w:w="1243" w:type="pct"/>
            <w:gridSpan w:val="2"/>
            <w:tcBorders>
              <w:bottom w:val="single" w:color="auto" w:sz="4" w:space="0"/>
            </w:tcBorders>
            <w:vAlign w:val="center"/>
          </w:tcPr>
          <w:p w14:paraId="4851C313">
            <w:pPr>
              <w:rPr>
                <w:rFonts w:ascii="仿宋_GB2312" w:eastAsia="仿宋_GB2312"/>
                <w:sz w:val="24"/>
                <w:szCs w:val="24"/>
              </w:rPr>
            </w:pPr>
            <w:r>
              <w:rPr>
                <w:rFonts w:hint="eastAsia" w:ascii="仿宋_GB2312" w:eastAsia="仿宋_GB2312"/>
                <w:sz w:val="24"/>
                <w:szCs w:val="24"/>
              </w:rPr>
              <w:t>做市证券账户名称</w:t>
            </w:r>
          </w:p>
        </w:tc>
        <w:tc>
          <w:tcPr>
            <w:tcW w:w="1280" w:type="pct"/>
            <w:gridSpan w:val="2"/>
            <w:tcBorders>
              <w:bottom w:val="single" w:color="auto" w:sz="4" w:space="0"/>
            </w:tcBorders>
            <w:vAlign w:val="center"/>
          </w:tcPr>
          <w:p w14:paraId="52D03BF1">
            <w:pPr>
              <w:rPr>
                <w:rFonts w:ascii="仿宋_GB2312" w:eastAsia="仿宋_GB2312"/>
                <w:sz w:val="24"/>
                <w:szCs w:val="24"/>
              </w:rPr>
            </w:pPr>
          </w:p>
        </w:tc>
      </w:tr>
      <w:tr w14:paraId="76B3B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276" w:type="pct"/>
            <w:gridSpan w:val="2"/>
            <w:tcBorders>
              <w:bottom w:val="single" w:color="auto" w:sz="4" w:space="0"/>
            </w:tcBorders>
            <w:vAlign w:val="center"/>
          </w:tcPr>
          <w:p w14:paraId="0BBF2018">
            <w:pPr>
              <w:rPr>
                <w:rFonts w:ascii="仿宋_GB2312" w:eastAsia="仿宋_GB2312"/>
                <w:sz w:val="24"/>
                <w:szCs w:val="24"/>
              </w:rPr>
            </w:pPr>
            <w:r>
              <w:rPr>
                <w:rFonts w:hint="eastAsia" w:ascii="仿宋_GB2312" w:eastAsia="仿宋_GB2312"/>
                <w:sz w:val="24"/>
                <w:szCs w:val="24"/>
              </w:rPr>
              <w:t>做市交易单元</w:t>
            </w:r>
          </w:p>
        </w:tc>
        <w:tc>
          <w:tcPr>
            <w:tcW w:w="1201" w:type="pct"/>
            <w:gridSpan w:val="2"/>
            <w:tcBorders>
              <w:bottom w:val="single" w:color="auto" w:sz="4" w:space="0"/>
            </w:tcBorders>
            <w:vAlign w:val="center"/>
          </w:tcPr>
          <w:p w14:paraId="6ECD84CB">
            <w:pPr>
              <w:rPr>
                <w:rFonts w:ascii="仿宋_GB2312" w:eastAsia="仿宋_GB2312"/>
                <w:sz w:val="24"/>
                <w:szCs w:val="24"/>
              </w:rPr>
            </w:pPr>
          </w:p>
        </w:tc>
        <w:tc>
          <w:tcPr>
            <w:tcW w:w="2523" w:type="pct"/>
            <w:gridSpan w:val="4"/>
            <w:tcBorders>
              <w:bottom w:val="single" w:color="auto" w:sz="4" w:space="0"/>
            </w:tcBorders>
            <w:vAlign w:val="center"/>
          </w:tcPr>
          <w:p w14:paraId="641C3722">
            <w:pPr>
              <w:rPr>
                <w:rFonts w:ascii="仿宋_GB2312" w:eastAsia="仿宋_GB2312"/>
                <w:sz w:val="24"/>
                <w:szCs w:val="24"/>
              </w:rPr>
            </w:pPr>
          </w:p>
        </w:tc>
      </w:tr>
      <w:tr w14:paraId="2C3FA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5000" w:type="pct"/>
            <w:gridSpan w:val="8"/>
            <w:vAlign w:val="center"/>
          </w:tcPr>
          <w:p w14:paraId="54629E4F">
            <w:pPr>
              <w:rPr>
                <w:rFonts w:ascii="仿宋_GB2312" w:eastAsia="仿宋_GB2312"/>
                <w:sz w:val="24"/>
                <w:szCs w:val="24"/>
              </w:rPr>
            </w:pPr>
            <w:r>
              <w:rPr>
                <w:rFonts w:hint="eastAsia" w:ascii="仿宋_GB2312" w:eastAsia="仿宋_GB2312"/>
                <w:sz w:val="24"/>
                <w:szCs w:val="24"/>
              </w:rPr>
              <w:t>变更后</w:t>
            </w:r>
          </w:p>
        </w:tc>
      </w:tr>
      <w:tr w14:paraId="2DB02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276" w:type="pct"/>
            <w:gridSpan w:val="2"/>
            <w:tcBorders>
              <w:bottom w:val="single" w:color="auto" w:sz="4" w:space="0"/>
            </w:tcBorders>
            <w:vAlign w:val="center"/>
          </w:tcPr>
          <w:p w14:paraId="53BD1C7D">
            <w:pPr>
              <w:rPr>
                <w:rFonts w:ascii="仿宋_GB2312" w:eastAsia="仿宋_GB2312"/>
                <w:sz w:val="24"/>
                <w:szCs w:val="24"/>
              </w:rPr>
            </w:pPr>
            <w:r>
              <w:rPr>
                <w:rFonts w:hint="eastAsia" w:ascii="仿宋_GB2312" w:eastAsia="仿宋_GB2312"/>
                <w:sz w:val="24"/>
                <w:szCs w:val="24"/>
              </w:rPr>
              <w:t>做市证券账户</w:t>
            </w:r>
          </w:p>
        </w:tc>
        <w:tc>
          <w:tcPr>
            <w:tcW w:w="1201" w:type="pct"/>
            <w:gridSpan w:val="2"/>
            <w:tcBorders>
              <w:bottom w:val="single" w:color="auto" w:sz="4" w:space="0"/>
            </w:tcBorders>
            <w:vAlign w:val="center"/>
          </w:tcPr>
          <w:p w14:paraId="4B58AFA3">
            <w:pPr>
              <w:rPr>
                <w:rFonts w:ascii="仿宋_GB2312" w:eastAsia="仿宋_GB2312"/>
                <w:sz w:val="24"/>
                <w:szCs w:val="24"/>
              </w:rPr>
            </w:pPr>
          </w:p>
        </w:tc>
        <w:tc>
          <w:tcPr>
            <w:tcW w:w="1243" w:type="pct"/>
            <w:gridSpan w:val="2"/>
            <w:tcBorders>
              <w:bottom w:val="single" w:color="auto" w:sz="4" w:space="0"/>
            </w:tcBorders>
            <w:vAlign w:val="center"/>
          </w:tcPr>
          <w:p w14:paraId="38971E18">
            <w:pPr>
              <w:rPr>
                <w:rFonts w:ascii="仿宋_GB2312" w:eastAsia="仿宋_GB2312"/>
                <w:sz w:val="24"/>
                <w:szCs w:val="24"/>
              </w:rPr>
            </w:pPr>
            <w:r>
              <w:rPr>
                <w:rFonts w:hint="eastAsia" w:ascii="仿宋_GB2312" w:eastAsia="仿宋_GB2312"/>
                <w:sz w:val="24"/>
                <w:szCs w:val="24"/>
              </w:rPr>
              <w:t>做市证券账户名称</w:t>
            </w:r>
          </w:p>
        </w:tc>
        <w:tc>
          <w:tcPr>
            <w:tcW w:w="1280" w:type="pct"/>
            <w:gridSpan w:val="2"/>
            <w:tcBorders>
              <w:bottom w:val="single" w:color="auto" w:sz="4" w:space="0"/>
            </w:tcBorders>
            <w:vAlign w:val="center"/>
          </w:tcPr>
          <w:p w14:paraId="757582FF">
            <w:pPr>
              <w:rPr>
                <w:rFonts w:ascii="仿宋_GB2312" w:eastAsia="仿宋_GB2312"/>
                <w:sz w:val="24"/>
                <w:szCs w:val="24"/>
              </w:rPr>
            </w:pPr>
          </w:p>
        </w:tc>
      </w:tr>
      <w:tr w14:paraId="51C6F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276" w:type="pct"/>
            <w:gridSpan w:val="2"/>
            <w:tcBorders>
              <w:bottom w:val="single" w:color="auto" w:sz="4" w:space="0"/>
            </w:tcBorders>
            <w:vAlign w:val="center"/>
          </w:tcPr>
          <w:p w14:paraId="5B9FC94F">
            <w:pPr>
              <w:rPr>
                <w:rFonts w:ascii="仿宋_GB2312" w:eastAsia="仿宋_GB2312"/>
                <w:sz w:val="24"/>
                <w:szCs w:val="24"/>
              </w:rPr>
            </w:pPr>
            <w:r>
              <w:rPr>
                <w:rFonts w:hint="eastAsia" w:ascii="仿宋_GB2312" w:eastAsia="仿宋_GB2312"/>
                <w:sz w:val="24"/>
                <w:szCs w:val="24"/>
              </w:rPr>
              <w:t>做市交易单元</w:t>
            </w:r>
          </w:p>
        </w:tc>
        <w:tc>
          <w:tcPr>
            <w:tcW w:w="1201" w:type="pct"/>
            <w:gridSpan w:val="2"/>
            <w:tcBorders>
              <w:bottom w:val="single" w:color="auto" w:sz="4" w:space="0"/>
            </w:tcBorders>
            <w:vAlign w:val="center"/>
          </w:tcPr>
          <w:p w14:paraId="536E8A44">
            <w:pPr>
              <w:rPr>
                <w:rFonts w:ascii="仿宋_GB2312" w:eastAsia="仿宋_GB2312"/>
                <w:sz w:val="24"/>
                <w:szCs w:val="24"/>
              </w:rPr>
            </w:pPr>
          </w:p>
        </w:tc>
        <w:tc>
          <w:tcPr>
            <w:tcW w:w="2523" w:type="pct"/>
            <w:gridSpan w:val="4"/>
            <w:tcBorders>
              <w:bottom w:val="single" w:color="auto" w:sz="4" w:space="0"/>
            </w:tcBorders>
            <w:vAlign w:val="center"/>
          </w:tcPr>
          <w:p w14:paraId="629E08B9">
            <w:pPr>
              <w:rPr>
                <w:rFonts w:ascii="仿宋_GB2312" w:eastAsia="仿宋_GB2312"/>
                <w:sz w:val="24"/>
                <w:szCs w:val="24"/>
              </w:rPr>
            </w:pPr>
          </w:p>
        </w:tc>
      </w:tr>
      <w:tr w14:paraId="2AF37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712" w:type="pct"/>
            <w:tcBorders>
              <w:bottom w:val="single" w:color="auto" w:sz="4" w:space="0"/>
            </w:tcBorders>
            <w:vAlign w:val="center"/>
          </w:tcPr>
          <w:p w14:paraId="287357E7">
            <w:pPr>
              <w:rPr>
                <w:rFonts w:ascii="仿宋_GB2312" w:eastAsia="仿宋_GB2312"/>
                <w:sz w:val="24"/>
                <w:szCs w:val="24"/>
              </w:rPr>
            </w:pPr>
            <w:r>
              <w:rPr>
                <w:rFonts w:hint="eastAsia" w:ascii="仿宋_GB2312" w:eastAsia="仿宋_GB2312"/>
                <w:sz w:val="24"/>
                <w:szCs w:val="24"/>
              </w:rPr>
              <w:t>变更原因说明</w:t>
            </w:r>
          </w:p>
        </w:tc>
        <w:tc>
          <w:tcPr>
            <w:tcW w:w="4288" w:type="pct"/>
            <w:gridSpan w:val="7"/>
            <w:tcBorders>
              <w:bottom w:val="single" w:color="auto" w:sz="4" w:space="0"/>
            </w:tcBorders>
            <w:vAlign w:val="center"/>
          </w:tcPr>
          <w:p w14:paraId="4F532ABF">
            <w:pPr>
              <w:rPr>
                <w:rFonts w:ascii="仿宋_GB2312" w:eastAsia="仿宋_GB2312"/>
                <w:sz w:val="24"/>
                <w:szCs w:val="24"/>
              </w:rPr>
            </w:pPr>
          </w:p>
        </w:tc>
      </w:tr>
      <w:tr w14:paraId="416E2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712" w:type="pct"/>
            <w:vAlign w:val="center"/>
          </w:tcPr>
          <w:p w14:paraId="0837AAE8">
            <w:pPr>
              <w:rPr>
                <w:rFonts w:ascii="仿宋_GB2312" w:eastAsia="仿宋_GB2312"/>
                <w:sz w:val="24"/>
                <w:szCs w:val="24"/>
              </w:rPr>
            </w:pPr>
            <w:r>
              <w:rPr>
                <w:rFonts w:hint="eastAsia" w:ascii="仿宋_GB2312" w:eastAsia="仿宋_GB2312"/>
                <w:sz w:val="24"/>
                <w:szCs w:val="24"/>
              </w:rPr>
              <w:t>做市业务负责人</w:t>
            </w:r>
          </w:p>
        </w:tc>
        <w:tc>
          <w:tcPr>
            <w:tcW w:w="564" w:type="pct"/>
            <w:vAlign w:val="center"/>
          </w:tcPr>
          <w:p w14:paraId="104F4150">
            <w:pPr>
              <w:rPr>
                <w:rFonts w:ascii="仿宋_GB2312" w:eastAsia="仿宋_GB2312"/>
                <w:sz w:val="24"/>
                <w:szCs w:val="24"/>
              </w:rPr>
            </w:pPr>
            <w:r>
              <w:rPr>
                <w:rFonts w:hint="eastAsia" w:ascii="仿宋_GB2312" w:eastAsia="仿宋_GB2312"/>
                <w:sz w:val="24"/>
                <w:szCs w:val="24"/>
              </w:rPr>
              <w:t>部门</w:t>
            </w:r>
          </w:p>
        </w:tc>
        <w:tc>
          <w:tcPr>
            <w:tcW w:w="443" w:type="pct"/>
            <w:vAlign w:val="center"/>
          </w:tcPr>
          <w:p w14:paraId="43137D9F">
            <w:pPr>
              <w:rPr>
                <w:rFonts w:ascii="仿宋_GB2312" w:eastAsia="仿宋_GB2312"/>
                <w:sz w:val="24"/>
                <w:szCs w:val="24"/>
              </w:rPr>
            </w:pPr>
            <w:r>
              <w:rPr>
                <w:rFonts w:hint="eastAsia" w:ascii="仿宋_GB2312" w:eastAsia="仿宋_GB2312"/>
                <w:sz w:val="24"/>
                <w:szCs w:val="24"/>
              </w:rPr>
              <w:t>职务</w:t>
            </w:r>
          </w:p>
        </w:tc>
        <w:tc>
          <w:tcPr>
            <w:tcW w:w="758" w:type="pct"/>
            <w:vAlign w:val="center"/>
          </w:tcPr>
          <w:p w14:paraId="547114E4">
            <w:pPr>
              <w:rPr>
                <w:rFonts w:ascii="仿宋_GB2312" w:eastAsia="仿宋_GB2312"/>
                <w:sz w:val="24"/>
                <w:szCs w:val="24"/>
              </w:rPr>
            </w:pPr>
            <w:r>
              <w:rPr>
                <w:rFonts w:hint="eastAsia" w:ascii="仿宋_GB2312" w:eastAsia="仿宋_GB2312"/>
                <w:sz w:val="24"/>
                <w:szCs w:val="24"/>
              </w:rPr>
              <w:t>电话</w:t>
            </w:r>
          </w:p>
        </w:tc>
        <w:tc>
          <w:tcPr>
            <w:tcW w:w="840" w:type="pct"/>
            <w:vAlign w:val="center"/>
          </w:tcPr>
          <w:p w14:paraId="024958E3">
            <w:pPr>
              <w:rPr>
                <w:rFonts w:ascii="仿宋_GB2312" w:eastAsia="仿宋_GB2312"/>
                <w:sz w:val="24"/>
                <w:szCs w:val="24"/>
              </w:rPr>
            </w:pPr>
            <w:r>
              <w:rPr>
                <w:rFonts w:hint="eastAsia" w:ascii="仿宋_GB2312" w:eastAsia="仿宋_GB2312"/>
                <w:sz w:val="24"/>
                <w:szCs w:val="24"/>
              </w:rPr>
              <w:t>手机</w:t>
            </w:r>
          </w:p>
        </w:tc>
        <w:tc>
          <w:tcPr>
            <w:tcW w:w="746" w:type="pct"/>
            <w:gridSpan w:val="2"/>
            <w:vAlign w:val="center"/>
          </w:tcPr>
          <w:p w14:paraId="5539CF4F">
            <w:pPr>
              <w:rPr>
                <w:rFonts w:ascii="仿宋_GB2312" w:eastAsia="仿宋_GB2312"/>
                <w:sz w:val="24"/>
                <w:szCs w:val="24"/>
              </w:rPr>
            </w:pPr>
            <w:r>
              <w:rPr>
                <w:rFonts w:hint="eastAsia" w:ascii="仿宋_GB2312" w:eastAsia="仿宋_GB2312"/>
                <w:sz w:val="24"/>
                <w:szCs w:val="24"/>
              </w:rPr>
              <w:t>传真</w:t>
            </w:r>
          </w:p>
        </w:tc>
        <w:tc>
          <w:tcPr>
            <w:tcW w:w="937" w:type="pct"/>
            <w:vAlign w:val="center"/>
          </w:tcPr>
          <w:p w14:paraId="4F102D6F">
            <w:pPr>
              <w:rPr>
                <w:rFonts w:ascii="仿宋_GB2312" w:eastAsia="仿宋_GB2312"/>
                <w:sz w:val="24"/>
                <w:szCs w:val="24"/>
              </w:rPr>
            </w:pPr>
            <w:r>
              <w:rPr>
                <w:rFonts w:ascii="仿宋_GB2312" w:eastAsia="仿宋_GB2312"/>
                <w:sz w:val="24"/>
                <w:szCs w:val="24"/>
              </w:rPr>
              <w:t>E-mail</w:t>
            </w:r>
          </w:p>
        </w:tc>
      </w:tr>
      <w:tr w14:paraId="4C521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712" w:type="pct"/>
            <w:vAlign w:val="center"/>
          </w:tcPr>
          <w:p w14:paraId="10AB716C">
            <w:pPr>
              <w:rPr>
                <w:rFonts w:ascii="仿宋_GB2312" w:eastAsia="仿宋_GB2312"/>
                <w:sz w:val="24"/>
                <w:szCs w:val="24"/>
              </w:rPr>
            </w:pPr>
          </w:p>
        </w:tc>
        <w:tc>
          <w:tcPr>
            <w:tcW w:w="564" w:type="pct"/>
            <w:vAlign w:val="center"/>
          </w:tcPr>
          <w:p w14:paraId="360A4222">
            <w:pPr>
              <w:rPr>
                <w:rFonts w:ascii="仿宋_GB2312" w:eastAsia="仿宋_GB2312"/>
                <w:sz w:val="24"/>
                <w:szCs w:val="24"/>
              </w:rPr>
            </w:pPr>
          </w:p>
        </w:tc>
        <w:tc>
          <w:tcPr>
            <w:tcW w:w="443" w:type="pct"/>
            <w:vAlign w:val="center"/>
          </w:tcPr>
          <w:p w14:paraId="42722504">
            <w:pPr>
              <w:rPr>
                <w:rFonts w:ascii="仿宋_GB2312" w:eastAsia="仿宋_GB2312"/>
                <w:sz w:val="24"/>
                <w:szCs w:val="24"/>
              </w:rPr>
            </w:pPr>
          </w:p>
        </w:tc>
        <w:tc>
          <w:tcPr>
            <w:tcW w:w="758" w:type="pct"/>
            <w:vAlign w:val="center"/>
          </w:tcPr>
          <w:p w14:paraId="5D923AFB">
            <w:pPr>
              <w:rPr>
                <w:rFonts w:ascii="仿宋_GB2312" w:eastAsia="仿宋_GB2312"/>
                <w:sz w:val="24"/>
                <w:szCs w:val="24"/>
              </w:rPr>
            </w:pPr>
          </w:p>
        </w:tc>
        <w:tc>
          <w:tcPr>
            <w:tcW w:w="840" w:type="pct"/>
            <w:vAlign w:val="center"/>
          </w:tcPr>
          <w:p w14:paraId="2D5EA7D1">
            <w:pPr>
              <w:rPr>
                <w:rFonts w:ascii="仿宋_GB2312" w:eastAsia="仿宋_GB2312"/>
                <w:sz w:val="24"/>
                <w:szCs w:val="24"/>
              </w:rPr>
            </w:pPr>
          </w:p>
        </w:tc>
        <w:tc>
          <w:tcPr>
            <w:tcW w:w="746" w:type="pct"/>
            <w:gridSpan w:val="2"/>
            <w:vAlign w:val="center"/>
          </w:tcPr>
          <w:p w14:paraId="301A1246">
            <w:pPr>
              <w:rPr>
                <w:rFonts w:ascii="仿宋_GB2312" w:eastAsia="仿宋_GB2312"/>
                <w:sz w:val="24"/>
                <w:szCs w:val="24"/>
              </w:rPr>
            </w:pPr>
          </w:p>
        </w:tc>
        <w:tc>
          <w:tcPr>
            <w:tcW w:w="937" w:type="pct"/>
            <w:vAlign w:val="center"/>
          </w:tcPr>
          <w:p w14:paraId="3C48171C">
            <w:pPr>
              <w:rPr>
                <w:rFonts w:ascii="仿宋_GB2312" w:eastAsia="仿宋_GB2312"/>
                <w:sz w:val="24"/>
                <w:szCs w:val="24"/>
              </w:rPr>
            </w:pPr>
          </w:p>
        </w:tc>
      </w:tr>
      <w:tr w14:paraId="6009E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712" w:type="pct"/>
            <w:vAlign w:val="center"/>
          </w:tcPr>
          <w:p w14:paraId="402482F6">
            <w:pPr>
              <w:rPr>
                <w:rFonts w:ascii="仿宋_GB2312" w:eastAsia="仿宋_GB2312"/>
                <w:sz w:val="24"/>
                <w:szCs w:val="24"/>
              </w:rPr>
            </w:pPr>
            <w:r>
              <w:rPr>
                <w:rFonts w:hint="eastAsia" w:ascii="仿宋_GB2312" w:eastAsia="仿宋_GB2312"/>
                <w:sz w:val="24"/>
                <w:szCs w:val="24"/>
              </w:rPr>
              <w:t>做市业务联络人</w:t>
            </w:r>
          </w:p>
        </w:tc>
        <w:tc>
          <w:tcPr>
            <w:tcW w:w="564" w:type="pct"/>
            <w:vAlign w:val="center"/>
          </w:tcPr>
          <w:p w14:paraId="326561FF">
            <w:pPr>
              <w:rPr>
                <w:rFonts w:ascii="仿宋_GB2312" w:eastAsia="仿宋_GB2312"/>
                <w:sz w:val="24"/>
                <w:szCs w:val="24"/>
              </w:rPr>
            </w:pPr>
            <w:r>
              <w:rPr>
                <w:rFonts w:hint="eastAsia" w:ascii="仿宋_GB2312" w:eastAsia="仿宋_GB2312"/>
                <w:sz w:val="24"/>
                <w:szCs w:val="24"/>
              </w:rPr>
              <w:t>部门</w:t>
            </w:r>
          </w:p>
        </w:tc>
        <w:tc>
          <w:tcPr>
            <w:tcW w:w="443" w:type="pct"/>
            <w:vAlign w:val="center"/>
          </w:tcPr>
          <w:p w14:paraId="014A0D19">
            <w:pPr>
              <w:rPr>
                <w:rFonts w:ascii="仿宋_GB2312" w:eastAsia="仿宋_GB2312"/>
                <w:sz w:val="24"/>
                <w:szCs w:val="24"/>
              </w:rPr>
            </w:pPr>
            <w:r>
              <w:rPr>
                <w:rFonts w:hint="eastAsia" w:ascii="仿宋_GB2312" w:eastAsia="仿宋_GB2312"/>
                <w:sz w:val="24"/>
                <w:szCs w:val="24"/>
              </w:rPr>
              <w:t>职务</w:t>
            </w:r>
          </w:p>
        </w:tc>
        <w:tc>
          <w:tcPr>
            <w:tcW w:w="758" w:type="pct"/>
            <w:vAlign w:val="center"/>
          </w:tcPr>
          <w:p w14:paraId="56125AA8">
            <w:pPr>
              <w:rPr>
                <w:rFonts w:ascii="仿宋_GB2312" w:eastAsia="仿宋_GB2312"/>
                <w:sz w:val="24"/>
                <w:szCs w:val="24"/>
              </w:rPr>
            </w:pPr>
            <w:r>
              <w:rPr>
                <w:rFonts w:hint="eastAsia" w:ascii="仿宋_GB2312" w:eastAsia="仿宋_GB2312"/>
                <w:sz w:val="24"/>
                <w:szCs w:val="24"/>
              </w:rPr>
              <w:t>电话</w:t>
            </w:r>
          </w:p>
        </w:tc>
        <w:tc>
          <w:tcPr>
            <w:tcW w:w="840" w:type="pct"/>
            <w:vAlign w:val="center"/>
          </w:tcPr>
          <w:p w14:paraId="41BA99D8">
            <w:pPr>
              <w:rPr>
                <w:rFonts w:ascii="仿宋_GB2312" w:eastAsia="仿宋_GB2312"/>
                <w:sz w:val="24"/>
                <w:szCs w:val="24"/>
              </w:rPr>
            </w:pPr>
            <w:r>
              <w:rPr>
                <w:rFonts w:hint="eastAsia" w:ascii="仿宋_GB2312" w:eastAsia="仿宋_GB2312"/>
                <w:sz w:val="24"/>
                <w:szCs w:val="24"/>
              </w:rPr>
              <w:t>手机</w:t>
            </w:r>
          </w:p>
        </w:tc>
        <w:tc>
          <w:tcPr>
            <w:tcW w:w="746" w:type="pct"/>
            <w:gridSpan w:val="2"/>
            <w:vAlign w:val="center"/>
          </w:tcPr>
          <w:p w14:paraId="0F2224C5">
            <w:pPr>
              <w:rPr>
                <w:rFonts w:ascii="仿宋_GB2312" w:eastAsia="仿宋_GB2312"/>
                <w:sz w:val="24"/>
                <w:szCs w:val="24"/>
              </w:rPr>
            </w:pPr>
            <w:r>
              <w:rPr>
                <w:rFonts w:hint="eastAsia" w:ascii="仿宋_GB2312" w:eastAsia="仿宋_GB2312"/>
                <w:sz w:val="24"/>
                <w:szCs w:val="24"/>
              </w:rPr>
              <w:t>传真</w:t>
            </w:r>
          </w:p>
        </w:tc>
        <w:tc>
          <w:tcPr>
            <w:tcW w:w="937" w:type="pct"/>
            <w:vAlign w:val="center"/>
          </w:tcPr>
          <w:p w14:paraId="116C841C">
            <w:pPr>
              <w:rPr>
                <w:rFonts w:ascii="仿宋_GB2312" w:eastAsia="仿宋_GB2312"/>
                <w:sz w:val="24"/>
                <w:szCs w:val="24"/>
              </w:rPr>
            </w:pPr>
            <w:r>
              <w:rPr>
                <w:rFonts w:ascii="仿宋_GB2312" w:eastAsia="仿宋_GB2312"/>
                <w:sz w:val="24"/>
                <w:szCs w:val="24"/>
              </w:rPr>
              <w:t>E-mail</w:t>
            </w:r>
          </w:p>
        </w:tc>
      </w:tr>
      <w:tr w14:paraId="3C5FE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712" w:type="pct"/>
            <w:vAlign w:val="center"/>
          </w:tcPr>
          <w:p w14:paraId="71181C88">
            <w:pPr>
              <w:rPr>
                <w:rFonts w:ascii="仿宋_GB2312" w:eastAsia="仿宋_GB2312"/>
                <w:sz w:val="24"/>
                <w:szCs w:val="24"/>
              </w:rPr>
            </w:pPr>
          </w:p>
        </w:tc>
        <w:tc>
          <w:tcPr>
            <w:tcW w:w="564" w:type="pct"/>
            <w:vAlign w:val="center"/>
          </w:tcPr>
          <w:p w14:paraId="010962BF">
            <w:pPr>
              <w:rPr>
                <w:rFonts w:ascii="仿宋_GB2312" w:eastAsia="仿宋_GB2312"/>
                <w:sz w:val="24"/>
                <w:szCs w:val="24"/>
              </w:rPr>
            </w:pPr>
          </w:p>
        </w:tc>
        <w:tc>
          <w:tcPr>
            <w:tcW w:w="443" w:type="pct"/>
            <w:vAlign w:val="center"/>
          </w:tcPr>
          <w:p w14:paraId="3A1D143E">
            <w:pPr>
              <w:rPr>
                <w:rFonts w:ascii="仿宋_GB2312" w:eastAsia="仿宋_GB2312"/>
                <w:sz w:val="24"/>
                <w:szCs w:val="24"/>
              </w:rPr>
            </w:pPr>
          </w:p>
        </w:tc>
        <w:tc>
          <w:tcPr>
            <w:tcW w:w="758" w:type="pct"/>
            <w:vAlign w:val="center"/>
          </w:tcPr>
          <w:p w14:paraId="1A89C7FF">
            <w:pPr>
              <w:rPr>
                <w:rFonts w:ascii="仿宋_GB2312" w:eastAsia="仿宋_GB2312"/>
                <w:sz w:val="24"/>
                <w:szCs w:val="24"/>
              </w:rPr>
            </w:pPr>
          </w:p>
        </w:tc>
        <w:tc>
          <w:tcPr>
            <w:tcW w:w="840" w:type="pct"/>
            <w:vAlign w:val="center"/>
          </w:tcPr>
          <w:p w14:paraId="248EA5CF">
            <w:pPr>
              <w:rPr>
                <w:rFonts w:ascii="仿宋_GB2312" w:eastAsia="仿宋_GB2312"/>
                <w:sz w:val="24"/>
                <w:szCs w:val="24"/>
              </w:rPr>
            </w:pPr>
          </w:p>
        </w:tc>
        <w:tc>
          <w:tcPr>
            <w:tcW w:w="746" w:type="pct"/>
            <w:gridSpan w:val="2"/>
            <w:vAlign w:val="center"/>
          </w:tcPr>
          <w:p w14:paraId="09926890">
            <w:pPr>
              <w:rPr>
                <w:rFonts w:ascii="仿宋_GB2312" w:eastAsia="仿宋_GB2312"/>
                <w:sz w:val="24"/>
                <w:szCs w:val="24"/>
              </w:rPr>
            </w:pPr>
          </w:p>
        </w:tc>
        <w:tc>
          <w:tcPr>
            <w:tcW w:w="937" w:type="pct"/>
            <w:vAlign w:val="center"/>
          </w:tcPr>
          <w:p w14:paraId="3199ACF3">
            <w:pPr>
              <w:rPr>
                <w:rFonts w:ascii="仿宋_GB2312" w:eastAsia="仿宋_GB2312"/>
                <w:sz w:val="24"/>
                <w:szCs w:val="24"/>
              </w:rPr>
            </w:pPr>
          </w:p>
        </w:tc>
      </w:tr>
    </w:tbl>
    <w:p w14:paraId="17AAC0A2">
      <w:pPr>
        <w:spacing w:line="600" w:lineRule="exact"/>
        <w:ind w:firstLine="600" w:firstLineChars="200"/>
        <w:rPr>
          <w:rFonts w:ascii="仿宋_GB2312" w:eastAsia="仿宋_GB2312"/>
          <w:kern w:val="28"/>
          <w:sz w:val="30"/>
          <w:szCs w:val="30"/>
        </w:rPr>
      </w:pPr>
    </w:p>
    <w:p w14:paraId="16E86D8B">
      <w:pPr>
        <w:pStyle w:val="18"/>
        <w:jc w:val="right"/>
        <w:rPr>
          <w:szCs w:val="30"/>
        </w:rPr>
      </w:pPr>
      <w:r>
        <w:rPr>
          <w:rFonts w:hint="eastAsia"/>
          <w:szCs w:val="30"/>
        </w:rPr>
        <w:t>做市商：_____________________</w:t>
      </w:r>
      <w:r>
        <w:rPr>
          <w:szCs w:val="30"/>
        </w:rPr>
        <w:t xml:space="preserve">   </w:t>
      </w:r>
      <w:r>
        <w:rPr>
          <w:rFonts w:hint="eastAsia"/>
          <w:szCs w:val="30"/>
        </w:rPr>
        <w:t>（加盖公章）</w:t>
      </w:r>
    </w:p>
    <w:p w14:paraId="0F793436">
      <w:pPr>
        <w:pStyle w:val="18"/>
        <w:jc w:val="right"/>
        <w:rPr>
          <w:szCs w:val="30"/>
        </w:rPr>
      </w:pPr>
    </w:p>
    <w:p w14:paraId="3510C300">
      <w:pPr>
        <w:pStyle w:val="18"/>
        <w:jc w:val="right"/>
        <w:rPr>
          <w:szCs w:val="30"/>
        </w:rPr>
      </w:pPr>
      <w:r>
        <w:rPr>
          <w:rFonts w:hint="eastAsia"/>
          <w:szCs w:val="30"/>
        </w:rPr>
        <w:t xml:space="preserve">                                     经办人（签字）：</w:t>
      </w:r>
    </w:p>
    <w:p w14:paraId="1ED0B407">
      <w:pPr>
        <w:pStyle w:val="18"/>
        <w:jc w:val="right"/>
        <w:rPr>
          <w:szCs w:val="30"/>
        </w:rPr>
      </w:pPr>
      <w:r>
        <w:rPr>
          <w:rFonts w:hint="eastAsia"/>
          <w:szCs w:val="30"/>
        </w:rPr>
        <w:t xml:space="preserve">                                     申请日期：</w:t>
      </w:r>
    </w:p>
    <w:p w14:paraId="462FCFB5">
      <w:pPr>
        <w:pStyle w:val="18"/>
        <w:jc w:val="right"/>
        <w:rPr>
          <w:szCs w:val="30"/>
        </w:rPr>
      </w:pPr>
      <w:r>
        <w:rPr>
          <w:rFonts w:hint="eastAsia"/>
          <w:szCs w:val="30"/>
        </w:rPr>
        <w:t xml:space="preserve">                                     联系电话：</w:t>
      </w:r>
    </w:p>
    <w:p w14:paraId="45ABDA28">
      <w:pPr>
        <w:widowControl/>
        <w:jc w:val="left"/>
        <w:rPr>
          <w:rFonts w:ascii="仿宋_GB2312" w:eastAsia="仿宋_GB2312"/>
          <w:kern w:val="0"/>
          <w:sz w:val="30"/>
          <w:szCs w:val="30"/>
        </w:rPr>
      </w:pPr>
      <w:r>
        <w:rPr>
          <w:szCs w:val="30"/>
        </w:rPr>
        <w:br w:type="page"/>
      </w:r>
    </w:p>
    <w:p w14:paraId="58226241">
      <w:pPr>
        <w:widowControl/>
        <w:jc w:val="left"/>
        <w:outlineLvl w:val="1"/>
        <w:rPr>
          <w:rFonts w:ascii="仿宋_GB2312" w:hAnsi="黑体" w:eastAsia="仿宋_GB2312"/>
          <w:b/>
          <w:sz w:val="30"/>
          <w:szCs w:val="30"/>
        </w:rPr>
      </w:pPr>
      <w:bookmarkStart w:id="3858" w:name="_Toc102468978"/>
      <w:bookmarkStart w:id="3859" w:name="_Toc2080666398"/>
      <w:bookmarkStart w:id="3860" w:name="_Toc2112602145"/>
      <w:bookmarkStart w:id="3861" w:name="_Toc121506012"/>
      <w:bookmarkStart w:id="3862" w:name="_Toc1019776823"/>
      <w:bookmarkStart w:id="3863" w:name="_Toc151137098"/>
      <w:r>
        <w:rPr>
          <w:rFonts w:hint="eastAsia" w:ascii="仿宋_GB2312" w:hAnsi="黑体" w:eastAsia="仿宋_GB2312"/>
          <w:b/>
          <w:sz w:val="30"/>
          <w:szCs w:val="30"/>
        </w:rPr>
        <w:t>附件15 添加债券做市标的登记表</w:t>
      </w:r>
      <w:bookmarkEnd w:id="3858"/>
      <w:bookmarkEnd w:id="3859"/>
      <w:bookmarkEnd w:id="3860"/>
      <w:bookmarkEnd w:id="3861"/>
      <w:bookmarkEnd w:id="3862"/>
      <w:bookmarkEnd w:id="3863"/>
    </w:p>
    <w:p w14:paraId="156169CD">
      <w:pPr>
        <w:spacing w:line="600" w:lineRule="exact"/>
        <w:jc w:val="center"/>
        <w:rPr>
          <w:rFonts w:ascii="黑体" w:hAnsi="黑体"/>
          <w:b/>
          <w:sz w:val="44"/>
          <w:szCs w:val="44"/>
        </w:rPr>
      </w:pPr>
    </w:p>
    <w:p w14:paraId="7B9B7ECE">
      <w:pPr>
        <w:spacing w:line="600" w:lineRule="exact"/>
        <w:jc w:val="center"/>
        <w:rPr>
          <w:rFonts w:ascii="黑体" w:hAnsi="黑体" w:eastAsia="黑体" w:cs="黑体"/>
          <w:b/>
          <w:sz w:val="44"/>
          <w:szCs w:val="44"/>
        </w:rPr>
      </w:pPr>
      <w:r>
        <w:rPr>
          <w:rFonts w:hint="eastAsia" w:ascii="黑体" w:hAnsi="黑体" w:eastAsia="黑体" w:cs="黑体"/>
          <w:b/>
          <w:sz w:val="44"/>
          <w:szCs w:val="44"/>
        </w:rPr>
        <w:t>添加债券做市标的登记表</w:t>
      </w:r>
    </w:p>
    <w:p w14:paraId="699C17A9">
      <w:pPr>
        <w:spacing w:line="600" w:lineRule="exact"/>
        <w:ind w:firstLine="600" w:firstLineChars="200"/>
        <w:rPr>
          <w:rFonts w:ascii="仿宋_GB2312" w:eastAsia="仿宋_GB2312"/>
          <w:sz w:val="30"/>
          <w:szCs w:val="30"/>
        </w:rPr>
      </w:pPr>
    </w:p>
    <w:tbl>
      <w:tblPr>
        <w:tblStyle w:val="43"/>
        <w:tblW w:w="49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8"/>
        <w:gridCol w:w="879"/>
        <w:gridCol w:w="1281"/>
        <w:gridCol w:w="319"/>
        <w:gridCol w:w="962"/>
        <w:gridCol w:w="638"/>
        <w:gridCol w:w="439"/>
        <w:gridCol w:w="204"/>
        <w:gridCol w:w="1281"/>
        <w:gridCol w:w="1276"/>
      </w:tblGrid>
      <w:tr w14:paraId="59AC6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3364" w:type="pct"/>
            <w:gridSpan w:val="7"/>
            <w:vAlign w:val="center"/>
          </w:tcPr>
          <w:p w14:paraId="3136C52A">
            <w:pPr>
              <w:rPr>
                <w:rFonts w:ascii="仿宋_GB2312" w:eastAsia="仿宋_GB2312"/>
                <w:sz w:val="24"/>
                <w:szCs w:val="24"/>
              </w:rPr>
            </w:pPr>
            <w:r>
              <w:rPr>
                <w:rFonts w:hint="eastAsia" w:ascii="仿宋_GB2312" w:eastAsia="仿宋_GB2312"/>
                <w:sz w:val="24"/>
                <w:szCs w:val="24"/>
              </w:rPr>
              <w:t>做市商全称：</w:t>
            </w:r>
          </w:p>
        </w:tc>
        <w:tc>
          <w:tcPr>
            <w:tcW w:w="1636" w:type="pct"/>
            <w:gridSpan w:val="3"/>
            <w:vAlign w:val="center"/>
          </w:tcPr>
          <w:p w14:paraId="3382A488">
            <w:pPr>
              <w:rPr>
                <w:rFonts w:ascii="仿宋_GB2312" w:eastAsia="仿宋_GB2312"/>
                <w:sz w:val="24"/>
                <w:szCs w:val="24"/>
              </w:rPr>
            </w:pPr>
            <w:r>
              <w:rPr>
                <w:rFonts w:hint="eastAsia" w:ascii="仿宋_GB2312" w:eastAsia="仿宋_GB2312"/>
                <w:sz w:val="24"/>
                <w:szCs w:val="24"/>
              </w:rPr>
              <w:t>电话：</w:t>
            </w:r>
          </w:p>
        </w:tc>
      </w:tr>
      <w:tr w14:paraId="2F508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3364" w:type="pct"/>
            <w:gridSpan w:val="7"/>
            <w:vAlign w:val="center"/>
          </w:tcPr>
          <w:p w14:paraId="2945642D">
            <w:pPr>
              <w:rPr>
                <w:rFonts w:ascii="仿宋_GB2312" w:eastAsia="仿宋_GB2312"/>
                <w:sz w:val="24"/>
                <w:szCs w:val="24"/>
              </w:rPr>
            </w:pPr>
            <w:r>
              <w:rPr>
                <w:rFonts w:hint="eastAsia" w:ascii="仿宋_GB2312" w:eastAsia="仿宋_GB2312"/>
                <w:sz w:val="24"/>
                <w:szCs w:val="24"/>
              </w:rPr>
              <w:t xml:space="preserve">公司地址： </w:t>
            </w:r>
          </w:p>
        </w:tc>
        <w:tc>
          <w:tcPr>
            <w:tcW w:w="1636" w:type="pct"/>
            <w:gridSpan w:val="3"/>
            <w:vAlign w:val="center"/>
          </w:tcPr>
          <w:p w14:paraId="027F6570">
            <w:pPr>
              <w:rPr>
                <w:rFonts w:ascii="仿宋_GB2312" w:eastAsia="仿宋_GB2312"/>
                <w:sz w:val="24"/>
                <w:szCs w:val="24"/>
              </w:rPr>
            </w:pPr>
            <w:r>
              <w:rPr>
                <w:rFonts w:hint="eastAsia" w:ascii="仿宋_GB2312" w:eastAsia="仿宋_GB2312"/>
                <w:sz w:val="24"/>
                <w:szCs w:val="24"/>
              </w:rPr>
              <w:t>传真：</w:t>
            </w:r>
          </w:p>
        </w:tc>
      </w:tr>
      <w:tr w14:paraId="71EE2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1208" w:type="pct"/>
            <w:gridSpan w:val="2"/>
            <w:vAlign w:val="center"/>
          </w:tcPr>
          <w:p w14:paraId="254098FA">
            <w:pPr>
              <w:rPr>
                <w:rFonts w:ascii="仿宋_GB2312" w:eastAsia="仿宋_GB2312"/>
                <w:sz w:val="24"/>
                <w:szCs w:val="24"/>
              </w:rPr>
            </w:pPr>
            <w:r>
              <w:rPr>
                <w:rFonts w:hint="eastAsia" w:ascii="仿宋_GB2312" w:eastAsia="仿宋_GB2312"/>
                <w:sz w:val="24"/>
                <w:szCs w:val="24"/>
              </w:rPr>
              <w:t>债券投资者类型</w:t>
            </w:r>
          </w:p>
        </w:tc>
        <w:tc>
          <w:tcPr>
            <w:tcW w:w="3792" w:type="pct"/>
            <w:gridSpan w:val="8"/>
            <w:vAlign w:val="center"/>
          </w:tcPr>
          <w:p w14:paraId="7568BC2F">
            <w:pPr>
              <w:rPr>
                <w:rFonts w:ascii="仿宋_GB2312" w:eastAsia="仿宋_GB2312"/>
                <w:sz w:val="24"/>
                <w:szCs w:val="24"/>
              </w:rPr>
            </w:pPr>
            <w:r>
              <w:rPr>
                <w:rFonts w:hint="eastAsia" w:ascii="仿宋_GB2312" w:eastAsia="仿宋_GB2312"/>
                <w:sz w:val="24"/>
                <w:szCs w:val="24"/>
              </w:rPr>
              <w:t>□证券公司</w:t>
            </w:r>
            <w:r>
              <w:rPr>
                <w:rFonts w:ascii="仿宋_GB2312" w:eastAsia="仿宋_GB2312"/>
                <w:sz w:val="24"/>
                <w:szCs w:val="24"/>
              </w:rPr>
              <w:t xml:space="preserve">  </w:t>
            </w:r>
            <w:r>
              <w:rPr>
                <w:rFonts w:hint="eastAsia" w:ascii="仿宋_GB2312" w:eastAsia="仿宋_GB2312"/>
                <w:sz w:val="24"/>
                <w:szCs w:val="24"/>
              </w:rPr>
              <w:t>□银行  □证券公司资产管理子公司</w:t>
            </w:r>
            <w:r>
              <w:rPr>
                <w:rFonts w:ascii="仿宋_GB2312" w:eastAsia="仿宋_GB2312"/>
                <w:sz w:val="24"/>
                <w:szCs w:val="24"/>
              </w:rPr>
              <w:t xml:space="preserve">  </w:t>
            </w:r>
          </w:p>
          <w:p w14:paraId="5B2FAC81">
            <w:pPr>
              <w:rPr>
                <w:rFonts w:ascii="仿宋_GB2312" w:eastAsia="仿宋_GB2312"/>
                <w:sz w:val="24"/>
                <w:szCs w:val="24"/>
              </w:rPr>
            </w:pPr>
            <w:r>
              <w:rPr>
                <w:rFonts w:hint="eastAsia" w:ascii="仿宋_GB2312" w:eastAsia="仿宋_GB2312"/>
                <w:sz w:val="24"/>
                <w:szCs w:val="24"/>
              </w:rPr>
              <w:t>□银行理财子公司</w:t>
            </w:r>
            <w:r>
              <w:rPr>
                <w:rFonts w:ascii="仿宋_GB2312" w:eastAsia="仿宋_GB2312"/>
                <w:sz w:val="24"/>
                <w:szCs w:val="24"/>
              </w:rPr>
              <w:t xml:space="preserve">  </w:t>
            </w:r>
            <w:r>
              <w:rPr>
                <w:rFonts w:hint="eastAsia" w:ascii="仿宋_GB2312" w:eastAsia="仿宋_GB2312"/>
                <w:sz w:val="24"/>
                <w:szCs w:val="24"/>
              </w:rPr>
              <w:t>□证券投资基金管理公司</w:t>
            </w:r>
            <w:r>
              <w:rPr>
                <w:rFonts w:ascii="仿宋_GB2312" w:eastAsia="仿宋_GB2312"/>
                <w:sz w:val="24"/>
                <w:szCs w:val="24"/>
              </w:rPr>
              <w:t xml:space="preserve">  </w:t>
            </w:r>
          </w:p>
          <w:p w14:paraId="1D810473">
            <w:pPr>
              <w:rPr>
                <w:rFonts w:ascii="仿宋_GB2312" w:eastAsia="仿宋_GB2312"/>
                <w:sz w:val="24"/>
                <w:szCs w:val="24"/>
              </w:rPr>
            </w:pPr>
            <w:r>
              <w:rPr>
                <w:rFonts w:hint="eastAsia" w:ascii="仿宋_GB2312" w:eastAsia="仿宋_GB2312"/>
                <w:sz w:val="24"/>
                <w:szCs w:val="24"/>
              </w:rPr>
              <w:t>□保险公司 □保险资产管理公司</w:t>
            </w:r>
            <w:r>
              <w:rPr>
                <w:rFonts w:ascii="仿宋_GB2312" w:eastAsia="仿宋_GB2312"/>
                <w:sz w:val="24"/>
                <w:szCs w:val="24"/>
              </w:rPr>
              <w:t xml:space="preserve">  </w:t>
            </w:r>
            <w:r>
              <w:rPr>
                <w:rFonts w:hint="eastAsia" w:ascii="仿宋_GB2312" w:eastAsia="仿宋_GB2312"/>
                <w:sz w:val="24"/>
                <w:szCs w:val="24"/>
              </w:rPr>
              <w:t>□信托公司</w:t>
            </w:r>
            <w:r>
              <w:rPr>
                <w:rFonts w:ascii="仿宋_GB2312" w:eastAsia="仿宋_GB2312"/>
                <w:sz w:val="24"/>
                <w:szCs w:val="24"/>
              </w:rPr>
              <w:t xml:space="preserve">  </w:t>
            </w:r>
          </w:p>
          <w:p w14:paraId="3E344881">
            <w:pPr>
              <w:rPr>
                <w:rFonts w:ascii="仿宋_GB2312" w:eastAsia="仿宋_GB2312"/>
                <w:sz w:val="24"/>
                <w:szCs w:val="24"/>
              </w:rPr>
            </w:pPr>
            <w:r>
              <w:rPr>
                <w:rFonts w:hint="eastAsia" w:ascii="仿宋_GB2312" w:eastAsia="仿宋_GB2312"/>
                <w:sz w:val="24"/>
                <w:szCs w:val="24"/>
              </w:rPr>
              <w:t>□财务公司  □期货公司</w:t>
            </w:r>
            <w:r>
              <w:rPr>
                <w:rFonts w:ascii="仿宋_GB2312" w:eastAsia="仿宋_GB2312"/>
                <w:sz w:val="24"/>
                <w:szCs w:val="24"/>
              </w:rPr>
              <w:t xml:space="preserve"> </w:t>
            </w:r>
            <w:r>
              <w:rPr>
                <w:rFonts w:hint="eastAsia" w:ascii="仿宋_GB2312" w:eastAsia="仿宋_GB2312"/>
                <w:sz w:val="24"/>
                <w:szCs w:val="24"/>
              </w:rPr>
              <w:t>□其他机构</w:t>
            </w:r>
          </w:p>
        </w:tc>
      </w:tr>
      <w:tr w14:paraId="1C921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687" w:type="pct"/>
            <w:vMerge w:val="restart"/>
            <w:vAlign w:val="center"/>
          </w:tcPr>
          <w:p w14:paraId="428CBE54">
            <w:pPr>
              <w:rPr>
                <w:rFonts w:ascii="仿宋_GB2312" w:eastAsia="仿宋_GB2312"/>
                <w:sz w:val="24"/>
                <w:szCs w:val="24"/>
              </w:rPr>
            </w:pPr>
            <w:r>
              <w:rPr>
                <w:rFonts w:hint="eastAsia" w:ascii="仿宋_GB2312" w:eastAsia="仿宋_GB2312"/>
                <w:sz w:val="24"/>
                <w:szCs w:val="24"/>
              </w:rPr>
              <w:t>添加做市标的1</w:t>
            </w:r>
          </w:p>
        </w:tc>
        <w:tc>
          <w:tcPr>
            <w:tcW w:w="521" w:type="pct"/>
            <w:vAlign w:val="center"/>
          </w:tcPr>
          <w:p w14:paraId="056FBD20">
            <w:pPr>
              <w:jc w:val="center"/>
              <w:rPr>
                <w:rFonts w:ascii="仿宋_GB2312" w:eastAsia="仿宋_GB2312"/>
                <w:sz w:val="24"/>
                <w:szCs w:val="24"/>
              </w:rPr>
            </w:pPr>
            <w:r>
              <w:rPr>
                <w:rFonts w:hint="eastAsia" w:ascii="仿宋_GB2312" w:eastAsia="仿宋_GB2312"/>
                <w:sz w:val="24"/>
                <w:szCs w:val="24"/>
              </w:rPr>
              <w:t>代码</w:t>
            </w:r>
          </w:p>
        </w:tc>
        <w:tc>
          <w:tcPr>
            <w:tcW w:w="759" w:type="pct"/>
            <w:vAlign w:val="center"/>
          </w:tcPr>
          <w:p w14:paraId="3E894B78">
            <w:pPr>
              <w:jc w:val="center"/>
              <w:rPr>
                <w:rFonts w:ascii="仿宋_GB2312" w:eastAsia="仿宋_GB2312"/>
                <w:sz w:val="24"/>
                <w:szCs w:val="24"/>
              </w:rPr>
            </w:pPr>
            <w:r>
              <w:rPr>
                <w:rFonts w:hint="eastAsia" w:ascii="仿宋_GB2312" w:eastAsia="仿宋_GB2312"/>
                <w:sz w:val="24"/>
                <w:szCs w:val="24"/>
              </w:rPr>
              <w:t>简称</w:t>
            </w:r>
          </w:p>
        </w:tc>
        <w:tc>
          <w:tcPr>
            <w:tcW w:w="759" w:type="pct"/>
            <w:gridSpan w:val="2"/>
            <w:vAlign w:val="center"/>
          </w:tcPr>
          <w:p w14:paraId="49579221">
            <w:pPr>
              <w:jc w:val="center"/>
              <w:rPr>
                <w:rFonts w:ascii="仿宋_GB2312" w:eastAsia="仿宋_GB2312"/>
                <w:sz w:val="24"/>
                <w:szCs w:val="24"/>
              </w:rPr>
            </w:pPr>
            <w:r>
              <w:rPr>
                <w:rFonts w:hint="eastAsia" w:ascii="仿宋_GB2312" w:eastAsia="仿宋_GB2312"/>
                <w:sz w:val="24"/>
                <w:szCs w:val="24"/>
              </w:rPr>
              <w:t>做市类型</w:t>
            </w:r>
          </w:p>
        </w:tc>
        <w:tc>
          <w:tcPr>
            <w:tcW w:w="759" w:type="pct"/>
            <w:gridSpan w:val="3"/>
            <w:vAlign w:val="center"/>
          </w:tcPr>
          <w:p w14:paraId="4720025B">
            <w:pPr>
              <w:jc w:val="center"/>
              <w:rPr>
                <w:rFonts w:ascii="仿宋_GB2312" w:eastAsia="仿宋_GB2312"/>
                <w:sz w:val="24"/>
                <w:szCs w:val="24"/>
              </w:rPr>
            </w:pPr>
            <w:r>
              <w:rPr>
                <w:rFonts w:hint="eastAsia" w:ascii="仿宋_GB2312" w:eastAsia="仿宋_GB2312"/>
                <w:sz w:val="24"/>
                <w:szCs w:val="24"/>
              </w:rPr>
              <w:t>做市账户</w:t>
            </w:r>
          </w:p>
        </w:tc>
        <w:tc>
          <w:tcPr>
            <w:tcW w:w="759" w:type="pct"/>
            <w:vAlign w:val="center"/>
          </w:tcPr>
          <w:p w14:paraId="59AB0773">
            <w:pPr>
              <w:jc w:val="center"/>
              <w:rPr>
                <w:rFonts w:ascii="仿宋_GB2312" w:eastAsia="仿宋_GB2312"/>
                <w:sz w:val="24"/>
                <w:szCs w:val="24"/>
              </w:rPr>
            </w:pPr>
            <w:r>
              <w:rPr>
                <w:rFonts w:hint="eastAsia" w:ascii="仿宋_GB2312" w:eastAsia="仿宋_GB2312"/>
                <w:sz w:val="24"/>
                <w:szCs w:val="24"/>
              </w:rPr>
              <w:t>P</w:t>
            </w:r>
            <w:r>
              <w:rPr>
                <w:rFonts w:ascii="仿宋_GB2312" w:eastAsia="仿宋_GB2312"/>
                <w:sz w:val="24"/>
                <w:szCs w:val="24"/>
              </w:rPr>
              <w:t>BU</w:t>
            </w:r>
          </w:p>
        </w:tc>
        <w:tc>
          <w:tcPr>
            <w:tcW w:w="756" w:type="pct"/>
            <w:vAlign w:val="center"/>
          </w:tcPr>
          <w:p w14:paraId="18B18C3C">
            <w:pPr>
              <w:jc w:val="center"/>
              <w:rPr>
                <w:rFonts w:ascii="仿宋_GB2312" w:eastAsia="仿宋_GB2312"/>
                <w:sz w:val="24"/>
                <w:szCs w:val="24"/>
              </w:rPr>
            </w:pPr>
            <w:r>
              <w:rPr>
                <w:rFonts w:hint="eastAsia" w:ascii="仿宋_GB2312" w:eastAsia="仿宋_GB2312"/>
                <w:sz w:val="24"/>
                <w:szCs w:val="24"/>
              </w:rPr>
              <w:t>生效日期</w:t>
            </w:r>
          </w:p>
        </w:tc>
      </w:tr>
      <w:tr w14:paraId="0E643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687" w:type="pct"/>
            <w:vMerge w:val="continue"/>
            <w:vAlign w:val="center"/>
          </w:tcPr>
          <w:p w14:paraId="527F43D8">
            <w:pPr>
              <w:rPr>
                <w:rFonts w:ascii="仿宋_GB2312" w:eastAsia="仿宋_GB2312"/>
                <w:sz w:val="24"/>
                <w:szCs w:val="24"/>
              </w:rPr>
            </w:pPr>
          </w:p>
        </w:tc>
        <w:tc>
          <w:tcPr>
            <w:tcW w:w="521" w:type="pct"/>
            <w:vAlign w:val="center"/>
          </w:tcPr>
          <w:p w14:paraId="4DF659C1">
            <w:pPr>
              <w:rPr>
                <w:rFonts w:ascii="仿宋_GB2312" w:eastAsia="仿宋_GB2312"/>
                <w:sz w:val="24"/>
                <w:szCs w:val="24"/>
              </w:rPr>
            </w:pPr>
          </w:p>
        </w:tc>
        <w:tc>
          <w:tcPr>
            <w:tcW w:w="759" w:type="pct"/>
            <w:vAlign w:val="center"/>
          </w:tcPr>
          <w:p w14:paraId="2B2D03BC">
            <w:pPr>
              <w:rPr>
                <w:rFonts w:ascii="仿宋_GB2312" w:eastAsia="仿宋_GB2312"/>
                <w:sz w:val="24"/>
                <w:szCs w:val="24"/>
              </w:rPr>
            </w:pPr>
          </w:p>
        </w:tc>
        <w:tc>
          <w:tcPr>
            <w:tcW w:w="759" w:type="pct"/>
            <w:gridSpan w:val="2"/>
            <w:vAlign w:val="center"/>
          </w:tcPr>
          <w:p w14:paraId="15F57814">
            <w:pPr>
              <w:rPr>
                <w:rFonts w:ascii="仿宋_GB2312" w:eastAsia="仿宋_GB2312"/>
                <w:sz w:val="24"/>
                <w:szCs w:val="24"/>
              </w:rPr>
            </w:pPr>
          </w:p>
        </w:tc>
        <w:tc>
          <w:tcPr>
            <w:tcW w:w="759" w:type="pct"/>
            <w:gridSpan w:val="3"/>
            <w:vAlign w:val="center"/>
          </w:tcPr>
          <w:p w14:paraId="138EC015">
            <w:pPr>
              <w:rPr>
                <w:rFonts w:ascii="仿宋_GB2312" w:eastAsia="仿宋_GB2312"/>
                <w:sz w:val="24"/>
                <w:szCs w:val="24"/>
              </w:rPr>
            </w:pPr>
          </w:p>
        </w:tc>
        <w:tc>
          <w:tcPr>
            <w:tcW w:w="759" w:type="pct"/>
            <w:vAlign w:val="center"/>
          </w:tcPr>
          <w:p w14:paraId="302E7BC7">
            <w:pPr>
              <w:rPr>
                <w:rFonts w:ascii="仿宋_GB2312" w:eastAsia="仿宋_GB2312"/>
                <w:sz w:val="24"/>
                <w:szCs w:val="24"/>
              </w:rPr>
            </w:pPr>
          </w:p>
        </w:tc>
        <w:tc>
          <w:tcPr>
            <w:tcW w:w="756" w:type="pct"/>
            <w:vAlign w:val="center"/>
          </w:tcPr>
          <w:p w14:paraId="4EB8EBC3">
            <w:pPr>
              <w:rPr>
                <w:rFonts w:ascii="仿宋_GB2312" w:eastAsia="仿宋_GB2312"/>
                <w:sz w:val="24"/>
                <w:szCs w:val="24"/>
              </w:rPr>
            </w:pPr>
          </w:p>
        </w:tc>
      </w:tr>
      <w:tr w14:paraId="66160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687" w:type="pct"/>
            <w:vMerge w:val="restart"/>
            <w:vAlign w:val="center"/>
          </w:tcPr>
          <w:p w14:paraId="09BFD6B4">
            <w:pPr>
              <w:rPr>
                <w:rFonts w:ascii="仿宋_GB2312" w:eastAsia="仿宋_GB2312"/>
                <w:sz w:val="24"/>
                <w:szCs w:val="24"/>
              </w:rPr>
            </w:pPr>
            <w:r>
              <w:rPr>
                <w:rFonts w:hint="eastAsia" w:ascii="仿宋_GB2312" w:eastAsia="仿宋_GB2312"/>
                <w:sz w:val="24"/>
                <w:szCs w:val="24"/>
              </w:rPr>
              <w:t>添加做市标的2</w:t>
            </w:r>
          </w:p>
        </w:tc>
        <w:tc>
          <w:tcPr>
            <w:tcW w:w="521" w:type="pct"/>
            <w:vAlign w:val="center"/>
          </w:tcPr>
          <w:p w14:paraId="36FBD6FC">
            <w:pPr>
              <w:rPr>
                <w:rFonts w:ascii="仿宋_GB2312" w:eastAsia="仿宋_GB2312"/>
                <w:sz w:val="24"/>
                <w:szCs w:val="24"/>
              </w:rPr>
            </w:pPr>
            <w:r>
              <w:rPr>
                <w:rFonts w:hint="eastAsia" w:ascii="仿宋_GB2312" w:eastAsia="仿宋_GB2312"/>
                <w:sz w:val="24"/>
                <w:szCs w:val="24"/>
              </w:rPr>
              <w:t>代码</w:t>
            </w:r>
          </w:p>
        </w:tc>
        <w:tc>
          <w:tcPr>
            <w:tcW w:w="759" w:type="pct"/>
            <w:vAlign w:val="center"/>
          </w:tcPr>
          <w:p w14:paraId="78A01B05">
            <w:pPr>
              <w:rPr>
                <w:rFonts w:ascii="仿宋_GB2312" w:eastAsia="仿宋_GB2312"/>
                <w:sz w:val="24"/>
                <w:szCs w:val="24"/>
              </w:rPr>
            </w:pPr>
            <w:r>
              <w:rPr>
                <w:rFonts w:hint="eastAsia" w:ascii="仿宋_GB2312" w:eastAsia="仿宋_GB2312"/>
                <w:sz w:val="24"/>
                <w:szCs w:val="24"/>
              </w:rPr>
              <w:t>简称</w:t>
            </w:r>
          </w:p>
        </w:tc>
        <w:tc>
          <w:tcPr>
            <w:tcW w:w="759" w:type="pct"/>
            <w:gridSpan w:val="2"/>
            <w:vAlign w:val="center"/>
          </w:tcPr>
          <w:p w14:paraId="111A991B">
            <w:pPr>
              <w:rPr>
                <w:rFonts w:ascii="仿宋_GB2312" w:eastAsia="仿宋_GB2312"/>
                <w:sz w:val="24"/>
                <w:szCs w:val="24"/>
              </w:rPr>
            </w:pPr>
            <w:r>
              <w:rPr>
                <w:rFonts w:hint="eastAsia" w:ascii="仿宋_GB2312" w:eastAsia="仿宋_GB2312"/>
                <w:sz w:val="24"/>
                <w:szCs w:val="24"/>
              </w:rPr>
              <w:t>做市类型</w:t>
            </w:r>
          </w:p>
        </w:tc>
        <w:tc>
          <w:tcPr>
            <w:tcW w:w="759" w:type="pct"/>
            <w:gridSpan w:val="3"/>
            <w:vAlign w:val="center"/>
          </w:tcPr>
          <w:p w14:paraId="1E10520B">
            <w:pPr>
              <w:rPr>
                <w:rFonts w:ascii="仿宋_GB2312" w:eastAsia="仿宋_GB2312"/>
                <w:sz w:val="24"/>
                <w:szCs w:val="24"/>
              </w:rPr>
            </w:pPr>
            <w:r>
              <w:rPr>
                <w:rFonts w:hint="eastAsia" w:ascii="仿宋_GB2312" w:eastAsia="仿宋_GB2312"/>
                <w:sz w:val="24"/>
                <w:szCs w:val="24"/>
              </w:rPr>
              <w:t>做市账户</w:t>
            </w:r>
          </w:p>
        </w:tc>
        <w:tc>
          <w:tcPr>
            <w:tcW w:w="759" w:type="pct"/>
            <w:vAlign w:val="center"/>
          </w:tcPr>
          <w:p w14:paraId="752AF69A">
            <w:pPr>
              <w:rPr>
                <w:rFonts w:ascii="仿宋_GB2312" w:eastAsia="仿宋_GB2312"/>
                <w:sz w:val="24"/>
                <w:szCs w:val="24"/>
              </w:rPr>
            </w:pPr>
            <w:r>
              <w:rPr>
                <w:rFonts w:hint="eastAsia" w:ascii="仿宋_GB2312" w:eastAsia="仿宋_GB2312"/>
                <w:sz w:val="24"/>
                <w:szCs w:val="24"/>
              </w:rPr>
              <w:t>P</w:t>
            </w:r>
            <w:r>
              <w:rPr>
                <w:rFonts w:ascii="仿宋_GB2312" w:eastAsia="仿宋_GB2312"/>
                <w:sz w:val="24"/>
                <w:szCs w:val="24"/>
              </w:rPr>
              <w:t>BU</w:t>
            </w:r>
          </w:p>
        </w:tc>
        <w:tc>
          <w:tcPr>
            <w:tcW w:w="756" w:type="pct"/>
            <w:vAlign w:val="center"/>
          </w:tcPr>
          <w:p w14:paraId="13436299">
            <w:pPr>
              <w:rPr>
                <w:rFonts w:ascii="仿宋_GB2312" w:eastAsia="仿宋_GB2312"/>
                <w:sz w:val="24"/>
                <w:szCs w:val="24"/>
              </w:rPr>
            </w:pPr>
            <w:r>
              <w:rPr>
                <w:rFonts w:hint="eastAsia" w:ascii="仿宋_GB2312" w:eastAsia="仿宋_GB2312"/>
                <w:sz w:val="24"/>
                <w:szCs w:val="24"/>
              </w:rPr>
              <w:t>生效日期</w:t>
            </w:r>
          </w:p>
        </w:tc>
      </w:tr>
      <w:tr w14:paraId="5E18F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687" w:type="pct"/>
            <w:vMerge w:val="continue"/>
            <w:vAlign w:val="center"/>
          </w:tcPr>
          <w:p w14:paraId="72D0A53B">
            <w:pPr>
              <w:rPr>
                <w:rFonts w:ascii="仿宋_GB2312" w:eastAsia="仿宋_GB2312"/>
                <w:sz w:val="24"/>
                <w:szCs w:val="24"/>
              </w:rPr>
            </w:pPr>
          </w:p>
        </w:tc>
        <w:tc>
          <w:tcPr>
            <w:tcW w:w="521" w:type="pct"/>
            <w:vAlign w:val="center"/>
          </w:tcPr>
          <w:p w14:paraId="57496189">
            <w:pPr>
              <w:rPr>
                <w:rFonts w:ascii="仿宋_GB2312" w:eastAsia="仿宋_GB2312"/>
                <w:sz w:val="24"/>
                <w:szCs w:val="24"/>
              </w:rPr>
            </w:pPr>
          </w:p>
        </w:tc>
        <w:tc>
          <w:tcPr>
            <w:tcW w:w="759" w:type="pct"/>
            <w:vAlign w:val="center"/>
          </w:tcPr>
          <w:p w14:paraId="502411A9">
            <w:pPr>
              <w:rPr>
                <w:rFonts w:ascii="仿宋_GB2312" w:eastAsia="仿宋_GB2312"/>
                <w:sz w:val="24"/>
                <w:szCs w:val="24"/>
              </w:rPr>
            </w:pPr>
          </w:p>
        </w:tc>
        <w:tc>
          <w:tcPr>
            <w:tcW w:w="759" w:type="pct"/>
            <w:gridSpan w:val="2"/>
            <w:vAlign w:val="center"/>
          </w:tcPr>
          <w:p w14:paraId="0EE5E1A5">
            <w:pPr>
              <w:rPr>
                <w:rFonts w:ascii="仿宋_GB2312" w:eastAsia="仿宋_GB2312"/>
                <w:sz w:val="24"/>
                <w:szCs w:val="24"/>
              </w:rPr>
            </w:pPr>
          </w:p>
        </w:tc>
        <w:tc>
          <w:tcPr>
            <w:tcW w:w="759" w:type="pct"/>
            <w:gridSpan w:val="3"/>
            <w:vAlign w:val="center"/>
          </w:tcPr>
          <w:p w14:paraId="2AC726F4">
            <w:pPr>
              <w:rPr>
                <w:rFonts w:ascii="仿宋_GB2312" w:eastAsia="仿宋_GB2312"/>
                <w:sz w:val="24"/>
                <w:szCs w:val="24"/>
              </w:rPr>
            </w:pPr>
          </w:p>
        </w:tc>
        <w:tc>
          <w:tcPr>
            <w:tcW w:w="759" w:type="pct"/>
            <w:vAlign w:val="center"/>
          </w:tcPr>
          <w:p w14:paraId="336199AE">
            <w:pPr>
              <w:rPr>
                <w:rFonts w:ascii="仿宋_GB2312" w:eastAsia="仿宋_GB2312"/>
                <w:sz w:val="24"/>
                <w:szCs w:val="24"/>
              </w:rPr>
            </w:pPr>
          </w:p>
        </w:tc>
        <w:tc>
          <w:tcPr>
            <w:tcW w:w="756" w:type="pct"/>
            <w:vAlign w:val="center"/>
          </w:tcPr>
          <w:p w14:paraId="504FBC6C">
            <w:pPr>
              <w:rPr>
                <w:rFonts w:ascii="仿宋_GB2312" w:eastAsia="仿宋_GB2312"/>
                <w:sz w:val="24"/>
                <w:szCs w:val="24"/>
              </w:rPr>
            </w:pPr>
          </w:p>
        </w:tc>
      </w:tr>
      <w:tr w14:paraId="3193A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208" w:type="pct"/>
            <w:gridSpan w:val="2"/>
            <w:vAlign w:val="center"/>
          </w:tcPr>
          <w:p w14:paraId="6C295126">
            <w:pPr>
              <w:jc w:val="center"/>
              <w:rPr>
                <w:rFonts w:ascii="仿宋_GB2312" w:eastAsia="仿宋_GB2312"/>
                <w:sz w:val="24"/>
                <w:szCs w:val="24"/>
              </w:rPr>
            </w:pPr>
            <w:r>
              <w:rPr>
                <w:rFonts w:hint="eastAsia" w:ascii="仿宋_GB2312" w:eastAsia="仿宋_GB2312"/>
                <w:sz w:val="24"/>
                <w:szCs w:val="24"/>
              </w:rPr>
              <w:t>做市业务负责人</w:t>
            </w:r>
          </w:p>
        </w:tc>
        <w:tc>
          <w:tcPr>
            <w:tcW w:w="948" w:type="pct"/>
            <w:gridSpan w:val="2"/>
            <w:vAlign w:val="center"/>
          </w:tcPr>
          <w:p w14:paraId="25437CC2">
            <w:pPr>
              <w:jc w:val="center"/>
              <w:rPr>
                <w:rFonts w:ascii="仿宋_GB2312" w:eastAsia="仿宋_GB2312"/>
                <w:sz w:val="24"/>
                <w:szCs w:val="24"/>
              </w:rPr>
            </w:pPr>
            <w:r>
              <w:rPr>
                <w:rFonts w:hint="eastAsia" w:ascii="仿宋_GB2312" w:eastAsia="仿宋_GB2312"/>
                <w:sz w:val="24"/>
                <w:szCs w:val="24"/>
              </w:rPr>
              <w:t>部门</w:t>
            </w:r>
          </w:p>
        </w:tc>
        <w:tc>
          <w:tcPr>
            <w:tcW w:w="948" w:type="pct"/>
            <w:gridSpan w:val="2"/>
            <w:vAlign w:val="center"/>
          </w:tcPr>
          <w:p w14:paraId="31E01A70">
            <w:pPr>
              <w:jc w:val="center"/>
              <w:rPr>
                <w:rFonts w:ascii="仿宋_GB2312" w:eastAsia="仿宋_GB2312"/>
                <w:sz w:val="24"/>
                <w:szCs w:val="24"/>
              </w:rPr>
            </w:pPr>
            <w:r>
              <w:rPr>
                <w:rFonts w:hint="eastAsia" w:ascii="仿宋_GB2312" w:eastAsia="仿宋_GB2312"/>
                <w:sz w:val="24"/>
                <w:szCs w:val="24"/>
              </w:rPr>
              <w:t>职务</w:t>
            </w:r>
          </w:p>
        </w:tc>
        <w:tc>
          <w:tcPr>
            <w:tcW w:w="1896" w:type="pct"/>
            <w:gridSpan w:val="4"/>
            <w:vAlign w:val="center"/>
          </w:tcPr>
          <w:p w14:paraId="37667375">
            <w:pPr>
              <w:jc w:val="center"/>
              <w:rPr>
                <w:rFonts w:ascii="仿宋_GB2312" w:eastAsia="仿宋_GB2312"/>
                <w:sz w:val="24"/>
                <w:szCs w:val="24"/>
              </w:rPr>
            </w:pPr>
            <w:r>
              <w:rPr>
                <w:rFonts w:hint="eastAsia" w:ascii="仿宋_GB2312" w:eastAsia="仿宋_GB2312"/>
                <w:sz w:val="24"/>
                <w:szCs w:val="24"/>
              </w:rPr>
              <w:t>手机</w:t>
            </w:r>
          </w:p>
        </w:tc>
      </w:tr>
      <w:tr w14:paraId="41562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208" w:type="pct"/>
            <w:gridSpan w:val="2"/>
            <w:vAlign w:val="center"/>
          </w:tcPr>
          <w:p w14:paraId="5F3EDAA0">
            <w:pPr>
              <w:jc w:val="center"/>
              <w:rPr>
                <w:rFonts w:ascii="仿宋_GB2312" w:eastAsia="仿宋_GB2312"/>
                <w:sz w:val="24"/>
                <w:szCs w:val="24"/>
              </w:rPr>
            </w:pPr>
          </w:p>
        </w:tc>
        <w:tc>
          <w:tcPr>
            <w:tcW w:w="948" w:type="pct"/>
            <w:gridSpan w:val="2"/>
            <w:vAlign w:val="center"/>
          </w:tcPr>
          <w:p w14:paraId="78700FBE">
            <w:pPr>
              <w:jc w:val="center"/>
              <w:rPr>
                <w:rFonts w:ascii="仿宋_GB2312" w:eastAsia="仿宋_GB2312"/>
                <w:sz w:val="24"/>
                <w:szCs w:val="24"/>
              </w:rPr>
            </w:pPr>
          </w:p>
        </w:tc>
        <w:tc>
          <w:tcPr>
            <w:tcW w:w="948" w:type="pct"/>
            <w:gridSpan w:val="2"/>
            <w:vAlign w:val="center"/>
          </w:tcPr>
          <w:p w14:paraId="3A831A65">
            <w:pPr>
              <w:jc w:val="center"/>
              <w:rPr>
                <w:rFonts w:ascii="仿宋_GB2312" w:eastAsia="仿宋_GB2312"/>
                <w:sz w:val="24"/>
                <w:szCs w:val="24"/>
              </w:rPr>
            </w:pPr>
          </w:p>
        </w:tc>
        <w:tc>
          <w:tcPr>
            <w:tcW w:w="1896" w:type="pct"/>
            <w:gridSpan w:val="4"/>
            <w:vAlign w:val="center"/>
          </w:tcPr>
          <w:p w14:paraId="0644A5EC">
            <w:pPr>
              <w:jc w:val="center"/>
              <w:rPr>
                <w:rFonts w:ascii="仿宋_GB2312" w:eastAsia="仿宋_GB2312"/>
                <w:sz w:val="24"/>
                <w:szCs w:val="24"/>
              </w:rPr>
            </w:pPr>
          </w:p>
        </w:tc>
      </w:tr>
      <w:tr w14:paraId="0BF77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208" w:type="pct"/>
            <w:gridSpan w:val="2"/>
            <w:vAlign w:val="center"/>
          </w:tcPr>
          <w:p w14:paraId="3F2165CF">
            <w:pPr>
              <w:jc w:val="center"/>
              <w:rPr>
                <w:rFonts w:ascii="仿宋_GB2312" w:eastAsia="仿宋_GB2312"/>
                <w:sz w:val="24"/>
                <w:szCs w:val="24"/>
              </w:rPr>
            </w:pPr>
            <w:r>
              <w:rPr>
                <w:rFonts w:hint="eastAsia" w:ascii="仿宋_GB2312" w:eastAsia="仿宋_GB2312"/>
                <w:sz w:val="24"/>
                <w:szCs w:val="24"/>
              </w:rPr>
              <w:t>做市业务联络人</w:t>
            </w:r>
          </w:p>
        </w:tc>
        <w:tc>
          <w:tcPr>
            <w:tcW w:w="948" w:type="pct"/>
            <w:gridSpan w:val="2"/>
            <w:vAlign w:val="center"/>
          </w:tcPr>
          <w:p w14:paraId="5171EB4B">
            <w:pPr>
              <w:jc w:val="center"/>
              <w:rPr>
                <w:rFonts w:ascii="仿宋_GB2312" w:eastAsia="仿宋_GB2312"/>
                <w:sz w:val="24"/>
                <w:szCs w:val="24"/>
              </w:rPr>
            </w:pPr>
            <w:r>
              <w:rPr>
                <w:rFonts w:hint="eastAsia" w:ascii="仿宋_GB2312" w:eastAsia="仿宋_GB2312"/>
                <w:sz w:val="24"/>
                <w:szCs w:val="24"/>
              </w:rPr>
              <w:t>部门</w:t>
            </w:r>
          </w:p>
        </w:tc>
        <w:tc>
          <w:tcPr>
            <w:tcW w:w="948" w:type="pct"/>
            <w:gridSpan w:val="2"/>
            <w:vAlign w:val="center"/>
          </w:tcPr>
          <w:p w14:paraId="0837FB0B">
            <w:pPr>
              <w:jc w:val="center"/>
              <w:rPr>
                <w:rFonts w:ascii="仿宋_GB2312" w:eastAsia="仿宋_GB2312"/>
                <w:sz w:val="24"/>
                <w:szCs w:val="24"/>
              </w:rPr>
            </w:pPr>
            <w:r>
              <w:rPr>
                <w:rFonts w:hint="eastAsia" w:ascii="仿宋_GB2312" w:eastAsia="仿宋_GB2312"/>
                <w:sz w:val="24"/>
                <w:szCs w:val="24"/>
              </w:rPr>
              <w:t>职务</w:t>
            </w:r>
          </w:p>
        </w:tc>
        <w:tc>
          <w:tcPr>
            <w:tcW w:w="1896" w:type="pct"/>
            <w:gridSpan w:val="4"/>
            <w:vAlign w:val="center"/>
          </w:tcPr>
          <w:p w14:paraId="747157A6">
            <w:pPr>
              <w:jc w:val="center"/>
              <w:rPr>
                <w:rFonts w:ascii="仿宋_GB2312" w:eastAsia="仿宋_GB2312"/>
                <w:sz w:val="24"/>
                <w:szCs w:val="24"/>
              </w:rPr>
            </w:pPr>
            <w:r>
              <w:rPr>
                <w:rFonts w:hint="eastAsia" w:ascii="仿宋_GB2312" w:eastAsia="仿宋_GB2312"/>
                <w:sz w:val="24"/>
                <w:szCs w:val="24"/>
              </w:rPr>
              <w:t>手机</w:t>
            </w:r>
          </w:p>
        </w:tc>
      </w:tr>
      <w:tr w14:paraId="1F1D5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208" w:type="pct"/>
            <w:gridSpan w:val="2"/>
            <w:vAlign w:val="center"/>
          </w:tcPr>
          <w:p w14:paraId="21113C3F">
            <w:pPr>
              <w:jc w:val="center"/>
              <w:rPr>
                <w:rFonts w:ascii="仿宋_GB2312" w:eastAsia="仿宋_GB2312"/>
                <w:sz w:val="24"/>
                <w:szCs w:val="24"/>
              </w:rPr>
            </w:pPr>
          </w:p>
        </w:tc>
        <w:tc>
          <w:tcPr>
            <w:tcW w:w="948" w:type="pct"/>
            <w:gridSpan w:val="2"/>
            <w:vAlign w:val="center"/>
          </w:tcPr>
          <w:p w14:paraId="610DBF68">
            <w:pPr>
              <w:jc w:val="center"/>
              <w:rPr>
                <w:rFonts w:ascii="仿宋_GB2312" w:eastAsia="仿宋_GB2312"/>
                <w:sz w:val="24"/>
                <w:szCs w:val="24"/>
              </w:rPr>
            </w:pPr>
          </w:p>
        </w:tc>
        <w:tc>
          <w:tcPr>
            <w:tcW w:w="948" w:type="pct"/>
            <w:gridSpan w:val="2"/>
            <w:vAlign w:val="center"/>
          </w:tcPr>
          <w:p w14:paraId="5E95FE09">
            <w:pPr>
              <w:jc w:val="center"/>
              <w:rPr>
                <w:rFonts w:ascii="仿宋_GB2312" w:eastAsia="仿宋_GB2312"/>
                <w:sz w:val="24"/>
                <w:szCs w:val="24"/>
              </w:rPr>
            </w:pPr>
          </w:p>
        </w:tc>
        <w:tc>
          <w:tcPr>
            <w:tcW w:w="1896" w:type="pct"/>
            <w:gridSpan w:val="4"/>
            <w:vAlign w:val="center"/>
          </w:tcPr>
          <w:p w14:paraId="420137DA">
            <w:pPr>
              <w:jc w:val="center"/>
              <w:rPr>
                <w:rFonts w:ascii="仿宋_GB2312" w:eastAsia="仿宋_GB2312"/>
                <w:sz w:val="24"/>
                <w:szCs w:val="24"/>
              </w:rPr>
            </w:pPr>
          </w:p>
        </w:tc>
      </w:tr>
    </w:tbl>
    <w:p w14:paraId="7034469E">
      <w:pPr>
        <w:pStyle w:val="18"/>
        <w:jc w:val="right"/>
        <w:rPr>
          <w:szCs w:val="30"/>
        </w:rPr>
      </w:pPr>
      <w:r>
        <w:rPr>
          <w:rFonts w:hint="eastAsia"/>
          <w:szCs w:val="30"/>
        </w:rPr>
        <w:t>做市商：_____________________</w:t>
      </w:r>
      <w:r>
        <w:rPr>
          <w:szCs w:val="30"/>
        </w:rPr>
        <w:t xml:space="preserve">   </w:t>
      </w:r>
      <w:r>
        <w:rPr>
          <w:rFonts w:hint="eastAsia"/>
          <w:szCs w:val="30"/>
        </w:rPr>
        <w:t>（加盖部门章）</w:t>
      </w:r>
    </w:p>
    <w:p w14:paraId="6B8838E9">
      <w:pPr>
        <w:pStyle w:val="18"/>
        <w:jc w:val="right"/>
        <w:rPr>
          <w:szCs w:val="30"/>
        </w:rPr>
      </w:pPr>
    </w:p>
    <w:p w14:paraId="17DE63FA">
      <w:pPr>
        <w:pStyle w:val="18"/>
        <w:jc w:val="right"/>
        <w:rPr>
          <w:szCs w:val="30"/>
        </w:rPr>
      </w:pPr>
      <w:r>
        <w:rPr>
          <w:rFonts w:hint="eastAsia"/>
          <w:szCs w:val="30"/>
        </w:rPr>
        <w:t xml:space="preserve">                                   经办人（签字）：</w:t>
      </w:r>
    </w:p>
    <w:p w14:paraId="1BA4394D">
      <w:pPr>
        <w:pStyle w:val="18"/>
        <w:jc w:val="right"/>
        <w:rPr>
          <w:szCs w:val="30"/>
        </w:rPr>
      </w:pPr>
      <w:r>
        <w:rPr>
          <w:rFonts w:hint="eastAsia"/>
          <w:szCs w:val="30"/>
        </w:rPr>
        <w:t xml:space="preserve">                                     申请日期：                              </w:t>
      </w:r>
    </w:p>
    <w:p w14:paraId="1E832766">
      <w:pPr>
        <w:widowControl/>
        <w:jc w:val="left"/>
        <w:outlineLvl w:val="1"/>
        <w:rPr>
          <w:rFonts w:ascii="仿宋_GB2312" w:hAnsi="仿宋" w:eastAsia="仿宋_GB2312"/>
          <w:sz w:val="30"/>
          <w:szCs w:val="30"/>
        </w:rPr>
      </w:pPr>
      <w:r>
        <w:br w:type="page"/>
      </w:r>
      <w:bookmarkStart w:id="3864" w:name="_Toc597736741"/>
      <w:bookmarkStart w:id="3865" w:name="_Toc1682366973"/>
      <w:bookmarkStart w:id="3866" w:name="_Toc102468979"/>
      <w:bookmarkStart w:id="3867" w:name="_Toc333782292"/>
      <w:bookmarkStart w:id="3868" w:name="_Toc151137099"/>
      <w:bookmarkStart w:id="3869" w:name="_Toc1132140898"/>
      <w:r>
        <w:rPr>
          <w:rFonts w:hint="eastAsia" w:ascii="仿宋_GB2312" w:hAnsi="黑体" w:eastAsia="仿宋_GB2312"/>
          <w:b/>
          <w:sz w:val="30"/>
          <w:szCs w:val="30"/>
        </w:rPr>
        <w:t>附件16 取消债券做市标的登记表</w:t>
      </w:r>
      <w:bookmarkEnd w:id="3864"/>
      <w:bookmarkEnd w:id="3865"/>
      <w:bookmarkEnd w:id="3866"/>
      <w:bookmarkEnd w:id="3867"/>
      <w:bookmarkEnd w:id="3868"/>
      <w:bookmarkEnd w:id="3869"/>
    </w:p>
    <w:p w14:paraId="69276725">
      <w:pPr>
        <w:spacing w:line="600" w:lineRule="exact"/>
        <w:jc w:val="center"/>
        <w:rPr>
          <w:rFonts w:ascii="黑体" w:hAnsi="黑体" w:eastAsia="黑体" w:cs="黑体"/>
          <w:b/>
          <w:sz w:val="44"/>
          <w:szCs w:val="44"/>
        </w:rPr>
      </w:pPr>
    </w:p>
    <w:p w14:paraId="210CC689">
      <w:pPr>
        <w:spacing w:line="600" w:lineRule="exact"/>
        <w:jc w:val="center"/>
        <w:rPr>
          <w:rFonts w:ascii="黑体" w:hAnsi="黑体" w:eastAsia="黑体" w:cs="黑体"/>
          <w:b/>
          <w:sz w:val="44"/>
          <w:szCs w:val="44"/>
        </w:rPr>
      </w:pPr>
      <w:r>
        <w:rPr>
          <w:rFonts w:hint="eastAsia" w:ascii="黑体" w:hAnsi="黑体" w:eastAsia="黑体" w:cs="黑体"/>
          <w:b/>
          <w:sz w:val="44"/>
          <w:szCs w:val="44"/>
        </w:rPr>
        <w:t>取消债券做市标的登记表</w:t>
      </w:r>
    </w:p>
    <w:p w14:paraId="14B059EA">
      <w:pPr>
        <w:widowControl/>
        <w:jc w:val="left"/>
      </w:pPr>
    </w:p>
    <w:tbl>
      <w:tblPr>
        <w:tblStyle w:val="43"/>
        <w:tblW w:w="49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31"/>
        <w:gridCol w:w="1281"/>
        <w:gridCol w:w="854"/>
        <w:gridCol w:w="427"/>
        <w:gridCol w:w="800"/>
        <w:gridCol w:w="481"/>
        <w:gridCol w:w="429"/>
        <w:gridCol w:w="852"/>
        <w:gridCol w:w="1282"/>
      </w:tblGrid>
      <w:tr w14:paraId="44397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3196" w:type="pct"/>
            <w:gridSpan w:val="5"/>
            <w:vAlign w:val="center"/>
          </w:tcPr>
          <w:p w14:paraId="13709DC0">
            <w:pPr>
              <w:rPr>
                <w:rFonts w:ascii="仿宋_GB2312" w:eastAsia="仿宋_GB2312"/>
                <w:sz w:val="24"/>
                <w:szCs w:val="24"/>
              </w:rPr>
            </w:pPr>
            <w:r>
              <w:rPr>
                <w:rFonts w:hint="eastAsia" w:ascii="仿宋_GB2312" w:eastAsia="仿宋_GB2312"/>
                <w:sz w:val="24"/>
                <w:szCs w:val="24"/>
              </w:rPr>
              <w:t>做市商全称：</w:t>
            </w:r>
          </w:p>
        </w:tc>
        <w:tc>
          <w:tcPr>
            <w:tcW w:w="1804" w:type="pct"/>
            <w:gridSpan w:val="4"/>
            <w:vAlign w:val="center"/>
          </w:tcPr>
          <w:p w14:paraId="4015F657">
            <w:pPr>
              <w:rPr>
                <w:rFonts w:ascii="仿宋_GB2312" w:eastAsia="仿宋_GB2312"/>
                <w:sz w:val="24"/>
                <w:szCs w:val="24"/>
              </w:rPr>
            </w:pPr>
            <w:r>
              <w:rPr>
                <w:rFonts w:hint="eastAsia" w:ascii="仿宋_GB2312" w:eastAsia="仿宋_GB2312"/>
                <w:sz w:val="24"/>
                <w:szCs w:val="24"/>
              </w:rPr>
              <w:t>电话：</w:t>
            </w:r>
          </w:p>
        </w:tc>
      </w:tr>
      <w:tr w14:paraId="76B4F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3196" w:type="pct"/>
            <w:gridSpan w:val="5"/>
            <w:vAlign w:val="center"/>
          </w:tcPr>
          <w:p w14:paraId="616DD59C">
            <w:pPr>
              <w:rPr>
                <w:rFonts w:ascii="仿宋_GB2312" w:eastAsia="仿宋_GB2312"/>
                <w:sz w:val="24"/>
                <w:szCs w:val="24"/>
              </w:rPr>
            </w:pPr>
            <w:r>
              <w:rPr>
                <w:rFonts w:hint="eastAsia" w:ascii="仿宋_GB2312" w:eastAsia="仿宋_GB2312"/>
                <w:sz w:val="24"/>
                <w:szCs w:val="24"/>
              </w:rPr>
              <w:t xml:space="preserve">公司地址： </w:t>
            </w:r>
          </w:p>
        </w:tc>
        <w:tc>
          <w:tcPr>
            <w:tcW w:w="1804" w:type="pct"/>
            <w:gridSpan w:val="4"/>
            <w:vAlign w:val="center"/>
          </w:tcPr>
          <w:p w14:paraId="01A9A9E6">
            <w:pPr>
              <w:rPr>
                <w:rFonts w:ascii="仿宋_GB2312" w:eastAsia="仿宋_GB2312"/>
                <w:sz w:val="24"/>
                <w:szCs w:val="24"/>
              </w:rPr>
            </w:pPr>
            <w:r>
              <w:rPr>
                <w:rFonts w:hint="eastAsia" w:ascii="仿宋_GB2312" w:eastAsia="仿宋_GB2312"/>
                <w:sz w:val="24"/>
                <w:szCs w:val="24"/>
              </w:rPr>
              <w:t>传真：</w:t>
            </w:r>
          </w:p>
        </w:tc>
      </w:tr>
      <w:tr w14:paraId="67159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1204" w:type="pct"/>
            <w:vAlign w:val="center"/>
          </w:tcPr>
          <w:p w14:paraId="59379714">
            <w:pPr>
              <w:rPr>
                <w:rFonts w:ascii="仿宋_GB2312" w:eastAsia="仿宋_GB2312"/>
                <w:sz w:val="24"/>
                <w:szCs w:val="24"/>
              </w:rPr>
            </w:pPr>
            <w:r>
              <w:rPr>
                <w:rFonts w:hint="eastAsia" w:ascii="仿宋_GB2312" w:eastAsia="仿宋_GB2312"/>
                <w:sz w:val="24"/>
                <w:szCs w:val="24"/>
              </w:rPr>
              <w:t>债券投资者类型</w:t>
            </w:r>
          </w:p>
        </w:tc>
        <w:tc>
          <w:tcPr>
            <w:tcW w:w="3796" w:type="pct"/>
            <w:gridSpan w:val="8"/>
            <w:vAlign w:val="center"/>
          </w:tcPr>
          <w:p w14:paraId="0DD3A6FC">
            <w:pPr>
              <w:rPr>
                <w:rFonts w:ascii="仿宋_GB2312" w:eastAsia="仿宋_GB2312"/>
                <w:sz w:val="24"/>
                <w:szCs w:val="24"/>
              </w:rPr>
            </w:pPr>
            <w:r>
              <w:rPr>
                <w:rFonts w:hint="eastAsia" w:ascii="仿宋_GB2312" w:eastAsia="仿宋_GB2312"/>
                <w:sz w:val="24"/>
                <w:szCs w:val="24"/>
              </w:rPr>
              <w:t>□证券公司</w:t>
            </w:r>
            <w:r>
              <w:rPr>
                <w:rFonts w:ascii="仿宋_GB2312" w:eastAsia="仿宋_GB2312"/>
                <w:sz w:val="24"/>
                <w:szCs w:val="24"/>
              </w:rPr>
              <w:t xml:space="preserve">  </w:t>
            </w:r>
            <w:r>
              <w:rPr>
                <w:rFonts w:hint="eastAsia" w:ascii="仿宋_GB2312" w:eastAsia="仿宋_GB2312"/>
                <w:sz w:val="24"/>
                <w:szCs w:val="24"/>
              </w:rPr>
              <w:t>□银行  □证券公司资产管理子公司</w:t>
            </w:r>
            <w:r>
              <w:rPr>
                <w:rFonts w:ascii="仿宋_GB2312" w:eastAsia="仿宋_GB2312"/>
                <w:sz w:val="24"/>
                <w:szCs w:val="24"/>
              </w:rPr>
              <w:t xml:space="preserve">  </w:t>
            </w:r>
          </w:p>
          <w:p w14:paraId="2BDE1D4E">
            <w:pPr>
              <w:rPr>
                <w:rFonts w:ascii="仿宋_GB2312" w:eastAsia="仿宋_GB2312"/>
                <w:sz w:val="24"/>
                <w:szCs w:val="24"/>
              </w:rPr>
            </w:pPr>
            <w:r>
              <w:rPr>
                <w:rFonts w:hint="eastAsia" w:ascii="仿宋_GB2312" w:eastAsia="仿宋_GB2312"/>
                <w:sz w:val="24"/>
                <w:szCs w:val="24"/>
              </w:rPr>
              <w:t>□银行理财子公司</w:t>
            </w:r>
            <w:r>
              <w:rPr>
                <w:rFonts w:ascii="仿宋_GB2312" w:eastAsia="仿宋_GB2312"/>
                <w:sz w:val="24"/>
                <w:szCs w:val="24"/>
              </w:rPr>
              <w:t xml:space="preserve">  </w:t>
            </w:r>
            <w:r>
              <w:rPr>
                <w:rFonts w:hint="eastAsia" w:ascii="仿宋_GB2312" w:eastAsia="仿宋_GB2312"/>
                <w:sz w:val="24"/>
                <w:szCs w:val="24"/>
              </w:rPr>
              <w:t>□证券投资基金管理公司</w:t>
            </w:r>
            <w:r>
              <w:rPr>
                <w:rFonts w:ascii="仿宋_GB2312" w:eastAsia="仿宋_GB2312"/>
                <w:sz w:val="24"/>
                <w:szCs w:val="24"/>
              </w:rPr>
              <w:t xml:space="preserve">  </w:t>
            </w:r>
          </w:p>
          <w:p w14:paraId="6CA30DC9">
            <w:pPr>
              <w:rPr>
                <w:rFonts w:ascii="仿宋_GB2312" w:eastAsia="仿宋_GB2312"/>
                <w:sz w:val="24"/>
                <w:szCs w:val="24"/>
              </w:rPr>
            </w:pPr>
            <w:r>
              <w:rPr>
                <w:rFonts w:hint="eastAsia" w:ascii="仿宋_GB2312" w:eastAsia="仿宋_GB2312"/>
                <w:sz w:val="24"/>
                <w:szCs w:val="24"/>
              </w:rPr>
              <w:t>□保险公司 □保险资产管理公司</w:t>
            </w:r>
            <w:r>
              <w:rPr>
                <w:rFonts w:ascii="仿宋_GB2312" w:eastAsia="仿宋_GB2312"/>
                <w:sz w:val="24"/>
                <w:szCs w:val="24"/>
              </w:rPr>
              <w:t xml:space="preserve">  </w:t>
            </w:r>
            <w:r>
              <w:rPr>
                <w:rFonts w:hint="eastAsia" w:ascii="仿宋_GB2312" w:eastAsia="仿宋_GB2312"/>
                <w:sz w:val="24"/>
                <w:szCs w:val="24"/>
              </w:rPr>
              <w:t>□信托公司</w:t>
            </w:r>
            <w:r>
              <w:rPr>
                <w:rFonts w:ascii="仿宋_GB2312" w:eastAsia="仿宋_GB2312"/>
                <w:sz w:val="24"/>
                <w:szCs w:val="24"/>
              </w:rPr>
              <w:t xml:space="preserve">  </w:t>
            </w:r>
          </w:p>
          <w:p w14:paraId="3AE603DD">
            <w:pPr>
              <w:rPr>
                <w:rFonts w:ascii="仿宋_GB2312" w:eastAsia="仿宋_GB2312"/>
                <w:sz w:val="24"/>
                <w:szCs w:val="24"/>
              </w:rPr>
            </w:pPr>
            <w:r>
              <w:rPr>
                <w:rFonts w:hint="eastAsia" w:ascii="仿宋_GB2312" w:eastAsia="仿宋_GB2312"/>
                <w:sz w:val="24"/>
                <w:szCs w:val="24"/>
              </w:rPr>
              <w:t>□财务公司  □期货公司</w:t>
            </w:r>
            <w:r>
              <w:rPr>
                <w:rFonts w:ascii="仿宋_GB2312" w:eastAsia="仿宋_GB2312"/>
                <w:sz w:val="24"/>
                <w:szCs w:val="24"/>
              </w:rPr>
              <w:t xml:space="preserve"> </w:t>
            </w:r>
            <w:r>
              <w:rPr>
                <w:rFonts w:hint="eastAsia" w:ascii="仿宋_GB2312" w:eastAsia="仿宋_GB2312"/>
                <w:sz w:val="24"/>
                <w:szCs w:val="24"/>
              </w:rPr>
              <w:t>□其他机构</w:t>
            </w:r>
          </w:p>
        </w:tc>
      </w:tr>
      <w:tr w14:paraId="1FFAC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204" w:type="pct"/>
            <w:vMerge w:val="restart"/>
            <w:vAlign w:val="center"/>
          </w:tcPr>
          <w:p w14:paraId="611DCA18">
            <w:pPr>
              <w:rPr>
                <w:rFonts w:ascii="仿宋_GB2312" w:eastAsia="仿宋_GB2312"/>
                <w:sz w:val="24"/>
                <w:szCs w:val="24"/>
              </w:rPr>
            </w:pPr>
            <w:r>
              <w:rPr>
                <w:rFonts w:hint="eastAsia" w:ascii="仿宋_GB2312" w:eastAsia="仿宋_GB2312"/>
                <w:sz w:val="24"/>
                <w:szCs w:val="24"/>
              </w:rPr>
              <w:t>取消做市标的1</w:t>
            </w:r>
          </w:p>
        </w:tc>
        <w:tc>
          <w:tcPr>
            <w:tcW w:w="759" w:type="pct"/>
            <w:vAlign w:val="center"/>
          </w:tcPr>
          <w:p w14:paraId="37171E88">
            <w:pPr>
              <w:jc w:val="center"/>
              <w:rPr>
                <w:rFonts w:ascii="仿宋_GB2312" w:eastAsia="仿宋_GB2312"/>
                <w:sz w:val="24"/>
                <w:szCs w:val="24"/>
              </w:rPr>
            </w:pPr>
            <w:r>
              <w:rPr>
                <w:rFonts w:hint="eastAsia" w:ascii="仿宋_GB2312" w:eastAsia="仿宋_GB2312"/>
                <w:sz w:val="24"/>
                <w:szCs w:val="24"/>
              </w:rPr>
              <w:t>代码</w:t>
            </w:r>
          </w:p>
        </w:tc>
        <w:tc>
          <w:tcPr>
            <w:tcW w:w="759" w:type="pct"/>
            <w:gridSpan w:val="2"/>
            <w:vAlign w:val="center"/>
          </w:tcPr>
          <w:p w14:paraId="054382AC">
            <w:pPr>
              <w:jc w:val="center"/>
              <w:rPr>
                <w:rFonts w:ascii="仿宋_GB2312" w:eastAsia="仿宋_GB2312"/>
                <w:sz w:val="24"/>
                <w:szCs w:val="24"/>
              </w:rPr>
            </w:pPr>
            <w:r>
              <w:rPr>
                <w:rFonts w:hint="eastAsia" w:ascii="仿宋_GB2312" w:eastAsia="仿宋_GB2312"/>
                <w:sz w:val="24"/>
                <w:szCs w:val="24"/>
              </w:rPr>
              <w:t>简称</w:t>
            </w:r>
          </w:p>
        </w:tc>
        <w:tc>
          <w:tcPr>
            <w:tcW w:w="759" w:type="pct"/>
            <w:gridSpan w:val="2"/>
            <w:vAlign w:val="center"/>
          </w:tcPr>
          <w:p w14:paraId="19C2ADD4">
            <w:pPr>
              <w:jc w:val="center"/>
              <w:rPr>
                <w:rFonts w:ascii="仿宋_GB2312" w:eastAsia="仿宋_GB2312"/>
                <w:sz w:val="24"/>
                <w:szCs w:val="24"/>
              </w:rPr>
            </w:pPr>
            <w:r>
              <w:rPr>
                <w:rFonts w:hint="eastAsia" w:ascii="仿宋_GB2312" w:eastAsia="仿宋_GB2312"/>
                <w:sz w:val="24"/>
                <w:szCs w:val="24"/>
              </w:rPr>
              <w:t>做市类型</w:t>
            </w:r>
          </w:p>
        </w:tc>
        <w:tc>
          <w:tcPr>
            <w:tcW w:w="759" w:type="pct"/>
            <w:gridSpan w:val="2"/>
            <w:vAlign w:val="center"/>
          </w:tcPr>
          <w:p w14:paraId="1F10509E">
            <w:pPr>
              <w:jc w:val="center"/>
              <w:rPr>
                <w:rFonts w:ascii="仿宋_GB2312" w:eastAsia="仿宋_GB2312"/>
                <w:sz w:val="24"/>
                <w:szCs w:val="24"/>
              </w:rPr>
            </w:pPr>
            <w:r>
              <w:rPr>
                <w:rFonts w:hint="eastAsia" w:ascii="仿宋_GB2312" w:eastAsia="仿宋_GB2312"/>
                <w:sz w:val="24"/>
                <w:szCs w:val="24"/>
              </w:rPr>
              <w:t>起始日期</w:t>
            </w:r>
          </w:p>
        </w:tc>
        <w:tc>
          <w:tcPr>
            <w:tcW w:w="760" w:type="pct"/>
            <w:vAlign w:val="center"/>
          </w:tcPr>
          <w:p w14:paraId="1F1B4EC8">
            <w:pPr>
              <w:jc w:val="center"/>
              <w:rPr>
                <w:rFonts w:ascii="仿宋_GB2312" w:eastAsia="仿宋_GB2312"/>
                <w:sz w:val="24"/>
                <w:szCs w:val="24"/>
              </w:rPr>
            </w:pPr>
            <w:r>
              <w:rPr>
                <w:rFonts w:hint="eastAsia" w:ascii="仿宋_GB2312" w:eastAsia="仿宋_GB2312"/>
                <w:sz w:val="24"/>
                <w:szCs w:val="24"/>
              </w:rPr>
              <w:t>最终日期</w:t>
            </w:r>
          </w:p>
        </w:tc>
      </w:tr>
      <w:tr w14:paraId="18A72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204" w:type="pct"/>
            <w:vMerge w:val="continue"/>
            <w:vAlign w:val="center"/>
          </w:tcPr>
          <w:p w14:paraId="3AF77D2B">
            <w:pPr>
              <w:rPr>
                <w:rFonts w:ascii="仿宋_GB2312" w:eastAsia="仿宋_GB2312"/>
                <w:sz w:val="24"/>
                <w:szCs w:val="24"/>
              </w:rPr>
            </w:pPr>
          </w:p>
        </w:tc>
        <w:tc>
          <w:tcPr>
            <w:tcW w:w="759" w:type="pct"/>
            <w:vAlign w:val="center"/>
          </w:tcPr>
          <w:p w14:paraId="1DC94138">
            <w:pPr>
              <w:jc w:val="center"/>
              <w:rPr>
                <w:rFonts w:ascii="仿宋_GB2312" w:eastAsia="仿宋_GB2312"/>
                <w:sz w:val="24"/>
                <w:szCs w:val="24"/>
              </w:rPr>
            </w:pPr>
          </w:p>
        </w:tc>
        <w:tc>
          <w:tcPr>
            <w:tcW w:w="759" w:type="pct"/>
            <w:gridSpan w:val="2"/>
            <w:vAlign w:val="center"/>
          </w:tcPr>
          <w:p w14:paraId="4A26489C">
            <w:pPr>
              <w:jc w:val="center"/>
              <w:rPr>
                <w:rFonts w:ascii="仿宋_GB2312" w:eastAsia="仿宋_GB2312"/>
                <w:sz w:val="24"/>
                <w:szCs w:val="24"/>
              </w:rPr>
            </w:pPr>
          </w:p>
        </w:tc>
        <w:tc>
          <w:tcPr>
            <w:tcW w:w="759" w:type="pct"/>
            <w:gridSpan w:val="2"/>
            <w:vAlign w:val="center"/>
          </w:tcPr>
          <w:p w14:paraId="19DA87EB">
            <w:pPr>
              <w:jc w:val="center"/>
              <w:rPr>
                <w:rFonts w:ascii="仿宋_GB2312" w:eastAsia="仿宋_GB2312"/>
                <w:sz w:val="24"/>
                <w:szCs w:val="24"/>
              </w:rPr>
            </w:pPr>
          </w:p>
        </w:tc>
        <w:tc>
          <w:tcPr>
            <w:tcW w:w="759" w:type="pct"/>
            <w:gridSpan w:val="2"/>
            <w:vAlign w:val="center"/>
          </w:tcPr>
          <w:p w14:paraId="30D08D78">
            <w:pPr>
              <w:jc w:val="center"/>
              <w:rPr>
                <w:rFonts w:ascii="仿宋_GB2312" w:eastAsia="仿宋_GB2312"/>
                <w:sz w:val="24"/>
                <w:szCs w:val="24"/>
              </w:rPr>
            </w:pPr>
          </w:p>
        </w:tc>
        <w:tc>
          <w:tcPr>
            <w:tcW w:w="760" w:type="pct"/>
            <w:vAlign w:val="center"/>
          </w:tcPr>
          <w:p w14:paraId="57AEA4CF">
            <w:pPr>
              <w:jc w:val="center"/>
              <w:rPr>
                <w:rFonts w:ascii="仿宋_GB2312" w:eastAsia="仿宋_GB2312"/>
                <w:sz w:val="24"/>
                <w:szCs w:val="24"/>
              </w:rPr>
            </w:pPr>
          </w:p>
        </w:tc>
      </w:tr>
      <w:tr w14:paraId="3FC52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204" w:type="pct"/>
            <w:vAlign w:val="center"/>
          </w:tcPr>
          <w:p w14:paraId="286265BE">
            <w:pPr>
              <w:rPr>
                <w:rFonts w:ascii="仿宋_GB2312" w:eastAsia="仿宋_GB2312"/>
                <w:sz w:val="24"/>
                <w:szCs w:val="24"/>
              </w:rPr>
            </w:pPr>
            <w:r>
              <w:rPr>
                <w:rFonts w:hint="eastAsia" w:ascii="仿宋_GB2312" w:eastAsia="仿宋_GB2312"/>
                <w:sz w:val="24"/>
                <w:szCs w:val="24"/>
              </w:rPr>
              <w:t>具体原因说明</w:t>
            </w:r>
          </w:p>
        </w:tc>
        <w:tc>
          <w:tcPr>
            <w:tcW w:w="3796" w:type="pct"/>
            <w:gridSpan w:val="8"/>
            <w:vAlign w:val="center"/>
          </w:tcPr>
          <w:p w14:paraId="1EB674EE">
            <w:pPr>
              <w:jc w:val="center"/>
              <w:rPr>
                <w:rFonts w:ascii="仿宋_GB2312" w:eastAsia="仿宋_GB2312"/>
                <w:sz w:val="24"/>
                <w:szCs w:val="24"/>
              </w:rPr>
            </w:pPr>
          </w:p>
        </w:tc>
      </w:tr>
      <w:tr w14:paraId="05D2B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204" w:type="pct"/>
            <w:vMerge w:val="restart"/>
            <w:vAlign w:val="center"/>
          </w:tcPr>
          <w:p w14:paraId="278B7C67">
            <w:pPr>
              <w:rPr>
                <w:rFonts w:ascii="仿宋_GB2312" w:eastAsia="仿宋_GB2312"/>
                <w:sz w:val="24"/>
                <w:szCs w:val="24"/>
              </w:rPr>
            </w:pPr>
            <w:r>
              <w:rPr>
                <w:rFonts w:hint="eastAsia" w:ascii="仿宋_GB2312" w:eastAsia="仿宋_GB2312"/>
                <w:sz w:val="24"/>
                <w:szCs w:val="24"/>
              </w:rPr>
              <w:t>取消做市标的2</w:t>
            </w:r>
          </w:p>
        </w:tc>
        <w:tc>
          <w:tcPr>
            <w:tcW w:w="759" w:type="pct"/>
            <w:vAlign w:val="center"/>
          </w:tcPr>
          <w:p w14:paraId="5B694D30">
            <w:pPr>
              <w:jc w:val="center"/>
              <w:rPr>
                <w:rFonts w:ascii="仿宋_GB2312" w:eastAsia="仿宋_GB2312"/>
                <w:sz w:val="24"/>
                <w:szCs w:val="24"/>
              </w:rPr>
            </w:pPr>
            <w:r>
              <w:rPr>
                <w:rFonts w:hint="eastAsia" w:ascii="仿宋_GB2312" w:eastAsia="仿宋_GB2312"/>
                <w:sz w:val="24"/>
                <w:szCs w:val="24"/>
              </w:rPr>
              <w:t>代码</w:t>
            </w:r>
          </w:p>
        </w:tc>
        <w:tc>
          <w:tcPr>
            <w:tcW w:w="759" w:type="pct"/>
            <w:gridSpan w:val="2"/>
            <w:vAlign w:val="center"/>
          </w:tcPr>
          <w:p w14:paraId="07609A11">
            <w:pPr>
              <w:jc w:val="center"/>
              <w:rPr>
                <w:rFonts w:ascii="仿宋_GB2312" w:eastAsia="仿宋_GB2312"/>
                <w:sz w:val="24"/>
                <w:szCs w:val="24"/>
              </w:rPr>
            </w:pPr>
            <w:r>
              <w:rPr>
                <w:rFonts w:hint="eastAsia" w:ascii="仿宋_GB2312" w:eastAsia="仿宋_GB2312"/>
                <w:sz w:val="24"/>
                <w:szCs w:val="24"/>
              </w:rPr>
              <w:t>简称</w:t>
            </w:r>
          </w:p>
        </w:tc>
        <w:tc>
          <w:tcPr>
            <w:tcW w:w="759" w:type="pct"/>
            <w:gridSpan w:val="2"/>
            <w:vAlign w:val="center"/>
          </w:tcPr>
          <w:p w14:paraId="52315FCB">
            <w:pPr>
              <w:jc w:val="center"/>
              <w:rPr>
                <w:rFonts w:ascii="仿宋_GB2312" w:eastAsia="仿宋_GB2312"/>
                <w:sz w:val="24"/>
                <w:szCs w:val="24"/>
              </w:rPr>
            </w:pPr>
            <w:r>
              <w:rPr>
                <w:rFonts w:hint="eastAsia" w:ascii="仿宋_GB2312" w:eastAsia="仿宋_GB2312"/>
                <w:sz w:val="24"/>
                <w:szCs w:val="24"/>
              </w:rPr>
              <w:t>做市类型</w:t>
            </w:r>
          </w:p>
        </w:tc>
        <w:tc>
          <w:tcPr>
            <w:tcW w:w="759" w:type="pct"/>
            <w:gridSpan w:val="2"/>
            <w:vAlign w:val="center"/>
          </w:tcPr>
          <w:p w14:paraId="129CFA07">
            <w:pPr>
              <w:jc w:val="center"/>
              <w:rPr>
                <w:rFonts w:ascii="仿宋_GB2312" w:eastAsia="仿宋_GB2312"/>
                <w:sz w:val="24"/>
                <w:szCs w:val="24"/>
              </w:rPr>
            </w:pPr>
            <w:r>
              <w:rPr>
                <w:rFonts w:hint="eastAsia" w:ascii="仿宋_GB2312" w:eastAsia="仿宋_GB2312"/>
                <w:sz w:val="24"/>
                <w:szCs w:val="24"/>
              </w:rPr>
              <w:t>起始日期</w:t>
            </w:r>
          </w:p>
        </w:tc>
        <w:tc>
          <w:tcPr>
            <w:tcW w:w="760" w:type="pct"/>
            <w:vAlign w:val="center"/>
          </w:tcPr>
          <w:p w14:paraId="4078A4BE">
            <w:pPr>
              <w:jc w:val="center"/>
              <w:rPr>
                <w:rFonts w:ascii="仿宋_GB2312" w:eastAsia="仿宋_GB2312"/>
                <w:sz w:val="24"/>
                <w:szCs w:val="24"/>
              </w:rPr>
            </w:pPr>
            <w:r>
              <w:rPr>
                <w:rFonts w:hint="eastAsia" w:ascii="仿宋_GB2312" w:eastAsia="仿宋_GB2312"/>
                <w:sz w:val="24"/>
                <w:szCs w:val="24"/>
              </w:rPr>
              <w:t>最终日期</w:t>
            </w:r>
          </w:p>
        </w:tc>
      </w:tr>
      <w:tr w14:paraId="1CB14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204" w:type="pct"/>
            <w:vMerge w:val="continue"/>
            <w:vAlign w:val="center"/>
          </w:tcPr>
          <w:p w14:paraId="341DBA42">
            <w:pPr>
              <w:rPr>
                <w:rFonts w:ascii="仿宋_GB2312" w:eastAsia="仿宋_GB2312"/>
                <w:sz w:val="24"/>
                <w:szCs w:val="24"/>
              </w:rPr>
            </w:pPr>
          </w:p>
        </w:tc>
        <w:tc>
          <w:tcPr>
            <w:tcW w:w="759" w:type="pct"/>
            <w:vAlign w:val="center"/>
          </w:tcPr>
          <w:p w14:paraId="7AB6BCB5">
            <w:pPr>
              <w:jc w:val="center"/>
              <w:rPr>
                <w:rFonts w:ascii="仿宋_GB2312" w:eastAsia="仿宋_GB2312"/>
                <w:sz w:val="24"/>
                <w:szCs w:val="24"/>
              </w:rPr>
            </w:pPr>
          </w:p>
        </w:tc>
        <w:tc>
          <w:tcPr>
            <w:tcW w:w="759" w:type="pct"/>
            <w:gridSpan w:val="2"/>
            <w:vAlign w:val="center"/>
          </w:tcPr>
          <w:p w14:paraId="1F42B69A">
            <w:pPr>
              <w:jc w:val="center"/>
              <w:rPr>
                <w:rFonts w:ascii="仿宋_GB2312" w:eastAsia="仿宋_GB2312"/>
                <w:sz w:val="24"/>
                <w:szCs w:val="24"/>
              </w:rPr>
            </w:pPr>
          </w:p>
        </w:tc>
        <w:tc>
          <w:tcPr>
            <w:tcW w:w="759" w:type="pct"/>
            <w:gridSpan w:val="2"/>
            <w:vAlign w:val="center"/>
          </w:tcPr>
          <w:p w14:paraId="6DBA249A">
            <w:pPr>
              <w:jc w:val="center"/>
              <w:rPr>
                <w:rFonts w:ascii="仿宋_GB2312" w:eastAsia="仿宋_GB2312"/>
                <w:sz w:val="24"/>
                <w:szCs w:val="24"/>
              </w:rPr>
            </w:pPr>
          </w:p>
        </w:tc>
        <w:tc>
          <w:tcPr>
            <w:tcW w:w="759" w:type="pct"/>
            <w:gridSpan w:val="2"/>
            <w:vAlign w:val="center"/>
          </w:tcPr>
          <w:p w14:paraId="1D25E308">
            <w:pPr>
              <w:jc w:val="center"/>
              <w:rPr>
                <w:rFonts w:ascii="仿宋_GB2312" w:eastAsia="仿宋_GB2312"/>
                <w:sz w:val="24"/>
                <w:szCs w:val="24"/>
              </w:rPr>
            </w:pPr>
          </w:p>
        </w:tc>
        <w:tc>
          <w:tcPr>
            <w:tcW w:w="760" w:type="pct"/>
            <w:vAlign w:val="center"/>
          </w:tcPr>
          <w:p w14:paraId="70CEC286">
            <w:pPr>
              <w:jc w:val="center"/>
              <w:rPr>
                <w:rFonts w:ascii="仿宋_GB2312" w:eastAsia="仿宋_GB2312"/>
                <w:sz w:val="24"/>
                <w:szCs w:val="24"/>
              </w:rPr>
            </w:pPr>
          </w:p>
        </w:tc>
      </w:tr>
      <w:tr w14:paraId="79211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204" w:type="pct"/>
            <w:vAlign w:val="center"/>
          </w:tcPr>
          <w:p w14:paraId="28D4E371">
            <w:pPr>
              <w:rPr>
                <w:rFonts w:ascii="仿宋_GB2312" w:eastAsia="仿宋_GB2312"/>
                <w:sz w:val="24"/>
                <w:szCs w:val="24"/>
              </w:rPr>
            </w:pPr>
            <w:r>
              <w:rPr>
                <w:rFonts w:hint="eastAsia" w:ascii="仿宋_GB2312" w:eastAsia="仿宋_GB2312"/>
                <w:sz w:val="24"/>
                <w:szCs w:val="24"/>
              </w:rPr>
              <w:t>具体原因说明</w:t>
            </w:r>
          </w:p>
        </w:tc>
        <w:tc>
          <w:tcPr>
            <w:tcW w:w="3796" w:type="pct"/>
            <w:gridSpan w:val="8"/>
            <w:vAlign w:val="center"/>
          </w:tcPr>
          <w:p w14:paraId="3E516778">
            <w:pPr>
              <w:rPr>
                <w:rFonts w:ascii="仿宋_GB2312" w:eastAsia="仿宋_GB2312"/>
                <w:sz w:val="24"/>
                <w:szCs w:val="24"/>
              </w:rPr>
            </w:pPr>
          </w:p>
        </w:tc>
      </w:tr>
      <w:tr w14:paraId="26FAB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204" w:type="pct"/>
            <w:vAlign w:val="center"/>
          </w:tcPr>
          <w:p w14:paraId="79ED7E2F">
            <w:pPr>
              <w:jc w:val="center"/>
              <w:rPr>
                <w:rFonts w:ascii="仿宋_GB2312" w:eastAsia="仿宋_GB2312"/>
                <w:sz w:val="24"/>
                <w:szCs w:val="24"/>
              </w:rPr>
            </w:pPr>
            <w:r>
              <w:rPr>
                <w:rFonts w:hint="eastAsia" w:ascii="仿宋_GB2312" w:eastAsia="仿宋_GB2312"/>
                <w:sz w:val="24"/>
                <w:szCs w:val="24"/>
              </w:rPr>
              <w:t>做市业务负责人</w:t>
            </w:r>
          </w:p>
        </w:tc>
        <w:tc>
          <w:tcPr>
            <w:tcW w:w="1265" w:type="pct"/>
            <w:gridSpan w:val="2"/>
            <w:vAlign w:val="center"/>
          </w:tcPr>
          <w:p w14:paraId="66384135">
            <w:pPr>
              <w:jc w:val="center"/>
              <w:rPr>
                <w:rFonts w:ascii="仿宋_GB2312" w:eastAsia="仿宋_GB2312"/>
                <w:sz w:val="24"/>
                <w:szCs w:val="24"/>
              </w:rPr>
            </w:pPr>
            <w:r>
              <w:rPr>
                <w:rFonts w:hint="eastAsia" w:ascii="仿宋_GB2312" w:eastAsia="仿宋_GB2312"/>
                <w:sz w:val="24"/>
                <w:szCs w:val="24"/>
              </w:rPr>
              <w:t>部门</w:t>
            </w:r>
          </w:p>
        </w:tc>
        <w:tc>
          <w:tcPr>
            <w:tcW w:w="1266" w:type="pct"/>
            <w:gridSpan w:val="4"/>
            <w:vAlign w:val="center"/>
          </w:tcPr>
          <w:p w14:paraId="37CCD859">
            <w:pPr>
              <w:jc w:val="center"/>
              <w:rPr>
                <w:rFonts w:ascii="仿宋_GB2312" w:eastAsia="仿宋_GB2312"/>
                <w:sz w:val="24"/>
                <w:szCs w:val="24"/>
              </w:rPr>
            </w:pPr>
            <w:r>
              <w:rPr>
                <w:rFonts w:hint="eastAsia" w:ascii="仿宋_GB2312" w:eastAsia="仿宋_GB2312"/>
                <w:sz w:val="24"/>
                <w:szCs w:val="24"/>
              </w:rPr>
              <w:t>职务</w:t>
            </w:r>
          </w:p>
        </w:tc>
        <w:tc>
          <w:tcPr>
            <w:tcW w:w="1265" w:type="pct"/>
            <w:gridSpan w:val="2"/>
            <w:vAlign w:val="center"/>
          </w:tcPr>
          <w:p w14:paraId="2878B977">
            <w:pPr>
              <w:jc w:val="center"/>
              <w:rPr>
                <w:rFonts w:ascii="仿宋_GB2312" w:eastAsia="仿宋_GB2312"/>
                <w:sz w:val="24"/>
                <w:szCs w:val="24"/>
              </w:rPr>
            </w:pPr>
            <w:r>
              <w:rPr>
                <w:rFonts w:hint="eastAsia" w:ascii="仿宋_GB2312" w:eastAsia="仿宋_GB2312"/>
                <w:sz w:val="24"/>
                <w:szCs w:val="24"/>
              </w:rPr>
              <w:t>手机</w:t>
            </w:r>
          </w:p>
        </w:tc>
      </w:tr>
      <w:tr w14:paraId="3A0C5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204" w:type="pct"/>
            <w:vAlign w:val="center"/>
          </w:tcPr>
          <w:p w14:paraId="17B4A4E0">
            <w:pPr>
              <w:jc w:val="center"/>
              <w:rPr>
                <w:rFonts w:ascii="仿宋_GB2312" w:eastAsia="仿宋_GB2312"/>
                <w:sz w:val="24"/>
                <w:szCs w:val="24"/>
              </w:rPr>
            </w:pPr>
          </w:p>
        </w:tc>
        <w:tc>
          <w:tcPr>
            <w:tcW w:w="1265" w:type="pct"/>
            <w:gridSpan w:val="2"/>
            <w:vAlign w:val="center"/>
          </w:tcPr>
          <w:p w14:paraId="1456D260">
            <w:pPr>
              <w:jc w:val="center"/>
              <w:rPr>
                <w:rFonts w:ascii="仿宋_GB2312" w:eastAsia="仿宋_GB2312"/>
                <w:sz w:val="24"/>
                <w:szCs w:val="24"/>
              </w:rPr>
            </w:pPr>
          </w:p>
        </w:tc>
        <w:tc>
          <w:tcPr>
            <w:tcW w:w="1266" w:type="pct"/>
            <w:gridSpan w:val="4"/>
            <w:vAlign w:val="center"/>
          </w:tcPr>
          <w:p w14:paraId="00AD1048">
            <w:pPr>
              <w:jc w:val="center"/>
              <w:rPr>
                <w:rFonts w:ascii="仿宋_GB2312" w:eastAsia="仿宋_GB2312"/>
                <w:sz w:val="24"/>
                <w:szCs w:val="24"/>
              </w:rPr>
            </w:pPr>
          </w:p>
        </w:tc>
        <w:tc>
          <w:tcPr>
            <w:tcW w:w="1265" w:type="pct"/>
            <w:gridSpan w:val="2"/>
            <w:vAlign w:val="center"/>
          </w:tcPr>
          <w:p w14:paraId="717226B6">
            <w:pPr>
              <w:jc w:val="center"/>
              <w:rPr>
                <w:rFonts w:ascii="仿宋_GB2312" w:eastAsia="仿宋_GB2312"/>
                <w:sz w:val="24"/>
                <w:szCs w:val="24"/>
              </w:rPr>
            </w:pPr>
          </w:p>
        </w:tc>
      </w:tr>
      <w:tr w14:paraId="2FE3D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204" w:type="pct"/>
            <w:vAlign w:val="center"/>
          </w:tcPr>
          <w:p w14:paraId="55A5D524">
            <w:pPr>
              <w:jc w:val="center"/>
              <w:rPr>
                <w:rFonts w:ascii="仿宋_GB2312" w:eastAsia="仿宋_GB2312"/>
                <w:sz w:val="24"/>
                <w:szCs w:val="24"/>
              </w:rPr>
            </w:pPr>
            <w:r>
              <w:rPr>
                <w:rFonts w:hint="eastAsia" w:ascii="仿宋_GB2312" w:eastAsia="仿宋_GB2312"/>
                <w:sz w:val="24"/>
                <w:szCs w:val="24"/>
              </w:rPr>
              <w:t>做市业务联络人</w:t>
            </w:r>
          </w:p>
        </w:tc>
        <w:tc>
          <w:tcPr>
            <w:tcW w:w="1265" w:type="pct"/>
            <w:gridSpan w:val="2"/>
            <w:vAlign w:val="center"/>
          </w:tcPr>
          <w:p w14:paraId="03089B4F">
            <w:pPr>
              <w:jc w:val="center"/>
              <w:rPr>
                <w:rFonts w:ascii="仿宋_GB2312" w:eastAsia="仿宋_GB2312"/>
                <w:sz w:val="24"/>
                <w:szCs w:val="24"/>
              </w:rPr>
            </w:pPr>
            <w:r>
              <w:rPr>
                <w:rFonts w:hint="eastAsia" w:ascii="仿宋_GB2312" w:eastAsia="仿宋_GB2312"/>
                <w:sz w:val="24"/>
                <w:szCs w:val="24"/>
              </w:rPr>
              <w:t>部门</w:t>
            </w:r>
          </w:p>
        </w:tc>
        <w:tc>
          <w:tcPr>
            <w:tcW w:w="1266" w:type="pct"/>
            <w:gridSpan w:val="4"/>
            <w:vAlign w:val="center"/>
          </w:tcPr>
          <w:p w14:paraId="113A36B0">
            <w:pPr>
              <w:jc w:val="center"/>
              <w:rPr>
                <w:rFonts w:ascii="仿宋_GB2312" w:eastAsia="仿宋_GB2312"/>
                <w:sz w:val="24"/>
                <w:szCs w:val="24"/>
              </w:rPr>
            </w:pPr>
            <w:r>
              <w:rPr>
                <w:rFonts w:hint="eastAsia" w:ascii="仿宋_GB2312" w:eastAsia="仿宋_GB2312"/>
                <w:sz w:val="24"/>
                <w:szCs w:val="24"/>
              </w:rPr>
              <w:t>职务</w:t>
            </w:r>
          </w:p>
        </w:tc>
        <w:tc>
          <w:tcPr>
            <w:tcW w:w="1265" w:type="pct"/>
            <w:gridSpan w:val="2"/>
            <w:vAlign w:val="center"/>
          </w:tcPr>
          <w:p w14:paraId="72FB9AA3">
            <w:pPr>
              <w:jc w:val="center"/>
              <w:rPr>
                <w:rFonts w:ascii="仿宋_GB2312" w:eastAsia="仿宋_GB2312"/>
                <w:sz w:val="24"/>
                <w:szCs w:val="24"/>
              </w:rPr>
            </w:pPr>
            <w:r>
              <w:rPr>
                <w:rFonts w:hint="eastAsia" w:ascii="仿宋_GB2312" w:eastAsia="仿宋_GB2312"/>
                <w:sz w:val="24"/>
                <w:szCs w:val="24"/>
              </w:rPr>
              <w:t>手机</w:t>
            </w:r>
          </w:p>
        </w:tc>
      </w:tr>
      <w:tr w14:paraId="28931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204" w:type="pct"/>
            <w:vAlign w:val="center"/>
          </w:tcPr>
          <w:p w14:paraId="367D30E9">
            <w:pPr>
              <w:jc w:val="center"/>
              <w:rPr>
                <w:rFonts w:ascii="仿宋_GB2312" w:eastAsia="仿宋_GB2312"/>
                <w:sz w:val="24"/>
                <w:szCs w:val="24"/>
              </w:rPr>
            </w:pPr>
          </w:p>
        </w:tc>
        <w:tc>
          <w:tcPr>
            <w:tcW w:w="1265" w:type="pct"/>
            <w:gridSpan w:val="2"/>
            <w:vAlign w:val="center"/>
          </w:tcPr>
          <w:p w14:paraId="51C3CDBF">
            <w:pPr>
              <w:jc w:val="center"/>
              <w:rPr>
                <w:rFonts w:ascii="仿宋_GB2312" w:eastAsia="仿宋_GB2312"/>
                <w:sz w:val="24"/>
                <w:szCs w:val="24"/>
              </w:rPr>
            </w:pPr>
          </w:p>
        </w:tc>
        <w:tc>
          <w:tcPr>
            <w:tcW w:w="1266" w:type="pct"/>
            <w:gridSpan w:val="4"/>
            <w:vAlign w:val="center"/>
          </w:tcPr>
          <w:p w14:paraId="34A325EC">
            <w:pPr>
              <w:jc w:val="center"/>
              <w:rPr>
                <w:rFonts w:ascii="仿宋_GB2312" w:eastAsia="仿宋_GB2312"/>
                <w:sz w:val="24"/>
                <w:szCs w:val="24"/>
              </w:rPr>
            </w:pPr>
          </w:p>
        </w:tc>
        <w:tc>
          <w:tcPr>
            <w:tcW w:w="1265" w:type="pct"/>
            <w:gridSpan w:val="2"/>
            <w:vAlign w:val="center"/>
          </w:tcPr>
          <w:p w14:paraId="5D62ABDF">
            <w:pPr>
              <w:jc w:val="center"/>
              <w:rPr>
                <w:rFonts w:ascii="仿宋_GB2312" w:eastAsia="仿宋_GB2312"/>
                <w:sz w:val="24"/>
                <w:szCs w:val="24"/>
              </w:rPr>
            </w:pPr>
          </w:p>
        </w:tc>
      </w:tr>
    </w:tbl>
    <w:p w14:paraId="342BD383">
      <w:pPr>
        <w:pStyle w:val="18"/>
        <w:jc w:val="right"/>
        <w:rPr>
          <w:szCs w:val="30"/>
        </w:rPr>
      </w:pPr>
      <w:r>
        <w:rPr>
          <w:rFonts w:hint="eastAsia"/>
          <w:szCs w:val="30"/>
        </w:rPr>
        <w:t>做市商：_____________________</w:t>
      </w:r>
      <w:r>
        <w:rPr>
          <w:szCs w:val="30"/>
        </w:rPr>
        <w:t xml:space="preserve">   </w:t>
      </w:r>
      <w:r>
        <w:rPr>
          <w:rFonts w:hint="eastAsia"/>
          <w:szCs w:val="30"/>
        </w:rPr>
        <w:t>（加盖部门章）</w:t>
      </w:r>
    </w:p>
    <w:p w14:paraId="0CBA2906">
      <w:pPr>
        <w:pStyle w:val="18"/>
        <w:jc w:val="right"/>
        <w:rPr>
          <w:szCs w:val="30"/>
        </w:rPr>
      </w:pPr>
      <w:r>
        <w:rPr>
          <w:rFonts w:hint="eastAsia"/>
          <w:szCs w:val="30"/>
        </w:rPr>
        <w:t xml:space="preserve">                                     经办人（签字）：</w:t>
      </w:r>
    </w:p>
    <w:p w14:paraId="24B399EC">
      <w:pPr>
        <w:pStyle w:val="18"/>
        <w:jc w:val="right"/>
        <w:rPr>
          <w:szCs w:val="30"/>
        </w:rPr>
      </w:pPr>
      <w:r>
        <w:rPr>
          <w:rFonts w:hint="eastAsia"/>
          <w:szCs w:val="30"/>
        </w:rPr>
        <w:t xml:space="preserve">                                     申请日期：</w:t>
      </w:r>
    </w:p>
    <w:p w14:paraId="70854A3E">
      <w:pPr>
        <w:widowControl/>
        <w:jc w:val="left"/>
        <w:rPr>
          <w:rFonts w:ascii="仿宋_GB2312" w:eastAsia="仿宋_GB2312"/>
          <w:kern w:val="0"/>
          <w:sz w:val="30"/>
          <w:szCs w:val="30"/>
        </w:rPr>
      </w:pPr>
      <w:r>
        <w:rPr>
          <w:szCs w:val="30"/>
        </w:rPr>
        <w:br w:type="page"/>
      </w:r>
    </w:p>
    <w:p w14:paraId="4F98158B">
      <w:pPr>
        <w:widowControl/>
        <w:jc w:val="left"/>
        <w:outlineLvl w:val="1"/>
        <w:rPr>
          <w:rFonts w:hint="eastAsia" w:ascii="仿宋_GB2312" w:hAnsi="黑体" w:eastAsia="仿宋_GB2312"/>
          <w:b/>
          <w:sz w:val="30"/>
          <w:szCs w:val="30"/>
        </w:rPr>
      </w:pPr>
      <w:bookmarkStart w:id="3870" w:name="_Toc1202381489"/>
      <w:bookmarkStart w:id="3871" w:name="_Toc151137100"/>
      <w:bookmarkStart w:id="3872" w:name="_Toc1640009560"/>
      <w:bookmarkStart w:id="3873" w:name="_Toc738412966"/>
      <w:bookmarkStart w:id="3874" w:name="_Toc1913131207"/>
      <w:r>
        <w:rPr>
          <w:rFonts w:hint="eastAsia" w:ascii="仿宋_GB2312" w:hAnsi="黑体" w:eastAsia="仿宋_GB2312"/>
          <w:b/>
          <w:sz w:val="30"/>
          <w:szCs w:val="30"/>
        </w:rPr>
        <w:t>附件17 终止债券做市业务申请表</w:t>
      </w:r>
      <w:bookmarkEnd w:id="3870"/>
      <w:bookmarkEnd w:id="3871"/>
      <w:bookmarkEnd w:id="3872"/>
      <w:bookmarkEnd w:id="3873"/>
      <w:bookmarkEnd w:id="3874"/>
    </w:p>
    <w:p w14:paraId="0BB337AA">
      <w:pPr>
        <w:spacing w:line="600" w:lineRule="exact"/>
        <w:jc w:val="center"/>
        <w:rPr>
          <w:rFonts w:ascii="黑体" w:hAnsi="黑体" w:eastAsia="黑体" w:cs="黑体"/>
          <w:sz w:val="30"/>
          <w:szCs w:val="30"/>
        </w:rPr>
      </w:pPr>
      <w:r>
        <w:rPr>
          <w:rFonts w:hint="eastAsia" w:ascii="黑体" w:hAnsi="黑体" w:eastAsia="黑体" w:cs="黑体"/>
          <w:b/>
          <w:sz w:val="44"/>
          <w:szCs w:val="44"/>
        </w:rPr>
        <w:t>终止债券做市业务申请表</w:t>
      </w:r>
    </w:p>
    <w:tbl>
      <w:tblPr>
        <w:tblStyle w:val="43"/>
        <w:tblW w:w="49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1"/>
        <w:gridCol w:w="849"/>
        <w:gridCol w:w="425"/>
        <w:gridCol w:w="425"/>
        <w:gridCol w:w="1276"/>
        <w:gridCol w:w="1421"/>
        <w:gridCol w:w="1259"/>
        <w:gridCol w:w="1581"/>
      </w:tblGrid>
      <w:tr w14:paraId="1F4C6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3317" w:type="pct"/>
            <w:gridSpan w:val="6"/>
            <w:vAlign w:val="center"/>
          </w:tcPr>
          <w:p w14:paraId="779E03C7">
            <w:pPr>
              <w:rPr>
                <w:rFonts w:ascii="仿宋_GB2312" w:eastAsia="仿宋_GB2312"/>
                <w:sz w:val="24"/>
                <w:szCs w:val="24"/>
              </w:rPr>
            </w:pPr>
            <w:r>
              <w:rPr>
                <w:rFonts w:hint="eastAsia" w:ascii="仿宋_GB2312" w:eastAsia="仿宋_GB2312"/>
                <w:sz w:val="24"/>
                <w:szCs w:val="24"/>
              </w:rPr>
              <w:t>申请人全称：</w:t>
            </w:r>
          </w:p>
        </w:tc>
        <w:tc>
          <w:tcPr>
            <w:tcW w:w="1683" w:type="pct"/>
            <w:gridSpan w:val="2"/>
            <w:vAlign w:val="center"/>
          </w:tcPr>
          <w:p w14:paraId="79727B9E">
            <w:pPr>
              <w:rPr>
                <w:rFonts w:ascii="仿宋_GB2312" w:eastAsia="仿宋_GB2312"/>
                <w:sz w:val="24"/>
                <w:szCs w:val="24"/>
              </w:rPr>
            </w:pPr>
            <w:r>
              <w:rPr>
                <w:rFonts w:hint="eastAsia" w:ascii="仿宋_GB2312" w:eastAsia="仿宋_GB2312"/>
                <w:sz w:val="24"/>
                <w:szCs w:val="24"/>
              </w:rPr>
              <w:t>电话：</w:t>
            </w:r>
          </w:p>
        </w:tc>
      </w:tr>
      <w:tr w14:paraId="1D5C2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3317" w:type="pct"/>
            <w:gridSpan w:val="6"/>
            <w:vAlign w:val="center"/>
          </w:tcPr>
          <w:p w14:paraId="1F6E1F9B">
            <w:pPr>
              <w:rPr>
                <w:rFonts w:ascii="仿宋_GB2312" w:eastAsia="仿宋_GB2312"/>
                <w:sz w:val="24"/>
                <w:szCs w:val="24"/>
              </w:rPr>
            </w:pPr>
            <w:r>
              <w:rPr>
                <w:rFonts w:hint="eastAsia" w:ascii="仿宋_GB2312" w:eastAsia="仿宋_GB2312"/>
                <w:sz w:val="24"/>
                <w:szCs w:val="24"/>
              </w:rPr>
              <w:t xml:space="preserve">公司地址： </w:t>
            </w:r>
          </w:p>
        </w:tc>
        <w:tc>
          <w:tcPr>
            <w:tcW w:w="1683" w:type="pct"/>
            <w:gridSpan w:val="2"/>
            <w:vAlign w:val="center"/>
          </w:tcPr>
          <w:p w14:paraId="01C172D8">
            <w:pPr>
              <w:rPr>
                <w:rFonts w:ascii="仿宋_GB2312" w:eastAsia="仿宋_GB2312"/>
                <w:sz w:val="24"/>
                <w:szCs w:val="24"/>
              </w:rPr>
            </w:pPr>
            <w:r>
              <w:rPr>
                <w:rFonts w:hint="eastAsia" w:ascii="仿宋_GB2312" w:eastAsia="仿宋_GB2312"/>
                <w:sz w:val="24"/>
                <w:szCs w:val="24"/>
              </w:rPr>
              <w:t>传真：</w:t>
            </w:r>
          </w:p>
        </w:tc>
      </w:tr>
      <w:tr w14:paraId="05135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3317" w:type="pct"/>
            <w:gridSpan w:val="6"/>
            <w:vAlign w:val="center"/>
          </w:tcPr>
          <w:p w14:paraId="1A0B717A">
            <w:pPr>
              <w:rPr>
                <w:rFonts w:ascii="仿宋_GB2312" w:eastAsia="仿宋_GB2312"/>
                <w:sz w:val="24"/>
                <w:szCs w:val="24"/>
              </w:rPr>
            </w:pPr>
            <w:r>
              <w:rPr>
                <w:rFonts w:hint="eastAsia" w:ascii="仿宋_GB2312" w:eastAsia="仿宋_GB2312"/>
                <w:sz w:val="24"/>
                <w:szCs w:val="24"/>
              </w:rPr>
              <w:t>原债券做市商类型：</w:t>
            </w:r>
          </w:p>
        </w:tc>
        <w:tc>
          <w:tcPr>
            <w:tcW w:w="1683" w:type="pct"/>
            <w:gridSpan w:val="2"/>
            <w:vAlign w:val="center"/>
          </w:tcPr>
          <w:p w14:paraId="43CCF68A">
            <w:pPr>
              <w:rPr>
                <w:rFonts w:ascii="仿宋_GB2312" w:eastAsia="仿宋_GB2312"/>
                <w:sz w:val="24"/>
                <w:szCs w:val="24"/>
              </w:rPr>
            </w:pPr>
            <w:r>
              <w:rPr>
                <w:rFonts w:hint="eastAsia" w:ascii="仿宋_GB2312" w:eastAsia="仿宋_GB2312"/>
                <w:sz w:val="24"/>
                <w:szCs w:val="24"/>
              </w:rPr>
              <w:t>终止生效日：</w:t>
            </w:r>
          </w:p>
        </w:tc>
      </w:tr>
      <w:tr w14:paraId="21DD9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1467" w:type="pct"/>
            <w:gridSpan w:val="3"/>
            <w:vAlign w:val="center"/>
          </w:tcPr>
          <w:p w14:paraId="7A44BC3B">
            <w:pPr>
              <w:rPr>
                <w:rFonts w:ascii="仿宋_GB2312" w:eastAsia="仿宋_GB2312"/>
                <w:sz w:val="24"/>
                <w:szCs w:val="24"/>
              </w:rPr>
            </w:pPr>
            <w:r>
              <w:rPr>
                <w:rFonts w:hint="eastAsia" w:ascii="仿宋_GB2312" w:eastAsia="仿宋_GB2312"/>
                <w:sz w:val="24"/>
                <w:szCs w:val="24"/>
              </w:rPr>
              <w:t>债券投资者类型</w:t>
            </w:r>
          </w:p>
        </w:tc>
        <w:tc>
          <w:tcPr>
            <w:tcW w:w="3533" w:type="pct"/>
            <w:gridSpan w:val="5"/>
            <w:vAlign w:val="center"/>
          </w:tcPr>
          <w:p w14:paraId="47722EBB">
            <w:pPr>
              <w:rPr>
                <w:rFonts w:ascii="仿宋_GB2312" w:eastAsia="仿宋_GB2312"/>
                <w:sz w:val="24"/>
                <w:szCs w:val="24"/>
              </w:rPr>
            </w:pPr>
            <w:r>
              <w:rPr>
                <w:rFonts w:hint="eastAsia" w:ascii="仿宋_GB2312" w:eastAsia="仿宋_GB2312"/>
                <w:sz w:val="24"/>
                <w:szCs w:val="24"/>
              </w:rPr>
              <w:t>□证券公司</w:t>
            </w:r>
            <w:r>
              <w:rPr>
                <w:rFonts w:ascii="仿宋_GB2312" w:eastAsia="仿宋_GB2312"/>
                <w:sz w:val="24"/>
                <w:szCs w:val="24"/>
              </w:rPr>
              <w:t xml:space="preserve">  </w:t>
            </w:r>
            <w:r>
              <w:rPr>
                <w:rFonts w:hint="eastAsia" w:ascii="仿宋_GB2312" w:eastAsia="仿宋_GB2312"/>
                <w:sz w:val="24"/>
                <w:szCs w:val="24"/>
              </w:rPr>
              <w:t>□银行  □证券公司资产管理子公司</w:t>
            </w:r>
            <w:r>
              <w:rPr>
                <w:rFonts w:ascii="仿宋_GB2312" w:eastAsia="仿宋_GB2312"/>
                <w:sz w:val="24"/>
                <w:szCs w:val="24"/>
              </w:rPr>
              <w:t xml:space="preserve">  </w:t>
            </w:r>
          </w:p>
          <w:p w14:paraId="1172DC67">
            <w:pPr>
              <w:rPr>
                <w:rFonts w:ascii="仿宋_GB2312" w:eastAsia="仿宋_GB2312"/>
                <w:sz w:val="24"/>
                <w:szCs w:val="24"/>
              </w:rPr>
            </w:pPr>
            <w:r>
              <w:rPr>
                <w:rFonts w:hint="eastAsia" w:ascii="仿宋_GB2312" w:eastAsia="仿宋_GB2312"/>
                <w:sz w:val="24"/>
                <w:szCs w:val="24"/>
              </w:rPr>
              <w:t>□银行理财子公司</w:t>
            </w:r>
            <w:r>
              <w:rPr>
                <w:rFonts w:ascii="仿宋_GB2312" w:eastAsia="仿宋_GB2312"/>
                <w:sz w:val="24"/>
                <w:szCs w:val="24"/>
              </w:rPr>
              <w:t xml:space="preserve">  </w:t>
            </w:r>
            <w:r>
              <w:rPr>
                <w:rFonts w:hint="eastAsia" w:ascii="仿宋_GB2312" w:eastAsia="仿宋_GB2312"/>
                <w:sz w:val="24"/>
                <w:szCs w:val="24"/>
              </w:rPr>
              <w:t>□证券投资基金管理公司</w:t>
            </w:r>
            <w:r>
              <w:rPr>
                <w:rFonts w:ascii="仿宋_GB2312" w:eastAsia="仿宋_GB2312"/>
                <w:sz w:val="24"/>
                <w:szCs w:val="24"/>
              </w:rPr>
              <w:t xml:space="preserve">  </w:t>
            </w:r>
          </w:p>
          <w:p w14:paraId="6358BD49">
            <w:pPr>
              <w:rPr>
                <w:rFonts w:ascii="仿宋_GB2312" w:eastAsia="仿宋_GB2312"/>
                <w:sz w:val="24"/>
                <w:szCs w:val="24"/>
              </w:rPr>
            </w:pPr>
            <w:r>
              <w:rPr>
                <w:rFonts w:hint="eastAsia" w:ascii="仿宋_GB2312" w:eastAsia="仿宋_GB2312"/>
                <w:sz w:val="24"/>
                <w:szCs w:val="24"/>
              </w:rPr>
              <w:t>□保险公司 □保险资产管理公司</w:t>
            </w:r>
            <w:r>
              <w:rPr>
                <w:rFonts w:ascii="仿宋_GB2312" w:eastAsia="仿宋_GB2312"/>
                <w:sz w:val="24"/>
                <w:szCs w:val="24"/>
              </w:rPr>
              <w:t xml:space="preserve">  </w:t>
            </w:r>
            <w:r>
              <w:rPr>
                <w:rFonts w:hint="eastAsia" w:ascii="仿宋_GB2312" w:eastAsia="仿宋_GB2312"/>
                <w:sz w:val="24"/>
                <w:szCs w:val="24"/>
              </w:rPr>
              <w:t>□信托公司</w:t>
            </w:r>
            <w:r>
              <w:rPr>
                <w:rFonts w:ascii="仿宋_GB2312" w:eastAsia="仿宋_GB2312"/>
                <w:sz w:val="24"/>
                <w:szCs w:val="24"/>
              </w:rPr>
              <w:t xml:space="preserve">  </w:t>
            </w:r>
          </w:p>
          <w:p w14:paraId="7C2682F4">
            <w:pPr>
              <w:rPr>
                <w:rFonts w:ascii="仿宋_GB2312" w:eastAsia="仿宋_GB2312"/>
                <w:sz w:val="24"/>
                <w:szCs w:val="24"/>
              </w:rPr>
            </w:pPr>
            <w:r>
              <w:rPr>
                <w:rFonts w:hint="eastAsia" w:ascii="仿宋_GB2312" w:eastAsia="仿宋_GB2312"/>
                <w:sz w:val="24"/>
                <w:szCs w:val="24"/>
              </w:rPr>
              <w:t xml:space="preserve">□财务公司  □期货公司 </w:t>
            </w:r>
            <w:r>
              <w:rPr>
                <w:rFonts w:ascii="仿宋_GB2312" w:eastAsia="仿宋_GB2312"/>
                <w:sz w:val="24"/>
                <w:szCs w:val="24"/>
              </w:rPr>
              <w:t xml:space="preserve"> </w:t>
            </w:r>
            <w:r>
              <w:rPr>
                <w:rFonts w:hint="eastAsia" w:ascii="仿宋_GB2312" w:eastAsia="仿宋_GB2312"/>
                <w:sz w:val="24"/>
                <w:szCs w:val="24"/>
              </w:rPr>
              <w:t>□其他机构</w:t>
            </w:r>
          </w:p>
        </w:tc>
      </w:tr>
      <w:tr w14:paraId="07BE4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712" w:type="pct"/>
            <w:vAlign w:val="center"/>
          </w:tcPr>
          <w:p w14:paraId="2D21C96D">
            <w:pPr>
              <w:rPr>
                <w:rFonts w:ascii="仿宋_GB2312" w:eastAsia="仿宋_GB2312"/>
                <w:sz w:val="24"/>
                <w:szCs w:val="24"/>
              </w:rPr>
            </w:pPr>
            <w:r>
              <w:rPr>
                <w:rFonts w:hint="eastAsia" w:ascii="仿宋_GB2312" w:eastAsia="仿宋_GB2312"/>
                <w:sz w:val="24"/>
                <w:szCs w:val="24"/>
              </w:rPr>
              <w:t>做市业务负责人</w:t>
            </w:r>
          </w:p>
        </w:tc>
        <w:tc>
          <w:tcPr>
            <w:tcW w:w="503" w:type="pct"/>
            <w:vAlign w:val="center"/>
          </w:tcPr>
          <w:p w14:paraId="74D2C5D9">
            <w:pPr>
              <w:rPr>
                <w:rFonts w:ascii="仿宋_GB2312" w:eastAsia="仿宋_GB2312"/>
                <w:sz w:val="24"/>
                <w:szCs w:val="24"/>
              </w:rPr>
            </w:pPr>
            <w:r>
              <w:rPr>
                <w:rFonts w:hint="eastAsia" w:ascii="仿宋_GB2312" w:eastAsia="仿宋_GB2312"/>
                <w:sz w:val="24"/>
                <w:szCs w:val="24"/>
              </w:rPr>
              <w:t>部门</w:t>
            </w:r>
          </w:p>
        </w:tc>
        <w:tc>
          <w:tcPr>
            <w:tcW w:w="504" w:type="pct"/>
            <w:gridSpan w:val="2"/>
            <w:vAlign w:val="center"/>
          </w:tcPr>
          <w:p w14:paraId="0509EFC0">
            <w:pPr>
              <w:rPr>
                <w:rFonts w:ascii="仿宋_GB2312" w:eastAsia="仿宋_GB2312"/>
                <w:sz w:val="24"/>
                <w:szCs w:val="24"/>
              </w:rPr>
            </w:pPr>
            <w:r>
              <w:rPr>
                <w:rFonts w:hint="eastAsia" w:ascii="仿宋_GB2312" w:eastAsia="仿宋_GB2312"/>
                <w:sz w:val="24"/>
                <w:szCs w:val="24"/>
              </w:rPr>
              <w:t>职务</w:t>
            </w:r>
          </w:p>
        </w:tc>
        <w:tc>
          <w:tcPr>
            <w:tcW w:w="756" w:type="pct"/>
            <w:vAlign w:val="center"/>
          </w:tcPr>
          <w:p w14:paraId="6D503751">
            <w:pPr>
              <w:rPr>
                <w:rFonts w:ascii="仿宋_GB2312" w:eastAsia="仿宋_GB2312"/>
                <w:sz w:val="24"/>
                <w:szCs w:val="24"/>
              </w:rPr>
            </w:pPr>
            <w:r>
              <w:rPr>
                <w:rFonts w:hint="eastAsia" w:ascii="仿宋_GB2312" w:eastAsia="仿宋_GB2312"/>
                <w:sz w:val="24"/>
                <w:szCs w:val="24"/>
              </w:rPr>
              <w:t>电话</w:t>
            </w:r>
          </w:p>
        </w:tc>
        <w:tc>
          <w:tcPr>
            <w:tcW w:w="842" w:type="pct"/>
            <w:vAlign w:val="center"/>
          </w:tcPr>
          <w:p w14:paraId="63BB1251">
            <w:pPr>
              <w:rPr>
                <w:rFonts w:ascii="仿宋_GB2312" w:eastAsia="仿宋_GB2312"/>
                <w:sz w:val="24"/>
                <w:szCs w:val="24"/>
              </w:rPr>
            </w:pPr>
            <w:r>
              <w:rPr>
                <w:rFonts w:hint="eastAsia" w:ascii="仿宋_GB2312" w:eastAsia="仿宋_GB2312"/>
                <w:sz w:val="24"/>
                <w:szCs w:val="24"/>
              </w:rPr>
              <w:t>手机</w:t>
            </w:r>
          </w:p>
        </w:tc>
        <w:tc>
          <w:tcPr>
            <w:tcW w:w="746" w:type="pct"/>
            <w:vAlign w:val="center"/>
          </w:tcPr>
          <w:p w14:paraId="38BCFA47">
            <w:pPr>
              <w:rPr>
                <w:rFonts w:ascii="仿宋_GB2312" w:eastAsia="仿宋_GB2312"/>
                <w:sz w:val="24"/>
                <w:szCs w:val="24"/>
              </w:rPr>
            </w:pPr>
            <w:r>
              <w:rPr>
                <w:rFonts w:hint="eastAsia" w:ascii="仿宋_GB2312" w:eastAsia="仿宋_GB2312"/>
                <w:sz w:val="24"/>
                <w:szCs w:val="24"/>
              </w:rPr>
              <w:t>传真</w:t>
            </w:r>
          </w:p>
        </w:tc>
        <w:tc>
          <w:tcPr>
            <w:tcW w:w="937" w:type="pct"/>
            <w:vAlign w:val="center"/>
          </w:tcPr>
          <w:p w14:paraId="71CAEDC9">
            <w:pPr>
              <w:rPr>
                <w:rFonts w:ascii="仿宋_GB2312" w:eastAsia="仿宋_GB2312"/>
                <w:sz w:val="24"/>
                <w:szCs w:val="24"/>
              </w:rPr>
            </w:pPr>
            <w:r>
              <w:rPr>
                <w:rFonts w:ascii="仿宋_GB2312" w:eastAsia="仿宋_GB2312"/>
                <w:sz w:val="24"/>
                <w:szCs w:val="24"/>
              </w:rPr>
              <w:t>E-mail</w:t>
            </w:r>
          </w:p>
        </w:tc>
      </w:tr>
      <w:tr w14:paraId="150F5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712" w:type="pct"/>
            <w:vAlign w:val="center"/>
          </w:tcPr>
          <w:p w14:paraId="648DCA37">
            <w:pPr>
              <w:rPr>
                <w:rFonts w:ascii="仿宋_GB2312" w:eastAsia="仿宋_GB2312"/>
                <w:sz w:val="24"/>
                <w:szCs w:val="24"/>
              </w:rPr>
            </w:pPr>
          </w:p>
        </w:tc>
        <w:tc>
          <w:tcPr>
            <w:tcW w:w="503" w:type="pct"/>
            <w:vAlign w:val="center"/>
          </w:tcPr>
          <w:p w14:paraId="78F592DC">
            <w:pPr>
              <w:rPr>
                <w:rFonts w:ascii="仿宋_GB2312" w:eastAsia="仿宋_GB2312"/>
                <w:sz w:val="24"/>
                <w:szCs w:val="24"/>
              </w:rPr>
            </w:pPr>
          </w:p>
        </w:tc>
        <w:tc>
          <w:tcPr>
            <w:tcW w:w="504" w:type="pct"/>
            <w:gridSpan w:val="2"/>
            <w:vAlign w:val="center"/>
          </w:tcPr>
          <w:p w14:paraId="23E3F4D4">
            <w:pPr>
              <w:rPr>
                <w:rFonts w:ascii="仿宋_GB2312" w:eastAsia="仿宋_GB2312"/>
                <w:sz w:val="24"/>
                <w:szCs w:val="24"/>
              </w:rPr>
            </w:pPr>
          </w:p>
        </w:tc>
        <w:tc>
          <w:tcPr>
            <w:tcW w:w="756" w:type="pct"/>
            <w:vAlign w:val="center"/>
          </w:tcPr>
          <w:p w14:paraId="4CB27F11">
            <w:pPr>
              <w:rPr>
                <w:rFonts w:ascii="仿宋_GB2312" w:eastAsia="仿宋_GB2312"/>
                <w:sz w:val="24"/>
                <w:szCs w:val="24"/>
              </w:rPr>
            </w:pPr>
          </w:p>
        </w:tc>
        <w:tc>
          <w:tcPr>
            <w:tcW w:w="842" w:type="pct"/>
            <w:vAlign w:val="center"/>
          </w:tcPr>
          <w:p w14:paraId="2652C651">
            <w:pPr>
              <w:rPr>
                <w:rFonts w:ascii="仿宋_GB2312" w:eastAsia="仿宋_GB2312"/>
                <w:sz w:val="24"/>
                <w:szCs w:val="24"/>
              </w:rPr>
            </w:pPr>
          </w:p>
        </w:tc>
        <w:tc>
          <w:tcPr>
            <w:tcW w:w="746" w:type="pct"/>
            <w:vAlign w:val="center"/>
          </w:tcPr>
          <w:p w14:paraId="3A988F72">
            <w:pPr>
              <w:rPr>
                <w:rFonts w:ascii="仿宋_GB2312" w:eastAsia="仿宋_GB2312"/>
                <w:sz w:val="24"/>
                <w:szCs w:val="24"/>
              </w:rPr>
            </w:pPr>
          </w:p>
        </w:tc>
        <w:tc>
          <w:tcPr>
            <w:tcW w:w="937" w:type="pct"/>
            <w:vAlign w:val="center"/>
          </w:tcPr>
          <w:p w14:paraId="10DF241B">
            <w:pPr>
              <w:rPr>
                <w:rFonts w:ascii="仿宋_GB2312" w:eastAsia="仿宋_GB2312"/>
                <w:sz w:val="24"/>
                <w:szCs w:val="24"/>
              </w:rPr>
            </w:pPr>
          </w:p>
        </w:tc>
      </w:tr>
      <w:tr w14:paraId="32607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712" w:type="pct"/>
            <w:vAlign w:val="center"/>
          </w:tcPr>
          <w:p w14:paraId="582EB511">
            <w:pPr>
              <w:rPr>
                <w:rFonts w:ascii="仿宋_GB2312" w:eastAsia="仿宋_GB2312"/>
                <w:sz w:val="24"/>
                <w:szCs w:val="24"/>
              </w:rPr>
            </w:pPr>
            <w:r>
              <w:rPr>
                <w:rFonts w:hint="eastAsia" w:ascii="仿宋_GB2312" w:eastAsia="仿宋_GB2312"/>
                <w:sz w:val="24"/>
                <w:szCs w:val="24"/>
              </w:rPr>
              <w:t>做市业务联络人</w:t>
            </w:r>
          </w:p>
        </w:tc>
        <w:tc>
          <w:tcPr>
            <w:tcW w:w="503" w:type="pct"/>
            <w:vAlign w:val="center"/>
          </w:tcPr>
          <w:p w14:paraId="20FABBA1">
            <w:pPr>
              <w:rPr>
                <w:rFonts w:ascii="仿宋_GB2312" w:eastAsia="仿宋_GB2312"/>
                <w:sz w:val="24"/>
                <w:szCs w:val="24"/>
              </w:rPr>
            </w:pPr>
            <w:r>
              <w:rPr>
                <w:rFonts w:hint="eastAsia" w:ascii="仿宋_GB2312" w:eastAsia="仿宋_GB2312"/>
                <w:sz w:val="24"/>
                <w:szCs w:val="24"/>
              </w:rPr>
              <w:t>部门</w:t>
            </w:r>
          </w:p>
        </w:tc>
        <w:tc>
          <w:tcPr>
            <w:tcW w:w="504" w:type="pct"/>
            <w:gridSpan w:val="2"/>
            <w:vAlign w:val="center"/>
          </w:tcPr>
          <w:p w14:paraId="4ECE259A">
            <w:pPr>
              <w:rPr>
                <w:rFonts w:ascii="仿宋_GB2312" w:eastAsia="仿宋_GB2312"/>
                <w:sz w:val="24"/>
                <w:szCs w:val="24"/>
              </w:rPr>
            </w:pPr>
            <w:r>
              <w:rPr>
                <w:rFonts w:hint="eastAsia" w:ascii="仿宋_GB2312" w:eastAsia="仿宋_GB2312"/>
                <w:sz w:val="24"/>
                <w:szCs w:val="24"/>
              </w:rPr>
              <w:t>职务</w:t>
            </w:r>
          </w:p>
        </w:tc>
        <w:tc>
          <w:tcPr>
            <w:tcW w:w="756" w:type="pct"/>
            <w:vAlign w:val="center"/>
          </w:tcPr>
          <w:p w14:paraId="3504E4EB">
            <w:pPr>
              <w:rPr>
                <w:rFonts w:ascii="仿宋_GB2312" w:eastAsia="仿宋_GB2312"/>
                <w:sz w:val="24"/>
                <w:szCs w:val="24"/>
              </w:rPr>
            </w:pPr>
            <w:r>
              <w:rPr>
                <w:rFonts w:hint="eastAsia" w:ascii="仿宋_GB2312" w:eastAsia="仿宋_GB2312"/>
                <w:sz w:val="24"/>
                <w:szCs w:val="24"/>
              </w:rPr>
              <w:t>电话</w:t>
            </w:r>
          </w:p>
        </w:tc>
        <w:tc>
          <w:tcPr>
            <w:tcW w:w="842" w:type="pct"/>
            <w:vAlign w:val="center"/>
          </w:tcPr>
          <w:p w14:paraId="58102868">
            <w:pPr>
              <w:rPr>
                <w:rFonts w:ascii="仿宋_GB2312" w:eastAsia="仿宋_GB2312"/>
                <w:sz w:val="24"/>
                <w:szCs w:val="24"/>
              </w:rPr>
            </w:pPr>
            <w:r>
              <w:rPr>
                <w:rFonts w:hint="eastAsia" w:ascii="仿宋_GB2312" w:eastAsia="仿宋_GB2312"/>
                <w:sz w:val="24"/>
                <w:szCs w:val="24"/>
              </w:rPr>
              <w:t>手机</w:t>
            </w:r>
          </w:p>
        </w:tc>
        <w:tc>
          <w:tcPr>
            <w:tcW w:w="746" w:type="pct"/>
            <w:vAlign w:val="center"/>
          </w:tcPr>
          <w:p w14:paraId="141B4308">
            <w:pPr>
              <w:rPr>
                <w:rFonts w:ascii="仿宋_GB2312" w:eastAsia="仿宋_GB2312"/>
                <w:sz w:val="24"/>
                <w:szCs w:val="24"/>
              </w:rPr>
            </w:pPr>
            <w:r>
              <w:rPr>
                <w:rFonts w:hint="eastAsia" w:ascii="仿宋_GB2312" w:eastAsia="仿宋_GB2312"/>
                <w:sz w:val="24"/>
                <w:szCs w:val="24"/>
              </w:rPr>
              <w:t>传真</w:t>
            </w:r>
          </w:p>
        </w:tc>
        <w:tc>
          <w:tcPr>
            <w:tcW w:w="937" w:type="pct"/>
            <w:vAlign w:val="center"/>
          </w:tcPr>
          <w:p w14:paraId="02FEBCAE">
            <w:pPr>
              <w:rPr>
                <w:rFonts w:ascii="仿宋_GB2312" w:eastAsia="仿宋_GB2312"/>
                <w:sz w:val="24"/>
                <w:szCs w:val="24"/>
              </w:rPr>
            </w:pPr>
            <w:r>
              <w:rPr>
                <w:rFonts w:ascii="仿宋_GB2312" w:eastAsia="仿宋_GB2312"/>
                <w:sz w:val="24"/>
                <w:szCs w:val="24"/>
              </w:rPr>
              <w:t>E-mail</w:t>
            </w:r>
          </w:p>
        </w:tc>
      </w:tr>
      <w:tr w14:paraId="622AB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712" w:type="pct"/>
            <w:vAlign w:val="center"/>
          </w:tcPr>
          <w:p w14:paraId="17528691">
            <w:pPr>
              <w:ind w:firstLine="480"/>
              <w:rPr>
                <w:rFonts w:ascii="仿宋_GB2312" w:eastAsia="仿宋_GB2312"/>
                <w:sz w:val="24"/>
                <w:szCs w:val="24"/>
              </w:rPr>
            </w:pPr>
          </w:p>
        </w:tc>
        <w:tc>
          <w:tcPr>
            <w:tcW w:w="503" w:type="pct"/>
            <w:vAlign w:val="center"/>
          </w:tcPr>
          <w:p w14:paraId="46AAA7A3">
            <w:pPr>
              <w:ind w:firstLine="480"/>
              <w:rPr>
                <w:rFonts w:ascii="仿宋_GB2312" w:eastAsia="仿宋_GB2312"/>
                <w:sz w:val="24"/>
                <w:szCs w:val="24"/>
              </w:rPr>
            </w:pPr>
          </w:p>
        </w:tc>
        <w:tc>
          <w:tcPr>
            <w:tcW w:w="504" w:type="pct"/>
            <w:gridSpan w:val="2"/>
            <w:vAlign w:val="center"/>
          </w:tcPr>
          <w:p w14:paraId="62689328">
            <w:pPr>
              <w:ind w:firstLine="480"/>
              <w:rPr>
                <w:rFonts w:ascii="仿宋_GB2312" w:eastAsia="仿宋_GB2312"/>
                <w:sz w:val="24"/>
                <w:szCs w:val="24"/>
              </w:rPr>
            </w:pPr>
          </w:p>
        </w:tc>
        <w:tc>
          <w:tcPr>
            <w:tcW w:w="756" w:type="pct"/>
            <w:vAlign w:val="center"/>
          </w:tcPr>
          <w:p w14:paraId="6F179814">
            <w:pPr>
              <w:ind w:firstLine="480"/>
              <w:rPr>
                <w:rFonts w:ascii="仿宋_GB2312" w:eastAsia="仿宋_GB2312"/>
                <w:sz w:val="24"/>
                <w:szCs w:val="24"/>
              </w:rPr>
            </w:pPr>
          </w:p>
        </w:tc>
        <w:tc>
          <w:tcPr>
            <w:tcW w:w="842" w:type="pct"/>
            <w:vAlign w:val="center"/>
          </w:tcPr>
          <w:p w14:paraId="081CD9D2">
            <w:pPr>
              <w:ind w:firstLine="480"/>
              <w:rPr>
                <w:rFonts w:ascii="仿宋_GB2312" w:eastAsia="仿宋_GB2312"/>
                <w:sz w:val="24"/>
                <w:szCs w:val="24"/>
              </w:rPr>
            </w:pPr>
          </w:p>
        </w:tc>
        <w:tc>
          <w:tcPr>
            <w:tcW w:w="746" w:type="pct"/>
            <w:vAlign w:val="center"/>
          </w:tcPr>
          <w:p w14:paraId="36FBEBEA">
            <w:pPr>
              <w:ind w:firstLine="480"/>
              <w:rPr>
                <w:rFonts w:ascii="仿宋_GB2312" w:eastAsia="仿宋_GB2312"/>
                <w:sz w:val="24"/>
                <w:szCs w:val="24"/>
              </w:rPr>
            </w:pPr>
          </w:p>
        </w:tc>
        <w:tc>
          <w:tcPr>
            <w:tcW w:w="937" w:type="pct"/>
            <w:vAlign w:val="center"/>
          </w:tcPr>
          <w:p w14:paraId="19526B6C">
            <w:pPr>
              <w:ind w:firstLine="480"/>
              <w:rPr>
                <w:rFonts w:ascii="仿宋_GB2312" w:eastAsia="仿宋_GB2312"/>
                <w:sz w:val="24"/>
                <w:szCs w:val="24"/>
              </w:rPr>
            </w:pPr>
          </w:p>
        </w:tc>
      </w:tr>
    </w:tbl>
    <w:p w14:paraId="727DEEF9">
      <w:pPr>
        <w:pStyle w:val="18"/>
        <w:rPr>
          <w:szCs w:val="30"/>
        </w:rPr>
      </w:pPr>
      <w:r>
        <w:rPr>
          <w:rFonts w:hint="eastAsia"/>
          <w:szCs w:val="30"/>
        </w:rPr>
        <w:t>我公司保证向上交所提供的书面和电子资料真实、准确、完整与合法。</w:t>
      </w:r>
    </w:p>
    <w:p w14:paraId="20ABEB8E">
      <w:pPr>
        <w:pStyle w:val="18"/>
        <w:jc w:val="right"/>
        <w:rPr>
          <w:szCs w:val="30"/>
        </w:rPr>
      </w:pPr>
      <w:r>
        <w:rPr>
          <w:rFonts w:hint="eastAsia"/>
          <w:szCs w:val="30"/>
        </w:rPr>
        <w:t>申请人：_____________________</w:t>
      </w:r>
      <w:r>
        <w:rPr>
          <w:szCs w:val="30"/>
        </w:rPr>
        <w:t xml:space="preserve">   </w:t>
      </w:r>
      <w:r>
        <w:rPr>
          <w:rFonts w:hint="eastAsia"/>
          <w:szCs w:val="30"/>
        </w:rPr>
        <w:t>（加盖公章）</w:t>
      </w:r>
    </w:p>
    <w:p w14:paraId="66640E1A">
      <w:pPr>
        <w:pStyle w:val="18"/>
        <w:jc w:val="right"/>
        <w:rPr>
          <w:szCs w:val="30"/>
        </w:rPr>
      </w:pPr>
      <w:r>
        <w:rPr>
          <w:rFonts w:hint="eastAsia"/>
          <w:szCs w:val="30"/>
        </w:rPr>
        <w:t xml:space="preserve">                                     经办人（签字）：</w:t>
      </w:r>
    </w:p>
    <w:p w14:paraId="1A630AEB">
      <w:pPr>
        <w:pStyle w:val="18"/>
        <w:jc w:val="right"/>
        <w:rPr>
          <w:szCs w:val="30"/>
        </w:rPr>
      </w:pPr>
      <w:r>
        <w:rPr>
          <w:rFonts w:hint="eastAsia"/>
          <w:szCs w:val="30"/>
        </w:rPr>
        <w:t xml:space="preserve">                                     申请日期：</w:t>
      </w:r>
    </w:p>
    <w:p w14:paraId="728FA701">
      <w:pPr>
        <w:pStyle w:val="18"/>
        <w:widowControl/>
        <w:jc w:val="right"/>
        <w:rPr>
          <w:rFonts w:hint="eastAsia"/>
          <w:szCs w:val="30"/>
        </w:rPr>
      </w:pPr>
      <w:r>
        <w:rPr>
          <w:rFonts w:hint="eastAsia"/>
          <w:szCs w:val="30"/>
        </w:rPr>
        <w:t xml:space="preserve">                                     联系电话：</w:t>
      </w:r>
    </w:p>
    <w:p w14:paraId="3E66ABFE">
      <w:pPr>
        <w:rPr>
          <w:rFonts w:hint="eastAsia"/>
          <w:szCs w:val="30"/>
        </w:rPr>
      </w:pPr>
      <w:r>
        <w:rPr>
          <w:rFonts w:hint="eastAsia"/>
          <w:szCs w:val="30"/>
        </w:rPr>
        <w:br w:type="page"/>
      </w:r>
    </w:p>
    <w:p w14:paraId="607CF403">
      <w:pPr>
        <w:widowControl/>
        <w:jc w:val="left"/>
        <w:outlineLvl w:val="1"/>
        <w:rPr>
          <w:rFonts w:ascii="仿宋_GB2312" w:hAnsi="黑体" w:eastAsia="仿宋_GB2312"/>
          <w:b/>
          <w:sz w:val="30"/>
          <w:szCs w:val="30"/>
        </w:rPr>
      </w:pPr>
      <w:bookmarkStart w:id="3875" w:name="_Toc48742284"/>
      <w:bookmarkEnd w:id="3875"/>
      <w:bookmarkStart w:id="3876" w:name="_Toc48742286"/>
      <w:bookmarkEnd w:id="3876"/>
      <w:bookmarkStart w:id="3877" w:name="_Toc48742285"/>
      <w:bookmarkEnd w:id="3877"/>
      <w:bookmarkStart w:id="3878" w:name="_Toc48742287"/>
      <w:bookmarkEnd w:id="3878"/>
      <w:bookmarkStart w:id="3879" w:name="_Toc55318690"/>
      <w:bookmarkEnd w:id="3879"/>
      <w:bookmarkStart w:id="3880" w:name="_Toc309034428"/>
      <w:bookmarkStart w:id="3881" w:name="_Toc2077135558"/>
      <w:bookmarkStart w:id="3882" w:name="_Toc1367140581"/>
      <w:bookmarkStart w:id="3883" w:name="_Toc1546545258"/>
      <w:bookmarkStart w:id="3884" w:name="_Toc151137101"/>
      <w:r>
        <w:rPr>
          <w:rFonts w:hint="eastAsia" w:ascii="仿宋_GB2312" w:hAnsi="黑体" w:eastAsia="仿宋_GB2312"/>
          <w:b/>
          <w:sz w:val="30"/>
          <w:szCs w:val="30"/>
        </w:rPr>
        <w:t>附件18 三方回购投资者适当性备案表</w:t>
      </w:r>
      <w:bookmarkEnd w:id="3880"/>
      <w:bookmarkEnd w:id="3881"/>
      <w:bookmarkEnd w:id="3882"/>
      <w:bookmarkEnd w:id="3883"/>
      <w:bookmarkEnd w:id="3884"/>
    </w:p>
    <w:p w14:paraId="00A69ECD">
      <w:pPr>
        <w:spacing w:line="560" w:lineRule="exact"/>
        <w:ind w:right="150"/>
        <w:jc w:val="center"/>
        <w:rPr>
          <w:rFonts w:ascii="黑体" w:hAnsi="黑体" w:eastAsia="黑体" w:cs="黑体"/>
          <w:b/>
          <w:sz w:val="44"/>
          <w:szCs w:val="44"/>
        </w:rPr>
      </w:pPr>
      <w:r>
        <w:rPr>
          <w:rFonts w:hint="eastAsia" w:ascii="黑体" w:hAnsi="黑体" w:eastAsia="黑体" w:cs="黑体"/>
          <w:b/>
          <w:sz w:val="44"/>
          <w:szCs w:val="44"/>
        </w:rPr>
        <w:t>三方回购投资者适当性备案表</w:t>
      </w:r>
    </w:p>
    <w:p w14:paraId="76E644BD">
      <w:pPr>
        <w:spacing w:line="560" w:lineRule="exact"/>
        <w:ind w:right="150"/>
        <w:jc w:val="center"/>
        <w:rPr>
          <w:rFonts w:ascii="黑体" w:hAnsi="黑体" w:eastAsia="黑体" w:cs="黑体"/>
          <w:b/>
          <w:kern w:val="0"/>
          <w:sz w:val="44"/>
          <w:szCs w:val="44"/>
        </w:rPr>
      </w:pPr>
      <w:r>
        <w:rPr>
          <w:rFonts w:hint="eastAsia" w:ascii="黑体" w:hAnsi="黑体" w:eastAsia="黑体" w:cs="黑体"/>
          <w:b/>
          <w:sz w:val="44"/>
          <w:szCs w:val="44"/>
        </w:rPr>
        <w:t>（机构适用）</w:t>
      </w:r>
    </w:p>
    <w:p w14:paraId="4BBA78FA">
      <w:pPr>
        <w:spacing w:line="560" w:lineRule="exact"/>
        <w:jc w:val="left"/>
        <w:rPr>
          <w:rFonts w:eastAsia="仿宋_GB2312"/>
          <w:sz w:val="30"/>
          <w:szCs w:val="30"/>
        </w:rPr>
      </w:pPr>
      <w:r>
        <w:rPr>
          <w:rFonts w:hint="eastAsia" w:eastAsia="仿宋_GB2312"/>
          <w:sz w:val="30"/>
          <w:szCs w:val="30"/>
        </w:rPr>
        <w:t>上海证券交易所：</w:t>
      </w:r>
    </w:p>
    <w:p w14:paraId="27B44C6A">
      <w:pPr>
        <w:spacing w:line="560" w:lineRule="exact"/>
        <w:ind w:firstLine="600" w:firstLineChars="200"/>
        <w:jc w:val="left"/>
        <w:rPr>
          <w:rFonts w:eastAsia="仿宋_GB2312"/>
          <w:kern w:val="28"/>
          <w:sz w:val="30"/>
          <w:szCs w:val="30"/>
        </w:rPr>
      </w:pPr>
      <w:r>
        <w:rPr>
          <w:rFonts w:hint="eastAsia" w:eastAsia="仿宋_GB2312"/>
          <w:sz w:val="30"/>
          <w:szCs w:val="30"/>
        </w:rPr>
        <w:t>经我公司研究决定，特向上交所申请参与债券三方回购业务，现将有关事项申请如下：</w:t>
      </w:r>
    </w:p>
    <w:tbl>
      <w:tblPr>
        <w:tblStyle w:val="43"/>
        <w:tblW w:w="101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9"/>
        <w:gridCol w:w="564"/>
        <w:gridCol w:w="920"/>
        <w:gridCol w:w="1490"/>
        <w:gridCol w:w="854"/>
        <w:gridCol w:w="1417"/>
        <w:gridCol w:w="1619"/>
        <w:gridCol w:w="1494"/>
      </w:tblGrid>
      <w:tr w14:paraId="5730D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6994" w:type="dxa"/>
            <w:gridSpan w:val="6"/>
            <w:vAlign w:val="center"/>
          </w:tcPr>
          <w:p w14:paraId="1BB77EF9">
            <w:pPr>
              <w:spacing w:line="560" w:lineRule="exact"/>
              <w:rPr>
                <w:rFonts w:eastAsia="仿宋_GB2312"/>
                <w:sz w:val="24"/>
                <w:szCs w:val="28"/>
              </w:rPr>
            </w:pPr>
            <w:r>
              <w:rPr>
                <w:rFonts w:eastAsia="仿宋_GB2312"/>
                <w:sz w:val="24"/>
                <w:szCs w:val="28"/>
              </w:rPr>
              <w:t>申请人全称：</w:t>
            </w:r>
          </w:p>
        </w:tc>
        <w:tc>
          <w:tcPr>
            <w:tcW w:w="3113" w:type="dxa"/>
            <w:gridSpan w:val="2"/>
            <w:vAlign w:val="center"/>
          </w:tcPr>
          <w:p w14:paraId="35210674">
            <w:pPr>
              <w:spacing w:line="560" w:lineRule="exact"/>
              <w:rPr>
                <w:rFonts w:eastAsia="仿宋_GB2312"/>
                <w:sz w:val="24"/>
                <w:szCs w:val="28"/>
              </w:rPr>
            </w:pPr>
            <w:r>
              <w:rPr>
                <w:rFonts w:eastAsia="仿宋_GB2312"/>
                <w:sz w:val="24"/>
                <w:szCs w:val="28"/>
              </w:rPr>
              <w:t>电话：</w:t>
            </w:r>
          </w:p>
        </w:tc>
      </w:tr>
      <w:tr w14:paraId="4F4BE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6994" w:type="dxa"/>
            <w:gridSpan w:val="6"/>
            <w:vAlign w:val="center"/>
          </w:tcPr>
          <w:p w14:paraId="145BAF3F">
            <w:pPr>
              <w:spacing w:line="560" w:lineRule="exact"/>
              <w:rPr>
                <w:rFonts w:eastAsia="仿宋_GB2312"/>
                <w:sz w:val="24"/>
                <w:szCs w:val="28"/>
              </w:rPr>
            </w:pPr>
            <w:r>
              <w:rPr>
                <w:rFonts w:eastAsia="仿宋_GB2312"/>
                <w:sz w:val="24"/>
                <w:szCs w:val="28"/>
              </w:rPr>
              <w:t xml:space="preserve">公司地址： </w:t>
            </w:r>
          </w:p>
        </w:tc>
        <w:tc>
          <w:tcPr>
            <w:tcW w:w="3113" w:type="dxa"/>
            <w:gridSpan w:val="2"/>
            <w:vAlign w:val="center"/>
          </w:tcPr>
          <w:p w14:paraId="190AC45F">
            <w:pPr>
              <w:spacing w:line="560" w:lineRule="exact"/>
              <w:rPr>
                <w:rFonts w:eastAsia="仿宋_GB2312"/>
                <w:sz w:val="24"/>
                <w:szCs w:val="28"/>
              </w:rPr>
            </w:pPr>
            <w:r>
              <w:rPr>
                <w:rFonts w:eastAsia="仿宋_GB2312"/>
                <w:sz w:val="24"/>
                <w:szCs w:val="28"/>
              </w:rPr>
              <w:t>传真：</w:t>
            </w:r>
          </w:p>
        </w:tc>
      </w:tr>
      <w:tr w14:paraId="0E957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2313" w:type="dxa"/>
            <w:gridSpan w:val="2"/>
            <w:vAlign w:val="center"/>
          </w:tcPr>
          <w:p w14:paraId="6DFE045D">
            <w:pPr>
              <w:pStyle w:val="17"/>
              <w:spacing w:after="0" w:line="560" w:lineRule="exact"/>
              <w:jc w:val="left"/>
              <w:rPr>
                <w:rFonts w:eastAsia="仿宋_GB2312"/>
                <w:sz w:val="24"/>
                <w:szCs w:val="28"/>
              </w:rPr>
            </w:pPr>
            <w:r>
              <w:rPr>
                <w:rFonts w:eastAsia="仿宋_GB2312"/>
                <w:sz w:val="24"/>
                <w:szCs w:val="28"/>
              </w:rPr>
              <w:t>投资者类型：</w:t>
            </w:r>
          </w:p>
        </w:tc>
        <w:tc>
          <w:tcPr>
            <w:tcW w:w="7794" w:type="dxa"/>
            <w:gridSpan w:val="6"/>
            <w:vAlign w:val="center"/>
          </w:tcPr>
          <w:p w14:paraId="3706E7FB">
            <w:pPr>
              <w:pStyle w:val="17"/>
              <w:spacing w:after="0" w:line="560" w:lineRule="exact"/>
              <w:jc w:val="left"/>
              <w:rPr>
                <w:rFonts w:eastAsia="仿宋_GB2312"/>
                <w:sz w:val="24"/>
                <w:szCs w:val="28"/>
              </w:rPr>
            </w:pPr>
            <w:r>
              <w:rPr>
                <w:rFonts w:eastAsia="仿宋_GB2312"/>
                <w:sz w:val="24"/>
                <w:szCs w:val="28"/>
              </w:rPr>
              <w:t>□</w:t>
            </w:r>
            <w:r>
              <w:rPr>
                <w:rFonts w:eastAsia="仿宋_GB2312"/>
                <w:sz w:val="24"/>
              </w:rPr>
              <w:t xml:space="preserve">证券公司  </w:t>
            </w:r>
            <w:r>
              <w:rPr>
                <w:rFonts w:eastAsia="仿宋_GB2312"/>
                <w:sz w:val="24"/>
                <w:szCs w:val="28"/>
              </w:rPr>
              <w:t>□</w:t>
            </w:r>
            <w:r>
              <w:rPr>
                <w:rFonts w:eastAsia="仿宋_GB2312"/>
                <w:sz w:val="24"/>
              </w:rPr>
              <w:t xml:space="preserve">期货公司  </w:t>
            </w:r>
            <w:r>
              <w:rPr>
                <w:rFonts w:eastAsia="仿宋_GB2312"/>
                <w:sz w:val="24"/>
                <w:szCs w:val="28"/>
              </w:rPr>
              <w:t>□</w:t>
            </w:r>
            <w:r>
              <w:rPr>
                <w:rFonts w:eastAsia="仿宋_GB2312"/>
                <w:sz w:val="24"/>
              </w:rPr>
              <w:t xml:space="preserve">基金管理公司及其子公司  </w:t>
            </w:r>
            <w:r>
              <w:rPr>
                <w:rFonts w:eastAsia="仿宋_GB2312"/>
                <w:sz w:val="24"/>
                <w:szCs w:val="28"/>
              </w:rPr>
              <w:t>□</w:t>
            </w:r>
            <w:r>
              <w:rPr>
                <w:rFonts w:eastAsia="仿宋_GB2312"/>
                <w:sz w:val="24"/>
              </w:rPr>
              <w:t xml:space="preserve">商业银行  </w:t>
            </w:r>
            <w:r>
              <w:rPr>
                <w:rFonts w:eastAsia="仿宋_GB2312"/>
                <w:sz w:val="24"/>
                <w:szCs w:val="28"/>
              </w:rPr>
              <w:t>□</w:t>
            </w:r>
            <w:r>
              <w:rPr>
                <w:rFonts w:eastAsia="仿宋_GB2312"/>
                <w:sz w:val="24"/>
              </w:rPr>
              <w:t xml:space="preserve">保险公司  </w:t>
            </w:r>
            <w:r>
              <w:rPr>
                <w:rFonts w:eastAsia="仿宋_GB2312"/>
                <w:sz w:val="24"/>
                <w:szCs w:val="28"/>
              </w:rPr>
              <w:t>□</w:t>
            </w:r>
            <w:r>
              <w:rPr>
                <w:rFonts w:eastAsia="仿宋_GB2312"/>
                <w:sz w:val="24"/>
              </w:rPr>
              <w:t xml:space="preserve">信托公司  </w:t>
            </w:r>
            <w:r>
              <w:rPr>
                <w:rFonts w:eastAsia="仿宋_GB2312"/>
                <w:sz w:val="24"/>
                <w:szCs w:val="28"/>
              </w:rPr>
              <w:t>□</w:t>
            </w:r>
            <w:r>
              <w:rPr>
                <w:rFonts w:eastAsia="仿宋_GB2312"/>
                <w:sz w:val="24"/>
              </w:rPr>
              <w:t xml:space="preserve">财务公司  </w:t>
            </w:r>
            <w:r>
              <w:rPr>
                <w:rFonts w:eastAsia="仿宋_GB2312"/>
                <w:sz w:val="24"/>
                <w:szCs w:val="28"/>
              </w:rPr>
              <w:t>□</w:t>
            </w:r>
            <w:r>
              <w:rPr>
                <w:rFonts w:eastAsia="仿宋_GB2312"/>
                <w:sz w:val="24"/>
              </w:rPr>
              <w:t xml:space="preserve">证券公司子公司  </w:t>
            </w:r>
            <w:r>
              <w:rPr>
                <w:rFonts w:eastAsia="仿宋_GB2312"/>
                <w:sz w:val="24"/>
                <w:szCs w:val="28"/>
              </w:rPr>
              <w:t>□</w:t>
            </w:r>
            <w:r>
              <w:rPr>
                <w:rFonts w:eastAsia="仿宋_GB2312"/>
                <w:sz w:val="24"/>
              </w:rPr>
              <w:t xml:space="preserve">期货公司子公司  </w:t>
            </w:r>
            <w:r>
              <w:rPr>
                <w:rFonts w:eastAsia="仿宋_GB2312"/>
                <w:sz w:val="24"/>
                <w:szCs w:val="28"/>
              </w:rPr>
              <w:t>□</w:t>
            </w:r>
            <w:r>
              <w:rPr>
                <w:rFonts w:eastAsia="仿宋_GB2312"/>
                <w:sz w:val="24"/>
              </w:rPr>
              <w:t xml:space="preserve">私募基金管理人  </w:t>
            </w:r>
            <w:r>
              <w:rPr>
                <w:rFonts w:eastAsia="仿宋_GB2312"/>
                <w:sz w:val="24"/>
                <w:szCs w:val="28"/>
              </w:rPr>
              <w:t>□</w:t>
            </w:r>
            <w:r>
              <w:rPr>
                <w:rFonts w:eastAsia="仿宋_GB2312"/>
                <w:sz w:val="24"/>
              </w:rPr>
              <w:t>其他金融机构</w:t>
            </w:r>
          </w:p>
        </w:tc>
      </w:tr>
      <w:tr w14:paraId="5BE0F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jc w:val="center"/>
        </w:trPr>
        <w:tc>
          <w:tcPr>
            <w:tcW w:w="4723" w:type="dxa"/>
            <w:gridSpan w:val="4"/>
            <w:tcBorders>
              <w:bottom w:val="single" w:color="auto" w:sz="4" w:space="0"/>
            </w:tcBorders>
            <w:vAlign w:val="center"/>
          </w:tcPr>
          <w:p w14:paraId="6026FA46">
            <w:pPr>
              <w:spacing w:line="560" w:lineRule="exact"/>
              <w:rPr>
                <w:rFonts w:eastAsia="仿宋_GB2312"/>
                <w:sz w:val="24"/>
                <w:szCs w:val="28"/>
              </w:rPr>
            </w:pPr>
            <w:r>
              <w:rPr>
                <w:rFonts w:eastAsia="仿宋_GB2312"/>
                <w:sz w:val="24"/>
                <w:szCs w:val="28"/>
              </w:rPr>
              <w:t>固定收益平台交易商代码：</w:t>
            </w:r>
          </w:p>
        </w:tc>
        <w:tc>
          <w:tcPr>
            <w:tcW w:w="5384" w:type="dxa"/>
            <w:gridSpan w:val="4"/>
            <w:tcBorders>
              <w:bottom w:val="single" w:color="auto" w:sz="4" w:space="0"/>
            </w:tcBorders>
            <w:vAlign w:val="center"/>
          </w:tcPr>
          <w:p w14:paraId="18B6CD4C">
            <w:pPr>
              <w:spacing w:line="560" w:lineRule="exact"/>
              <w:rPr>
                <w:rFonts w:eastAsia="仿宋_GB2312"/>
                <w:sz w:val="24"/>
                <w:szCs w:val="28"/>
              </w:rPr>
            </w:pPr>
            <w:r>
              <w:rPr>
                <w:rFonts w:eastAsia="仿宋_GB2312"/>
                <w:sz w:val="24"/>
                <w:szCs w:val="28"/>
              </w:rPr>
              <w:t>固定收益平台交易商名称：</w:t>
            </w:r>
          </w:p>
        </w:tc>
      </w:tr>
      <w:tr w14:paraId="5BCFF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jc w:val="center"/>
        </w:trPr>
        <w:tc>
          <w:tcPr>
            <w:tcW w:w="4723" w:type="dxa"/>
            <w:gridSpan w:val="4"/>
            <w:tcBorders>
              <w:bottom w:val="single" w:color="auto" w:sz="4" w:space="0"/>
            </w:tcBorders>
            <w:vAlign w:val="center"/>
          </w:tcPr>
          <w:p w14:paraId="271678E9">
            <w:pPr>
              <w:spacing w:line="560" w:lineRule="exact"/>
              <w:rPr>
                <w:rFonts w:eastAsia="仿宋_GB2312"/>
                <w:sz w:val="24"/>
                <w:szCs w:val="28"/>
              </w:rPr>
            </w:pPr>
            <w:r>
              <w:rPr>
                <w:rFonts w:eastAsia="仿宋_GB2312"/>
                <w:sz w:val="24"/>
                <w:szCs w:val="28"/>
              </w:rPr>
              <w:t>证券账户：</w:t>
            </w:r>
          </w:p>
        </w:tc>
        <w:tc>
          <w:tcPr>
            <w:tcW w:w="5384" w:type="dxa"/>
            <w:gridSpan w:val="4"/>
            <w:tcBorders>
              <w:bottom w:val="single" w:color="auto" w:sz="4" w:space="0"/>
            </w:tcBorders>
            <w:vAlign w:val="center"/>
          </w:tcPr>
          <w:p w14:paraId="51C32DCA">
            <w:pPr>
              <w:spacing w:line="560" w:lineRule="exact"/>
              <w:rPr>
                <w:rFonts w:eastAsia="仿宋_GB2312"/>
                <w:sz w:val="24"/>
                <w:szCs w:val="28"/>
              </w:rPr>
            </w:pPr>
            <w:r>
              <w:rPr>
                <w:rFonts w:eastAsia="仿宋_GB2312"/>
                <w:sz w:val="24"/>
                <w:szCs w:val="28"/>
              </w:rPr>
              <w:t>证券账户名称：</w:t>
            </w:r>
          </w:p>
        </w:tc>
      </w:tr>
      <w:tr w14:paraId="2053C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jc w:val="center"/>
        </w:trPr>
        <w:tc>
          <w:tcPr>
            <w:tcW w:w="4723" w:type="dxa"/>
            <w:gridSpan w:val="4"/>
            <w:tcBorders>
              <w:bottom w:val="single" w:color="auto" w:sz="4" w:space="0"/>
            </w:tcBorders>
            <w:vAlign w:val="center"/>
          </w:tcPr>
          <w:p w14:paraId="67CA8E51">
            <w:pPr>
              <w:spacing w:line="560" w:lineRule="exact"/>
              <w:rPr>
                <w:rFonts w:eastAsia="仿宋_GB2312"/>
                <w:sz w:val="24"/>
                <w:szCs w:val="28"/>
              </w:rPr>
            </w:pPr>
            <w:r>
              <w:rPr>
                <w:rFonts w:eastAsia="仿宋_GB2312"/>
                <w:sz w:val="24"/>
                <w:szCs w:val="28"/>
              </w:rPr>
              <w:t>三方回购专用证券账户：</w:t>
            </w:r>
          </w:p>
        </w:tc>
        <w:tc>
          <w:tcPr>
            <w:tcW w:w="5384" w:type="dxa"/>
            <w:gridSpan w:val="4"/>
            <w:tcBorders>
              <w:bottom w:val="single" w:color="auto" w:sz="4" w:space="0"/>
            </w:tcBorders>
            <w:vAlign w:val="center"/>
          </w:tcPr>
          <w:p w14:paraId="16EEBFD9">
            <w:pPr>
              <w:spacing w:line="560" w:lineRule="exact"/>
              <w:rPr>
                <w:rFonts w:eastAsia="仿宋_GB2312"/>
                <w:sz w:val="24"/>
                <w:szCs w:val="28"/>
              </w:rPr>
            </w:pPr>
            <w:r>
              <w:rPr>
                <w:rFonts w:eastAsia="仿宋_GB2312"/>
                <w:sz w:val="24"/>
                <w:szCs w:val="28"/>
              </w:rPr>
              <w:t>三方回购专用证券账户名称：</w:t>
            </w:r>
          </w:p>
        </w:tc>
      </w:tr>
      <w:tr w14:paraId="6E0E1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jc w:val="center"/>
        </w:trPr>
        <w:tc>
          <w:tcPr>
            <w:tcW w:w="4723" w:type="dxa"/>
            <w:gridSpan w:val="4"/>
            <w:tcBorders>
              <w:bottom w:val="single" w:color="auto" w:sz="4" w:space="0"/>
            </w:tcBorders>
            <w:vAlign w:val="center"/>
          </w:tcPr>
          <w:p w14:paraId="076CDF52">
            <w:pPr>
              <w:spacing w:line="560" w:lineRule="exact"/>
              <w:rPr>
                <w:rFonts w:eastAsia="仿宋_GB2312"/>
                <w:sz w:val="24"/>
                <w:szCs w:val="28"/>
              </w:rPr>
            </w:pPr>
            <w:r>
              <w:rPr>
                <w:rFonts w:eastAsia="仿宋_GB2312"/>
                <w:sz w:val="24"/>
                <w:szCs w:val="28"/>
              </w:rPr>
              <w:t>交易单元：</w:t>
            </w:r>
          </w:p>
        </w:tc>
        <w:tc>
          <w:tcPr>
            <w:tcW w:w="5384" w:type="dxa"/>
            <w:gridSpan w:val="4"/>
            <w:tcBorders>
              <w:bottom w:val="single" w:color="auto" w:sz="4" w:space="0"/>
            </w:tcBorders>
            <w:vAlign w:val="center"/>
          </w:tcPr>
          <w:p w14:paraId="211E2C8A">
            <w:pPr>
              <w:spacing w:line="560" w:lineRule="exact"/>
              <w:rPr>
                <w:rFonts w:eastAsia="仿宋_GB2312"/>
                <w:sz w:val="24"/>
                <w:szCs w:val="28"/>
              </w:rPr>
            </w:pPr>
          </w:p>
        </w:tc>
      </w:tr>
      <w:tr w14:paraId="1805C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jc w:val="center"/>
        </w:trPr>
        <w:tc>
          <w:tcPr>
            <w:tcW w:w="10107" w:type="dxa"/>
            <w:gridSpan w:val="8"/>
            <w:tcBorders>
              <w:bottom w:val="single" w:color="auto" w:sz="4" w:space="0"/>
            </w:tcBorders>
            <w:vAlign w:val="center"/>
          </w:tcPr>
          <w:p w14:paraId="3636DD36">
            <w:pPr>
              <w:spacing w:line="560" w:lineRule="exact"/>
              <w:rPr>
                <w:rFonts w:eastAsia="仿宋_GB2312"/>
                <w:sz w:val="24"/>
                <w:szCs w:val="28"/>
              </w:rPr>
            </w:pPr>
            <w:r>
              <w:rPr>
                <w:rFonts w:eastAsia="仿宋_GB2312"/>
                <w:sz w:val="24"/>
                <w:szCs w:val="28"/>
              </w:rPr>
              <w:t>申请开通的交易权限 ：  □正回购  □逆回购</w:t>
            </w:r>
          </w:p>
        </w:tc>
      </w:tr>
      <w:tr w14:paraId="55DF9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jc w:val="center"/>
        </w:trPr>
        <w:tc>
          <w:tcPr>
            <w:tcW w:w="1749" w:type="dxa"/>
            <w:tcBorders>
              <w:bottom w:val="single" w:color="auto" w:sz="4" w:space="0"/>
            </w:tcBorders>
            <w:vAlign w:val="center"/>
          </w:tcPr>
          <w:p w14:paraId="71ED0E8A">
            <w:pPr>
              <w:spacing w:line="560" w:lineRule="exact"/>
              <w:rPr>
                <w:rFonts w:eastAsia="仿宋_GB2312"/>
                <w:sz w:val="24"/>
                <w:szCs w:val="28"/>
              </w:rPr>
            </w:pPr>
            <w:r>
              <w:rPr>
                <w:rFonts w:eastAsia="仿宋_GB2312"/>
                <w:sz w:val="24"/>
                <w:szCs w:val="28"/>
              </w:rPr>
              <w:t>杠杆运作限制</w:t>
            </w:r>
          </w:p>
        </w:tc>
        <w:tc>
          <w:tcPr>
            <w:tcW w:w="8358" w:type="dxa"/>
            <w:gridSpan w:val="7"/>
            <w:tcBorders>
              <w:bottom w:val="single" w:color="auto" w:sz="4" w:space="0"/>
            </w:tcBorders>
            <w:vAlign w:val="center"/>
          </w:tcPr>
          <w:p w14:paraId="3B66B59B">
            <w:pPr>
              <w:spacing w:line="560" w:lineRule="exact"/>
              <w:jc w:val="right"/>
              <w:rPr>
                <w:rFonts w:eastAsia="仿宋_GB2312"/>
                <w:sz w:val="24"/>
                <w:szCs w:val="28"/>
              </w:rPr>
            </w:pPr>
          </w:p>
        </w:tc>
      </w:tr>
      <w:tr w14:paraId="5F700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jc w:val="center"/>
        </w:trPr>
        <w:tc>
          <w:tcPr>
            <w:tcW w:w="1749" w:type="dxa"/>
            <w:tcBorders>
              <w:bottom w:val="single" w:color="auto" w:sz="4" w:space="0"/>
            </w:tcBorders>
            <w:vAlign w:val="center"/>
          </w:tcPr>
          <w:p w14:paraId="143DD199">
            <w:pPr>
              <w:spacing w:line="300" w:lineRule="auto"/>
              <w:rPr>
                <w:rFonts w:eastAsia="仿宋_GB2312"/>
                <w:sz w:val="24"/>
                <w:szCs w:val="28"/>
              </w:rPr>
            </w:pPr>
            <w:r>
              <w:rPr>
                <w:rFonts w:eastAsia="仿宋_GB2312"/>
                <w:sz w:val="24"/>
                <w:szCs w:val="28"/>
              </w:rPr>
              <w:t>回购违约情况说明</w:t>
            </w:r>
          </w:p>
        </w:tc>
        <w:tc>
          <w:tcPr>
            <w:tcW w:w="8358" w:type="dxa"/>
            <w:gridSpan w:val="7"/>
            <w:tcBorders>
              <w:bottom w:val="single" w:color="auto" w:sz="4" w:space="0"/>
            </w:tcBorders>
            <w:vAlign w:val="center"/>
          </w:tcPr>
          <w:p w14:paraId="09344402">
            <w:pPr>
              <w:spacing w:line="300" w:lineRule="auto"/>
              <w:ind w:right="482"/>
              <w:jc w:val="left"/>
              <w:rPr>
                <w:rFonts w:eastAsia="仿宋_GB2312"/>
                <w:color w:val="808080"/>
                <w:sz w:val="24"/>
                <w:szCs w:val="28"/>
              </w:rPr>
            </w:pPr>
            <w:r>
              <w:rPr>
                <w:rFonts w:eastAsia="仿宋_GB2312"/>
                <w:color w:val="808080"/>
                <w:sz w:val="24"/>
                <w:szCs w:val="28"/>
              </w:rPr>
              <w:t>近两年是否发生过监管机构关注的回购违约事件（包括交易所及银行间债券市场）。如有</w:t>
            </w:r>
            <w:r>
              <w:rPr>
                <w:rFonts w:hint="eastAsia" w:eastAsia="仿宋_GB2312"/>
                <w:color w:val="808080"/>
                <w:sz w:val="24"/>
                <w:szCs w:val="28"/>
              </w:rPr>
              <w:t>，</w:t>
            </w:r>
            <w:r>
              <w:rPr>
                <w:rFonts w:eastAsia="仿宋_GB2312"/>
                <w:color w:val="808080"/>
                <w:sz w:val="24"/>
                <w:szCs w:val="28"/>
              </w:rPr>
              <w:t>请说明</w:t>
            </w:r>
            <w:r>
              <w:rPr>
                <w:rFonts w:hint="eastAsia" w:eastAsia="仿宋_GB2312"/>
                <w:color w:val="808080"/>
                <w:sz w:val="24"/>
                <w:szCs w:val="28"/>
              </w:rPr>
              <w:t>相关情况</w:t>
            </w:r>
            <w:r>
              <w:rPr>
                <w:rFonts w:eastAsia="仿宋_GB2312"/>
                <w:color w:val="808080"/>
                <w:sz w:val="24"/>
                <w:szCs w:val="28"/>
              </w:rPr>
              <w:t>。</w:t>
            </w:r>
          </w:p>
        </w:tc>
      </w:tr>
      <w:tr w14:paraId="5C90B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1749" w:type="dxa"/>
            <w:vAlign w:val="center"/>
          </w:tcPr>
          <w:p w14:paraId="0C2F9A72">
            <w:pPr>
              <w:spacing w:line="300" w:lineRule="auto"/>
              <w:rPr>
                <w:rFonts w:eastAsia="仿宋_GB2312"/>
                <w:sz w:val="24"/>
                <w:szCs w:val="28"/>
              </w:rPr>
            </w:pPr>
            <w:r>
              <w:rPr>
                <w:rFonts w:eastAsia="仿宋_GB2312"/>
                <w:sz w:val="24"/>
                <w:szCs w:val="28"/>
              </w:rPr>
              <w:t>三方回购业务负责人</w:t>
            </w:r>
          </w:p>
        </w:tc>
        <w:tc>
          <w:tcPr>
            <w:tcW w:w="1484" w:type="dxa"/>
            <w:gridSpan w:val="2"/>
            <w:vAlign w:val="center"/>
          </w:tcPr>
          <w:p w14:paraId="25B335CA">
            <w:pPr>
              <w:spacing w:line="560" w:lineRule="exact"/>
              <w:rPr>
                <w:rFonts w:eastAsia="仿宋_GB2312"/>
                <w:sz w:val="24"/>
                <w:szCs w:val="28"/>
              </w:rPr>
            </w:pPr>
            <w:r>
              <w:rPr>
                <w:rFonts w:eastAsia="仿宋_GB2312"/>
                <w:sz w:val="24"/>
                <w:szCs w:val="28"/>
              </w:rPr>
              <w:t>部门</w:t>
            </w:r>
          </w:p>
        </w:tc>
        <w:tc>
          <w:tcPr>
            <w:tcW w:w="1490" w:type="dxa"/>
            <w:vAlign w:val="center"/>
          </w:tcPr>
          <w:p w14:paraId="4CF29FDB">
            <w:pPr>
              <w:spacing w:line="560" w:lineRule="exact"/>
              <w:rPr>
                <w:rFonts w:eastAsia="仿宋_GB2312"/>
                <w:sz w:val="24"/>
                <w:szCs w:val="28"/>
              </w:rPr>
            </w:pPr>
            <w:r>
              <w:rPr>
                <w:rFonts w:eastAsia="仿宋_GB2312"/>
                <w:sz w:val="24"/>
                <w:szCs w:val="28"/>
              </w:rPr>
              <w:t>职务</w:t>
            </w:r>
          </w:p>
        </w:tc>
        <w:tc>
          <w:tcPr>
            <w:tcW w:w="854" w:type="dxa"/>
            <w:vAlign w:val="center"/>
          </w:tcPr>
          <w:p w14:paraId="60C2A5DE">
            <w:pPr>
              <w:spacing w:line="560" w:lineRule="exact"/>
              <w:rPr>
                <w:rFonts w:eastAsia="仿宋_GB2312"/>
                <w:sz w:val="24"/>
                <w:szCs w:val="28"/>
              </w:rPr>
            </w:pPr>
            <w:r>
              <w:rPr>
                <w:rFonts w:eastAsia="仿宋_GB2312"/>
                <w:sz w:val="24"/>
                <w:szCs w:val="28"/>
              </w:rPr>
              <w:t>电话</w:t>
            </w:r>
          </w:p>
        </w:tc>
        <w:tc>
          <w:tcPr>
            <w:tcW w:w="1417" w:type="dxa"/>
            <w:vAlign w:val="center"/>
          </w:tcPr>
          <w:p w14:paraId="15532463">
            <w:pPr>
              <w:spacing w:line="560" w:lineRule="exact"/>
              <w:rPr>
                <w:rFonts w:eastAsia="仿宋_GB2312"/>
                <w:sz w:val="24"/>
                <w:szCs w:val="28"/>
              </w:rPr>
            </w:pPr>
            <w:r>
              <w:rPr>
                <w:rFonts w:eastAsia="仿宋_GB2312"/>
                <w:sz w:val="24"/>
                <w:szCs w:val="28"/>
              </w:rPr>
              <w:t>手机</w:t>
            </w:r>
          </w:p>
        </w:tc>
        <w:tc>
          <w:tcPr>
            <w:tcW w:w="1619" w:type="dxa"/>
            <w:vAlign w:val="center"/>
          </w:tcPr>
          <w:p w14:paraId="46F747A4">
            <w:pPr>
              <w:spacing w:line="560" w:lineRule="exact"/>
              <w:rPr>
                <w:rFonts w:eastAsia="仿宋_GB2312"/>
                <w:sz w:val="24"/>
                <w:szCs w:val="28"/>
              </w:rPr>
            </w:pPr>
            <w:r>
              <w:rPr>
                <w:rFonts w:eastAsia="仿宋_GB2312"/>
                <w:sz w:val="24"/>
                <w:szCs w:val="28"/>
              </w:rPr>
              <w:t>传真</w:t>
            </w:r>
          </w:p>
        </w:tc>
        <w:tc>
          <w:tcPr>
            <w:tcW w:w="1494" w:type="dxa"/>
            <w:vAlign w:val="center"/>
          </w:tcPr>
          <w:p w14:paraId="609FB487">
            <w:pPr>
              <w:spacing w:line="560" w:lineRule="exact"/>
              <w:rPr>
                <w:rFonts w:eastAsia="仿宋_GB2312"/>
                <w:sz w:val="24"/>
                <w:szCs w:val="28"/>
              </w:rPr>
            </w:pPr>
            <w:r>
              <w:rPr>
                <w:rFonts w:eastAsia="仿宋_GB2312"/>
                <w:sz w:val="24"/>
                <w:szCs w:val="28"/>
              </w:rPr>
              <w:t>E-mail</w:t>
            </w:r>
          </w:p>
        </w:tc>
      </w:tr>
      <w:tr w14:paraId="156F4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jc w:val="center"/>
        </w:trPr>
        <w:tc>
          <w:tcPr>
            <w:tcW w:w="1749" w:type="dxa"/>
            <w:vAlign w:val="center"/>
          </w:tcPr>
          <w:p w14:paraId="7C99B288">
            <w:pPr>
              <w:spacing w:line="560" w:lineRule="exact"/>
              <w:rPr>
                <w:rFonts w:eastAsia="仿宋_GB2312"/>
                <w:sz w:val="24"/>
                <w:szCs w:val="28"/>
              </w:rPr>
            </w:pPr>
          </w:p>
        </w:tc>
        <w:tc>
          <w:tcPr>
            <w:tcW w:w="1484" w:type="dxa"/>
            <w:gridSpan w:val="2"/>
            <w:vAlign w:val="center"/>
          </w:tcPr>
          <w:p w14:paraId="7C0F6B7A">
            <w:pPr>
              <w:spacing w:line="560" w:lineRule="exact"/>
              <w:rPr>
                <w:rFonts w:eastAsia="仿宋_GB2312"/>
                <w:sz w:val="24"/>
                <w:szCs w:val="28"/>
              </w:rPr>
            </w:pPr>
          </w:p>
        </w:tc>
        <w:tc>
          <w:tcPr>
            <w:tcW w:w="1490" w:type="dxa"/>
            <w:vAlign w:val="center"/>
          </w:tcPr>
          <w:p w14:paraId="4B699DCB">
            <w:pPr>
              <w:spacing w:line="560" w:lineRule="exact"/>
              <w:rPr>
                <w:rFonts w:eastAsia="仿宋_GB2312"/>
                <w:sz w:val="24"/>
                <w:szCs w:val="28"/>
              </w:rPr>
            </w:pPr>
          </w:p>
        </w:tc>
        <w:tc>
          <w:tcPr>
            <w:tcW w:w="854" w:type="dxa"/>
            <w:vAlign w:val="center"/>
          </w:tcPr>
          <w:p w14:paraId="257EFB0E">
            <w:pPr>
              <w:spacing w:line="560" w:lineRule="exact"/>
              <w:rPr>
                <w:rFonts w:eastAsia="仿宋_GB2312"/>
                <w:sz w:val="24"/>
                <w:szCs w:val="28"/>
              </w:rPr>
            </w:pPr>
          </w:p>
        </w:tc>
        <w:tc>
          <w:tcPr>
            <w:tcW w:w="1417" w:type="dxa"/>
            <w:vAlign w:val="center"/>
          </w:tcPr>
          <w:p w14:paraId="2486A47E">
            <w:pPr>
              <w:spacing w:line="560" w:lineRule="exact"/>
              <w:rPr>
                <w:rFonts w:eastAsia="仿宋_GB2312"/>
                <w:sz w:val="24"/>
                <w:szCs w:val="28"/>
              </w:rPr>
            </w:pPr>
          </w:p>
        </w:tc>
        <w:tc>
          <w:tcPr>
            <w:tcW w:w="1619" w:type="dxa"/>
            <w:vAlign w:val="center"/>
          </w:tcPr>
          <w:p w14:paraId="7F3B01CE">
            <w:pPr>
              <w:spacing w:line="560" w:lineRule="exact"/>
              <w:rPr>
                <w:rFonts w:eastAsia="仿宋_GB2312"/>
                <w:sz w:val="24"/>
                <w:szCs w:val="28"/>
              </w:rPr>
            </w:pPr>
          </w:p>
        </w:tc>
        <w:tc>
          <w:tcPr>
            <w:tcW w:w="1494" w:type="dxa"/>
            <w:vAlign w:val="center"/>
          </w:tcPr>
          <w:p w14:paraId="33EC6EB1">
            <w:pPr>
              <w:spacing w:line="560" w:lineRule="exact"/>
              <w:rPr>
                <w:rFonts w:eastAsia="仿宋_GB2312"/>
                <w:sz w:val="24"/>
                <w:szCs w:val="28"/>
              </w:rPr>
            </w:pPr>
          </w:p>
        </w:tc>
      </w:tr>
      <w:tr w14:paraId="1BD1B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1749" w:type="dxa"/>
            <w:vAlign w:val="center"/>
          </w:tcPr>
          <w:p w14:paraId="64BF1718">
            <w:pPr>
              <w:spacing w:line="300" w:lineRule="auto"/>
              <w:rPr>
                <w:rFonts w:eastAsia="仿宋_GB2312"/>
                <w:sz w:val="24"/>
                <w:szCs w:val="28"/>
              </w:rPr>
            </w:pPr>
            <w:r>
              <w:rPr>
                <w:rFonts w:eastAsia="仿宋_GB2312"/>
                <w:sz w:val="24"/>
                <w:szCs w:val="28"/>
              </w:rPr>
              <w:t>三方回购业务联络人</w:t>
            </w:r>
          </w:p>
        </w:tc>
        <w:tc>
          <w:tcPr>
            <w:tcW w:w="1484" w:type="dxa"/>
            <w:gridSpan w:val="2"/>
            <w:vAlign w:val="center"/>
          </w:tcPr>
          <w:p w14:paraId="7E1A2B26">
            <w:pPr>
              <w:spacing w:line="560" w:lineRule="exact"/>
              <w:rPr>
                <w:rFonts w:eastAsia="仿宋_GB2312"/>
                <w:sz w:val="24"/>
                <w:szCs w:val="28"/>
              </w:rPr>
            </w:pPr>
            <w:r>
              <w:rPr>
                <w:rFonts w:eastAsia="仿宋_GB2312"/>
                <w:sz w:val="24"/>
                <w:szCs w:val="28"/>
              </w:rPr>
              <w:t>部门</w:t>
            </w:r>
          </w:p>
        </w:tc>
        <w:tc>
          <w:tcPr>
            <w:tcW w:w="1490" w:type="dxa"/>
            <w:vAlign w:val="center"/>
          </w:tcPr>
          <w:p w14:paraId="5E6DB4DA">
            <w:pPr>
              <w:spacing w:line="560" w:lineRule="exact"/>
              <w:rPr>
                <w:rFonts w:eastAsia="仿宋_GB2312"/>
                <w:sz w:val="24"/>
                <w:szCs w:val="28"/>
              </w:rPr>
            </w:pPr>
            <w:r>
              <w:rPr>
                <w:rFonts w:eastAsia="仿宋_GB2312"/>
                <w:sz w:val="24"/>
                <w:szCs w:val="28"/>
              </w:rPr>
              <w:t>职务</w:t>
            </w:r>
          </w:p>
        </w:tc>
        <w:tc>
          <w:tcPr>
            <w:tcW w:w="854" w:type="dxa"/>
            <w:vAlign w:val="center"/>
          </w:tcPr>
          <w:p w14:paraId="40D2484A">
            <w:pPr>
              <w:spacing w:line="560" w:lineRule="exact"/>
              <w:rPr>
                <w:rFonts w:eastAsia="仿宋_GB2312"/>
                <w:sz w:val="24"/>
                <w:szCs w:val="28"/>
              </w:rPr>
            </w:pPr>
            <w:r>
              <w:rPr>
                <w:rFonts w:eastAsia="仿宋_GB2312"/>
                <w:sz w:val="24"/>
                <w:szCs w:val="28"/>
              </w:rPr>
              <w:t>电话</w:t>
            </w:r>
          </w:p>
        </w:tc>
        <w:tc>
          <w:tcPr>
            <w:tcW w:w="1417" w:type="dxa"/>
            <w:vAlign w:val="center"/>
          </w:tcPr>
          <w:p w14:paraId="154AD9B0">
            <w:pPr>
              <w:spacing w:line="560" w:lineRule="exact"/>
              <w:rPr>
                <w:rFonts w:eastAsia="仿宋_GB2312"/>
                <w:sz w:val="24"/>
                <w:szCs w:val="28"/>
              </w:rPr>
            </w:pPr>
            <w:r>
              <w:rPr>
                <w:rFonts w:eastAsia="仿宋_GB2312"/>
                <w:sz w:val="24"/>
                <w:szCs w:val="28"/>
              </w:rPr>
              <w:t>手机</w:t>
            </w:r>
          </w:p>
        </w:tc>
        <w:tc>
          <w:tcPr>
            <w:tcW w:w="1619" w:type="dxa"/>
            <w:vAlign w:val="center"/>
          </w:tcPr>
          <w:p w14:paraId="1E8E11CF">
            <w:pPr>
              <w:spacing w:line="560" w:lineRule="exact"/>
              <w:rPr>
                <w:rFonts w:eastAsia="仿宋_GB2312"/>
                <w:sz w:val="24"/>
                <w:szCs w:val="28"/>
              </w:rPr>
            </w:pPr>
            <w:r>
              <w:rPr>
                <w:rFonts w:eastAsia="仿宋_GB2312"/>
                <w:sz w:val="24"/>
                <w:szCs w:val="28"/>
              </w:rPr>
              <w:t>传真</w:t>
            </w:r>
          </w:p>
        </w:tc>
        <w:tc>
          <w:tcPr>
            <w:tcW w:w="1494" w:type="dxa"/>
            <w:vAlign w:val="center"/>
          </w:tcPr>
          <w:p w14:paraId="05EE2537">
            <w:pPr>
              <w:spacing w:line="560" w:lineRule="exact"/>
              <w:rPr>
                <w:rFonts w:eastAsia="仿宋_GB2312"/>
                <w:sz w:val="24"/>
                <w:szCs w:val="28"/>
              </w:rPr>
            </w:pPr>
            <w:r>
              <w:rPr>
                <w:rFonts w:eastAsia="仿宋_GB2312"/>
                <w:sz w:val="24"/>
                <w:szCs w:val="28"/>
              </w:rPr>
              <w:t>E-mail</w:t>
            </w:r>
          </w:p>
        </w:tc>
      </w:tr>
      <w:tr w14:paraId="29B36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atLeast"/>
          <w:jc w:val="center"/>
        </w:trPr>
        <w:tc>
          <w:tcPr>
            <w:tcW w:w="1749" w:type="dxa"/>
            <w:vAlign w:val="center"/>
          </w:tcPr>
          <w:p w14:paraId="6C8AC1B6">
            <w:pPr>
              <w:spacing w:line="560" w:lineRule="exact"/>
              <w:rPr>
                <w:rFonts w:eastAsia="仿宋_GB2312"/>
                <w:sz w:val="24"/>
                <w:szCs w:val="28"/>
              </w:rPr>
            </w:pPr>
          </w:p>
        </w:tc>
        <w:tc>
          <w:tcPr>
            <w:tcW w:w="1484" w:type="dxa"/>
            <w:gridSpan w:val="2"/>
            <w:vAlign w:val="center"/>
          </w:tcPr>
          <w:p w14:paraId="7F34095B">
            <w:pPr>
              <w:spacing w:line="560" w:lineRule="exact"/>
              <w:rPr>
                <w:rFonts w:eastAsia="仿宋_GB2312"/>
                <w:sz w:val="24"/>
                <w:szCs w:val="28"/>
              </w:rPr>
            </w:pPr>
          </w:p>
        </w:tc>
        <w:tc>
          <w:tcPr>
            <w:tcW w:w="1490" w:type="dxa"/>
            <w:vAlign w:val="center"/>
          </w:tcPr>
          <w:p w14:paraId="48168463">
            <w:pPr>
              <w:spacing w:line="560" w:lineRule="exact"/>
              <w:rPr>
                <w:rFonts w:eastAsia="仿宋_GB2312"/>
                <w:sz w:val="24"/>
                <w:szCs w:val="28"/>
              </w:rPr>
            </w:pPr>
          </w:p>
        </w:tc>
        <w:tc>
          <w:tcPr>
            <w:tcW w:w="854" w:type="dxa"/>
            <w:vAlign w:val="center"/>
          </w:tcPr>
          <w:p w14:paraId="5CCAFC69">
            <w:pPr>
              <w:spacing w:line="560" w:lineRule="exact"/>
              <w:rPr>
                <w:rFonts w:eastAsia="仿宋_GB2312"/>
                <w:sz w:val="24"/>
                <w:szCs w:val="28"/>
              </w:rPr>
            </w:pPr>
          </w:p>
        </w:tc>
        <w:tc>
          <w:tcPr>
            <w:tcW w:w="1417" w:type="dxa"/>
            <w:vAlign w:val="center"/>
          </w:tcPr>
          <w:p w14:paraId="3E591D96">
            <w:pPr>
              <w:spacing w:line="560" w:lineRule="exact"/>
              <w:rPr>
                <w:rFonts w:eastAsia="仿宋_GB2312"/>
                <w:sz w:val="24"/>
                <w:szCs w:val="28"/>
              </w:rPr>
            </w:pPr>
          </w:p>
        </w:tc>
        <w:tc>
          <w:tcPr>
            <w:tcW w:w="1619" w:type="dxa"/>
            <w:vAlign w:val="center"/>
          </w:tcPr>
          <w:p w14:paraId="4CB91CF3">
            <w:pPr>
              <w:spacing w:line="560" w:lineRule="exact"/>
              <w:rPr>
                <w:rFonts w:eastAsia="仿宋_GB2312"/>
                <w:sz w:val="24"/>
                <w:szCs w:val="28"/>
              </w:rPr>
            </w:pPr>
          </w:p>
        </w:tc>
        <w:tc>
          <w:tcPr>
            <w:tcW w:w="1494" w:type="dxa"/>
            <w:vAlign w:val="center"/>
          </w:tcPr>
          <w:p w14:paraId="45196D8F">
            <w:pPr>
              <w:spacing w:line="560" w:lineRule="exact"/>
              <w:rPr>
                <w:rFonts w:eastAsia="仿宋_GB2312"/>
                <w:sz w:val="24"/>
                <w:szCs w:val="28"/>
              </w:rPr>
            </w:pPr>
          </w:p>
        </w:tc>
      </w:tr>
      <w:tr w14:paraId="7354A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jc w:val="center"/>
        </w:trPr>
        <w:tc>
          <w:tcPr>
            <w:tcW w:w="1749" w:type="dxa"/>
            <w:tcBorders>
              <w:bottom w:val="single" w:color="auto" w:sz="4" w:space="0"/>
            </w:tcBorders>
            <w:vAlign w:val="center"/>
          </w:tcPr>
          <w:p w14:paraId="7C816277">
            <w:pPr>
              <w:spacing w:line="300" w:lineRule="auto"/>
              <w:rPr>
                <w:rFonts w:eastAsia="仿宋_GB2312"/>
                <w:sz w:val="24"/>
                <w:szCs w:val="28"/>
              </w:rPr>
            </w:pPr>
            <w:r>
              <w:rPr>
                <w:rFonts w:eastAsia="仿宋_GB2312"/>
                <w:sz w:val="24"/>
              </w:rPr>
              <w:t>最近一个会计年度总资产（亿元）</w:t>
            </w:r>
          </w:p>
        </w:tc>
        <w:tc>
          <w:tcPr>
            <w:tcW w:w="2974" w:type="dxa"/>
            <w:gridSpan w:val="3"/>
            <w:tcBorders>
              <w:bottom w:val="single" w:color="auto" w:sz="4" w:space="0"/>
            </w:tcBorders>
            <w:vAlign w:val="center"/>
          </w:tcPr>
          <w:p w14:paraId="6F2CA6B0">
            <w:pPr>
              <w:spacing w:line="560" w:lineRule="exact"/>
              <w:rPr>
                <w:rFonts w:eastAsia="仿宋_GB2312"/>
                <w:sz w:val="24"/>
                <w:szCs w:val="28"/>
              </w:rPr>
            </w:pPr>
          </w:p>
        </w:tc>
        <w:tc>
          <w:tcPr>
            <w:tcW w:w="2271" w:type="dxa"/>
            <w:gridSpan w:val="2"/>
            <w:tcBorders>
              <w:bottom w:val="single" w:color="auto" w:sz="4" w:space="0"/>
            </w:tcBorders>
            <w:vAlign w:val="center"/>
          </w:tcPr>
          <w:p w14:paraId="16F295F7">
            <w:pPr>
              <w:spacing w:line="300" w:lineRule="auto"/>
              <w:rPr>
                <w:rFonts w:eastAsia="仿宋_GB2312"/>
                <w:sz w:val="24"/>
                <w:szCs w:val="28"/>
              </w:rPr>
            </w:pPr>
            <w:r>
              <w:rPr>
                <w:rFonts w:eastAsia="仿宋_GB2312"/>
                <w:sz w:val="24"/>
              </w:rPr>
              <w:t>最近一个会计年度净资产（亿元）</w:t>
            </w:r>
          </w:p>
        </w:tc>
        <w:tc>
          <w:tcPr>
            <w:tcW w:w="3113" w:type="dxa"/>
            <w:gridSpan w:val="2"/>
            <w:tcBorders>
              <w:bottom w:val="single" w:color="auto" w:sz="4" w:space="0"/>
            </w:tcBorders>
            <w:vAlign w:val="center"/>
          </w:tcPr>
          <w:p w14:paraId="51AC07B7">
            <w:pPr>
              <w:spacing w:line="560" w:lineRule="exact"/>
              <w:rPr>
                <w:rFonts w:eastAsia="仿宋_GB2312"/>
                <w:sz w:val="24"/>
                <w:szCs w:val="28"/>
              </w:rPr>
            </w:pPr>
          </w:p>
        </w:tc>
      </w:tr>
    </w:tbl>
    <w:p w14:paraId="164F86E8">
      <w:pPr>
        <w:spacing w:line="560" w:lineRule="exact"/>
        <w:jc w:val="left"/>
        <w:rPr>
          <w:rFonts w:eastAsia="仿宋_GB2312"/>
          <w:sz w:val="24"/>
          <w:szCs w:val="28"/>
        </w:rPr>
      </w:pPr>
      <w:r>
        <w:rPr>
          <w:rFonts w:eastAsia="仿宋_GB2312"/>
          <w:kern w:val="28"/>
          <w:sz w:val="24"/>
        </w:rPr>
        <w:t>备注：1、</w:t>
      </w:r>
      <w:r>
        <w:rPr>
          <w:rFonts w:eastAsia="仿宋_GB2312"/>
          <w:sz w:val="24"/>
          <w:szCs w:val="28"/>
        </w:rPr>
        <w:t>杠杆运作限制、总资产、净资产</w:t>
      </w:r>
      <w:r>
        <w:rPr>
          <w:rFonts w:eastAsia="仿宋_GB2312"/>
          <w:sz w:val="24"/>
        </w:rPr>
        <w:t>仅正回购方必填</w:t>
      </w:r>
      <w:r>
        <w:rPr>
          <w:rFonts w:eastAsia="仿宋_GB2312"/>
          <w:sz w:val="24"/>
          <w:szCs w:val="28"/>
        </w:rPr>
        <w:t>。</w:t>
      </w:r>
    </w:p>
    <w:p w14:paraId="1A7A07FA">
      <w:pPr>
        <w:spacing w:line="560" w:lineRule="exact"/>
        <w:ind w:firstLine="720" w:firstLineChars="300"/>
        <w:jc w:val="left"/>
        <w:rPr>
          <w:rFonts w:eastAsia="仿宋_GB2312"/>
          <w:kern w:val="28"/>
          <w:sz w:val="24"/>
        </w:rPr>
      </w:pPr>
      <w:r>
        <w:rPr>
          <w:rFonts w:eastAsia="仿宋_GB2312"/>
          <w:sz w:val="24"/>
          <w:szCs w:val="28"/>
        </w:rPr>
        <w:t>2、已进行过备案开通逆回购权限的，再次备案申请开通正回购权限时，应保证普通证券账户及相关信息的前后一致性。反之亦然。</w:t>
      </w:r>
    </w:p>
    <w:p w14:paraId="6F5C8752">
      <w:pPr>
        <w:pStyle w:val="18"/>
        <w:spacing w:line="560" w:lineRule="exact"/>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我公司在此郑重承诺：</w:t>
      </w:r>
    </w:p>
    <w:p w14:paraId="7863E3AE">
      <w:pPr>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一、遵守法律、法规、规章、上交所及中国结算相关业务规则，依法参与上交所债券三方回购业务。</w:t>
      </w:r>
    </w:p>
    <w:p w14:paraId="1A136654">
      <w:pPr>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二、诚实守信，自觉遵守商业道德，维护上交所债券市场秩序。</w:t>
      </w:r>
    </w:p>
    <w:p w14:paraId="40C759A6">
      <w:pPr>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三、同意遵守上交所、中国结算关于三方回购的相关规定，接受上交所、中国结算的自律管理。</w:t>
      </w:r>
    </w:p>
    <w:p w14:paraId="3ABF771E">
      <w:pPr>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四、如违反法律、法规、规章、上交所及中国结算相关业务规则，接受上交所做出的包括但不限于取消三方回购投资者适当性备案等监管措施，并对此承担一切法律责任。</w:t>
      </w:r>
    </w:p>
    <w:p w14:paraId="7C068B7E">
      <w:pPr>
        <w:pStyle w:val="18"/>
        <w:spacing w:line="560" w:lineRule="exact"/>
        <w:jc w:val="left"/>
        <w:rPr>
          <w:rFonts w:hAnsi="仿宋_GB2312" w:cs="仿宋_GB2312"/>
          <w:szCs w:val="30"/>
        </w:rPr>
      </w:pPr>
      <w:r>
        <w:rPr>
          <w:rFonts w:hint="eastAsia" w:hAnsi="仿宋_GB2312" w:cs="仿宋_GB2312"/>
          <w:szCs w:val="30"/>
        </w:rPr>
        <w:t>我公司保证向上交所提供的书面和电子申请资料的真实、准确、完整与合法。</w:t>
      </w:r>
    </w:p>
    <w:p w14:paraId="5B965AB9">
      <w:pPr>
        <w:pStyle w:val="18"/>
        <w:spacing w:line="560" w:lineRule="exact"/>
        <w:jc w:val="right"/>
        <w:rPr>
          <w:rFonts w:hAnsi="仿宋_GB2312" w:cs="仿宋_GB2312"/>
          <w:szCs w:val="30"/>
        </w:rPr>
      </w:pPr>
      <w:r>
        <w:rPr>
          <w:rFonts w:hint="eastAsia" w:hAnsi="仿宋_GB2312" w:cs="仿宋_GB2312"/>
          <w:szCs w:val="30"/>
        </w:rPr>
        <w:t>申请人：</w:t>
      </w:r>
      <w:r>
        <w:rPr>
          <w:rFonts w:hAnsi="仿宋_GB2312" w:cs="仿宋_GB2312"/>
          <w:szCs w:val="30"/>
        </w:rPr>
        <w:t>_____________________</w:t>
      </w:r>
      <w:r>
        <w:rPr>
          <w:rFonts w:hint="eastAsia" w:hAnsi="仿宋_GB2312" w:cs="仿宋_GB2312"/>
          <w:szCs w:val="30"/>
        </w:rPr>
        <w:t>公司</w:t>
      </w:r>
      <w:r>
        <w:rPr>
          <w:rFonts w:hAnsi="仿宋_GB2312" w:cs="仿宋_GB2312"/>
          <w:szCs w:val="30"/>
        </w:rPr>
        <w:t xml:space="preserve">   </w:t>
      </w:r>
      <w:r>
        <w:rPr>
          <w:rFonts w:hint="eastAsia" w:hAnsi="仿宋_GB2312" w:cs="仿宋_GB2312"/>
          <w:szCs w:val="30"/>
        </w:rPr>
        <w:t>（加盖公章）</w:t>
      </w:r>
    </w:p>
    <w:p w14:paraId="7DAC7067">
      <w:pPr>
        <w:pStyle w:val="18"/>
        <w:spacing w:line="560" w:lineRule="exact"/>
        <w:ind w:right="560"/>
        <w:jc w:val="center"/>
        <w:rPr>
          <w:rFonts w:hAnsi="仿宋_GB2312" w:cs="仿宋_GB2312"/>
          <w:szCs w:val="30"/>
        </w:rPr>
      </w:pPr>
      <w:r>
        <w:rPr>
          <w:rFonts w:hAnsi="仿宋_GB2312" w:cs="仿宋_GB2312"/>
          <w:szCs w:val="30"/>
        </w:rPr>
        <w:t xml:space="preserve">                                  </w:t>
      </w:r>
      <w:r>
        <w:rPr>
          <w:rFonts w:hint="eastAsia" w:hAnsi="仿宋_GB2312" w:cs="仿宋_GB2312"/>
          <w:szCs w:val="30"/>
        </w:rPr>
        <w:t>经办人（签字）：</w:t>
      </w:r>
    </w:p>
    <w:p w14:paraId="02EBDDBD">
      <w:pPr>
        <w:pStyle w:val="18"/>
        <w:spacing w:line="560" w:lineRule="exact"/>
        <w:ind w:right="560"/>
        <w:jc w:val="center"/>
        <w:rPr>
          <w:rFonts w:hAnsi="仿宋_GB2312" w:cs="仿宋_GB2312"/>
          <w:szCs w:val="30"/>
        </w:rPr>
      </w:pPr>
      <w:r>
        <w:rPr>
          <w:rFonts w:hAnsi="仿宋_GB2312" w:cs="仿宋_GB2312"/>
          <w:szCs w:val="30"/>
        </w:rPr>
        <w:t xml:space="preserve">                                     </w:t>
      </w:r>
      <w:r>
        <w:rPr>
          <w:rFonts w:hint="eastAsia" w:hAnsi="仿宋_GB2312" w:cs="仿宋_GB2312"/>
          <w:szCs w:val="30"/>
        </w:rPr>
        <w:t>申请日期：</w:t>
      </w:r>
    </w:p>
    <w:p w14:paraId="6C522219">
      <w:pPr>
        <w:pStyle w:val="18"/>
        <w:spacing w:line="560" w:lineRule="exact"/>
        <w:ind w:right="560"/>
        <w:jc w:val="center"/>
        <w:rPr>
          <w:rFonts w:hAnsi="仿宋_GB2312" w:cs="仿宋_GB2312"/>
          <w:szCs w:val="30"/>
        </w:rPr>
      </w:pPr>
      <w:r>
        <w:rPr>
          <w:rFonts w:hAnsi="仿宋_GB2312" w:cs="仿宋_GB2312"/>
          <w:szCs w:val="30"/>
        </w:rPr>
        <w:t xml:space="preserve">                                     </w:t>
      </w:r>
      <w:r>
        <w:rPr>
          <w:rFonts w:hint="eastAsia" w:hAnsi="仿宋_GB2312" w:cs="仿宋_GB2312"/>
          <w:szCs w:val="30"/>
        </w:rPr>
        <w:t>联系电话：</w:t>
      </w:r>
    </w:p>
    <w:p w14:paraId="37FF001B">
      <w:pPr>
        <w:spacing w:line="560" w:lineRule="exact"/>
        <w:ind w:right="150"/>
        <w:jc w:val="center"/>
        <w:rPr>
          <w:rFonts w:ascii="黑体" w:hAnsi="黑体" w:eastAsia="黑体" w:cs="黑体"/>
          <w:b/>
          <w:sz w:val="44"/>
          <w:szCs w:val="44"/>
        </w:rPr>
      </w:pPr>
      <w:r>
        <w:rPr>
          <w:rFonts w:eastAsia="仿宋_GB2312"/>
        </w:rPr>
        <w:br w:type="page"/>
      </w:r>
      <w:r>
        <w:rPr>
          <w:rFonts w:hint="eastAsia" w:ascii="黑体" w:hAnsi="黑体" w:eastAsia="黑体" w:cs="黑体"/>
          <w:b/>
          <w:sz w:val="44"/>
          <w:szCs w:val="44"/>
        </w:rPr>
        <w:t>三方回购投资者适当性备案表</w:t>
      </w:r>
    </w:p>
    <w:p w14:paraId="4E46D447">
      <w:pPr>
        <w:spacing w:line="560" w:lineRule="exact"/>
        <w:ind w:right="150"/>
        <w:jc w:val="center"/>
        <w:rPr>
          <w:rFonts w:ascii="黑体" w:hAnsi="黑体" w:eastAsia="黑体" w:cs="黑体"/>
          <w:b/>
          <w:kern w:val="0"/>
          <w:sz w:val="44"/>
          <w:szCs w:val="44"/>
        </w:rPr>
      </w:pPr>
      <w:r>
        <w:rPr>
          <w:rFonts w:hint="eastAsia" w:ascii="黑体" w:hAnsi="黑体" w:eastAsia="黑体" w:cs="黑体"/>
          <w:b/>
          <w:sz w:val="44"/>
          <w:szCs w:val="44"/>
        </w:rPr>
        <w:t>（产品适用）</w:t>
      </w:r>
    </w:p>
    <w:p w14:paraId="11E4E688">
      <w:pPr>
        <w:spacing w:line="560" w:lineRule="exact"/>
        <w:jc w:val="left"/>
        <w:rPr>
          <w:rFonts w:eastAsia="仿宋_GB2312"/>
          <w:sz w:val="30"/>
          <w:szCs w:val="30"/>
        </w:rPr>
      </w:pPr>
      <w:r>
        <w:rPr>
          <w:rFonts w:hint="eastAsia" w:eastAsia="仿宋_GB2312"/>
          <w:sz w:val="30"/>
          <w:szCs w:val="30"/>
        </w:rPr>
        <w:t>上海证券交易所：</w:t>
      </w:r>
    </w:p>
    <w:p w14:paraId="5EED3EA6">
      <w:pPr>
        <w:spacing w:line="560" w:lineRule="exact"/>
        <w:ind w:firstLine="600" w:firstLineChars="200"/>
        <w:jc w:val="left"/>
        <w:rPr>
          <w:rFonts w:eastAsia="仿宋_GB2312"/>
          <w:sz w:val="30"/>
          <w:szCs w:val="30"/>
        </w:rPr>
      </w:pPr>
      <w:r>
        <w:rPr>
          <w:rFonts w:hint="eastAsia" w:eastAsia="仿宋_GB2312"/>
          <w:sz w:val="30"/>
          <w:szCs w:val="30"/>
        </w:rPr>
        <w:t>经我公司研究决定，特向上交所申请我公司管理的下述产品参与债券三方回购业务，现将有关事项申请如下：</w:t>
      </w:r>
    </w:p>
    <w:p w14:paraId="4C9288B4">
      <w:pPr>
        <w:spacing w:line="560" w:lineRule="exact"/>
        <w:ind w:firstLine="420"/>
        <w:rPr>
          <w:rFonts w:eastAsia="仿宋_GB2312"/>
          <w:kern w:val="28"/>
          <w:sz w:val="24"/>
        </w:rPr>
      </w:pPr>
    </w:p>
    <w:tbl>
      <w:tblPr>
        <w:tblStyle w:val="43"/>
        <w:tblW w:w="101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89"/>
        <w:gridCol w:w="1345"/>
        <w:gridCol w:w="1486"/>
        <w:gridCol w:w="854"/>
        <w:gridCol w:w="1417"/>
        <w:gridCol w:w="1619"/>
        <w:gridCol w:w="1497"/>
      </w:tblGrid>
      <w:tr w14:paraId="19726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6991" w:type="dxa"/>
            <w:gridSpan w:val="5"/>
            <w:vAlign w:val="center"/>
          </w:tcPr>
          <w:p w14:paraId="1B90776E">
            <w:pPr>
              <w:spacing w:line="560" w:lineRule="exact"/>
              <w:rPr>
                <w:rFonts w:eastAsia="仿宋_GB2312"/>
                <w:sz w:val="24"/>
                <w:szCs w:val="28"/>
              </w:rPr>
            </w:pPr>
            <w:r>
              <w:rPr>
                <w:rFonts w:eastAsia="仿宋_GB2312"/>
                <w:sz w:val="24"/>
                <w:szCs w:val="28"/>
              </w:rPr>
              <w:t>产品全称：</w:t>
            </w:r>
          </w:p>
        </w:tc>
        <w:tc>
          <w:tcPr>
            <w:tcW w:w="3116" w:type="dxa"/>
            <w:gridSpan w:val="2"/>
            <w:vAlign w:val="center"/>
          </w:tcPr>
          <w:p w14:paraId="74E15E72">
            <w:pPr>
              <w:spacing w:line="560" w:lineRule="exact"/>
              <w:rPr>
                <w:rFonts w:eastAsia="仿宋_GB2312"/>
                <w:sz w:val="24"/>
                <w:szCs w:val="28"/>
              </w:rPr>
            </w:pPr>
            <w:r>
              <w:rPr>
                <w:rFonts w:eastAsia="仿宋_GB2312"/>
                <w:sz w:val="24"/>
                <w:szCs w:val="28"/>
              </w:rPr>
              <w:t>电话：</w:t>
            </w:r>
          </w:p>
        </w:tc>
      </w:tr>
      <w:tr w14:paraId="20965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6991" w:type="dxa"/>
            <w:gridSpan w:val="5"/>
            <w:vAlign w:val="center"/>
          </w:tcPr>
          <w:p w14:paraId="2EDB7C7B">
            <w:pPr>
              <w:spacing w:line="560" w:lineRule="exact"/>
              <w:rPr>
                <w:rFonts w:eastAsia="仿宋_GB2312"/>
                <w:sz w:val="24"/>
                <w:szCs w:val="28"/>
              </w:rPr>
            </w:pPr>
            <w:r>
              <w:rPr>
                <w:rFonts w:eastAsia="仿宋_GB2312"/>
                <w:sz w:val="24"/>
                <w:szCs w:val="28"/>
              </w:rPr>
              <w:t xml:space="preserve">产品管理人地址： </w:t>
            </w:r>
          </w:p>
        </w:tc>
        <w:tc>
          <w:tcPr>
            <w:tcW w:w="3116" w:type="dxa"/>
            <w:gridSpan w:val="2"/>
            <w:vAlign w:val="center"/>
          </w:tcPr>
          <w:p w14:paraId="576C10E0">
            <w:pPr>
              <w:spacing w:line="560" w:lineRule="exact"/>
              <w:rPr>
                <w:rFonts w:eastAsia="仿宋_GB2312"/>
                <w:sz w:val="24"/>
                <w:szCs w:val="28"/>
              </w:rPr>
            </w:pPr>
            <w:r>
              <w:rPr>
                <w:rFonts w:eastAsia="仿宋_GB2312"/>
                <w:sz w:val="24"/>
                <w:szCs w:val="28"/>
              </w:rPr>
              <w:t>传真：</w:t>
            </w:r>
          </w:p>
        </w:tc>
      </w:tr>
      <w:tr w14:paraId="34BC3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2" w:hRule="atLeast"/>
          <w:jc w:val="center"/>
        </w:trPr>
        <w:tc>
          <w:tcPr>
            <w:tcW w:w="1889" w:type="dxa"/>
            <w:vAlign w:val="center"/>
          </w:tcPr>
          <w:p w14:paraId="746C2A6C">
            <w:pPr>
              <w:pStyle w:val="17"/>
              <w:spacing w:after="0" w:line="560" w:lineRule="exact"/>
              <w:jc w:val="left"/>
              <w:rPr>
                <w:rFonts w:eastAsia="仿宋_GB2312"/>
                <w:sz w:val="24"/>
                <w:szCs w:val="28"/>
              </w:rPr>
            </w:pPr>
            <w:r>
              <w:rPr>
                <w:rFonts w:eastAsia="仿宋_GB2312"/>
                <w:sz w:val="24"/>
                <w:szCs w:val="28"/>
              </w:rPr>
              <w:t xml:space="preserve">投资者类型： </w:t>
            </w:r>
          </w:p>
        </w:tc>
        <w:tc>
          <w:tcPr>
            <w:tcW w:w="8218" w:type="dxa"/>
            <w:gridSpan w:val="6"/>
            <w:vAlign w:val="center"/>
          </w:tcPr>
          <w:p w14:paraId="3060B6F7">
            <w:pPr>
              <w:pStyle w:val="17"/>
              <w:spacing w:after="0" w:line="560" w:lineRule="exact"/>
              <w:jc w:val="left"/>
              <w:rPr>
                <w:rFonts w:eastAsia="仿宋_GB2312"/>
                <w:sz w:val="24"/>
                <w:szCs w:val="28"/>
              </w:rPr>
            </w:pPr>
            <w:r>
              <w:rPr>
                <w:rFonts w:eastAsia="仿宋_GB2312"/>
                <w:sz w:val="24"/>
                <w:szCs w:val="28"/>
              </w:rPr>
              <w:t xml:space="preserve">□公募证券投资基金  □银行理财产品  □证券公司资产管理产品 </w:t>
            </w:r>
          </w:p>
          <w:p w14:paraId="7506D093">
            <w:pPr>
              <w:pStyle w:val="17"/>
              <w:spacing w:after="0" w:line="560" w:lineRule="exact"/>
              <w:jc w:val="left"/>
              <w:rPr>
                <w:rFonts w:eastAsia="仿宋_GB2312"/>
                <w:sz w:val="24"/>
                <w:szCs w:val="28"/>
              </w:rPr>
            </w:pPr>
            <w:r>
              <w:rPr>
                <w:rFonts w:eastAsia="仿宋_GB2312"/>
                <w:sz w:val="24"/>
                <w:szCs w:val="28"/>
              </w:rPr>
              <w:t xml:space="preserve">□基金管理公司及其子公司专户产品  □期货公司产品  □保险产品  </w:t>
            </w:r>
          </w:p>
          <w:p w14:paraId="2FD2163F">
            <w:pPr>
              <w:pStyle w:val="17"/>
              <w:spacing w:after="0" w:line="560" w:lineRule="exact"/>
              <w:jc w:val="left"/>
              <w:rPr>
                <w:rFonts w:eastAsia="仿宋_GB2312"/>
                <w:sz w:val="24"/>
                <w:szCs w:val="28"/>
              </w:rPr>
            </w:pPr>
            <w:r>
              <w:rPr>
                <w:rFonts w:eastAsia="仿宋_GB2312"/>
                <w:sz w:val="24"/>
                <w:szCs w:val="28"/>
              </w:rPr>
              <w:t>□信托产品  □经行业协会备案的私募基金  □其他产品</w:t>
            </w:r>
          </w:p>
        </w:tc>
      </w:tr>
      <w:tr w14:paraId="1E0FF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jc w:val="center"/>
        </w:trPr>
        <w:tc>
          <w:tcPr>
            <w:tcW w:w="4720" w:type="dxa"/>
            <w:gridSpan w:val="3"/>
            <w:tcBorders>
              <w:bottom w:val="single" w:color="auto" w:sz="4" w:space="0"/>
            </w:tcBorders>
            <w:vAlign w:val="center"/>
          </w:tcPr>
          <w:p w14:paraId="3D9A5A2A">
            <w:pPr>
              <w:spacing w:line="560" w:lineRule="exact"/>
              <w:rPr>
                <w:rFonts w:eastAsia="仿宋_GB2312"/>
                <w:sz w:val="24"/>
                <w:szCs w:val="28"/>
              </w:rPr>
            </w:pPr>
            <w:r>
              <w:rPr>
                <w:rFonts w:eastAsia="仿宋_GB2312"/>
                <w:sz w:val="24"/>
                <w:szCs w:val="28"/>
              </w:rPr>
              <w:t>固定收益平台交易商代码：</w:t>
            </w:r>
          </w:p>
        </w:tc>
        <w:tc>
          <w:tcPr>
            <w:tcW w:w="5387" w:type="dxa"/>
            <w:gridSpan w:val="4"/>
            <w:tcBorders>
              <w:bottom w:val="single" w:color="auto" w:sz="4" w:space="0"/>
            </w:tcBorders>
            <w:vAlign w:val="center"/>
          </w:tcPr>
          <w:p w14:paraId="5AF49932">
            <w:pPr>
              <w:spacing w:line="560" w:lineRule="exact"/>
              <w:rPr>
                <w:rFonts w:eastAsia="仿宋_GB2312"/>
                <w:sz w:val="24"/>
                <w:szCs w:val="28"/>
              </w:rPr>
            </w:pPr>
            <w:r>
              <w:rPr>
                <w:rFonts w:eastAsia="仿宋_GB2312"/>
                <w:sz w:val="24"/>
                <w:szCs w:val="28"/>
              </w:rPr>
              <w:t>固定收益平台交易商名称：</w:t>
            </w:r>
          </w:p>
        </w:tc>
      </w:tr>
      <w:tr w14:paraId="22CCF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jc w:val="center"/>
        </w:trPr>
        <w:tc>
          <w:tcPr>
            <w:tcW w:w="4720" w:type="dxa"/>
            <w:gridSpan w:val="3"/>
            <w:tcBorders>
              <w:bottom w:val="single" w:color="auto" w:sz="4" w:space="0"/>
            </w:tcBorders>
            <w:vAlign w:val="center"/>
          </w:tcPr>
          <w:p w14:paraId="650BF79A">
            <w:pPr>
              <w:spacing w:line="560" w:lineRule="exact"/>
              <w:rPr>
                <w:rFonts w:eastAsia="仿宋_GB2312"/>
                <w:sz w:val="24"/>
                <w:szCs w:val="28"/>
              </w:rPr>
            </w:pPr>
            <w:r>
              <w:rPr>
                <w:rFonts w:eastAsia="仿宋_GB2312"/>
                <w:sz w:val="24"/>
                <w:szCs w:val="28"/>
              </w:rPr>
              <w:t>证券账户：</w:t>
            </w:r>
          </w:p>
        </w:tc>
        <w:tc>
          <w:tcPr>
            <w:tcW w:w="5387" w:type="dxa"/>
            <w:gridSpan w:val="4"/>
            <w:tcBorders>
              <w:bottom w:val="single" w:color="auto" w:sz="4" w:space="0"/>
            </w:tcBorders>
            <w:vAlign w:val="center"/>
          </w:tcPr>
          <w:p w14:paraId="790AF704">
            <w:pPr>
              <w:spacing w:line="560" w:lineRule="exact"/>
              <w:rPr>
                <w:rFonts w:eastAsia="仿宋_GB2312"/>
                <w:sz w:val="24"/>
                <w:szCs w:val="28"/>
              </w:rPr>
            </w:pPr>
            <w:r>
              <w:rPr>
                <w:rFonts w:eastAsia="仿宋_GB2312"/>
                <w:sz w:val="24"/>
                <w:szCs w:val="28"/>
              </w:rPr>
              <w:t>证券账户名称：</w:t>
            </w:r>
          </w:p>
        </w:tc>
      </w:tr>
      <w:tr w14:paraId="0CB94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jc w:val="center"/>
        </w:trPr>
        <w:tc>
          <w:tcPr>
            <w:tcW w:w="4720" w:type="dxa"/>
            <w:gridSpan w:val="3"/>
            <w:tcBorders>
              <w:bottom w:val="single" w:color="auto" w:sz="4" w:space="0"/>
            </w:tcBorders>
            <w:vAlign w:val="center"/>
          </w:tcPr>
          <w:p w14:paraId="54249A49">
            <w:pPr>
              <w:spacing w:line="560" w:lineRule="exact"/>
              <w:rPr>
                <w:rFonts w:eastAsia="仿宋_GB2312"/>
                <w:sz w:val="24"/>
                <w:szCs w:val="28"/>
              </w:rPr>
            </w:pPr>
            <w:r>
              <w:rPr>
                <w:rFonts w:eastAsia="仿宋_GB2312"/>
                <w:sz w:val="24"/>
                <w:szCs w:val="28"/>
              </w:rPr>
              <w:t>三方回购专用证券账户：</w:t>
            </w:r>
          </w:p>
        </w:tc>
        <w:tc>
          <w:tcPr>
            <w:tcW w:w="5387" w:type="dxa"/>
            <w:gridSpan w:val="4"/>
            <w:tcBorders>
              <w:bottom w:val="single" w:color="auto" w:sz="4" w:space="0"/>
            </w:tcBorders>
            <w:vAlign w:val="center"/>
          </w:tcPr>
          <w:p w14:paraId="67298209">
            <w:pPr>
              <w:spacing w:line="560" w:lineRule="exact"/>
              <w:rPr>
                <w:rFonts w:eastAsia="仿宋_GB2312"/>
                <w:sz w:val="24"/>
                <w:szCs w:val="28"/>
              </w:rPr>
            </w:pPr>
            <w:r>
              <w:rPr>
                <w:rFonts w:eastAsia="仿宋_GB2312"/>
                <w:sz w:val="24"/>
                <w:szCs w:val="28"/>
              </w:rPr>
              <w:t>三方回购专用证券账户名称：</w:t>
            </w:r>
          </w:p>
        </w:tc>
      </w:tr>
      <w:tr w14:paraId="3E453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jc w:val="center"/>
        </w:trPr>
        <w:tc>
          <w:tcPr>
            <w:tcW w:w="4720" w:type="dxa"/>
            <w:gridSpan w:val="3"/>
            <w:tcBorders>
              <w:bottom w:val="single" w:color="auto" w:sz="4" w:space="0"/>
            </w:tcBorders>
            <w:vAlign w:val="center"/>
          </w:tcPr>
          <w:p w14:paraId="13BAD042">
            <w:pPr>
              <w:spacing w:line="560" w:lineRule="exact"/>
              <w:rPr>
                <w:rFonts w:eastAsia="仿宋_GB2312"/>
                <w:sz w:val="24"/>
                <w:szCs w:val="28"/>
              </w:rPr>
            </w:pPr>
            <w:r>
              <w:rPr>
                <w:rFonts w:eastAsia="仿宋_GB2312"/>
                <w:sz w:val="24"/>
                <w:szCs w:val="28"/>
              </w:rPr>
              <w:t>交易单元：</w:t>
            </w:r>
          </w:p>
        </w:tc>
        <w:tc>
          <w:tcPr>
            <w:tcW w:w="5387" w:type="dxa"/>
            <w:gridSpan w:val="4"/>
            <w:tcBorders>
              <w:bottom w:val="single" w:color="auto" w:sz="4" w:space="0"/>
            </w:tcBorders>
            <w:vAlign w:val="center"/>
          </w:tcPr>
          <w:p w14:paraId="7F7053FD">
            <w:pPr>
              <w:spacing w:line="560" w:lineRule="exact"/>
              <w:rPr>
                <w:rFonts w:eastAsia="仿宋_GB2312"/>
                <w:sz w:val="24"/>
                <w:szCs w:val="28"/>
              </w:rPr>
            </w:pPr>
          </w:p>
        </w:tc>
      </w:tr>
      <w:tr w14:paraId="54FB9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jc w:val="center"/>
        </w:trPr>
        <w:tc>
          <w:tcPr>
            <w:tcW w:w="10107" w:type="dxa"/>
            <w:gridSpan w:val="7"/>
            <w:tcBorders>
              <w:bottom w:val="single" w:color="auto" w:sz="4" w:space="0"/>
            </w:tcBorders>
            <w:vAlign w:val="center"/>
          </w:tcPr>
          <w:p w14:paraId="0F795F93">
            <w:pPr>
              <w:spacing w:line="560" w:lineRule="exact"/>
              <w:rPr>
                <w:rFonts w:eastAsia="仿宋_GB2312"/>
                <w:sz w:val="24"/>
                <w:szCs w:val="28"/>
              </w:rPr>
            </w:pPr>
            <w:r>
              <w:rPr>
                <w:rFonts w:eastAsia="仿宋_GB2312"/>
                <w:sz w:val="24"/>
                <w:szCs w:val="28"/>
              </w:rPr>
              <w:t>产品委托人：</w:t>
            </w:r>
          </w:p>
        </w:tc>
      </w:tr>
      <w:tr w14:paraId="38753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jc w:val="center"/>
        </w:trPr>
        <w:tc>
          <w:tcPr>
            <w:tcW w:w="4720" w:type="dxa"/>
            <w:gridSpan w:val="3"/>
            <w:tcBorders>
              <w:bottom w:val="single" w:color="auto" w:sz="4" w:space="0"/>
            </w:tcBorders>
            <w:vAlign w:val="center"/>
          </w:tcPr>
          <w:p w14:paraId="4EF53922">
            <w:pPr>
              <w:spacing w:line="560" w:lineRule="exact"/>
              <w:rPr>
                <w:rFonts w:eastAsia="仿宋_GB2312"/>
                <w:sz w:val="24"/>
                <w:szCs w:val="28"/>
              </w:rPr>
            </w:pPr>
            <w:r>
              <w:rPr>
                <w:rFonts w:eastAsia="仿宋_GB2312"/>
                <w:sz w:val="24"/>
                <w:szCs w:val="28"/>
              </w:rPr>
              <w:t>产品管理人：</w:t>
            </w:r>
          </w:p>
        </w:tc>
        <w:tc>
          <w:tcPr>
            <w:tcW w:w="5387" w:type="dxa"/>
            <w:gridSpan w:val="4"/>
            <w:tcBorders>
              <w:bottom w:val="single" w:color="auto" w:sz="4" w:space="0"/>
            </w:tcBorders>
            <w:vAlign w:val="center"/>
          </w:tcPr>
          <w:p w14:paraId="4F42A280">
            <w:pPr>
              <w:spacing w:line="560" w:lineRule="exact"/>
              <w:rPr>
                <w:rFonts w:eastAsia="仿宋_GB2312"/>
                <w:sz w:val="24"/>
                <w:szCs w:val="28"/>
              </w:rPr>
            </w:pPr>
            <w:r>
              <w:rPr>
                <w:rFonts w:eastAsia="仿宋_GB2312"/>
                <w:sz w:val="24"/>
                <w:szCs w:val="28"/>
              </w:rPr>
              <w:t>资产托管人：</w:t>
            </w:r>
          </w:p>
        </w:tc>
      </w:tr>
      <w:tr w14:paraId="13F47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jc w:val="center"/>
        </w:trPr>
        <w:tc>
          <w:tcPr>
            <w:tcW w:w="10107" w:type="dxa"/>
            <w:gridSpan w:val="7"/>
            <w:tcBorders>
              <w:bottom w:val="single" w:color="auto" w:sz="4" w:space="0"/>
            </w:tcBorders>
            <w:vAlign w:val="center"/>
          </w:tcPr>
          <w:p w14:paraId="0F25B6C1">
            <w:pPr>
              <w:spacing w:line="560" w:lineRule="exact"/>
              <w:rPr>
                <w:rFonts w:eastAsia="仿宋_GB2312"/>
                <w:sz w:val="24"/>
                <w:szCs w:val="28"/>
              </w:rPr>
            </w:pPr>
            <w:r>
              <w:rPr>
                <w:rFonts w:eastAsia="仿宋_GB2312"/>
                <w:sz w:val="24"/>
                <w:szCs w:val="28"/>
              </w:rPr>
              <w:t>申请开通的交易权限 ：  □正回购  □逆回购</w:t>
            </w:r>
          </w:p>
        </w:tc>
      </w:tr>
      <w:tr w14:paraId="3A7DF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jc w:val="center"/>
        </w:trPr>
        <w:tc>
          <w:tcPr>
            <w:tcW w:w="1889" w:type="dxa"/>
            <w:tcBorders>
              <w:bottom w:val="single" w:color="auto" w:sz="4" w:space="0"/>
            </w:tcBorders>
            <w:vAlign w:val="center"/>
          </w:tcPr>
          <w:p w14:paraId="5EE44A28">
            <w:pPr>
              <w:spacing w:line="560" w:lineRule="exact"/>
              <w:rPr>
                <w:rFonts w:eastAsia="仿宋_GB2312"/>
                <w:sz w:val="24"/>
                <w:szCs w:val="28"/>
              </w:rPr>
            </w:pPr>
            <w:r>
              <w:rPr>
                <w:rFonts w:eastAsia="仿宋_GB2312"/>
                <w:sz w:val="24"/>
                <w:szCs w:val="28"/>
              </w:rPr>
              <w:t>杠杆运作限制</w:t>
            </w:r>
          </w:p>
        </w:tc>
        <w:tc>
          <w:tcPr>
            <w:tcW w:w="8218" w:type="dxa"/>
            <w:gridSpan w:val="6"/>
            <w:tcBorders>
              <w:bottom w:val="single" w:color="auto" w:sz="4" w:space="0"/>
            </w:tcBorders>
            <w:vAlign w:val="center"/>
          </w:tcPr>
          <w:p w14:paraId="24951A9F">
            <w:pPr>
              <w:spacing w:line="560" w:lineRule="exact"/>
              <w:rPr>
                <w:rFonts w:eastAsia="仿宋_GB2312"/>
                <w:sz w:val="24"/>
                <w:szCs w:val="28"/>
              </w:rPr>
            </w:pPr>
          </w:p>
        </w:tc>
      </w:tr>
      <w:tr w14:paraId="13EB3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jc w:val="center"/>
        </w:trPr>
        <w:tc>
          <w:tcPr>
            <w:tcW w:w="1889" w:type="dxa"/>
            <w:tcBorders>
              <w:bottom w:val="single" w:color="auto" w:sz="4" w:space="0"/>
            </w:tcBorders>
            <w:vAlign w:val="center"/>
          </w:tcPr>
          <w:p w14:paraId="489CB67F">
            <w:pPr>
              <w:spacing w:line="560" w:lineRule="exact"/>
              <w:rPr>
                <w:rFonts w:eastAsia="仿宋_GB2312"/>
                <w:sz w:val="24"/>
                <w:szCs w:val="28"/>
              </w:rPr>
            </w:pPr>
            <w:r>
              <w:rPr>
                <w:rFonts w:eastAsia="仿宋_GB2312"/>
                <w:sz w:val="24"/>
                <w:szCs w:val="28"/>
              </w:rPr>
              <w:t>回购违约情况说明</w:t>
            </w:r>
          </w:p>
        </w:tc>
        <w:tc>
          <w:tcPr>
            <w:tcW w:w="8218" w:type="dxa"/>
            <w:gridSpan w:val="6"/>
            <w:tcBorders>
              <w:bottom w:val="single" w:color="auto" w:sz="4" w:space="0"/>
            </w:tcBorders>
            <w:vAlign w:val="center"/>
          </w:tcPr>
          <w:p w14:paraId="29B363E3">
            <w:pPr>
              <w:spacing w:line="560" w:lineRule="exact"/>
              <w:rPr>
                <w:rFonts w:eastAsia="仿宋_GB2312"/>
                <w:sz w:val="24"/>
                <w:szCs w:val="28"/>
              </w:rPr>
            </w:pPr>
            <w:r>
              <w:rPr>
                <w:rFonts w:eastAsia="仿宋_GB2312"/>
                <w:color w:val="808080"/>
                <w:sz w:val="24"/>
                <w:szCs w:val="28"/>
              </w:rPr>
              <w:t>近两年是否发生过监管机构关注的回购违约事件（包括交易所及银行间债券市场）。如有</w:t>
            </w:r>
            <w:r>
              <w:rPr>
                <w:rFonts w:hint="eastAsia" w:eastAsia="仿宋_GB2312"/>
                <w:color w:val="808080"/>
                <w:sz w:val="24"/>
                <w:szCs w:val="28"/>
              </w:rPr>
              <w:t>，</w:t>
            </w:r>
            <w:r>
              <w:rPr>
                <w:rFonts w:eastAsia="仿宋_GB2312"/>
                <w:color w:val="808080"/>
                <w:sz w:val="24"/>
                <w:szCs w:val="28"/>
              </w:rPr>
              <w:t>请说明</w:t>
            </w:r>
            <w:r>
              <w:rPr>
                <w:rFonts w:hint="eastAsia" w:eastAsia="仿宋_GB2312"/>
                <w:color w:val="808080"/>
                <w:sz w:val="24"/>
                <w:szCs w:val="28"/>
              </w:rPr>
              <w:t>相关情况</w:t>
            </w:r>
            <w:r>
              <w:rPr>
                <w:rFonts w:eastAsia="仿宋_GB2312"/>
                <w:color w:val="808080"/>
                <w:sz w:val="24"/>
                <w:szCs w:val="28"/>
              </w:rPr>
              <w:t>。</w:t>
            </w:r>
          </w:p>
        </w:tc>
      </w:tr>
      <w:tr w14:paraId="36C18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1889" w:type="dxa"/>
            <w:vAlign w:val="center"/>
          </w:tcPr>
          <w:p w14:paraId="63F6ECDD">
            <w:pPr>
              <w:spacing w:line="560" w:lineRule="exact"/>
              <w:rPr>
                <w:rFonts w:eastAsia="仿宋_GB2312"/>
                <w:sz w:val="24"/>
                <w:szCs w:val="28"/>
              </w:rPr>
            </w:pPr>
            <w:r>
              <w:rPr>
                <w:rFonts w:eastAsia="仿宋_GB2312"/>
                <w:sz w:val="24"/>
                <w:szCs w:val="28"/>
              </w:rPr>
              <w:t>三方回购业务负责人</w:t>
            </w:r>
          </w:p>
        </w:tc>
        <w:tc>
          <w:tcPr>
            <w:tcW w:w="1345" w:type="dxa"/>
            <w:vAlign w:val="center"/>
          </w:tcPr>
          <w:p w14:paraId="7D90EA73">
            <w:pPr>
              <w:spacing w:line="560" w:lineRule="exact"/>
              <w:rPr>
                <w:rFonts w:eastAsia="仿宋_GB2312"/>
                <w:sz w:val="24"/>
                <w:szCs w:val="28"/>
              </w:rPr>
            </w:pPr>
            <w:r>
              <w:rPr>
                <w:rFonts w:eastAsia="仿宋_GB2312"/>
                <w:sz w:val="24"/>
                <w:szCs w:val="28"/>
              </w:rPr>
              <w:t>部门</w:t>
            </w:r>
          </w:p>
        </w:tc>
        <w:tc>
          <w:tcPr>
            <w:tcW w:w="1486" w:type="dxa"/>
            <w:vAlign w:val="center"/>
          </w:tcPr>
          <w:p w14:paraId="4E02FC8E">
            <w:pPr>
              <w:spacing w:line="560" w:lineRule="exact"/>
              <w:rPr>
                <w:rFonts w:eastAsia="仿宋_GB2312"/>
                <w:sz w:val="24"/>
                <w:szCs w:val="28"/>
              </w:rPr>
            </w:pPr>
            <w:r>
              <w:rPr>
                <w:rFonts w:eastAsia="仿宋_GB2312"/>
                <w:sz w:val="24"/>
                <w:szCs w:val="28"/>
              </w:rPr>
              <w:t>职务</w:t>
            </w:r>
          </w:p>
        </w:tc>
        <w:tc>
          <w:tcPr>
            <w:tcW w:w="854" w:type="dxa"/>
            <w:vAlign w:val="center"/>
          </w:tcPr>
          <w:p w14:paraId="08D9FF92">
            <w:pPr>
              <w:spacing w:line="560" w:lineRule="exact"/>
              <w:rPr>
                <w:rFonts w:eastAsia="仿宋_GB2312"/>
                <w:sz w:val="24"/>
                <w:szCs w:val="28"/>
              </w:rPr>
            </w:pPr>
            <w:r>
              <w:rPr>
                <w:rFonts w:eastAsia="仿宋_GB2312"/>
                <w:sz w:val="24"/>
                <w:szCs w:val="28"/>
              </w:rPr>
              <w:t>电话</w:t>
            </w:r>
          </w:p>
        </w:tc>
        <w:tc>
          <w:tcPr>
            <w:tcW w:w="1417" w:type="dxa"/>
            <w:vAlign w:val="center"/>
          </w:tcPr>
          <w:p w14:paraId="20C22612">
            <w:pPr>
              <w:spacing w:line="560" w:lineRule="exact"/>
              <w:rPr>
                <w:rFonts w:eastAsia="仿宋_GB2312"/>
                <w:sz w:val="24"/>
                <w:szCs w:val="28"/>
              </w:rPr>
            </w:pPr>
            <w:r>
              <w:rPr>
                <w:rFonts w:eastAsia="仿宋_GB2312"/>
                <w:sz w:val="24"/>
                <w:szCs w:val="28"/>
              </w:rPr>
              <w:t>手机</w:t>
            </w:r>
          </w:p>
        </w:tc>
        <w:tc>
          <w:tcPr>
            <w:tcW w:w="1619" w:type="dxa"/>
            <w:vAlign w:val="center"/>
          </w:tcPr>
          <w:p w14:paraId="75399475">
            <w:pPr>
              <w:spacing w:line="560" w:lineRule="exact"/>
              <w:rPr>
                <w:rFonts w:eastAsia="仿宋_GB2312"/>
                <w:sz w:val="24"/>
                <w:szCs w:val="28"/>
              </w:rPr>
            </w:pPr>
            <w:r>
              <w:rPr>
                <w:rFonts w:eastAsia="仿宋_GB2312"/>
                <w:sz w:val="24"/>
                <w:szCs w:val="28"/>
              </w:rPr>
              <w:t>传真</w:t>
            </w:r>
          </w:p>
        </w:tc>
        <w:tc>
          <w:tcPr>
            <w:tcW w:w="1497" w:type="dxa"/>
            <w:vAlign w:val="center"/>
          </w:tcPr>
          <w:p w14:paraId="1E4E1664">
            <w:pPr>
              <w:spacing w:line="560" w:lineRule="exact"/>
              <w:rPr>
                <w:rFonts w:eastAsia="仿宋_GB2312"/>
                <w:sz w:val="24"/>
                <w:szCs w:val="28"/>
              </w:rPr>
            </w:pPr>
            <w:r>
              <w:rPr>
                <w:rFonts w:eastAsia="仿宋_GB2312"/>
                <w:sz w:val="24"/>
                <w:szCs w:val="28"/>
              </w:rPr>
              <w:t>E-mail</w:t>
            </w:r>
          </w:p>
        </w:tc>
      </w:tr>
      <w:tr w14:paraId="3AF75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jc w:val="center"/>
        </w:trPr>
        <w:tc>
          <w:tcPr>
            <w:tcW w:w="1889" w:type="dxa"/>
            <w:vAlign w:val="center"/>
          </w:tcPr>
          <w:p w14:paraId="5C1C29BA">
            <w:pPr>
              <w:spacing w:line="560" w:lineRule="exact"/>
              <w:rPr>
                <w:rFonts w:eastAsia="仿宋_GB2312"/>
                <w:sz w:val="24"/>
                <w:szCs w:val="28"/>
              </w:rPr>
            </w:pPr>
          </w:p>
        </w:tc>
        <w:tc>
          <w:tcPr>
            <w:tcW w:w="1345" w:type="dxa"/>
            <w:vAlign w:val="center"/>
          </w:tcPr>
          <w:p w14:paraId="0CA70CEC">
            <w:pPr>
              <w:spacing w:line="560" w:lineRule="exact"/>
              <w:rPr>
                <w:rFonts w:eastAsia="仿宋_GB2312"/>
                <w:sz w:val="24"/>
                <w:szCs w:val="28"/>
              </w:rPr>
            </w:pPr>
          </w:p>
        </w:tc>
        <w:tc>
          <w:tcPr>
            <w:tcW w:w="1486" w:type="dxa"/>
            <w:vAlign w:val="center"/>
          </w:tcPr>
          <w:p w14:paraId="5673F908">
            <w:pPr>
              <w:spacing w:line="560" w:lineRule="exact"/>
              <w:rPr>
                <w:rFonts w:eastAsia="仿宋_GB2312"/>
                <w:sz w:val="24"/>
                <w:szCs w:val="28"/>
              </w:rPr>
            </w:pPr>
          </w:p>
        </w:tc>
        <w:tc>
          <w:tcPr>
            <w:tcW w:w="854" w:type="dxa"/>
            <w:vAlign w:val="center"/>
          </w:tcPr>
          <w:p w14:paraId="7DCCA7DB">
            <w:pPr>
              <w:spacing w:line="560" w:lineRule="exact"/>
              <w:rPr>
                <w:rFonts w:eastAsia="仿宋_GB2312"/>
                <w:sz w:val="24"/>
                <w:szCs w:val="28"/>
              </w:rPr>
            </w:pPr>
          </w:p>
        </w:tc>
        <w:tc>
          <w:tcPr>
            <w:tcW w:w="1417" w:type="dxa"/>
            <w:vAlign w:val="center"/>
          </w:tcPr>
          <w:p w14:paraId="3D476C13">
            <w:pPr>
              <w:spacing w:line="560" w:lineRule="exact"/>
              <w:rPr>
                <w:rFonts w:eastAsia="仿宋_GB2312"/>
                <w:sz w:val="24"/>
                <w:szCs w:val="28"/>
              </w:rPr>
            </w:pPr>
          </w:p>
        </w:tc>
        <w:tc>
          <w:tcPr>
            <w:tcW w:w="1619" w:type="dxa"/>
            <w:vAlign w:val="center"/>
          </w:tcPr>
          <w:p w14:paraId="4622D7F1">
            <w:pPr>
              <w:spacing w:line="560" w:lineRule="exact"/>
              <w:rPr>
                <w:rFonts w:eastAsia="仿宋_GB2312"/>
                <w:sz w:val="24"/>
                <w:szCs w:val="28"/>
              </w:rPr>
            </w:pPr>
          </w:p>
        </w:tc>
        <w:tc>
          <w:tcPr>
            <w:tcW w:w="1497" w:type="dxa"/>
            <w:vAlign w:val="center"/>
          </w:tcPr>
          <w:p w14:paraId="6AE13843">
            <w:pPr>
              <w:spacing w:line="560" w:lineRule="exact"/>
              <w:rPr>
                <w:rFonts w:eastAsia="仿宋_GB2312"/>
                <w:sz w:val="24"/>
                <w:szCs w:val="28"/>
              </w:rPr>
            </w:pPr>
          </w:p>
        </w:tc>
      </w:tr>
      <w:tr w14:paraId="7B5D4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1889" w:type="dxa"/>
            <w:vAlign w:val="center"/>
          </w:tcPr>
          <w:p w14:paraId="2A9B5829">
            <w:pPr>
              <w:spacing w:line="560" w:lineRule="exact"/>
              <w:rPr>
                <w:rFonts w:eastAsia="仿宋_GB2312"/>
                <w:sz w:val="24"/>
                <w:szCs w:val="28"/>
              </w:rPr>
            </w:pPr>
            <w:r>
              <w:rPr>
                <w:rFonts w:eastAsia="仿宋_GB2312"/>
                <w:sz w:val="24"/>
                <w:szCs w:val="28"/>
              </w:rPr>
              <w:t>三方回购业务联络人</w:t>
            </w:r>
          </w:p>
        </w:tc>
        <w:tc>
          <w:tcPr>
            <w:tcW w:w="1345" w:type="dxa"/>
            <w:vAlign w:val="center"/>
          </w:tcPr>
          <w:p w14:paraId="7A1CF7D0">
            <w:pPr>
              <w:spacing w:line="560" w:lineRule="exact"/>
              <w:rPr>
                <w:rFonts w:eastAsia="仿宋_GB2312"/>
                <w:sz w:val="24"/>
                <w:szCs w:val="28"/>
              </w:rPr>
            </w:pPr>
            <w:r>
              <w:rPr>
                <w:rFonts w:eastAsia="仿宋_GB2312"/>
                <w:sz w:val="24"/>
                <w:szCs w:val="28"/>
              </w:rPr>
              <w:t>部门</w:t>
            </w:r>
          </w:p>
        </w:tc>
        <w:tc>
          <w:tcPr>
            <w:tcW w:w="1486" w:type="dxa"/>
            <w:vAlign w:val="center"/>
          </w:tcPr>
          <w:p w14:paraId="5EC110D9">
            <w:pPr>
              <w:spacing w:line="560" w:lineRule="exact"/>
              <w:rPr>
                <w:rFonts w:eastAsia="仿宋_GB2312"/>
                <w:sz w:val="24"/>
                <w:szCs w:val="28"/>
              </w:rPr>
            </w:pPr>
            <w:r>
              <w:rPr>
                <w:rFonts w:eastAsia="仿宋_GB2312"/>
                <w:sz w:val="24"/>
                <w:szCs w:val="28"/>
              </w:rPr>
              <w:t>职务</w:t>
            </w:r>
          </w:p>
        </w:tc>
        <w:tc>
          <w:tcPr>
            <w:tcW w:w="854" w:type="dxa"/>
            <w:vAlign w:val="center"/>
          </w:tcPr>
          <w:p w14:paraId="6511EE9A">
            <w:pPr>
              <w:spacing w:line="560" w:lineRule="exact"/>
              <w:rPr>
                <w:rFonts w:eastAsia="仿宋_GB2312"/>
                <w:sz w:val="24"/>
                <w:szCs w:val="28"/>
              </w:rPr>
            </w:pPr>
            <w:r>
              <w:rPr>
                <w:rFonts w:eastAsia="仿宋_GB2312"/>
                <w:sz w:val="24"/>
                <w:szCs w:val="28"/>
              </w:rPr>
              <w:t>电话</w:t>
            </w:r>
          </w:p>
        </w:tc>
        <w:tc>
          <w:tcPr>
            <w:tcW w:w="1417" w:type="dxa"/>
            <w:vAlign w:val="center"/>
          </w:tcPr>
          <w:p w14:paraId="587F457C">
            <w:pPr>
              <w:spacing w:line="560" w:lineRule="exact"/>
              <w:rPr>
                <w:rFonts w:eastAsia="仿宋_GB2312"/>
                <w:sz w:val="24"/>
                <w:szCs w:val="28"/>
              </w:rPr>
            </w:pPr>
            <w:r>
              <w:rPr>
                <w:rFonts w:eastAsia="仿宋_GB2312"/>
                <w:sz w:val="24"/>
                <w:szCs w:val="28"/>
              </w:rPr>
              <w:t>手机</w:t>
            </w:r>
          </w:p>
        </w:tc>
        <w:tc>
          <w:tcPr>
            <w:tcW w:w="1619" w:type="dxa"/>
            <w:vAlign w:val="center"/>
          </w:tcPr>
          <w:p w14:paraId="3878B2D9">
            <w:pPr>
              <w:spacing w:line="560" w:lineRule="exact"/>
              <w:rPr>
                <w:rFonts w:eastAsia="仿宋_GB2312"/>
                <w:sz w:val="24"/>
                <w:szCs w:val="28"/>
              </w:rPr>
            </w:pPr>
            <w:r>
              <w:rPr>
                <w:rFonts w:eastAsia="仿宋_GB2312"/>
                <w:sz w:val="24"/>
                <w:szCs w:val="28"/>
              </w:rPr>
              <w:t>传真</w:t>
            </w:r>
          </w:p>
        </w:tc>
        <w:tc>
          <w:tcPr>
            <w:tcW w:w="1497" w:type="dxa"/>
            <w:vAlign w:val="center"/>
          </w:tcPr>
          <w:p w14:paraId="10C30EF8">
            <w:pPr>
              <w:spacing w:line="560" w:lineRule="exact"/>
              <w:rPr>
                <w:rFonts w:eastAsia="仿宋_GB2312"/>
                <w:sz w:val="24"/>
                <w:szCs w:val="28"/>
              </w:rPr>
            </w:pPr>
            <w:r>
              <w:rPr>
                <w:rFonts w:eastAsia="仿宋_GB2312"/>
                <w:sz w:val="24"/>
                <w:szCs w:val="28"/>
              </w:rPr>
              <w:t>E-mail</w:t>
            </w:r>
          </w:p>
        </w:tc>
      </w:tr>
      <w:tr w14:paraId="6023F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atLeast"/>
          <w:jc w:val="center"/>
        </w:trPr>
        <w:tc>
          <w:tcPr>
            <w:tcW w:w="1889" w:type="dxa"/>
            <w:tcBorders>
              <w:bottom w:val="single" w:color="auto" w:sz="4" w:space="0"/>
            </w:tcBorders>
            <w:vAlign w:val="center"/>
          </w:tcPr>
          <w:p w14:paraId="3272E6FF">
            <w:pPr>
              <w:spacing w:line="560" w:lineRule="exact"/>
              <w:rPr>
                <w:rFonts w:eastAsia="仿宋_GB2312"/>
                <w:sz w:val="24"/>
                <w:szCs w:val="28"/>
              </w:rPr>
            </w:pPr>
          </w:p>
        </w:tc>
        <w:tc>
          <w:tcPr>
            <w:tcW w:w="1345" w:type="dxa"/>
            <w:tcBorders>
              <w:bottom w:val="single" w:color="auto" w:sz="4" w:space="0"/>
            </w:tcBorders>
            <w:vAlign w:val="center"/>
          </w:tcPr>
          <w:p w14:paraId="65E28BB7">
            <w:pPr>
              <w:spacing w:line="560" w:lineRule="exact"/>
              <w:rPr>
                <w:rFonts w:eastAsia="仿宋_GB2312"/>
                <w:sz w:val="24"/>
                <w:szCs w:val="28"/>
              </w:rPr>
            </w:pPr>
          </w:p>
        </w:tc>
        <w:tc>
          <w:tcPr>
            <w:tcW w:w="1486" w:type="dxa"/>
            <w:tcBorders>
              <w:bottom w:val="single" w:color="auto" w:sz="4" w:space="0"/>
            </w:tcBorders>
            <w:vAlign w:val="center"/>
          </w:tcPr>
          <w:p w14:paraId="1625131B">
            <w:pPr>
              <w:spacing w:line="560" w:lineRule="exact"/>
              <w:rPr>
                <w:rFonts w:eastAsia="仿宋_GB2312"/>
                <w:sz w:val="24"/>
                <w:szCs w:val="28"/>
              </w:rPr>
            </w:pPr>
          </w:p>
        </w:tc>
        <w:tc>
          <w:tcPr>
            <w:tcW w:w="854" w:type="dxa"/>
            <w:tcBorders>
              <w:bottom w:val="single" w:color="auto" w:sz="4" w:space="0"/>
            </w:tcBorders>
            <w:vAlign w:val="center"/>
          </w:tcPr>
          <w:p w14:paraId="48447B91">
            <w:pPr>
              <w:spacing w:line="560" w:lineRule="exact"/>
              <w:rPr>
                <w:rFonts w:eastAsia="仿宋_GB2312"/>
                <w:sz w:val="24"/>
                <w:szCs w:val="28"/>
              </w:rPr>
            </w:pPr>
          </w:p>
        </w:tc>
        <w:tc>
          <w:tcPr>
            <w:tcW w:w="1417" w:type="dxa"/>
            <w:tcBorders>
              <w:bottom w:val="single" w:color="auto" w:sz="4" w:space="0"/>
            </w:tcBorders>
            <w:vAlign w:val="center"/>
          </w:tcPr>
          <w:p w14:paraId="6F57F728">
            <w:pPr>
              <w:spacing w:line="560" w:lineRule="exact"/>
              <w:rPr>
                <w:rFonts w:eastAsia="仿宋_GB2312"/>
                <w:sz w:val="24"/>
                <w:szCs w:val="28"/>
              </w:rPr>
            </w:pPr>
          </w:p>
        </w:tc>
        <w:tc>
          <w:tcPr>
            <w:tcW w:w="1619" w:type="dxa"/>
            <w:tcBorders>
              <w:bottom w:val="single" w:color="auto" w:sz="4" w:space="0"/>
            </w:tcBorders>
            <w:vAlign w:val="center"/>
          </w:tcPr>
          <w:p w14:paraId="1EB9049A">
            <w:pPr>
              <w:spacing w:line="560" w:lineRule="exact"/>
              <w:rPr>
                <w:rFonts w:eastAsia="仿宋_GB2312"/>
                <w:sz w:val="24"/>
                <w:szCs w:val="28"/>
              </w:rPr>
            </w:pPr>
          </w:p>
        </w:tc>
        <w:tc>
          <w:tcPr>
            <w:tcW w:w="1497" w:type="dxa"/>
            <w:tcBorders>
              <w:bottom w:val="single" w:color="auto" w:sz="4" w:space="0"/>
            </w:tcBorders>
            <w:vAlign w:val="center"/>
          </w:tcPr>
          <w:p w14:paraId="7BDBD16F">
            <w:pPr>
              <w:spacing w:line="560" w:lineRule="exact"/>
              <w:rPr>
                <w:rFonts w:eastAsia="仿宋_GB2312"/>
                <w:sz w:val="24"/>
                <w:szCs w:val="28"/>
              </w:rPr>
            </w:pPr>
          </w:p>
        </w:tc>
      </w:tr>
      <w:tr w14:paraId="67FEF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jc w:val="center"/>
        </w:trPr>
        <w:tc>
          <w:tcPr>
            <w:tcW w:w="1889" w:type="dxa"/>
            <w:tcBorders>
              <w:top w:val="single" w:color="auto" w:sz="4" w:space="0"/>
              <w:left w:val="single" w:color="auto" w:sz="4" w:space="0"/>
              <w:bottom w:val="single" w:color="auto" w:sz="4" w:space="0"/>
              <w:right w:val="single" w:color="auto" w:sz="4" w:space="0"/>
            </w:tcBorders>
            <w:vAlign w:val="center"/>
          </w:tcPr>
          <w:p w14:paraId="04A2C097">
            <w:pPr>
              <w:spacing w:line="560" w:lineRule="exact"/>
              <w:rPr>
                <w:rFonts w:eastAsia="仿宋_GB2312"/>
                <w:sz w:val="24"/>
              </w:rPr>
            </w:pPr>
            <w:r>
              <w:rPr>
                <w:rFonts w:eastAsia="仿宋_GB2312"/>
                <w:sz w:val="24"/>
              </w:rPr>
              <w:t>最近第一个会计年度资产管理规模（亿元）</w:t>
            </w:r>
          </w:p>
        </w:tc>
        <w:tc>
          <w:tcPr>
            <w:tcW w:w="8218" w:type="dxa"/>
            <w:gridSpan w:val="6"/>
            <w:tcBorders>
              <w:top w:val="single" w:color="auto" w:sz="4" w:space="0"/>
              <w:left w:val="single" w:color="auto" w:sz="4" w:space="0"/>
              <w:bottom w:val="single" w:color="auto" w:sz="4" w:space="0"/>
              <w:right w:val="single" w:color="auto" w:sz="4" w:space="0"/>
            </w:tcBorders>
            <w:vAlign w:val="center"/>
          </w:tcPr>
          <w:p w14:paraId="1AD5CBDB">
            <w:pPr>
              <w:spacing w:line="560" w:lineRule="exact"/>
              <w:rPr>
                <w:rFonts w:eastAsia="仿宋_GB2312"/>
                <w:color w:val="A6A6A6"/>
                <w:sz w:val="24"/>
              </w:rPr>
            </w:pPr>
            <w:r>
              <w:rPr>
                <w:rFonts w:eastAsia="仿宋_GB2312"/>
                <w:color w:val="A6A6A6"/>
                <w:sz w:val="24"/>
              </w:rPr>
              <w:t>（公募基金填写管理人所管理的公募基金资产规模，理财产品填写管理人的总资产规模）</w:t>
            </w:r>
          </w:p>
        </w:tc>
      </w:tr>
    </w:tbl>
    <w:p w14:paraId="576656E1">
      <w:pPr>
        <w:spacing w:line="560" w:lineRule="exact"/>
        <w:jc w:val="left"/>
        <w:rPr>
          <w:rFonts w:eastAsia="仿宋_GB2312"/>
          <w:sz w:val="24"/>
        </w:rPr>
      </w:pPr>
      <w:r>
        <w:rPr>
          <w:rFonts w:eastAsia="仿宋_GB2312"/>
          <w:kern w:val="28"/>
          <w:sz w:val="24"/>
        </w:rPr>
        <w:t>备注：1、</w:t>
      </w:r>
      <w:r>
        <w:rPr>
          <w:rFonts w:hint="eastAsia" w:eastAsia="仿宋_GB2312"/>
          <w:kern w:val="28"/>
          <w:sz w:val="24"/>
        </w:rPr>
        <w:t>私募</w:t>
      </w:r>
      <w:r>
        <w:rPr>
          <w:rFonts w:eastAsia="仿宋_GB2312"/>
          <w:sz w:val="24"/>
          <w:szCs w:val="28"/>
        </w:rPr>
        <w:t>产品</w:t>
      </w:r>
      <w:r>
        <w:rPr>
          <w:rFonts w:hint="eastAsia" w:eastAsia="仿宋_GB2312"/>
          <w:sz w:val="24"/>
          <w:szCs w:val="28"/>
        </w:rPr>
        <w:t>需要填写</w:t>
      </w:r>
      <w:r>
        <w:rPr>
          <w:rFonts w:eastAsia="仿宋_GB2312"/>
          <w:sz w:val="24"/>
          <w:szCs w:val="28"/>
        </w:rPr>
        <w:t>委托人</w:t>
      </w:r>
      <w:r>
        <w:rPr>
          <w:rFonts w:hint="eastAsia" w:eastAsia="仿宋_GB2312"/>
          <w:sz w:val="24"/>
          <w:szCs w:val="28"/>
        </w:rPr>
        <w:t>信息，委托人</w:t>
      </w:r>
      <w:r>
        <w:rPr>
          <w:rFonts w:eastAsia="仿宋_GB2312"/>
          <w:sz w:val="24"/>
          <w:szCs w:val="28"/>
        </w:rPr>
        <w:t>为多个的，填写前三大委托人。杠杆运作限制、</w:t>
      </w:r>
      <w:r>
        <w:rPr>
          <w:rFonts w:eastAsia="仿宋_GB2312"/>
          <w:sz w:val="24"/>
        </w:rPr>
        <w:t>资产管理规模仅正回购方</w:t>
      </w:r>
      <w:r>
        <w:rPr>
          <w:rFonts w:hint="eastAsia" w:eastAsia="仿宋_GB2312"/>
          <w:sz w:val="24"/>
        </w:rPr>
        <w:t>需要填写</w:t>
      </w:r>
      <w:r>
        <w:rPr>
          <w:rFonts w:eastAsia="仿宋_GB2312"/>
          <w:sz w:val="24"/>
          <w:szCs w:val="28"/>
        </w:rPr>
        <w:t>。</w:t>
      </w:r>
    </w:p>
    <w:p w14:paraId="66366870">
      <w:pPr>
        <w:numPr>
          <w:ilvl w:val="0"/>
          <w:numId w:val="26"/>
        </w:numPr>
        <w:spacing w:line="560" w:lineRule="exact"/>
        <w:ind w:firstLine="720" w:firstLineChars="300"/>
        <w:jc w:val="left"/>
        <w:rPr>
          <w:rFonts w:eastAsia="仿宋_GB2312"/>
          <w:sz w:val="24"/>
          <w:szCs w:val="28"/>
        </w:rPr>
      </w:pPr>
      <w:r>
        <w:rPr>
          <w:rFonts w:eastAsia="仿宋_GB2312"/>
          <w:sz w:val="24"/>
          <w:szCs w:val="28"/>
        </w:rPr>
        <w:t>已进行过备案开通逆回购权限的，再次备案申请开通正回购权限时，应保证普通证券账户及相关信息的前后一致性。反之亦然。</w:t>
      </w:r>
    </w:p>
    <w:p w14:paraId="426FA857">
      <w:pPr>
        <w:numPr>
          <w:ilvl w:val="255"/>
          <w:numId w:val="0"/>
        </w:numPr>
        <w:spacing w:line="560" w:lineRule="exact"/>
        <w:jc w:val="left"/>
        <w:rPr>
          <w:rFonts w:eastAsia="仿宋_GB2312"/>
          <w:sz w:val="24"/>
          <w:szCs w:val="28"/>
        </w:rPr>
      </w:pPr>
    </w:p>
    <w:p w14:paraId="34C1BAA1">
      <w:pPr>
        <w:spacing w:line="560" w:lineRule="exact"/>
        <w:rPr>
          <w:rFonts w:eastAsia="仿宋_GB2312"/>
          <w:sz w:val="30"/>
          <w:szCs w:val="30"/>
        </w:rPr>
      </w:pPr>
      <w:r>
        <w:rPr>
          <w:rFonts w:hint="eastAsia" w:eastAsia="仿宋_GB2312"/>
          <w:sz w:val="30"/>
          <w:szCs w:val="30"/>
        </w:rPr>
        <w:t>我公司在此郑重承诺：</w:t>
      </w:r>
    </w:p>
    <w:p w14:paraId="707744D9">
      <w:pPr>
        <w:spacing w:line="560" w:lineRule="exact"/>
        <w:rPr>
          <w:rFonts w:eastAsia="仿宋_GB2312"/>
          <w:sz w:val="30"/>
          <w:szCs w:val="30"/>
        </w:rPr>
      </w:pPr>
      <w:r>
        <w:rPr>
          <w:rFonts w:hint="eastAsia" w:eastAsia="仿宋_GB2312"/>
          <w:sz w:val="30"/>
          <w:szCs w:val="30"/>
        </w:rPr>
        <w:t>一、遵守法律、法规、规章、上交所及中国结算相关业务规则，依法参与上交所债券三方回购业务。</w:t>
      </w:r>
    </w:p>
    <w:p w14:paraId="7300B815">
      <w:pPr>
        <w:spacing w:line="560" w:lineRule="exact"/>
        <w:rPr>
          <w:rFonts w:eastAsia="仿宋_GB2312"/>
          <w:sz w:val="30"/>
          <w:szCs w:val="30"/>
        </w:rPr>
      </w:pPr>
      <w:r>
        <w:rPr>
          <w:rFonts w:hint="eastAsia" w:eastAsia="仿宋_GB2312"/>
          <w:sz w:val="30"/>
          <w:szCs w:val="30"/>
        </w:rPr>
        <w:t>二、诚实守信，自觉遵守商业道德，维护上交所债券市场秩序。</w:t>
      </w:r>
    </w:p>
    <w:p w14:paraId="6928F724">
      <w:pPr>
        <w:spacing w:line="560" w:lineRule="exact"/>
        <w:rPr>
          <w:rFonts w:eastAsia="仿宋_GB2312"/>
          <w:sz w:val="30"/>
          <w:szCs w:val="30"/>
        </w:rPr>
      </w:pPr>
      <w:r>
        <w:rPr>
          <w:rFonts w:hint="eastAsia" w:eastAsia="仿宋_GB2312"/>
          <w:sz w:val="30"/>
          <w:szCs w:val="30"/>
        </w:rPr>
        <w:t>三、同意遵守上交所、中国结算关于三方回购的相关规定，接受上交所、中国结算的自律管理。</w:t>
      </w:r>
    </w:p>
    <w:p w14:paraId="3609E5DF">
      <w:pPr>
        <w:spacing w:line="560" w:lineRule="exact"/>
        <w:rPr>
          <w:rFonts w:eastAsia="仿宋_GB2312"/>
          <w:sz w:val="30"/>
          <w:szCs w:val="30"/>
        </w:rPr>
      </w:pPr>
      <w:r>
        <w:rPr>
          <w:rFonts w:hint="eastAsia" w:eastAsia="仿宋_GB2312"/>
          <w:sz w:val="30"/>
          <w:szCs w:val="30"/>
        </w:rPr>
        <w:t>四、如违反法律、法规、规章、上交所及中国结算相关业务规则，接受上交所做出的包括但不限于取消三方回购投资者适当性备案等监管措施，并对此承担一切法律责任。</w:t>
      </w:r>
    </w:p>
    <w:p w14:paraId="62CFE10B">
      <w:pPr>
        <w:pStyle w:val="18"/>
        <w:spacing w:line="560" w:lineRule="exact"/>
        <w:jc w:val="left"/>
        <w:rPr>
          <w:rFonts w:ascii="Times New Roman"/>
          <w:szCs w:val="30"/>
        </w:rPr>
      </w:pPr>
      <w:r>
        <w:rPr>
          <w:rFonts w:hint="eastAsia" w:ascii="Times New Roman"/>
          <w:szCs w:val="30"/>
        </w:rPr>
        <w:t>我公司保证向上交所提供的书面和电子申请资料的真实、准确、完整与合法。</w:t>
      </w:r>
    </w:p>
    <w:p w14:paraId="004C1D77">
      <w:pPr>
        <w:spacing w:line="560" w:lineRule="exact"/>
        <w:jc w:val="left"/>
        <w:rPr>
          <w:rFonts w:eastAsia="仿宋_GB2312"/>
          <w:kern w:val="28"/>
        </w:rPr>
      </w:pPr>
    </w:p>
    <w:p w14:paraId="68666D53">
      <w:pPr>
        <w:pStyle w:val="18"/>
        <w:spacing w:line="560" w:lineRule="exact"/>
        <w:jc w:val="right"/>
        <w:rPr>
          <w:rFonts w:hAnsi="仿宋_GB2312" w:cs="仿宋_GB2312"/>
          <w:szCs w:val="30"/>
        </w:rPr>
      </w:pPr>
      <w:r>
        <w:rPr>
          <w:rFonts w:hint="eastAsia" w:hAnsi="仿宋_GB2312" w:cs="仿宋_GB2312"/>
          <w:szCs w:val="30"/>
        </w:rPr>
        <w:t>申请人：</w:t>
      </w:r>
      <w:r>
        <w:rPr>
          <w:rFonts w:hAnsi="仿宋_GB2312" w:cs="仿宋_GB2312"/>
          <w:szCs w:val="30"/>
        </w:rPr>
        <w:t>_____________________</w:t>
      </w:r>
      <w:r>
        <w:rPr>
          <w:rFonts w:hint="eastAsia" w:hAnsi="仿宋_GB2312" w:cs="仿宋_GB2312"/>
          <w:szCs w:val="30"/>
        </w:rPr>
        <w:t>公司</w:t>
      </w:r>
      <w:r>
        <w:rPr>
          <w:rFonts w:hAnsi="仿宋_GB2312" w:cs="仿宋_GB2312"/>
          <w:szCs w:val="30"/>
        </w:rPr>
        <w:t xml:space="preserve">   </w:t>
      </w:r>
      <w:r>
        <w:rPr>
          <w:rFonts w:hint="eastAsia" w:hAnsi="仿宋_GB2312" w:cs="仿宋_GB2312"/>
          <w:szCs w:val="30"/>
        </w:rPr>
        <w:t>（加盖管理人公章）</w:t>
      </w:r>
    </w:p>
    <w:p w14:paraId="3A8994B6">
      <w:pPr>
        <w:pStyle w:val="18"/>
        <w:spacing w:line="560" w:lineRule="exact"/>
        <w:jc w:val="right"/>
        <w:rPr>
          <w:rFonts w:hAnsi="仿宋_GB2312" w:cs="仿宋_GB2312"/>
          <w:szCs w:val="30"/>
        </w:rPr>
      </w:pPr>
    </w:p>
    <w:p w14:paraId="5926B749">
      <w:pPr>
        <w:pStyle w:val="18"/>
        <w:spacing w:line="560" w:lineRule="exact"/>
        <w:ind w:right="560"/>
        <w:jc w:val="center"/>
        <w:rPr>
          <w:rFonts w:hAnsi="仿宋_GB2312" w:cs="仿宋_GB2312"/>
          <w:szCs w:val="30"/>
        </w:rPr>
      </w:pPr>
      <w:r>
        <w:rPr>
          <w:rFonts w:hAnsi="仿宋_GB2312" w:cs="仿宋_GB2312"/>
          <w:szCs w:val="30"/>
        </w:rPr>
        <w:t xml:space="preserve">                                </w:t>
      </w:r>
      <w:r>
        <w:rPr>
          <w:rFonts w:hint="eastAsia" w:hAnsi="仿宋_GB2312" w:cs="仿宋_GB2312"/>
          <w:szCs w:val="30"/>
        </w:rPr>
        <w:t>经办人（签字）：</w:t>
      </w:r>
    </w:p>
    <w:p w14:paraId="15E400AF">
      <w:pPr>
        <w:pStyle w:val="18"/>
        <w:spacing w:line="560" w:lineRule="exact"/>
        <w:ind w:right="560"/>
        <w:jc w:val="center"/>
        <w:rPr>
          <w:rFonts w:hAnsi="仿宋_GB2312" w:cs="仿宋_GB2312"/>
          <w:szCs w:val="30"/>
        </w:rPr>
      </w:pPr>
      <w:r>
        <w:rPr>
          <w:rFonts w:hAnsi="仿宋_GB2312" w:cs="仿宋_GB2312"/>
          <w:szCs w:val="30"/>
        </w:rPr>
        <w:t xml:space="preserve">                                    </w:t>
      </w:r>
      <w:r>
        <w:rPr>
          <w:rFonts w:hint="eastAsia" w:hAnsi="仿宋_GB2312" w:cs="仿宋_GB2312"/>
          <w:szCs w:val="30"/>
        </w:rPr>
        <w:t>申请日期：</w:t>
      </w:r>
    </w:p>
    <w:p w14:paraId="71DF8836">
      <w:pPr>
        <w:pStyle w:val="18"/>
        <w:spacing w:line="560" w:lineRule="exact"/>
        <w:ind w:right="560"/>
        <w:jc w:val="center"/>
        <w:rPr>
          <w:rFonts w:hAnsi="仿宋_GB2312" w:cs="仿宋_GB2312"/>
          <w:szCs w:val="30"/>
        </w:rPr>
      </w:pPr>
      <w:r>
        <w:rPr>
          <w:rFonts w:hAnsi="仿宋_GB2312" w:cs="仿宋_GB2312"/>
          <w:szCs w:val="30"/>
        </w:rPr>
        <w:t xml:space="preserve">                                     </w:t>
      </w:r>
      <w:r>
        <w:rPr>
          <w:rFonts w:hint="eastAsia" w:hAnsi="仿宋_GB2312" w:cs="仿宋_GB2312"/>
          <w:szCs w:val="30"/>
        </w:rPr>
        <w:t>联系电话：</w:t>
      </w:r>
    </w:p>
    <w:p w14:paraId="2CE32B37">
      <w:pPr>
        <w:widowControl/>
        <w:spacing w:line="560" w:lineRule="exact"/>
        <w:jc w:val="left"/>
        <w:rPr>
          <w:rFonts w:eastAsia="仿宋_GB2312"/>
          <w:sz w:val="28"/>
          <w:szCs w:val="28"/>
        </w:rPr>
      </w:pPr>
      <w:r>
        <w:rPr>
          <w:rFonts w:eastAsia="仿宋_GB2312"/>
          <w:sz w:val="28"/>
          <w:szCs w:val="28"/>
        </w:rPr>
        <w:br w:type="page"/>
      </w:r>
    </w:p>
    <w:p w14:paraId="1703F382">
      <w:pPr>
        <w:widowControl/>
        <w:jc w:val="left"/>
        <w:outlineLvl w:val="1"/>
        <w:rPr>
          <w:rFonts w:ascii="仿宋_GB2312" w:hAnsi="黑体" w:eastAsia="仿宋_GB2312"/>
          <w:b/>
          <w:sz w:val="30"/>
          <w:szCs w:val="30"/>
        </w:rPr>
      </w:pPr>
      <w:bookmarkStart w:id="3885" w:name="_Toc1357414108"/>
      <w:bookmarkStart w:id="3886" w:name="_Toc151137102"/>
      <w:bookmarkStart w:id="3887" w:name="_Toc1781312180"/>
      <w:bookmarkStart w:id="3888" w:name="_Toc1857010551"/>
      <w:bookmarkStart w:id="3889" w:name="_Toc1658182711"/>
      <w:r>
        <w:rPr>
          <w:rFonts w:hint="eastAsia" w:ascii="仿宋_GB2312" w:hAnsi="黑体" w:eastAsia="仿宋_GB2312"/>
          <w:b/>
          <w:sz w:val="30"/>
          <w:szCs w:val="30"/>
        </w:rPr>
        <w:t>附件19 投资者适当性备案渠道</w:t>
      </w:r>
      <w:bookmarkEnd w:id="3885"/>
      <w:bookmarkEnd w:id="3886"/>
      <w:bookmarkEnd w:id="3887"/>
      <w:bookmarkEnd w:id="3888"/>
      <w:bookmarkEnd w:id="3889"/>
    </w:p>
    <w:p w14:paraId="7CDC4B50">
      <w:pPr>
        <w:pStyle w:val="92"/>
        <w:spacing w:line="560" w:lineRule="exact"/>
        <w:ind w:left="0" w:firstLine="600" w:firstLineChars="200"/>
        <w:rPr>
          <w:rFonts w:eastAsia="仿宋_GB2312"/>
          <w:kern w:val="2"/>
          <w:sz w:val="30"/>
          <w:szCs w:val="30"/>
          <w:lang w:eastAsia="zh-CN" w:bidi="ar-SA"/>
        </w:rPr>
      </w:pPr>
      <w:r>
        <w:rPr>
          <w:rFonts w:hint="eastAsia" w:eastAsia="仿宋_GB2312"/>
          <w:kern w:val="2"/>
          <w:sz w:val="30"/>
          <w:szCs w:val="30"/>
          <w:lang w:eastAsia="zh-CN" w:bidi="ar-SA"/>
        </w:rPr>
        <w:t>投资者适当性备案材料可通过以下两种方式提交上交所：</w:t>
      </w:r>
    </w:p>
    <w:p w14:paraId="3D5946F3">
      <w:pPr>
        <w:numPr>
          <w:ilvl w:val="255"/>
          <w:numId w:val="0"/>
        </w:numPr>
        <w:spacing w:line="560" w:lineRule="exact"/>
        <w:ind w:firstLine="602" w:firstLineChars="200"/>
        <w:outlineLvl w:val="9"/>
        <w:rPr>
          <w:rFonts w:eastAsia="仿宋_GB2312"/>
          <w:b/>
          <w:bCs/>
          <w:i w:val="0"/>
          <w:iCs w:val="0"/>
          <w:color w:val="auto"/>
          <w:sz w:val="30"/>
          <w:szCs w:val="30"/>
          <w:lang w:eastAsia="zh-CN"/>
        </w:rPr>
      </w:pPr>
      <w:r>
        <w:rPr>
          <w:rFonts w:eastAsia="仿宋_GB2312"/>
          <w:b/>
          <w:bCs/>
          <w:i w:val="0"/>
          <w:iCs w:val="0"/>
          <w:color w:val="auto"/>
          <w:sz w:val="30"/>
          <w:szCs w:val="30"/>
          <w:lang w:eastAsia="zh-CN"/>
        </w:rPr>
        <w:t>1.</w:t>
      </w:r>
      <w:r>
        <w:rPr>
          <w:rFonts w:hint="eastAsia" w:eastAsia="仿宋_GB2312"/>
          <w:b/>
          <w:bCs/>
          <w:i w:val="0"/>
          <w:iCs w:val="0"/>
          <w:color w:val="auto"/>
          <w:sz w:val="30"/>
          <w:szCs w:val="30"/>
          <w:lang w:eastAsia="zh-CN"/>
        </w:rPr>
        <w:t>通过债券业务系统方式备案</w:t>
      </w:r>
    </w:p>
    <w:p w14:paraId="75A23D08">
      <w:pPr>
        <w:widowControl/>
        <w:spacing w:line="560" w:lineRule="exact"/>
        <w:ind w:firstLine="600" w:firstLineChars="200"/>
        <w:jc w:val="left"/>
        <w:rPr>
          <w:rFonts w:eastAsia="仿宋_GB2312"/>
          <w:sz w:val="28"/>
          <w:szCs w:val="28"/>
        </w:rPr>
      </w:pPr>
      <w:r>
        <w:rPr>
          <w:rFonts w:hint="eastAsia" w:eastAsia="仿宋_GB2312"/>
          <w:sz w:val="30"/>
          <w:szCs w:val="30"/>
        </w:rPr>
        <w:t>上交所债券业务管理系统有两个入口网址</w:t>
      </w:r>
      <w:r>
        <w:rPr>
          <w:rFonts w:eastAsia="仿宋_GB2312"/>
          <w:sz w:val="28"/>
          <w:szCs w:val="28"/>
        </w:rPr>
        <w:t>：</w:t>
      </w:r>
    </w:p>
    <w:p w14:paraId="4B2D80C3">
      <w:pPr>
        <w:widowControl/>
        <w:spacing w:line="560" w:lineRule="exact"/>
        <w:ind w:firstLine="420" w:firstLineChars="200"/>
        <w:jc w:val="left"/>
        <w:rPr>
          <w:rFonts w:eastAsia="仿宋_GB2312"/>
          <w:sz w:val="28"/>
          <w:szCs w:val="28"/>
        </w:rPr>
      </w:pPr>
      <w:r>
        <w:fldChar w:fldCharType="begin"/>
      </w:r>
      <w:r>
        <w:instrText xml:space="preserve"> HYPERLINK "https://222.66.87.193/bms" </w:instrText>
      </w:r>
      <w:r>
        <w:fldChar w:fldCharType="separate"/>
      </w:r>
      <w:r>
        <w:rPr>
          <w:rStyle w:val="51"/>
          <w:rFonts w:eastAsia="仿宋_GB2312"/>
          <w:sz w:val="28"/>
          <w:szCs w:val="28"/>
        </w:rPr>
        <w:t>https://222.66.87.193/bms</w:t>
      </w:r>
      <w:r>
        <w:rPr>
          <w:rStyle w:val="51"/>
          <w:rFonts w:eastAsia="仿宋_GB2312"/>
          <w:sz w:val="28"/>
          <w:szCs w:val="28"/>
        </w:rPr>
        <w:fldChar w:fldCharType="end"/>
      </w:r>
    </w:p>
    <w:p w14:paraId="04D3EE74">
      <w:pPr>
        <w:widowControl/>
        <w:spacing w:line="560" w:lineRule="exact"/>
        <w:ind w:firstLine="420" w:firstLineChars="200"/>
        <w:jc w:val="left"/>
        <w:rPr>
          <w:rFonts w:eastAsia="仿宋_GB2312"/>
          <w:sz w:val="28"/>
          <w:szCs w:val="28"/>
        </w:rPr>
      </w:pPr>
      <w:r>
        <w:fldChar w:fldCharType="begin"/>
      </w:r>
      <w:r>
        <w:instrText xml:space="preserve"> HYPERLINK "https://120.204.69.22/bms" </w:instrText>
      </w:r>
      <w:r>
        <w:fldChar w:fldCharType="separate"/>
      </w:r>
      <w:r>
        <w:rPr>
          <w:rStyle w:val="51"/>
          <w:rFonts w:eastAsia="仿宋_GB2312"/>
          <w:sz w:val="28"/>
          <w:szCs w:val="28"/>
        </w:rPr>
        <w:t>https://120.204.69.22/bms</w:t>
      </w:r>
      <w:r>
        <w:rPr>
          <w:rStyle w:val="51"/>
          <w:rFonts w:eastAsia="仿宋_GB2312"/>
          <w:sz w:val="28"/>
          <w:szCs w:val="28"/>
        </w:rPr>
        <w:fldChar w:fldCharType="end"/>
      </w:r>
      <w:r>
        <w:rPr>
          <w:rFonts w:eastAsia="仿宋_GB2312"/>
          <w:sz w:val="28"/>
          <w:szCs w:val="28"/>
        </w:rPr>
        <w:t>。</w:t>
      </w:r>
    </w:p>
    <w:p w14:paraId="17B714C5">
      <w:pPr>
        <w:widowControl/>
        <w:spacing w:line="560" w:lineRule="exact"/>
        <w:ind w:firstLine="565" w:firstLineChars="202"/>
        <w:jc w:val="left"/>
        <w:rPr>
          <w:rFonts w:eastAsia="仿宋_GB2312"/>
          <w:sz w:val="28"/>
          <w:szCs w:val="28"/>
        </w:rPr>
      </w:pPr>
      <w:r>
        <w:rPr>
          <w:rFonts w:hint="eastAsia" w:eastAsia="仿宋_GB2312"/>
          <w:sz w:val="28"/>
          <w:szCs w:val="28"/>
        </w:rPr>
        <w:t>备案时，市场参与者需通过数字证书登录债券业务管理系统。请于登录前下载并安装</w:t>
      </w:r>
      <w:r>
        <w:rPr>
          <w:rFonts w:eastAsia="仿宋_GB2312"/>
          <w:sz w:val="28"/>
          <w:szCs w:val="28"/>
        </w:rPr>
        <w:t>CnSCA Ekey</w:t>
      </w:r>
      <w:r>
        <w:rPr>
          <w:rFonts w:hint="eastAsia" w:eastAsia="仿宋_GB2312"/>
          <w:sz w:val="28"/>
          <w:szCs w:val="28"/>
        </w:rPr>
        <w:t>管理工具。“上交所网站</w:t>
      </w:r>
      <w:r>
        <w:rPr>
          <w:rFonts w:eastAsia="仿宋_GB2312"/>
          <w:sz w:val="28"/>
          <w:szCs w:val="28"/>
        </w:rPr>
        <w:sym w:font="Wingdings" w:char="F0E0"/>
      </w:r>
      <w:r>
        <w:rPr>
          <w:rFonts w:hint="eastAsia" w:eastAsia="仿宋_GB2312"/>
          <w:sz w:val="28"/>
          <w:szCs w:val="28"/>
        </w:rPr>
        <w:t>服务</w:t>
      </w:r>
      <w:r>
        <w:rPr>
          <w:rFonts w:eastAsia="仿宋_GB2312"/>
          <w:sz w:val="28"/>
          <w:szCs w:val="28"/>
        </w:rPr>
        <w:sym w:font="Wingdings" w:char="F0E0"/>
      </w:r>
      <w:r>
        <w:rPr>
          <w:rFonts w:eastAsia="仿宋_GB2312"/>
          <w:sz w:val="28"/>
          <w:szCs w:val="28"/>
        </w:rPr>
        <w:t>CA</w:t>
      </w:r>
      <w:r>
        <w:rPr>
          <w:rFonts w:hint="eastAsia" w:eastAsia="仿宋_GB2312"/>
          <w:sz w:val="28"/>
          <w:szCs w:val="28"/>
        </w:rPr>
        <w:t>服务</w:t>
      </w:r>
      <w:r>
        <w:rPr>
          <w:rFonts w:eastAsia="仿宋_GB2312"/>
          <w:sz w:val="28"/>
          <w:szCs w:val="28"/>
        </w:rPr>
        <w:sym w:font="Wingdings" w:char="F0E0"/>
      </w:r>
      <w:r>
        <w:rPr>
          <w:rFonts w:hint="eastAsia" w:eastAsia="仿宋_GB2312"/>
          <w:sz w:val="28"/>
          <w:szCs w:val="28"/>
        </w:rPr>
        <w:t>公告栏</w:t>
      </w:r>
      <w:r>
        <w:rPr>
          <w:rFonts w:eastAsia="仿宋_GB2312"/>
          <w:sz w:val="28"/>
          <w:szCs w:val="28"/>
        </w:rPr>
        <w:sym w:font="Wingdings" w:char="F0E0"/>
      </w:r>
      <w:r>
        <w:rPr>
          <w:rFonts w:hint="eastAsia" w:eastAsia="仿宋_GB2312"/>
          <w:sz w:val="28"/>
          <w:szCs w:val="28"/>
        </w:rPr>
        <w:t>驱动程序及工具”</w:t>
      </w:r>
      <w:r>
        <w:rPr>
          <w:rFonts w:eastAsia="仿宋_GB2312"/>
          <w:sz w:val="28"/>
          <w:szCs w:val="28"/>
        </w:rPr>
        <w:t>（</w:t>
      </w:r>
      <w:r>
        <w:fldChar w:fldCharType="begin"/>
      </w:r>
      <w:r>
        <w:instrText xml:space="preserve"> HYPERLINK "http://biz.sse.com.cn/sseportal/ps/zhs/ca/download.jsp" </w:instrText>
      </w:r>
      <w:r>
        <w:fldChar w:fldCharType="separate"/>
      </w:r>
      <w:r>
        <w:rPr>
          <w:rStyle w:val="51"/>
          <w:rFonts w:eastAsia="仿宋_GB2312"/>
          <w:sz w:val="28"/>
          <w:szCs w:val="28"/>
        </w:rPr>
        <w:t>http://biz.sse.com.cn/sseportal/ps/zhs/ca/download.jsp</w:t>
      </w:r>
      <w:r>
        <w:rPr>
          <w:rStyle w:val="51"/>
          <w:rFonts w:eastAsia="仿宋_GB2312"/>
          <w:sz w:val="28"/>
          <w:szCs w:val="28"/>
        </w:rPr>
        <w:fldChar w:fldCharType="end"/>
      </w:r>
      <w:r>
        <w:rPr>
          <w:rFonts w:eastAsia="仿宋_GB2312"/>
          <w:sz w:val="28"/>
          <w:szCs w:val="28"/>
        </w:rPr>
        <w:t>）。</w:t>
      </w:r>
    </w:p>
    <w:p w14:paraId="45C0F623">
      <w:pPr>
        <w:widowControl/>
        <w:spacing w:line="560" w:lineRule="exact"/>
        <w:ind w:firstLine="565" w:firstLineChars="202"/>
        <w:jc w:val="left"/>
        <w:rPr>
          <w:rFonts w:eastAsia="仿宋_GB2312"/>
          <w:sz w:val="28"/>
          <w:szCs w:val="28"/>
        </w:rPr>
      </w:pPr>
      <w:r>
        <w:rPr>
          <w:rFonts w:hint="eastAsia" w:eastAsia="仿宋_GB2312"/>
          <w:sz w:val="28"/>
          <w:szCs w:val="28"/>
        </w:rPr>
        <w:t>未申请办理过债券业务管理系统数字证书的需申请办理数字证书，并申请系统用户名和密码</w:t>
      </w:r>
      <w:r>
        <w:rPr>
          <w:rFonts w:eastAsia="仿宋_GB2312"/>
          <w:sz w:val="28"/>
          <w:szCs w:val="28"/>
        </w:rPr>
        <w:t>,</w:t>
      </w:r>
      <w:r>
        <w:rPr>
          <w:rFonts w:hint="eastAsia" w:eastAsia="仿宋_GB2312"/>
          <w:sz w:val="28"/>
          <w:szCs w:val="28"/>
        </w:rPr>
        <w:t>相关流程参见：“上交所网站</w:t>
      </w:r>
      <w:r>
        <w:rPr>
          <w:rFonts w:eastAsia="仿宋_GB2312"/>
          <w:sz w:val="28"/>
          <w:szCs w:val="28"/>
        </w:rPr>
        <w:sym w:font="Wingdings" w:char="F0E0"/>
      </w:r>
      <w:r>
        <w:rPr>
          <w:rFonts w:hint="eastAsia" w:eastAsia="仿宋_GB2312"/>
          <w:sz w:val="28"/>
          <w:szCs w:val="28"/>
        </w:rPr>
        <w:t>服务</w:t>
      </w:r>
      <w:r>
        <w:rPr>
          <w:rFonts w:eastAsia="仿宋_GB2312"/>
          <w:sz w:val="28"/>
          <w:szCs w:val="28"/>
        </w:rPr>
        <w:sym w:font="Wingdings" w:char="F0E0"/>
      </w:r>
      <w:r>
        <w:rPr>
          <w:rFonts w:eastAsia="仿宋_GB2312"/>
          <w:sz w:val="28"/>
          <w:szCs w:val="28"/>
        </w:rPr>
        <w:t>CA</w:t>
      </w:r>
      <w:r>
        <w:rPr>
          <w:rFonts w:hint="eastAsia" w:eastAsia="仿宋_GB2312"/>
          <w:sz w:val="28"/>
          <w:szCs w:val="28"/>
        </w:rPr>
        <w:t>服务</w:t>
      </w:r>
      <w:r>
        <w:rPr>
          <w:rFonts w:eastAsia="仿宋_GB2312"/>
          <w:sz w:val="28"/>
          <w:szCs w:val="28"/>
        </w:rPr>
        <w:sym w:font="Wingdings" w:char="F0E0"/>
      </w:r>
      <w:r>
        <w:rPr>
          <w:rFonts w:hint="eastAsia" w:eastAsia="仿宋_GB2312"/>
          <w:sz w:val="28"/>
          <w:szCs w:val="28"/>
        </w:rPr>
        <w:t>导航栏</w:t>
      </w:r>
      <w:r>
        <w:rPr>
          <w:rFonts w:eastAsia="仿宋_GB2312"/>
          <w:sz w:val="28"/>
          <w:szCs w:val="28"/>
        </w:rPr>
        <w:sym w:font="Wingdings" w:char="F0E0"/>
      </w:r>
      <w:r>
        <w:rPr>
          <w:rFonts w:hint="eastAsia" w:eastAsia="仿宋_GB2312"/>
          <w:sz w:val="28"/>
          <w:szCs w:val="28"/>
        </w:rPr>
        <w:t>业务流程</w:t>
      </w:r>
      <w:r>
        <w:rPr>
          <w:rFonts w:eastAsia="仿宋_GB2312"/>
          <w:sz w:val="28"/>
          <w:szCs w:val="28"/>
        </w:rPr>
        <w:sym w:font="Wingdings" w:char="F0E0"/>
      </w:r>
      <w:r>
        <w:rPr>
          <w:rFonts w:hint="eastAsia" w:eastAsia="仿宋_GB2312"/>
          <w:sz w:val="28"/>
          <w:szCs w:val="28"/>
        </w:rPr>
        <w:t>数字证书申请说明</w:t>
      </w:r>
      <w:r>
        <w:rPr>
          <w:rFonts w:eastAsia="仿宋_GB2312"/>
          <w:sz w:val="28"/>
          <w:szCs w:val="28"/>
        </w:rPr>
        <w:sym w:font="Wingdings" w:char="F0E0"/>
      </w:r>
      <w:r>
        <w:rPr>
          <w:rFonts w:hint="eastAsia" w:eastAsia="仿宋_GB2312"/>
          <w:sz w:val="28"/>
          <w:szCs w:val="28"/>
        </w:rPr>
        <w:t>债券业务管理系统证书申请”</w:t>
      </w:r>
      <w:r>
        <w:rPr>
          <w:rFonts w:eastAsia="仿宋_GB2312"/>
          <w:sz w:val="28"/>
          <w:szCs w:val="28"/>
        </w:rPr>
        <w:t>（</w:t>
      </w:r>
      <w:r>
        <w:fldChar w:fldCharType="begin"/>
      </w:r>
      <w:r>
        <w:instrText xml:space="preserve"> HYPERLINK "http://www.sse.com.cn/home/biz/cnsca/process/apply/explain/c/4271018.shtml" </w:instrText>
      </w:r>
      <w:r>
        <w:fldChar w:fldCharType="separate"/>
      </w:r>
      <w:r>
        <w:rPr>
          <w:rStyle w:val="51"/>
          <w:rFonts w:eastAsia="仿宋_GB2312"/>
          <w:sz w:val="28"/>
          <w:szCs w:val="28"/>
        </w:rPr>
        <w:t>http://www.sse.com.cn/home/biz/cnsca/process/apply/explain/c/4271018.shtml</w:t>
      </w:r>
      <w:r>
        <w:rPr>
          <w:rStyle w:val="51"/>
          <w:rFonts w:eastAsia="仿宋_GB2312"/>
          <w:sz w:val="28"/>
          <w:szCs w:val="28"/>
        </w:rPr>
        <w:fldChar w:fldCharType="end"/>
      </w:r>
      <w:r>
        <w:rPr>
          <w:rFonts w:eastAsia="仿宋_GB2312"/>
          <w:sz w:val="28"/>
          <w:szCs w:val="28"/>
        </w:rPr>
        <w:t>）  （</w:t>
      </w:r>
      <w:r>
        <w:fldChar w:fldCharType="begin"/>
      </w:r>
      <w:r>
        <w:instrText xml:space="preserve"> HYPERLINK "http://www.sse.com.cn/home/biz/cnsca/process/apply/" \l "sm16" </w:instrText>
      </w:r>
      <w:r>
        <w:fldChar w:fldCharType="separate"/>
      </w:r>
      <w:r>
        <w:rPr>
          <w:rStyle w:val="51"/>
          <w:rFonts w:eastAsia="仿宋_GB2312"/>
          <w:sz w:val="28"/>
          <w:szCs w:val="28"/>
        </w:rPr>
        <w:t>http://www.sse.com.cn/home/biz/cnsca/process/apply/#sm16</w:t>
      </w:r>
      <w:r>
        <w:rPr>
          <w:rStyle w:val="51"/>
          <w:rFonts w:eastAsia="仿宋_GB2312"/>
          <w:sz w:val="28"/>
          <w:szCs w:val="28"/>
        </w:rPr>
        <w:fldChar w:fldCharType="end"/>
      </w:r>
      <w:r>
        <w:rPr>
          <w:rFonts w:eastAsia="仿宋_GB2312"/>
          <w:sz w:val="28"/>
          <w:szCs w:val="28"/>
        </w:rPr>
        <w:t>）。</w:t>
      </w:r>
    </w:p>
    <w:p w14:paraId="01AA16BE">
      <w:pPr>
        <w:widowControl/>
        <w:spacing w:line="560" w:lineRule="exact"/>
        <w:ind w:firstLine="606" w:firstLineChars="202"/>
        <w:jc w:val="left"/>
        <w:rPr>
          <w:rFonts w:eastAsia="仿宋_GB2312"/>
          <w:sz w:val="30"/>
          <w:szCs w:val="30"/>
        </w:rPr>
      </w:pPr>
      <w:r>
        <w:rPr>
          <w:rFonts w:hint="eastAsia" w:eastAsia="仿宋_GB2312"/>
          <w:sz w:val="30"/>
          <w:szCs w:val="30"/>
        </w:rPr>
        <w:t>申请人所在机构已办理债券业务管理系统数字证书的，无需重新办理。</w:t>
      </w:r>
    </w:p>
    <w:p w14:paraId="76C7572A">
      <w:pPr>
        <w:widowControl/>
        <w:spacing w:line="560" w:lineRule="exact"/>
        <w:ind w:firstLine="606" w:firstLineChars="202"/>
        <w:jc w:val="left"/>
        <w:rPr>
          <w:rFonts w:eastAsia="仿宋_GB2312"/>
          <w:sz w:val="30"/>
          <w:szCs w:val="30"/>
        </w:rPr>
      </w:pPr>
      <w:r>
        <w:rPr>
          <w:rFonts w:hint="eastAsia" w:eastAsia="仿宋_GB2312"/>
          <w:sz w:val="30"/>
          <w:szCs w:val="30"/>
        </w:rPr>
        <w:t>登录债券业务管理系统后，备案申请时需要填写以下信息：</w:t>
      </w:r>
    </w:p>
    <w:p w14:paraId="0DCBBE87">
      <w:pPr>
        <w:widowControl/>
        <w:spacing w:line="560" w:lineRule="exact"/>
        <w:ind w:firstLine="565" w:firstLineChars="202"/>
        <w:jc w:val="left"/>
        <w:rPr>
          <w:rFonts w:eastAsia="仿宋_GB2312"/>
          <w:sz w:val="28"/>
          <w:szCs w:val="28"/>
        </w:rPr>
      </w:pPr>
    </w:p>
    <w:tbl>
      <w:tblPr>
        <w:tblStyle w:val="43"/>
        <w:tblW w:w="0" w:type="auto"/>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4"/>
        <w:gridCol w:w="6997"/>
      </w:tblGrid>
      <w:tr w14:paraId="6210A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shd w:val="clear" w:color="auto" w:fill="002060"/>
            <w:vAlign w:val="center"/>
          </w:tcPr>
          <w:p w14:paraId="597B67B3">
            <w:pPr>
              <w:pStyle w:val="17"/>
              <w:spacing w:after="0" w:line="560" w:lineRule="exact"/>
              <w:jc w:val="center"/>
              <w:rPr>
                <w:rFonts w:eastAsia="仿宋_GB2312"/>
                <w:b/>
                <w:szCs w:val="21"/>
              </w:rPr>
            </w:pPr>
            <w:r>
              <w:rPr>
                <w:rFonts w:hAnsi="Arial" w:eastAsia="仿宋_GB2312"/>
                <w:b/>
                <w:szCs w:val="21"/>
              </w:rPr>
              <w:t>要素名称</w:t>
            </w:r>
          </w:p>
        </w:tc>
        <w:tc>
          <w:tcPr>
            <w:tcW w:w="7002" w:type="dxa"/>
            <w:shd w:val="clear" w:color="auto" w:fill="002060"/>
            <w:vAlign w:val="center"/>
          </w:tcPr>
          <w:p w14:paraId="16BF4077">
            <w:pPr>
              <w:pStyle w:val="17"/>
              <w:spacing w:after="0" w:line="560" w:lineRule="exact"/>
              <w:jc w:val="center"/>
              <w:rPr>
                <w:rFonts w:eastAsia="仿宋_GB2312"/>
                <w:b/>
                <w:szCs w:val="21"/>
              </w:rPr>
            </w:pPr>
            <w:r>
              <w:rPr>
                <w:rFonts w:hAnsi="Arial" w:eastAsia="仿宋_GB2312"/>
                <w:b/>
                <w:szCs w:val="21"/>
              </w:rPr>
              <w:t>说明</w:t>
            </w:r>
          </w:p>
        </w:tc>
      </w:tr>
      <w:tr w14:paraId="249F3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14:paraId="558D2FD4">
            <w:pPr>
              <w:pStyle w:val="17"/>
              <w:spacing w:after="0" w:line="560" w:lineRule="exact"/>
              <w:rPr>
                <w:rFonts w:eastAsia="仿宋_GB2312"/>
                <w:sz w:val="24"/>
              </w:rPr>
            </w:pPr>
            <w:r>
              <w:rPr>
                <w:rFonts w:eastAsia="仿宋_GB2312"/>
                <w:sz w:val="24"/>
              </w:rPr>
              <w:t>投资者名称</w:t>
            </w:r>
          </w:p>
        </w:tc>
        <w:tc>
          <w:tcPr>
            <w:tcW w:w="7002" w:type="dxa"/>
            <w:vAlign w:val="center"/>
          </w:tcPr>
          <w:p w14:paraId="0B3EEBC9">
            <w:pPr>
              <w:pStyle w:val="17"/>
              <w:spacing w:after="0" w:line="560" w:lineRule="exact"/>
              <w:jc w:val="center"/>
              <w:rPr>
                <w:rFonts w:eastAsia="仿宋_GB2312"/>
                <w:sz w:val="24"/>
              </w:rPr>
            </w:pPr>
            <w:r>
              <w:rPr>
                <w:rFonts w:eastAsia="仿宋_GB2312"/>
                <w:sz w:val="24"/>
              </w:rPr>
              <w:t>必填</w:t>
            </w:r>
          </w:p>
        </w:tc>
      </w:tr>
      <w:tr w14:paraId="7C275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14:paraId="477DB056">
            <w:pPr>
              <w:pStyle w:val="17"/>
              <w:spacing w:after="0" w:line="560" w:lineRule="exact"/>
              <w:rPr>
                <w:rFonts w:eastAsia="仿宋_GB2312"/>
                <w:sz w:val="24"/>
              </w:rPr>
            </w:pPr>
            <w:r>
              <w:rPr>
                <w:rFonts w:eastAsia="仿宋_GB2312"/>
                <w:sz w:val="24"/>
              </w:rPr>
              <w:t>投资者类型</w:t>
            </w:r>
          </w:p>
        </w:tc>
        <w:tc>
          <w:tcPr>
            <w:tcW w:w="7002" w:type="dxa"/>
            <w:vAlign w:val="center"/>
          </w:tcPr>
          <w:p w14:paraId="46805281">
            <w:pPr>
              <w:pStyle w:val="17"/>
              <w:spacing w:after="0" w:line="560" w:lineRule="exact"/>
              <w:jc w:val="center"/>
              <w:rPr>
                <w:rFonts w:eastAsia="仿宋_GB2312"/>
                <w:sz w:val="24"/>
              </w:rPr>
            </w:pPr>
            <w:r>
              <w:rPr>
                <w:rFonts w:eastAsia="仿宋_GB2312"/>
                <w:sz w:val="24"/>
              </w:rPr>
              <w:t>必填；一级下拉框选择“金融机构”，二级下拉框包括：证券公司、期货公司、基金管理公司及其子公司、商业银行、保险公司、信托公司、财务公司、证券公司子公司、期货公司子公司、私募基金管理人、其他金融机构</w:t>
            </w:r>
          </w:p>
          <w:p w14:paraId="44797BF5">
            <w:pPr>
              <w:pStyle w:val="17"/>
              <w:spacing w:after="0" w:line="560" w:lineRule="exact"/>
              <w:jc w:val="center"/>
              <w:rPr>
                <w:rFonts w:eastAsia="仿宋_GB2312"/>
                <w:sz w:val="24"/>
              </w:rPr>
            </w:pPr>
            <w:r>
              <w:rPr>
                <w:rFonts w:eastAsia="仿宋_GB2312"/>
                <w:sz w:val="24"/>
              </w:rPr>
              <w:t>一级下拉框选择“理财产品”，二级下拉框包括：公募证券投资基金、银行理财产品、证券公司资产管理产品、基金管理公司及其子公司专户产品、期货公司产品、保险产品、信托产品、经行业协会备案的私募基金，其他产品</w:t>
            </w:r>
          </w:p>
        </w:tc>
      </w:tr>
      <w:tr w14:paraId="78366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85" w:type="dxa"/>
            <w:vAlign w:val="center"/>
          </w:tcPr>
          <w:p w14:paraId="3246F638">
            <w:pPr>
              <w:pStyle w:val="17"/>
              <w:spacing w:after="0" w:line="560" w:lineRule="exact"/>
              <w:rPr>
                <w:rFonts w:eastAsia="仿宋_GB2312"/>
                <w:sz w:val="24"/>
              </w:rPr>
            </w:pPr>
            <w:r>
              <w:rPr>
                <w:rFonts w:eastAsia="仿宋_GB2312"/>
                <w:sz w:val="24"/>
              </w:rPr>
              <w:t>申请业务类型</w:t>
            </w:r>
          </w:p>
        </w:tc>
        <w:tc>
          <w:tcPr>
            <w:tcW w:w="7002" w:type="dxa"/>
            <w:vAlign w:val="center"/>
          </w:tcPr>
          <w:p w14:paraId="08B82797">
            <w:pPr>
              <w:pStyle w:val="17"/>
              <w:spacing w:after="0" w:line="560" w:lineRule="exact"/>
              <w:jc w:val="center"/>
              <w:rPr>
                <w:rFonts w:eastAsia="仿宋_GB2312"/>
                <w:sz w:val="24"/>
              </w:rPr>
            </w:pPr>
            <w:r>
              <w:rPr>
                <w:rFonts w:eastAsia="仿宋_GB2312"/>
                <w:sz w:val="24"/>
              </w:rPr>
              <w:t>必填</w:t>
            </w:r>
          </w:p>
          <w:p w14:paraId="7F185294">
            <w:pPr>
              <w:pStyle w:val="17"/>
              <w:spacing w:after="0" w:line="560" w:lineRule="exact"/>
              <w:jc w:val="center"/>
              <w:rPr>
                <w:rFonts w:eastAsia="仿宋_GB2312"/>
                <w:sz w:val="24"/>
              </w:rPr>
            </w:pPr>
            <w:r>
              <w:rPr>
                <w:rFonts w:eastAsia="仿宋_GB2312"/>
                <w:sz w:val="24"/>
              </w:rPr>
              <w:t>打钩选择（可多选）</w:t>
            </w:r>
          </w:p>
          <w:p w14:paraId="2D5BD8E9">
            <w:pPr>
              <w:pStyle w:val="17"/>
              <w:spacing w:after="0" w:line="560" w:lineRule="exact"/>
              <w:jc w:val="center"/>
              <w:rPr>
                <w:rFonts w:eastAsia="仿宋_GB2312"/>
                <w:sz w:val="24"/>
              </w:rPr>
            </w:pPr>
            <w:r>
              <w:rPr>
                <w:rFonts w:eastAsia="仿宋_GB2312"/>
                <w:sz w:val="24"/>
              </w:rPr>
              <w:t>“正回购”、“逆回购”</w:t>
            </w:r>
          </w:p>
        </w:tc>
      </w:tr>
      <w:tr w14:paraId="33E3C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14:paraId="7956BA3E">
            <w:pPr>
              <w:pStyle w:val="17"/>
              <w:spacing w:after="0" w:line="560" w:lineRule="exact"/>
              <w:rPr>
                <w:rFonts w:eastAsia="仿宋_GB2312"/>
                <w:sz w:val="24"/>
              </w:rPr>
            </w:pPr>
            <w:r>
              <w:rPr>
                <w:rFonts w:eastAsia="仿宋_GB2312"/>
                <w:sz w:val="24"/>
              </w:rPr>
              <w:t>交易商代码</w:t>
            </w:r>
          </w:p>
        </w:tc>
        <w:tc>
          <w:tcPr>
            <w:tcW w:w="7002" w:type="dxa"/>
            <w:vAlign w:val="center"/>
          </w:tcPr>
          <w:p w14:paraId="3B569C06">
            <w:pPr>
              <w:pStyle w:val="17"/>
              <w:spacing w:after="0" w:line="560" w:lineRule="exact"/>
              <w:jc w:val="center"/>
              <w:rPr>
                <w:rFonts w:eastAsia="仿宋_GB2312"/>
                <w:sz w:val="24"/>
              </w:rPr>
            </w:pPr>
            <w:r>
              <w:rPr>
                <w:rFonts w:eastAsia="仿宋_GB2312"/>
                <w:sz w:val="24"/>
              </w:rPr>
              <w:t>必填</w:t>
            </w:r>
          </w:p>
        </w:tc>
      </w:tr>
      <w:tr w14:paraId="7DE08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14:paraId="700723DB">
            <w:pPr>
              <w:pStyle w:val="17"/>
              <w:spacing w:after="0" w:line="560" w:lineRule="exact"/>
              <w:rPr>
                <w:rFonts w:eastAsia="仿宋_GB2312"/>
                <w:sz w:val="24"/>
              </w:rPr>
            </w:pPr>
            <w:r>
              <w:rPr>
                <w:rFonts w:eastAsia="仿宋_GB2312"/>
                <w:sz w:val="24"/>
              </w:rPr>
              <w:t>证券账户</w:t>
            </w:r>
          </w:p>
        </w:tc>
        <w:tc>
          <w:tcPr>
            <w:tcW w:w="7002" w:type="dxa"/>
            <w:vAlign w:val="center"/>
          </w:tcPr>
          <w:p w14:paraId="5BD90FCF">
            <w:pPr>
              <w:pStyle w:val="17"/>
              <w:spacing w:after="0" w:line="560" w:lineRule="exact"/>
              <w:jc w:val="center"/>
              <w:rPr>
                <w:rFonts w:eastAsia="仿宋_GB2312"/>
                <w:sz w:val="24"/>
              </w:rPr>
            </w:pPr>
            <w:r>
              <w:rPr>
                <w:rFonts w:eastAsia="仿宋_GB2312"/>
                <w:sz w:val="24"/>
              </w:rPr>
              <w:t>必填</w:t>
            </w:r>
          </w:p>
        </w:tc>
      </w:tr>
      <w:tr w14:paraId="05A3E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14:paraId="4143DF08">
            <w:pPr>
              <w:pStyle w:val="17"/>
              <w:spacing w:after="0" w:line="560" w:lineRule="exact"/>
              <w:rPr>
                <w:rFonts w:eastAsia="仿宋_GB2312"/>
                <w:sz w:val="24"/>
              </w:rPr>
            </w:pPr>
            <w:r>
              <w:rPr>
                <w:rFonts w:eastAsia="仿宋_GB2312"/>
                <w:sz w:val="24"/>
              </w:rPr>
              <w:t>证券账户名称</w:t>
            </w:r>
          </w:p>
        </w:tc>
        <w:tc>
          <w:tcPr>
            <w:tcW w:w="7002" w:type="dxa"/>
            <w:vAlign w:val="center"/>
          </w:tcPr>
          <w:p w14:paraId="30B39975">
            <w:pPr>
              <w:pStyle w:val="17"/>
              <w:spacing w:after="0" w:line="560" w:lineRule="exact"/>
              <w:jc w:val="center"/>
              <w:rPr>
                <w:rFonts w:eastAsia="仿宋_GB2312"/>
                <w:sz w:val="24"/>
              </w:rPr>
            </w:pPr>
            <w:r>
              <w:rPr>
                <w:rFonts w:eastAsia="仿宋_GB2312"/>
                <w:sz w:val="24"/>
              </w:rPr>
              <w:t>必填</w:t>
            </w:r>
          </w:p>
        </w:tc>
      </w:tr>
      <w:tr w14:paraId="06337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85" w:type="dxa"/>
            <w:vAlign w:val="center"/>
          </w:tcPr>
          <w:p w14:paraId="225D7632">
            <w:pPr>
              <w:pStyle w:val="17"/>
              <w:spacing w:after="0" w:line="560" w:lineRule="exact"/>
              <w:rPr>
                <w:rFonts w:eastAsia="仿宋_GB2312"/>
                <w:sz w:val="24"/>
              </w:rPr>
            </w:pPr>
            <w:r>
              <w:rPr>
                <w:rFonts w:eastAsia="仿宋_GB2312"/>
                <w:sz w:val="24"/>
              </w:rPr>
              <w:t>三方回购专用证券账户</w:t>
            </w:r>
          </w:p>
        </w:tc>
        <w:tc>
          <w:tcPr>
            <w:tcW w:w="7002" w:type="dxa"/>
            <w:vAlign w:val="center"/>
          </w:tcPr>
          <w:p w14:paraId="462C3419">
            <w:pPr>
              <w:pStyle w:val="17"/>
              <w:spacing w:after="0" w:line="560" w:lineRule="exact"/>
              <w:jc w:val="center"/>
              <w:rPr>
                <w:rFonts w:eastAsia="仿宋_GB2312"/>
                <w:sz w:val="24"/>
              </w:rPr>
            </w:pPr>
            <w:r>
              <w:rPr>
                <w:rFonts w:eastAsia="仿宋_GB2312"/>
                <w:sz w:val="24"/>
              </w:rPr>
              <w:t>正回购方必填</w:t>
            </w:r>
          </w:p>
        </w:tc>
      </w:tr>
      <w:tr w14:paraId="0822A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14:paraId="00982473">
            <w:pPr>
              <w:pStyle w:val="17"/>
              <w:spacing w:after="0" w:line="560" w:lineRule="exact"/>
              <w:rPr>
                <w:rFonts w:eastAsia="仿宋_GB2312"/>
                <w:sz w:val="24"/>
              </w:rPr>
            </w:pPr>
            <w:r>
              <w:rPr>
                <w:rFonts w:eastAsia="仿宋_GB2312"/>
                <w:sz w:val="24"/>
              </w:rPr>
              <w:t>三方回购专用证券账户名称</w:t>
            </w:r>
          </w:p>
        </w:tc>
        <w:tc>
          <w:tcPr>
            <w:tcW w:w="7002" w:type="dxa"/>
            <w:vAlign w:val="center"/>
          </w:tcPr>
          <w:p w14:paraId="38286736">
            <w:pPr>
              <w:pStyle w:val="17"/>
              <w:spacing w:after="0" w:line="560" w:lineRule="exact"/>
              <w:jc w:val="center"/>
              <w:rPr>
                <w:rFonts w:eastAsia="仿宋_GB2312"/>
                <w:sz w:val="24"/>
              </w:rPr>
            </w:pPr>
            <w:r>
              <w:rPr>
                <w:rFonts w:eastAsia="仿宋_GB2312"/>
                <w:sz w:val="24"/>
              </w:rPr>
              <w:t>正回购方必填</w:t>
            </w:r>
          </w:p>
        </w:tc>
      </w:tr>
      <w:tr w14:paraId="6B647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14:paraId="78C97B37">
            <w:pPr>
              <w:pStyle w:val="17"/>
              <w:spacing w:after="0" w:line="560" w:lineRule="exact"/>
              <w:rPr>
                <w:rFonts w:eastAsia="仿宋_GB2312"/>
                <w:sz w:val="24"/>
              </w:rPr>
            </w:pPr>
            <w:r>
              <w:rPr>
                <w:rFonts w:eastAsia="仿宋_GB2312"/>
                <w:sz w:val="24"/>
              </w:rPr>
              <w:t>负责三方回购业务的负责人</w:t>
            </w:r>
          </w:p>
        </w:tc>
        <w:tc>
          <w:tcPr>
            <w:tcW w:w="7002" w:type="dxa"/>
            <w:vAlign w:val="center"/>
          </w:tcPr>
          <w:p w14:paraId="454EF125">
            <w:pPr>
              <w:pStyle w:val="17"/>
              <w:spacing w:after="0" w:line="560" w:lineRule="exact"/>
              <w:jc w:val="center"/>
              <w:rPr>
                <w:rFonts w:eastAsia="仿宋_GB2312"/>
                <w:sz w:val="24"/>
              </w:rPr>
            </w:pPr>
            <w:r>
              <w:rPr>
                <w:rFonts w:eastAsia="仿宋_GB2312"/>
                <w:sz w:val="24"/>
              </w:rPr>
              <w:t>必填</w:t>
            </w:r>
          </w:p>
        </w:tc>
      </w:tr>
      <w:tr w14:paraId="74AD1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14:paraId="7FA8E6A9">
            <w:pPr>
              <w:pStyle w:val="17"/>
              <w:spacing w:after="0" w:line="560" w:lineRule="exact"/>
              <w:rPr>
                <w:rFonts w:eastAsia="仿宋_GB2312"/>
                <w:sz w:val="24"/>
              </w:rPr>
            </w:pPr>
            <w:r>
              <w:rPr>
                <w:rFonts w:eastAsia="仿宋_GB2312"/>
                <w:sz w:val="24"/>
              </w:rPr>
              <w:t>负责三方回购业务的负责人联系方式</w:t>
            </w:r>
          </w:p>
        </w:tc>
        <w:tc>
          <w:tcPr>
            <w:tcW w:w="7002" w:type="dxa"/>
            <w:vAlign w:val="center"/>
          </w:tcPr>
          <w:p w14:paraId="7A65EE66">
            <w:pPr>
              <w:pStyle w:val="17"/>
              <w:spacing w:after="0" w:line="560" w:lineRule="exact"/>
              <w:jc w:val="center"/>
              <w:rPr>
                <w:rFonts w:eastAsia="仿宋_GB2312"/>
                <w:sz w:val="24"/>
              </w:rPr>
            </w:pPr>
            <w:r>
              <w:rPr>
                <w:rFonts w:eastAsia="仿宋_GB2312"/>
                <w:sz w:val="24"/>
              </w:rPr>
              <w:t>必填</w:t>
            </w:r>
          </w:p>
        </w:tc>
      </w:tr>
      <w:tr w14:paraId="0B945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85" w:type="dxa"/>
            <w:vAlign w:val="center"/>
          </w:tcPr>
          <w:p w14:paraId="65F96AB2">
            <w:pPr>
              <w:pStyle w:val="17"/>
              <w:spacing w:after="0" w:line="560" w:lineRule="exact"/>
              <w:rPr>
                <w:rFonts w:eastAsia="仿宋_GB2312"/>
                <w:sz w:val="24"/>
              </w:rPr>
            </w:pPr>
            <w:r>
              <w:rPr>
                <w:rFonts w:eastAsia="仿宋_GB2312"/>
                <w:sz w:val="24"/>
              </w:rPr>
              <w:t>负责三方回购业务的日常联系人</w:t>
            </w:r>
          </w:p>
        </w:tc>
        <w:tc>
          <w:tcPr>
            <w:tcW w:w="7002" w:type="dxa"/>
            <w:vAlign w:val="center"/>
          </w:tcPr>
          <w:p w14:paraId="6115679C">
            <w:pPr>
              <w:pStyle w:val="17"/>
              <w:spacing w:after="0" w:line="560" w:lineRule="exact"/>
              <w:jc w:val="center"/>
              <w:rPr>
                <w:rFonts w:eastAsia="仿宋_GB2312"/>
                <w:sz w:val="24"/>
              </w:rPr>
            </w:pPr>
            <w:r>
              <w:rPr>
                <w:rFonts w:eastAsia="仿宋_GB2312"/>
                <w:sz w:val="24"/>
              </w:rPr>
              <w:t>必填</w:t>
            </w:r>
          </w:p>
        </w:tc>
      </w:tr>
      <w:tr w14:paraId="04E34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14:paraId="45226D6A">
            <w:pPr>
              <w:pStyle w:val="17"/>
              <w:spacing w:after="0" w:line="560" w:lineRule="exact"/>
              <w:rPr>
                <w:rFonts w:eastAsia="仿宋_GB2312"/>
                <w:sz w:val="24"/>
              </w:rPr>
            </w:pPr>
            <w:r>
              <w:rPr>
                <w:rFonts w:eastAsia="仿宋_GB2312"/>
                <w:sz w:val="24"/>
              </w:rPr>
              <w:t>负责三方回购业务的日常联系人联系方式</w:t>
            </w:r>
          </w:p>
        </w:tc>
        <w:tc>
          <w:tcPr>
            <w:tcW w:w="7002" w:type="dxa"/>
            <w:vAlign w:val="center"/>
          </w:tcPr>
          <w:p w14:paraId="536EA0B5">
            <w:pPr>
              <w:pStyle w:val="17"/>
              <w:spacing w:after="0" w:line="560" w:lineRule="exact"/>
              <w:jc w:val="center"/>
              <w:rPr>
                <w:rFonts w:eastAsia="仿宋_GB2312"/>
                <w:sz w:val="24"/>
              </w:rPr>
            </w:pPr>
            <w:r>
              <w:rPr>
                <w:rFonts w:eastAsia="仿宋_GB2312"/>
                <w:sz w:val="24"/>
              </w:rPr>
              <w:t>必填</w:t>
            </w:r>
          </w:p>
        </w:tc>
      </w:tr>
      <w:tr w14:paraId="2A7E1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Pr>
          <w:p w14:paraId="43731A9B">
            <w:pPr>
              <w:pStyle w:val="17"/>
              <w:spacing w:after="0" w:line="560" w:lineRule="exact"/>
              <w:rPr>
                <w:rFonts w:eastAsia="仿宋_GB2312"/>
                <w:sz w:val="24"/>
              </w:rPr>
            </w:pPr>
            <w:r>
              <w:rPr>
                <w:rFonts w:eastAsia="仿宋_GB2312"/>
                <w:sz w:val="24"/>
              </w:rPr>
              <w:t>质权人</w:t>
            </w:r>
          </w:p>
        </w:tc>
        <w:tc>
          <w:tcPr>
            <w:tcW w:w="7002" w:type="dxa"/>
          </w:tcPr>
          <w:p w14:paraId="2D33E87A">
            <w:pPr>
              <w:pStyle w:val="17"/>
              <w:spacing w:after="0" w:line="560" w:lineRule="exact"/>
              <w:jc w:val="center"/>
              <w:rPr>
                <w:rFonts w:eastAsia="仿宋_GB2312"/>
                <w:sz w:val="24"/>
              </w:rPr>
            </w:pPr>
            <w:r>
              <w:rPr>
                <w:rFonts w:eastAsia="仿宋_GB2312"/>
                <w:sz w:val="24"/>
              </w:rPr>
              <w:t>系统自动填写，用户可修改。投资者类型为法人机构的，质权人填写投资者名称；投资者为理财产品的，质权人填写产品管理人。</w:t>
            </w:r>
          </w:p>
        </w:tc>
      </w:tr>
      <w:tr w14:paraId="14146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14:paraId="26ACEC87">
            <w:pPr>
              <w:pStyle w:val="17"/>
              <w:spacing w:after="0" w:line="560" w:lineRule="exact"/>
              <w:rPr>
                <w:rFonts w:eastAsia="仿宋_GB2312"/>
                <w:sz w:val="24"/>
              </w:rPr>
            </w:pPr>
            <w:r>
              <w:rPr>
                <w:rFonts w:eastAsia="仿宋_GB2312"/>
                <w:sz w:val="24"/>
              </w:rPr>
              <w:t>产品委托人</w:t>
            </w:r>
          </w:p>
        </w:tc>
        <w:tc>
          <w:tcPr>
            <w:tcW w:w="7002" w:type="dxa"/>
            <w:vAlign w:val="center"/>
          </w:tcPr>
          <w:p w14:paraId="05201AF8">
            <w:pPr>
              <w:pStyle w:val="17"/>
              <w:spacing w:after="0" w:line="560" w:lineRule="exact"/>
              <w:jc w:val="center"/>
              <w:rPr>
                <w:rFonts w:eastAsia="仿宋_GB2312"/>
                <w:sz w:val="24"/>
              </w:rPr>
            </w:pPr>
            <w:r>
              <w:rPr>
                <w:rFonts w:hint="eastAsia" w:eastAsia="仿宋_GB2312"/>
                <w:kern w:val="28"/>
                <w:sz w:val="24"/>
              </w:rPr>
              <w:t>私募</w:t>
            </w:r>
            <w:r>
              <w:rPr>
                <w:rFonts w:eastAsia="仿宋_GB2312"/>
                <w:sz w:val="24"/>
              </w:rPr>
              <w:t>理财产品必填</w:t>
            </w:r>
          </w:p>
        </w:tc>
      </w:tr>
      <w:tr w14:paraId="045EF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85" w:type="dxa"/>
            <w:vAlign w:val="center"/>
          </w:tcPr>
          <w:p w14:paraId="7A843E25">
            <w:pPr>
              <w:pStyle w:val="17"/>
              <w:spacing w:after="0" w:line="560" w:lineRule="exact"/>
              <w:rPr>
                <w:rFonts w:eastAsia="仿宋_GB2312"/>
                <w:sz w:val="24"/>
              </w:rPr>
            </w:pPr>
            <w:r>
              <w:rPr>
                <w:rFonts w:eastAsia="仿宋_GB2312"/>
                <w:sz w:val="24"/>
              </w:rPr>
              <w:t>产品管理人</w:t>
            </w:r>
          </w:p>
        </w:tc>
        <w:tc>
          <w:tcPr>
            <w:tcW w:w="7002" w:type="dxa"/>
            <w:vAlign w:val="center"/>
          </w:tcPr>
          <w:p w14:paraId="67FDAE18">
            <w:pPr>
              <w:spacing w:line="560" w:lineRule="exact"/>
              <w:jc w:val="center"/>
              <w:rPr>
                <w:rFonts w:eastAsia="仿宋_GB2312"/>
                <w:sz w:val="24"/>
              </w:rPr>
            </w:pPr>
            <w:r>
              <w:rPr>
                <w:rFonts w:eastAsia="仿宋_GB2312"/>
                <w:sz w:val="24"/>
              </w:rPr>
              <w:t>理财产品必填</w:t>
            </w:r>
          </w:p>
        </w:tc>
      </w:tr>
      <w:tr w14:paraId="38A17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14:paraId="64A2BDF1">
            <w:pPr>
              <w:pStyle w:val="17"/>
              <w:spacing w:after="0" w:line="560" w:lineRule="exact"/>
              <w:rPr>
                <w:rFonts w:eastAsia="仿宋_GB2312"/>
                <w:sz w:val="24"/>
              </w:rPr>
            </w:pPr>
            <w:r>
              <w:rPr>
                <w:rFonts w:eastAsia="仿宋_GB2312"/>
                <w:sz w:val="24"/>
              </w:rPr>
              <w:t>资产托管人</w:t>
            </w:r>
          </w:p>
        </w:tc>
        <w:tc>
          <w:tcPr>
            <w:tcW w:w="7002" w:type="dxa"/>
            <w:vAlign w:val="center"/>
          </w:tcPr>
          <w:p w14:paraId="0C29D9D6">
            <w:pPr>
              <w:spacing w:line="560" w:lineRule="exact"/>
              <w:jc w:val="center"/>
              <w:rPr>
                <w:rFonts w:eastAsia="仿宋_GB2312"/>
                <w:sz w:val="24"/>
              </w:rPr>
            </w:pPr>
            <w:r>
              <w:rPr>
                <w:rFonts w:eastAsia="仿宋_GB2312"/>
                <w:sz w:val="24"/>
              </w:rPr>
              <w:t>理财产品必填</w:t>
            </w:r>
          </w:p>
        </w:tc>
      </w:tr>
      <w:tr w14:paraId="3AA53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14:paraId="79CC7E4A">
            <w:pPr>
              <w:pStyle w:val="17"/>
              <w:spacing w:after="0" w:line="560" w:lineRule="exact"/>
              <w:rPr>
                <w:rFonts w:eastAsia="仿宋_GB2312"/>
                <w:sz w:val="24"/>
              </w:rPr>
            </w:pPr>
            <w:r>
              <w:rPr>
                <w:rFonts w:eastAsia="仿宋_GB2312"/>
                <w:sz w:val="24"/>
              </w:rPr>
              <w:t>杠杆运作限制</w:t>
            </w:r>
          </w:p>
        </w:tc>
        <w:tc>
          <w:tcPr>
            <w:tcW w:w="7002" w:type="dxa"/>
            <w:vAlign w:val="center"/>
          </w:tcPr>
          <w:p w14:paraId="602102F2">
            <w:pPr>
              <w:spacing w:line="560" w:lineRule="exact"/>
              <w:jc w:val="center"/>
              <w:rPr>
                <w:rFonts w:eastAsia="仿宋_GB2312"/>
                <w:sz w:val="24"/>
              </w:rPr>
            </w:pPr>
            <w:r>
              <w:rPr>
                <w:rFonts w:hint="eastAsia" w:eastAsia="仿宋_GB2312"/>
                <w:sz w:val="24"/>
              </w:rPr>
              <w:t>（</w:t>
            </w:r>
            <w:r>
              <w:rPr>
                <w:rFonts w:eastAsia="仿宋_GB2312"/>
                <w:sz w:val="24"/>
              </w:rPr>
              <w:t>仅正回购方必填</w:t>
            </w:r>
            <w:r>
              <w:rPr>
                <w:rFonts w:hint="eastAsia" w:eastAsia="仿宋_GB2312"/>
                <w:sz w:val="24"/>
              </w:rPr>
              <w:t>）</w:t>
            </w:r>
          </w:p>
          <w:p w14:paraId="586AB6DD">
            <w:pPr>
              <w:spacing w:line="560" w:lineRule="exact"/>
              <w:jc w:val="center"/>
              <w:rPr>
                <w:rFonts w:eastAsia="仿宋_GB2312"/>
                <w:sz w:val="24"/>
              </w:rPr>
            </w:pPr>
            <w:r>
              <w:rPr>
                <w:rFonts w:eastAsia="仿宋_GB2312"/>
                <w:sz w:val="24"/>
              </w:rPr>
              <w:t>格式为文字格式</w:t>
            </w:r>
          </w:p>
          <w:p w14:paraId="37EFA82E">
            <w:pPr>
              <w:spacing w:line="560" w:lineRule="exact"/>
              <w:jc w:val="center"/>
              <w:rPr>
                <w:rFonts w:eastAsia="仿宋_GB2312"/>
                <w:sz w:val="24"/>
              </w:rPr>
            </w:pPr>
            <w:r>
              <w:rPr>
                <w:rFonts w:eastAsia="仿宋_GB2312"/>
                <w:sz w:val="24"/>
              </w:rPr>
              <w:t>填列提示：监管政策或自身内部制度对杠杆运作的限制情况</w:t>
            </w:r>
          </w:p>
        </w:tc>
      </w:tr>
      <w:tr w14:paraId="56C1C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14:paraId="3419D23F">
            <w:pPr>
              <w:pStyle w:val="17"/>
              <w:spacing w:after="0" w:line="560" w:lineRule="exact"/>
              <w:rPr>
                <w:rFonts w:eastAsia="仿宋_GB2312"/>
                <w:sz w:val="24"/>
              </w:rPr>
            </w:pPr>
            <w:r>
              <w:rPr>
                <w:rFonts w:eastAsia="仿宋_GB2312"/>
                <w:sz w:val="24"/>
              </w:rPr>
              <w:t>最近一个会计年度总资产</w:t>
            </w:r>
          </w:p>
        </w:tc>
        <w:tc>
          <w:tcPr>
            <w:tcW w:w="7002" w:type="dxa"/>
            <w:vAlign w:val="center"/>
          </w:tcPr>
          <w:p w14:paraId="19C560DF">
            <w:pPr>
              <w:spacing w:line="560" w:lineRule="exact"/>
              <w:jc w:val="center"/>
              <w:rPr>
                <w:rFonts w:eastAsia="仿宋_GB2312"/>
                <w:sz w:val="24"/>
              </w:rPr>
            </w:pPr>
            <w:r>
              <w:rPr>
                <w:rFonts w:eastAsia="仿宋_GB2312"/>
                <w:sz w:val="24"/>
              </w:rPr>
              <w:t>法人机构必填</w:t>
            </w:r>
            <w:r>
              <w:rPr>
                <w:rFonts w:hint="eastAsia" w:eastAsia="仿宋_GB2312"/>
                <w:sz w:val="24"/>
              </w:rPr>
              <w:t>（</w:t>
            </w:r>
            <w:r>
              <w:rPr>
                <w:rFonts w:eastAsia="仿宋_GB2312"/>
                <w:sz w:val="24"/>
              </w:rPr>
              <w:t>仅正回购必填</w:t>
            </w:r>
            <w:r>
              <w:rPr>
                <w:rFonts w:hint="eastAsia" w:eastAsia="仿宋_GB2312"/>
                <w:sz w:val="24"/>
              </w:rPr>
              <w:t>）</w:t>
            </w:r>
            <w:r>
              <w:rPr>
                <w:rFonts w:eastAsia="仿宋_GB2312"/>
                <w:sz w:val="24"/>
              </w:rPr>
              <w:t>，单位为亿元。</w:t>
            </w:r>
          </w:p>
          <w:p w14:paraId="467910E3">
            <w:pPr>
              <w:spacing w:line="560" w:lineRule="exact"/>
              <w:jc w:val="center"/>
              <w:rPr>
                <w:rFonts w:eastAsia="仿宋_GB2312"/>
                <w:sz w:val="24"/>
              </w:rPr>
            </w:pPr>
          </w:p>
        </w:tc>
      </w:tr>
      <w:tr w14:paraId="7A4F6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85" w:type="dxa"/>
            <w:vAlign w:val="center"/>
          </w:tcPr>
          <w:p w14:paraId="496011F9">
            <w:pPr>
              <w:pStyle w:val="17"/>
              <w:spacing w:after="0" w:line="560" w:lineRule="exact"/>
              <w:rPr>
                <w:rFonts w:eastAsia="仿宋_GB2312"/>
                <w:sz w:val="24"/>
              </w:rPr>
            </w:pPr>
            <w:r>
              <w:rPr>
                <w:rFonts w:eastAsia="仿宋_GB2312"/>
                <w:sz w:val="24"/>
              </w:rPr>
              <w:t>最近一个会计年度净资产</w:t>
            </w:r>
          </w:p>
        </w:tc>
        <w:tc>
          <w:tcPr>
            <w:tcW w:w="7002" w:type="dxa"/>
            <w:vAlign w:val="center"/>
          </w:tcPr>
          <w:p w14:paraId="7171FEB9">
            <w:pPr>
              <w:spacing w:line="560" w:lineRule="exact"/>
              <w:jc w:val="center"/>
              <w:rPr>
                <w:rFonts w:eastAsia="仿宋_GB2312"/>
                <w:sz w:val="24"/>
              </w:rPr>
            </w:pPr>
            <w:r>
              <w:rPr>
                <w:rFonts w:eastAsia="仿宋_GB2312"/>
                <w:sz w:val="24"/>
              </w:rPr>
              <w:t>法人机构必填</w:t>
            </w:r>
            <w:r>
              <w:rPr>
                <w:rFonts w:hint="eastAsia" w:eastAsia="仿宋_GB2312"/>
                <w:sz w:val="24"/>
              </w:rPr>
              <w:t>（</w:t>
            </w:r>
            <w:r>
              <w:rPr>
                <w:rFonts w:eastAsia="仿宋_GB2312"/>
                <w:sz w:val="24"/>
              </w:rPr>
              <w:t>仅正回购必填</w:t>
            </w:r>
            <w:r>
              <w:rPr>
                <w:rFonts w:hint="eastAsia" w:eastAsia="仿宋_GB2312"/>
                <w:sz w:val="24"/>
              </w:rPr>
              <w:t>）</w:t>
            </w:r>
            <w:r>
              <w:rPr>
                <w:rFonts w:eastAsia="仿宋_GB2312"/>
                <w:sz w:val="24"/>
              </w:rPr>
              <w:t>，单位为亿元</w:t>
            </w:r>
          </w:p>
        </w:tc>
      </w:tr>
      <w:tr w14:paraId="2E583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14:paraId="3636F316">
            <w:pPr>
              <w:pStyle w:val="17"/>
              <w:spacing w:after="0" w:line="560" w:lineRule="exact"/>
              <w:rPr>
                <w:rFonts w:eastAsia="仿宋_GB2312"/>
                <w:sz w:val="24"/>
              </w:rPr>
            </w:pPr>
            <w:r>
              <w:rPr>
                <w:rFonts w:eastAsia="仿宋_GB2312"/>
                <w:sz w:val="24"/>
              </w:rPr>
              <w:t>最近一个会计年度资产管理规模</w:t>
            </w:r>
          </w:p>
        </w:tc>
        <w:tc>
          <w:tcPr>
            <w:tcW w:w="7002" w:type="dxa"/>
            <w:vAlign w:val="center"/>
          </w:tcPr>
          <w:p w14:paraId="5269FCBC">
            <w:pPr>
              <w:spacing w:line="560" w:lineRule="exact"/>
              <w:jc w:val="center"/>
              <w:rPr>
                <w:rFonts w:eastAsia="仿宋_GB2312"/>
                <w:sz w:val="24"/>
              </w:rPr>
            </w:pPr>
            <w:r>
              <w:rPr>
                <w:rFonts w:eastAsia="仿宋_GB2312"/>
                <w:sz w:val="24"/>
              </w:rPr>
              <w:t>理财产品必填</w:t>
            </w:r>
            <w:r>
              <w:rPr>
                <w:rFonts w:hint="eastAsia" w:eastAsia="仿宋_GB2312"/>
                <w:sz w:val="24"/>
              </w:rPr>
              <w:t>（</w:t>
            </w:r>
            <w:r>
              <w:rPr>
                <w:rFonts w:eastAsia="仿宋_GB2312"/>
                <w:sz w:val="24"/>
              </w:rPr>
              <w:t>仅正回购必填</w:t>
            </w:r>
            <w:r>
              <w:rPr>
                <w:rFonts w:hint="eastAsia" w:eastAsia="仿宋_GB2312"/>
                <w:sz w:val="24"/>
              </w:rPr>
              <w:t>）</w:t>
            </w:r>
            <w:r>
              <w:rPr>
                <w:rFonts w:eastAsia="仿宋_GB2312"/>
                <w:sz w:val="24"/>
              </w:rPr>
              <w:t>，单位为亿元。</w:t>
            </w:r>
          </w:p>
          <w:p w14:paraId="40B60255">
            <w:pPr>
              <w:spacing w:line="560" w:lineRule="exact"/>
              <w:jc w:val="center"/>
              <w:rPr>
                <w:rFonts w:eastAsia="仿宋_GB2312"/>
                <w:sz w:val="24"/>
              </w:rPr>
            </w:pPr>
            <w:r>
              <w:rPr>
                <w:rFonts w:eastAsia="仿宋_GB2312"/>
                <w:sz w:val="24"/>
              </w:rPr>
              <w:t>公募基金填写管理人所管理的公募基金资产规模，银行理财产品填写管理人的总资产规模。</w:t>
            </w:r>
          </w:p>
        </w:tc>
      </w:tr>
    </w:tbl>
    <w:p w14:paraId="7CA29C2C">
      <w:pPr>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投资者适当性备案时需要上传备案材料的</w:t>
      </w:r>
      <w:r>
        <w:rPr>
          <w:rFonts w:ascii="仿宋_GB2312" w:hAnsi="仿宋_GB2312" w:eastAsia="仿宋_GB2312" w:cs="仿宋_GB2312"/>
          <w:sz w:val="30"/>
          <w:szCs w:val="30"/>
        </w:rPr>
        <w:t>PDF</w:t>
      </w:r>
      <w:r>
        <w:rPr>
          <w:rFonts w:hint="eastAsia" w:ascii="仿宋_GB2312" w:hAnsi="仿宋_GB2312" w:eastAsia="仿宋_GB2312" w:cs="仿宋_GB2312"/>
          <w:sz w:val="30"/>
          <w:szCs w:val="30"/>
        </w:rPr>
        <w:t>格式彩色扫描件。</w:t>
      </w:r>
    </w:p>
    <w:p w14:paraId="25CEF2D0">
      <w:pPr>
        <w:spacing w:line="560" w:lineRule="exact"/>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T</w:t>
      </w:r>
      <w:r>
        <w:rPr>
          <w:rFonts w:hint="eastAsia" w:ascii="仿宋_GB2312" w:hAnsi="仿宋_GB2312" w:eastAsia="仿宋_GB2312" w:cs="仿宋_GB2312"/>
          <w:sz w:val="30"/>
          <w:szCs w:val="30"/>
        </w:rPr>
        <w:t>日通过系统提交备案材料的，上交所于下一个交易日（</w:t>
      </w:r>
      <w:r>
        <w:rPr>
          <w:rFonts w:ascii="仿宋_GB2312" w:hAnsi="仿宋_GB2312" w:eastAsia="仿宋_GB2312" w:cs="仿宋_GB2312"/>
          <w:sz w:val="30"/>
          <w:szCs w:val="30"/>
        </w:rPr>
        <w:t>T+1</w:t>
      </w:r>
      <w:r>
        <w:rPr>
          <w:rFonts w:hint="eastAsia" w:ascii="仿宋_GB2312" w:hAnsi="仿宋_GB2312" w:eastAsia="仿宋_GB2312" w:cs="仿宋_GB2312"/>
          <w:sz w:val="30"/>
          <w:szCs w:val="30"/>
        </w:rPr>
        <w:t>日）进行审查。审查不通过的，上交所通过债券业务管理系统反馈申请人。审查通过的，申请人可于</w:t>
      </w:r>
      <w:r>
        <w:rPr>
          <w:rFonts w:ascii="仿宋_GB2312" w:hAnsi="仿宋_GB2312" w:eastAsia="仿宋_GB2312" w:cs="仿宋_GB2312"/>
          <w:sz w:val="30"/>
          <w:szCs w:val="30"/>
        </w:rPr>
        <w:t>T+2</w:t>
      </w:r>
      <w:r>
        <w:rPr>
          <w:rFonts w:hint="eastAsia" w:ascii="仿宋_GB2312" w:hAnsi="仿宋_GB2312" w:eastAsia="仿宋_GB2312" w:cs="仿宋_GB2312"/>
          <w:sz w:val="30"/>
          <w:szCs w:val="30"/>
        </w:rPr>
        <w:t>日通过交易系统查看备案结果，并开展三方回购交易。</w:t>
      </w:r>
    </w:p>
    <w:p w14:paraId="4F3601CF">
      <w:pPr>
        <w:numPr>
          <w:ilvl w:val="255"/>
          <w:numId w:val="0"/>
        </w:numPr>
        <w:spacing w:line="560" w:lineRule="exact"/>
        <w:ind w:left="420"/>
        <w:outlineLvl w:val="9"/>
        <w:rPr>
          <w:rFonts w:ascii="仿宋_GB2312" w:hAnsi="仿宋_GB2312" w:eastAsia="仿宋_GB2312" w:cs="仿宋_GB2312"/>
          <w:b/>
          <w:bCs/>
          <w:i w:val="0"/>
          <w:iCs w:val="0"/>
          <w:color w:val="auto"/>
          <w:sz w:val="30"/>
          <w:szCs w:val="30"/>
        </w:rPr>
      </w:pPr>
      <w:r>
        <w:rPr>
          <w:rFonts w:ascii="仿宋_GB2312" w:hAnsi="仿宋_GB2312" w:eastAsia="仿宋_GB2312" w:cs="仿宋_GB2312"/>
          <w:b/>
          <w:bCs/>
          <w:i w:val="0"/>
          <w:iCs w:val="0"/>
          <w:color w:val="auto"/>
          <w:sz w:val="30"/>
          <w:szCs w:val="30"/>
          <w:lang w:eastAsia="zh-CN"/>
        </w:rPr>
        <w:t>2.</w:t>
      </w:r>
      <w:r>
        <w:rPr>
          <w:rFonts w:hint="eastAsia" w:ascii="仿宋_GB2312" w:hAnsi="仿宋_GB2312" w:eastAsia="仿宋_GB2312" w:cs="仿宋_GB2312"/>
          <w:b/>
          <w:bCs/>
          <w:i w:val="0"/>
          <w:iCs w:val="0"/>
          <w:color w:val="auto"/>
          <w:sz w:val="30"/>
          <w:szCs w:val="30"/>
        </w:rPr>
        <w:t>通过电子邮件方式备案</w:t>
      </w:r>
    </w:p>
    <w:p w14:paraId="1EC33469">
      <w:pPr>
        <w:widowControl/>
        <w:spacing w:line="560" w:lineRule="exact"/>
        <w:ind w:firstLine="420"/>
        <w:jc w:val="left"/>
        <w:rPr>
          <w:rFonts w:eastAsia="仿宋_GB2312"/>
          <w:sz w:val="28"/>
          <w:szCs w:val="28"/>
        </w:rPr>
      </w:pPr>
      <w:r>
        <w:rPr>
          <w:rFonts w:eastAsia="仿宋_GB2312"/>
          <w:sz w:val="28"/>
          <w:szCs w:val="28"/>
        </w:rPr>
        <w:t>通过电子邮件方式进行三方回购投资者适当性备案的市场参与者可以将三方回购投资者适当性备案材料的彩色扫描件制作成pdf文件后发送到以下邮箱：ssebond@sse.com.cn，邮件主题统一格式为“XXX公司-三方回购投资者适当性备案”。</w:t>
      </w:r>
    </w:p>
    <w:p w14:paraId="70A96979">
      <w:pPr>
        <w:spacing w:line="560" w:lineRule="exact"/>
        <w:ind w:firstLine="560" w:firstLineChars="200"/>
        <w:rPr>
          <w:rFonts w:eastAsia="仿宋_GB2312"/>
          <w:sz w:val="28"/>
          <w:szCs w:val="28"/>
        </w:rPr>
      </w:pPr>
      <w:r>
        <w:rPr>
          <w:rFonts w:eastAsia="仿宋_GB2312"/>
          <w:sz w:val="28"/>
          <w:szCs w:val="28"/>
        </w:rPr>
        <w:t>上交所在T日收到电子邮件后，对材料齐全的于下一个交易日（T+1日）进行审查。审查通过的由上交所T+1日代为录入债券业务管理系统。审查不通过的，上交所通过邮件或电话方式告知申请人。审查通过的，申请人可于T+2日通过交易系统查看备案结果，并开展三方回购交易。</w:t>
      </w:r>
    </w:p>
    <w:p w14:paraId="4177AFB7">
      <w:pPr>
        <w:widowControl/>
        <w:spacing w:line="560" w:lineRule="exact"/>
        <w:ind w:firstLine="420"/>
        <w:jc w:val="left"/>
        <w:rPr>
          <w:rFonts w:eastAsia="仿宋_GB2312"/>
        </w:rPr>
      </w:pPr>
    </w:p>
    <w:p w14:paraId="4C38AAB5">
      <w:pPr>
        <w:widowControl/>
        <w:jc w:val="left"/>
        <w:outlineLvl w:val="1"/>
        <w:rPr>
          <w:rFonts w:hAnsi="仿宋"/>
          <w:b/>
          <w:bCs/>
          <w:sz w:val="30"/>
          <w:szCs w:val="30"/>
        </w:rPr>
      </w:pPr>
      <w:r>
        <w:rPr>
          <w:sz w:val="30"/>
          <w:szCs w:val="30"/>
        </w:rPr>
        <w:br w:type="page"/>
      </w:r>
      <w:bookmarkStart w:id="3890" w:name="_Toc1566154384"/>
      <w:bookmarkStart w:id="3891" w:name="_Toc1944835201"/>
      <w:bookmarkStart w:id="3892" w:name="_Toc151137103"/>
      <w:bookmarkStart w:id="3893" w:name="_Toc2119930433"/>
      <w:bookmarkStart w:id="3894" w:name="_Toc130310667"/>
      <w:r>
        <w:rPr>
          <w:rFonts w:hint="eastAsia" w:ascii="仿宋_GB2312" w:hAnsi="黑体" w:eastAsia="仿宋_GB2312"/>
          <w:b/>
          <w:sz w:val="30"/>
          <w:szCs w:val="30"/>
        </w:rPr>
        <w:t>附件20 债券借贷业务用户登记表</w:t>
      </w:r>
      <w:bookmarkEnd w:id="3890"/>
      <w:bookmarkEnd w:id="3891"/>
      <w:bookmarkEnd w:id="3892"/>
      <w:bookmarkEnd w:id="3893"/>
      <w:bookmarkEnd w:id="3894"/>
    </w:p>
    <w:p w14:paraId="4EB2B558">
      <w:pPr>
        <w:pStyle w:val="100"/>
        <w:spacing w:line="600" w:lineRule="exact"/>
        <w:ind w:firstLine="883" w:firstLineChars="200"/>
        <w:rPr>
          <w:rFonts w:ascii="黑体" w:hAnsi="黑体" w:eastAsia="黑体" w:cs="Times New Roman"/>
          <w:b/>
          <w:color w:val="auto"/>
          <w:sz w:val="44"/>
          <w:szCs w:val="44"/>
        </w:rPr>
      </w:pPr>
    </w:p>
    <w:p w14:paraId="33102134">
      <w:pPr>
        <w:pStyle w:val="100"/>
        <w:spacing w:line="600" w:lineRule="exact"/>
        <w:jc w:val="center"/>
        <w:rPr>
          <w:rFonts w:ascii="黑体" w:hAnsi="黑体" w:eastAsia="黑体" w:cs="Times New Roman"/>
          <w:b/>
          <w:color w:val="auto"/>
          <w:sz w:val="44"/>
          <w:szCs w:val="44"/>
        </w:rPr>
      </w:pPr>
      <w:r>
        <w:rPr>
          <w:rFonts w:hint="eastAsia" w:ascii="黑体" w:hAnsi="黑体" w:eastAsia="黑体" w:cs="Times New Roman"/>
          <w:b/>
          <w:color w:val="auto"/>
          <w:sz w:val="44"/>
          <w:szCs w:val="44"/>
        </w:rPr>
        <w:t>债券借贷业务用户登记表</w:t>
      </w:r>
    </w:p>
    <w:p w14:paraId="2B112BF3">
      <w:pPr>
        <w:pStyle w:val="92"/>
        <w:spacing w:line="600" w:lineRule="exact"/>
        <w:ind w:firstLine="600"/>
        <w:rPr>
          <w:rFonts w:ascii="仿宋_GB2312" w:eastAsia="仿宋_GB2312"/>
          <w:sz w:val="30"/>
          <w:szCs w:val="30"/>
          <w:lang w:eastAsia="zh-CN"/>
        </w:rPr>
      </w:pPr>
    </w:p>
    <w:tbl>
      <w:tblPr>
        <w:tblStyle w:val="43"/>
        <w:tblW w:w="9255" w:type="dxa"/>
        <w:jc w:val="center"/>
        <w:tblLayout w:type="autofit"/>
        <w:tblCellMar>
          <w:top w:w="0" w:type="dxa"/>
          <w:left w:w="108" w:type="dxa"/>
          <w:bottom w:w="0" w:type="dxa"/>
          <w:right w:w="108" w:type="dxa"/>
        </w:tblCellMar>
      </w:tblPr>
      <w:tblGrid>
        <w:gridCol w:w="1303"/>
        <w:gridCol w:w="1303"/>
        <w:gridCol w:w="1303"/>
        <w:gridCol w:w="1304"/>
        <w:gridCol w:w="1305"/>
        <w:gridCol w:w="1197"/>
        <w:gridCol w:w="1540"/>
      </w:tblGrid>
      <w:tr w14:paraId="08502E1D">
        <w:tblPrEx>
          <w:tblCellMar>
            <w:top w:w="0" w:type="dxa"/>
            <w:left w:w="108" w:type="dxa"/>
            <w:bottom w:w="0" w:type="dxa"/>
            <w:right w:w="108" w:type="dxa"/>
          </w:tblCellMar>
        </w:tblPrEx>
        <w:trPr>
          <w:trHeight w:val="272" w:hRule="atLeast"/>
          <w:jc w:val="center"/>
        </w:trPr>
        <w:tc>
          <w:tcPr>
            <w:tcW w:w="5213" w:type="dxa"/>
            <w:gridSpan w:val="4"/>
            <w:tcBorders>
              <w:top w:val="single" w:color="auto" w:sz="4" w:space="0"/>
              <w:left w:val="single" w:color="auto" w:sz="4" w:space="0"/>
              <w:bottom w:val="single" w:color="auto" w:sz="4" w:space="0"/>
              <w:right w:val="single" w:color="auto" w:sz="4" w:space="0"/>
            </w:tcBorders>
          </w:tcPr>
          <w:p w14:paraId="3BCD4803">
            <w:pPr>
              <w:widowControl/>
              <w:spacing w:line="300" w:lineRule="auto"/>
              <w:jc w:val="left"/>
              <w:rPr>
                <w:rFonts w:ascii="仿宋_GB2312" w:eastAsia="仿宋_GB2312"/>
                <w:kern w:val="0"/>
                <w:sz w:val="24"/>
                <w:szCs w:val="24"/>
              </w:rPr>
            </w:pPr>
            <w:r>
              <w:rPr>
                <w:rFonts w:hint="eastAsia" w:ascii="仿宋_GB2312" w:eastAsia="仿宋_GB2312"/>
                <w:kern w:val="0"/>
                <w:sz w:val="24"/>
                <w:szCs w:val="24"/>
              </w:rPr>
              <w:t xml:space="preserve">公司全称： </w:t>
            </w:r>
          </w:p>
        </w:tc>
        <w:tc>
          <w:tcPr>
            <w:tcW w:w="4042" w:type="dxa"/>
            <w:gridSpan w:val="3"/>
            <w:tcBorders>
              <w:top w:val="single" w:color="auto" w:sz="4" w:space="0"/>
              <w:left w:val="nil"/>
              <w:bottom w:val="single" w:color="auto" w:sz="4" w:space="0"/>
              <w:right w:val="single" w:color="auto" w:sz="4" w:space="0"/>
            </w:tcBorders>
          </w:tcPr>
          <w:p w14:paraId="3C881F04">
            <w:pPr>
              <w:widowControl/>
              <w:spacing w:line="300" w:lineRule="auto"/>
              <w:jc w:val="left"/>
              <w:rPr>
                <w:rFonts w:ascii="仿宋_GB2312" w:eastAsia="仿宋_GB2312"/>
                <w:kern w:val="0"/>
                <w:sz w:val="24"/>
                <w:szCs w:val="24"/>
              </w:rPr>
            </w:pPr>
            <w:r>
              <w:rPr>
                <w:rFonts w:hint="eastAsia" w:ascii="仿宋_GB2312" w:eastAsia="仿宋_GB2312"/>
                <w:kern w:val="0"/>
                <w:sz w:val="24"/>
                <w:szCs w:val="24"/>
              </w:rPr>
              <w:t>邮编：</w:t>
            </w:r>
          </w:p>
        </w:tc>
      </w:tr>
      <w:tr w14:paraId="063DBC46">
        <w:tblPrEx>
          <w:tblCellMar>
            <w:top w:w="0" w:type="dxa"/>
            <w:left w:w="108" w:type="dxa"/>
            <w:bottom w:w="0" w:type="dxa"/>
            <w:right w:w="108" w:type="dxa"/>
          </w:tblCellMar>
        </w:tblPrEx>
        <w:trPr>
          <w:trHeight w:val="272" w:hRule="atLeast"/>
          <w:jc w:val="center"/>
        </w:trPr>
        <w:tc>
          <w:tcPr>
            <w:tcW w:w="3909" w:type="dxa"/>
            <w:gridSpan w:val="3"/>
            <w:tcBorders>
              <w:top w:val="single" w:color="auto" w:sz="4" w:space="0"/>
              <w:left w:val="single" w:color="auto" w:sz="4" w:space="0"/>
              <w:bottom w:val="single" w:color="auto" w:sz="4" w:space="0"/>
              <w:right w:val="single" w:color="auto" w:sz="4" w:space="0"/>
            </w:tcBorders>
          </w:tcPr>
          <w:p w14:paraId="3B3E8449">
            <w:pPr>
              <w:widowControl/>
              <w:spacing w:line="300" w:lineRule="auto"/>
              <w:jc w:val="left"/>
              <w:rPr>
                <w:rFonts w:ascii="仿宋_GB2312" w:eastAsia="仿宋_GB2312"/>
                <w:kern w:val="0"/>
                <w:sz w:val="24"/>
                <w:szCs w:val="24"/>
              </w:rPr>
            </w:pPr>
            <w:r>
              <w:rPr>
                <w:rFonts w:hint="eastAsia" w:ascii="仿宋_GB2312" w:eastAsia="仿宋_GB2312"/>
                <w:kern w:val="0"/>
                <w:sz w:val="24"/>
                <w:szCs w:val="24"/>
              </w:rPr>
              <w:t xml:space="preserve">公司地址： </w:t>
            </w:r>
          </w:p>
        </w:tc>
        <w:tc>
          <w:tcPr>
            <w:tcW w:w="1304" w:type="dxa"/>
            <w:tcBorders>
              <w:top w:val="nil"/>
              <w:left w:val="nil"/>
              <w:bottom w:val="single" w:color="auto" w:sz="4" w:space="0"/>
              <w:right w:val="single" w:color="auto" w:sz="4" w:space="0"/>
            </w:tcBorders>
          </w:tcPr>
          <w:p w14:paraId="367B4CB7">
            <w:pPr>
              <w:widowControl/>
              <w:spacing w:line="300" w:lineRule="auto"/>
              <w:jc w:val="left"/>
              <w:rPr>
                <w:rFonts w:ascii="仿宋_GB2312" w:eastAsia="仿宋_GB2312"/>
                <w:kern w:val="0"/>
                <w:sz w:val="24"/>
                <w:szCs w:val="24"/>
              </w:rPr>
            </w:pPr>
            <w:r>
              <w:rPr>
                <w:rFonts w:hint="eastAsia" w:ascii="仿宋_GB2312" w:eastAsia="仿宋_GB2312"/>
                <w:kern w:val="0"/>
                <w:sz w:val="24"/>
                <w:szCs w:val="24"/>
              </w:rPr>
              <w:t>电话：</w:t>
            </w:r>
          </w:p>
        </w:tc>
        <w:tc>
          <w:tcPr>
            <w:tcW w:w="4042" w:type="dxa"/>
            <w:gridSpan w:val="3"/>
            <w:tcBorders>
              <w:top w:val="single" w:color="auto" w:sz="4" w:space="0"/>
              <w:left w:val="single" w:color="auto" w:sz="4" w:space="0"/>
              <w:bottom w:val="single" w:color="auto" w:sz="4" w:space="0"/>
              <w:right w:val="single" w:color="auto" w:sz="4" w:space="0"/>
            </w:tcBorders>
          </w:tcPr>
          <w:p w14:paraId="492DD279">
            <w:pPr>
              <w:widowControl/>
              <w:spacing w:line="300" w:lineRule="auto"/>
              <w:jc w:val="left"/>
              <w:rPr>
                <w:rFonts w:ascii="仿宋_GB2312" w:eastAsia="仿宋_GB2312"/>
                <w:kern w:val="0"/>
                <w:sz w:val="24"/>
                <w:szCs w:val="24"/>
              </w:rPr>
            </w:pPr>
            <w:r>
              <w:rPr>
                <w:rFonts w:hint="eastAsia" w:ascii="仿宋_GB2312" w:eastAsia="仿宋_GB2312"/>
                <w:kern w:val="0"/>
                <w:sz w:val="24"/>
                <w:szCs w:val="24"/>
              </w:rPr>
              <w:t>传真：</w:t>
            </w:r>
          </w:p>
        </w:tc>
      </w:tr>
      <w:tr w14:paraId="2094F7E6">
        <w:tblPrEx>
          <w:tblCellMar>
            <w:top w:w="0" w:type="dxa"/>
            <w:left w:w="108" w:type="dxa"/>
            <w:bottom w:w="0" w:type="dxa"/>
            <w:right w:w="108" w:type="dxa"/>
          </w:tblCellMar>
        </w:tblPrEx>
        <w:trPr>
          <w:trHeight w:val="272" w:hRule="atLeast"/>
          <w:jc w:val="center"/>
        </w:trPr>
        <w:tc>
          <w:tcPr>
            <w:tcW w:w="3909" w:type="dxa"/>
            <w:gridSpan w:val="3"/>
            <w:tcBorders>
              <w:top w:val="single" w:color="auto" w:sz="4" w:space="0"/>
              <w:left w:val="single" w:color="auto" w:sz="4" w:space="0"/>
              <w:bottom w:val="single" w:color="auto" w:sz="4" w:space="0"/>
              <w:right w:val="single" w:color="auto" w:sz="4" w:space="0"/>
            </w:tcBorders>
          </w:tcPr>
          <w:p w14:paraId="36E4DE6D">
            <w:pPr>
              <w:widowControl/>
              <w:spacing w:line="300" w:lineRule="auto"/>
              <w:jc w:val="left"/>
              <w:rPr>
                <w:rFonts w:ascii="仿宋_GB2312" w:eastAsia="仿宋_GB2312"/>
                <w:kern w:val="0"/>
                <w:sz w:val="24"/>
                <w:szCs w:val="24"/>
              </w:rPr>
            </w:pPr>
            <w:r>
              <w:rPr>
                <w:rFonts w:hint="eastAsia" w:ascii="仿宋_GB2312" w:eastAsia="仿宋_GB2312"/>
                <w:kern w:val="0"/>
                <w:sz w:val="24"/>
                <w:szCs w:val="24"/>
              </w:rPr>
              <w:t xml:space="preserve">企业法人营业执照号： </w:t>
            </w:r>
          </w:p>
        </w:tc>
        <w:tc>
          <w:tcPr>
            <w:tcW w:w="5346" w:type="dxa"/>
            <w:gridSpan w:val="4"/>
            <w:tcBorders>
              <w:top w:val="single" w:color="auto" w:sz="4" w:space="0"/>
              <w:left w:val="single" w:color="auto" w:sz="4" w:space="0"/>
              <w:bottom w:val="single" w:color="auto" w:sz="4" w:space="0"/>
              <w:right w:val="single" w:color="auto" w:sz="4" w:space="0"/>
            </w:tcBorders>
          </w:tcPr>
          <w:p w14:paraId="06E34BF4">
            <w:pPr>
              <w:widowControl/>
              <w:spacing w:line="300" w:lineRule="auto"/>
              <w:jc w:val="left"/>
              <w:rPr>
                <w:rFonts w:ascii="仿宋_GB2312" w:eastAsia="仿宋_GB2312"/>
                <w:kern w:val="0"/>
                <w:sz w:val="24"/>
                <w:szCs w:val="24"/>
              </w:rPr>
            </w:pPr>
            <w:r>
              <w:rPr>
                <w:rFonts w:hint="eastAsia" w:ascii="仿宋_GB2312" w:eastAsia="仿宋_GB2312"/>
                <w:kern w:val="0"/>
                <w:sz w:val="24"/>
                <w:szCs w:val="24"/>
              </w:rPr>
              <w:t>注册资本：</w:t>
            </w:r>
          </w:p>
        </w:tc>
      </w:tr>
      <w:tr w14:paraId="708C919C">
        <w:tblPrEx>
          <w:tblCellMar>
            <w:top w:w="0" w:type="dxa"/>
            <w:left w:w="108" w:type="dxa"/>
            <w:bottom w:w="0" w:type="dxa"/>
            <w:right w:w="108" w:type="dxa"/>
          </w:tblCellMar>
        </w:tblPrEx>
        <w:trPr>
          <w:trHeight w:val="272" w:hRule="atLeast"/>
          <w:jc w:val="center"/>
        </w:trPr>
        <w:tc>
          <w:tcPr>
            <w:tcW w:w="3909" w:type="dxa"/>
            <w:gridSpan w:val="3"/>
            <w:tcBorders>
              <w:top w:val="single" w:color="auto" w:sz="4" w:space="0"/>
              <w:left w:val="single" w:color="auto" w:sz="4" w:space="0"/>
              <w:bottom w:val="single" w:color="auto" w:sz="4" w:space="0"/>
              <w:right w:val="single" w:color="auto" w:sz="4" w:space="0"/>
            </w:tcBorders>
          </w:tcPr>
          <w:p w14:paraId="5ED96695">
            <w:pPr>
              <w:widowControl/>
              <w:spacing w:line="300" w:lineRule="auto"/>
              <w:jc w:val="left"/>
              <w:rPr>
                <w:rFonts w:ascii="仿宋_GB2312" w:eastAsia="仿宋_GB2312"/>
                <w:kern w:val="0"/>
                <w:sz w:val="24"/>
                <w:szCs w:val="24"/>
              </w:rPr>
            </w:pPr>
            <w:r>
              <w:rPr>
                <w:rFonts w:hint="eastAsia" w:ascii="仿宋_GB2312" w:eastAsia="仿宋_GB2312"/>
                <w:kern w:val="0"/>
                <w:sz w:val="24"/>
                <w:szCs w:val="24"/>
              </w:rPr>
              <w:t xml:space="preserve">法定代表人： </w:t>
            </w:r>
          </w:p>
        </w:tc>
        <w:tc>
          <w:tcPr>
            <w:tcW w:w="5346" w:type="dxa"/>
            <w:gridSpan w:val="4"/>
            <w:tcBorders>
              <w:top w:val="single" w:color="auto" w:sz="4" w:space="0"/>
              <w:left w:val="single" w:color="auto" w:sz="4" w:space="0"/>
              <w:bottom w:val="single" w:color="auto" w:sz="4" w:space="0"/>
              <w:right w:val="single" w:color="auto" w:sz="4" w:space="0"/>
            </w:tcBorders>
          </w:tcPr>
          <w:p w14:paraId="0F3C69BE">
            <w:pPr>
              <w:widowControl/>
              <w:spacing w:line="300" w:lineRule="auto"/>
              <w:jc w:val="left"/>
              <w:rPr>
                <w:rFonts w:ascii="仿宋_GB2312" w:eastAsia="仿宋_GB2312"/>
                <w:kern w:val="0"/>
                <w:sz w:val="24"/>
                <w:szCs w:val="24"/>
              </w:rPr>
            </w:pPr>
            <w:r>
              <w:rPr>
                <w:rFonts w:hint="eastAsia" w:ascii="仿宋_GB2312" w:eastAsia="仿宋_GB2312"/>
                <w:kern w:val="0"/>
                <w:sz w:val="24"/>
                <w:szCs w:val="24"/>
              </w:rPr>
              <w:t>总经理：</w:t>
            </w:r>
          </w:p>
        </w:tc>
      </w:tr>
      <w:tr w14:paraId="5EB73620">
        <w:tblPrEx>
          <w:tblCellMar>
            <w:top w:w="0" w:type="dxa"/>
            <w:left w:w="108" w:type="dxa"/>
            <w:bottom w:w="0" w:type="dxa"/>
            <w:right w:w="108" w:type="dxa"/>
          </w:tblCellMar>
        </w:tblPrEx>
        <w:trPr>
          <w:trHeight w:val="815" w:hRule="atLeast"/>
          <w:jc w:val="center"/>
        </w:trPr>
        <w:tc>
          <w:tcPr>
            <w:tcW w:w="1303" w:type="dxa"/>
            <w:tcBorders>
              <w:top w:val="nil"/>
              <w:left w:val="single" w:color="auto" w:sz="4" w:space="0"/>
              <w:bottom w:val="single" w:color="auto" w:sz="4" w:space="0"/>
              <w:right w:val="single" w:color="auto" w:sz="4" w:space="0"/>
            </w:tcBorders>
          </w:tcPr>
          <w:p w14:paraId="503055B8">
            <w:pPr>
              <w:widowControl/>
              <w:spacing w:line="300" w:lineRule="auto"/>
              <w:jc w:val="left"/>
              <w:rPr>
                <w:rFonts w:ascii="仿宋_GB2312" w:eastAsia="仿宋_GB2312"/>
                <w:kern w:val="0"/>
                <w:sz w:val="24"/>
                <w:szCs w:val="24"/>
              </w:rPr>
            </w:pPr>
            <w:r>
              <w:rPr>
                <w:rFonts w:hint="eastAsia" w:ascii="仿宋_GB2312" w:eastAsia="仿宋_GB2312"/>
                <w:kern w:val="0"/>
                <w:sz w:val="24"/>
                <w:szCs w:val="24"/>
              </w:rPr>
              <w:t xml:space="preserve">债券借贷业务负责人 </w:t>
            </w:r>
          </w:p>
        </w:tc>
        <w:tc>
          <w:tcPr>
            <w:tcW w:w="1303" w:type="dxa"/>
            <w:tcBorders>
              <w:top w:val="nil"/>
              <w:left w:val="nil"/>
              <w:bottom w:val="single" w:color="auto" w:sz="4" w:space="0"/>
              <w:right w:val="single" w:color="auto" w:sz="4" w:space="0"/>
            </w:tcBorders>
          </w:tcPr>
          <w:p w14:paraId="70559378">
            <w:pPr>
              <w:widowControl/>
              <w:spacing w:line="300" w:lineRule="auto"/>
              <w:jc w:val="left"/>
              <w:rPr>
                <w:rFonts w:ascii="仿宋_GB2312" w:eastAsia="仿宋_GB2312"/>
                <w:kern w:val="0"/>
                <w:sz w:val="24"/>
                <w:szCs w:val="24"/>
              </w:rPr>
            </w:pPr>
            <w:r>
              <w:rPr>
                <w:rFonts w:hint="eastAsia" w:ascii="仿宋_GB2312" w:eastAsia="仿宋_GB2312"/>
                <w:kern w:val="0"/>
                <w:sz w:val="24"/>
                <w:szCs w:val="24"/>
              </w:rPr>
              <w:t xml:space="preserve">部门 </w:t>
            </w:r>
          </w:p>
        </w:tc>
        <w:tc>
          <w:tcPr>
            <w:tcW w:w="1303" w:type="dxa"/>
            <w:tcBorders>
              <w:top w:val="nil"/>
              <w:left w:val="nil"/>
              <w:bottom w:val="single" w:color="auto" w:sz="4" w:space="0"/>
              <w:right w:val="single" w:color="auto" w:sz="4" w:space="0"/>
            </w:tcBorders>
          </w:tcPr>
          <w:p w14:paraId="12E23656">
            <w:pPr>
              <w:widowControl/>
              <w:spacing w:line="300" w:lineRule="auto"/>
              <w:jc w:val="left"/>
              <w:rPr>
                <w:rFonts w:ascii="仿宋_GB2312" w:eastAsia="仿宋_GB2312"/>
                <w:kern w:val="0"/>
                <w:sz w:val="24"/>
                <w:szCs w:val="24"/>
              </w:rPr>
            </w:pPr>
            <w:r>
              <w:rPr>
                <w:rFonts w:hint="eastAsia" w:ascii="仿宋_GB2312" w:eastAsia="仿宋_GB2312"/>
                <w:kern w:val="0"/>
                <w:sz w:val="24"/>
                <w:szCs w:val="24"/>
              </w:rPr>
              <w:t xml:space="preserve">职务 </w:t>
            </w:r>
          </w:p>
        </w:tc>
        <w:tc>
          <w:tcPr>
            <w:tcW w:w="1304" w:type="dxa"/>
            <w:tcBorders>
              <w:top w:val="single" w:color="auto" w:sz="4" w:space="0"/>
              <w:left w:val="nil"/>
              <w:bottom w:val="single" w:color="auto" w:sz="4" w:space="0"/>
              <w:right w:val="single" w:color="auto" w:sz="4" w:space="0"/>
            </w:tcBorders>
          </w:tcPr>
          <w:p w14:paraId="2134DCB2">
            <w:pPr>
              <w:widowControl/>
              <w:spacing w:line="300" w:lineRule="auto"/>
              <w:jc w:val="left"/>
              <w:rPr>
                <w:rFonts w:ascii="仿宋_GB2312" w:eastAsia="仿宋_GB2312"/>
                <w:kern w:val="0"/>
                <w:sz w:val="24"/>
                <w:szCs w:val="24"/>
              </w:rPr>
            </w:pPr>
            <w:r>
              <w:rPr>
                <w:rFonts w:hint="eastAsia" w:ascii="仿宋_GB2312" w:eastAsia="仿宋_GB2312"/>
                <w:kern w:val="0"/>
                <w:sz w:val="24"/>
                <w:szCs w:val="24"/>
              </w:rPr>
              <w:t xml:space="preserve">电话 </w:t>
            </w:r>
          </w:p>
        </w:tc>
        <w:tc>
          <w:tcPr>
            <w:tcW w:w="1305" w:type="dxa"/>
            <w:tcBorders>
              <w:top w:val="single" w:color="auto" w:sz="4" w:space="0"/>
              <w:left w:val="nil"/>
              <w:bottom w:val="single" w:color="auto" w:sz="4" w:space="0"/>
              <w:right w:val="single" w:color="auto" w:sz="4" w:space="0"/>
            </w:tcBorders>
          </w:tcPr>
          <w:p w14:paraId="2F1103F9">
            <w:pPr>
              <w:widowControl/>
              <w:spacing w:line="300" w:lineRule="auto"/>
              <w:jc w:val="left"/>
              <w:rPr>
                <w:rFonts w:ascii="仿宋_GB2312" w:eastAsia="仿宋_GB2312"/>
                <w:kern w:val="0"/>
                <w:sz w:val="24"/>
                <w:szCs w:val="24"/>
              </w:rPr>
            </w:pPr>
            <w:r>
              <w:rPr>
                <w:rFonts w:hint="eastAsia" w:ascii="仿宋_GB2312" w:eastAsia="仿宋_GB2312"/>
                <w:kern w:val="0"/>
                <w:sz w:val="24"/>
                <w:szCs w:val="24"/>
              </w:rPr>
              <w:t xml:space="preserve">手机 </w:t>
            </w:r>
          </w:p>
        </w:tc>
        <w:tc>
          <w:tcPr>
            <w:tcW w:w="1197" w:type="dxa"/>
            <w:tcBorders>
              <w:top w:val="nil"/>
              <w:left w:val="nil"/>
              <w:bottom w:val="single" w:color="auto" w:sz="4" w:space="0"/>
              <w:right w:val="single" w:color="auto" w:sz="4" w:space="0"/>
            </w:tcBorders>
          </w:tcPr>
          <w:p w14:paraId="741C1F6B">
            <w:pPr>
              <w:widowControl/>
              <w:spacing w:line="300" w:lineRule="auto"/>
              <w:jc w:val="left"/>
              <w:rPr>
                <w:rFonts w:ascii="仿宋_GB2312" w:eastAsia="仿宋_GB2312"/>
                <w:kern w:val="0"/>
                <w:sz w:val="24"/>
                <w:szCs w:val="24"/>
              </w:rPr>
            </w:pPr>
            <w:r>
              <w:rPr>
                <w:rFonts w:hint="eastAsia" w:ascii="仿宋_GB2312" w:eastAsia="仿宋_GB2312"/>
                <w:kern w:val="0"/>
                <w:sz w:val="24"/>
                <w:szCs w:val="24"/>
              </w:rPr>
              <w:t xml:space="preserve">传真 </w:t>
            </w:r>
          </w:p>
        </w:tc>
        <w:tc>
          <w:tcPr>
            <w:tcW w:w="1540" w:type="dxa"/>
            <w:tcBorders>
              <w:top w:val="nil"/>
              <w:left w:val="nil"/>
              <w:bottom w:val="single" w:color="auto" w:sz="4" w:space="0"/>
              <w:right w:val="single" w:color="auto" w:sz="4" w:space="0"/>
            </w:tcBorders>
          </w:tcPr>
          <w:p w14:paraId="1C1772BF">
            <w:pPr>
              <w:widowControl/>
              <w:spacing w:line="300" w:lineRule="auto"/>
              <w:jc w:val="left"/>
              <w:rPr>
                <w:rFonts w:ascii="仿宋_GB2312" w:eastAsia="仿宋_GB2312"/>
                <w:kern w:val="0"/>
                <w:sz w:val="24"/>
                <w:szCs w:val="24"/>
              </w:rPr>
            </w:pPr>
            <w:r>
              <w:rPr>
                <w:rFonts w:hint="eastAsia" w:ascii="仿宋_GB2312" w:eastAsia="仿宋_GB2312"/>
                <w:kern w:val="0"/>
                <w:sz w:val="24"/>
                <w:szCs w:val="24"/>
              </w:rPr>
              <w:t xml:space="preserve">E-mail </w:t>
            </w:r>
          </w:p>
        </w:tc>
      </w:tr>
      <w:tr w14:paraId="01EEA6AA">
        <w:tblPrEx>
          <w:tblCellMar>
            <w:top w:w="0" w:type="dxa"/>
            <w:left w:w="108" w:type="dxa"/>
            <w:bottom w:w="0" w:type="dxa"/>
            <w:right w:w="108" w:type="dxa"/>
          </w:tblCellMar>
        </w:tblPrEx>
        <w:trPr>
          <w:trHeight w:val="272" w:hRule="atLeast"/>
          <w:jc w:val="center"/>
        </w:trPr>
        <w:tc>
          <w:tcPr>
            <w:tcW w:w="1303" w:type="dxa"/>
            <w:tcBorders>
              <w:top w:val="nil"/>
              <w:left w:val="single" w:color="auto" w:sz="4" w:space="0"/>
              <w:bottom w:val="single" w:color="auto" w:sz="4" w:space="0"/>
              <w:right w:val="single" w:color="auto" w:sz="4" w:space="0"/>
            </w:tcBorders>
          </w:tcPr>
          <w:p w14:paraId="7C7202EF">
            <w:pPr>
              <w:widowControl/>
              <w:spacing w:line="300" w:lineRule="auto"/>
              <w:jc w:val="left"/>
              <w:rPr>
                <w:rFonts w:ascii="仿宋_GB2312" w:eastAsia="仿宋_GB2312"/>
                <w:kern w:val="0"/>
                <w:sz w:val="24"/>
                <w:szCs w:val="24"/>
              </w:rPr>
            </w:pPr>
          </w:p>
        </w:tc>
        <w:tc>
          <w:tcPr>
            <w:tcW w:w="1303" w:type="dxa"/>
            <w:tcBorders>
              <w:top w:val="nil"/>
              <w:left w:val="nil"/>
              <w:bottom w:val="single" w:color="auto" w:sz="4" w:space="0"/>
              <w:right w:val="single" w:color="auto" w:sz="4" w:space="0"/>
            </w:tcBorders>
          </w:tcPr>
          <w:p w14:paraId="235F0A95">
            <w:pPr>
              <w:widowControl/>
              <w:spacing w:line="300" w:lineRule="auto"/>
              <w:jc w:val="left"/>
              <w:rPr>
                <w:rFonts w:ascii="仿宋_GB2312" w:eastAsia="仿宋_GB2312"/>
                <w:kern w:val="0"/>
                <w:sz w:val="24"/>
                <w:szCs w:val="24"/>
              </w:rPr>
            </w:pPr>
          </w:p>
        </w:tc>
        <w:tc>
          <w:tcPr>
            <w:tcW w:w="1303" w:type="dxa"/>
            <w:tcBorders>
              <w:top w:val="nil"/>
              <w:left w:val="nil"/>
              <w:bottom w:val="single" w:color="auto" w:sz="4" w:space="0"/>
              <w:right w:val="single" w:color="auto" w:sz="4" w:space="0"/>
            </w:tcBorders>
          </w:tcPr>
          <w:p w14:paraId="0F3F2F44">
            <w:pPr>
              <w:widowControl/>
              <w:spacing w:line="300" w:lineRule="auto"/>
              <w:jc w:val="left"/>
              <w:rPr>
                <w:rFonts w:ascii="仿宋_GB2312" w:eastAsia="仿宋_GB2312"/>
                <w:kern w:val="0"/>
                <w:sz w:val="24"/>
                <w:szCs w:val="24"/>
              </w:rPr>
            </w:pPr>
          </w:p>
        </w:tc>
        <w:tc>
          <w:tcPr>
            <w:tcW w:w="1304" w:type="dxa"/>
            <w:tcBorders>
              <w:top w:val="single" w:color="auto" w:sz="4" w:space="0"/>
              <w:left w:val="nil"/>
              <w:bottom w:val="single" w:color="auto" w:sz="4" w:space="0"/>
              <w:right w:val="single" w:color="000000" w:sz="4" w:space="0"/>
            </w:tcBorders>
          </w:tcPr>
          <w:p w14:paraId="37061F36">
            <w:pPr>
              <w:widowControl/>
              <w:spacing w:line="300" w:lineRule="auto"/>
              <w:jc w:val="center"/>
              <w:rPr>
                <w:rFonts w:ascii="仿宋_GB2312" w:eastAsia="仿宋_GB2312"/>
                <w:kern w:val="0"/>
                <w:sz w:val="24"/>
                <w:szCs w:val="24"/>
              </w:rPr>
            </w:pPr>
          </w:p>
        </w:tc>
        <w:tc>
          <w:tcPr>
            <w:tcW w:w="1305" w:type="dxa"/>
            <w:tcBorders>
              <w:top w:val="nil"/>
              <w:left w:val="nil"/>
              <w:bottom w:val="single" w:color="auto" w:sz="4" w:space="0"/>
              <w:right w:val="single" w:color="auto" w:sz="4" w:space="0"/>
            </w:tcBorders>
          </w:tcPr>
          <w:p w14:paraId="170AE3DE">
            <w:pPr>
              <w:widowControl/>
              <w:spacing w:line="300" w:lineRule="auto"/>
              <w:jc w:val="left"/>
              <w:rPr>
                <w:rFonts w:ascii="仿宋_GB2312" w:eastAsia="仿宋_GB2312"/>
                <w:kern w:val="0"/>
                <w:sz w:val="24"/>
                <w:szCs w:val="24"/>
              </w:rPr>
            </w:pPr>
          </w:p>
        </w:tc>
        <w:tc>
          <w:tcPr>
            <w:tcW w:w="1197" w:type="dxa"/>
            <w:tcBorders>
              <w:top w:val="nil"/>
              <w:left w:val="nil"/>
              <w:bottom w:val="single" w:color="auto" w:sz="4" w:space="0"/>
              <w:right w:val="single" w:color="auto" w:sz="4" w:space="0"/>
            </w:tcBorders>
          </w:tcPr>
          <w:p w14:paraId="6A2CDD15">
            <w:pPr>
              <w:widowControl/>
              <w:spacing w:line="300" w:lineRule="auto"/>
              <w:jc w:val="left"/>
              <w:rPr>
                <w:rFonts w:ascii="仿宋_GB2312" w:eastAsia="仿宋_GB2312"/>
                <w:kern w:val="0"/>
                <w:sz w:val="24"/>
                <w:szCs w:val="24"/>
              </w:rPr>
            </w:pPr>
          </w:p>
        </w:tc>
        <w:tc>
          <w:tcPr>
            <w:tcW w:w="1540" w:type="dxa"/>
            <w:tcBorders>
              <w:top w:val="single" w:color="auto" w:sz="4" w:space="0"/>
              <w:left w:val="nil"/>
              <w:bottom w:val="single" w:color="auto" w:sz="4" w:space="0"/>
              <w:right w:val="single" w:color="auto" w:sz="4" w:space="0"/>
            </w:tcBorders>
            <w:noWrap/>
            <w:vAlign w:val="center"/>
          </w:tcPr>
          <w:p w14:paraId="0CAEF9AB">
            <w:pPr>
              <w:widowControl/>
              <w:spacing w:line="300" w:lineRule="auto"/>
              <w:jc w:val="left"/>
              <w:rPr>
                <w:rFonts w:ascii="仿宋_GB2312" w:eastAsia="仿宋_GB2312"/>
                <w:kern w:val="0"/>
                <w:sz w:val="24"/>
                <w:szCs w:val="24"/>
              </w:rPr>
            </w:pPr>
          </w:p>
        </w:tc>
      </w:tr>
      <w:tr w14:paraId="68BA7962">
        <w:tblPrEx>
          <w:tblCellMar>
            <w:top w:w="0" w:type="dxa"/>
            <w:left w:w="108" w:type="dxa"/>
            <w:bottom w:w="0" w:type="dxa"/>
            <w:right w:w="108" w:type="dxa"/>
          </w:tblCellMar>
        </w:tblPrEx>
        <w:trPr>
          <w:trHeight w:val="815" w:hRule="atLeast"/>
          <w:jc w:val="center"/>
        </w:trPr>
        <w:tc>
          <w:tcPr>
            <w:tcW w:w="1303" w:type="dxa"/>
            <w:tcBorders>
              <w:top w:val="nil"/>
              <w:left w:val="single" w:color="auto" w:sz="4" w:space="0"/>
              <w:bottom w:val="single" w:color="auto" w:sz="4" w:space="0"/>
              <w:right w:val="single" w:color="auto" w:sz="4" w:space="0"/>
            </w:tcBorders>
          </w:tcPr>
          <w:p w14:paraId="5AEA26B7">
            <w:pPr>
              <w:widowControl/>
              <w:spacing w:line="300" w:lineRule="auto"/>
              <w:jc w:val="left"/>
              <w:rPr>
                <w:rFonts w:ascii="仿宋_GB2312" w:eastAsia="仿宋_GB2312"/>
                <w:kern w:val="0"/>
                <w:sz w:val="24"/>
                <w:szCs w:val="24"/>
              </w:rPr>
            </w:pPr>
            <w:r>
              <w:rPr>
                <w:rFonts w:hint="eastAsia" w:ascii="仿宋_GB2312" w:eastAsia="仿宋_GB2312"/>
                <w:kern w:val="0"/>
                <w:sz w:val="24"/>
                <w:szCs w:val="24"/>
              </w:rPr>
              <w:t xml:space="preserve">债券借贷业务联络人 </w:t>
            </w:r>
          </w:p>
        </w:tc>
        <w:tc>
          <w:tcPr>
            <w:tcW w:w="1303" w:type="dxa"/>
            <w:tcBorders>
              <w:top w:val="nil"/>
              <w:left w:val="nil"/>
              <w:bottom w:val="single" w:color="auto" w:sz="4" w:space="0"/>
              <w:right w:val="single" w:color="auto" w:sz="4" w:space="0"/>
            </w:tcBorders>
          </w:tcPr>
          <w:p w14:paraId="63F5A6C7">
            <w:pPr>
              <w:widowControl/>
              <w:spacing w:line="300" w:lineRule="auto"/>
              <w:jc w:val="left"/>
              <w:rPr>
                <w:rFonts w:ascii="仿宋_GB2312" w:eastAsia="仿宋_GB2312"/>
                <w:kern w:val="0"/>
                <w:sz w:val="24"/>
                <w:szCs w:val="24"/>
              </w:rPr>
            </w:pPr>
            <w:r>
              <w:rPr>
                <w:rFonts w:hint="eastAsia" w:ascii="仿宋_GB2312" w:eastAsia="仿宋_GB2312"/>
                <w:kern w:val="0"/>
                <w:sz w:val="24"/>
                <w:szCs w:val="24"/>
              </w:rPr>
              <w:t xml:space="preserve">部门 </w:t>
            </w:r>
          </w:p>
        </w:tc>
        <w:tc>
          <w:tcPr>
            <w:tcW w:w="1303" w:type="dxa"/>
            <w:tcBorders>
              <w:top w:val="nil"/>
              <w:left w:val="nil"/>
              <w:bottom w:val="single" w:color="auto" w:sz="4" w:space="0"/>
              <w:right w:val="single" w:color="auto" w:sz="4" w:space="0"/>
            </w:tcBorders>
          </w:tcPr>
          <w:p w14:paraId="4515A6F2">
            <w:pPr>
              <w:widowControl/>
              <w:spacing w:line="300" w:lineRule="auto"/>
              <w:jc w:val="left"/>
              <w:rPr>
                <w:rFonts w:ascii="仿宋_GB2312" w:eastAsia="仿宋_GB2312"/>
                <w:kern w:val="0"/>
                <w:sz w:val="24"/>
                <w:szCs w:val="24"/>
              </w:rPr>
            </w:pPr>
            <w:r>
              <w:rPr>
                <w:rFonts w:hint="eastAsia" w:ascii="仿宋_GB2312" w:eastAsia="仿宋_GB2312"/>
                <w:kern w:val="0"/>
                <w:sz w:val="24"/>
                <w:szCs w:val="24"/>
              </w:rPr>
              <w:t xml:space="preserve">职务 </w:t>
            </w:r>
          </w:p>
        </w:tc>
        <w:tc>
          <w:tcPr>
            <w:tcW w:w="1304" w:type="dxa"/>
            <w:tcBorders>
              <w:top w:val="single" w:color="auto" w:sz="4" w:space="0"/>
              <w:left w:val="nil"/>
              <w:bottom w:val="single" w:color="auto" w:sz="4" w:space="0"/>
              <w:right w:val="single" w:color="auto" w:sz="4" w:space="0"/>
            </w:tcBorders>
          </w:tcPr>
          <w:p w14:paraId="42E72E13">
            <w:pPr>
              <w:widowControl/>
              <w:spacing w:line="300" w:lineRule="auto"/>
              <w:jc w:val="left"/>
              <w:rPr>
                <w:rFonts w:ascii="仿宋_GB2312" w:eastAsia="仿宋_GB2312"/>
                <w:kern w:val="0"/>
                <w:sz w:val="24"/>
                <w:szCs w:val="24"/>
              </w:rPr>
            </w:pPr>
            <w:r>
              <w:rPr>
                <w:rFonts w:hint="eastAsia" w:ascii="仿宋_GB2312" w:eastAsia="仿宋_GB2312"/>
                <w:kern w:val="0"/>
                <w:sz w:val="24"/>
                <w:szCs w:val="24"/>
              </w:rPr>
              <w:t xml:space="preserve">电话 </w:t>
            </w:r>
          </w:p>
        </w:tc>
        <w:tc>
          <w:tcPr>
            <w:tcW w:w="1305" w:type="dxa"/>
            <w:tcBorders>
              <w:top w:val="single" w:color="auto" w:sz="4" w:space="0"/>
              <w:left w:val="nil"/>
              <w:bottom w:val="single" w:color="auto" w:sz="4" w:space="0"/>
              <w:right w:val="single" w:color="auto" w:sz="4" w:space="0"/>
            </w:tcBorders>
          </w:tcPr>
          <w:p w14:paraId="52915FF1">
            <w:pPr>
              <w:widowControl/>
              <w:spacing w:line="300" w:lineRule="auto"/>
              <w:jc w:val="left"/>
              <w:rPr>
                <w:rFonts w:ascii="仿宋_GB2312" w:eastAsia="仿宋_GB2312"/>
                <w:kern w:val="0"/>
                <w:sz w:val="24"/>
                <w:szCs w:val="24"/>
              </w:rPr>
            </w:pPr>
            <w:r>
              <w:rPr>
                <w:rFonts w:hint="eastAsia" w:ascii="仿宋_GB2312" w:eastAsia="仿宋_GB2312"/>
                <w:kern w:val="0"/>
                <w:sz w:val="24"/>
                <w:szCs w:val="24"/>
              </w:rPr>
              <w:t xml:space="preserve">手机 </w:t>
            </w:r>
          </w:p>
        </w:tc>
        <w:tc>
          <w:tcPr>
            <w:tcW w:w="1197" w:type="dxa"/>
            <w:tcBorders>
              <w:top w:val="nil"/>
              <w:left w:val="nil"/>
              <w:bottom w:val="single" w:color="auto" w:sz="4" w:space="0"/>
              <w:right w:val="single" w:color="auto" w:sz="4" w:space="0"/>
            </w:tcBorders>
          </w:tcPr>
          <w:p w14:paraId="2FD62D9C">
            <w:pPr>
              <w:widowControl/>
              <w:spacing w:line="300" w:lineRule="auto"/>
              <w:jc w:val="left"/>
              <w:rPr>
                <w:rFonts w:ascii="仿宋_GB2312" w:eastAsia="仿宋_GB2312"/>
                <w:kern w:val="0"/>
                <w:sz w:val="24"/>
                <w:szCs w:val="24"/>
              </w:rPr>
            </w:pPr>
            <w:r>
              <w:rPr>
                <w:rFonts w:hint="eastAsia" w:ascii="仿宋_GB2312" w:eastAsia="仿宋_GB2312"/>
                <w:kern w:val="0"/>
                <w:sz w:val="24"/>
                <w:szCs w:val="24"/>
              </w:rPr>
              <w:t xml:space="preserve">传真 </w:t>
            </w:r>
          </w:p>
        </w:tc>
        <w:tc>
          <w:tcPr>
            <w:tcW w:w="1540" w:type="dxa"/>
            <w:tcBorders>
              <w:top w:val="single" w:color="auto" w:sz="4" w:space="0"/>
              <w:left w:val="nil"/>
              <w:bottom w:val="single" w:color="auto" w:sz="4" w:space="0"/>
              <w:right w:val="single" w:color="auto" w:sz="4" w:space="0"/>
            </w:tcBorders>
          </w:tcPr>
          <w:p w14:paraId="39BA10B9">
            <w:pPr>
              <w:widowControl/>
              <w:spacing w:line="300" w:lineRule="auto"/>
              <w:jc w:val="left"/>
              <w:rPr>
                <w:rFonts w:ascii="仿宋_GB2312" w:eastAsia="仿宋_GB2312"/>
                <w:kern w:val="0"/>
                <w:sz w:val="24"/>
                <w:szCs w:val="24"/>
              </w:rPr>
            </w:pPr>
            <w:r>
              <w:rPr>
                <w:rFonts w:hint="eastAsia" w:ascii="仿宋_GB2312" w:eastAsia="仿宋_GB2312"/>
                <w:kern w:val="0"/>
                <w:sz w:val="24"/>
                <w:szCs w:val="24"/>
              </w:rPr>
              <w:t xml:space="preserve">E-mail </w:t>
            </w:r>
          </w:p>
        </w:tc>
      </w:tr>
      <w:tr w14:paraId="642808F4">
        <w:tblPrEx>
          <w:tblCellMar>
            <w:top w:w="0" w:type="dxa"/>
            <w:left w:w="108" w:type="dxa"/>
            <w:bottom w:w="0" w:type="dxa"/>
            <w:right w:w="108" w:type="dxa"/>
          </w:tblCellMar>
        </w:tblPrEx>
        <w:trPr>
          <w:trHeight w:val="272" w:hRule="atLeast"/>
          <w:jc w:val="center"/>
        </w:trPr>
        <w:tc>
          <w:tcPr>
            <w:tcW w:w="1303" w:type="dxa"/>
            <w:tcBorders>
              <w:top w:val="nil"/>
              <w:left w:val="single" w:color="auto" w:sz="4" w:space="0"/>
              <w:bottom w:val="single" w:color="auto" w:sz="4" w:space="0"/>
              <w:right w:val="single" w:color="auto" w:sz="4" w:space="0"/>
            </w:tcBorders>
          </w:tcPr>
          <w:p w14:paraId="179C917A">
            <w:pPr>
              <w:widowControl/>
              <w:spacing w:line="300" w:lineRule="auto"/>
              <w:jc w:val="left"/>
              <w:rPr>
                <w:rFonts w:ascii="仿宋_GB2312" w:eastAsia="仿宋_GB2312"/>
                <w:kern w:val="0"/>
                <w:sz w:val="24"/>
                <w:szCs w:val="24"/>
              </w:rPr>
            </w:pPr>
          </w:p>
        </w:tc>
        <w:tc>
          <w:tcPr>
            <w:tcW w:w="1303" w:type="dxa"/>
            <w:tcBorders>
              <w:top w:val="nil"/>
              <w:left w:val="nil"/>
              <w:bottom w:val="single" w:color="auto" w:sz="4" w:space="0"/>
              <w:right w:val="single" w:color="auto" w:sz="4" w:space="0"/>
            </w:tcBorders>
          </w:tcPr>
          <w:p w14:paraId="3E5003AE">
            <w:pPr>
              <w:widowControl/>
              <w:spacing w:line="300" w:lineRule="auto"/>
              <w:jc w:val="left"/>
              <w:rPr>
                <w:rFonts w:ascii="仿宋_GB2312" w:eastAsia="仿宋_GB2312"/>
                <w:kern w:val="0"/>
                <w:sz w:val="24"/>
                <w:szCs w:val="24"/>
              </w:rPr>
            </w:pPr>
          </w:p>
        </w:tc>
        <w:tc>
          <w:tcPr>
            <w:tcW w:w="1303" w:type="dxa"/>
            <w:tcBorders>
              <w:top w:val="nil"/>
              <w:left w:val="nil"/>
              <w:bottom w:val="single" w:color="auto" w:sz="4" w:space="0"/>
              <w:right w:val="single" w:color="auto" w:sz="4" w:space="0"/>
            </w:tcBorders>
          </w:tcPr>
          <w:p w14:paraId="05ED803E">
            <w:pPr>
              <w:widowControl/>
              <w:spacing w:line="300" w:lineRule="auto"/>
              <w:jc w:val="left"/>
              <w:rPr>
                <w:rFonts w:ascii="仿宋_GB2312" w:eastAsia="仿宋_GB2312"/>
                <w:kern w:val="0"/>
                <w:sz w:val="24"/>
                <w:szCs w:val="24"/>
              </w:rPr>
            </w:pPr>
          </w:p>
        </w:tc>
        <w:tc>
          <w:tcPr>
            <w:tcW w:w="1304" w:type="dxa"/>
            <w:tcBorders>
              <w:top w:val="single" w:color="auto" w:sz="4" w:space="0"/>
              <w:left w:val="nil"/>
              <w:bottom w:val="single" w:color="auto" w:sz="4" w:space="0"/>
              <w:right w:val="single" w:color="000000" w:sz="4" w:space="0"/>
            </w:tcBorders>
          </w:tcPr>
          <w:p w14:paraId="741EB117">
            <w:pPr>
              <w:widowControl/>
              <w:spacing w:line="300" w:lineRule="auto"/>
              <w:jc w:val="center"/>
              <w:rPr>
                <w:rFonts w:ascii="仿宋_GB2312" w:eastAsia="仿宋_GB2312"/>
                <w:kern w:val="0"/>
                <w:sz w:val="24"/>
                <w:szCs w:val="24"/>
              </w:rPr>
            </w:pPr>
          </w:p>
        </w:tc>
        <w:tc>
          <w:tcPr>
            <w:tcW w:w="1305" w:type="dxa"/>
            <w:tcBorders>
              <w:top w:val="nil"/>
              <w:left w:val="nil"/>
              <w:bottom w:val="single" w:color="auto" w:sz="4" w:space="0"/>
              <w:right w:val="single" w:color="auto" w:sz="4" w:space="0"/>
            </w:tcBorders>
          </w:tcPr>
          <w:p w14:paraId="5FFF6B05">
            <w:pPr>
              <w:widowControl/>
              <w:spacing w:line="300" w:lineRule="auto"/>
              <w:jc w:val="left"/>
              <w:rPr>
                <w:rFonts w:ascii="仿宋_GB2312" w:eastAsia="仿宋_GB2312"/>
                <w:kern w:val="0"/>
                <w:sz w:val="24"/>
                <w:szCs w:val="24"/>
              </w:rPr>
            </w:pPr>
          </w:p>
        </w:tc>
        <w:tc>
          <w:tcPr>
            <w:tcW w:w="1197" w:type="dxa"/>
            <w:tcBorders>
              <w:top w:val="nil"/>
              <w:left w:val="nil"/>
              <w:bottom w:val="single" w:color="auto" w:sz="4" w:space="0"/>
              <w:right w:val="single" w:color="auto" w:sz="4" w:space="0"/>
            </w:tcBorders>
          </w:tcPr>
          <w:p w14:paraId="0EA79556">
            <w:pPr>
              <w:widowControl/>
              <w:spacing w:line="300" w:lineRule="auto"/>
              <w:jc w:val="left"/>
              <w:rPr>
                <w:rFonts w:ascii="仿宋_GB2312" w:eastAsia="仿宋_GB2312"/>
                <w:kern w:val="0"/>
                <w:sz w:val="24"/>
                <w:szCs w:val="24"/>
              </w:rPr>
            </w:pPr>
          </w:p>
        </w:tc>
        <w:tc>
          <w:tcPr>
            <w:tcW w:w="1540" w:type="dxa"/>
            <w:tcBorders>
              <w:top w:val="nil"/>
              <w:left w:val="nil"/>
              <w:bottom w:val="single" w:color="auto" w:sz="4" w:space="0"/>
              <w:right w:val="single" w:color="auto" w:sz="4" w:space="0"/>
            </w:tcBorders>
          </w:tcPr>
          <w:p w14:paraId="5A8C43C9">
            <w:pPr>
              <w:widowControl/>
              <w:spacing w:line="300" w:lineRule="auto"/>
              <w:jc w:val="left"/>
              <w:rPr>
                <w:rFonts w:ascii="仿宋_GB2312" w:eastAsia="仿宋_GB2312"/>
                <w:kern w:val="0"/>
                <w:sz w:val="24"/>
                <w:szCs w:val="24"/>
              </w:rPr>
            </w:pPr>
          </w:p>
        </w:tc>
      </w:tr>
      <w:tr w14:paraId="6ECED496">
        <w:tblPrEx>
          <w:tblCellMar>
            <w:top w:w="0" w:type="dxa"/>
            <w:left w:w="108" w:type="dxa"/>
            <w:bottom w:w="0" w:type="dxa"/>
            <w:right w:w="108" w:type="dxa"/>
          </w:tblCellMar>
        </w:tblPrEx>
        <w:trPr>
          <w:trHeight w:val="543" w:hRule="atLeast"/>
          <w:jc w:val="center"/>
        </w:trPr>
        <w:tc>
          <w:tcPr>
            <w:tcW w:w="9255" w:type="dxa"/>
            <w:gridSpan w:val="7"/>
            <w:tcBorders>
              <w:top w:val="single" w:color="auto" w:sz="4" w:space="0"/>
              <w:left w:val="single" w:color="auto" w:sz="4" w:space="0"/>
              <w:bottom w:val="single" w:color="auto" w:sz="4" w:space="0"/>
              <w:right w:val="single" w:color="auto" w:sz="4" w:space="0"/>
            </w:tcBorders>
          </w:tcPr>
          <w:p w14:paraId="4B75E73F">
            <w:pPr>
              <w:widowControl/>
              <w:spacing w:line="300" w:lineRule="auto"/>
              <w:jc w:val="left"/>
              <w:rPr>
                <w:rFonts w:ascii="仿宋_GB2312" w:eastAsia="仿宋_GB2312"/>
                <w:kern w:val="0"/>
                <w:sz w:val="24"/>
                <w:szCs w:val="24"/>
              </w:rPr>
            </w:pPr>
            <w:r>
              <w:rPr>
                <w:rFonts w:hint="eastAsia" w:ascii="仿宋_GB2312" w:eastAsia="仿宋_GB2312"/>
                <w:kern w:val="0"/>
                <w:sz w:val="24"/>
                <w:szCs w:val="24"/>
              </w:rPr>
              <w:t xml:space="preserve">兹确认以下单位公章和法定代表人签章与我单位工商登记预留印鉴一致，若遇以下印鉴变更，我单位将及时通知贵所 </w:t>
            </w:r>
          </w:p>
        </w:tc>
      </w:tr>
      <w:tr w14:paraId="55B0E739">
        <w:tblPrEx>
          <w:tblCellMar>
            <w:top w:w="0" w:type="dxa"/>
            <w:left w:w="108" w:type="dxa"/>
            <w:bottom w:w="0" w:type="dxa"/>
            <w:right w:w="108" w:type="dxa"/>
          </w:tblCellMar>
        </w:tblPrEx>
        <w:trPr>
          <w:trHeight w:val="272" w:hRule="atLeast"/>
          <w:jc w:val="center"/>
        </w:trPr>
        <w:tc>
          <w:tcPr>
            <w:tcW w:w="9255" w:type="dxa"/>
            <w:gridSpan w:val="7"/>
            <w:tcBorders>
              <w:top w:val="single" w:color="auto" w:sz="4" w:space="0"/>
              <w:left w:val="single" w:color="auto" w:sz="4" w:space="0"/>
              <w:bottom w:val="single" w:color="auto" w:sz="4" w:space="0"/>
              <w:right w:val="single" w:color="auto" w:sz="4" w:space="0"/>
            </w:tcBorders>
          </w:tcPr>
          <w:p w14:paraId="2D0BCC81">
            <w:pPr>
              <w:widowControl/>
              <w:spacing w:line="300" w:lineRule="auto"/>
              <w:jc w:val="left"/>
              <w:rPr>
                <w:rFonts w:ascii="仿宋_GB2312" w:eastAsia="仿宋_GB2312"/>
                <w:kern w:val="0"/>
                <w:sz w:val="24"/>
                <w:szCs w:val="24"/>
              </w:rPr>
            </w:pPr>
            <w:r>
              <w:rPr>
                <w:rFonts w:hint="eastAsia" w:ascii="仿宋_GB2312" w:eastAsia="仿宋_GB2312"/>
                <w:kern w:val="0"/>
                <w:sz w:val="24"/>
                <w:szCs w:val="24"/>
              </w:rPr>
              <w:t xml:space="preserve">公司预留印鉴： </w:t>
            </w:r>
          </w:p>
        </w:tc>
      </w:tr>
    </w:tbl>
    <w:p w14:paraId="3A2628DD">
      <w:pPr>
        <w:pStyle w:val="100"/>
        <w:spacing w:line="600" w:lineRule="exact"/>
        <w:ind w:firstLine="600" w:firstLineChars="200"/>
        <w:jc w:val="right"/>
        <w:rPr>
          <w:rFonts w:hAnsi="Times New Roman" w:cs="Times New Roman"/>
          <w:color w:val="auto"/>
          <w:sz w:val="30"/>
          <w:szCs w:val="30"/>
        </w:rPr>
      </w:pPr>
      <w:r>
        <w:rPr>
          <w:rFonts w:hint="eastAsia" w:hAnsi="Times New Roman" w:cs="Times New Roman"/>
          <w:color w:val="auto"/>
          <w:sz w:val="30"/>
          <w:szCs w:val="30"/>
        </w:rPr>
        <w:t xml:space="preserve">（公司盖章） </w:t>
      </w:r>
    </w:p>
    <w:p w14:paraId="71088BDD">
      <w:pPr>
        <w:pStyle w:val="100"/>
        <w:spacing w:line="600" w:lineRule="exact"/>
        <w:ind w:firstLine="600" w:firstLineChars="200"/>
        <w:jc w:val="right"/>
        <w:rPr>
          <w:rFonts w:hAnsi="Times New Roman" w:cs="Times New Roman"/>
          <w:color w:val="auto"/>
          <w:sz w:val="30"/>
          <w:szCs w:val="30"/>
        </w:rPr>
      </w:pPr>
      <w:r>
        <w:rPr>
          <w:rFonts w:hint="eastAsia" w:hAnsi="Times New Roman" w:cs="Times New Roman"/>
          <w:color w:val="auto"/>
          <w:sz w:val="30"/>
          <w:szCs w:val="30"/>
        </w:rPr>
        <w:t xml:space="preserve">法人代表（或授权人）签章 </w:t>
      </w:r>
    </w:p>
    <w:p w14:paraId="7134D32B">
      <w:pPr>
        <w:pStyle w:val="100"/>
        <w:ind w:firstLine="5400" w:firstLineChars="1800"/>
        <w:rPr>
          <w:sz w:val="30"/>
          <w:szCs w:val="30"/>
        </w:rPr>
      </w:pPr>
      <w:r>
        <w:rPr>
          <w:rFonts w:hint="eastAsia"/>
          <w:sz w:val="30"/>
          <w:szCs w:val="30"/>
        </w:rPr>
        <w:t>××年××月××日</w:t>
      </w:r>
    </w:p>
    <w:p w14:paraId="33746DF2">
      <w:pPr>
        <w:widowControl/>
        <w:jc w:val="left"/>
        <w:outlineLvl w:val="1"/>
        <w:rPr>
          <w:rFonts w:hAnsi="仿宋"/>
          <w:b/>
          <w:bCs/>
          <w:sz w:val="30"/>
          <w:szCs w:val="30"/>
        </w:rPr>
      </w:pPr>
      <w:r>
        <w:rPr>
          <w:sz w:val="30"/>
          <w:szCs w:val="30"/>
        </w:rPr>
        <w:br w:type="page"/>
      </w:r>
      <w:bookmarkStart w:id="3895" w:name="_Toc293148038"/>
      <w:bookmarkStart w:id="3896" w:name="_Toc1327510567"/>
      <w:bookmarkStart w:id="3897" w:name="_Toc151137104"/>
      <w:bookmarkStart w:id="3898" w:name="_Toc636223533"/>
      <w:bookmarkStart w:id="3899" w:name="_Toc1817050291"/>
      <w:r>
        <w:rPr>
          <w:rFonts w:hint="eastAsia" w:ascii="仿宋_GB2312" w:hAnsi="黑体" w:eastAsia="仿宋_GB2312"/>
          <w:b/>
          <w:sz w:val="30"/>
          <w:szCs w:val="30"/>
        </w:rPr>
        <w:t>附件21 债券借贷业务主协议</w:t>
      </w:r>
      <w:bookmarkEnd w:id="3895"/>
      <w:bookmarkEnd w:id="3896"/>
      <w:bookmarkEnd w:id="3897"/>
      <w:bookmarkEnd w:id="3898"/>
      <w:bookmarkEnd w:id="3899"/>
    </w:p>
    <w:p w14:paraId="69815ED4">
      <w:pPr>
        <w:spacing w:line="540" w:lineRule="exact"/>
        <w:jc w:val="center"/>
        <w:rPr>
          <w:rFonts w:ascii="方正大标宋简体" w:hAnsi="黑体" w:eastAsia="方正大标宋简体" w:cs="宋体"/>
          <w:bCs/>
          <w:color w:val="000000"/>
          <w:sz w:val="42"/>
          <w:szCs w:val="28"/>
        </w:rPr>
      </w:pPr>
      <w:r>
        <w:rPr>
          <w:rFonts w:hint="eastAsia" w:ascii="方正大标宋简体" w:hAnsi="黑体" w:eastAsia="方正大标宋简体" w:cs="宋体"/>
          <w:bCs/>
          <w:color w:val="000000"/>
          <w:sz w:val="42"/>
          <w:szCs w:val="28"/>
        </w:rPr>
        <w:t>上海证券交易所债券借贷业务主协议</w:t>
      </w:r>
    </w:p>
    <w:p w14:paraId="3E7888E0">
      <w:pPr>
        <w:spacing w:line="540" w:lineRule="exact"/>
        <w:rPr>
          <w:rFonts w:ascii="仿宋_GB2312" w:hAnsi="宋体" w:eastAsia="仿宋_GB2312" w:cs="宋体"/>
          <w:sz w:val="30"/>
          <w:szCs w:val="30"/>
        </w:rPr>
      </w:pPr>
    </w:p>
    <w:p w14:paraId="328B4D2E">
      <w:pPr>
        <w:pStyle w:val="92"/>
        <w:widowControl w:val="0"/>
        <w:numPr>
          <w:ilvl w:val="0"/>
          <w:numId w:val="27"/>
        </w:numPr>
        <w:spacing w:line="560" w:lineRule="exact"/>
        <w:ind w:left="0" w:firstLine="600" w:firstLineChars="200"/>
        <w:contextualSpacing w:val="0"/>
        <w:jc w:val="both"/>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为明确债券借贷业务（以下简称债券借贷）债券借入方、债券借出方（以下统称借贷双方）及相关方的权利与义务，维护投资者的合法权益，</w:t>
      </w:r>
      <w:r>
        <w:rPr>
          <w:rFonts w:hint="eastAsia" w:ascii="仿宋_GB2312" w:hAnsi="华文仿宋" w:eastAsia="仿宋_GB2312"/>
          <w:sz w:val="30"/>
          <w:szCs w:val="30"/>
          <w:lang w:eastAsia="zh-CN"/>
        </w:rPr>
        <w:t>根据《民法典》《证券法》等法律法规以及</w:t>
      </w:r>
      <w:r>
        <w:rPr>
          <w:rFonts w:hint="eastAsia" w:ascii="仿宋_GB2312" w:hAnsi="宋体" w:eastAsia="仿宋_GB2312" w:cs="宋体"/>
          <w:sz w:val="30"/>
          <w:szCs w:val="30"/>
          <w:lang w:eastAsia="zh-CN"/>
        </w:rPr>
        <w:t>《上海证券交易所 中国证券登记结算有限责任公司债券借贷业务办法》（以下简称《办法》）、上海证券交易所（以下简称上交所）及中国证券登记结算有限责任公司（以下简称中国结算）相关业务规则等规定，参加上交所债券借贷的借贷双方在平等、自愿的基础上签署本主协议。</w:t>
      </w:r>
    </w:p>
    <w:p w14:paraId="6F93AF4C">
      <w:pPr>
        <w:pStyle w:val="92"/>
        <w:widowControl w:val="0"/>
        <w:numPr>
          <w:ilvl w:val="0"/>
          <w:numId w:val="27"/>
        </w:numPr>
        <w:spacing w:line="560" w:lineRule="exact"/>
        <w:ind w:left="0" w:firstLine="600" w:firstLineChars="200"/>
        <w:contextualSpacing w:val="0"/>
        <w:jc w:val="both"/>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本</w:t>
      </w:r>
      <w:r>
        <w:rPr>
          <w:rFonts w:hint="eastAsia" w:ascii="仿宋_GB2312" w:hAnsi="宋体" w:eastAsia="仿宋_GB2312" w:cs="宋体"/>
          <w:bCs/>
          <w:sz w:val="30"/>
          <w:szCs w:val="30"/>
          <w:lang w:eastAsia="zh-CN"/>
        </w:rPr>
        <w:t>主协议适用于在上交所市场开展的债券借贷。</w:t>
      </w:r>
    </w:p>
    <w:p w14:paraId="7D38DEF3">
      <w:pPr>
        <w:spacing w:line="560" w:lineRule="exact"/>
        <w:ind w:firstLine="600" w:firstLineChars="200"/>
        <w:rPr>
          <w:rFonts w:ascii="仿宋_GB2312" w:hAnsi="宋体" w:eastAsia="仿宋_GB2312" w:cs="宋体"/>
          <w:bCs/>
          <w:sz w:val="30"/>
          <w:szCs w:val="30"/>
        </w:rPr>
      </w:pPr>
      <w:r>
        <w:rPr>
          <w:rFonts w:hint="eastAsia" w:ascii="仿宋_GB2312" w:hAnsi="宋体" w:eastAsia="仿宋_GB2312" w:cs="宋体"/>
          <w:kern w:val="0"/>
          <w:sz w:val="30"/>
          <w:szCs w:val="30"/>
        </w:rPr>
        <w:t>债券借贷、债券借入方和债券借出方以及债券借贷业务要素等适用《办法》的定义。</w:t>
      </w:r>
    </w:p>
    <w:p w14:paraId="0BB584DF">
      <w:pPr>
        <w:pStyle w:val="92"/>
        <w:widowControl w:val="0"/>
        <w:numPr>
          <w:ilvl w:val="0"/>
          <w:numId w:val="27"/>
        </w:numPr>
        <w:spacing w:line="560" w:lineRule="exact"/>
        <w:ind w:left="0" w:firstLine="600" w:firstLineChars="200"/>
        <w:contextualSpacing w:val="0"/>
        <w:jc w:val="both"/>
        <w:rPr>
          <w:rFonts w:ascii="仿宋_GB2312" w:hAnsi="宋体" w:eastAsia="仿宋_GB2312" w:cs="宋体"/>
          <w:bCs/>
          <w:sz w:val="30"/>
          <w:szCs w:val="30"/>
          <w:lang w:eastAsia="zh-CN"/>
        </w:rPr>
      </w:pPr>
      <w:r>
        <w:rPr>
          <w:rFonts w:hint="eastAsia" w:ascii="仿宋_GB2312" w:hAnsi="宋体" w:eastAsia="仿宋_GB2312" w:cs="宋体"/>
          <w:sz w:val="30"/>
          <w:szCs w:val="30"/>
          <w:lang w:eastAsia="zh-CN"/>
        </w:rPr>
        <w:t>借贷双方认可并自愿遵守《办法》、上交所和中国结算与债券借贷业务相关的其他规定以及对其的修改和补充，同意接受上交所和中国结算的自律管理。</w:t>
      </w:r>
    </w:p>
    <w:p w14:paraId="34B5760E">
      <w:pPr>
        <w:pStyle w:val="92"/>
        <w:widowControl w:val="0"/>
        <w:numPr>
          <w:ilvl w:val="0"/>
          <w:numId w:val="27"/>
        </w:numPr>
        <w:spacing w:line="560" w:lineRule="exact"/>
        <w:ind w:left="0" w:firstLine="600" w:firstLineChars="200"/>
        <w:contextualSpacing w:val="0"/>
        <w:jc w:val="both"/>
        <w:rPr>
          <w:rFonts w:ascii="仿宋_GB2312" w:hAnsi="宋体" w:eastAsia="仿宋_GB2312" w:cs="宋体"/>
          <w:bCs/>
          <w:sz w:val="30"/>
          <w:szCs w:val="30"/>
          <w:lang w:eastAsia="zh-CN"/>
        </w:rPr>
      </w:pPr>
      <w:r>
        <w:rPr>
          <w:rFonts w:hint="eastAsia" w:ascii="仿宋_GB2312" w:hAnsi="宋体" w:eastAsia="仿宋_GB2312" w:cs="宋体"/>
          <w:sz w:val="30"/>
          <w:szCs w:val="30"/>
          <w:lang w:eastAsia="zh-CN"/>
        </w:rPr>
        <w:t>借贷双方关于债券借贷的协议由本主协议、适用的补充协议（如有）、成交记录（含债券借贷成交协议、申报补充约定）构成，三者共同构成借贷双方就每一笔债券借贷的完整协议（以下统称债券借贷协议）。其中，补充协议和申报补充约定的内容由借贷双方自行履行。债券借贷试点期间，在本主协议公布之前的已签署的债券借贷双边协议可作为补充协议。</w:t>
      </w:r>
    </w:p>
    <w:p w14:paraId="42252048">
      <w:pPr>
        <w:pStyle w:val="92"/>
        <w:widowControl w:val="0"/>
        <w:numPr>
          <w:ilvl w:val="0"/>
          <w:numId w:val="27"/>
        </w:numPr>
        <w:spacing w:line="560" w:lineRule="exact"/>
        <w:ind w:left="0" w:firstLine="600" w:firstLineChars="200"/>
        <w:contextualSpacing w:val="0"/>
        <w:jc w:val="both"/>
        <w:rPr>
          <w:rFonts w:ascii="仿宋_GB2312" w:hAnsi="宋体" w:eastAsia="仿宋_GB2312" w:cs="宋体"/>
          <w:bCs/>
          <w:sz w:val="30"/>
          <w:szCs w:val="30"/>
          <w:lang w:eastAsia="zh-CN"/>
        </w:rPr>
      </w:pPr>
      <w:r>
        <w:rPr>
          <w:rFonts w:hint="eastAsia" w:ascii="仿宋_GB2312" w:hAnsi="宋体" w:eastAsia="仿宋_GB2312" w:cs="宋体"/>
          <w:sz w:val="30"/>
          <w:szCs w:val="30"/>
          <w:lang w:eastAsia="zh-CN"/>
        </w:rPr>
        <w:t>借贷双方可以就债券借贷相关事宜自行签署补充协议。</w:t>
      </w:r>
    </w:p>
    <w:p w14:paraId="75E047C8">
      <w:pPr>
        <w:pStyle w:val="92"/>
        <w:widowControl w:val="0"/>
        <w:numPr>
          <w:ilvl w:val="0"/>
          <w:numId w:val="27"/>
        </w:numPr>
        <w:spacing w:line="560" w:lineRule="exact"/>
        <w:ind w:left="0" w:firstLine="600" w:firstLineChars="200"/>
        <w:contextualSpacing w:val="0"/>
        <w:jc w:val="both"/>
        <w:rPr>
          <w:rFonts w:ascii="仿宋_GB2312" w:hAnsi="宋体" w:eastAsia="仿宋_GB2312" w:cs="宋体"/>
          <w:bCs/>
          <w:sz w:val="30"/>
          <w:szCs w:val="30"/>
          <w:lang w:eastAsia="zh-CN"/>
        </w:rPr>
      </w:pPr>
      <w:r>
        <w:rPr>
          <w:rFonts w:hint="eastAsia" w:ascii="仿宋_GB2312" w:hAnsi="宋体" w:eastAsia="仿宋_GB2312" w:cs="宋体"/>
          <w:sz w:val="30"/>
          <w:szCs w:val="30"/>
          <w:lang w:eastAsia="zh-CN"/>
        </w:rPr>
        <w:t>借贷双方协商一致，就特定一笔债券借贷业务在上交所交易系统申报时，可以在申报中填报申报补充约定。</w:t>
      </w:r>
    </w:p>
    <w:p w14:paraId="3EC1FCD9">
      <w:pPr>
        <w:pStyle w:val="92"/>
        <w:widowControl w:val="0"/>
        <w:numPr>
          <w:ilvl w:val="0"/>
          <w:numId w:val="27"/>
        </w:numPr>
        <w:spacing w:line="560" w:lineRule="exact"/>
        <w:ind w:left="0" w:firstLine="600" w:firstLineChars="200"/>
        <w:contextualSpacing w:val="0"/>
        <w:jc w:val="both"/>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债券借贷成交协议的内容包括：</w:t>
      </w:r>
    </w:p>
    <w:p w14:paraId="6F6D6A5E">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sz w:val="30"/>
          <w:szCs w:val="30"/>
        </w:rPr>
        <w:t>（一）借贷方向：借贷双方按《办法》规定申报并经上交所交易系统确认的债券借贷借入、借出方向。</w:t>
      </w:r>
    </w:p>
    <w:p w14:paraId="630A8CB2">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sz w:val="30"/>
          <w:szCs w:val="30"/>
        </w:rPr>
        <w:t>（二）标的债券：借贷双方按《办法》规定申报并经上交所交易系统确认的债券借贷借入、借出的标的债券。</w:t>
      </w:r>
    </w:p>
    <w:p w14:paraId="1F4F7610">
      <w:pPr>
        <w:spacing w:line="560" w:lineRule="exact"/>
        <w:ind w:firstLine="600"/>
        <w:rPr>
          <w:rFonts w:ascii="仿宋_GB2312" w:hAnsi="宋体" w:eastAsia="仿宋_GB2312" w:cs="宋体"/>
          <w:sz w:val="30"/>
          <w:szCs w:val="30"/>
        </w:rPr>
      </w:pPr>
      <w:r>
        <w:rPr>
          <w:rFonts w:hint="eastAsia" w:ascii="仿宋_GB2312" w:hAnsi="宋体" w:eastAsia="仿宋_GB2312" w:cs="宋体"/>
          <w:sz w:val="30"/>
          <w:szCs w:val="30"/>
        </w:rPr>
        <w:t>（三）借贷面额：借贷双方按《办法》规定申报并经上交所交易系统确认的债券借贷借入、借出的标的债券总面额。</w:t>
      </w:r>
    </w:p>
    <w:p w14:paraId="6078F2E0">
      <w:pPr>
        <w:spacing w:line="560" w:lineRule="exact"/>
        <w:ind w:firstLine="600"/>
        <w:rPr>
          <w:rFonts w:ascii="仿宋_GB2312" w:hAnsi="宋体" w:eastAsia="仿宋_GB2312" w:cs="宋体"/>
          <w:sz w:val="30"/>
          <w:szCs w:val="30"/>
        </w:rPr>
      </w:pPr>
      <w:r>
        <w:rPr>
          <w:rFonts w:hint="eastAsia" w:ascii="仿宋_GB2312" w:hAnsi="宋体" w:eastAsia="仿宋_GB2312" w:cs="宋体"/>
          <w:sz w:val="30"/>
          <w:szCs w:val="30"/>
        </w:rPr>
        <w:t>（四）借贷费率：借贷双方按《办法》规定申报并经上交所交易系统确认的债券借贷借入、借出费率。</w:t>
      </w:r>
    </w:p>
    <w:p w14:paraId="789CD7C8">
      <w:pPr>
        <w:spacing w:line="560" w:lineRule="exact"/>
        <w:ind w:firstLine="600"/>
        <w:rPr>
          <w:rFonts w:ascii="仿宋_GB2312" w:hAnsi="宋体" w:eastAsia="仿宋_GB2312" w:cs="宋体"/>
          <w:sz w:val="30"/>
          <w:szCs w:val="30"/>
        </w:rPr>
      </w:pPr>
      <w:r>
        <w:rPr>
          <w:rFonts w:hint="eastAsia" w:ascii="仿宋_GB2312" w:hAnsi="宋体" w:eastAsia="仿宋_GB2312" w:cs="宋体"/>
          <w:sz w:val="30"/>
          <w:szCs w:val="30"/>
        </w:rPr>
        <w:t>（五）借贷期限：借贷双方按《办法》规定申报并经上交所交易系统确认的债券借贷借入、借出期限。</w:t>
      </w:r>
    </w:p>
    <w:p w14:paraId="157F5865">
      <w:pPr>
        <w:spacing w:line="560" w:lineRule="exact"/>
        <w:ind w:firstLine="600"/>
        <w:rPr>
          <w:rFonts w:ascii="仿宋_GB2312" w:hAnsi="宋体" w:eastAsia="仿宋_GB2312" w:cs="宋体"/>
          <w:sz w:val="30"/>
          <w:szCs w:val="30"/>
        </w:rPr>
      </w:pPr>
      <w:r>
        <w:rPr>
          <w:rFonts w:hint="eastAsia" w:ascii="仿宋_GB2312" w:hAnsi="宋体" w:eastAsia="仿宋_GB2312" w:cs="宋体"/>
          <w:sz w:val="30"/>
          <w:szCs w:val="30"/>
        </w:rPr>
        <w:t>（六）应计利息：借贷双方按《办法》规定申报并经上交所交易系统确认的债券借贷借入、借出标的债券在借贷期间产生的利息。</w:t>
      </w:r>
    </w:p>
    <w:p w14:paraId="0B43BFBB">
      <w:pPr>
        <w:spacing w:line="560" w:lineRule="exact"/>
        <w:ind w:firstLine="600"/>
        <w:rPr>
          <w:rFonts w:ascii="仿宋_GB2312" w:hAnsi="宋体" w:eastAsia="仿宋_GB2312" w:cs="宋体"/>
          <w:sz w:val="30"/>
          <w:szCs w:val="30"/>
        </w:rPr>
      </w:pPr>
      <w:r>
        <w:rPr>
          <w:rFonts w:hint="eastAsia" w:ascii="仿宋_GB2312" w:hAnsi="宋体" w:eastAsia="仿宋_GB2312" w:cs="宋体"/>
          <w:sz w:val="30"/>
          <w:szCs w:val="30"/>
        </w:rPr>
        <w:t>（七）到期申报方式：借贷双方按《办法》规定申报并由中国结算办理清算、交收。</w:t>
      </w:r>
    </w:p>
    <w:p w14:paraId="7C8774F5">
      <w:pPr>
        <w:pStyle w:val="92"/>
        <w:widowControl w:val="0"/>
        <w:numPr>
          <w:ilvl w:val="0"/>
          <w:numId w:val="27"/>
        </w:numPr>
        <w:spacing w:line="560" w:lineRule="exact"/>
        <w:ind w:left="0" w:firstLine="600" w:firstLineChars="200"/>
        <w:contextualSpacing w:val="0"/>
        <w:jc w:val="both"/>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债券借贷协议中有关质押的内容构成债券借贷业务下的债券质押协议，内容包括：</w:t>
      </w:r>
    </w:p>
    <w:p w14:paraId="51265A65">
      <w:pPr>
        <w:spacing w:line="560" w:lineRule="exact"/>
        <w:rPr>
          <w:rFonts w:ascii="仿宋_GB2312" w:hAnsi="宋体" w:eastAsia="仿宋_GB2312" w:cs="宋体"/>
          <w:sz w:val="30"/>
          <w:szCs w:val="30"/>
        </w:rPr>
      </w:pPr>
      <w:r>
        <w:rPr>
          <w:rFonts w:hint="eastAsia" w:ascii="仿宋_GB2312" w:hAnsi="宋体" w:eastAsia="仿宋_GB2312" w:cs="宋体"/>
          <w:sz w:val="30"/>
          <w:szCs w:val="30"/>
        </w:rPr>
        <w:t xml:space="preserve">    （一）被担保债权的种类和金额：债券借贷的标的债券和标的债券总面额。</w:t>
      </w:r>
    </w:p>
    <w:p w14:paraId="3B0087D9">
      <w:pPr>
        <w:spacing w:line="560" w:lineRule="exact"/>
        <w:ind w:firstLine="600"/>
        <w:rPr>
          <w:rFonts w:ascii="仿宋_GB2312" w:hAnsi="宋体" w:eastAsia="仿宋_GB2312" w:cs="宋体"/>
          <w:sz w:val="30"/>
          <w:szCs w:val="30"/>
        </w:rPr>
      </w:pPr>
      <w:r>
        <w:rPr>
          <w:rFonts w:hint="eastAsia" w:ascii="仿宋_GB2312" w:hAnsi="宋体" w:eastAsia="仿宋_GB2312" w:cs="宋体"/>
          <w:sz w:val="30"/>
          <w:szCs w:val="30"/>
        </w:rPr>
        <w:t>（二）借入方履行债务的期限：债券借贷成交协议确定的借贷期限。</w:t>
      </w:r>
    </w:p>
    <w:p w14:paraId="4BBD354C">
      <w:pPr>
        <w:spacing w:line="560" w:lineRule="exact"/>
        <w:ind w:firstLine="600"/>
        <w:rPr>
          <w:rFonts w:ascii="仿宋_GB2312" w:hAnsi="宋体" w:eastAsia="仿宋_GB2312" w:cs="宋体"/>
          <w:sz w:val="30"/>
          <w:szCs w:val="30"/>
        </w:rPr>
      </w:pPr>
      <w:r>
        <w:rPr>
          <w:rFonts w:hint="eastAsia" w:ascii="仿宋_GB2312" w:hAnsi="宋体" w:eastAsia="仿宋_GB2312" w:cs="宋体"/>
          <w:sz w:val="30"/>
          <w:szCs w:val="30"/>
        </w:rPr>
        <w:t>（三）质押债券的名称、数量：债券借贷成交协议确定的质押债券（即质物，以下简称质押券）的名称、数量。</w:t>
      </w:r>
    </w:p>
    <w:p w14:paraId="25378C5A">
      <w:pPr>
        <w:spacing w:line="560" w:lineRule="exact"/>
        <w:ind w:firstLine="600"/>
        <w:rPr>
          <w:rFonts w:ascii="仿宋_GB2312" w:hAnsi="宋体" w:eastAsia="仿宋_GB2312" w:cs="宋体"/>
          <w:sz w:val="30"/>
          <w:szCs w:val="30"/>
        </w:rPr>
      </w:pPr>
      <w:r>
        <w:rPr>
          <w:rFonts w:hint="eastAsia" w:ascii="仿宋_GB2312" w:hAnsi="宋体" w:eastAsia="仿宋_GB2312" w:cs="宋体"/>
          <w:sz w:val="30"/>
          <w:szCs w:val="30"/>
        </w:rPr>
        <w:t>（四）本协议、补充协议和申报补充约定中约定的债券借贷的其他事项。</w:t>
      </w:r>
    </w:p>
    <w:p w14:paraId="4B75BE72">
      <w:pPr>
        <w:pStyle w:val="92"/>
        <w:widowControl w:val="0"/>
        <w:numPr>
          <w:ilvl w:val="0"/>
          <w:numId w:val="27"/>
        </w:numPr>
        <w:spacing w:line="560" w:lineRule="exact"/>
        <w:ind w:left="0" w:firstLine="600" w:firstLineChars="200"/>
        <w:contextualSpacing w:val="0"/>
        <w:jc w:val="both"/>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借贷双方承诺补充协议和申报补充约定不违反法律、行政法规、部门规章、规范性文件、《办法》、上交所及中国结算的相关规定，且不与本主协议及成交记录相冲突，但本主协议中允许借贷双方另行约定的内容除外。</w:t>
      </w:r>
    </w:p>
    <w:p w14:paraId="0B827C52">
      <w:pPr>
        <w:pStyle w:val="92"/>
        <w:widowControl w:val="0"/>
        <w:numPr>
          <w:ilvl w:val="0"/>
          <w:numId w:val="27"/>
        </w:numPr>
        <w:spacing w:line="560" w:lineRule="exact"/>
        <w:ind w:left="0" w:firstLine="600" w:firstLineChars="200"/>
        <w:contextualSpacing w:val="0"/>
        <w:jc w:val="both"/>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借贷双方在签署本主协议时做出下列声明与保证：</w:t>
      </w:r>
    </w:p>
    <w:p w14:paraId="7741A8AB">
      <w:pPr>
        <w:pStyle w:val="92"/>
        <w:spacing w:line="560" w:lineRule="exact"/>
        <w:ind w:hanging="11"/>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（一）本方依法设立并有效存续；</w:t>
      </w:r>
    </w:p>
    <w:p w14:paraId="3BF192D2">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（二）本方有权签署本主协议，并履行本方在本主协议下的义务。上述行为不违反任何适用于本方的法律、公司章程与协议；</w:t>
      </w:r>
    </w:p>
    <w:p w14:paraId="07E41904">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（三）以本方名义达成和签署本主协议的人员已获得充分和必要的授权；</w:t>
      </w:r>
    </w:p>
    <w:p w14:paraId="520E08BE">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（四）以本方名义或代表本方从事申报的人员，均已获得充分和必要的授权；</w:t>
      </w:r>
    </w:p>
    <w:p w14:paraId="66900203">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（五）本方未涉及任何已发生或正在发生，将实质性地负面影响本主协议的合法性、有效性或可执行性的，或将实质性地负面影响本方在本主协议下履行义务能力的诉讼、仲裁或类似事件。</w:t>
      </w:r>
    </w:p>
    <w:p w14:paraId="42A0A95E">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（六）其具备独立评估债券借贷业务风险的能力，且充分认识并愿意承担相关风险。</w:t>
      </w:r>
    </w:p>
    <w:p w14:paraId="4B830B68">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（七）其对根据本协议约定需要向另一方交付或用于质押的债券拥有完整的所有权和</w:t>
      </w:r>
      <w:r>
        <w:rPr>
          <w:rFonts w:ascii="仿宋_GB2312" w:hAnsi="宋体" w:eastAsia="仿宋_GB2312" w:cs="宋体"/>
          <w:kern w:val="0"/>
          <w:sz w:val="30"/>
          <w:szCs w:val="30"/>
        </w:rPr>
        <w:t>/或处置权，并且未设定任何形式的第</w:t>
      </w:r>
      <w:r>
        <w:rPr>
          <w:rFonts w:hint="eastAsia" w:ascii="仿宋_GB2312" w:hAnsi="宋体" w:eastAsia="仿宋_GB2312" w:cs="宋体"/>
          <w:kern w:val="0"/>
          <w:sz w:val="30"/>
          <w:szCs w:val="30"/>
        </w:rPr>
        <w:t>三方权益。</w:t>
      </w:r>
    </w:p>
    <w:p w14:paraId="72433C47">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（八）债券借入方承诺已建立、健全符合监管机构要求的风险控制措施和内部管理制度，控制债券借贷融入余额的合理比例。</w:t>
      </w:r>
    </w:p>
    <w:p w14:paraId="2CDA70CE">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（九）其系代表自身而非代理任何第三方签署本协议并进行申报。</w:t>
      </w:r>
    </w:p>
    <w:p w14:paraId="72C39C43">
      <w:pPr>
        <w:pStyle w:val="92"/>
        <w:widowControl w:val="0"/>
        <w:numPr>
          <w:ilvl w:val="0"/>
          <w:numId w:val="27"/>
        </w:numPr>
        <w:spacing w:line="560" w:lineRule="exact"/>
        <w:ind w:left="0" w:firstLine="600" w:firstLineChars="200"/>
        <w:contextualSpacing w:val="0"/>
        <w:jc w:val="both"/>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借贷双方在签署本主协议时承诺符合《办法》中关于投资者适当性的要求，已确认具备相应的风险管理和承受能力，并将自行承担风险。</w:t>
      </w:r>
    </w:p>
    <w:p w14:paraId="11C30290">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签署本主协议后，借贷双方情况发生变化，导致不再符合投资者适当性要求的，承诺及时向上交所或所在证券公司更新相关材料，且不再参与新的债券借贷业务，但将继续履行未到期债券借贷合约的相关义务。</w:t>
      </w:r>
    </w:p>
    <w:p w14:paraId="5B073D22">
      <w:pPr>
        <w:pStyle w:val="92"/>
        <w:widowControl w:val="0"/>
        <w:numPr>
          <w:ilvl w:val="0"/>
          <w:numId w:val="27"/>
        </w:numPr>
        <w:spacing w:line="560" w:lineRule="exact"/>
        <w:ind w:left="0" w:firstLine="600" w:firstLineChars="200"/>
        <w:contextualSpacing w:val="0"/>
        <w:jc w:val="both"/>
        <w:rPr>
          <w:rFonts w:ascii="仿宋_GB2312" w:hAnsi="宋体" w:eastAsia="仿宋_GB2312" w:cs="宋体"/>
          <w:sz w:val="30"/>
          <w:szCs w:val="30"/>
          <w:lang w:eastAsia="zh-CN"/>
        </w:rPr>
      </w:pPr>
      <w:r>
        <w:rPr>
          <w:rFonts w:hint="eastAsia" w:ascii="仿宋_GB2312" w:eastAsia="仿宋_GB2312"/>
          <w:color w:val="000000"/>
          <w:sz w:val="30"/>
          <w:szCs w:val="30"/>
          <w:lang w:eastAsia="zh-CN"/>
        </w:rPr>
        <w:t>证券公司经纪客户</w:t>
      </w:r>
      <w:r>
        <w:rPr>
          <w:rFonts w:hint="eastAsia" w:ascii="仿宋_GB2312" w:hAnsi="宋体" w:eastAsia="仿宋_GB2312" w:cs="宋体"/>
          <w:sz w:val="30"/>
          <w:szCs w:val="30"/>
          <w:lang w:eastAsia="zh-CN"/>
        </w:rPr>
        <w:t>签署本协议的</w:t>
      </w:r>
      <w:r>
        <w:rPr>
          <w:rFonts w:hint="eastAsia" w:ascii="仿宋_GB2312" w:eastAsia="仿宋_GB2312"/>
          <w:color w:val="000000"/>
          <w:sz w:val="30"/>
          <w:szCs w:val="30"/>
          <w:lang w:eastAsia="zh-CN"/>
        </w:rPr>
        <w:t>，同意由所在</w:t>
      </w:r>
      <w:r>
        <w:rPr>
          <w:rFonts w:hint="eastAsia" w:ascii="仿宋_GB2312" w:eastAsia="仿宋_GB2312"/>
          <w:sz w:val="30"/>
          <w:szCs w:val="30"/>
          <w:lang w:eastAsia="zh-CN"/>
        </w:rPr>
        <w:t>证券公司对其进行</w:t>
      </w:r>
      <w:r>
        <w:rPr>
          <w:rFonts w:hint="eastAsia" w:ascii="仿宋_GB2312" w:hAnsi="宋体" w:eastAsia="仿宋_GB2312" w:cs="宋体"/>
          <w:sz w:val="30"/>
          <w:szCs w:val="30"/>
          <w:lang w:eastAsia="zh-CN"/>
        </w:rPr>
        <w:t>投资者适当性管理，</w:t>
      </w:r>
      <w:r>
        <w:rPr>
          <w:rFonts w:hint="eastAsia" w:ascii="仿宋_GB2312" w:eastAsia="仿宋_GB2312"/>
          <w:color w:val="000000"/>
          <w:sz w:val="30"/>
          <w:szCs w:val="30"/>
          <w:lang w:eastAsia="zh-CN"/>
        </w:rPr>
        <w:t>并通过证券公司办理债券借贷相关申报和结算业务。</w:t>
      </w:r>
    </w:p>
    <w:p w14:paraId="385ABEC6">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参与债券借贷业务前，证券公司经纪客户承诺已签署风险揭示书，充分知悉并自愿承担风险揭示书中所列风险；承诺向证券公司提交的相关材料真实、准确和完整。</w:t>
      </w:r>
    </w:p>
    <w:p w14:paraId="098E3513">
      <w:pPr>
        <w:pStyle w:val="92"/>
        <w:widowControl w:val="0"/>
        <w:numPr>
          <w:ilvl w:val="0"/>
          <w:numId w:val="27"/>
        </w:numPr>
        <w:spacing w:line="560" w:lineRule="exact"/>
        <w:ind w:left="0" w:firstLine="600" w:firstLineChars="200"/>
        <w:contextualSpacing w:val="0"/>
        <w:jc w:val="both"/>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借贷双方承诺在参与债券借贷申报前已符合债券借贷投资者适当性要求，并承诺申请材料真实、准确、完整。</w:t>
      </w:r>
    </w:p>
    <w:p w14:paraId="5FE6D9A2">
      <w:pPr>
        <w:pStyle w:val="92"/>
        <w:widowControl w:val="0"/>
        <w:numPr>
          <w:ilvl w:val="0"/>
          <w:numId w:val="27"/>
        </w:numPr>
        <w:spacing w:line="560" w:lineRule="exact"/>
        <w:ind w:left="0" w:firstLine="600" w:firstLineChars="200"/>
        <w:contextualSpacing w:val="0"/>
        <w:jc w:val="both"/>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债券借贷中，债券借入方的权利主要包括：</w:t>
      </w:r>
    </w:p>
    <w:p w14:paraId="557E02E3">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sz w:val="30"/>
          <w:szCs w:val="30"/>
        </w:rPr>
        <w:t>（</w:t>
      </w:r>
      <w:r>
        <w:rPr>
          <w:rFonts w:hint="eastAsia" w:ascii="仿宋_GB2312" w:hAnsi="宋体" w:eastAsia="仿宋_GB2312" w:cs="宋体"/>
          <w:kern w:val="0"/>
          <w:sz w:val="30"/>
          <w:szCs w:val="30"/>
        </w:rPr>
        <w:t>一）在首期结算日，按合同约定取得标的债券；</w:t>
      </w:r>
    </w:p>
    <w:p w14:paraId="4D635AC6">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（二）到期债券结算、到期现金结算、到期部分现金结算、提前终止完成交收后，解除质押券的质押；</w:t>
      </w:r>
    </w:p>
    <w:p w14:paraId="6BEAE19E">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（三）到期续做完成交收后，按合同约定继续取得标的债券，解除质押券的质押（如有）；</w:t>
      </w:r>
    </w:p>
    <w:p w14:paraId="3A5D4491">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（四）质押券发生付息、分期偿还、分期摊还的，利息、分期偿还或摊还资金归债券借入方所有；</w:t>
      </w:r>
    </w:p>
    <w:p w14:paraId="0FE5E075">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（五）和债券借出方协商一致后对达成的债券借贷进行提前终止、到期现金结算、到期部分现金结算及变更质押券等；</w:t>
      </w:r>
    </w:p>
    <w:p w14:paraId="33083011">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（六）在债券借出方违约后，按照规定和约定收取违约金等；</w:t>
      </w:r>
    </w:p>
    <w:p w14:paraId="343CACC2">
      <w:pPr>
        <w:spacing w:line="560" w:lineRule="exact"/>
        <w:ind w:firstLine="600" w:firstLineChars="200"/>
        <w:rPr>
          <w:rFonts w:ascii="仿宋_GB2312" w:hAnsi="宋体" w:eastAsia="仿宋_GB2312" w:cs="宋体"/>
          <w:kern w:val="0"/>
          <w:sz w:val="30"/>
          <w:szCs w:val="30"/>
        </w:rPr>
      </w:pPr>
      <w:r>
        <w:rPr>
          <w:rFonts w:hint="eastAsia" w:ascii="仿宋_GB2312" w:hAnsi="宋体" w:eastAsia="仿宋_GB2312" w:cs="宋体"/>
          <w:kern w:val="0"/>
          <w:sz w:val="30"/>
          <w:szCs w:val="30"/>
        </w:rPr>
        <w:t>（七）在标的债券发生违约、债券本息兑付面临重要风险或其他事件致使标的债券价值明显减少时，可以按照约定解除部分质押券质押、变更质押券或提前终止债券借贷业务；</w:t>
      </w:r>
    </w:p>
    <w:p w14:paraId="330EC84E">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（八）上交所、中国结算规定或者借贷双方约定的其他权利。</w:t>
      </w:r>
    </w:p>
    <w:p w14:paraId="7055F4CE">
      <w:pPr>
        <w:pStyle w:val="92"/>
        <w:widowControl w:val="0"/>
        <w:numPr>
          <w:ilvl w:val="0"/>
          <w:numId w:val="27"/>
        </w:numPr>
        <w:spacing w:line="560" w:lineRule="exact"/>
        <w:ind w:left="0" w:firstLine="600" w:firstLineChars="200"/>
        <w:contextualSpacing w:val="0"/>
        <w:jc w:val="both"/>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债券借贷中，债券借入方的义务主要包括：</w:t>
      </w:r>
    </w:p>
    <w:p w14:paraId="679CFCAE">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（一）按照规定和约定，及时发送内容完整的申报指令；</w:t>
      </w:r>
    </w:p>
    <w:p w14:paraId="58739CE1">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（二）债券借贷申报前，确保证券账户中有数量充足且符合规定或约定的拟用于质押的债券；</w:t>
      </w:r>
    </w:p>
    <w:p w14:paraId="4CC0AEF7">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（三）在债券借贷时，按约定或规则规定完成债券质押；</w:t>
      </w:r>
    </w:p>
    <w:p w14:paraId="1AE4A890">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（四）在到期结算日或提前终止时，按规定和约定归还标的债券，并完成债券借贷费用资金交收；</w:t>
      </w:r>
    </w:p>
    <w:p w14:paraId="02B3E502">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（五）在到期现金结算时，按规定和约定完成现金结算资金及借贷费用资金交收；</w:t>
      </w:r>
    </w:p>
    <w:p w14:paraId="1331DEF0">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（六）在到期部分现金结算时，按规定和约定归还部分标的债券，并完成现金部分的资金交收，及债券借贷费用资金交收；</w:t>
      </w:r>
    </w:p>
    <w:p w14:paraId="7549CFC7">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（七）在到期续做时，按规定和约定归还标的债券（如有），完成债券质押（如有），并完成债券借贷费用资金交收；</w:t>
      </w:r>
    </w:p>
    <w:p w14:paraId="540E6A09">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（八）债券借贷存续期内质押券价值明显减少，足以危害债券借出方权利时，按照约定和债券借出方的要求补足担保品；</w:t>
      </w:r>
    </w:p>
    <w:p w14:paraId="2587E299">
      <w:pPr>
        <w:spacing w:line="560" w:lineRule="exact"/>
        <w:ind w:firstLine="600" w:firstLineChars="200"/>
        <w:rPr>
          <w:rFonts w:ascii="仿宋_GB2312" w:hAnsi="宋体" w:eastAsia="仿宋_GB2312" w:cs="宋体"/>
          <w:sz w:val="30"/>
          <w:szCs w:val="30"/>
        </w:rPr>
      </w:pPr>
      <w:bookmarkStart w:id="3900" w:name="OLE_LINK80"/>
      <w:bookmarkStart w:id="3901" w:name="OLE_LINK86"/>
      <w:r>
        <w:rPr>
          <w:rFonts w:hint="eastAsia" w:ascii="仿宋_GB2312" w:hAnsi="宋体" w:eastAsia="仿宋_GB2312" w:cs="宋体"/>
          <w:kern w:val="0"/>
          <w:sz w:val="30"/>
          <w:szCs w:val="30"/>
        </w:rPr>
        <w:t>（九）在违约时，按照规定和约定继续履约、支付违约金、配合债券借出方对违约项下的质押券进行处置等；</w:t>
      </w:r>
      <w:bookmarkEnd w:id="3900"/>
      <w:bookmarkEnd w:id="3901"/>
    </w:p>
    <w:p w14:paraId="3AD0F8EA">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（十）上交所、中国结算规定或者借贷双方约定的其他义务。</w:t>
      </w:r>
    </w:p>
    <w:p w14:paraId="2E4D539F">
      <w:pPr>
        <w:pStyle w:val="92"/>
        <w:widowControl w:val="0"/>
        <w:numPr>
          <w:ilvl w:val="0"/>
          <w:numId w:val="27"/>
        </w:numPr>
        <w:spacing w:line="560" w:lineRule="exact"/>
        <w:ind w:left="0" w:firstLine="600" w:firstLineChars="200"/>
        <w:contextualSpacing w:val="0"/>
        <w:jc w:val="both"/>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债券借贷中，债券借出方的权利主要包括：</w:t>
      </w:r>
    </w:p>
    <w:p w14:paraId="6A370109">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（一）享有按约定或规则规定选取的质押券的质权；</w:t>
      </w:r>
    </w:p>
    <w:p w14:paraId="31C29777">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（二）和债券借入方协商一致或按照约定对达成的债券借贷进行提前终止、到期现金结算、到期部分现金结算、到期续做及补充、变更质押券等；</w:t>
      </w:r>
    </w:p>
    <w:p w14:paraId="637B495B">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（三）在到期结算日或提前终止时，按规定和约定收回标的债券并收取</w:t>
      </w:r>
      <w:bookmarkStart w:id="3902" w:name="OLE_LINK1"/>
      <w:r>
        <w:rPr>
          <w:rFonts w:hint="eastAsia" w:ascii="仿宋_GB2312" w:hAnsi="宋体" w:eastAsia="仿宋_GB2312" w:cs="宋体"/>
          <w:kern w:val="0"/>
          <w:sz w:val="30"/>
          <w:szCs w:val="30"/>
        </w:rPr>
        <w:t>债券借贷费用</w:t>
      </w:r>
      <w:bookmarkEnd w:id="3902"/>
      <w:r>
        <w:rPr>
          <w:rFonts w:hint="eastAsia" w:ascii="仿宋_GB2312" w:hAnsi="宋体" w:eastAsia="仿宋_GB2312" w:cs="宋体"/>
          <w:kern w:val="0"/>
          <w:sz w:val="30"/>
          <w:szCs w:val="30"/>
        </w:rPr>
        <w:t>；</w:t>
      </w:r>
    </w:p>
    <w:p w14:paraId="1A7A19B2">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（四）在到期现金结算时，按规定和约定收取现金结算资金和债券借贷费用；</w:t>
      </w:r>
    </w:p>
    <w:p w14:paraId="7F5BEFD0">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（五）在到期部分现金结算时，按规定和约定收回部分标的债券，并收取现金部分资金及债券借贷费用；</w:t>
      </w:r>
    </w:p>
    <w:p w14:paraId="73D10B10">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（六）在到期续做时，按规定和约定收回标的债券（如有），选取的质押券的质权（如有），并收取债券借贷费用；</w:t>
      </w:r>
    </w:p>
    <w:p w14:paraId="71E81044">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（七）在标的债券付息日或收到债券付息当日从债券借入方收取应计利息总额。</w:t>
      </w:r>
    </w:p>
    <w:p w14:paraId="4E1202F1">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（八）债券借贷存续期内质押券价值明显减少，足以危害其权利时，要求债券借入方补充、变更相应质押券等；</w:t>
      </w:r>
    </w:p>
    <w:p w14:paraId="701BDA5A">
      <w:pPr>
        <w:spacing w:line="560" w:lineRule="exact"/>
        <w:ind w:firstLine="600" w:firstLineChars="200"/>
        <w:rPr>
          <w:rFonts w:ascii="仿宋_GB2312" w:hAnsi="宋体" w:eastAsia="仿宋_GB2312" w:cs="宋体"/>
          <w:sz w:val="30"/>
          <w:szCs w:val="30"/>
        </w:rPr>
      </w:pPr>
      <w:bookmarkStart w:id="3903" w:name="OLE_LINK73"/>
      <w:bookmarkStart w:id="3904" w:name="OLE_LINK74"/>
      <w:bookmarkStart w:id="3905" w:name="OLE_LINK79"/>
      <w:r>
        <w:rPr>
          <w:rFonts w:hint="eastAsia" w:ascii="仿宋_GB2312" w:hAnsi="宋体" w:eastAsia="仿宋_GB2312" w:cs="宋体"/>
          <w:kern w:val="0"/>
          <w:sz w:val="30"/>
          <w:szCs w:val="30"/>
        </w:rPr>
        <w:t>（九）在债券借入方违约后，按照规定和约定要求债券借入方继续履约、收取违约金，对债券借入方违约项下的质押券进行处置等；</w:t>
      </w:r>
    </w:p>
    <w:p w14:paraId="7C951DFC">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（十）</w:t>
      </w:r>
      <w:bookmarkEnd w:id="3903"/>
      <w:bookmarkEnd w:id="3904"/>
      <w:bookmarkEnd w:id="3905"/>
      <w:r>
        <w:rPr>
          <w:rFonts w:hint="eastAsia" w:ascii="仿宋_GB2312" w:hAnsi="宋体" w:eastAsia="仿宋_GB2312" w:cs="宋体"/>
          <w:kern w:val="0"/>
          <w:sz w:val="30"/>
          <w:szCs w:val="30"/>
        </w:rPr>
        <w:t>上交所、中国结算规定或者借贷双方约定的其他权利。</w:t>
      </w:r>
    </w:p>
    <w:p w14:paraId="068266C1">
      <w:pPr>
        <w:pStyle w:val="92"/>
        <w:widowControl w:val="0"/>
        <w:numPr>
          <w:ilvl w:val="0"/>
          <w:numId w:val="27"/>
        </w:numPr>
        <w:spacing w:line="560" w:lineRule="exact"/>
        <w:ind w:left="0" w:firstLine="600" w:firstLineChars="200"/>
        <w:contextualSpacing w:val="0"/>
        <w:jc w:val="both"/>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债券借贷中，债券借出方的义务主要包括：</w:t>
      </w:r>
    </w:p>
    <w:p w14:paraId="04A85FB2">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（一）按照规定和约定，及时发送内容完整的申报指令；</w:t>
      </w:r>
    </w:p>
    <w:p w14:paraId="79FCEC30">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（二）在首期结算日，按照规定和约定划付标的债券；</w:t>
      </w:r>
    </w:p>
    <w:p w14:paraId="4FACA780">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（三）在到期续做时，按照规定和约定划付标的债券（如有）；</w:t>
      </w:r>
    </w:p>
    <w:p w14:paraId="45CB4D70">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（四）在其违约时按照规定和约定向债券借入方支付违约金等；</w:t>
      </w:r>
    </w:p>
    <w:p w14:paraId="0B566459">
      <w:pPr>
        <w:spacing w:line="560" w:lineRule="exact"/>
        <w:ind w:firstLine="600" w:firstLineChars="200"/>
        <w:rPr>
          <w:rFonts w:ascii="仿宋_GB2312" w:hAnsi="宋体" w:eastAsia="仿宋_GB2312" w:cs="宋体"/>
          <w:sz w:val="30"/>
          <w:szCs w:val="30"/>
        </w:rPr>
      </w:pPr>
      <w:r>
        <w:rPr>
          <w:rFonts w:ascii="仿宋_GB2312" w:hAnsi="宋体" w:eastAsia="仿宋_GB2312" w:cs="宋体"/>
          <w:kern w:val="0"/>
          <w:sz w:val="30"/>
          <w:szCs w:val="30"/>
        </w:rPr>
        <w:t xml:space="preserve">(五) </w:t>
      </w:r>
      <w:r>
        <w:rPr>
          <w:rFonts w:hint="eastAsia" w:ascii="仿宋_GB2312" w:hAnsi="宋体" w:eastAsia="仿宋_GB2312" w:cs="宋体"/>
          <w:kern w:val="0"/>
          <w:sz w:val="30"/>
          <w:szCs w:val="30"/>
        </w:rPr>
        <w:t>在标的债券发生违约、债券本息兑付面临重要风险或其他事件致使标的债券价值明显减少时，配合债券借入方完成解除部分质押券质押、变更质押券或提前终止债券借贷业务；</w:t>
      </w:r>
    </w:p>
    <w:p w14:paraId="289742CA">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（六）上交所、中国结算规定或者借贷双方约定的其他义务。</w:t>
      </w:r>
    </w:p>
    <w:p w14:paraId="13C1894B">
      <w:pPr>
        <w:pStyle w:val="92"/>
        <w:widowControl w:val="0"/>
        <w:numPr>
          <w:ilvl w:val="0"/>
          <w:numId w:val="27"/>
        </w:numPr>
        <w:spacing w:line="560" w:lineRule="exact"/>
        <w:ind w:left="0" w:firstLine="600" w:firstLineChars="200"/>
        <w:contextualSpacing w:val="0"/>
        <w:jc w:val="both"/>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借贷双方通过上交所交易系统进行申报、上交所交易系统确认后生成的成交记录，是借贷双方协商一致达成的协议，借贷双方同意履行协议约定的义务。</w:t>
      </w:r>
    </w:p>
    <w:p w14:paraId="233BEC06">
      <w:pPr>
        <w:pStyle w:val="92"/>
        <w:widowControl w:val="0"/>
        <w:numPr>
          <w:ilvl w:val="0"/>
          <w:numId w:val="27"/>
        </w:numPr>
        <w:spacing w:line="560" w:lineRule="exact"/>
        <w:ind w:left="0" w:firstLine="600" w:firstLineChars="200"/>
        <w:contextualSpacing w:val="0"/>
        <w:jc w:val="both"/>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质押券在质权存续期间，借贷双方同意就质押券孳息及附属权利作出以下约定：</w:t>
      </w:r>
    </w:p>
    <w:p w14:paraId="43FA170F">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一）债券借入方收取质押券利息、分期偿还或分期摊还的本金和利息（不含最后一期）。若债券借入方发生本主协议第二十四条第（一）项约定的违约事件，债券借出方可单方面申请将债券借入方尚未收取的上述资金一并质押（质押券已被司法冻结的除外）。</w:t>
      </w:r>
    </w:p>
    <w:p w14:paraId="174A5B87">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（二）质押券提前赎回或到期兑付的，债券借入方应收的质押券赎回款或兑付资金（含最后一期利息）一并质押，其担保价值由借贷双方自行计算。</w:t>
      </w:r>
    </w:p>
    <w:p w14:paraId="74BF88DF">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（三）质押券含回售、转股、换股等条款的，并且债券借入方需要行使回售、转股、换股等权利的，债券借入方须与债券借出方协商一致，将质押券解除质押再行使回售、转股、换股等权利。</w:t>
      </w:r>
    </w:p>
    <w:p w14:paraId="008BBBC6">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（四）债券借入方可以作为债券持有人享有出席债券持有人大会、提案、表决、追索等权利。</w:t>
      </w:r>
    </w:p>
    <w:p w14:paraId="737D4BAD">
      <w:pPr>
        <w:pStyle w:val="92"/>
        <w:widowControl w:val="0"/>
        <w:numPr>
          <w:ilvl w:val="0"/>
          <w:numId w:val="27"/>
        </w:numPr>
        <w:spacing w:line="560" w:lineRule="exact"/>
        <w:ind w:left="0" w:firstLine="600" w:firstLineChars="200"/>
        <w:contextualSpacing w:val="0"/>
        <w:jc w:val="both"/>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质押券在质权存续期间，发生违约、债券本息兑付面临重要风险或其他事件致使质押券价值明显减少，足以危害债券借出方权利的，债券借出方有权要求债券借入方补充、变更相应的质押券或提供其他相应担保。借贷双方可以在补充协议或申报补充约定中约定补充、变更质押券的触发情形及时限。债券借入方不予补充、变更质押券或提供其他担保的，债券借出方可以提前终止债券借贷协议，并按照本主协议第二十九条的约定进行处置。</w:t>
      </w:r>
    </w:p>
    <w:p w14:paraId="71BCDE6A">
      <w:pPr>
        <w:pStyle w:val="92"/>
        <w:widowControl w:val="0"/>
        <w:numPr>
          <w:ilvl w:val="0"/>
          <w:numId w:val="27"/>
        </w:numPr>
        <w:spacing w:line="560" w:lineRule="exact"/>
        <w:ind w:left="0" w:firstLine="600" w:firstLineChars="200"/>
        <w:contextualSpacing w:val="0"/>
        <w:jc w:val="both"/>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标的债券在债券借贷存续期间，借贷双方同意就标的债券孳息及附属权利作出以下约定：</w:t>
      </w:r>
    </w:p>
    <w:p w14:paraId="2792308F">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（一）债券借出方收取标的债券利息、分期偿还或分期摊还的本金和利息，债券借入方应当在标的债券兑息或兑付当日或收到债券本金和利息当日将收到的本金和利息总额划付至债券借出方账户。</w:t>
      </w:r>
    </w:p>
    <w:p w14:paraId="20E6CE85">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（二）标的债券提前赎回的，标的债券赎回款一并划付至债券借出方账户，债券借贷提前终止。</w:t>
      </w:r>
    </w:p>
    <w:p w14:paraId="713556F3">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三）标的债券含回售、转股、换股等条款的，若借贷双方未进行过额外约定，债券借入方可行使相应权利。若债券借出方需要行使回售、转股、换股等权利的，债券借出方须与债券借入方协商一致提前终止债券借贷，收到归还的标的债券后再行使回售、转股、换股等权利。</w:t>
      </w:r>
    </w:p>
    <w:p w14:paraId="4CB29D73">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（四）债券借入方可以作为债券持有人享有出席债券持有人大会、提案、表决、追索等权利。</w:t>
      </w:r>
    </w:p>
    <w:p w14:paraId="2DA6A209">
      <w:pPr>
        <w:pStyle w:val="92"/>
        <w:widowControl w:val="0"/>
        <w:numPr>
          <w:ilvl w:val="0"/>
          <w:numId w:val="27"/>
        </w:numPr>
        <w:spacing w:line="560" w:lineRule="exact"/>
        <w:ind w:left="0" w:firstLine="600" w:firstLineChars="200"/>
        <w:contextualSpacing w:val="0"/>
        <w:jc w:val="both"/>
        <w:rPr>
          <w:rFonts w:ascii="仿宋_GB2312" w:hAnsi="Calibri" w:eastAsia="仿宋_GB2312"/>
          <w:kern w:val="2"/>
          <w:sz w:val="30"/>
          <w:szCs w:val="30"/>
          <w:lang w:eastAsia="zh-CN"/>
        </w:rPr>
      </w:pPr>
      <w:r>
        <w:rPr>
          <w:rFonts w:hint="eastAsia" w:ascii="仿宋_GB2312" w:hAnsi="宋体" w:eastAsia="仿宋_GB2312" w:cs="宋体"/>
          <w:sz w:val="30"/>
          <w:szCs w:val="30"/>
          <w:lang w:eastAsia="zh-CN"/>
        </w:rPr>
        <w:t>标的债券在债券借贷存续期间，发生违约、债券本息兑付面临重要风险或其他事件致使标的债券价值明显减少，足以危害</w:t>
      </w:r>
      <w:r>
        <w:rPr>
          <w:rFonts w:hint="eastAsia" w:ascii="仿宋_GB2312" w:eastAsia="仿宋_GB2312"/>
          <w:sz w:val="30"/>
          <w:szCs w:val="30"/>
          <w:lang w:eastAsia="zh-CN"/>
        </w:rPr>
        <w:t>债券借入方</w:t>
      </w:r>
      <w:r>
        <w:rPr>
          <w:rFonts w:hint="eastAsia" w:ascii="仿宋_GB2312" w:hAnsi="宋体" w:eastAsia="仿宋_GB2312" w:cs="宋体"/>
          <w:sz w:val="30"/>
          <w:szCs w:val="30"/>
          <w:lang w:eastAsia="zh-CN"/>
        </w:rPr>
        <w:t>权利的，</w:t>
      </w:r>
      <w:r>
        <w:rPr>
          <w:rFonts w:hint="eastAsia" w:ascii="仿宋_GB2312" w:eastAsia="仿宋_GB2312"/>
          <w:sz w:val="30"/>
          <w:szCs w:val="30"/>
          <w:lang w:eastAsia="zh-CN"/>
        </w:rPr>
        <w:t>债券借入方与债券借出方协商</w:t>
      </w:r>
      <w:r>
        <w:rPr>
          <w:rFonts w:hint="eastAsia" w:ascii="仿宋_GB2312" w:hAnsi="Calibri" w:eastAsia="仿宋_GB2312"/>
          <w:kern w:val="2"/>
          <w:sz w:val="30"/>
          <w:szCs w:val="30"/>
          <w:lang w:eastAsia="zh-CN"/>
        </w:rPr>
        <w:t>一致，可解除部分质押券质押、变更质押券或提前终止债券借贷。借贷双方可以在补充协议或申报补充约定中约定解除部分质押券质押、变更质押券或提前终止债券借贷的触发情形及时限。</w:t>
      </w:r>
    </w:p>
    <w:p w14:paraId="0F9C11BF">
      <w:pPr>
        <w:pStyle w:val="92"/>
        <w:widowControl w:val="0"/>
        <w:numPr>
          <w:ilvl w:val="0"/>
          <w:numId w:val="27"/>
        </w:numPr>
        <w:spacing w:line="560" w:lineRule="exact"/>
        <w:ind w:left="0" w:firstLine="600" w:firstLineChars="200"/>
        <w:contextualSpacing w:val="0"/>
        <w:jc w:val="both"/>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债券借贷存续期间发生以下情形的，视为异常情况：</w:t>
      </w:r>
    </w:p>
    <w:p w14:paraId="54E6447C">
      <w:pPr>
        <w:spacing w:line="560" w:lineRule="exact"/>
        <w:ind w:firstLine="600" w:firstLineChars="200"/>
        <w:rPr>
          <w:rFonts w:ascii="仿宋_GB2312" w:hAnsi="宋体" w:eastAsia="仿宋_GB2312" w:cs="宋体"/>
          <w:kern w:val="0"/>
          <w:sz w:val="30"/>
          <w:szCs w:val="30"/>
        </w:rPr>
      </w:pPr>
      <w:r>
        <w:rPr>
          <w:rFonts w:hint="eastAsia" w:ascii="仿宋_GB2312" w:hAnsi="宋体" w:eastAsia="仿宋_GB2312" w:cs="宋体"/>
          <w:kern w:val="0"/>
          <w:sz w:val="30"/>
          <w:szCs w:val="30"/>
        </w:rPr>
        <w:t>（一）借贷双方证券账户或资金账户被有权机关冻结或强制执行；</w:t>
      </w:r>
    </w:p>
    <w:p w14:paraId="43052BB4">
      <w:pPr>
        <w:spacing w:line="560" w:lineRule="exact"/>
        <w:ind w:firstLine="600" w:firstLineChars="200"/>
        <w:rPr>
          <w:rFonts w:ascii="仿宋_GB2312" w:hAnsi="宋体" w:eastAsia="仿宋_GB2312" w:cs="宋体"/>
          <w:kern w:val="0"/>
          <w:sz w:val="30"/>
          <w:szCs w:val="30"/>
        </w:rPr>
      </w:pPr>
      <w:r>
        <w:rPr>
          <w:rFonts w:hint="eastAsia" w:ascii="仿宋_GB2312" w:hAnsi="宋体" w:eastAsia="仿宋_GB2312" w:cs="宋体"/>
          <w:kern w:val="0"/>
          <w:sz w:val="30"/>
          <w:szCs w:val="30"/>
        </w:rPr>
        <w:t>（二）标的债券或者质押券被上交所终止上市或者终止转让；</w:t>
      </w:r>
    </w:p>
    <w:p w14:paraId="480EAF93">
      <w:pPr>
        <w:spacing w:line="560" w:lineRule="exact"/>
        <w:ind w:left="149" w:leftChars="71"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（三）经纪客户所在的证券公司进入风险处置、终止清算、破产程序；</w:t>
      </w:r>
    </w:p>
    <w:p w14:paraId="4BBA973F">
      <w:pPr>
        <w:spacing w:line="560" w:lineRule="exact"/>
        <w:ind w:firstLine="600" w:firstLineChars="200"/>
        <w:rPr>
          <w:rFonts w:ascii="仿宋_GB2312" w:hAnsi="宋体" w:eastAsia="仿宋_GB2312" w:cs="宋体"/>
          <w:kern w:val="0"/>
          <w:sz w:val="30"/>
          <w:szCs w:val="30"/>
        </w:rPr>
      </w:pPr>
      <w:r>
        <w:rPr>
          <w:rFonts w:hint="eastAsia" w:ascii="仿宋_GB2312" w:hAnsi="宋体" w:eastAsia="仿宋_GB2312" w:cs="宋体"/>
          <w:kern w:val="0"/>
          <w:sz w:val="30"/>
          <w:szCs w:val="30"/>
        </w:rPr>
        <w:t>（四）债券借贷存续期内，履行本主协议义务的债券借贷任何一方发生虽不导致违约但可能影响其主体资格实质变化的事件或主体资格已经实质变化，或将本主协议下的义务拟转由他方履行等；</w:t>
      </w:r>
    </w:p>
    <w:p w14:paraId="0C8DE3ED">
      <w:pPr>
        <w:spacing w:line="560" w:lineRule="exact"/>
        <w:ind w:firstLine="600" w:firstLineChars="200"/>
        <w:rPr>
          <w:rFonts w:ascii="仿宋_GB2312" w:hAnsi="宋体" w:eastAsia="仿宋_GB2312" w:cs="宋体"/>
          <w:kern w:val="0"/>
          <w:sz w:val="30"/>
          <w:szCs w:val="30"/>
        </w:rPr>
      </w:pPr>
      <w:r>
        <w:rPr>
          <w:rFonts w:hint="eastAsia" w:ascii="仿宋_GB2312" w:hAnsi="宋体" w:eastAsia="仿宋_GB2312" w:cs="宋体"/>
          <w:kern w:val="0"/>
          <w:sz w:val="30"/>
          <w:szCs w:val="30"/>
        </w:rPr>
        <w:t>（五）借贷双方认定的其他异常情况。</w:t>
      </w:r>
    </w:p>
    <w:p w14:paraId="18A31875">
      <w:pPr>
        <w:spacing w:line="560" w:lineRule="exact"/>
        <w:ind w:firstLine="600" w:firstLineChars="200"/>
        <w:rPr>
          <w:rFonts w:ascii="仿宋_GB2312" w:hAnsi="宋体" w:eastAsia="仿宋_GB2312" w:cs="宋体"/>
          <w:kern w:val="0"/>
          <w:sz w:val="30"/>
          <w:szCs w:val="30"/>
        </w:rPr>
      </w:pPr>
      <w:r>
        <w:rPr>
          <w:rFonts w:hint="eastAsia" w:ascii="仿宋_GB2312" w:hAnsi="宋体" w:eastAsia="仿宋_GB2312" w:cs="宋体"/>
          <w:kern w:val="0"/>
          <w:sz w:val="30"/>
          <w:szCs w:val="30"/>
        </w:rPr>
        <w:t>发生异常情况的，债券借贷一方应当在异常情况可能发生、已经发生或获知异常情况可能发生、已经发生后及时通知对方</w:t>
      </w:r>
      <w:bookmarkStart w:id="3906" w:name="OLE_LINK16"/>
      <w:bookmarkStart w:id="3907" w:name="OLE_LINK19"/>
      <w:r>
        <w:rPr>
          <w:rFonts w:hint="eastAsia" w:ascii="仿宋_GB2312" w:hAnsi="宋体" w:eastAsia="仿宋_GB2312" w:cs="宋体"/>
          <w:kern w:val="0"/>
          <w:sz w:val="30"/>
          <w:szCs w:val="30"/>
        </w:rPr>
        <w:t>，并及时协商解决</w:t>
      </w:r>
      <w:bookmarkEnd w:id="3906"/>
      <w:bookmarkEnd w:id="3907"/>
      <w:r>
        <w:rPr>
          <w:rFonts w:hint="eastAsia" w:ascii="仿宋_GB2312" w:hAnsi="宋体" w:eastAsia="仿宋_GB2312" w:cs="宋体"/>
          <w:kern w:val="0"/>
          <w:sz w:val="30"/>
          <w:szCs w:val="30"/>
        </w:rPr>
        <w:t>。借贷双方可以在协商一致后，采取继续履约、提前终止、变更质押券或双方协商的其他方式进行处理。借贷双方对异常情况处理另有约定的，从其约定。</w:t>
      </w:r>
    </w:p>
    <w:p w14:paraId="09BDD5BE">
      <w:pPr>
        <w:pStyle w:val="92"/>
        <w:widowControl w:val="0"/>
        <w:numPr>
          <w:ilvl w:val="0"/>
          <w:numId w:val="27"/>
        </w:numPr>
        <w:spacing w:line="560" w:lineRule="exact"/>
        <w:ind w:left="0" w:firstLine="600" w:firstLineChars="200"/>
        <w:contextualSpacing w:val="0"/>
        <w:jc w:val="both"/>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下列事件构成债券借贷一方在本主协议下的违约事件：</w:t>
      </w:r>
    </w:p>
    <w:p w14:paraId="0CA3850D">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一）在一笔债券借贷项下，债券借贷一方或其委托的主体未履行支付或交付义务，或未按照相关约定的要求发出或接受有关申报及结算指令。涉及到的支付或交付义务及相关申报及结算指令包括但不限于以下情形：</w:t>
      </w:r>
    </w:p>
    <w:p w14:paraId="1EB1B038">
      <w:pPr>
        <w:spacing w:line="560" w:lineRule="exact"/>
        <w:ind w:firstLine="600" w:firstLineChars="200"/>
        <w:rPr>
          <w:rFonts w:ascii="仿宋_GB2312" w:hAnsi="宋体" w:eastAsia="仿宋_GB2312" w:cs="宋体"/>
          <w:sz w:val="30"/>
          <w:szCs w:val="30"/>
        </w:rPr>
      </w:pPr>
      <w:r>
        <w:rPr>
          <w:rFonts w:ascii="仿宋_GB2312" w:hAnsi="宋体" w:eastAsia="仿宋_GB2312" w:cs="宋体"/>
          <w:kern w:val="0"/>
          <w:sz w:val="30"/>
          <w:szCs w:val="30"/>
        </w:rPr>
        <w:t>1.首期结算日，债券借出方未按合同约定提供足额标的债券用于结算，债券借出方违约；债券借入方未按合同约定提供足额质押券用于结算，债券借入方违约。</w:t>
      </w:r>
    </w:p>
    <w:p w14:paraId="6FCB09A5">
      <w:pPr>
        <w:spacing w:line="560" w:lineRule="exact"/>
        <w:ind w:firstLine="600" w:firstLineChars="200"/>
        <w:rPr>
          <w:rFonts w:ascii="仿宋_GB2312" w:hAnsi="宋体" w:eastAsia="仿宋_GB2312" w:cs="宋体"/>
          <w:sz w:val="30"/>
          <w:szCs w:val="30"/>
        </w:rPr>
      </w:pPr>
      <w:r>
        <w:rPr>
          <w:rFonts w:ascii="仿宋_GB2312" w:hAnsi="宋体" w:eastAsia="仿宋_GB2312" w:cs="宋体"/>
          <w:kern w:val="0"/>
          <w:sz w:val="30"/>
          <w:szCs w:val="30"/>
        </w:rPr>
        <w:t>2.到期结算日，债券借入方未按合同约定进行到期申报，或没有足额标的债券用于结算，或没有足额资金用于结算借贷费用、现金结算、部分现金结算，债券借入方违约。</w:t>
      </w:r>
    </w:p>
    <w:p w14:paraId="21606B75">
      <w:pPr>
        <w:spacing w:line="560" w:lineRule="exact"/>
        <w:ind w:firstLine="600" w:firstLineChars="200"/>
        <w:rPr>
          <w:rFonts w:ascii="仿宋_GB2312" w:hAnsi="宋体" w:eastAsia="仿宋_GB2312" w:cs="宋体"/>
          <w:sz w:val="30"/>
          <w:szCs w:val="30"/>
        </w:rPr>
      </w:pPr>
      <w:r>
        <w:rPr>
          <w:rFonts w:ascii="仿宋_GB2312" w:hAnsi="宋体" w:eastAsia="仿宋_GB2312" w:cs="宋体"/>
          <w:kern w:val="0"/>
          <w:sz w:val="30"/>
          <w:szCs w:val="30"/>
        </w:rPr>
        <w:t>3.债券借贷存续期内，质押券发生违约、债券本息兑付面临重要风险或其他事件致使质押券价值明显减少，足以危害债券借出方权利的，债券借入方未按照债券借出方要求及时置换或补充质押券，债券借入方违约。</w:t>
      </w:r>
    </w:p>
    <w:p w14:paraId="1CB72D70">
      <w:pPr>
        <w:spacing w:line="560" w:lineRule="exact"/>
        <w:ind w:firstLine="600" w:firstLineChars="200"/>
        <w:rPr>
          <w:rFonts w:ascii="仿宋_GB2312" w:hAnsi="宋体" w:eastAsia="仿宋_GB2312" w:cs="宋体"/>
          <w:sz w:val="30"/>
          <w:szCs w:val="30"/>
        </w:rPr>
      </w:pPr>
      <w:r>
        <w:rPr>
          <w:rFonts w:ascii="仿宋_GB2312" w:hAnsi="宋体" w:eastAsia="仿宋_GB2312" w:cs="宋体"/>
          <w:kern w:val="0"/>
          <w:sz w:val="30"/>
          <w:szCs w:val="30"/>
        </w:rPr>
        <w:t>4.债券借贷存续期内，标的债券发生付息、分期偿还、分期摊还的，债券借入方未及时向债券借出方返还相应资金，债券借入方违约。</w:t>
      </w:r>
    </w:p>
    <w:p w14:paraId="226C043B">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5.债券借贷存续期内，标的债券发生违约、债券本息兑付面临重要风险或其他事件致使标的债券价值明显减少，债券借出方不同意解除部分质押债券质押、变更质押债券或提前终止，债券借出方违约。</w:t>
      </w:r>
    </w:p>
    <w:p w14:paraId="41D75F56">
      <w:pPr>
        <w:spacing w:line="560" w:lineRule="exact"/>
        <w:ind w:firstLine="600" w:firstLineChars="200"/>
        <w:rPr>
          <w:rFonts w:ascii="仿宋_GB2312" w:hAnsi="宋体" w:eastAsia="仿宋_GB2312" w:cs="宋体"/>
          <w:sz w:val="30"/>
          <w:szCs w:val="30"/>
        </w:rPr>
      </w:pPr>
      <w:r>
        <w:rPr>
          <w:rFonts w:ascii="仿宋_GB2312" w:hAnsi="宋体" w:eastAsia="仿宋_GB2312" w:cs="宋体"/>
          <w:kern w:val="0"/>
          <w:sz w:val="30"/>
          <w:szCs w:val="30"/>
        </w:rPr>
        <w:t>6.对于提前终止申报，债券借入方未按合同约定进行提前终止申报，或没有足额标的债券用于归还债券借出方，或没有足额资金用于结算借贷费用、现金结算、部分现金结算，债券借入方违约。</w:t>
      </w:r>
    </w:p>
    <w:p w14:paraId="59F2611B">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（二）债券借贷一方对本主协议的有效性予以否认，或对本主协议下的全部或部分义务明示将拒绝履行。</w:t>
      </w:r>
    </w:p>
    <w:p w14:paraId="6E9E20E1">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（三）债券借贷一方在本主协议下做出的某项声明与保证被证实存在实质性的不实陈述、误导或重大遗漏。</w:t>
      </w:r>
    </w:p>
    <w:p w14:paraId="0EFADDB4">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四）在债券借贷一方发生分立后仍然存续，或与另一实体联合、合并或重组，或把其实质性资产转移到另一实体的情况下，该最终存续、承继或受让的实体未能履行或明示将不履行前述债券借贷一方在本主协议下的义务。</w:t>
      </w:r>
    </w:p>
    <w:p w14:paraId="1C7F6A9A">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（五）债券借贷一方发生下列任一情形的，构成该借贷方对对方的违约事件：</w:t>
      </w:r>
    </w:p>
    <w:p w14:paraId="4D5CDD17">
      <w:pPr>
        <w:spacing w:line="560" w:lineRule="exact"/>
        <w:ind w:firstLine="600" w:firstLineChars="200"/>
        <w:rPr>
          <w:rFonts w:ascii="仿宋_GB2312" w:hAnsi="宋体" w:eastAsia="仿宋_GB2312" w:cs="宋体"/>
          <w:sz w:val="30"/>
          <w:szCs w:val="30"/>
        </w:rPr>
      </w:pPr>
      <w:r>
        <w:rPr>
          <w:rFonts w:ascii="仿宋_GB2312" w:hAnsi="宋体" w:eastAsia="仿宋_GB2312" w:cs="宋体"/>
          <w:kern w:val="0"/>
          <w:sz w:val="30"/>
          <w:szCs w:val="30"/>
        </w:rPr>
        <w:t>1.解散且解散前未履行本主协议下的义务或未与对方协商一致对履行本协议下的义务作出合理安排（出于联合、合并或重组目的而发生的解散且承继方承诺履行本主协议下的义务除外）；</w:t>
      </w:r>
    </w:p>
    <w:p w14:paraId="68FE79CF">
      <w:pPr>
        <w:spacing w:line="560" w:lineRule="exact"/>
        <w:ind w:firstLine="600" w:firstLineChars="200"/>
        <w:rPr>
          <w:rFonts w:ascii="仿宋_GB2312" w:hAnsi="宋体" w:eastAsia="仿宋_GB2312" w:cs="宋体"/>
          <w:sz w:val="30"/>
          <w:szCs w:val="30"/>
        </w:rPr>
      </w:pPr>
      <w:r>
        <w:rPr>
          <w:rFonts w:ascii="仿宋_GB2312" w:hAnsi="宋体" w:eastAsia="仿宋_GB2312" w:cs="宋体"/>
          <w:kern w:val="0"/>
          <w:sz w:val="30"/>
          <w:szCs w:val="30"/>
        </w:rPr>
        <w:t>2.不能清偿非本主协议下到期债务，并且资产不足以清偿全部债务或明显缺乏清偿能力；</w:t>
      </w:r>
    </w:p>
    <w:p w14:paraId="166C9CEC">
      <w:pPr>
        <w:spacing w:line="560" w:lineRule="exact"/>
        <w:ind w:firstLine="600" w:firstLineChars="200"/>
        <w:rPr>
          <w:rFonts w:ascii="仿宋_GB2312" w:hAnsi="宋体" w:eastAsia="仿宋_GB2312" w:cs="宋体"/>
          <w:sz w:val="30"/>
          <w:szCs w:val="30"/>
        </w:rPr>
      </w:pPr>
      <w:r>
        <w:rPr>
          <w:rFonts w:ascii="仿宋_GB2312" w:hAnsi="宋体" w:eastAsia="仿宋_GB2312" w:cs="宋体"/>
          <w:kern w:val="0"/>
          <w:sz w:val="30"/>
          <w:szCs w:val="30"/>
        </w:rPr>
        <w:t>3.书面承认无力偿还到期各项债务；</w:t>
      </w:r>
    </w:p>
    <w:p w14:paraId="44948EA2">
      <w:pPr>
        <w:spacing w:line="560" w:lineRule="exact"/>
        <w:ind w:firstLine="600" w:firstLineChars="200"/>
        <w:rPr>
          <w:rFonts w:ascii="仿宋_GB2312" w:hAnsi="宋体" w:eastAsia="仿宋_GB2312" w:cs="宋体"/>
          <w:sz w:val="30"/>
          <w:szCs w:val="30"/>
        </w:rPr>
      </w:pPr>
      <w:r>
        <w:rPr>
          <w:rFonts w:ascii="仿宋_GB2312" w:hAnsi="宋体" w:eastAsia="仿宋_GB2312" w:cs="宋体"/>
          <w:kern w:val="0"/>
          <w:sz w:val="30"/>
          <w:szCs w:val="30"/>
        </w:rPr>
        <w:t>4.为非本主协议下的债权人利益就其全部或实质性资产达成转让协议或清偿安排，或就其非本主协议下的全部或大部分债务的清偿事宜与债权人做出安排或达成和解协议；</w:t>
      </w:r>
    </w:p>
    <w:p w14:paraId="6B603242">
      <w:pPr>
        <w:spacing w:line="560" w:lineRule="exact"/>
        <w:ind w:firstLine="600" w:firstLineChars="200"/>
        <w:rPr>
          <w:rFonts w:ascii="仿宋_GB2312" w:hAnsi="宋体" w:eastAsia="仿宋_GB2312" w:cs="宋体"/>
          <w:sz w:val="30"/>
          <w:szCs w:val="30"/>
        </w:rPr>
      </w:pPr>
      <w:r>
        <w:rPr>
          <w:rFonts w:ascii="仿宋_GB2312" w:hAnsi="宋体" w:eastAsia="仿宋_GB2312" w:cs="宋体"/>
          <w:kern w:val="0"/>
          <w:sz w:val="30"/>
          <w:szCs w:val="30"/>
        </w:rPr>
        <w:t>5.自身或其监管部门启动针对其的接管、破产、清算等行政或司法程序；或其债权人启动针对其的接管、破产、清算等行政或司法程序，导致其被依法宣告破产、停业、清算或被接管，或上述程序在启动后30个自然日内未被驳回、撤销、中止或禁止的；</w:t>
      </w:r>
    </w:p>
    <w:p w14:paraId="09B2F3F3">
      <w:pPr>
        <w:spacing w:line="560" w:lineRule="exact"/>
        <w:ind w:firstLine="600" w:firstLineChars="200"/>
        <w:rPr>
          <w:rFonts w:ascii="仿宋_GB2312" w:hAnsi="宋体" w:eastAsia="仿宋_GB2312" w:cs="宋体"/>
          <w:sz w:val="30"/>
          <w:szCs w:val="30"/>
        </w:rPr>
      </w:pPr>
      <w:r>
        <w:rPr>
          <w:rFonts w:ascii="仿宋_GB2312" w:hAnsi="宋体" w:eastAsia="仿宋_GB2312" w:cs="宋体"/>
          <w:kern w:val="0"/>
          <w:sz w:val="30"/>
          <w:szCs w:val="30"/>
        </w:rPr>
        <w:t>6.通过其停业、清算或申请破产的决议且在此之前未履行本主协议下的义务或未与对方协商一致对履行本协议下的义务作出合理安排；</w:t>
      </w:r>
    </w:p>
    <w:p w14:paraId="6F9D8ADD">
      <w:pPr>
        <w:spacing w:line="560" w:lineRule="exact"/>
        <w:ind w:firstLine="600" w:firstLineChars="200"/>
        <w:rPr>
          <w:rFonts w:ascii="仿宋_GB2312" w:hAnsi="宋体" w:eastAsia="仿宋_GB2312" w:cs="宋体"/>
          <w:sz w:val="30"/>
          <w:szCs w:val="30"/>
        </w:rPr>
      </w:pPr>
      <w:r>
        <w:rPr>
          <w:rFonts w:ascii="仿宋_GB2312" w:hAnsi="宋体" w:eastAsia="仿宋_GB2312" w:cs="宋体"/>
          <w:kern w:val="0"/>
          <w:sz w:val="30"/>
          <w:szCs w:val="30"/>
        </w:rPr>
        <w:t>7.就自身或自身的全部或大部分资产寻求任命临时清算人、托管人、受托人、接管人或其他类似人员或被任命了任何前述人员；</w:t>
      </w:r>
    </w:p>
    <w:p w14:paraId="040310C2">
      <w:pPr>
        <w:spacing w:line="560" w:lineRule="exact"/>
        <w:ind w:firstLine="600" w:firstLineChars="200"/>
        <w:rPr>
          <w:rFonts w:ascii="仿宋_GB2312" w:hAnsi="宋体" w:eastAsia="仿宋_GB2312" w:cs="宋体"/>
          <w:sz w:val="30"/>
          <w:szCs w:val="30"/>
        </w:rPr>
      </w:pPr>
      <w:r>
        <w:rPr>
          <w:rFonts w:ascii="仿宋_GB2312" w:hAnsi="宋体" w:eastAsia="仿宋_GB2312" w:cs="宋体"/>
          <w:kern w:val="0"/>
          <w:sz w:val="30"/>
          <w:szCs w:val="30"/>
        </w:rPr>
        <w:t>8.非本主协议下债权人作为担保物权人采取行动取得了其全部或大部分资产，或使其全部或实质部分资产被查封、扣押、冻结、或强制执行，且上述情形在30个自然日内未被相关有权机关撤销或中止；</w:t>
      </w:r>
    </w:p>
    <w:p w14:paraId="1407470C">
      <w:pPr>
        <w:spacing w:line="560" w:lineRule="exact"/>
        <w:ind w:firstLine="600" w:firstLineChars="200"/>
        <w:rPr>
          <w:rFonts w:ascii="仿宋_GB2312" w:hAnsi="宋体" w:eastAsia="仿宋_GB2312" w:cs="宋体"/>
          <w:sz w:val="30"/>
          <w:szCs w:val="30"/>
        </w:rPr>
      </w:pPr>
      <w:r>
        <w:rPr>
          <w:rFonts w:ascii="仿宋_GB2312" w:hAnsi="宋体" w:eastAsia="仿宋_GB2312" w:cs="宋体"/>
          <w:kern w:val="0"/>
          <w:sz w:val="30"/>
          <w:szCs w:val="30"/>
        </w:rPr>
        <w:t>9.参与债券借贷的理财产品被提前终止、清盘或发生类似事件，且发生该类事件前未履行本主协议下的义务或未与对方协商一致对履行本协议下的义务作出合理安排；</w:t>
      </w:r>
    </w:p>
    <w:p w14:paraId="67349F56">
      <w:pPr>
        <w:spacing w:line="560" w:lineRule="exact"/>
        <w:ind w:firstLine="600" w:firstLineChars="200"/>
        <w:rPr>
          <w:rFonts w:ascii="仿宋_GB2312" w:hAnsi="宋体" w:eastAsia="仿宋_GB2312" w:cs="宋体"/>
          <w:sz w:val="30"/>
          <w:szCs w:val="30"/>
        </w:rPr>
      </w:pPr>
      <w:r>
        <w:rPr>
          <w:rFonts w:ascii="仿宋_GB2312" w:hAnsi="宋体" w:eastAsia="仿宋_GB2312" w:cs="宋体"/>
          <w:kern w:val="0"/>
          <w:sz w:val="30"/>
          <w:szCs w:val="30"/>
        </w:rPr>
        <w:t>10.其他任何与本项第1项至第9项有类似效果，导致债券借贷一方无法继续履约的事件。</w:t>
      </w:r>
    </w:p>
    <w:p w14:paraId="1F4ABD7D">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借贷双方对违约事件另有约定的，从其约定。</w:t>
      </w:r>
    </w:p>
    <w:p w14:paraId="23226020">
      <w:pPr>
        <w:pStyle w:val="92"/>
        <w:widowControl w:val="0"/>
        <w:numPr>
          <w:ilvl w:val="0"/>
          <w:numId w:val="27"/>
        </w:numPr>
        <w:spacing w:line="560" w:lineRule="exact"/>
        <w:ind w:left="0" w:firstLine="600" w:firstLineChars="200"/>
        <w:contextualSpacing w:val="0"/>
        <w:jc w:val="both"/>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借贷双方中任何一方发生违约事件，应当及时通知对方，并可以采取下列方式处理：</w:t>
      </w:r>
    </w:p>
    <w:p w14:paraId="02B47F95">
      <w:pPr>
        <w:spacing w:line="560" w:lineRule="exact"/>
        <w:ind w:firstLine="600" w:firstLineChars="200"/>
        <w:rPr>
          <w:rFonts w:ascii="仿宋_GB2312" w:hAnsi="宋体" w:eastAsia="仿宋_GB2312" w:cs="宋体"/>
          <w:kern w:val="0"/>
          <w:sz w:val="30"/>
          <w:szCs w:val="30"/>
        </w:rPr>
      </w:pPr>
      <w:r>
        <w:rPr>
          <w:rFonts w:hint="eastAsia" w:ascii="仿宋_GB2312" w:hAnsi="宋体" w:eastAsia="仿宋_GB2312" w:cs="宋体"/>
          <w:kern w:val="0"/>
          <w:sz w:val="30"/>
          <w:szCs w:val="30"/>
        </w:rPr>
        <w:t>（一）守约方可以要求违约方继续履行债券借贷协议、单方面终止债券借贷协议、按照债券借贷协议约定向违约方收取违约金；</w:t>
      </w:r>
    </w:p>
    <w:p w14:paraId="616BC20D">
      <w:pPr>
        <w:spacing w:line="560" w:lineRule="exact"/>
        <w:ind w:firstLine="600" w:firstLineChars="200"/>
        <w:rPr>
          <w:rFonts w:ascii="仿宋_GB2312" w:hAnsi="宋体" w:eastAsia="仿宋_GB2312" w:cs="宋体"/>
          <w:kern w:val="0"/>
          <w:sz w:val="30"/>
          <w:szCs w:val="30"/>
        </w:rPr>
      </w:pPr>
      <w:r>
        <w:rPr>
          <w:rFonts w:hint="eastAsia" w:ascii="仿宋_GB2312" w:hAnsi="宋体" w:eastAsia="仿宋_GB2312" w:cs="宋体"/>
          <w:kern w:val="0"/>
          <w:sz w:val="30"/>
          <w:szCs w:val="30"/>
        </w:rPr>
        <w:t>（二）债券借入方违约的，债券借出方可以按照债券借贷协议的约定处置质押券；</w:t>
      </w:r>
    </w:p>
    <w:p w14:paraId="76D6F67B">
      <w:pPr>
        <w:spacing w:line="560" w:lineRule="exact"/>
        <w:ind w:firstLine="600" w:firstLineChars="200"/>
        <w:rPr>
          <w:rFonts w:ascii="仿宋_GB2312" w:hAnsi="宋体" w:eastAsia="仿宋_GB2312" w:cs="宋体"/>
          <w:kern w:val="0"/>
          <w:sz w:val="30"/>
          <w:szCs w:val="30"/>
        </w:rPr>
      </w:pPr>
      <w:r>
        <w:rPr>
          <w:rFonts w:hint="eastAsia" w:ascii="仿宋_GB2312" w:hAnsi="宋体" w:eastAsia="仿宋_GB2312" w:cs="宋体"/>
          <w:kern w:val="0"/>
          <w:sz w:val="30"/>
          <w:szCs w:val="30"/>
        </w:rPr>
        <w:t>（三）可以按照相关法律法规等规定提交上海国际经济贸易仲裁委员会仲裁或向人民法院提起诉讼。</w:t>
      </w:r>
    </w:p>
    <w:p w14:paraId="4A7BB068">
      <w:pPr>
        <w:spacing w:line="560" w:lineRule="exact"/>
        <w:ind w:firstLine="600" w:firstLineChars="200"/>
        <w:rPr>
          <w:rFonts w:ascii="仿宋_GB2312" w:hAnsi="宋体" w:eastAsia="仿宋_GB2312" w:cs="宋体"/>
          <w:kern w:val="0"/>
          <w:sz w:val="30"/>
          <w:szCs w:val="30"/>
        </w:rPr>
      </w:pPr>
      <w:r>
        <w:rPr>
          <w:rFonts w:hint="eastAsia" w:ascii="仿宋_GB2312" w:hAnsi="宋体" w:eastAsia="仿宋_GB2312" w:cs="宋体"/>
          <w:kern w:val="0"/>
          <w:sz w:val="30"/>
          <w:szCs w:val="30"/>
        </w:rPr>
        <w:t>借贷双方对违约处置方式等协商一致并另有约定的，从其约定。</w:t>
      </w:r>
    </w:p>
    <w:p w14:paraId="756E8800">
      <w:pPr>
        <w:pStyle w:val="92"/>
        <w:widowControl w:val="0"/>
        <w:numPr>
          <w:ilvl w:val="0"/>
          <w:numId w:val="27"/>
        </w:numPr>
        <w:spacing w:line="560" w:lineRule="exact"/>
        <w:ind w:left="0" w:firstLine="600" w:firstLineChars="200"/>
        <w:contextualSpacing w:val="0"/>
        <w:jc w:val="both"/>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借贷双方可以在补充协议、申报补充约定中对违约金的金额、计算方式等自行约定。双方已约定违约金相关事项的，按照约定执行；未约定违约金相关事项的，守约方可以按照以下条款向违约方收取违约金：</w:t>
      </w:r>
    </w:p>
    <w:p w14:paraId="36572CA6">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sz w:val="30"/>
          <w:szCs w:val="30"/>
        </w:rPr>
        <w:t>（一）对于债券借贷结算，借贷一方</w:t>
      </w:r>
      <w:bookmarkStart w:id="3908" w:name="OLE_LINK67"/>
      <w:bookmarkStart w:id="3909" w:name="OLE_LINK68"/>
      <w:r>
        <w:rPr>
          <w:rFonts w:hint="eastAsia" w:ascii="仿宋_GB2312" w:hAnsi="宋体" w:eastAsia="仿宋_GB2312" w:cs="宋体"/>
          <w:sz w:val="30"/>
          <w:szCs w:val="30"/>
        </w:rPr>
        <w:t>违约的</w:t>
      </w:r>
      <w:bookmarkEnd w:id="3908"/>
      <w:bookmarkEnd w:id="3909"/>
      <w:r>
        <w:rPr>
          <w:rFonts w:hint="eastAsia" w:ascii="仿宋_GB2312" w:hAnsi="宋体" w:eastAsia="仿宋_GB2312" w:cs="宋体"/>
          <w:sz w:val="30"/>
          <w:szCs w:val="30"/>
        </w:rPr>
        <w:t>，违约方自债券借贷违约日起（含）3个交易日内，按照罚息利率以标的债券总面额为基数向对方支付一天罚息。双方均存在违约行为的，可以互不承担违约责任。</w:t>
      </w:r>
    </w:p>
    <w:p w14:paraId="528ED1EA">
      <w:pPr>
        <w:spacing w:line="540" w:lineRule="exact"/>
        <w:ind w:firstLine="600" w:firstLineChars="200"/>
        <w:rPr>
          <w:rFonts w:ascii="仿宋_GB2312" w:hAnsi="宋体" w:eastAsia="仿宋_GB2312" w:cs="宋体"/>
          <w:sz w:val="30"/>
          <w:szCs w:val="30"/>
        </w:rPr>
      </w:pPr>
      <w:r>
        <w:rPr>
          <w:rFonts w:hint="eastAsia" w:ascii="仿宋_GB2312" w:hAnsi="宋体" w:eastAsia="仿宋_GB2312" w:cs="宋体"/>
          <w:sz w:val="30"/>
          <w:szCs w:val="30"/>
        </w:rPr>
        <w:t>（二）对于到期结算，</w:t>
      </w:r>
      <w:bookmarkStart w:id="3910" w:name="OLE_LINK69"/>
      <w:r>
        <w:rPr>
          <w:rFonts w:hint="eastAsia" w:ascii="仿宋_GB2312" w:hAnsi="宋体" w:eastAsia="仿宋_GB2312" w:cs="宋体"/>
          <w:sz w:val="30"/>
          <w:szCs w:val="30"/>
        </w:rPr>
        <w:t>债券借入方违约的</w:t>
      </w:r>
      <w:bookmarkEnd w:id="3910"/>
      <w:r>
        <w:rPr>
          <w:rFonts w:hint="eastAsia" w:ascii="仿宋_GB2312" w:hAnsi="宋体" w:eastAsia="仿宋_GB2312" w:cs="宋体"/>
          <w:sz w:val="30"/>
          <w:szCs w:val="30"/>
        </w:rPr>
        <w:t>，债券借入方按照借贷费用延迟支付天数，除按照借贷费率以标的债券总面额为基数向债券借出方支付借贷费用外，还需按照罚息利率以标的债券总面额为基数向债券借出方支付罚息。</w:t>
      </w:r>
    </w:p>
    <w:p w14:paraId="7BFC1191">
      <w:pPr>
        <w:spacing w:line="540" w:lineRule="exact"/>
        <w:ind w:firstLine="600" w:firstLineChars="200"/>
        <w:rPr>
          <w:rFonts w:ascii="仿宋_GB2312" w:hAnsi="宋体" w:eastAsia="仿宋_GB2312" w:cs="宋体"/>
          <w:sz w:val="30"/>
          <w:szCs w:val="30"/>
        </w:rPr>
      </w:pPr>
      <w:r>
        <w:rPr>
          <w:rFonts w:hint="eastAsia" w:ascii="仿宋_GB2312" w:hAnsi="宋体" w:eastAsia="仿宋_GB2312" w:cs="宋体"/>
          <w:sz w:val="30"/>
          <w:szCs w:val="30"/>
        </w:rPr>
        <w:t>（三）对于提前终止申报，债券借入方违约的，债券借入方按照借贷费用延迟支付天数，除按照提前终止时约定的借贷费率以债券借贷标的债券总面额为基数向债券借出方支付借贷费用外，还需按照罚息利率以债券借贷标的债券总面额为基数向债券借出方支付罚息。</w:t>
      </w:r>
    </w:p>
    <w:p w14:paraId="24111533">
      <w:pPr>
        <w:pStyle w:val="92"/>
        <w:widowControl w:val="0"/>
        <w:numPr>
          <w:ilvl w:val="0"/>
          <w:numId w:val="27"/>
        </w:numPr>
        <w:spacing w:line="540" w:lineRule="exact"/>
        <w:ind w:left="0" w:firstLine="600" w:firstLineChars="200"/>
        <w:contextualSpacing w:val="0"/>
        <w:jc w:val="both"/>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罚息按借贷双方在补充协议、申报补充约定中约定的罚息利率计算。若借贷双方未在补充协议、申报补充约定中约定罚息利率，则罚息利率按日利率万分之二计算。</w:t>
      </w:r>
    </w:p>
    <w:p w14:paraId="2E1FE44A">
      <w:pPr>
        <w:pStyle w:val="92"/>
        <w:widowControl w:val="0"/>
        <w:numPr>
          <w:ilvl w:val="0"/>
          <w:numId w:val="27"/>
        </w:numPr>
        <w:spacing w:line="540" w:lineRule="exact"/>
        <w:ind w:left="0" w:firstLine="600" w:firstLineChars="200"/>
        <w:contextualSpacing w:val="0"/>
        <w:jc w:val="both"/>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在前述任何违约情况下，如果由于守约方或违约方单方原因迟延解除相关债券的质押登记或返还标的债券，并且前述债券在到期结算日（如遇非交易日，则顺延至下一交易日）的市场公允价值减去其在实际解除质押登记或返还之日的市场公允价值的差额超出违约金，则违约方应当就前述超出部分予以全部补偿。此处市场公允价值是指中证指数有限公司或中央国债登记结算有限责任公司发布的债券估值（以下简称中证估值或中债估值），下同。</w:t>
      </w:r>
    </w:p>
    <w:p w14:paraId="274A5275">
      <w:pPr>
        <w:pStyle w:val="92"/>
        <w:widowControl w:val="0"/>
        <w:numPr>
          <w:ilvl w:val="0"/>
          <w:numId w:val="27"/>
        </w:numPr>
        <w:spacing w:line="540" w:lineRule="exact"/>
        <w:ind w:left="0" w:firstLine="600" w:firstLineChars="200"/>
        <w:contextualSpacing w:val="0"/>
        <w:jc w:val="both"/>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出现下列情形时，债券借出方有权直接对债券借贷项下的质押券进行处置。</w:t>
      </w:r>
    </w:p>
    <w:p w14:paraId="169AE3F5">
      <w:pPr>
        <w:spacing w:line="540" w:lineRule="exact"/>
        <w:ind w:firstLine="600" w:firstLineChars="200"/>
        <w:rPr>
          <w:rFonts w:ascii="仿宋_GB2312" w:hAnsi="宋体" w:eastAsia="仿宋_GB2312" w:cs="宋体"/>
          <w:sz w:val="30"/>
          <w:szCs w:val="30"/>
        </w:rPr>
      </w:pPr>
      <w:r>
        <w:rPr>
          <w:rFonts w:hint="eastAsia" w:ascii="仿宋_GB2312" w:hAnsi="宋体" w:eastAsia="仿宋_GB2312" w:cs="宋体"/>
          <w:sz w:val="30"/>
          <w:szCs w:val="30"/>
        </w:rPr>
        <w:t>（一）发生本主协议第二十条约定情形；</w:t>
      </w:r>
    </w:p>
    <w:p w14:paraId="7E3BC25C">
      <w:pPr>
        <w:spacing w:line="540" w:lineRule="exact"/>
        <w:ind w:firstLine="600" w:firstLineChars="200"/>
        <w:rPr>
          <w:rFonts w:ascii="仿宋_GB2312" w:hAnsi="宋体" w:eastAsia="仿宋_GB2312" w:cs="宋体"/>
          <w:sz w:val="30"/>
          <w:szCs w:val="30"/>
        </w:rPr>
      </w:pPr>
      <w:r>
        <w:rPr>
          <w:rFonts w:hint="eastAsia" w:ascii="仿宋_GB2312" w:hAnsi="宋体" w:eastAsia="仿宋_GB2312" w:cs="宋体"/>
          <w:sz w:val="30"/>
          <w:szCs w:val="30"/>
        </w:rPr>
        <w:t>（二）债券借入方发生本主协议第二十四条第（一）项约定的违约事件。</w:t>
      </w:r>
    </w:p>
    <w:p w14:paraId="03ACFADC">
      <w:pPr>
        <w:spacing w:line="540" w:lineRule="exact"/>
        <w:ind w:firstLine="600" w:firstLineChars="200"/>
        <w:rPr>
          <w:rFonts w:ascii="仿宋_GB2312" w:hAnsi="宋体" w:eastAsia="仿宋_GB2312" w:cs="宋体"/>
          <w:sz w:val="30"/>
          <w:szCs w:val="30"/>
        </w:rPr>
      </w:pPr>
      <w:r>
        <w:rPr>
          <w:rFonts w:hint="eastAsia" w:ascii="仿宋_GB2312" w:hAnsi="宋体" w:eastAsia="仿宋_GB2312" w:cs="宋体"/>
          <w:sz w:val="30"/>
          <w:szCs w:val="30"/>
        </w:rPr>
        <w:t>债券借出方在发生上述情形时起30个自然日后，可以直接以拍卖、变卖质押券所得的价款清偿债务。借贷双方在发生上述情形时起30个自然日内协商一致并另行约定的，从其约定。</w:t>
      </w:r>
    </w:p>
    <w:p w14:paraId="4534E57A">
      <w:pPr>
        <w:pStyle w:val="92"/>
        <w:widowControl w:val="0"/>
        <w:numPr>
          <w:ilvl w:val="0"/>
          <w:numId w:val="27"/>
        </w:numPr>
        <w:spacing w:line="540" w:lineRule="exact"/>
        <w:ind w:left="0" w:firstLine="600" w:firstLineChars="200"/>
        <w:contextualSpacing w:val="0"/>
        <w:jc w:val="both"/>
        <w:rPr>
          <w:rFonts w:ascii="仿宋_GB2312" w:hAnsi="宋体" w:eastAsia="仿宋_GB2312" w:cs="宋体"/>
          <w:sz w:val="30"/>
          <w:szCs w:val="30"/>
        </w:rPr>
      </w:pPr>
      <w:r>
        <w:rPr>
          <w:rFonts w:hint="eastAsia" w:ascii="仿宋_GB2312" w:hAnsi="宋体" w:eastAsia="仿宋_GB2312" w:cs="宋体"/>
          <w:sz w:val="30"/>
          <w:szCs w:val="30"/>
          <w:lang w:eastAsia="zh-CN"/>
        </w:rPr>
        <w:t>债券借出方拍卖、变卖质押券的，参照质押券在上交所债券市场交易收盘价、中证估值或中债估值和市场需求，确定拍卖底价和变卖价格，通过上交所债券担保品处置平台或其他方式拍卖、变卖。</w:t>
      </w:r>
      <w:r>
        <w:rPr>
          <w:rFonts w:hint="eastAsia" w:ascii="仿宋_GB2312" w:hAnsi="宋体" w:eastAsia="仿宋_GB2312" w:cs="宋体"/>
          <w:sz w:val="30"/>
          <w:szCs w:val="30"/>
        </w:rPr>
        <w:t>处置所得价款以拍卖、变卖的成交金额为准。</w:t>
      </w:r>
    </w:p>
    <w:p w14:paraId="5180B814">
      <w:pPr>
        <w:pStyle w:val="92"/>
        <w:widowControl w:val="0"/>
        <w:numPr>
          <w:ilvl w:val="0"/>
          <w:numId w:val="27"/>
        </w:numPr>
        <w:spacing w:line="540" w:lineRule="exact"/>
        <w:ind w:left="0" w:firstLine="600" w:firstLineChars="200"/>
        <w:contextualSpacing w:val="0"/>
        <w:jc w:val="both"/>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债券借出方拍卖、变卖质押券后，被拍卖、变卖的质押券解除质押登记并办理过户，所有权转移至拍卖、变卖的受让人；多余的未被拍卖、变卖的质押券解除质押登记。拍卖、变卖质押券所得价款扣除拍卖、变卖费用后，用于清偿债券借出方应当收取的罚息、借贷费用和借贷到期债券偿还价值，清偿之后如有价款余额应当退还债券借入方。拍卖、变卖质押券所得价款扣除拍卖、变卖费用后不足以清偿债务的，不足部分债券借出方继续向债券借入方进行追索。追索费用由违约方承担，包括但不限于守约方采取诉讼、仲裁等方式向违约方追索时支付的诉讼（仲裁）费、律师费、差旅费、执行费、保全费及其他实现权利的必要费用。</w:t>
      </w:r>
    </w:p>
    <w:p w14:paraId="0047A7DA">
      <w:pPr>
        <w:spacing w:line="540" w:lineRule="exact"/>
        <w:ind w:firstLine="600" w:firstLineChars="200"/>
        <w:rPr>
          <w:rFonts w:ascii="仿宋_GB2312" w:hAnsi="宋体" w:eastAsia="仿宋_GB2312" w:cs="宋体"/>
          <w:sz w:val="30"/>
          <w:szCs w:val="30"/>
        </w:rPr>
      </w:pPr>
      <w:r>
        <w:rPr>
          <w:rFonts w:hint="eastAsia" w:ascii="仿宋_GB2312" w:hAnsi="宋体" w:eastAsia="仿宋_GB2312" w:cs="宋体"/>
          <w:sz w:val="30"/>
          <w:szCs w:val="30"/>
        </w:rPr>
        <w:t>标的债券的偿还价值，由借贷双方协商决定，在发生违约后30个自然日内协商不成的，债券借出方可以选择标的债券在到期结算日的市场公允价值作为偿还价值。若标的债券在到期结算日后的第30个自然日（如遇非交易日，则顺延至下一交易日）的市场公允价值减去在到期结算日（如遇非交易日，则顺延至下一交易日）的市场公允价值的差额超出违约金，则债券借入方应当就前述超出部分予以全部补偿。</w:t>
      </w:r>
    </w:p>
    <w:p w14:paraId="47B46588">
      <w:pPr>
        <w:spacing w:line="540" w:lineRule="exact"/>
        <w:ind w:firstLine="600" w:firstLineChars="200"/>
        <w:rPr>
          <w:rFonts w:ascii="仿宋_GB2312" w:hAnsi="宋体" w:eastAsia="仿宋_GB2312" w:cs="宋体"/>
          <w:sz w:val="30"/>
          <w:szCs w:val="30"/>
        </w:rPr>
      </w:pPr>
      <w:r>
        <w:rPr>
          <w:rFonts w:hint="eastAsia" w:ascii="仿宋_GB2312" w:hAnsi="宋体" w:eastAsia="仿宋_GB2312" w:cs="宋体"/>
          <w:sz w:val="30"/>
          <w:szCs w:val="30"/>
        </w:rPr>
        <w:t>借贷双方在申报中约定发生违约时借贷到期债券偿还价值的，在发生上述拍卖、变卖质押券时，按约定价值计算借贷到期债券偿还价值。</w:t>
      </w:r>
    </w:p>
    <w:p w14:paraId="754C8652">
      <w:pPr>
        <w:pStyle w:val="92"/>
        <w:widowControl w:val="0"/>
        <w:numPr>
          <w:ilvl w:val="0"/>
          <w:numId w:val="27"/>
        </w:numPr>
        <w:spacing w:line="540" w:lineRule="exact"/>
        <w:ind w:left="0" w:firstLine="600" w:firstLineChars="200"/>
        <w:contextualSpacing w:val="0"/>
        <w:jc w:val="both"/>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债券借出方拍卖、变卖质押券过程中，债券借入方提出参与质押券拍卖、变卖过程的，债券借出方应当允许。</w:t>
      </w:r>
    </w:p>
    <w:p w14:paraId="6C33DB41">
      <w:pPr>
        <w:spacing w:line="540" w:lineRule="exact"/>
        <w:ind w:firstLine="600" w:firstLineChars="200"/>
        <w:rPr>
          <w:rFonts w:ascii="仿宋_GB2312" w:hAnsi="宋体" w:eastAsia="仿宋_GB2312" w:cs="宋体"/>
          <w:sz w:val="30"/>
          <w:szCs w:val="30"/>
        </w:rPr>
      </w:pPr>
      <w:r>
        <w:rPr>
          <w:rFonts w:hint="eastAsia" w:ascii="仿宋_GB2312" w:hAnsi="宋体" w:eastAsia="仿宋_GB2312" w:cs="宋体"/>
          <w:sz w:val="30"/>
          <w:szCs w:val="30"/>
        </w:rPr>
        <w:t>债券借出方拍卖、变卖质押券后，应当将拍卖、变卖质押券价格，拍卖、变卖价款清偿的债务构成及金额，质押券解除质押登记和过户安排，应当退还债券借入方的价款，质押券拍卖、变卖后不足以清偿债务的金额及继续追索要求等拍卖、变卖过程，书面通知债券借入方。</w:t>
      </w:r>
    </w:p>
    <w:p w14:paraId="675CF7E2">
      <w:pPr>
        <w:spacing w:line="540" w:lineRule="exact"/>
        <w:ind w:firstLine="600" w:firstLineChars="200"/>
        <w:rPr>
          <w:rFonts w:ascii="仿宋_GB2312" w:hAnsi="宋体" w:eastAsia="仿宋_GB2312" w:cs="宋体"/>
          <w:sz w:val="30"/>
          <w:szCs w:val="30"/>
        </w:rPr>
      </w:pPr>
      <w:r>
        <w:rPr>
          <w:rFonts w:hint="eastAsia" w:ascii="仿宋_GB2312" w:hAnsi="宋体" w:eastAsia="仿宋_GB2312" w:cs="宋体"/>
          <w:sz w:val="30"/>
          <w:szCs w:val="30"/>
        </w:rPr>
        <w:t>债券借出方拍卖、变卖质押券后，应当将处置结果书面报告上交所，上交所对处置结果确认后发送中国结算，由中国结算办理标的债券过户、相关质押券解除质押登记、处置过户等手续。</w:t>
      </w:r>
    </w:p>
    <w:p w14:paraId="03B40471">
      <w:pPr>
        <w:pStyle w:val="92"/>
        <w:widowControl w:val="0"/>
        <w:numPr>
          <w:ilvl w:val="0"/>
          <w:numId w:val="27"/>
        </w:numPr>
        <w:spacing w:line="540" w:lineRule="exact"/>
        <w:ind w:left="0" w:firstLine="600" w:firstLineChars="200"/>
        <w:contextualSpacing w:val="0"/>
        <w:jc w:val="both"/>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发生国家节假日临时调整、不可抗力、意外事件、技术故障等突发性事件，导致证券市场临时停市或上交所交易系统、中国结算的结算系统无法正常运行的，借贷双方同意上交所、中国结算根据相关事件的处置方案，对涉及本方的债券借贷业务的申报、结算进行取消、延后等处理，由此所造成的损失，上交所和中国结算不承担法律责任。</w:t>
      </w:r>
    </w:p>
    <w:p w14:paraId="0D00A0B9">
      <w:pPr>
        <w:pStyle w:val="92"/>
        <w:widowControl w:val="0"/>
        <w:numPr>
          <w:ilvl w:val="0"/>
          <w:numId w:val="27"/>
        </w:numPr>
        <w:spacing w:line="540" w:lineRule="exact"/>
        <w:ind w:left="0" w:firstLine="600" w:firstLineChars="200"/>
        <w:contextualSpacing w:val="0"/>
        <w:jc w:val="both"/>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借贷双方同意，债券借贷适用中华人民共和国法律及相关规定，本主协议根据中华人民共和国法律解释。</w:t>
      </w:r>
    </w:p>
    <w:p w14:paraId="6E07DA66">
      <w:pPr>
        <w:pStyle w:val="92"/>
        <w:widowControl w:val="0"/>
        <w:numPr>
          <w:ilvl w:val="0"/>
          <w:numId w:val="27"/>
        </w:numPr>
        <w:spacing w:line="540" w:lineRule="exact"/>
        <w:ind w:left="0" w:firstLine="600" w:firstLineChars="200"/>
        <w:contextualSpacing w:val="0"/>
        <w:jc w:val="both"/>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本主协议下的争议经协商无法解决的，借贷双方同意将争议提交上海国际经济贸易仲裁委员会仲裁。借贷双方对争议解决方式另有约定的，从其约定。</w:t>
      </w:r>
    </w:p>
    <w:p w14:paraId="222FE238">
      <w:pPr>
        <w:pStyle w:val="92"/>
        <w:widowControl w:val="0"/>
        <w:numPr>
          <w:ilvl w:val="0"/>
          <w:numId w:val="27"/>
        </w:numPr>
        <w:spacing w:line="540" w:lineRule="exact"/>
        <w:ind w:left="0" w:firstLine="600" w:firstLineChars="200"/>
        <w:contextualSpacing w:val="0"/>
        <w:jc w:val="both"/>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本主协议为开放式协议，签署后在各签署人之间生效。</w:t>
      </w:r>
    </w:p>
    <w:p w14:paraId="2A3F8C36">
      <w:pPr>
        <w:pStyle w:val="92"/>
        <w:widowControl w:val="0"/>
        <w:numPr>
          <w:ilvl w:val="0"/>
          <w:numId w:val="27"/>
        </w:numPr>
        <w:spacing w:line="540" w:lineRule="exact"/>
        <w:ind w:left="0" w:firstLine="600" w:firstLineChars="200"/>
        <w:contextualSpacing w:val="0"/>
        <w:jc w:val="both"/>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本主协议提供书面及电子两种签署方式。签署电子协议需通过上交所颁布的数字证书安全及身份认证。债券借贷双方均认可电子签署协议的法律效力，认可电子签署的协议作为债券借贷各方的真实意思表示，具有与书面文件同等的法律效力。</w:t>
      </w:r>
    </w:p>
    <w:p w14:paraId="2C3F1C2D">
      <w:pPr>
        <w:pStyle w:val="92"/>
        <w:widowControl w:val="0"/>
        <w:numPr>
          <w:ilvl w:val="0"/>
          <w:numId w:val="27"/>
        </w:numPr>
        <w:spacing w:line="540" w:lineRule="exact"/>
        <w:ind w:left="0" w:firstLine="600" w:firstLineChars="200"/>
        <w:contextualSpacing w:val="0"/>
        <w:jc w:val="both"/>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关于本主协议的签署人，法人机构由法定代表人或授权代理人签署；证券投资基金、银行理财产品等非法人产品由其管理人的法定代表人或授权代理人统一签署。同一个管理人管理的多只非法人产品，仅需由管理人统一签署一份主协议，无需分别签署主协议。</w:t>
      </w:r>
    </w:p>
    <w:p w14:paraId="3B625435">
      <w:pPr>
        <w:pStyle w:val="92"/>
        <w:widowControl w:val="0"/>
        <w:numPr>
          <w:ilvl w:val="0"/>
          <w:numId w:val="27"/>
        </w:numPr>
        <w:spacing w:line="540" w:lineRule="exact"/>
        <w:ind w:left="0" w:firstLine="600" w:firstLineChars="200"/>
        <w:contextualSpacing w:val="0"/>
        <w:jc w:val="both"/>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债券交易参与人以书面方式签署的，协议原件由签署人留存，扫描件提交至上交所。证券公司经纪客户以书面方式签署的，一式两份，一份由签署人留存，一份由所在证券公司留存备查。</w:t>
      </w:r>
    </w:p>
    <w:p w14:paraId="68B3D73B">
      <w:pPr>
        <w:widowControl/>
        <w:jc w:val="left"/>
        <w:rPr>
          <w:rFonts w:ascii="仿宋_GB2312" w:hAnsi="宋体" w:eastAsia="仿宋_GB2312" w:cs="宋体"/>
          <w:bCs/>
          <w:kern w:val="0"/>
          <w:sz w:val="30"/>
          <w:szCs w:val="30"/>
        </w:rPr>
      </w:pPr>
      <w:r>
        <w:rPr>
          <w:rFonts w:ascii="仿宋_GB2312" w:hAnsi="宋体" w:eastAsia="仿宋_GB2312" w:cs="宋体"/>
          <w:bCs/>
          <w:sz w:val="30"/>
          <w:szCs w:val="30"/>
        </w:rPr>
        <w:br w:type="page"/>
      </w:r>
    </w:p>
    <w:p w14:paraId="214E5304">
      <w:pPr>
        <w:pStyle w:val="92"/>
        <w:spacing w:line="560" w:lineRule="exact"/>
        <w:ind w:firstLine="600"/>
        <w:rPr>
          <w:rFonts w:ascii="仿宋_GB2312" w:hAnsi="宋体" w:eastAsia="仿宋_GB2312" w:cs="宋体"/>
          <w:sz w:val="30"/>
          <w:szCs w:val="30"/>
          <w:lang w:eastAsia="zh-CN"/>
        </w:rPr>
      </w:pPr>
    </w:p>
    <w:p w14:paraId="06B8B8D0">
      <w:pPr>
        <w:pStyle w:val="92"/>
        <w:spacing w:line="560" w:lineRule="exact"/>
        <w:ind w:firstLine="600"/>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本页为签署页（法人机构适用）</w:t>
      </w:r>
    </w:p>
    <w:p w14:paraId="61F81CED">
      <w:pPr>
        <w:pStyle w:val="92"/>
        <w:spacing w:line="560" w:lineRule="exact"/>
        <w:ind w:firstLine="600"/>
        <w:rPr>
          <w:rFonts w:ascii="仿宋_GB2312" w:hAnsi="宋体" w:eastAsia="仿宋_GB2312" w:cs="宋体"/>
          <w:sz w:val="30"/>
          <w:szCs w:val="30"/>
          <w:lang w:eastAsia="zh-CN"/>
        </w:rPr>
      </w:pPr>
      <w:bookmarkStart w:id="3911" w:name="_Toc162421583"/>
      <w:bookmarkStart w:id="3912" w:name="_Toc162343578"/>
    </w:p>
    <w:bookmarkEnd w:id="3911"/>
    <w:bookmarkEnd w:id="3912"/>
    <w:p w14:paraId="3A954DEB">
      <w:pPr>
        <w:pStyle w:val="92"/>
        <w:spacing w:line="560" w:lineRule="exact"/>
        <w:ind w:firstLine="600"/>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签署人名称：</w:t>
      </w:r>
    </w:p>
    <w:p w14:paraId="4AF72882">
      <w:pPr>
        <w:pStyle w:val="92"/>
        <w:spacing w:line="560" w:lineRule="exact"/>
        <w:ind w:firstLine="600"/>
        <w:rPr>
          <w:rFonts w:ascii="仿宋_GB2312" w:hAnsi="宋体" w:eastAsia="仿宋_GB2312" w:cs="宋体"/>
          <w:sz w:val="30"/>
          <w:szCs w:val="30"/>
          <w:lang w:eastAsia="zh-CN"/>
        </w:rPr>
      </w:pPr>
    </w:p>
    <w:p w14:paraId="02EC4DDF">
      <w:pPr>
        <w:pStyle w:val="92"/>
        <w:spacing w:line="560" w:lineRule="exact"/>
        <w:ind w:firstLine="600"/>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单位公章（机构适用）：</w:t>
      </w:r>
    </w:p>
    <w:p w14:paraId="1EF024B7">
      <w:pPr>
        <w:pStyle w:val="92"/>
        <w:spacing w:line="560" w:lineRule="exact"/>
        <w:ind w:firstLine="600"/>
        <w:rPr>
          <w:rFonts w:ascii="仿宋_GB2312" w:hAnsi="宋体" w:eastAsia="仿宋_GB2312" w:cs="宋体"/>
          <w:sz w:val="30"/>
          <w:szCs w:val="30"/>
          <w:lang w:eastAsia="zh-CN"/>
        </w:rPr>
      </w:pPr>
    </w:p>
    <w:p w14:paraId="18F28847">
      <w:pPr>
        <w:pStyle w:val="92"/>
        <w:spacing w:line="560" w:lineRule="exact"/>
        <w:ind w:firstLine="600"/>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法定代表人或授权代理人签字（机构适用）：</w:t>
      </w:r>
    </w:p>
    <w:p w14:paraId="5119FB47">
      <w:pPr>
        <w:pStyle w:val="92"/>
        <w:spacing w:line="560" w:lineRule="exact"/>
        <w:ind w:firstLine="600"/>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联系人：</w:t>
      </w:r>
    </w:p>
    <w:p w14:paraId="7D0D0E19">
      <w:pPr>
        <w:pStyle w:val="92"/>
        <w:spacing w:line="560" w:lineRule="exact"/>
        <w:ind w:firstLine="600"/>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联系电话：</w:t>
      </w:r>
    </w:p>
    <w:p w14:paraId="28AA35CD">
      <w:pPr>
        <w:pStyle w:val="92"/>
        <w:spacing w:line="560" w:lineRule="exact"/>
        <w:ind w:firstLine="600"/>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联系地址：</w:t>
      </w:r>
    </w:p>
    <w:p w14:paraId="1507ABB7">
      <w:pPr>
        <w:pStyle w:val="92"/>
        <w:spacing w:line="560" w:lineRule="exact"/>
        <w:ind w:firstLine="600"/>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签署时间：   年  月  日</w:t>
      </w:r>
    </w:p>
    <w:p w14:paraId="424A0C76">
      <w:pPr>
        <w:widowControl/>
        <w:jc w:val="left"/>
        <w:rPr>
          <w:rFonts w:ascii="仿宋_GB2312" w:hAnsi="宋体" w:eastAsia="仿宋_GB2312" w:cs="宋体"/>
          <w:bCs/>
          <w:kern w:val="0"/>
          <w:sz w:val="30"/>
          <w:szCs w:val="30"/>
        </w:rPr>
      </w:pPr>
      <w:r>
        <w:rPr>
          <w:rFonts w:ascii="仿宋_GB2312" w:hAnsi="宋体" w:eastAsia="仿宋_GB2312" w:cs="宋体"/>
          <w:bCs/>
          <w:sz w:val="30"/>
          <w:szCs w:val="30"/>
        </w:rPr>
        <w:br w:type="page"/>
      </w:r>
    </w:p>
    <w:p w14:paraId="3D8D4FFE">
      <w:pPr>
        <w:pStyle w:val="92"/>
        <w:spacing w:line="560" w:lineRule="exact"/>
        <w:ind w:left="600" w:firstLine="0"/>
        <w:rPr>
          <w:rFonts w:ascii="仿宋_GB2312" w:hAnsi="宋体" w:eastAsia="仿宋_GB2312" w:cs="宋体"/>
          <w:bCs/>
          <w:sz w:val="30"/>
          <w:szCs w:val="30"/>
          <w:lang w:eastAsia="zh-CN"/>
        </w:rPr>
      </w:pPr>
    </w:p>
    <w:p w14:paraId="1FC8C39A">
      <w:pPr>
        <w:pStyle w:val="92"/>
        <w:spacing w:line="560" w:lineRule="exact"/>
        <w:ind w:firstLine="600"/>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本页为签署页（非法人产品适用）</w:t>
      </w:r>
    </w:p>
    <w:p w14:paraId="48CCE0A2">
      <w:pPr>
        <w:pStyle w:val="92"/>
        <w:spacing w:line="560" w:lineRule="exact"/>
        <w:ind w:firstLine="600"/>
        <w:rPr>
          <w:rFonts w:ascii="仿宋_GB2312" w:hAnsi="宋体" w:eastAsia="仿宋_GB2312" w:cs="宋体"/>
          <w:sz w:val="30"/>
          <w:szCs w:val="30"/>
          <w:lang w:eastAsia="zh-CN"/>
        </w:rPr>
      </w:pPr>
    </w:p>
    <w:p w14:paraId="0EE2B1FD">
      <w:pPr>
        <w:pStyle w:val="92"/>
        <w:spacing w:line="560" w:lineRule="exact"/>
        <w:ind w:firstLine="600"/>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非法人产品全称：</w:t>
      </w:r>
    </w:p>
    <w:p w14:paraId="53B95B27">
      <w:pPr>
        <w:pStyle w:val="92"/>
        <w:spacing w:line="560" w:lineRule="exact"/>
        <w:ind w:firstLine="600"/>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托管人名称：</w:t>
      </w:r>
    </w:p>
    <w:p w14:paraId="2CAE7932">
      <w:pPr>
        <w:pStyle w:val="92"/>
        <w:spacing w:line="560" w:lineRule="exact"/>
        <w:ind w:firstLine="600"/>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管理人名称：</w:t>
      </w:r>
    </w:p>
    <w:p w14:paraId="34BC7EA1">
      <w:pPr>
        <w:pStyle w:val="92"/>
        <w:spacing w:line="560" w:lineRule="exact"/>
        <w:ind w:firstLine="600"/>
        <w:rPr>
          <w:rFonts w:ascii="仿宋_GB2312" w:hAnsi="宋体" w:eastAsia="仿宋_GB2312" w:cs="宋体"/>
          <w:sz w:val="30"/>
          <w:szCs w:val="30"/>
          <w:lang w:eastAsia="zh-CN"/>
        </w:rPr>
      </w:pPr>
    </w:p>
    <w:p w14:paraId="11E498E3">
      <w:pPr>
        <w:pStyle w:val="92"/>
        <w:spacing w:line="560" w:lineRule="exact"/>
        <w:ind w:firstLine="600"/>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管理人公章：</w:t>
      </w:r>
    </w:p>
    <w:p w14:paraId="60F92745">
      <w:pPr>
        <w:pStyle w:val="92"/>
        <w:spacing w:line="560" w:lineRule="exact"/>
        <w:ind w:firstLine="600"/>
        <w:rPr>
          <w:rFonts w:ascii="仿宋_GB2312" w:hAnsi="宋体" w:eastAsia="仿宋_GB2312" w:cs="宋体"/>
          <w:sz w:val="30"/>
          <w:szCs w:val="30"/>
          <w:lang w:eastAsia="zh-CN"/>
        </w:rPr>
      </w:pPr>
    </w:p>
    <w:p w14:paraId="62C7D59E">
      <w:pPr>
        <w:pStyle w:val="92"/>
        <w:spacing w:line="560" w:lineRule="exact"/>
        <w:ind w:firstLine="600"/>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管理人的法定代表人或授权代理人签字：</w:t>
      </w:r>
    </w:p>
    <w:p w14:paraId="150DBF02">
      <w:pPr>
        <w:pStyle w:val="92"/>
        <w:spacing w:line="560" w:lineRule="exact"/>
        <w:ind w:firstLine="600"/>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管理人的联系人：</w:t>
      </w:r>
    </w:p>
    <w:p w14:paraId="48E1C016">
      <w:pPr>
        <w:pStyle w:val="92"/>
        <w:spacing w:line="560" w:lineRule="exact"/>
        <w:ind w:firstLine="600"/>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联系电话：</w:t>
      </w:r>
    </w:p>
    <w:p w14:paraId="03ACB022">
      <w:pPr>
        <w:pStyle w:val="92"/>
        <w:spacing w:line="560" w:lineRule="exact"/>
        <w:ind w:firstLine="600"/>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联系地址：</w:t>
      </w:r>
    </w:p>
    <w:p w14:paraId="21A182A9">
      <w:pPr>
        <w:pStyle w:val="92"/>
        <w:spacing w:line="560" w:lineRule="exact"/>
        <w:ind w:firstLine="600"/>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签署时间：   年  月  日</w:t>
      </w:r>
    </w:p>
    <w:p w14:paraId="2C208509">
      <w:pPr>
        <w:pStyle w:val="92"/>
        <w:spacing w:line="560" w:lineRule="exact"/>
        <w:ind w:firstLine="600"/>
        <w:rPr>
          <w:rFonts w:ascii="仿宋_GB2312" w:hAnsi="宋体" w:eastAsia="仿宋_GB2312" w:cs="宋体"/>
          <w:sz w:val="30"/>
          <w:szCs w:val="30"/>
          <w:lang w:eastAsia="zh-CN"/>
        </w:rPr>
      </w:pPr>
    </w:p>
    <w:p w14:paraId="4A417D50">
      <w:pPr>
        <w:ind w:firstLine="1500" w:firstLineChars="500"/>
        <w:jc w:val="left"/>
        <w:rPr>
          <w:rFonts w:ascii="仿宋_GB2312" w:hAnsi="宋体" w:eastAsia="仿宋_GB2312"/>
          <w:sz w:val="30"/>
          <w:szCs w:val="30"/>
        </w:rPr>
      </w:pPr>
    </w:p>
    <w:p w14:paraId="098F793D">
      <w:pPr>
        <w:widowControl/>
        <w:jc w:val="left"/>
        <w:rPr>
          <w:rFonts w:ascii="仿宋_GB2312" w:hAnsi="宋体" w:eastAsia="仿宋_GB2312"/>
          <w:sz w:val="30"/>
          <w:szCs w:val="30"/>
        </w:rPr>
      </w:pPr>
    </w:p>
    <w:p w14:paraId="3A7811F2">
      <w:pPr>
        <w:spacing w:line="560" w:lineRule="exact"/>
        <w:ind w:firstLine="600" w:firstLineChars="200"/>
        <w:rPr>
          <w:rFonts w:ascii="仿宋_GB2312" w:hAnsi="Calibri" w:eastAsia="仿宋_GB2312"/>
          <w:sz w:val="30"/>
          <w:szCs w:val="30"/>
        </w:rPr>
      </w:pPr>
    </w:p>
    <w:p w14:paraId="1C5D453E">
      <w:pPr>
        <w:spacing w:line="560" w:lineRule="exact"/>
        <w:ind w:firstLine="600" w:firstLineChars="200"/>
        <w:rPr>
          <w:rFonts w:ascii="仿宋_GB2312" w:hAnsi="Calibri" w:eastAsia="仿宋_GB2312"/>
          <w:sz w:val="30"/>
          <w:szCs w:val="30"/>
        </w:rPr>
      </w:pPr>
    </w:p>
    <w:p w14:paraId="4A467395">
      <w:pPr>
        <w:widowControl/>
        <w:jc w:val="left"/>
        <w:rPr>
          <w:rFonts w:ascii="仿宋_GB2312" w:hAnsi="宋体" w:eastAsia="仿宋_GB2312"/>
          <w:sz w:val="30"/>
          <w:szCs w:val="30"/>
        </w:rPr>
      </w:pPr>
    </w:p>
    <w:p w14:paraId="4C35CFE5">
      <w:pPr>
        <w:spacing w:line="560" w:lineRule="exact"/>
        <w:ind w:firstLine="600" w:firstLineChars="200"/>
        <w:rPr>
          <w:rFonts w:ascii="仿宋_GB2312" w:hAnsi="Calibri" w:eastAsia="仿宋_GB2312"/>
          <w:sz w:val="30"/>
          <w:szCs w:val="30"/>
        </w:rPr>
      </w:pPr>
    </w:p>
    <w:p w14:paraId="62ACDC4D">
      <w:pPr>
        <w:spacing w:line="560" w:lineRule="exact"/>
        <w:ind w:firstLine="600" w:firstLineChars="200"/>
        <w:rPr>
          <w:rFonts w:ascii="仿宋_GB2312" w:hAnsi="Calibri" w:eastAsia="仿宋_GB2312"/>
          <w:sz w:val="30"/>
          <w:szCs w:val="30"/>
        </w:rPr>
      </w:pPr>
    </w:p>
    <w:p w14:paraId="58EAD767">
      <w:pPr>
        <w:spacing w:line="560" w:lineRule="exact"/>
        <w:ind w:firstLine="600" w:firstLineChars="200"/>
        <w:rPr>
          <w:rFonts w:ascii="仿宋_GB2312" w:hAnsi="Calibri" w:eastAsia="仿宋_GB2312"/>
          <w:sz w:val="30"/>
          <w:szCs w:val="30"/>
        </w:rPr>
      </w:pPr>
    </w:p>
    <w:p w14:paraId="26C78C19">
      <w:pPr>
        <w:spacing w:line="560" w:lineRule="exact"/>
        <w:ind w:firstLine="600" w:firstLineChars="200"/>
        <w:rPr>
          <w:rFonts w:ascii="仿宋_GB2312" w:hAnsi="Calibri" w:eastAsia="仿宋_GB2312"/>
          <w:sz w:val="30"/>
          <w:szCs w:val="30"/>
        </w:rPr>
      </w:pPr>
    </w:p>
    <w:p w14:paraId="3CBFF04C">
      <w:pPr>
        <w:widowControl/>
        <w:jc w:val="left"/>
        <w:outlineLvl w:val="1"/>
        <w:rPr>
          <w:rFonts w:ascii="仿宋_GB2312" w:hAnsi="黑体" w:eastAsia="仿宋_GB2312"/>
          <w:b/>
          <w:sz w:val="30"/>
          <w:szCs w:val="30"/>
        </w:rPr>
      </w:pPr>
      <w:bookmarkStart w:id="3913" w:name="_Toc151137105"/>
      <w:bookmarkStart w:id="3914" w:name="_Toc422899044"/>
      <w:bookmarkStart w:id="3915" w:name="_Toc1955481765"/>
      <w:bookmarkStart w:id="3916" w:name="_Toc687860664"/>
      <w:bookmarkStart w:id="3917" w:name="_Toc1498805139"/>
      <w:r>
        <w:rPr>
          <w:rFonts w:hint="eastAsia" w:ascii="仿宋_GB2312" w:hAnsi="黑体" w:eastAsia="仿宋_GB2312"/>
          <w:b/>
          <w:sz w:val="30"/>
          <w:szCs w:val="30"/>
        </w:rPr>
        <w:t>附件</w:t>
      </w:r>
      <w:bookmarkStart w:id="3918" w:name="_Toc502767656"/>
      <w:r>
        <w:rPr>
          <w:rFonts w:hint="eastAsia" w:ascii="仿宋_GB2312" w:hAnsi="黑体" w:eastAsia="仿宋_GB2312"/>
          <w:b/>
          <w:sz w:val="30"/>
          <w:szCs w:val="30"/>
        </w:rPr>
        <w:t>22 信用保护合约核心交易商/凭证创设机构资质申请信息表</w:t>
      </w:r>
      <w:bookmarkEnd w:id="3913"/>
      <w:bookmarkEnd w:id="3914"/>
      <w:bookmarkEnd w:id="3915"/>
      <w:bookmarkEnd w:id="3916"/>
      <w:bookmarkEnd w:id="3917"/>
    </w:p>
    <w:p w14:paraId="6BDB868B">
      <w:pPr>
        <w:spacing w:line="560" w:lineRule="exact"/>
        <w:ind w:right="150"/>
        <w:jc w:val="center"/>
        <w:rPr>
          <w:rFonts w:ascii="黑体" w:hAnsi="黑体" w:eastAsia="黑体"/>
          <w:b/>
          <w:kern w:val="0"/>
          <w:sz w:val="44"/>
          <w:szCs w:val="44"/>
        </w:rPr>
      </w:pPr>
      <w:r>
        <w:rPr>
          <w:rFonts w:hint="eastAsia" w:ascii="黑体" w:hAnsi="黑体" w:eastAsia="黑体"/>
          <w:b/>
          <w:kern w:val="0"/>
          <w:sz w:val="44"/>
          <w:szCs w:val="44"/>
        </w:rPr>
        <w:t>信用保护合约核心交易商</w:t>
      </w:r>
      <w:r>
        <w:rPr>
          <w:rFonts w:ascii="黑体" w:hAnsi="黑体" w:eastAsia="黑体"/>
          <w:b/>
          <w:kern w:val="0"/>
          <w:sz w:val="44"/>
          <w:szCs w:val="44"/>
        </w:rPr>
        <w:t>/</w:t>
      </w:r>
      <w:r>
        <w:rPr>
          <w:rFonts w:hint="eastAsia" w:ascii="黑体" w:hAnsi="黑体" w:eastAsia="黑体"/>
          <w:b/>
          <w:kern w:val="0"/>
          <w:sz w:val="44"/>
          <w:szCs w:val="44"/>
        </w:rPr>
        <w:t>凭证创设机构资质申请信息表</w:t>
      </w:r>
    </w:p>
    <w:p w14:paraId="3AD1CC35">
      <w:pPr>
        <w:spacing w:line="560" w:lineRule="exact"/>
        <w:rPr>
          <w:rFonts w:eastAsia="仿宋_GB2312"/>
          <w:b/>
          <w:sz w:val="32"/>
          <w:szCs w:val="30"/>
        </w:rPr>
      </w:pPr>
    </w:p>
    <w:p w14:paraId="11CD40A6">
      <w:pPr>
        <w:spacing w:line="560" w:lineRule="exact"/>
        <w:rPr>
          <w:rFonts w:eastAsia="仿宋_GB2312"/>
          <w:sz w:val="30"/>
          <w:szCs w:val="30"/>
        </w:rPr>
      </w:pPr>
      <w:r>
        <w:rPr>
          <w:rFonts w:hint="eastAsia" w:eastAsia="仿宋_GB2312"/>
          <w:sz w:val="30"/>
          <w:szCs w:val="30"/>
        </w:rPr>
        <w:t>上海证券交易所债券业务部：</w:t>
      </w:r>
    </w:p>
    <w:p w14:paraId="2E377388">
      <w:pPr>
        <w:spacing w:line="560" w:lineRule="exact"/>
        <w:ind w:firstLine="600" w:firstLineChars="200"/>
        <w:rPr>
          <w:rFonts w:eastAsia="仿宋_GB2312"/>
          <w:sz w:val="30"/>
          <w:szCs w:val="30"/>
        </w:rPr>
      </w:pPr>
      <w:r>
        <w:rPr>
          <w:rFonts w:hint="eastAsia" w:eastAsia="仿宋_GB2312"/>
          <w:sz w:val="30"/>
          <w:szCs w:val="30"/>
        </w:rPr>
        <w:t>经我公司研究决定，特申请成为信用保护合约核心交易商</w:t>
      </w:r>
      <w:r>
        <w:rPr>
          <w:rFonts w:eastAsia="仿宋_GB2312"/>
          <w:sz w:val="30"/>
          <w:szCs w:val="30"/>
        </w:rPr>
        <w:t>/</w:t>
      </w:r>
      <w:r>
        <w:rPr>
          <w:rFonts w:hint="eastAsia" w:eastAsia="仿宋_GB2312"/>
          <w:sz w:val="30"/>
          <w:szCs w:val="30"/>
        </w:rPr>
        <w:t>凭证创设机构</w:t>
      </w:r>
      <w:bookmarkEnd w:id="3918"/>
      <w:r>
        <w:rPr>
          <w:rFonts w:hint="eastAsia" w:eastAsia="仿宋_GB2312"/>
          <w:sz w:val="30"/>
          <w:szCs w:val="30"/>
        </w:rPr>
        <w:t>。</w:t>
      </w:r>
    </w:p>
    <w:tbl>
      <w:tblPr>
        <w:tblStyle w:val="43"/>
        <w:tblW w:w="101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9"/>
        <w:gridCol w:w="564"/>
        <w:gridCol w:w="920"/>
        <w:gridCol w:w="1490"/>
        <w:gridCol w:w="854"/>
        <w:gridCol w:w="1417"/>
        <w:gridCol w:w="1619"/>
        <w:gridCol w:w="1494"/>
      </w:tblGrid>
      <w:tr w14:paraId="446CB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10107" w:type="dxa"/>
            <w:gridSpan w:val="8"/>
            <w:vAlign w:val="center"/>
          </w:tcPr>
          <w:p w14:paraId="50B1E15C">
            <w:pPr>
              <w:spacing w:line="560" w:lineRule="exact"/>
              <w:rPr>
                <w:rFonts w:eastAsia="仿宋_GB2312"/>
                <w:sz w:val="24"/>
                <w:szCs w:val="28"/>
              </w:rPr>
            </w:pPr>
            <w:r>
              <w:rPr>
                <w:rFonts w:hint="eastAsia" w:eastAsia="仿宋_GB2312"/>
                <w:sz w:val="24"/>
                <w:szCs w:val="28"/>
              </w:rPr>
              <w:t>申请人全称：</w:t>
            </w:r>
          </w:p>
        </w:tc>
      </w:tr>
      <w:tr w14:paraId="3FC2F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10107" w:type="dxa"/>
            <w:gridSpan w:val="8"/>
            <w:vAlign w:val="center"/>
          </w:tcPr>
          <w:p w14:paraId="17477D12">
            <w:pPr>
              <w:pStyle w:val="100"/>
              <w:spacing w:line="560" w:lineRule="exact"/>
              <w:ind w:firstLine="360"/>
              <w:jc w:val="both"/>
              <w:rPr>
                <w:rFonts w:ascii="Times New Roman" w:cs="Times New Roman"/>
                <w:bCs/>
                <w:color w:val="auto"/>
                <w:szCs w:val="22"/>
              </w:rPr>
            </w:pPr>
            <w:r>
              <w:rPr>
                <w:rFonts w:hint="eastAsia" w:ascii="Times New Roman"/>
                <w:color w:val="auto"/>
                <w:szCs w:val="28"/>
              </w:rPr>
              <w:t>备案类型：</w:t>
            </w:r>
            <w:r>
              <w:rPr>
                <w:rFonts w:ascii="Times New Roman"/>
                <w:color w:val="auto"/>
                <w:szCs w:val="28"/>
              </w:rPr>
              <w:t xml:space="preserve"> </w:t>
            </w:r>
            <w:r>
              <w:rPr>
                <w:rFonts w:ascii="Times New Roman" w:cs="仿宋"/>
                <w:color w:val="auto"/>
                <w:szCs w:val="22"/>
              </w:rPr>
              <w:sym w:font="Wingdings" w:char="00A8"/>
            </w:r>
            <w:r>
              <w:rPr>
                <w:rFonts w:hint="eastAsia" w:ascii="Times New Roman" w:cs="仿宋"/>
                <w:color w:val="auto"/>
                <w:szCs w:val="22"/>
              </w:rPr>
              <w:t>合约核心交易商</w:t>
            </w:r>
            <w:r>
              <w:rPr>
                <w:rFonts w:hint="eastAsia" w:ascii="Times New Roman" w:cs="Times New Roman"/>
                <w:bCs/>
                <w:color w:val="auto"/>
                <w:szCs w:val="22"/>
              </w:rPr>
              <w:t>首次备案</w:t>
            </w:r>
            <w:r>
              <w:rPr>
                <w:rFonts w:ascii="Times New Roman" w:cs="Times New Roman"/>
                <w:bCs/>
                <w:color w:val="auto"/>
                <w:szCs w:val="22"/>
              </w:rPr>
              <w:t xml:space="preserve"> </w:t>
            </w:r>
            <w:r>
              <w:rPr>
                <w:rFonts w:hint="eastAsia" w:ascii="Times New Roman" w:cs="Times New Roman"/>
                <w:bCs/>
                <w:color w:val="auto"/>
                <w:szCs w:val="22"/>
              </w:rPr>
              <w:t>（不含CDX业务）</w:t>
            </w:r>
          </w:p>
          <w:p w14:paraId="524FDF02">
            <w:pPr>
              <w:pStyle w:val="100"/>
              <w:spacing w:line="560" w:lineRule="exact"/>
              <w:ind w:firstLine="1680" w:firstLineChars="700"/>
              <w:jc w:val="both"/>
              <w:rPr>
                <w:rFonts w:ascii="Times New Roman" w:cs="Times New Roman"/>
                <w:bCs/>
                <w:color w:val="auto"/>
                <w:kern w:val="2"/>
                <w:szCs w:val="22"/>
              </w:rPr>
            </w:pPr>
            <w:r>
              <w:rPr>
                <w:rFonts w:ascii="Times New Roman" w:cs="仿宋"/>
                <w:color w:val="auto"/>
                <w:szCs w:val="22"/>
              </w:rPr>
              <w:sym w:font="Wingdings" w:char="00A8"/>
            </w:r>
            <w:r>
              <w:rPr>
                <w:rFonts w:hint="eastAsia" w:ascii="Times New Roman" w:cs="仿宋"/>
                <w:color w:val="auto"/>
                <w:szCs w:val="22"/>
              </w:rPr>
              <w:t>合约核心交易商</w:t>
            </w:r>
            <w:r>
              <w:rPr>
                <w:rFonts w:hint="eastAsia" w:ascii="Times New Roman" w:cs="Times New Roman"/>
                <w:bCs/>
                <w:color w:val="auto"/>
                <w:szCs w:val="22"/>
              </w:rPr>
              <w:t>首次备案</w:t>
            </w:r>
            <w:r>
              <w:rPr>
                <w:rFonts w:ascii="Times New Roman" w:cs="Times New Roman"/>
                <w:bCs/>
                <w:color w:val="auto"/>
                <w:szCs w:val="22"/>
              </w:rPr>
              <w:t xml:space="preserve"> </w:t>
            </w:r>
            <w:r>
              <w:rPr>
                <w:rFonts w:hint="eastAsia" w:ascii="Times New Roman" w:cs="Times New Roman"/>
                <w:bCs/>
                <w:color w:val="auto"/>
                <w:szCs w:val="22"/>
              </w:rPr>
              <w:t>（含CDX业务）</w:t>
            </w:r>
          </w:p>
          <w:p w14:paraId="6CCB7BE2">
            <w:pPr>
              <w:pStyle w:val="100"/>
              <w:spacing w:line="560" w:lineRule="exact"/>
              <w:ind w:firstLine="1680" w:firstLineChars="700"/>
              <w:jc w:val="both"/>
              <w:rPr>
                <w:rFonts w:ascii="Times New Roman" w:cs="Times New Roman"/>
                <w:bCs/>
                <w:color w:val="auto"/>
                <w:kern w:val="2"/>
                <w:szCs w:val="22"/>
              </w:rPr>
            </w:pPr>
            <w:r>
              <w:rPr>
                <w:rFonts w:ascii="Times New Roman" w:cs="仿宋"/>
                <w:color w:val="auto"/>
                <w:szCs w:val="22"/>
              </w:rPr>
              <w:sym w:font="Wingdings" w:char="00A8"/>
            </w:r>
            <w:r>
              <w:rPr>
                <w:rFonts w:hint="eastAsia" w:ascii="Times New Roman" w:cs="仿宋"/>
                <w:color w:val="auto"/>
                <w:szCs w:val="22"/>
              </w:rPr>
              <w:t>合约核心交易商</w:t>
            </w:r>
            <w:r>
              <w:rPr>
                <w:rFonts w:hint="eastAsia" w:ascii="Times New Roman" w:cs="Times New Roman"/>
                <w:bCs/>
                <w:color w:val="auto"/>
                <w:szCs w:val="22"/>
              </w:rPr>
              <w:t>补充备案CDX业务</w:t>
            </w:r>
          </w:p>
          <w:p w14:paraId="7A09E09D">
            <w:pPr>
              <w:spacing w:line="560" w:lineRule="exact"/>
              <w:ind w:firstLine="1680" w:firstLineChars="700"/>
              <w:rPr>
                <w:rFonts w:eastAsia="仿宋_GB2312"/>
                <w:bCs/>
                <w:sz w:val="24"/>
                <w:szCs w:val="22"/>
              </w:rPr>
            </w:pPr>
            <w:r>
              <w:rPr>
                <w:rFonts w:eastAsia="仿宋_GB2312" w:cs="仿宋"/>
                <w:sz w:val="24"/>
                <w:szCs w:val="22"/>
              </w:rPr>
              <w:sym w:font="Wingdings" w:char="00A8"/>
            </w:r>
            <w:r>
              <w:rPr>
                <w:rFonts w:hint="eastAsia" w:eastAsia="仿宋_GB2312" w:cs="仿宋"/>
                <w:sz w:val="24"/>
                <w:szCs w:val="22"/>
              </w:rPr>
              <w:t>凭证创设机构</w:t>
            </w:r>
            <w:r>
              <w:rPr>
                <w:rFonts w:hint="eastAsia" w:eastAsia="仿宋_GB2312"/>
                <w:bCs/>
                <w:sz w:val="24"/>
                <w:szCs w:val="22"/>
              </w:rPr>
              <w:t>首次备案</w:t>
            </w:r>
          </w:p>
          <w:p w14:paraId="64E8D5E7">
            <w:pPr>
              <w:pStyle w:val="100"/>
              <w:spacing w:line="560" w:lineRule="exact"/>
              <w:ind w:firstLine="1680" w:firstLineChars="700"/>
              <w:jc w:val="both"/>
              <w:rPr>
                <w:rFonts w:ascii="Times New Roman" w:cs="Times New Roman"/>
                <w:b/>
                <w:color w:val="auto"/>
                <w:kern w:val="2"/>
                <w:szCs w:val="22"/>
              </w:rPr>
            </w:pPr>
            <w:r>
              <w:rPr>
                <w:rFonts w:ascii="Times New Roman" w:cs="仿宋"/>
                <w:color w:val="auto"/>
                <w:szCs w:val="22"/>
              </w:rPr>
              <w:sym w:font="Wingdings" w:char="00A8"/>
            </w:r>
            <w:r>
              <w:rPr>
                <w:rFonts w:hint="eastAsia" w:ascii="Times New Roman" w:cs="仿宋"/>
                <w:color w:val="auto"/>
                <w:szCs w:val="22"/>
              </w:rPr>
              <w:t>备案信息表内容变更</w:t>
            </w:r>
          </w:p>
          <w:p w14:paraId="020B866B">
            <w:pPr>
              <w:spacing w:line="560" w:lineRule="exact"/>
              <w:ind w:firstLine="1320" w:firstLineChars="550"/>
              <w:rPr>
                <w:rFonts w:eastAsia="仿宋_GB2312"/>
                <w:sz w:val="24"/>
                <w:szCs w:val="28"/>
              </w:rPr>
            </w:pPr>
            <w:r>
              <w:rPr>
                <w:rFonts w:eastAsia="仿宋_GB2312"/>
                <w:bCs/>
                <w:sz w:val="24"/>
                <w:szCs w:val="22"/>
              </w:rPr>
              <w:t xml:space="preserve">                        </w:t>
            </w:r>
            <w:r>
              <w:rPr>
                <w:rFonts w:hint="eastAsia" w:eastAsia="仿宋_GB2312" w:cs="仿宋"/>
                <w:sz w:val="24"/>
                <w:szCs w:val="22"/>
              </w:rPr>
              <w:t>（请在“</w:t>
            </w:r>
            <w:r>
              <w:rPr>
                <w:rFonts w:eastAsia="仿宋_GB2312" w:cs="仿宋"/>
                <w:sz w:val="24"/>
                <w:szCs w:val="22"/>
              </w:rPr>
              <w:sym w:font="Wingdings" w:char="00A8"/>
            </w:r>
            <w:r>
              <w:rPr>
                <w:rFonts w:hint="eastAsia" w:eastAsia="仿宋_GB2312" w:cs="仿宋"/>
                <w:sz w:val="24"/>
                <w:szCs w:val="22"/>
              </w:rPr>
              <w:t>”内打“</w:t>
            </w:r>
            <w:r>
              <w:rPr>
                <w:rFonts w:eastAsia="仿宋_GB2312" w:cs="仿宋"/>
                <w:sz w:val="24"/>
                <w:szCs w:val="22"/>
              </w:rPr>
              <w:sym w:font="Wingdings" w:char="00FE"/>
            </w:r>
            <w:r>
              <w:rPr>
                <w:rFonts w:hint="eastAsia" w:eastAsia="仿宋_GB2312" w:cs="仿宋"/>
                <w:sz w:val="24"/>
                <w:szCs w:val="22"/>
              </w:rPr>
              <w:t>”）</w:t>
            </w:r>
          </w:p>
        </w:tc>
      </w:tr>
      <w:tr w14:paraId="06A43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10107" w:type="dxa"/>
            <w:gridSpan w:val="8"/>
            <w:vAlign w:val="center"/>
          </w:tcPr>
          <w:p w14:paraId="06B0C906">
            <w:pPr>
              <w:spacing w:line="560" w:lineRule="exact"/>
              <w:rPr>
                <w:rFonts w:eastAsia="仿宋_GB2312"/>
                <w:sz w:val="24"/>
                <w:szCs w:val="28"/>
              </w:rPr>
            </w:pPr>
            <w:r>
              <w:rPr>
                <w:rFonts w:hint="eastAsia" w:eastAsia="仿宋_GB2312"/>
                <w:sz w:val="24"/>
                <w:szCs w:val="28"/>
              </w:rPr>
              <w:t>统一社会信用代码：</w:t>
            </w:r>
          </w:p>
        </w:tc>
      </w:tr>
      <w:tr w14:paraId="18A02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10107" w:type="dxa"/>
            <w:gridSpan w:val="8"/>
            <w:vAlign w:val="center"/>
          </w:tcPr>
          <w:p w14:paraId="6DFF59F1">
            <w:pPr>
              <w:spacing w:line="560" w:lineRule="exact"/>
              <w:rPr>
                <w:rFonts w:eastAsia="仿宋_GB2312"/>
                <w:sz w:val="24"/>
                <w:szCs w:val="28"/>
              </w:rPr>
            </w:pPr>
            <w:r>
              <w:rPr>
                <w:rFonts w:hint="eastAsia" w:eastAsia="仿宋_GB2312"/>
                <w:sz w:val="24"/>
                <w:szCs w:val="28"/>
              </w:rPr>
              <w:t>公司地址：</w:t>
            </w:r>
            <w:r>
              <w:rPr>
                <w:rFonts w:eastAsia="仿宋_GB2312"/>
                <w:sz w:val="24"/>
                <w:szCs w:val="28"/>
              </w:rPr>
              <w:t xml:space="preserve"> </w:t>
            </w:r>
            <w:r>
              <w:rPr>
                <w:rFonts w:hint="eastAsia" w:eastAsia="仿宋_GB2312"/>
                <w:sz w:val="24"/>
                <w:szCs w:val="28"/>
              </w:rPr>
              <w:t>（同营业执照）</w:t>
            </w:r>
          </w:p>
        </w:tc>
      </w:tr>
      <w:tr w14:paraId="0C4BF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2313" w:type="dxa"/>
            <w:gridSpan w:val="2"/>
            <w:vAlign w:val="center"/>
          </w:tcPr>
          <w:p w14:paraId="2D89F44C">
            <w:pPr>
              <w:pStyle w:val="17"/>
              <w:spacing w:after="0" w:line="560" w:lineRule="exact"/>
              <w:rPr>
                <w:rFonts w:eastAsia="仿宋_GB2312"/>
                <w:sz w:val="24"/>
                <w:szCs w:val="28"/>
              </w:rPr>
            </w:pPr>
            <w:r>
              <w:rPr>
                <w:rFonts w:hint="eastAsia" w:eastAsia="仿宋_GB2312"/>
                <w:sz w:val="24"/>
                <w:szCs w:val="28"/>
              </w:rPr>
              <w:t>投资者类型：</w:t>
            </w:r>
          </w:p>
        </w:tc>
        <w:tc>
          <w:tcPr>
            <w:tcW w:w="7794" w:type="dxa"/>
            <w:gridSpan w:val="6"/>
            <w:vAlign w:val="center"/>
          </w:tcPr>
          <w:p w14:paraId="24C1176E">
            <w:pPr>
              <w:pStyle w:val="17"/>
              <w:spacing w:after="0" w:line="560" w:lineRule="exact"/>
              <w:rPr>
                <w:rFonts w:eastAsia="仿宋_GB2312"/>
                <w:sz w:val="24"/>
                <w:szCs w:val="28"/>
              </w:rPr>
            </w:pPr>
            <w:r>
              <w:rPr>
                <w:rFonts w:hint="eastAsia" w:eastAsia="仿宋_GB2312"/>
                <w:sz w:val="24"/>
                <w:szCs w:val="28"/>
              </w:rPr>
              <w:t>□</w:t>
            </w:r>
            <w:r>
              <w:rPr>
                <w:rFonts w:hint="eastAsia" w:eastAsia="仿宋_GB2312"/>
                <w:sz w:val="24"/>
              </w:rPr>
              <w:t>证券公司</w:t>
            </w:r>
            <w:r>
              <w:rPr>
                <w:rFonts w:eastAsia="仿宋_GB2312"/>
                <w:sz w:val="24"/>
              </w:rPr>
              <w:t xml:space="preserve">  </w:t>
            </w:r>
            <w:r>
              <w:rPr>
                <w:rFonts w:hint="eastAsia" w:eastAsia="仿宋_GB2312"/>
                <w:sz w:val="24"/>
                <w:szCs w:val="28"/>
              </w:rPr>
              <w:t>□</w:t>
            </w:r>
            <w:r>
              <w:rPr>
                <w:rFonts w:hint="eastAsia" w:eastAsia="仿宋_GB2312"/>
                <w:sz w:val="24"/>
              </w:rPr>
              <w:t>期货公司</w:t>
            </w:r>
            <w:r>
              <w:rPr>
                <w:rFonts w:eastAsia="仿宋_GB2312"/>
                <w:sz w:val="24"/>
              </w:rPr>
              <w:t xml:space="preserve">    </w:t>
            </w:r>
            <w:r>
              <w:rPr>
                <w:rFonts w:hint="eastAsia" w:eastAsia="仿宋_GB2312"/>
                <w:sz w:val="24"/>
                <w:szCs w:val="28"/>
              </w:rPr>
              <w:t>□</w:t>
            </w:r>
            <w:r>
              <w:rPr>
                <w:rFonts w:hint="eastAsia" w:eastAsia="仿宋_GB2312"/>
                <w:sz w:val="24"/>
              </w:rPr>
              <w:t>商业银行</w:t>
            </w:r>
            <w:r>
              <w:rPr>
                <w:rFonts w:eastAsia="仿宋_GB2312"/>
                <w:sz w:val="24"/>
              </w:rPr>
              <w:t xml:space="preserve">  </w:t>
            </w:r>
            <w:r>
              <w:rPr>
                <w:rFonts w:hint="eastAsia" w:eastAsia="仿宋_GB2312"/>
                <w:sz w:val="24"/>
                <w:szCs w:val="28"/>
              </w:rPr>
              <w:t>□</w:t>
            </w:r>
            <w:r>
              <w:rPr>
                <w:rFonts w:hint="eastAsia" w:eastAsia="仿宋_GB2312"/>
                <w:sz w:val="24"/>
              </w:rPr>
              <w:t>保险公司</w:t>
            </w:r>
            <w:r>
              <w:rPr>
                <w:rFonts w:eastAsia="仿宋_GB2312"/>
                <w:sz w:val="24"/>
              </w:rPr>
              <w:t xml:space="preserve">  </w:t>
            </w:r>
            <w:r>
              <w:rPr>
                <w:rFonts w:hint="eastAsia" w:eastAsia="仿宋_GB2312"/>
                <w:sz w:val="24"/>
                <w:szCs w:val="28"/>
              </w:rPr>
              <w:t>□</w:t>
            </w:r>
            <w:r>
              <w:rPr>
                <w:rFonts w:hint="eastAsia" w:eastAsia="仿宋_GB2312"/>
                <w:sz w:val="24"/>
              </w:rPr>
              <w:t>信托公司</w:t>
            </w:r>
            <w:r>
              <w:rPr>
                <w:rFonts w:eastAsia="仿宋_GB2312"/>
                <w:sz w:val="24"/>
              </w:rPr>
              <w:t xml:space="preserve">  </w:t>
            </w:r>
            <w:r>
              <w:rPr>
                <w:rFonts w:hint="eastAsia" w:eastAsia="仿宋_GB2312"/>
                <w:sz w:val="24"/>
                <w:szCs w:val="28"/>
              </w:rPr>
              <w:t>□</w:t>
            </w:r>
            <w:r>
              <w:rPr>
                <w:rFonts w:hint="eastAsia" w:eastAsia="仿宋_GB2312"/>
                <w:sz w:val="24"/>
              </w:rPr>
              <w:t>财务公司</w:t>
            </w:r>
            <w:r>
              <w:rPr>
                <w:rFonts w:eastAsia="仿宋_GB2312"/>
                <w:sz w:val="24"/>
              </w:rPr>
              <w:t xml:space="preserve">  </w:t>
            </w:r>
            <w:r>
              <w:rPr>
                <w:rFonts w:hint="eastAsia" w:eastAsia="仿宋_GB2312"/>
                <w:sz w:val="24"/>
                <w:szCs w:val="28"/>
              </w:rPr>
              <w:t>□信用增进机构</w:t>
            </w:r>
            <w:r>
              <w:rPr>
                <w:rFonts w:eastAsia="仿宋_GB2312"/>
                <w:sz w:val="24"/>
              </w:rPr>
              <w:t xml:space="preserve">  </w:t>
            </w:r>
            <w:r>
              <w:rPr>
                <w:rFonts w:hint="eastAsia" w:eastAsia="仿宋_GB2312"/>
                <w:sz w:val="24"/>
                <w:szCs w:val="28"/>
              </w:rPr>
              <w:t>□</w:t>
            </w:r>
            <w:r>
              <w:rPr>
                <w:rFonts w:hint="eastAsia" w:eastAsia="仿宋_GB2312"/>
                <w:sz w:val="24"/>
              </w:rPr>
              <w:t xml:space="preserve">其他金融机构 </w:t>
            </w:r>
            <w:r>
              <w:rPr>
                <w:rFonts w:eastAsia="仿宋_GB2312"/>
                <w:sz w:val="24"/>
              </w:rPr>
              <w:t xml:space="preserve"> </w:t>
            </w:r>
            <w:r>
              <w:rPr>
                <w:rFonts w:hint="eastAsia" w:eastAsia="仿宋_GB2312"/>
                <w:sz w:val="24"/>
                <w:szCs w:val="28"/>
              </w:rPr>
              <w:t>□</w:t>
            </w:r>
            <w:r>
              <w:rPr>
                <w:rFonts w:hint="eastAsia" w:eastAsia="仿宋_GB2312"/>
                <w:sz w:val="24"/>
              </w:rPr>
              <w:t>其他</w:t>
            </w:r>
          </w:p>
        </w:tc>
      </w:tr>
      <w:tr w14:paraId="289E8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jc w:val="center"/>
        </w:trPr>
        <w:tc>
          <w:tcPr>
            <w:tcW w:w="4723" w:type="dxa"/>
            <w:gridSpan w:val="4"/>
            <w:tcBorders>
              <w:bottom w:val="single" w:color="auto" w:sz="4" w:space="0"/>
            </w:tcBorders>
            <w:vAlign w:val="center"/>
          </w:tcPr>
          <w:p w14:paraId="70BF037E">
            <w:pPr>
              <w:spacing w:line="560" w:lineRule="exact"/>
              <w:rPr>
                <w:rFonts w:eastAsia="仿宋_GB2312"/>
                <w:sz w:val="24"/>
                <w:szCs w:val="28"/>
              </w:rPr>
            </w:pPr>
            <w:r>
              <w:rPr>
                <w:rFonts w:hint="eastAsia" w:eastAsia="仿宋_GB2312"/>
                <w:sz w:val="24"/>
                <w:szCs w:val="28"/>
              </w:rPr>
              <w:t>交易商代码：</w:t>
            </w:r>
          </w:p>
        </w:tc>
        <w:tc>
          <w:tcPr>
            <w:tcW w:w="5384" w:type="dxa"/>
            <w:gridSpan w:val="4"/>
            <w:tcBorders>
              <w:bottom w:val="single" w:color="auto" w:sz="4" w:space="0"/>
            </w:tcBorders>
            <w:vAlign w:val="center"/>
          </w:tcPr>
          <w:p w14:paraId="7B555079">
            <w:pPr>
              <w:spacing w:line="560" w:lineRule="exact"/>
              <w:rPr>
                <w:rFonts w:eastAsia="仿宋_GB2312"/>
                <w:sz w:val="24"/>
                <w:szCs w:val="28"/>
              </w:rPr>
            </w:pPr>
            <w:r>
              <w:rPr>
                <w:rFonts w:hint="eastAsia" w:eastAsia="仿宋_GB2312"/>
                <w:sz w:val="24"/>
                <w:szCs w:val="28"/>
              </w:rPr>
              <w:t>交易商名称：</w:t>
            </w:r>
          </w:p>
        </w:tc>
      </w:tr>
      <w:tr w14:paraId="1270B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jc w:val="center"/>
        </w:trPr>
        <w:tc>
          <w:tcPr>
            <w:tcW w:w="4723" w:type="dxa"/>
            <w:gridSpan w:val="4"/>
            <w:tcBorders>
              <w:bottom w:val="single" w:color="auto" w:sz="4" w:space="0"/>
            </w:tcBorders>
            <w:vAlign w:val="center"/>
          </w:tcPr>
          <w:p w14:paraId="6E935090">
            <w:pPr>
              <w:spacing w:line="560" w:lineRule="exact"/>
              <w:rPr>
                <w:rFonts w:eastAsia="仿宋_GB2312"/>
                <w:sz w:val="24"/>
                <w:szCs w:val="28"/>
              </w:rPr>
            </w:pPr>
            <w:r>
              <w:rPr>
                <w:rFonts w:hint="eastAsia" w:eastAsia="仿宋_GB2312"/>
                <w:sz w:val="24"/>
                <w:szCs w:val="28"/>
              </w:rPr>
              <w:t>证券账户：</w:t>
            </w:r>
          </w:p>
        </w:tc>
        <w:tc>
          <w:tcPr>
            <w:tcW w:w="5384" w:type="dxa"/>
            <w:gridSpan w:val="4"/>
            <w:tcBorders>
              <w:bottom w:val="single" w:color="auto" w:sz="4" w:space="0"/>
            </w:tcBorders>
            <w:vAlign w:val="center"/>
          </w:tcPr>
          <w:p w14:paraId="7541B979">
            <w:pPr>
              <w:spacing w:line="560" w:lineRule="exact"/>
              <w:rPr>
                <w:rFonts w:eastAsia="仿宋_GB2312"/>
                <w:sz w:val="24"/>
                <w:szCs w:val="28"/>
              </w:rPr>
            </w:pPr>
            <w:r>
              <w:rPr>
                <w:rFonts w:hint="eastAsia" w:eastAsia="仿宋_GB2312"/>
                <w:sz w:val="24"/>
                <w:szCs w:val="28"/>
              </w:rPr>
              <w:t>证券账户名称：</w:t>
            </w:r>
          </w:p>
        </w:tc>
      </w:tr>
      <w:tr w14:paraId="540FA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jc w:val="center"/>
        </w:trPr>
        <w:tc>
          <w:tcPr>
            <w:tcW w:w="4723" w:type="dxa"/>
            <w:gridSpan w:val="4"/>
            <w:tcBorders>
              <w:bottom w:val="single" w:color="auto" w:sz="4" w:space="0"/>
            </w:tcBorders>
            <w:vAlign w:val="center"/>
          </w:tcPr>
          <w:p w14:paraId="155958B0">
            <w:pPr>
              <w:spacing w:line="560" w:lineRule="exact"/>
              <w:rPr>
                <w:rFonts w:eastAsia="仿宋_GB2312"/>
                <w:sz w:val="24"/>
                <w:szCs w:val="28"/>
              </w:rPr>
            </w:pPr>
            <w:r>
              <w:rPr>
                <w:rFonts w:eastAsia="仿宋_GB2312"/>
                <w:sz w:val="24"/>
                <w:szCs w:val="28"/>
              </w:rPr>
              <w:t>CSDC</w:t>
            </w:r>
            <w:r>
              <w:rPr>
                <w:rFonts w:hint="eastAsia" w:eastAsia="仿宋_GB2312"/>
                <w:sz w:val="24"/>
                <w:szCs w:val="28"/>
              </w:rPr>
              <w:t>结算参与人编码：</w:t>
            </w:r>
          </w:p>
        </w:tc>
        <w:tc>
          <w:tcPr>
            <w:tcW w:w="5384" w:type="dxa"/>
            <w:gridSpan w:val="4"/>
            <w:tcBorders>
              <w:bottom w:val="single" w:color="auto" w:sz="4" w:space="0"/>
            </w:tcBorders>
            <w:vAlign w:val="center"/>
          </w:tcPr>
          <w:p w14:paraId="32772BC7">
            <w:pPr>
              <w:spacing w:line="560" w:lineRule="exact"/>
              <w:rPr>
                <w:rFonts w:eastAsia="仿宋_GB2312"/>
                <w:sz w:val="24"/>
                <w:szCs w:val="28"/>
              </w:rPr>
            </w:pPr>
          </w:p>
        </w:tc>
      </w:tr>
      <w:tr w14:paraId="132F5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1749" w:type="dxa"/>
            <w:vAlign w:val="center"/>
          </w:tcPr>
          <w:p w14:paraId="5F1FAAFF">
            <w:pPr>
              <w:spacing w:line="560" w:lineRule="exact"/>
              <w:rPr>
                <w:rFonts w:eastAsia="仿宋_GB2312"/>
                <w:sz w:val="24"/>
                <w:szCs w:val="28"/>
              </w:rPr>
            </w:pPr>
            <w:r>
              <w:rPr>
                <w:rFonts w:hint="eastAsia" w:eastAsia="仿宋_GB2312"/>
                <w:sz w:val="24"/>
                <w:szCs w:val="28"/>
              </w:rPr>
              <w:t>信用保护工具业务负责人</w:t>
            </w:r>
          </w:p>
        </w:tc>
        <w:tc>
          <w:tcPr>
            <w:tcW w:w="1484" w:type="dxa"/>
            <w:gridSpan w:val="2"/>
            <w:vAlign w:val="center"/>
          </w:tcPr>
          <w:p w14:paraId="57CC629F">
            <w:pPr>
              <w:spacing w:line="560" w:lineRule="exact"/>
              <w:rPr>
                <w:rFonts w:eastAsia="仿宋_GB2312"/>
                <w:sz w:val="24"/>
                <w:szCs w:val="28"/>
              </w:rPr>
            </w:pPr>
            <w:r>
              <w:rPr>
                <w:rFonts w:hint="eastAsia" w:eastAsia="仿宋_GB2312"/>
                <w:sz w:val="24"/>
                <w:szCs w:val="28"/>
              </w:rPr>
              <w:t>部门</w:t>
            </w:r>
          </w:p>
        </w:tc>
        <w:tc>
          <w:tcPr>
            <w:tcW w:w="1490" w:type="dxa"/>
            <w:vAlign w:val="center"/>
          </w:tcPr>
          <w:p w14:paraId="5F510F73">
            <w:pPr>
              <w:spacing w:line="560" w:lineRule="exact"/>
              <w:rPr>
                <w:rFonts w:eastAsia="仿宋_GB2312"/>
                <w:sz w:val="24"/>
                <w:szCs w:val="28"/>
              </w:rPr>
            </w:pPr>
            <w:r>
              <w:rPr>
                <w:rFonts w:hint="eastAsia" w:eastAsia="仿宋_GB2312"/>
                <w:sz w:val="24"/>
                <w:szCs w:val="28"/>
              </w:rPr>
              <w:t>职务</w:t>
            </w:r>
          </w:p>
        </w:tc>
        <w:tc>
          <w:tcPr>
            <w:tcW w:w="854" w:type="dxa"/>
            <w:vAlign w:val="center"/>
          </w:tcPr>
          <w:p w14:paraId="33761C09">
            <w:pPr>
              <w:spacing w:line="560" w:lineRule="exact"/>
              <w:rPr>
                <w:rFonts w:eastAsia="仿宋_GB2312"/>
                <w:sz w:val="24"/>
                <w:szCs w:val="28"/>
              </w:rPr>
            </w:pPr>
            <w:r>
              <w:rPr>
                <w:rFonts w:hint="eastAsia" w:eastAsia="仿宋_GB2312"/>
                <w:sz w:val="24"/>
                <w:szCs w:val="28"/>
              </w:rPr>
              <w:t>电话</w:t>
            </w:r>
          </w:p>
        </w:tc>
        <w:tc>
          <w:tcPr>
            <w:tcW w:w="1417" w:type="dxa"/>
            <w:vAlign w:val="center"/>
          </w:tcPr>
          <w:p w14:paraId="5C77C1E9">
            <w:pPr>
              <w:spacing w:line="560" w:lineRule="exact"/>
              <w:rPr>
                <w:rFonts w:eastAsia="仿宋_GB2312"/>
                <w:sz w:val="24"/>
                <w:szCs w:val="28"/>
              </w:rPr>
            </w:pPr>
            <w:r>
              <w:rPr>
                <w:rFonts w:hint="eastAsia" w:eastAsia="仿宋_GB2312"/>
                <w:sz w:val="24"/>
                <w:szCs w:val="28"/>
              </w:rPr>
              <w:t>手机</w:t>
            </w:r>
          </w:p>
        </w:tc>
        <w:tc>
          <w:tcPr>
            <w:tcW w:w="1619" w:type="dxa"/>
            <w:vAlign w:val="center"/>
          </w:tcPr>
          <w:p w14:paraId="173608FD">
            <w:pPr>
              <w:spacing w:line="560" w:lineRule="exact"/>
              <w:rPr>
                <w:rFonts w:eastAsia="仿宋_GB2312"/>
                <w:sz w:val="24"/>
                <w:szCs w:val="28"/>
              </w:rPr>
            </w:pPr>
            <w:r>
              <w:rPr>
                <w:rFonts w:hint="eastAsia" w:eastAsia="仿宋_GB2312"/>
                <w:sz w:val="24"/>
                <w:szCs w:val="28"/>
              </w:rPr>
              <w:t>传真</w:t>
            </w:r>
          </w:p>
        </w:tc>
        <w:tc>
          <w:tcPr>
            <w:tcW w:w="1494" w:type="dxa"/>
            <w:vAlign w:val="center"/>
          </w:tcPr>
          <w:p w14:paraId="1AD6AB2F">
            <w:pPr>
              <w:spacing w:line="560" w:lineRule="exact"/>
              <w:rPr>
                <w:rFonts w:eastAsia="仿宋_GB2312"/>
                <w:sz w:val="24"/>
                <w:szCs w:val="28"/>
              </w:rPr>
            </w:pPr>
            <w:r>
              <w:rPr>
                <w:rFonts w:eastAsia="仿宋_GB2312"/>
                <w:sz w:val="24"/>
                <w:szCs w:val="28"/>
              </w:rPr>
              <w:t>E-mail</w:t>
            </w:r>
          </w:p>
        </w:tc>
      </w:tr>
      <w:tr w14:paraId="28AF2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jc w:val="center"/>
        </w:trPr>
        <w:tc>
          <w:tcPr>
            <w:tcW w:w="1749" w:type="dxa"/>
            <w:vAlign w:val="center"/>
          </w:tcPr>
          <w:p w14:paraId="4FF10FC9">
            <w:pPr>
              <w:spacing w:line="560" w:lineRule="exact"/>
              <w:rPr>
                <w:rFonts w:eastAsia="仿宋_GB2312"/>
                <w:sz w:val="24"/>
                <w:szCs w:val="28"/>
              </w:rPr>
            </w:pPr>
          </w:p>
        </w:tc>
        <w:tc>
          <w:tcPr>
            <w:tcW w:w="1484" w:type="dxa"/>
            <w:gridSpan w:val="2"/>
            <w:vAlign w:val="center"/>
          </w:tcPr>
          <w:p w14:paraId="2FADAE82">
            <w:pPr>
              <w:spacing w:line="560" w:lineRule="exact"/>
              <w:rPr>
                <w:rFonts w:eastAsia="仿宋_GB2312"/>
                <w:sz w:val="24"/>
                <w:szCs w:val="28"/>
              </w:rPr>
            </w:pPr>
          </w:p>
        </w:tc>
        <w:tc>
          <w:tcPr>
            <w:tcW w:w="1490" w:type="dxa"/>
            <w:vAlign w:val="center"/>
          </w:tcPr>
          <w:p w14:paraId="546828C7">
            <w:pPr>
              <w:spacing w:line="560" w:lineRule="exact"/>
              <w:rPr>
                <w:rFonts w:eastAsia="仿宋_GB2312"/>
                <w:sz w:val="24"/>
                <w:szCs w:val="28"/>
              </w:rPr>
            </w:pPr>
          </w:p>
        </w:tc>
        <w:tc>
          <w:tcPr>
            <w:tcW w:w="854" w:type="dxa"/>
            <w:vAlign w:val="center"/>
          </w:tcPr>
          <w:p w14:paraId="7813137A">
            <w:pPr>
              <w:spacing w:line="560" w:lineRule="exact"/>
              <w:rPr>
                <w:rFonts w:eastAsia="仿宋_GB2312"/>
                <w:sz w:val="24"/>
                <w:szCs w:val="28"/>
              </w:rPr>
            </w:pPr>
          </w:p>
        </w:tc>
        <w:tc>
          <w:tcPr>
            <w:tcW w:w="1417" w:type="dxa"/>
            <w:vAlign w:val="center"/>
          </w:tcPr>
          <w:p w14:paraId="0D8AF08C">
            <w:pPr>
              <w:spacing w:line="560" w:lineRule="exact"/>
              <w:rPr>
                <w:rFonts w:eastAsia="仿宋_GB2312"/>
                <w:sz w:val="24"/>
                <w:szCs w:val="28"/>
              </w:rPr>
            </w:pPr>
          </w:p>
        </w:tc>
        <w:tc>
          <w:tcPr>
            <w:tcW w:w="1619" w:type="dxa"/>
            <w:vAlign w:val="center"/>
          </w:tcPr>
          <w:p w14:paraId="6384ACB6">
            <w:pPr>
              <w:spacing w:line="560" w:lineRule="exact"/>
              <w:rPr>
                <w:rFonts w:eastAsia="仿宋_GB2312"/>
                <w:sz w:val="24"/>
                <w:szCs w:val="28"/>
              </w:rPr>
            </w:pPr>
          </w:p>
        </w:tc>
        <w:tc>
          <w:tcPr>
            <w:tcW w:w="1494" w:type="dxa"/>
            <w:vAlign w:val="center"/>
          </w:tcPr>
          <w:p w14:paraId="4732A939">
            <w:pPr>
              <w:spacing w:line="560" w:lineRule="exact"/>
              <w:rPr>
                <w:rFonts w:eastAsia="仿宋_GB2312"/>
                <w:sz w:val="24"/>
                <w:szCs w:val="28"/>
              </w:rPr>
            </w:pPr>
          </w:p>
        </w:tc>
      </w:tr>
      <w:tr w14:paraId="1CC51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1749" w:type="dxa"/>
            <w:vAlign w:val="center"/>
          </w:tcPr>
          <w:p w14:paraId="053CA0C9">
            <w:pPr>
              <w:spacing w:line="560" w:lineRule="exact"/>
              <w:rPr>
                <w:rFonts w:eastAsia="仿宋_GB2312"/>
                <w:sz w:val="24"/>
                <w:szCs w:val="28"/>
              </w:rPr>
            </w:pPr>
            <w:r>
              <w:rPr>
                <w:rFonts w:hint="eastAsia" w:eastAsia="仿宋_GB2312"/>
                <w:sz w:val="24"/>
                <w:szCs w:val="28"/>
              </w:rPr>
              <w:t>信用保护工具业务联络人</w:t>
            </w:r>
          </w:p>
        </w:tc>
        <w:tc>
          <w:tcPr>
            <w:tcW w:w="1484" w:type="dxa"/>
            <w:gridSpan w:val="2"/>
            <w:vAlign w:val="center"/>
          </w:tcPr>
          <w:p w14:paraId="684E3035">
            <w:pPr>
              <w:spacing w:line="560" w:lineRule="exact"/>
              <w:rPr>
                <w:rFonts w:eastAsia="仿宋_GB2312"/>
                <w:sz w:val="24"/>
                <w:szCs w:val="28"/>
              </w:rPr>
            </w:pPr>
            <w:r>
              <w:rPr>
                <w:rFonts w:hint="eastAsia" w:eastAsia="仿宋_GB2312"/>
                <w:sz w:val="24"/>
                <w:szCs w:val="28"/>
              </w:rPr>
              <w:t>部门</w:t>
            </w:r>
          </w:p>
        </w:tc>
        <w:tc>
          <w:tcPr>
            <w:tcW w:w="1490" w:type="dxa"/>
            <w:vAlign w:val="center"/>
          </w:tcPr>
          <w:p w14:paraId="1C502C28">
            <w:pPr>
              <w:spacing w:line="560" w:lineRule="exact"/>
              <w:rPr>
                <w:rFonts w:eastAsia="仿宋_GB2312"/>
                <w:sz w:val="24"/>
                <w:szCs w:val="28"/>
              </w:rPr>
            </w:pPr>
            <w:r>
              <w:rPr>
                <w:rFonts w:hint="eastAsia" w:eastAsia="仿宋_GB2312"/>
                <w:sz w:val="24"/>
                <w:szCs w:val="28"/>
              </w:rPr>
              <w:t>职务</w:t>
            </w:r>
          </w:p>
        </w:tc>
        <w:tc>
          <w:tcPr>
            <w:tcW w:w="854" w:type="dxa"/>
            <w:vAlign w:val="center"/>
          </w:tcPr>
          <w:p w14:paraId="298A41A5">
            <w:pPr>
              <w:spacing w:line="560" w:lineRule="exact"/>
              <w:rPr>
                <w:rFonts w:eastAsia="仿宋_GB2312"/>
                <w:sz w:val="24"/>
                <w:szCs w:val="28"/>
              </w:rPr>
            </w:pPr>
            <w:r>
              <w:rPr>
                <w:rFonts w:hint="eastAsia" w:eastAsia="仿宋_GB2312"/>
                <w:sz w:val="24"/>
                <w:szCs w:val="28"/>
              </w:rPr>
              <w:t>电话</w:t>
            </w:r>
          </w:p>
        </w:tc>
        <w:tc>
          <w:tcPr>
            <w:tcW w:w="1417" w:type="dxa"/>
            <w:vAlign w:val="center"/>
          </w:tcPr>
          <w:p w14:paraId="36A8289C">
            <w:pPr>
              <w:spacing w:line="560" w:lineRule="exact"/>
              <w:rPr>
                <w:rFonts w:eastAsia="仿宋_GB2312"/>
                <w:sz w:val="24"/>
                <w:szCs w:val="28"/>
              </w:rPr>
            </w:pPr>
            <w:r>
              <w:rPr>
                <w:rFonts w:hint="eastAsia" w:eastAsia="仿宋_GB2312"/>
                <w:sz w:val="24"/>
                <w:szCs w:val="28"/>
              </w:rPr>
              <w:t>手机</w:t>
            </w:r>
          </w:p>
        </w:tc>
        <w:tc>
          <w:tcPr>
            <w:tcW w:w="1619" w:type="dxa"/>
            <w:vAlign w:val="center"/>
          </w:tcPr>
          <w:p w14:paraId="0D8916A3">
            <w:pPr>
              <w:spacing w:line="560" w:lineRule="exact"/>
              <w:rPr>
                <w:rFonts w:eastAsia="仿宋_GB2312"/>
                <w:sz w:val="24"/>
                <w:szCs w:val="28"/>
              </w:rPr>
            </w:pPr>
            <w:r>
              <w:rPr>
                <w:rFonts w:hint="eastAsia" w:eastAsia="仿宋_GB2312"/>
                <w:sz w:val="24"/>
                <w:szCs w:val="28"/>
              </w:rPr>
              <w:t>传真</w:t>
            </w:r>
          </w:p>
        </w:tc>
        <w:tc>
          <w:tcPr>
            <w:tcW w:w="1494" w:type="dxa"/>
            <w:vAlign w:val="center"/>
          </w:tcPr>
          <w:p w14:paraId="06E569C4">
            <w:pPr>
              <w:spacing w:line="560" w:lineRule="exact"/>
              <w:rPr>
                <w:rFonts w:eastAsia="仿宋_GB2312"/>
                <w:sz w:val="24"/>
                <w:szCs w:val="28"/>
              </w:rPr>
            </w:pPr>
            <w:r>
              <w:rPr>
                <w:rFonts w:eastAsia="仿宋_GB2312"/>
                <w:sz w:val="24"/>
                <w:szCs w:val="28"/>
              </w:rPr>
              <w:t>E-mail</w:t>
            </w:r>
          </w:p>
        </w:tc>
      </w:tr>
      <w:tr w14:paraId="779C2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atLeast"/>
          <w:jc w:val="center"/>
        </w:trPr>
        <w:tc>
          <w:tcPr>
            <w:tcW w:w="1749" w:type="dxa"/>
            <w:vAlign w:val="center"/>
          </w:tcPr>
          <w:p w14:paraId="64BBCF9F">
            <w:pPr>
              <w:spacing w:line="560" w:lineRule="exact"/>
              <w:rPr>
                <w:rFonts w:eastAsia="仿宋_GB2312"/>
                <w:sz w:val="24"/>
                <w:szCs w:val="28"/>
              </w:rPr>
            </w:pPr>
          </w:p>
        </w:tc>
        <w:tc>
          <w:tcPr>
            <w:tcW w:w="1484" w:type="dxa"/>
            <w:gridSpan w:val="2"/>
            <w:vAlign w:val="center"/>
          </w:tcPr>
          <w:p w14:paraId="4B9C393C">
            <w:pPr>
              <w:spacing w:line="560" w:lineRule="exact"/>
              <w:rPr>
                <w:rFonts w:eastAsia="仿宋_GB2312"/>
                <w:sz w:val="24"/>
                <w:szCs w:val="28"/>
              </w:rPr>
            </w:pPr>
          </w:p>
        </w:tc>
        <w:tc>
          <w:tcPr>
            <w:tcW w:w="1490" w:type="dxa"/>
            <w:vAlign w:val="center"/>
          </w:tcPr>
          <w:p w14:paraId="033DFFB8">
            <w:pPr>
              <w:spacing w:line="560" w:lineRule="exact"/>
              <w:rPr>
                <w:rFonts w:eastAsia="仿宋_GB2312"/>
                <w:sz w:val="24"/>
                <w:szCs w:val="28"/>
              </w:rPr>
            </w:pPr>
          </w:p>
        </w:tc>
        <w:tc>
          <w:tcPr>
            <w:tcW w:w="854" w:type="dxa"/>
            <w:vAlign w:val="center"/>
          </w:tcPr>
          <w:p w14:paraId="45F52999">
            <w:pPr>
              <w:spacing w:line="560" w:lineRule="exact"/>
              <w:rPr>
                <w:rFonts w:eastAsia="仿宋_GB2312"/>
                <w:sz w:val="24"/>
                <w:szCs w:val="28"/>
              </w:rPr>
            </w:pPr>
          </w:p>
        </w:tc>
        <w:tc>
          <w:tcPr>
            <w:tcW w:w="1417" w:type="dxa"/>
            <w:vAlign w:val="center"/>
          </w:tcPr>
          <w:p w14:paraId="131D47E5">
            <w:pPr>
              <w:spacing w:line="560" w:lineRule="exact"/>
              <w:rPr>
                <w:rFonts w:eastAsia="仿宋_GB2312"/>
                <w:sz w:val="24"/>
                <w:szCs w:val="28"/>
              </w:rPr>
            </w:pPr>
          </w:p>
        </w:tc>
        <w:tc>
          <w:tcPr>
            <w:tcW w:w="1619" w:type="dxa"/>
            <w:vAlign w:val="center"/>
          </w:tcPr>
          <w:p w14:paraId="440FECBD">
            <w:pPr>
              <w:spacing w:line="560" w:lineRule="exact"/>
              <w:rPr>
                <w:rFonts w:eastAsia="仿宋_GB2312"/>
                <w:sz w:val="24"/>
                <w:szCs w:val="28"/>
              </w:rPr>
            </w:pPr>
          </w:p>
        </w:tc>
        <w:tc>
          <w:tcPr>
            <w:tcW w:w="1494" w:type="dxa"/>
            <w:vAlign w:val="center"/>
          </w:tcPr>
          <w:p w14:paraId="094B3CEF">
            <w:pPr>
              <w:spacing w:line="560" w:lineRule="exact"/>
              <w:rPr>
                <w:rFonts w:eastAsia="仿宋_GB2312"/>
                <w:sz w:val="24"/>
                <w:szCs w:val="28"/>
              </w:rPr>
            </w:pPr>
          </w:p>
        </w:tc>
      </w:tr>
      <w:tr w14:paraId="20FD9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jc w:val="center"/>
        </w:trPr>
        <w:tc>
          <w:tcPr>
            <w:tcW w:w="1749" w:type="dxa"/>
            <w:tcBorders>
              <w:bottom w:val="single" w:color="auto" w:sz="4" w:space="0"/>
            </w:tcBorders>
            <w:vAlign w:val="center"/>
          </w:tcPr>
          <w:p w14:paraId="36D7F6AA">
            <w:pPr>
              <w:spacing w:line="560" w:lineRule="exact"/>
              <w:rPr>
                <w:rFonts w:eastAsia="仿宋_GB2312"/>
                <w:sz w:val="24"/>
                <w:szCs w:val="28"/>
              </w:rPr>
            </w:pPr>
            <w:r>
              <w:rPr>
                <w:rFonts w:hint="eastAsia" w:eastAsia="仿宋_GB2312"/>
                <w:sz w:val="24"/>
              </w:rPr>
              <w:t>最近一个会计年度总资产（亿元）</w:t>
            </w:r>
          </w:p>
        </w:tc>
        <w:tc>
          <w:tcPr>
            <w:tcW w:w="2974" w:type="dxa"/>
            <w:gridSpan w:val="3"/>
            <w:tcBorders>
              <w:bottom w:val="single" w:color="auto" w:sz="4" w:space="0"/>
            </w:tcBorders>
            <w:vAlign w:val="center"/>
          </w:tcPr>
          <w:p w14:paraId="340A2009">
            <w:pPr>
              <w:spacing w:line="560" w:lineRule="exact"/>
              <w:rPr>
                <w:rFonts w:eastAsia="仿宋_GB2312"/>
                <w:sz w:val="24"/>
                <w:szCs w:val="28"/>
              </w:rPr>
            </w:pPr>
          </w:p>
        </w:tc>
        <w:tc>
          <w:tcPr>
            <w:tcW w:w="2271" w:type="dxa"/>
            <w:gridSpan w:val="2"/>
            <w:tcBorders>
              <w:bottom w:val="single" w:color="auto" w:sz="4" w:space="0"/>
            </w:tcBorders>
            <w:vAlign w:val="center"/>
          </w:tcPr>
          <w:p w14:paraId="54BCE46D">
            <w:pPr>
              <w:spacing w:line="560" w:lineRule="exact"/>
              <w:rPr>
                <w:rFonts w:eastAsia="仿宋_GB2312"/>
                <w:sz w:val="24"/>
                <w:szCs w:val="28"/>
              </w:rPr>
            </w:pPr>
            <w:r>
              <w:rPr>
                <w:rFonts w:hint="eastAsia" w:eastAsia="仿宋_GB2312"/>
                <w:sz w:val="24"/>
              </w:rPr>
              <w:t>最近一个会计年度净资产（亿元）</w:t>
            </w:r>
          </w:p>
        </w:tc>
        <w:tc>
          <w:tcPr>
            <w:tcW w:w="3113" w:type="dxa"/>
            <w:gridSpan w:val="2"/>
            <w:tcBorders>
              <w:bottom w:val="single" w:color="auto" w:sz="4" w:space="0"/>
            </w:tcBorders>
            <w:vAlign w:val="center"/>
          </w:tcPr>
          <w:p w14:paraId="4A5F9BD7">
            <w:pPr>
              <w:spacing w:line="560" w:lineRule="exact"/>
              <w:rPr>
                <w:rFonts w:eastAsia="仿宋_GB2312"/>
                <w:sz w:val="24"/>
                <w:szCs w:val="28"/>
              </w:rPr>
            </w:pPr>
          </w:p>
        </w:tc>
      </w:tr>
    </w:tbl>
    <w:p w14:paraId="74837A0A">
      <w:pPr>
        <w:spacing w:line="560" w:lineRule="exact"/>
        <w:ind w:firstLine="600" w:firstLineChars="200"/>
        <w:rPr>
          <w:rFonts w:eastAsia="仿宋_GB2312"/>
          <w:sz w:val="30"/>
          <w:szCs w:val="30"/>
        </w:rPr>
      </w:pPr>
      <w:r>
        <w:rPr>
          <w:rFonts w:hint="eastAsia" w:eastAsia="仿宋_GB2312"/>
          <w:sz w:val="30"/>
          <w:szCs w:val="30"/>
        </w:rPr>
        <w:t>我公司在此郑重承诺：</w:t>
      </w:r>
    </w:p>
    <w:p w14:paraId="5FB7506B">
      <w:pPr>
        <w:spacing w:line="560" w:lineRule="exact"/>
        <w:ind w:firstLine="600" w:firstLineChars="200"/>
        <w:rPr>
          <w:rFonts w:eastAsia="仿宋_GB2312"/>
          <w:sz w:val="30"/>
          <w:szCs w:val="30"/>
        </w:rPr>
      </w:pPr>
      <w:r>
        <w:rPr>
          <w:rFonts w:hint="eastAsia" w:eastAsia="仿宋_GB2312"/>
          <w:sz w:val="30"/>
          <w:szCs w:val="30"/>
        </w:rPr>
        <w:t>一、遵守法律、法规、规章、上交所及中国结算相关业务规则，依法参与上交所信用保护工具业务。</w:t>
      </w:r>
    </w:p>
    <w:p w14:paraId="529F983D">
      <w:pPr>
        <w:spacing w:line="560" w:lineRule="exact"/>
        <w:ind w:firstLine="600" w:firstLineChars="200"/>
        <w:rPr>
          <w:rFonts w:eastAsia="仿宋_GB2312"/>
          <w:sz w:val="30"/>
          <w:szCs w:val="30"/>
        </w:rPr>
      </w:pPr>
      <w:r>
        <w:rPr>
          <w:rFonts w:hint="eastAsia" w:eastAsia="仿宋_GB2312"/>
          <w:sz w:val="30"/>
          <w:szCs w:val="30"/>
        </w:rPr>
        <w:t>二、诚实守信，自觉遵守商业道德，维护上交所债券市场秩序。</w:t>
      </w:r>
    </w:p>
    <w:p w14:paraId="4774AF7A">
      <w:pPr>
        <w:spacing w:line="560" w:lineRule="exact"/>
        <w:ind w:firstLine="600" w:firstLineChars="200"/>
        <w:rPr>
          <w:rFonts w:eastAsia="仿宋_GB2312"/>
          <w:sz w:val="30"/>
          <w:szCs w:val="30"/>
        </w:rPr>
      </w:pPr>
      <w:r>
        <w:rPr>
          <w:rFonts w:hint="eastAsia" w:eastAsia="仿宋_GB2312"/>
          <w:sz w:val="30"/>
          <w:szCs w:val="30"/>
        </w:rPr>
        <w:t>三、同意遵守上交所信用保护工具业务的相关规定，接受上交所的自律管理。</w:t>
      </w:r>
    </w:p>
    <w:p w14:paraId="46C516E1">
      <w:pPr>
        <w:spacing w:line="560" w:lineRule="exact"/>
        <w:ind w:firstLine="600" w:firstLineChars="200"/>
        <w:rPr>
          <w:rFonts w:eastAsia="仿宋_GB2312"/>
          <w:sz w:val="30"/>
          <w:szCs w:val="30"/>
        </w:rPr>
      </w:pPr>
      <w:r>
        <w:rPr>
          <w:rFonts w:hint="eastAsia" w:eastAsia="仿宋_GB2312"/>
          <w:sz w:val="30"/>
          <w:szCs w:val="30"/>
        </w:rPr>
        <w:t>四、如违反法律、法规、规章、上交所相关业务规则，接受上交所做出的包括但不限于取消信用保护工具业务的核心交易商</w:t>
      </w:r>
      <w:r>
        <w:rPr>
          <w:rFonts w:eastAsia="仿宋_GB2312"/>
          <w:sz w:val="30"/>
          <w:szCs w:val="30"/>
        </w:rPr>
        <w:t>/</w:t>
      </w:r>
      <w:r>
        <w:rPr>
          <w:rFonts w:hint="eastAsia" w:eastAsia="仿宋_GB2312"/>
          <w:sz w:val="30"/>
          <w:szCs w:val="30"/>
        </w:rPr>
        <w:t>凭证创设机构资质备案等监管措施，并对此承担一切法律责任。</w:t>
      </w:r>
    </w:p>
    <w:p w14:paraId="5D89F933">
      <w:pPr>
        <w:pStyle w:val="18"/>
        <w:spacing w:line="560" w:lineRule="exact"/>
        <w:rPr>
          <w:rFonts w:ascii="Times New Roman"/>
          <w:szCs w:val="30"/>
        </w:rPr>
      </w:pPr>
      <w:r>
        <w:rPr>
          <w:rFonts w:hint="eastAsia" w:ascii="Times New Roman"/>
          <w:szCs w:val="30"/>
        </w:rPr>
        <w:t>我公司保证向上交所提供的书面和电子申请资料的真实、准确、完整与合法。</w:t>
      </w:r>
    </w:p>
    <w:p w14:paraId="20A06899">
      <w:pPr>
        <w:pStyle w:val="18"/>
        <w:spacing w:line="560" w:lineRule="exact"/>
        <w:rPr>
          <w:rFonts w:ascii="Times New Roman"/>
          <w:szCs w:val="30"/>
        </w:rPr>
      </w:pPr>
    </w:p>
    <w:p w14:paraId="2D21429A">
      <w:pPr>
        <w:pStyle w:val="18"/>
        <w:spacing w:line="560" w:lineRule="exact"/>
        <w:rPr>
          <w:rFonts w:ascii="Times New Roman"/>
          <w:szCs w:val="30"/>
        </w:rPr>
      </w:pPr>
    </w:p>
    <w:p w14:paraId="17BFFCF3">
      <w:pPr>
        <w:pStyle w:val="18"/>
        <w:spacing w:line="560" w:lineRule="exact"/>
        <w:rPr>
          <w:rFonts w:ascii="Times New Roman"/>
          <w:szCs w:val="30"/>
        </w:rPr>
      </w:pPr>
      <w:r>
        <w:rPr>
          <w:rFonts w:hint="eastAsia" w:ascii="Times New Roman"/>
          <w:szCs w:val="30"/>
        </w:rPr>
        <w:t>申请人：</w:t>
      </w:r>
      <w:r>
        <w:rPr>
          <w:rFonts w:ascii="Times New Roman"/>
          <w:szCs w:val="30"/>
        </w:rPr>
        <w:t>_____________________</w:t>
      </w:r>
      <w:r>
        <w:rPr>
          <w:rFonts w:hint="eastAsia" w:ascii="Times New Roman"/>
          <w:szCs w:val="30"/>
        </w:rPr>
        <w:t>公司</w:t>
      </w:r>
      <w:r>
        <w:rPr>
          <w:rFonts w:ascii="Times New Roman"/>
          <w:szCs w:val="30"/>
        </w:rPr>
        <w:t xml:space="preserve">   </w:t>
      </w:r>
      <w:r>
        <w:rPr>
          <w:rFonts w:hint="eastAsia" w:ascii="Times New Roman"/>
          <w:szCs w:val="30"/>
        </w:rPr>
        <w:t>（加盖公章）</w:t>
      </w:r>
    </w:p>
    <w:p w14:paraId="0EBD696B">
      <w:pPr>
        <w:pStyle w:val="18"/>
        <w:spacing w:line="560" w:lineRule="exact"/>
        <w:rPr>
          <w:rFonts w:ascii="Times New Roman"/>
          <w:szCs w:val="30"/>
        </w:rPr>
      </w:pPr>
    </w:p>
    <w:p w14:paraId="26856B9F">
      <w:pPr>
        <w:pStyle w:val="18"/>
        <w:spacing w:line="560" w:lineRule="exact"/>
        <w:rPr>
          <w:rFonts w:ascii="Times New Roman"/>
          <w:szCs w:val="30"/>
        </w:rPr>
      </w:pPr>
      <w:r>
        <w:rPr>
          <w:rFonts w:ascii="Times New Roman"/>
          <w:szCs w:val="30"/>
        </w:rPr>
        <w:t xml:space="preserve">                                     </w:t>
      </w:r>
      <w:r>
        <w:rPr>
          <w:rFonts w:hint="eastAsia" w:ascii="Times New Roman"/>
          <w:szCs w:val="30"/>
        </w:rPr>
        <w:t>经办人（签字）：</w:t>
      </w:r>
    </w:p>
    <w:p w14:paraId="5363B2F1">
      <w:pPr>
        <w:pStyle w:val="18"/>
        <w:spacing w:line="560" w:lineRule="exact"/>
        <w:rPr>
          <w:rFonts w:ascii="Times New Roman"/>
          <w:szCs w:val="30"/>
        </w:rPr>
      </w:pPr>
      <w:r>
        <w:rPr>
          <w:rFonts w:ascii="Times New Roman"/>
          <w:szCs w:val="30"/>
        </w:rPr>
        <w:t xml:space="preserve">                                     </w:t>
      </w:r>
      <w:r>
        <w:rPr>
          <w:rFonts w:hint="eastAsia" w:ascii="Times New Roman"/>
          <w:szCs w:val="30"/>
        </w:rPr>
        <w:t>申请日期：</w:t>
      </w:r>
    </w:p>
    <w:p w14:paraId="5111CD75">
      <w:pPr>
        <w:pStyle w:val="18"/>
        <w:spacing w:line="560" w:lineRule="exact"/>
        <w:rPr>
          <w:rFonts w:ascii="Times New Roman"/>
          <w:szCs w:val="30"/>
        </w:rPr>
      </w:pPr>
      <w:r>
        <w:rPr>
          <w:rFonts w:ascii="Times New Roman"/>
          <w:szCs w:val="30"/>
        </w:rPr>
        <w:t xml:space="preserve">                                     </w:t>
      </w:r>
      <w:r>
        <w:rPr>
          <w:rFonts w:hint="eastAsia" w:ascii="Times New Roman"/>
          <w:szCs w:val="30"/>
        </w:rPr>
        <w:t>联系电话：</w:t>
      </w:r>
    </w:p>
    <w:p w14:paraId="74CCF7BA">
      <w:pPr>
        <w:widowControl/>
        <w:jc w:val="left"/>
        <w:rPr>
          <w:rFonts w:ascii="仿宋_GB2312" w:hAnsi="仿宋" w:eastAsia="仿宋_GB2312"/>
          <w:sz w:val="24"/>
          <w:szCs w:val="30"/>
        </w:rPr>
      </w:pPr>
    </w:p>
    <w:p w14:paraId="1CCAB150">
      <w:r>
        <w:br w:type="page"/>
      </w:r>
    </w:p>
    <w:p w14:paraId="4909083F">
      <w:pPr>
        <w:widowControl/>
        <w:jc w:val="left"/>
        <w:outlineLvl w:val="1"/>
        <w:rPr>
          <w:rFonts w:ascii="仿宋_GB2312" w:hAnsi="黑体" w:eastAsia="仿宋_GB2312"/>
          <w:b/>
          <w:sz w:val="30"/>
          <w:szCs w:val="30"/>
        </w:rPr>
      </w:pPr>
      <w:bookmarkStart w:id="3919" w:name="_Toc1460522578"/>
      <w:bookmarkStart w:id="3920" w:name="_Toc151137106"/>
      <w:bookmarkStart w:id="3921" w:name="_Toc644044707"/>
      <w:bookmarkStart w:id="3922" w:name="_Toc181552581"/>
      <w:bookmarkStart w:id="3923" w:name="_Toc1382062122"/>
      <w:r>
        <w:rPr>
          <w:rFonts w:hint="eastAsia" w:ascii="仿宋_GB2312" w:hAnsi="黑体" w:eastAsia="仿宋_GB2312"/>
          <w:b/>
          <w:sz w:val="30"/>
          <w:szCs w:val="30"/>
        </w:rPr>
        <w:t>附件23 XXXX信用保护合约交易确认书</w:t>
      </w:r>
      <w:bookmarkEnd w:id="3919"/>
      <w:bookmarkEnd w:id="3920"/>
      <w:bookmarkEnd w:id="3921"/>
      <w:bookmarkEnd w:id="3922"/>
      <w:bookmarkEnd w:id="3923"/>
      <w:r>
        <w:rPr>
          <w:rFonts w:hint="eastAsia" w:ascii="仿宋_GB2312" w:hAnsi="黑体" w:eastAsia="仿宋_GB2312"/>
          <w:b/>
          <w:sz w:val="30"/>
          <w:szCs w:val="30"/>
        </w:rPr>
        <w:t xml:space="preserve"> </w:t>
      </w:r>
    </w:p>
    <w:p w14:paraId="4B947C43">
      <w:pPr>
        <w:spacing w:line="560" w:lineRule="exact"/>
        <w:ind w:right="150"/>
        <w:jc w:val="center"/>
        <w:rPr>
          <w:rFonts w:ascii="黑体" w:hAnsi="黑体" w:eastAsia="黑体"/>
          <w:b/>
          <w:kern w:val="0"/>
          <w:sz w:val="44"/>
          <w:szCs w:val="44"/>
        </w:rPr>
      </w:pPr>
    </w:p>
    <w:p w14:paraId="281F9B2A">
      <w:pPr>
        <w:spacing w:line="560" w:lineRule="exact"/>
        <w:ind w:right="150"/>
        <w:jc w:val="center"/>
        <w:rPr>
          <w:rFonts w:ascii="黑体" w:hAnsi="黑体" w:eastAsia="黑体"/>
          <w:b/>
          <w:kern w:val="0"/>
          <w:sz w:val="44"/>
          <w:szCs w:val="44"/>
        </w:rPr>
      </w:pPr>
      <w:r>
        <w:rPr>
          <w:rFonts w:ascii="黑体" w:hAnsi="黑体" w:eastAsia="黑体"/>
          <w:b/>
          <w:kern w:val="0"/>
          <w:sz w:val="44"/>
          <w:szCs w:val="44"/>
        </w:rPr>
        <w:t>XXXX</w:t>
      </w:r>
      <w:r>
        <w:rPr>
          <w:kern w:val="0"/>
        </w:rPr>
        <w:footnoteReference w:id="2"/>
      </w:r>
      <w:r>
        <w:rPr>
          <w:rFonts w:hint="eastAsia" w:ascii="黑体" w:hAnsi="黑体" w:eastAsia="黑体"/>
          <w:b/>
          <w:kern w:val="0"/>
          <w:sz w:val="44"/>
          <w:szCs w:val="44"/>
        </w:rPr>
        <w:t>信用保护合约交易确认书</w:t>
      </w:r>
    </w:p>
    <w:p w14:paraId="380490B6">
      <w:pPr>
        <w:spacing w:before="126" w:line="560" w:lineRule="exact"/>
        <w:ind w:right="193"/>
        <w:jc w:val="right"/>
        <w:rPr>
          <w:rFonts w:eastAsia="仿宋_GB2312"/>
          <w:sz w:val="30"/>
          <w:szCs w:val="28"/>
        </w:rPr>
      </w:pPr>
      <w:r>
        <w:rPr>
          <w:rFonts w:hint="eastAsia" w:eastAsia="仿宋_GB2312"/>
          <w:sz w:val="30"/>
          <w:szCs w:val="28"/>
        </w:rPr>
        <w:t>编号【</w:t>
      </w:r>
      <w:r>
        <w:rPr>
          <w:rFonts w:eastAsia="仿宋_GB2312"/>
          <w:sz w:val="30"/>
          <w:szCs w:val="28"/>
        </w:rPr>
        <w:t xml:space="preserve">          </w:t>
      </w:r>
      <w:r>
        <w:rPr>
          <w:rFonts w:hint="eastAsia" w:eastAsia="仿宋_GB2312"/>
          <w:sz w:val="30"/>
          <w:szCs w:val="28"/>
        </w:rPr>
        <w:t>】</w:t>
      </w:r>
    </w:p>
    <w:p w14:paraId="1EE29995">
      <w:pPr>
        <w:spacing w:before="126" w:line="560" w:lineRule="exact"/>
        <w:ind w:right="193"/>
        <w:rPr>
          <w:rFonts w:eastAsia="仿宋_GB2312"/>
          <w:sz w:val="30"/>
          <w:szCs w:val="28"/>
        </w:rPr>
      </w:pPr>
    </w:p>
    <w:p w14:paraId="2F492A52">
      <w:pPr>
        <w:spacing w:before="126" w:line="560" w:lineRule="exact"/>
        <w:ind w:right="193"/>
        <w:rPr>
          <w:rFonts w:eastAsia="仿宋_GB2312" w:cs="新宋体"/>
          <w:spacing w:val="-3"/>
          <w:sz w:val="30"/>
          <w:szCs w:val="28"/>
        </w:rPr>
      </w:pPr>
      <w:r>
        <w:rPr>
          <w:rFonts w:hint="eastAsia" w:eastAsia="仿宋_GB2312" w:cs="新宋体"/>
          <w:b/>
          <w:spacing w:val="-3"/>
          <w:sz w:val="30"/>
          <w:szCs w:val="28"/>
        </w:rPr>
        <w:t>甲方</w:t>
      </w:r>
      <w:r>
        <w:rPr>
          <w:rFonts w:hint="eastAsia" w:eastAsia="仿宋_GB2312" w:cs="新宋体"/>
          <w:spacing w:val="-3"/>
          <w:sz w:val="30"/>
          <w:szCs w:val="28"/>
        </w:rPr>
        <w:t>（</w:t>
      </w:r>
      <w:r>
        <w:rPr>
          <w:rFonts w:hint="eastAsia" w:eastAsia="仿宋_GB2312" w:cs="新宋体"/>
          <w:b/>
          <w:spacing w:val="-3"/>
          <w:sz w:val="30"/>
          <w:szCs w:val="28"/>
        </w:rPr>
        <w:t>信用保护卖方</w:t>
      </w:r>
      <w:r>
        <w:rPr>
          <w:rFonts w:hint="eastAsia" w:eastAsia="仿宋_GB2312" w:cs="新宋体"/>
          <w:spacing w:val="-3"/>
          <w:sz w:val="30"/>
          <w:szCs w:val="28"/>
        </w:rPr>
        <w:t>）：</w:t>
      </w:r>
      <w:r>
        <w:rPr>
          <w:rFonts w:hint="eastAsia" w:eastAsia="仿宋_GB2312" w:cs="新宋体"/>
          <w:b/>
          <w:spacing w:val="-3"/>
          <w:sz w:val="30"/>
          <w:szCs w:val="28"/>
        </w:rPr>
        <w:t>【】</w:t>
      </w:r>
    </w:p>
    <w:p w14:paraId="559ED515">
      <w:pPr>
        <w:spacing w:before="126" w:line="560" w:lineRule="exact"/>
        <w:ind w:right="193"/>
        <w:rPr>
          <w:rFonts w:eastAsia="仿宋_GB2312" w:cs="新宋体"/>
          <w:spacing w:val="-3"/>
          <w:sz w:val="30"/>
          <w:szCs w:val="28"/>
        </w:rPr>
      </w:pPr>
      <w:r>
        <w:rPr>
          <w:rFonts w:hint="eastAsia" w:eastAsia="仿宋_GB2312" w:cs="新宋体"/>
          <w:spacing w:val="-3"/>
          <w:sz w:val="30"/>
          <w:szCs w:val="28"/>
        </w:rPr>
        <w:t>代表其管理的【】</w:t>
      </w:r>
    </w:p>
    <w:p w14:paraId="217C415E">
      <w:pPr>
        <w:spacing w:before="126" w:line="560" w:lineRule="exact"/>
        <w:ind w:right="193"/>
        <w:rPr>
          <w:rFonts w:eastAsia="仿宋_GB2312" w:cs="新宋体"/>
          <w:b/>
          <w:spacing w:val="-3"/>
          <w:sz w:val="30"/>
          <w:szCs w:val="28"/>
        </w:rPr>
      </w:pPr>
    </w:p>
    <w:p w14:paraId="4EF97BD5">
      <w:pPr>
        <w:spacing w:before="126" w:line="560" w:lineRule="exact"/>
        <w:ind w:right="193"/>
        <w:rPr>
          <w:rFonts w:eastAsia="仿宋_GB2312" w:cs="新宋体"/>
          <w:spacing w:val="-3"/>
          <w:sz w:val="30"/>
          <w:szCs w:val="28"/>
        </w:rPr>
      </w:pPr>
      <w:r>
        <w:rPr>
          <w:rFonts w:hint="eastAsia" w:eastAsia="仿宋_GB2312" w:cs="新宋体"/>
          <w:b/>
          <w:spacing w:val="-3"/>
          <w:sz w:val="30"/>
          <w:szCs w:val="28"/>
        </w:rPr>
        <w:t>乙方</w:t>
      </w:r>
      <w:r>
        <w:rPr>
          <w:rFonts w:hint="eastAsia" w:eastAsia="仿宋_GB2312" w:cs="新宋体"/>
          <w:spacing w:val="-3"/>
          <w:sz w:val="30"/>
          <w:szCs w:val="28"/>
        </w:rPr>
        <w:t>（</w:t>
      </w:r>
      <w:r>
        <w:rPr>
          <w:rFonts w:hint="eastAsia" w:eastAsia="仿宋_GB2312" w:cs="新宋体"/>
          <w:b/>
          <w:spacing w:val="-3"/>
          <w:sz w:val="30"/>
          <w:szCs w:val="28"/>
        </w:rPr>
        <w:t>信用保护买方</w:t>
      </w:r>
      <w:r>
        <w:rPr>
          <w:rFonts w:hint="eastAsia" w:eastAsia="仿宋_GB2312" w:cs="新宋体"/>
          <w:spacing w:val="-3"/>
          <w:sz w:val="30"/>
          <w:szCs w:val="28"/>
        </w:rPr>
        <w:t>）：</w:t>
      </w:r>
      <w:r>
        <w:rPr>
          <w:rFonts w:hint="eastAsia" w:eastAsia="仿宋_GB2312" w:cs="新宋体"/>
          <w:b/>
          <w:spacing w:val="-3"/>
          <w:sz w:val="30"/>
          <w:szCs w:val="28"/>
        </w:rPr>
        <w:t>【】</w:t>
      </w:r>
    </w:p>
    <w:p w14:paraId="61F9D633">
      <w:pPr>
        <w:spacing w:before="126" w:line="560" w:lineRule="exact"/>
        <w:ind w:right="193"/>
        <w:rPr>
          <w:rFonts w:eastAsia="仿宋_GB2312" w:cs="新宋体"/>
          <w:spacing w:val="-3"/>
          <w:sz w:val="30"/>
          <w:szCs w:val="28"/>
        </w:rPr>
      </w:pPr>
      <w:r>
        <w:rPr>
          <w:rFonts w:hint="eastAsia" w:eastAsia="仿宋_GB2312" w:cs="新宋体"/>
          <w:spacing w:val="-3"/>
          <w:sz w:val="30"/>
          <w:szCs w:val="28"/>
        </w:rPr>
        <w:t>代表其管理的【】</w:t>
      </w:r>
    </w:p>
    <w:p w14:paraId="06EED3C8">
      <w:pPr>
        <w:spacing w:before="126" w:line="560" w:lineRule="exact"/>
        <w:ind w:right="193" w:firstLine="588" w:firstLineChars="200"/>
        <w:rPr>
          <w:rFonts w:eastAsia="仿宋_GB2312" w:cs="新宋体"/>
          <w:spacing w:val="-3"/>
          <w:sz w:val="30"/>
          <w:szCs w:val="28"/>
        </w:rPr>
      </w:pPr>
    </w:p>
    <w:p w14:paraId="17D25086">
      <w:pPr>
        <w:spacing w:before="126" w:line="560" w:lineRule="exact"/>
        <w:ind w:right="193" w:firstLine="588" w:firstLineChars="200"/>
        <w:rPr>
          <w:rFonts w:eastAsia="仿宋_GB2312" w:cs="新宋体"/>
          <w:sz w:val="30"/>
          <w:szCs w:val="28"/>
        </w:rPr>
      </w:pPr>
      <w:r>
        <w:rPr>
          <w:rFonts w:hint="eastAsia" w:eastAsia="仿宋_GB2312" w:cs="新宋体"/>
          <w:spacing w:val="-3"/>
          <w:sz w:val="30"/>
          <w:szCs w:val="28"/>
        </w:rPr>
        <w:t>本</w:t>
      </w:r>
      <w:r>
        <w:rPr>
          <w:rFonts w:hint="eastAsia" w:eastAsia="仿宋_GB2312" w:cs="新宋体"/>
          <w:b/>
          <w:spacing w:val="-3"/>
          <w:sz w:val="30"/>
          <w:szCs w:val="28"/>
        </w:rPr>
        <w:t>《</w:t>
      </w:r>
      <w:r>
        <w:rPr>
          <w:rFonts w:eastAsia="仿宋_GB2312" w:cs="新宋体"/>
          <w:b/>
          <w:spacing w:val="-3"/>
          <w:sz w:val="30"/>
          <w:szCs w:val="28"/>
        </w:rPr>
        <w:t>XXXX</w:t>
      </w:r>
      <w:r>
        <w:rPr>
          <w:rFonts w:hint="eastAsia" w:eastAsia="仿宋_GB2312" w:cs="新宋体"/>
          <w:b/>
          <w:spacing w:val="-3"/>
          <w:sz w:val="30"/>
          <w:szCs w:val="28"/>
        </w:rPr>
        <w:t>信用保护合约交易确认书》</w:t>
      </w:r>
      <w:r>
        <w:rPr>
          <w:rFonts w:hint="eastAsia" w:eastAsia="仿宋_GB2312" w:cs="新宋体"/>
          <w:spacing w:val="-3"/>
          <w:sz w:val="30"/>
          <w:szCs w:val="28"/>
        </w:rPr>
        <w:t>（以下简称“</w:t>
      </w:r>
      <w:r>
        <w:rPr>
          <w:rFonts w:hint="eastAsia" w:eastAsia="仿宋_GB2312" w:cs="新宋体"/>
          <w:b/>
          <w:bCs/>
          <w:spacing w:val="-3"/>
          <w:sz w:val="30"/>
          <w:szCs w:val="28"/>
        </w:rPr>
        <w:t>本确认</w:t>
      </w:r>
      <w:r>
        <w:rPr>
          <w:rFonts w:hint="eastAsia" w:eastAsia="仿宋_GB2312" w:cs="新宋体"/>
          <w:b/>
          <w:bCs/>
          <w:w w:val="95"/>
          <w:sz w:val="30"/>
          <w:szCs w:val="28"/>
        </w:rPr>
        <w:t>书</w:t>
      </w:r>
      <w:r>
        <w:rPr>
          <w:rFonts w:hint="eastAsia" w:eastAsia="仿宋_GB2312" w:cs="新宋体"/>
          <w:w w:val="95"/>
          <w:sz w:val="30"/>
          <w:szCs w:val="28"/>
        </w:rPr>
        <w:t>”）</w:t>
      </w:r>
      <w:r>
        <w:rPr>
          <w:rFonts w:hint="eastAsia" w:eastAsia="仿宋_GB2312" w:cs="新宋体"/>
          <w:sz w:val="30"/>
          <w:szCs w:val="28"/>
        </w:rPr>
        <w:t>旨在明确</w:t>
      </w:r>
      <w:r>
        <w:rPr>
          <w:rFonts w:hint="eastAsia" w:eastAsia="仿宋_GB2312" w:cs="新宋体"/>
          <w:b/>
          <w:sz w:val="30"/>
          <w:szCs w:val="28"/>
        </w:rPr>
        <w:t>甲方</w:t>
      </w:r>
      <w:r>
        <w:rPr>
          <w:rFonts w:hint="eastAsia" w:eastAsia="仿宋_GB2312" w:cs="新宋体"/>
          <w:sz w:val="30"/>
          <w:szCs w:val="28"/>
        </w:rPr>
        <w:t>和</w:t>
      </w:r>
      <w:r>
        <w:rPr>
          <w:rFonts w:hint="eastAsia" w:eastAsia="仿宋_GB2312" w:cs="新宋体"/>
          <w:b/>
          <w:sz w:val="30"/>
          <w:szCs w:val="28"/>
        </w:rPr>
        <w:t>乙方</w:t>
      </w:r>
      <w:r>
        <w:rPr>
          <w:rFonts w:hint="eastAsia" w:eastAsia="仿宋_GB2312" w:cs="新宋体"/>
          <w:sz w:val="30"/>
          <w:szCs w:val="28"/>
        </w:rPr>
        <w:t>在下文指明的</w:t>
      </w:r>
      <w:r>
        <w:rPr>
          <w:rFonts w:hint="eastAsia" w:eastAsia="仿宋_GB2312" w:cs="新宋体"/>
          <w:b/>
          <w:sz w:val="30"/>
          <w:szCs w:val="28"/>
        </w:rPr>
        <w:t>签署日</w:t>
      </w:r>
      <w:r>
        <w:rPr>
          <w:rFonts w:hint="eastAsia" w:eastAsia="仿宋_GB2312" w:cs="新宋体"/>
          <w:sz w:val="30"/>
          <w:szCs w:val="28"/>
        </w:rPr>
        <w:t>达成的</w:t>
      </w:r>
      <w:r>
        <w:rPr>
          <w:rFonts w:hint="eastAsia" w:eastAsia="仿宋_GB2312" w:cs="新宋体"/>
          <w:b/>
          <w:bCs/>
          <w:sz w:val="30"/>
          <w:szCs w:val="28"/>
        </w:rPr>
        <w:t>信用保护合约交易</w:t>
      </w:r>
      <w:r>
        <w:rPr>
          <w:rFonts w:hint="eastAsia" w:eastAsia="仿宋_GB2312" w:cs="新宋体"/>
          <w:sz w:val="30"/>
          <w:szCs w:val="28"/>
        </w:rPr>
        <w:t>（以下简称“</w:t>
      </w:r>
      <w:r>
        <w:rPr>
          <w:rFonts w:hint="eastAsia" w:eastAsia="仿宋_GB2312" w:cs="新宋体"/>
          <w:b/>
          <w:bCs/>
          <w:sz w:val="30"/>
          <w:szCs w:val="28"/>
        </w:rPr>
        <w:t>交易</w:t>
      </w:r>
      <w:r>
        <w:rPr>
          <w:rFonts w:hint="eastAsia" w:eastAsia="仿宋_GB2312" w:cs="新宋体"/>
          <w:sz w:val="30"/>
          <w:szCs w:val="28"/>
        </w:rPr>
        <w:t>”）的条款与条件。</w:t>
      </w:r>
    </w:p>
    <w:p w14:paraId="04CD5272">
      <w:pPr>
        <w:spacing w:before="185" w:line="560" w:lineRule="exact"/>
        <w:ind w:right="196" w:firstLine="584" w:firstLineChars="200"/>
        <w:rPr>
          <w:rFonts w:eastAsia="仿宋_GB2312" w:cs="新宋体"/>
          <w:sz w:val="30"/>
          <w:szCs w:val="28"/>
        </w:rPr>
      </w:pPr>
      <w:r>
        <w:rPr>
          <w:rFonts w:hint="eastAsia" w:eastAsia="仿宋_GB2312" w:cs="新宋体"/>
          <w:spacing w:val="-4"/>
          <w:sz w:val="30"/>
          <w:szCs w:val="28"/>
        </w:rPr>
        <w:t>在</w:t>
      </w:r>
      <w:r>
        <w:rPr>
          <w:rFonts w:hint="eastAsia" w:eastAsia="仿宋_GB2312" w:cs="新宋体"/>
          <w:b/>
          <w:bCs/>
          <w:spacing w:val="-4"/>
          <w:sz w:val="30"/>
          <w:szCs w:val="28"/>
        </w:rPr>
        <w:t>本确认书</w:t>
      </w:r>
      <w:r>
        <w:rPr>
          <w:rFonts w:hint="eastAsia" w:eastAsia="仿宋_GB2312" w:cs="新宋体"/>
          <w:spacing w:val="-4"/>
          <w:sz w:val="30"/>
          <w:szCs w:val="28"/>
        </w:rPr>
        <w:t>中，</w:t>
      </w:r>
      <w:r>
        <w:rPr>
          <w:rFonts w:hint="eastAsia" w:eastAsia="仿宋_GB2312" w:cs="新宋体"/>
          <w:b/>
          <w:bCs/>
          <w:spacing w:val="-4"/>
          <w:sz w:val="30"/>
          <w:szCs w:val="28"/>
        </w:rPr>
        <w:t>甲方</w:t>
      </w:r>
      <w:r>
        <w:rPr>
          <w:rFonts w:hint="eastAsia" w:eastAsia="仿宋_GB2312" w:cs="新宋体"/>
          <w:spacing w:val="-4"/>
          <w:sz w:val="30"/>
          <w:szCs w:val="28"/>
        </w:rPr>
        <w:t>（</w:t>
      </w:r>
      <w:r>
        <w:rPr>
          <w:rFonts w:hint="eastAsia" w:eastAsia="仿宋_GB2312" w:cs="新宋体"/>
          <w:b/>
          <w:bCs/>
          <w:spacing w:val="-4"/>
          <w:sz w:val="30"/>
          <w:szCs w:val="28"/>
        </w:rPr>
        <w:t>信用保护卖方</w:t>
      </w:r>
      <w:r>
        <w:rPr>
          <w:rFonts w:hint="eastAsia" w:eastAsia="仿宋_GB2312" w:cs="新宋体"/>
          <w:spacing w:val="-4"/>
          <w:sz w:val="30"/>
          <w:szCs w:val="28"/>
        </w:rPr>
        <w:t>）与</w:t>
      </w:r>
      <w:r>
        <w:rPr>
          <w:rFonts w:hint="eastAsia" w:eastAsia="仿宋_GB2312" w:cs="新宋体"/>
          <w:b/>
          <w:bCs/>
          <w:spacing w:val="-4"/>
          <w:sz w:val="30"/>
          <w:szCs w:val="28"/>
        </w:rPr>
        <w:t>乙方</w:t>
      </w:r>
      <w:r>
        <w:rPr>
          <w:rFonts w:hint="eastAsia" w:eastAsia="仿宋_GB2312" w:cs="新宋体"/>
          <w:spacing w:val="-4"/>
          <w:sz w:val="30"/>
          <w:szCs w:val="28"/>
        </w:rPr>
        <w:t>（</w:t>
      </w:r>
      <w:r>
        <w:rPr>
          <w:rFonts w:hint="eastAsia" w:eastAsia="仿宋_GB2312" w:cs="新宋体"/>
          <w:b/>
          <w:bCs/>
          <w:spacing w:val="-4"/>
          <w:sz w:val="30"/>
          <w:szCs w:val="28"/>
        </w:rPr>
        <w:t>信用保护买方</w:t>
      </w:r>
      <w:r>
        <w:rPr>
          <w:rFonts w:hint="eastAsia" w:eastAsia="仿宋_GB2312" w:cs="新宋体"/>
          <w:spacing w:val="-4"/>
          <w:sz w:val="30"/>
          <w:szCs w:val="28"/>
        </w:rPr>
        <w:t>）合称为“</w:t>
      </w:r>
      <w:r>
        <w:rPr>
          <w:rFonts w:hint="eastAsia" w:eastAsia="仿宋_GB2312" w:cs="新宋体"/>
          <w:b/>
          <w:bCs/>
          <w:spacing w:val="-4"/>
          <w:sz w:val="30"/>
          <w:szCs w:val="28"/>
        </w:rPr>
        <w:t>交</w:t>
      </w:r>
      <w:r>
        <w:rPr>
          <w:rFonts w:hint="eastAsia" w:eastAsia="仿宋_GB2312" w:cs="新宋体"/>
          <w:b/>
          <w:bCs/>
          <w:sz w:val="30"/>
          <w:szCs w:val="28"/>
        </w:rPr>
        <w:t>易双方</w:t>
      </w:r>
      <w:r>
        <w:rPr>
          <w:rFonts w:hint="eastAsia" w:eastAsia="仿宋_GB2312" w:cs="新宋体"/>
          <w:sz w:val="30"/>
          <w:szCs w:val="28"/>
        </w:rPr>
        <w:t>”，分别称为“</w:t>
      </w:r>
      <w:r>
        <w:rPr>
          <w:rFonts w:hint="eastAsia" w:eastAsia="仿宋_GB2312" w:cs="新宋体"/>
          <w:b/>
          <w:bCs/>
          <w:sz w:val="30"/>
          <w:szCs w:val="28"/>
        </w:rPr>
        <w:t>交易一方</w:t>
      </w:r>
      <w:r>
        <w:rPr>
          <w:rFonts w:hint="eastAsia" w:eastAsia="仿宋_GB2312" w:cs="新宋体"/>
          <w:sz w:val="30"/>
          <w:szCs w:val="28"/>
        </w:rPr>
        <w:t>”。</w:t>
      </w:r>
    </w:p>
    <w:p w14:paraId="4BE7D171">
      <w:pPr>
        <w:pStyle w:val="17"/>
        <w:spacing w:before="156" w:line="560" w:lineRule="exact"/>
        <w:ind w:right="193" w:firstLine="588" w:firstLineChars="200"/>
        <w:rPr>
          <w:rFonts w:eastAsia="仿宋_GB2312" w:cs="新宋体"/>
          <w:sz w:val="30"/>
          <w:szCs w:val="28"/>
        </w:rPr>
      </w:pPr>
      <w:r>
        <w:rPr>
          <w:rFonts w:hint="eastAsia" w:eastAsia="仿宋_GB2312" w:cs="新宋体"/>
          <w:spacing w:val="-3"/>
          <w:sz w:val="30"/>
          <w:szCs w:val="28"/>
        </w:rPr>
        <w:t>鉴于</w:t>
      </w:r>
      <w:r>
        <w:rPr>
          <w:rFonts w:hint="eastAsia" w:eastAsia="仿宋_GB2312" w:cs="新宋体"/>
          <w:b/>
          <w:bCs/>
          <w:spacing w:val="-3"/>
          <w:sz w:val="30"/>
          <w:szCs w:val="28"/>
        </w:rPr>
        <w:t>交易双方</w:t>
      </w:r>
      <w:r>
        <w:rPr>
          <w:rFonts w:hint="eastAsia" w:eastAsia="仿宋_GB2312" w:cs="新宋体"/>
          <w:spacing w:val="-3"/>
          <w:sz w:val="30"/>
          <w:szCs w:val="28"/>
        </w:rPr>
        <w:t>已经签署了《中国证券期货市场衍生品交易主协议（信用保护合约专用版）》（以下简称“</w:t>
      </w:r>
      <w:r>
        <w:rPr>
          <w:rFonts w:hint="eastAsia" w:eastAsia="仿宋_GB2312" w:cs="新宋体"/>
          <w:b/>
          <w:bCs/>
          <w:spacing w:val="-3"/>
          <w:sz w:val="30"/>
          <w:szCs w:val="28"/>
        </w:rPr>
        <w:t>主协议</w:t>
      </w:r>
      <w:r>
        <w:rPr>
          <w:rFonts w:hint="eastAsia" w:eastAsia="仿宋_GB2312" w:cs="新宋体"/>
          <w:spacing w:val="-3"/>
          <w:sz w:val="30"/>
          <w:szCs w:val="28"/>
        </w:rPr>
        <w:t>”）和《中国证券期货市场衍生品交易主协议（信用保护合约专用版）补充协议》</w:t>
      </w:r>
      <w:r>
        <w:rPr>
          <w:rFonts w:hint="eastAsia" w:eastAsia="仿宋_GB2312" w:cs="新宋体"/>
          <w:spacing w:val="-7"/>
          <w:sz w:val="30"/>
          <w:szCs w:val="28"/>
        </w:rPr>
        <w:t>（若有，以下简称“</w:t>
      </w:r>
      <w:r>
        <w:rPr>
          <w:rFonts w:hint="eastAsia" w:eastAsia="仿宋_GB2312" w:cs="新宋体"/>
          <w:b/>
          <w:bCs/>
          <w:spacing w:val="-7"/>
          <w:sz w:val="30"/>
          <w:szCs w:val="28"/>
        </w:rPr>
        <w:t>补充协议</w:t>
      </w:r>
      <w:r>
        <w:rPr>
          <w:rFonts w:hint="eastAsia" w:eastAsia="仿宋_GB2312" w:cs="新宋体"/>
          <w:spacing w:val="-7"/>
          <w:sz w:val="30"/>
          <w:szCs w:val="28"/>
        </w:rPr>
        <w:t>”）</w:t>
      </w:r>
      <w:r>
        <w:rPr>
          <w:rFonts w:hint="eastAsia" w:eastAsia="仿宋_GB2312" w:cs="新宋体"/>
          <w:spacing w:val="-3"/>
          <w:sz w:val="30"/>
          <w:szCs w:val="28"/>
        </w:rPr>
        <w:t>，</w:t>
      </w:r>
      <w:r>
        <w:rPr>
          <w:rFonts w:hint="eastAsia" w:eastAsia="仿宋_GB2312" w:cs="新宋体"/>
          <w:b/>
          <w:bCs/>
          <w:spacing w:val="-3"/>
          <w:sz w:val="30"/>
          <w:szCs w:val="28"/>
        </w:rPr>
        <w:t>本确认书</w:t>
      </w:r>
      <w:r>
        <w:rPr>
          <w:rFonts w:hint="eastAsia" w:eastAsia="仿宋_GB2312" w:cs="新宋体"/>
          <w:spacing w:val="-3"/>
          <w:sz w:val="30"/>
          <w:szCs w:val="28"/>
        </w:rPr>
        <w:t>构成</w:t>
      </w:r>
      <w:r>
        <w:rPr>
          <w:rFonts w:hint="eastAsia" w:eastAsia="仿宋_GB2312" w:cs="新宋体"/>
          <w:b/>
          <w:bCs/>
          <w:spacing w:val="-3"/>
          <w:sz w:val="30"/>
          <w:szCs w:val="28"/>
        </w:rPr>
        <w:t>主协议</w:t>
      </w:r>
      <w:r>
        <w:rPr>
          <w:rFonts w:hint="eastAsia" w:eastAsia="仿宋_GB2312" w:cs="新宋体"/>
          <w:spacing w:val="-3"/>
          <w:sz w:val="30"/>
          <w:szCs w:val="28"/>
        </w:rPr>
        <w:t>所称的“</w:t>
      </w:r>
      <w:r>
        <w:rPr>
          <w:rFonts w:hint="eastAsia" w:eastAsia="仿宋_GB2312" w:cs="新宋体"/>
          <w:b/>
          <w:bCs/>
          <w:spacing w:val="-3"/>
          <w:sz w:val="30"/>
          <w:szCs w:val="28"/>
        </w:rPr>
        <w:t>交易确认书</w:t>
      </w:r>
      <w:r>
        <w:rPr>
          <w:rFonts w:hint="eastAsia" w:eastAsia="仿宋_GB2312" w:cs="新宋体"/>
          <w:spacing w:val="-3"/>
          <w:sz w:val="30"/>
          <w:szCs w:val="28"/>
        </w:rPr>
        <w:t>”，</w:t>
      </w:r>
      <w:r>
        <w:rPr>
          <w:rFonts w:hint="eastAsia" w:eastAsia="仿宋_GB2312" w:cs="新宋体"/>
          <w:b/>
          <w:bCs/>
          <w:spacing w:val="-3"/>
          <w:sz w:val="30"/>
          <w:szCs w:val="28"/>
        </w:rPr>
        <w:t>主协议</w:t>
      </w:r>
      <w:r>
        <w:rPr>
          <w:rFonts w:hint="eastAsia" w:eastAsia="仿宋_GB2312" w:cs="新宋体"/>
          <w:spacing w:val="-3"/>
          <w:sz w:val="30"/>
          <w:szCs w:val="28"/>
        </w:rPr>
        <w:t>和</w:t>
      </w:r>
      <w:r>
        <w:rPr>
          <w:rFonts w:hint="eastAsia" w:eastAsia="仿宋_GB2312" w:cs="新宋体"/>
          <w:b/>
          <w:bCs/>
          <w:spacing w:val="-3"/>
          <w:sz w:val="30"/>
          <w:szCs w:val="28"/>
        </w:rPr>
        <w:t>补充协议</w:t>
      </w:r>
      <w:r>
        <w:rPr>
          <w:rFonts w:hint="eastAsia" w:eastAsia="仿宋_GB2312" w:cs="新宋体"/>
          <w:spacing w:val="-3"/>
          <w:sz w:val="30"/>
          <w:szCs w:val="28"/>
        </w:rPr>
        <w:t>（如有）中</w:t>
      </w:r>
      <w:r>
        <w:rPr>
          <w:rFonts w:hint="eastAsia" w:eastAsia="仿宋_GB2312" w:cs="新宋体"/>
          <w:sz w:val="30"/>
          <w:szCs w:val="28"/>
        </w:rPr>
        <w:t>的全部条款，除上海证券交易所、</w:t>
      </w:r>
      <w:r>
        <w:rPr>
          <w:rFonts w:hint="eastAsia" w:eastAsia="仿宋_GB2312" w:cs="新宋体"/>
          <w:b/>
          <w:bCs/>
          <w:sz w:val="30"/>
          <w:szCs w:val="28"/>
        </w:rPr>
        <w:t>交易双方</w:t>
      </w:r>
      <w:r>
        <w:rPr>
          <w:rFonts w:hint="eastAsia" w:eastAsia="仿宋_GB2312" w:cs="新宋体"/>
          <w:sz w:val="30"/>
          <w:szCs w:val="28"/>
        </w:rPr>
        <w:t>另有特别规定或约定，适用于</w:t>
      </w:r>
      <w:r>
        <w:rPr>
          <w:rFonts w:hint="eastAsia" w:eastAsia="仿宋_GB2312" w:cs="新宋体"/>
          <w:b/>
          <w:bCs/>
          <w:sz w:val="30"/>
          <w:szCs w:val="28"/>
        </w:rPr>
        <w:t>本确认书</w:t>
      </w:r>
      <w:r>
        <w:rPr>
          <w:rFonts w:hint="eastAsia" w:eastAsia="仿宋_GB2312" w:cs="新宋体"/>
          <w:sz w:val="30"/>
          <w:szCs w:val="28"/>
        </w:rPr>
        <w:t>。</w:t>
      </w:r>
    </w:p>
    <w:p w14:paraId="2B635DCA">
      <w:pPr>
        <w:spacing w:before="156" w:line="560" w:lineRule="exact"/>
        <w:ind w:right="193" w:firstLine="586" w:firstLineChars="200"/>
        <w:rPr>
          <w:rFonts w:eastAsia="仿宋_GB2312" w:cs="新宋体"/>
          <w:sz w:val="30"/>
          <w:szCs w:val="28"/>
        </w:rPr>
      </w:pPr>
      <w:r>
        <w:rPr>
          <w:rFonts w:hint="eastAsia" w:eastAsia="仿宋_GB2312" w:cs="新宋体"/>
          <w:b/>
          <w:bCs/>
          <w:spacing w:val="-4"/>
          <w:sz w:val="30"/>
          <w:szCs w:val="28"/>
        </w:rPr>
        <w:t>本确认书</w:t>
      </w:r>
      <w:r>
        <w:rPr>
          <w:rFonts w:hint="eastAsia" w:eastAsia="仿宋_GB2312" w:cs="新宋体"/>
          <w:spacing w:val="-4"/>
          <w:sz w:val="30"/>
          <w:szCs w:val="28"/>
        </w:rPr>
        <w:t>与</w:t>
      </w:r>
      <w:r>
        <w:rPr>
          <w:rFonts w:hint="eastAsia" w:eastAsia="仿宋_GB2312" w:cs="新宋体"/>
          <w:b/>
          <w:bCs/>
          <w:spacing w:val="-4"/>
          <w:sz w:val="30"/>
          <w:szCs w:val="28"/>
        </w:rPr>
        <w:t>主协议</w:t>
      </w:r>
      <w:r>
        <w:rPr>
          <w:rFonts w:hint="eastAsia" w:eastAsia="仿宋_GB2312" w:cs="新宋体"/>
          <w:spacing w:val="-4"/>
          <w:sz w:val="30"/>
          <w:szCs w:val="28"/>
        </w:rPr>
        <w:t>、</w:t>
      </w:r>
      <w:r>
        <w:rPr>
          <w:rFonts w:hint="eastAsia" w:eastAsia="仿宋_GB2312" w:cs="新宋体"/>
          <w:b/>
          <w:bCs/>
          <w:spacing w:val="-4"/>
          <w:sz w:val="30"/>
          <w:szCs w:val="28"/>
        </w:rPr>
        <w:t>补充协议</w:t>
      </w:r>
      <w:r>
        <w:rPr>
          <w:rFonts w:hint="eastAsia" w:eastAsia="仿宋_GB2312" w:cs="新宋体"/>
          <w:spacing w:val="-4"/>
          <w:sz w:val="30"/>
          <w:szCs w:val="28"/>
        </w:rPr>
        <w:t>以及交易双方认可的确认</w:t>
      </w:r>
      <w:r>
        <w:rPr>
          <w:rFonts w:hint="eastAsia" w:eastAsia="仿宋_GB2312" w:cs="新宋体"/>
          <w:b/>
          <w:bCs/>
          <w:spacing w:val="-4"/>
          <w:sz w:val="30"/>
          <w:szCs w:val="28"/>
        </w:rPr>
        <w:t>交易双方</w:t>
      </w:r>
      <w:r>
        <w:rPr>
          <w:rFonts w:hint="eastAsia" w:eastAsia="仿宋_GB2312" w:cs="新宋体"/>
          <w:spacing w:val="-4"/>
          <w:sz w:val="30"/>
          <w:szCs w:val="28"/>
        </w:rPr>
        <w:t>之间信用保护合约</w:t>
      </w:r>
      <w:r>
        <w:rPr>
          <w:rFonts w:hint="eastAsia" w:eastAsia="仿宋_GB2312" w:cs="新宋体"/>
          <w:spacing w:val="-3"/>
          <w:sz w:val="30"/>
          <w:szCs w:val="28"/>
        </w:rPr>
        <w:t>交易的所有援引了</w:t>
      </w:r>
      <w:r>
        <w:rPr>
          <w:rFonts w:hint="eastAsia" w:eastAsia="仿宋_GB2312" w:cs="新宋体"/>
          <w:b/>
          <w:bCs/>
          <w:spacing w:val="-3"/>
          <w:sz w:val="30"/>
          <w:szCs w:val="28"/>
        </w:rPr>
        <w:t>主协议</w:t>
      </w:r>
      <w:r>
        <w:rPr>
          <w:rFonts w:hint="eastAsia" w:eastAsia="仿宋_GB2312" w:cs="新宋体"/>
          <w:spacing w:val="-3"/>
          <w:sz w:val="30"/>
          <w:szCs w:val="28"/>
        </w:rPr>
        <w:t>的其他文件（以下简称“</w:t>
      </w:r>
      <w:r>
        <w:rPr>
          <w:rFonts w:hint="eastAsia" w:eastAsia="仿宋_GB2312" w:cs="新宋体"/>
          <w:b/>
          <w:bCs/>
          <w:spacing w:val="-3"/>
          <w:sz w:val="30"/>
          <w:szCs w:val="28"/>
        </w:rPr>
        <w:t>其他文件</w:t>
      </w:r>
      <w:r>
        <w:rPr>
          <w:rFonts w:hint="eastAsia" w:eastAsia="仿宋_GB2312" w:cs="新宋体"/>
          <w:spacing w:val="-3"/>
          <w:sz w:val="30"/>
          <w:szCs w:val="28"/>
        </w:rPr>
        <w:t>”），共同构成</w:t>
      </w:r>
      <w:r>
        <w:rPr>
          <w:rFonts w:hint="eastAsia" w:eastAsia="仿宋_GB2312" w:cs="新宋体"/>
          <w:b/>
          <w:bCs/>
          <w:spacing w:val="-3"/>
          <w:sz w:val="30"/>
          <w:szCs w:val="28"/>
        </w:rPr>
        <w:t>交易双方</w:t>
      </w:r>
      <w:r>
        <w:rPr>
          <w:rFonts w:hint="eastAsia" w:eastAsia="仿宋_GB2312" w:cs="新宋体"/>
          <w:spacing w:val="-3"/>
          <w:sz w:val="30"/>
          <w:szCs w:val="28"/>
        </w:rPr>
        <w:t>之间单一和完整的协议。就</w:t>
      </w:r>
      <w:r>
        <w:rPr>
          <w:rFonts w:hint="eastAsia" w:eastAsia="仿宋_GB2312" w:cs="新宋体"/>
          <w:b/>
          <w:bCs/>
          <w:spacing w:val="-3"/>
          <w:sz w:val="30"/>
          <w:szCs w:val="28"/>
        </w:rPr>
        <w:t>本确认书</w:t>
      </w:r>
      <w:r>
        <w:rPr>
          <w:rFonts w:hint="eastAsia" w:eastAsia="仿宋_GB2312" w:cs="新宋体"/>
          <w:spacing w:val="-3"/>
          <w:sz w:val="30"/>
          <w:szCs w:val="28"/>
        </w:rPr>
        <w:t>项下的</w:t>
      </w:r>
      <w:r>
        <w:rPr>
          <w:rFonts w:hint="eastAsia" w:eastAsia="仿宋_GB2312" w:cs="新宋体"/>
          <w:b/>
          <w:bCs/>
          <w:spacing w:val="-3"/>
          <w:sz w:val="30"/>
          <w:szCs w:val="28"/>
        </w:rPr>
        <w:t>交易</w:t>
      </w:r>
      <w:r>
        <w:rPr>
          <w:rFonts w:hint="eastAsia" w:eastAsia="仿宋_GB2312" w:cs="新宋体"/>
          <w:spacing w:val="-3"/>
          <w:sz w:val="30"/>
          <w:szCs w:val="28"/>
        </w:rPr>
        <w:t>而言，若</w:t>
      </w:r>
      <w:r>
        <w:rPr>
          <w:rFonts w:hint="eastAsia" w:eastAsia="仿宋_GB2312" w:cs="新宋体"/>
          <w:b/>
          <w:bCs/>
          <w:spacing w:val="-3"/>
          <w:sz w:val="30"/>
          <w:szCs w:val="28"/>
        </w:rPr>
        <w:t>本确认书</w:t>
      </w:r>
      <w:r>
        <w:rPr>
          <w:rFonts w:hint="eastAsia" w:eastAsia="仿宋_GB2312" w:cs="新宋体"/>
          <w:spacing w:val="-3"/>
          <w:sz w:val="30"/>
          <w:szCs w:val="28"/>
        </w:rPr>
        <w:t>的约定与</w:t>
      </w:r>
      <w:r>
        <w:rPr>
          <w:rFonts w:hint="eastAsia" w:eastAsia="仿宋_GB2312" w:cs="新宋体"/>
          <w:b/>
          <w:bCs/>
          <w:sz w:val="30"/>
          <w:szCs w:val="28"/>
        </w:rPr>
        <w:t>主协议</w:t>
      </w:r>
      <w:r>
        <w:rPr>
          <w:rFonts w:hint="eastAsia" w:eastAsia="仿宋_GB2312" w:cs="新宋体"/>
          <w:sz w:val="30"/>
          <w:szCs w:val="28"/>
        </w:rPr>
        <w:t>、</w:t>
      </w:r>
      <w:r>
        <w:rPr>
          <w:rFonts w:hint="eastAsia" w:eastAsia="仿宋_GB2312" w:cs="新宋体"/>
          <w:b/>
          <w:bCs/>
          <w:sz w:val="30"/>
          <w:szCs w:val="28"/>
        </w:rPr>
        <w:t>补充协议</w:t>
      </w:r>
      <w:r>
        <w:rPr>
          <w:rFonts w:hint="eastAsia" w:eastAsia="仿宋_GB2312" w:cs="新宋体"/>
          <w:sz w:val="30"/>
          <w:szCs w:val="28"/>
        </w:rPr>
        <w:t>或</w:t>
      </w:r>
      <w:r>
        <w:rPr>
          <w:rFonts w:hint="eastAsia" w:eastAsia="仿宋_GB2312" w:cs="新宋体"/>
          <w:b/>
          <w:bCs/>
          <w:sz w:val="30"/>
          <w:szCs w:val="28"/>
        </w:rPr>
        <w:t>其他文件</w:t>
      </w:r>
      <w:r>
        <w:rPr>
          <w:rFonts w:hint="eastAsia" w:eastAsia="仿宋_GB2312" w:cs="新宋体"/>
          <w:sz w:val="30"/>
          <w:szCs w:val="28"/>
        </w:rPr>
        <w:t>（如有）的约定有冲突，在不违反</w:t>
      </w:r>
      <w:r>
        <w:rPr>
          <w:rFonts w:hint="eastAsia" w:eastAsia="仿宋_GB2312" w:cs="新宋体"/>
          <w:bCs/>
          <w:sz w:val="30"/>
          <w:szCs w:val="28"/>
        </w:rPr>
        <w:t>上海证券交易所</w:t>
      </w:r>
      <w:r>
        <w:rPr>
          <w:rFonts w:hint="eastAsia" w:eastAsia="仿宋_GB2312" w:cs="新宋体"/>
          <w:sz w:val="30"/>
          <w:szCs w:val="28"/>
        </w:rPr>
        <w:t>相关规定的条件下，应以</w:t>
      </w:r>
      <w:r>
        <w:rPr>
          <w:rFonts w:hint="eastAsia" w:eastAsia="仿宋_GB2312" w:cs="新宋体"/>
          <w:b/>
          <w:bCs/>
          <w:sz w:val="30"/>
          <w:szCs w:val="28"/>
        </w:rPr>
        <w:t>本确认书</w:t>
      </w:r>
      <w:r>
        <w:rPr>
          <w:rFonts w:hint="eastAsia" w:eastAsia="仿宋_GB2312" w:cs="新宋体"/>
          <w:sz w:val="30"/>
          <w:szCs w:val="28"/>
        </w:rPr>
        <w:t>的约定为准。</w:t>
      </w:r>
    </w:p>
    <w:p w14:paraId="3D327281">
      <w:pPr>
        <w:spacing w:before="125" w:line="560" w:lineRule="exact"/>
        <w:ind w:firstLine="614" w:firstLineChars="200"/>
        <w:rPr>
          <w:rFonts w:eastAsia="仿宋_GB2312" w:cs="新宋体"/>
          <w:sz w:val="30"/>
          <w:szCs w:val="28"/>
        </w:rPr>
      </w:pPr>
      <w:r>
        <w:rPr>
          <w:rFonts w:hint="eastAsia" w:eastAsia="仿宋_GB2312" w:cs="新宋体"/>
          <w:b/>
          <w:bCs/>
          <w:spacing w:val="3"/>
          <w:sz w:val="30"/>
          <w:szCs w:val="28"/>
        </w:rPr>
        <w:t>本确认书</w:t>
      </w:r>
      <w:r>
        <w:rPr>
          <w:rFonts w:hint="eastAsia" w:eastAsia="仿宋_GB2312" w:cs="新宋体"/>
          <w:spacing w:val="3"/>
          <w:sz w:val="30"/>
          <w:szCs w:val="28"/>
        </w:rPr>
        <w:t>取代</w:t>
      </w:r>
      <w:r>
        <w:rPr>
          <w:rFonts w:hint="eastAsia" w:eastAsia="仿宋_GB2312" w:cs="新宋体"/>
          <w:b/>
          <w:bCs/>
          <w:spacing w:val="3"/>
          <w:sz w:val="30"/>
          <w:szCs w:val="28"/>
        </w:rPr>
        <w:t>交易双方</w:t>
      </w:r>
      <w:r>
        <w:rPr>
          <w:rFonts w:hint="eastAsia" w:eastAsia="仿宋_GB2312" w:cs="新宋体"/>
          <w:spacing w:val="3"/>
          <w:sz w:val="30"/>
          <w:szCs w:val="28"/>
        </w:rPr>
        <w:t>在</w:t>
      </w:r>
      <w:r>
        <w:rPr>
          <w:rFonts w:hint="eastAsia" w:eastAsia="仿宋_GB2312" w:cs="新宋体"/>
          <w:b/>
          <w:bCs/>
          <w:spacing w:val="3"/>
          <w:sz w:val="30"/>
          <w:szCs w:val="28"/>
        </w:rPr>
        <w:t>本确认书</w:t>
      </w:r>
      <w:r>
        <w:rPr>
          <w:rFonts w:hint="eastAsia" w:eastAsia="仿宋_GB2312" w:cs="新宋体"/>
          <w:spacing w:val="3"/>
          <w:sz w:val="30"/>
          <w:szCs w:val="28"/>
        </w:rPr>
        <w:t>的</w:t>
      </w:r>
      <w:r>
        <w:rPr>
          <w:rFonts w:hint="eastAsia" w:eastAsia="仿宋_GB2312" w:cs="新宋体"/>
          <w:b/>
          <w:bCs/>
          <w:spacing w:val="3"/>
          <w:sz w:val="30"/>
          <w:szCs w:val="28"/>
        </w:rPr>
        <w:t>签署日</w:t>
      </w:r>
      <w:r>
        <w:rPr>
          <w:rFonts w:hint="eastAsia" w:eastAsia="仿宋_GB2312" w:cs="新宋体"/>
          <w:spacing w:val="3"/>
          <w:sz w:val="30"/>
          <w:szCs w:val="28"/>
        </w:rPr>
        <w:t>之前就</w:t>
      </w:r>
      <w:r>
        <w:rPr>
          <w:rFonts w:hint="eastAsia" w:eastAsia="仿宋_GB2312" w:cs="新宋体"/>
          <w:b/>
          <w:bCs/>
          <w:spacing w:val="-4"/>
          <w:sz w:val="30"/>
          <w:szCs w:val="28"/>
        </w:rPr>
        <w:t>本确认书</w:t>
      </w:r>
      <w:r>
        <w:rPr>
          <w:rFonts w:hint="eastAsia" w:eastAsia="仿宋_GB2312" w:cs="新宋体"/>
          <w:spacing w:val="-4"/>
          <w:sz w:val="30"/>
          <w:szCs w:val="28"/>
        </w:rPr>
        <w:t>项下的</w:t>
      </w:r>
      <w:r>
        <w:rPr>
          <w:rFonts w:hint="eastAsia" w:eastAsia="仿宋_GB2312" w:cs="新宋体"/>
          <w:spacing w:val="3"/>
          <w:sz w:val="30"/>
          <w:szCs w:val="28"/>
        </w:rPr>
        <w:t>该项</w:t>
      </w:r>
      <w:r>
        <w:rPr>
          <w:rFonts w:hint="eastAsia" w:eastAsia="仿宋_GB2312" w:cs="新宋体"/>
          <w:b/>
          <w:bCs/>
          <w:spacing w:val="3"/>
          <w:sz w:val="30"/>
          <w:szCs w:val="28"/>
        </w:rPr>
        <w:t>交易</w:t>
      </w:r>
      <w:r>
        <w:rPr>
          <w:rFonts w:hint="eastAsia" w:eastAsia="仿宋_GB2312" w:cs="新宋体"/>
          <w:spacing w:val="3"/>
          <w:sz w:val="30"/>
          <w:szCs w:val="28"/>
        </w:rPr>
        <w:t>所作出的任何其他确认</w:t>
      </w:r>
      <w:r>
        <w:rPr>
          <w:rFonts w:hint="eastAsia" w:eastAsia="仿宋_GB2312" w:cs="新宋体"/>
          <w:sz w:val="30"/>
          <w:szCs w:val="28"/>
        </w:rPr>
        <w:t>（包括但不限于其他书面确认、电话及口头确认）。</w:t>
      </w:r>
    </w:p>
    <w:p w14:paraId="644805BA">
      <w:pPr>
        <w:spacing w:before="125" w:line="560" w:lineRule="exact"/>
        <w:ind w:firstLine="602" w:firstLineChars="200"/>
        <w:rPr>
          <w:rFonts w:eastAsia="仿宋_GB2312" w:cs="新宋体"/>
          <w:sz w:val="30"/>
          <w:szCs w:val="28"/>
        </w:rPr>
      </w:pPr>
      <w:r>
        <w:rPr>
          <w:rFonts w:hint="eastAsia" w:eastAsia="仿宋_GB2312" w:cs="新宋体"/>
          <w:b/>
          <w:bCs/>
          <w:sz w:val="30"/>
          <w:szCs w:val="28"/>
        </w:rPr>
        <w:t>本确认书</w:t>
      </w:r>
      <w:r>
        <w:rPr>
          <w:rFonts w:hint="eastAsia" w:eastAsia="仿宋_GB2312" w:cs="新宋体"/>
          <w:sz w:val="30"/>
          <w:szCs w:val="28"/>
        </w:rPr>
        <w:t>中的未明确的定义，参照《上海证券交易所</w:t>
      </w:r>
      <w:r>
        <w:rPr>
          <w:rFonts w:eastAsia="仿宋_GB2312" w:cs="新宋体"/>
          <w:sz w:val="30"/>
          <w:szCs w:val="28"/>
        </w:rPr>
        <w:t xml:space="preserve"> </w:t>
      </w:r>
      <w:r>
        <w:rPr>
          <w:rFonts w:hint="eastAsia" w:eastAsia="仿宋_GB2312" w:cs="新宋体"/>
          <w:sz w:val="30"/>
          <w:szCs w:val="28"/>
        </w:rPr>
        <w:t>中国证券登记结算有限责任公司信用保护工具业务管理试点办法》、《上海证券交易所信用保护工具交易业务指引》、</w:t>
      </w:r>
      <w:r>
        <w:rPr>
          <w:rFonts w:hint="eastAsia" w:eastAsia="仿宋_GB2312" w:cs="新宋体"/>
          <w:b/>
          <w:bCs/>
          <w:sz w:val="30"/>
          <w:szCs w:val="28"/>
        </w:rPr>
        <w:t>主协议</w:t>
      </w:r>
      <w:r>
        <w:rPr>
          <w:rFonts w:hint="eastAsia" w:eastAsia="仿宋_GB2312" w:cs="新宋体"/>
          <w:sz w:val="30"/>
          <w:szCs w:val="28"/>
        </w:rPr>
        <w:t>及其</w:t>
      </w:r>
      <w:r>
        <w:rPr>
          <w:rFonts w:hint="eastAsia" w:eastAsia="仿宋_GB2312" w:cs="新宋体"/>
          <w:b/>
          <w:bCs/>
          <w:sz w:val="30"/>
          <w:szCs w:val="28"/>
        </w:rPr>
        <w:t>补充协议</w:t>
      </w:r>
      <w:r>
        <w:rPr>
          <w:rFonts w:hint="eastAsia" w:eastAsia="仿宋_GB2312" w:cs="新宋体"/>
          <w:sz w:val="30"/>
          <w:szCs w:val="28"/>
        </w:rPr>
        <w:t>中的定义。</w:t>
      </w:r>
    </w:p>
    <w:p w14:paraId="4DD9F905">
      <w:pPr>
        <w:spacing w:before="125" w:line="560" w:lineRule="exact"/>
        <w:ind w:firstLine="602" w:firstLineChars="200"/>
        <w:rPr>
          <w:rFonts w:eastAsia="仿宋_GB2312" w:cs="新宋体"/>
          <w:sz w:val="30"/>
          <w:szCs w:val="28"/>
        </w:rPr>
      </w:pPr>
      <w:r>
        <w:rPr>
          <w:rFonts w:hint="eastAsia" w:eastAsia="仿宋_GB2312" w:cs="新宋体"/>
          <w:b/>
          <w:bCs/>
          <w:sz w:val="30"/>
          <w:szCs w:val="28"/>
        </w:rPr>
        <w:t>本确认书</w:t>
      </w:r>
      <w:r>
        <w:rPr>
          <w:rFonts w:hint="eastAsia" w:eastAsia="仿宋_GB2312" w:cs="新宋体"/>
          <w:sz w:val="30"/>
          <w:szCs w:val="28"/>
        </w:rPr>
        <w:t>正本一式</w:t>
      </w:r>
      <w:r>
        <w:rPr>
          <w:rFonts w:hint="eastAsia" w:eastAsia="仿宋_GB2312" w:cs="新宋体"/>
          <w:b/>
          <w:spacing w:val="-3"/>
          <w:sz w:val="30"/>
          <w:szCs w:val="28"/>
        </w:rPr>
        <w:t>【】</w:t>
      </w:r>
      <w:r>
        <w:rPr>
          <w:rFonts w:hint="eastAsia" w:eastAsia="仿宋_GB2312" w:cs="新宋体"/>
          <w:sz w:val="30"/>
          <w:szCs w:val="28"/>
        </w:rPr>
        <w:t>份，</w:t>
      </w:r>
      <w:r>
        <w:rPr>
          <w:rFonts w:hint="eastAsia" w:eastAsia="仿宋_GB2312" w:cs="新宋体"/>
          <w:b/>
          <w:bCs/>
          <w:sz w:val="30"/>
          <w:szCs w:val="28"/>
        </w:rPr>
        <w:t>交易双方</w:t>
      </w:r>
      <w:r>
        <w:rPr>
          <w:rFonts w:hint="eastAsia" w:eastAsia="仿宋_GB2312" w:cs="新宋体"/>
          <w:sz w:val="30"/>
          <w:szCs w:val="28"/>
        </w:rPr>
        <w:t>各持</w:t>
      </w:r>
      <w:r>
        <w:rPr>
          <w:rFonts w:hint="eastAsia" w:eastAsia="仿宋_GB2312" w:cs="新宋体"/>
          <w:b/>
          <w:spacing w:val="-3"/>
          <w:sz w:val="30"/>
          <w:szCs w:val="28"/>
        </w:rPr>
        <w:t>【】</w:t>
      </w:r>
      <w:r>
        <w:rPr>
          <w:rFonts w:hint="eastAsia" w:eastAsia="仿宋_GB2312" w:cs="新宋体"/>
          <w:sz w:val="30"/>
          <w:szCs w:val="28"/>
        </w:rPr>
        <w:t>份，每份具有同等的法律效力。</w:t>
      </w:r>
    </w:p>
    <w:p w14:paraId="789778E2">
      <w:pPr>
        <w:spacing w:before="125" w:line="560" w:lineRule="exact"/>
        <w:ind w:firstLine="600" w:firstLineChars="200"/>
        <w:rPr>
          <w:rFonts w:eastAsia="仿宋_GB2312" w:cs="新宋体"/>
          <w:sz w:val="30"/>
          <w:szCs w:val="28"/>
        </w:rPr>
      </w:pPr>
    </w:p>
    <w:p w14:paraId="425318E7">
      <w:pPr>
        <w:spacing w:before="72" w:after="72" w:line="560" w:lineRule="exact"/>
        <w:rPr>
          <w:rFonts w:eastAsia="仿宋_GB2312" w:cs="新宋体"/>
          <w:b/>
          <w:bCs/>
          <w:sz w:val="30"/>
          <w:szCs w:val="28"/>
        </w:rPr>
      </w:pPr>
      <w:r>
        <w:rPr>
          <w:rFonts w:hint="eastAsia" w:eastAsia="仿宋_GB2312" w:cs="新宋体"/>
          <w:b/>
          <w:bCs/>
          <w:sz w:val="30"/>
          <w:szCs w:val="28"/>
        </w:rPr>
        <w:t>一、适用的金融产品</w:t>
      </w:r>
    </w:p>
    <w:p w14:paraId="6C12DF97">
      <w:pPr>
        <w:spacing w:before="125" w:line="560" w:lineRule="exact"/>
        <w:ind w:firstLine="602" w:firstLineChars="200"/>
        <w:rPr>
          <w:rFonts w:eastAsia="仿宋_GB2312" w:cs="新宋体"/>
          <w:sz w:val="30"/>
          <w:szCs w:val="28"/>
        </w:rPr>
      </w:pPr>
      <w:r>
        <w:rPr>
          <w:rFonts w:hint="eastAsia" w:eastAsia="仿宋_GB2312" w:cs="新宋体"/>
          <w:b/>
          <w:bCs/>
          <w:sz w:val="30"/>
          <w:szCs w:val="28"/>
        </w:rPr>
        <w:t>本确认书</w:t>
      </w:r>
      <w:r>
        <w:rPr>
          <w:rFonts w:hint="eastAsia" w:eastAsia="仿宋_GB2312" w:cs="新宋体"/>
          <w:sz w:val="30"/>
          <w:szCs w:val="28"/>
        </w:rPr>
        <w:t>为</w:t>
      </w:r>
      <w:r>
        <w:rPr>
          <w:rFonts w:hint="eastAsia" w:eastAsia="仿宋_GB2312" w:cs="新宋体"/>
          <w:b/>
          <w:bCs/>
          <w:sz w:val="30"/>
          <w:szCs w:val="28"/>
        </w:rPr>
        <w:t>甲方</w:t>
      </w:r>
      <w:r>
        <w:rPr>
          <w:rFonts w:hint="eastAsia" w:eastAsia="仿宋_GB2312" w:cs="新宋体"/>
          <w:sz w:val="30"/>
          <w:szCs w:val="28"/>
        </w:rPr>
        <w:t>作为以下</w:t>
      </w:r>
      <w:r>
        <w:rPr>
          <w:rFonts w:hint="eastAsia" w:eastAsia="仿宋_GB2312" w:cs="新宋体"/>
          <w:b/>
          <w:bCs/>
          <w:sz w:val="30"/>
          <w:szCs w:val="28"/>
        </w:rPr>
        <w:t>金融产品</w:t>
      </w:r>
      <w:r>
        <w:rPr>
          <w:rFonts w:hint="eastAsia" w:eastAsia="仿宋_GB2312" w:cs="新宋体"/>
          <w:sz w:val="30"/>
          <w:szCs w:val="28"/>
        </w:rPr>
        <w:t>的管理人代表该</w:t>
      </w:r>
      <w:r>
        <w:rPr>
          <w:rFonts w:hint="eastAsia" w:eastAsia="仿宋_GB2312" w:cs="新宋体"/>
          <w:b/>
          <w:bCs/>
          <w:sz w:val="30"/>
          <w:szCs w:val="28"/>
        </w:rPr>
        <w:t>金融产品</w:t>
      </w:r>
      <w:r>
        <w:rPr>
          <w:rFonts w:hint="eastAsia" w:eastAsia="仿宋_GB2312" w:cs="新宋体"/>
          <w:sz w:val="30"/>
          <w:szCs w:val="28"/>
        </w:rPr>
        <w:t>与</w:t>
      </w:r>
      <w:r>
        <w:rPr>
          <w:rFonts w:hint="eastAsia" w:eastAsia="仿宋_GB2312" w:cs="新宋体"/>
          <w:b/>
          <w:bCs/>
          <w:sz w:val="30"/>
          <w:szCs w:val="28"/>
        </w:rPr>
        <w:t>乙方</w:t>
      </w:r>
      <w:r>
        <w:rPr>
          <w:rFonts w:hint="eastAsia" w:eastAsia="仿宋_GB2312" w:cs="新宋体"/>
          <w:sz w:val="30"/>
          <w:szCs w:val="28"/>
        </w:rPr>
        <w:t>达成的，因此</w:t>
      </w:r>
      <w:r>
        <w:rPr>
          <w:rFonts w:hint="eastAsia" w:eastAsia="仿宋_GB2312" w:cs="新宋体"/>
          <w:b/>
          <w:bCs/>
          <w:sz w:val="30"/>
          <w:szCs w:val="28"/>
        </w:rPr>
        <w:t>交易双方</w:t>
      </w:r>
      <w:r>
        <w:rPr>
          <w:rFonts w:hint="eastAsia" w:eastAsia="仿宋_GB2312" w:cs="新宋体"/>
          <w:sz w:val="30"/>
          <w:szCs w:val="28"/>
        </w:rPr>
        <w:t>达成的</w:t>
      </w:r>
      <w:r>
        <w:rPr>
          <w:rFonts w:hint="eastAsia" w:eastAsia="仿宋_GB2312" w:cs="新宋体"/>
          <w:b/>
          <w:bCs/>
          <w:sz w:val="30"/>
          <w:szCs w:val="28"/>
        </w:rPr>
        <w:t>本确认书</w:t>
      </w:r>
      <w:r>
        <w:rPr>
          <w:rFonts w:hint="eastAsia" w:eastAsia="仿宋_GB2312" w:cs="新宋体"/>
          <w:sz w:val="30"/>
          <w:szCs w:val="28"/>
        </w:rPr>
        <w:t>所涉及的</w:t>
      </w:r>
      <w:r>
        <w:rPr>
          <w:rFonts w:hint="eastAsia" w:eastAsia="仿宋_GB2312" w:cs="新宋体"/>
          <w:b/>
          <w:bCs/>
          <w:sz w:val="30"/>
          <w:szCs w:val="28"/>
        </w:rPr>
        <w:t>甲方</w:t>
      </w:r>
      <w:r>
        <w:rPr>
          <w:rFonts w:hint="eastAsia" w:eastAsia="仿宋_GB2312" w:cs="新宋体"/>
          <w:sz w:val="30"/>
          <w:szCs w:val="28"/>
        </w:rPr>
        <w:t>的权利和义务，除不适用于该</w:t>
      </w:r>
      <w:r>
        <w:rPr>
          <w:rFonts w:hint="eastAsia" w:eastAsia="仿宋_GB2312" w:cs="新宋体"/>
          <w:b/>
          <w:bCs/>
          <w:sz w:val="30"/>
          <w:szCs w:val="28"/>
        </w:rPr>
        <w:t>金融产品</w:t>
      </w:r>
      <w:r>
        <w:rPr>
          <w:rFonts w:hint="eastAsia" w:eastAsia="仿宋_GB2312" w:cs="新宋体"/>
          <w:sz w:val="30"/>
          <w:szCs w:val="28"/>
        </w:rPr>
        <w:t>的以外，均指该</w:t>
      </w:r>
      <w:r>
        <w:rPr>
          <w:rFonts w:hint="eastAsia" w:eastAsia="仿宋_GB2312" w:cs="新宋体"/>
          <w:b/>
          <w:bCs/>
          <w:sz w:val="30"/>
          <w:szCs w:val="28"/>
        </w:rPr>
        <w:t>金融产品</w:t>
      </w:r>
      <w:r>
        <w:rPr>
          <w:rFonts w:hint="eastAsia" w:eastAsia="仿宋_GB2312" w:cs="新宋体"/>
          <w:sz w:val="30"/>
          <w:szCs w:val="28"/>
        </w:rPr>
        <w:t>的权利和义务由</w:t>
      </w:r>
      <w:r>
        <w:rPr>
          <w:rFonts w:hint="eastAsia" w:eastAsia="仿宋_GB2312" w:cs="新宋体"/>
          <w:b/>
          <w:bCs/>
          <w:sz w:val="30"/>
          <w:szCs w:val="28"/>
        </w:rPr>
        <w:t>甲方</w:t>
      </w:r>
      <w:r>
        <w:rPr>
          <w:rFonts w:hint="eastAsia" w:eastAsia="仿宋_GB2312" w:cs="新宋体"/>
          <w:sz w:val="30"/>
          <w:szCs w:val="28"/>
        </w:rPr>
        <w:t>代表该</w:t>
      </w:r>
      <w:r>
        <w:rPr>
          <w:rFonts w:hint="eastAsia" w:eastAsia="仿宋_GB2312" w:cs="新宋体"/>
          <w:b/>
          <w:bCs/>
          <w:sz w:val="30"/>
          <w:szCs w:val="28"/>
        </w:rPr>
        <w:t>金融产品</w:t>
      </w:r>
      <w:r>
        <w:rPr>
          <w:rFonts w:hint="eastAsia" w:eastAsia="仿宋_GB2312" w:cs="新宋体"/>
          <w:sz w:val="30"/>
          <w:szCs w:val="28"/>
        </w:rPr>
        <w:t>行使或作出。</w:t>
      </w:r>
    </w:p>
    <w:tbl>
      <w:tblPr>
        <w:tblStyle w:val="43"/>
        <w:tblW w:w="100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12"/>
        <w:gridCol w:w="1742"/>
        <w:gridCol w:w="1742"/>
        <w:gridCol w:w="1742"/>
      </w:tblGrid>
      <w:tr w14:paraId="35459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4812" w:type="dxa"/>
            <w:vAlign w:val="center"/>
          </w:tcPr>
          <w:p w14:paraId="50DEF921">
            <w:pPr>
              <w:widowControl/>
              <w:spacing w:line="560" w:lineRule="exact"/>
              <w:rPr>
                <w:rFonts w:eastAsia="仿宋_GB2312" w:cs="仿宋"/>
                <w:b/>
                <w:kern w:val="0"/>
                <w:sz w:val="30"/>
                <w:szCs w:val="28"/>
              </w:rPr>
            </w:pPr>
            <w:r>
              <w:rPr>
                <w:rFonts w:hint="eastAsia" w:eastAsia="仿宋_GB2312" w:cs="仿宋"/>
                <w:b/>
                <w:kern w:val="0"/>
                <w:sz w:val="30"/>
                <w:szCs w:val="28"/>
              </w:rPr>
              <w:t>金融产品名称</w:t>
            </w:r>
          </w:p>
        </w:tc>
        <w:tc>
          <w:tcPr>
            <w:tcW w:w="1742" w:type="dxa"/>
            <w:vAlign w:val="center"/>
          </w:tcPr>
          <w:p w14:paraId="5BA8345D">
            <w:pPr>
              <w:widowControl/>
              <w:spacing w:line="560" w:lineRule="exact"/>
              <w:rPr>
                <w:rFonts w:eastAsia="仿宋_GB2312" w:cs="仿宋"/>
                <w:b/>
                <w:kern w:val="0"/>
                <w:sz w:val="30"/>
                <w:szCs w:val="28"/>
              </w:rPr>
            </w:pPr>
            <w:r>
              <w:rPr>
                <w:rFonts w:hint="eastAsia" w:eastAsia="仿宋_GB2312" w:cs="仿宋"/>
                <w:b/>
                <w:kern w:val="0"/>
                <w:sz w:val="30"/>
                <w:szCs w:val="28"/>
              </w:rPr>
              <w:t>投资经理</w:t>
            </w:r>
          </w:p>
        </w:tc>
        <w:tc>
          <w:tcPr>
            <w:tcW w:w="1742" w:type="dxa"/>
          </w:tcPr>
          <w:p w14:paraId="5C2E6F12">
            <w:pPr>
              <w:widowControl/>
              <w:spacing w:line="560" w:lineRule="exact"/>
              <w:jc w:val="center"/>
              <w:rPr>
                <w:rFonts w:eastAsia="仿宋_GB2312" w:cs="仿宋"/>
                <w:b/>
                <w:kern w:val="0"/>
                <w:sz w:val="30"/>
                <w:szCs w:val="28"/>
              </w:rPr>
            </w:pPr>
            <w:r>
              <w:rPr>
                <w:rFonts w:hint="eastAsia" w:eastAsia="仿宋_GB2312" w:cs="仿宋"/>
                <w:b/>
                <w:kern w:val="0"/>
                <w:sz w:val="30"/>
                <w:szCs w:val="28"/>
              </w:rPr>
              <w:t>联系方式</w:t>
            </w:r>
          </w:p>
        </w:tc>
        <w:tc>
          <w:tcPr>
            <w:tcW w:w="1742" w:type="dxa"/>
            <w:vAlign w:val="center"/>
          </w:tcPr>
          <w:p w14:paraId="67DB2582">
            <w:pPr>
              <w:widowControl/>
              <w:spacing w:line="560" w:lineRule="exact"/>
              <w:rPr>
                <w:rFonts w:eastAsia="仿宋_GB2312" w:cs="仿宋"/>
                <w:b/>
                <w:kern w:val="0"/>
                <w:sz w:val="30"/>
                <w:szCs w:val="28"/>
              </w:rPr>
            </w:pPr>
            <w:r>
              <w:rPr>
                <w:rFonts w:hint="eastAsia" w:eastAsia="仿宋_GB2312" w:cs="仿宋"/>
                <w:b/>
                <w:kern w:val="0"/>
                <w:sz w:val="30"/>
                <w:szCs w:val="28"/>
              </w:rPr>
              <w:t>托管机构</w:t>
            </w:r>
          </w:p>
        </w:tc>
      </w:tr>
      <w:tr w14:paraId="64EED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812" w:type="dxa"/>
            <w:vAlign w:val="center"/>
          </w:tcPr>
          <w:p w14:paraId="61603883">
            <w:pPr>
              <w:widowControl/>
              <w:spacing w:line="560" w:lineRule="exact"/>
              <w:rPr>
                <w:rFonts w:eastAsia="仿宋_GB2312" w:cs="仿宋"/>
                <w:b/>
                <w:kern w:val="0"/>
                <w:sz w:val="30"/>
                <w:szCs w:val="28"/>
              </w:rPr>
            </w:pPr>
            <w:r>
              <w:rPr>
                <w:rFonts w:hint="eastAsia" w:eastAsia="仿宋_GB2312" w:cs="仿宋"/>
                <w:bCs/>
                <w:kern w:val="0"/>
                <w:sz w:val="30"/>
                <w:szCs w:val="28"/>
              </w:rPr>
              <w:t>【】</w:t>
            </w:r>
          </w:p>
        </w:tc>
        <w:tc>
          <w:tcPr>
            <w:tcW w:w="1742" w:type="dxa"/>
            <w:vAlign w:val="center"/>
          </w:tcPr>
          <w:p w14:paraId="7AC89886">
            <w:pPr>
              <w:widowControl/>
              <w:spacing w:line="560" w:lineRule="exact"/>
              <w:rPr>
                <w:rFonts w:eastAsia="仿宋_GB2312" w:cs="仿宋"/>
                <w:bCs/>
                <w:kern w:val="0"/>
                <w:sz w:val="30"/>
                <w:szCs w:val="28"/>
              </w:rPr>
            </w:pPr>
            <w:r>
              <w:rPr>
                <w:rFonts w:hint="eastAsia" w:eastAsia="仿宋_GB2312" w:cs="仿宋"/>
                <w:bCs/>
                <w:kern w:val="0"/>
                <w:sz w:val="30"/>
                <w:szCs w:val="28"/>
              </w:rPr>
              <w:t>【】</w:t>
            </w:r>
          </w:p>
        </w:tc>
        <w:tc>
          <w:tcPr>
            <w:tcW w:w="1742" w:type="dxa"/>
          </w:tcPr>
          <w:p w14:paraId="755DC5EC">
            <w:pPr>
              <w:widowControl/>
              <w:spacing w:line="560" w:lineRule="exact"/>
              <w:jc w:val="center"/>
              <w:rPr>
                <w:rFonts w:eastAsia="仿宋_GB2312" w:cs="仿宋"/>
                <w:bCs/>
                <w:kern w:val="0"/>
                <w:sz w:val="30"/>
                <w:szCs w:val="28"/>
              </w:rPr>
            </w:pPr>
            <w:r>
              <w:rPr>
                <w:rFonts w:hint="eastAsia" w:eastAsia="仿宋_GB2312" w:cs="仿宋"/>
                <w:bCs/>
                <w:kern w:val="0"/>
                <w:sz w:val="30"/>
                <w:szCs w:val="28"/>
              </w:rPr>
              <w:t>【】</w:t>
            </w:r>
          </w:p>
        </w:tc>
        <w:tc>
          <w:tcPr>
            <w:tcW w:w="1742" w:type="dxa"/>
            <w:vAlign w:val="center"/>
          </w:tcPr>
          <w:p w14:paraId="6EACFE36">
            <w:pPr>
              <w:widowControl/>
              <w:spacing w:line="560" w:lineRule="exact"/>
              <w:rPr>
                <w:rFonts w:eastAsia="仿宋_GB2312" w:cs="仿宋"/>
                <w:bCs/>
                <w:kern w:val="0"/>
                <w:sz w:val="30"/>
                <w:szCs w:val="28"/>
              </w:rPr>
            </w:pPr>
            <w:r>
              <w:rPr>
                <w:rFonts w:hint="eastAsia" w:eastAsia="仿宋_GB2312" w:cs="仿宋"/>
                <w:bCs/>
                <w:kern w:val="0"/>
                <w:sz w:val="30"/>
                <w:szCs w:val="28"/>
              </w:rPr>
              <w:t>【】</w:t>
            </w:r>
          </w:p>
        </w:tc>
      </w:tr>
    </w:tbl>
    <w:p w14:paraId="396C3C59">
      <w:pPr>
        <w:spacing w:before="125" w:line="560" w:lineRule="exact"/>
        <w:ind w:firstLine="602" w:firstLineChars="200"/>
        <w:rPr>
          <w:rFonts w:eastAsia="仿宋_GB2312" w:cs="新宋体"/>
          <w:b/>
          <w:bCs/>
          <w:sz w:val="30"/>
          <w:szCs w:val="28"/>
        </w:rPr>
      </w:pPr>
    </w:p>
    <w:p w14:paraId="44E64BC8">
      <w:pPr>
        <w:spacing w:before="125" w:line="560" w:lineRule="exact"/>
        <w:ind w:firstLine="602" w:firstLineChars="200"/>
        <w:rPr>
          <w:rFonts w:eastAsia="仿宋_GB2312" w:cs="新宋体"/>
          <w:sz w:val="30"/>
          <w:szCs w:val="28"/>
        </w:rPr>
      </w:pPr>
      <w:r>
        <w:rPr>
          <w:rFonts w:hint="eastAsia" w:eastAsia="仿宋_GB2312" w:cs="新宋体"/>
          <w:b/>
          <w:bCs/>
          <w:sz w:val="30"/>
          <w:szCs w:val="28"/>
        </w:rPr>
        <w:t>本确认书</w:t>
      </w:r>
      <w:r>
        <w:rPr>
          <w:rFonts w:hint="eastAsia" w:eastAsia="仿宋_GB2312" w:cs="新宋体"/>
          <w:sz w:val="30"/>
          <w:szCs w:val="28"/>
        </w:rPr>
        <w:t>为</w:t>
      </w:r>
      <w:r>
        <w:rPr>
          <w:rFonts w:hint="eastAsia" w:eastAsia="仿宋_GB2312" w:cs="新宋体"/>
          <w:b/>
          <w:bCs/>
          <w:sz w:val="30"/>
          <w:szCs w:val="28"/>
        </w:rPr>
        <w:t>乙方</w:t>
      </w:r>
      <w:r>
        <w:rPr>
          <w:rFonts w:hint="eastAsia" w:eastAsia="仿宋_GB2312" w:cs="新宋体"/>
          <w:sz w:val="30"/>
          <w:szCs w:val="28"/>
        </w:rPr>
        <w:t>作为以下</w:t>
      </w:r>
      <w:r>
        <w:rPr>
          <w:rFonts w:hint="eastAsia" w:eastAsia="仿宋_GB2312" w:cs="新宋体"/>
          <w:b/>
          <w:bCs/>
          <w:sz w:val="30"/>
          <w:szCs w:val="28"/>
        </w:rPr>
        <w:t>金融产品</w:t>
      </w:r>
      <w:r>
        <w:rPr>
          <w:rFonts w:hint="eastAsia" w:eastAsia="仿宋_GB2312" w:cs="新宋体"/>
          <w:sz w:val="30"/>
          <w:szCs w:val="28"/>
        </w:rPr>
        <w:t>的管理人代表该</w:t>
      </w:r>
      <w:r>
        <w:rPr>
          <w:rFonts w:hint="eastAsia" w:eastAsia="仿宋_GB2312" w:cs="新宋体"/>
          <w:b/>
          <w:bCs/>
          <w:sz w:val="30"/>
          <w:szCs w:val="28"/>
        </w:rPr>
        <w:t>金融产品</w:t>
      </w:r>
      <w:r>
        <w:rPr>
          <w:rFonts w:hint="eastAsia" w:eastAsia="仿宋_GB2312" w:cs="新宋体"/>
          <w:sz w:val="30"/>
          <w:szCs w:val="28"/>
        </w:rPr>
        <w:t>与</w:t>
      </w:r>
      <w:r>
        <w:rPr>
          <w:rFonts w:hint="eastAsia" w:eastAsia="仿宋_GB2312" w:cs="新宋体"/>
          <w:b/>
          <w:bCs/>
          <w:sz w:val="30"/>
          <w:szCs w:val="28"/>
        </w:rPr>
        <w:t>甲方</w:t>
      </w:r>
      <w:r>
        <w:rPr>
          <w:rFonts w:hint="eastAsia" w:eastAsia="仿宋_GB2312" w:cs="新宋体"/>
          <w:sz w:val="30"/>
          <w:szCs w:val="28"/>
        </w:rPr>
        <w:t>达成的，因此</w:t>
      </w:r>
      <w:r>
        <w:rPr>
          <w:rFonts w:hint="eastAsia" w:eastAsia="仿宋_GB2312" w:cs="新宋体"/>
          <w:b/>
          <w:bCs/>
          <w:sz w:val="30"/>
          <w:szCs w:val="28"/>
        </w:rPr>
        <w:t>交易双方</w:t>
      </w:r>
      <w:r>
        <w:rPr>
          <w:rFonts w:hint="eastAsia" w:eastAsia="仿宋_GB2312" w:cs="新宋体"/>
          <w:sz w:val="30"/>
          <w:szCs w:val="28"/>
        </w:rPr>
        <w:t>达成的</w:t>
      </w:r>
      <w:r>
        <w:rPr>
          <w:rFonts w:hint="eastAsia" w:eastAsia="仿宋_GB2312" w:cs="新宋体"/>
          <w:b/>
          <w:bCs/>
          <w:sz w:val="30"/>
          <w:szCs w:val="28"/>
        </w:rPr>
        <w:t>本确认书</w:t>
      </w:r>
      <w:r>
        <w:rPr>
          <w:rFonts w:hint="eastAsia" w:eastAsia="仿宋_GB2312" w:cs="新宋体"/>
          <w:sz w:val="30"/>
          <w:szCs w:val="28"/>
        </w:rPr>
        <w:t>所涉及的</w:t>
      </w:r>
      <w:r>
        <w:rPr>
          <w:rFonts w:hint="eastAsia" w:eastAsia="仿宋_GB2312" w:cs="新宋体"/>
          <w:b/>
          <w:bCs/>
          <w:sz w:val="30"/>
          <w:szCs w:val="28"/>
        </w:rPr>
        <w:t>乙方</w:t>
      </w:r>
      <w:r>
        <w:rPr>
          <w:rFonts w:hint="eastAsia" w:eastAsia="仿宋_GB2312" w:cs="新宋体"/>
          <w:sz w:val="30"/>
          <w:szCs w:val="28"/>
        </w:rPr>
        <w:t>的权利和义务，除不适用于该</w:t>
      </w:r>
      <w:r>
        <w:rPr>
          <w:rFonts w:hint="eastAsia" w:eastAsia="仿宋_GB2312" w:cs="新宋体"/>
          <w:b/>
          <w:bCs/>
          <w:sz w:val="30"/>
          <w:szCs w:val="28"/>
        </w:rPr>
        <w:t>金融产品</w:t>
      </w:r>
      <w:r>
        <w:rPr>
          <w:rFonts w:hint="eastAsia" w:eastAsia="仿宋_GB2312" w:cs="新宋体"/>
          <w:sz w:val="30"/>
          <w:szCs w:val="28"/>
        </w:rPr>
        <w:t>的以外，均指该</w:t>
      </w:r>
      <w:r>
        <w:rPr>
          <w:rFonts w:hint="eastAsia" w:eastAsia="仿宋_GB2312" w:cs="新宋体"/>
          <w:b/>
          <w:bCs/>
          <w:sz w:val="30"/>
          <w:szCs w:val="28"/>
        </w:rPr>
        <w:t>金融产品</w:t>
      </w:r>
      <w:r>
        <w:rPr>
          <w:rFonts w:hint="eastAsia" w:eastAsia="仿宋_GB2312" w:cs="新宋体"/>
          <w:sz w:val="30"/>
          <w:szCs w:val="28"/>
        </w:rPr>
        <w:t>的权利和义务由</w:t>
      </w:r>
      <w:r>
        <w:rPr>
          <w:rFonts w:hint="eastAsia" w:eastAsia="仿宋_GB2312" w:cs="新宋体"/>
          <w:b/>
          <w:bCs/>
          <w:sz w:val="30"/>
          <w:szCs w:val="28"/>
        </w:rPr>
        <w:t>乙方</w:t>
      </w:r>
      <w:r>
        <w:rPr>
          <w:rFonts w:hint="eastAsia" w:eastAsia="仿宋_GB2312" w:cs="新宋体"/>
          <w:sz w:val="30"/>
          <w:szCs w:val="28"/>
        </w:rPr>
        <w:t>代表该</w:t>
      </w:r>
      <w:r>
        <w:rPr>
          <w:rFonts w:hint="eastAsia" w:eastAsia="仿宋_GB2312" w:cs="新宋体"/>
          <w:b/>
          <w:bCs/>
          <w:sz w:val="30"/>
          <w:szCs w:val="28"/>
        </w:rPr>
        <w:t>金融产品</w:t>
      </w:r>
      <w:r>
        <w:rPr>
          <w:rFonts w:hint="eastAsia" w:eastAsia="仿宋_GB2312" w:cs="新宋体"/>
          <w:sz w:val="30"/>
          <w:szCs w:val="28"/>
        </w:rPr>
        <w:t>行使或作出。</w:t>
      </w:r>
    </w:p>
    <w:tbl>
      <w:tblPr>
        <w:tblStyle w:val="43"/>
        <w:tblW w:w="100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12"/>
        <w:gridCol w:w="1742"/>
        <w:gridCol w:w="1742"/>
        <w:gridCol w:w="1742"/>
      </w:tblGrid>
      <w:tr w14:paraId="14D7D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4812" w:type="dxa"/>
            <w:vAlign w:val="center"/>
          </w:tcPr>
          <w:p w14:paraId="7B6BD3B1">
            <w:pPr>
              <w:widowControl/>
              <w:spacing w:line="560" w:lineRule="exact"/>
              <w:rPr>
                <w:rFonts w:eastAsia="仿宋_GB2312" w:cs="仿宋"/>
                <w:b/>
                <w:kern w:val="0"/>
                <w:sz w:val="30"/>
                <w:szCs w:val="28"/>
              </w:rPr>
            </w:pPr>
            <w:r>
              <w:rPr>
                <w:rFonts w:hint="eastAsia" w:eastAsia="仿宋_GB2312" w:cs="仿宋"/>
                <w:b/>
                <w:kern w:val="0"/>
                <w:sz w:val="30"/>
                <w:szCs w:val="28"/>
              </w:rPr>
              <w:t>金融产品名称</w:t>
            </w:r>
          </w:p>
        </w:tc>
        <w:tc>
          <w:tcPr>
            <w:tcW w:w="1742" w:type="dxa"/>
            <w:vAlign w:val="center"/>
          </w:tcPr>
          <w:p w14:paraId="7239F7D2">
            <w:pPr>
              <w:widowControl/>
              <w:spacing w:line="560" w:lineRule="exact"/>
              <w:rPr>
                <w:rFonts w:eastAsia="仿宋_GB2312" w:cs="仿宋"/>
                <w:b/>
                <w:kern w:val="0"/>
                <w:sz w:val="30"/>
                <w:szCs w:val="28"/>
              </w:rPr>
            </w:pPr>
            <w:r>
              <w:rPr>
                <w:rFonts w:hint="eastAsia" w:eastAsia="仿宋_GB2312" w:cs="仿宋"/>
                <w:b/>
                <w:kern w:val="0"/>
                <w:sz w:val="30"/>
                <w:szCs w:val="28"/>
              </w:rPr>
              <w:t>投资经理</w:t>
            </w:r>
          </w:p>
        </w:tc>
        <w:tc>
          <w:tcPr>
            <w:tcW w:w="1742" w:type="dxa"/>
          </w:tcPr>
          <w:p w14:paraId="361DAE3A">
            <w:pPr>
              <w:widowControl/>
              <w:spacing w:line="560" w:lineRule="exact"/>
              <w:jc w:val="center"/>
              <w:rPr>
                <w:rFonts w:eastAsia="仿宋_GB2312" w:cs="仿宋"/>
                <w:b/>
                <w:kern w:val="0"/>
                <w:sz w:val="30"/>
                <w:szCs w:val="28"/>
              </w:rPr>
            </w:pPr>
            <w:r>
              <w:rPr>
                <w:rFonts w:hint="eastAsia" w:eastAsia="仿宋_GB2312" w:cs="仿宋"/>
                <w:b/>
                <w:kern w:val="0"/>
                <w:sz w:val="30"/>
                <w:szCs w:val="28"/>
              </w:rPr>
              <w:t>联系方式</w:t>
            </w:r>
          </w:p>
        </w:tc>
        <w:tc>
          <w:tcPr>
            <w:tcW w:w="1742" w:type="dxa"/>
            <w:vAlign w:val="center"/>
          </w:tcPr>
          <w:p w14:paraId="1EFCF45F">
            <w:pPr>
              <w:widowControl/>
              <w:spacing w:line="560" w:lineRule="exact"/>
              <w:rPr>
                <w:rFonts w:eastAsia="仿宋_GB2312" w:cs="仿宋"/>
                <w:b/>
                <w:kern w:val="0"/>
                <w:sz w:val="30"/>
                <w:szCs w:val="28"/>
              </w:rPr>
            </w:pPr>
            <w:r>
              <w:rPr>
                <w:rFonts w:hint="eastAsia" w:eastAsia="仿宋_GB2312" w:cs="仿宋"/>
                <w:b/>
                <w:kern w:val="0"/>
                <w:sz w:val="30"/>
                <w:szCs w:val="28"/>
              </w:rPr>
              <w:t>托管机构</w:t>
            </w:r>
          </w:p>
        </w:tc>
      </w:tr>
      <w:tr w14:paraId="1EB2B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812" w:type="dxa"/>
            <w:vAlign w:val="center"/>
          </w:tcPr>
          <w:p w14:paraId="54E3DBC5">
            <w:pPr>
              <w:widowControl/>
              <w:spacing w:line="560" w:lineRule="exact"/>
              <w:rPr>
                <w:rFonts w:eastAsia="仿宋_GB2312" w:cs="仿宋"/>
                <w:b/>
                <w:kern w:val="0"/>
                <w:sz w:val="30"/>
                <w:szCs w:val="28"/>
              </w:rPr>
            </w:pPr>
            <w:r>
              <w:rPr>
                <w:rFonts w:hint="eastAsia" w:eastAsia="仿宋_GB2312" w:cs="仿宋"/>
                <w:bCs/>
                <w:kern w:val="0"/>
                <w:sz w:val="30"/>
                <w:szCs w:val="28"/>
              </w:rPr>
              <w:t>【】</w:t>
            </w:r>
          </w:p>
        </w:tc>
        <w:tc>
          <w:tcPr>
            <w:tcW w:w="1742" w:type="dxa"/>
            <w:vAlign w:val="center"/>
          </w:tcPr>
          <w:p w14:paraId="7DF440FA">
            <w:pPr>
              <w:widowControl/>
              <w:spacing w:line="560" w:lineRule="exact"/>
              <w:rPr>
                <w:rFonts w:eastAsia="仿宋_GB2312" w:cs="仿宋"/>
                <w:bCs/>
                <w:kern w:val="0"/>
                <w:sz w:val="30"/>
                <w:szCs w:val="28"/>
              </w:rPr>
            </w:pPr>
            <w:r>
              <w:rPr>
                <w:rFonts w:hint="eastAsia" w:eastAsia="仿宋_GB2312" w:cs="仿宋"/>
                <w:bCs/>
                <w:kern w:val="0"/>
                <w:sz w:val="30"/>
                <w:szCs w:val="28"/>
              </w:rPr>
              <w:t>【】</w:t>
            </w:r>
          </w:p>
        </w:tc>
        <w:tc>
          <w:tcPr>
            <w:tcW w:w="1742" w:type="dxa"/>
          </w:tcPr>
          <w:p w14:paraId="4FE9D8CF">
            <w:pPr>
              <w:widowControl/>
              <w:spacing w:line="560" w:lineRule="exact"/>
              <w:jc w:val="center"/>
              <w:rPr>
                <w:rFonts w:eastAsia="仿宋_GB2312" w:cs="仿宋"/>
                <w:bCs/>
                <w:kern w:val="0"/>
                <w:sz w:val="30"/>
                <w:szCs w:val="28"/>
              </w:rPr>
            </w:pPr>
            <w:r>
              <w:rPr>
                <w:rFonts w:hint="eastAsia" w:eastAsia="仿宋_GB2312" w:cs="仿宋"/>
                <w:bCs/>
                <w:kern w:val="0"/>
                <w:sz w:val="30"/>
                <w:szCs w:val="28"/>
              </w:rPr>
              <w:t>【】</w:t>
            </w:r>
          </w:p>
        </w:tc>
        <w:tc>
          <w:tcPr>
            <w:tcW w:w="1742" w:type="dxa"/>
            <w:vAlign w:val="center"/>
          </w:tcPr>
          <w:p w14:paraId="1FD0EC7A">
            <w:pPr>
              <w:widowControl/>
              <w:spacing w:line="560" w:lineRule="exact"/>
              <w:rPr>
                <w:rFonts w:eastAsia="仿宋_GB2312" w:cs="仿宋"/>
                <w:bCs/>
                <w:kern w:val="0"/>
                <w:sz w:val="30"/>
                <w:szCs w:val="28"/>
              </w:rPr>
            </w:pPr>
            <w:r>
              <w:rPr>
                <w:rFonts w:hint="eastAsia" w:eastAsia="仿宋_GB2312" w:cs="仿宋"/>
                <w:bCs/>
                <w:kern w:val="0"/>
                <w:sz w:val="30"/>
                <w:szCs w:val="28"/>
              </w:rPr>
              <w:t>【】</w:t>
            </w:r>
          </w:p>
        </w:tc>
      </w:tr>
    </w:tbl>
    <w:p w14:paraId="7D504AAF">
      <w:pPr>
        <w:spacing w:before="125" w:line="560" w:lineRule="exact"/>
        <w:rPr>
          <w:rFonts w:eastAsia="仿宋_GB2312"/>
          <w:sz w:val="30"/>
          <w:szCs w:val="28"/>
        </w:rPr>
      </w:pPr>
    </w:p>
    <w:p w14:paraId="60BFBB17">
      <w:pPr>
        <w:spacing w:before="72" w:after="72" w:line="560" w:lineRule="exact"/>
        <w:rPr>
          <w:rFonts w:eastAsia="仿宋_GB2312"/>
          <w:b/>
          <w:sz w:val="30"/>
          <w:szCs w:val="28"/>
        </w:rPr>
      </w:pPr>
      <w:r>
        <w:rPr>
          <w:rFonts w:hint="eastAsia" w:eastAsia="仿宋_GB2312"/>
          <w:b/>
          <w:sz w:val="30"/>
          <w:szCs w:val="28"/>
        </w:rPr>
        <w:t>二、基本条款</w:t>
      </w:r>
    </w:p>
    <w:tbl>
      <w:tblPr>
        <w:tblStyle w:val="43"/>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48"/>
        <w:gridCol w:w="5748"/>
      </w:tblGrid>
      <w:tr w14:paraId="56147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2548" w:type="dxa"/>
            <w:vAlign w:val="center"/>
          </w:tcPr>
          <w:p w14:paraId="5A037D25">
            <w:pPr>
              <w:spacing w:line="560" w:lineRule="exact"/>
              <w:rPr>
                <w:rFonts w:eastAsia="仿宋_GB2312"/>
                <w:kern w:val="0"/>
                <w:sz w:val="30"/>
                <w:szCs w:val="28"/>
              </w:rPr>
            </w:pPr>
            <w:r>
              <w:rPr>
                <w:rFonts w:hint="eastAsia" w:eastAsia="仿宋_GB2312" w:cs="新宋体"/>
                <w:sz w:val="30"/>
                <w:szCs w:val="28"/>
              </w:rPr>
              <w:t>信用保护卖方</w:t>
            </w:r>
          </w:p>
        </w:tc>
        <w:tc>
          <w:tcPr>
            <w:tcW w:w="5748" w:type="dxa"/>
            <w:vAlign w:val="center"/>
          </w:tcPr>
          <w:p w14:paraId="30CBBEEC">
            <w:pPr>
              <w:spacing w:line="560" w:lineRule="exact"/>
              <w:rPr>
                <w:rFonts w:eastAsia="仿宋_GB2312"/>
                <w:kern w:val="0"/>
                <w:sz w:val="30"/>
                <w:szCs w:val="28"/>
              </w:rPr>
            </w:pPr>
            <w:r>
              <w:rPr>
                <w:rFonts w:hint="eastAsia" w:eastAsia="仿宋_GB2312"/>
                <w:sz w:val="30"/>
                <w:szCs w:val="28"/>
              </w:rPr>
              <w:t>【】</w:t>
            </w:r>
          </w:p>
        </w:tc>
      </w:tr>
      <w:tr w14:paraId="4EECF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2548" w:type="dxa"/>
            <w:vAlign w:val="center"/>
          </w:tcPr>
          <w:p w14:paraId="0C954B24">
            <w:pPr>
              <w:spacing w:line="560" w:lineRule="exact"/>
              <w:rPr>
                <w:rFonts w:eastAsia="仿宋_GB2312"/>
                <w:kern w:val="0"/>
                <w:sz w:val="30"/>
                <w:szCs w:val="28"/>
              </w:rPr>
            </w:pPr>
            <w:r>
              <w:rPr>
                <w:rFonts w:hint="eastAsia" w:eastAsia="仿宋_GB2312" w:cs="新宋体"/>
                <w:sz w:val="30"/>
                <w:szCs w:val="28"/>
              </w:rPr>
              <w:t>信用保护买方</w:t>
            </w:r>
          </w:p>
        </w:tc>
        <w:tc>
          <w:tcPr>
            <w:tcW w:w="5748" w:type="dxa"/>
            <w:vAlign w:val="center"/>
          </w:tcPr>
          <w:p w14:paraId="603EF996">
            <w:pPr>
              <w:spacing w:line="560" w:lineRule="exact"/>
              <w:rPr>
                <w:rFonts w:eastAsia="仿宋_GB2312"/>
                <w:kern w:val="0"/>
                <w:sz w:val="30"/>
                <w:szCs w:val="28"/>
              </w:rPr>
            </w:pPr>
            <w:r>
              <w:rPr>
                <w:rFonts w:hint="eastAsia" w:eastAsia="仿宋_GB2312"/>
                <w:sz w:val="30"/>
                <w:szCs w:val="28"/>
              </w:rPr>
              <w:t>【】</w:t>
            </w:r>
          </w:p>
        </w:tc>
      </w:tr>
      <w:tr w14:paraId="3B09D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2548" w:type="dxa"/>
            <w:vAlign w:val="center"/>
          </w:tcPr>
          <w:p w14:paraId="04F36C4B">
            <w:pPr>
              <w:spacing w:line="560" w:lineRule="exact"/>
              <w:rPr>
                <w:rFonts w:eastAsia="仿宋_GB2312" w:cs="新宋体"/>
                <w:sz w:val="30"/>
                <w:szCs w:val="28"/>
              </w:rPr>
            </w:pPr>
            <w:r>
              <w:rPr>
                <w:rFonts w:hint="eastAsia" w:eastAsia="仿宋_GB2312" w:cs="新宋体"/>
                <w:sz w:val="30"/>
                <w:szCs w:val="28"/>
              </w:rPr>
              <w:t>名义本金</w:t>
            </w:r>
          </w:p>
        </w:tc>
        <w:tc>
          <w:tcPr>
            <w:tcW w:w="5748" w:type="dxa"/>
            <w:vAlign w:val="center"/>
          </w:tcPr>
          <w:p w14:paraId="48DDDBF3">
            <w:pPr>
              <w:spacing w:line="560" w:lineRule="exact"/>
              <w:rPr>
                <w:rFonts w:eastAsia="仿宋_GB2312"/>
                <w:sz w:val="30"/>
                <w:szCs w:val="28"/>
              </w:rPr>
            </w:pPr>
            <w:r>
              <w:rPr>
                <w:rFonts w:hint="eastAsia" w:eastAsia="仿宋_GB2312"/>
                <w:kern w:val="0"/>
                <w:sz w:val="30"/>
                <w:szCs w:val="28"/>
              </w:rPr>
              <w:t>【】万元人民币</w:t>
            </w:r>
          </w:p>
        </w:tc>
      </w:tr>
      <w:tr w14:paraId="7C26F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2548" w:type="dxa"/>
            <w:vAlign w:val="center"/>
          </w:tcPr>
          <w:p w14:paraId="52F0995F">
            <w:pPr>
              <w:spacing w:line="560" w:lineRule="exact"/>
              <w:rPr>
                <w:rFonts w:eastAsia="仿宋_GB2312"/>
                <w:kern w:val="0"/>
                <w:sz w:val="30"/>
                <w:szCs w:val="28"/>
              </w:rPr>
            </w:pPr>
            <w:r>
              <w:rPr>
                <w:rFonts w:hint="eastAsia" w:eastAsia="仿宋_GB2312" w:cs="新宋体"/>
                <w:sz w:val="30"/>
                <w:szCs w:val="28"/>
              </w:rPr>
              <w:t>签署日</w:t>
            </w:r>
          </w:p>
        </w:tc>
        <w:tc>
          <w:tcPr>
            <w:tcW w:w="5748" w:type="dxa"/>
            <w:vAlign w:val="center"/>
          </w:tcPr>
          <w:p w14:paraId="1D672A82">
            <w:pPr>
              <w:spacing w:line="560" w:lineRule="exact"/>
              <w:rPr>
                <w:rFonts w:eastAsia="仿宋_GB2312"/>
                <w:kern w:val="0"/>
                <w:sz w:val="30"/>
                <w:szCs w:val="28"/>
              </w:rPr>
            </w:pPr>
            <w:r>
              <w:rPr>
                <w:rFonts w:hint="eastAsia" w:eastAsia="仿宋_GB2312"/>
                <w:sz w:val="30"/>
                <w:szCs w:val="28"/>
              </w:rPr>
              <w:t>【】年【】月【】日</w:t>
            </w:r>
          </w:p>
        </w:tc>
      </w:tr>
      <w:tr w14:paraId="29E65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2548" w:type="dxa"/>
            <w:vAlign w:val="center"/>
          </w:tcPr>
          <w:p w14:paraId="31FBA71E">
            <w:pPr>
              <w:spacing w:line="560" w:lineRule="exact"/>
              <w:rPr>
                <w:rFonts w:eastAsia="仿宋_GB2312"/>
                <w:kern w:val="0"/>
                <w:sz w:val="30"/>
                <w:szCs w:val="28"/>
              </w:rPr>
            </w:pPr>
            <w:r>
              <w:rPr>
                <w:rFonts w:hint="eastAsia" w:eastAsia="仿宋_GB2312" w:cs="新宋体"/>
                <w:sz w:val="30"/>
                <w:szCs w:val="28"/>
              </w:rPr>
              <w:t>起始日</w:t>
            </w:r>
          </w:p>
        </w:tc>
        <w:tc>
          <w:tcPr>
            <w:tcW w:w="5748" w:type="dxa"/>
            <w:vAlign w:val="center"/>
          </w:tcPr>
          <w:p w14:paraId="4627D2A4">
            <w:pPr>
              <w:spacing w:line="560" w:lineRule="exact"/>
              <w:rPr>
                <w:rFonts w:eastAsia="仿宋_GB2312"/>
                <w:kern w:val="0"/>
                <w:sz w:val="30"/>
                <w:szCs w:val="28"/>
              </w:rPr>
            </w:pPr>
            <w:r>
              <w:rPr>
                <w:rFonts w:hint="eastAsia" w:eastAsia="仿宋_GB2312"/>
                <w:sz w:val="30"/>
                <w:szCs w:val="28"/>
              </w:rPr>
              <w:t>【】年【】月【】日</w:t>
            </w:r>
          </w:p>
        </w:tc>
      </w:tr>
      <w:tr w14:paraId="53508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2548" w:type="dxa"/>
            <w:vAlign w:val="center"/>
          </w:tcPr>
          <w:p w14:paraId="2EF43B22">
            <w:pPr>
              <w:spacing w:line="560" w:lineRule="exact"/>
              <w:rPr>
                <w:rFonts w:eastAsia="仿宋_GB2312"/>
                <w:kern w:val="0"/>
                <w:sz w:val="30"/>
                <w:szCs w:val="28"/>
              </w:rPr>
            </w:pPr>
            <w:r>
              <w:rPr>
                <w:rFonts w:hint="eastAsia" w:eastAsia="仿宋_GB2312" w:cs="新宋体"/>
                <w:sz w:val="30"/>
                <w:szCs w:val="28"/>
              </w:rPr>
              <w:t>约定到期日</w:t>
            </w:r>
          </w:p>
        </w:tc>
        <w:tc>
          <w:tcPr>
            <w:tcW w:w="5748" w:type="dxa"/>
            <w:vAlign w:val="center"/>
          </w:tcPr>
          <w:p w14:paraId="3E5D2381">
            <w:pPr>
              <w:spacing w:line="560" w:lineRule="exact"/>
              <w:rPr>
                <w:rFonts w:eastAsia="仿宋_GB2312"/>
                <w:sz w:val="30"/>
                <w:szCs w:val="28"/>
              </w:rPr>
            </w:pPr>
            <w:r>
              <w:rPr>
                <w:rFonts w:hint="eastAsia" w:eastAsia="仿宋_GB2312"/>
                <w:sz w:val="30"/>
                <w:szCs w:val="28"/>
              </w:rPr>
              <w:t>【】年【】月【】日</w:t>
            </w:r>
          </w:p>
        </w:tc>
      </w:tr>
      <w:tr w14:paraId="70280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548" w:type="dxa"/>
            <w:vAlign w:val="center"/>
          </w:tcPr>
          <w:p w14:paraId="65B39872">
            <w:pPr>
              <w:spacing w:line="560" w:lineRule="exact"/>
              <w:rPr>
                <w:rFonts w:eastAsia="仿宋_GB2312"/>
                <w:kern w:val="0"/>
                <w:sz w:val="30"/>
                <w:szCs w:val="28"/>
              </w:rPr>
            </w:pPr>
            <w:r>
              <w:rPr>
                <w:rFonts w:hint="eastAsia" w:eastAsia="仿宋_GB2312"/>
                <w:sz w:val="30"/>
                <w:szCs w:val="28"/>
              </w:rPr>
              <w:t>交易日准则</w:t>
            </w:r>
          </w:p>
        </w:tc>
        <w:tc>
          <w:tcPr>
            <w:tcW w:w="5748" w:type="dxa"/>
            <w:vAlign w:val="center"/>
          </w:tcPr>
          <w:p w14:paraId="5665E967">
            <w:pPr>
              <w:spacing w:line="560" w:lineRule="exact"/>
              <w:rPr>
                <w:rFonts w:eastAsia="仿宋_GB2312"/>
                <w:kern w:val="0"/>
                <w:sz w:val="30"/>
                <w:szCs w:val="28"/>
              </w:rPr>
            </w:pPr>
            <w:r>
              <w:rPr>
                <w:rFonts w:hint="eastAsia" w:eastAsia="仿宋_GB2312"/>
                <w:sz w:val="30"/>
                <w:szCs w:val="28"/>
              </w:rPr>
              <w:t>若某一相关日期</w:t>
            </w:r>
            <w:r>
              <w:rPr>
                <w:rFonts w:hint="eastAsia" w:eastAsia="仿宋_GB2312" w:cs="新宋体"/>
                <w:sz w:val="30"/>
                <w:szCs w:val="28"/>
              </w:rPr>
              <w:t>并非上海证券交易所</w:t>
            </w:r>
            <w:r>
              <w:rPr>
                <w:rFonts w:hint="eastAsia" w:eastAsia="仿宋_GB2312" w:cs="新宋体"/>
                <w:b/>
                <w:sz w:val="30"/>
                <w:szCs w:val="28"/>
              </w:rPr>
              <w:t>交易日</w:t>
            </w:r>
            <w:r>
              <w:rPr>
                <w:rFonts w:hint="eastAsia" w:eastAsia="仿宋_GB2312" w:cs="新宋体"/>
                <w:sz w:val="30"/>
                <w:szCs w:val="28"/>
              </w:rPr>
              <w:t>，则顺延至下一个交易日</w:t>
            </w:r>
          </w:p>
        </w:tc>
      </w:tr>
      <w:tr w14:paraId="02CC4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548" w:type="dxa"/>
            <w:vAlign w:val="center"/>
          </w:tcPr>
          <w:p w14:paraId="4BE3E7F0">
            <w:pPr>
              <w:spacing w:line="560" w:lineRule="exact"/>
              <w:rPr>
                <w:rFonts w:eastAsia="仿宋_GB2312" w:cs="新宋体"/>
                <w:spacing w:val="-3"/>
                <w:kern w:val="0"/>
                <w:sz w:val="30"/>
                <w:szCs w:val="28"/>
              </w:rPr>
            </w:pPr>
            <w:r>
              <w:rPr>
                <w:rFonts w:hint="eastAsia" w:eastAsia="仿宋_GB2312" w:cs="新宋体"/>
                <w:spacing w:val="-3"/>
                <w:sz w:val="30"/>
                <w:szCs w:val="28"/>
              </w:rPr>
              <w:t>计算机构</w:t>
            </w:r>
          </w:p>
        </w:tc>
        <w:tc>
          <w:tcPr>
            <w:tcW w:w="5748" w:type="dxa"/>
            <w:vAlign w:val="center"/>
          </w:tcPr>
          <w:p w14:paraId="0F359259">
            <w:pPr>
              <w:pStyle w:val="107"/>
              <w:spacing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适用以下第【】项：</w:t>
            </w:r>
          </w:p>
          <w:p w14:paraId="592F06C2">
            <w:pPr>
              <w:pStyle w:val="107"/>
              <w:spacing w:before="16" w:line="560" w:lineRule="exact"/>
              <w:ind w:right="125"/>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w:t>
            </w:r>
            <w:r>
              <w:rPr>
                <w:rFonts w:ascii="Times New Roman" w:hAnsi="Times New Roman" w:eastAsia="仿宋_GB2312" w:cs="新宋体"/>
                <w:sz w:val="30"/>
                <w:szCs w:val="28"/>
                <w:lang w:eastAsia="zh-CN"/>
              </w:rPr>
              <w:t>1</w:t>
            </w:r>
            <w:r>
              <w:rPr>
                <w:rFonts w:hint="eastAsia" w:ascii="Times New Roman" w:hAnsi="Times New Roman" w:eastAsia="仿宋_GB2312" w:cs="新宋体"/>
                <w:sz w:val="30"/>
                <w:szCs w:val="28"/>
                <w:lang w:eastAsia="zh-CN"/>
              </w:rPr>
              <w:t>）</w:t>
            </w:r>
            <w:r>
              <w:rPr>
                <w:rFonts w:ascii="Times New Roman" w:hAnsi="Times New Roman" w:eastAsia="仿宋_GB2312" w:cs="新宋体"/>
                <w:spacing w:val="-2"/>
                <w:sz w:val="30"/>
                <w:szCs w:val="28"/>
                <w:lang w:eastAsia="zh-CN"/>
              </w:rPr>
              <w:t xml:space="preserve"> </w:t>
            </w:r>
            <w:r>
              <w:rPr>
                <w:rFonts w:hint="eastAsia" w:ascii="Times New Roman" w:hAnsi="Times New Roman" w:eastAsia="仿宋_GB2312" w:cs="新宋体"/>
                <w:spacing w:val="-2"/>
                <w:sz w:val="30"/>
                <w:szCs w:val="28"/>
                <w:lang w:eastAsia="zh-CN"/>
              </w:rPr>
              <w:t>甲方</w:t>
            </w:r>
          </w:p>
          <w:p w14:paraId="0DAD9B0C">
            <w:pPr>
              <w:pStyle w:val="107"/>
              <w:spacing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w:t>
            </w:r>
            <w:r>
              <w:rPr>
                <w:rFonts w:ascii="Times New Roman" w:hAnsi="Times New Roman" w:eastAsia="仿宋_GB2312" w:cs="新宋体"/>
                <w:sz w:val="30"/>
                <w:szCs w:val="28"/>
                <w:lang w:eastAsia="zh-CN"/>
              </w:rPr>
              <w:t>2</w:t>
            </w:r>
            <w:r>
              <w:rPr>
                <w:rFonts w:hint="eastAsia" w:ascii="Times New Roman" w:hAnsi="Times New Roman" w:eastAsia="仿宋_GB2312" w:cs="新宋体"/>
                <w:sz w:val="30"/>
                <w:szCs w:val="28"/>
                <w:lang w:eastAsia="zh-CN"/>
              </w:rPr>
              <w:t>）</w:t>
            </w:r>
            <w:r>
              <w:rPr>
                <w:rFonts w:ascii="Times New Roman" w:hAnsi="Times New Roman" w:eastAsia="仿宋_GB2312" w:cs="新宋体"/>
                <w:spacing w:val="-2"/>
                <w:sz w:val="30"/>
                <w:szCs w:val="28"/>
                <w:lang w:eastAsia="zh-CN"/>
              </w:rPr>
              <w:t xml:space="preserve"> </w:t>
            </w:r>
            <w:r>
              <w:rPr>
                <w:rFonts w:hint="eastAsia" w:ascii="Times New Roman" w:hAnsi="Times New Roman" w:eastAsia="仿宋_GB2312" w:cs="新宋体"/>
                <w:spacing w:val="-2"/>
                <w:sz w:val="30"/>
                <w:szCs w:val="28"/>
                <w:lang w:eastAsia="zh-CN"/>
              </w:rPr>
              <w:t>乙方</w:t>
            </w:r>
          </w:p>
          <w:p w14:paraId="2381E1F1">
            <w:pPr>
              <w:spacing w:line="560" w:lineRule="exact"/>
              <w:rPr>
                <w:rFonts w:eastAsia="仿宋_GB2312" w:cs="新宋体"/>
                <w:spacing w:val="-1"/>
                <w:kern w:val="0"/>
                <w:sz w:val="30"/>
                <w:szCs w:val="28"/>
              </w:rPr>
            </w:pPr>
            <w:r>
              <w:rPr>
                <w:rFonts w:hint="eastAsia" w:eastAsia="仿宋_GB2312" w:cs="新宋体"/>
                <w:sz w:val="30"/>
                <w:szCs w:val="28"/>
              </w:rPr>
              <w:t>（</w:t>
            </w:r>
            <w:r>
              <w:rPr>
                <w:rFonts w:eastAsia="仿宋_GB2312" w:cs="新宋体"/>
                <w:sz w:val="30"/>
                <w:szCs w:val="28"/>
              </w:rPr>
              <w:t>3</w:t>
            </w:r>
            <w:r>
              <w:rPr>
                <w:rFonts w:hint="eastAsia" w:eastAsia="仿宋_GB2312" w:cs="新宋体"/>
                <w:sz w:val="30"/>
                <w:szCs w:val="28"/>
              </w:rPr>
              <w:t>）</w:t>
            </w:r>
            <w:r>
              <w:rPr>
                <w:rFonts w:eastAsia="仿宋_GB2312" w:cs="新宋体"/>
                <w:spacing w:val="-1"/>
                <w:sz w:val="30"/>
                <w:szCs w:val="28"/>
              </w:rPr>
              <w:t xml:space="preserve"> </w:t>
            </w:r>
            <w:r>
              <w:rPr>
                <w:rFonts w:hint="eastAsia" w:eastAsia="仿宋_GB2312" w:cs="新宋体"/>
                <w:spacing w:val="-1"/>
                <w:sz w:val="30"/>
                <w:szCs w:val="28"/>
              </w:rPr>
              <w:t>甲方或乙方</w:t>
            </w:r>
          </w:p>
          <w:p w14:paraId="21E9EECC">
            <w:pPr>
              <w:spacing w:line="560" w:lineRule="exact"/>
              <w:rPr>
                <w:rFonts w:eastAsia="仿宋_GB2312" w:cs="新宋体"/>
                <w:b/>
                <w:sz w:val="30"/>
                <w:szCs w:val="28"/>
              </w:rPr>
            </w:pPr>
            <w:r>
              <w:rPr>
                <w:rFonts w:hint="eastAsia" w:eastAsia="仿宋_GB2312" w:cs="新宋体"/>
                <w:sz w:val="30"/>
                <w:szCs w:val="28"/>
              </w:rPr>
              <w:t>（</w:t>
            </w:r>
            <w:r>
              <w:rPr>
                <w:rFonts w:eastAsia="仿宋_GB2312" w:cs="新宋体"/>
                <w:sz w:val="30"/>
                <w:szCs w:val="28"/>
              </w:rPr>
              <w:t>4</w:t>
            </w:r>
            <w:r>
              <w:rPr>
                <w:rFonts w:hint="eastAsia" w:eastAsia="仿宋_GB2312" w:cs="新宋体"/>
                <w:sz w:val="30"/>
                <w:szCs w:val="28"/>
              </w:rPr>
              <w:t>）</w:t>
            </w:r>
            <w:r>
              <w:rPr>
                <w:rFonts w:eastAsia="仿宋_GB2312" w:cs="新宋体"/>
                <w:sz w:val="30"/>
                <w:szCs w:val="28"/>
              </w:rPr>
              <w:t xml:space="preserve"> </w:t>
            </w:r>
            <w:r>
              <w:rPr>
                <w:rFonts w:hint="eastAsia" w:eastAsia="仿宋_GB2312" w:cs="新宋体"/>
                <w:sz w:val="30"/>
                <w:szCs w:val="28"/>
              </w:rPr>
              <w:t>其他：【】</w:t>
            </w:r>
          </w:p>
        </w:tc>
      </w:tr>
      <w:tr w14:paraId="575EC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548" w:type="dxa"/>
            <w:vAlign w:val="center"/>
          </w:tcPr>
          <w:p w14:paraId="649703D0">
            <w:pPr>
              <w:spacing w:line="560" w:lineRule="exact"/>
              <w:rPr>
                <w:rFonts w:eastAsia="仿宋_GB2312" w:cs="新宋体"/>
                <w:spacing w:val="-3"/>
                <w:kern w:val="0"/>
                <w:sz w:val="30"/>
                <w:szCs w:val="28"/>
              </w:rPr>
            </w:pPr>
            <w:r>
              <w:rPr>
                <w:rFonts w:hint="eastAsia" w:eastAsia="仿宋_GB2312" w:cs="新宋体"/>
                <w:spacing w:val="-3"/>
                <w:sz w:val="30"/>
                <w:szCs w:val="28"/>
              </w:rPr>
              <w:t>清算安排</w:t>
            </w:r>
          </w:p>
        </w:tc>
        <w:tc>
          <w:tcPr>
            <w:tcW w:w="5748" w:type="dxa"/>
            <w:vAlign w:val="center"/>
          </w:tcPr>
          <w:p w14:paraId="117379D7">
            <w:pPr>
              <w:pStyle w:val="107"/>
              <w:spacing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rPr>
              <w:t>双边清算</w:t>
            </w:r>
          </w:p>
        </w:tc>
      </w:tr>
    </w:tbl>
    <w:p w14:paraId="461960D7">
      <w:pPr>
        <w:spacing w:before="26" w:line="560" w:lineRule="exact"/>
        <w:rPr>
          <w:rFonts w:eastAsia="仿宋_GB2312" w:cs="新宋体"/>
          <w:b/>
          <w:bCs/>
          <w:sz w:val="30"/>
          <w:szCs w:val="28"/>
        </w:rPr>
      </w:pPr>
    </w:p>
    <w:p w14:paraId="7B2A8DA2">
      <w:pPr>
        <w:spacing w:before="72" w:after="72" w:line="560" w:lineRule="exact"/>
        <w:rPr>
          <w:rFonts w:eastAsia="仿宋_GB2312"/>
          <w:b/>
          <w:sz w:val="30"/>
          <w:szCs w:val="28"/>
        </w:rPr>
      </w:pPr>
      <w:r>
        <w:rPr>
          <w:rFonts w:hint="eastAsia" w:eastAsia="仿宋_GB2312"/>
          <w:b/>
          <w:sz w:val="30"/>
          <w:szCs w:val="28"/>
        </w:rPr>
        <w:t>三、保护费支付要素</w:t>
      </w:r>
    </w:p>
    <w:tbl>
      <w:tblPr>
        <w:tblStyle w:val="43"/>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5"/>
        <w:gridCol w:w="30"/>
        <w:gridCol w:w="1955"/>
        <w:gridCol w:w="3906"/>
      </w:tblGrid>
      <w:tr w14:paraId="373DE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2435" w:type="dxa"/>
            <w:gridSpan w:val="2"/>
            <w:vAlign w:val="center"/>
          </w:tcPr>
          <w:p w14:paraId="07A191DD">
            <w:pPr>
              <w:spacing w:line="560" w:lineRule="exact"/>
              <w:rPr>
                <w:rFonts w:eastAsia="仿宋_GB2312"/>
                <w:kern w:val="0"/>
                <w:sz w:val="30"/>
                <w:szCs w:val="28"/>
              </w:rPr>
            </w:pPr>
            <w:r>
              <w:rPr>
                <w:rFonts w:hint="eastAsia" w:eastAsia="仿宋_GB2312"/>
                <w:sz w:val="30"/>
                <w:szCs w:val="28"/>
              </w:rPr>
              <w:t>保护费支付方</w:t>
            </w:r>
          </w:p>
        </w:tc>
        <w:tc>
          <w:tcPr>
            <w:tcW w:w="5861" w:type="dxa"/>
            <w:gridSpan w:val="2"/>
            <w:vAlign w:val="center"/>
          </w:tcPr>
          <w:p w14:paraId="47CC20B3">
            <w:pPr>
              <w:pStyle w:val="107"/>
              <w:spacing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b/>
                <w:bCs/>
                <w:sz w:val="30"/>
                <w:szCs w:val="28"/>
                <w:lang w:eastAsia="zh-CN"/>
              </w:rPr>
              <w:t>信用保护买方</w:t>
            </w:r>
          </w:p>
        </w:tc>
      </w:tr>
      <w:tr w14:paraId="1B049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2435" w:type="dxa"/>
            <w:gridSpan w:val="2"/>
            <w:vAlign w:val="center"/>
          </w:tcPr>
          <w:p w14:paraId="0C29BBD1">
            <w:pPr>
              <w:spacing w:line="560" w:lineRule="exact"/>
              <w:rPr>
                <w:rFonts w:eastAsia="仿宋_GB2312"/>
                <w:kern w:val="0"/>
                <w:sz w:val="30"/>
                <w:szCs w:val="28"/>
              </w:rPr>
            </w:pPr>
            <w:r>
              <w:rPr>
                <w:rFonts w:hint="eastAsia" w:eastAsia="仿宋_GB2312"/>
                <w:sz w:val="30"/>
                <w:szCs w:val="28"/>
              </w:rPr>
              <w:t>保护费支付路径</w:t>
            </w:r>
          </w:p>
        </w:tc>
        <w:tc>
          <w:tcPr>
            <w:tcW w:w="5861" w:type="dxa"/>
            <w:gridSpan w:val="2"/>
            <w:vAlign w:val="center"/>
          </w:tcPr>
          <w:p w14:paraId="3E43DD1A">
            <w:pPr>
              <w:pStyle w:val="107"/>
              <w:spacing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适用以下第【】项：</w:t>
            </w:r>
          </w:p>
          <w:p w14:paraId="374BAB0B">
            <w:pPr>
              <w:pStyle w:val="107"/>
              <w:spacing w:before="16" w:line="560" w:lineRule="exact"/>
              <w:ind w:right="125"/>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w:t>
            </w:r>
            <w:r>
              <w:rPr>
                <w:rFonts w:ascii="Times New Roman" w:hAnsi="Times New Roman" w:eastAsia="仿宋_GB2312" w:cs="新宋体"/>
                <w:sz w:val="30"/>
                <w:szCs w:val="28"/>
                <w:lang w:eastAsia="zh-CN"/>
              </w:rPr>
              <w:t>1</w:t>
            </w:r>
            <w:r>
              <w:rPr>
                <w:rFonts w:hint="eastAsia" w:ascii="Times New Roman" w:hAnsi="Times New Roman" w:eastAsia="仿宋_GB2312" w:cs="新宋体"/>
                <w:sz w:val="30"/>
                <w:szCs w:val="28"/>
                <w:lang w:eastAsia="zh-CN"/>
              </w:rPr>
              <w:t>）双方自行协商支付</w:t>
            </w:r>
          </w:p>
          <w:p w14:paraId="5450DE2A">
            <w:pPr>
              <w:pStyle w:val="107"/>
              <w:spacing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w:t>
            </w:r>
            <w:r>
              <w:rPr>
                <w:rFonts w:ascii="Times New Roman" w:hAnsi="Times New Roman" w:eastAsia="仿宋_GB2312" w:cs="新宋体"/>
                <w:sz w:val="30"/>
                <w:szCs w:val="28"/>
                <w:lang w:eastAsia="zh-CN"/>
              </w:rPr>
              <w:t>2</w:t>
            </w:r>
            <w:r>
              <w:rPr>
                <w:rFonts w:hint="eastAsia" w:ascii="Times New Roman" w:hAnsi="Times New Roman" w:eastAsia="仿宋_GB2312" w:cs="新宋体"/>
                <w:sz w:val="30"/>
                <w:szCs w:val="28"/>
                <w:lang w:eastAsia="zh-CN"/>
              </w:rPr>
              <w:t>）</w:t>
            </w:r>
            <w:r>
              <w:rPr>
                <w:rFonts w:hint="eastAsia" w:ascii="Times New Roman" w:hAnsi="Times New Roman" w:eastAsia="仿宋_GB2312" w:cs="新宋体"/>
                <w:spacing w:val="-2"/>
                <w:sz w:val="30"/>
                <w:szCs w:val="28"/>
                <w:lang w:eastAsia="zh-CN"/>
              </w:rPr>
              <w:t>通过中国结算代收代付</w:t>
            </w:r>
          </w:p>
        </w:tc>
      </w:tr>
      <w:tr w14:paraId="74C9A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2435" w:type="dxa"/>
            <w:gridSpan w:val="2"/>
            <w:vAlign w:val="center"/>
          </w:tcPr>
          <w:p w14:paraId="1FDBB853">
            <w:pPr>
              <w:spacing w:line="560" w:lineRule="exact"/>
              <w:rPr>
                <w:rFonts w:eastAsia="仿宋_GB2312"/>
                <w:kern w:val="0"/>
                <w:sz w:val="30"/>
                <w:szCs w:val="28"/>
              </w:rPr>
            </w:pPr>
            <w:r>
              <w:rPr>
                <w:rFonts w:hint="eastAsia" w:eastAsia="仿宋_GB2312"/>
                <w:kern w:val="0"/>
                <w:sz w:val="30"/>
                <w:szCs w:val="28"/>
              </w:rPr>
              <w:t>保护费支付方式</w:t>
            </w:r>
          </w:p>
        </w:tc>
        <w:tc>
          <w:tcPr>
            <w:tcW w:w="5861" w:type="dxa"/>
            <w:gridSpan w:val="2"/>
            <w:vAlign w:val="center"/>
          </w:tcPr>
          <w:p w14:paraId="649ACFA1">
            <w:pPr>
              <w:pStyle w:val="107"/>
              <w:spacing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适用以下第【</w:t>
            </w:r>
            <w:r>
              <w:rPr>
                <w:rFonts w:ascii="Times New Roman" w:hAnsi="Times New Roman" w:eastAsia="仿宋_GB2312" w:cs="新宋体"/>
                <w:sz w:val="30"/>
                <w:szCs w:val="28"/>
                <w:lang w:eastAsia="zh-CN"/>
              </w:rPr>
              <w:t xml:space="preserve"> </w:t>
            </w:r>
            <w:r>
              <w:rPr>
                <w:rFonts w:hint="eastAsia" w:ascii="Times New Roman" w:hAnsi="Times New Roman" w:eastAsia="仿宋_GB2312" w:cs="新宋体"/>
                <w:sz w:val="30"/>
                <w:szCs w:val="28"/>
                <w:lang w:eastAsia="zh-CN"/>
              </w:rPr>
              <w:t>】项：</w:t>
            </w:r>
          </w:p>
          <w:p w14:paraId="4AEFAF5C">
            <w:pPr>
              <w:pStyle w:val="107"/>
              <w:spacing w:before="16" w:line="560" w:lineRule="exact"/>
              <w:ind w:right="125"/>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w:t>
            </w:r>
            <w:r>
              <w:rPr>
                <w:rFonts w:ascii="Times New Roman" w:hAnsi="Times New Roman" w:eastAsia="仿宋_GB2312" w:cs="新宋体"/>
                <w:sz w:val="30"/>
                <w:szCs w:val="28"/>
                <w:lang w:eastAsia="zh-CN"/>
              </w:rPr>
              <w:t>1</w:t>
            </w:r>
            <w:r>
              <w:rPr>
                <w:rFonts w:hint="eastAsia" w:ascii="Times New Roman" w:hAnsi="Times New Roman" w:eastAsia="仿宋_GB2312" w:cs="新宋体"/>
                <w:sz w:val="30"/>
                <w:szCs w:val="28"/>
                <w:lang w:eastAsia="zh-CN"/>
              </w:rPr>
              <w:t>）</w:t>
            </w:r>
            <w:r>
              <w:rPr>
                <w:rFonts w:ascii="Times New Roman" w:hAnsi="Times New Roman" w:eastAsia="仿宋_GB2312" w:cs="新宋体"/>
                <w:spacing w:val="-2"/>
                <w:sz w:val="30"/>
                <w:szCs w:val="28"/>
                <w:lang w:eastAsia="zh-CN"/>
              </w:rPr>
              <w:t xml:space="preserve"> </w:t>
            </w:r>
            <w:r>
              <w:rPr>
                <w:rFonts w:hint="eastAsia" w:ascii="Times New Roman" w:hAnsi="Times New Roman" w:eastAsia="仿宋_GB2312" w:cs="新宋体"/>
                <w:sz w:val="30"/>
                <w:szCs w:val="28"/>
                <w:lang w:eastAsia="zh-CN"/>
              </w:rPr>
              <w:t>按季支付约定保护费</w:t>
            </w:r>
          </w:p>
          <w:p w14:paraId="5D813541">
            <w:pPr>
              <w:pStyle w:val="107"/>
              <w:spacing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w:t>
            </w:r>
            <w:r>
              <w:rPr>
                <w:rFonts w:ascii="Times New Roman" w:hAnsi="Times New Roman" w:eastAsia="仿宋_GB2312" w:cs="新宋体"/>
                <w:sz w:val="30"/>
                <w:szCs w:val="28"/>
                <w:lang w:eastAsia="zh-CN"/>
              </w:rPr>
              <w:t>2</w:t>
            </w:r>
            <w:r>
              <w:rPr>
                <w:rFonts w:hint="eastAsia" w:ascii="Times New Roman" w:hAnsi="Times New Roman" w:eastAsia="仿宋_GB2312" w:cs="新宋体"/>
                <w:sz w:val="30"/>
                <w:szCs w:val="28"/>
                <w:lang w:eastAsia="zh-CN"/>
              </w:rPr>
              <w:t>）</w:t>
            </w:r>
            <w:r>
              <w:rPr>
                <w:rFonts w:ascii="Times New Roman" w:hAnsi="Times New Roman" w:eastAsia="仿宋_GB2312" w:cs="新宋体"/>
                <w:spacing w:val="-2"/>
                <w:sz w:val="30"/>
                <w:szCs w:val="28"/>
                <w:lang w:eastAsia="zh-CN"/>
              </w:rPr>
              <w:t xml:space="preserve"> </w:t>
            </w:r>
            <w:r>
              <w:rPr>
                <w:rFonts w:hint="eastAsia" w:ascii="Times New Roman" w:hAnsi="Times New Roman" w:eastAsia="仿宋_GB2312" w:cs="新宋体"/>
                <w:sz w:val="30"/>
                <w:szCs w:val="28"/>
                <w:lang w:eastAsia="zh-CN"/>
              </w:rPr>
              <w:t>季度标准保护费和部分前端费用相结合</w:t>
            </w:r>
          </w:p>
          <w:p w14:paraId="1C577010">
            <w:pPr>
              <w:pStyle w:val="107"/>
              <w:spacing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w:t>
            </w:r>
            <w:r>
              <w:rPr>
                <w:rFonts w:ascii="Times New Roman" w:hAnsi="Times New Roman" w:eastAsia="仿宋_GB2312" w:cs="新宋体"/>
                <w:sz w:val="30"/>
                <w:szCs w:val="28"/>
              </w:rPr>
              <w:t>3</w:t>
            </w:r>
            <w:r>
              <w:rPr>
                <w:rFonts w:hint="eastAsia" w:ascii="Times New Roman" w:hAnsi="Times New Roman" w:eastAsia="仿宋_GB2312" w:cs="新宋体"/>
                <w:sz w:val="30"/>
                <w:szCs w:val="28"/>
                <w:lang w:eastAsia="zh-CN"/>
              </w:rPr>
              <w:t>）</w:t>
            </w:r>
            <w:r>
              <w:rPr>
                <w:rFonts w:ascii="Times New Roman" w:hAnsi="Times New Roman" w:eastAsia="仿宋_GB2312" w:cs="新宋体"/>
                <w:spacing w:val="-1"/>
                <w:sz w:val="30"/>
                <w:szCs w:val="28"/>
              </w:rPr>
              <w:t xml:space="preserve"> </w:t>
            </w:r>
            <w:r>
              <w:rPr>
                <w:rFonts w:hint="eastAsia" w:ascii="Times New Roman" w:hAnsi="Times New Roman" w:eastAsia="仿宋_GB2312" w:cs="新宋体"/>
                <w:sz w:val="30"/>
                <w:szCs w:val="28"/>
              </w:rPr>
              <w:t>前端一次性支付</w:t>
            </w:r>
          </w:p>
        </w:tc>
      </w:tr>
      <w:tr w14:paraId="03D5D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296" w:type="dxa"/>
            <w:gridSpan w:val="4"/>
            <w:vAlign w:val="center"/>
          </w:tcPr>
          <w:p w14:paraId="2B302349">
            <w:pPr>
              <w:pStyle w:val="107"/>
              <w:spacing w:before="16" w:line="560" w:lineRule="exact"/>
              <w:ind w:right="125"/>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按季支付约定保护费</w:t>
            </w:r>
            <w:r>
              <w:rPr>
                <w:rFonts w:ascii="Times New Roman" w:hAnsi="Times New Roman" w:eastAsia="仿宋_GB2312" w:cs="新宋体"/>
                <w:sz w:val="30"/>
                <w:szCs w:val="28"/>
                <w:lang w:eastAsia="zh-CN"/>
              </w:rPr>
              <w:t xml:space="preserve"> </w:t>
            </w:r>
            <w:r>
              <w:rPr>
                <w:rFonts w:hint="eastAsia" w:ascii="Times New Roman" w:hAnsi="Times New Roman" w:eastAsia="仿宋_GB2312" w:cs="新宋体"/>
                <w:sz w:val="30"/>
                <w:szCs w:val="28"/>
                <w:lang w:eastAsia="zh-CN"/>
              </w:rPr>
              <w:t>【适用】</w:t>
            </w:r>
            <w:r>
              <w:rPr>
                <w:rFonts w:ascii="Times New Roman" w:hAnsi="Times New Roman" w:eastAsia="仿宋_GB2312" w:cs="新宋体"/>
                <w:sz w:val="30"/>
                <w:szCs w:val="28"/>
                <w:lang w:eastAsia="zh-CN"/>
              </w:rPr>
              <w:t>/</w:t>
            </w:r>
            <w:r>
              <w:rPr>
                <w:rFonts w:hint="eastAsia" w:ascii="Times New Roman" w:hAnsi="Times New Roman" w:eastAsia="仿宋_GB2312" w:cs="新宋体"/>
                <w:sz w:val="30"/>
                <w:szCs w:val="28"/>
                <w:lang w:eastAsia="zh-CN"/>
              </w:rPr>
              <w:t>【不适用】</w:t>
            </w:r>
          </w:p>
        </w:tc>
      </w:tr>
      <w:tr w14:paraId="3842E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Merge w:val="restart"/>
            <w:vAlign w:val="center"/>
          </w:tcPr>
          <w:p w14:paraId="62F50F20">
            <w:pPr>
              <w:pStyle w:val="107"/>
              <w:spacing w:before="118" w:line="560" w:lineRule="exact"/>
              <w:jc w:val="both"/>
              <w:rPr>
                <w:rFonts w:ascii="Times New Roman" w:hAnsi="Times New Roman" w:eastAsia="仿宋_GB2312" w:cs="新宋体"/>
                <w:bCs/>
                <w:sz w:val="30"/>
                <w:szCs w:val="28"/>
                <w:lang w:eastAsia="zh-CN"/>
              </w:rPr>
            </w:pPr>
            <w:r>
              <w:rPr>
                <w:rFonts w:hint="eastAsia" w:ascii="Times New Roman" w:hAnsi="Times New Roman" w:eastAsia="仿宋_GB2312" w:cs="新宋体"/>
                <w:bCs/>
                <w:sz w:val="30"/>
                <w:szCs w:val="28"/>
                <w:lang w:eastAsia="zh-CN"/>
              </w:rPr>
              <w:t>支付要素</w:t>
            </w:r>
          </w:p>
        </w:tc>
        <w:tc>
          <w:tcPr>
            <w:tcW w:w="1985" w:type="dxa"/>
            <w:gridSpan w:val="2"/>
            <w:vAlign w:val="center"/>
          </w:tcPr>
          <w:p w14:paraId="3D08E54C">
            <w:pPr>
              <w:pStyle w:val="107"/>
              <w:spacing w:before="118" w:line="560" w:lineRule="exact"/>
              <w:jc w:val="both"/>
              <w:rPr>
                <w:rFonts w:ascii="Times New Roman" w:hAnsi="Times New Roman" w:eastAsia="仿宋_GB2312" w:cs="新宋体"/>
                <w:bCs/>
                <w:sz w:val="30"/>
                <w:szCs w:val="28"/>
                <w:lang w:eastAsia="zh-CN"/>
              </w:rPr>
            </w:pPr>
            <w:r>
              <w:rPr>
                <w:rFonts w:hint="eastAsia" w:ascii="Times New Roman" w:hAnsi="Times New Roman" w:eastAsia="仿宋_GB2312" w:cs="新宋体"/>
                <w:sz w:val="30"/>
                <w:szCs w:val="28"/>
                <w:lang w:eastAsia="zh-CN"/>
              </w:rPr>
              <w:t>支付频率</w:t>
            </w:r>
          </w:p>
        </w:tc>
        <w:tc>
          <w:tcPr>
            <w:tcW w:w="3906" w:type="dxa"/>
            <w:vAlign w:val="center"/>
          </w:tcPr>
          <w:p w14:paraId="47657C46">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【按季支付】</w:t>
            </w:r>
          </w:p>
        </w:tc>
      </w:tr>
      <w:tr w14:paraId="19BB6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Merge w:val="continue"/>
            <w:vAlign w:val="center"/>
          </w:tcPr>
          <w:p w14:paraId="5BE00254">
            <w:pPr>
              <w:pStyle w:val="107"/>
              <w:spacing w:before="118" w:line="560" w:lineRule="exact"/>
              <w:jc w:val="both"/>
              <w:rPr>
                <w:rFonts w:ascii="Times New Roman" w:hAnsi="Times New Roman" w:eastAsia="仿宋_GB2312" w:cs="新宋体"/>
                <w:b/>
                <w:bCs/>
                <w:sz w:val="30"/>
                <w:szCs w:val="28"/>
                <w:lang w:eastAsia="zh-CN"/>
              </w:rPr>
            </w:pPr>
          </w:p>
        </w:tc>
        <w:tc>
          <w:tcPr>
            <w:tcW w:w="1985" w:type="dxa"/>
            <w:gridSpan w:val="2"/>
            <w:vAlign w:val="center"/>
          </w:tcPr>
          <w:p w14:paraId="23AF851A">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rPr>
              <w:t>保护费</w:t>
            </w:r>
            <w:r>
              <w:rPr>
                <w:rFonts w:hint="eastAsia" w:ascii="Times New Roman" w:hAnsi="Times New Roman" w:eastAsia="仿宋_GB2312" w:cs="新宋体"/>
                <w:sz w:val="30"/>
                <w:szCs w:val="28"/>
                <w:lang w:eastAsia="zh-CN"/>
              </w:rPr>
              <w:t>率</w:t>
            </w:r>
          </w:p>
        </w:tc>
        <w:tc>
          <w:tcPr>
            <w:tcW w:w="3906" w:type="dxa"/>
            <w:vAlign w:val="center"/>
          </w:tcPr>
          <w:p w14:paraId="1BBFC82C">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年化【】</w:t>
            </w:r>
            <w:r>
              <w:rPr>
                <w:rFonts w:ascii="Times New Roman" w:hAnsi="Times New Roman" w:eastAsia="仿宋_GB2312" w:cs="新宋体"/>
                <w:sz w:val="30"/>
                <w:szCs w:val="28"/>
                <w:lang w:eastAsia="zh-CN"/>
              </w:rPr>
              <w:t>bps</w:t>
            </w:r>
          </w:p>
        </w:tc>
      </w:tr>
      <w:tr w14:paraId="0A95F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Merge w:val="continue"/>
            <w:vAlign w:val="center"/>
          </w:tcPr>
          <w:p w14:paraId="7C63AB0D">
            <w:pPr>
              <w:pStyle w:val="107"/>
              <w:spacing w:before="118" w:line="560" w:lineRule="exact"/>
              <w:jc w:val="both"/>
              <w:rPr>
                <w:rFonts w:ascii="Times New Roman" w:hAnsi="Times New Roman" w:eastAsia="仿宋_GB2312" w:cs="新宋体"/>
                <w:b/>
                <w:bCs/>
                <w:sz w:val="30"/>
                <w:szCs w:val="28"/>
                <w:lang w:eastAsia="zh-CN"/>
              </w:rPr>
            </w:pPr>
          </w:p>
        </w:tc>
        <w:tc>
          <w:tcPr>
            <w:tcW w:w="1985" w:type="dxa"/>
            <w:gridSpan w:val="2"/>
          </w:tcPr>
          <w:p w14:paraId="49E131C4">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sz w:val="30"/>
                <w:szCs w:val="28"/>
                <w:lang w:eastAsia="zh-CN"/>
              </w:rPr>
              <w:t>计息天数调整</w:t>
            </w:r>
          </w:p>
        </w:tc>
        <w:tc>
          <w:tcPr>
            <w:tcW w:w="3906" w:type="dxa"/>
            <w:vAlign w:val="center"/>
          </w:tcPr>
          <w:p w14:paraId="44A7A05B">
            <w:pPr>
              <w:pStyle w:val="107"/>
              <w:spacing w:before="118" w:line="560" w:lineRule="exact"/>
              <w:jc w:val="both"/>
              <w:rPr>
                <w:rFonts w:ascii="Times New Roman" w:hAnsi="Times New Roman" w:eastAsia="仿宋_GB2312"/>
                <w:sz w:val="30"/>
                <w:szCs w:val="28"/>
                <w:lang w:eastAsia="zh-CN"/>
              </w:rPr>
            </w:pPr>
            <w:r>
              <w:rPr>
                <w:rFonts w:hint="eastAsia" w:ascii="Times New Roman" w:hAnsi="Times New Roman" w:eastAsia="仿宋_GB2312" w:cs="新宋体"/>
                <w:sz w:val="30"/>
                <w:szCs w:val="28"/>
                <w:lang w:eastAsia="zh-CN"/>
              </w:rPr>
              <w:t>【按照实际天数调整】</w:t>
            </w:r>
            <w:r>
              <w:rPr>
                <w:rFonts w:ascii="Times New Roman" w:hAnsi="Times New Roman" w:eastAsia="仿宋_GB2312" w:cs="新宋体"/>
                <w:sz w:val="30"/>
                <w:szCs w:val="28"/>
                <w:lang w:eastAsia="zh-CN"/>
              </w:rPr>
              <w:t>/</w:t>
            </w:r>
            <w:r>
              <w:rPr>
                <w:rFonts w:hint="eastAsia" w:ascii="Times New Roman" w:hAnsi="Times New Roman" w:eastAsia="仿宋_GB2312" w:cs="新宋体"/>
                <w:sz w:val="30"/>
                <w:szCs w:val="28"/>
                <w:lang w:eastAsia="zh-CN"/>
              </w:rPr>
              <w:t>【按照名义天数不调整】</w:t>
            </w:r>
          </w:p>
        </w:tc>
      </w:tr>
      <w:tr w14:paraId="122E5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05" w:type="dxa"/>
            <w:vMerge w:val="continue"/>
            <w:vAlign w:val="center"/>
          </w:tcPr>
          <w:p w14:paraId="71FFD128">
            <w:pPr>
              <w:pStyle w:val="107"/>
              <w:spacing w:before="118" w:line="560" w:lineRule="exact"/>
              <w:jc w:val="both"/>
              <w:rPr>
                <w:rFonts w:ascii="Times New Roman" w:hAnsi="Times New Roman" w:eastAsia="仿宋_GB2312" w:cs="新宋体"/>
                <w:b/>
                <w:bCs/>
                <w:sz w:val="30"/>
                <w:szCs w:val="28"/>
                <w:lang w:eastAsia="zh-CN"/>
              </w:rPr>
            </w:pPr>
          </w:p>
        </w:tc>
        <w:tc>
          <w:tcPr>
            <w:tcW w:w="1985" w:type="dxa"/>
            <w:gridSpan w:val="2"/>
          </w:tcPr>
          <w:p w14:paraId="21787DD0">
            <w:pPr>
              <w:pStyle w:val="107"/>
              <w:spacing w:before="118" w:line="560" w:lineRule="exact"/>
              <w:jc w:val="both"/>
              <w:rPr>
                <w:rFonts w:ascii="Times New Roman" w:hAnsi="Times New Roman" w:eastAsia="仿宋_GB2312"/>
                <w:sz w:val="30"/>
                <w:szCs w:val="28"/>
                <w:lang w:eastAsia="zh-CN"/>
              </w:rPr>
            </w:pPr>
            <w:r>
              <w:rPr>
                <w:rFonts w:hint="eastAsia" w:ascii="Times New Roman" w:hAnsi="Times New Roman" w:eastAsia="仿宋_GB2312"/>
                <w:sz w:val="30"/>
                <w:szCs w:val="28"/>
              </w:rPr>
              <w:t>计息基准</w:t>
            </w:r>
          </w:p>
        </w:tc>
        <w:tc>
          <w:tcPr>
            <w:tcW w:w="3906" w:type="dxa"/>
            <w:vAlign w:val="center"/>
          </w:tcPr>
          <w:p w14:paraId="76F9122B">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【实际</w:t>
            </w:r>
            <w:r>
              <w:rPr>
                <w:rFonts w:ascii="Times New Roman" w:hAnsi="Times New Roman" w:eastAsia="仿宋_GB2312" w:cs="新宋体"/>
                <w:sz w:val="30"/>
                <w:szCs w:val="28"/>
                <w:lang w:eastAsia="zh-CN"/>
              </w:rPr>
              <w:t>/365</w:t>
            </w:r>
            <w:r>
              <w:rPr>
                <w:rFonts w:hint="eastAsia" w:ascii="Times New Roman" w:hAnsi="Times New Roman" w:eastAsia="仿宋_GB2312" w:cs="新宋体"/>
                <w:sz w:val="30"/>
                <w:szCs w:val="28"/>
                <w:lang w:eastAsia="zh-CN"/>
              </w:rPr>
              <w:t>】</w:t>
            </w:r>
            <w:r>
              <w:rPr>
                <w:rFonts w:ascii="Times New Roman" w:hAnsi="Times New Roman" w:eastAsia="仿宋_GB2312" w:cs="新宋体"/>
                <w:sz w:val="30"/>
                <w:szCs w:val="28"/>
                <w:lang w:eastAsia="zh-CN"/>
              </w:rPr>
              <w:t>/</w:t>
            </w:r>
            <w:r>
              <w:rPr>
                <w:rFonts w:hint="eastAsia" w:ascii="Times New Roman" w:hAnsi="Times New Roman" w:eastAsia="仿宋_GB2312" w:cs="新宋体"/>
                <w:sz w:val="30"/>
                <w:szCs w:val="28"/>
                <w:lang w:eastAsia="zh-CN"/>
              </w:rPr>
              <w:t>【实际</w:t>
            </w:r>
            <w:r>
              <w:rPr>
                <w:rFonts w:ascii="Times New Roman" w:hAnsi="Times New Roman" w:eastAsia="仿宋_GB2312" w:cs="新宋体"/>
                <w:sz w:val="30"/>
                <w:szCs w:val="28"/>
                <w:lang w:eastAsia="zh-CN"/>
              </w:rPr>
              <w:t>/</w:t>
            </w:r>
            <w:r>
              <w:rPr>
                <w:rFonts w:hint="eastAsia" w:ascii="Times New Roman" w:hAnsi="Times New Roman" w:eastAsia="仿宋_GB2312" w:cs="新宋体"/>
                <w:sz w:val="30"/>
                <w:szCs w:val="28"/>
                <w:lang w:eastAsia="zh-CN"/>
              </w:rPr>
              <w:t>实际】</w:t>
            </w:r>
          </w:p>
        </w:tc>
      </w:tr>
      <w:tr w14:paraId="3D45F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Merge w:val="continue"/>
            <w:vAlign w:val="center"/>
          </w:tcPr>
          <w:p w14:paraId="29DBD879">
            <w:pPr>
              <w:pStyle w:val="107"/>
              <w:spacing w:before="118" w:line="560" w:lineRule="exact"/>
              <w:jc w:val="both"/>
              <w:rPr>
                <w:rFonts w:ascii="Times New Roman" w:hAnsi="Times New Roman" w:eastAsia="仿宋_GB2312" w:cs="新宋体"/>
                <w:b/>
                <w:bCs/>
                <w:sz w:val="30"/>
                <w:szCs w:val="28"/>
                <w:lang w:eastAsia="zh-CN"/>
              </w:rPr>
            </w:pPr>
          </w:p>
        </w:tc>
        <w:tc>
          <w:tcPr>
            <w:tcW w:w="1985" w:type="dxa"/>
            <w:gridSpan w:val="2"/>
          </w:tcPr>
          <w:p w14:paraId="26FFCF0C">
            <w:pPr>
              <w:pStyle w:val="107"/>
              <w:spacing w:before="118" w:line="560" w:lineRule="exact"/>
              <w:jc w:val="both"/>
              <w:rPr>
                <w:rFonts w:ascii="Times New Roman" w:hAnsi="Times New Roman" w:eastAsia="仿宋_GB2312"/>
                <w:sz w:val="30"/>
                <w:szCs w:val="28"/>
                <w:lang w:eastAsia="zh-CN"/>
              </w:rPr>
            </w:pPr>
            <w:r>
              <w:rPr>
                <w:rFonts w:hint="eastAsia" w:ascii="Times New Roman" w:hAnsi="Times New Roman" w:eastAsia="仿宋_GB2312"/>
                <w:sz w:val="30"/>
                <w:szCs w:val="28"/>
                <w:lang w:eastAsia="zh-CN"/>
              </w:rPr>
              <w:t>首期保护费支付日</w:t>
            </w:r>
          </w:p>
        </w:tc>
        <w:tc>
          <w:tcPr>
            <w:tcW w:w="3906" w:type="dxa"/>
            <w:vAlign w:val="center"/>
          </w:tcPr>
          <w:p w14:paraId="26E16CC4">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sz w:val="30"/>
                <w:szCs w:val="28"/>
              </w:rPr>
              <w:t>【】年【】月【】日</w:t>
            </w:r>
          </w:p>
        </w:tc>
      </w:tr>
      <w:tr w14:paraId="27672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gridSpan w:val="4"/>
            <w:vAlign w:val="center"/>
          </w:tcPr>
          <w:p w14:paraId="51AA5436">
            <w:pPr>
              <w:pStyle w:val="107"/>
              <w:spacing w:before="16" w:line="560" w:lineRule="exact"/>
              <w:ind w:right="125"/>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季度标准保护费和部分前端费用相结合【适用】</w:t>
            </w:r>
            <w:r>
              <w:rPr>
                <w:rFonts w:ascii="Times New Roman" w:hAnsi="Times New Roman" w:eastAsia="仿宋_GB2312" w:cs="新宋体"/>
                <w:sz w:val="30"/>
                <w:szCs w:val="28"/>
                <w:lang w:eastAsia="zh-CN"/>
              </w:rPr>
              <w:t>/</w:t>
            </w:r>
            <w:r>
              <w:rPr>
                <w:rFonts w:hint="eastAsia" w:ascii="Times New Roman" w:hAnsi="Times New Roman" w:eastAsia="仿宋_GB2312" w:cs="新宋体"/>
                <w:sz w:val="30"/>
                <w:szCs w:val="28"/>
                <w:lang w:eastAsia="zh-CN"/>
              </w:rPr>
              <w:t>【不适用】</w:t>
            </w:r>
          </w:p>
        </w:tc>
      </w:tr>
      <w:tr w14:paraId="3D74E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Merge w:val="restart"/>
            <w:vAlign w:val="center"/>
          </w:tcPr>
          <w:p w14:paraId="1597D1DC">
            <w:pPr>
              <w:pStyle w:val="107"/>
              <w:spacing w:before="118" w:line="560" w:lineRule="exact"/>
              <w:jc w:val="both"/>
              <w:rPr>
                <w:rFonts w:ascii="Times New Roman" w:hAnsi="Times New Roman" w:eastAsia="仿宋_GB2312" w:cs="新宋体"/>
                <w:bCs/>
                <w:sz w:val="30"/>
                <w:szCs w:val="28"/>
                <w:lang w:eastAsia="zh-CN"/>
              </w:rPr>
            </w:pPr>
            <w:r>
              <w:rPr>
                <w:rFonts w:hint="eastAsia" w:ascii="Times New Roman" w:hAnsi="Times New Roman" w:eastAsia="仿宋_GB2312" w:cs="新宋体"/>
                <w:bCs/>
                <w:sz w:val="30"/>
                <w:szCs w:val="28"/>
                <w:lang w:eastAsia="zh-CN"/>
              </w:rPr>
              <w:t>支付要素</w:t>
            </w:r>
          </w:p>
        </w:tc>
        <w:tc>
          <w:tcPr>
            <w:tcW w:w="1985" w:type="dxa"/>
            <w:gridSpan w:val="2"/>
            <w:vAlign w:val="center"/>
          </w:tcPr>
          <w:p w14:paraId="3ECDD772">
            <w:pPr>
              <w:pStyle w:val="107"/>
              <w:spacing w:before="118" w:line="560" w:lineRule="exact"/>
              <w:jc w:val="both"/>
              <w:rPr>
                <w:rFonts w:ascii="Times New Roman" w:hAnsi="Times New Roman" w:eastAsia="仿宋_GB2312" w:cs="新宋体"/>
                <w:bCs/>
                <w:sz w:val="30"/>
                <w:szCs w:val="28"/>
                <w:lang w:eastAsia="zh-CN"/>
              </w:rPr>
            </w:pPr>
            <w:r>
              <w:rPr>
                <w:rFonts w:hint="eastAsia" w:ascii="Times New Roman" w:hAnsi="Times New Roman" w:eastAsia="仿宋_GB2312" w:cs="新宋体"/>
                <w:sz w:val="30"/>
                <w:szCs w:val="28"/>
                <w:lang w:eastAsia="zh-CN"/>
              </w:rPr>
              <w:t>支付频率</w:t>
            </w:r>
          </w:p>
        </w:tc>
        <w:tc>
          <w:tcPr>
            <w:tcW w:w="3906" w:type="dxa"/>
            <w:vAlign w:val="center"/>
          </w:tcPr>
          <w:p w14:paraId="35EC73FD">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【按季支付】</w:t>
            </w:r>
          </w:p>
        </w:tc>
      </w:tr>
      <w:tr w14:paraId="07A59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05" w:type="dxa"/>
            <w:vMerge w:val="continue"/>
            <w:vAlign w:val="center"/>
          </w:tcPr>
          <w:p w14:paraId="0ADAE012">
            <w:pPr>
              <w:pStyle w:val="107"/>
              <w:spacing w:before="118" w:line="560" w:lineRule="exact"/>
              <w:jc w:val="both"/>
              <w:rPr>
                <w:rFonts w:ascii="Times New Roman" w:hAnsi="Times New Roman" w:eastAsia="仿宋_GB2312" w:cs="新宋体"/>
                <w:b/>
                <w:bCs/>
                <w:sz w:val="30"/>
                <w:szCs w:val="28"/>
                <w:lang w:eastAsia="zh-CN"/>
              </w:rPr>
            </w:pPr>
          </w:p>
        </w:tc>
        <w:tc>
          <w:tcPr>
            <w:tcW w:w="1985" w:type="dxa"/>
            <w:gridSpan w:val="2"/>
            <w:vAlign w:val="center"/>
          </w:tcPr>
          <w:p w14:paraId="7E7AD9EC">
            <w:pPr>
              <w:pStyle w:val="107"/>
              <w:spacing w:before="118" w:line="560" w:lineRule="exact"/>
              <w:jc w:val="both"/>
              <w:rPr>
                <w:rFonts w:ascii="Times New Roman" w:hAnsi="Times New Roman" w:eastAsia="仿宋_GB2312"/>
                <w:sz w:val="30"/>
                <w:szCs w:val="28"/>
              </w:rPr>
            </w:pPr>
            <w:r>
              <w:rPr>
                <w:rFonts w:hint="eastAsia" w:ascii="Times New Roman" w:hAnsi="Times New Roman" w:eastAsia="仿宋_GB2312" w:cs="新宋体"/>
                <w:sz w:val="30"/>
                <w:szCs w:val="28"/>
              </w:rPr>
              <w:t>保护费率</w:t>
            </w:r>
          </w:p>
        </w:tc>
        <w:tc>
          <w:tcPr>
            <w:tcW w:w="3906" w:type="dxa"/>
            <w:vAlign w:val="center"/>
          </w:tcPr>
          <w:p w14:paraId="0A1B2873">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年化【】</w:t>
            </w:r>
            <w:r>
              <w:rPr>
                <w:rFonts w:ascii="Times New Roman" w:hAnsi="Times New Roman" w:eastAsia="仿宋_GB2312" w:cs="新宋体"/>
                <w:sz w:val="30"/>
                <w:szCs w:val="28"/>
                <w:lang w:eastAsia="zh-CN"/>
              </w:rPr>
              <w:t>bps</w:t>
            </w:r>
          </w:p>
        </w:tc>
      </w:tr>
      <w:tr w14:paraId="47F49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Merge w:val="continue"/>
            <w:vAlign w:val="center"/>
          </w:tcPr>
          <w:p w14:paraId="2A314158">
            <w:pPr>
              <w:pStyle w:val="107"/>
              <w:spacing w:before="118" w:line="560" w:lineRule="exact"/>
              <w:jc w:val="both"/>
              <w:rPr>
                <w:rFonts w:ascii="Times New Roman" w:hAnsi="Times New Roman" w:eastAsia="仿宋_GB2312" w:cs="新宋体"/>
                <w:b/>
                <w:bCs/>
                <w:sz w:val="30"/>
                <w:szCs w:val="28"/>
                <w:lang w:eastAsia="zh-CN"/>
              </w:rPr>
            </w:pPr>
          </w:p>
        </w:tc>
        <w:tc>
          <w:tcPr>
            <w:tcW w:w="1985" w:type="dxa"/>
            <w:gridSpan w:val="2"/>
            <w:vAlign w:val="center"/>
          </w:tcPr>
          <w:p w14:paraId="1D053516">
            <w:pPr>
              <w:pStyle w:val="107"/>
              <w:spacing w:before="118" w:line="560" w:lineRule="exact"/>
              <w:jc w:val="both"/>
              <w:rPr>
                <w:rFonts w:ascii="Times New Roman" w:hAnsi="Times New Roman" w:eastAsia="仿宋_GB2312"/>
                <w:sz w:val="30"/>
                <w:szCs w:val="28"/>
              </w:rPr>
            </w:pPr>
            <w:r>
              <w:rPr>
                <w:rFonts w:hint="eastAsia" w:ascii="Times New Roman" w:hAnsi="Times New Roman" w:eastAsia="仿宋_GB2312" w:cs="新宋体"/>
                <w:sz w:val="30"/>
                <w:szCs w:val="28"/>
              </w:rPr>
              <w:t>标准</w:t>
            </w:r>
            <w:r>
              <w:rPr>
                <w:rFonts w:hint="eastAsia" w:ascii="Times New Roman" w:hAnsi="Times New Roman" w:eastAsia="仿宋_GB2312" w:cs="新宋体"/>
                <w:sz w:val="30"/>
                <w:szCs w:val="28"/>
                <w:lang w:eastAsia="zh-CN"/>
              </w:rPr>
              <w:t>保护费率</w:t>
            </w:r>
          </w:p>
        </w:tc>
        <w:tc>
          <w:tcPr>
            <w:tcW w:w="3906" w:type="dxa"/>
            <w:vAlign w:val="center"/>
          </w:tcPr>
          <w:p w14:paraId="1B0F5580">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w:t>
            </w:r>
            <w:r>
              <w:rPr>
                <w:rFonts w:ascii="Times New Roman" w:hAnsi="Times New Roman" w:eastAsia="仿宋_GB2312" w:cs="新宋体"/>
                <w:sz w:val="30"/>
                <w:szCs w:val="28"/>
                <w:lang w:eastAsia="zh-CN"/>
              </w:rPr>
              <w:t>bps</w:t>
            </w:r>
            <w:r>
              <w:rPr>
                <w:rFonts w:hint="eastAsia" w:ascii="Times New Roman" w:hAnsi="Times New Roman" w:eastAsia="仿宋_GB2312" w:cs="新宋体"/>
                <w:sz w:val="30"/>
                <w:szCs w:val="28"/>
                <w:lang w:eastAsia="zh-CN"/>
              </w:rPr>
              <w:t>（</w:t>
            </w:r>
            <w:r>
              <w:rPr>
                <w:rFonts w:ascii="Times New Roman" w:hAnsi="Times New Roman" w:eastAsia="仿宋_GB2312" w:cs="新宋体"/>
                <w:sz w:val="30"/>
                <w:szCs w:val="28"/>
                <w:lang w:eastAsia="zh-CN"/>
              </w:rPr>
              <w:t>50/100/150</w:t>
            </w:r>
            <w:r>
              <w:rPr>
                <w:rFonts w:hint="eastAsia" w:ascii="Times New Roman" w:hAnsi="Times New Roman" w:eastAsia="仿宋_GB2312" w:cs="新宋体"/>
                <w:sz w:val="30"/>
                <w:szCs w:val="28"/>
                <w:lang w:eastAsia="zh-CN"/>
              </w:rPr>
              <w:t>）</w:t>
            </w:r>
          </w:p>
        </w:tc>
      </w:tr>
      <w:tr w14:paraId="00A54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Merge w:val="continue"/>
            <w:vAlign w:val="center"/>
          </w:tcPr>
          <w:p w14:paraId="395EB4F5">
            <w:pPr>
              <w:pStyle w:val="107"/>
              <w:spacing w:before="118" w:line="560" w:lineRule="exact"/>
              <w:jc w:val="both"/>
              <w:rPr>
                <w:rFonts w:ascii="Times New Roman" w:hAnsi="Times New Roman" w:eastAsia="仿宋_GB2312" w:cs="新宋体"/>
                <w:b/>
                <w:bCs/>
                <w:sz w:val="30"/>
                <w:szCs w:val="28"/>
                <w:lang w:eastAsia="zh-CN"/>
              </w:rPr>
            </w:pPr>
          </w:p>
        </w:tc>
        <w:tc>
          <w:tcPr>
            <w:tcW w:w="1985" w:type="dxa"/>
            <w:gridSpan w:val="2"/>
            <w:vAlign w:val="center"/>
          </w:tcPr>
          <w:p w14:paraId="1340CE9A">
            <w:pPr>
              <w:pStyle w:val="107"/>
              <w:spacing w:before="118" w:line="560" w:lineRule="exact"/>
              <w:jc w:val="both"/>
              <w:rPr>
                <w:rFonts w:ascii="Times New Roman" w:hAnsi="Times New Roman" w:eastAsia="仿宋_GB2312"/>
                <w:sz w:val="30"/>
                <w:szCs w:val="28"/>
              </w:rPr>
            </w:pPr>
            <w:r>
              <w:rPr>
                <w:rFonts w:hint="eastAsia" w:ascii="Times New Roman" w:hAnsi="Times New Roman" w:eastAsia="仿宋_GB2312" w:cs="新宋体"/>
                <w:bCs/>
                <w:sz w:val="30"/>
                <w:szCs w:val="28"/>
                <w:lang w:eastAsia="zh-CN"/>
              </w:rPr>
              <w:t>首期保护费支付日</w:t>
            </w:r>
          </w:p>
        </w:tc>
        <w:tc>
          <w:tcPr>
            <w:tcW w:w="3906" w:type="dxa"/>
            <w:vAlign w:val="center"/>
          </w:tcPr>
          <w:p w14:paraId="7C84BFA0">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sz w:val="30"/>
                <w:szCs w:val="28"/>
                <w:lang w:eastAsia="zh-CN"/>
              </w:rPr>
              <w:t>【】年【】月【】日（</w:t>
            </w:r>
            <w:r>
              <w:rPr>
                <w:rFonts w:hint="eastAsia" w:ascii="Times New Roman" w:hAnsi="Times New Roman" w:eastAsia="仿宋_GB2312" w:cs="新宋体"/>
                <w:b/>
                <w:bCs/>
                <w:sz w:val="30"/>
                <w:szCs w:val="28"/>
                <w:lang w:eastAsia="zh-CN"/>
              </w:rPr>
              <w:t>本确认书</w:t>
            </w:r>
            <w:r>
              <w:rPr>
                <w:rFonts w:hint="eastAsia" w:ascii="Times New Roman" w:hAnsi="Times New Roman" w:eastAsia="仿宋_GB2312" w:cs="新宋体"/>
                <w:sz w:val="30"/>
                <w:szCs w:val="28"/>
                <w:lang w:eastAsia="zh-CN"/>
              </w:rPr>
              <w:t>生效日之后第一个季末的</w:t>
            </w:r>
            <w:r>
              <w:rPr>
                <w:rFonts w:ascii="Times New Roman" w:hAnsi="Times New Roman" w:eastAsia="仿宋_GB2312" w:cs="新宋体"/>
                <w:sz w:val="30"/>
                <w:szCs w:val="28"/>
                <w:lang w:eastAsia="zh-CN"/>
              </w:rPr>
              <w:t>20</w:t>
            </w:r>
            <w:r>
              <w:rPr>
                <w:rFonts w:hint="eastAsia" w:ascii="Times New Roman" w:hAnsi="Times New Roman" w:eastAsia="仿宋_GB2312" w:cs="新宋体"/>
                <w:sz w:val="30"/>
                <w:szCs w:val="28"/>
                <w:lang w:eastAsia="zh-CN"/>
              </w:rPr>
              <w:t>日为首期支付日。此后每期支付日为约定年份的</w:t>
            </w:r>
            <w:r>
              <w:rPr>
                <w:rFonts w:ascii="Times New Roman" w:hAnsi="Times New Roman" w:eastAsia="仿宋_GB2312" w:cs="新宋体"/>
                <w:sz w:val="30"/>
                <w:szCs w:val="28"/>
                <w:lang w:eastAsia="zh-CN"/>
              </w:rPr>
              <w:t>3</w:t>
            </w:r>
            <w:r>
              <w:rPr>
                <w:rFonts w:hint="eastAsia" w:ascii="Times New Roman" w:hAnsi="Times New Roman" w:eastAsia="仿宋_GB2312" w:cs="新宋体"/>
                <w:sz w:val="30"/>
                <w:szCs w:val="28"/>
                <w:lang w:eastAsia="zh-CN"/>
              </w:rPr>
              <w:t>月</w:t>
            </w:r>
            <w:r>
              <w:rPr>
                <w:rFonts w:ascii="Times New Roman" w:hAnsi="Times New Roman" w:eastAsia="仿宋_GB2312" w:cs="新宋体"/>
                <w:sz w:val="30"/>
                <w:szCs w:val="28"/>
                <w:lang w:eastAsia="zh-CN"/>
              </w:rPr>
              <w:t>20</w:t>
            </w:r>
            <w:r>
              <w:rPr>
                <w:rFonts w:hint="eastAsia" w:ascii="Times New Roman" w:hAnsi="Times New Roman" w:eastAsia="仿宋_GB2312" w:cs="新宋体"/>
                <w:sz w:val="30"/>
                <w:szCs w:val="28"/>
                <w:lang w:eastAsia="zh-CN"/>
              </w:rPr>
              <w:t>日、</w:t>
            </w:r>
            <w:r>
              <w:rPr>
                <w:rFonts w:ascii="Times New Roman" w:hAnsi="Times New Roman" w:eastAsia="仿宋_GB2312" w:cs="新宋体"/>
                <w:sz w:val="30"/>
                <w:szCs w:val="28"/>
                <w:lang w:eastAsia="zh-CN"/>
              </w:rPr>
              <w:t>6</w:t>
            </w:r>
            <w:r>
              <w:rPr>
                <w:rFonts w:hint="eastAsia" w:ascii="Times New Roman" w:hAnsi="Times New Roman" w:eastAsia="仿宋_GB2312" w:cs="新宋体"/>
                <w:sz w:val="30"/>
                <w:szCs w:val="28"/>
                <w:lang w:eastAsia="zh-CN"/>
              </w:rPr>
              <w:t>月</w:t>
            </w:r>
            <w:r>
              <w:rPr>
                <w:rFonts w:ascii="Times New Roman" w:hAnsi="Times New Roman" w:eastAsia="仿宋_GB2312" w:cs="新宋体"/>
                <w:sz w:val="30"/>
                <w:szCs w:val="28"/>
                <w:lang w:eastAsia="zh-CN"/>
              </w:rPr>
              <w:t>20</w:t>
            </w:r>
            <w:r>
              <w:rPr>
                <w:rFonts w:hint="eastAsia" w:ascii="Times New Roman" w:hAnsi="Times New Roman" w:eastAsia="仿宋_GB2312" w:cs="新宋体"/>
                <w:sz w:val="30"/>
                <w:szCs w:val="28"/>
                <w:lang w:eastAsia="zh-CN"/>
              </w:rPr>
              <w:t>日、</w:t>
            </w:r>
            <w:r>
              <w:rPr>
                <w:rFonts w:ascii="Times New Roman" w:hAnsi="Times New Roman" w:eastAsia="仿宋_GB2312" w:cs="新宋体"/>
                <w:sz w:val="30"/>
                <w:szCs w:val="28"/>
                <w:lang w:eastAsia="zh-CN"/>
              </w:rPr>
              <w:t>9</w:t>
            </w:r>
            <w:r>
              <w:rPr>
                <w:rFonts w:hint="eastAsia" w:ascii="Times New Roman" w:hAnsi="Times New Roman" w:eastAsia="仿宋_GB2312" w:cs="新宋体"/>
                <w:sz w:val="30"/>
                <w:szCs w:val="28"/>
                <w:lang w:eastAsia="zh-CN"/>
              </w:rPr>
              <w:t>月</w:t>
            </w:r>
            <w:r>
              <w:rPr>
                <w:rFonts w:ascii="Times New Roman" w:hAnsi="Times New Roman" w:eastAsia="仿宋_GB2312" w:cs="新宋体"/>
                <w:sz w:val="30"/>
                <w:szCs w:val="28"/>
                <w:lang w:eastAsia="zh-CN"/>
              </w:rPr>
              <w:t>20</w:t>
            </w:r>
            <w:r>
              <w:rPr>
                <w:rFonts w:hint="eastAsia" w:ascii="Times New Roman" w:hAnsi="Times New Roman" w:eastAsia="仿宋_GB2312" w:cs="新宋体"/>
                <w:sz w:val="30"/>
                <w:szCs w:val="28"/>
                <w:lang w:eastAsia="zh-CN"/>
              </w:rPr>
              <w:t>日和</w:t>
            </w:r>
            <w:r>
              <w:rPr>
                <w:rFonts w:ascii="Times New Roman" w:hAnsi="Times New Roman" w:eastAsia="仿宋_GB2312" w:cs="新宋体"/>
                <w:sz w:val="30"/>
                <w:szCs w:val="28"/>
                <w:lang w:eastAsia="zh-CN"/>
              </w:rPr>
              <w:t>12</w:t>
            </w:r>
            <w:r>
              <w:rPr>
                <w:rFonts w:hint="eastAsia" w:ascii="Times New Roman" w:hAnsi="Times New Roman" w:eastAsia="仿宋_GB2312" w:cs="新宋体"/>
                <w:sz w:val="30"/>
                <w:szCs w:val="28"/>
                <w:lang w:eastAsia="zh-CN"/>
              </w:rPr>
              <w:t>月</w:t>
            </w:r>
            <w:r>
              <w:rPr>
                <w:rFonts w:ascii="Times New Roman" w:hAnsi="Times New Roman" w:eastAsia="仿宋_GB2312" w:cs="新宋体"/>
                <w:sz w:val="30"/>
                <w:szCs w:val="28"/>
                <w:lang w:eastAsia="zh-CN"/>
              </w:rPr>
              <w:t>20</w:t>
            </w:r>
            <w:r>
              <w:rPr>
                <w:rFonts w:hint="eastAsia" w:ascii="Times New Roman" w:hAnsi="Times New Roman" w:eastAsia="仿宋_GB2312" w:cs="新宋体"/>
                <w:sz w:val="30"/>
                <w:szCs w:val="28"/>
                <w:lang w:eastAsia="zh-CN"/>
              </w:rPr>
              <w:t>日。）</w:t>
            </w:r>
          </w:p>
        </w:tc>
      </w:tr>
      <w:tr w14:paraId="32ADD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Merge w:val="continue"/>
            <w:vAlign w:val="center"/>
          </w:tcPr>
          <w:p w14:paraId="2475B38B">
            <w:pPr>
              <w:pStyle w:val="107"/>
              <w:spacing w:before="118" w:line="560" w:lineRule="exact"/>
              <w:jc w:val="both"/>
              <w:rPr>
                <w:rFonts w:ascii="Times New Roman" w:hAnsi="Times New Roman" w:eastAsia="仿宋_GB2312" w:cs="新宋体"/>
                <w:b/>
                <w:bCs/>
                <w:sz w:val="30"/>
                <w:szCs w:val="28"/>
                <w:lang w:eastAsia="zh-CN"/>
              </w:rPr>
            </w:pPr>
          </w:p>
        </w:tc>
        <w:tc>
          <w:tcPr>
            <w:tcW w:w="1985" w:type="dxa"/>
            <w:gridSpan w:val="2"/>
            <w:vAlign w:val="center"/>
          </w:tcPr>
          <w:p w14:paraId="52EAD8F8">
            <w:pPr>
              <w:pStyle w:val="107"/>
              <w:spacing w:before="118" w:line="560" w:lineRule="exact"/>
              <w:jc w:val="both"/>
              <w:rPr>
                <w:rFonts w:ascii="Times New Roman" w:hAnsi="Times New Roman" w:eastAsia="仿宋_GB2312"/>
                <w:sz w:val="30"/>
                <w:szCs w:val="28"/>
              </w:rPr>
            </w:pPr>
            <w:r>
              <w:rPr>
                <w:rFonts w:hint="eastAsia" w:ascii="Times New Roman" w:hAnsi="Times New Roman" w:eastAsia="仿宋_GB2312" w:cs="新宋体"/>
                <w:sz w:val="30"/>
                <w:szCs w:val="28"/>
              </w:rPr>
              <w:t>前端费率</w:t>
            </w:r>
          </w:p>
        </w:tc>
        <w:tc>
          <w:tcPr>
            <w:tcW w:w="3906" w:type="dxa"/>
            <w:vAlign w:val="center"/>
          </w:tcPr>
          <w:p w14:paraId="616E2AE9">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w:t>
            </w:r>
            <w:r>
              <w:rPr>
                <w:rFonts w:ascii="Times New Roman" w:hAnsi="Times New Roman" w:eastAsia="仿宋_GB2312" w:cs="新宋体"/>
                <w:sz w:val="30"/>
                <w:szCs w:val="28"/>
                <w:lang w:eastAsia="zh-CN"/>
              </w:rPr>
              <w:t>bps</w:t>
            </w:r>
          </w:p>
        </w:tc>
      </w:tr>
      <w:tr w14:paraId="44207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05" w:type="dxa"/>
            <w:vMerge w:val="continue"/>
            <w:vAlign w:val="center"/>
          </w:tcPr>
          <w:p w14:paraId="6D51DA91">
            <w:pPr>
              <w:pStyle w:val="107"/>
              <w:spacing w:before="118" w:line="560" w:lineRule="exact"/>
              <w:jc w:val="both"/>
              <w:rPr>
                <w:rFonts w:ascii="Times New Roman" w:hAnsi="Times New Roman" w:eastAsia="仿宋_GB2312" w:cs="新宋体"/>
                <w:b/>
                <w:bCs/>
                <w:sz w:val="30"/>
                <w:szCs w:val="28"/>
                <w:lang w:eastAsia="zh-CN"/>
              </w:rPr>
            </w:pPr>
          </w:p>
        </w:tc>
        <w:tc>
          <w:tcPr>
            <w:tcW w:w="1985" w:type="dxa"/>
            <w:gridSpan w:val="2"/>
            <w:vAlign w:val="center"/>
          </w:tcPr>
          <w:p w14:paraId="7EA97429">
            <w:pPr>
              <w:pStyle w:val="107"/>
              <w:spacing w:before="118" w:line="560" w:lineRule="exact"/>
              <w:jc w:val="both"/>
              <w:rPr>
                <w:rFonts w:ascii="Times New Roman" w:hAnsi="Times New Roman" w:eastAsia="仿宋_GB2312"/>
                <w:sz w:val="30"/>
                <w:szCs w:val="28"/>
              </w:rPr>
            </w:pPr>
            <w:r>
              <w:rPr>
                <w:rFonts w:hint="eastAsia" w:ascii="Times New Roman" w:hAnsi="Times New Roman" w:eastAsia="仿宋_GB2312" w:cs="新宋体"/>
                <w:bCs/>
                <w:sz w:val="30"/>
                <w:szCs w:val="28"/>
                <w:lang w:eastAsia="zh-CN"/>
              </w:rPr>
              <w:t>前端费用</w:t>
            </w:r>
          </w:p>
        </w:tc>
        <w:tc>
          <w:tcPr>
            <w:tcW w:w="3906" w:type="dxa"/>
            <w:vAlign w:val="center"/>
          </w:tcPr>
          <w:p w14:paraId="16B06643">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【】元人民币</w:t>
            </w:r>
          </w:p>
        </w:tc>
      </w:tr>
      <w:tr w14:paraId="3446F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Merge w:val="continue"/>
            <w:vAlign w:val="center"/>
          </w:tcPr>
          <w:p w14:paraId="6353F61A">
            <w:pPr>
              <w:pStyle w:val="107"/>
              <w:spacing w:before="118" w:line="560" w:lineRule="exact"/>
              <w:jc w:val="both"/>
              <w:rPr>
                <w:rFonts w:ascii="Times New Roman" w:hAnsi="Times New Roman" w:eastAsia="仿宋_GB2312" w:cs="新宋体"/>
                <w:b/>
                <w:bCs/>
                <w:sz w:val="30"/>
                <w:szCs w:val="28"/>
                <w:lang w:eastAsia="zh-CN"/>
              </w:rPr>
            </w:pPr>
          </w:p>
        </w:tc>
        <w:tc>
          <w:tcPr>
            <w:tcW w:w="1985" w:type="dxa"/>
            <w:gridSpan w:val="2"/>
            <w:vAlign w:val="center"/>
          </w:tcPr>
          <w:p w14:paraId="3DA0185A">
            <w:pPr>
              <w:pStyle w:val="107"/>
              <w:spacing w:before="118" w:line="560" w:lineRule="exact"/>
              <w:jc w:val="both"/>
              <w:rPr>
                <w:rFonts w:ascii="Times New Roman" w:hAnsi="Times New Roman" w:eastAsia="仿宋_GB2312"/>
                <w:sz w:val="30"/>
                <w:szCs w:val="28"/>
              </w:rPr>
            </w:pPr>
            <w:r>
              <w:rPr>
                <w:rFonts w:hint="eastAsia" w:ascii="Times New Roman" w:hAnsi="Times New Roman" w:eastAsia="仿宋_GB2312" w:cs="新宋体"/>
                <w:sz w:val="30"/>
                <w:szCs w:val="28"/>
              </w:rPr>
              <w:t>期初返还金额</w:t>
            </w:r>
          </w:p>
        </w:tc>
        <w:tc>
          <w:tcPr>
            <w:tcW w:w="3906" w:type="dxa"/>
            <w:vAlign w:val="center"/>
          </w:tcPr>
          <w:p w14:paraId="477111C7">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【】元人民币</w:t>
            </w:r>
          </w:p>
        </w:tc>
      </w:tr>
      <w:tr w14:paraId="7FD45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Merge w:val="continue"/>
            <w:vAlign w:val="center"/>
          </w:tcPr>
          <w:p w14:paraId="5D31B103">
            <w:pPr>
              <w:pStyle w:val="107"/>
              <w:spacing w:before="118" w:line="560" w:lineRule="exact"/>
              <w:jc w:val="both"/>
              <w:rPr>
                <w:rFonts w:ascii="Times New Roman" w:hAnsi="Times New Roman" w:eastAsia="仿宋_GB2312" w:cs="新宋体"/>
                <w:b/>
                <w:bCs/>
                <w:sz w:val="30"/>
                <w:szCs w:val="28"/>
                <w:lang w:eastAsia="zh-CN"/>
              </w:rPr>
            </w:pPr>
          </w:p>
        </w:tc>
        <w:tc>
          <w:tcPr>
            <w:tcW w:w="1985" w:type="dxa"/>
            <w:gridSpan w:val="2"/>
            <w:vAlign w:val="center"/>
          </w:tcPr>
          <w:p w14:paraId="74313ADC">
            <w:pPr>
              <w:pStyle w:val="107"/>
              <w:spacing w:before="118" w:line="560" w:lineRule="exact"/>
              <w:jc w:val="both"/>
              <w:rPr>
                <w:rFonts w:ascii="Times New Roman" w:hAnsi="Times New Roman" w:eastAsia="仿宋_GB2312"/>
                <w:sz w:val="30"/>
                <w:szCs w:val="28"/>
              </w:rPr>
            </w:pPr>
            <w:r>
              <w:rPr>
                <w:rFonts w:hint="eastAsia" w:ascii="Times New Roman" w:hAnsi="Times New Roman" w:eastAsia="仿宋_GB2312" w:cs="新宋体"/>
                <w:sz w:val="30"/>
                <w:szCs w:val="28"/>
                <w:lang w:eastAsia="zh-CN"/>
              </w:rPr>
              <w:t>期初</w:t>
            </w:r>
            <w:r>
              <w:rPr>
                <w:rFonts w:hint="eastAsia" w:ascii="Times New Roman" w:hAnsi="Times New Roman" w:eastAsia="仿宋_GB2312" w:cs="新宋体"/>
                <w:sz w:val="30"/>
                <w:szCs w:val="28"/>
              </w:rPr>
              <w:t>交付金额</w:t>
            </w:r>
          </w:p>
        </w:tc>
        <w:tc>
          <w:tcPr>
            <w:tcW w:w="3906" w:type="dxa"/>
            <w:vAlign w:val="center"/>
          </w:tcPr>
          <w:p w14:paraId="0F3BA7D2">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【】元人民币（若期初交付金额由信用保护卖方向信用保护买方支付，则以负数表示）</w:t>
            </w:r>
          </w:p>
        </w:tc>
      </w:tr>
      <w:tr w14:paraId="55723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Merge w:val="continue"/>
            <w:vAlign w:val="center"/>
          </w:tcPr>
          <w:p w14:paraId="091B8A11">
            <w:pPr>
              <w:pStyle w:val="107"/>
              <w:spacing w:before="118" w:line="560" w:lineRule="exact"/>
              <w:jc w:val="both"/>
              <w:rPr>
                <w:rFonts w:ascii="Times New Roman" w:hAnsi="Times New Roman" w:eastAsia="仿宋_GB2312" w:cs="新宋体"/>
                <w:b/>
                <w:bCs/>
                <w:sz w:val="30"/>
                <w:szCs w:val="28"/>
                <w:lang w:eastAsia="zh-CN"/>
              </w:rPr>
            </w:pPr>
          </w:p>
        </w:tc>
        <w:tc>
          <w:tcPr>
            <w:tcW w:w="1985" w:type="dxa"/>
            <w:gridSpan w:val="2"/>
            <w:vAlign w:val="center"/>
          </w:tcPr>
          <w:p w14:paraId="5349A53C">
            <w:pPr>
              <w:pStyle w:val="107"/>
              <w:spacing w:before="118" w:line="560" w:lineRule="exact"/>
              <w:jc w:val="both"/>
              <w:rPr>
                <w:rFonts w:ascii="Times New Roman" w:hAnsi="Times New Roman" w:eastAsia="仿宋_GB2312"/>
                <w:sz w:val="30"/>
                <w:szCs w:val="28"/>
              </w:rPr>
            </w:pPr>
            <w:r>
              <w:rPr>
                <w:rFonts w:hint="eastAsia" w:ascii="Times New Roman" w:hAnsi="Times New Roman" w:eastAsia="仿宋_GB2312" w:cs="新宋体"/>
                <w:sz w:val="30"/>
                <w:szCs w:val="28"/>
              </w:rPr>
              <w:t>期初交付金额支付日</w:t>
            </w:r>
          </w:p>
        </w:tc>
        <w:tc>
          <w:tcPr>
            <w:tcW w:w="3906" w:type="dxa"/>
            <w:vAlign w:val="center"/>
          </w:tcPr>
          <w:p w14:paraId="0CABEB49">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sz w:val="30"/>
                <w:szCs w:val="28"/>
              </w:rPr>
              <w:t>【】年【】月【】日</w:t>
            </w:r>
          </w:p>
        </w:tc>
      </w:tr>
      <w:tr w14:paraId="4C43D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05" w:type="dxa"/>
            <w:vMerge w:val="continue"/>
            <w:vAlign w:val="center"/>
          </w:tcPr>
          <w:p w14:paraId="0D7A37D8">
            <w:pPr>
              <w:pStyle w:val="107"/>
              <w:spacing w:before="118" w:line="560" w:lineRule="exact"/>
              <w:jc w:val="both"/>
              <w:rPr>
                <w:rFonts w:ascii="Times New Roman" w:hAnsi="Times New Roman" w:eastAsia="仿宋_GB2312" w:cs="新宋体"/>
                <w:b/>
                <w:bCs/>
                <w:sz w:val="30"/>
                <w:szCs w:val="28"/>
                <w:lang w:eastAsia="zh-CN"/>
              </w:rPr>
            </w:pPr>
          </w:p>
        </w:tc>
        <w:tc>
          <w:tcPr>
            <w:tcW w:w="1985" w:type="dxa"/>
            <w:gridSpan w:val="2"/>
          </w:tcPr>
          <w:p w14:paraId="584F5EF1">
            <w:pPr>
              <w:pStyle w:val="107"/>
              <w:spacing w:before="118" w:line="560" w:lineRule="exact"/>
              <w:jc w:val="both"/>
              <w:rPr>
                <w:rFonts w:ascii="Times New Roman" w:hAnsi="Times New Roman" w:eastAsia="仿宋_GB2312"/>
                <w:sz w:val="30"/>
                <w:szCs w:val="28"/>
                <w:lang w:eastAsia="zh-CN"/>
              </w:rPr>
            </w:pPr>
            <w:r>
              <w:rPr>
                <w:rFonts w:hint="eastAsia" w:ascii="Times New Roman" w:hAnsi="Times New Roman" w:eastAsia="仿宋_GB2312"/>
                <w:sz w:val="30"/>
                <w:szCs w:val="28"/>
                <w:lang w:eastAsia="zh-CN"/>
              </w:rPr>
              <w:t>计息天数调整</w:t>
            </w:r>
          </w:p>
        </w:tc>
        <w:tc>
          <w:tcPr>
            <w:tcW w:w="3906" w:type="dxa"/>
            <w:vAlign w:val="center"/>
          </w:tcPr>
          <w:p w14:paraId="5FFC4CA2">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【按照实际天数调整】</w:t>
            </w:r>
            <w:r>
              <w:rPr>
                <w:rFonts w:ascii="Times New Roman" w:hAnsi="Times New Roman" w:eastAsia="仿宋_GB2312" w:cs="新宋体"/>
                <w:sz w:val="30"/>
                <w:szCs w:val="28"/>
                <w:lang w:eastAsia="zh-CN"/>
              </w:rPr>
              <w:t>/</w:t>
            </w:r>
            <w:r>
              <w:rPr>
                <w:rFonts w:hint="eastAsia" w:ascii="Times New Roman" w:hAnsi="Times New Roman" w:eastAsia="仿宋_GB2312" w:cs="新宋体"/>
                <w:sz w:val="30"/>
                <w:szCs w:val="28"/>
                <w:lang w:eastAsia="zh-CN"/>
              </w:rPr>
              <w:t>【按照名义天数不调整】</w:t>
            </w:r>
          </w:p>
        </w:tc>
      </w:tr>
      <w:tr w14:paraId="379AE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Merge w:val="continue"/>
            <w:vAlign w:val="center"/>
          </w:tcPr>
          <w:p w14:paraId="0743A8CB">
            <w:pPr>
              <w:pStyle w:val="107"/>
              <w:spacing w:before="118" w:line="560" w:lineRule="exact"/>
              <w:jc w:val="both"/>
              <w:rPr>
                <w:rFonts w:ascii="Times New Roman" w:hAnsi="Times New Roman" w:eastAsia="仿宋_GB2312" w:cs="新宋体"/>
                <w:b/>
                <w:bCs/>
                <w:sz w:val="30"/>
                <w:szCs w:val="28"/>
                <w:lang w:eastAsia="zh-CN"/>
              </w:rPr>
            </w:pPr>
          </w:p>
        </w:tc>
        <w:tc>
          <w:tcPr>
            <w:tcW w:w="1985" w:type="dxa"/>
            <w:gridSpan w:val="2"/>
          </w:tcPr>
          <w:p w14:paraId="7B13FF50">
            <w:pPr>
              <w:pStyle w:val="107"/>
              <w:spacing w:before="118" w:line="560" w:lineRule="exact"/>
              <w:jc w:val="both"/>
              <w:rPr>
                <w:rFonts w:ascii="Times New Roman" w:hAnsi="Times New Roman" w:eastAsia="仿宋_GB2312"/>
                <w:sz w:val="30"/>
                <w:szCs w:val="28"/>
              </w:rPr>
            </w:pPr>
            <w:r>
              <w:rPr>
                <w:rFonts w:hint="eastAsia" w:ascii="Times New Roman" w:hAnsi="Times New Roman" w:eastAsia="仿宋_GB2312"/>
                <w:sz w:val="30"/>
                <w:szCs w:val="28"/>
              </w:rPr>
              <w:t>计息基准</w:t>
            </w:r>
          </w:p>
        </w:tc>
        <w:tc>
          <w:tcPr>
            <w:tcW w:w="3906" w:type="dxa"/>
            <w:vAlign w:val="center"/>
          </w:tcPr>
          <w:p w14:paraId="06606685">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【实际</w:t>
            </w:r>
            <w:r>
              <w:rPr>
                <w:rFonts w:ascii="Times New Roman" w:hAnsi="Times New Roman" w:eastAsia="仿宋_GB2312" w:cs="新宋体"/>
                <w:sz w:val="30"/>
                <w:szCs w:val="28"/>
                <w:lang w:eastAsia="zh-CN"/>
              </w:rPr>
              <w:t>/365</w:t>
            </w:r>
            <w:r>
              <w:rPr>
                <w:rFonts w:hint="eastAsia" w:ascii="Times New Roman" w:hAnsi="Times New Roman" w:eastAsia="仿宋_GB2312" w:cs="新宋体"/>
                <w:sz w:val="30"/>
                <w:szCs w:val="28"/>
                <w:lang w:eastAsia="zh-CN"/>
              </w:rPr>
              <w:t>】</w:t>
            </w:r>
            <w:r>
              <w:rPr>
                <w:rFonts w:ascii="Times New Roman" w:hAnsi="Times New Roman" w:eastAsia="仿宋_GB2312" w:cs="新宋体"/>
                <w:sz w:val="30"/>
                <w:szCs w:val="28"/>
                <w:lang w:eastAsia="zh-CN"/>
              </w:rPr>
              <w:t>/</w:t>
            </w:r>
            <w:r>
              <w:rPr>
                <w:rFonts w:hint="eastAsia" w:ascii="Times New Roman" w:hAnsi="Times New Roman" w:eastAsia="仿宋_GB2312" w:cs="新宋体"/>
                <w:sz w:val="30"/>
                <w:szCs w:val="28"/>
                <w:lang w:eastAsia="zh-CN"/>
              </w:rPr>
              <w:t>【实际</w:t>
            </w:r>
            <w:r>
              <w:rPr>
                <w:rFonts w:ascii="Times New Roman" w:hAnsi="Times New Roman" w:eastAsia="仿宋_GB2312" w:cs="新宋体"/>
                <w:sz w:val="30"/>
                <w:szCs w:val="28"/>
                <w:lang w:eastAsia="zh-CN"/>
              </w:rPr>
              <w:t>/</w:t>
            </w:r>
            <w:r>
              <w:rPr>
                <w:rFonts w:hint="eastAsia" w:ascii="Times New Roman" w:hAnsi="Times New Roman" w:eastAsia="仿宋_GB2312" w:cs="新宋体"/>
                <w:sz w:val="30"/>
                <w:szCs w:val="28"/>
                <w:lang w:eastAsia="zh-CN"/>
              </w:rPr>
              <w:t>实际】</w:t>
            </w:r>
          </w:p>
        </w:tc>
      </w:tr>
      <w:tr w14:paraId="794AE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gridSpan w:val="4"/>
            <w:vAlign w:val="center"/>
          </w:tcPr>
          <w:p w14:paraId="430312FE">
            <w:pPr>
              <w:pStyle w:val="107"/>
              <w:spacing w:before="16" w:line="560" w:lineRule="exact"/>
              <w:ind w:right="125"/>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前端一次性支付【适用】</w:t>
            </w:r>
            <w:r>
              <w:rPr>
                <w:rFonts w:ascii="Times New Roman" w:hAnsi="Times New Roman" w:eastAsia="仿宋_GB2312" w:cs="新宋体"/>
                <w:sz w:val="30"/>
                <w:szCs w:val="28"/>
                <w:lang w:eastAsia="zh-CN"/>
              </w:rPr>
              <w:t>/</w:t>
            </w:r>
            <w:r>
              <w:rPr>
                <w:rFonts w:hint="eastAsia" w:ascii="Times New Roman" w:hAnsi="Times New Roman" w:eastAsia="仿宋_GB2312" w:cs="新宋体"/>
                <w:sz w:val="30"/>
                <w:szCs w:val="28"/>
                <w:lang w:eastAsia="zh-CN"/>
              </w:rPr>
              <w:t>【不适用】</w:t>
            </w:r>
          </w:p>
        </w:tc>
      </w:tr>
      <w:tr w14:paraId="769F1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Merge w:val="restart"/>
            <w:vAlign w:val="center"/>
          </w:tcPr>
          <w:p w14:paraId="34F4E9D2">
            <w:pPr>
              <w:pStyle w:val="107"/>
              <w:spacing w:before="118" w:line="560" w:lineRule="exact"/>
              <w:jc w:val="both"/>
              <w:rPr>
                <w:rFonts w:ascii="Times New Roman" w:hAnsi="Times New Roman" w:eastAsia="仿宋_GB2312" w:cs="新宋体"/>
                <w:bCs/>
                <w:sz w:val="30"/>
                <w:szCs w:val="28"/>
                <w:lang w:eastAsia="zh-CN"/>
              </w:rPr>
            </w:pPr>
            <w:r>
              <w:rPr>
                <w:rFonts w:hint="eastAsia" w:ascii="Times New Roman" w:hAnsi="Times New Roman" w:eastAsia="仿宋_GB2312" w:cs="新宋体"/>
                <w:bCs/>
                <w:sz w:val="30"/>
                <w:szCs w:val="28"/>
                <w:lang w:eastAsia="zh-CN"/>
              </w:rPr>
              <w:t>支付要素</w:t>
            </w:r>
          </w:p>
        </w:tc>
        <w:tc>
          <w:tcPr>
            <w:tcW w:w="1985" w:type="dxa"/>
            <w:gridSpan w:val="2"/>
            <w:vAlign w:val="center"/>
          </w:tcPr>
          <w:p w14:paraId="488C9D2B">
            <w:pPr>
              <w:pStyle w:val="107"/>
              <w:spacing w:before="118" w:line="560" w:lineRule="exact"/>
              <w:jc w:val="both"/>
              <w:rPr>
                <w:rFonts w:ascii="Times New Roman" w:hAnsi="Times New Roman" w:eastAsia="仿宋_GB2312" w:cs="新宋体"/>
                <w:bCs/>
                <w:sz w:val="30"/>
                <w:szCs w:val="28"/>
                <w:lang w:eastAsia="zh-CN"/>
              </w:rPr>
            </w:pPr>
            <w:r>
              <w:rPr>
                <w:rFonts w:hint="eastAsia" w:ascii="Times New Roman" w:hAnsi="Times New Roman" w:eastAsia="仿宋_GB2312" w:cs="新宋体"/>
                <w:sz w:val="30"/>
                <w:szCs w:val="28"/>
              </w:rPr>
              <w:t>保护费率</w:t>
            </w:r>
          </w:p>
        </w:tc>
        <w:tc>
          <w:tcPr>
            <w:tcW w:w="3906" w:type="dxa"/>
            <w:vAlign w:val="center"/>
          </w:tcPr>
          <w:p w14:paraId="0B426C14">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w:t>
            </w:r>
            <w:r>
              <w:rPr>
                <w:rFonts w:ascii="Times New Roman" w:hAnsi="Times New Roman" w:eastAsia="仿宋_GB2312" w:cs="新宋体"/>
                <w:sz w:val="30"/>
                <w:szCs w:val="28"/>
                <w:lang w:eastAsia="zh-CN"/>
              </w:rPr>
              <w:t>bps</w:t>
            </w:r>
          </w:p>
        </w:tc>
      </w:tr>
      <w:tr w14:paraId="2E666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05" w:type="dxa"/>
            <w:vMerge w:val="continue"/>
            <w:vAlign w:val="center"/>
          </w:tcPr>
          <w:p w14:paraId="4BFB5A1F">
            <w:pPr>
              <w:pStyle w:val="107"/>
              <w:spacing w:before="118" w:line="560" w:lineRule="exact"/>
              <w:jc w:val="both"/>
              <w:rPr>
                <w:rFonts w:ascii="Times New Roman" w:hAnsi="Times New Roman" w:eastAsia="仿宋_GB2312" w:cs="新宋体"/>
                <w:b/>
                <w:bCs/>
                <w:sz w:val="30"/>
                <w:szCs w:val="28"/>
                <w:lang w:eastAsia="zh-CN"/>
              </w:rPr>
            </w:pPr>
          </w:p>
        </w:tc>
        <w:tc>
          <w:tcPr>
            <w:tcW w:w="1985" w:type="dxa"/>
            <w:gridSpan w:val="2"/>
            <w:vAlign w:val="center"/>
          </w:tcPr>
          <w:p w14:paraId="78D339BB">
            <w:pPr>
              <w:pStyle w:val="107"/>
              <w:spacing w:before="118" w:line="560" w:lineRule="exact"/>
              <w:jc w:val="both"/>
              <w:rPr>
                <w:rFonts w:ascii="Times New Roman" w:hAnsi="Times New Roman" w:eastAsia="仿宋_GB2312"/>
                <w:sz w:val="30"/>
                <w:szCs w:val="28"/>
              </w:rPr>
            </w:pPr>
            <w:r>
              <w:rPr>
                <w:rFonts w:hint="eastAsia" w:ascii="Times New Roman" w:hAnsi="Times New Roman" w:eastAsia="仿宋_GB2312" w:cs="新宋体"/>
                <w:sz w:val="30"/>
                <w:szCs w:val="28"/>
                <w:lang w:eastAsia="zh-CN"/>
              </w:rPr>
              <w:t>保护费</w:t>
            </w:r>
          </w:p>
        </w:tc>
        <w:tc>
          <w:tcPr>
            <w:tcW w:w="3906" w:type="dxa"/>
            <w:vAlign w:val="center"/>
          </w:tcPr>
          <w:p w14:paraId="0E0DE007">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【】元人民币</w:t>
            </w:r>
          </w:p>
        </w:tc>
      </w:tr>
      <w:tr w14:paraId="3C599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Merge w:val="continue"/>
            <w:vAlign w:val="center"/>
          </w:tcPr>
          <w:p w14:paraId="74A0568F">
            <w:pPr>
              <w:pStyle w:val="107"/>
              <w:spacing w:before="118" w:line="560" w:lineRule="exact"/>
              <w:jc w:val="both"/>
              <w:rPr>
                <w:rFonts w:ascii="Times New Roman" w:hAnsi="Times New Roman" w:eastAsia="仿宋_GB2312" w:cs="新宋体"/>
                <w:b/>
                <w:bCs/>
                <w:sz w:val="30"/>
                <w:szCs w:val="28"/>
                <w:lang w:eastAsia="zh-CN"/>
              </w:rPr>
            </w:pPr>
          </w:p>
        </w:tc>
        <w:tc>
          <w:tcPr>
            <w:tcW w:w="1985" w:type="dxa"/>
            <w:gridSpan w:val="2"/>
            <w:vAlign w:val="center"/>
          </w:tcPr>
          <w:p w14:paraId="15DEB7AD">
            <w:pPr>
              <w:pStyle w:val="107"/>
              <w:spacing w:before="118" w:line="560" w:lineRule="exact"/>
              <w:jc w:val="both"/>
              <w:rPr>
                <w:rFonts w:ascii="Times New Roman" w:hAnsi="Times New Roman" w:eastAsia="仿宋_GB2312"/>
                <w:sz w:val="30"/>
                <w:szCs w:val="28"/>
              </w:rPr>
            </w:pPr>
            <w:r>
              <w:rPr>
                <w:rFonts w:hint="eastAsia" w:ascii="Times New Roman" w:hAnsi="Times New Roman" w:eastAsia="仿宋_GB2312" w:cs="新宋体"/>
                <w:bCs/>
                <w:sz w:val="30"/>
                <w:szCs w:val="28"/>
                <w:lang w:eastAsia="zh-CN"/>
              </w:rPr>
              <w:t>保护费支付日</w:t>
            </w:r>
          </w:p>
        </w:tc>
        <w:tc>
          <w:tcPr>
            <w:tcW w:w="3906" w:type="dxa"/>
            <w:vAlign w:val="center"/>
          </w:tcPr>
          <w:p w14:paraId="6CF3F3AF">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sz w:val="30"/>
                <w:szCs w:val="28"/>
              </w:rPr>
              <w:t>【】年【】月【】日</w:t>
            </w:r>
          </w:p>
        </w:tc>
      </w:tr>
    </w:tbl>
    <w:p w14:paraId="63DE6713">
      <w:pPr>
        <w:spacing w:before="26" w:line="560" w:lineRule="exact"/>
        <w:rPr>
          <w:rFonts w:eastAsia="仿宋_GB2312" w:cs="新宋体"/>
          <w:b/>
          <w:bCs/>
          <w:sz w:val="30"/>
          <w:szCs w:val="28"/>
        </w:rPr>
      </w:pPr>
    </w:p>
    <w:p w14:paraId="57EAC4F7">
      <w:pPr>
        <w:pStyle w:val="107"/>
        <w:spacing w:before="72" w:after="72" w:line="560" w:lineRule="exact"/>
        <w:jc w:val="both"/>
        <w:rPr>
          <w:rFonts w:ascii="Times New Roman" w:hAnsi="Times New Roman" w:eastAsia="仿宋_GB2312" w:cs="新宋体"/>
          <w:b/>
          <w:sz w:val="30"/>
          <w:szCs w:val="28"/>
          <w:lang w:eastAsia="zh-CN"/>
        </w:rPr>
      </w:pPr>
      <w:r>
        <w:rPr>
          <w:rFonts w:hint="eastAsia" w:ascii="Times New Roman" w:hAnsi="Times New Roman" w:eastAsia="仿宋_GB2312" w:cs="新宋体"/>
          <w:b/>
          <w:sz w:val="30"/>
          <w:szCs w:val="28"/>
          <w:lang w:eastAsia="zh-CN"/>
        </w:rPr>
        <w:t>四、与信用事件有关的条款</w:t>
      </w:r>
    </w:p>
    <w:p w14:paraId="041FECFE">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（一）</w:t>
      </w:r>
      <w:r>
        <w:rPr>
          <w:rFonts w:ascii="Times New Roman" w:hAnsi="Times New Roman" w:eastAsia="仿宋_GB2312" w:cs="新宋体"/>
          <w:sz w:val="30"/>
          <w:szCs w:val="28"/>
          <w:lang w:eastAsia="zh-CN"/>
        </w:rPr>
        <w:t>CDX</w:t>
      </w:r>
      <w:r>
        <w:rPr>
          <w:rFonts w:hint="eastAsia" w:ascii="Times New Roman" w:hAnsi="Times New Roman" w:eastAsia="仿宋_GB2312" w:cs="新宋体"/>
          <w:sz w:val="30"/>
          <w:szCs w:val="28"/>
          <w:lang w:eastAsia="zh-CN"/>
        </w:rPr>
        <w:t>合约</w:t>
      </w:r>
      <w:r>
        <w:rPr>
          <w:rFonts w:ascii="Times New Roman" w:hAnsi="Times New Roman" w:eastAsia="仿宋_GB2312" w:cs="新宋体"/>
          <w:sz w:val="30"/>
          <w:szCs w:val="28"/>
          <w:lang w:eastAsia="zh-CN"/>
        </w:rPr>
        <w:t>，适用</w:t>
      </w:r>
      <w:r>
        <w:rPr>
          <w:rFonts w:hint="eastAsia" w:ascii="Times New Roman" w:hAnsi="Times New Roman" w:eastAsia="仿宋_GB2312" w:cs="新宋体"/>
          <w:sz w:val="30"/>
          <w:szCs w:val="28"/>
          <w:lang w:eastAsia="zh-CN"/>
        </w:rPr>
        <w:t>短版条款</w:t>
      </w:r>
    </w:p>
    <w:tbl>
      <w:tblPr>
        <w:tblStyle w:val="43"/>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9"/>
        <w:gridCol w:w="1806"/>
        <w:gridCol w:w="5211"/>
      </w:tblGrid>
      <w:tr w14:paraId="6D5A8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5" w:type="dxa"/>
            <w:gridSpan w:val="2"/>
            <w:vAlign w:val="center"/>
          </w:tcPr>
          <w:p w14:paraId="14FB6FF5">
            <w:pPr>
              <w:pStyle w:val="107"/>
              <w:spacing w:before="16"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参考实体</w:t>
            </w:r>
          </w:p>
        </w:tc>
        <w:tc>
          <w:tcPr>
            <w:tcW w:w="5211" w:type="dxa"/>
            <w:vAlign w:val="center"/>
          </w:tcPr>
          <w:p w14:paraId="7463B1B2">
            <w:pPr>
              <w:spacing w:before="9" w:line="560" w:lineRule="exact"/>
              <w:rPr>
                <w:rFonts w:eastAsia="仿宋_GB2312" w:cs="新宋体"/>
                <w:b/>
                <w:bCs/>
                <w:kern w:val="0"/>
                <w:sz w:val="30"/>
                <w:szCs w:val="28"/>
              </w:rPr>
            </w:pPr>
            <w:r>
              <w:rPr>
                <w:rFonts w:hint="eastAsia" w:eastAsia="仿宋_GB2312" w:cs="新宋体"/>
                <w:bCs/>
                <w:sz w:val="30"/>
                <w:szCs w:val="28"/>
              </w:rPr>
              <w:t>【</w:t>
            </w:r>
            <w:r>
              <w:rPr>
                <w:rFonts w:eastAsia="仿宋_GB2312" w:cs="新宋体"/>
                <w:bCs/>
                <w:sz w:val="30"/>
                <w:szCs w:val="28"/>
              </w:rPr>
              <w:t>CSI-SSE</w:t>
            </w:r>
            <w:r>
              <w:rPr>
                <w:rFonts w:hint="eastAsia" w:eastAsia="仿宋_GB2312" w:cs="新宋体"/>
                <w:bCs/>
                <w:sz w:val="30"/>
                <w:szCs w:val="28"/>
              </w:rPr>
              <w:t>交易所大型发行人</w:t>
            </w:r>
            <w:r>
              <w:rPr>
                <w:rFonts w:eastAsia="仿宋_GB2312" w:cs="新宋体"/>
                <w:bCs/>
                <w:sz w:val="30"/>
                <w:szCs w:val="28"/>
              </w:rPr>
              <w:t>CDX</w:t>
            </w:r>
            <w:r>
              <w:rPr>
                <w:rFonts w:hint="eastAsia" w:eastAsia="仿宋_GB2312" w:cs="新宋体"/>
                <w:bCs/>
                <w:sz w:val="30"/>
                <w:szCs w:val="28"/>
              </w:rPr>
              <w:t>组合</w:t>
            </w:r>
            <w:r>
              <w:rPr>
                <w:rFonts w:eastAsia="仿宋_GB2312" w:cs="新宋体"/>
                <w:bCs/>
                <w:sz w:val="30"/>
                <w:szCs w:val="28"/>
              </w:rPr>
              <w:t>SnVn</w:t>
            </w:r>
            <w:r>
              <w:rPr>
                <w:rFonts w:hint="eastAsia" w:eastAsia="仿宋_GB2312" w:cs="新宋体"/>
                <w:bCs/>
                <w:sz w:val="30"/>
                <w:szCs w:val="28"/>
              </w:rPr>
              <w:t>】</w:t>
            </w:r>
            <w:r>
              <w:rPr>
                <w:rFonts w:eastAsia="仿宋_GB2312" w:cs="新宋体"/>
                <w:bCs/>
                <w:sz w:val="30"/>
                <w:szCs w:val="28"/>
              </w:rPr>
              <w:t>/</w:t>
            </w:r>
            <w:r>
              <w:rPr>
                <w:rFonts w:hint="eastAsia" w:eastAsia="仿宋_GB2312" w:cs="新宋体"/>
                <w:bCs/>
                <w:sz w:val="30"/>
                <w:szCs w:val="28"/>
              </w:rPr>
              <w:t>【</w:t>
            </w:r>
            <w:r>
              <w:rPr>
                <w:rFonts w:eastAsia="仿宋_GB2312" w:cs="新宋体"/>
                <w:bCs/>
                <w:sz w:val="30"/>
                <w:szCs w:val="28"/>
              </w:rPr>
              <w:t>CSI-SSE</w:t>
            </w:r>
            <w:r>
              <w:rPr>
                <w:rFonts w:hint="eastAsia" w:eastAsia="仿宋_GB2312" w:cs="新宋体"/>
                <w:bCs/>
                <w:sz w:val="30"/>
                <w:szCs w:val="28"/>
              </w:rPr>
              <w:t>交易所民企</w:t>
            </w:r>
            <w:r>
              <w:rPr>
                <w:rFonts w:eastAsia="仿宋_GB2312" w:cs="新宋体"/>
                <w:bCs/>
                <w:sz w:val="30"/>
                <w:szCs w:val="28"/>
              </w:rPr>
              <w:t>CDX</w:t>
            </w:r>
            <w:r>
              <w:rPr>
                <w:rFonts w:hint="eastAsia" w:eastAsia="仿宋_GB2312" w:cs="新宋体"/>
                <w:bCs/>
                <w:sz w:val="30"/>
                <w:szCs w:val="28"/>
              </w:rPr>
              <w:t>组合</w:t>
            </w:r>
            <w:r>
              <w:rPr>
                <w:rFonts w:eastAsia="仿宋_GB2312" w:cs="新宋体"/>
                <w:bCs/>
                <w:sz w:val="30"/>
                <w:szCs w:val="28"/>
              </w:rPr>
              <w:t>SnVn</w:t>
            </w:r>
            <w:r>
              <w:rPr>
                <w:rFonts w:hint="eastAsia" w:eastAsia="仿宋_GB2312" w:cs="新宋体"/>
                <w:bCs/>
                <w:sz w:val="30"/>
                <w:szCs w:val="28"/>
              </w:rPr>
              <w:t>】</w:t>
            </w:r>
          </w:p>
        </w:tc>
      </w:tr>
      <w:tr w14:paraId="5D05E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5" w:type="dxa"/>
            <w:gridSpan w:val="2"/>
            <w:vAlign w:val="center"/>
          </w:tcPr>
          <w:p w14:paraId="6CCB0795">
            <w:pPr>
              <w:pStyle w:val="107"/>
              <w:spacing w:before="16"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受保护债务范围</w:t>
            </w:r>
          </w:p>
        </w:tc>
        <w:tc>
          <w:tcPr>
            <w:tcW w:w="5211" w:type="dxa"/>
            <w:vAlign w:val="center"/>
          </w:tcPr>
          <w:p w14:paraId="5EF8A94A">
            <w:pPr>
              <w:spacing w:before="9" w:line="560" w:lineRule="exact"/>
              <w:rPr>
                <w:rFonts w:eastAsia="仿宋_GB2312" w:cs="新宋体"/>
                <w:b/>
                <w:bCs/>
                <w:sz w:val="30"/>
                <w:szCs w:val="28"/>
              </w:rPr>
            </w:pPr>
            <w:r>
              <w:rPr>
                <w:rFonts w:hint="eastAsia" w:eastAsia="仿宋_GB2312" w:cs="新宋体"/>
                <w:bCs/>
                <w:sz w:val="30"/>
                <w:szCs w:val="28"/>
              </w:rPr>
              <w:t>参考实体</w:t>
            </w:r>
            <w:r>
              <w:rPr>
                <w:rFonts w:hint="eastAsia" w:ascii="仿宋_GB2312" w:eastAsia="仿宋_GB2312"/>
                <w:kern w:val="0"/>
                <w:sz w:val="30"/>
                <w:szCs w:val="30"/>
              </w:rPr>
              <w:t>在中国境内发行并在沪深交易所上市交易或者挂牌转让的以人民币计价的公司债券和可转换公司债券</w:t>
            </w:r>
          </w:p>
        </w:tc>
      </w:tr>
      <w:tr w14:paraId="6CA1B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9" w:type="dxa"/>
            <w:vMerge w:val="restart"/>
            <w:vAlign w:val="center"/>
          </w:tcPr>
          <w:p w14:paraId="178261C1">
            <w:pPr>
              <w:spacing w:before="9" w:line="560" w:lineRule="exact"/>
              <w:rPr>
                <w:rFonts w:eastAsia="仿宋_GB2312" w:cs="新宋体"/>
                <w:kern w:val="0"/>
                <w:sz w:val="30"/>
                <w:szCs w:val="28"/>
              </w:rPr>
            </w:pPr>
            <w:r>
              <w:rPr>
                <w:rFonts w:hint="eastAsia" w:eastAsia="仿宋_GB2312" w:cs="新宋体"/>
                <w:sz w:val="30"/>
                <w:szCs w:val="28"/>
              </w:rPr>
              <w:t>信用事件类型</w:t>
            </w:r>
          </w:p>
        </w:tc>
        <w:tc>
          <w:tcPr>
            <w:tcW w:w="1806" w:type="dxa"/>
            <w:vAlign w:val="center"/>
          </w:tcPr>
          <w:p w14:paraId="3994BA4B">
            <w:pPr>
              <w:spacing w:before="9" w:line="560" w:lineRule="exact"/>
              <w:rPr>
                <w:rFonts w:eastAsia="仿宋_GB2312" w:cs="新宋体"/>
                <w:kern w:val="0"/>
                <w:sz w:val="30"/>
                <w:szCs w:val="28"/>
              </w:rPr>
            </w:pPr>
            <w:r>
              <w:rPr>
                <w:rFonts w:hint="eastAsia" w:eastAsia="仿宋_GB2312" w:cs="新宋体"/>
                <w:sz w:val="30"/>
                <w:szCs w:val="28"/>
              </w:rPr>
              <w:t>破产</w:t>
            </w:r>
          </w:p>
        </w:tc>
        <w:tc>
          <w:tcPr>
            <w:tcW w:w="5211" w:type="dxa"/>
            <w:vAlign w:val="center"/>
          </w:tcPr>
          <w:p w14:paraId="33696EC0">
            <w:pPr>
              <w:spacing w:before="9" w:line="560" w:lineRule="exact"/>
              <w:rPr>
                <w:rFonts w:eastAsia="仿宋_GB2312" w:cs="新宋体"/>
                <w:bCs/>
                <w:kern w:val="0"/>
                <w:sz w:val="30"/>
                <w:szCs w:val="28"/>
              </w:rPr>
            </w:pPr>
            <w:r>
              <w:rPr>
                <w:rFonts w:hint="eastAsia" w:eastAsia="仿宋_GB2312" w:cs="新宋体"/>
                <w:bCs/>
                <w:sz w:val="30"/>
                <w:szCs w:val="28"/>
              </w:rPr>
              <w:t>【适用】</w:t>
            </w:r>
            <w:r>
              <w:rPr>
                <w:rFonts w:eastAsia="仿宋_GB2312" w:cs="新宋体"/>
                <w:bCs/>
                <w:sz w:val="30"/>
                <w:szCs w:val="28"/>
              </w:rPr>
              <w:t>/</w:t>
            </w:r>
            <w:r>
              <w:rPr>
                <w:rFonts w:hint="eastAsia" w:eastAsia="仿宋_GB2312" w:cs="新宋体"/>
                <w:bCs/>
                <w:sz w:val="30"/>
                <w:szCs w:val="28"/>
              </w:rPr>
              <w:t>【不适用】</w:t>
            </w:r>
          </w:p>
        </w:tc>
      </w:tr>
      <w:tr w14:paraId="49328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79" w:type="dxa"/>
            <w:vMerge w:val="continue"/>
            <w:vAlign w:val="center"/>
          </w:tcPr>
          <w:p w14:paraId="0909F298">
            <w:pPr>
              <w:spacing w:before="9" w:line="560" w:lineRule="exact"/>
              <w:rPr>
                <w:rFonts w:eastAsia="仿宋_GB2312" w:cs="新宋体"/>
                <w:b/>
                <w:bCs/>
                <w:kern w:val="0"/>
                <w:sz w:val="30"/>
                <w:szCs w:val="28"/>
              </w:rPr>
            </w:pPr>
          </w:p>
        </w:tc>
        <w:tc>
          <w:tcPr>
            <w:tcW w:w="1806" w:type="dxa"/>
            <w:vAlign w:val="center"/>
          </w:tcPr>
          <w:p w14:paraId="3015184F">
            <w:pPr>
              <w:spacing w:before="9" w:line="560" w:lineRule="exact"/>
              <w:rPr>
                <w:rFonts w:eastAsia="仿宋_GB2312" w:cs="新宋体"/>
                <w:kern w:val="0"/>
                <w:sz w:val="30"/>
                <w:szCs w:val="28"/>
              </w:rPr>
            </w:pPr>
            <w:r>
              <w:rPr>
                <w:rFonts w:hint="eastAsia" w:eastAsia="仿宋_GB2312" w:cs="新宋体"/>
                <w:sz w:val="30"/>
                <w:szCs w:val="28"/>
              </w:rPr>
              <w:t>支付违约</w:t>
            </w:r>
          </w:p>
        </w:tc>
        <w:tc>
          <w:tcPr>
            <w:tcW w:w="5211" w:type="dxa"/>
            <w:vAlign w:val="center"/>
          </w:tcPr>
          <w:p w14:paraId="693DCA9D">
            <w:pPr>
              <w:spacing w:before="9" w:line="560" w:lineRule="exact"/>
              <w:rPr>
                <w:rFonts w:eastAsia="仿宋_GB2312" w:cs="新宋体"/>
                <w:bCs/>
                <w:kern w:val="0"/>
                <w:sz w:val="30"/>
                <w:szCs w:val="28"/>
              </w:rPr>
            </w:pPr>
            <w:r>
              <w:rPr>
                <w:rFonts w:hint="eastAsia" w:eastAsia="仿宋_GB2312" w:cs="新宋体"/>
                <w:bCs/>
                <w:sz w:val="30"/>
                <w:szCs w:val="28"/>
              </w:rPr>
              <w:t>【适用】</w:t>
            </w:r>
            <w:r>
              <w:rPr>
                <w:rFonts w:eastAsia="仿宋_GB2312" w:cs="新宋体"/>
                <w:bCs/>
                <w:sz w:val="30"/>
                <w:szCs w:val="28"/>
              </w:rPr>
              <w:t>/</w:t>
            </w:r>
            <w:r>
              <w:rPr>
                <w:rFonts w:hint="eastAsia" w:eastAsia="仿宋_GB2312" w:cs="新宋体"/>
                <w:bCs/>
                <w:sz w:val="30"/>
                <w:szCs w:val="28"/>
              </w:rPr>
              <w:t>【不适用】，若适用，则：</w:t>
            </w:r>
          </w:p>
          <w:p w14:paraId="524903D3">
            <w:pPr>
              <w:spacing w:before="9" w:line="560" w:lineRule="exact"/>
              <w:rPr>
                <w:rFonts w:eastAsia="仿宋_GB2312" w:cs="新宋体"/>
                <w:bCs/>
                <w:kern w:val="0"/>
                <w:sz w:val="30"/>
                <w:szCs w:val="28"/>
              </w:rPr>
            </w:pPr>
            <w:r>
              <w:rPr>
                <w:rFonts w:hint="eastAsia" w:eastAsia="仿宋_GB2312" w:cs="新宋体"/>
                <w:b/>
                <w:bCs/>
                <w:sz w:val="30"/>
                <w:szCs w:val="28"/>
              </w:rPr>
              <w:t>起点金额：</w:t>
            </w:r>
            <w:r>
              <w:rPr>
                <w:rFonts w:hint="eastAsia" w:eastAsia="仿宋_GB2312" w:cs="新宋体"/>
                <w:bCs/>
                <w:sz w:val="30"/>
                <w:szCs w:val="28"/>
              </w:rPr>
              <w:t>【】万元人民币或其等值金额</w:t>
            </w:r>
          </w:p>
          <w:p w14:paraId="2A0EE3E4">
            <w:pPr>
              <w:spacing w:before="9" w:line="560" w:lineRule="exact"/>
              <w:rPr>
                <w:rFonts w:eastAsia="仿宋_GB2312" w:cs="新宋体"/>
                <w:b/>
                <w:kern w:val="0"/>
                <w:sz w:val="30"/>
                <w:szCs w:val="28"/>
              </w:rPr>
            </w:pPr>
            <w:r>
              <w:rPr>
                <w:rFonts w:hint="eastAsia" w:eastAsia="仿宋_GB2312" w:cs="新宋体"/>
                <w:b/>
                <w:bCs/>
                <w:sz w:val="30"/>
                <w:szCs w:val="28"/>
              </w:rPr>
              <w:t>宽限期：</w:t>
            </w:r>
            <w:r>
              <w:rPr>
                <w:rFonts w:hint="eastAsia" w:eastAsia="仿宋_GB2312" w:cs="新宋体"/>
                <w:bCs/>
                <w:sz w:val="30"/>
                <w:szCs w:val="28"/>
              </w:rPr>
              <w:t>【】个</w:t>
            </w:r>
            <w:r>
              <w:rPr>
                <w:rFonts w:hint="eastAsia" w:eastAsia="仿宋_GB2312" w:cs="新宋体"/>
                <w:b/>
                <w:sz w:val="30"/>
                <w:szCs w:val="28"/>
              </w:rPr>
              <w:t>交易日</w:t>
            </w:r>
          </w:p>
          <w:p w14:paraId="5B1DFC74">
            <w:pPr>
              <w:spacing w:before="9" w:line="560" w:lineRule="exact"/>
              <w:rPr>
                <w:rFonts w:eastAsia="仿宋_GB2312" w:cs="新宋体"/>
                <w:bCs/>
                <w:kern w:val="0"/>
                <w:sz w:val="30"/>
                <w:szCs w:val="28"/>
              </w:rPr>
            </w:pPr>
            <w:r>
              <w:rPr>
                <w:rFonts w:hint="eastAsia" w:eastAsia="仿宋_GB2312" w:cs="新宋体"/>
                <w:b/>
                <w:sz w:val="30"/>
                <w:szCs w:val="28"/>
              </w:rPr>
              <w:t>宽限期顺延</w:t>
            </w:r>
            <w:r>
              <w:rPr>
                <w:rFonts w:hint="eastAsia" w:eastAsia="仿宋_GB2312" w:cs="新宋体"/>
                <w:bCs/>
                <w:sz w:val="30"/>
                <w:szCs w:val="28"/>
              </w:rPr>
              <w:t>：【适用】</w:t>
            </w:r>
            <w:r>
              <w:rPr>
                <w:rFonts w:eastAsia="仿宋_GB2312" w:cs="新宋体"/>
                <w:bCs/>
                <w:sz w:val="30"/>
                <w:szCs w:val="28"/>
              </w:rPr>
              <w:t>/</w:t>
            </w:r>
            <w:r>
              <w:rPr>
                <w:rFonts w:hint="eastAsia" w:eastAsia="仿宋_GB2312" w:cs="新宋体"/>
                <w:bCs/>
                <w:sz w:val="30"/>
                <w:szCs w:val="28"/>
              </w:rPr>
              <w:t>【不适用】</w:t>
            </w:r>
          </w:p>
        </w:tc>
      </w:tr>
    </w:tbl>
    <w:p w14:paraId="02F983A5">
      <w:pPr>
        <w:pStyle w:val="107"/>
        <w:spacing w:before="72" w:after="72" w:line="560" w:lineRule="exact"/>
        <w:jc w:val="both"/>
        <w:rPr>
          <w:rFonts w:ascii="Times New Roman" w:hAnsi="Times New Roman" w:eastAsia="仿宋_GB2312" w:cs="新宋体"/>
          <w:b/>
          <w:sz w:val="30"/>
          <w:szCs w:val="28"/>
          <w:lang w:eastAsia="zh-CN"/>
        </w:rPr>
      </w:pPr>
      <w:r>
        <w:rPr>
          <w:rFonts w:hint="eastAsia" w:ascii="Times New Roman" w:hAnsi="Times New Roman" w:eastAsia="仿宋_GB2312" w:cs="新宋体"/>
          <w:sz w:val="30"/>
          <w:szCs w:val="28"/>
          <w:lang w:eastAsia="zh-CN"/>
        </w:rPr>
        <w:t>（二）除CDX外的合约</w:t>
      </w:r>
      <w:r>
        <w:rPr>
          <w:rFonts w:ascii="Times New Roman" w:hAnsi="Times New Roman" w:eastAsia="仿宋_GB2312" w:cs="新宋体"/>
          <w:sz w:val="30"/>
          <w:szCs w:val="28"/>
          <w:lang w:eastAsia="zh-CN"/>
        </w:rPr>
        <w:t>，适用长版条款</w:t>
      </w:r>
    </w:p>
    <w:tbl>
      <w:tblPr>
        <w:tblStyle w:val="43"/>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9"/>
        <w:gridCol w:w="1806"/>
        <w:gridCol w:w="5211"/>
      </w:tblGrid>
      <w:tr w14:paraId="25740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5" w:type="dxa"/>
            <w:gridSpan w:val="2"/>
            <w:vAlign w:val="center"/>
          </w:tcPr>
          <w:p w14:paraId="5DAD8B2A">
            <w:pPr>
              <w:pStyle w:val="107"/>
              <w:spacing w:before="16"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参考实体</w:t>
            </w:r>
          </w:p>
        </w:tc>
        <w:tc>
          <w:tcPr>
            <w:tcW w:w="5211" w:type="dxa"/>
            <w:vAlign w:val="center"/>
          </w:tcPr>
          <w:p w14:paraId="285AFA3E">
            <w:pPr>
              <w:spacing w:before="9" w:line="560" w:lineRule="exact"/>
              <w:rPr>
                <w:rFonts w:eastAsia="仿宋_GB2312" w:cs="新宋体"/>
                <w:b/>
                <w:bCs/>
                <w:kern w:val="0"/>
                <w:sz w:val="30"/>
                <w:szCs w:val="28"/>
              </w:rPr>
            </w:pPr>
            <w:r>
              <w:rPr>
                <w:rFonts w:hint="eastAsia" w:eastAsia="仿宋_GB2312" w:cs="新宋体"/>
                <w:bCs/>
                <w:sz w:val="30"/>
                <w:szCs w:val="28"/>
              </w:rPr>
              <w:t>【】</w:t>
            </w:r>
          </w:p>
        </w:tc>
      </w:tr>
      <w:tr w14:paraId="02898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5" w:type="dxa"/>
            <w:gridSpan w:val="2"/>
            <w:vAlign w:val="center"/>
          </w:tcPr>
          <w:p w14:paraId="637871F6">
            <w:pPr>
              <w:pStyle w:val="107"/>
              <w:spacing w:before="16"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受保护债务种类</w:t>
            </w:r>
          </w:p>
        </w:tc>
        <w:tc>
          <w:tcPr>
            <w:tcW w:w="5211" w:type="dxa"/>
            <w:vAlign w:val="center"/>
          </w:tcPr>
          <w:p w14:paraId="64D967B4">
            <w:pPr>
              <w:spacing w:before="9" w:line="560" w:lineRule="exact"/>
              <w:rPr>
                <w:rFonts w:eastAsia="仿宋_GB2312" w:cs="新宋体"/>
                <w:b/>
                <w:bCs/>
                <w:sz w:val="30"/>
                <w:szCs w:val="28"/>
              </w:rPr>
            </w:pPr>
            <w:r>
              <w:rPr>
                <w:rFonts w:hint="eastAsia" w:eastAsia="仿宋_GB2312" w:cs="新宋体"/>
                <w:bCs/>
                <w:sz w:val="30"/>
                <w:szCs w:val="28"/>
              </w:rPr>
              <w:t>【付款义务】、【借贷款项】、【债券】、【贷款】、【公司债（不含企业债）】、【可转债】、【企业债】、【资产支持证券】、【仅为参考债务】（可多选，取勾选项的最大范围作为债务种类）</w:t>
            </w:r>
          </w:p>
        </w:tc>
      </w:tr>
      <w:tr w14:paraId="75F51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5" w:type="dxa"/>
            <w:gridSpan w:val="2"/>
            <w:vAlign w:val="center"/>
          </w:tcPr>
          <w:p w14:paraId="64D70C32">
            <w:pPr>
              <w:spacing w:before="9" w:line="560" w:lineRule="exact"/>
              <w:rPr>
                <w:rFonts w:eastAsia="仿宋_GB2312" w:cs="新宋体"/>
                <w:kern w:val="0"/>
                <w:sz w:val="30"/>
                <w:szCs w:val="28"/>
              </w:rPr>
            </w:pPr>
            <w:r>
              <w:rPr>
                <w:rFonts w:hint="eastAsia" w:eastAsia="仿宋_GB2312" w:cs="新宋体"/>
                <w:sz w:val="30"/>
                <w:szCs w:val="28"/>
              </w:rPr>
              <w:t>受保护债务特征</w:t>
            </w:r>
          </w:p>
        </w:tc>
        <w:tc>
          <w:tcPr>
            <w:tcW w:w="5211" w:type="dxa"/>
            <w:vAlign w:val="center"/>
          </w:tcPr>
          <w:p w14:paraId="0785DAC1">
            <w:pPr>
              <w:spacing w:before="9" w:line="560" w:lineRule="exact"/>
              <w:rPr>
                <w:rFonts w:eastAsia="仿宋_GB2312" w:cs="新宋体"/>
                <w:bCs/>
                <w:kern w:val="0"/>
                <w:sz w:val="30"/>
                <w:szCs w:val="28"/>
              </w:rPr>
            </w:pPr>
            <w:r>
              <w:rPr>
                <w:rFonts w:hint="eastAsia" w:eastAsia="仿宋_GB2312" w:cs="新宋体"/>
                <w:sz w:val="30"/>
                <w:szCs w:val="28"/>
              </w:rPr>
              <w:t>【</w:t>
            </w:r>
            <w:r>
              <w:rPr>
                <w:rFonts w:hint="eastAsia" w:eastAsia="仿宋_GB2312" w:cs="新宋体"/>
                <w:bCs/>
                <w:sz w:val="30"/>
                <w:szCs w:val="28"/>
              </w:rPr>
              <w:t>一般债务</w:t>
            </w:r>
            <w:r>
              <w:rPr>
                <w:rFonts w:hint="eastAsia" w:eastAsia="仿宋_GB2312" w:cs="新宋体"/>
                <w:sz w:val="30"/>
                <w:szCs w:val="28"/>
              </w:rPr>
              <w:t>】、【次级债务】、【</w:t>
            </w:r>
            <w:r>
              <w:rPr>
                <w:rFonts w:hint="eastAsia" w:eastAsia="仿宋_GB2312" w:cs="新宋体"/>
                <w:bCs/>
                <w:sz w:val="30"/>
                <w:szCs w:val="28"/>
              </w:rPr>
              <w:t>交易流通</w:t>
            </w:r>
            <w:r>
              <w:rPr>
                <w:rFonts w:hint="eastAsia" w:eastAsia="仿宋_GB2312" w:cs="新宋体"/>
                <w:sz w:val="30"/>
                <w:szCs w:val="28"/>
              </w:rPr>
              <w:t>】、【</w:t>
            </w:r>
            <w:r>
              <w:rPr>
                <w:rFonts w:hint="eastAsia" w:eastAsia="仿宋_GB2312" w:cs="新宋体"/>
                <w:bCs/>
                <w:sz w:val="30"/>
                <w:szCs w:val="28"/>
              </w:rPr>
              <w:t>本币</w:t>
            </w:r>
            <w:r>
              <w:rPr>
                <w:rFonts w:hint="eastAsia" w:eastAsia="仿宋_GB2312" w:cs="新宋体"/>
                <w:sz w:val="30"/>
                <w:szCs w:val="28"/>
              </w:rPr>
              <w:t>】、【外币】、【其他：</w:t>
            </w:r>
            <w:r>
              <w:rPr>
                <w:rFonts w:eastAsia="仿宋_GB2312" w:cs="新宋体"/>
                <w:sz w:val="30"/>
                <w:szCs w:val="28"/>
              </w:rPr>
              <w:t xml:space="preserve">   </w:t>
            </w:r>
            <w:r>
              <w:rPr>
                <w:rFonts w:hint="eastAsia" w:eastAsia="仿宋_GB2312" w:cs="新宋体"/>
                <w:sz w:val="30"/>
                <w:szCs w:val="28"/>
              </w:rPr>
              <w:t>】（可多选）</w:t>
            </w:r>
          </w:p>
        </w:tc>
      </w:tr>
      <w:tr w14:paraId="40328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85" w:type="dxa"/>
            <w:gridSpan w:val="2"/>
            <w:vAlign w:val="center"/>
          </w:tcPr>
          <w:p w14:paraId="2BD2EAD5">
            <w:pPr>
              <w:spacing w:before="9" w:line="560" w:lineRule="exact"/>
              <w:rPr>
                <w:rFonts w:eastAsia="仿宋_GB2312" w:cs="新宋体"/>
                <w:kern w:val="0"/>
                <w:sz w:val="30"/>
                <w:szCs w:val="28"/>
              </w:rPr>
            </w:pPr>
            <w:r>
              <w:rPr>
                <w:rFonts w:hint="eastAsia" w:eastAsia="仿宋_GB2312" w:cs="新宋体"/>
                <w:sz w:val="30"/>
                <w:szCs w:val="28"/>
              </w:rPr>
              <w:t>参考债务</w:t>
            </w:r>
          </w:p>
        </w:tc>
        <w:tc>
          <w:tcPr>
            <w:tcW w:w="5211" w:type="dxa"/>
            <w:vAlign w:val="center"/>
          </w:tcPr>
          <w:p w14:paraId="6CB3CDB3">
            <w:pPr>
              <w:spacing w:before="9" w:line="560" w:lineRule="exact"/>
              <w:rPr>
                <w:rFonts w:eastAsia="仿宋_GB2312" w:cs="新宋体"/>
                <w:b/>
                <w:bCs/>
                <w:kern w:val="0"/>
                <w:sz w:val="30"/>
                <w:szCs w:val="28"/>
              </w:rPr>
            </w:pPr>
            <w:r>
              <w:rPr>
                <w:rFonts w:hint="eastAsia" w:eastAsia="仿宋_GB2312" w:cs="新宋体"/>
                <w:sz w:val="30"/>
                <w:szCs w:val="28"/>
              </w:rPr>
              <w:t>【】</w:t>
            </w:r>
          </w:p>
        </w:tc>
      </w:tr>
      <w:tr w14:paraId="57E6D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5" w:type="dxa"/>
            <w:gridSpan w:val="2"/>
          </w:tcPr>
          <w:p w14:paraId="22ED765B">
            <w:pPr>
              <w:spacing w:before="9" w:line="560" w:lineRule="exact"/>
              <w:rPr>
                <w:rFonts w:eastAsia="仿宋_GB2312" w:cs="新宋体"/>
                <w:kern w:val="0"/>
                <w:sz w:val="30"/>
                <w:szCs w:val="28"/>
              </w:rPr>
            </w:pPr>
            <w:r>
              <w:rPr>
                <w:rFonts w:hint="eastAsia" w:eastAsia="仿宋_GB2312" w:cs="新宋体"/>
                <w:sz w:val="30"/>
                <w:szCs w:val="28"/>
              </w:rPr>
              <w:t>参考债务证券代码</w:t>
            </w:r>
          </w:p>
        </w:tc>
        <w:tc>
          <w:tcPr>
            <w:tcW w:w="5211" w:type="dxa"/>
          </w:tcPr>
          <w:p w14:paraId="666A842A">
            <w:pPr>
              <w:spacing w:before="9" w:line="560" w:lineRule="exact"/>
              <w:rPr>
                <w:rFonts w:eastAsia="仿宋_GB2312" w:cs="新宋体"/>
                <w:kern w:val="0"/>
                <w:sz w:val="30"/>
                <w:szCs w:val="28"/>
              </w:rPr>
            </w:pPr>
            <w:r>
              <w:rPr>
                <w:rFonts w:hint="eastAsia" w:eastAsia="仿宋_GB2312" w:cs="新宋体"/>
                <w:sz w:val="30"/>
                <w:szCs w:val="28"/>
              </w:rPr>
              <w:t>【】</w:t>
            </w:r>
          </w:p>
        </w:tc>
      </w:tr>
      <w:tr w14:paraId="7A109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9" w:type="dxa"/>
            <w:vMerge w:val="restart"/>
            <w:vAlign w:val="center"/>
          </w:tcPr>
          <w:p w14:paraId="1C2E27DE">
            <w:pPr>
              <w:spacing w:before="9" w:line="560" w:lineRule="exact"/>
              <w:rPr>
                <w:rFonts w:eastAsia="仿宋_GB2312" w:cs="新宋体"/>
                <w:kern w:val="0"/>
                <w:sz w:val="30"/>
                <w:szCs w:val="28"/>
              </w:rPr>
            </w:pPr>
            <w:r>
              <w:rPr>
                <w:rFonts w:hint="eastAsia" w:eastAsia="仿宋_GB2312" w:cs="新宋体"/>
                <w:sz w:val="30"/>
                <w:szCs w:val="28"/>
              </w:rPr>
              <w:t>信用事件类型</w:t>
            </w:r>
          </w:p>
        </w:tc>
        <w:tc>
          <w:tcPr>
            <w:tcW w:w="1806" w:type="dxa"/>
            <w:vAlign w:val="center"/>
          </w:tcPr>
          <w:p w14:paraId="0A4844F4">
            <w:pPr>
              <w:spacing w:before="9" w:line="560" w:lineRule="exact"/>
              <w:rPr>
                <w:rFonts w:eastAsia="仿宋_GB2312" w:cs="新宋体"/>
                <w:kern w:val="0"/>
                <w:sz w:val="30"/>
                <w:szCs w:val="28"/>
              </w:rPr>
            </w:pPr>
            <w:r>
              <w:rPr>
                <w:rFonts w:hint="eastAsia" w:eastAsia="仿宋_GB2312" w:cs="新宋体"/>
                <w:sz w:val="30"/>
                <w:szCs w:val="28"/>
              </w:rPr>
              <w:t>破产</w:t>
            </w:r>
          </w:p>
        </w:tc>
        <w:tc>
          <w:tcPr>
            <w:tcW w:w="5211" w:type="dxa"/>
            <w:vAlign w:val="center"/>
          </w:tcPr>
          <w:p w14:paraId="769E72CB">
            <w:pPr>
              <w:spacing w:before="9" w:line="560" w:lineRule="exact"/>
              <w:rPr>
                <w:rFonts w:eastAsia="仿宋_GB2312" w:cs="新宋体"/>
                <w:bCs/>
                <w:kern w:val="0"/>
                <w:sz w:val="30"/>
                <w:szCs w:val="28"/>
              </w:rPr>
            </w:pPr>
            <w:r>
              <w:rPr>
                <w:rFonts w:hint="eastAsia" w:eastAsia="仿宋_GB2312" w:cs="新宋体"/>
                <w:bCs/>
                <w:sz w:val="30"/>
                <w:szCs w:val="28"/>
              </w:rPr>
              <w:t>【适用】</w:t>
            </w:r>
            <w:r>
              <w:rPr>
                <w:rFonts w:eastAsia="仿宋_GB2312" w:cs="新宋体"/>
                <w:bCs/>
                <w:sz w:val="30"/>
                <w:szCs w:val="28"/>
              </w:rPr>
              <w:t>/</w:t>
            </w:r>
            <w:r>
              <w:rPr>
                <w:rFonts w:hint="eastAsia" w:eastAsia="仿宋_GB2312" w:cs="新宋体"/>
                <w:bCs/>
                <w:sz w:val="30"/>
                <w:szCs w:val="28"/>
              </w:rPr>
              <w:t>【不适用】</w:t>
            </w:r>
          </w:p>
        </w:tc>
      </w:tr>
      <w:tr w14:paraId="58DB3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9" w:type="dxa"/>
            <w:vMerge w:val="continue"/>
            <w:vAlign w:val="center"/>
          </w:tcPr>
          <w:p w14:paraId="7F7D4EEC">
            <w:pPr>
              <w:spacing w:before="9" w:line="560" w:lineRule="exact"/>
              <w:rPr>
                <w:rFonts w:eastAsia="仿宋_GB2312" w:cs="新宋体"/>
                <w:b/>
                <w:bCs/>
                <w:kern w:val="0"/>
                <w:sz w:val="30"/>
                <w:szCs w:val="28"/>
              </w:rPr>
            </w:pPr>
          </w:p>
        </w:tc>
        <w:tc>
          <w:tcPr>
            <w:tcW w:w="1806" w:type="dxa"/>
            <w:vAlign w:val="center"/>
          </w:tcPr>
          <w:p w14:paraId="49FEA406">
            <w:pPr>
              <w:spacing w:before="9" w:line="560" w:lineRule="exact"/>
              <w:rPr>
                <w:rFonts w:eastAsia="仿宋_GB2312" w:cs="新宋体"/>
                <w:kern w:val="0"/>
                <w:sz w:val="30"/>
                <w:szCs w:val="28"/>
              </w:rPr>
            </w:pPr>
            <w:r>
              <w:rPr>
                <w:rFonts w:hint="eastAsia" w:eastAsia="仿宋_GB2312" w:cs="新宋体"/>
                <w:sz w:val="30"/>
                <w:szCs w:val="28"/>
              </w:rPr>
              <w:t>支付违约</w:t>
            </w:r>
          </w:p>
        </w:tc>
        <w:tc>
          <w:tcPr>
            <w:tcW w:w="5211" w:type="dxa"/>
            <w:vAlign w:val="center"/>
          </w:tcPr>
          <w:p w14:paraId="255FE541">
            <w:pPr>
              <w:spacing w:before="9" w:line="560" w:lineRule="exact"/>
              <w:rPr>
                <w:rFonts w:eastAsia="仿宋_GB2312" w:cs="新宋体"/>
                <w:bCs/>
                <w:kern w:val="0"/>
                <w:sz w:val="30"/>
                <w:szCs w:val="28"/>
              </w:rPr>
            </w:pPr>
            <w:r>
              <w:rPr>
                <w:rFonts w:hint="eastAsia" w:eastAsia="仿宋_GB2312" w:cs="新宋体"/>
                <w:bCs/>
                <w:sz w:val="30"/>
                <w:szCs w:val="28"/>
              </w:rPr>
              <w:t>【适用】</w:t>
            </w:r>
            <w:r>
              <w:rPr>
                <w:rFonts w:eastAsia="仿宋_GB2312" w:cs="新宋体"/>
                <w:bCs/>
                <w:sz w:val="30"/>
                <w:szCs w:val="28"/>
              </w:rPr>
              <w:t>/</w:t>
            </w:r>
            <w:r>
              <w:rPr>
                <w:rFonts w:hint="eastAsia" w:eastAsia="仿宋_GB2312" w:cs="新宋体"/>
                <w:bCs/>
                <w:sz w:val="30"/>
                <w:szCs w:val="28"/>
              </w:rPr>
              <w:t>【不适用】，若适用，则：</w:t>
            </w:r>
          </w:p>
          <w:p w14:paraId="5C104775">
            <w:pPr>
              <w:spacing w:before="9" w:line="560" w:lineRule="exact"/>
              <w:rPr>
                <w:rFonts w:eastAsia="仿宋_GB2312" w:cs="新宋体"/>
                <w:bCs/>
                <w:kern w:val="0"/>
                <w:sz w:val="30"/>
                <w:szCs w:val="28"/>
              </w:rPr>
            </w:pPr>
            <w:r>
              <w:rPr>
                <w:rFonts w:hint="eastAsia" w:eastAsia="仿宋_GB2312" w:cs="新宋体"/>
                <w:b/>
                <w:bCs/>
                <w:sz w:val="30"/>
                <w:szCs w:val="28"/>
              </w:rPr>
              <w:t>起点金额：</w:t>
            </w:r>
            <w:r>
              <w:rPr>
                <w:rFonts w:hint="eastAsia" w:eastAsia="仿宋_GB2312" w:cs="新宋体"/>
                <w:bCs/>
                <w:sz w:val="30"/>
                <w:szCs w:val="28"/>
              </w:rPr>
              <w:t>【】万元人民币或其等值金额</w:t>
            </w:r>
          </w:p>
          <w:p w14:paraId="6A2E7EE6">
            <w:pPr>
              <w:spacing w:before="9" w:line="560" w:lineRule="exact"/>
              <w:rPr>
                <w:rFonts w:eastAsia="仿宋_GB2312" w:cs="新宋体"/>
                <w:b/>
                <w:kern w:val="0"/>
                <w:sz w:val="30"/>
                <w:szCs w:val="28"/>
              </w:rPr>
            </w:pPr>
            <w:r>
              <w:rPr>
                <w:rFonts w:hint="eastAsia" w:eastAsia="仿宋_GB2312" w:cs="新宋体"/>
                <w:b/>
                <w:bCs/>
                <w:sz w:val="30"/>
                <w:szCs w:val="28"/>
              </w:rPr>
              <w:t>宽限期：</w:t>
            </w:r>
            <w:r>
              <w:rPr>
                <w:rFonts w:hint="eastAsia" w:eastAsia="仿宋_GB2312" w:cs="新宋体"/>
                <w:bCs/>
                <w:sz w:val="30"/>
                <w:szCs w:val="28"/>
              </w:rPr>
              <w:t>【】个</w:t>
            </w:r>
            <w:r>
              <w:rPr>
                <w:rFonts w:hint="eastAsia" w:eastAsia="仿宋_GB2312" w:cs="新宋体"/>
                <w:b/>
                <w:sz w:val="30"/>
                <w:szCs w:val="28"/>
              </w:rPr>
              <w:t>交易日</w:t>
            </w:r>
          </w:p>
          <w:p w14:paraId="03895B8B">
            <w:pPr>
              <w:spacing w:before="9" w:line="560" w:lineRule="exact"/>
              <w:rPr>
                <w:rFonts w:eastAsia="仿宋_GB2312" w:cs="新宋体"/>
                <w:bCs/>
                <w:kern w:val="0"/>
                <w:sz w:val="30"/>
                <w:szCs w:val="28"/>
              </w:rPr>
            </w:pPr>
            <w:r>
              <w:rPr>
                <w:rFonts w:hint="eastAsia" w:eastAsia="仿宋_GB2312" w:cs="新宋体"/>
                <w:b/>
                <w:sz w:val="30"/>
                <w:szCs w:val="28"/>
              </w:rPr>
              <w:t>宽限期顺延</w:t>
            </w:r>
            <w:r>
              <w:rPr>
                <w:rFonts w:hint="eastAsia" w:eastAsia="仿宋_GB2312" w:cs="新宋体"/>
                <w:bCs/>
                <w:sz w:val="30"/>
                <w:szCs w:val="28"/>
              </w:rPr>
              <w:t>：【适用】</w:t>
            </w:r>
            <w:r>
              <w:rPr>
                <w:rFonts w:eastAsia="仿宋_GB2312" w:cs="新宋体"/>
                <w:bCs/>
                <w:sz w:val="30"/>
                <w:szCs w:val="28"/>
              </w:rPr>
              <w:t>/</w:t>
            </w:r>
            <w:r>
              <w:rPr>
                <w:rFonts w:hint="eastAsia" w:eastAsia="仿宋_GB2312" w:cs="新宋体"/>
                <w:bCs/>
                <w:sz w:val="30"/>
                <w:szCs w:val="28"/>
              </w:rPr>
              <w:t>【不适用】</w:t>
            </w:r>
          </w:p>
        </w:tc>
      </w:tr>
      <w:tr w14:paraId="68125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1279" w:type="dxa"/>
            <w:vMerge w:val="continue"/>
            <w:vAlign w:val="center"/>
          </w:tcPr>
          <w:p w14:paraId="6D57C505">
            <w:pPr>
              <w:spacing w:before="9" w:line="560" w:lineRule="exact"/>
              <w:rPr>
                <w:rFonts w:eastAsia="仿宋_GB2312" w:cs="新宋体"/>
                <w:b/>
                <w:bCs/>
                <w:kern w:val="0"/>
                <w:sz w:val="30"/>
                <w:szCs w:val="28"/>
              </w:rPr>
            </w:pPr>
          </w:p>
        </w:tc>
        <w:tc>
          <w:tcPr>
            <w:tcW w:w="1806" w:type="dxa"/>
            <w:vAlign w:val="center"/>
          </w:tcPr>
          <w:p w14:paraId="18E9B94B">
            <w:pPr>
              <w:spacing w:before="9" w:line="560" w:lineRule="exact"/>
              <w:rPr>
                <w:rFonts w:eastAsia="仿宋_GB2312" w:cs="新宋体"/>
                <w:kern w:val="0"/>
                <w:sz w:val="30"/>
                <w:szCs w:val="28"/>
              </w:rPr>
            </w:pPr>
            <w:r>
              <w:rPr>
                <w:rFonts w:hint="eastAsia" w:eastAsia="仿宋_GB2312" w:cs="新宋体"/>
                <w:sz w:val="30"/>
                <w:szCs w:val="28"/>
              </w:rPr>
              <w:t>债务重组</w:t>
            </w:r>
          </w:p>
        </w:tc>
        <w:tc>
          <w:tcPr>
            <w:tcW w:w="5211" w:type="dxa"/>
            <w:vAlign w:val="center"/>
          </w:tcPr>
          <w:p w14:paraId="383FD60C">
            <w:pPr>
              <w:spacing w:before="9" w:line="560" w:lineRule="exact"/>
              <w:rPr>
                <w:rFonts w:eastAsia="仿宋_GB2312" w:cs="新宋体"/>
                <w:bCs/>
                <w:kern w:val="0"/>
                <w:sz w:val="30"/>
                <w:szCs w:val="28"/>
              </w:rPr>
            </w:pPr>
            <w:r>
              <w:rPr>
                <w:rFonts w:hint="eastAsia" w:eastAsia="仿宋_GB2312" w:cs="新宋体"/>
                <w:bCs/>
                <w:sz w:val="30"/>
                <w:szCs w:val="28"/>
              </w:rPr>
              <w:t>【适用】</w:t>
            </w:r>
            <w:r>
              <w:rPr>
                <w:rFonts w:eastAsia="仿宋_GB2312" w:cs="新宋体"/>
                <w:bCs/>
                <w:sz w:val="30"/>
                <w:szCs w:val="28"/>
              </w:rPr>
              <w:t>/</w:t>
            </w:r>
            <w:r>
              <w:rPr>
                <w:rFonts w:hint="eastAsia" w:eastAsia="仿宋_GB2312" w:cs="新宋体"/>
                <w:bCs/>
                <w:sz w:val="30"/>
                <w:szCs w:val="28"/>
              </w:rPr>
              <w:t>【不适用】，若适用，则：</w:t>
            </w:r>
          </w:p>
          <w:p w14:paraId="60B1FD23">
            <w:pPr>
              <w:spacing w:before="9" w:line="560" w:lineRule="exact"/>
              <w:rPr>
                <w:rFonts w:eastAsia="仿宋_GB2312" w:cs="新宋体"/>
                <w:bCs/>
                <w:kern w:val="0"/>
                <w:sz w:val="30"/>
                <w:szCs w:val="28"/>
              </w:rPr>
            </w:pPr>
            <w:r>
              <w:rPr>
                <w:rFonts w:hint="eastAsia" w:eastAsia="仿宋_GB2312" w:cs="新宋体"/>
                <w:b/>
                <w:bCs/>
                <w:sz w:val="30"/>
                <w:szCs w:val="28"/>
              </w:rPr>
              <w:t>起点金额：</w:t>
            </w:r>
            <w:r>
              <w:rPr>
                <w:rFonts w:hint="eastAsia" w:eastAsia="仿宋_GB2312" w:cs="新宋体"/>
                <w:bCs/>
                <w:sz w:val="30"/>
                <w:szCs w:val="28"/>
              </w:rPr>
              <w:t>【】万元人民币或其等值金额</w:t>
            </w:r>
          </w:p>
          <w:p w14:paraId="52CDF12C">
            <w:pPr>
              <w:spacing w:before="9" w:line="560" w:lineRule="exact"/>
              <w:rPr>
                <w:rFonts w:eastAsia="仿宋_GB2312" w:cs="新宋体"/>
                <w:bCs/>
                <w:sz w:val="30"/>
                <w:szCs w:val="28"/>
              </w:rPr>
            </w:pPr>
            <w:r>
              <w:rPr>
                <w:rFonts w:hint="eastAsia" w:eastAsia="仿宋_GB2312" w:cs="新宋体"/>
                <w:b/>
                <w:bCs/>
                <w:sz w:val="30"/>
                <w:szCs w:val="28"/>
              </w:rPr>
              <w:t>所涉债务最小持有人数</w:t>
            </w:r>
            <w:r>
              <w:rPr>
                <w:rFonts w:hint="eastAsia" w:eastAsia="仿宋_GB2312" w:cs="新宋体"/>
                <w:bCs/>
                <w:sz w:val="30"/>
                <w:szCs w:val="28"/>
              </w:rPr>
              <w:t>【】</w:t>
            </w:r>
          </w:p>
        </w:tc>
      </w:tr>
    </w:tbl>
    <w:p w14:paraId="0820EA51">
      <w:pPr>
        <w:pStyle w:val="107"/>
        <w:spacing w:before="118" w:line="560" w:lineRule="exact"/>
        <w:jc w:val="both"/>
        <w:rPr>
          <w:rFonts w:ascii="Times New Roman" w:hAnsi="Times New Roman" w:eastAsia="仿宋_GB2312" w:cs="新宋体"/>
          <w:sz w:val="30"/>
          <w:szCs w:val="28"/>
          <w:lang w:eastAsia="zh-CN"/>
        </w:rPr>
      </w:pPr>
    </w:p>
    <w:p w14:paraId="0328D488">
      <w:pPr>
        <w:spacing w:before="72" w:after="72" w:line="560" w:lineRule="exact"/>
        <w:rPr>
          <w:rFonts w:eastAsia="仿宋_GB2312"/>
          <w:b/>
          <w:kern w:val="0"/>
          <w:sz w:val="30"/>
          <w:szCs w:val="28"/>
        </w:rPr>
      </w:pPr>
      <w:r>
        <w:rPr>
          <w:rFonts w:hint="eastAsia" w:eastAsia="仿宋_GB2312"/>
          <w:b/>
          <w:kern w:val="0"/>
          <w:sz w:val="30"/>
          <w:szCs w:val="28"/>
        </w:rPr>
        <w:t>五、与结算有关的条款</w:t>
      </w:r>
    </w:p>
    <w:tbl>
      <w:tblPr>
        <w:tblStyle w:val="43"/>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2523"/>
        <w:gridCol w:w="4899"/>
        <w:gridCol w:w="28"/>
      </w:tblGrid>
      <w:tr w14:paraId="1B11C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restart"/>
            <w:vAlign w:val="center"/>
          </w:tcPr>
          <w:p w14:paraId="000ABD74">
            <w:pPr>
              <w:pStyle w:val="107"/>
              <w:spacing w:before="118" w:line="560" w:lineRule="exact"/>
              <w:jc w:val="both"/>
              <w:rPr>
                <w:rFonts w:ascii="Times New Roman" w:hAnsi="Times New Roman" w:eastAsia="仿宋_GB2312" w:cs="新宋体"/>
                <w:bCs/>
                <w:sz w:val="30"/>
                <w:szCs w:val="28"/>
                <w:lang w:eastAsia="zh-CN"/>
              </w:rPr>
            </w:pPr>
            <w:r>
              <w:rPr>
                <w:rFonts w:hint="eastAsia" w:ascii="Times New Roman" w:hAnsi="Times New Roman" w:eastAsia="仿宋_GB2312" w:cs="新宋体"/>
                <w:bCs/>
                <w:sz w:val="30"/>
                <w:szCs w:val="28"/>
                <w:lang w:eastAsia="zh-CN"/>
              </w:rPr>
              <w:t>结算条件</w:t>
            </w:r>
          </w:p>
        </w:tc>
        <w:tc>
          <w:tcPr>
            <w:tcW w:w="2523" w:type="dxa"/>
            <w:vAlign w:val="center"/>
          </w:tcPr>
          <w:p w14:paraId="1790E3A3">
            <w:pPr>
              <w:pStyle w:val="107"/>
              <w:spacing w:before="118" w:line="560" w:lineRule="exact"/>
              <w:jc w:val="both"/>
              <w:rPr>
                <w:rFonts w:ascii="Times New Roman" w:hAnsi="Times New Roman" w:eastAsia="仿宋_GB2312" w:cs="新宋体"/>
                <w:bCs/>
                <w:sz w:val="30"/>
                <w:szCs w:val="28"/>
                <w:lang w:eastAsia="zh-CN"/>
              </w:rPr>
            </w:pPr>
            <w:r>
              <w:rPr>
                <w:rFonts w:hint="eastAsia" w:ascii="Times New Roman" w:hAnsi="Times New Roman" w:eastAsia="仿宋_GB2312" w:cs="新宋体"/>
                <w:bCs/>
                <w:sz w:val="30"/>
                <w:szCs w:val="28"/>
                <w:lang w:eastAsia="zh-CN"/>
              </w:rPr>
              <w:t>信用事件通知书</w:t>
            </w:r>
          </w:p>
        </w:tc>
        <w:tc>
          <w:tcPr>
            <w:tcW w:w="4927" w:type="dxa"/>
            <w:gridSpan w:val="2"/>
          </w:tcPr>
          <w:p w14:paraId="58A4CD4D">
            <w:pPr>
              <w:pStyle w:val="107"/>
              <w:spacing w:before="16" w:line="560" w:lineRule="exact"/>
              <w:ind w:right="125"/>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通知方为以下第【】项：</w:t>
            </w:r>
            <w:r>
              <w:rPr>
                <w:rFonts w:ascii="Times New Roman" w:hAnsi="Times New Roman" w:eastAsia="仿宋_GB2312" w:cs="新宋体"/>
                <w:sz w:val="30"/>
                <w:szCs w:val="28"/>
                <w:lang w:eastAsia="zh-CN"/>
              </w:rPr>
              <w:t xml:space="preserve"> </w:t>
            </w:r>
          </w:p>
          <w:p w14:paraId="381D942F">
            <w:pPr>
              <w:pStyle w:val="107"/>
              <w:numPr>
                <w:ilvl w:val="0"/>
                <w:numId w:val="28"/>
              </w:numPr>
              <w:spacing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b/>
                <w:sz w:val="30"/>
                <w:szCs w:val="28"/>
                <w:lang w:eastAsia="zh-CN"/>
              </w:rPr>
              <w:t>信用保护买方</w:t>
            </w:r>
          </w:p>
          <w:p w14:paraId="357A8B6C">
            <w:pPr>
              <w:pStyle w:val="107"/>
              <w:numPr>
                <w:ilvl w:val="0"/>
                <w:numId w:val="28"/>
              </w:numPr>
              <w:spacing w:line="560" w:lineRule="exact"/>
              <w:jc w:val="both"/>
              <w:rPr>
                <w:rFonts w:ascii="Times New Roman" w:hAnsi="Times New Roman" w:eastAsia="仿宋_GB2312" w:cs="新宋体"/>
                <w:b/>
                <w:sz w:val="30"/>
                <w:szCs w:val="28"/>
                <w:lang w:eastAsia="zh-CN"/>
              </w:rPr>
            </w:pPr>
            <w:r>
              <w:rPr>
                <w:rFonts w:hint="eastAsia" w:ascii="Times New Roman" w:hAnsi="Times New Roman" w:eastAsia="仿宋_GB2312" w:cs="新宋体"/>
                <w:b/>
                <w:sz w:val="30"/>
                <w:szCs w:val="28"/>
                <w:lang w:eastAsia="zh-CN"/>
              </w:rPr>
              <w:t>信用保护卖方</w:t>
            </w:r>
          </w:p>
          <w:p w14:paraId="2CC96763">
            <w:pPr>
              <w:pStyle w:val="107"/>
              <w:numPr>
                <w:ilvl w:val="0"/>
                <w:numId w:val="28"/>
              </w:numPr>
              <w:spacing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b/>
                <w:bCs/>
                <w:sz w:val="30"/>
                <w:szCs w:val="28"/>
                <w:lang w:eastAsia="zh-CN"/>
              </w:rPr>
              <w:t>信用保护买方</w:t>
            </w:r>
            <w:r>
              <w:rPr>
                <w:rFonts w:hint="eastAsia" w:ascii="Times New Roman" w:hAnsi="Times New Roman" w:eastAsia="仿宋_GB2312" w:cs="新宋体"/>
                <w:sz w:val="30"/>
                <w:szCs w:val="28"/>
                <w:lang w:eastAsia="zh-CN"/>
              </w:rPr>
              <w:t>或</w:t>
            </w:r>
            <w:r>
              <w:rPr>
                <w:rFonts w:hint="eastAsia" w:ascii="Times New Roman" w:hAnsi="Times New Roman" w:eastAsia="仿宋_GB2312" w:cs="新宋体"/>
                <w:b/>
                <w:bCs/>
                <w:sz w:val="30"/>
                <w:szCs w:val="28"/>
                <w:lang w:eastAsia="zh-CN"/>
              </w:rPr>
              <w:t>信用保护卖方</w:t>
            </w:r>
          </w:p>
        </w:tc>
      </w:tr>
      <w:tr w14:paraId="771EC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0FDE2531">
            <w:pPr>
              <w:pStyle w:val="107"/>
              <w:spacing w:before="118" w:line="560" w:lineRule="exact"/>
              <w:jc w:val="both"/>
              <w:rPr>
                <w:rFonts w:ascii="Times New Roman" w:hAnsi="Times New Roman" w:eastAsia="仿宋_GB2312" w:cs="新宋体"/>
                <w:b/>
                <w:bCs/>
                <w:sz w:val="30"/>
                <w:szCs w:val="28"/>
                <w:lang w:eastAsia="zh-CN"/>
              </w:rPr>
            </w:pPr>
          </w:p>
        </w:tc>
        <w:tc>
          <w:tcPr>
            <w:tcW w:w="2523" w:type="dxa"/>
            <w:vAlign w:val="center"/>
          </w:tcPr>
          <w:p w14:paraId="1D623332">
            <w:pPr>
              <w:pStyle w:val="107"/>
              <w:spacing w:before="118" w:line="560" w:lineRule="exact"/>
              <w:jc w:val="both"/>
              <w:rPr>
                <w:rFonts w:ascii="Times New Roman" w:hAnsi="Times New Roman" w:eastAsia="仿宋_GB2312" w:cs="新宋体"/>
                <w:bCs/>
                <w:sz w:val="30"/>
                <w:szCs w:val="28"/>
                <w:lang w:eastAsia="zh-CN"/>
              </w:rPr>
            </w:pPr>
            <w:r>
              <w:rPr>
                <w:rFonts w:hint="eastAsia" w:ascii="Times New Roman" w:hAnsi="Times New Roman" w:eastAsia="仿宋_GB2312" w:cs="新宋体"/>
                <w:bCs/>
                <w:sz w:val="30"/>
                <w:szCs w:val="28"/>
                <w:lang w:eastAsia="zh-CN"/>
              </w:rPr>
              <w:t>公共信息通知书</w:t>
            </w:r>
          </w:p>
        </w:tc>
        <w:tc>
          <w:tcPr>
            <w:tcW w:w="4927" w:type="dxa"/>
            <w:gridSpan w:val="2"/>
          </w:tcPr>
          <w:p w14:paraId="7935CA1A">
            <w:pPr>
              <w:pStyle w:val="107"/>
              <w:spacing w:before="118" w:line="560" w:lineRule="exact"/>
              <w:jc w:val="both"/>
              <w:rPr>
                <w:rFonts w:ascii="Times New Roman" w:hAnsi="Times New Roman" w:eastAsia="仿宋_GB2312" w:cs="新宋体"/>
                <w:bCs/>
                <w:sz w:val="30"/>
                <w:szCs w:val="28"/>
                <w:lang w:eastAsia="zh-CN"/>
              </w:rPr>
            </w:pPr>
            <w:r>
              <w:rPr>
                <w:rFonts w:hint="eastAsia" w:ascii="Times New Roman" w:hAnsi="Times New Roman" w:eastAsia="仿宋_GB2312" w:cs="新宋体"/>
                <w:bCs/>
                <w:sz w:val="30"/>
                <w:szCs w:val="28"/>
                <w:lang w:eastAsia="zh-CN"/>
              </w:rPr>
              <w:t>【适用】</w:t>
            </w:r>
            <w:r>
              <w:rPr>
                <w:rFonts w:ascii="Times New Roman" w:hAnsi="Times New Roman" w:eastAsia="仿宋_GB2312" w:cs="新宋体"/>
                <w:bCs/>
                <w:sz w:val="30"/>
                <w:szCs w:val="28"/>
                <w:lang w:eastAsia="zh-CN"/>
              </w:rPr>
              <w:t>/</w:t>
            </w:r>
            <w:r>
              <w:rPr>
                <w:rFonts w:hint="eastAsia" w:ascii="Times New Roman" w:hAnsi="Times New Roman" w:eastAsia="仿宋_GB2312" w:cs="新宋体"/>
                <w:bCs/>
                <w:sz w:val="30"/>
                <w:szCs w:val="28"/>
                <w:lang w:eastAsia="zh-CN"/>
              </w:rPr>
              <w:t>【不适用】</w:t>
            </w:r>
          </w:p>
          <w:p w14:paraId="676010F0">
            <w:pPr>
              <w:pStyle w:val="107"/>
              <w:spacing w:before="16" w:line="560" w:lineRule="exact"/>
              <w:ind w:right="125"/>
              <w:jc w:val="both"/>
              <w:rPr>
                <w:rFonts w:ascii="Times New Roman" w:hAnsi="Times New Roman" w:eastAsia="仿宋_GB2312" w:cs="新宋体"/>
                <w:sz w:val="30"/>
                <w:szCs w:val="28"/>
                <w:lang w:eastAsia="zh-CN"/>
              </w:rPr>
            </w:pPr>
            <w:r>
              <w:rPr>
                <w:rFonts w:hint="eastAsia" w:ascii="Times New Roman" w:hAnsi="Times New Roman" w:eastAsia="仿宋_GB2312" w:cs="新宋体"/>
                <w:bCs/>
                <w:sz w:val="30"/>
                <w:szCs w:val="28"/>
                <w:lang w:eastAsia="zh-CN"/>
              </w:rPr>
              <w:t>若适用，通知方为</w:t>
            </w:r>
            <w:r>
              <w:rPr>
                <w:rFonts w:hint="eastAsia" w:ascii="Times New Roman" w:hAnsi="Times New Roman" w:eastAsia="仿宋_GB2312" w:cs="新宋体"/>
                <w:sz w:val="30"/>
                <w:szCs w:val="28"/>
                <w:lang w:eastAsia="zh-CN"/>
              </w:rPr>
              <w:t>以下第【】项：</w:t>
            </w:r>
            <w:r>
              <w:rPr>
                <w:rFonts w:ascii="Times New Roman" w:hAnsi="Times New Roman" w:eastAsia="仿宋_GB2312" w:cs="新宋体"/>
                <w:sz w:val="30"/>
                <w:szCs w:val="28"/>
                <w:lang w:eastAsia="zh-CN"/>
              </w:rPr>
              <w:t xml:space="preserve"> </w:t>
            </w:r>
          </w:p>
          <w:p w14:paraId="7EA580A9">
            <w:pPr>
              <w:pStyle w:val="107"/>
              <w:numPr>
                <w:ilvl w:val="0"/>
                <w:numId w:val="29"/>
              </w:numPr>
              <w:spacing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b/>
                <w:sz w:val="30"/>
                <w:szCs w:val="28"/>
                <w:lang w:eastAsia="zh-CN"/>
              </w:rPr>
              <w:t>信用保护买方</w:t>
            </w:r>
          </w:p>
          <w:p w14:paraId="75956C8E">
            <w:pPr>
              <w:pStyle w:val="107"/>
              <w:numPr>
                <w:ilvl w:val="0"/>
                <w:numId w:val="29"/>
              </w:numPr>
              <w:spacing w:line="560" w:lineRule="exact"/>
              <w:jc w:val="both"/>
              <w:rPr>
                <w:rFonts w:ascii="Times New Roman" w:hAnsi="Times New Roman" w:eastAsia="仿宋_GB2312" w:cs="新宋体"/>
                <w:b/>
                <w:sz w:val="30"/>
                <w:szCs w:val="28"/>
                <w:lang w:eastAsia="zh-CN"/>
              </w:rPr>
            </w:pPr>
            <w:r>
              <w:rPr>
                <w:rFonts w:hint="eastAsia" w:ascii="Times New Roman" w:hAnsi="Times New Roman" w:eastAsia="仿宋_GB2312" w:cs="新宋体"/>
                <w:b/>
                <w:sz w:val="30"/>
                <w:szCs w:val="28"/>
                <w:lang w:eastAsia="zh-CN"/>
              </w:rPr>
              <w:t>信用保护卖方</w:t>
            </w:r>
          </w:p>
          <w:p w14:paraId="39B983B9">
            <w:pPr>
              <w:pStyle w:val="107"/>
              <w:numPr>
                <w:ilvl w:val="0"/>
                <w:numId w:val="29"/>
              </w:numPr>
              <w:spacing w:line="560" w:lineRule="exact"/>
              <w:jc w:val="both"/>
              <w:rPr>
                <w:rFonts w:ascii="Times New Roman" w:hAnsi="Times New Roman" w:eastAsia="仿宋_GB2312" w:cs="新宋体"/>
                <w:bCs/>
                <w:sz w:val="30"/>
                <w:szCs w:val="28"/>
                <w:lang w:eastAsia="zh-CN"/>
              </w:rPr>
            </w:pPr>
            <w:r>
              <w:rPr>
                <w:rFonts w:hint="eastAsia" w:ascii="Times New Roman" w:hAnsi="Times New Roman" w:eastAsia="仿宋_GB2312" w:cs="新宋体"/>
                <w:b/>
                <w:bCs/>
                <w:sz w:val="30"/>
                <w:szCs w:val="28"/>
                <w:lang w:eastAsia="zh-CN"/>
              </w:rPr>
              <w:t>信用保护买方</w:t>
            </w:r>
            <w:r>
              <w:rPr>
                <w:rFonts w:hint="eastAsia" w:ascii="Times New Roman" w:hAnsi="Times New Roman" w:eastAsia="仿宋_GB2312" w:cs="新宋体"/>
                <w:sz w:val="30"/>
                <w:szCs w:val="28"/>
                <w:lang w:eastAsia="zh-CN"/>
              </w:rPr>
              <w:t>或</w:t>
            </w:r>
            <w:r>
              <w:rPr>
                <w:rFonts w:hint="eastAsia" w:ascii="Times New Roman" w:hAnsi="Times New Roman" w:eastAsia="仿宋_GB2312" w:cs="新宋体"/>
                <w:b/>
                <w:bCs/>
                <w:sz w:val="30"/>
                <w:szCs w:val="28"/>
                <w:lang w:eastAsia="zh-CN"/>
              </w:rPr>
              <w:t>信用保护卖方</w:t>
            </w:r>
          </w:p>
        </w:tc>
      </w:tr>
      <w:tr w14:paraId="77066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369" w:type="dxa"/>
            <w:gridSpan w:val="2"/>
            <w:vAlign w:val="center"/>
          </w:tcPr>
          <w:p w14:paraId="4765D77C">
            <w:pPr>
              <w:pStyle w:val="107"/>
              <w:spacing w:before="118" w:line="560" w:lineRule="exact"/>
              <w:jc w:val="both"/>
              <w:rPr>
                <w:rFonts w:ascii="Times New Roman" w:hAnsi="Times New Roman" w:eastAsia="仿宋_GB2312" w:cs="新宋体"/>
                <w:bCs/>
                <w:sz w:val="30"/>
                <w:szCs w:val="28"/>
                <w:lang w:eastAsia="zh-CN"/>
              </w:rPr>
            </w:pPr>
            <w:r>
              <w:rPr>
                <w:rFonts w:hint="eastAsia" w:ascii="Times New Roman" w:hAnsi="Times New Roman" w:eastAsia="仿宋_GB2312" w:cs="新宋体"/>
                <w:bCs/>
                <w:sz w:val="30"/>
                <w:szCs w:val="28"/>
                <w:lang w:eastAsia="zh-CN"/>
              </w:rPr>
              <w:t>结算方式</w:t>
            </w:r>
          </w:p>
        </w:tc>
        <w:tc>
          <w:tcPr>
            <w:tcW w:w="4927" w:type="dxa"/>
            <w:gridSpan w:val="2"/>
          </w:tcPr>
          <w:p w14:paraId="56E46EDF">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适用以下第【】项：（单选）</w:t>
            </w:r>
          </w:p>
          <w:p w14:paraId="4501F188">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w:t>
            </w:r>
            <w:r>
              <w:rPr>
                <w:rFonts w:ascii="Times New Roman" w:hAnsi="Times New Roman" w:eastAsia="仿宋_GB2312" w:cs="新宋体"/>
                <w:sz w:val="30"/>
                <w:szCs w:val="28"/>
                <w:lang w:eastAsia="zh-CN"/>
              </w:rPr>
              <w:t>1</w:t>
            </w:r>
            <w:r>
              <w:rPr>
                <w:rFonts w:hint="eastAsia" w:ascii="Times New Roman" w:hAnsi="Times New Roman" w:eastAsia="仿宋_GB2312" w:cs="新宋体"/>
                <w:sz w:val="30"/>
                <w:szCs w:val="28"/>
                <w:lang w:eastAsia="zh-CN"/>
              </w:rPr>
              <w:t>）</w:t>
            </w:r>
            <w:r>
              <w:rPr>
                <w:rFonts w:hint="eastAsia" w:ascii="Times New Roman" w:hAnsi="Times New Roman" w:eastAsia="仿宋_GB2312" w:cs="新宋体"/>
                <w:b/>
                <w:bCs/>
                <w:sz w:val="30"/>
                <w:szCs w:val="28"/>
                <w:lang w:eastAsia="zh-CN"/>
              </w:rPr>
              <w:t>现金结算</w:t>
            </w:r>
          </w:p>
          <w:p w14:paraId="086B0567">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w:t>
            </w:r>
            <w:r>
              <w:rPr>
                <w:rFonts w:ascii="Times New Roman" w:hAnsi="Times New Roman" w:eastAsia="仿宋_GB2312" w:cs="新宋体"/>
                <w:sz w:val="30"/>
                <w:szCs w:val="28"/>
                <w:lang w:eastAsia="zh-CN"/>
              </w:rPr>
              <w:t>2</w:t>
            </w:r>
            <w:r>
              <w:rPr>
                <w:rFonts w:hint="eastAsia" w:ascii="Times New Roman" w:hAnsi="Times New Roman" w:eastAsia="仿宋_GB2312" w:cs="新宋体"/>
                <w:sz w:val="30"/>
                <w:szCs w:val="28"/>
                <w:lang w:eastAsia="zh-CN"/>
              </w:rPr>
              <w:t>）</w:t>
            </w:r>
            <w:r>
              <w:rPr>
                <w:rFonts w:hint="eastAsia" w:ascii="Times New Roman" w:hAnsi="Times New Roman" w:eastAsia="仿宋_GB2312" w:cs="新宋体"/>
                <w:b/>
                <w:bCs/>
                <w:sz w:val="30"/>
                <w:szCs w:val="28"/>
                <w:lang w:eastAsia="zh-CN"/>
              </w:rPr>
              <w:t>实物结算</w:t>
            </w:r>
          </w:p>
        </w:tc>
      </w:tr>
      <w:tr w14:paraId="12EE9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restart"/>
            <w:vAlign w:val="center"/>
          </w:tcPr>
          <w:p w14:paraId="2AB00ED5">
            <w:pPr>
              <w:pStyle w:val="107"/>
              <w:spacing w:before="118" w:line="560" w:lineRule="exact"/>
              <w:jc w:val="both"/>
              <w:rPr>
                <w:rFonts w:ascii="Times New Roman" w:hAnsi="Times New Roman" w:eastAsia="仿宋_GB2312" w:cs="新宋体"/>
                <w:bCs/>
                <w:sz w:val="30"/>
                <w:szCs w:val="28"/>
                <w:lang w:eastAsia="zh-CN"/>
              </w:rPr>
            </w:pPr>
            <w:r>
              <w:rPr>
                <w:rFonts w:hint="eastAsia" w:ascii="Times New Roman" w:hAnsi="Times New Roman" w:eastAsia="仿宋_GB2312" w:cs="新宋体"/>
                <w:bCs/>
                <w:sz w:val="30"/>
                <w:szCs w:val="28"/>
                <w:lang w:eastAsia="zh-CN"/>
              </w:rPr>
              <w:t>实物结算</w:t>
            </w:r>
          </w:p>
        </w:tc>
        <w:tc>
          <w:tcPr>
            <w:tcW w:w="2523" w:type="dxa"/>
            <w:vAlign w:val="center"/>
          </w:tcPr>
          <w:p w14:paraId="0E3C7942">
            <w:pPr>
              <w:pStyle w:val="107"/>
              <w:spacing w:before="118" w:line="560" w:lineRule="exact"/>
              <w:jc w:val="both"/>
              <w:rPr>
                <w:rFonts w:ascii="Times New Roman" w:hAnsi="Times New Roman" w:eastAsia="仿宋_GB2312" w:cs="新宋体"/>
                <w:bCs/>
                <w:sz w:val="30"/>
                <w:szCs w:val="28"/>
                <w:lang w:eastAsia="zh-CN"/>
              </w:rPr>
            </w:pPr>
            <w:r>
              <w:rPr>
                <w:rFonts w:hint="eastAsia" w:ascii="Times New Roman" w:hAnsi="Times New Roman" w:eastAsia="仿宋_GB2312" w:cs="新宋体"/>
                <w:bCs/>
                <w:sz w:val="30"/>
                <w:szCs w:val="28"/>
                <w:lang w:eastAsia="zh-CN"/>
              </w:rPr>
              <w:t>实物交割期间</w:t>
            </w:r>
          </w:p>
        </w:tc>
        <w:tc>
          <w:tcPr>
            <w:tcW w:w="4927" w:type="dxa"/>
            <w:gridSpan w:val="2"/>
            <w:vAlign w:val="center"/>
          </w:tcPr>
          <w:p w14:paraId="75808FE8">
            <w:pPr>
              <w:spacing w:before="118" w:line="560" w:lineRule="exact"/>
              <w:rPr>
                <w:rFonts w:eastAsia="仿宋_GB2312" w:cs="新宋体"/>
                <w:b/>
                <w:bCs/>
                <w:kern w:val="0"/>
                <w:sz w:val="30"/>
                <w:szCs w:val="28"/>
              </w:rPr>
            </w:pPr>
            <w:r>
              <w:rPr>
                <w:rFonts w:hint="eastAsia" w:eastAsia="仿宋_GB2312" w:cs="新宋体"/>
                <w:sz w:val="30"/>
                <w:szCs w:val="28"/>
              </w:rPr>
              <w:t>【】个</w:t>
            </w:r>
            <w:r>
              <w:rPr>
                <w:rFonts w:hint="eastAsia" w:eastAsia="仿宋_GB2312" w:cs="新宋体"/>
                <w:b/>
                <w:bCs/>
                <w:sz w:val="30"/>
                <w:szCs w:val="28"/>
              </w:rPr>
              <w:t>自然日</w:t>
            </w:r>
            <w:r>
              <w:rPr>
                <w:rFonts w:hint="eastAsia" w:eastAsia="仿宋_GB2312" w:cs="新宋体"/>
                <w:bCs/>
                <w:sz w:val="30"/>
                <w:szCs w:val="28"/>
              </w:rPr>
              <w:t>（不超过</w:t>
            </w:r>
            <w:r>
              <w:rPr>
                <w:rFonts w:eastAsia="仿宋_GB2312" w:cs="新宋体"/>
                <w:bCs/>
                <w:sz w:val="30"/>
                <w:szCs w:val="28"/>
              </w:rPr>
              <w:t>30</w:t>
            </w:r>
            <w:r>
              <w:rPr>
                <w:rFonts w:hint="eastAsia" w:eastAsia="仿宋_GB2312" w:cs="新宋体"/>
                <w:bCs/>
                <w:sz w:val="30"/>
                <w:szCs w:val="28"/>
              </w:rPr>
              <w:t>个自然日）</w:t>
            </w:r>
          </w:p>
        </w:tc>
      </w:tr>
      <w:tr w14:paraId="5EB07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40F52806">
            <w:pPr>
              <w:pStyle w:val="107"/>
              <w:spacing w:before="118" w:line="560" w:lineRule="exact"/>
              <w:jc w:val="both"/>
              <w:rPr>
                <w:rFonts w:ascii="Times New Roman" w:hAnsi="Times New Roman" w:eastAsia="仿宋_GB2312" w:cs="新宋体"/>
                <w:b/>
                <w:bCs/>
                <w:sz w:val="30"/>
                <w:szCs w:val="28"/>
                <w:lang w:eastAsia="zh-CN"/>
              </w:rPr>
            </w:pPr>
          </w:p>
        </w:tc>
        <w:tc>
          <w:tcPr>
            <w:tcW w:w="2523" w:type="dxa"/>
            <w:vAlign w:val="center"/>
          </w:tcPr>
          <w:p w14:paraId="36F9067A">
            <w:pPr>
              <w:pStyle w:val="107"/>
              <w:spacing w:before="118" w:line="560" w:lineRule="exact"/>
              <w:jc w:val="both"/>
              <w:rPr>
                <w:rFonts w:ascii="Times New Roman" w:hAnsi="Times New Roman" w:eastAsia="仿宋_GB2312" w:cs="新宋体"/>
                <w:bCs/>
                <w:sz w:val="30"/>
                <w:szCs w:val="28"/>
                <w:lang w:eastAsia="zh-CN"/>
              </w:rPr>
            </w:pPr>
            <w:r>
              <w:rPr>
                <w:rFonts w:hint="eastAsia" w:ascii="Times New Roman" w:hAnsi="Times New Roman" w:eastAsia="仿宋_GB2312" w:cs="新宋体"/>
                <w:bCs/>
                <w:sz w:val="30"/>
                <w:szCs w:val="28"/>
                <w:lang w:eastAsia="zh-CN"/>
              </w:rPr>
              <w:t>可交付债务种类</w:t>
            </w:r>
          </w:p>
        </w:tc>
        <w:tc>
          <w:tcPr>
            <w:tcW w:w="4927" w:type="dxa"/>
            <w:gridSpan w:val="2"/>
            <w:vAlign w:val="center"/>
          </w:tcPr>
          <w:p w14:paraId="04C81D1B">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bCs/>
                <w:sz w:val="30"/>
                <w:szCs w:val="28"/>
                <w:lang w:eastAsia="zh-CN"/>
              </w:rPr>
              <w:t>【付款义务】、【借贷款项】、【债券】、【贷款】、【公司债（不含企业债）】、【可转债】、【企业债】、【资产支持证券】、【仅为参考债务】（可多选，取勾选项的最大范围作为债务种类）</w:t>
            </w:r>
          </w:p>
        </w:tc>
      </w:tr>
      <w:tr w14:paraId="14AD7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409D9597">
            <w:pPr>
              <w:pStyle w:val="107"/>
              <w:spacing w:before="118" w:line="560" w:lineRule="exact"/>
              <w:jc w:val="both"/>
              <w:rPr>
                <w:rFonts w:ascii="Times New Roman" w:hAnsi="Times New Roman" w:eastAsia="仿宋_GB2312" w:cs="新宋体"/>
                <w:b/>
                <w:bCs/>
                <w:sz w:val="30"/>
                <w:szCs w:val="28"/>
                <w:lang w:eastAsia="zh-CN"/>
              </w:rPr>
            </w:pPr>
          </w:p>
        </w:tc>
        <w:tc>
          <w:tcPr>
            <w:tcW w:w="2523" w:type="dxa"/>
            <w:vAlign w:val="center"/>
          </w:tcPr>
          <w:p w14:paraId="1AB352C0">
            <w:pPr>
              <w:pStyle w:val="107"/>
              <w:spacing w:before="118" w:line="560" w:lineRule="exact"/>
              <w:jc w:val="both"/>
              <w:rPr>
                <w:rFonts w:ascii="Times New Roman" w:hAnsi="Times New Roman" w:eastAsia="仿宋_GB2312" w:cs="新宋体"/>
                <w:bCs/>
                <w:sz w:val="30"/>
                <w:szCs w:val="28"/>
                <w:lang w:eastAsia="zh-CN"/>
              </w:rPr>
            </w:pPr>
            <w:r>
              <w:rPr>
                <w:rFonts w:hint="eastAsia" w:ascii="Times New Roman" w:hAnsi="Times New Roman" w:eastAsia="仿宋_GB2312" w:cs="新宋体"/>
                <w:bCs/>
                <w:sz w:val="30"/>
                <w:szCs w:val="28"/>
                <w:lang w:eastAsia="zh-CN"/>
              </w:rPr>
              <w:t>可交付债务特征</w:t>
            </w:r>
          </w:p>
        </w:tc>
        <w:tc>
          <w:tcPr>
            <w:tcW w:w="4927" w:type="dxa"/>
            <w:gridSpan w:val="2"/>
            <w:vAlign w:val="center"/>
          </w:tcPr>
          <w:p w14:paraId="77EFE662">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w:t>
            </w:r>
            <w:r>
              <w:rPr>
                <w:rFonts w:hint="eastAsia" w:ascii="Times New Roman" w:hAnsi="Times New Roman" w:eastAsia="仿宋_GB2312" w:cs="新宋体"/>
                <w:bCs/>
                <w:sz w:val="30"/>
                <w:szCs w:val="28"/>
                <w:lang w:eastAsia="zh-CN"/>
              </w:rPr>
              <w:t>一般债务</w:t>
            </w:r>
            <w:r>
              <w:rPr>
                <w:rFonts w:hint="eastAsia" w:ascii="Times New Roman" w:hAnsi="Times New Roman" w:eastAsia="仿宋_GB2312" w:cs="新宋体"/>
                <w:sz w:val="30"/>
                <w:szCs w:val="28"/>
                <w:lang w:eastAsia="zh-CN"/>
              </w:rPr>
              <w:t>】、【次级债务】、【</w:t>
            </w:r>
            <w:r>
              <w:rPr>
                <w:rFonts w:hint="eastAsia" w:ascii="Times New Roman" w:hAnsi="Times New Roman" w:eastAsia="仿宋_GB2312" w:cs="新宋体"/>
                <w:bCs/>
                <w:sz w:val="30"/>
                <w:szCs w:val="28"/>
                <w:lang w:eastAsia="zh-CN"/>
              </w:rPr>
              <w:t>证券交易所挂牌流通</w:t>
            </w:r>
            <w:r>
              <w:rPr>
                <w:rFonts w:hint="eastAsia" w:ascii="Times New Roman" w:hAnsi="Times New Roman" w:eastAsia="仿宋_GB2312" w:cs="新宋体"/>
                <w:sz w:val="30"/>
                <w:szCs w:val="28"/>
                <w:lang w:eastAsia="zh-CN"/>
              </w:rPr>
              <w:t>】、【</w:t>
            </w:r>
            <w:r>
              <w:rPr>
                <w:rFonts w:hint="eastAsia" w:ascii="Times New Roman" w:hAnsi="Times New Roman" w:eastAsia="仿宋_GB2312" w:cs="新宋体"/>
                <w:bCs/>
                <w:sz w:val="30"/>
                <w:szCs w:val="28"/>
                <w:lang w:eastAsia="zh-CN"/>
              </w:rPr>
              <w:t>本币</w:t>
            </w:r>
            <w:r>
              <w:rPr>
                <w:rFonts w:hint="eastAsia" w:ascii="Times New Roman" w:hAnsi="Times New Roman" w:eastAsia="仿宋_GB2312" w:cs="新宋体"/>
                <w:sz w:val="30"/>
                <w:szCs w:val="28"/>
                <w:lang w:eastAsia="zh-CN"/>
              </w:rPr>
              <w:t>】、【外币】、【无扣减债务】、【可转让贷款】、【转让受限贷款】、【最长待偿期</w:t>
            </w:r>
            <w:r>
              <w:rPr>
                <w:rFonts w:ascii="Times New Roman" w:hAnsi="Times New Roman" w:eastAsia="仿宋_GB2312" w:cs="新宋体"/>
                <w:sz w:val="30"/>
                <w:szCs w:val="28"/>
                <w:lang w:eastAsia="zh-CN"/>
              </w:rPr>
              <w:t>10</w:t>
            </w:r>
            <w:r>
              <w:rPr>
                <w:rFonts w:hint="eastAsia" w:ascii="Times New Roman" w:hAnsi="Times New Roman" w:eastAsia="仿宋_GB2312" w:cs="新宋体"/>
                <w:sz w:val="30"/>
                <w:szCs w:val="28"/>
                <w:lang w:eastAsia="zh-CN"/>
              </w:rPr>
              <w:t>年】、【其他：</w:t>
            </w:r>
            <w:r>
              <w:rPr>
                <w:rFonts w:ascii="Times New Roman" w:hAnsi="Times New Roman" w:eastAsia="仿宋_GB2312" w:cs="新宋体"/>
                <w:sz w:val="30"/>
                <w:szCs w:val="28"/>
                <w:lang w:eastAsia="zh-CN"/>
              </w:rPr>
              <w:t xml:space="preserve">   </w:t>
            </w:r>
            <w:r>
              <w:rPr>
                <w:rFonts w:hint="eastAsia" w:ascii="Times New Roman" w:hAnsi="Times New Roman" w:eastAsia="仿宋_GB2312" w:cs="新宋体"/>
                <w:sz w:val="30"/>
                <w:szCs w:val="28"/>
                <w:lang w:eastAsia="zh-CN"/>
              </w:rPr>
              <w:t>】（可多选）</w:t>
            </w:r>
          </w:p>
        </w:tc>
      </w:tr>
      <w:tr w14:paraId="5AC43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 w:type="dxa"/>
          <w:trHeight w:val="792" w:hRule="atLeast"/>
          <w:jc w:val="center"/>
        </w:trPr>
        <w:tc>
          <w:tcPr>
            <w:tcW w:w="846" w:type="dxa"/>
            <w:vMerge w:val="continue"/>
            <w:vAlign w:val="center"/>
          </w:tcPr>
          <w:p w14:paraId="5CA37753">
            <w:pPr>
              <w:pStyle w:val="107"/>
              <w:spacing w:before="118" w:line="560" w:lineRule="exact"/>
              <w:jc w:val="both"/>
              <w:rPr>
                <w:rFonts w:ascii="Times New Roman" w:hAnsi="Times New Roman" w:eastAsia="仿宋_GB2312" w:cs="新宋体"/>
                <w:b/>
                <w:bCs/>
                <w:sz w:val="30"/>
                <w:szCs w:val="28"/>
                <w:lang w:eastAsia="zh-CN"/>
              </w:rPr>
            </w:pPr>
          </w:p>
        </w:tc>
        <w:tc>
          <w:tcPr>
            <w:tcW w:w="2523" w:type="dxa"/>
            <w:vAlign w:val="center"/>
          </w:tcPr>
          <w:p w14:paraId="4F8D4D02">
            <w:pPr>
              <w:pStyle w:val="107"/>
              <w:spacing w:before="118" w:line="560" w:lineRule="exact"/>
              <w:jc w:val="both"/>
              <w:rPr>
                <w:rFonts w:ascii="Times New Roman" w:hAnsi="Times New Roman" w:eastAsia="仿宋_GB2312" w:cs="新宋体"/>
                <w:bCs/>
                <w:sz w:val="30"/>
                <w:szCs w:val="28"/>
                <w:lang w:eastAsia="zh-CN"/>
              </w:rPr>
            </w:pPr>
            <w:r>
              <w:rPr>
                <w:rFonts w:hint="eastAsia" w:ascii="Times New Roman" w:hAnsi="Times New Roman" w:eastAsia="仿宋_GB2312" w:cs="新宋体"/>
                <w:bCs/>
                <w:sz w:val="30"/>
                <w:szCs w:val="28"/>
                <w:lang w:eastAsia="zh-CN"/>
              </w:rPr>
              <w:t>可交付债务的</w:t>
            </w:r>
          </w:p>
          <w:p w14:paraId="52B6C30F">
            <w:pPr>
              <w:pStyle w:val="107"/>
              <w:spacing w:before="118" w:line="560" w:lineRule="exact"/>
              <w:jc w:val="both"/>
              <w:rPr>
                <w:rFonts w:ascii="Times New Roman" w:hAnsi="Times New Roman" w:eastAsia="仿宋_GB2312" w:cs="新宋体"/>
                <w:bCs/>
                <w:sz w:val="30"/>
                <w:szCs w:val="28"/>
                <w:lang w:eastAsia="zh-CN"/>
              </w:rPr>
            </w:pPr>
            <w:r>
              <w:rPr>
                <w:rFonts w:hint="eastAsia" w:ascii="Times New Roman" w:hAnsi="Times New Roman" w:eastAsia="仿宋_GB2312" w:cs="新宋体"/>
                <w:bCs/>
                <w:sz w:val="30"/>
                <w:szCs w:val="28"/>
                <w:lang w:eastAsia="zh-CN"/>
              </w:rPr>
              <w:t>应计未付利息</w:t>
            </w:r>
          </w:p>
        </w:tc>
        <w:tc>
          <w:tcPr>
            <w:tcW w:w="4899" w:type="dxa"/>
            <w:vAlign w:val="center"/>
          </w:tcPr>
          <w:p w14:paraId="17FB03D5">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【计入】</w:t>
            </w:r>
            <w:r>
              <w:rPr>
                <w:rFonts w:ascii="Times New Roman" w:hAnsi="Times New Roman" w:eastAsia="仿宋_GB2312" w:cs="新宋体"/>
                <w:sz w:val="30"/>
                <w:szCs w:val="28"/>
                <w:lang w:eastAsia="zh-CN"/>
              </w:rPr>
              <w:t>/</w:t>
            </w:r>
            <w:r>
              <w:rPr>
                <w:rFonts w:hint="eastAsia" w:ascii="Times New Roman" w:hAnsi="Times New Roman" w:eastAsia="仿宋_GB2312" w:cs="新宋体"/>
                <w:sz w:val="30"/>
                <w:szCs w:val="28"/>
                <w:lang w:eastAsia="zh-CN"/>
              </w:rPr>
              <w:t>【不计入】</w:t>
            </w:r>
          </w:p>
        </w:tc>
      </w:tr>
      <w:tr w14:paraId="01BEF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 w:type="dxa"/>
          <w:trHeight w:val="1459" w:hRule="atLeast"/>
          <w:jc w:val="center"/>
        </w:trPr>
        <w:tc>
          <w:tcPr>
            <w:tcW w:w="846" w:type="dxa"/>
            <w:vAlign w:val="center"/>
          </w:tcPr>
          <w:p w14:paraId="56B887CB">
            <w:pPr>
              <w:pStyle w:val="107"/>
              <w:spacing w:before="118" w:line="560" w:lineRule="exact"/>
              <w:jc w:val="both"/>
              <w:rPr>
                <w:rFonts w:ascii="Times New Roman" w:hAnsi="Times New Roman" w:eastAsia="仿宋_GB2312" w:cs="新宋体"/>
                <w:bCs/>
                <w:sz w:val="30"/>
                <w:szCs w:val="28"/>
                <w:lang w:eastAsia="zh-CN"/>
              </w:rPr>
            </w:pPr>
            <w:r>
              <w:rPr>
                <w:rFonts w:hint="eastAsia" w:ascii="Times New Roman" w:hAnsi="Times New Roman" w:eastAsia="仿宋_GB2312" w:cs="新宋体"/>
                <w:bCs/>
                <w:sz w:val="30"/>
                <w:szCs w:val="28"/>
                <w:lang w:eastAsia="zh-CN"/>
              </w:rPr>
              <w:t>现金结算</w:t>
            </w:r>
          </w:p>
        </w:tc>
        <w:tc>
          <w:tcPr>
            <w:tcW w:w="2523" w:type="dxa"/>
            <w:vAlign w:val="center"/>
          </w:tcPr>
          <w:p w14:paraId="37631A49">
            <w:pPr>
              <w:spacing w:before="118" w:line="560" w:lineRule="exact"/>
              <w:rPr>
                <w:rFonts w:eastAsia="仿宋_GB2312" w:cs="新宋体"/>
                <w:sz w:val="30"/>
                <w:szCs w:val="28"/>
              </w:rPr>
            </w:pPr>
            <w:r>
              <w:rPr>
                <w:rFonts w:hint="eastAsia" w:eastAsia="仿宋_GB2312" w:cs="新宋体"/>
                <w:bCs/>
                <w:sz w:val="30"/>
                <w:szCs w:val="28"/>
              </w:rPr>
              <w:t>约定回收率</w:t>
            </w:r>
          </w:p>
        </w:tc>
        <w:tc>
          <w:tcPr>
            <w:tcW w:w="4899" w:type="dxa"/>
            <w:vAlign w:val="center"/>
          </w:tcPr>
          <w:p w14:paraId="33B4403E">
            <w:pPr>
              <w:spacing w:before="118" w:line="560" w:lineRule="exact"/>
              <w:rPr>
                <w:rFonts w:eastAsia="仿宋_GB2312" w:cs="新宋体"/>
                <w:sz w:val="30"/>
                <w:szCs w:val="28"/>
              </w:rPr>
            </w:pPr>
            <w:r>
              <w:rPr>
                <w:rFonts w:hint="eastAsia" w:eastAsia="仿宋_GB2312" w:cs="新宋体"/>
                <w:bCs/>
                <w:sz w:val="30"/>
                <w:szCs w:val="28"/>
              </w:rPr>
              <w:t>适用以下第</w:t>
            </w:r>
            <w:r>
              <w:rPr>
                <w:rFonts w:hint="eastAsia" w:eastAsia="仿宋_GB2312" w:cs="新宋体"/>
                <w:sz w:val="30"/>
                <w:szCs w:val="28"/>
              </w:rPr>
              <w:t>【】项：</w:t>
            </w:r>
          </w:p>
          <w:p w14:paraId="48CC8D62">
            <w:pPr>
              <w:spacing w:before="118" w:line="560" w:lineRule="exact"/>
              <w:rPr>
                <w:rFonts w:eastAsia="仿宋_GB2312" w:cs="新宋体"/>
                <w:sz w:val="30"/>
                <w:szCs w:val="28"/>
              </w:rPr>
            </w:pPr>
            <w:r>
              <w:rPr>
                <w:rFonts w:hint="eastAsia" w:eastAsia="仿宋_GB2312" w:cs="新宋体"/>
                <w:sz w:val="30"/>
                <w:szCs w:val="28"/>
              </w:rPr>
              <w:t>（</w:t>
            </w:r>
            <w:r>
              <w:rPr>
                <w:rFonts w:eastAsia="仿宋_GB2312" w:cs="新宋体"/>
                <w:sz w:val="30"/>
                <w:szCs w:val="28"/>
              </w:rPr>
              <w:t>1</w:t>
            </w:r>
            <w:r>
              <w:rPr>
                <w:rFonts w:hint="eastAsia" w:eastAsia="仿宋_GB2312" w:cs="新宋体"/>
                <w:sz w:val="30"/>
                <w:szCs w:val="28"/>
              </w:rPr>
              <w:t>）【】</w:t>
            </w:r>
            <w:r>
              <w:rPr>
                <w:rFonts w:eastAsia="仿宋_GB2312" w:cs="新宋体"/>
                <w:sz w:val="30"/>
                <w:szCs w:val="28"/>
              </w:rPr>
              <w:t xml:space="preserve"> </w:t>
            </w:r>
          </w:p>
          <w:p w14:paraId="146B8FF5">
            <w:pPr>
              <w:spacing w:before="118" w:line="560" w:lineRule="exact"/>
              <w:rPr>
                <w:rFonts w:eastAsia="仿宋_GB2312" w:cs="新宋体"/>
                <w:sz w:val="30"/>
                <w:szCs w:val="28"/>
              </w:rPr>
            </w:pPr>
            <w:r>
              <w:rPr>
                <w:rFonts w:hint="eastAsia" w:eastAsia="仿宋_GB2312" w:cs="新宋体"/>
                <w:sz w:val="30"/>
                <w:szCs w:val="28"/>
              </w:rPr>
              <w:t>（</w:t>
            </w:r>
            <w:r>
              <w:rPr>
                <w:rFonts w:eastAsia="仿宋_GB2312" w:cs="新宋体"/>
                <w:sz w:val="30"/>
                <w:szCs w:val="28"/>
              </w:rPr>
              <w:t>2</w:t>
            </w:r>
            <w:r>
              <w:rPr>
                <w:rFonts w:hint="eastAsia" w:eastAsia="仿宋_GB2312" w:cs="新宋体"/>
                <w:sz w:val="30"/>
                <w:szCs w:val="28"/>
              </w:rPr>
              <w:t>）【计算方法：</w:t>
            </w:r>
            <w:r>
              <w:rPr>
                <w:rFonts w:eastAsia="仿宋_GB2312" w:cs="新宋体"/>
                <w:sz w:val="30"/>
                <w:szCs w:val="28"/>
              </w:rPr>
              <w:t xml:space="preserve">   </w:t>
            </w:r>
            <w:r>
              <w:rPr>
                <w:rFonts w:hint="eastAsia" w:eastAsia="仿宋_GB2312" w:cs="新宋体"/>
                <w:sz w:val="30"/>
                <w:szCs w:val="28"/>
              </w:rPr>
              <w:t>】</w:t>
            </w:r>
          </w:p>
        </w:tc>
      </w:tr>
    </w:tbl>
    <w:p w14:paraId="6D829FF5">
      <w:pPr>
        <w:spacing w:line="560" w:lineRule="exact"/>
        <w:rPr>
          <w:rFonts w:eastAsia="仿宋_GB2312"/>
          <w:sz w:val="30"/>
          <w:szCs w:val="28"/>
        </w:rPr>
      </w:pPr>
    </w:p>
    <w:p w14:paraId="7D838BF3">
      <w:pPr>
        <w:spacing w:before="72" w:after="72" w:line="560" w:lineRule="exact"/>
        <w:rPr>
          <w:rFonts w:eastAsia="仿宋_GB2312"/>
          <w:b/>
          <w:kern w:val="0"/>
          <w:sz w:val="30"/>
          <w:szCs w:val="28"/>
        </w:rPr>
      </w:pPr>
      <w:r>
        <w:rPr>
          <w:rFonts w:hint="eastAsia" w:eastAsia="仿宋_GB2312"/>
          <w:b/>
          <w:kern w:val="0"/>
          <w:sz w:val="30"/>
          <w:szCs w:val="28"/>
        </w:rPr>
        <w:t>六、其他条款</w:t>
      </w:r>
    </w:p>
    <w:p w14:paraId="4554153B">
      <w:pPr>
        <w:pStyle w:val="107"/>
        <w:spacing w:before="118" w:line="560" w:lineRule="exact"/>
        <w:jc w:val="both"/>
        <w:rPr>
          <w:rFonts w:ascii="Times New Roman" w:hAnsi="Times New Roman" w:eastAsia="仿宋_GB2312" w:cs="新宋体"/>
          <w:b/>
          <w:bCs/>
          <w:sz w:val="30"/>
          <w:szCs w:val="28"/>
          <w:lang w:eastAsia="zh-CN"/>
        </w:rPr>
      </w:pPr>
      <w:r>
        <w:rPr>
          <w:rFonts w:hint="eastAsia" w:ascii="Times New Roman" w:hAnsi="Times New Roman" w:eastAsia="仿宋_GB2312" w:cs="新宋体"/>
          <w:b/>
          <w:bCs/>
          <w:sz w:val="30"/>
          <w:szCs w:val="28"/>
          <w:lang w:eastAsia="zh-CN"/>
        </w:rPr>
        <w:t>（一）联系方式</w:t>
      </w:r>
    </w:p>
    <w:tbl>
      <w:tblPr>
        <w:tblStyle w:val="43"/>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74"/>
        <w:gridCol w:w="4122"/>
      </w:tblGrid>
      <w:tr w14:paraId="50F67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74" w:type="dxa"/>
            <w:vAlign w:val="center"/>
          </w:tcPr>
          <w:p w14:paraId="014B5B64">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b/>
                <w:sz w:val="30"/>
                <w:szCs w:val="28"/>
                <w:lang w:eastAsia="zh-CN"/>
              </w:rPr>
              <w:t>甲方</w:t>
            </w:r>
            <w:r>
              <w:rPr>
                <w:rFonts w:hint="eastAsia" w:ascii="Times New Roman" w:hAnsi="Times New Roman" w:eastAsia="仿宋_GB2312" w:cs="新宋体"/>
                <w:sz w:val="30"/>
                <w:szCs w:val="28"/>
                <w:lang w:eastAsia="zh-CN"/>
              </w:rPr>
              <w:t>：【】</w:t>
            </w:r>
          </w:p>
        </w:tc>
        <w:tc>
          <w:tcPr>
            <w:tcW w:w="4122" w:type="dxa"/>
          </w:tcPr>
          <w:p w14:paraId="7889F1A4">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b/>
                <w:sz w:val="30"/>
                <w:szCs w:val="28"/>
                <w:lang w:eastAsia="zh-CN"/>
              </w:rPr>
              <w:t>乙方</w:t>
            </w:r>
            <w:r>
              <w:rPr>
                <w:rFonts w:hint="eastAsia" w:ascii="Times New Roman" w:hAnsi="Times New Roman" w:eastAsia="仿宋_GB2312" w:cs="新宋体"/>
                <w:sz w:val="30"/>
                <w:szCs w:val="28"/>
                <w:lang w:eastAsia="zh-CN"/>
              </w:rPr>
              <w:t>：【】</w:t>
            </w:r>
          </w:p>
        </w:tc>
      </w:tr>
      <w:tr w14:paraId="7CADA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74" w:type="dxa"/>
          </w:tcPr>
          <w:p w14:paraId="18B3881B">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地址：【】</w:t>
            </w:r>
          </w:p>
        </w:tc>
        <w:tc>
          <w:tcPr>
            <w:tcW w:w="4122" w:type="dxa"/>
          </w:tcPr>
          <w:p w14:paraId="0207367F">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地址：【】</w:t>
            </w:r>
          </w:p>
        </w:tc>
      </w:tr>
      <w:tr w14:paraId="01ED2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74" w:type="dxa"/>
          </w:tcPr>
          <w:p w14:paraId="37C550CB">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电话：【】</w:t>
            </w:r>
          </w:p>
        </w:tc>
        <w:tc>
          <w:tcPr>
            <w:tcW w:w="4122" w:type="dxa"/>
          </w:tcPr>
          <w:p w14:paraId="6B988638">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电话：【】</w:t>
            </w:r>
          </w:p>
        </w:tc>
      </w:tr>
      <w:tr w14:paraId="545FF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4174" w:type="dxa"/>
          </w:tcPr>
          <w:p w14:paraId="4712591B">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传真：【】</w:t>
            </w:r>
          </w:p>
        </w:tc>
        <w:tc>
          <w:tcPr>
            <w:tcW w:w="4122" w:type="dxa"/>
          </w:tcPr>
          <w:p w14:paraId="1CCA6694">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传真：【】</w:t>
            </w:r>
          </w:p>
        </w:tc>
      </w:tr>
      <w:tr w14:paraId="74CAE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74" w:type="dxa"/>
          </w:tcPr>
          <w:p w14:paraId="48831358">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收件人：【】</w:t>
            </w:r>
          </w:p>
        </w:tc>
        <w:tc>
          <w:tcPr>
            <w:tcW w:w="4122" w:type="dxa"/>
          </w:tcPr>
          <w:p w14:paraId="5C17B57E">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收件人：【】</w:t>
            </w:r>
          </w:p>
        </w:tc>
      </w:tr>
    </w:tbl>
    <w:p w14:paraId="2322F1F6">
      <w:pPr>
        <w:pStyle w:val="107"/>
        <w:spacing w:before="118" w:line="560" w:lineRule="exact"/>
        <w:jc w:val="both"/>
        <w:rPr>
          <w:rFonts w:ascii="Times New Roman" w:hAnsi="Times New Roman" w:eastAsia="仿宋_GB2312" w:cs="新宋体"/>
          <w:b/>
          <w:bCs/>
          <w:sz w:val="30"/>
          <w:szCs w:val="28"/>
          <w:lang w:eastAsia="zh-CN"/>
        </w:rPr>
      </w:pPr>
      <w:r>
        <w:rPr>
          <w:rFonts w:hint="eastAsia" w:ascii="Times New Roman" w:hAnsi="Times New Roman" w:eastAsia="仿宋_GB2312" w:cs="新宋体"/>
          <w:b/>
          <w:bCs/>
          <w:sz w:val="30"/>
          <w:szCs w:val="28"/>
          <w:lang w:eastAsia="zh-CN"/>
        </w:rPr>
        <w:t>（二）资金账户信息</w:t>
      </w:r>
    </w:p>
    <w:tbl>
      <w:tblPr>
        <w:tblStyle w:val="43"/>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97"/>
        <w:gridCol w:w="4099"/>
      </w:tblGrid>
      <w:tr w14:paraId="00596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7" w:type="dxa"/>
            <w:vAlign w:val="center"/>
          </w:tcPr>
          <w:p w14:paraId="34CF78BD">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b/>
                <w:sz w:val="30"/>
                <w:szCs w:val="28"/>
                <w:lang w:eastAsia="zh-CN"/>
              </w:rPr>
              <w:t>甲方</w:t>
            </w:r>
            <w:r>
              <w:rPr>
                <w:rFonts w:hint="eastAsia" w:ascii="Times New Roman" w:hAnsi="Times New Roman" w:eastAsia="仿宋_GB2312" w:cs="新宋体"/>
                <w:sz w:val="30"/>
                <w:szCs w:val="28"/>
                <w:lang w:eastAsia="zh-CN"/>
              </w:rPr>
              <w:t>账户名：【】</w:t>
            </w:r>
          </w:p>
        </w:tc>
        <w:tc>
          <w:tcPr>
            <w:tcW w:w="4099" w:type="dxa"/>
          </w:tcPr>
          <w:p w14:paraId="2C1B15AA">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b/>
                <w:sz w:val="30"/>
                <w:szCs w:val="28"/>
                <w:lang w:eastAsia="zh-CN"/>
              </w:rPr>
              <w:t>乙方</w:t>
            </w:r>
            <w:r>
              <w:rPr>
                <w:rFonts w:hint="eastAsia" w:ascii="Times New Roman" w:hAnsi="Times New Roman" w:eastAsia="仿宋_GB2312" w:cs="新宋体"/>
                <w:sz w:val="30"/>
                <w:szCs w:val="28"/>
                <w:lang w:eastAsia="zh-CN"/>
              </w:rPr>
              <w:t>账户名：【】</w:t>
            </w:r>
          </w:p>
        </w:tc>
      </w:tr>
      <w:tr w14:paraId="6E7FE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7" w:type="dxa"/>
          </w:tcPr>
          <w:p w14:paraId="68DAEF8A">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账号：【】</w:t>
            </w:r>
          </w:p>
        </w:tc>
        <w:tc>
          <w:tcPr>
            <w:tcW w:w="4099" w:type="dxa"/>
          </w:tcPr>
          <w:p w14:paraId="527E2804">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账号：【】</w:t>
            </w:r>
          </w:p>
        </w:tc>
      </w:tr>
      <w:tr w14:paraId="51B8D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7" w:type="dxa"/>
          </w:tcPr>
          <w:p w14:paraId="53231878">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开户行：【】</w:t>
            </w:r>
          </w:p>
        </w:tc>
        <w:tc>
          <w:tcPr>
            <w:tcW w:w="4099" w:type="dxa"/>
          </w:tcPr>
          <w:p w14:paraId="65B66B8B">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开户行：【】</w:t>
            </w:r>
          </w:p>
        </w:tc>
      </w:tr>
      <w:tr w14:paraId="5820A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97" w:type="dxa"/>
          </w:tcPr>
          <w:p w14:paraId="54BC0B24">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大额支付系统行号：【】</w:t>
            </w:r>
          </w:p>
        </w:tc>
        <w:tc>
          <w:tcPr>
            <w:tcW w:w="4099" w:type="dxa"/>
          </w:tcPr>
          <w:p w14:paraId="47175058">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大额支付系统行号：【】</w:t>
            </w:r>
            <w:r>
              <w:rPr>
                <w:rFonts w:ascii="Times New Roman" w:hAnsi="Times New Roman" w:eastAsia="仿宋_GB2312" w:cs="新宋体"/>
                <w:sz w:val="30"/>
                <w:szCs w:val="28"/>
                <w:lang w:eastAsia="zh-CN"/>
              </w:rPr>
              <w:t xml:space="preserve"> </w:t>
            </w:r>
          </w:p>
        </w:tc>
      </w:tr>
    </w:tbl>
    <w:p w14:paraId="410D7320">
      <w:pPr>
        <w:pStyle w:val="107"/>
        <w:spacing w:before="118" w:line="560" w:lineRule="exact"/>
        <w:jc w:val="both"/>
        <w:rPr>
          <w:rFonts w:ascii="Times New Roman" w:hAnsi="Times New Roman" w:eastAsia="仿宋_GB2312" w:cs="新宋体"/>
          <w:b/>
          <w:sz w:val="30"/>
          <w:szCs w:val="28"/>
          <w:lang w:eastAsia="zh-CN"/>
        </w:rPr>
      </w:pPr>
      <w:r>
        <w:rPr>
          <w:rFonts w:hint="eastAsia" w:ascii="Times New Roman" w:hAnsi="Times New Roman" w:eastAsia="仿宋_GB2312" w:cs="新宋体"/>
          <w:b/>
          <w:sz w:val="30"/>
          <w:szCs w:val="28"/>
          <w:lang w:eastAsia="zh-CN"/>
        </w:rPr>
        <w:t>（三）证券账户信息</w:t>
      </w:r>
    </w:p>
    <w:tbl>
      <w:tblPr>
        <w:tblStyle w:val="43"/>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97"/>
        <w:gridCol w:w="4099"/>
      </w:tblGrid>
      <w:tr w14:paraId="30FD9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7" w:type="dxa"/>
            <w:vAlign w:val="center"/>
          </w:tcPr>
          <w:p w14:paraId="22F39FA7">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b/>
                <w:sz w:val="30"/>
                <w:szCs w:val="28"/>
                <w:lang w:eastAsia="zh-CN"/>
              </w:rPr>
              <w:t>甲方</w:t>
            </w:r>
            <w:r>
              <w:rPr>
                <w:rFonts w:hint="eastAsia" w:ascii="Times New Roman" w:hAnsi="Times New Roman" w:eastAsia="仿宋_GB2312" w:cs="新宋体"/>
                <w:sz w:val="30"/>
                <w:szCs w:val="28"/>
                <w:lang w:eastAsia="zh-CN"/>
              </w:rPr>
              <w:t>账户名：【】</w:t>
            </w:r>
          </w:p>
        </w:tc>
        <w:tc>
          <w:tcPr>
            <w:tcW w:w="4099" w:type="dxa"/>
          </w:tcPr>
          <w:p w14:paraId="5D550285">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b/>
                <w:sz w:val="30"/>
                <w:szCs w:val="28"/>
                <w:lang w:eastAsia="zh-CN"/>
              </w:rPr>
              <w:t>乙方</w:t>
            </w:r>
            <w:r>
              <w:rPr>
                <w:rFonts w:hint="eastAsia" w:ascii="Times New Roman" w:hAnsi="Times New Roman" w:eastAsia="仿宋_GB2312" w:cs="新宋体"/>
                <w:sz w:val="30"/>
                <w:szCs w:val="28"/>
                <w:lang w:eastAsia="zh-CN"/>
              </w:rPr>
              <w:t>账户名：【】</w:t>
            </w:r>
          </w:p>
        </w:tc>
      </w:tr>
      <w:tr w14:paraId="11635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7" w:type="dxa"/>
          </w:tcPr>
          <w:p w14:paraId="694A5924">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账号：【】</w:t>
            </w:r>
          </w:p>
        </w:tc>
        <w:tc>
          <w:tcPr>
            <w:tcW w:w="4099" w:type="dxa"/>
          </w:tcPr>
          <w:p w14:paraId="51BDD3DA">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账号：【】</w:t>
            </w:r>
          </w:p>
        </w:tc>
      </w:tr>
      <w:tr w14:paraId="7BC30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7" w:type="dxa"/>
          </w:tcPr>
          <w:p w14:paraId="01DF8B4C">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席位号：【】</w:t>
            </w:r>
          </w:p>
        </w:tc>
        <w:tc>
          <w:tcPr>
            <w:tcW w:w="4099" w:type="dxa"/>
          </w:tcPr>
          <w:p w14:paraId="01A3255B">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席位号：</w:t>
            </w:r>
            <w:r>
              <w:rPr>
                <w:rFonts w:ascii="Times New Roman" w:hAnsi="Times New Roman" w:eastAsia="仿宋_GB2312" w:cs="新宋体"/>
                <w:sz w:val="30"/>
                <w:szCs w:val="28"/>
                <w:lang w:eastAsia="zh-CN"/>
              </w:rPr>
              <w:t xml:space="preserve"> </w:t>
            </w:r>
            <w:r>
              <w:rPr>
                <w:rFonts w:hint="eastAsia" w:ascii="Times New Roman" w:hAnsi="Times New Roman" w:eastAsia="仿宋_GB2312" w:cs="新宋体"/>
                <w:sz w:val="30"/>
                <w:szCs w:val="28"/>
                <w:lang w:eastAsia="zh-CN"/>
              </w:rPr>
              <w:t>【】</w:t>
            </w:r>
          </w:p>
        </w:tc>
      </w:tr>
    </w:tbl>
    <w:p w14:paraId="473D7DD2">
      <w:pPr>
        <w:pStyle w:val="17"/>
        <w:spacing w:before="154" w:line="560" w:lineRule="exact"/>
        <w:ind w:right="68"/>
        <w:rPr>
          <w:rFonts w:eastAsia="仿宋_GB2312" w:cs="新宋体"/>
          <w:sz w:val="30"/>
          <w:szCs w:val="28"/>
        </w:rPr>
      </w:pPr>
    </w:p>
    <w:p w14:paraId="63E95288">
      <w:pPr>
        <w:spacing w:before="72" w:after="72" w:line="560" w:lineRule="exact"/>
        <w:rPr>
          <w:rFonts w:eastAsia="仿宋_GB2312"/>
          <w:b/>
          <w:sz w:val="30"/>
          <w:szCs w:val="28"/>
        </w:rPr>
      </w:pPr>
      <w:r>
        <w:rPr>
          <w:rFonts w:hint="eastAsia" w:eastAsia="仿宋_GB2312"/>
          <w:b/>
          <w:sz w:val="30"/>
          <w:szCs w:val="28"/>
        </w:rPr>
        <w:t>七、补充条款</w:t>
      </w:r>
    </w:p>
    <w:tbl>
      <w:tblPr>
        <w:tblStyle w:val="4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730BE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6BAD8970">
            <w:pPr>
              <w:spacing w:line="560" w:lineRule="exact"/>
              <w:ind w:firstLine="360"/>
              <w:rPr>
                <w:rFonts w:eastAsia="仿宋_GB2312"/>
                <w:i/>
                <w:sz w:val="30"/>
                <w:szCs w:val="28"/>
                <w:lang w:eastAsia="en-US" w:bidi="en-US"/>
              </w:rPr>
            </w:pPr>
            <w:r>
              <w:rPr>
                <w:rFonts w:hint="eastAsia" w:eastAsia="仿宋_GB2312"/>
                <w:i/>
                <w:sz w:val="30"/>
                <w:szCs w:val="28"/>
                <w:lang w:eastAsia="en-US" w:bidi="en-US"/>
              </w:rPr>
              <w:t>补充条款可对于交易确认书内容做出补充约定（包括履约保障条款、对于定义或条款内容的另行约定等内容），但不得违反法律、行政法规、部门规章以及规范性文件</w:t>
            </w:r>
          </w:p>
          <w:p w14:paraId="63D8E23B">
            <w:pPr>
              <w:spacing w:line="560" w:lineRule="exact"/>
              <w:ind w:firstLine="360"/>
              <w:rPr>
                <w:rFonts w:eastAsia="仿宋_GB2312"/>
                <w:i/>
                <w:sz w:val="30"/>
                <w:szCs w:val="28"/>
                <w:lang w:eastAsia="en-US" w:bidi="en-US"/>
              </w:rPr>
            </w:pPr>
          </w:p>
          <w:p w14:paraId="255B8033">
            <w:pPr>
              <w:spacing w:line="560" w:lineRule="exact"/>
              <w:ind w:firstLine="360"/>
              <w:rPr>
                <w:rFonts w:eastAsia="仿宋_GB2312"/>
                <w:i/>
                <w:sz w:val="30"/>
                <w:szCs w:val="28"/>
                <w:lang w:eastAsia="en-US" w:bidi="en-US"/>
              </w:rPr>
            </w:pPr>
          </w:p>
          <w:p w14:paraId="26372A9E">
            <w:pPr>
              <w:spacing w:line="560" w:lineRule="exact"/>
              <w:ind w:firstLine="360"/>
              <w:rPr>
                <w:rFonts w:eastAsia="仿宋_GB2312"/>
                <w:i/>
                <w:sz w:val="30"/>
                <w:szCs w:val="28"/>
                <w:lang w:eastAsia="en-US" w:bidi="en-US"/>
              </w:rPr>
            </w:pPr>
          </w:p>
          <w:p w14:paraId="38261C03">
            <w:pPr>
              <w:spacing w:line="560" w:lineRule="exact"/>
              <w:ind w:firstLine="360"/>
              <w:rPr>
                <w:rFonts w:eastAsia="仿宋_GB2312"/>
                <w:i/>
                <w:sz w:val="30"/>
                <w:szCs w:val="28"/>
                <w:lang w:eastAsia="en-US" w:bidi="en-US"/>
              </w:rPr>
            </w:pPr>
          </w:p>
        </w:tc>
      </w:tr>
    </w:tbl>
    <w:p w14:paraId="0109CE4A">
      <w:pPr>
        <w:spacing w:line="560" w:lineRule="exact"/>
        <w:rPr>
          <w:rFonts w:eastAsia="仿宋_GB2312"/>
          <w:sz w:val="30"/>
          <w:szCs w:val="28"/>
        </w:rPr>
      </w:pPr>
    </w:p>
    <w:p w14:paraId="35E1E2B8">
      <w:pPr>
        <w:spacing w:before="72" w:after="72" w:line="560" w:lineRule="exact"/>
        <w:rPr>
          <w:rFonts w:eastAsia="仿宋_GB2312"/>
          <w:b/>
          <w:sz w:val="30"/>
          <w:szCs w:val="28"/>
        </w:rPr>
      </w:pPr>
      <w:r>
        <w:rPr>
          <w:rFonts w:hint="eastAsia" w:eastAsia="仿宋_GB2312"/>
          <w:b/>
          <w:sz w:val="30"/>
          <w:szCs w:val="28"/>
        </w:rPr>
        <w:t>八、与交易有关的声明与承诺条款</w:t>
      </w:r>
    </w:p>
    <w:p w14:paraId="4A00F189">
      <w:pPr>
        <w:pStyle w:val="17"/>
        <w:spacing w:before="154" w:line="560" w:lineRule="exact"/>
        <w:ind w:right="66"/>
        <w:rPr>
          <w:rFonts w:eastAsia="仿宋_GB2312" w:cs="新宋体"/>
          <w:sz w:val="30"/>
          <w:szCs w:val="28"/>
        </w:rPr>
      </w:pPr>
      <w:r>
        <w:rPr>
          <w:rFonts w:hint="eastAsia" w:eastAsia="仿宋_GB2312" w:cs="新宋体"/>
          <w:b/>
          <w:bCs/>
          <w:sz w:val="30"/>
          <w:szCs w:val="28"/>
        </w:rPr>
        <w:t>（一）一般的声明与承诺：</w:t>
      </w:r>
    </w:p>
    <w:p w14:paraId="74EEE531">
      <w:pPr>
        <w:spacing w:line="560" w:lineRule="exact"/>
        <w:ind w:right="105" w:rightChars="50" w:firstLine="584" w:firstLineChars="200"/>
        <w:rPr>
          <w:rFonts w:eastAsia="仿宋_GB2312" w:cs="新宋体"/>
          <w:sz w:val="30"/>
          <w:szCs w:val="28"/>
        </w:rPr>
      </w:pPr>
      <w:r>
        <w:rPr>
          <w:rFonts w:eastAsia="仿宋_GB2312" w:cs="新宋体"/>
          <w:spacing w:val="-4"/>
          <w:sz w:val="30"/>
          <w:szCs w:val="28"/>
        </w:rPr>
        <w:t>1</w:t>
      </w:r>
      <w:r>
        <w:rPr>
          <w:rFonts w:hint="eastAsia" w:eastAsia="仿宋_GB2312" w:cs="新宋体"/>
          <w:spacing w:val="-4"/>
          <w:sz w:val="30"/>
          <w:szCs w:val="28"/>
        </w:rPr>
        <w:t>、</w:t>
      </w:r>
      <w:r>
        <w:rPr>
          <w:rFonts w:hint="eastAsia" w:eastAsia="仿宋_GB2312" w:cs="新宋体"/>
          <w:b/>
          <w:spacing w:val="-4"/>
          <w:sz w:val="30"/>
          <w:szCs w:val="28"/>
        </w:rPr>
        <w:t>交易一方</w:t>
      </w:r>
      <w:r>
        <w:rPr>
          <w:rFonts w:hint="eastAsia" w:eastAsia="仿宋_GB2312" w:cs="新宋体"/>
          <w:spacing w:val="-4"/>
          <w:sz w:val="30"/>
          <w:szCs w:val="28"/>
        </w:rPr>
        <w:t>（包括其</w:t>
      </w:r>
      <w:r>
        <w:rPr>
          <w:rFonts w:hint="eastAsia" w:eastAsia="仿宋_GB2312" w:cs="新宋体"/>
          <w:b/>
          <w:bCs/>
          <w:spacing w:val="-4"/>
          <w:sz w:val="30"/>
          <w:szCs w:val="28"/>
        </w:rPr>
        <w:t>关联方</w:t>
      </w:r>
      <w:r>
        <w:rPr>
          <w:rFonts w:hint="eastAsia" w:eastAsia="仿宋_GB2312" w:cs="新宋体"/>
          <w:spacing w:val="-4"/>
          <w:sz w:val="30"/>
          <w:szCs w:val="28"/>
        </w:rPr>
        <w:t>）未向另一方就</w:t>
      </w:r>
      <w:r>
        <w:rPr>
          <w:rFonts w:hint="eastAsia" w:eastAsia="仿宋_GB2312" w:cs="新宋体"/>
          <w:b/>
          <w:bCs/>
          <w:spacing w:val="-4"/>
          <w:sz w:val="30"/>
          <w:szCs w:val="28"/>
        </w:rPr>
        <w:t>参考实体</w:t>
      </w:r>
      <w:r>
        <w:rPr>
          <w:rFonts w:hint="eastAsia" w:eastAsia="仿宋_GB2312" w:cs="新宋体"/>
          <w:spacing w:val="-4"/>
          <w:sz w:val="30"/>
          <w:szCs w:val="28"/>
        </w:rPr>
        <w:t>、</w:t>
      </w:r>
      <w:r>
        <w:rPr>
          <w:rFonts w:hint="eastAsia" w:eastAsia="仿宋_GB2312" w:cs="新宋体"/>
          <w:b/>
          <w:bCs/>
          <w:spacing w:val="-4"/>
          <w:sz w:val="30"/>
          <w:szCs w:val="28"/>
        </w:rPr>
        <w:t>债务</w:t>
      </w:r>
      <w:r>
        <w:rPr>
          <w:rFonts w:hint="eastAsia" w:eastAsia="仿宋_GB2312" w:cs="新宋体"/>
          <w:spacing w:val="-4"/>
          <w:sz w:val="30"/>
          <w:szCs w:val="28"/>
        </w:rPr>
        <w:t>、</w:t>
      </w:r>
      <w:r>
        <w:rPr>
          <w:rFonts w:hint="eastAsia" w:eastAsia="仿宋_GB2312" w:cs="新宋体"/>
          <w:b/>
          <w:bCs/>
          <w:spacing w:val="-4"/>
          <w:sz w:val="30"/>
          <w:szCs w:val="28"/>
        </w:rPr>
        <w:t>参考</w:t>
      </w:r>
      <w:r>
        <w:rPr>
          <w:rFonts w:hint="eastAsia" w:eastAsia="仿宋_GB2312" w:cs="新宋体"/>
          <w:b/>
          <w:bCs/>
          <w:sz w:val="30"/>
          <w:szCs w:val="28"/>
        </w:rPr>
        <w:t>债务</w:t>
      </w:r>
      <w:r>
        <w:rPr>
          <w:rFonts w:hint="eastAsia" w:eastAsia="仿宋_GB2312" w:cs="新宋体"/>
          <w:sz w:val="30"/>
          <w:szCs w:val="28"/>
        </w:rPr>
        <w:t>、</w:t>
      </w:r>
      <w:r>
        <w:rPr>
          <w:rFonts w:hint="eastAsia" w:eastAsia="仿宋_GB2312" w:cs="新宋体"/>
          <w:b/>
          <w:bCs/>
          <w:sz w:val="30"/>
          <w:szCs w:val="28"/>
        </w:rPr>
        <w:t>可交付债务</w:t>
      </w:r>
      <w:r>
        <w:rPr>
          <w:rFonts w:hint="eastAsia" w:eastAsia="仿宋_GB2312" w:cs="新宋体"/>
          <w:sz w:val="30"/>
          <w:szCs w:val="28"/>
        </w:rPr>
        <w:t>作出任何的声明或陈述。</w:t>
      </w:r>
    </w:p>
    <w:p w14:paraId="05FEE5B7">
      <w:pPr>
        <w:spacing w:before="156" w:line="560" w:lineRule="exact"/>
        <w:ind w:right="105" w:rightChars="50" w:firstLine="584" w:firstLineChars="200"/>
        <w:rPr>
          <w:rFonts w:eastAsia="仿宋_GB2312" w:cs="新宋体"/>
          <w:sz w:val="30"/>
          <w:szCs w:val="28"/>
        </w:rPr>
      </w:pPr>
      <w:r>
        <w:rPr>
          <w:rFonts w:eastAsia="仿宋_GB2312" w:cs="新宋体"/>
          <w:spacing w:val="-4"/>
          <w:sz w:val="30"/>
          <w:szCs w:val="28"/>
        </w:rPr>
        <w:t>2</w:t>
      </w:r>
      <w:r>
        <w:rPr>
          <w:rFonts w:hint="eastAsia" w:eastAsia="仿宋_GB2312" w:cs="新宋体"/>
          <w:spacing w:val="-4"/>
          <w:sz w:val="30"/>
          <w:szCs w:val="28"/>
        </w:rPr>
        <w:t>、</w:t>
      </w:r>
      <w:r>
        <w:rPr>
          <w:rFonts w:hint="eastAsia" w:eastAsia="仿宋_GB2312" w:cs="新宋体"/>
          <w:b/>
          <w:spacing w:val="-4"/>
          <w:sz w:val="30"/>
          <w:szCs w:val="28"/>
        </w:rPr>
        <w:t>交易一方</w:t>
      </w:r>
      <w:r>
        <w:rPr>
          <w:rFonts w:hint="eastAsia" w:eastAsia="仿宋_GB2312" w:cs="新宋体"/>
          <w:spacing w:val="-4"/>
          <w:sz w:val="30"/>
          <w:szCs w:val="28"/>
        </w:rPr>
        <w:t>（包括其</w:t>
      </w:r>
      <w:r>
        <w:rPr>
          <w:rFonts w:hint="eastAsia" w:eastAsia="仿宋_GB2312" w:cs="新宋体"/>
          <w:b/>
          <w:bCs/>
          <w:spacing w:val="-4"/>
          <w:sz w:val="30"/>
          <w:szCs w:val="28"/>
        </w:rPr>
        <w:t>关联方</w:t>
      </w:r>
      <w:r>
        <w:rPr>
          <w:rFonts w:hint="eastAsia" w:eastAsia="仿宋_GB2312" w:cs="新宋体"/>
          <w:spacing w:val="-4"/>
          <w:sz w:val="30"/>
          <w:szCs w:val="28"/>
        </w:rPr>
        <w:t>）均有权就</w:t>
      </w:r>
      <w:r>
        <w:rPr>
          <w:rFonts w:hint="eastAsia" w:eastAsia="仿宋_GB2312" w:cs="新宋体"/>
          <w:b/>
          <w:bCs/>
          <w:spacing w:val="-4"/>
          <w:sz w:val="30"/>
          <w:szCs w:val="28"/>
        </w:rPr>
        <w:t>债务</w:t>
      </w:r>
      <w:r>
        <w:rPr>
          <w:rFonts w:hint="eastAsia" w:eastAsia="仿宋_GB2312" w:cs="新宋体"/>
          <w:spacing w:val="-4"/>
          <w:sz w:val="30"/>
          <w:szCs w:val="28"/>
        </w:rPr>
        <w:t>、</w:t>
      </w:r>
      <w:r>
        <w:rPr>
          <w:rFonts w:hint="eastAsia" w:eastAsia="仿宋_GB2312" w:cs="新宋体"/>
          <w:b/>
          <w:bCs/>
          <w:spacing w:val="-4"/>
          <w:sz w:val="30"/>
          <w:szCs w:val="28"/>
        </w:rPr>
        <w:t>参考债务</w:t>
      </w:r>
      <w:r>
        <w:rPr>
          <w:rFonts w:hint="eastAsia" w:eastAsia="仿宋_GB2312" w:cs="新宋体"/>
          <w:spacing w:val="-4"/>
          <w:sz w:val="30"/>
          <w:szCs w:val="28"/>
        </w:rPr>
        <w:t>或</w:t>
      </w:r>
      <w:r>
        <w:rPr>
          <w:rFonts w:hint="eastAsia" w:eastAsia="仿宋_GB2312" w:cs="新宋体"/>
          <w:b/>
          <w:bCs/>
          <w:spacing w:val="-4"/>
          <w:sz w:val="30"/>
          <w:szCs w:val="28"/>
        </w:rPr>
        <w:t>可交付债务</w:t>
      </w:r>
      <w:r>
        <w:rPr>
          <w:rFonts w:hint="eastAsia" w:eastAsia="仿宋_GB2312" w:cs="新宋体"/>
          <w:spacing w:val="-4"/>
          <w:sz w:val="30"/>
          <w:szCs w:val="28"/>
        </w:rPr>
        <w:t>进行任何交易，或接受</w:t>
      </w:r>
      <w:r>
        <w:rPr>
          <w:rFonts w:hint="eastAsia" w:eastAsia="仿宋_GB2312" w:cs="新宋体"/>
          <w:b/>
          <w:bCs/>
          <w:spacing w:val="-4"/>
          <w:sz w:val="30"/>
          <w:szCs w:val="28"/>
        </w:rPr>
        <w:t>参考实体</w:t>
      </w:r>
      <w:r>
        <w:rPr>
          <w:rFonts w:hint="eastAsia" w:eastAsia="仿宋_GB2312" w:cs="新宋体"/>
          <w:spacing w:val="-4"/>
          <w:sz w:val="30"/>
          <w:szCs w:val="28"/>
        </w:rPr>
        <w:t>的存款、向其放款或与其进行任何金融或商业业务活动，不受</w:t>
      </w:r>
      <w:r>
        <w:rPr>
          <w:rFonts w:hint="eastAsia" w:eastAsia="仿宋_GB2312" w:cs="新宋体"/>
          <w:b/>
          <w:bCs/>
          <w:spacing w:val="-4"/>
          <w:sz w:val="30"/>
          <w:szCs w:val="28"/>
        </w:rPr>
        <w:t>本确认书</w:t>
      </w:r>
      <w:r>
        <w:rPr>
          <w:rFonts w:hint="eastAsia" w:eastAsia="仿宋_GB2312" w:cs="新宋体"/>
          <w:spacing w:val="-4"/>
          <w:sz w:val="30"/>
          <w:szCs w:val="28"/>
        </w:rPr>
        <w:t>项下的</w:t>
      </w:r>
      <w:r>
        <w:rPr>
          <w:rFonts w:hint="eastAsia" w:eastAsia="仿宋_GB2312" w:cs="新宋体"/>
          <w:b/>
          <w:bCs/>
          <w:spacing w:val="-4"/>
          <w:sz w:val="30"/>
          <w:szCs w:val="28"/>
        </w:rPr>
        <w:t>交易</w:t>
      </w:r>
      <w:r>
        <w:rPr>
          <w:rFonts w:hint="eastAsia" w:eastAsia="仿宋_GB2312" w:cs="新宋体"/>
          <w:spacing w:val="-4"/>
          <w:sz w:val="30"/>
          <w:szCs w:val="28"/>
        </w:rPr>
        <w:t>的影响，即使上述交易或业务活动可能对</w:t>
      </w:r>
      <w:r>
        <w:rPr>
          <w:rFonts w:hint="eastAsia" w:eastAsia="仿宋_GB2312" w:cs="新宋体"/>
          <w:b/>
          <w:bCs/>
          <w:spacing w:val="-4"/>
          <w:sz w:val="30"/>
          <w:szCs w:val="28"/>
        </w:rPr>
        <w:t>参考实体</w:t>
      </w:r>
      <w:r>
        <w:rPr>
          <w:rFonts w:hint="eastAsia" w:eastAsia="仿宋_GB2312" w:cs="新宋体"/>
          <w:spacing w:val="-4"/>
          <w:sz w:val="30"/>
          <w:szCs w:val="28"/>
        </w:rPr>
        <w:t>或另一方在</w:t>
      </w:r>
      <w:r>
        <w:rPr>
          <w:rFonts w:hint="eastAsia" w:eastAsia="仿宋_GB2312" w:cs="新宋体"/>
          <w:b/>
          <w:bCs/>
          <w:spacing w:val="-4"/>
          <w:sz w:val="30"/>
          <w:szCs w:val="28"/>
        </w:rPr>
        <w:t>本确认书</w:t>
      </w:r>
      <w:r>
        <w:rPr>
          <w:rFonts w:hint="eastAsia" w:eastAsia="仿宋_GB2312" w:cs="新宋体"/>
          <w:spacing w:val="-4"/>
          <w:sz w:val="30"/>
          <w:szCs w:val="28"/>
        </w:rPr>
        <w:t>项下的</w:t>
      </w:r>
      <w:r>
        <w:rPr>
          <w:rFonts w:hint="eastAsia" w:eastAsia="仿宋_GB2312" w:cs="新宋体"/>
          <w:b/>
          <w:bCs/>
          <w:spacing w:val="-4"/>
          <w:sz w:val="30"/>
          <w:szCs w:val="28"/>
        </w:rPr>
        <w:t>交易</w:t>
      </w:r>
      <w:r>
        <w:rPr>
          <w:rFonts w:hint="eastAsia" w:eastAsia="仿宋_GB2312" w:cs="新宋体"/>
          <w:spacing w:val="-4"/>
          <w:sz w:val="30"/>
          <w:szCs w:val="28"/>
        </w:rPr>
        <w:t>所涉及的权利义务产生不利影响（包括但不限于任何可能构成或产</w:t>
      </w:r>
      <w:r>
        <w:rPr>
          <w:rFonts w:hint="eastAsia" w:eastAsia="仿宋_GB2312" w:cs="新宋体"/>
          <w:sz w:val="30"/>
          <w:szCs w:val="28"/>
        </w:rPr>
        <w:t>生一项</w:t>
      </w:r>
      <w:r>
        <w:rPr>
          <w:rFonts w:hint="eastAsia" w:eastAsia="仿宋_GB2312" w:cs="新宋体"/>
          <w:b/>
          <w:bCs/>
          <w:sz w:val="30"/>
          <w:szCs w:val="28"/>
        </w:rPr>
        <w:t>信用事件</w:t>
      </w:r>
      <w:r>
        <w:rPr>
          <w:rFonts w:hint="eastAsia" w:eastAsia="仿宋_GB2312" w:cs="新宋体"/>
          <w:sz w:val="30"/>
          <w:szCs w:val="28"/>
        </w:rPr>
        <w:t>的行为）。</w:t>
      </w:r>
    </w:p>
    <w:p w14:paraId="4EA3538A">
      <w:pPr>
        <w:spacing w:before="128" w:line="560" w:lineRule="exact"/>
        <w:ind w:right="105" w:rightChars="50" w:firstLine="600" w:firstLineChars="200"/>
        <w:rPr>
          <w:rFonts w:eastAsia="仿宋_GB2312" w:cs="新宋体"/>
          <w:sz w:val="30"/>
          <w:szCs w:val="28"/>
        </w:rPr>
      </w:pPr>
      <w:r>
        <w:rPr>
          <w:rFonts w:eastAsia="仿宋_GB2312" w:cs="新宋体"/>
          <w:sz w:val="30"/>
          <w:szCs w:val="28"/>
        </w:rPr>
        <w:t>3</w:t>
      </w:r>
      <w:r>
        <w:rPr>
          <w:rFonts w:hint="eastAsia" w:eastAsia="仿宋_GB2312" w:cs="新宋体"/>
          <w:sz w:val="30"/>
          <w:szCs w:val="28"/>
        </w:rPr>
        <w:t>、</w:t>
      </w:r>
      <w:r>
        <w:rPr>
          <w:rFonts w:hint="eastAsia" w:eastAsia="仿宋_GB2312" w:cs="新宋体"/>
          <w:b/>
          <w:sz w:val="30"/>
          <w:szCs w:val="28"/>
        </w:rPr>
        <w:t>交易一方</w:t>
      </w:r>
      <w:r>
        <w:rPr>
          <w:rFonts w:hint="eastAsia" w:eastAsia="仿宋_GB2312" w:cs="新宋体"/>
          <w:sz w:val="30"/>
          <w:szCs w:val="28"/>
        </w:rPr>
        <w:t>（包括其</w:t>
      </w:r>
      <w:r>
        <w:rPr>
          <w:rFonts w:hint="eastAsia" w:eastAsia="仿宋_GB2312" w:cs="新宋体"/>
          <w:b/>
          <w:bCs/>
          <w:sz w:val="30"/>
          <w:szCs w:val="28"/>
        </w:rPr>
        <w:t>关联方</w:t>
      </w:r>
      <w:r>
        <w:rPr>
          <w:rFonts w:hint="eastAsia" w:eastAsia="仿宋_GB2312" w:cs="新宋体"/>
          <w:sz w:val="30"/>
          <w:szCs w:val="28"/>
        </w:rPr>
        <w:t>）均有权在</w:t>
      </w:r>
      <w:r>
        <w:rPr>
          <w:rFonts w:hint="eastAsia" w:eastAsia="仿宋_GB2312" w:cs="新宋体"/>
          <w:b/>
          <w:bCs/>
          <w:sz w:val="30"/>
          <w:szCs w:val="28"/>
        </w:rPr>
        <w:t>签署日</w:t>
      </w:r>
      <w:r>
        <w:rPr>
          <w:rFonts w:hint="eastAsia" w:eastAsia="仿宋_GB2312" w:cs="新宋体"/>
          <w:sz w:val="30"/>
          <w:szCs w:val="28"/>
        </w:rPr>
        <w:t>后获取</w:t>
      </w:r>
      <w:r>
        <w:rPr>
          <w:rFonts w:hint="eastAsia" w:eastAsia="仿宋_GB2312" w:cs="新宋体"/>
          <w:spacing w:val="-4"/>
          <w:sz w:val="30"/>
          <w:szCs w:val="28"/>
        </w:rPr>
        <w:t>或掌握与</w:t>
      </w:r>
      <w:r>
        <w:rPr>
          <w:rFonts w:hint="eastAsia" w:eastAsia="仿宋_GB2312" w:cs="新宋体"/>
          <w:b/>
          <w:bCs/>
          <w:spacing w:val="-4"/>
          <w:sz w:val="30"/>
          <w:szCs w:val="28"/>
        </w:rPr>
        <w:t>参考实体</w:t>
      </w:r>
      <w:r>
        <w:rPr>
          <w:rFonts w:hint="eastAsia" w:eastAsia="仿宋_GB2312" w:cs="新宋体"/>
          <w:spacing w:val="-4"/>
          <w:sz w:val="30"/>
          <w:szCs w:val="28"/>
        </w:rPr>
        <w:t>有关的信息，该信息可能与</w:t>
      </w:r>
      <w:r>
        <w:rPr>
          <w:rFonts w:hint="eastAsia" w:eastAsia="仿宋_GB2312" w:cs="新宋体"/>
          <w:b/>
          <w:bCs/>
          <w:spacing w:val="-4"/>
          <w:sz w:val="30"/>
          <w:szCs w:val="28"/>
        </w:rPr>
        <w:t>交易</w:t>
      </w:r>
      <w:r>
        <w:rPr>
          <w:rFonts w:hint="eastAsia" w:eastAsia="仿宋_GB2312" w:cs="新宋体"/>
          <w:spacing w:val="-4"/>
          <w:sz w:val="30"/>
          <w:szCs w:val="28"/>
        </w:rPr>
        <w:t>有关且不为公众或另一方所知悉，但该方没有义务向另一方披露该</w:t>
      </w:r>
      <w:r>
        <w:rPr>
          <w:rFonts w:hint="eastAsia" w:eastAsia="仿宋_GB2312" w:cs="新宋体"/>
          <w:sz w:val="30"/>
          <w:szCs w:val="28"/>
        </w:rPr>
        <w:t>信息（无论其是否为保密信息）。</w:t>
      </w:r>
    </w:p>
    <w:p w14:paraId="1B669AEB">
      <w:pPr>
        <w:pStyle w:val="17"/>
        <w:spacing w:before="154" w:line="560" w:lineRule="exact"/>
        <w:rPr>
          <w:rFonts w:eastAsia="仿宋_GB2312" w:cs="新宋体"/>
          <w:sz w:val="30"/>
          <w:szCs w:val="28"/>
        </w:rPr>
      </w:pPr>
      <w:r>
        <w:rPr>
          <w:rFonts w:hint="eastAsia" w:eastAsia="仿宋_GB2312" w:cs="新宋体"/>
          <w:b/>
          <w:bCs/>
          <w:sz w:val="30"/>
          <w:szCs w:val="28"/>
        </w:rPr>
        <w:t>（二）与实物结算有关的声明与承诺：</w:t>
      </w:r>
    </w:p>
    <w:p w14:paraId="05EA314D">
      <w:pPr>
        <w:spacing w:before="156" w:line="560" w:lineRule="exact"/>
        <w:ind w:right="105" w:rightChars="50" w:firstLine="584" w:firstLineChars="200"/>
        <w:rPr>
          <w:rFonts w:eastAsia="仿宋_GB2312" w:cs="新宋体"/>
          <w:sz w:val="30"/>
          <w:szCs w:val="28"/>
        </w:rPr>
      </w:pPr>
      <w:r>
        <w:rPr>
          <w:rFonts w:eastAsia="仿宋_GB2312" w:cs="新宋体"/>
          <w:spacing w:val="-4"/>
          <w:sz w:val="30"/>
          <w:szCs w:val="28"/>
        </w:rPr>
        <w:t>1</w:t>
      </w:r>
      <w:r>
        <w:rPr>
          <w:rFonts w:hint="eastAsia" w:eastAsia="仿宋_GB2312" w:cs="新宋体"/>
          <w:spacing w:val="-4"/>
          <w:sz w:val="30"/>
          <w:szCs w:val="28"/>
        </w:rPr>
        <w:t>、若</w:t>
      </w:r>
      <w:r>
        <w:rPr>
          <w:rFonts w:hint="eastAsia" w:eastAsia="仿宋_GB2312" w:cs="新宋体"/>
          <w:b/>
          <w:bCs/>
          <w:spacing w:val="-4"/>
          <w:sz w:val="30"/>
          <w:szCs w:val="28"/>
        </w:rPr>
        <w:t>信用保护买方</w:t>
      </w:r>
      <w:r>
        <w:rPr>
          <w:rFonts w:hint="eastAsia" w:eastAsia="仿宋_GB2312" w:cs="新宋体"/>
          <w:spacing w:val="-4"/>
          <w:sz w:val="30"/>
          <w:szCs w:val="28"/>
        </w:rPr>
        <w:t>向</w:t>
      </w:r>
      <w:r>
        <w:rPr>
          <w:rFonts w:hint="eastAsia" w:eastAsia="仿宋_GB2312" w:cs="新宋体"/>
          <w:b/>
          <w:bCs/>
          <w:spacing w:val="-4"/>
          <w:sz w:val="30"/>
          <w:szCs w:val="28"/>
        </w:rPr>
        <w:t>信用保护卖方交割</w:t>
      </w:r>
      <w:r>
        <w:rPr>
          <w:rFonts w:hint="eastAsia" w:eastAsia="仿宋_GB2312" w:cs="新宋体"/>
          <w:spacing w:val="-4"/>
          <w:sz w:val="30"/>
          <w:szCs w:val="28"/>
        </w:rPr>
        <w:t>的</w:t>
      </w:r>
      <w:r>
        <w:rPr>
          <w:rFonts w:hint="eastAsia" w:eastAsia="仿宋_GB2312" w:cs="新宋体"/>
          <w:b/>
          <w:bCs/>
          <w:spacing w:val="-4"/>
          <w:sz w:val="30"/>
          <w:szCs w:val="28"/>
        </w:rPr>
        <w:t>可交付债务</w:t>
      </w:r>
      <w:r>
        <w:rPr>
          <w:rFonts w:hint="eastAsia" w:eastAsia="仿宋_GB2312" w:cs="新宋体"/>
          <w:spacing w:val="-4"/>
          <w:sz w:val="30"/>
          <w:szCs w:val="28"/>
        </w:rPr>
        <w:t>在所有权方面</w:t>
      </w:r>
      <w:r>
        <w:rPr>
          <w:rFonts w:eastAsia="仿宋_GB2312" w:cs="新宋体"/>
          <w:spacing w:val="-111"/>
          <w:sz w:val="30"/>
          <w:szCs w:val="28"/>
        </w:rPr>
        <w:t xml:space="preserve"> </w:t>
      </w:r>
      <w:r>
        <w:rPr>
          <w:rFonts w:hint="eastAsia" w:eastAsia="仿宋_GB2312" w:cs="新宋体"/>
          <w:spacing w:val="-4"/>
          <w:sz w:val="30"/>
          <w:szCs w:val="28"/>
        </w:rPr>
        <w:t>存在瑕疵，或受限于任何担保物权、请求权、其他权利负担或第三方权益（但</w:t>
      </w:r>
      <w:r>
        <w:rPr>
          <w:rFonts w:hint="eastAsia" w:eastAsia="仿宋_GB2312" w:cs="新宋体"/>
          <w:b/>
          <w:bCs/>
          <w:spacing w:val="-4"/>
          <w:sz w:val="30"/>
          <w:szCs w:val="28"/>
        </w:rPr>
        <w:t>参考实体</w:t>
      </w:r>
      <w:r>
        <w:rPr>
          <w:rFonts w:hint="eastAsia" w:eastAsia="仿宋_GB2312" w:cs="新宋体"/>
          <w:spacing w:val="-4"/>
          <w:sz w:val="30"/>
          <w:szCs w:val="28"/>
        </w:rPr>
        <w:t>享有的或可行使的抵销权除外），则应赔偿由此给</w:t>
      </w:r>
      <w:r>
        <w:rPr>
          <w:rFonts w:hint="eastAsia" w:eastAsia="仿宋_GB2312" w:cs="新宋体"/>
          <w:b/>
          <w:bCs/>
          <w:spacing w:val="-4"/>
          <w:sz w:val="30"/>
          <w:szCs w:val="28"/>
        </w:rPr>
        <w:t>信用保护卖方</w:t>
      </w:r>
      <w:r>
        <w:rPr>
          <w:rFonts w:hint="eastAsia" w:eastAsia="仿宋_GB2312" w:cs="新宋体"/>
          <w:spacing w:val="-4"/>
          <w:sz w:val="30"/>
          <w:szCs w:val="28"/>
        </w:rPr>
        <w:t>造成的直接损失，除非</w:t>
      </w:r>
      <w:r>
        <w:rPr>
          <w:rFonts w:hint="eastAsia" w:eastAsia="仿宋_GB2312" w:cs="新宋体"/>
          <w:b/>
          <w:bCs/>
          <w:spacing w:val="-4"/>
          <w:sz w:val="30"/>
          <w:szCs w:val="28"/>
        </w:rPr>
        <w:t>信用保护买方</w:t>
      </w:r>
      <w:r>
        <w:rPr>
          <w:rFonts w:hint="eastAsia" w:eastAsia="仿宋_GB2312" w:cs="新宋体"/>
          <w:spacing w:val="-4"/>
          <w:sz w:val="30"/>
          <w:szCs w:val="28"/>
        </w:rPr>
        <w:t>能够</w:t>
      </w:r>
      <w:r>
        <w:rPr>
          <w:rFonts w:hint="eastAsia" w:eastAsia="仿宋_GB2312" w:cs="新宋体"/>
          <w:spacing w:val="4"/>
          <w:sz w:val="30"/>
          <w:szCs w:val="28"/>
        </w:rPr>
        <w:t>证明其已采取合理可行的措施对该</w:t>
      </w:r>
      <w:r>
        <w:rPr>
          <w:rFonts w:hint="eastAsia" w:eastAsia="仿宋_GB2312" w:cs="新宋体"/>
          <w:b/>
          <w:bCs/>
          <w:spacing w:val="4"/>
          <w:sz w:val="30"/>
          <w:szCs w:val="28"/>
        </w:rPr>
        <w:t>可交付债务</w:t>
      </w:r>
      <w:r>
        <w:rPr>
          <w:rFonts w:hint="eastAsia" w:eastAsia="仿宋_GB2312" w:cs="新宋体"/>
          <w:spacing w:val="4"/>
          <w:sz w:val="30"/>
          <w:szCs w:val="28"/>
        </w:rPr>
        <w:t>进行了调查与核</w:t>
      </w:r>
      <w:r>
        <w:rPr>
          <w:rFonts w:hint="eastAsia" w:eastAsia="仿宋_GB2312" w:cs="新宋体"/>
          <w:spacing w:val="-4"/>
          <w:sz w:val="30"/>
          <w:szCs w:val="28"/>
        </w:rPr>
        <w:t>实。该赔偿义务在</w:t>
      </w:r>
      <w:r>
        <w:rPr>
          <w:rFonts w:hint="eastAsia" w:eastAsia="仿宋_GB2312" w:cs="新宋体"/>
          <w:b/>
          <w:bCs/>
          <w:spacing w:val="-4"/>
          <w:sz w:val="30"/>
          <w:szCs w:val="28"/>
        </w:rPr>
        <w:t>本确认书</w:t>
      </w:r>
      <w:r>
        <w:rPr>
          <w:rFonts w:hint="eastAsia" w:eastAsia="仿宋_GB2312" w:cs="新宋体"/>
          <w:spacing w:val="-4"/>
          <w:sz w:val="30"/>
          <w:szCs w:val="28"/>
        </w:rPr>
        <w:t>项下的</w:t>
      </w:r>
      <w:r>
        <w:rPr>
          <w:rFonts w:hint="eastAsia" w:eastAsia="仿宋_GB2312" w:cs="新宋体"/>
          <w:b/>
          <w:bCs/>
          <w:spacing w:val="-4"/>
          <w:sz w:val="30"/>
          <w:szCs w:val="28"/>
        </w:rPr>
        <w:t>交易</w:t>
      </w:r>
      <w:r>
        <w:rPr>
          <w:rFonts w:hint="eastAsia" w:eastAsia="仿宋_GB2312" w:cs="新宋体"/>
          <w:spacing w:val="-4"/>
          <w:sz w:val="30"/>
          <w:szCs w:val="28"/>
        </w:rPr>
        <w:t>的</w:t>
      </w:r>
      <w:r>
        <w:rPr>
          <w:rFonts w:hint="eastAsia" w:eastAsia="仿宋_GB2312" w:cs="新宋体"/>
          <w:b/>
          <w:bCs/>
          <w:spacing w:val="-4"/>
          <w:sz w:val="30"/>
          <w:szCs w:val="28"/>
        </w:rPr>
        <w:t>到期日</w:t>
      </w:r>
      <w:r>
        <w:rPr>
          <w:rFonts w:hint="eastAsia" w:eastAsia="仿宋_GB2312" w:cs="新宋体"/>
          <w:spacing w:val="-4"/>
          <w:sz w:val="30"/>
          <w:szCs w:val="28"/>
        </w:rPr>
        <w:t>之后仍然有效。但是，</w:t>
      </w:r>
      <w:r>
        <w:rPr>
          <w:rFonts w:hint="eastAsia" w:eastAsia="仿宋_GB2312" w:cs="新宋体"/>
          <w:b/>
          <w:bCs/>
          <w:spacing w:val="-4"/>
          <w:sz w:val="30"/>
          <w:szCs w:val="28"/>
        </w:rPr>
        <w:t>信用保护</w:t>
      </w:r>
      <w:r>
        <w:rPr>
          <w:rFonts w:hint="eastAsia" w:eastAsia="仿宋_GB2312" w:cs="新宋体"/>
          <w:b/>
          <w:bCs/>
          <w:spacing w:val="4"/>
          <w:sz w:val="30"/>
          <w:szCs w:val="28"/>
        </w:rPr>
        <w:t>买方</w:t>
      </w:r>
      <w:r>
        <w:rPr>
          <w:rFonts w:hint="eastAsia" w:eastAsia="仿宋_GB2312" w:cs="新宋体"/>
          <w:spacing w:val="4"/>
          <w:sz w:val="30"/>
          <w:szCs w:val="28"/>
        </w:rPr>
        <w:t>未能满足上述要求不视为构成了其在</w:t>
      </w:r>
      <w:r>
        <w:rPr>
          <w:rFonts w:hint="eastAsia" w:eastAsia="仿宋_GB2312" w:cs="新宋体"/>
          <w:b/>
          <w:bCs/>
          <w:spacing w:val="4"/>
          <w:sz w:val="30"/>
          <w:szCs w:val="28"/>
        </w:rPr>
        <w:t>本确认书</w:t>
      </w:r>
      <w:r>
        <w:rPr>
          <w:rFonts w:hint="eastAsia" w:eastAsia="仿宋_GB2312" w:cs="新宋体"/>
          <w:spacing w:val="4"/>
          <w:sz w:val="30"/>
          <w:szCs w:val="28"/>
        </w:rPr>
        <w:t>项下的</w:t>
      </w:r>
      <w:r>
        <w:rPr>
          <w:rFonts w:hint="eastAsia" w:eastAsia="仿宋_GB2312" w:cs="新宋体"/>
          <w:sz w:val="30"/>
          <w:szCs w:val="28"/>
        </w:rPr>
        <w:t>一个</w:t>
      </w:r>
      <w:r>
        <w:rPr>
          <w:rFonts w:hint="eastAsia" w:eastAsia="仿宋_GB2312" w:cs="新宋体"/>
          <w:b/>
          <w:sz w:val="30"/>
          <w:szCs w:val="28"/>
        </w:rPr>
        <w:t>违约事件</w:t>
      </w:r>
      <w:r>
        <w:rPr>
          <w:rFonts w:hint="eastAsia" w:eastAsia="仿宋_GB2312" w:cs="新宋体"/>
          <w:sz w:val="30"/>
          <w:szCs w:val="28"/>
        </w:rPr>
        <w:t>。</w:t>
      </w:r>
    </w:p>
    <w:p w14:paraId="6B624377">
      <w:pPr>
        <w:spacing w:before="185" w:line="560" w:lineRule="exact"/>
        <w:ind w:right="105" w:rightChars="50" w:firstLine="584" w:firstLineChars="200"/>
        <w:rPr>
          <w:rFonts w:eastAsia="仿宋_GB2312" w:cs="新宋体"/>
          <w:sz w:val="30"/>
          <w:szCs w:val="28"/>
        </w:rPr>
      </w:pPr>
      <w:r>
        <w:rPr>
          <w:rFonts w:eastAsia="仿宋_GB2312" w:cs="新宋体"/>
          <w:spacing w:val="-4"/>
          <w:sz w:val="30"/>
          <w:szCs w:val="28"/>
        </w:rPr>
        <w:t>2</w:t>
      </w:r>
      <w:r>
        <w:rPr>
          <w:rFonts w:hint="eastAsia" w:eastAsia="仿宋_GB2312" w:cs="新宋体"/>
          <w:spacing w:val="-4"/>
          <w:sz w:val="30"/>
          <w:szCs w:val="28"/>
        </w:rPr>
        <w:t>、</w:t>
      </w:r>
      <w:r>
        <w:rPr>
          <w:rFonts w:hint="eastAsia" w:eastAsia="仿宋_GB2312" w:cs="新宋体"/>
          <w:b/>
          <w:bCs/>
          <w:spacing w:val="-4"/>
          <w:sz w:val="30"/>
          <w:szCs w:val="28"/>
        </w:rPr>
        <w:t>信用保护买方交割</w:t>
      </w:r>
      <w:r>
        <w:rPr>
          <w:rFonts w:hint="eastAsia" w:eastAsia="仿宋_GB2312" w:cs="新宋体"/>
          <w:spacing w:val="-4"/>
          <w:sz w:val="30"/>
          <w:szCs w:val="28"/>
        </w:rPr>
        <w:t>给</w:t>
      </w:r>
      <w:r>
        <w:rPr>
          <w:rFonts w:hint="eastAsia" w:eastAsia="仿宋_GB2312" w:cs="新宋体"/>
          <w:b/>
          <w:bCs/>
          <w:spacing w:val="-4"/>
          <w:sz w:val="30"/>
          <w:szCs w:val="28"/>
        </w:rPr>
        <w:t>信用保护卖方</w:t>
      </w:r>
      <w:r>
        <w:rPr>
          <w:rFonts w:hint="eastAsia" w:eastAsia="仿宋_GB2312" w:cs="新宋体"/>
          <w:spacing w:val="-4"/>
          <w:sz w:val="30"/>
          <w:szCs w:val="28"/>
        </w:rPr>
        <w:t>的</w:t>
      </w:r>
      <w:r>
        <w:rPr>
          <w:rFonts w:hint="eastAsia" w:eastAsia="仿宋_GB2312" w:cs="新宋体"/>
          <w:b/>
          <w:bCs/>
          <w:spacing w:val="-4"/>
          <w:sz w:val="30"/>
          <w:szCs w:val="28"/>
        </w:rPr>
        <w:t>可交付债务</w:t>
      </w:r>
      <w:r>
        <w:rPr>
          <w:rFonts w:hint="eastAsia" w:eastAsia="仿宋_GB2312" w:cs="新宋体"/>
          <w:spacing w:val="-4"/>
          <w:sz w:val="30"/>
          <w:szCs w:val="28"/>
        </w:rPr>
        <w:t>不得要求</w:t>
      </w:r>
      <w:r>
        <w:rPr>
          <w:rFonts w:hint="eastAsia" w:eastAsia="仿宋_GB2312" w:cs="新宋体"/>
          <w:b/>
          <w:bCs/>
          <w:spacing w:val="-4"/>
          <w:sz w:val="30"/>
          <w:szCs w:val="28"/>
        </w:rPr>
        <w:t>信用保</w:t>
      </w:r>
      <w:r>
        <w:rPr>
          <w:rFonts w:hint="eastAsia" w:eastAsia="仿宋_GB2312" w:cs="新宋体"/>
          <w:b/>
          <w:bCs/>
          <w:spacing w:val="4"/>
          <w:sz w:val="30"/>
          <w:szCs w:val="28"/>
        </w:rPr>
        <w:t>护卖方</w:t>
      </w:r>
      <w:r>
        <w:rPr>
          <w:rFonts w:hint="eastAsia" w:eastAsia="仿宋_GB2312" w:cs="新宋体"/>
          <w:spacing w:val="4"/>
          <w:sz w:val="30"/>
          <w:szCs w:val="28"/>
        </w:rPr>
        <w:t>对</w:t>
      </w:r>
      <w:r>
        <w:rPr>
          <w:rFonts w:hint="eastAsia" w:eastAsia="仿宋_GB2312" w:cs="新宋体"/>
          <w:b/>
          <w:bCs/>
          <w:spacing w:val="4"/>
          <w:sz w:val="30"/>
          <w:szCs w:val="28"/>
        </w:rPr>
        <w:t>参考实体</w:t>
      </w:r>
      <w:r>
        <w:rPr>
          <w:rFonts w:hint="eastAsia" w:eastAsia="仿宋_GB2312" w:cs="新宋体"/>
          <w:spacing w:val="4"/>
          <w:sz w:val="30"/>
          <w:szCs w:val="28"/>
        </w:rPr>
        <w:t>承诺提供任何后续资金（包括或有的资金承</w:t>
      </w:r>
      <w:r>
        <w:rPr>
          <w:rFonts w:hint="eastAsia" w:eastAsia="仿宋_GB2312" w:cs="新宋体"/>
          <w:sz w:val="30"/>
          <w:szCs w:val="28"/>
        </w:rPr>
        <w:t>诺），或对</w:t>
      </w:r>
      <w:r>
        <w:rPr>
          <w:rFonts w:hint="eastAsia" w:eastAsia="仿宋_GB2312" w:cs="新宋体"/>
          <w:b/>
          <w:bCs/>
          <w:sz w:val="30"/>
          <w:szCs w:val="28"/>
        </w:rPr>
        <w:t>参考实体</w:t>
      </w:r>
      <w:r>
        <w:rPr>
          <w:rFonts w:hint="eastAsia" w:eastAsia="仿宋_GB2312" w:cs="新宋体"/>
          <w:sz w:val="30"/>
          <w:szCs w:val="28"/>
        </w:rPr>
        <w:t>负有任何支付款项的义务。</w:t>
      </w:r>
    </w:p>
    <w:p w14:paraId="6B0041A9">
      <w:pPr>
        <w:spacing w:before="156" w:line="560" w:lineRule="exact"/>
        <w:ind w:right="105" w:rightChars="50" w:firstLine="584" w:firstLineChars="200"/>
        <w:rPr>
          <w:rFonts w:eastAsia="仿宋_GB2312" w:cs="新宋体"/>
          <w:sz w:val="30"/>
          <w:szCs w:val="28"/>
        </w:rPr>
      </w:pPr>
      <w:r>
        <w:rPr>
          <w:rFonts w:eastAsia="仿宋_GB2312" w:cs="新宋体"/>
          <w:spacing w:val="-4"/>
          <w:sz w:val="30"/>
          <w:szCs w:val="28"/>
        </w:rPr>
        <w:t>3</w:t>
      </w:r>
      <w:r>
        <w:rPr>
          <w:rFonts w:hint="eastAsia" w:eastAsia="仿宋_GB2312" w:cs="新宋体"/>
          <w:spacing w:val="-4"/>
          <w:sz w:val="30"/>
          <w:szCs w:val="28"/>
        </w:rPr>
        <w:t>、</w:t>
      </w:r>
      <w:r>
        <w:rPr>
          <w:rFonts w:hint="eastAsia" w:eastAsia="仿宋_GB2312" w:cs="新宋体"/>
          <w:b/>
          <w:bCs/>
          <w:spacing w:val="-4"/>
          <w:sz w:val="30"/>
          <w:szCs w:val="28"/>
        </w:rPr>
        <w:t>信用</w:t>
      </w:r>
      <w:r>
        <w:rPr>
          <w:rFonts w:hint="eastAsia" w:eastAsia="仿宋_GB2312" w:cs="新宋体"/>
          <w:b/>
          <w:bCs/>
          <w:spacing w:val="-4"/>
          <w:sz w:val="30"/>
          <w:szCs w:val="28"/>
          <w:lang w:eastAsia="zh-CN"/>
        </w:rPr>
        <w:t>保</w:t>
      </w:r>
      <w:r>
        <w:rPr>
          <w:rFonts w:hint="eastAsia" w:eastAsia="仿宋_GB2312" w:cs="新宋体"/>
          <w:b/>
          <w:bCs/>
          <w:spacing w:val="-4"/>
          <w:sz w:val="30"/>
          <w:szCs w:val="28"/>
        </w:rPr>
        <w:t>护买方</w:t>
      </w:r>
      <w:r>
        <w:rPr>
          <w:rFonts w:hint="eastAsia" w:eastAsia="仿宋_GB2312" w:cs="新宋体"/>
          <w:spacing w:val="-4"/>
          <w:sz w:val="30"/>
          <w:szCs w:val="28"/>
        </w:rPr>
        <w:t>无法在</w:t>
      </w:r>
      <w:r>
        <w:rPr>
          <w:rFonts w:hint="eastAsia" w:eastAsia="仿宋_GB2312" w:cs="新宋体"/>
          <w:b/>
          <w:bCs/>
          <w:spacing w:val="-4"/>
          <w:sz w:val="30"/>
          <w:szCs w:val="28"/>
        </w:rPr>
        <w:t>实物交割期间</w:t>
      </w:r>
      <w:r>
        <w:rPr>
          <w:rFonts w:hint="eastAsia" w:eastAsia="仿宋_GB2312" w:cs="新宋体"/>
          <w:spacing w:val="-4"/>
          <w:sz w:val="30"/>
          <w:szCs w:val="28"/>
        </w:rPr>
        <w:t>内将</w:t>
      </w:r>
      <w:r>
        <w:rPr>
          <w:rFonts w:hint="eastAsia" w:eastAsia="仿宋_GB2312" w:cs="新宋体"/>
          <w:b/>
          <w:bCs/>
          <w:spacing w:val="-4"/>
          <w:sz w:val="30"/>
          <w:szCs w:val="28"/>
        </w:rPr>
        <w:t>可交付债务交割</w:t>
      </w:r>
      <w:r>
        <w:rPr>
          <w:rFonts w:hint="eastAsia" w:eastAsia="仿宋_GB2312" w:cs="新宋体"/>
          <w:spacing w:val="-4"/>
          <w:sz w:val="30"/>
          <w:szCs w:val="28"/>
        </w:rPr>
        <w:t>给</w:t>
      </w:r>
      <w:r>
        <w:rPr>
          <w:rFonts w:hint="eastAsia" w:eastAsia="仿宋_GB2312" w:cs="新宋体"/>
          <w:b/>
          <w:bCs/>
          <w:spacing w:val="-4"/>
          <w:sz w:val="30"/>
          <w:szCs w:val="28"/>
        </w:rPr>
        <w:t>信用</w:t>
      </w:r>
      <w:r>
        <w:rPr>
          <w:rFonts w:hint="eastAsia" w:eastAsia="仿宋_GB2312" w:cs="新宋体"/>
          <w:b/>
          <w:bCs/>
          <w:spacing w:val="-4"/>
          <w:sz w:val="30"/>
          <w:szCs w:val="28"/>
          <w:lang w:eastAsia="zh-CN"/>
        </w:rPr>
        <w:t>保</w:t>
      </w:r>
      <w:r>
        <w:rPr>
          <w:rFonts w:hint="eastAsia" w:eastAsia="仿宋_GB2312" w:cs="新宋体"/>
          <w:b/>
          <w:bCs/>
          <w:sz w:val="30"/>
          <w:szCs w:val="28"/>
        </w:rPr>
        <w:t>护卖方</w:t>
      </w:r>
      <w:r>
        <w:rPr>
          <w:rFonts w:hint="eastAsia" w:eastAsia="仿宋_GB2312" w:cs="新宋体"/>
          <w:sz w:val="30"/>
          <w:szCs w:val="28"/>
        </w:rPr>
        <w:t>不构成其在</w:t>
      </w:r>
      <w:r>
        <w:rPr>
          <w:rFonts w:hint="eastAsia" w:eastAsia="仿宋_GB2312" w:cs="新宋体"/>
          <w:b/>
          <w:bCs/>
          <w:sz w:val="30"/>
          <w:szCs w:val="28"/>
        </w:rPr>
        <w:t>本确认书</w:t>
      </w:r>
      <w:r>
        <w:rPr>
          <w:rFonts w:hint="eastAsia" w:eastAsia="仿宋_GB2312" w:cs="新宋体"/>
          <w:sz w:val="30"/>
          <w:szCs w:val="28"/>
        </w:rPr>
        <w:t>项下的一个</w:t>
      </w:r>
      <w:r>
        <w:rPr>
          <w:rFonts w:hint="eastAsia" w:eastAsia="仿宋_GB2312" w:cs="新宋体"/>
          <w:b/>
          <w:sz w:val="30"/>
          <w:szCs w:val="28"/>
        </w:rPr>
        <w:t>违约事件</w:t>
      </w:r>
      <w:r>
        <w:rPr>
          <w:rFonts w:hint="eastAsia" w:eastAsia="仿宋_GB2312" w:cs="新宋体"/>
          <w:sz w:val="30"/>
          <w:szCs w:val="28"/>
        </w:rPr>
        <w:t>。</w:t>
      </w:r>
    </w:p>
    <w:p w14:paraId="68908A72">
      <w:pPr>
        <w:spacing w:before="156" w:line="560" w:lineRule="exact"/>
        <w:ind w:right="105" w:rightChars="50" w:firstLine="600" w:firstLineChars="200"/>
        <w:rPr>
          <w:rFonts w:eastAsia="仿宋_GB2312" w:cs="新宋体"/>
          <w:sz w:val="30"/>
          <w:szCs w:val="28"/>
        </w:rPr>
      </w:pPr>
      <w:r>
        <w:rPr>
          <w:rFonts w:eastAsia="仿宋_GB2312" w:cs="新宋体"/>
          <w:bCs/>
          <w:sz w:val="30"/>
          <w:szCs w:val="28"/>
        </w:rPr>
        <w:t>4</w:t>
      </w:r>
      <w:r>
        <w:rPr>
          <w:rFonts w:hint="eastAsia" w:eastAsia="仿宋_GB2312" w:cs="新宋体"/>
          <w:bCs/>
          <w:sz w:val="30"/>
          <w:szCs w:val="28"/>
        </w:rPr>
        <w:t>、</w:t>
      </w:r>
      <w:r>
        <w:rPr>
          <w:rFonts w:hint="eastAsia" w:eastAsia="仿宋_GB2312" w:cs="新宋体"/>
          <w:sz w:val="30"/>
          <w:szCs w:val="28"/>
        </w:rPr>
        <w:t>如</w:t>
      </w:r>
      <w:r>
        <w:rPr>
          <w:rFonts w:hint="eastAsia" w:eastAsia="仿宋_GB2312" w:cs="新宋体"/>
          <w:b/>
          <w:bCs/>
          <w:sz w:val="30"/>
          <w:szCs w:val="28"/>
        </w:rPr>
        <w:t>信用保护买方</w:t>
      </w:r>
      <w:r>
        <w:rPr>
          <w:rFonts w:hint="eastAsia" w:eastAsia="仿宋_GB2312" w:cs="新宋体"/>
          <w:sz w:val="30"/>
          <w:szCs w:val="28"/>
        </w:rPr>
        <w:t>未在</w:t>
      </w:r>
      <w:r>
        <w:rPr>
          <w:rFonts w:hint="eastAsia" w:eastAsia="仿宋_GB2312" w:cs="新宋体"/>
          <w:b/>
          <w:bCs/>
          <w:sz w:val="30"/>
          <w:szCs w:val="28"/>
        </w:rPr>
        <w:t>实物交割期间</w:t>
      </w:r>
      <w:r>
        <w:rPr>
          <w:rFonts w:hint="eastAsia" w:eastAsia="仿宋_GB2312" w:cs="新宋体"/>
          <w:sz w:val="30"/>
          <w:szCs w:val="28"/>
        </w:rPr>
        <w:t>向</w:t>
      </w:r>
      <w:r>
        <w:rPr>
          <w:rFonts w:hint="eastAsia" w:eastAsia="仿宋_GB2312" w:cs="新宋体"/>
          <w:b/>
          <w:bCs/>
          <w:sz w:val="30"/>
          <w:szCs w:val="28"/>
        </w:rPr>
        <w:t>信用保护卖方</w:t>
      </w:r>
      <w:r>
        <w:rPr>
          <w:rFonts w:hint="eastAsia" w:eastAsia="仿宋_GB2312" w:cs="新宋体"/>
          <w:sz w:val="30"/>
          <w:szCs w:val="28"/>
        </w:rPr>
        <w:t>交付</w:t>
      </w:r>
      <w:r>
        <w:rPr>
          <w:rFonts w:hint="eastAsia" w:eastAsia="仿宋_GB2312" w:cs="新宋体"/>
          <w:b/>
          <w:bCs/>
          <w:sz w:val="30"/>
          <w:szCs w:val="28"/>
        </w:rPr>
        <w:t>可交付债务</w:t>
      </w:r>
      <w:r>
        <w:rPr>
          <w:rFonts w:hint="eastAsia" w:eastAsia="仿宋_GB2312" w:cs="新宋体"/>
          <w:sz w:val="30"/>
          <w:szCs w:val="28"/>
        </w:rPr>
        <w:t>，则上述</w:t>
      </w:r>
      <w:r>
        <w:rPr>
          <w:rFonts w:hint="eastAsia" w:eastAsia="仿宋_GB2312" w:cs="新宋体"/>
          <w:b/>
          <w:bCs/>
          <w:sz w:val="30"/>
          <w:szCs w:val="28"/>
        </w:rPr>
        <w:t>实物交割期间</w:t>
      </w:r>
      <w:r>
        <w:rPr>
          <w:rFonts w:hint="eastAsia" w:eastAsia="仿宋_GB2312" w:cs="新宋体"/>
          <w:sz w:val="30"/>
          <w:szCs w:val="28"/>
        </w:rPr>
        <w:t>结束之日为本</w:t>
      </w:r>
      <w:r>
        <w:rPr>
          <w:rFonts w:hint="eastAsia" w:eastAsia="仿宋_GB2312" w:cs="新宋体"/>
          <w:b/>
          <w:bCs/>
          <w:sz w:val="30"/>
          <w:szCs w:val="28"/>
        </w:rPr>
        <w:t>信用保护合约交易</w:t>
      </w:r>
      <w:r>
        <w:rPr>
          <w:rFonts w:hint="eastAsia" w:eastAsia="仿宋_GB2312" w:cs="新宋体"/>
          <w:sz w:val="30"/>
          <w:szCs w:val="28"/>
        </w:rPr>
        <w:t>的到期日，</w:t>
      </w:r>
      <w:r>
        <w:rPr>
          <w:rFonts w:hint="eastAsia" w:eastAsia="仿宋_GB2312" w:cs="新宋体"/>
          <w:b/>
          <w:bCs/>
          <w:sz w:val="30"/>
          <w:szCs w:val="28"/>
        </w:rPr>
        <w:t>信用保护买方</w:t>
      </w:r>
      <w:r>
        <w:rPr>
          <w:rFonts w:hint="eastAsia" w:eastAsia="仿宋_GB2312" w:cs="新宋体"/>
          <w:sz w:val="30"/>
          <w:szCs w:val="28"/>
        </w:rPr>
        <w:t>将至此自动丧失未交付的可交付债务对应额度的向</w:t>
      </w:r>
      <w:r>
        <w:rPr>
          <w:rFonts w:hint="eastAsia" w:eastAsia="仿宋_GB2312" w:cs="新宋体"/>
          <w:b/>
          <w:bCs/>
          <w:sz w:val="30"/>
          <w:szCs w:val="28"/>
        </w:rPr>
        <w:t>信用保护卖方</w:t>
      </w:r>
      <w:r>
        <w:rPr>
          <w:rFonts w:hint="eastAsia" w:eastAsia="仿宋_GB2312" w:cs="新宋体"/>
          <w:sz w:val="30"/>
          <w:szCs w:val="28"/>
        </w:rPr>
        <w:t>请求获得本</w:t>
      </w:r>
      <w:r>
        <w:rPr>
          <w:rFonts w:hint="eastAsia" w:eastAsia="仿宋_GB2312" w:cs="新宋体"/>
          <w:b/>
          <w:bCs/>
          <w:sz w:val="30"/>
          <w:szCs w:val="28"/>
        </w:rPr>
        <w:t>信用保护合约交易</w:t>
      </w:r>
      <w:r>
        <w:rPr>
          <w:rFonts w:hint="eastAsia" w:eastAsia="仿宋_GB2312" w:cs="新宋体"/>
          <w:sz w:val="30"/>
          <w:szCs w:val="28"/>
        </w:rPr>
        <w:t>项下结算赔付的权利。</w:t>
      </w:r>
    </w:p>
    <w:p w14:paraId="129033AE">
      <w:pPr>
        <w:spacing w:before="185" w:line="560" w:lineRule="exact"/>
        <w:ind w:right="105" w:rightChars="50" w:firstLine="584" w:firstLineChars="200"/>
        <w:rPr>
          <w:rFonts w:eastAsia="仿宋_GB2312" w:cs="新宋体"/>
          <w:sz w:val="30"/>
          <w:szCs w:val="28"/>
        </w:rPr>
      </w:pPr>
      <w:r>
        <w:rPr>
          <w:rFonts w:eastAsia="仿宋_GB2312" w:cs="新宋体"/>
          <w:spacing w:val="-4"/>
          <w:sz w:val="30"/>
          <w:szCs w:val="28"/>
        </w:rPr>
        <w:t>5</w:t>
      </w:r>
      <w:r>
        <w:rPr>
          <w:rFonts w:hint="eastAsia" w:eastAsia="仿宋_GB2312" w:cs="新宋体"/>
          <w:spacing w:val="-4"/>
          <w:sz w:val="30"/>
          <w:szCs w:val="28"/>
        </w:rPr>
        <w:t>、</w:t>
      </w:r>
      <w:r>
        <w:rPr>
          <w:rFonts w:hint="eastAsia" w:eastAsia="仿宋_GB2312" w:cs="新宋体"/>
          <w:b/>
          <w:bCs/>
          <w:spacing w:val="-4"/>
          <w:sz w:val="30"/>
          <w:szCs w:val="28"/>
        </w:rPr>
        <w:t>交易双方</w:t>
      </w:r>
      <w:r>
        <w:rPr>
          <w:rFonts w:hint="eastAsia" w:eastAsia="仿宋_GB2312" w:cs="新宋体"/>
          <w:spacing w:val="-4"/>
          <w:sz w:val="30"/>
          <w:szCs w:val="28"/>
        </w:rPr>
        <w:t>需按照适用于有关</w:t>
      </w:r>
      <w:r>
        <w:rPr>
          <w:rFonts w:hint="eastAsia" w:eastAsia="仿宋_GB2312" w:cs="新宋体"/>
          <w:b/>
          <w:bCs/>
          <w:spacing w:val="-4"/>
          <w:sz w:val="30"/>
          <w:szCs w:val="28"/>
        </w:rPr>
        <w:t>参考债务</w:t>
      </w:r>
      <w:r>
        <w:rPr>
          <w:rFonts w:hint="eastAsia" w:eastAsia="仿宋_GB2312" w:cs="新宋体"/>
          <w:spacing w:val="-4"/>
          <w:sz w:val="30"/>
          <w:szCs w:val="28"/>
        </w:rPr>
        <w:t>或</w:t>
      </w:r>
      <w:r>
        <w:rPr>
          <w:rFonts w:hint="eastAsia" w:eastAsia="仿宋_GB2312" w:cs="新宋体"/>
          <w:b/>
          <w:bCs/>
          <w:spacing w:val="-4"/>
          <w:sz w:val="30"/>
          <w:szCs w:val="28"/>
        </w:rPr>
        <w:t>可交付债务</w:t>
      </w:r>
      <w:r>
        <w:rPr>
          <w:rFonts w:hint="eastAsia" w:eastAsia="仿宋_GB2312" w:cs="新宋体"/>
          <w:spacing w:val="-4"/>
          <w:sz w:val="30"/>
          <w:szCs w:val="28"/>
        </w:rPr>
        <w:t>的法律规定各自</w:t>
      </w:r>
      <w:r>
        <w:rPr>
          <w:rFonts w:hint="eastAsia" w:eastAsia="仿宋_GB2312" w:cs="新宋体"/>
          <w:sz w:val="30"/>
          <w:szCs w:val="28"/>
        </w:rPr>
        <w:t>承担应付的印花税或其他相关税费。除非</w:t>
      </w:r>
      <w:r>
        <w:rPr>
          <w:rFonts w:hint="eastAsia" w:eastAsia="仿宋_GB2312" w:cs="新宋体"/>
          <w:b/>
          <w:bCs/>
          <w:sz w:val="30"/>
          <w:szCs w:val="28"/>
        </w:rPr>
        <w:t>交易双方</w:t>
      </w:r>
      <w:r>
        <w:rPr>
          <w:rFonts w:hint="eastAsia" w:eastAsia="仿宋_GB2312" w:cs="新宋体"/>
          <w:sz w:val="30"/>
          <w:szCs w:val="28"/>
        </w:rPr>
        <w:t>另行约定，</w:t>
      </w:r>
      <w:r>
        <w:rPr>
          <w:rFonts w:hint="eastAsia" w:eastAsia="仿宋_GB2312" w:cs="新宋体"/>
          <w:b/>
          <w:bCs/>
          <w:spacing w:val="4"/>
          <w:sz w:val="30"/>
          <w:szCs w:val="28"/>
        </w:rPr>
        <w:t>交割可交付债务</w:t>
      </w:r>
      <w:r>
        <w:rPr>
          <w:rFonts w:hint="eastAsia" w:eastAsia="仿宋_GB2312" w:cs="新宋体"/>
          <w:spacing w:val="4"/>
          <w:sz w:val="30"/>
          <w:szCs w:val="28"/>
        </w:rPr>
        <w:t>产生的费用（包括但不限于需支付给贷款代理</w:t>
      </w:r>
      <w:r>
        <w:rPr>
          <w:rFonts w:hint="eastAsia" w:eastAsia="仿宋_GB2312" w:cs="新宋体"/>
          <w:spacing w:val="-4"/>
          <w:sz w:val="30"/>
          <w:szCs w:val="28"/>
        </w:rPr>
        <w:t>行、债券受托人或登记托管结算机构的费用）由</w:t>
      </w:r>
      <w:r>
        <w:rPr>
          <w:rFonts w:hint="eastAsia" w:eastAsia="仿宋_GB2312" w:cs="新宋体"/>
          <w:b/>
          <w:bCs/>
          <w:spacing w:val="-4"/>
          <w:sz w:val="30"/>
          <w:szCs w:val="28"/>
        </w:rPr>
        <w:t>信用保护买方</w:t>
      </w:r>
      <w:r>
        <w:rPr>
          <w:rFonts w:hint="eastAsia" w:eastAsia="仿宋_GB2312" w:cs="新宋体"/>
          <w:spacing w:val="-4"/>
          <w:sz w:val="30"/>
          <w:szCs w:val="28"/>
        </w:rPr>
        <w:t>负</w:t>
      </w:r>
      <w:r>
        <w:rPr>
          <w:rFonts w:hint="eastAsia" w:eastAsia="仿宋_GB2312" w:cs="新宋体"/>
          <w:sz w:val="30"/>
          <w:szCs w:val="28"/>
        </w:rPr>
        <w:t>担。</w:t>
      </w:r>
    </w:p>
    <w:p w14:paraId="26BB86DE">
      <w:pPr>
        <w:spacing w:before="185" w:line="560" w:lineRule="exact"/>
        <w:rPr>
          <w:rFonts w:eastAsia="仿宋_GB2312" w:cs="新宋体"/>
          <w:sz w:val="30"/>
          <w:szCs w:val="28"/>
        </w:rPr>
      </w:pPr>
    </w:p>
    <w:p w14:paraId="3A3139EF">
      <w:pPr>
        <w:spacing w:before="72" w:after="72" w:line="560" w:lineRule="exact"/>
        <w:rPr>
          <w:rFonts w:eastAsia="仿宋_GB2312"/>
          <w:b/>
          <w:sz w:val="30"/>
          <w:szCs w:val="28"/>
        </w:rPr>
      </w:pPr>
      <w:r>
        <w:rPr>
          <w:rFonts w:hint="eastAsia" w:eastAsia="仿宋_GB2312"/>
          <w:b/>
          <w:sz w:val="30"/>
          <w:szCs w:val="28"/>
        </w:rPr>
        <w:t>九、定义</w:t>
      </w:r>
    </w:p>
    <w:tbl>
      <w:tblPr>
        <w:tblStyle w:val="43"/>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4"/>
        <w:gridCol w:w="5862"/>
      </w:tblGrid>
      <w:tr w14:paraId="6C65F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4" w:type="dxa"/>
            <w:vAlign w:val="center"/>
          </w:tcPr>
          <w:p w14:paraId="6D2DF66C">
            <w:pPr>
              <w:spacing w:before="185" w:line="560" w:lineRule="exact"/>
              <w:jc w:val="center"/>
              <w:rPr>
                <w:rFonts w:eastAsia="仿宋_GB2312" w:cs="宋体"/>
                <w:spacing w:val="-4"/>
                <w:sz w:val="30"/>
                <w:szCs w:val="28"/>
              </w:rPr>
            </w:pPr>
            <w:r>
              <w:rPr>
                <w:rFonts w:hint="eastAsia" w:eastAsia="仿宋_GB2312" w:cs="宋体"/>
                <w:spacing w:val="-4"/>
                <w:sz w:val="30"/>
                <w:szCs w:val="28"/>
              </w:rPr>
              <w:t>签署日</w:t>
            </w:r>
          </w:p>
        </w:tc>
        <w:tc>
          <w:tcPr>
            <w:tcW w:w="5862" w:type="dxa"/>
            <w:vAlign w:val="center"/>
          </w:tcPr>
          <w:p w14:paraId="3C4E4D80">
            <w:pPr>
              <w:autoSpaceDE w:val="0"/>
              <w:autoSpaceDN w:val="0"/>
              <w:adjustRightInd w:val="0"/>
              <w:spacing w:line="560" w:lineRule="exact"/>
              <w:rPr>
                <w:rFonts w:eastAsia="仿宋_GB2312" w:cs="宋体"/>
                <w:sz w:val="30"/>
                <w:szCs w:val="28"/>
              </w:rPr>
            </w:pPr>
            <w:r>
              <w:rPr>
                <w:rFonts w:hint="eastAsia" w:eastAsia="仿宋_GB2312" w:cs="宋体"/>
                <w:sz w:val="30"/>
                <w:szCs w:val="28"/>
              </w:rPr>
              <w:t>在一笔</w:t>
            </w:r>
            <w:r>
              <w:rPr>
                <w:rFonts w:hint="eastAsia" w:eastAsia="仿宋_GB2312" w:cs="宋体"/>
                <w:b/>
                <w:sz w:val="30"/>
                <w:szCs w:val="28"/>
              </w:rPr>
              <w:t>信用保护合约交易</w:t>
            </w:r>
            <w:r>
              <w:rPr>
                <w:rFonts w:hint="eastAsia" w:eastAsia="仿宋_GB2312" w:cs="宋体"/>
                <w:sz w:val="30"/>
                <w:szCs w:val="28"/>
              </w:rPr>
              <w:t>下，指</w:t>
            </w:r>
            <w:r>
              <w:rPr>
                <w:rFonts w:hint="eastAsia" w:eastAsia="仿宋_GB2312" w:cs="宋体"/>
                <w:b/>
                <w:sz w:val="30"/>
                <w:szCs w:val="28"/>
              </w:rPr>
              <w:t>交易双方</w:t>
            </w:r>
            <w:r>
              <w:rPr>
                <w:rFonts w:hint="eastAsia" w:eastAsia="仿宋_GB2312" w:cs="宋体"/>
                <w:sz w:val="30"/>
                <w:szCs w:val="28"/>
              </w:rPr>
              <w:t>达成该交易的日期。</w:t>
            </w:r>
          </w:p>
        </w:tc>
      </w:tr>
      <w:tr w14:paraId="599BC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4" w:type="dxa"/>
            <w:vAlign w:val="center"/>
          </w:tcPr>
          <w:p w14:paraId="3A6F9418">
            <w:pPr>
              <w:spacing w:before="185" w:line="560" w:lineRule="exact"/>
              <w:jc w:val="center"/>
              <w:rPr>
                <w:rFonts w:eastAsia="仿宋_GB2312" w:cs="宋体"/>
                <w:spacing w:val="-4"/>
                <w:sz w:val="30"/>
                <w:szCs w:val="28"/>
              </w:rPr>
            </w:pPr>
            <w:r>
              <w:rPr>
                <w:rFonts w:hint="eastAsia" w:eastAsia="仿宋_GB2312" w:cs="宋体"/>
                <w:spacing w:val="-4"/>
                <w:sz w:val="30"/>
                <w:szCs w:val="28"/>
              </w:rPr>
              <w:t>起始日</w:t>
            </w:r>
          </w:p>
        </w:tc>
        <w:tc>
          <w:tcPr>
            <w:tcW w:w="5862" w:type="dxa"/>
            <w:vAlign w:val="center"/>
          </w:tcPr>
          <w:p w14:paraId="5EA35487">
            <w:pPr>
              <w:pStyle w:val="17"/>
              <w:spacing w:line="560" w:lineRule="exact"/>
              <w:ind w:right="63" w:rightChars="30"/>
              <w:rPr>
                <w:rFonts w:eastAsia="仿宋_GB2312" w:cs="宋体"/>
                <w:spacing w:val="-4"/>
                <w:sz w:val="30"/>
                <w:szCs w:val="28"/>
              </w:rPr>
            </w:pPr>
            <w:r>
              <w:rPr>
                <w:rFonts w:hint="eastAsia" w:eastAsia="仿宋_GB2312" w:cs="宋体"/>
                <w:sz w:val="30"/>
                <w:szCs w:val="28"/>
              </w:rPr>
              <w:t>在一笔</w:t>
            </w:r>
            <w:r>
              <w:rPr>
                <w:rFonts w:hint="eastAsia" w:eastAsia="仿宋_GB2312" w:cs="宋体"/>
                <w:b/>
                <w:sz w:val="30"/>
                <w:szCs w:val="28"/>
              </w:rPr>
              <w:t>信用保护合约交易</w:t>
            </w:r>
            <w:r>
              <w:rPr>
                <w:rFonts w:hint="eastAsia" w:eastAsia="仿宋_GB2312" w:cs="宋体"/>
                <w:sz w:val="30"/>
                <w:szCs w:val="28"/>
              </w:rPr>
              <w:t>下，指该交易的信用保护开始生效的日期。</w:t>
            </w:r>
          </w:p>
        </w:tc>
      </w:tr>
      <w:tr w14:paraId="60ECA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4" w:type="dxa"/>
            <w:vAlign w:val="center"/>
          </w:tcPr>
          <w:p w14:paraId="5E880A49">
            <w:pPr>
              <w:pStyle w:val="17"/>
              <w:spacing w:line="560" w:lineRule="exact"/>
              <w:ind w:right="63" w:rightChars="30"/>
              <w:jc w:val="center"/>
              <w:rPr>
                <w:rFonts w:eastAsia="仿宋_GB2312" w:cs="宋体"/>
                <w:sz w:val="30"/>
                <w:szCs w:val="28"/>
              </w:rPr>
            </w:pPr>
            <w:r>
              <w:rPr>
                <w:rFonts w:hint="eastAsia" w:eastAsia="仿宋_GB2312" w:cs="宋体"/>
                <w:sz w:val="30"/>
                <w:szCs w:val="28"/>
              </w:rPr>
              <w:t>约定到期日</w:t>
            </w:r>
          </w:p>
        </w:tc>
        <w:tc>
          <w:tcPr>
            <w:tcW w:w="5862" w:type="dxa"/>
            <w:vAlign w:val="center"/>
          </w:tcPr>
          <w:p w14:paraId="028A3C74">
            <w:pPr>
              <w:pStyle w:val="17"/>
              <w:spacing w:line="560" w:lineRule="exact"/>
              <w:ind w:right="63" w:rightChars="30"/>
              <w:rPr>
                <w:rFonts w:eastAsia="仿宋_GB2312" w:cs="宋体"/>
                <w:sz w:val="30"/>
                <w:szCs w:val="28"/>
              </w:rPr>
            </w:pPr>
            <w:r>
              <w:rPr>
                <w:rFonts w:hint="eastAsia" w:eastAsia="仿宋_GB2312" w:cs="宋体"/>
                <w:sz w:val="30"/>
                <w:szCs w:val="28"/>
              </w:rPr>
              <w:t>在一笔</w:t>
            </w:r>
            <w:r>
              <w:rPr>
                <w:rFonts w:hint="eastAsia" w:eastAsia="仿宋_GB2312" w:cs="宋体"/>
                <w:b/>
                <w:sz w:val="30"/>
                <w:szCs w:val="28"/>
              </w:rPr>
              <w:t>信用保护合约交易</w:t>
            </w:r>
            <w:r>
              <w:rPr>
                <w:rFonts w:hint="eastAsia" w:eastAsia="仿宋_GB2312" w:cs="宋体"/>
                <w:sz w:val="30"/>
                <w:szCs w:val="28"/>
              </w:rPr>
              <w:t>下，指</w:t>
            </w:r>
            <w:r>
              <w:rPr>
                <w:rFonts w:hint="eastAsia" w:eastAsia="仿宋_GB2312" w:cs="宋体"/>
                <w:b/>
                <w:sz w:val="30"/>
                <w:szCs w:val="28"/>
              </w:rPr>
              <w:t>交易双方</w:t>
            </w:r>
            <w:r>
              <w:rPr>
                <w:rFonts w:hint="eastAsia" w:eastAsia="仿宋_GB2312" w:cs="宋体"/>
                <w:sz w:val="30"/>
                <w:szCs w:val="28"/>
              </w:rPr>
              <w:t>在</w:t>
            </w:r>
            <w:r>
              <w:rPr>
                <w:rFonts w:hint="eastAsia" w:eastAsia="仿宋_GB2312" w:cs="宋体"/>
                <w:b/>
                <w:sz w:val="30"/>
                <w:szCs w:val="28"/>
              </w:rPr>
              <w:t>本确认书中</w:t>
            </w:r>
            <w:r>
              <w:rPr>
                <w:rFonts w:hint="eastAsia" w:eastAsia="仿宋_GB2312" w:cs="宋体"/>
                <w:sz w:val="30"/>
                <w:szCs w:val="28"/>
              </w:rPr>
              <w:t>约定的信用保护到期之日。</w:t>
            </w:r>
          </w:p>
        </w:tc>
      </w:tr>
      <w:tr w14:paraId="4E327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34" w:type="dxa"/>
            <w:vAlign w:val="center"/>
          </w:tcPr>
          <w:p w14:paraId="22A3E144">
            <w:pPr>
              <w:spacing w:before="185" w:line="560" w:lineRule="exact"/>
              <w:jc w:val="center"/>
              <w:rPr>
                <w:rFonts w:eastAsia="仿宋_GB2312" w:cs="宋体"/>
                <w:bCs/>
                <w:sz w:val="30"/>
                <w:szCs w:val="28"/>
              </w:rPr>
            </w:pPr>
            <w:r>
              <w:rPr>
                <w:rFonts w:hint="eastAsia" w:eastAsia="仿宋_GB2312" w:cs="宋体"/>
                <w:bCs/>
                <w:sz w:val="30"/>
                <w:szCs w:val="28"/>
              </w:rPr>
              <w:t>计算机构</w:t>
            </w:r>
          </w:p>
        </w:tc>
        <w:tc>
          <w:tcPr>
            <w:tcW w:w="5862" w:type="dxa"/>
            <w:vAlign w:val="center"/>
          </w:tcPr>
          <w:p w14:paraId="0399B29B">
            <w:pPr>
              <w:autoSpaceDE w:val="0"/>
              <w:autoSpaceDN w:val="0"/>
              <w:adjustRightInd w:val="0"/>
              <w:spacing w:line="560" w:lineRule="exact"/>
              <w:rPr>
                <w:rFonts w:eastAsia="仿宋_GB2312" w:cs="宋体"/>
                <w:spacing w:val="-3"/>
                <w:sz w:val="30"/>
                <w:szCs w:val="28"/>
              </w:rPr>
            </w:pPr>
            <w:r>
              <w:rPr>
                <w:rFonts w:hint="eastAsia" w:eastAsia="仿宋_GB2312" w:cs="宋体"/>
                <w:spacing w:val="-3"/>
                <w:sz w:val="30"/>
                <w:szCs w:val="28"/>
              </w:rPr>
              <w:t>指</w:t>
            </w:r>
            <w:r>
              <w:rPr>
                <w:rFonts w:hint="eastAsia" w:eastAsia="仿宋_GB2312" w:cs="宋体"/>
                <w:b/>
                <w:spacing w:val="-3"/>
                <w:sz w:val="30"/>
                <w:szCs w:val="28"/>
              </w:rPr>
              <w:t>交易双方</w:t>
            </w:r>
            <w:r>
              <w:rPr>
                <w:rFonts w:hint="eastAsia" w:eastAsia="仿宋_GB2312" w:cs="宋体"/>
                <w:spacing w:val="-3"/>
                <w:sz w:val="30"/>
                <w:szCs w:val="28"/>
              </w:rPr>
              <w:t>在</w:t>
            </w:r>
            <w:r>
              <w:rPr>
                <w:rFonts w:hint="eastAsia" w:eastAsia="仿宋_GB2312" w:cs="宋体"/>
                <w:b/>
                <w:spacing w:val="-3"/>
                <w:sz w:val="30"/>
                <w:szCs w:val="28"/>
              </w:rPr>
              <w:t>本确认书</w:t>
            </w:r>
            <w:r>
              <w:rPr>
                <w:rFonts w:hint="eastAsia" w:eastAsia="仿宋_GB2312" w:cs="宋体"/>
                <w:spacing w:val="-3"/>
                <w:sz w:val="30"/>
                <w:szCs w:val="28"/>
              </w:rPr>
              <w:t>中指定为“计算机构”的实体，可由交易一方或</w:t>
            </w:r>
            <w:r>
              <w:rPr>
                <w:rFonts w:hint="eastAsia" w:eastAsia="仿宋_GB2312" w:cs="宋体"/>
                <w:b/>
                <w:spacing w:val="-3"/>
                <w:sz w:val="30"/>
                <w:szCs w:val="28"/>
              </w:rPr>
              <w:t>交易双方</w:t>
            </w:r>
            <w:r>
              <w:rPr>
                <w:rFonts w:hint="eastAsia" w:eastAsia="仿宋_GB2312" w:cs="宋体"/>
                <w:spacing w:val="-3"/>
                <w:sz w:val="30"/>
                <w:szCs w:val="28"/>
              </w:rPr>
              <w:t>担任，也可由第三方机构担任。</w:t>
            </w:r>
          </w:p>
        </w:tc>
      </w:tr>
      <w:tr w14:paraId="58CA5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4" w:type="dxa"/>
            <w:vAlign w:val="center"/>
          </w:tcPr>
          <w:p w14:paraId="4BBAEEB6">
            <w:pPr>
              <w:spacing w:before="185" w:line="560" w:lineRule="exact"/>
              <w:jc w:val="center"/>
              <w:rPr>
                <w:rFonts w:eastAsia="仿宋_GB2312" w:cs="宋体"/>
                <w:sz w:val="30"/>
                <w:szCs w:val="28"/>
              </w:rPr>
            </w:pPr>
            <w:r>
              <w:rPr>
                <w:rFonts w:hint="eastAsia" w:eastAsia="仿宋_GB2312" w:cs="宋体"/>
                <w:sz w:val="30"/>
                <w:szCs w:val="28"/>
              </w:rPr>
              <w:t>名义本金</w:t>
            </w:r>
          </w:p>
        </w:tc>
        <w:tc>
          <w:tcPr>
            <w:tcW w:w="5862" w:type="dxa"/>
            <w:vAlign w:val="center"/>
          </w:tcPr>
          <w:p w14:paraId="7411794D">
            <w:pPr>
              <w:spacing w:before="185" w:line="560" w:lineRule="exact"/>
              <w:rPr>
                <w:rFonts w:eastAsia="仿宋_GB2312" w:cs="宋体"/>
                <w:sz w:val="30"/>
                <w:szCs w:val="28"/>
              </w:rPr>
            </w:pPr>
            <w:r>
              <w:rPr>
                <w:rFonts w:hint="eastAsia" w:eastAsia="仿宋_GB2312" w:cs="宋体"/>
                <w:sz w:val="30"/>
                <w:szCs w:val="28"/>
              </w:rPr>
              <w:t>指一笔</w:t>
            </w:r>
            <w:r>
              <w:rPr>
                <w:rFonts w:hint="eastAsia" w:eastAsia="仿宋_GB2312" w:cs="宋体"/>
                <w:b/>
                <w:sz w:val="30"/>
                <w:szCs w:val="28"/>
              </w:rPr>
              <w:t>信用保护合约交易</w:t>
            </w:r>
            <w:r>
              <w:rPr>
                <w:rFonts w:hint="eastAsia" w:eastAsia="仿宋_GB2312" w:cs="宋体"/>
                <w:sz w:val="30"/>
                <w:szCs w:val="28"/>
              </w:rPr>
              <w:t>提供信用风险保护的金额，各项支付和结算以此金额为计算基准。</w:t>
            </w:r>
          </w:p>
        </w:tc>
      </w:tr>
      <w:tr w14:paraId="2B3AC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4" w:type="dxa"/>
            <w:vAlign w:val="center"/>
          </w:tcPr>
          <w:p w14:paraId="186AD686">
            <w:pPr>
              <w:spacing w:line="560" w:lineRule="exact"/>
              <w:jc w:val="center"/>
              <w:rPr>
                <w:rFonts w:eastAsia="仿宋_GB2312" w:cs="宋体"/>
                <w:sz w:val="30"/>
                <w:szCs w:val="28"/>
              </w:rPr>
            </w:pPr>
            <w:r>
              <w:rPr>
                <w:rFonts w:hint="eastAsia" w:eastAsia="仿宋_GB2312" w:cs="宋体"/>
                <w:bCs/>
                <w:sz w:val="30"/>
                <w:szCs w:val="28"/>
              </w:rPr>
              <w:t>保护费率</w:t>
            </w:r>
          </w:p>
        </w:tc>
        <w:tc>
          <w:tcPr>
            <w:tcW w:w="5862" w:type="dxa"/>
            <w:vAlign w:val="center"/>
          </w:tcPr>
          <w:p w14:paraId="2E7D7BE6">
            <w:pPr>
              <w:spacing w:before="185" w:line="560" w:lineRule="exact"/>
              <w:rPr>
                <w:rFonts w:eastAsia="仿宋_GB2312" w:cs="宋体"/>
                <w:sz w:val="30"/>
                <w:szCs w:val="28"/>
              </w:rPr>
            </w:pPr>
            <w:r>
              <w:rPr>
                <w:rFonts w:hint="eastAsia" w:eastAsia="仿宋_GB2312" w:cs="宋体"/>
                <w:sz w:val="30"/>
                <w:szCs w:val="28"/>
              </w:rPr>
              <w:t>保护费率</w:t>
            </w:r>
            <w:r>
              <w:rPr>
                <w:rFonts w:eastAsia="仿宋_GB2312" w:cs="宋体"/>
                <w:sz w:val="30"/>
                <w:szCs w:val="28"/>
              </w:rPr>
              <w:t>=</w:t>
            </w:r>
            <w:r>
              <w:rPr>
                <w:rFonts w:hint="eastAsia" w:eastAsia="仿宋_GB2312" w:cs="宋体"/>
                <w:b/>
                <w:bCs/>
                <w:sz w:val="30"/>
                <w:szCs w:val="28"/>
              </w:rPr>
              <w:t>保护费</w:t>
            </w:r>
            <w:r>
              <w:rPr>
                <w:rFonts w:eastAsia="仿宋_GB2312" w:cs="宋体"/>
                <w:sz w:val="30"/>
                <w:szCs w:val="28"/>
              </w:rPr>
              <w:t>/</w:t>
            </w:r>
            <w:r>
              <w:rPr>
                <w:rFonts w:hint="eastAsia" w:eastAsia="仿宋_GB2312" w:cs="宋体"/>
                <w:b/>
                <w:bCs/>
                <w:sz w:val="30"/>
                <w:szCs w:val="28"/>
              </w:rPr>
              <w:t>名义本金</w:t>
            </w:r>
            <w:r>
              <w:rPr>
                <w:rFonts w:eastAsia="仿宋_GB2312" w:cs="宋体"/>
                <w:sz w:val="30"/>
                <w:szCs w:val="28"/>
              </w:rPr>
              <w:t>*100%</w:t>
            </w:r>
            <w:r>
              <w:rPr>
                <w:rFonts w:hint="eastAsia" w:eastAsia="仿宋_GB2312" w:cs="宋体"/>
                <w:sz w:val="30"/>
                <w:szCs w:val="28"/>
              </w:rPr>
              <w:t>。</w:t>
            </w:r>
          </w:p>
        </w:tc>
      </w:tr>
      <w:tr w14:paraId="00236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4" w:type="dxa"/>
            <w:vAlign w:val="center"/>
          </w:tcPr>
          <w:p w14:paraId="46421264">
            <w:pPr>
              <w:spacing w:line="560" w:lineRule="exact"/>
              <w:jc w:val="center"/>
              <w:rPr>
                <w:rFonts w:eastAsia="仿宋_GB2312" w:cs="宋体"/>
                <w:sz w:val="30"/>
                <w:szCs w:val="28"/>
              </w:rPr>
            </w:pPr>
            <w:r>
              <w:rPr>
                <w:rFonts w:hint="eastAsia" w:eastAsia="仿宋_GB2312" w:cs="宋体"/>
                <w:sz w:val="30"/>
                <w:szCs w:val="28"/>
              </w:rPr>
              <w:t>前端费率</w:t>
            </w:r>
          </w:p>
          <w:p w14:paraId="4D8A0C14">
            <w:pPr>
              <w:spacing w:line="560" w:lineRule="exact"/>
              <w:jc w:val="center"/>
              <w:rPr>
                <w:rFonts w:eastAsia="仿宋_GB2312" w:cs="宋体"/>
                <w:sz w:val="30"/>
                <w:szCs w:val="28"/>
              </w:rPr>
            </w:pPr>
          </w:p>
        </w:tc>
        <w:tc>
          <w:tcPr>
            <w:tcW w:w="5862" w:type="dxa"/>
            <w:vAlign w:val="center"/>
          </w:tcPr>
          <w:p w14:paraId="4993D3C0">
            <w:pPr>
              <w:spacing w:before="185" w:line="560" w:lineRule="exact"/>
              <w:rPr>
                <w:rFonts w:eastAsia="仿宋_GB2312" w:cs="宋体"/>
                <w:sz w:val="30"/>
                <w:szCs w:val="28"/>
              </w:rPr>
            </w:pPr>
            <w:r>
              <w:rPr>
                <w:rFonts w:hint="eastAsia" w:eastAsia="仿宋_GB2312" w:cs="宋体"/>
                <w:sz w:val="30"/>
                <w:szCs w:val="28"/>
              </w:rPr>
              <w:t>前端费率</w:t>
            </w:r>
            <w:r>
              <w:rPr>
                <w:rFonts w:eastAsia="仿宋_GB2312" w:cs="宋体"/>
                <w:sz w:val="30"/>
                <w:szCs w:val="28"/>
              </w:rPr>
              <w:t>=</w:t>
            </w:r>
            <w:r>
              <w:rPr>
                <w:rFonts w:hint="eastAsia" w:eastAsia="仿宋_GB2312" w:cs="宋体"/>
                <w:b/>
                <w:bCs/>
                <w:sz w:val="30"/>
                <w:szCs w:val="28"/>
              </w:rPr>
              <w:t>前端费用</w:t>
            </w:r>
            <w:r>
              <w:rPr>
                <w:rFonts w:eastAsia="仿宋_GB2312" w:cs="宋体"/>
                <w:sz w:val="30"/>
                <w:szCs w:val="28"/>
              </w:rPr>
              <w:t>/</w:t>
            </w:r>
            <w:r>
              <w:rPr>
                <w:rFonts w:hint="eastAsia" w:eastAsia="仿宋_GB2312" w:cs="宋体"/>
                <w:b/>
                <w:bCs/>
                <w:sz w:val="30"/>
                <w:szCs w:val="28"/>
              </w:rPr>
              <w:t>名义本金</w:t>
            </w:r>
            <w:r>
              <w:rPr>
                <w:rFonts w:eastAsia="仿宋_GB2312" w:cs="宋体"/>
                <w:sz w:val="30"/>
                <w:szCs w:val="28"/>
              </w:rPr>
              <w:t>*100%</w:t>
            </w:r>
            <w:r>
              <w:rPr>
                <w:rFonts w:hint="eastAsia" w:eastAsia="仿宋_GB2312" w:cs="宋体"/>
                <w:sz w:val="30"/>
                <w:szCs w:val="28"/>
              </w:rPr>
              <w:t>。</w:t>
            </w:r>
          </w:p>
        </w:tc>
      </w:tr>
      <w:tr w14:paraId="36C17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34" w:type="dxa"/>
            <w:vAlign w:val="center"/>
          </w:tcPr>
          <w:p w14:paraId="72F37A54">
            <w:pPr>
              <w:spacing w:line="560" w:lineRule="exact"/>
              <w:jc w:val="center"/>
              <w:rPr>
                <w:rFonts w:eastAsia="仿宋_GB2312" w:cs="宋体"/>
                <w:sz w:val="30"/>
                <w:szCs w:val="28"/>
              </w:rPr>
            </w:pPr>
            <w:r>
              <w:rPr>
                <w:rFonts w:hint="eastAsia" w:eastAsia="仿宋_GB2312" w:cs="宋体"/>
                <w:sz w:val="30"/>
                <w:szCs w:val="28"/>
              </w:rPr>
              <w:t>期初交付金额</w:t>
            </w:r>
          </w:p>
        </w:tc>
        <w:tc>
          <w:tcPr>
            <w:tcW w:w="5862" w:type="dxa"/>
            <w:vAlign w:val="center"/>
          </w:tcPr>
          <w:p w14:paraId="56430A27">
            <w:pPr>
              <w:spacing w:before="185" w:line="560" w:lineRule="exact"/>
              <w:rPr>
                <w:rFonts w:eastAsia="仿宋_GB2312" w:cs="宋体"/>
                <w:sz w:val="30"/>
                <w:szCs w:val="28"/>
              </w:rPr>
            </w:pPr>
            <w:r>
              <w:rPr>
                <w:rFonts w:hint="eastAsia" w:eastAsia="仿宋_GB2312" w:cs="宋体"/>
                <w:sz w:val="30"/>
                <w:szCs w:val="28"/>
              </w:rPr>
              <w:t>在期初交付金额支付日支付的</w:t>
            </w:r>
            <w:r>
              <w:rPr>
                <w:rFonts w:hint="eastAsia" w:eastAsia="仿宋_GB2312" w:cs="宋体"/>
                <w:b/>
                <w:sz w:val="30"/>
                <w:szCs w:val="28"/>
              </w:rPr>
              <w:t>前端费用</w:t>
            </w:r>
            <w:r>
              <w:rPr>
                <w:rFonts w:hint="eastAsia" w:eastAsia="仿宋_GB2312" w:cs="宋体"/>
                <w:sz w:val="30"/>
                <w:szCs w:val="28"/>
              </w:rPr>
              <w:t>和</w:t>
            </w:r>
            <w:r>
              <w:rPr>
                <w:rFonts w:hint="eastAsia" w:eastAsia="仿宋_GB2312" w:cs="宋体"/>
                <w:b/>
                <w:sz w:val="30"/>
                <w:szCs w:val="28"/>
              </w:rPr>
              <w:t>期初返还金额</w:t>
            </w:r>
            <w:r>
              <w:rPr>
                <w:rFonts w:hint="eastAsia" w:eastAsia="仿宋_GB2312" w:cs="宋体"/>
                <w:sz w:val="30"/>
                <w:szCs w:val="28"/>
              </w:rPr>
              <w:t>的轧差。</w:t>
            </w:r>
          </w:p>
        </w:tc>
      </w:tr>
      <w:tr w14:paraId="76DE5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4" w:type="dxa"/>
            <w:vAlign w:val="center"/>
          </w:tcPr>
          <w:p w14:paraId="2072C575">
            <w:pPr>
              <w:spacing w:line="560" w:lineRule="exact"/>
              <w:jc w:val="center"/>
              <w:rPr>
                <w:rFonts w:eastAsia="仿宋_GB2312" w:cs="宋体"/>
                <w:sz w:val="30"/>
                <w:szCs w:val="28"/>
              </w:rPr>
            </w:pPr>
            <w:r>
              <w:rPr>
                <w:rFonts w:hint="eastAsia" w:eastAsia="仿宋_GB2312" w:cs="宋体"/>
                <w:sz w:val="30"/>
                <w:szCs w:val="24"/>
              </w:rPr>
              <w:t>首期支付日</w:t>
            </w:r>
          </w:p>
        </w:tc>
        <w:tc>
          <w:tcPr>
            <w:tcW w:w="5862" w:type="dxa"/>
            <w:vAlign w:val="center"/>
          </w:tcPr>
          <w:p w14:paraId="5FE12881">
            <w:pPr>
              <w:spacing w:before="185" w:line="560" w:lineRule="exact"/>
              <w:rPr>
                <w:rFonts w:eastAsia="仿宋_GB2312" w:cs="宋体"/>
                <w:sz w:val="30"/>
                <w:szCs w:val="28"/>
              </w:rPr>
            </w:pPr>
            <w:r>
              <w:rPr>
                <w:rFonts w:hint="eastAsia" w:eastAsia="仿宋_GB2312" w:cs="宋体"/>
                <w:b/>
                <w:bCs/>
                <w:sz w:val="30"/>
                <w:szCs w:val="24"/>
              </w:rPr>
              <w:t>本确认书</w:t>
            </w:r>
            <w:r>
              <w:rPr>
                <w:rFonts w:hint="eastAsia" w:eastAsia="仿宋_GB2312" w:cs="宋体"/>
                <w:sz w:val="30"/>
                <w:szCs w:val="24"/>
              </w:rPr>
              <w:t>的生效日之后的第一个支付日，并依照上海证券交易所相关的</w:t>
            </w:r>
            <w:r>
              <w:rPr>
                <w:rFonts w:hint="eastAsia" w:eastAsia="仿宋_GB2312" w:cs="宋体"/>
                <w:b/>
                <w:bCs/>
                <w:sz w:val="30"/>
                <w:szCs w:val="24"/>
              </w:rPr>
              <w:t>交易日</w:t>
            </w:r>
            <w:r>
              <w:rPr>
                <w:rFonts w:hint="eastAsia" w:eastAsia="仿宋_GB2312" w:cs="宋体"/>
                <w:sz w:val="30"/>
                <w:szCs w:val="24"/>
              </w:rPr>
              <w:t>准则调整。</w:t>
            </w:r>
          </w:p>
        </w:tc>
      </w:tr>
      <w:tr w14:paraId="2D048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4" w:type="dxa"/>
            <w:vAlign w:val="center"/>
          </w:tcPr>
          <w:p w14:paraId="4BB8E20F">
            <w:pPr>
              <w:spacing w:before="185" w:line="560" w:lineRule="exact"/>
              <w:jc w:val="center"/>
              <w:rPr>
                <w:rFonts w:eastAsia="仿宋_GB2312" w:cs="宋体"/>
                <w:sz w:val="30"/>
                <w:szCs w:val="28"/>
              </w:rPr>
            </w:pPr>
            <w:r>
              <w:rPr>
                <w:rFonts w:hint="eastAsia" w:eastAsia="仿宋_GB2312" w:cs="宋体"/>
                <w:sz w:val="30"/>
                <w:szCs w:val="28"/>
              </w:rPr>
              <w:t>债务</w:t>
            </w:r>
          </w:p>
        </w:tc>
        <w:tc>
          <w:tcPr>
            <w:tcW w:w="5862" w:type="dxa"/>
            <w:vAlign w:val="center"/>
          </w:tcPr>
          <w:p w14:paraId="007DCE98">
            <w:pPr>
              <w:spacing w:line="560" w:lineRule="exact"/>
              <w:ind w:right="-34" w:rightChars="-16"/>
              <w:rPr>
                <w:rFonts w:eastAsia="仿宋_GB2312" w:cs="宋体"/>
                <w:sz w:val="30"/>
                <w:szCs w:val="28"/>
              </w:rPr>
            </w:pPr>
            <w:r>
              <w:rPr>
                <w:rFonts w:hint="eastAsia" w:eastAsia="仿宋_GB2312" w:cs="宋体"/>
                <w:sz w:val="30"/>
                <w:szCs w:val="28"/>
              </w:rPr>
              <w:t>指</w:t>
            </w:r>
            <w:r>
              <w:rPr>
                <w:rFonts w:hint="eastAsia" w:eastAsia="仿宋_GB2312" w:cs="宋体"/>
                <w:b/>
                <w:bCs/>
                <w:sz w:val="30"/>
                <w:szCs w:val="28"/>
              </w:rPr>
              <w:t>参考实体</w:t>
            </w:r>
            <w:r>
              <w:rPr>
                <w:rFonts w:hint="eastAsia" w:eastAsia="仿宋_GB2312" w:cs="宋体"/>
                <w:sz w:val="30"/>
                <w:szCs w:val="28"/>
              </w:rPr>
              <w:t>作为主债务人负有的</w:t>
            </w:r>
            <w:r>
              <w:rPr>
                <w:rFonts w:hint="eastAsia" w:eastAsia="仿宋_GB2312" w:cs="宋体"/>
                <w:b/>
                <w:sz w:val="30"/>
                <w:szCs w:val="28"/>
              </w:rPr>
              <w:t>债务</w:t>
            </w:r>
            <w:r>
              <w:rPr>
                <w:rFonts w:hint="eastAsia" w:eastAsia="仿宋_GB2312" w:cs="宋体"/>
                <w:sz w:val="30"/>
                <w:szCs w:val="28"/>
              </w:rPr>
              <w:t>。</w:t>
            </w:r>
          </w:p>
        </w:tc>
      </w:tr>
      <w:tr w14:paraId="0E31F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4" w:type="dxa"/>
            <w:vAlign w:val="center"/>
          </w:tcPr>
          <w:p w14:paraId="4C1AAA08">
            <w:pPr>
              <w:spacing w:before="185" w:line="560" w:lineRule="exact"/>
              <w:jc w:val="center"/>
              <w:rPr>
                <w:rFonts w:eastAsia="仿宋_GB2312" w:cs="宋体"/>
                <w:sz w:val="30"/>
                <w:szCs w:val="28"/>
              </w:rPr>
            </w:pPr>
            <w:r>
              <w:rPr>
                <w:rFonts w:hint="eastAsia" w:eastAsia="仿宋_GB2312" w:cs="宋体"/>
                <w:sz w:val="30"/>
                <w:szCs w:val="28"/>
              </w:rPr>
              <w:t>参考债务</w:t>
            </w:r>
          </w:p>
        </w:tc>
        <w:tc>
          <w:tcPr>
            <w:tcW w:w="5862" w:type="dxa"/>
            <w:vAlign w:val="center"/>
          </w:tcPr>
          <w:p w14:paraId="6C591007">
            <w:pPr>
              <w:autoSpaceDE w:val="0"/>
              <w:autoSpaceDN w:val="0"/>
              <w:adjustRightInd w:val="0"/>
              <w:spacing w:line="560" w:lineRule="exact"/>
              <w:rPr>
                <w:rFonts w:eastAsia="仿宋_GB2312" w:cs="宋体"/>
                <w:sz w:val="30"/>
                <w:szCs w:val="28"/>
              </w:rPr>
            </w:pPr>
            <w:r>
              <w:rPr>
                <w:rFonts w:hint="eastAsia" w:eastAsia="仿宋_GB2312" w:cs="宋体"/>
                <w:sz w:val="30"/>
                <w:szCs w:val="28"/>
              </w:rPr>
              <w:t>指</w:t>
            </w:r>
            <w:r>
              <w:rPr>
                <w:rFonts w:hint="eastAsia" w:eastAsia="仿宋_GB2312" w:cs="宋体"/>
                <w:b/>
                <w:sz w:val="30"/>
                <w:szCs w:val="28"/>
              </w:rPr>
              <w:t>交易双方</w:t>
            </w:r>
            <w:r>
              <w:rPr>
                <w:rFonts w:hint="eastAsia" w:eastAsia="仿宋_GB2312" w:cs="宋体"/>
                <w:sz w:val="30"/>
                <w:szCs w:val="28"/>
              </w:rPr>
              <w:t>在</w:t>
            </w:r>
            <w:r>
              <w:rPr>
                <w:rFonts w:hint="eastAsia" w:eastAsia="仿宋_GB2312" w:cs="宋体"/>
                <w:b/>
                <w:sz w:val="30"/>
                <w:szCs w:val="28"/>
              </w:rPr>
              <w:t>本确认书</w:t>
            </w:r>
            <w:r>
              <w:rPr>
                <w:rFonts w:hint="eastAsia" w:eastAsia="仿宋_GB2312" w:cs="宋体"/>
                <w:sz w:val="30"/>
                <w:szCs w:val="28"/>
              </w:rPr>
              <w:t>中列明或描述的一个或多个</w:t>
            </w:r>
            <w:r>
              <w:rPr>
                <w:rFonts w:hint="eastAsia" w:eastAsia="仿宋_GB2312" w:cs="宋体"/>
                <w:b/>
                <w:sz w:val="30"/>
                <w:szCs w:val="28"/>
              </w:rPr>
              <w:t>参考实体</w:t>
            </w:r>
            <w:r>
              <w:rPr>
                <w:rFonts w:hint="eastAsia" w:eastAsia="仿宋_GB2312" w:cs="宋体"/>
                <w:sz w:val="30"/>
                <w:szCs w:val="28"/>
              </w:rPr>
              <w:t>的一项或多项债务（或一类或多类</w:t>
            </w:r>
            <w:r>
              <w:rPr>
                <w:rFonts w:hint="eastAsia" w:eastAsia="仿宋_GB2312" w:cs="宋体"/>
                <w:b/>
                <w:sz w:val="30"/>
                <w:szCs w:val="28"/>
              </w:rPr>
              <w:t>债务</w:t>
            </w:r>
            <w:r>
              <w:rPr>
                <w:rFonts w:hint="eastAsia" w:eastAsia="仿宋_GB2312" w:cs="宋体"/>
                <w:sz w:val="30"/>
                <w:szCs w:val="28"/>
              </w:rPr>
              <w:t>）。</w:t>
            </w:r>
          </w:p>
        </w:tc>
      </w:tr>
      <w:tr w14:paraId="1941D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34" w:type="dxa"/>
            <w:vAlign w:val="center"/>
          </w:tcPr>
          <w:p w14:paraId="41479DED">
            <w:pPr>
              <w:spacing w:before="185" w:line="560" w:lineRule="exact"/>
              <w:jc w:val="center"/>
              <w:rPr>
                <w:rFonts w:eastAsia="仿宋_GB2312" w:cs="宋体"/>
                <w:sz w:val="30"/>
                <w:szCs w:val="28"/>
              </w:rPr>
            </w:pPr>
            <w:r>
              <w:rPr>
                <w:rFonts w:hint="eastAsia" w:eastAsia="仿宋_GB2312" w:cs="宋体"/>
                <w:sz w:val="30"/>
                <w:szCs w:val="28"/>
              </w:rPr>
              <w:t>债务种类</w:t>
            </w:r>
          </w:p>
        </w:tc>
        <w:tc>
          <w:tcPr>
            <w:tcW w:w="5862" w:type="dxa"/>
            <w:vAlign w:val="center"/>
          </w:tcPr>
          <w:p w14:paraId="6FD369AC">
            <w:pPr>
              <w:pStyle w:val="17"/>
              <w:spacing w:before="26" w:line="560" w:lineRule="exact"/>
              <w:rPr>
                <w:rFonts w:eastAsia="仿宋_GB2312" w:cs="宋体"/>
                <w:sz w:val="30"/>
                <w:szCs w:val="28"/>
              </w:rPr>
            </w:pPr>
            <w:r>
              <w:rPr>
                <w:rFonts w:hint="eastAsia" w:eastAsia="仿宋_GB2312" w:cs="宋体"/>
                <w:sz w:val="30"/>
                <w:szCs w:val="28"/>
              </w:rPr>
              <w:t>指</w:t>
            </w:r>
            <w:r>
              <w:rPr>
                <w:rFonts w:hint="eastAsia" w:eastAsia="仿宋_GB2312" w:cs="宋体"/>
                <w:b/>
                <w:bCs/>
                <w:sz w:val="30"/>
                <w:szCs w:val="28"/>
              </w:rPr>
              <w:t>参考实体</w:t>
            </w:r>
            <w:r>
              <w:rPr>
                <w:rFonts w:hint="eastAsia" w:eastAsia="仿宋_GB2312" w:cs="宋体"/>
                <w:sz w:val="30"/>
                <w:szCs w:val="28"/>
              </w:rPr>
              <w:t>所负</w:t>
            </w:r>
            <w:r>
              <w:rPr>
                <w:rFonts w:hint="eastAsia" w:eastAsia="仿宋_GB2312" w:cs="宋体"/>
                <w:b/>
                <w:bCs/>
                <w:sz w:val="30"/>
                <w:szCs w:val="28"/>
              </w:rPr>
              <w:t>债务</w:t>
            </w:r>
            <w:r>
              <w:rPr>
                <w:rFonts w:hint="eastAsia" w:eastAsia="仿宋_GB2312" w:cs="宋体"/>
                <w:sz w:val="30"/>
                <w:szCs w:val="28"/>
              </w:rPr>
              <w:t>的类别，包括但不限于：</w:t>
            </w:r>
          </w:p>
          <w:p w14:paraId="5BEA5B13">
            <w:pPr>
              <w:pStyle w:val="17"/>
              <w:spacing w:before="26" w:line="560" w:lineRule="exact"/>
              <w:rPr>
                <w:rFonts w:eastAsia="仿宋_GB2312" w:cs="宋体"/>
                <w:sz w:val="30"/>
                <w:szCs w:val="28"/>
              </w:rPr>
            </w:pPr>
            <w:r>
              <w:rPr>
                <w:rFonts w:hint="eastAsia" w:eastAsia="仿宋_GB2312" w:cs="宋体"/>
                <w:sz w:val="30"/>
                <w:szCs w:val="28"/>
              </w:rPr>
              <w:t>（</w:t>
            </w:r>
            <w:r>
              <w:rPr>
                <w:rFonts w:eastAsia="仿宋_GB2312" w:cs="宋体"/>
                <w:sz w:val="30"/>
                <w:szCs w:val="28"/>
              </w:rPr>
              <w:t>1</w:t>
            </w:r>
            <w:r>
              <w:rPr>
                <w:rFonts w:hint="eastAsia" w:eastAsia="仿宋_GB2312" w:cs="宋体"/>
                <w:sz w:val="30"/>
                <w:szCs w:val="28"/>
              </w:rPr>
              <w:t>）付款义务，即任何支付或偿还款项的义务；</w:t>
            </w:r>
          </w:p>
          <w:p w14:paraId="34E8D880">
            <w:pPr>
              <w:spacing w:line="560" w:lineRule="exact"/>
              <w:rPr>
                <w:rFonts w:eastAsia="仿宋_GB2312" w:cs="宋体"/>
                <w:kern w:val="0"/>
                <w:sz w:val="30"/>
                <w:szCs w:val="28"/>
              </w:rPr>
            </w:pPr>
            <w:r>
              <w:rPr>
                <w:rFonts w:hint="eastAsia" w:eastAsia="仿宋_GB2312" w:cs="宋体"/>
                <w:sz w:val="30"/>
                <w:szCs w:val="28"/>
              </w:rPr>
              <w:t>（</w:t>
            </w:r>
            <w:r>
              <w:rPr>
                <w:rFonts w:eastAsia="仿宋_GB2312" w:cs="宋体"/>
                <w:sz w:val="30"/>
                <w:szCs w:val="28"/>
              </w:rPr>
              <w:t>2</w:t>
            </w:r>
            <w:r>
              <w:rPr>
                <w:rFonts w:hint="eastAsia" w:eastAsia="仿宋_GB2312" w:cs="宋体"/>
                <w:sz w:val="30"/>
                <w:szCs w:val="28"/>
              </w:rPr>
              <w:t>）借贷款项，即基于贷款或债务融资法律关系产生的一种付款义务；</w:t>
            </w:r>
          </w:p>
          <w:p w14:paraId="20D306BE">
            <w:pPr>
              <w:pStyle w:val="17"/>
              <w:spacing w:line="560" w:lineRule="exact"/>
              <w:rPr>
                <w:rFonts w:eastAsia="仿宋_GB2312" w:cs="宋体"/>
                <w:sz w:val="30"/>
                <w:szCs w:val="28"/>
              </w:rPr>
            </w:pPr>
            <w:r>
              <w:rPr>
                <w:rFonts w:hint="eastAsia" w:eastAsia="仿宋_GB2312" w:cs="宋体"/>
                <w:spacing w:val="2"/>
                <w:sz w:val="30"/>
                <w:szCs w:val="28"/>
              </w:rPr>
              <w:t>（</w:t>
            </w:r>
            <w:r>
              <w:rPr>
                <w:rFonts w:eastAsia="仿宋_GB2312" w:cs="宋体"/>
                <w:spacing w:val="2"/>
                <w:sz w:val="30"/>
                <w:szCs w:val="28"/>
              </w:rPr>
              <w:t>3</w:t>
            </w:r>
            <w:r>
              <w:rPr>
                <w:rFonts w:hint="eastAsia" w:eastAsia="仿宋_GB2312" w:cs="宋体"/>
                <w:spacing w:val="2"/>
                <w:sz w:val="30"/>
                <w:szCs w:val="28"/>
              </w:rPr>
              <w:t>）贷款，即根据相关贷款协议、授信安排、保险资金间接投资基础设施、</w:t>
            </w:r>
            <w:r>
              <w:rPr>
                <w:rFonts w:hint="eastAsia" w:eastAsia="仿宋_GB2312" w:cs="宋体"/>
                <w:sz w:val="30"/>
                <w:szCs w:val="28"/>
              </w:rPr>
              <w:t>债权投资计划或信托安排已经发放的贷款；</w:t>
            </w:r>
          </w:p>
          <w:p w14:paraId="43089F12">
            <w:pPr>
              <w:pStyle w:val="17"/>
              <w:spacing w:line="560" w:lineRule="exact"/>
              <w:rPr>
                <w:rFonts w:eastAsia="仿宋_GB2312" w:cs="宋体"/>
                <w:sz w:val="30"/>
                <w:szCs w:val="28"/>
              </w:rPr>
            </w:pPr>
            <w:r>
              <w:rPr>
                <w:rFonts w:hint="eastAsia" w:eastAsia="仿宋_GB2312" w:cs="宋体"/>
                <w:sz w:val="30"/>
                <w:szCs w:val="28"/>
              </w:rPr>
              <w:t>（</w:t>
            </w:r>
            <w:r>
              <w:rPr>
                <w:rFonts w:eastAsia="仿宋_GB2312" w:cs="宋体"/>
                <w:sz w:val="30"/>
                <w:szCs w:val="28"/>
              </w:rPr>
              <w:t>4</w:t>
            </w:r>
            <w:r>
              <w:rPr>
                <w:rFonts w:hint="eastAsia" w:eastAsia="仿宋_GB2312" w:cs="宋体"/>
                <w:sz w:val="30"/>
                <w:szCs w:val="28"/>
              </w:rPr>
              <w:t>）</w:t>
            </w:r>
            <w:r>
              <w:rPr>
                <w:rFonts w:hint="eastAsia" w:eastAsia="仿宋_GB2312" w:cs="宋体"/>
                <w:b/>
                <w:sz w:val="30"/>
                <w:szCs w:val="28"/>
              </w:rPr>
              <w:t>债券</w:t>
            </w:r>
            <w:r>
              <w:rPr>
                <w:rFonts w:hint="eastAsia" w:eastAsia="仿宋_GB2312" w:cs="宋体"/>
                <w:sz w:val="30"/>
                <w:szCs w:val="28"/>
              </w:rPr>
              <w:t>，即各类公开发行、非公开发行或定向发行的债券或债务工具，包括但不限于公司债和可转债；</w:t>
            </w:r>
          </w:p>
          <w:p w14:paraId="2C5E7E0F">
            <w:pPr>
              <w:pStyle w:val="17"/>
              <w:spacing w:line="560" w:lineRule="exact"/>
              <w:rPr>
                <w:rFonts w:eastAsia="仿宋_GB2312" w:cs="宋体"/>
                <w:sz w:val="30"/>
                <w:szCs w:val="28"/>
              </w:rPr>
            </w:pPr>
            <w:r>
              <w:rPr>
                <w:rFonts w:hint="eastAsia" w:eastAsia="仿宋_GB2312" w:cs="宋体"/>
                <w:sz w:val="30"/>
                <w:szCs w:val="28"/>
              </w:rPr>
              <w:t>（</w:t>
            </w:r>
            <w:r>
              <w:rPr>
                <w:rFonts w:eastAsia="仿宋_GB2312" w:cs="宋体"/>
                <w:sz w:val="30"/>
                <w:szCs w:val="28"/>
              </w:rPr>
              <w:t>5</w:t>
            </w:r>
            <w:r>
              <w:rPr>
                <w:rFonts w:hint="eastAsia" w:eastAsia="仿宋_GB2312" w:cs="宋体"/>
                <w:sz w:val="30"/>
                <w:szCs w:val="28"/>
              </w:rPr>
              <w:t>）公司债；</w:t>
            </w:r>
          </w:p>
          <w:p w14:paraId="1C4060E9">
            <w:pPr>
              <w:spacing w:line="560" w:lineRule="exact"/>
              <w:rPr>
                <w:rFonts w:eastAsia="仿宋_GB2312" w:cs="宋体"/>
                <w:kern w:val="0"/>
                <w:sz w:val="30"/>
                <w:szCs w:val="28"/>
              </w:rPr>
            </w:pPr>
            <w:r>
              <w:rPr>
                <w:rFonts w:hint="eastAsia" w:eastAsia="仿宋_GB2312" w:cs="宋体"/>
                <w:sz w:val="30"/>
                <w:szCs w:val="28"/>
              </w:rPr>
              <w:t>（</w:t>
            </w:r>
            <w:r>
              <w:rPr>
                <w:rFonts w:eastAsia="仿宋_GB2312" w:cs="宋体"/>
                <w:sz w:val="30"/>
                <w:szCs w:val="28"/>
              </w:rPr>
              <w:t>6</w:t>
            </w:r>
            <w:r>
              <w:rPr>
                <w:rFonts w:hint="eastAsia" w:eastAsia="仿宋_GB2312" w:cs="宋体"/>
                <w:sz w:val="30"/>
                <w:szCs w:val="28"/>
              </w:rPr>
              <w:t>）可转债；</w:t>
            </w:r>
          </w:p>
          <w:p w14:paraId="35429298">
            <w:pPr>
              <w:pStyle w:val="17"/>
              <w:spacing w:line="560" w:lineRule="exact"/>
              <w:rPr>
                <w:rFonts w:eastAsia="仿宋_GB2312"/>
                <w:sz w:val="30"/>
                <w:szCs w:val="28"/>
              </w:rPr>
            </w:pPr>
            <w:r>
              <w:rPr>
                <w:rFonts w:hint="eastAsia" w:eastAsia="仿宋_GB2312"/>
                <w:sz w:val="30"/>
                <w:szCs w:val="28"/>
              </w:rPr>
              <w:t>（</w:t>
            </w:r>
            <w:r>
              <w:rPr>
                <w:rFonts w:eastAsia="仿宋_GB2312"/>
                <w:sz w:val="30"/>
                <w:szCs w:val="28"/>
              </w:rPr>
              <w:t>7</w:t>
            </w:r>
            <w:r>
              <w:rPr>
                <w:rFonts w:hint="eastAsia" w:eastAsia="仿宋_GB2312"/>
                <w:sz w:val="30"/>
                <w:szCs w:val="28"/>
              </w:rPr>
              <w:t>）资产支持证券；</w:t>
            </w:r>
          </w:p>
          <w:p w14:paraId="1B2006C3">
            <w:pPr>
              <w:spacing w:line="560" w:lineRule="exact"/>
              <w:rPr>
                <w:rFonts w:eastAsia="仿宋_GB2312" w:cs="宋体"/>
                <w:kern w:val="0"/>
                <w:sz w:val="30"/>
                <w:szCs w:val="28"/>
              </w:rPr>
            </w:pPr>
            <w:r>
              <w:rPr>
                <w:rFonts w:hint="eastAsia" w:eastAsia="仿宋_GB2312" w:cs="宋体"/>
                <w:sz w:val="30"/>
                <w:szCs w:val="28"/>
              </w:rPr>
              <w:t>（</w:t>
            </w:r>
            <w:r>
              <w:rPr>
                <w:rFonts w:eastAsia="仿宋_GB2312" w:cs="宋体"/>
                <w:sz w:val="30"/>
                <w:szCs w:val="28"/>
              </w:rPr>
              <w:t>8</w:t>
            </w:r>
            <w:r>
              <w:rPr>
                <w:rFonts w:hint="eastAsia" w:eastAsia="仿宋_GB2312" w:cs="宋体"/>
                <w:sz w:val="30"/>
                <w:szCs w:val="28"/>
              </w:rPr>
              <w:t>）仅为</w:t>
            </w:r>
            <w:r>
              <w:rPr>
                <w:rFonts w:hint="eastAsia" w:eastAsia="仿宋_GB2312" w:cs="宋体"/>
                <w:b/>
                <w:sz w:val="30"/>
                <w:szCs w:val="28"/>
              </w:rPr>
              <w:t>参考债务</w:t>
            </w:r>
            <w:r>
              <w:rPr>
                <w:rFonts w:hint="eastAsia" w:eastAsia="仿宋_GB2312" w:cs="宋体"/>
                <w:sz w:val="30"/>
                <w:szCs w:val="28"/>
              </w:rPr>
              <w:t>。</w:t>
            </w:r>
          </w:p>
        </w:tc>
      </w:tr>
      <w:tr w14:paraId="358CA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4" w:type="dxa"/>
            <w:vAlign w:val="center"/>
          </w:tcPr>
          <w:p w14:paraId="0CA6129F">
            <w:pPr>
              <w:spacing w:before="185" w:line="560" w:lineRule="exact"/>
              <w:jc w:val="center"/>
              <w:rPr>
                <w:rFonts w:eastAsia="仿宋_GB2312" w:cs="宋体"/>
                <w:sz w:val="30"/>
                <w:szCs w:val="28"/>
              </w:rPr>
            </w:pPr>
            <w:r>
              <w:rPr>
                <w:rFonts w:hint="eastAsia" w:eastAsia="仿宋_GB2312" w:cs="宋体"/>
                <w:sz w:val="30"/>
                <w:szCs w:val="28"/>
              </w:rPr>
              <w:t>债务特征</w:t>
            </w:r>
          </w:p>
        </w:tc>
        <w:tc>
          <w:tcPr>
            <w:tcW w:w="5862" w:type="dxa"/>
            <w:vAlign w:val="center"/>
          </w:tcPr>
          <w:p w14:paraId="31E950FD">
            <w:pPr>
              <w:spacing w:before="185" w:line="560" w:lineRule="exact"/>
              <w:rPr>
                <w:rFonts w:eastAsia="仿宋_GB2312" w:cs="宋体"/>
                <w:sz w:val="30"/>
                <w:szCs w:val="28"/>
              </w:rPr>
            </w:pPr>
            <w:r>
              <w:rPr>
                <w:rFonts w:hint="eastAsia" w:eastAsia="仿宋_GB2312" w:cs="宋体"/>
                <w:spacing w:val="-6"/>
                <w:sz w:val="30"/>
                <w:szCs w:val="28"/>
              </w:rPr>
              <w:t>指</w:t>
            </w:r>
            <w:r>
              <w:rPr>
                <w:rFonts w:hint="eastAsia" w:eastAsia="仿宋_GB2312" w:cs="宋体"/>
                <w:b/>
                <w:bCs/>
                <w:spacing w:val="-6"/>
                <w:sz w:val="30"/>
                <w:szCs w:val="28"/>
              </w:rPr>
              <w:t>参考实体</w:t>
            </w:r>
            <w:r>
              <w:rPr>
                <w:rFonts w:hint="eastAsia" w:eastAsia="仿宋_GB2312" w:cs="宋体"/>
                <w:spacing w:val="-6"/>
                <w:sz w:val="30"/>
                <w:szCs w:val="28"/>
              </w:rPr>
              <w:t>所负债务的一项或多项特征，包括但不限于</w:t>
            </w:r>
            <w:r>
              <w:rPr>
                <w:rFonts w:hint="eastAsia" w:eastAsia="仿宋_GB2312" w:cs="宋体"/>
                <w:b/>
                <w:spacing w:val="-6"/>
                <w:sz w:val="30"/>
                <w:szCs w:val="28"/>
              </w:rPr>
              <w:t>一般债务</w:t>
            </w:r>
            <w:r>
              <w:rPr>
                <w:rFonts w:hint="eastAsia" w:eastAsia="仿宋_GB2312" w:cs="宋体"/>
                <w:spacing w:val="-6"/>
                <w:sz w:val="30"/>
                <w:szCs w:val="28"/>
              </w:rPr>
              <w:t>、</w:t>
            </w:r>
            <w:r>
              <w:rPr>
                <w:rFonts w:hint="eastAsia" w:eastAsia="仿宋_GB2312" w:cs="宋体"/>
                <w:b/>
                <w:spacing w:val="-6"/>
                <w:sz w:val="30"/>
                <w:szCs w:val="28"/>
              </w:rPr>
              <w:t>次级债务</w:t>
            </w:r>
            <w:r>
              <w:rPr>
                <w:rFonts w:hint="eastAsia" w:eastAsia="仿宋_GB2312" w:cs="宋体"/>
                <w:spacing w:val="-6"/>
                <w:sz w:val="30"/>
                <w:szCs w:val="28"/>
              </w:rPr>
              <w:t>、</w:t>
            </w:r>
            <w:r>
              <w:rPr>
                <w:rFonts w:hint="eastAsia" w:eastAsia="仿宋_GB2312" w:cs="宋体"/>
                <w:b/>
                <w:sz w:val="30"/>
                <w:szCs w:val="28"/>
              </w:rPr>
              <w:t>交易流通</w:t>
            </w:r>
            <w:r>
              <w:rPr>
                <w:rFonts w:hint="eastAsia" w:eastAsia="仿宋_GB2312" w:cs="宋体"/>
                <w:sz w:val="30"/>
                <w:szCs w:val="28"/>
              </w:rPr>
              <w:t>、</w:t>
            </w:r>
            <w:r>
              <w:rPr>
                <w:rFonts w:hint="eastAsia" w:eastAsia="仿宋_GB2312" w:cs="宋体"/>
                <w:b/>
                <w:sz w:val="30"/>
                <w:szCs w:val="28"/>
              </w:rPr>
              <w:t>本币</w:t>
            </w:r>
            <w:r>
              <w:rPr>
                <w:rFonts w:hint="eastAsia" w:eastAsia="仿宋_GB2312" w:cs="宋体"/>
                <w:sz w:val="30"/>
                <w:szCs w:val="28"/>
              </w:rPr>
              <w:t>或</w:t>
            </w:r>
            <w:r>
              <w:rPr>
                <w:rFonts w:hint="eastAsia" w:eastAsia="仿宋_GB2312" w:cs="宋体"/>
                <w:b/>
                <w:sz w:val="30"/>
                <w:szCs w:val="28"/>
              </w:rPr>
              <w:t>外币</w:t>
            </w:r>
            <w:r>
              <w:rPr>
                <w:rFonts w:hint="eastAsia" w:eastAsia="仿宋_GB2312" w:cs="宋体"/>
                <w:sz w:val="30"/>
                <w:szCs w:val="28"/>
              </w:rPr>
              <w:t>等特征。</w:t>
            </w:r>
          </w:p>
        </w:tc>
      </w:tr>
      <w:tr w14:paraId="110FA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4" w:type="dxa"/>
            <w:vAlign w:val="center"/>
          </w:tcPr>
          <w:p w14:paraId="21B79D07">
            <w:pPr>
              <w:spacing w:before="185" w:line="560" w:lineRule="exact"/>
              <w:jc w:val="center"/>
              <w:rPr>
                <w:rFonts w:eastAsia="仿宋_GB2312" w:cs="宋体"/>
                <w:sz w:val="30"/>
                <w:szCs w:val="28"/>
              </w:rPr>
            </w:pPr>
            <w:r>
              <w:rPr>
                <w:rFonts w:hint="eastAsia" w:eastAsia="仿宋_GB2312" w:cs="宋体"/>
                <w:sz w:val="30"/>
                <w:szCs w:val="28"/>
              </w:rPr>
              <w:t>一般债务</w:t>
            </w:r>
          </w:p>
        </w:tc>
        <w:tc>
          <w:tcPr>
            <w:tcW w:w="5862" w:type="dxa"/>
            <w:vAlign w:val="center"/>
          </w:tcPr>
          <w:p w14:paraId="5B0E9BCB">
            <w:pPr>
              <w:spacing w:before="185" w:line="560" w:lineRule="exact"/>
              <w:rPr>
                <w:rFonts w:eastAsia="仿宋_GB2312" w:cs="宋体"/>
                <w:spacing w:val="-6"/>
                <w:sz w:val="30"/>
                <w:szCs w:val="28"/>
              </w:rPr>
            </w:pPr>
            <w:r>
              <w:rPr>
                <w:rFonts w:hint="eastAsia" w:eastAsia="仿宋_GB2312" w:cs="宋体"/>
                <w:spacing w:val="-6"/>
                <w:sz w:val="30"/>
                <w:szCs w:val="28"/>
              </w:rPr>
              <w:t>指该</w:t>
            </w:r>
            <w:r>
              <w:rPr>
                <w:rFonts w:hint="eastAsia" w:eastAsia="仿宋_GB2312" w:cs="宋体"/>
                <w:b/>
                <w:bCs/>
                <w:spacing w:val="-6"/>
                <w:sz w:val="30"/>
                <w:szCs w:val="28"/>
              </w:rPr>
              <w:t>债务</w:t>
            </w:r>
            <w:r>
              <w:rPr>
                <w:rFonts w:hint="eastAsia" w:eastAsia="仿宋_GB2312" w:cs="宋体"/>
                <w:spacing w:val="-6"/>
                <w:sz w:val="30"/>
                <w:szCs w:val="28"/>
              </w:rPr>
              <w:t>在获得</w:t>
            </w:r>
            <w:r>
              <w:rPr>
                <w:rFonts w:hint="eastAsia" w:eastAsia="仿宋_GB2312" w:cs="宋体"/>
                <w:b/>
                <w:bCs/>
                <w:spacing w:val="-6"/>
                <w:sz w:val="30"/>
                <w:szCs w:val="28"/>
              </w:rPr>
              <w:t>参考实体</w:t>
            </w:r>
            <w:r>
              <w:rPr>
                <w:rFonts w:hint="eastAsia" w:eastAsia="仿宋_GB2312" w:cs="宋体"/>
                <w:spacing w:val="-6"/>
                <w:sz w:val="30"/>
                <w:szCs w:val="28"/>
              </w:rPr>
              <w:t>清偿时的受偿顺序优先于其他同类型借款款项，或与其他同类型借贷款项平等受偿。在判断</w:t>
            </w:r>
            <w:r>
              <w:rPr>
                <w:rFonts w:hint="eastAsia" w:eastAsia="仿宋_GB2312" w:cs="宋体"/>
                <w:b/>
                <w:bCs/>
                <w:spacing w:val="-6"/>
                <w:sz w:val="30"/>
                <w:szCs w:val="28"/>
              </w:rPr>
              <w:t>债务</w:t>
            </w:r>
            <w:r>
              <w:rPr>
                <w:rFonts w:hint="eastAsia" w:eastAsia="仿宋_GB2312" w:cs="宋体"/>
                <w:spacing w:val="-6"/>
                <w:sz w:val="30"/>
                <w:szCs w:val="28"/>
              </w:rPr>
              <w:t>受偿顺序时，应以相关</w:t>
            </w:r>
            <w:r>
              <w:rPr>
                <w:rFonts w:hint="eastAsia" w:eastAsia="仿宋_GB2312" w:cs="宋体"/>
                <w:b/>
                <w:bCs/>
                <w:spacing w:val="-6"/>
                <w:sz w:val="30"/>
                <w:szCs w:val="28"/>
              </w:rPr>
              <w:t>债务</w:t>
            </w:r>
            <w:r>
              <w:rPr>
                <w:rFonts w:hint="eastAsia" w:eastAsia="仿宋_GB2312" w:cs="宋体"/>
                <w:spacing w:val="-6"/>
                <w:sz w:val="30"/>
                <w:szCs w:val="28"/>
              </w:rPr>
              <w:t>发生时的状态为准，但在</w:t>
            </w:r>
            <w:r>
              <w:rPr>
                <w:rFonts w:hint="eastAsia" w:eastAsia="仿宋_GB2312" w:cs="宋体"/>
                <w:b/>
                <w:spacing w:val="-6"/>
                <w:sz w:val="30"/>
                <w:szCs w:val="28"/>
              </w:rPr>
              <w:t>本确认书</w:t>
            </w:r>
            <w:r>
              <w:rPr>
                <w:rFonts w:hint="eastAsia" w:eastAsia="仿宋_GB2312" w:cs="宋体"/>
                <w:spacing w:val="-6"/>
                <w:sz w:val="30"/>
                <w:szCs w:val="28"/>
              </w:rPr>
              <w:t>的生效日晚于该</w:t>
            </w:r>
            <w:r>
              <w:rPr>
                <w:rFonts w:hint="eastAsia" w:eastAsia="仿宋_GB2312" w:cs="宋体"/>
                <w:b/>
                <w:bCs/>
                <w:spacing w:val="-6"/>
                <w:sz w:val="30"/>
                <w:szCs w:val="28"/>
              </w:rPr>
              <w:t>债务</w:t>
            </w:r>
            <w:r>
              <w:rPr>
                <w:rFonts w:hint="eastAsia" w:eastAsia="仿宋_GB2312" w:cs="宋体"/>
                <w:spacing w:val="-6"/>
                <w:sz w:val="30"/>
                <w:szCs w:val="28"/>
              </w:rPr>
              <w:t>的发生日时，则以其在</w:t>
            </w:r>
            <w:r>
              <w:rPr>
                <w:rFonts w:hint="eastAsia" w:eastAsia="仿宋_GB2312" w:cs="宋体"/>
                <w:b/>
                <w:spacing w:val="-6"/>
                <w:sz w:val="30"/>
                <w:szCs w:val="28"/>
              </w:rPr>
              <w:t>本确认书</w:t>
            </w:r>
            <w:r>
              <w:rPr>
                <w:rFonts w:hint="eastAsia" w:eastAsia="仿宋_GB2312" w:cs="宋体"/>
                <w:spacing w:val="-6"/>
                <w:sz w:val="30"/>
                <w:szCs w:val="28"/>
              </w:rPr>
              <w:t>的生效日的状态为准。</w:t>
            </w:r>
          </w:p>
        </w:tc>
      </w:tr>
      <w:tr w14:paraId="251AA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4" w:type="dxa"/>
            <w:vAlign w:val="center"/>
          </w:tcPr>
          <w:p w14:paraId="404ED433">
            <w:pPr>
              <w:spacing w:before="185" w:line="560" w:lineRule="exact"/>
              <w:jc w:val="center"/>
              <w:rPr>
                <w:rFonts w:eastAsia="仿宋_GB2312" w:cs="宋体"/>
                <w:sz w:val="30"/>
                <w:szCs w:val="28"/>
              </w:rPr>
            </w:pPr>
            <w:r>
              <w:rPr>
                <w:rFonts w:hint="eastAsia" w:eastAsia="仿宋_GB2312" w:cs="宋体"/>
                <w:sz w:val="30"/>
                <w:szCs w:val="28"/>
              </w:rPr>
              <w:t>次级债务</w:t>
            </w:r>
          </w:p>
        </w:tc>
        <w:tc>
          <w:tcPr>
            <w:tcW w:w="5862" w:type="dxa"/>
            <w:vAlign w:val="center"/>
          </w:tcPr>
          <w:p w14:paraId="49880545">
            <w:pPr>
              <w:autoSpaceDE w:val="0"/>
              <w:autoSpaceDN w:val="0"/>
              <w:adjustRightInd w:val="0"/>
              <w:spacing w:line="560" w:lineRule="exact"/>
              <w:rPr>
                <w:rFonts w:eastAsia="仿宋_GB2312" w:cs="宋体"/>
                <w:sz w:val="30"/>
                <w:szCs w:val="28"/>
              </w:rPr>
            </w:pPr>
            <w:r>
              <w:rPr>
                <w:rFonts w:hint="eastAsia" w:eastAsia="仿宋_GB2312" w:cs="宋体"/>
                <w:sz w:val="30"/>
                <w:szCs w:val="28"/>
              </w:rPr>
              <w:t>指该债务在获得</w:t>
            </w:r>
            <w:r>
              <w:rPr>
                <w:rFonts w:hint="eastAsia" w:eastAsia="仿宋_GB2312" w:cs="宋体"/>
                <w:b/>
                <w:sz w:val="30"/>
                <w:szCs w:val="28"/>
              </w:rPr>
              <w:t>参考实体</w:t>
            </w:r>
            <w:r>
              <w:rPr>
                <w:rFonts w:hint="eastAsia" w:eastAsia="仿宋_GB2312" w:cs="宋体"/>
                <w:sz w:val="30"/>
                <w:szCs w:val="28"/>
              </w:rPr>
              <w:t>清偿时的受偿顺序在</w:t>
            </w:r>
            <w:r>
              <w:rPr>
                <w:rFonts w:hint="eastAsia" w:eastAsia="仿宋_GB2312" w:cs="宋体"/>
                <w:b/>
                <w:sz w:val="30"/>
                <w:szCs w:val="28"/>
              </w:rPr>
              <w:t>一般债务</w:t>
            </w:r>
            <w:r>
              <w:rPr>
                <w:rFonts w:hint="eastAsia" w:eastAsia="仿宋_GB2312" w:cs="宋体"/>
                <w:sz w:val="30"/>
                <w:szCs w:val="28"/>
              </w:rPr>
              <w:t>受偿后方可受偿，或在</w:t>
            </w:r>
            <w:r>
              <w:rPr>
                <w:rFonts w:hint="eastAsia" w:eastAsia="仿宋_GB2312" w:cs="宋体"/>
                <w:b/>
                <w:sz w:val="30"/>
                <w:szCs w:val="28"/>
              </w:rPr>
              <w:t>参考实体</w:t>
            </w:r>
            <w:r>
              <w:rPr>
                <w:rFonts w:hint="eastAsia" w:eastAsia="仿宋_GB2312" w:cs="宋体"/>
                <w:sz w:val="30"/>
                <w:szCs w:val="28"/>
              </w:rPr>
              <w:t>于</w:t>
            </w:r>
            <w:r>
              <w:rPr>
                <w:rFonts w:hint="eastAsia" w:eastAsia="仿宋_GB2312" w:cs="宋体"/>
                <w:b/>
                <w:sz w:val="30"/>
                <w:szCs w:val="28"/>
              </w:rPr>
              <w:t>一般债务</w:t>
            </w:r>
            <w:r>
              <w:rPr>
                <w:rFonts w:hint="eastAsia" w:eastAsia="仿宋_GB2312" w:cs="宋体"/>
                <w:sz w:val="30"/>
                <w:szCs w:val="28"/>
              </w:rPr>
              <w:t>项下尚有欠款或仍处于违约状态时，无权就该债务获得或保留</w:t>
            </w:r>
            <w:r>
              <w:rPr>
                <w:rFonts w:hint="eastAsia" w:eastAsia="仿宋_GB2312" w:cs="宋体"/>
                <w:b/>
                <w:sz w:val="30"/>
                <w:szCs w:val="28"/>
              </w:rPr>
              <w:t>参考实体</w:t>
            </w:r>
            <w:r>
              <w:rPr>
                <w:rFonts w:hint="eastAsia" w:eastAsia="仿宋_GB2312" w:cs="宋体"/>
                <w:sz w:val="30"/>
                <w:szCs w:val="28"/>
              </w:rPr>
              <w:t>支付的任何款项。</w:t>
            </w:r>
          </w:p>
        </w:tc>
      </w:tr>
      <w:tr w14:paraId="10C37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34" w:type="dxa"/>
            <w:vAlign w:val="center"/>
          </w:tcPr>
          <w:p w14:paraId="5A28AC1D">
            <w:pPr>
              <w:spacing w:before="185" w:line="560" w:lineRule="exact"/>
              <w:jc w:val="center"/>
              <w:rPr>
                <w:rFonts w:eastAsia="仿宋_GB2312" w:cs="宋体"/>
                <w:bCs/>
                <w:sz w:val="30"/>
                <w:szCs w:val="28"/>
              </w:rPr>
            </w:pPr>
            <w:r>
              <w:rPr>
                <w:rFonts w:hint="eastAsia" w:eastAsia="仿宋_GB2312" w:cs="宋体"/>
                <w:bCs/>
                <w:sz w:val="30"/>
                <w:szCs w:val="28"/>
              </w:rPr>
              <w:t>交易流通</w:t>
            </w:r>
          </w:p>
        </w:tc>
        <w:tc>
          <w:tcPr>
            <w:tcW w:w="5862" w:type="dxa"/>
            <w:vAlign w:val="center"/>
          </w:tcPr>
          <w:p w14:paraId="05493455">
            <w:pPr>
              <w:spacing w:line="560" w:lineRule="exact"/>
              <w:ind w:right="-34"/>
              <w:rPr>
                <w:rFonts w:eastAsia="仿宋_GB2312" w:cs="宋体"/>
                <w:spacing w:val="-3"/>
                <w:w w:val="95"/>
                <w:sz w:val="30"/>
                <w:szCs w:val="28"/>
              </w:rPr>
            </w:pPr>
            <w:r>
              <w:rPr>
                <w:rFonts w:hint="eastAsia" w:eastAsia="仿宋_GB2312" w:cs="宋体"/>
                <w:spacing w:val="4"/>
                <w:sz w:val="30"/>
                <w:szCs w:val="28"/>
              </w:rPr>
              <w:t>指该</w:t>
            </w:r>
            <w:r>
              <w:rPr>
                <w:rFonts w:hint="eastAsia" w:eastAsia="仿宋_GB2312" w:cs="宋体"/>
                <w:b/>
                <w:spacing w:val="4"/>
                <w:sz w:val="30"/>
                <w:szCs w:val="28"/>
              </w:rPr>
              <w:t>债务</w:t>
            </w:r>
            <w:r>
              <w:rPr>
                <w:rFonts w:hint="eastAsia" w:eastAsia="仿宋_GB2312" w:cs="宋体"/>
                <w:spacing w:val="4"/>
                <w:sz w:val="30"/>
                <w:szCs w:val="28"/>
              </w:rPr>
              <w:t>可以在中国境内或境外的合法交易场所转让或买卖。（即使某非公开发行或定向发行的</w:t>
            </w:r>
            <w:r>
              <w:rPr>
                <w:rFonts w:hint="eastAsia" w:eastAsia="仿宋_GB2312" w:cs="宋体"/>
                <w:b/>
                <w:spacing w:val="4"/>
                <w:sz w:val="30"/>
                <w:szCs w:val="28"/>
              </w:rPr>
              <w:t>债券</w:t>
            </w:r>
            <w:r>
              <w:rPr>
                <w:rFonts w:hint="eastAsia" w:eastAsia="仿宋_GB2312" w:cs="宋体"/>
                <w:spacing w:val="4"/>
                <w:sz w:val="30"/>
                <w:szCs w:val="28"/>
              </w:rPr>
              <w:t>在交易流通方面可能受到某些限制，仍应视为其具有“</w:t>
            </w:r>
            <w:r>
              <w:rPr>
                <w:rFonts w:hint="eastAsia" w:eastAsia="仿宋_GB2312" w:cs="宋体"/>
                <w:b/>
                <w:spacing w:val="4"/>
                <w:sz w:val="30"/>
                <w:szCs w:val="28"/>
              </w:rPr>
              <w:t>交易流通</w:t>
            </w:r>
            <w:r>
              <w:rPr>
                <w:rFonts w:hint="eastAsia" w:eastAsia="仿宋_GB2312" w:cs="宋体"/>
                <w:spacing w:val="4"/>
                <w:sz w:val="30"/>
                <w:szCs w:val="28"/>
              </w:rPr>
              <w:t>”</w:t>
            </w:r>
            <w:r>
              <w:rPr>
                <w:rFonts w:hint="eastAsia" w:eastAsia="仿宋_GB2312" w:cs="宋体"/>
                <w:b/>
                <w:spacing w:val="4"/>
                <w:sz w:val="30"/>
                <w:szCs w:val="28"/>
              </w:rPr>
              <w:t>的债务特征</w:t>
            </w:r>
            <w:r>
              <w:rPr>
                <w:rFonts w:hint="eastAsia" w:eastAsia="仿宋_GB2312" w:cs="宋体"/>
                <w:spacing w:val="4"/>
                <w:sz w:val="30"/>
                <w:szCs w:val="28"/>
              </w:rPr>
              <w:t>。）</w:t>
            </w:r>
          </w:p>
        </w:tc>
      </w:tr>
      <w:tr w14:paraId="43CD6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4" w:type="dxa"/>
            <w:vAlign w:val="center"/>
          </w:tcPr>
          <w:p w14:paraId="2615F4EB">
            <w:pPr>
              <w:spacing w:before="185" w:line="560" w:lineRule="exact"/>
              <w:jc w:val="center"/>
              <w:rPr>
                <w:rFonts w:eastAsia="仿宋_GB2312" w:cs="宋体"/>
                <w:bCs/>
                <w:sz w:val="30"/>
                <w:szCs w:val="28"/>
              </w:rPr>
            </w:pPr>
            <w:r>
              <w:rPr>
                <w:rFonts w:hint="eastAsia" w:eastAsia="仿宋_GB2312" w:cs="宋体"/>
                <w:bCs/>
                <w:sz w:val="30"/>
                <w:szCs w:val="28"/>
              </w:rPr>
              <w:t>本币</w:t>
            </w:r>
          </w:p>
        </w:tc>
        <w:tc>
          <w:tcPr>
            <w:tcW w:w="5862" w:type="dxa"/>
            <w:vAlign w:val="center"/>
          </w:tcPr>
          <w:p w14:paraId="79652683">
            <w:pPr>
              <w:spacing w:line="560" w:lineRule="exact"/>
              <w:ind w:right="-34"/>
              <w:rPr>
                <w:rFonts w:eastAsia="仿宋_GB2312" w:cs="宋体"/>
                <w:spacing w:val="-3"/>
                <w:w w:val="95"/>
                <w:sz w:val="30"/>
                <w:szCs w:val="28"/>
              </w:rPr>
            </w:pPr>
            <w:r>
              <w:rPr>
                <w:rFonts w:hint="eastAsia" w:eastAsia="仿宋_GB2312" w:cs="宋体"/>
                <w:spacing w:val="-3"/>
                <w:sz w:val="30"/>
                <w:szCs w:val="28"/>
              </w:rPr>
              <w:t>指该</w:t>
            </w:r>
            <w:r>
              <w:rPr>
                <w:rFonts w:hint="eastAsia" w:eastAsia="仿宋_GB2312" w:cs="宋体"/>
                <w:b/>
                <w:spacing w:val="-3"/>
                <w:sz w:val="30"/>
                <w:szCs w:val="28"/>
              </w:rPr>
              <w:t>债务</w:t>
            </w:r>
            <w:r>
              <w:rPr>
                <w:rFonts w:hint="eastAsia" w:eastAsia="仿宋_GB2312" w:cs="宋体"/>
                <w:spacing w:val="-3"/>
                <w:sz w:val="30"/>
                <w:szCs w:val="28"/>
              </w:rPr>
              <w:t>的面值为人民币。</w:t>
            </w:r>
          </w:p>
        </w:tc>
      </w:tr>
      <w:tr w14:paraId="45E19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4" w:type="dxa"/>
            <w:vAlign w:val="center"/>
          </w:tcPr>
          <w:p w14:paraId="60791AEB">
            <w:pPr>
              <w:spacing w:before="185" w:line="560" w:lineRule="exact"/>
              <w:jc w:val="center"/>
              <w:rPr>
                <w:rFonts w:eastAsia="仿宋_GB2312" w:cs="宋体"/>
                <w:bCs/>
                <w:sz w:val="30"/>
                <w:szCs w:val="28"/>
              </w:rPr>
            </w:pPr>
            <w:r>
              <w:rPr>
                <w:rFonts w:hint="eastAsia" w:eastAsia="仿宋_GB2312" w:cs="宋体"/>
                <w:bCs/>
                <w:sz w:val="30"/>
                <w:szCs w:val="28"/>
              </w:rPr>
              <w:t>外币</w:t>
            </w:r>
          </w:p>
        </w:tc>
        <w:tc>
          <w:tcPr>
            <w:tcW w:w="5862" w:type="dxa"/>
            <w:vAlign w:val="center"/>
          </w:tcPr>
          <w:p w14:paraId="1A674EB1">
            <w:pPr>
              <w:spacing w:line="560" w:lineRule="exact"/>
              <w:ind w:right="-34"/>
              <w:rPr>
                <w:rFonts w:eastAsia="仿宋_GB2312" w:cs="宋体"/>
                <w:spacing w:val="-3"/>
                <w:sz w:val="30"/>
                <w:szCs w:val="28"/>
              </w:rPr>
            </w:pPr>
            <w:r>
              <w:rPr>
                <w:rFonts w:hint="eastAsia" w:eastAsia="仿宋_GB2312" w:cs="宋体"/>
                <w:spacing w:val="-3"/>
                <w:sz w:val="30"/>
                <w:szCs w:val="28"/>
              </w:rPr>
              <w:t>指该</w:t>
            </w:r>
            <w:r>
              <w:rPr>
                <w:rFonts w:hint="eastAsia" w:eastAsia="仿宋_GB2312" w:cs="宋体"/>
                <w:b/>
                <w:spacing w:val="-3"/>
                <w:sz w:val="30"/>
                <w:szCs w:val="28"/>
              </w:rPr>
              <w:t>债务</w:t>
            </w:r>
            <w:r>
              <w:rPr>
                <w:rFonts w:hint="eastAsia" w:eastAsia="仿宋_GB2312" w:cs="宋体"/>
                <w:spacing w:val="-3"/>
                <w:sz w:val="30"/>
                <w:szCs w:val="28"/>
              </w:rPr>
              <w:t>的面值</w:t>
            </w:r>
            <w:r>
              <w:rPr>
                <w:rFonts w:hint="eastAsia" w:eastAsia="仿宋_GB2312" w:cs="宋体"/>
                <w:sz w:val="30"/>
                <w:szCs w:val="28"/>
              </w:rPr>
              <w:t>为人民币以外的币种。</w:t>
            </w:r>
          </w:p>
        </w:tc>
      </w:tr>
      <w:tr w14:paraId="4CB5B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4" w:type="dxa"/>
            <w:vAlign w:val="center"/>
          </w:tcPr>
          <w:p w14:paraId="21485487">
            <w:pPr>
              <w:spacing w:before="185" w:line="560" w:lineRule="exact"/>
              <w:jc w:val="center"/>
              <w:rPr>
                <w:rFonts w:eastAsia="仿宋_GB2312" w:cs="宋体"/>
                <w:sz w:val="30"/>
                <w:szCs w:val="28"/>
              </w:rPr>
            </w:pPr>
            <w:r>
              <w:rPr>
                <w:rFonts w:hint="eastAsia" w:eastAsia="仿宋_GB2312" w:cs="宋体"/>
                <w:sz w:val="30"/>
                <w:szCs w:val="28"/>
              </w:rPr>
              <w:t>信用事件</w:t>
            </w:r>
          </w:p>
        </w:tc>
        <w:tc>
          <w:tcPr>
            <w:tcW w:w="5862" w:type="dxa"/>
            <w:vAlign w:val="center"/>
          </w:tcPr>
          <w:p w14:paraId="6CC82C48">
            <w:pPr>
              <w:spacing w:line="560" w:lineRule="exact"/>
              <w:ind w:right="-34"/>
              <w:rPr>
                <w:rFonts w:eastAsia="仿宋_GB2312" w:cs="宋体"/>
                <w:sz w:val="30"/>
                <w:szCs w:val="28"/>
              </w:rPr>
            </w:pPr>
            <w:r>
              <w:rPr>
                <w:rFonts w:hint="eastAsia" w:eastAsia="仿宋_GB2312" w:cs="宋体"/>
                <w:spacing w:val="4"/>
                <w:sz w:val="30"/>
                <w:szCs w:val="28"/>
              </w:rPr>
              <w:t>指</w:t>
            </w:r>
            <w:r>
              <w:rPr>
                <w:rFonts w:hint="eastAsia" w:eastAsia="仿宋_GB2312" w:cs="宋体"/>
                <w:b/>
                <w:bCs/>
                <w:spacing w:val="4"/>
                <w:sz w:val="30"/>
                <w:szCs w:val="28"/>
              </w:rPr>
              <w:t>交易双方</w:t>
            </w:r>
            <w:r>
              <w:rPr>
                <w:rFonts w:hint="eastAsia" w:eastAsia="仿宋_GB2312" w:cs="宋体"/>
                <w:spacing w:val="4"/>
                <w:sz w:val="30"/>
                <w:szCs w:val="28"/>
              </w:rPr>
              <w:t>在</w:t>
            </w:r>
            <w:r>
              <w:rPr>
                <w:rFonts w:hint="eastAsia" w:eastAsia="仿宋_GB2312" w:cs="宋体"/>
                <w:b/>
                <w:bCs/>
                <w:spacing w:val="4"/>
                <w:sz w:val="30"/>
                <w:szCs w:val="28"/>
              </w:rPr>
              <w:t>本确认书</w:t>
            </w:r>
            <w:r>
              <w:rPr>
                <w:rFonts w:hint="eastAsia" w:eastAsia="仿宋_GB2312" w:cs="宋体"/>
                <w:spacing w:val="4"/>
                <w:sz w:val="30"/>
                <w:szCs w:val="28"/>
              </w:rPr>
              <w:t>中就一笔</w:t>
            </w:r>
            <w:r>
              <w:rPr>
                <w:rFonts w:hint="eastAsia" w:eastAsia="仿宋_GB2312" w:cs="宋体"/>
                <w:b/>
                <w:bCs/>
                <w:spacing w:val="4"/>
                <w:sz w:val="30"/>
                <w:szCs w:val="28"/>
              </w:rPr>
              <w:t>信用保护合约交易</w:t>
            </w:r>
            <w:r>
              <w:rPr>
                <w:rFonts w:hint="eastAsia" w:eastAsia="仿宋_GB2312" w:cs="宋体"/>
                <w:spacing w:val="4"/>
                <w:sz w:val="30"/>
                <w:szCs w:val="28"/>
              </w:rPr>
              <w:t>约定的触发结</w:t>
            </w:r>
            <w:r>
              <w:rPr>
                <w:rFonts w:hint="eastAsia" w:eastAsia="仿宋_GB2312" w:cs="宋体"/>
                <w:spacing w:val="-3"/>
                <w:sz w:val="30"/>
                <w:szCs w:val="28"/>
              </w:rPr>
              <w:t>算赔付的事件，包括</w:t>
            </w:r>
            <w:r>
              <w:rPr>
                <w:rFonts w:hint="eastAsia" w:eastAsia="仿宋_GB2312" w:cs="宋体"/>
                <w:b/>
                <w:spacing w:val="-3"/>
                <w:sz w:val="30"/>
                <w:szCs w:val="28"/>
              </w:rPr>
              <w:t>破产</w:t>
            </w:r>
            <w:r>
              <w:rPr>
                <w:rFonts w:hint="eastAsia" w:eastAsia="仿宋_GB2312" w:cs="宋体"/>
                <w:spacing w:val="-3"/>
                <w:sz w:val="30"/>
                <w:szCs w:val="28"/>
              </w:rPr>
              <w:t>、</w:t>
            </w:r>
            <w:r>
              <w:rPr>
                <w:rFonts w:hint="eastAsia" w:eastAsia="仿宋_GB2312" w:cs="宋体"/>
                <w:b/>
                <w:spacing w:val="-3"/>
                <w:sz w:val="30"/>
                <w:szCs w:val="28"/>
              </w:rPr>
              <w:t>支付违约</w:t>
            </w:r>
            <w:r>
              <w:rPr>
                <w:rFonts w:hint="eastAsia" w:eastAsia="仿宋_GB2312" w:cs="宋体"/>
                <w:spacing w:val="-3"/>
                <w:sz w:val="30"/>
                <w:szCs w:val="28"/>
              </w:rPr>
              <w:t>、</w:t>
            </w:r>
            <w:r>
              <w:rPr>
                <w:rFonts w:hint="eastAsia" w:eastAsia="仿宋_GB2312" w:cs="宋体"/>
                <w:b/>
                <w:sz w:val="30"/>
                <w:szCs w:val="28"/>
              </w:rPr>
              <w:t>债务重组</w:t>
            </w:r>
            <w:r>
              <w:rPr>
                <w:rFonts w:hint="eastAsia" w:eastAsia="仿宋_GB2312" w:cs="宋体"/>
                <w:sz w:val="30"/>
                <w:szCs w:val="28"/>
              </w:rPr>
              <w:t>等事件。</w:t>
            </w:r>
          </w:p>
        </w:tc>
      </w:tr>
      <w:tr w14:paraId="4295D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34" w:type="dxa"/>
            <w:vAlign w:val="center"/>
          </w:tcPr>
          <w:p w14:paraId="596E8787">
            <w:pPr>
              <w:spacing w:before="185" w:line="560" w:lineRule="exact"/>
              <w:jc w:val="center"/>
              <w:rPr>
                <w:rFonts w:eastAsia="仿宋_GB2312" w:cs="宋体"/>
                <w:spacing w:val="4"/>
                <w:sz w:val="30"/>
                <w:szCs w:val="28"/>
              </w:rPr>
            </w:pPr>
            <w:r>
              <w:rPr>
                <w:rFonts w:hint="eastAsia" w:eastAsia="仿宋_GB2312" w:cs="宋体"/>
                <w:spacing w:val="4"/>
                <w:sz w:val="30"/>
                <w:szCs w:val="28"/>
              </w:rPr>
              <w:t>破产</w:t>
            </w:r>
          </w:p>
        </w:tc>
        <w:tc>
          <w:tcPr>
            <w:tcW w:w="5862" w:type="dxa"/>
            <w:vAlign w:val="center"/>
          </w:tcPr>
          <w:p w14:paraId="008E1FDA">
            <w:pPr>
              <w:spacing w:line="560" w:lineRule="exact"/>
              <w:ind w:right="-34"/>
              <w:rPr>
                <w:rFonts w:eastAsia="仿宋_GB2312" w:cs="宋体"/>
                <w:spacing w:val="4"/>
                <w:sz w:val="30"/>
                <w:szCs w:val="28"/>
              </w:rPr>
            </w:pPr>
            <w:r>
              <w:rPr>
                <w:rFonts w:hint="eastAsia" w:eastAsia="仿宋_GB2312" w:cs="宋体"/>
                <w:b/>
                <w:spacing w:val="4"/>
                <w:sz w:val="30"/>
                <w:szCs w:val="28"/>
              </w:rPr>
              <w:t>破产</w:t>
            </w:r>
            <w:r>
              <w:rPr>
                <w:rFonts w:hint="eastAsia" w:eastAsia="仿宋_GB2312" w:cs="宋体"/>
                <w:spacing w:val="4"/>
                <w:sz w:val="30"/>
                <w:szCs w:val="28"/>
              </w:rPr>
              <w:t>指</w:t>
            </w:r>
            <w:r>
              <w:rPr>
                <w:rFonts w:hint="eastAsia" w:eastAsia="仿宋_GB2312" w:cs="宋体"/>
                <w:b/>
                <w:spacing w:val="4"/>
                <w:sz w:val="30"/>
                <w:szCs w:val="28"/>
              </w:rPr>
              <w:t>参考实体</w:t>
            </w:r>
            <w:r>
              <w:rPr>
                <w:rFonts w:hint="eastAsia" w:eastAsia="仿宋_GB2312" w:cs="宋体"/>
                <w:spacing w:val="4"/>
                <w:sz w:val="30"/>
                <w:szCs w:val="28"/>
              </w:rPr>
              <w:t>发生下列任一事件：</w:t>
            </w:r>
          </w:p>
          <w:p w14:paraId="53973DBA">
            <w:pPr>
              <w:spacing w:line="560" w:lineRule="exact"/>
              <w:ind w:right="-34"/>
              <w:rPr>
                <w:rFonts w:eastAsia="仿宋_GB2312" w:cs="宋体"/>
                <w:spacing w:val="4"/>
                <w:sz w:val="30"/>
                <w:szCs w:val="28"/>
              </w:rPr>
            </w:pPr>
            <w:r>
              <w:rPr>
                <w:rFonts w:hint="eastAsia" w:eastAsia="仿宋_GB2312" w:cs="宋体"/>
                <w:spacing w:val="4"/>
                <w:sz w:val="30"/>
                <w:szCs w:val="28"/>
              </w:rPr>
              <w:t>（</w:t>
            </w:r>
            <w:r>
              <w:rPr>
                <w:rFonts w:eastAsia="仿宋_GB2312" w:cs="宋体"/>
                <w:spacing w:val="4"/>
                <w:sz w:val="30"/>
                <w:szCs w:val="28"/>
              </w:rPr>
              <w:t>1</w:t>
            </w:r>
            <w:r>
              <w:rPr>
                <w:rFonts w:hint="eastAsia" w:eastAsia="仿宋_GB2312" w:cs="宋体"/>
                <w:spacing w:val="4"/>
                <w:sz w:val="30"/>
                <w:szCs w:val="28"/>
              </w:rPr>
              <w:t>）解散（出于联合、合并或重组目的而发生的解散除外）；</w:t>
            </w:r>
          </w:p>
          <w:p w14:paraId="619FDB27">
            <w:pPr>
              <w:spacing w:line="560" w:lineRule="exact"/>
              <w:ind w:right="-34"/>
              <w:rPr>
                <w:rFonts w:eastAsia="仿宋_GB2312" w:cs="宋体"/>
                <w:spacing w:val="4"/>
                <w:sz w:val="30"/>
                <w:szCs w:val="28"/>
              </w:rPr>
            </w:pPr>
            <w:r>
              <w:rPr>
                <w:rFonts w:hint="eastAsia" w:eastAsia="仿宋_GB2312" w:cs="宋体"/>
                <w:spacing w:val="4"/>
                <w:sz w:val="30"/>
                <w:szCs w:val="28"/>
              </w:rPr>
              <w:t>（</w:t>
            </w:r>
            <w:r>
              <w:rPr>
                <w:rFonts w:eastAsia="仿宋_GB2312" w:cs="宋体"/>
                <w:spacing w:val="4"/>
                <w:sz w:val="30"/>
                <w:szCs w:val="28"/>
              </w:rPr>
              <w:t>2</w:t>
            </w:r>
            <w:r>
              <w:rPr>
                <w:rFonts w:hint="eastAsia" w:eastAsia="仿宋_GB2312" w:cs="宋体"/>
                <w:spacing w:val="4"/>
                <w:sz w:val="30"/>
                <w:szCs w:val="28"/>
              </w:rPr>
              <w:t>）不能清偿到期债务，并且资产不足以清偿全部债务或明显缺乏清偿能力的；</w:t>
            </w:r>
          </w:p>
          <w:p w14:paraId="52C583D0">
            <w:pPr>
              <w:spacing w:line="560" w:lineRule="exact"/>
              <w:ind w:right="-34"/>
              <w:rPr>
                <w:rFonts w:eastAsia="仿宋_GB2312" w:cs="宋体"/>
                <w:spacing w:val="4"/>
                <w:sz w:val="30"/>
                <w:szCs w:val="28"/>
              </w:rPr>
            </w:pPr>
            <w:r>
              <w:rPr>
                <w:rFonts w:hint="eastAsia" w:eastAsia="仿宋_GB2312" w:cs="宋体"/>
                <w:spacing w:val="4"/>
                <w:sz w:val="30"/>
                <w:szCs w:val="28"/>
              </w:rPr>
              <w:t>（</w:t>
            </w:r>
            <w:r>
              <w:rPr>
                <w:rFonts w:eastAsia="仿宋_GB2312" w:cs="宋体"/>
                <w:spacing w:val="4"/>
                <w:sz w:val="30"/>
                <w:szCs w:val="28"/>
              </w:rPr>
              <w:t>3</w:t>
            </w:r>
            <w:r>
              <w:rPr>
                <w:rFonts w:hint="eastAsia" w:eastAsia="仿宋_GB2312" w:cs="宋体"/>
                <w:spacing w:val="4"/>
                <w:sz w:val="30"/>
                <w:szCs w:val="28"/>
              </w:rPr>
              <w:t>）书面承认其无力偿还到期债务；</w:t>
            </w:r>
          </w:p>
          <w:p w14:paraId="7D948595">
            <w:pPr>
              <w:spacing w:line="560" w:lineRule="exact"/>
              <w:ind w:right="-34"/>
              <w:rPr>
                <w:rFonts w:eastAsia="仿宋_GB2312" w:cs="宋体"/>
                <w:spacing w:val="4"/>
                <w:sz w:val="30"/>
                <w:szCs w:val="28"/>
              </w:rPr>
            </w:pPr>
            <w:r>
              <w:rPr>
                <w:rFonts w:hint="eastAsia" w:eastAsia="仿宋_GB2312" w:cs="宋体"/>
                <w:spacing w:val="4"/>
                <w:sz w:val="30"/>
                <w:szCs w:val="28"/>
              </w:rPr>
              <w:t>（</w:t>
            </w:r>
            <w:r>
              <w:rPr>
                <w:rFonts w:eastAsia="仿宋_GB2312" w:cs="宋体"/>
                <w:spacing w:val="4"/>
                <w:sz w:val="30"/>
                <w:szCs w:val="28"/>
              </w:rPr>
              <w:t>4</w:t>
            </w:r>
            <w:r>
              <w:rPr>
                <w:rFonts w:hint="eastAsia" w:eastAsia="仿宋_GB2312" w:cs="宋体"/>
                <w:spacing w:val="4"/>
                <w:sz w:val="30"/>
                <w:szCs w:val="28"/>
              </w:rPr>
              <w:t>）为其债权人利益就其全部或实质性资产达成转让协议或清偿安排，或就其全部或大部分债务的清偿事宜与债权人做出安排或达成和解协议；</w:t>
            </w:r>
          </w:p>
          <w:p w14:paraId="19A58A40">
            <w:pPr>
              <w:spacing w:line="560" w:lineRule="exact"/>
              <w:ind w:right="-34"/>
              <w:rPr>
                <w:rFonts w:eastAsia="仿宋_GB2312" w:cs="宋体"/>
                <w:spacing w:val="4"/>
                <w:sz w:val="30"/>
                <w:szCs w:val="28"/>
              </w:rPr>
            </w:pPr>
            <w:r>
              <w:rPr>
                <w:rFonts w:hint="eastAsia" w:eastAsia="仿宋_GB2312" w:cs="宋体"/>
                <w:spacing w:val="4"/>
                <w:sz w:val="30"/>
                <w:szCs w:val="28"/>
              </w:rPr>
              <w:t>（</w:t>
            </w:r>
            <w:r>
              <w:rPr>
                <w:rFonts w:eastAsia="仿宋_GB2312" w:cs="宋体"/>
                <w:spacing w:val="4"/>
                <w:sz w:val="30"/>
                <w:szCs w:val="28"/>
              </w:rPr>
              <w:t>5</w:t>
            </w:r>
            <w:r>
              <w:rPr>
                <w:rFonts w:hint="eastAsia" w:eastAsia="仿宋_GB2312" w:cs="宋体"/>
                <w:spacing w:val="4"/>
                <w:sz w:val="30"/>
                <w:szCs w:val="28"/>
              </w:rPr>
              <w:t>）自身或其监管部门启动针对其的接管、破产、清算等行政或司法程序；或其债权人启动针对其的接管、破产、清算等行政或司法程序，导致其被依法宣告破产、停业、清算或被接管，或上述程序在启动后三十天内未被驳回、撤销、中止或禁止的；</w:t>
            </w:r>
          </w:p>
          <w:p w14:paraId="0F88566A">
            <w:pPr>
              <w:spacing w:line="560" w:lineRule="exact"/>
              <w:ind w:right="-34"/>
              <w:rPr>
                <w:rFonts w:eastAsia="仿宋_GB2312" w:cs="宋体"/>
                <w:spacing w:val="4"/>
                <w:sz w:val="30"/>
                <w:szCs w:val="28"/>
              </w:rPr>
            </w:pPr>
            <w:r>
              <w:rPr>
                <w:rFonts w:hint="eastAsia" w:eastAsia="仿宋_GB2312" w:cs="宋体"/>
                <w:spacing w:val="4"/>
                <w:sz w:val="30"/>
                <w:szCs w:val="28"/>
              </w:rPr>
              <w:t>（</w:t>
            </w:r>
            <w:r>
              <w:rPr>
                <w:rFonts w:eastAsia="仿宋_GB2312" w:cs="宋体"/>
                <w:spacing w:val="4"/>
                <w:sz w:val="30"/>
                <w:szCs w:val="28"/>
              </w:rPr>
              <w:t>6</w:t>
            </w:r>
            <w:r>
              <w:rPr>
                <w:rFonts w:hint="eastAsia" w:eastAsia="仿宋_GB2312" w:cs="宋体"/>
                <w:spacing w:val="4"/>
                <w:sz w:val="30"/>
                <w:szCs w:val="28"/>
              </w:rPr>
              <w:t>）通过其停业、清算或申请破产的决议；</w:t>
            </w:r>
          </w:p>
          <w:p w14:paraId="15C272A4">
            <w:pPr>
              <w:spacing w:line="560" w:lineRule="exact"/>
              <w:ind w:right="-34"/>
              <w:rPr>
                <w:rFonts w:eastAsia="仿宋_GB2312" w:cs="宋体"/>
                <w:spacing w:val="4"/>
                <w:sz w:val="30"/>
                <w:szCs w:val="28"/>
              </w:rPr>
            </w:pPr>
            <w:r>
              <w:rPr>
                <w:rFonts w:hint="eastAsia" w:eastAsia="仿宋_GB2312" w:cs="宋体"/>
                <w:spacing w:val="4"/>
                <w:sz w:val="30"/>
                <w:szCs w:val="28"/>
              </w:rPr>
              <w:t>（</w:t>
            </w:r>
            <w:r>
              <w:rPr>
                <w:rFonts w:eastAsia="仿宋_GB2312" w:cs="宋体"/>
                <w:spacing w:val="4"/>
                <w:sz w:val="30"/>
                <w:szCs w:val="28"/>
              </w:rPr>
              <w:t>7</w:t>
            </w:r>
            <w:r>
              <w:rPr>
                <w:rFonts w:hint="eastAsia" w:eastAsia="仿宋_GB2312" w:cs="宋体"/>
                <w:spacing w:val="4"/>
                <w:sz w:val="30"/>
                <w:szCs w:val="28"/>
              </w:rPr>
              <w:t>）就自身或自身的全部或大部分资产寻求任命临时清算人、托管人、受托人、接管人或其他类似人员或被任命了任何前述人员；</w:t>
            </w:r>
          </w:p>
          <w:p w14:paraId="696B8B75">
            <w:pPr>
              <w:spacing w:line="560" w:lineRule="exact"/>
              <w:ind w:right="-34"/>
              <w:rPr>
                <w:rFonts w:eastAsia="仿宋_GB2312" w:cs="宋体"/>
                <w:spacing w:val="4"/>
                <w:sz w:val="30"/>
                <w:szCs w:val="28"/>
              </w:rPr>
            </w:pPr>
            <w:r>
              <w:rPr>
                <w:rFonts w:hint="eastAsia" w:eastAsia="仿宋_GB2312" w:cs="宋体"/>
                <w:spacing w:val="4"/>
                <w:sz w:val="30"/>
                <w:szCs w:val="28"/>
              </w:rPr>
              <w:t>（</w:t>
            </w:r>
            <w:r>
              <w:rPr>
                <w:rFonts w:eastAsia="仿宋_GB2312" w:cs="宋体"/>
                <w:spacing w:val="4"/>
                <w:sz w:val="30"/>
                <w:szCs w:val="28"/>
              </w:rPr>
              <w:t>8</w:t>
            </w:r>
            <w:r>
              <w:rPr>
                <w:rFonts w:hint="eastAsia" w:eastAsia="仿宋_GB2312" w:cs="宋体"/>
                <w:spacing w:val="4"/>
                <w:sz w:val="30"/>
                <w:szCs w:val="28"/>
              </w:rPr>
              <w:t>）其债权人作为担保权人采取行动取得了其全部或大部分资产，或使其全部或实质部分资产被查封、扣押、冻结、或强制执行，且上述情形在三十天内未被相关权力机关撤销或中止；</w:t>
            </w:r>
          </w:p>
          <w:p w14:paraId="4A8B7F23">
            <w:pPr>
              <w:spacing w:line="560" w:lineRule="exact"/>
              <w:ind w:right="-34"/>
              <w:rPr>
                <w:rFonts w:eastAsia="仿宋_GB2312" w:cs="宋体"/>
                <w:spacing w:val="4"/>
                <w:sz w:val="30"/>
                <w:szCs w:val="28"/>
              </w:rPr>
            </w:pPr>
            <w:r>
              <w:rPr>
                <w:rFonts w:hint="eastAsia" w:eastAsia="仿宋_GB2312" w:cs="宋体"/>
                <w:spacing w:val="4"/>
                <w:sz w:val="30"/>
                <w:szCs w:val="28"/>
              </w:rPr>
              <w:t>（</w:t>
            </w:r>
            <w:r>
              <w:rPr>
                <w:rFonts w:eastAsia="仿宋_GB2312" w:cs="宋体"/>
                <w:spacing w:val="4"/>
                <w:sz w:val="30"/>
                <w:szCs w:val="28"/>
              </w:rPr>
              <w:t>9</w:t>
            </w:r>
            <w:r>
              <w:rPr>
                <w:rFonts w:hint="eastAsia" w:eastAsia="仿宋_GB2312" w:cs="宋体"/>
                <w:spacing w:val="4"/>
                <w:sz w:val="30"/>
                <w:szCs w:val="28"/>
              </w:rPr>
              <w:t>）其他任何与上述第（</w:t>
            </w:r>
            <w:r>
              <w:rPr>
                <w:rFonts w:eastAsia="仿宋_GB2312" w:cs="宋体"/>
                <w:spacing w:val="4"/>
                <w:sz w:val="30"/>
                <w:szCs w:val="28"/>
              </w:rPr>
              <w:t>1</w:t>
            </w:r>
            <w:r>
              <w:rPr>
                <w:rFonts w:hint="eastAsia" w:eastAsia="仿宋_GB2312" w:cs="宋体"/>
                <w:spacing w:val="4"/>
                <w:sz w:val="30"/>
                <w:szCs w:val="28"/>
              </w:rPr>
              <w:t>）项至第（</w:t>
            </w:r>
            <w:r>
              <w:rPr>
                <w:rFonts w:eastAsia="仿宋_GB2312" w:cs="宋体"/>
                <w:spacing w:val="4"/>
                <w:sz w:val="30"/>
                <w:szCs w:val="28"/>
              </w:rPr>
              <w:t>8</w:t>
            </w:r>
            <w:r>
              <w:rPr>
                <w:rFonts w:hint="eastAsia" w:eastAsia="仿宋_GB2312" w:cs="宋体"/>
                <w:spacing w:val="4"/>
                <w:sz w:val="30"/>
                <w:szCs w:val="28"/>
              </w:rPr>
              <w:t>）项有类似效果的事件。</w:t>
            </w:r>
          </w:p>
        </w:tc>
      </w:tr>
      <w:tr w14:paraId="7444B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4" w:type="dxa"/>
            <w:vAlign w:val="center"/>
          </w:tcPr>
          <w:p w14:paraId="11EC95F0">
            <w:pPr>
              <w:spacing w:before="185" w:line="560" w:lineRule="exact"/>
              <w:jc w:val="center"/>
              <w:rPr>
                <w:rFonts w:eastAsia="仿宋_GB2312" w:cs="宋体"/>
                <w:sz w:val="30"/>
                <w:szCs w:val="28"/>
              </w:rPr>
            </w:pPr>
            <w:r>
              <w:rPr>
                <w:rFonts w:hint="eastAsia" w:eastAsia="仿宋_GB2312" w:cs="宋体"/>
                <w:sz w:val="30"/>
                <w:szCs w:val="28"/>
              </w:rPr>
              <w:t>支付违约</w:t>
            </w:r>
          </w:p>
        </w:tc>
        <w:tc>
          <w:tcPr>
            <w:tcW w:w="5862" w:type="dxa"/>
            <w:vAlign w:val="center"/>
          </w:tcPr>
          <w:p w14:paraId="15E36C1C">
            <w:pPr>
              <w:spacing w:line="560" w:lineRule="exact"/>
              <w:ind w:right="-34" w:rightChars="-16"/>
              <w:rPr>
                <w:rFonts w:eastAsia="仿宋_GB2312" w:cs="宋体"/>
                <w:sz w:val="30"/>
                <w:szCs w:val="28"/>
              </w:rPr>
            </w:pPr>
            <w:r>
              <w:rPr>
                <w:rFonts w:hint="eastAsia" w:eastAsia="仿宋_GB2312" w:cs="宋体"/>
                <w:b/>
                <w:bCs/>
                <w:spacing w:val="-7"/>
                <w:sz w:val="30"/>
                <w:szCs w:val="28"/>
              </w:rPr>
              <w:t>支付违约</w:t>
            </w:r>
            <w:r>
              <w:rPr>
                <w:rFonts w:hint="eastAsia" w:eastAsia="仿宋_GB2312" w:cs="宋体"/>
                <w:spacing w:val="-7"/>
                <w:sz w:val="30"/>
                <w:szCs w:val="28"/>
              </w:rPr>
              <w:t>指</w:t>
            </w:r>
            <w:r>
              <w:rPr>
                <w:rFonts w:hint="eastAsia" w:eastAsia="仿宋_GB2312" w:cs="宋体"/>
                <w:b/>
                <w:bCs/>
                <w:spacing w:val="-7"/>
                <w:sz w:val="30"/>
                <w:szCs w:val="28"/>
              </w:rPr>
              <w:t>参考实体</w:t>
            </w:r>
            <w:r>
              <w:rPr>
                <w:rFonts w:hint="eastAsia" w:eastAsia="仿宋_GB2312" w:cs="宋体"/>
                <w:spacing w:val="-7"/>
                <w:sz w:val="30"/>
                <w:szCs w:val="28"/>
              </w:rPr>
              <w:t>未按约定在一项或多项</w:t>
            </w:r>
            <w:r>
              <w:rPr>
                <w:rFonts w:hint="eastAsia" w:eastAsia="仿宋_GB2312" w:cs="宋体"/>
                <w:b/>
                <w:bCs/>
                <w:spacing w:val="-7"/>
                <w:sz w:val="30"/>
                <w:szCs w:val="28"/>
              </w:rPr>
              <w:t>债务</w:t>
            </w:r>
            <w:r>
              <w:rPr>
                <w:rFonts w:hint="eastAsia" w:eastAsia="仿宋_GB2312" w:cs="宋体"/>
                <w:spacing w:val="-7"/>
                <w:sz w:val="30"/>
                <w:szCs w:val="28"/>
              </w:rPr>
              <w:t>的支付日足额履行</w:t>
            </w:r>
            <w:r>
              <w:rPr>
                <w:rFonts w:hint="eastAsia" w:eastAsia="仿宋_GB2312" w:cs="宋体"/>
                <w:spacing w:val="-3"/>
                <w:sz w:val="30"/>
                <w:szCs w:val="28"/>
              </w:rPr>
              <w:t>支付义务，未支付款项总金额超过适用的</w:t>
            </w:r>
            <w:r>
              <w:rPr>
                <w:rFonts w:hint="eastAsia" w:eastAsia="仿宋_GB2312" w:cs="宋体"/>
                <w:b/>
                <w:bCs/>
                <w:spacing w:val="-3"/>
                <w:sz w:val="30"/>
                <w:szCs w:val="28"/>
              </w:rPr>
              <w:t>起点金额</w:t>
            </w:r>
            <w:r>
              <w:rPr>
                <w:rFonts w:hint="eastAsia" w:eastAsia="仿宋_GB2312" w:cs="宋体"/>
                <w:spacing w:val="-3"/>
                <w:sz w:val="30"/>
                <w:szCs w:val="28"/>
              </w:rPr>
              <w:t>，且在适用的</w:t>
            </w:r>
            <w:r>
              <w:rPr>
                <w:rFonts w:hint="eastAsia" w:eastAsia="仿宋_GB2312" w:cs="宋体"/>
                <w:b/>
                <w:bCs/>
                <w:spacing w:val="-3"/>
                <w:sz w:val="30"/>
                <w:szCs w:val="28"/>
              </w:rPr>
              <w:t>宽限期</w:t>
            </w:r>
            <w:r>
              <w:rPr>
                <w:rFonts w:hint="eastAsia" w:eastAsia="仿宋_GB2312" w:cs="宋体"/>
                <w:spacing w:val="-3"/>
                <w:sz w:val="30"/>
                <w:szCs w:val="28"/>
              </w:rPr>
              <w:t>届满后仍</w:t>
            </w:r>
            <w:r>
              <w:rPr>
                <w:rFonts w:eastAsia="仿宋_GB2312" w:cs="宋体"/>
                <w:spacing w:val="-115"/>
                <w:sz w:val="30"/>
                <w:szCs w:val="28"/>
              </w:rPr>
              <w:t xml:space="preserve"> </w:t>
            </w:r>
            <w:r>
              <w:rPr>
                <w:rFonts w:hint="eastAsia" w:eastAsia="仿宋_GB2312" w:cs="宋体"/>
                <w:sz w:val="30"/>
                <w:szCs w:val="28"/>
              </w:rPr>
              <w:t>未纠正。</w:t>
            </w:r>
          </w:p>
        </w:tc>
      </w:tr>
      <w:tr w14:paraId="50216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4" w:type="dxa"/>
            <w:vAlign w:val="center"/>
          </w:tcPr>
          <w:p w14:paraId="587D0B43">
            <w:pPr>
              <w:spacing w:before="185" w:line="560" w:lineRule="exact"/>
              <w:jc w:val="center"/>
              <w:rPr>
                <w:rFonts w:eastAsia="仿宋_GB2312" w:cs="宋体"/>
                <w:sz w:val="30"/>
                <w:szCs w:val="28"/>
              </w:rPr>
            </w:pPr>
            <w:r>
              <w:rPr>
                <w:rFonts w:hint="eastAsia" w:eastAsia="仿宋_GB2312" w:cs="宋体"/>
                <w:sz w:val="30"/>
                <w:szCs w:val="28"/>
              </w:rPr>
              <w:t>债务重组</w:t>
            </w:r>
          </w:p>
        </w:tc>
        <w:tc>
          <w:tcPr>
            <w:tcW w:w="5862" w:type="dxa"/>
            <w:vAlign w:val="center"/>
          </w:tcPr>
          <w:p w14:paraId="72AEEBD7">
            <w:pPr>
              <w:pStyle w:val="17"/>
              <w:spacing w:line="560" w:lineRule="exact"/>
              <w:ind w:right="-34" w:rightChars="-16"/>
              <w:rPr>
                <w:rFonts w:eastAsia="仿宋_GB2312" w:cs="宋体"/>
                <w:sz w:val="30"/>
                <w:szCs w:val="28"/>
              </w:rPr>
            </w:pPr>
            <w:r>
              <w:rPr>
                <w:rFonts w:hint="eastAsia" w:eastAsia="仿宋_GB2312" w:cs="宋体"/>
                <w:b/>
                <w:bCs/>
                <w:spacing w:val="-10"/>
                <w:sz w:val="30"/>
                <w:szCs w:val="28"/>
              </w:rPr>
              <w:t>债务重组</w:t>
            </w:r>
            <w:r>
              <w:rPr>
                <w:rFonts w:hint="eastAsia" w:eastAsia="仿宋_GB2312" w:cs="宋体"/>
                <w:spacing w:val="-10"/>
                <w:sz w:val="30"/>
                <w:szCs w:val="28"/>
              </w:rPr>
              <w:t>（亦称为“偿付变更”或“债项重组”）指因本金、利息、</w:t>
            </w:r>
            <w:r>
              <w:rPr>
                <w:rFonts w:hint="eastAsia" w:eastAsia="仿宋_GB2312" w:cs="宋体"/>
                <w:spacing w:val="-3"/>
                <w:sz w:val="30"/>
                <w:szCs w:val="28"/>
              </w:rPr>
              <w:t>费用的下调或推迟或提前支付等原因对</w:t>
            </w:r>
            <w:r>
              <w:rPr>
                <w:rFonts w:hint="eastAsia" w:eastAsia="仿宋_GB2312" w:cs="宋体"/>
                <w:b/>
                <w:bCs/>
                <w:spacing w:val="-3"/>
                <w:sz w:val="30"/>
                <w:szCs w:val="28"/>
              </w:rPr>
              <w:t>债务</w:t>
            </w:r>
            <w:r>
              <w:rPr>
                <w:rFonts w:hint="eastAsia" w:eastAsia="仿宋_GB2312" w:cs="宋体"/>
                <w:spacing w:val="-3"/>
                <w:sz w:val="30"/>
                <w:szCs w:val="28"/>
              </w:rPr>
              <w:t>的重组而导致的信用损失事件，包括</w:t>
            </w:r>
            <w:r>
              <w:rPr>
                <w:rFonts w:eastAsia="仿宋_GB2312" w:cs="宋体"/>
                <w:spacing w:val="-112"/>
                <w:sz w:val="30"/>
                <w:szCs w:val="28"/>
              </w:rPr>
              <w:t xml:space="preserve"> </w:t>
            </w:r>
            <w:r>
              <w:rPr>
                <w:rFonts w:hint="eastAsia" w:eastAsia="仿宋_GB2312" w:cs="宋体"/>
                <w:sz w:val="30"/>
                <w:szCs w:val="28"/>
              </w:rPr>
              <w:t>但不限于下述安排：</w:t>
            </w:r>
          </w:p>
          <w:p w14:paraId="017DC976">
            <w:pPr>
              <w:pStyle w:val="17"/>
              <w:spacing w:before="29" w:line="560" w:lineRule="exact"/>
              <w:ind w:right="-34" w:rightChars="-16"/>
              <w:rPr>
                <w:rFonts w:eastAsia="仿宋_GB2312" w:cs="宋体"/>
                <w:sz w:val="30"/>
                <w:szCs w:val="28"/>
              </w:rPr>
            </w:pPr>
            <w:r>
              <w:rPr>
                <w:rFonts w:hint="eastAsia" w:eastAsia="仿宋_GB2312" w:cs="宋体"/>
                <w:sz w:val="30"/>
                <w:szCs w:val="28"/>
              </w:rPr>
              <w:t>（</w:t>
            </w:r>
            <w:r>
              <w:rPr>
                <w:rFonts w:eastAsia="仿宋_GB2312" w:cs="宋体"/>
                <w:sz w:val="30"/>
                <w:szCs w:val="28"/>
              </w:rPr>
              <w:t>1</w:t>
            </w:r>
            <w:r>
              <w:rPr>
                <w:rFonts w:hint="eastAsia" w:eastAsia="仿宋_GB2312" w:cs="宋体"/>
                <w:sz w:val="30"/>
                <w:szCs w:val="28"/>
              </w:rPr>
              <w:t>）降低应付利率水平、减少应付利息金额或减少预定应计利息的金额；</w:t>
            </w:r>
          </w:p>
          <w:p w14:paraId="2C94859E">
            <w:pPr>
              <w:pStyle w:val="17"/>
              <w:spacing w:before="29" w:line="560" w:lineRule="exact"/>
              <w:ind w:right="-34" w:rightChars="-16"/>
              <w:rPr>
                <w:rFonts w:eastAsia="仿宋_GB2312" w:cs="宋体"/>
                <w:sz w:val="30"/>
                <w:szCs w:val="28"/>
              </w:rPr>
            </w:pPr>
            <w:r>
              <w:rPr>
                <w:rFonts w:hint="eastAsia" w:eastAsia="仿宋_GB2312" w:cs="宋体"/>
                <w:sz w:val="30"/>
                <w:szCs w:val="28"/>
              </w:rPr>
              <w:t>（</w:t>
            </w:r>
            <w:r>
              <w:rPr>
                <w:rFonts w:eastAsia="仿宋_GB2312" w:cs="宋体"/>
                <w:sz w:val="30"/>
                <w:szCs w:val="28"/>
              </w:rPr>
              <w:t>2</w:t>
            </w:r>
            <w:r>
              <w:rPr>
                <w:rFonts w:hint="eastAsia" w:eastAsia="仿宋_GB2312" w:cs="宋体"/>
                <w:sz w:val="30"/>
                <w:szCs w:val="28"/>
              </w:rPr>
              <w:t>）减少应到期偿还或分期偿还的本金数额或溢价；</w:t>
            </w:r>
          </w:p>
          <w:p w14:paraId="65554101">
            <w:pPr>
              <w:pStyle w:val="17"/>
              <w:spacing w:line="560" w:lineRule="exact"/>
              <w:ind w:right="-34" w:rightChars="-16"/>
              <w:rPr>
                <w:rFonts w:eastAsia="仿宋_GB2312" w:cs="宋体"/>
                <w:sz w:val="30"/>
                <w:szCs w:val="28"/>
              </w:rPr>
            </w:pPr>
            <w:r>
              <w:rPr>
                <w:rFonts w:hint="eastAsia" w:eastAsia="仿宋_GB2312" w:cs="宋体"/>
                <w:sz w:val="30"/>
                <w:szCs w:val="28"/>
              </w:rPr>
              <w:t>（</w:t>
            </w:r>
            <w:r>
              <w:rPr>
                <w:rFonts w:eastAsia="仿宋_GB2312" w:cs="宋体"/>
                <w:sz w:val="30"/>
                <w:szCs w:val="28"/>
              </w:rPr>
              <w:t>3</w:t>
            </w:r>
            <w:r>
              <w:rPr>
                <w:rFonts w:hint="eastAsia" w:eastAsia="仿宋_GB2312" w:cs="宋体"/>
                <w:sz w:val="30"/>
                <w:szCs w:val="28"/>
              </w:rPr>
              <w:t>）提前或推迟本金、利息或溢价的偿付日期，或推迟应计利息的起息；</w:t>
            </w:r>
          </w:p>
          <w:p w14:paraId="40580C86">
            <w:pPr>
              <w:pStyle w:val="17"/>
              <w:spacing w:line="560" w:lineRule="exact"/>
              <w:ind w:right="-34" w:rightChars="-16"/>
              <w:rPr>
                <w:rFonts w:eastAsia="仿宋_GB2312" w:cs="宋体"/>
                <w:sz w:val="30"/>
                <w:szCs w:val="28"/>
              </w:rPr>
            </w:pPr>
            <w:r>
              <w:rPr>
                <w:rFonts w:hint="eastAsia" w:eastAsia="仿宋_GB2312" w:cs="宋体"/>
                <w:sz w:val="30"/>
                <w:szCs w:val="28"/>
              </w:rPr>
              <w:t>（</w:t>
            </w:r>
            <w:r>
              <w:rPr>
                <w:rFonts w:eastAsia="仿宋_GB2312" w:cs="宋体"/>
                <w:sz w:val="30"/>
                <w:szCs w:val="28"/>
              </w:rPr>
              <w:t>4</w:t>
            </w:r>
            <w:r>
              <w:rPr>
                <w:rFonts w:hint="eastAsia" w:eastAsia="仿宋_GB2312" w:cs="宋体"/>
                <w:sz w:val="30"/>
                <w:szCs w:val="28"/>
              </w:rPr>
              <w:t>）变动该债务的受偿顺序，导致其对任何其他债务成为次级债务；</w:t>
            </w:r>
          </w:p>
          <w:p w14:paraId="4D9EAA3A">
            <w:pPr>
              <w:pStyle w:val="17"/>
              <w:spacing w:line="560" w:lineRule="exact"/>
              <w:ind w:right="-34" w:rightChars="-16"/>
              <w:rPr>
                <w:rFonts w:eastAsia="仿宋_GB2312" w:cs="宋体"/>
                <w:sz w:val="30"/>
                <w:szCs w:val="28"/>
              </w:rPr>
            </w:pPr>
            <w:r>
              <w:rPr>
                <w:rFonts w:hint="eastAsia" w:eastAsia="仿宋_GB2312" w:cs="宋体"/>
                <w:sz w:val="30"/>
                <w:szCs w:val="28"/>
              </w:rPr>
              <w:t>（</w:t>
            </w:r>
            <w:r>
              <w:rPr>
                <w:rFonts w:eastAsia="仿宋_GB2312" w:cs="宋体"/>
                <w:sz w:val="30"/>
                <w:szCs w:val="28"/>
              </w:rPr>
              <w:t>5</w:t>
            </w:r>
            <w:r>
              <w:rPr>
                <w:rFonts w:hint="eastAsia" w:eastAsia="仿宋_GB2312" w:cs="宋体"/>
                <w:sz w:val="30"/>
                <w:szCs w:val="28"/>
              </w:rPr>
              <w:t>）改变本息偿付币种；</w:t>
            </w:r>
          </w:p>
          <w:p w14:paraId="0B6AA145">
            <w:pPr>
              <w:pStyle w:val="17"/>
              <w:spacing w:line="560" w:lineRule="exact"/>
              <w:ind w:right="-34" w:rightChars="-16"/>
              <w:rPr>
                <w:rFonts w:eastAsia="仿宋_GB2312" w:cs="宋体"/>
                <w:sz w:val="30"/>
                <w:szCs w:val="28"/>
              </w:rPr>
            </w:pPr>
            <w:r>
              <w:rPr>
                <w:rFonts w:hint="eastAsia" w:eastAsia="仿宋_GB2312" w:cs="宋体"/>
                <w:sz w:val="30"/>
                <w:szCs w:val="28"/>
              </w:rPr>
              <w:t>（</w:t>
            </w:r>
            <w:r>
              <w:rPr>
                <w:rFonts w:eastAsia="仿宋_GB2312" w:cs="宋体"/>
                <w:sz w:val="30"/>
                <w:szCs w:val="28"/>
              </w:rPr>
              <w:t>6</w:t>
            </w:r>
            <w:r>
              <w:rPr>
                <w:rFonts w:hint="eastAsia" w:eastAsia="仿宋_GB2312" w:cs="宋体"/>
                <w:sz w:val="30"/>
                <w:szCs w:val="28"/>
              </w:rPr>
              <w:t>）若</w:t>
            </w:r>
            <w:r>
              <w:rPr>
                <w:rFonts w:hint="eastAsia" w:eastAsia="仿宋_GB2312" w:cs="宋体"/>
                <w:b/>
                <w:bCs/>
                <w:sz w:val="30"/>
                <w:szCs w:val="28"/>
              </w:rPr>
              <w:t>债务种类</w:t>
            </w:r>
            <w:r>
              <w:rPr>
                <w:rFonts w:hint="eastAsia" w:eastAsia="仿宋_GB2312" w:cs="宋体"/>
                <w:sz w:val="30"/>
                <w:szCs w:val="28"/>
              </w:rPr>
              <w:t>为</w:t>
            </w:r>
            <w:r>
              <w:rPr>
                <w:rFonts w:hint="eastAsia" w:eastAsia="仿宋_GB2312" w:cs="宋体"/>
                <w:b/>
                <w:spacing w:val="4"/>
                <w:sz w:val="30"/>
                <w:szCs w:val="28"/>
              </w:rPr>
              <w:t>债券</w:t>
            </w:r>
            <w:r>
              <w:rPr>
                <w:rFonts w:hint="eastAsia" w:eastAsia="仿宋_GB2312" w:cs="宋体"/>
                <w:sz w:val="30"/>
                <w:szCs w:val="28"/>
              </w:rPr>
              <w:t>，该</w:t>
            </w:r>
            <w:r>
              <w:rPr>
                <w:rFonts w:hint="eastAsia" w:eastAsia="仿宋_GB2312" w:cs="宋体"/>
                <w:b/>
                <w:spacing w:val="4"/>
                <w:sz w:val="30"/>
                <w:szCs w:val="28"/>
              </w:rPr>
              <w:t>债券</w:t>
            </w:r>
            <w:r>
              <w:rPr>
                <w:rFonts w:hint="eastAsia" w:eastAsia="仿宋_GB2312" w:cs="宋体"/>
                <w:sz w:val="30"/>
                <w:szCs w:val="28"/>
              </w:rPr>
              <w:t>的发行人在未获得全体持有人同意的情况下，将该</w:t>
            </w:r>
            <w:r>
              <w:rPr>
                <w:rFonts w:hint="eastAsia" w:eastAsia="仿宋_GB2312" w:cs="宋体"/>
                <w:b/>
                <w:spacing w:val="4"/>
                <w:sz w:val="30"/>
                <w:szCs w:val="28"/>
              </w:rPr>
              <w:t>债券</w:t>
            </w:r>
            <w:r>
              <w:rPr>
                <w:rFonts w:hint="eastAsia" w:eastAsia="仿宋_GB2312" w:cs="宋体"/>
                <w:sz w:val="30"/>
                <w:szCs w:val="28"/>
              </w:rPr>
              <w:t>替换或置换为已发行或拟发行的另一</w:t>
            </w:r>
            <w:r>
              <w:rPr>
                <w:rFonts w:hint="eastAsia" w:eastAsia="仿宋_GB2312" w:cs="宋体"/>
                <w:b/>
                <w:spacing w:val="4"/>
                <w:sz w:val="30"/>
                <w:szCs w:val="28"/>
              </w:rPr>
              <w:t>债券</w:t>
            </w:r>
            <w:r>
              <w:rPr>
                <w:rFonts w:hint="eastAsia" w:eastAsia="仿宋_GB2312" w:cs="宋体"/>
                <w:sz w:val="30"/>
                <w:szCs w:val="28"/>
              </w:rPr>
              <w:t>。</w:t>
            </w:r>
          </w:p>
          <w:p w14:paraId="6776760B">
            <w:pPr>
              <w:spacing w:line="560" w:lineRule="exact"/>
              <w:ind w:right="-34" w:rightChars="-16"/>
              <w:rPr>
                <w:rFonts w:eastAsia="仿宋_GB2312" w:cs="宋体"/>
                <w:sz w:val="30"/>
                <w:szCs w:val="28"/>
              </w:rPr>
            </w:pPr>
            <w:r>
              <w:rPr>
                <w:rFonts w:hint="eastAsia" w:eastAsia="仿宋_GB2312" w:cs="宋体"/>
                <w:sz w:val="30"/>
                <w:szCs w:val="28"/>
              </w:rPr>
              <w:t>若</w:t>
            </w:r>
            <w:r>
              <w:rPr>
                <w:rFonts w:hint="eastAsia" w:eastAsia="仿宋_GB2312" w:cs="宋体"/>
                <w:b/>
                <w:bCs/>
                <w:sz w:val="30"/>
                <w:szCs w:val="28"/>
              </w:rPr>
              <w:t>交易双方</w:t>
            </w:r>
            <w:r>
              <w:rPr>
                <w:rFonts w:hint="eastAsia" w:eastAsia="仿宋_GB2312" w:cs="宋体"/>
                <w:sz w:val="30"/>
                <w:szCs w:val="28"/>
              </w:rPr>
              <w:t>在相关</w:t>
            </w:r>
            <w:r>
              <w:rPr>
                <w:rFonts w:hint="eastAsia" w:eastAsia="仿宋_GB2312" w:cs="宋体"/>
                <w:b/>
                <w:bCs/>
                <w:sz w:val="30"/>
                <w:szCs w:val="28"/>
              </w:rPr>
              <w:t>交易有效约定</w:t>
            </w:r>
            <w:r>
              <w:rPr>
                <w:rFonts w:hint="eastAsia" w:eastAsia="仿宋_GB2312" w:cs="宋体"/>
                <w:sz w:val="30"/>
                <w:szCs w:val="28"/>
              </w:rPr>
              <w:t>中约定了适用于</w:t>
            </w:r>
            <w:r>
              <w:rPr>
                <w:rFonts w:hint="eastAsia" w:eastAsia="仿宋_GB2312" w:cs="宋体"/>
                <w:b/>
                <w:bCs/>
                <w:sz w:val="30"/>
                <w:szCs w:val="28"/>
              </w:rPr>
              <w:t>债务重组</w:t>
            </w:r>
            <w:r>
              <w:rPr>
                <w:rFonts w:hint="eastAsia" w:eastAsia="仿宋_GB2312" w:cs="宋体"/>
                <w:sz w:val="30"/>
                <w:szCs w:val="28"/>
              </w:rPr>
              <w:t>的</w:t>
            </w:r>
            <w:r>
              <w:rPr>
                <w:rFonts w:hint="eastAsia" w:eastAsia="仿宋_GB2312" w:cs="宋体"/>
                <w:b/>
                <w:bCs/>
                <w:sz w:val="30"/>
                <w:szCs w:val="28"/>
              </w:rPr>
              <w:t>起点金额</w:t>
            </w:r>
            <w:r>
              <w:rPr>
                <w:rFonts w:hint="eastAsia" w:eastAsia="仿宋_GB2312" w:cs="宋体"/>
                <w:sz w:val="30"/>
                <w:szCs w:val="28"/>
              </w:rPr>
              <w:t>，则上述</w:t>
            </w:r>
            <w:r>
              <w:rPr>
                <w:rFonts w:hint="eastAsia" w:eastAsia="仿宋_GB2312" w:cs="宋体"/>
                <w:b/>
                <w:bCs/>
                <w:sz w:val="30"/>
                <w:szCs w:val="28"/>
              </w:rPr>
              <w:t>债务重组</w:t>
            </w:r>
            <w:r>
              <w:rPr>
                <w:rFonts w:hint="eastAsia" w:eastAsia="仿宋_GB2312" w:cs="宋体"/>
                <w:sz w:val="30"/>
                <w:szCs w:val="28"/>
              </w:rPr>
              <w:t>涉及的</w:t>
            </w:r>
            <w:r>
              <w:rPr>
                <w:rFonts w:hint="eastAsia" w:eastAsia="仿宋_GB2312" w:cs="宋体"/>
                <w:b/>
                <w:bCs/>
                <w:sz w:val="30"/>
                <w:szCs w:val="28"/>
              </w:rPr>
              <w:t>债务</w:t>
            </w:r>
            <w:r>
              <w:rPr>
                <w:rFonts w:hint="eastAsia" w:eastAsia="仿宋_GB2312" w:cs="宋体"/>
                <w:sz w:val="30"/>
                <w:szCs w:val="28"/>
              </w:rPr>
              <w:t>总金额应超过该</w:t>
            </w:r>
            <w:r>
              <w:rPr>
                <w:rFonts w:hint="eastAsia" w:eastAsia="仿宋_GB2312" w:cs="宋体"/>
                <w:b/>
                <w:bCs/>
                <w:sz w:val="30"/>
                <w:szCs w:val="28"/>
              </w:rPr>
              <w:t>起点金额</w:t>
            </w:r>
            <w:r>
              <w:rPr>
                <w:rFonts w:hint="eastAsia" w:eastAsia="仿宋_GB2312" w:cs="宋体"/>
                <w:sz w:val="30"/>
                <w:szCs w:val="28"/>
              </w:rPr>
              <w:t>。</w:t>
            </w:r>
          </w:p>
          <w:p w14:paraId="40B9C3E4">
            <w:pPr>
              <w:spacing w:before="30" w:line="560" w:lineRule="exact"/>
              <w:ind w:right="-34" w:rightChars="-16"/>
              <w:rPr>
                <w:rFonts w:eastAsia="仿宋_GB2312" w:cs="宋体"/>
                <w:sz w:val="30"/>
                <w:szCs w:val="28"/>
              </w:rPr>
            </w:pPr>
            <w:r>
              <w:rPr>
                <w:rFonts w:hint="eastAsia" w:eastAsia="仿宋_GB2312" w:cs="宋体"/>
                <w:b/>
                <w:bCs/>
                <w:sz w:val="30"/>
                <w:szCs w:val="28"/>
              </w:rPr>
              <w:t>参考实体</w:t>
            </w:r>
            <w:r>
              <w:rPr>
                <w:rFonts w:hint="eastAsia" w:eastAsia="仿宋_GB2312" w:cs="宋体"/>
                <w:sz w:val="30"/>
                <w:szCs w:val="28"/>
              </w:rPr>
              <w:t>在正常经营过程中因监管、财会或税务调整采取上述债务偿付方</w:t>
            </w:r>
            <w:r>
              <w:rPr>
                <w:rFonts w:hint="eastAsia" w:eastAsia="仿宋_GB2312" w:cs="宋体"/>
                <w:spacing w:val="-3"/>
                <w:sz w:val="30"/>
                <w:szCs w:val="28"/>
              </w:rPr>
              <w:t>面的重组，或该等变更不是因为</w:t>
            </w:r>
            <w:r>
              <w:rPr>
                <w:rFonts w:hint="eastAsia" w:eastAsia="仿宋_GB2312" w:cs="宋体"/>
                <w:b/>
                <w:bCs/>
                <w:spacing w:val="-3"/>
                <w:sz w:val="30"/>
                <w:szCs w:val="28"/>
              </w:rPr>
              <w:t>参考实体</w:t>
            </w:r>
            <w:r>
              <w:rPr>
                <w:rFonts w:hint="eastAsia" w:eastAsia="仿宋_GB2312" w:cs="宋体"/>
                <w:spacing w:val="-3"/>
                <w:sz w:val="30"/>
                <w:szCs w:val="28"/>
              </w:rPr>
              <w:t>的资信或财务状况恶化而采取的，则不</w:t>
            </w:r>
            <w:r>
              <w:rPr>
                <w:rFonts w:eastAsia="仿宋_GB2312" w:cs="宋体"/>
                <w:spacing w:val="-113"/>
                <w:sz w:val="30"/>
                <w:szCs w:val="28"/>
              </w:rPr>
              <w:t xml:space="preserve"> </w:t>
            </w:r>
            <w:r>
              <w:rPr>
                <w:rFonts w:hint="eastAsia" w:eastAsia="仿宋_GB2312" w:cs="宋体"/>
                <w:spacing w:val="-3"/>
                <w:sz w:val="30"/>
                <w:szCs w:val="28"/>
              </w:rPr>
              <w:t>构成</w:t>
            </w:r>
            <w:r>
              <w:rPr>
                <w:rFonts w:hint="eastAsia" w:eastAsia="仿宋_GB2312" w:cs="宋体"/>
                <w:b/>
                <w:bCs/>
                <w:spacing w:val="-3"/>
                <w:sz w:val="30"/>
                <w:szCs w:val="28"/>
              </w:rPr>
              <w:t>债务重组</w:t>
            </w:r>
            <w:r>
              <w:rPr>
                <w:rFonts w:hint="eastAsia" w:eastAsia="仿宋_GB2312" w:cs="宋体"/>
                <w:spacing w:val="-3"/>
                <w:sz w:val="30"/>
                <w:szCs w:val="28"/>
              </w:rPr>
              <w:t>。何为正常经营过程中的“监管、财会或税务调整”，以及如何判</w:t>
            </w:r>
            <w:r>
              <w:rPr>
                <w:rFonts w:eastAsia="仿宋_GB2312" w:cs="宋体"/>
                <w:spacing w:val="-118"/>
                <w:sz w:val="30"/>
                <w:szCs w:val="28"/>
              </w:rPr>
              <w:t xml:space="preserve"> </w:t>
            </w:r>
            <w:r>
              <w:rPr>
                <w:rFonts w:hint="eastAsia" w:eastAsia="仿宋_GB2312" w:cs="宋体"/>
                <w:spacing w:val="-3"/>
                <w:sz w:val="30"/>
                <w:szCs w:val="28"/>
              </w:rPr>
              <w:t>断该等变更是否源于</w:t>
            </w:r>
            <w:r>
              <w:rPr>
                <w:rFonts w:hint="eastAsia" w:eastAsia="仿宋_GB2312" w:cs="宋体"/>
                <w:b/>
                <w:bCs/>
                <w:spacing w:val="-3"/>
                <w:sz w:val="30"/>
                <w:szCs w:val="28"/>
              </w:rPr>
              <w:t>参考实体</w:t>
            </w:r>
            <w:r>
              <w:rPr>
                <w:rFonts w:hint="eastAsia" w:eastAsia="仿宋_GB2312" w:cs="宋体"/>
                <w:spacing w:val="-3"/>
                <w:sz w:val="30"/>
                <w:szCs w:val="28"/>
              </w:rPr>
              <w:t>的资信或财务状况恶化，应依赖具体事实情况加以</w:t>
            </w:r>
            <w:r>
              <w:rPr>
                <w:rFonts w:eastAsia="仿宋_GB2312" w:cs="宋体"/>
                <w:spacing w:val="-117"/>
                <w:sz w:val="30"/>
                <w:szCs w:val="28"/>
              </w:rPr>
              <w:t xml:space="preserve"> </w:t>
            </w:r>
            <w:r>
              <w:rPr>
                <w:rFonts w:hint="eastAsia" w:eastAsia="仿宋_GB2312" w:cs="宋体"/>
                <w:sz w:val="30"/>
                <w:szCs w:val="28"/>
              </w:rPr>
              <w:t>判断。</w:t>
            </w:r>
          </w:p>
          <w:p w14:paraId="5079FEB2">
            <w:pPr>
              <w:pStyle w:val="17"/>
              <w:spacing w:line="560" w:lineRule="exact"/>
              <w:ind w:right="-34" w:rightChars="-16"/>
              <w:rPr>
                <w:rFonts w:eastAsia="仿宋_GB2312" w:cs="宋体"/>
                <w:sz w:val="30"/>
                <w:szCs w:val="28"/>
              </w:rPr>
            </w:pPr>
            <w:r>
              <w:rPr>
                <w:rFonts w:hint="eastAsia" w:eastAsia="仿宋_GB2312" w:cs="宋体"/>
                <w:b/>
                <w:bCs/>
                <w:sz w:val="30"/>
                <w:szCs w:val="28"/>
              </w:rPr>
              <w:t>参考实体</w:t>
            </w:r>
            <w:r>
              <w:rPr>
                <w:rFonts w:hint="eastAsia" w:eastAsia="仿宋_GB2312" w:cs="宋体"/>
                <w:sz w:val="30"/>
                <w:szCs w:val="28"/>
              </w:rPr>
              <w:t>可以采用两种办法进行</w:t>
            </w:r>
            <w:r>
              <w:rPr>
                <w:rFonts w:hint="eastAsia" w:eastAsia="仿宋_GB2312" w:cs="宋体"/>
                <w:b/>
                <w:bCs/>
                <w:sz w:val="30"/>
                <w:szCs w:val="28"/>
              </w:rPr>
              <w:t>债务重组</w:t>
            </w:r>
            <w:r>
              <w:rPr>
                <w:rFonts w:hint="eastAsia" w:eastAsia="仿宋_GB2312" w:cs="宋体"/>
                <w:sz w:val="30"/>
                <w:szCs w:val="28"/>
              </w:rPr>
              <w:t>：一是由</w:t>
            </w:r>
            <w:r>
              <w:rPr>
                <w:rFonts w:hint="eastAsia" w:eastAsia="仿宋_GB2312" w:cs="宋体"/>
                <w:b/>
                <w:bCs/>
                <w:sz w:val="30"/>
                <w:szCs w:val="28"/>
              </w:rPr>
              <w:t>参考实体</w:t>
            </w:r>
            <w:r>
              <w:rPr>
                <w:rFonts w:hint="eastAsia" w:eastAsia="仿宋_GB2312" w:cs="宋体"/>
                <w:sz w:val="30"/>
                <w:szCs w:val="28"/>
              </w:rPr>
              <w:t>与相关</w:t>
            </w:r>
            <w:r>
              <w:rPr>
                <w:rFonts w:hint="eastAsia" w:eastAsia="仿宋_GB2312" w:cs="宋体"/>
                <w:b/>
                <w:bCs/>
                <w:sz w:val="30"/>
                <w:szCs w:val="28"/>
              </w:rPr>
              <w:t>债务</w:t>
            </w:r>
            <w:r>
              <w:rPr>
                <w:rFonts w:hint="eastAsia" w:eastAsia="仿宋_GB2312" w:cs="宋体"/>
                <w:sz w:val="30"/>
                <w:szCs w:val="28"/>
              </w:rPr>
              <w:t>的</w:t>
            </w:r>
            <w:r>
              <w:rPr>
                <w:rFonts w:hint="eastAsia" w:eastAsia="仿宋_GB2312" w:cs="宋体"/>
                <w:spacing w:val="-3"/>
                <w:sz w:val="30"/>
                <w:szCs w:val="28"/>
              </w:rPr>
              <w:t>全部或部分持有人达成重组协议（若仅与部分持有人达成该协议，则适用于该</w:t>
            </w:r>
            <w:r>
              <w:rPr>
                <w:rFonts w:hint="eastAsia" w:eastAsia="仿宋_GB2312" w:cs="宋体"/>
                <w:b/>
                <w:bCs/>
                <w:spacing w:val="-3"/>
                <w:sz w:val="30"/>
                <w:szCs w:val="28"/>
              </w:rPr>
              <w:t>债</w:t>
            </w:r>
            <w:r>
              <w:rPr>
                <w:rFonts w:eastAsia="仿宋_GB2312" w:cs="宋体"/>
                <w:b/>
                <w:bCs/>
                <w:spacing w:val="-114"/>
                <w:sz w:val="30"/>
                <w:szCs w:val="28"/>
              </w:rPr>
              <w:t xml:space="preserve"> </w:t>
            </w:r>
            <w:r>
              <w:rPr>
                <w:rFonts w:hint="eastAsia" w:eastAsia="仿宋_GB2312" w:cs="宋体"/>
                <w:b/>
                <w:bCs/>
                <w:spacing w:val="-3"/>
                <w:sz w:val="30"/>
                <w:szCs w:val="28"/>
              </w:rPr>
              <w:t>务</w:t>
            </w:r>
            <w:r>
              <w:rPr>
                <w:rFonts w:hint="eastAsia" w:eastAsia="仿宋_GB2312" w:cs="宋体"/>
                <w:spacing w:val="-3"/>
                <w:sz w:val="30"/>
                <w:szCs w:val="28"/>
              </w:rPr>
              <w:t>的有关合同或协议能够约束该</w:t>
            </w:r>
            <w:r>
              <w:rPr>
                <w:rFonts w:hint="eastAsia" w:eastAsia="仿宋_GB2312" w:cs="宋体"/>
                <w:b/>
                <w:bCs/>
                <w:spacing w:val="-3"/>
                <w:sz w:val="30"/>
                <w:szCs w:val="28"/>
              </w:rPr>
              <w:t>债务</w:t>
            </w:r>
            <w:r>
              <w:rPr>
                <w:rFonts w:hint="eastAsia" w:eastAsia="仿宋_GB2312" w:cs="宋体"/>
                <w:spacing w:val="-3"/>
                <w:sz w:val="30"/>
                <w:szCs w:val="28"/>
              </w:rPr>
              <w:t>的全体持有人），且涉及重组的债务金额不</w:t>
            </w:r>
            <w:r>
              <w:rPr>
                <w:rFonts w:eastAsia="仿宋_GB2312" w:cs="宋体"/>
                <w:spacing w:val="-117"/>
                <w:sz w:val="30"/>
                <w:szCs w:val="28"/>
              </w:rPr>
              <w:t xml:space="preserve"> </w:t>
            </w:r>
            <w:r>
              <w:rPr>
                <w:rFonts w:hint="eastAsia" w:eastAsia="仿宋_GB2312" w:cs="宋体"/>
                <w:spacing w:val="-3"/>
                <w:sz w:val="30"/>
                <w:szCs w:val="28"/>
              </w:rPr>
              <w:t>低于</w:t>
            </w:r>
            <w:r>
              <w:rPr>
                <w:rFonts w:hint="eastAsia" w:eastAsia="仿宋_GB2312" w:cs="宋体"/>
                <w:b/>
                <w:bCs/>
                <w:spacing w:val="-3"/>
                <w:sz w:val="30"/>
                <w:szCs w:val="28"/>
              </w:rPr>
              <w:t>交易双方</w:t>
            </w:r>
            <w:r>
              <w:rPr>
                <w:rFonts w:hint="eastAsia" w:eastAsia="仿宋_GB2312" w:cs="宋体"/>
                <w:spacing w:val="-3"/>
                <w:sz w:val="30"/>
                <w:szCs w:val="28"/>
              </w:rPr>
              <w:t>约定的</w:t>
            </w:r>
            <w:r>
              <w:rPr>
                <w:rFonts w:hint="eastAsia" w:eastAsia="仿宋_GB2312" w:cs="宋体"/>
                <w:b/>
                <w:bCs/>
                <w:spacing w:val="-3"/>
                <w:sz w:val="30"/>
                <w:szCs w:val="28"/>
              </w:rPr>
              <w:t>起点金额</w:t>
            </w:r>
            <w:r>
              <w:rPr>
                <w:rFonts w:hint="eastAsia" w:eastAsia="仿宋_GB2312" w:cs="宋体"/>
                <w:spacing w:val="-3"/>
                <w:sz w:val="30"/>
                <w:szCs w:val="28"/>
              </w:rPr>
              <w:t>；二是由</w:t>
            </w:r>
            <w:r>
              <w:rPr>
                <w:rFonts w:hint="eastAsia" w:eastAsia="仿宋_GB2312" w:cs="宋体"/>
                <w:b/>
                <w:bCs/>
                <w:spacing w:val="-3"/>
                <w:sz w:val="30"/>
                <w:szCs w:val="28"/>
              </w:rPr>
              <w:t>参考实体</w:t>
            </w:r>
            <w:r>
              <w:rPr>
                <w:rFonts w:hint="eastAsia" w:eastAsia="仿宋_GB2312" w:cs="宋体"/>
                <w:spacing w:val="-3"/>
                <w:sz w:val="30"/>
                <w:szCs w:val="28"/>
              </w:rPr>
              <w:t>单方面宣布的适用于所有债权人的债务重组行为。在第二种情况下，有权自行宣布</w:t>
            </w:r>
            <w:r>
              <w:rPr>
                <w:rFonts w:hint="eastAsia" w:eastAsia="仿宋_GB2312" w:cs="宋体"/>
                <w:b/>
                <w:bCs/>
                <w:spacing w:val="-3"/>
                <w:sz w:val="30"/>
                <w:szCs w:val="28"/>
              </w:rPr>
              <w:t>债务重组</w:t>
            </w:r>
            <w:r>
              <w:rPr>
                <w:rFonts w:hint="eastAsia" w:eastAsia="仿宋_GB2312" w:cs="宋体"/>
                <w:spacing w:val="-3"/>
                <w:sz w:val="30"/>
                <w:szCs w:val="28"/>
              </w:rPr>
              <w:t>、且可以在法律上约束所有债权人的</w:t>
            </w:r>
            <w:r>
              <w:rPr>
                <w:rFonts w:hint="eastAsia" w:eastAsia="仿宋_GB2312" w:cs="宋体"/>
                <w:b/>
                <w:bCs/>
                <w:spacing w:val="-3"/>
                <w:sz w:val="30"/>
                <w:szCs w:val="28"/>
              </w:rPr>
              <w:t>参考实体</w:t>
            </w:r>
            <w:r>
              <w:rPr>
                <w:rFonts w:hint="eastAsia" w:eastAsia="仿宋_GB2312" w:cs="宋体"/>
                <w:spacing w:val="-3"/>
                <w:sz w:val="30"/>
                <w:szCs w:val="28"/>
              </w:rPr>
              <w:t>，只能为国家或地区，且由该</w:t>
            </w:r>
            <w:r>
              <w:rPr>
                <w:rFonts w:hint="eastAsia" w:eastAsia="仿宋_GB2312" w:cs="宋体"/>
                <w:b/>
                <w:bCs/>
                <w:spacing w:val="-3"/>
                <w:sz w:val="30"/>
                <w:szCs w:val="28"/>
              </w:rPr>
              <w:t>参考实体</w:t>
            </w:r>
            <w:r>
              <w:rPr>
                <w:rFonts w:hint="eastAsia" w:eastAsia="仿宋_GB2312" w:cs="宋体"/>
                <w:spacing w:val="-3"/>
                <w:sz w:val="30"/>
                <w:szCs w:val="28"/>
              </w:rPr>
              <w:t>中有权处理</w:t>
            </w:r>
            <w:r>
              <w:rPr>
                <w:rFonts w:hint="eastAsia" w:eastAsia="仿宋_GB2312" w:cs="宋体"/>
                <w:b/>
                <w:bCs/>
                <w:spacing w:val="-3"/>
                <w:sz w:val="30"/>
                <w:szCs w:val="28"/>
              </w:rPr>
              <w:t>债务重组</w:t>
            </w:r>
            <w:r>
              <w:rPr>
                <w:rFonts w:hint="eastAsia" w:eastAsia="仿宋_GB2312" w:cs="宋体"/>
                <w:spacing w:val="-3"/>
                <w:sz w:val="30"/>
                <w:szCs w:val="28"/>
              </w:rPr>
              <w:t>的行政、立法或司法机构针对该</w:t>
            </w:r>
            <w:r>
              <w:rPr>
                <w:rFonts w:hint="eastAsia" w:eastAsia="仿宋_GB2312" w:cs="宋体"/>
                <w:b/>
                <w:bCs/>
                <w:spacing w:val="-3"/>
                <w:sz w:val="30"/>
                <w:szCs w:val="28"/>
              </w:rPr>
              <w:t>参考实体</w:t>
            </w:r>
            <w:r>
              <w:rPr>
                <w:rFonts w:hint="eastAsia" w:eastAsia="仿宋_GB2312" w:cs="宋体"/>
                <w:spacing w:val="-3"/>
                <w:sz w:val="30"/>
                <w:szCs w:val="28"/>
              </w:rPr>
              <w:t>的所有债务或某一类型的全部债务</w:t>
            </w:r>
            <w:r>
              <w:rPr>
                <w:rFonts w:hint="eastAsia" w:eastAsia="仿宋_GB2312" w:cs="宋体"/>
                <w:sz w:val="30"/>
                <w:szCs w:val="28"/>
              </w:rPr>
              <w:t>（例如所有外债）采取上述</w:t>
            </w:r>
            <w:r>
              <w:rPr>
                <w:rFonts w:hint="eastAsia" w:eastAsia="仿宋_GB2312" w:cs="宋体"/>
                <w:b/>
                <w:bCs/>
                <w:sz w:val="30"/>
                <w:szCs w:val="28"/>
              </w:rPr>
              <w:t>债务重组</w:t>
            </w:r>
            <w:r>
              <w:rPr>
                <w:rFonts w:hint="eastAsia" w:eastAsia="仿宋_GB2312" w:cs="宋体"/>
                <w:sz w:val="30"/>
                <w:szCs w:val="28"/>
              </w:rPr>
              <w:t>安排中描述的一项或多项安排。</w:t>
            </w:r>
          </w:p>
          <w:p w14:paraId="397F416C">
            <w:pPr>
              <w:pStyle w:val="17"/>
              <w:spacing w:line="560" w:lineRule="exact"/>
              <w:ind w:right="-34" w:rightChars="-16"/>
              <w:rPr>
                <w:rFonts w:eastAsia="仿宋_GB2312" w:cs="宋体"/>
                <w:sz w:val="30"/>
                <w:szCs w:val="28"/>
              </w:rPr>
            </w:pPr>
            <w:r>
              <w:rPr>
                <w:rFonts w:hint="eastAsia" w:eastAsia="仿宋_GB2312" w:cs="宋体"/>
                <w:sz w:val="30"/>
                <w:szCs w:val="28"/>
              </w:rPr>
              <w:t>但是，在</w:t>
            </w:r>
            <w:r>
              <w:rPr>
                <w:rFonts w:hint="eastAsia" w:eastAsia="仿宋_GB2312" w:cs="宋体"/>
                <w:b/>
                <w:bCs/>
                <w:sz w:val="30"/>
                <w:szCs w:val="28"/>
              </w:rPr>
              <w:t>参考实体</w:t>
            </w:r>
            <w:r>
              <w:rPr>
                <w:rFonts w:hint="eastAsia" w:eastAsia="仿宋_GB2312" w:cs="宋体"/>
                <w:sz w:val="30"/>
                <w:szCs w:val="28"/>
              </w:rPr>
              <w:t>所在国家或地区的主管部门为了避免相关区域的社会、</w:t>
            </w:r>
            <w:r>
              <w:rPr>
                <w:rFonts w:hint="eastAsia" w:eastAsia="仿宋_GB2312" w:cs="宋体"/>
                <w:spacing w:val="4"/>
                <w:sz w:val="30"/>
                <w:szCs w:val="28"/>
              </w:rPr>
              <w:t>经济或金融系统出现重大或系统性风险而主持或指导</w:t>
            </w:r>
            <w:r>
              <w:rPr>
                <w:rFonts w:hint="eastAsia" w:eastAsia="仿宋_GB2312" w:cs="宋体"/>
                <w:b/>
                <w:bCs/>
                <w:spacing w:val="4"/>
                <w:sz w:val="30"/>
                <w:szCs w:val="28"/>
              </w:rPr>
              <w:t>参考实体</w:t>
            </w:r>
            <w:r>
              <w:rPr>
                <w:rFonts w:hint="eastAsia" w:eastAsia="仿宋_GB2312" w:cs="宋体"/>
                <w:spacing w:val="4"/>
                <w:sz w:val="30"/>
                <w:szCs w:val="28"/>
              </w:rPr>
              <w:t>与其</w:t>
            </w:r>
            <w:r>
              <w:rPr>
                <w:rFonts w:hint="eastAsia" w:eastAsia="仿宋_GB2312" w:cs="宋体"/>
                <w:b/>
                <w:bCs/>
                <w:spacing w:val="4"/>
                <w:sz w:val="30"/>
                <w:szCs w:val="28"/>
              </w:rPr>
              <w:t>债务</w:t>
            </w:r>
            <w:r>
              <w:rPr>
                <w:rFonts w:hint="eastAsia" w:eastAsia="仿宋_GB2312" w:cs="宋体"/>
                <w:spacing w:val="4"/>
                <w:sz w:val="30"/>
                <w:szCs w:val="28"/>
              </w:rPr>
              <w:t>的全体</w:t>
            </w:r>
            <w:r>
              <w:rPr>
                <w:rFonts w:hint="eastAsia" w:eastAsia="仿宋_GB2312" w:cs="宋体"/>
                <w:spacing w:val="-3"/>
                <w:sz w:val="30"/>
                <w:szCs w:val="28"/>
              </w:rPr>
              <w:t>债权人就相关</w:t>
            </w:r>
            <w:r>
              <w:rPr>
                <w:rFonts w:hint="eastAsia" w:eastAsia="仿宋_GB2312" w:cs="宋体"/>
                <w:b/>
                <w:bCs/>
                <w:spacing w:val="-3"/>
                <w:sz w:val="30"/>
                <w:szCs w:val="28"/>
              </w:rPr>
              <w:t>债务</w:t>
            </w:r>
            <w:r>
              <w:rPr>
                <w:rFonts w:hint="eastAsia" w:eastAsia="仿宋_GB2312" w:cs="宋体"/>
                <w:spacing w:val="-3"/>
                <w:sz w:val="30"/>
                <w:szCs w:val="28"/>
              </w:rPr>
              <w:t>自愿达成协议或安排，同意</w:t>
            </w:r>
            <w:r>
              <w:rPr>
                <w:rFonts w:hint="eastAsia" w:eastAsia="仿宋_GB2312" w:cs="宋体"/>
                <w:b/>
                <w:bCs/>
                <w:spacing w:val="-3"/>
                <w:sz w:val="30"/>
                <w:szCs w:val="28"/>
              </w:rPr>
              <w:t>参考实体</w:t>
            </w:r>
            <w:r>
              <w:rPr>
                <w:rFonts w:hint="eastAsia" w:eastAsia="仿宋_GB2312" w:cs="宋体"/>
                <w:spacing w:val="-3"/>
                <w:sz w:val="30"/>
                <w:szCs w:val="28"/>
              </w:rPr>
              <w:t>就相关</w:t>
            </w:r>
            <w:r>
              <w:rPr>
                <w:rFonts w:hint="eastAsia" w:eastAsia="仿宋_GB2312" w:cs="宋体"/>
                <w:b/>
                <w:bCs/>
                <w:spacing w:val="-3"/>
                <w:sz w:val="30"/>
                <w:szCs w:val="28"/>
              </w:rPr>
              <w:t>债务</w:t>
            </w:r>
            <w:r>
              <w:rPr>
                <w:rFonts w:hint="eastAsia" w:eastAsia="仿宋_GB2312" w:cs="宋体"/>
                <w:spacing w:val="-3"/>
                <w:sz w:val="30"/>
                <w:szCs w:val="28"/>
              </w:rPr>
              <w:t>采取上述</w:t>
            </w:r>
            <w:r>
              <w:rPr>
                <w:rFonts w:hint="eastAsia" w:eastAsia="仿宋_GB2312" w:cs="宋体"/>
                <w:b/>
                <w:bCs/>
                <w:spacing w:val="-3"/>
                <w:sz w:val="30"/>
                <w:szCs w:val="28"/>
              </w:rPr>
              <w:t>债务</w:t>
            </w:r>
            <w:r>
              <w:rPr>
                <w:rFonts w:hint="eastAsia" w:eastAsia="仿宋_GB2312" w:cs="宋体"/>
                <w:b/>
                <w:bCs/>
                <w:sz w:val="30"/>
                <w:szCs w:val="28"/>
              </w:rPr>
              <w:t>重组</w:t>
            </w:r>
            <w:r>
              <w:rPr>
                <w:rFonts w:hint="eastAsia" w:eastAsia="仿宋_GB2312" w:cs="宋体"/>
                <w:sz w:val="30"/>
                <w:szCs w:val="28"/>
              </w:rPr>
              <w:t>安排中描述的一项或多项安排，则不视为构成一项</w:t>
            </w:r>
            <w:r>
              <w:rPr>
                <w:rFonts w:hint="eastAsia" w:eastAsia="仿宋_GB2312" w:cs="宋体"/>
                <w:b/>
                <w:bCs/>
                <w:sz w:val="30"/>
                <w:szCs w:val="28"/>
              </w:rPr>
              <w:t>债务重组</w:t>
            </w:r>
            <w:r>
              <w:rPr>
                <w:rFonts w:hint="eastAsia" w:eastAsia="仿宋_GB2312" w:cs="宋体"/>
                <w:sz w:val="30"/>
                <w:szCs w:val="28"/>
              </w:rPr>
              <w:t>的</w:t>
            </w:r>
            <w:r>
              <w:rPr>
                <w:rFonts w:hint="eastAsia" w:eastAsia="仿宋_GB2312" w:cs="宋体"/>
                <w:b/>
                <w:bCs/>
                <w:sz w:val="30"/>
                <w:szCs w:val="28"/>
              </w:rPr>
              <w:t>信用事件</w:t>
            </w:r>
            <w:r>
              <w:rPr>
                <w:rFonts w:hint="eastAsia" w:eastAsia="仿宋_GB2312" w:cs="宋体"/>
                <w:sz w:val="30"/>
                <w:szCs w:val="28"/>
              </w:rPr>
              <w:t>。</w:t>
            </w:r>
          </w:p>
        </w:tc>
      </w:tr>
      <w:tr w14:paraId="0DAF6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1" w:hRule="atLeast"/>
          <w:jc w:val="center"/>
        </w:trPr>
        <w:tc>
          <w:tcPr>
            <w:tcW w:w="2434" w:type="dxa"/>
            <w:vAlign w:val="center"/>
          </w:tcPr>
          <w:p w14:paraId="52BE4322">
            <w:pPr>
              <w:spacing w:before="185" w:line="560" w:lineRule="exact"/>
              <w:jc w:val="center"/>
              <w:rPr>
                <w:rFonts w:eastAsia="仿宋_GB2312" w:cs="宋体"/>
                <w:sz w:val="30"/>
                <w:szCs w:val="28"/>
              </w:rPr>
            </w:pPr>
            <w:r>
              <w:rPr>
                <w:rFonts w:hint="eastAsia" w:eastAsia="仿宋_GB2312" w:cs="宋体"/>
                <w:sz w:val="30"/>
                <w:szCs w:val="28"/>
              </w:rPr>
              <w:t>起点金额</w:t>
            </w:r>
          </w:p>
        </w:tc>
        <w:tc>
          <w:tcPr>
            <w:tcW w:w="5862" w:type="dxa"/>
            <w:vAlign w:val="center"/>
          </w:tcPr>
          <w:p w14:paraId="4E9B061E">
            <w:pPr>
              <w:spacing w:before="185" w:line="560" w:lineRule="exact"/>
              <w:rPr>
                <w:rFonts w:eastAsia="仿宋_GB2312" w:cs="宋体"/>
                <w:sz w:val="30"/>
                <w:szCs w:val="28"/>
              </w:rPr>
            </w:pPr>
            <w:r>
              <w:rPr>
                <w:rFonts w:hint="eastAsia" w:eastAsia="仿宋_GB2312" w:cs="宋体"/>
                <w:sz w:val="30"/>
                <w:szCs w:val="28"/>
              </w:rPr>
              <w:t>指</w:t>
            </w:r>
            <w:r>
              <w:rPr>
                <w:rFonts w:hint="eastAsia" w:eastAsia="仿宋_GB2312" w:cs="宋体"/>
                <w:b/>
                <w:sz w:val="30"/>
                <w:szCs w:val="28"/>
              </w:rPr>
              <w:t>交易双方</w:t>
            </w:r>
            <w:r>
              <w:rPr>
                <w:rFonts w:hint="eastAsia" w:eastAsia="仿宋_GB2312" w:cs="宋体"/>
                <w:sz w:val="30"/>
                <w:szCs w:val="28"/>
              </w:rPr>
              <w:t>在</w:t>
            </w:r>
            <w:r>
              <w:rPr>
                <w:rFonts w:hint="eastAsia" w:eastAsia="仿宋_GB2312" w:cs="宋体"/>
                <w:b/>
                <w:sz w:val="30"/>
                <w:szCs w:val="28"/>
              </w:rPr>
              <w:t>本确认书</w:t>
            </w:r>
            <w:r>
              <w:rPr>
                <w:rFonts w:hint="eastAsia" w:eastAsia="仿宋_GB2312" w:cs="宋体"/>
                <w:sz w:val="30"/>
                <w:szCs w:val="28"/>
              </w:rPr>
              <w:t>中约定的适用于某一</w:t>
            </w:r>
            <w:r>
              <w:rPr>
                <w:rFonts w:hint="eastAsia" w:eastAsia="仿宋_GB2312" w:cs="宋体"/>
                <w:b/>
                <w:sz w:val="30"/>
                <w:szCs w:val="28"/>
              </w:rPr>
              <w:t>信用事件</w:t>
            </w:r>
            <w:r>
              <w:rPr>
                <w:rFonts w:hint="eastAsia" w:eastAsia="仿宋_GB2312" w:cs="宋体"/>
                <w:sz w:val="30"/>
                <w:szCs w:val="28"/>
              </w:rPr>
              <w:t>的金额，相关事件涉及的</w:t>
            </w:r>
            <w:r>
              <w:rPr>
                <w:rFonts w:hint="eastAsia" w:eastAsia="仿宋_GB2312" w:cs="宋体"/>
                <w:b/>
                <w:bCs/>
                <w:sz w:val="30"/>
                <w:szCs w:val="28"/>
              </w:rPr>
              <w:t>债务</w:t>
            </w:r>
            <w:r>
              <w:rPr>
                <w:rFonts w:hint="eastAsia" w:eastAsia="仿宋_GB2312" w:cs="宋体"/>
                <w:sz w:val="30"/>
                <w:szCs w:val="28"/>
              </w:rPr>
              <w:t>或应付款项金额超过该金额，方可构成该</w:t>
            </w:r>
            <w:r>
              <w:rPr>
                <w:rFonts w:hint="eastAsia" w:eastAsia="仿宋_GB2312" w:cs="宋体"/>
                <w:b/>
                <w:bCs/>
                <w:sz w:val="30"/>
                <w:szCs w:val="28"/>
              </w:rPr>
              <w:t>信用事件</w:t>
            </w:r>
            <w:r>
              <w:rPr>
                <w:rFonts w:hint="eastAsia" w:eastAsia="仿宋_GB2312" w:cs="宋体"/>
                <w:sz w:val="30"/>
                <w:szCs w:val="28"/>
              </w:rPr>
              <w:t>。</w:t>
            </w:r>
          </w:p>
        </w:tc>
      </w:tr>
      <w:tr w14:paraId="03185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4" w:type="dxa"/>
            <w:vAlign w:val="center"/>
          </w:tcPr>
          <w:p w14:paraId="2CD10E8C">
            <w:pPr>
              <w:spacing w:before="185" w:line="560" w:lineRule="exact"/>
              <w:jc w:val="center"/>
              <w:rPr>
                <w:rFonts w:eastAsia="仿宋_GB2312" w:cs="宋体"/>
                <w:kern w:val="0"/>
                <w:sz w:val="30"/>
                <w:szCs w:val="28"/>
              </w:rPr>
            </w:pPr>
            <w:r>
              <w:rPr>
                <w:rFonts w:hint="eastAsia" w:eastAsia="仿宋_GB2312" w:cs="宋体"/>
                <w:sz w:val="30"/>
                <w:szCs w:val="28"/>
              </w:rPr>
              <w:t>宽限期</w:t>
            </w:r>
          </w:p>
        </w:tc>
        <w:tc>
          <w:tcPr>
            <w:tcW w:w="5862" w:type="dxa"/>
            <w:vAlign w:val="center"/>
          </w:tcPr>
          <w:p w14:paraId="6DF3AE1F">
            <w:pPr>
              <w:spacing w:before="185" w:line="560" w:lineRule="exact"/>
              <w:rPr>
                <w:rFonts w:eastAsia="仿宋_GB2312" w:cs="宋体"/>
                <w:kern w:val="0"/>
                <w:sz w:val="30"/>
                <w:szCs w:val="28"/>
              </w:rPr>
            </w:pPr>
            <w:r>
              <w:rPr>
                <w:rFonts w:hint="eastAsia" w:eastAsia="仿宋_GB2312" w:cs="宋体"/>
                <w:spacing w:val="-4"/>
                <w:sz w:val="30"/>
                <w:szCs w:val="28"/>
              </w:rPr>
              <w:t>指对某一</w:t>
            </w:r>
            <w:r>
              <w:rPr>
                <w:rFonts w:hint="eastAsia" w:eastAsia="仿宋_GB2312" w:cs="宋体"/>
                <w:b/>
                <w:bCs/>
                <w:spacing w:val="-4"/>
                <w:sz w:val="30"/>
                <w:szCs w:val="28"/>
              </w:rPr>
              <w:t>债务</w:t>
            </w:r>
            <w:r>
              <w:rPr>
                <w:rFonts w:hint="eastAsia" w:eastAsia="仿宋_GB2312" w:cs="宋体"/>
                <w:spacing w:val="-4"/>
                <w:sz w:val="30"/>
                <w:szCs w:val="28"/>
              </w:rPr>
              <w:t>的付款宽限期，既可在适用于该</w:t>
            </w:r>
            <w:r>
              <w:rPr>
                <w:rFonts w:hint="eastAsia" w:eastAsia="仿宋_GB2312" w:cs="宋体"/>
                <w:b/>
                <w:bCs/>
                <w:spacing w:val="-4"/>
                <w:sz w:val="30"/>
                <w:szCs w:val="28"/>
              </w:rPr>
              <w:t>债务</w:t>
            </w:r>
            <w:r>
              <w:rPr>
                <w:rFonts w:hint="eastAsia" w:eastAsia="仿宋_GB2312" w:cs="宋体"/>
                <w:spacing w:val="-4"/>
                <w:sz w:val="30"/>
                <w:szCs w:val="28"/>
              </w:rPr>
              <w:t>的基础法律文件中约定，也可</w:t>
            </w:r>
            <w:r>
              <w:rPr>
                <w:rFonts w:hint="eastAsia" w:eastAsia="仿宋_GB2312" w:cs="宋体"/>
                <w:sz w:val="30"/>
                <w:szCs w:val="28"/>
              </w:rPr>
              <w:t>由</w:t>
            </w:r>
            <w:r>
              <w:rPr>
                <w:rFonts w:hint="eastAsia" w:eastAsia="仿宋_GB2312" w:cs="宋体"/>
                <w:b/>
                <w:bCs/>
                <w:sz w:val="30"/>
                <w:szCs w:val="28"/>
              </w:rPr>
              <w:t>交易双方</w:t>
            </w:r>
            <w:r>
              <w:rPr>
                <w:rFonts w:hint="eastAsia" w:eastAsia="仿宋_GB2312" w:cs="宋体"/>
                <w:sz w:val="30"/>
                <w:szCs w:val="28"/>
              </w:rPr>
              <w:t>在</w:t>
            </w:r>
            <w:r>
              <w:rPr>
                <w:rFonts w:hint="eastAsia" w:eastAsia="仿宋_GB2312" w:cs="宋体"/>
                <w:b/>
                <w:bCs/>
                <w:sz w:val="30"/>
                <w:szCs w:val="28"/>
              </w:rPr>
              <w:t>本确认书</w:t>
            </w:r>
            <w:r>
              <w:rPr>
                <w:rFonts w:hint="eastAsia" w:eastAsia="仿宋_GB2312" w:cs="宋体"/>
                <w:sz w:val="30"/>
                <w:szCs w:val="28"/>
              </w:rPr>
              <w:t>中进行约定。</w:t>
            </w:r>
          </w:p>
          <w:p w14:paraId="39E6A063">
            <w:pPr>
              <w:spacing w:before="185" w:line="560" w:lineRule="exact"/>
              <w:rPr>
                <w:rFonts w:eastAsia="仿宋_GB2312" w:cs="宋体"/>
                <w:kern w:val="0"/>
                <w:sz w:val="30"/>
                <w:szCs w:val="28"/>
              </w:rPr>
            </w:pPr>
            <w:r>
              <w:rPr>
                <w:rFonts w:hint="eastAsia" w:eastAsia="仿宋_GB2312" w:cs="宋体"/>
                <w:sz w:val="30"/>
                <w:szCs w:val="28"/>
              </w:rPr>
              <w:t>若以该</w:t>
            </w:r>
            <w:r>
              <w:rPr>
                <w:rFonts w:hint="eastAsia" w:eastAsia="仿宋_GB2312" w:cs="宋体"/>
                <w:b/>
                <w:sz w:val="30"/>
                <w:szCs w:val="28"/>
              </w:rPr>
              <w:t>债务</w:t>
            </w:r>
            <w:r>
              <w:rPr>
                <w:rFonts w:hint="eastAsia" w:eastAsia="仿宋_GB2312" w:cs="宋体"/>
                <w:sz w:val="30"/>
                <w:szCs w:val="28"/>
              </w:rPr>
              <w:t>基础法律文件中约定的付款宽限期作为该债务的宽限期，则该付款宽限期在相关</w:t>
            </w:r>
            <w:r>
              <w:rPr>
                <w:rFonts w:hint="eastAsia" w:eastAsia="仿宋_GB2312" w:cs="宋体"/>
                <w:b/>
                <w:sz w:val="30"/>
                <w:szCs w:val="28"/>
              </w:rPr>
              <w:t>信用保护合约交易</w:t>
            </w:r>
            <w:r>
              <w:rPr>
                <w:rFonts w:hint="eastAsia" w:eastAsia="仿宋_GB2312" w:cs="宋体"/>
                <w:sz w:val="30"/>
                <w:szCs w:val="28"/>
              </w:rPr>
              <w:t>的</w:t>
            </w:r>
            <w:r>
              <w:rPr>
                <w:rFonts w:hint="eastAsia" w:eastAsia="仿宋_GB2312" w:cs="宋体"/>
                <w:b/>
                <w:sz w:val="30"/>
                <w:szCs w:val="28"/>
              </w:rPr>
              <w:t>签署日</w:t>
            </w:r>
            <w:r>
              <w:rPr>
                <w:rFonts w:hint="eastAsia" w:eastAsia="仿宋_GB2312" w:cs="宋体"/>
                <w:sz w:val="30"/>
                <w:szCs w:val="28"/>
              </w:rPr>
              <w:t>应已存在，除非该</w:t>
            </w:r>
            <w:r>
              <w:rPr>
                <w:rFonts w:hint="eastAsia" w:eastAsia="仿宋_GB2312" w:cs="宋体"/>
                <w:b/>
                <w:sz w:val="30"/>
                <w:szCs w:val="28"/>
              </w:rPr>
              <w:t>债务</w:t>
            </w:r>
            <w:r>
              <w:rPr>
                <w:rFonts w:hint="eastAsia" w:eastAsia="仿宋_GB2312" w:cs="宋体"/>
                <w:sz w:val="30"/>
                <w:szCs w:val="28"/>
              </w:rPr>
              <w:t>发生在</w:t>
            </w:r>
            <w:r>
              <w:rPr>
                <w:rFonts w:hint="eastAsia" w:eastAsia="仿宋_GB2312" w:cs="宋体"/>
                <w:b/>
                <w:sz w:val="30"/>
                <w:szCs w:val="28"/>
              </w:rPr>
              <w:t>签署日</w:t>
            </w:r>
            <w:r>
              <w:rPr>
                <w:rFonts w:hint="eastAsia" w:eastAsia="仿宋_GB2312" w:cs="宋体"/>
                <w:sz w:val="30"/>
                <w:szCs w:val="28"/>
              </w:rPr>
              <w:t>之后，在此情况下，则以该债务发生日适用的基础法律文件中约定的付款宽限期为准。</w:t>
            </w:r>
          </w:p>
          <w:p w14:paraId="17E343E6">
            <w:pPr>
              <w:spacing w:before="185" w:line="560" w:lineRule="exact"/>
              <w:rPr>
                <w:rFonts w:eastAsia="仿宋_GB2312" w:cs="宋体"/>
                <w:sz w:val="30"/>
                <w:szCs w:val="28"/>
              </w:rPr>
            </w:pPr>
            <w:r>
              <w:rPr>
                <w:rFonts w:hint="eastAsia" w:eastAsia="仿宋_GB2312" w:cs="宋体"/>
                <w:sz w:val="30"/>
                <w:szCs w:val="28"/>
              </w:rPr>
              <w:t>若上述基础法律文件中约定了付款宽限期，而</w:t>
            </w:r>
            <w:r>
              <w:rPr>
                <w:rFonts w:hint="eastAsia" w:eastAsia="仿宋_GB2312" w:cs="宋体"/>
                <w:b/>
                <w:sz w:val="30"/>
                <w:szCs w:val="28"/>
              </w:rPr>
              <w:t>交易双方</w:t>
            </w:r>
            <w:r>
              <w:rPr>
                <w:rFonts w:hint="eastAsia" w:eastAsia="仿宋_GB2312" w:cs="宋体"/>
                <w:sz w:val="30"/>
                <w:szCs w:val="28"/>
              </w:rPr>
              <w:t>同时在</w:t>
            </w:r>
            <w:r>
              <w:rPr>
                <w:rFonts w:hint="eastAsia" w:eastAsia="仿宋_GB2312" w:cs="宋体"/>
                <w:b/>
                <w:bCs/>
                <w:spacing w:val="-4"/>
                <w:sz w:val="30"/>
                <w:szCs w:val="28"/>
              </w:rPr>
              <w:t>本确认书</w:t>
            </w:r>
            <w:r>
              <w:rPr>
                <w:rFonts w:hint="eastAsia" w:eastAsia="仿宋_GB2312" w:cs="宋体"/>
                <w:sz w:val="30"/>
                <w:szCs w:val="28"/>
              </w:rPr>
              <w:t>中列明了宽限期的期限，则</w:t>
            </w:r>
            <w:r>
              <w:rPr>
                <w:rFonts w:hint="eastAsia" w:eastAsia="仿宋_GB2312" w:cs="宋体"/>
                <w:b/>
                <w:bCs/>
                <w:spacing w:val="-4"/>
                <w:sz w:val="30"/>
                <w:szCs w:val="28"/>
              </w:rPr>
              <w:t>本确认书</w:t>
            </w:r>
            <w:r>
              <w:rPr>
                <w:rFonts w:hint="eastAsia" w:eastAsia="仿宋_GB2312" w:cs="宋体"/>
                <w:sz w:val="30"/>
                <w:szCs w:val="28"/>
              </w:rPr>
              <w:t>中列明的期限为适用的宽限期。</w:t>
            </w:r>
          </w:p>
          <w:p w14:paraId="70C6CE7F">
            <w:pPr>
              <w:spacing w:before="185" w:line="560" w:lineRule="exact"/>
              <w:rPr>
                <w:rFonts w:eastAsia="仿宋_GB2312" w:cs="宋体"/>
                <w:kern w:val="0"/>
                <w:sz w:val="30"/>
                <w:szCs w:val="28"/>
              </w:rPr>
            </w:pPr>
            <w:r>
              <w:rPr>
                <w:rFonts w:hint="eastAsia" w:eastAsia="仿宋_GB2312" w:cs="宋体"/>
                <w:kern w:val="0"/>
                <w:sz w:val="30"/>
                <w:szCs w:val="28"/>
              </w:rPr>
              <w:t>若产生或构成相关债务的基础法律文件中未约定付款宽限期，交易双方在相关交易有效约定中也未列明宽限期的期限，则相关的宽限期默认为</w:t>
            </w:r>
            <w:r>
              <w:rPr>
                <w:rFonts w:eastAsia="仿宋_GB2312" w:cs="宋体"/>
                <w:kern w:val="0"/>
                <w:sz w:val="30"/>
                <w:szCs w:val="28"/>
              </w:rPr>
              <w:t>3</w:t>
            </w:r>
            <w:r>
              <w:rPr>
                <w:rFonts w:hint="eastAsia" w:eastAsia="仿宋_GB2312" w:cs="宋体"/>
                <w:kern w:val="0"/>
                <w:sz w:val="30"/>
                <w:szCs w:val="28"/>
              </w:rPr>
              <w:t>个交易日。</w:t>
            </w:r>
          </w:p>
        </w:tc>
      </w:tr>
      <w:tr w14:paraId="7F327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8" w:hRule="atLeast"/>
          <w:jc w:val="center"/>
        </w:trPr>
        <w:tc>
          <w:tcPr>
            <w:tcW w:w="2434" w:type="dxa"/>
            <w:vAlign w:val="center"/>
          </w:tcPr>
          <w:p w14:paraId="0107C0E0">
            <w:pPr>
              <w:spacing w:before="185" w:line="560" w:lineRule="exact"/>
              <w:jc w:val="center"/>
              <w:rPr>
                <w:rFonts w:eastAsia="仿宋_GB2312" w:cs="宋体"/>
                <w:spacing w:val="-4"/>
                <w:kern w:val="0"/>
                <w:sz w:val="30"/>
                <w:szCs w:val="28"/>
              </w:rPr>
            </w:pPr>
            <w:r>
              <w:rPr>
                <w:rFonts w:hint="eastAsia" w:eastAsia="仿宋_GB2312" w:cs="宋体"/>
                <w:spacing w:val="-4"/>
                <w:sz w:val="30"/>
                <w:szCs w:val="28"/>
              </w:rPr>
              <w:t>潜在支付违约</w:t>
            </w:r>
          </w:p>
        </w:tc>
        <w:tc>
          <w:tcPr>
            <w:tcW w:w="5862" w:type="dxa"/>
            <w:vAlign w:val="center"/>
          </w:tcPr>
          <w:p w14:paraId="1F915984">
            <w:pPr>
              <w:spacing w:before="185" w:line="560" w:lineRule="exact"/>
              <w:rPr>
                <w:rFonts w:eastAsia="仿宋_GB2312" w:cs="宋体"/>
                <w:spacing w:val="-4"/>
                <w:kern w:val="0"/>
                <w:sz w:val="30"/>
                <w:szCs w:val="28"/>
              </w:rPr>
            </w:pPr>
            <w:r>
              <w:rPr>
                <w:rFonts w:hint="eastAsia" w:eastAsia="仿宋_GB2312" w:cs="宋体"/>
                <w:spacing w:val="-4"/>
                <w:sz w:val="30"/>
                <w:szCs w:val="28"/>
              </w:rPr>
              <w:t>指</w:t>
            </w:r>
            <w:r>
              <w:rPr>
                <w:rFonts w:hint="eastAsia" w:eastAsia="仿宋_GB2312" w:cs="宋体"/>
                <w:b/>
                <w:bCs/>
                <w:spacing w:val="-4"/>
                <w:sz w:val="30"/>
                <w:szCs w:val="28"/>
              </w:rPr>
              <w:t>交易双方</w:t>
            </w:r>
            <w:r>
              <w:rPr>
                <w:rFonts w:hint="eastAsia" w:eastAsia="仿宋_GB2312" w:cs="宋体"/>
                <w:spacing w:val="-4"/>
                <w:sz w:val="30"/>
                <w:szCs w:val="28"/>
              </w:rPr>
              <w:t>在</w:t>
            </w:r>
            <w:r>
              <w:rPr>
                <w:rFonts w:hint="eastAsia" w:eastAsia="仿宋_GB2312" w:cs="宋体"/>
                <w:b/>
                <w:bCs/>
                <w:spacing w:val="-4"/>
                <w:sz w:val="30"/>
                <w:szCs w:val="28"/>
              </w:rPr>
              <w:t>参考实体</w:t>
            </w:r>
            <w:r>
              <w:rPr>
                <w:rFonts w:hint="eastAsia" w:eastAsia="仿宋_GB2312" w:cs="宋体"/>
                <w:spacing w:val="-4"/>
                <w:sz w:val="30"/>
                <w:szCs w:val="28"/>
              </w:rPr>
              <w:t>相关</w:t>
            </w:r>
            <w:r>
              <w:rPr>
                <w:rFonts w:hint="eastAsia" w:eastAsia="仿宋_GB2312" w:cs="宋体"/>
                <w:b/>
                <w:bCs/>
                <w:spacing w:val="-4"/>
                <w:sz w:val="30"/>
                <w:szCs w:val="28"/>
              </w:rPr>
              <w:t>债务</w:t>
            </w:r>
            <w:r>
              <w:rPr>
                <w:rFonts w:hint="eastAsia" w:eastAsia="仿宋_GB2312" w:cs="宋体"/>
                <w:spacing w:val="-4"/>
                <w:sz w:val="30"/>
                <w:szCs w:val="28"/>
              </w:rPr>
              <w:t>项下约定了</w:t>
            </w:r>
            <w:r>
              <w:rPr>
                <w:rFonts w:hint="eastAsia" w:eastAsia="仿宋_GB2312" w:cs="宋体"/>
                <w:b/>
                <w:bCs/>
                <w:spacing w:val="-4"/>
                <w:sz w:val="30"/>
                <w:szCs w:val="28"/>
              </w:rPr>
              <w:t>宽限期</w:t>
            </w:r>
            <w:r>
              <w:rPr>
                <w:rFonts w:hint="eastAsia" w:eastAsia="仿宋_GB2312" w:cs="宋体"/>
                <w:spacing w:val="-4"/>
                <w:sz w:val="30"/>
                <w:szCs w:val="28"/>
              </w:rPr>
              <w:t>或其他构成</w:t>
            </w:r>
            <w:r>
              <w:rPr>
                <w:rFonts w:hint="eastAsia" w:eastAsia="仿宋_GB2312" w:cs="宋体"/>
                <w:b/>
                <w:bCs/>
                <w:spacing w:val="-4"/>
                <w:sz w:val="30"/>
                <w:szCs w:val="28"/>
              </w:rPr>
              <w:t>支付违约</w:t>
            </w:r>
            <w:r>
              <w:rPr>
                <w:rFonts w:hint="eastAsia" w:eastAsia="仿宋_GB2312" w:cs="宋体"/>
                <w:spacing w:val="-4"/>
                <w:sz w:val="30"/>
                <w:szCs w:val="28"/>
              </w:rPr>
              <w:t>的特定条件的情形下，</w:t>
            </w:r>
            <w:r>
              <w:rPr>
                <w:rFonts w:hint="eastAsia" w:eastAsia="仿宋_GB2312" w:cs="宋体"/>
                <w:b/>
                <w:bCs/>
                <w:spacing w:val="-4"/>
                <w:sz w:val="30"/>
                <w:szCs w:val="28"/>
              </w:rPr>
              <w:t>参考实体</w:t>
            </w:r>
            <w:r>
              <w:rPr>
                <w:rFonts w:hint="eastAsia" w:eastAsia="仿宋_GB2312" w:cs="宋体"/>
                <w:spacing w:val="-4"/>
                <w:sz w:val="30"/>
                <w:szCs w:val="28"/>
              </w:rPr>
              <w:t>未在该</w:t>
            </w:r>
            <w:r>
              <w:rPr>
                <w:rFonts w:hint="eastAsia" w:eastAsia="仿宋_GB2312" w:cs="宋体"/>
                <w:b/>
                <w:bCs/>
                <w:spacing w:val="-4"/>
                <w:sz w:val="30"/>
                <w:szCs w:val="28"/>
              </w:rPr>
              <w:t>债务</w:t>
            </w:r>
            <w:r>
              <w:rPr>
                <w:rFonts w:hint="eastAsia" w:eastAsia="仿宋_GB2312" w:cs="宋体"/>
                <w:spacing w:val="-4"/>
                <w:sz w:val="30"/>
                <w:szCs w:val="28"/>
              </w:rPr>
              <w:t>的支付日全额履行付款义务、但仍处于相关</w:t>
            </w:r>
            <w:r>
              <w:rPr>
                <w:rFonts w:hint="eastAsia" w:eastAsia="仿宋_GB2312" w:cs="宋体"/>
                <w:b/>
                <w:bCs/>
                <w:spacing w:val="-4"/>
                <w:sz w:val="30"/>
                <w:szCs w:val="28"/>
              </w:rPr>
              <w:t>宽限期</w:t>
            </w:r>
            <w:r>
              <w:rPr>
                <w:rFonts w:hint="eastAsia" w:eastAsia="仿宋_GB2312" w:cs="宋体"/>
                <w:spacing w:val="-4"/>
                <w:sz w:val="30"/>
                <w:szCs w:val="28"/>
              </w:rPr>
              <w:t>内或相关特定条件尚未成就时的违约状态。</w:t>
            </w:r>
          </w:p>
        </w:tc>
      </w:tr>
      <w:tr w14:paraId="5BA33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2434" w:type="dxa"/>
            <w:vAlign w:val="center"/>
          </w:tcPr>
          <w:p w14:paraId="2E9B13FC">
            <w:pPr>
              <w:spacing w:before="185" w:line="560" w:lineRule="exact"/>
              <w:jc w:val="center"/>
              <w:rPr>
                <w:rFonts w:eastAsia="仿宋_GB2312" w:cs="宋体"/>
                <w:kern w:val="0"/>
                <w:sz w:val="30"/>
                <w:szCs w:val="28"/>
              </w:rPr>
            </w:pPr>
            <w:r>
              <w:rPr>
                <w:rFonts w:hint="eastAsia" w:eastAsia="仿宋_GB2312" w:cs="宋体"/>
                <w:spacing w:val="-4"/>
                <w:sz w:val="30"/>
                <w:szCs w:val="28"/>
              </w:rPr>
              <w:t>宽限期顺延</w:t>
            </w:r>
          </w:p>
        </w:tc>
        <w:tc>
          <w:tcPr>
            <w:tcW w:w="5862" w:type="dxa"/>
            <w:vAlign w:val="center"/>
          </w:tcPr>
          <w:p w14:paraId="07E559F9">
            <w:pPr>
              <w:spacing w:before="185" w:line="560" w:lineRule="exact"/>
              <w:rPr>
                <w:rFonts w:eastAsia="仿宋_GB2312" w:cs="宋体"/>
                <w:spacing w:val="-4"/>
                <w:kern w:val="0"/>
                <w:sz w:val="30"/>
                <w:szCs w:val="28"/>
              </w:rPr>
            </w:pPr>
            <w:r>
              <w:rPr>
                <w:rFonts w:hint="eastAsia" w:eastAsia="仿宋_GB2312" w:cs="宋体"/>
                <w:spacing w:val="-4"/>
                <w:sz w:val="30"/>
                <w:szCs w:val="28"/>
              </w:rPr>
              <w:t>若</w:t>
            </w:r>
            <w:r>
              <w:rPr>
                <w:rFonts w:hint="eastAsia" w:eastAsia="仿宋_GB2312" w:cs="宋体"/>
                <w:b/>
                <w:spacing w:val="-4"/>
                <w:sz w:val="30"/>
                <w:szCs w:val="28"/>
              </w:rPr>
              <w:t>交易双方</w:t>
            </w:r>
            <w:r>
              <w:rPr>
                <w:rFonts w:hint="eastAsia" w:eastAsia="仿宋_GB2312" w:cs="宋体"/>
                <w:spacing w:val="-4"/>
                <w:sz w:val="30"/>
                <w:szCs w:val="28"/>
              </w:rPr>
              <w:t>在</w:t>
            </w:r>
            <w:r>
              <w:rPr>
                <w:rFonts w:hint="eastAsia" w:eastAsia="仿宋_GB2312" w:cs="宋体"/>
                <w:b/>
                <w:bCs/>
                <w:spacing w:val="-4"/>
                <w:sz w:val="30"/>
                <w:szCs w:val="28"/>
              </w:rPr>
              <w:t>本确认书</w:t>
            </w:r>
            <w:r>
              <w:rPr>
                <w:rFonts w:hint="eastAsia" w:eastAsia="仿宋_GB2312" w:cs="宋体"/>
                <w:spacing w:val="-4"/>
                <w:sz w:val="30"/>
                <w:szCs w:val="28"/>
              </w:rPr>
              <w:t>中选择适用“宽限期顺延”，在一项</w:t>
            </w:r>
            <w:r>
              <w:rPr>
                <w:rFonts w:hint="eastAsia" w:eastAsia="仿宋_GB2312" w:cs="宋体"/>
                <w:b/>
                <w:spacing w:val="-4"/>
                <w:sz w:val="30"/>
                <w:szCs w:val="28"/>
              </w:rPr>
              <w:t>潜在支付违约</w:t>
            </w:r>
            <w:r>
              <w:rPr>
                <w:rFonts w:hint="eastAsia" w:eastAsia="仿宋_GB2312" w:cs="宋体"/>
                <w:spacing w:val="-4"/>
                <w:sz w:val="30"/>
                <w:szCs w:val="28"/>
              </w:rPr>
              <w:t>发生于</w:t>
            </w:r>
            <w:r>
              <w:rPr>
                <w:rFonts w:hint="eastAsia" w:eastAsia="仿宋_GB2312" w:cs="宋体"/>
                <w:b/>
                <w:spacing w:val="-4"/>
                <w:sz w:val="30"/>
                <w:szCs w:val="28"/>
              </w:rPr>
              <w:t>约定到期日</w:t>
            </w:r>
            <w:r>
              <w:rPr>
                <w:rFonts w:hint="eastAsia" w:eastAsia="仿宋_GB2312" w:cs="宋体"/>
                <w:spacing w:val="-4"/>
                <w:sz w:val="30"/>
                <w:szCs w:val="28"/>
              </w:rPr>
              <w:t>或之前，即使适用的</w:t>
            </w:r>
            <w:r>
              <w:rPr>
                <w:rFonts w:hint="eastAsia" w:eastAsia="仿宋_GB2312" w:cs="宋体"/>
                <w:b/>
                <w:spacing w:val="-4"/>
                <w:sz w:val="30"/>
                <w:szCs w:val="28"/>
              </w:rPr>
              <w:t>宽限期</w:t>
            </w:r>
            <w:r>
              <w:rPr>
                <w:rFonts w:hint="eastAsia" w:eastAsia="仿宋_GB2312" w:cs="宋体"/>
                <w:spacing w:val="-4"/>
                <w:sz w:val="30"/>
                <w:szCs w:val="28"/>
              </w:rPr>
              <w:t>到期之日晚于</w:t>
            </w:r>
            <w:r>
              <w:rPr>
                <w:rFonts w:hint="eastAsia" w:eastAsia="仿宋_GB2312" w:cs="宋体"/>
                <w:b/>
                <w:spacing w:val="-4"/>
                <w:sz w:val="30"/>
                <w:szCs w:val="28"/>
              </w:rPr>
              <w:t>约定到期日</w:t>
            </w:r>
            <w:r>
              <w:rPr>
                <w:rFonts w:hint="eastAsia" w:eastAsia="仿宋_GB2312" w:cs="宋体"/>
                <w:spacing w:val="-4"/>
                <w:sz w:val="30"/>
                <w:szCs w:val="28"/>
              </w:rPr>
              <w:t>，相关</w:t>
            </w:r>
            <w:r>
              <w:rPr>
                <w:rFonts w:hint="eastAsia" w:eastAsia="仿宋_GB2312" w:cs="宋体"/>
                <w:b/>
                <w:spacing w:val="-4"/>
                <w:sz w:val="30"/>
                <w:szCs w:val="28"/>
              </w:rPr>
              <w:t>债务</w:t>
            </w:r>
            <w:r>
              <w:rPr>
                <w:rFonts w:hint="eastAsia" w:eastAsia="仿宋_GB2312" w:cs="宋体"/>
                <w:spacing w:val="-4"/>
                <w:sz w:val="30"/>
                <w:szCs w:val="28"/>
              </w:rPr>
              <w:t>仍然适用该</w:t>
            </w:r>
            <w:r>
              <w:rPr>
                <w:rFonts w:hint="eastAsia" w:eastAsia="仿宋_GB2312" w:cs="宋体"/>
                <w:b/>
                <w:spacing w:val="-4"/>
                <w:sz w:val="30"/>
                <w:szCs w:val="28"/>
              </w:rPr>
              <w:t>宽限期</w:t>
            </w:r>
            <w:r>
              <w:rPr>
                <w:rFonts w:hint="eastAsia" w:eastAsia="仿宋_GB2312" w:cs="宋体"/>
                <w:spacing w:val="-4"/>
                <w:sz w:val="30"/>
                <w:szCs w:val="28"/>
              </w:rPr>
              <w:t>，不受</w:t>
            </w:r>
            <w:r>
              <w:rPr>
                <w:rFonts w:hint="eastAsia" w:eastAsia="仿宋_GB2312" w:cs="宋体"/>
                <w:b/>
                <w:spacing w:val="-4"/>
                <w:sz w:val="30"/>
                <w:szCs w:val="28"/>
              </w:rPr>
              <w:t>约定到期日</w:t>
            </w:r>
            <w:r>
              <w:rPr>
                <w:rFonts w:hint="eastAsia" w:eastAsia="仿宋_GB2312" w:cs="宋体"/>
                <w:spacing w:val="-4"/>
                <w:sz w:val="30"/>
                <w:szCs w:val="28"/>
              </w:rPr>
              <w:t>的影响。该</w:t>
            </w:r>
            <w:r>
              <w:rPr>
                <w:rFonts w:hint="eastAsia" w:eastAsia="仿宋_GB2312" w:cs="宋体"/>
                <w:b/>
                <w:spacing w:val="-4"/>
                <w:sz w:val="30"/>
                <w:szCs w:val="28"/>
              </w:rPr>
              <w:t>宽限期</w:t>
            </w:r>
            <w:r>
              <w:rPr>
                <w:rFonts w:hint="eastAsia" w:eastAsia="仿宋_GB2312" w:cs="宋体"/>
                <w:spacing w:val="-4"/>
                <w:sz w:val="30"/>
                <w:szCs w:val="28"/>
              </w:rPr>
              <w:t>到期之日为信用保护合约的到期日。</w:t>
            </w:r>
          </w:p>
        </w:tc>
      </w:tr>
      <w:tr w14:paraId="71B88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4" w:type="dxa"/>
            <w:vAlign w:val="center"/>
          </w:tcPr>
          <w:p w14:paraId="0B1B5417">
            <w:pPr>
              <w:spacing w:before="185" w:line="560" w:lineRule="exact"/>
              <w:jc w:val="center"/>
              <w:rPr>
                <w:rFonts w:eastAsia="仿宋_GB2312" w:cs="宋体"/>
                <w:sz w:val="30"/>
                <w:szCs w:val="28"/>
              </w:rPr>
            </w:pPr>
            <w:r>
              <w:rPr>
                <w:rFonts w:hint="eastAsia" w:eastAsia="仿宋_GB2312" w:cs="宋体"/>
                <w:sz w:val="30"/>
                <w:szCs w:val="28"/>
              </w:rPr>
              <w:t>结算条件</w:t>
            </w:r>
          </w:p>
        </w:tc>
        <w:tc>
          <w:tcPr>
            <w:tcW w:w="5862" w:type="dxa"/>
            <w:vAlign w:val="center"/>
          </w:tcPr>
          <w:p w14:paraId="587C901C">
            <w:pPr>
              <w:spacing w:before="185" w:line="560" w:lineRule="exact"/>
              <w:rPr>
                <w:rFonts w:eastAsia="仿宋_GB2312" w:cs="宋体"/>
                <w:sz w:val="30"/>
                <w:szCs w:val="28"/>
              </w:rPr>
            </w:pPr>
            <w:r>
              <w:rPr>
                <w:rFonts w:hint="eastAsia" w:eastAsia="仿宋_GB2312" w:cs="宋体"/>
                <w:sz w:val="30"/>
                <w:szCs w:val="28"/>
              </w:rPr>
              <w:t>指</w:t>
            </w:r>
            <w:r>
              <w:rPr>
                <w:rFonts w:hint="eastAsia" w:eastAsia="仿宋_GB2312" w:cs="宋体"/>
                <w:b/>
                <w:bCs/>
                <w:sz w:val="30"/>
                <w:szCs w:val="28"/>
              </w:rPr>
              <w:t>交易双方</w:t>
            </w:r>
            <w:r>
              <w:rPr>
                <w:rFonts w:hint="eastAsia" w:eastAsia="仿宋_GB2312" w:cs="宋体"/>
                <w:sz w:val="30"/>
                <w:szCs w:val="28"/>
              </w:rPr>
              <w:t>在按照适用的</w:t>
            </w:r>
            <w:r>
              <w:rPr>
                <w:rFonts w:hint="eastAsia" w:eastAsia="仿宋_GB2312" w:cs="宋体"/>
                <w:b/>
                <w:bCs/>
                <w:sz w:val="30"/>
                <w:szCs w:val="28"/>
              </w:rPr>
              <w:t>结算方式</w:t>
            </w:r>
            <w:r>
              <w:rPr>
                <w:rFonts w:hint="eastAsia" w:eastAsia="仿宋_GB2312" w:cs="宋体"/>
                <w:sz w:val="30"/>
                <w:szCs w:val="28"/>
              </w:rPr>
              <w:t>履行相关结算义务之前需要满足的条件。</w:t>
            </w:r>
          </w:p>
        </w:tc>
      </w:tr>
      <w:tr w14:paraId="48255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4" w:type="dxa"/>
            <w:vAlign w:val="center"/>
          </w:tcPr>
          <w:p w14:paraId="23DB398E">
            <w:pPr>
              <w:spacing w:before="185" w:line="560" w:lineRule="exact"/>
              <w:jc w:val="center"/>
              <w:rPr>
                <w:rFonts w:eastAsia="仿宋_GB2312" w:cs="宋体"/>
                <w:sz w:val="30"/>
                <w:szCs w:val="28"/>
              </w:rPr>
            </w:pPr>
            <w:r>
              <w:rPr>
                <w:rFonts w:hint="eastAsia" w:eastAsia="仿宋_GB2312" w:cs="宋体"/>
                <w:sz w:val="30"/>
                <w:szCs w:val="28"/>
              </w:rPr>
              <w:t>现金结算日</w:t>
            </w:r>
          </w:p>
        </w:tc>
        <w:tc>
          <w:tcPr>
            <w:tcW w:w="5862" w:type="dxa"/>
            <w:vAlign w:val="center"/>
          </w:tcPr>
          <w:p w14:paraId="25A6CD83">
            <w:pPr>
              <w:spacing w:line="560" w:lineRule="exact"/>
              <w:ind w:right="19" w:rightChars="9"/>
              <w:rPr>
                <w:rFonts w:eastAsia="仿宋_GB2312" w:cs="宋体"/>
                <w:sz w:val="30"/>
                <w:szCs w:val="28"/>
              </w:rPr>
            </w:pPr>
            <w:r>
              <w:rPr>
                <w:rFonts w:hint="eastAsia" w:eastAsia="仿宋_GB2312" w:cs="宋体"/>
                <w:sz w:val="30"/>
                <w:szCs w:val="28"/>
              </w:rPr>
              <w:t>指</w:t>
            </w:r>
            <w:r>
              <w:rPr>
                <w:rFonts w:hint="eastAsia" w:eastAsia="仿宋_GB2312" w:cs="宋体"/>
                <w:b/>
                <w:sz w:val="30"/>
                <w:szCs w:val="28"/>
              </w:rPr>
              <w:t>信用保护卖方</w:t>
            </w:r>
            <w:r>
              <w:rPr>
                <w:rFonts w:hint="eastAsia" w:eastAsia="仿宋_GB2312" w:cs="宋体"/>
                <w:sz w:val="30"/>
                <w:szCs w:val="28"/>
              </w:rPr>
              <w:t>应向</w:t>
            </w:r>
            <w:r>
              <w:rPr>
                <w:rFonts w:hint="eastAsia" w:eastAsia="仿宋_GB2312" w:cs="宋体"/>
                <w:b/>
                <w:sz w:val="30"/>
                <w:szCs w:val="28"/>
              </w:rPr>
              <w:t>信用保护买方</w:t>
            </w:r>
            <w:r>
              <w:rPr>
                <w:rFonts w:hint="eastAsia" w:eastAsia="仿宋_GB2312" w:cs="宋体"/>
                <w:sz w:val="30"/>
                <w:szCs w:val="28"/>
              </w:rPr>
              <w:t>支付</w:t>
            </w:r>
            <w:r>
              <w:rPr>
                <w:rFonts w:hint="eastAsia" w:eastAsia="仿宋_GB2312" w:cs="宋体"/>
                <w:b/>
                <w:sz w:val="30"/>
                <w:szCs w:val="28"/>
              </w:rPr>
              <w:t>现金结算</w:t>
            </w:r>
            <w:r>
              <w:rPr>
                <w:rFonts w:hint="eastAsia" w:eastAsia="仿宋_GB2312" w:cs="宋体"/>
                <w:sz w:val="30"/>
                <w:szCs w:val="28"/>
              </w:rPr>
              <w:t>金额的日期。</w:t>
            </w:r>
          </w:p>
        </w:tc>
      </w:tr>
      <w:tr w14:paraId="059B8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4" w:type="dxa"/>
            <w:vAlign w:val="center"/>
          </w:tcPr>
          <w:p w14:paraId="46355A0F">
            <w:pPr>
              <w:spacing w:before="185" w:line="560" w:lineRule="exact"/>
              <w:jc w:val="center"/>
              <w:rPr>
                <w:rFonts w:eastAsia="仿宋_GB2312" w:cs="宋体"/>
                <w:sz w:val="30"/>
                <w:szCs w:val="28"/>
              </w:rPr>
            </w:pPr>
            <w:r>
              <w:rPr>
                <w:rFonts w:hint="eastAsia" w:eastAsia="仿宋_GB2312" w:cs="宋体"/>
                <w:sz w:val="30"/>
                <w:szCs w:val="28"/>
              </w:rPr>
              <w:t>结算货币</w:t>
            </w:r>
          </w:p>
        </w:tc>
        <w:tc>
          <w:tcPr>
            <w:tcW w:w="5862" w:type="dxa"/>
            <w:vAlign w:val="center"/>
          </w:tcPr>
          <w:p w14:paraId="32A00228">
            <w:pPr>
              <w:spacing w:before="185" w:line="560" w:lineRule="exact"/>
              <w:rPr>
                <w:rFonts w:eastAsia="仿宋_GB2312" w:cs="宋体"/>
                <w:sz w:val="30"/>
                <w:szCs w:val="28"/>
              </w:rPr>
            </w:pPr>
            <w:r>
              <w:rPr>
                <w:rFonts w:hint="eastAsia" w:eastAsia="仿宋_GB2312" w:cs="宋体"/>
                <w:sz w:val="30"/>
                <w:szCs w:val="28"/>
              </w:rPr>
              <w:t>除非</w:t>
            </w:r>
            <w:r>
              <w:rPr>
                <w:rFonts w:hint="eastAsia" w:eastAsia="仿宋_GB2312" w:cs="宋体"/>
                <w:b/>
                <w:bCs/>
                <w:sz w:val="30"/>
                <w:szCs w:val="28"/>
              </w:rPr>
              <w:t>交易双方</w:t>
            </w:r>
            <w:r>
              <w:rPr>
                <w:rFonts w:hint="eastAsia" w:eastAsia="仿宋_GB2312" w:cs="宋体"/>
                <w:sz w:val="30"/>
                <w:szCs w:val="28"/>
              </w:rPr>
              <w:t>另行约定，否则为人民币。</w:t>
            </w:r>
          </w:p>
        </w:tc>
      </w:tr>
      <w:tr w14:paraId="37E37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4" w:type="dxa"/>
            <w:vAlign w:val="center"/>
          </w:tcPr>
          <w:p w14:paraId="4C39EA56">
            <w:pPr>
              <w:spacing w:before="185" w:line="560" w:lineRule="exact"/>
              <w:jc w:val="center"/>
              <w:rPr>
                <w:rFonts w:eastAsia="仿宋_GB2312" w:cs="宋体"/>
                <w:sz w:val="30"/>
                <w:szCs w:val="28"/>
              </w:rPr>
            </w:pPr>
            <w:r>
              <w:rPr>
                <w:rFonts w:hint="eastAsia" w:eastAsia="仿宋_GB2312" w:cs="宋体"/>
                <w:sz w:val="30"/>
                <w:szCs w:val="28"/>
              </w:rPr>
              <w:t>信用事件决定日</w:t>
            </w:r>
          </w:p>
        </w:tc>
        <w:tc>
          <w:tcPr>
            <w:tcW w:w="5862" w:type="dxa"/>
            <w:vAlign w:val="center"/>
          </w:tcPr>
          <w:p w14:paraId="3F92BB91">
            <w:pPr>
              <w:spacing w:line="560" w:lineRule="exact"/>
              <w:rPr>
                <w:rFonts w:eastAsia="仿宋_GB2312" w:cs="宋体"/>
                <w:sz w:val="30"/>
                <w:szCs w:val="28"/>
              </w:rPr>
            </w:pPr>
            <w:r>
              <w:rPr>
                <w:rFonts w:hint="eastAsia" w:eastAsia="仿宋_GB2312" w:cs="宋体"/>
                <w:sz w:val="30"/>
                <w:szCs w:val="28"/>
              </w:rPr>
              <w:t>指</w:t>
            </w:r>
            <w:r>
              <w:rPr>
                <w:rFonts w:hint="eastAsia" w:eastAsia="仿宋_GB2312" w:cs="宋体"/>
                <w:b/>
                <w:bCs/>
                <w:sz w:val="30"/>
                <w:szCs w:val="28"/>
              </w:rPr>
              <w:t>信用事件通知书</w:t>
            </w:r>
            <w:r>
              <w:rPr>
                <w:rFonts w:hint="eastAsia" w:eastAsia="仿宋_GB2312" w:cs="宋体"/>
                <w:sz w:val="30"/>
                <w:szCs w:val="28"/>
              </w:rPr>
              <w:t>与</w:t>
            </w:r>
            <w:r>
              <w:rPr>
                <w:rFonts w:hint="eastAsia" w:eastAsia="仿宋_GB2312" w:cs="宋体"/>
                <w:b/>
                <w:bCs/>
                <w:sz w:val="30"/>
                <w:szCs w:val="28"/>
              </w:rPr>
              <w:t>公共信息通知书</w:t>
            </w:r>
            <w:r>
              <w:rPr>
                <w:rFonts w:hint="eastAsia" w:eastAsia="仿宋_GB2312" w:cs="宋体"/>
                <w:sz w:val="30"/>
                <w:szCs w:val="28"/>
              </w:rPr>
              <w:t>（若适用）均有效送达且</w:t>
            </w:r>
            <w:r>
              <w:rPr>
                <w:rFonts w:hint="eastAsia" w:eastAsia="仿宋_GB2312" w:cs="宋体"/>
                <w:b/>
                <w:bCs/>
                <w:sz w:val="30"/>
                <w:szCs w:val="28"/>
              </w:rPr>
              <w:t>交易双方</w:t>
            </w:r>
            <w:r>
              <w:rPr>
                <w:rFonts w:hint="eastAsia" w:eastAsia="仿宋_GB2312" w:cs="宋体"/>
                <w:sz w:val="30"/>
                <w:szCs w:val="28"/>
              </w:rPr>
              <w:t>达成一致的</w:t>
            </w:r>
            <w:r>
              <w:rPr>
                <w:rFonts w:hint="eastAsia" w:eastAsia="仿宋_GB2312" w:cs="宋体"/>
                <w:b/>
                <w:bCs/>
                <w:sz w:val="30"/>
                <w:szCs w:val="28"/>
              </w:rPr>
              <w:t>交易日</w:t>
            </w:r>
            <w:r>
              <w:rPr>
                <w:rFonts w:hint="eastAsia" w:eastAsia="仿宋_GB2312" w:cs="宋体"/>
                <w:sz w:val="30"/>
                <w:szCs w:val="28"/>
              </w:rPr>
              <w:t>。</w:t>
            </w:r>
            <w:r>
              <w:rPr>
                <w:rFonts w:hint="eastAsia" w:eastAsia="仿宋_GB2312" w:cs="宋体"/>
                <w:b/>
                <w:bCs/>
                <w:sz w:val="30"/>
                <w:szCs w:val="28"/>
              </w:rPr>
              <w:t>信用事件通知书</w:t>
            </w:r>
            <w:r>
              <w:rPr>
                <w:rFonts w:hint="eastAsia" w:eastAsia="仿宋_GB2312" w:cs="宋体"/>
                <w:sz w:val="30"/>
                <w:szCs w:val="28"/>
              </w:rPr>
              <w:t>与</w:t>
            </w:r>
            <w:r>
              <w:rPr>
                <w:rFonts w:hint="eastAsia" w:eastAsia="仿宋_GB2312" w:cs="宋体"/>
                <w:b/>
                <w:bCs/>
                <w:sz w:val="30"/>
                <w:szCs w:val="28"/>
              </w:rPr>
              <w:t>公共信息通知书</w:t>
            </w:r>
            <w:r>
              <w:rPr>
                <w:rFonts w:hint="eastAsia" w:eastAsia="仿宋_GB2312" w:cs="宋体"/>
                <w:sz w:val="30"/>
                <w:szCs w:val="28"/>
              </w:rPr>
              <w:t>（若适用）的有效送达期间，始于该交易的起始日（含），止于该交易到期日之后的第【</w:t>
            </w:r>
            <w:r>
              <w:rPr>
                <w:rFonts w:eastAsia="仿宋_GB2312" w:cs="宋体"/>
                <w:sz w:val="30"/>
                <w:szCs w:val="28"/>
              </w:rPr>
              <w:t>10</w:t>
            </w:r>
            <w:r>
              <w:rPr>
                <w:rFonts w:hint="eastAsia" w:eastAsia="仿宋_GB2312" w:cs="宋体"/>
                <w:sz w:val="30"/>
                <w:szCs w:val="28"/>
              </w:rPr>
              <w:t>】个交易日（含）。</w:t>
            </w:r>
          </w:p>
        </w:tc>
      </w:tr>
      <w:tr w14:paraId="466FE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4" w:type="dxa"/>
            <w:vAlign w:val="center"/>
          </w:tcPr>
          <w:p w14:paraId="34D0D5D0">
            <w:pPr>
              <w:spacing w:before="185" w:line="560" w:lineRule="exact"/>
              <w:jc w:val="center"/>
              <w:rPr>
                <w:rFonts w:eastAsia="仿宋_GB2312" w:cs="宋体"/>
                <w:sz w:val="30"/>
                <w:szCs w:val="28"/>
              </w:rPr>
            </w:pPr>
            <w:r>
              <w:rPr>
                <w:rFonts w:hint="eastAsia" w:eastAsia="仿宋_GB2312" w:cs="宋体"/>
                <w:sz w:val="30"/>
                <w:szCs w:val="28"/>
              </w:rPr>
              <w:t>公共信息</w:t>
            </w:r>
          </w:p>
        </w:tc>
        <w:tc>
          <w:tcPr>
            <w:tcW w:w="5862" w:type="dxa"/>
            <w:vAlign w:val="center"/>
          </w:tcPr>
          <w:p w14:paraId="4B778E2A">
            <w:pPr>
              <w:spacing w:before="185" w:line="560" w:lineRule="exact"/>
              <w:rPr>
                <w:rFonts w:eastAsia="仿宋_GB2312" w:cs="宋体"/>
                <w:sz w:val="30"/>
                <w:szCs w:val="28"/>
              </w:rPr>
            </w:pPr>
            <w:r>
              <w:rPr>
                <w:rFonts w:hint="eastAsia" w:eastAsia="仿宋_GB2312" w:cs="宋体"/>
                <w:sz w:val="30"/>
                <w:szCs w:val="28"/>
              </w:rPr>
              <w:t>指可合理证明或确认</w:t>
            </w:r>
            <w:r>
              <w:rPr>
                <w:rFonts w:hint="eastAsia" w:eastAsia="仿宋_GB2312" w:cs="宋体"/>
                <w:b/>
                <w:bCs/>
                <w:sz w:val="30"/>
                <w:szCs w:val="28"/>
              </w:rPr>
              <w:t>信用事件通知</w:t>
            </w:r>
            <w:r>
              <w:rPr>
                <w:rFonts w:hint="eastAsia" w:eastAsia="仿宋_GB2312" w:cs="宋体"/>
                <w:sz w:val="30"/>
                <w:szCs w:val="28"/>
              </w:rPr>
              <w:t>所述</w:t>
            </w:r>
            <w:r>
              <w:rPr>
                <w:rFonts w:hint="eastAsia" w:eastAsia="仿宋_GB2312" w:cs="宋体"/>
                <w:b/>
                <w:bCs/>
                <w:sz w:val="30"/>
                <w:szCs w:val="28"/>
              </w:rPr>
              <w:t>信用事件</w:t>
            </w:r>
            <w:r>
              <w:rPr>
                <w:rFonts w:hint="eastAsia" w:eastAsia="仿宋_GB2312" w:cs="宋体"/>
                <w:sz w:val="30"/>
                <w:szCs w:val="28"/>
              </w:rPr>
              <w:t>已发生的任何事实、信息或资料。</w:t>
            </w:r>
          </w:p>
          <w:p w14:paraId="4F8037C8">
            <w:pPr>
              <w:spacing w:before="185" w:line="560" w:lineRule="exact"/>
              <w:rPr>
                <w:rFonts w:eastAsia="仿宋_GB2312" w:cs="宋体"/>
                <w:kern w:val="0"/>
                <w:sz w:val="30"/>
                <w:szCs w:val="28"/>
              </w:rPr>
            </w:pPr>
            <w:r>
              <w:rPr>
                <w:rFonts w:hint="eastAsia" w:eastAsia="仿宋_GB2312" w:cs="宋体"/>
                <w:sz w:val="30"/>
                <w:szCs w:val="28"/>
              </w:rPr>
              <w:t>（</w:t>
            </w:r>
            <w:r>
              <w:rPr>
                <w:rFonts w:eastAsia="仿宋_GB2312" w:cs="宋体"/>
                <w:sz w:val="30"/>
                <w:szCs w:val="28"/>
              </w:rPr>
              <w:t>1</w:t>
            </w:r>
            <w:r>
              <w:rPr>
                <w:rFonts w:hint="eastAsia" w:eastAsia="仿宋_GB2312" w:cs="宋体"/>
                <w:sz w:val="30"/>
                <w:szCs w:val="28"/>
              </w:rPr>
              <w:t>）</w:t>
            </w:r>
            <w:r>
              <w:rPr>
                <w:rFonts w:eastAsia="仿宋_GB2312" w:cs="宋体"/>
                <w:sz w:val="30"/>
                <w:szCs w:val="28"/>
              </w:rPr>
              <w:t xml:space="preserve"> </w:t>
            </w:r>
            <w:r>
              <w:rPr>
                <w:rFonts w:hint="eastAsia" w:eastAsia="仿宋_GB2312" w:cs="宋体"/>
                <w:sz w:val="30"/>
                <w:szCs w:val="28"/>
              </w:rPr>
              <w:t>已由</w:t>
            </w:r>
            <w:r>
              <w:rPr>
                <w:rFonts w:hint="eastAsia" w:eastAsia="仿宋_GB2312" w:cs="宋体"/>
                <w:b/>
                <w:sz w:val="30"/>
                <w:szCs w:val="28"/>
              </w:rPr>
              <w:t>参考实体</w:t>
            </w:r>
            <w:r>
              <w:rPr>
                <w:rFonts w:hint="eastAsia" w:eastAsia="仿宋_GB2312" w:cs="宋体"/>
                <w:sz w:val="30"/>
                <w:szCs w:val="28"/>
              </w:rPr>
              <w:t>通知、公告或确认的信息，但若该</w:t>
            </w:r>
            <w:r>
              <w:rPr>
                <w:rFonts w:hint="eastAsia" w:eastAsia="仿宋_GB2312" w:cs="宋体"/>
                <w:b/>
                <w:sz w:val="30"/>
                <w:szCs w:val="28"/>
              </w:rPr>
              <w:t>参考实体</w:t>
            </w:r>
            <w:r>
              <w:rPr>
                <w:rFonts w:hint="eastAsia" w:eastAsia="仿宋_GB2312" w:cs="宋体"/>
                <w:sz w:val="30"/>
                <w:szCs w:val="28"/>
              </w:rPr>
              <w:t>或其关联企业是相关</w:t>
            </w:r>
            <w:r>
              <w:rPr>
                <w:rFonts w:hint="eastAsia" w:eastAsia="仿宋_GB2312" w:cs="宋体"/>
                <w:b/>
                <w:sz w:val="30"/>
                <w:szCs w:val="28"/>
              </w:rPr>
              <w:t>信用保护合约交易</w:t>
            </w:r>
            <w:r>
              <w:rPr>
                <w:rFonts w:hint="eastAsia" w:eastAsia="仿宋_GB2312" w:cs="宋体"/>
                <w:sz w:val="30"/>
                <w:szCs w:val="28"/>
              </w:rPr>
              <w:t>的</w:t>
            </w:r>
            <w:r>
              <w:rPr>
                <w:rFonts w:hint="eastAsia" w:eastAsia="仿宋_GB2312" w:cs="宋体"/>
                <w:b/>
                <w:sz w:val="30"/>
                <w:szCs w:val="28"/>
              </w:rPr>
              <w:t>交易一方</w:t>
            </w:r>
            <w:r>
              <w:rPr>
                <w:rFonts w:hint="eastAsia" w:eastAsia="仿宋_GB2312" w:cs="宋体"/>
                <w:sz w:val="30"/>
                <w:szCs w:val="28"/>
              </w:rPr>
              <w:t>，则由其通知、公告或确认的信息不能作为公开信息；</w:t>
            </w:r>
          </w:p>
          <w:p w14:paraId="423FACA7">
            <w:pPr>
              <w:spacing w:before="185" w:line="560" w:lineRule="exact"/>
              <w:rPr>
                <w:rFonts w:eastAsia="仿宋_GB2312" w:cs="宋体"/>
                <w:kern w:val="0"/>
                <w:sz w:val="30"/>
                <w:szCs w:val="28"/>
              </w:rPr>
            </w:pPr>
            <w:r>
              <w:rPr>
                <w:rFonts w:hint="eastAsia" w:eastAsia="仿宋_GB2312" w:cs="宋体"/>
                <w:sz w:val="30"/>
                <w:szCs w:val="28"/>
              </w:rPr>
              <w:t>（</w:t>
            </w:r>
            <w:r>
              <w:rPr>
                <w:rFonts w:eastAsia="仿宋_GB2312" w:cs="宋体"/>
                <w:sz w:val="30"/>
                <w:szCs w:val="28"/>
              </w:rPr>
              <w:t>2</w:t>
            </w:r>
            <w:r>
              <w:rPr>
                <w:rFonts w:hint="eastAsia" w:eastAsia="仿宋_GB2312" w:cs="宋体"/>
                <w:sz w:val="30"/>
                <w:szCs w:val="28"/>
              </w:rPr>
              <w:t>）</w:t>
            </w:r>
            <w:r>
              <w:rPr>
                <w:rFonts w:eastAsia="仿宋_GB2312" w:cs="宋体"/>
                <w:sz w:val="30"/>
                <w:szCs w:val="28"/>
              </w:rPr>
              <w:t xml:space="preserve"> </w:t>
            </w:r>
            <w:r>
              <w:rPr>
                <w:rFonts w:hint="eastAsia" w:eastAsia="仿宋_GB2312" w:cs="宋体"/>
                <w:sz w:val="30"/>
                <w:szCs w:val="28"/>
              </w:rPr>
              <w:t>已由</w:t>
            </w:r>
            <w:r>
              <w:rPr>
                <w:rFonts w:hint="eastAsia" w:eastAsia="仿宋_GB2312" w:cs="宋体"/>
                <w:b/>
                <w:sz w:val="30"/>
                <w:szCs w:val="28"/>
              </w:rPr>
              <w:t>信用事件通知方</w:t>
            </w:r>
            <w:r>
              <w:rPr>
                <w:rFonts w:hint="eastAsia" w:eastAsia="仿宋_GB2312" w:cs="宋体"/>
                <w:sz w:val="30"/>
                <w:szCs w:val="28"/>
              </w:rPr>
              <w:t>或其关联企业通知、公告或确认的信息，前提是</w:t>
            </w:r>
            <w:r>
              <w:rPr>
                <w:rFonts w:hint="eastAsia" w:eastAsia="仿宋_GB2312" w:cs="宋体"/>
                <w:b/>
                <w:sz w:val="30"/>
                <w:szCs w:val="28"/>
              </w:rPr>
              <w:t>信用事件通知方</w:t>
            </w:r>
            <w:r>
              <w:rPr>
                <w:rFonts w:hint="eastAsia" w:eastAsia="仿宋_GB2312" w:cs="宋体"/>
                <w:sz w:val="30"/>
                <w:szCs w:val="28"/>
              </w:rPr>
              <w:t>或该关联企业是已发生</w:t>
            </w:r>
            <w:r>
              <w:rPr>
                <w:rFonts w:hint="eastAsia" w:eastAsia="仿宋_GB2312" w:cs="宋体"/>
                <w:b/>
                <w:sz w:val="30"/>
                <w:szCs w:val="28"/>
              </w:rPr>
              <w:t>信用事件</w:t>
            </w:r>
            <w:r>
              <w:rPr>
                <w:rFonts w:hint="eastAsia" w:eastAsia="仿宋_GB2312" w:cs="宋体"/>
                <w:sz w:val="30"/>
                <w:szCs w:val="28"/>
              </w:rPr>
              <w:t>的相关</w:t>
            </w:r>
            <w:r>
              <w:rPr>
                <w:rFonts w:hint="eastAsia" w:eastAsia="仿宋_GB2312" w:cs="宋体"/>
                <w:b/>
                <w:sz w:val="30"/>
                <w:szCs w:val="28"/>
              </w:rPr>
              <w:t>债务</w:t>
            </w:r>
            <w:r>
              <w:rPr>
                <w:rFonts w:hint="eastAsia" w:eastAsia="仿宋_GB2312" w:cs="宋体"/>
                <w:sz w:val="30"/>
                <w:szCs w:val="28"/>
              </w:rPr>
              <w:t>的债权人，其以债权人身份获得或知悉该信息，且</w:t>
            </w:r>
            <w:r>
              <w:rPr>
                <w:rFonts w:hint="eastAsia" w:eastAsia="仿宋_GB2312" w:cs="宋体"/>
                <w:b/>
                <w:sz w:val="30"/>
                <w:szCs w:val="28"/>
              </w:rPr>
              <w:t>信用事件通知方</w:t>
            </w:r>
            <w:r>
              <w:rPr>
                <w:rFonts w:hint="eastAsia" w:eastAsia="仿宋_GB2312" w:cs="宋体"/>
                <w:sz w:val="30"/>
                <w:szCs w:val="28"/>
              </w:rPr>
              <w:t>已向另一方出具了一份由其法定代表人或授权人士签署的证明，确认其或其关联企业是基于上述债权人身份而获得或知悉了该信息；</w:t>
            </w:r>
          </w:p>
          <w:p w14:paraId="32656C31">
            <w:pPr>
              <w:spacing w:before="185" w:line="560" w:lineRule="exact"/>
              <w:rPr>
                <w:rFonts w:eastAsia="仿宋_GB2312" w:cs="宋体"/>
                <w:kern w:val="0"/>
                <w:sz w:val="30"/>
                <w:szCs w:val="28"/>
              </w:rPr>
            </w:pPr>
            <w:r>
              <w:rPr>
                <w:rFonts w:hint="eastAsia" w:eastAsia="仿宋_GB2312" w:cs="宋体"/>
                <w:sz w:val="30"/>
                <w:szCs w:val="28"/>
              </w:rPr>
              <w:t>（</w:t>
            </w:r>
            <w:r>
              <w:rPr>
                <w:rFonts w:eastAsia="仿宋_GB2312" w:cs="宋体"/>
                <w:sz w:val="30"/>
                <w:szCs w:val="28"/>
              </w:rPr>
              <w:t>3</w:t>
            </w:r>
            <w:r>
              <w:rPr>
                <w:rFonts w:hint="eastAsia" w:eastAsia="仿宋_GB2312" w:cs="宋体"/>
                <w:sz w:val="30"/>
                <w:szCs w:val="28"/>
              </w:rPr>
              <w:t>）</w:t>
            </w:r>
            <w:r>
              <w:rPr>
                <w:rFonts w:eastAsia="仿宋_GB2312" w:cs="宋体"/>
                <w:sz w:val="30"/>
                <w:szCs w:val="28"/>
              </w:rPr>
              <w:t xml:space="preserve"> </w:t>
            </w:r>
            <w:r>
              <w:rPr>
                <w:rFonts w:hint="eastAsia" w:eastAsia="仿宋_GB2312" w:cs="宋体"/>
                <w:sz w:val="30"/>
                <w:szCs w:val="28"/>
              </w:rPr>
              <w:t>已在不少于两个的</w:t>
            </w:r>
            <w:r>
              <w:rPr>
                <w:rFonts w:hint="eastAsia" w:eastAsia="仿宋_GB2312" w:cs="宋体"/>
                <w:b/>
                <w:sz w:val="30"/>
                <w:szCs w:val="28"/>
              </w:rPr>
              <w:t>公开信息渠道</w:t>
            </w:r>
            <w:r>
              <w:rPr>
                <w:rFonts w:hint="eastAsia" w:eastAsia="仿宋_GB2312" w:cs="宋体"/>
                <w:sz w:val="30"/>
                <w:szCs w:val="28"/>
              </w:rPr>
              <w:t>（无论是否收费）上公布的信息，且有关报道者或报道机构均未在适用的</w:t>
            </w:r>
            <w:r>
              <w:rPr>
                <w:rFonts w:hint="eastAsia" w:eastAsia="仿宋_GB2312" w:cs="宋体"/>
                <w:b/>
                <w:sz w:val="30"/>
                <w:szCs w:val="28"/>
              </w:rPr>
              <w:t>结算条件</w:t>
            </w:r>
            <w:r>
              <w:rPr>
                <w:rFonts w:hint="eastAsia" w:eastAsia="仿宋_GB2312" w:cs="宋体"/>
                <w:sz w:val="30"/>
                <w:szCs w:val="28"/>
              </w:rPr>
              <w:t>满足之前撤销有关消息或报道，也未公开承认有重大误报；</w:t>
            </w:r>
          </w:p>
          <w:p w14:paraId="1270C138">
            <w:pPr>
              <w:spacing w:before="185" w:line="560" w:lineRule="exact"/>
              <w:rPr>
                <w:rFonts w:eastAsia="仿宋_GB2312" w:cs="宋体"/>
                <w:kern w:val="0"/>
                <w:sz w:val="30"/>
                <w:szCs w:val="28"/>
              </w:rPr>
            </w:pPr>
            <w:r>
              <w:rPr>
                <w:rFonts w:hint="eastAsia" w:eastAsia="仿宋_GB2312" w:cs="宋体"/>
                <w:sz w:val="30"/>
                <w:szCs w:val="28"/>
              </w:rPr>
              <w:t>（</w:t>
            </w:r>
            <w:r>
              <w:rPr>
                <w:rFonts w:eastAsia="仿宋_GB2312" w:cs="宋体"/>
                <w:sz w:val="30"/>
                <w:szCs w:val="28"/>
              </w:rPr>
              <w:t>4</w:t>
            </w:r>
            <w:r>
              <w:rPr>
                <w:rFonts w:hint="eastAsia" w:eastAsia="仿宋_GB2312" w:cs="宋体"/>
                <w:sz w:val="30"/>
                <w:szCs w:val="28"/>
              </w:rPr>
              <w:t>）</w:t>
            </w:r>
            <w:r>
              <w:rPr>
                <w:rFonts w:eastAsia="仿宋_GB2312" w:cs="宋体"/>
                <w:sz w:val="30"/>
                <w:szCs w:val="28"/>
              </w:rPr>
              <w:t xml:space="preserve"> </w:t>
            </w:r>
            <w:r>
              <w:rPr>
                <w:rFonts w:hint="eastAsia" w:eastAsia="仿宋_GB2312" w:cs="宋体"/>
                <w:sz w:val="30"/>
                <w:szCs w:val="28"/>
              </w:rPr>
              <w:t>已由债务的代理人或受托人（包括但不限于贷款的代理行、</w:t>
            </w:r>
            <w:r>
              <w:rPr>
                <w:rFonts w:hint="eastAsia" w:eastAsia="仿宋_GB2312" w:cs="宋体"/>
                <w:b/>
                <w:spacing w:val="4"/>
                <w:sz w:val="30"/>
                <w:szCs w:val="28"/>
              </w:rPr>
              <w:t>债券</w:t>
            </w:r>
            <w:r>
              <w:rPr>
                <w:rFonts w:hint="eastAsia" w:eastAsia="仿宋_GB2312" w:cs="宋体"/>
                <w:sz w:val="30"/>
                <w:szCs w:val="28"/>
              </w:rPr>
              <w:t>的付款代理人、清算代理人或受托管理人），或由有关登记托管结算机构或清算机构通知、公告或确认的信息；</w:t>
            </w:r>
          </w:p>
          <w:p w14:paraId="3B326B92">
            <w:pPr>
              <w:spacing w:before="185" w:line="560" w:lineRule="exact"/>
              <w:rPr>
                <w:rFonts w:eastAsia="仿宋_GB2312" w:cs="宋体"/>
                <w:kern w:val="0"/>
                <w:sz w:val="30"/>
                <w:szCs w:val="28"/>
              </w:rPr>
            </w:pPr>
            <w:r>
              <w:rPr>
                <w:rFonts w:hint="eastAsia" w:eastAsia="仿宋_GB2312" w:cs="宋体"/>
                <w:sz w:val="30"/>
                <w:szCs w:val="28"/>
              </w:rPr>
              <w:t>（</w:t>
            </w:r>
            <w:r>
              <w:rPr>
                <w:rFonts w:eastAsia="仿宋_GB2312" w:cs="宋体"/>
                <w:sz w:val="30"/>
                <w:szCs w:val="28"/>
              </w:rPr>
              <w:t>5</w:t>
            </w:r>
            <w:r>
              <w:rPr>
                <w:rFonts w:hint="eastAsia" w:eastAsia="仿宋_GB2312" w:cs="宋体"/>
                <w:sz w:val="30"/>
                <w:szCs w:val="28"/>
              </w:rPr>
              <w:t>）已包含在第三人针对</w:t>
            </w:r>
            <w:r>
              <w:rPr>
                <w:rFonts w:hint="eastAsia" w:eastAsia="仿宋_GB2312" w:cs="宋体"/>
                <w:b/>
                <w:sz w:val="30"/>
                <w:szCs w:val="28"/>
              </w:rPr>
              <w:t>参考实体</w:t>
            </w:r>
            <w:r>
              <w:rPr>
                <w:rFonts w:hint="eastAsia" w:eastAsia="仿宋_GB2312" w:cs="宋体"/>
                <w:sz w:val="30"/>
                <w:szCs w:val="28"/>
              </w:rPr>
              <w:t>提出的，或由</w:t>
            </w:r>
            <w:r>
              <w:rPr>
                <w:rFonts w:hint="eastAsia" w:eastAsia="仿宋_GB2312" w:cs="宋体"/>
                <w:b/>
                <w:sz w:val="30"/>
                <w:szCs w:val="28"/>
              </w:rPr>
              <w:t>参考实体</w:t>
            </w:r>
            <w:r>
              <w:rPr>
                <w:rFonts w:hint="eastAsia" w:eastAsia="仿宋_GB2312" w:cs="宋体"/>
                <w:sz w:val="30"/>
                <w:szCs w:val="28"/>
              </w:rPr>
              <w:t>自行提出的“</w:t>
            </w:r>
            <w:r>
              <w:rPr>
                <w:rFonts w:hint="eastAsia" w:eastAsia="仿宋_GB2312" w:cs="宋体"/>
                <w:b/>
                <w:sz w:val="30"/>
                <w:szCs w:val="28"/>
              </w:rPr>
              <w:t>破产</w:t>
            </w:r>
            <w:r>
              <w:rPr>
                <w:rFonts w:hint="eastAsia" w:eastAsia="仿宋_GB2312" w:cs="宋体"/>
                <w:sz w:val="30"/>
                <w:szCs w:val="28"/>
              </w:rPr>
              <w:t>”定义第</w:t>
            </w:r>
            <w:r>
              <w:rPr>
                <w:rFonts w:eastAsia="仿宋_GB2312" w:cs="宋体"/>
                <w:sz w:val="30"/>
                <w:szCs w:val="28"/>
              </w:rPr>
              <w:t>5</w:t>
            </w:r>
            <w:r>
              <w:rPr>
                <w:rFonts w:hint="eastAsia" w:eastAsia="仿宋_GB2312" w:cs="宋体"/>
                <w:sz w:val="30"/>
                <w:szCs w:val="28"/>
              </w:rPr>
              <w:t>项所述法律程序项下的任何起诉或申请文件之中的信息；</w:t>
            </w:r>
          </w:p>
          <w:p w14:paraId="548F40E6">
            <w:pPr>
              <w:spacing w:before="185" w:line="560" w:lineRule="exact"/>
              <w:rPr>
                <w:rFonts w:eastAsia="仿宋_GB2312" w:cs="宋体"/>
                <w:sz w:val="30"/>
                <w:szCs w:val="28"/>
              </w:rPr>
            </w:pPr>
            <w:r>
              <w:rPr>
                <w:rFonts w:hint="eastAsia" w:eastAsia="仿宋_GB2312" w:cs="宋体"/>
                <w:sz w:val="30"/>
                <w:szCs w:val="28"/>
              </w:rPr>
              <w:t>（</w:t>
            </w:r>
            <w:r>
              <w:rPr>
                <w:rFonts w:eastAsia="仿宋_GB2312" w:cs="宋体"/>
                <w:sz w:val="30"/>
                <w:szCs w:val="28"/>
              </w:rPr>
              <w:t>6</w:t>
            </w:r>
            <w:r>
              <w:rPr>
                <w:rFonts w:hint="eastAsia" w:eastAsia="仿宋_GB2312" w:cs="宋体"/>
                <w:sz w:val="30"/>
                <w:szCs w:val="28"/>
              </w:rPr>
              <w:t>）</w:t>
            </w:r>
            <w:r>
              <w:rPr>
                <w:rFonts w:eastAsia="仿宋_GB2312" w:cs="宋体"/>
                <w:sz w:val="30"/>
                <w:szCs w:val="28"/>
              </w:rPr>
              <w:t xml:space="preserve"> </w:t>
            </w:r>
            <w:r>
              <w:rPr>
                <w:rFonts w:hint="eastAsia" w:eastAsia="仿宋_GB2312" w:cs="宋体"/>
                <w:sz w:val="30"/>
                <w:szCs w:val="28"/>
              </w:rPr>
              <w:t>已包含在政府机构、司法机关、仲裁机构、银行间市场行业自律组织、证券行业自律组织、证券交易所、全国中小企业股份转让系统或法律认可的其他交易平台所发出或公布的任何命令、判决、裁决、裁定、通知或公告之中的信息。</w:t>
            </w:r>
          </w:p>
        </w:tc>
      </w:tr>
      <w:tr w14:paraId="09F06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4" w:type="dxa"/>
            <w:vAlign w:val="center"/>
          </w:tcPr>
          <w:p w14:paraId="6B8883B3">
            <w:pPr>
              <w:spacing w:before="185" w:line="560" w:lineRule="exact"/>
              <w:jc w:val="center"/>
              <w:rPr>
                <w:rFonts w:eastAsia="仿宋_GB2312" w:cs="宋体"/>
                <w:sz w:val="30"/>
                <w:szCs w:val="28"/>
              </w:rPr>
            </w:pPr>
            <w:r>
              <w:rPr>
                <w:rFonts w:hint="eastAsia" w:eastAsia="仿宋_GB2312" w:cs="宋体"/>
                <w:sz w:val="30"/>
                <w:szCs w:val="28"/>
              </w:rPr>
              <w:t>公开信息渠道</w:t>
            </w:r>
          </w:p>
        </w:tc>
        <w:tc>
          <w:tcPr>
            <w:tcW w:w="5862" w:type="dxa"/>
            <w:vAlign w:val="center"/>
          </w:tcPr>
          <w:p w14:paraId="35DAF494">
            <w:pPr>
              <w:pStyle w:val="17"/>
              <w:spacing w:line="560" w:lineRule="exact"/>
              <w:ind w:right="-34"/>
              <w:rPr>
                <w:rFonts w:eastAsia="仿宋_GB2312" w:cs="宋体"/>
                <w:spacing w:val="-3"/>
                <w:sz w:val="30"/>
                <w:szCs w:val="28"/>
              </w:rPr>
            </w:pPr>
            <w:r>
              <w:rPr>
                <w:rFonts w:hint="eastAsia" w:eastAsia="仿宋_GB2312" w:cs="宋体"/>
                <w:spacing w:val="-3"/>
                <w:sz w:val="30"/>
                <w:szCs w:val="28"/>
              </w:rPr>
              <w:t>除非</w:t>
            </w:r>
            <w:r>
              <w:rPr>
                <w:rFonts w:hint="eastAsia" w:eastAsia="仿宋_GB2312" w:cs="宋体"/>
                <w:b/>
                <w:bCs/>
                <w:spacing w:val="-3"/>
                <w:w w:val="95"/>
                <w:sz w:val="30"/>
                <w:szCs w:val="28"/>
              </w:rPr>
              <w:t>交易双方</w:t>
            </w:r>
            <w:r>
              <w:rPr>
                <w:rFonts w:hint="eastAsia" w:eastAsia="仿宋_GB2312" w:cs="宋体"/>
                <w:spacing w:val="-3"/>
                <w:sz w:val="30"/>
                <w:szCs w:val="28"/>
              </w:rPr>
              <w:t>在</w:t>
            </w:r>
            <w:r>
              <w:rPr>
                <w:rFonts w:hint="eastAsia" w:eastAsia="仿宋_GB2312" w:cs="宋体"/>
                <w:b/>
                <w:bCs/>
                <w:spacing w:val="-3"/>
                <w:w w:val="95"/>
                <w:sz w:val="30"/>
                <w:szCs w:val="28"/>
              </w:rPr>
              <w:t>本确认书</w:t>
            </w:r>
            <w:r>
              <w:rPr>
                <w:rFonts w:hint="eastAsia" w:eastAsia="仿宋_GB2312" w:cs="宋体"/>
                <w:spacing w:val="-3"/>
                <w:sz w:val="30"/>
                <w:szCs w:val="28"/>
              </w:rPr>
              <w:t>中另行约定，就在中国境内的</w:t>
            </w:r>
            <w:r>
              <w:rPr>
                <w:rFonts w:hint="eastAsia" w:eastAsia="仿宋_GB2312" w:cs="宋体"/>
                <w:b/>
                <w:bCs/>
                <w:spacing w:val="-3"/>
                <w:w w:val="95"/>
                <w:sz w:val="30"/>
                <w:szCs w:val="28"/>
              </w:rPr>
              <w:t>参考实体</w:t>
            </w:r>
            <w:r>
              <w:rPr>
                <w:rFonts w:hint="eastAsia" w:eastAsia="仿宋_GB2312" w:cs="宋体"/>
                <w:spacing w:val="-3"/>
                <w:sz w:val="30"/>
                <w:szCs w:val="28"/>
              </w:rPr>
              <w:t>而言，指全国发行的报刊，或是</w:t>
            </w:r>
            <w:r>
              <w:rPr>
                <w:rFonts w:hint="eastAsia" w:eastAsia="仿宋_GB2312" w:cs="宋体"/>
                <w:b/>
                <w:bCs/>
                <w:spacing w:val="-3"/>
                <w:sz w:val="30"/>
                <w:szCs w:val="28"/>
              </w:rPr>
              <w:t>参考实体</w:t>
            </w:r>
            <w:r>
              <w:rPr>
                <w:rFonts w:hint="eastAsia" w:eastAsia="仿宋_GB2312" w:cs="宋体"/>
                <w:spacing w:val="-3"/>
                <w:sz w:val="30"/>
                <w:szCs w:val="28"/>
              </w:rPr>
              <w:t>所在行业协会认可的权威性专业报刊、网</w:t>
            </w:r>
            <w:r>
              <w:rPr>
                <w:rFonts w:eastAsia="仿宋_GB2312" w:cs="宋体"/>
                <w:spacing w:val="-117"/>
                <w:sz w:val="30"/>
                <w:szCs w:val="28"/>
              </w:rPr>
              <w:t xml:space="preserve"> </w:t>
            </w:r>
            <w:r>
              <w:rPr>
                <w:rFonts w:hint="eastAsia" w:eastAsia="仿宋_GB2312" w:cs="宋体"/>
                <w:spacing w:val="-3"/>
                <w:sz w:val="30"/>
                <w:szCs w:val="28"/>
              </w:rPr>
              <w:t>站或信息提供商，包括但不限于上海证券交易所或其指定负责披露或提供相关信息的网站、中国证券报、上海证券报、证券时报、中国证券登记结算有限公司网站、人民法院报（及其后续网站或出版物）中的任何一个。</w:t>
            </w:r>
          </w:p>
          <w:p w14:paraId="083B2A05">
            <w:pPr>
              <w:pStyle w:val="17"/>
              <w:spacing w:line="560" w:lineRule="exact"/>
              <w:ind w:right="-34"/>
              <w:rPr>
                <w:rFonts w:eastAsia="仿宋_GB2312" w:cs="宋体"/>
                <w:sz w:val="30"/>
                <w:szCs w:val="28"/>
              </w:rPr>
            </w:pPr>
            <w:r>
              <w:rPr>
                <w:rFonts w:hint="eastAsia" w:eastAsia="仿宋_GB2312" w:cs="宋体"/>
                <w:spacing w:val="-3"/>
                <w:sz w:val="30"/>
                <w:szCs w:val="28"/>
              </w:rPr>
              <w:t>就在中国境外的</w:t>
            </w:r>
            <w:r>
              <w:rPr>
                <w:rFonts w:hint="eastAsia" w:eastAsia="仿宋_GB2312" w:cs="宋体"/>
                <w:b/>
                <w:bCs/>
                <w:spacing w:val="-3"/>
                <w:sz w:val="30"/>
                <w:szCs w:val="28"/>
              </w:rPr>
              <w:t>参考实体</w:t>
            </w:r>
            <w:r>
              <w:rPr>
                <w:rFonts w:hint="eastAsia" w:eastAsia="仿宋_GB2312" w:cs="宋体"/>
                <w:spacing w:val="-3"/>
                <w:sz w:val="30"/>
                <w:szCs w:val="28"/>
              </w:rPr>
              <w:t>而言，指国际金融市场权威媒体公司</w:t>
            </w:r>
            <w:r>
              <w:rPr>
                <w:rFonts w:eastAsia="仿宋_GB2312" w:cs="宋体"/>
                <w:spacing w:val="-113"/>
                <w:sz w:val="30"/>
                <w:szCs w:val="28"/>
              </w:rPr>
              <w:t xml:space="preserve"> </w:t>
            </w:r>
            <w:r>
              <w:rPr>
                <w:rFonts w:hint="eastAsia" w:eastAsia="仿宋_GB2312" w:cs="宋体"/>
                <w:sz w:val="30"/>
                <w:szCs w:val="28"/>
              </w:rPr>
              <w:t>向市场公开发行或提供服务的报刊、网站、信息终端等，包括但不限于</w:t>
            </w:r>
            <w:r>
              <w:rPr>
                <w:rFonts w:eastAsia="仿宋_GB2312" w:cs="宋体"/>
                <w:sz w:val="30"/>
                <w:szCs w:val="28"/>
              </w:rPr>
              <w:t>Bloomberg Service</w:t>
            </w:r>
            <w:r>
              <w:rPr>
                <w:rFonts w:hint="eastAsia" w:eastAsia="仿宋_GB2312" w:cs="宋体"/>
                <w:sz w:val="30"/>
                <w:szCs w:val="28"/>
              </w:rPr>
              <w:t>、</w:t>
            </w:r>
            <w:r>
              <w:rPr>
                <w:rFonts w:eastAsia="仿宋_GB2312" w:cs="宋体"/>
                <w:sz w:val="30"/>
                <w:szCs w:val="28"/>
              </w:rPr>
              <w:t>Reuter Monitor Money Rates Services</w:t>
            </w:r>
            <w:r>
              <w:rPr>
                <w:rFonts w:hint="eastAsia" w:eastAsia="仿宋_GB2312" w:cs="宋体"/>
                <w:sz w:val="30"/>
                <w:szCs w:val="28"/>
              </w:rPr>
              <w:t>、</w:t>
            </w:r>
            <w:r>
              <w:rPr>
                <w:rFonts w:eastAsia="仿宋_GB2312" w:cs="宋体"/>
                <w:sz w:val="30"/>
                <w:szCs w:val="28"/>
              </w:rPr>
              <w:t>Financial Times</w:t>
            </w:r>
            <w:r>
              <w:rPr>
                <w:rFonts w:hint="eastAsia" w:eastAsia="仿宋_GB2312" w:cs="宋体"/>
                <w:sz w:val="30"/>
                <w:szCs w:val="28"/>
              </w:rPr>
              <w:t>、</w:t>
            </w:r>
            <w:r>
              <w:rPr>
                <w:rFonts w:eastAsia="仿宋_GB2312" w:cs="宋体"/>
                <w:sz w:val="30"/>
                <w:szCs w:val="28"/>
              </w:rPr>
              <w:t>Wall Street Journal</w:t>
            </w:r>
            <w:r>
              <w:rPr>
                <w:rFonts w:hint="eastAsia" w:eastAsia="仿宋_GB2312" w:cs="宋体"/>
                <w:sz w:val="30"/>
                <w:szCs w:val="28"/>
              </w:rPr>
              <w:t>（及其后续网站或出版物）中的任何一个。</w:t>
            </w:r>
          </w:p>
          <w:p w14:paraId="15D80AF1">
            <w:pPr>
              <w:pStyle w:val="17"/>
              <w:spacing w:line="560" w:lineRule="exact"/>
              <w:ind w:right="-34"/>
              <w:rPr>
                <w:rFonts w:eastAsia="仿宋_GB2312" w:cs="宋体"/>
                <w:sz w:val="30"/>
                <w:szCs w:val="28"/>
              </w:rPr>
            </w:pPr>
            <w:r>
              <w:rPr>
                <w:rFonts w:hint="eastAsia" w:eastAsia="仿宋_GB2312" w:cs="宋体"/>
                <w:sz w:val="30"/>
                <w:szCs w:val="28"/>
              </w:rPr>
              <w:t>上述“中国境内”一词不包括香港特别行政区、澳门特别行政区和台湾地区。</w:t>
            </w:r>
          </w:p>
        </w:tc>
      </w:tr>
      <w:tr w14:paraId="64BBD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4" w:type="dxa"/>
            <w:vAlign w:val="center"/>
          </w:tcPr>
          <w:p w14:paraId="0DA5A970">
            <w:pPr>
              <w:spacing w:before="185" w:line="560" w:lineRule="exact"/>
              <w:jc w:val="center"/>
              <w:rPr>
                <w:rFonts w:eastAsia="仿宋_GB2312" w:cs="宋体"/>
                <w:sz w:val="30"/>
                <w:szCs w:val="28"/>
              </w:rPr>
            </w:pPr>
            <w:r>
              <w:rPr>
                <w:rFonts w:hint="eastAsia" w:eastAsia="仿宋_GB2312" w:cs="宋体"/>
                <w:sz w:val="30"/>
                <w:szCs w:val="28"/>
              </w:rPr>
              <w:t>交割</w:t>
            </w:r>
          </w:p>
        </w:tc>
        <w:tc>
          <w:tcPr>
            <w:tcW w:w="5862" w:type="dxa"/>
            <w:vAlign w:val="center"/>
          </w:tcPr>
          <w:p w14:paraId="374D28E4">
            <w:pPr>
              <w:spacing w:before="185" w:line="560" w:lineRule="exact"/>
              <w:rPr>
                <w:rFonts w:eastAsia="仿宋_GB2312" w:cs="宋体"/>
                <w:sz w:val="30"/>
                <w:szCs w:val="28"/>
              </w:rPr>
            </w:pPr>
            <w:r>
              <w:rPr>
                <w:rFonts w:hint="eastAsia" w:eastAsia="仿宋_GB2312" w:cs="宋体"/>
                <w:sz w:val="30"/>
                <w:szCs w:val="28"/>
              </w:rPr>
              <w:t>指</w:t>
            </w:r>
            <w:r>
              <w:rPr>
                <w:rFonts w:hint="eastAsia" w:eastAsia="仿宋_GB2312" w:cs="宋体"/>
                <w:b/>
                <w:bCs/>
                <w:spacing w:val="4"/>
                <w:w w:val="95"/>
                <w:sz w:val="30"/>
                <w:szCs w:val="28"/>
              </w:rPr>
              <w:t>信用保护买方</w:t>
            </w:r>
            <w:r>
              <w:rPr>
                <w:rFonts w:hint="eastAsia" w:eastAsia="仿宋_GB2312" w:cs="宋体"/>
                <w:sz w:val="30"/>
                <w:szCs w:val="28"/>
              </w:rPr>
              <w:t>向</w:t>
            </w:r>
            <w:r>
              <w:rPr>
                <w:rFonts w:hint="eastAsia" w:eastAsia="仿宋_GB2312" w:cs="宋体"/>
                <w:b/>
                <w:bCs/>
                <w:spacing w:val="4"/>
                <w:w w:val="95"/>
                <w:sz w:val="30"/>
                <w:szCs w:val="28"/>
              </w:rPr>
              <w:t>信用保护卖方</w:t>
            </w:r>
            <w:r>
              <w:rPr>
                <w:rFonts w:hint="eastAsia" w:eastAsia="仿宋_GB2312" w:cs="宋体"/>
                <w:sz w:val="30"/>
                <w:szCs w:val="28"/>
              </w:rPr>
              <w:t>交付</w:t>
            </w:r>
            <w:r>
              <w:rPr>
                <w:rFonts w:hint="eastAsia" w:eastAsia="仿宋_GB2312" w:cs="宋体"/>
                <w:b/>
                <w:bCs/>
                <w:spacing w:val="4"/>
                <w:w w:val="95"/>
                <w:sz w:val="30"/>
                <w:szCs w:val="28"/>
              </w:rPr>
              <w:t>结算通知</w:t>
            </w:r>
            <w:r>
              <w:rPr>
                <w:rFonts w:hint="eastAsia" w:eastAsia="仿宋_GB2312" w:cs="宋体"/>
                <w:sz w:val="30"/>
                <w:szCs w:val="28"/>
              </w:rPr>
              <w:t>所指</w:t>
            </w:r>
            <w:r>
              <w:rPr>
                <w:rFonts w:hint="eastAsia" w:eastAsia="仿宋_GB2312" w:cs="宋体"/>
                <w:b/>
                <w:bCs/>
                <w:spacing w:val="4"/>
                <w:w w:val="95"/>
                <w:sz w:val="30"/>
                <w:szCs w:val="28"/>
              </w:rPr>
              <w:t>可交付债务</w:t>
            </w:r>
            <w:r>
              <w:rPr>
                <w:rFonts w:hint="eastAsia" w:eastAsia="仿宋_GB2312" w:cs="宋体"/>
                <w:sz w:val="30"/>
                <w:szCs w:val="28"/>
              </w:rPr>
              <w:t>的全部权益。</w:t>
            </w:r>
          </w:p>
        </w:tc>
      </w:tr>
      <w:tr w14:paraId="3C126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4" w:type="dxa"/>
            <w:vAlign w:val="center"/>
          </w:tcPr>
          <w:p w14:paraId="4D154E79">
            <w:pPr>
              <w:spacing w:before="185" w:line="560" w:lineRule="exact"/>
              <w:jc w:val="center"/>
              <w:rPr>
                <w:rFonts w:eastAsia="仿宋_GB2312" w:cs="宋体"/>
                <w:sz w:val="30"/>
                <w:szCs w:val="28"/>
              </w:rPr>
            </w:pPr>
            <w:r>
              <w:rPr>
                <w:rFonts w:hint="eastAsia" w:eastAsia="仿宋_GB2312" w:cs="宋体"/>
                <w:sz w:val="30"/>
                <w:szCs w:val="28"/>
              </w:rPr>
              <w:t>交割日</w:t>
            </w:r>
          </w:p>
        </w:tc>
        <w:tc>
          <w:tcPr>
            <w:tcW w:w="5862" w:type="dxa"/>
            <w:vAlign w:val="center"/>
          </w:tcPr>
          <w:p w14:paraId="46FFBEAE">
            <w:pPr>
              <w:spacing w:before="185" w:line="560" w:lineRule="exact"/>
              <w:rPr>
                <w:rFonts w:eastAsia="仿宋_GB2312" w:cs="宋体"/>
                <w:sz w:val="30"/>
                <w:szCs w:val="28"/>
              </w:rPr>
            </w:pPr>
            <w:r>
              <w:rPr>
                <w:rFonts w:hint="eastAsia" w:eastAsia="仿宋_GB2312" w:cs="宋体"/>
                <w:sz w:val="30"/>
                <w:szCs w:val="28"/>
              </w:rPr>
              <w:t>指</w:t>
            </w:r>
            <w:r>
              <w:rPr>
                <w:rFonts w:hint="eastAsia" w:eastAsia="仿宋_GB2312" w:cs="宋体"/>
                <w:b/>
                <w:bCs/>
                <w:sz w:val="30"/>
                <w:szCs w:val="28"/>
              </w:rPr>
              <w:t>信用保护买方</w:t>
            </w:r>
            <w:r>
              <w:rPr>
                <w:rFonts w:hint="eastAsia" w:eastAsia="仿宋_GB2312" w:cs="宋体"/>
                <w:sz w:val="30"/>
                <w:szCs w:val="28"/>
              </w:rPr>
              <w:t>与</w:t>
            </w:r>
            <w:r>
              <w:rPr>
                <w:rFonts w:hint="eastAsia" w:eastAsia="仿宋_GB2312" w:cs="宋体"/>
                <w:b/>
                <w:bCs/>
                <w:sz w:val="30"/>
                <w:szCs w:val="28"/>
              </w:rPr>
              <w:t>信用保护卖方</w:t>
            </w:r>
            <w:r>
              <w:rPr>
                <w:rFonts w:hint="eastAsia" w:eastAsia="仿宋_GB2312" w:cs="宋体"/>
                <w:sz w:val="30"/>
                <w:szCs w:val="28"/>
              </w:rPr>
              <w:t>之间</w:t>
            </w:r>
            <w:r>
              <w:rPr>
                <w:rFonts w:hint="eastAsia" w:eastAsia="仿宋_GB2312" w:cs="宋体"/>
                <w:b/>
                <w:bCs/>
                <w:sz w:val="30"/>
                <w:szCs w:val="28"/>
              </w:rPr>
              <w:t>交割</w:t>
            </w:r>
            <w:r>
              <w:rPr>
                <w:rFonts w:hint="eastAsia" w:eastAsia="仿宋_GB2312" w:cs="宋体"/>
                <w:sz w:val="30"/>
                <w:szCs w:val="28"/>
              </w:rPr>
              <w:t>相关</w:t>
            </w:r>
            <w:r>
              <w:rPr>
                <w:rFonts w:hint="eastAsia" w:eastAsia="仿宋_GB2312" w:cs="宋体"/>
                <w:b/>
                <w:bCs/>
                <w:sz w:val="30"/>
                <w:szCs w:val="28"/>
              </w:rPr>
              <w:t>可交付债务</w:t>
            </w:r>
            <w:r>
              <w:rPr>
                <w:rFonts w:hint="eastAsia" w:eastAsia="仿宋_GB2312" w:cs="宋体"/>
                <w:sz w:val="30"/>
                <w:szCs w:val="28"/>
              </w:rPr>
              <w:t>的</w:t>
            </w:r>
            <w:r>
              <w:rPr>
                <w:rFonts w:hint="eastAsia" w:eastAsia="仿宋_GB2312" w:cs="宋体"/>
                <w:b/>
                <w:bCs/>
                <w:sz w:val="30"/>
                <w:szCs w:val="28"/>
              </w:rPr>
              <w:t>交易日</w:t>
            </w:r>
            <w:r>
              <w:rPr>
                <w:rFonts w:hint="eastAsia" w:eastAsia="仿宋_GB2312" w:cs="宋体"/>
                <w:sz w:val="30"/>
                <w:szCs w:val="28"/>
              </w:rPr>
              <w:t>。考虑到结算周期等因素，此处的交割日为交割申报日。</w:t>
            </w:r>
          </w:p>
        </w:tc>
      </w:tr>
      <w:tr w14:paraId="27F99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2434" w:type="dxa"/>
            <w:vAlign w:val="center"/>
          </w:tcPr>
          <w:p w14:paraId="74AF8D06">
            <w:pPr>
              <w:spacing w:before="185" w:line="560" w:lineRule="exact"/>
              <w:jc w:val="center"/>
              <w:rPr>
                <w:rFonts w:eastAsia="仿宋_GB2312" w:cs="宋体"/>
                <w:sz w:val="30"/>
                <w:szCs w:val="28"/>
              </w:rPr>
            </w:pPr>
            <w:r>
              <w:rPr>
                <w:rFonts w:hint="eastAsia" w:eastAsia="仿宋_GB2312" w:cs="宋体"/>
                <w:bCs/>
                <w:sz w:val="30"/>
                <w:szCs w:val="28"/>
              </w:rPr>
              <w:t>实物交割期间</w:t>
            </w:r>
          </w:p>
        </w:tc>
        <w:tc>
          <w:tcPr>
            <w:tcW w:w="5862" w:type="dxa"/>
            <w:vAlign w:val="center"/>
          </w:tcPr>
          <w:p w14:paraId="7D709064">
            <w:pPr>
              <w:spacing w:before="185" w:line="560" w:lineRule="exact"/>
              <w:rPr>
                <w:rFonts w:eastAsia="仿宋_GB2312" w:cs="宋体"/>
                <w:sz w:val="30"/>
                <w:szCs w:val="28"/>
              </w:rPr>
            </w:pPr>
            <w:r>
              <w:rPr>
                <w:rFonts w:hint="eastAsia" w:eastAsia="仿宋_GB2312" w:cs="宋体"/>
                <w:sz w:val="30"/>
                <w:szCs w:val="28"/>
              </w:rPr>
              <w:t>指</w:t>
            </w:r>
            <w:r>
              <w:rPr>
                <w:rFonts w:hint="eastAsia" w:eastAsia="仿宋_GB2312" w:cs="宋体"/>
                <w:b/>
                <w:bCs/>
                <w:sz w:val="30"/>
                <w:szCs w:val="28"/>
              </w:rPr>
              <w:t>信用保护买方</w:t>
            </w:r>
            <w:r>
              <w:rPr>
                <w:rFonts w:hint="eastAsia" w:eastAsia="仿宋_GB2312" w:cs="宋体"/>
                <w:sz w:val="30"/>
                <w:szCs w:val="28"/>
              </w:rPr>
              <w:t>向</w:t>
            </w:r>
            <w:r>
              <w:rPr>
                <w:rFonts w:hint="eastAsia" w:eastAsia="仿宋_GB2312" w:cs="宋体"/>
                <w:b/>
                <w:bCs/>
                <w:sz w:val="30"/>
                <w:szCs w:val="28"/>
              </w:rPr>
              <w:t>信用保护卖方</w:t>
            </w:r>
            <w:r>
              <w:rPr>
                <w:rFonts w:hint="eastAsia" w:eastAsia="仿宋_GB2312" w:cs="宋体"/>
                <w:sz w:val="30"/>
                <w:szCs w:val="28"/>
              </w:rPr>
              <w:t>完成</w:t>
            </w:r>
            <w:r>
              <w:rPr>
                <w:rFonts w:hint="eastAsia" w:eastAsia="仿宋_GB2312" w:cs="宋体"/>
                <w:b/>
                <w:bCs/>
                <w:sz w:val="30"/>
                <w:szCs w:val="28"/>
              </w:rPr>
              <w:t>交割</w:t>
            </w:r>
            <w:r>
              <w:rPr>
                <w:rFonts w:hint="eastAsia" w:eastAsia="仿宋_GB2312" w:cs="宋体"/>
                <w:sz w:val="30"/>
                <w:szCs w:val="28"/>
              </w:rPr>
              <w:t>相关</w:t>
            </w:r>
            <w:r>
              <w:rPr>
                <w:rFonts w:hint="eastAsia" w:eastAsia="仿宋_GB2312" w:cs="宋体"/>
                <w:b/>
                <w:bCs/>
                <w:sz w:val="30"/>
                <w:szCs w:val="28"/>
              </w:rPr>
              <w:t>可交付债务</w:t>
            </w:r>
            <w:r>
              <w:rPr>
                <w:rFonts w:hint="eastAsia" w:eastAsia="仿宋_GB2312" w:cs="宋体"/>
                <w:sz w:val="30"/>
                <w:szCs w:val="28"/>
              </w:rPr>
              <w:t>的期限，该期限始于</w:t>
            </w:r>
            <w:r>
              <w:rPr>
                <w:rFonts w:hint="eastAsia" w:eastAsia="仿宋_GB2312" w:cs="宋体"/>
                <w:b/>
                <w:bCs/>
                <w:sz w:val="30"/>
                <w:szCs w:val="28"/>
              </w:rPr>
              <w:t>结算通知书</w:t>
            </w:r>
            <w:r>
              <w:rPr>
                <w:rFonts w:hint="eastAsia" w:eastAsia="仿宋_GB2312" w:cs="宋体"/>
                <w:sz w:val="30"/>
                <w:szCs w:val="28"/>
              </w:rPr>
              <w:t>有效送达</w:t>
            </w:r>
            <w:r>
              <w:rPr>
                <w:rFonts w:hint="eastAsia" w:eastAsia="仿宋_GB2312" w:cs="宋体"/>
                <w:b/>
                <w:bCs/>
                <w:sz w:val="30"/>
                <w:szCs w:val="28"/>
              </w:rPr>
              <w:t>信用保护卖方</w:t>
            </w:r>
            <w:r>
              <w:rPr>
                <w:rFonts w:hint="eastAsia" w:eastAsia="仿宋_GB2312" w:cs="宋体"/>
                <w:sz w:val="30"/>
                <w:szCs w:val="28"/>
              </w:rPr>
              <w:t>之日（含该日），止于</w:t>
            </w:r>
            <w:r>
              <w:rPr>
                <w:rFonts w:hint="eastAsia" w:eastAsia="仿宋_GB2312" w:cs="宋体"/>
                <w:b/>
                <w:bCs/>
                <w:sz w:val="30"/>
                <w:szCs w:val="28"/>
              </w:rPr>
              <w:t>交易双方</w:t>
            </w:r>
            <w:r>
              <w:rPr>
                <w:rFonts w:hint="eastAsia" w:eastAsia="仿宋_GB2312" w:cs="宋体"/>
                <w:sz w:val="30"/>
                <w:szCs w:val="28"/>
              </w:rPr>
              <w:t>在</w:t>
            </w:r>
            <w:r>
              <w:rPr>
                <w:rFonts w:hint="eastAsia" w:eastAsia="仿宋_GB2312" w:cs="宋体"/>
                <w:b/>
                <w:bCs/>
                <w:sz w:val="30"/>
                <w:szCs w:val="28"/>
              </w:rPr>
              <w:t>本确认书</w:t>
            </w:r>
            <w:r>
              <w:rPr>
                <w:rFonts w:hint="eastAsia" w:eastAsia="仿宋_GB2312" w:cs="宋体"/>
                <w:sz w:val="30"/>
                <w:szCs w:val="28"/>
              </w:rPr>
              <w:t>“与结算有关的条款”中约定的</w:t>
            </w:r>
            <w:r>
              <w:rPr>
                <w:rFonts w:hint="eastAsia" w:eastAsia="仿宋_GB2312" w:cs="宋体"/>
                <w:b/>
                <w:bCs/>
                <w:sz w:val="30"/>
                <w:szCs w:val="28"/>
              </w:rPr>
              <w:t>实物交割期间</w:t>
            </w:r>
            <w:r>
              <w:rPr>
                <w:rFonts w:hint="eastAsia" w:eastAsia="仿宋_GB2312" w:cs="宋体"/>
                <w:sz w:val="30"/>
                <w:szCs w:val="28"/>
              </w:rPr>
              <w:t>届满之日（含该日）。</w:t>
            </w:r>
          </w:p>
        </w:tc>
      </w:tr>
      <w:tr w14:paraId="38360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4" w:type="dxa"/>
            <w:vAlign w:val="center"/>
          </w:tcPr>
          <w:p w14:paraId="0F82AC57">
            <w:pPr>
              <w:spacing w:before="185" w:line="560" w:lineRule="exact"/>
              <w:jc w:val="center"/>
              <w:rPr>
                <w:rFonts w:eastAsia="仿宋_GB2312" w:cs="宋体"/>
                <w:sz w:val="30"/>
                <w:szCs w:val="28"/>
              </w:rPr>
            </w:pPr>
            <w:r>
              <w:rPr>
                <w:rFonts w:hint="eastAsia" w:eastAsia="仿宋_GB2312" w:cs="宋体"/>
                <w:sz w:val="30"/>
                <w:szCs w:val="28"/>
              </w:rPr>
              <w:t>可交付债务种类</w:t>
            </w:r>
          </w:p>
        </w:tc>
        <w:tc>
          <w:tcPr>
            <w:tcW w:w="5862" w:type="dxa"/>
            <w:vAlign w:val="center"/>
          </w:tcPr>
          <w:p w14:paraId="36CEF576">
            <w:pPr>
              <w:spacing w:line="560" w:lineRule="exact"/>
              <w:ind w:right="-34" w:rightChars="-16"/>
              <w:rPr>
                <w:rFonts w:eastAsia="仿宋_GB2312" w:cs="宋体"/>
                <w:sz w:val="30"/>
                <w:szCs w:val="28"/>
              </w:rPr>
            </w:pPr>
            <w:r>
              <w:rPr>
                <w:rFonts w:hint="eastAsia" w:eastAsia="仿宋_GB2312" w:cs="宋体"/>
                <w:sz w:val="30"/>
                <w:szCs w:val="28"/>
              </w:rPr>
              <w:t>指</w:t>
            </w:r>
            <w:r>
              <w:rPr>
                <w:rFonts w:hint="eastAsia" w:eastAsia="仿宋_GB2312" w:cs="宋体"/>
                <w:b/>
                <w:sz w:val="30"/>
                <w:szCs w:val="28"/>
              </w:rPr>
              <w:t>交易双方</w:t>
            </w:r>
            <w:r>
              <w:rPr>
                <w:rFonts w:hint="eastAsia" w:eastAsia="仿宋_GB2312" w:cs="宋体"/>
                <w:sz w:val="30"/>
                <w:szCs w:val="28"/>
              </w:rPr>
              <w:t>在</w:t>
            </w:r>
            <w:r>
              <w:rPr>
                <w:rFonts w:hint="eastAsia" w:eastAsia="仿宋_GB2312" w:cs="宋体"/>
                <w:b/>
                <w:sz w:val="30"/>
                <w:szCs w:val="28"/>
              </w:rPr>
              <w:t>本确认书</w:t>
            </w:r>
            <w:r>
              <w:rPr>
                <w:rFonts w:hint="eastAsia" w:eastAsia="仿宋_GB2312" w:cs="宋体"/>
                <w:sz w:val="30"/>
                <w:szCs w:val="28"/>
              </w:rPr>
              <w:t>中列明的</w:t>
            </w:r>
            <w:r>
              <w:rPr>
                <w:rFonts w:hint="eastAsia" w:eastAsia="仿宋_GB2312" w:cs="宋体"/>
                <w:b/>
                <w:sz w:val="30"/>
                <w:szCs w:val="28"/>
              </w:rPr>
              <w:t>可交付债务</w:t>
            </w:r>
            <w:r>
              <w:rPr>
                <w:rFonts w:hint="eastAsia" w:eastAsia="仿宋_GB2312" w:cs="宋体"/>
                <w:sz w:val="30"/>
                <w:szCs w:val="28"/>
              </w:rPr>
              <w:t>所属的一种或多种</w:t>
            </w:r>
            <w:r>
              <w:rPr>
                <w:rFonts w:hint="eastAsia" w:eastAsia="仿宋_GB2312" w:cs="宋体"/>
                <w:b/>
                <w:sz w:val="30"/>
                <w:szCs w:val="28"/>
              </w:rPr>
              <w:t>债务种类</w:t>
            </w:r>
            <w:r>
              <w:rPr>
                <w:rFonts w:hint="eastAsia" w:eastAsia="仿宋_GB2312" w:cs="宋体"/>
                <w:sz w:val="30"/>
                <w:szCs w:val="28"/>
              </w:rPr>
              <w:t>。适用“</w:t>
            </w:r>
            <w:r>
              <w:rPr>
                <w:rFonts w:hint="eastAsia" w:eastAsia="仿宋_GB2312" w:cs="宋体"/>
                <w:b/>
                <w:sz w:val="30"/>
                <w:szCs w:val="28"/>
              </w:rPr>
              <w:t>债务种类</w:t>
            </w:r>
            <w:r>
              <w:rPr>
                <w:rFonts w:hint="eastAsia" w:eastAsia="仿宋_GB2312" w:cs="宋体"/>
                <w:sz w:val="30"/>
                <w:szCs w:val="28"/>
              </w:rPr>
              <w:t>”的定义。</w:t>
            </w:r>
          </w:p>
        </w:tc>
      </w:tr>
      <w:tr w14:paraId="52488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4" w:type="dxa"/>
            <w:vAlign w:val="center"/>
          </w:tcPr>
          <w:p w14:paraId="1B5DD379">
            <w:pPr>
              <w:spacing w:before="185" w:line="560" w:lineRule="exact"/>
              <w:jc w:val="center"/>
              <w:rPr>
                <w:rFonts w:eastAsia="仿宋_GB2312" w:cs="宋体"/>
                <w:sz w:val="30"/>
                <w:szCs w:val="28"/>
              </w:rPr>
            </w:pPr>
            <w:r>
              <w:rPr>
                <w:rFonts w:hint="eastAsia" w:eastAsia="仿宋_GB2312" w:cs="宋体"/>
                <w:sz w:val="30"/>
                <w:szCs w:val="28"/>
              </w:rPr>
              <w:t>可交付债务特征</w:t>
            </w:r>
          </w:p>
        </w:tc>
        <w:tc>
          <w:tcPr>
            <w:tcW w:w="5862" w:type="dxa"/>
            <w:vAlign w:val="center"/>
          </w:tcPr>
          <w:p w14:paraId="5505A844">
            <w:pPr>
              <w:spacing w:line="560" w:lineRule="exact"/>
              <w:ind w:right="-34" w:rightChars="-16"/>
              <w:rPr>
                <w:rFonts w:eastAsia="仿宋_GB2312" w:cs="宋体"/>
                <w:sz w:val="30"/>
                <w:szCs w:val="28"/>
              </w:rPr>
            </w:pPr>
            <w:r>
              <w:rPr>
                <w:rFonts w:hint="eastAsia" w:eastAsia="仿宋_GB2312" w:cs="宋体"/>
                <w:sz w:val="30"/>
                <w:szCs w:val="28"/>
              </w:rPr>
              <w:t>指</w:t>
            </w:r>
            <w:r>
              <w:rPr>
                <w:rFonts w:hint="eastAsia" w:eastAsia="仿宋_GB2312" w:cs="宋体"/>
                <w:b/>
                <w:sz w:val="30"/>
                <w:szCs w:val="28"/>
              </w:rPr>
              <w:t>交易双方</w:t>
            </w:r>
            <w:r>
              <w:rPr>
                <w:rFonts w:hint="eastAsia" w:eastAsia="仿宋_GB2312" w:cs="宋体"/>
                <w:sz w:val="30"/>
                <w:szCs w:val="28"/>
              </w:rPr>
              <w:t>在</w:t>
            </w:r>
            <w:r>
              <w:rPr>
                <w:rFonts w:hint="eastAsia" w:eastAsia="仿宋_GB2312" w:cs="宋体"/>
                <w:b/>
                <w:sz w:val="30"/>
                <w:szCs w:val="28"/>
              </w:rPr>
              <w:t>本确认书</w:t>
            </w:r>
            <w:r>
              <w:rPr>
                <w:rFonts w:hint="eastAsia" w:eastAsia="仿宋_GB2312" w:cs="宋体"/>
                <w:sz w:val="30"/>
                <w:szCs w:val="28"/>
              </w:rPr>
              <w:t>中列明的，用以确定</w:t>
            </w:r>
            <w:r>
              <w:rPr>
                <w:rFonts w:hint="eastAsia" w:eastAsia="仿宋_GB2312" w:cs="宋体"/>
                <w:b/>
                <w:sz w:val="30"/>
                <w:szCs w:val="28"/>
              </w:rPr>
              <w:t>可交付债务</w:t>
            </w:r>
            <w:r>
              <w:rPr>
                <w:rFonts w:hint="eastAsia" w:eastAsia="仿宋_GB2312" w:cs="宋体"/>
                <w:sz w:val="30"/>
                <w:szCs w:val="28"/>
              </w:rPr>
              <w:t>的一项或多项特征，包括但不限于</w:t>
            </w:r>
            <w:r>
              <w:rPr>
                <w:rFonts w:hint="eastAsia" w:eastAsia="仿宋_GB2312" w:cs="宋体"/>
                <w:b/>
                <w:sz w:val="30"/>
                <w:szCs w:val="28"/>
              </w:rPr>
              <w:t>债务特征</w:t>
            </w:r>
            <w:r>
              <w:rPr>
                <w:rFonts w:hint="eastAsia" w:eastAsia="仿宋_GB2312" w:cs="宋体"/>
                <w:sz w:val="30"/>
                <w:szCs w:val="28"/>
              </w:rPr>
              <w:t>、无扣减债务、可转让贷款、转让受限贷款等特征。</w:t>
            </w:r>
          </w:p>
          <w:p w14:paraId="1A325C91">
            <w:pPr>
              <w:spacing w:line="560" w:lineRule="exact"/>
              <w:ind w:right="-34" w:rightChars="-16"/>
              <w:rPr>
                <w:rFonts w:eastAsia="仿宋_GB2312" w:cs="宋体"/>
                <w:sz w:val="30"/>
                <w:szCs w:val="28"/>
              </w:rPr>
            </w:pPr>
            <w:r>
              <w:rPr>
                <w:rFonts w:hint="eastAsia" w:eastAsia="仿宋_GB2312" w:cs="宋体"/>
                <w:sz w:val="30"/>
                <w:szCs w:val="28"/>
              </w:rPr>
              <w:t>“无扣减债务”指自交割日起，该可交付债务到期应付的本金余额及</w:t>
            </w:r>
            <w:r>
              <w:rPr>
                <w:rFonts w:eastAsia="仿宋_GB2312" w:cs="宋体"/>
                <w:sz w:val="30"/>
                <w:szCs w:val="28"/>
              </w:rPr>
              <w:t>/</w:t>
            </w:r>
            <w:r>
              <w:rPr>
                <w:rFonts w:hint="eastAsia" w:eastAsia="仿宋_GB2312" w:cs="宋体"/>
                <w:sz w:val="30"/>
                <w:szCs w:val="28"/>
              </w:rPr>
              <w:t>或应计未付利息将不会被扣减。</w:t>
            </w:r>
          </w:p>
          <w:p w14:paraId="22E8CEFE">
            <w:pPr>
              <w:spacing w:line="560" w:lineRule="exact"/>
              <w:ind w:right="-34" w:rightChars="-16"/>
              <w:rPr>
                <w:rFonts w:eastAsia="仿宋_GB2312" w:cs="宋体"/>
                <w:sz w:val="30"/>
                <w:szCs w:val="28"/>
              </w:rPr>
            </w:pPr>
            <w:r>
              <w:rPr>
                <w:rFonts w:hint="eastAsia" w:eastAsia="仿宋_GB2312" w:cs="宋体"/>
                <w:sz w:val="30"/>
                <w:szCs w:val="28"/>
              </w:rPr>
              <w:t>“可转让贷款”指无需获得参考实体或该贷款的借款人或担保人或任何代理行的同意，即可被信用保护买方转让的贷款资产。</w:t>
            </w:r>
          </w:p>
          <w:p w14:paraId="08F30359">
            <w:pPr>
              <w:spacing w:line="560" w:lineRule="exact"/>
              <w:ind w:right="-34" w:rightChars="-16"/>
              <w:rPr>
                <w:rFonts w:eastAsia="仿宋_GB2312" w:cs="宋体"/>
                <w:sz w:val="30"/>
                <w:szCs w:val="28"/>
              </w:rPr>
            </w:pPr>
            <w:r>
              <w:rPr>
                <w:rFonts w:hint="eastAsia" w:eastAsia="仿宋_GB2312" w:cs="宋体"/>
                <w:sz w:val="30"/>
                <w:szCs w:val="28"/>
              </w:rPr>
              <w:t>“转让受限贷款”指需获得参考实体或该贷款的借款人或担保人或任何代理行的同意，方可被信用保护买方转让的贷款资产。</w:t>
            </w:r>
          </w:p>
        </w:tc>
      </w:tr>
    </w:tbl>
    <w:tbl>
      <w:tblPr>
        <w:tblStyle w:val="44"/>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4"/>
        <w:gridCol w:w="5862"/>
      </w:tblGrid>
      <w:tr w14:paraId="26F56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4" w:type="dxa"/>
            <w:vAlign w:val="center"/>
          </w:tcPr>
          <w:p w14:paraId="718EF516">
            <w:pPr>
              <w:spacing w:before="185" w:line="560" w:lineRule="exact"/>
              <w:ind w:firstLine="360"/>
              <w:jc w:val="center"/>
              <w:rPr>
                <w:rFonts w:eastAsia="仿宋_GB2312" w:cs="宋体"/>
                <w:b/>
                <w:bCs/>
                <w:spacing w:val="4"/>
                <w:sz w:val="30"/>
                <w:szCs w:val="28"/>
                <w:lang w:eastAsia="en-US" w:bidi="en-US"/>
              </w:rPr>
            </w:pPr>
            <w:r>
              <w:rPr>
                <w:rFonts w:hint="eastAsia" w:eastAsia="仿宋_GB2312" w:cs="宋体"/>
                <w:b/>
                <w:bCs/>
                <w:spacing w:val="4"/>
                <w:sz w:val="30"/>
                <w:szCs w:val="28"/>
                <w:lang w:eastAsia="en-US" w:bidi="en-US"/>
              </w:rPr>
              <w:t>回收率</w:t>
            </w:r>
          </w:p>
        </w:tc>
        <w:tc>
          <w:tcPr>
            <w:tcW w:w="5862" w:type="dxa"/>
          </w:tcPr>
          <w:p w14:paraId="172925D3">
            <w:pPr>
              <w:spacing w:line="560" w:lineRule="exact"/>
              <w:ind w:right="66" w:firstLine="360"/>
              <w:rPr>
                <w:rFonts w:eastAsia="仿宋_GB2312" w:cs="宋体"/>
                <w:bCs/>
                <w:spacing w:val="4"/>
                <w:sz w:val="30"/>
                <w:szCs w:val="28"/>
                <w:lang w:eastAsia="en-US" w:bidi="en-US"/>
              </w:rPr>
            </w:pPr>
            <w:r>
              <w:rPr>
                <w:rFonts w:hint="eastAsia" w:eastAsia="仿宋_GB2312" w:cs="宋体"/>
                <w:bCs/>
                <w:spacing w:val="4"/>
                <w:sz w:val="30"/>
                <w:szCs w:val="28"/>
                <w:lang w:eastAsia="en-US" w:bidi="en-US"/>
              </w:rPr>
              <w:t>债务违约后，债权人所能收回的金额与债务名义本金的比值。本确认书中指</w:t>
            </w:r>
            <w:r>
              <w:rPr>
                <w:rFonts w:hint="eastAsia" w:eastAsia="仿宋_GB2312" w:cs="宋体"/>
                <w:b/>
                <w:bCs/>
                <w:spacing w:val="4"/>
                <w:sz w:val="30"/>
                <w:szCs w:val="28"/>
                <w:lang w:eastAsia="en-US" w:bidi="en-US"/>
              </w:rPr>
              <w:t>交易双方</w:t>
            </w:r>
            <w:r>
              <w:rPr>
                <w:rFonts w:hint="eastAsia" w:eastAsia="仿宋_GB2312" w:cs="宋体"/>
                <w:bCs/>
                <w:spacing w:val="4"/>
                <w:sz w:val="30"/>
                <w:szCs w:val="28"/>
                <w:lang w:eastAsia="en-US" w:bidi="en-US"/>
              </w:rPr>
              <w:t>约定的该比值的具体数值或其确定方式。</w:t>
            </w:r>
          </w:p>
        </w:tc>
      </w:tr>
    </w:tbl>
    <w:p w14:paraId="43C0AE88">
      <w:pPr>
        <w:pStyle w:val="17"/>
        <w:spacing w:line="560" w:lineRule="exact"/>
        <w:rPr>
          <w:rFonts w:eastAsia="仿宋_GB2312"/>
          <w:sz w:val="30"/>
          <w:szCs w:val="28"/>
        </w:rPr>
      </w:pPr>
      <w:r>
        <w:rPr>
          <w:rFonts w:hint="eastAsia" w:eastAsia="仿宋_GB2312" w:cs="新宋体"/>
          <w:sz w:val="30"/>
          <w:szCs w:val="28"/>
        </w:rPr>
        <w:t>（本页以下无正文）</w:t>
      </w:r>
      <w:r>
        <w:rPr>
          <w:rFonts w:eastAsia="仿宋_GB2312" w:cs="新宋体"/>
          <w:b/>
          <w:sz w:val="30"/>
          <w:szCs w:val="28"/>
        </w:rPr>
        <w:br w:type="page"/>
      </w:r>
    </w:p>
    <w:p w14:paraId="30A6CE69">
      <w:pPr>
        <w:pStyle w:val="17"/>
        <w:spacing w:line="560" w:lineRule="exact"/>
        <w:jc w:val="center"/>
        <w:rPr>
          <w:rFonts w:eastAsia="仿宋_GB2312" w:cs="新宋体"/>
          <w:b/>
          <w:bCs/>
          <w:sz w:val="30"/>
          <w:szCs w:val="28"/>
        </w:rPr>
      </w:pPr>
      <w:r>
        <w:rPr>
          <w:rFonts w:hint="eastAsia" w:eastAsia="仿宋_GB2312" w:cs="新宋体"/>
          <w:b/>
          <w:bCs/>
          <w:sz w:val="30"/>
          <w:szCs w:val="28"/>
        </w:rPr>
        <w:t>《</w:t>
      </w:r>
      <w:r>
        <w:rPr>
          <w:rFonts w:eastAsia="仿宋_GB2312" w:cs="新宋体"/>
          <w:b/>
          <w:bCs/>
          <w:sz w:val="30"/>
          <w:szCs w:val="28"/>
        </w:rPr>
        <w:t>XXXX</w:t>
      </w:r>
      <w:r>
        <w:rPr>
          <w:rFonts w:hint="eastAsia" w:eastAsia="仿宋_GB2312" w:cs="新宋体"/>
          <w:b/>
          <w:bCs/>
          <w:sz w:val="30"/>
          <w:szCs w:val="28"/>
        </w:rPr>
        <w:t>信用保护合约交易确认书》签署页</w:t>
      </w:r>
    </w:p>
    <w:p w14:paraId="1BDBC34E">
      <w:pPr>
        <w:pStyle w:val="17"/>
        <w:spacing w:line="560" w:lineRule="exact"/>
        <w:ind w:right="4146"/>
        <w:rPr>
          <w:rFonts w:eastAsia="仿宋_GB2312" w:cs="新宋体"/>
          <w:sz w:val="30"/>
          <w:szCs w:val="28"/>
        </w:rPr>
      </w:pPr>
    </w:p>
    <w:p w14:paraId="67129625">
      <w:pPr>
        <w:pStyle w:val="17"/>
        <w:spacing w:line="560" w:lineRule="exact"/>
        <w:ind w:right="4146"/>
        <w:rPr>
          <w:rFonts w:eastAsia="仿宋_GB2312" w:cs="新宋体"/>
          <w:sz w:val="30"/>
          <w:szCs w:val="28"/>
        </w:rPr>
      </w:pPr>
    </w:p>
    <w:p w14:paraId="32CB1081">
      <w:pPr>
        <w:pStyle w:val="17"/>
        <w:spacing w:line="560" w:lineRule="exact"/>
        <w:ind w:right="4146"/>
        <w:rPr>
          <w:rFonts w:eastAsia="仿宋_GB2312" w:cs="新宋体"/>
          <w:b/>
          <w:sz w:val="30"/>
          <w:szCs w:val="28"/>
        </w:rPr>
      </w:pPr>
      <w:r>
        <w:rPr>
          <w:rFonts w:hint="eastAsia" w:eastAsia="仿宋_GB2312" w:cs="新宋体"/>
          <w:b/>
          <w:sz w:val="30"/>
          <w:szCs w:val="28"/>
        </w:rPr>
        <w:t>甲方：【】</w:t>
      </w:r>
    </w:p>
    <w:p w14:paraId="59A3103C">
      <w:pPr>
        <w:pStyle w:val="17"/>
        <w:spacing w:line="560" w:lineRule="exact"/>
        <w:ind w:right="4146"/>
        <w:rPr>
          <w:rFonts w:eastAsia="仿宋_GB2312" w:cs="新宋体"/>
          <w:b/>
          <w:sz w:val="30"/>
          <w:szCs w:val="28"/>
        </w:rPr>
      </w:pPr>
      <w:r>
        <w:rPr>
          <w:rFonts w:hint="eastAsia" w:eastAsia="仿宋_GB2312" w:cs="新宋体"/>
          <w:b/>
          <w:sz w:val="30"/>
          <w:szCs w:val="28"/>
        </w:rPr>
        <w:t>代表其管理的【】</w:t>
      </w:r>
    </w:p>
    <w:p w14:paraId="40FD4B5A">
      <w:pPr>
        <w:pStyle w:val="17"/>
        <w:spacing w:line="560" w:lineRule="exact"/>
        <w:ind w:right="4146"/>
        <w:rPr>
          <w:rFonts w:eastAsia="仿宋_GB2312" w:cs="新宋体"/>
          <w:sz w:val="30"/>
          <w:szCs w:val="28"/>
        </w:rPr>
      </w:pPr>
      <w:r>
        <w:rPr>
          <w:rFonts w:hint="eastAsia" w:eastAsia="仿宋_GB2312" w:cs="新宋体"/>
          <w:sz w:val="30"/>
          <w:szCs w:val="28"/>
        </w:rPr>
        <w:t>（公章或合同专用章）</w:t>
      </w:r>
    </w:p>
    <w:p w14:paraId="7C1DF86A">
      <w:pPr>
        <w:pStyle w:val="17"/>
        <w:spacing w:line="560" w:lineRule="exact"/>
        <w:ind w:right="4146"/>
        <w:rPr>
          <w:rFonts w:eastAsia="仿宋_GB2312" w:cs="新宋体"/>
          <w:sz w:val="30"/>
          <w:szCs w:val="28"/>
        </w:rPr>
      </w:pPr>
      <w:r>
        <w:rPr>
          <w:rFonts w:hint="eastAsia" w:eastAsia="仿宋_GB2312" w:cs="新宋体"/>
          <w:b/>
          <w:bCs/>
          <w:sz w:val="30"/>
          <w:szCs w:val="28"/>
        </w:rPr>
        <w:t>授权代表（签字或盖章）：</w:t>
      </w:r>
    </w:p>
    <w:p w14:paraId="58E67145">
      <w:pPr>
        <w:pStyle w:val="17"/>
        <w:spacing w:line="560" w:lineRule="exact"/>
        <w:ind w:right="4146"/>
        <w:rPr>
          <w:rFonts w:eastAsia="仿宋_GB2312" w:cs="新宋体"/>
          <w:b/>
          <w:bCs/>
          <w:sz w:val="30"/>
          <w:szCs w:val="28"/>
        </w:rPr>
      </w:pPr>
      <w:r>
        <w:rPr>
          <w:rFonts w:hint="eastAsia" w:eastAsia="仿宋_GB2312" w:cs="新宋体"/>
          <w:b/>
          <w:bCs/>
          <w:sz w:val="30"/>
          <w:szCs w:val="28"/>
        </w:rPr>
        <w:t>签署日期：</w:t>
      </w:r>
    </w:p>
    <w:p w14:paraId="282FED8F">
      <w:pPr>
        <w:pStyle w:val="17"/>
        <w:spacing w:line="560" w:lineRule="exact"/>
        <w:ind w:right="4146"/>
        <w:rPr>
          <w:rFonts w:eastAsia="仿宋_GB2312" w:cs="新宋体"/>
          <w:sz w:val="30"/>
          <w:szCs w:val="28"/>
        </w:rPr>
      </w:pPr>
      <w:r>
        <w:rPr>
          <w:rFonts w:hint="eastAsia" w:eastAsia="仿宋_GB2312" w:cs="新宋体"/>
          <w:b/>
          <w:bCs/>
          <w:sz w:val="30"/>
          <w:szCs w:val="28"/>
        </w:rPr>
        <w:t>签署地点：</w:t>
      </w:r>
      <w:r>
        <w:rPr>
          <w:rFonts w:eastAsia="仿宋_GB2312" w:cs="新宋体"/>
          <w:sz w:val="30"/>
          <w:szCs w:val="28"/>
        </w:rPr>
        <w:t xml:space="preserve"> </w:t>
      </w:r>
    </w:p>
    <w:p w14:paraId="642C74DC">
      <w:pPr>
        <w:spacing w:before="7" w:line="560" w:lineRule="exact"/>
        <w:rPr>
          <w:rFonts w:eastAsia="仿宋_GB2312" w:cs="新宋体"/>
          <w:sz w:val="30"/>
          <w:szCs w:val="28"/>
        </w:rPr>
      </w:pPr>
    </w:p>
    <w:p w14:paraId="25DF66E8">
      <w:pPr>
        <w:spacing w:before="7" w:line="560" w:lineRule="exact"/>
        <w:rPr>
          <w:rFonts w:eastAsia="仿宋_GB2312" w:cs="新宋体"/>
          <w:sz w:val="30"/>
          <w:szCs w:val="28"/>
        </w:rPr>
      </w:pPr>
    </w:p>
    <w:p w14:paraId="4A48DD67">
      <w:pPr>
        <w:pStyle w:val="17"/>
        <w:spacing w:line="560" w:lineRule="exact"/>
        <w:ind w:right="4146"/>
        <w:rPr>
          <w:rFonts w:eastAsia="仿宋_GB2312" w:cs="新宋体"/>
          <w:b/>
          <w:sz w:val="30"/>
          <w:szCs w:val="28"/>
        </w:rPr>
      </w:pPr>
      <w:r>
        <w:rPr>
          <w:rFonts w:hint="eastAsia" w:eastAsia="仿宋_GB2312" w:cs="新宋体"/>
          <w:b/>
          <w:sz w:val="30"/>
          <w:szCs w:val="28"/>
        </w:rPr>
        <w:t>乙方</w:t>
      </w:r>
      <w:r>
        <w:rPr>
          <w:rFonts w:hint="eastAsia" w:eastAsia="仿宋_GB2312" w:cs="新宋体"/>
          <w:sz w:val="30"/>
          <w:szCs w:val="28"/>
        </w:rPr>
        <w:t>：</w:t>
      </w:r>
      <w:r>
        <w:rPr>
          <w:rFonts w:hint="eastAsia" w:eastAsia="仿宋_GB2312" w:cs="新宋体"/>
          <w:b/>
          <w:sz w:val="30"/>
          <w:szCs w:val="28"/>
        </w:rPr>
        <w:t>【】</w:t>
      </w:r>
    </w:p>
    <w:p w14:paraId="78A42FBC">
      <w:pPr>
        <w:pStyle w:val="17"/>
        <w:spacing w:line="560" w:lineRule="exact"/>
        <w:ind w:right="4146"/>
        <w:rPr>
          <w:rFonts w:eastAsia="仿宋_GB2312" w:cs="新宋体"/>
          <w:sz w:val="30"/>
          <w:szCs w:val="28"/>
        </w:rPr>
      </w:pPr>
      <w:r>
        <w:rPr>
          <w:rFonts w:hint="eastAsia" w:eastAsia="仿宋_GB2312" w:cs="新宋体"/>
          <w:sz w:val="30"/>
          <w:szCs w:val="28"/>
        </w:rPr>
        <w:t>代表其管理的【】</w:t>
      </w:r>
    </w:p>
    <w:p w14:paraId="31A4F153">
      <w:pPr>
        <w:pStyle w:val="17"/>
        <w:spacing w:line="560" w:lineRule="exact"/>
        <w:ind w:right="4146"/>
        <w:rPr>
          <w:rFonts w:eastAsia="仿宋_GB2312" w:cs="新宋体"/>
          <w:sz w:val="30"/>
          <w:szCs w:val="28"/>
        </w:rPr>
      </w:pPr>
      <w:r>
        <w:rPr>
          <w:rFonts w:hint="eastAsia" w:eastAsia="仿宋_GB2312" w:cs="新宋体"/>
          <w:sz w:val="30"/>
          <w:szCs w:val="28"/>
        </w:rPr>
        <w:t>（公章或合同专用章）</w:t>
      </w:r>
    </w:p>
    <w:p w14:paraId="47364CA1">
      <w:pPr>
        <w:pStyle w:val="17"/>
        <w:spacing w:line="560" w:lineRule="exact"/>
        <w:ind w:right="4146"/>
        <w:rPr>
          <w:rFonts w:eastAsia="仿宋_GB2312" w:cs="新宋体"/>
          <w:b/>
          <w:bCs/>
          <w:sz w:val="30"/>
          <w:szCs w:val="28"/>
        </w:rPr>
      </w:pPr>
      <w:r>
        <w:rPr>
          <w:rFonts w:hint="eastAsia" w:eastAsia="仿宋_GB2312" w:cs="新宋体"/>
          <w:b/>
          <w:bCs/>
          <w:sz w:val="30"/>
          <w:szCs w:val="28"/>
        </w:rPr>
        <w:t>授权代表（签字或盖章）：</w:t>
      </w:r>
      <w:r>
        <w:rPr>
          <w:rFonts w:eastAsia="仿宋_GB2312" w:cs="新宋体"/>
          <w:b/>
          <w:bCs/>
          <w:sz w:val="30"/>
          <w:szCs w:val="28"/>
        </w:rPr>
        <w:t xml:space="preserve"> </w:t>
      </w:r>
    </w:p>
    <w:p w14:paraId="2DEF533E">
      <w:pPr>
        <w:pStyle w:val="17"/>
        <w:spacing w:line="560" w:lineRule="exact"/>
        <w:ind w:right="4146"/>
        <w:rPr>
          <w:rFonts w:eastAsia="仿宋_GB2312" w:cs="新宋体"/>
          <w:b/>
          <w:bCs/>
          <w:sz w:val="30"/>
          <w:szCs w:val="28"/>
        </w:rPr>
      </w:pPr>
      <w:r>
        <w:rPr>
          <w:rFonts w:hint="eastAsia" w:eastAsia="仿宋_GB2312" w:cs="新宋体"/>
          <w:b/>
          <w:bCs/>
          <w:sz w:val="30"/>
          <w:szCs w:val="28"/>
        </w:rPr>
        <w:t>签署日期：</w:t>
      </w:r>
    </w:p>
    <w:p w14:paraId="01C32C28">
      <w:pPr>
        <w:pStyle w:val="17"/>
        <w:spacing w:before="36" w:line="560" w:lineRule="exact"/>
        <w:ind w:right="68"/>
        <w:jc w:val="left"/>
        <w:rPr>
          <w:rFonts w:eastAsia="仿宋_GB2312" w:cs="新宋体"/>
          <w:sz w:val="30"/>
          <w:szCs w:val="28"/>
        </w:rPr>
      </w:pPr>
      <w:r>
        <w:rPr>
          <w:rFonts w:hint="eastAsia" w:eastAsia="仿宋_GB2312" w:cs="新宋体"/>
          <w:b/>
          <w:bCs/>
          <w:sz w:val="30"/>
          <w:szCs w:val="28"/>
        </w:rPr>
        <w:t>签署地点：</w:t>
      </w:r>
      <w:r>
        <w:rPr>
          <w:rFonts w:eastAsia="仿宋_GB2312" w:cs="新宋体"/>
          <w:sz w:val="30"/>
          <w:szCs w:val="28"/>
        </w:rPr>
        <w:t xml:space="preserve"> </w:t>
      </w:r>
    </w:p>
    <w:p w14:paraId="2B2AE51F">
      <w:pPr>
        <w:widowControl/>
        <w:jc w:val="left"/>
        <w:rPr>
          <w:rFonts w:ascii="仿宋_GB2312" w:hAnsi="仿宋" w:eastAsia="仿宋_GB2312"/>
          <w:sz w:val="24"/>
          <w:szCs w:val="30"/>
        </w:rPr>
      </w:pPr>
    </w:p>
    <w:p w14:paraId="211B2EFE">
      <w:r>
        <w:br w:type="page"/>
      </w:r>
    </w:p>
    <w:p w14:paraId="4E0D7911">
      <w:pPr>
        <w:widowControl/>
        <w:jc w:val="left"/>
        <w:outlineLvl w:val="1"/>
        <w:rPr>
          <w:rFonts w:ascii="仿宋_GB2312" w:hAnsi="黑体" w:eastAsia="仿宋_GB2312"/>
          <w:b/>
          <w:sz w:val="30"/>
          <w:szCs w:val="30"/>
        </w:rPr>
      </w:pPr>
      <w:bookmarkStart w:id="3924" w:name="_Toc151137107"/>
      <w:bookmarkStart w:id="3925" w:name="_Toc989941521"/>
      <w:bookmarkStart w:id="3926" w:name="_Toc548191021"/>
      <w:bookmarkStart w:id="3927" w:name="_Toc967642090"/>
      <w:bookmarkStart w:id="3928" w:name="_Toc1354849022"/>
      <w:r>
        <w:rPr>
          <w:rFonts w:hint="eastAsia" w:ascii="仿宋_GB2312" w:hAnsi="黑体" w:eastAsia="仿宋_GB2312"/>
          <w:b/>
          <w:sz w:val="30"/>
          <w:szCs w:val="30"/>
        </w:rPr>
        <w:t>附件24 组合型信用保护合约要素表</w:t>
      </w:r>
      <w:bookmarkEnd w:id="3924"/>
      <w:bookmarkEnd w:id="3925"/>
      <w:bookmarkEnd w:id="3926"/>
      <w:bookmarkEnd w:id="3927"/>
      <w:bookmarkEnd w:id="3928"/>
    </w:p>
    <w:p w14:paraId="61D5E99C">
      <w:pPr>
        <w:pStyle w:val="100"/>
        <w:spacing w:line="560" w:lineRule="exact"/>
        <w:ind w:firstLine="643"/>
        <w:jc w:val="center"/>
        <w:rPr>
          <w:rFonts w:ascii="黑体" w:hAnsi="黑体" w:eastAsia="黑体"/>
          <w:b/>
          <w:color w:val="auto"/>
          <w:sz w:val="44"/>
          <w:szCs w:val="44"/>
        </w:rPr>
      </w:pPr>
    </w:p>
    <w:p w14:paraId="148434FC">
      <w:pPr>
        <w:pStyle w:val="100"/>
        <w:spacing w:line="560" w:lineRule="exact"/>
        <w:ind w:firstLine="883" w:firstLineChars="200"/>
        <w:jc w:val="center"/>
        <w:rPr>
          <w:rFonts w:cs="Arial"/>
          <w:sz w:val="30"/>
          <w:szCs w:val="30"/>
        </w:rPr>
      </w:pPr>
      <w:r>
        <w:rPr>
          <w:rFonts w:hint="eastAsia" w:ascii="黑体" w:hAnsi="黑体" w:eastAsia="黑体"/>
          <w:b/>
          <w:color w:val="auto"/>
          <w:sz w:val="44"/>
          <w:szCs w:val="44"/>
        </w:rPr>
        <w:t>组合型信用保护合约要素表</w:t>
      </w:r>
    </w:p>
    <w:tbl>
      <w:tblPr>
        <w:tblStyle w:val="44"/>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6426"/>
      </w:tblGrid>
      <w:tr w14:paraId="05F04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1" w:type="dxa"/>
            <w:gridSpan w:val="2"/>
          </w:tcPr>
          <w:p w14:paraId="3785C38A">
            <w:pPr>
              <w:ind w:firstLine="360"/>
              <w:jc w:val="center"/>
              <w:rPr>
                <w:rFonts w:ascii="仿宋_GB2312" w:hAnsi="黑体" w:eastAsia="仿宋_GB2312"/>
                <w:b/>
                <w:sz w:val="30"/>
                <w:szCs w:val="30"/>
                <w:lang w:eastAsia="en-US" w:bidi="en-US"/>
              </w:rPr>
            </w:pPr>
            <w:r>
              <w:rPr>
                <w:rFonts w:hint="eastAsia" w:ascii="仿宋_GB2312" w:hAnsi="黑体" w:eastAsia="仿宋_GB2312"/>
                <w:b/>
                <w:sz w:val="30"/>
                <w:szCs w:val="30"/>
                <w:lang w:eastAsia="en-US" w:bidi="en-US"/>
              </w:rPr>
              <w:t>组合型信用保护合约要素</w:t>
            </w:r>
          </w:p>
        </w:tc>
      </w:tr>
      <w:tr w14:paraId="37585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Pr>
          <w:p w14:paraId="65C941B9">
            <w:pPr>
              <w:ind w:firstLine="0"/>
              <w:jc w:val="left"/>
              <w:rPr>
                <w:rFonts w:ascii="仿宋_GB2312" w:eastAsia="仿宋_GB2312"/>
                <w:sz w:val="30"/>
                <w:szCs w:val="30"/>
                <w:lang w:eastAsia="en-US" w:bidi="en-US"/>
              </w:rPr>
            </w:pPr>
            <w:r>
              <w:rPr>
                <w:rFonts w:hint="eastAsia" w:ascii="仿宋_GB2312" w:eastAsia="仿宋_GB2312"/>
                <w:sz w:val="30"/>
                <w:szCs w:val="30"/>
                <w:lang w:eastAsia="en-US" w:bidi="en-US"/>
              </w:rPr>
              <w:t>参考实体</w:t>
            </w:r>
          </w:p>
        </w:tc>
        <w:tc>
          <w:tcPr>
            <w:tcW w:w="6426" w:type="dxa"/>
          </w:tcPr>
          <w:p w14:paraId="020DFA1B">
            <w:pPr>
              <w:ind w:firstLine="0"/>
              <w:rPr>
                <w:rFonts w:ascii="仿宋_GB2312" w:eastAsia="仿宋_GB2312"/>
                <w:sz w:val="30"/>
                <w:szCs w:val="30"/>
                <w:lang w:eastAsia="en-US" w:bidi="en-US"/>
              </w:rPr>
            </w:pPr>
            <w:r>
              <w:rPr>
                <w:rFonts w:eastAsia="仿宋_GB2312" w:cs="新宋体"/>
                <w:bCs/>
                <w:sz w:val="30"/>
                <w:szCs w:val="28"/>
                <w:lang w:eastAsia="en-US" w:bidi="en-US"/>
              </w:rPr>
              <w:t>CSI-SSE</w:t>
            </w:r>
            <w:r>
              <w:rPr>
                <w:rFonts w:hint="eastAsia" w:eastAsia="仿宋_GB2312" w:cs="新宋体"/>
                <w:bCs/>
                <w:sz w:val="30"/>
                <w:szCs w:val="28"/>
                <w:lang w:eastAsia="en-US" w:bidi="en-US"/>
              </w:rPr>
              <w:t>交易所大型发行人</w:t>
            </w:r>
            <w:r>
              <w:rPr>
                <w:rFonts w:eastAsia="仿宋_GB2312" w:cs="新宋体"/>
                <w:bCs/>
                <w:sz w:val="30"/>
                <w:szCs w:val="28"/>
                <w:lang w:eastAsia="en-US" w:bidi="en-US"/>
              </w:rPr>
              <w:t>CDX</w:t>
            </w:r>
            <w:r>
              <w:rPr>
                <w:rFonts w:hint="eastAsia" w:eastAsia="仿宋_GB2312" w:cs="新宋体"/>
                <w:bCs/>
                <w:sz w:val="30"/>
                <w:szCs w:val="28"/>
                <w:lang w:eastAsia="en-US" w:bidi="en-US"/>
              </w:rPr>
              <w:t>组合</w:t>
            </w:r>
            <w:r>
              <w:rPr>
                <w:rFonts w:eastAsia="仿宋_GB2312" w:cs="新宋体"/>
                <w:bCs/>
                <w:sz w:val="30"/>
                <w:szCs w:val="28"/>
                <w:lang w:eastAsia="en-US" w:bidi="en-US"/>
              </w:rPr>
              <w:t>SnVn/CSI-SSE</w:t>
            </w:r>
            <w:r>
              <w:rPr>
                <w:rFonts w:hint="eastAsia" w:eastAsia="仿宋_GB2312" w:cs="新宋体"/>
                <w:bCs/>
                <w:sz w:val="30"/>
                <w:szCs w:val="28"/>
                <w:lang w:eastAsia="en-US" w:bidi="en-US"/>
              </w:rPr>
              <w:t>交易所民企</w:t>
            </w:r>
            <w:r>
              <w:rPr>
                <w:rFonts w:eastAsia="仿宋_GB2312" w:cs="新宋体"/>
                <w:bCs/>
                <w:sz w:val="30"/>
                <w:szCs w:val="28"/>
                <w:lang w:eastAsia="en-US" w:bidi="en-US"/>
              </w:rPr>
              <w:t>CDX</w:t>
            </w:r>
            <w:r>
              <w:rPr>
                <w:rFonts w:hint="eastAsia" w:eastAsia="仿宋_GB2312" w:cs="新宋体"/>
                <w:bCs/>
                <w:sz w:val="30"/>
                <w:szCs w:val="28"/>
                <w:lang w:eastAsia="en-US" w:bidi="en-US"/>
              </w:rPr>
              <w:t>组合</w:t>
            </w:r>
            <w:r>
              <w:rPr>
                <w:rFonts w:eastAsia="仿宋_GB2312" w:cs="新宋体"/>
                <w:bCs/>
                <w:sz w:val="30"/>
                <w:szCs w:val="28"/>
                <w:lang w:eastAsia="en-US" w:bidi="en-US"/>
              </w:rPr>
              <w:t>SnVn</w:t>
            </w:r>
          </w:p>
        </w:tc>
      </w:tr>
      <w:tr w14:paraId="60136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Pr>
          <w:p w14:paraId="1C74C55C">
            <w:pPr>
              <w:ind w:firstLine="0"/>
              <w:jc w:val="left"/>
              <w:rPr>
                <w:rFonts w:ascii="仿宋_GB2312" w:eastAsia="仿宋_GB2312"/>
                <w:sz w:val="30"/>
                <w:szCs w:val="30"/>
                <w:lang w:eastAsia="en-US" w:bidi="en-US"/>
              </w:rPr>
            </w:pPr>
            <w:r>
              <w:rPr>
                <w:rFonts w:hint="eastAsia" w:ascii="仿宋_GB2312" w:eastAsia="仿宋_GB2312"/>
                <w:sz w:val="30"/>
                <w:szCs w:val="30"/>
                <w:lang w:eastAsia="en-US" w:bidi="en-US"/>
              </w:rPr>
              <w:t>组合管理人</w:t>
            </w:r>
          </w:p>
        </w:tc>
        <w:tc>
          <w:tcPr>
            <w:tcW w:w="6426" w:type="dxa"/>
          </w:tcPr>
          <w:p w14:paraId="36636F28">
            <w:pPr>
              <w:ind w:firstLine="0"/>
              <w:rPr>
                <w:rFonts w:ascii="仿宋_GB2312" w:eastAsia="仿宋_GB2312"/>
                <w:sz w:val="30"/>
                <w:szCs w:val="30"/>
                <w:lang w:eastAsia="en-US" w:bidi="en-US"/>
              </w:rPr>
            </w:pPr>
            <w:r>
              <w:rPr>
                <w:rFonts w:hint="eastAsia" w:ascii="仿宋_GB2312" w:eastAsia="仿宋_GB2312"/>
                <w:sz w:val="30"/>
                <w:szCs w:val="30"/>
                <w:lang w:eastAsia="en-US" w:bidi="en-US"/>
              </w:rPr>
              <w:t>中证指数</w:t>
            </w:r>
            <w:r>
              <w:rPr>
                <w:rFonts w:ascii="仿宋_GB2312" w:eastAsia="仿宋_GB2312"/>
                <w:sz w:val="30"/>
                <w:szCs w:val="30"/>
                <w:lang w:eastAsia="en-US" w:bidi="en-US"/>
              </w:rPr>
              <w:t>有限公司</w:t>
            </w:r>
          </w:p>
        </w:tc>
      </w:tr>
      <w:tr w14:paraId="222C2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85" w:type="dxa"/>
          </w:tcPr>
          <w:p w14:paraId="59391A46">
            <w:pPr>
              <w:ind w:firstLine="0"/>
              <w:jc w:val="left"/>
              <w:rPr>
                <w:rFonts w:ascii="仿宋_GB2312" w:eastAsia="仿宋_GB2312"/>
                <w:sz w:val="30"/>
                <w:szCs w:val="30"/>
                <w:lang w:eastAsia="en-US" w:bidi="en-US"/>
              </w:rPr>
            </w:pPr>
            <w:r>
              <w:rPr>
                <w:rFonts w:hint="eastAsia" w:ascii="仿宋_GB2312" w:eastAsia="仿宋_GB2312"/>
                <w:sz w:val="30"/>
                <w:szCs w:val="30"/>
                <w:lang w:eastAsia="en-US" w:bidi="en-US"/>
              </w:rPr>
              <w:t>组合滚动日</w:t>
            </w:r>
          </w:p>
        </w:tc>
        <w:tc>
          <w:tcPr>
            <w:tcW w:w="6426" w:type="dxa"/>
          </w:tcPr>
          <w:p w14:paraId="7F6BBD7A">
            <w:pPr>
              <w:ind w:firstLine="0"/>
              <w:rPr>
                <w:rFonts w:ascii="仿宋_GB2312" w:eastAsia="仿宋_GB2312"/>
                <w:sz w:val="30"/>
                <w:szCs w:val="30"/>
                <w:lang w:eastAsia="en-US" w:bidi="en-US"/>
              </w:rPr>
            </w:pPr>
            <w:r>
              <w:rPr>
                <w:rFonts w:hint="eastAsia" w:ascii="仿宋_GB2312" w:eastAsia="仿宋_GB2312"/>
                <w:sz w:val="30"/>
                <w:szCs w:val="30"/>
                <w:lang w:eastAsia="en-US" w:bidi="en-US"/>
              </w:rPr>
              <w:t>3月20日和9月20日，根据交易日准则调整</w:t>
            </w:r>
          </w:p>
        </w:tc>
      </w:tr>
      <w:tr w14:paraId="5334A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Pr>
          <w:p w14:paraId="5E0A5F3C">
            <w:pPr>
              <w:ind w:firstLine="0"/>
              <w:jc w:val="left"/>
              <w:rPr>
                <w:rFonts w:ascii="仿宋_GB2312" w:eastAsia="仿宋_GB2312"/>
                <w:sz w:val="30"/>
                <w:szCs w:val="30"/>
                <w:lang w:eastAsia="en-US" w:bidi="en-US"/>
              </w:rPr>
            </w:pPr>
            <w:r>
              <w:rPr>
                <w:rFonts w:hint="eastAsia" w:ascii="仿宋_GB2312" w:eastAsia="仿宋_GB2312"/>
                <w:sz w:val="30"/>
                <w:szCs w:val="30"/>
                <w:lang w:eastAsia="en-US" w:bidi="en-US"/>
              </w:rPr>
              <w:t>受保护债务范围</w:t>
            </w:r>
          </w:p>
        </w:tc>
        <w:tc>
          <w:tcPr>
            <w:tcW w:w="6426" w:type="dxa"/>
          </w:tcPr>
          <w:p w14:paraId="3668B90D">
            <w:pPr>
              <w:ind w:firstLine="0"/>
              <w:rPr>
                <w:rFonts w:ascii="仿宋_GB2312" w:eastAsia="仿宋_GB2312"/>
                <w:sz w:val="30"/>
                <w:szCs w:val="30"/>
                <w:lang w:eastAsia="en-US" w:bidi="en-US"/>
              </w:rPr>
            </w:pPr>
            <w:r>
              <w:rPr>
                <w:rFonts w:hint="eastAsia" w:eastAsia="仿宋_GB2312"/>
                <w:sz w:val="30"/>
                <w:szCs w:val="30"/>
                <w:lang w:eastAsia="en-US" w:bidi="en-US"/>
              </w:rPr>
              <w:t>参考实体在中国境内发行并在沪深交易所上市交易或者挂牌转让的以人民币计价的公司债券和可转换公司债券</w:t>
            </w:r>
          </w:p>
        </w:tc>
      </w:tr>
      <w:tr w14:paraId="24864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Pr>
          <w:p w14:paraId="2531DB14">
            <w:pPr>
              <w:ind w:firstLine="0"/>
              <w:jc w:val="left"/>
              <w:rPr>
                <w:rFonts w:ascii="仿宋_GB2312" w:eastAsia="仿宋_GB2312"/>
                <w:sz w:val="30"/>
                <w:szCs w:val="30"/>
                <w:lang w:eastAsia="en-US" w:bidi="en-US"/>
              </w:rPr>
            </w:pPr>
            <w:r>
              <w:rPr>
                <w:rFonts w:hint="eastAsia" w:ascii="仿宋_GB2312" w:eastAsia="仿宋_GB2312"/>
                <w:sz w:val="30"/>
                <w:szCs w:val="30"/>
                <w:lang w:eastAsia="en-US" w:bidi="en-US"/>
              </w:rPr>
              <w:t>期限</w:t>
            </w:r>
          </w:p>
        </w:tc>
        <w:tc>
          <w:tcPr>
            <w:tcW w:w="6426" w:type="dxa"/>
          </w:tcPr>
          <w:p w14:paraId="3D140CB5">
            <w:pPr>
              <w:ind w:firstLine="0"/>
              <w:rPr>
                <w:rFonts w:ascii="仿宋_GB2312" w:eastAsia="仿宋_GB2312"/>
                <w:sz w:val="30"/>
                <w:szCs w:val="30"/>
                <w:lang w:eastAsia="en-US" w:bidi="en-US"/>
              </w:rPr>
            </w:pPr>
            <w:r>
              <w:rPr>
                <w:rFonts w:hint="eastAsia" w:ascii="仿宋_GB2312" w:eastAsia="仿宋_GB2312"/>
                <w:sz w:val="30"/>
                <w:szCs w:val="30"/>
                <w:lang w:eastAsia="en-US" w:bidi="en-US"/>
              </w:rPr>
              <w:t>非标准</w:t>
            </w:r>
            <w:r>
              <w:rPr>
                <w:rFonts w:ascii="仿宋_GB2312" w:eastAsia="仿宋_GB2312"/>
                <w:sz w:val="30"/>
                <w:szCs w:val="30"/>
                <w:lang w:eastAsia="en-US" w:bidi="en-US"/>
              </w:rPr>
              <w:t>合约：可选</w:t>
            </w:r>
            <w:r>
              <w:rPr>
                <w:rFonts w:hint="eastAsia" w:ascii="仿宋_GB2312" w:eastAsia="仿宋_GB2312"/>
                <w:sz w:val="30"/>
                <w:szCs w:val="30"/>
                <w:lang w:eastAsia="en-US" w:bidi="en-US"/>
              </w:rPr>
              <w:t>；</w:t>
            </w:r>
          </w:p>
          <w:p w14:paraId="40515652">
            <w:pPr>
              <w:ind w:firstLine="0"/>
              <w:rPr>
                <w:rFonts w:ascii="仿宋_GB2312" w:eastAsia="仿宋_GB2312"/>
                <w:sz w:val="30"/>
                <w:szCs w:val="30"/>
                <w:lang w:eastAsia="en-US" w:bidi="en-US"/>
              </w:rPr>
            </w:pPr>
            <w:r>
              <w:rPr>
                <w:rFonts w:hint="eastAsia" w:ascii="仿宋_GB2312" w:eastAsia="仿宋_GB2312"/>
                <w:sz w:val="30"/>
                <w:szCs w:val="30"/>
                <w:lang w:eastAsia="en-US" w:bidi="en-US"/>
              </w:rPr>
              <w:t>标准合约：</w:t>
            </w:r>
            <w:r>
              <w:rPr>
                <w:rFonts w:ascii="仿宋_GB2312" w:eastAsia="仿宋_GB2312"/>
                <w:sz w:val="30"/>
                <w:szCs w:val="30"/>
                <w:lang w:eastAsia="en-US" w:bidi="en-US"/>
              </w:rPr>
              <w:t>3M</w:t>
            </w:r>
            <w:r>
              <w:rPr>
                <w:rFonts w:hint="eastAsia" w:ascii="仿宋_GB2312" w:eastAsia="仿宋_GB2312"/>
                <w:sz w:val="30"/>
                <w:szCs w:val="30"/>
                <w:lang w:eastAsia="en-US" w:bidi="en-US"/>
              </w:rPr>
              <w:t>/</w:t>
            </w:r>
            <w:r>
              <w:rPr>
                <w:rFonts w:ascii="仿宋_GB2312" w:eastAsia="仿宋_GB2312"/>
                <w:sz w:val="30"/>
                <w:szCs w:val="30"/>
                <w:lang w:eastAsia="en-US" w:bidi="en-US"/>
              </w:rPr>
              <w:t>6M</w:t>
            </w:r>
            <w:r>
              <w:rPr>
                <w:rFonts w:hint="eastAsia" w:ascii="仿宋_GB2312" w:eastAsia="仿宋_GB2312"/>
                <w:sz w:val="30"/>
                <w:szCs w:val="30"/>
                <w:lang w:eastAsia="en-US" w:bidi="en-US"/>
              </w:rPr>
              <w:t>/</w:t>
            </w:r>
            <w:r>
              <w:rPr>
                <w:rFonts w:ascii="仿宋_GB2312" w:eastAsia="仿宋_GB2312"/>
                <w:sz w:val="30"/>
                <w:szCs w:val="30"/>
                <w:lang w:eastAsia="en-US" w:bidi="en-US"/>
              </w:rPr>
              <w:t>1Y</w:t>
            </w:r>
            <w:r>
              <w:rPr>
                <w:rFonts w:hint="eastAsia" w:ascii="仿宋_GB2312" w:eastAsia="仿宋_GB2312"/>
                <w:sz w:val="30"/>
                <w:szCs w:val="30"/>
                <w:lang w:eastAsia="en-US" w:bidi="en-US"/>
              </w:rPr>
              <w:t>/</w:t>
            </w:r>
            <w:r>
              <w:rPr>
                <w:rFonts w:ascii="仿宋_GB2312" w:eastAsia="仿宋_GB2312"/>
                <w:sz w:val="30"/>
                <w:szCs w:val="30"/>
                <w:lang w:eastAsia="en-US" w:bidi="en-US"/>
              </w:rPr>
              <w:t>2Y</w:t>
            </w:r>
            <w:r>
              <w:rPr>
                <w:rFonts w:hint="eastAsia" w:ascii="仿宋_GB2312" w:eastAsia="仿宋_GB2312"/>
                <w:sz w:val="30"/>
                <w:szCs w:val="30"/>
                <w:lang w:eastAsia="en-US" w:bidi="en-US"/>
              </w:rPr>
              <w:t>/</w:t>
            </w:r>
            <w:r>
              <w:rPr>
                <w:rFonts w:ascii="仿宋_GB2312" w:eastAsia="仿宋_GB2312"/>
                <w:sz w:val="30"/>
                <w:szCs w:val="30"/>
                <w:lang w:eastAsia="en-US" w:bidi="en-US"/>
              </w:rPr>
              <w:t>3Y</w:t>
            </w:r>
            <w:r>
              <w:rPr>
                <w:rFonts w:hint="eastAsia" w:ascii="仿宋_GB2312" w:eastAsia="仿宋_GB2312"/>
                <w:sz w:val="30"/>
                <w:szCs w:val="30"/>
                <w:lang w:eastAsia="en-US" w:bidi="en-US"/>
              </w:rPr>
              <w:t>/</w:t>
            </w:r>
            <w:r>
              <w:rPr>
                <w:rFonts w:ascii="仿宋_GB2312" w:eastAsia="仿宋_GB2312"/>
                <w:sz w:val="30"/>
                <w:szCs w:val="30"/>
                <w:lang w:eastAsia="en-US" w:bidi="en-US"/>
              </w:rPr>
              <w:t>4Y</w:t>
            </w:r>
            <w:r>
              <w:rPr>
                <w:rFonts w:hint="eastAsia" w:ascii="仿宋_GB2312" w:eastAsia="仿宋_GB2312"/>
                <w:sz w:val="30"/>
                <w:szCs w:val="30"/>
                <w:lang w:eastAsia="en-US" w:bidi="en-US"/>
              </w:rPr>
              <w:t>/</w:t>
            </w:r>
            <w:r>
              <w:rPr>
                <w:rFonts w:ascii="仿宋_GB2312" w:eastAsia="仿宋_GB2312"/>
                <w:sz w:val="30"/>
                <w:szCs w:val="30"/>
                <w:lang w:eastAsia="en-US" w:bidi="en-US"/>
              </w:rPr>
              <w:t>5Y</w:t>
            </w:r>
          </w:p>
        </w:tc>
      </w:tr>
      <w:tr w14:paraId="6ED56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Pr>
          <w:p w14:paraId="24D054AF">
            <w:pPr>
              <w:ind w:firstLine="0"/>
              <w:jc w:val="left"/>
              <w:rPr>
                <w:rFonts w:ascii="仿宋_GB2312" w:eastAsia="仿宋_GB2312"/>
                <w:sz w:val="30"/>
                <w:szCs w:val="30"/>
                <w:lang w:eastAsia="en-US" w:bidi="en-US"/>
              </w:rPr>
            </w:pPr>
            <w:r>
              <w:rPr>
                <w:rFonts w:hint="eastAsia" w:ascii="仿宋_GB2312" w:eastAsia="仿宋_GB2312"/>
                <w:sz w:val="30"/>
                <w:szCs w:val="30"/>
                <w:lang w:eastAsia="en-US" w:bidi="en-US"/>
              </w:rPr>
              <w:t>约定到期日</w:t>
            </w:r>
          </w:p>
        </w:tc>
        <w:tc>
          <w:tcPr>
            <w:tcW w:w="6426" w:type="dxa"/>
          </w:tcPr>
          <w:p w14:paraId="43D835EA">
            <w:pPr>
              <w:ind w:firstLine="0"/>
              <w:rPr>
                <w:rFonts w:ascii="仿宋_GB2312" w:eastAsia="仿宋_GB2312"/>
                <w:sz w:val="30"/>
                <w:szCs w:val="30"/>
                <w:lang w:eastAsia="en-US" w:bidi="en-US"/>
              </w:rPr>
            </w:pPr>
            <w:r>
              <w:rPr>
                <w:rFonts w:hint="eastAsia" w:ascii="仿宋_GB2312" w:eastAsia="仿宋_GB2312"/>
                <w:sz w:val="30"/>
                <w:szCs w:val="30"/>
                <w:lang w:eastAsia="en-US" w:bidi="en-US"/>
              </w:rPr>
              <w:t>非标准</w:t>
            </w:r>
            <w:r>
              <w:rPr>
                <w:rFonts w:ascii="仿宋_GB2312" w:eastAsia="仿宋_GB2312"/>
                <w:sz w:val="30"/>
                <w:szCs w:val="30"/>
                <w:lang w:eastAsia="en-US" w:bidi="en-US"/>
              </w:rPr>
              <w:t>合约：可选</w:t>
            </w:r>
            <w:r>
              <w:rPr>
                <w:rFonts w:hint="eastAsia" w:ascii="仿宋_GB2312" w:eastAsia="仿宋_GB2312"/>
                <w:sz w:val="30"/>
                <w:szCs w:val="30"/>
                <w:lang w:eastAsia="en-US" w:bidi="en-US"/>
              </w:rPr>
              <w:t>；</w:t>
            </w:r>
          </w:p>
          <w:p w14:paraId="0168D3C8">
            <w:pPr>
              <w:ind w:firstLine="0"/>
              <w:rPr>
                <w:rFonts w:ascii="仿宋_GB2312" w:eastAsia="仿宋_GB2312"/>
                <w:sz w:val="30"/>
                <w:szCs w:val="30"/>
                <w:lang w:eastAsia="en-US" w:bidi="en-US"/>
              </w:rPr>
            </w:pPr>
            <w:r>
              <w:rPr>
                <w:rFonts w:hint="eastAsia" w:ascii="仿宋_GB2312" w:eastAsia="仿宋_GB2312"/>
                <w:sz w:val="30"/>
                <w:szCs w:val="30"/>
                <w:lang w:eastAsia="en-US" w:bidi="en-US"/>
              </w:rPr>
              <w:t>标准合约：约定年份的</w:t>
            </w:r>
            <w:r>
              <w:rPr>
                <w:rFonts w:ascii="仿宋_GB2312" w:eastAsia="仿宋_GB2312"/>
                <w:sz w:val="30"/>
                <w:szCs w:val="30"/>
                <w:lang w:eastAsia="en-US" w:bidi="en-US"/>
              </w:rPr>
              <w:t>6月20日或12月20日</w:t>
            </w:r>
          </w:p>
        </w:tc>
      </w:tr>
      <w:tr w14:paraId="6D593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85" w:type="dxa"/>
          </w:tcPr>
          <w:p w14:paraId="15980B44">
            <w:pPr>
              <w:ind w:firstLine="0"/>
              <w:jc w:val="left"/>
              <w:rPr>
                <w:rFonts w:ascii="仿宋_GB2312" w:eastAsia="仿宋_GB2312"/>
                <w:sz w:val="30"/>
                <w:szCs w:val="30"/>
                <w:lang w:eastAsia="en-US" w:bidi="en-US"/>
              </w:rPr>
            </w:pPr>
            <w:r>
              <w:rPr>
                <w:rFonts w:hint="eastAsia" w:ascii="仿宋_GB2312" w:eastAsia="仿宋_GB2312"/>
                <w:sz w:val="30"/>
                <w:szCs w:val="30"/>
                <w:lang w:eastAsia="en-US" w:bidi="en-US"/>
              </w:rPr>
              <w:t>保护费支付方式</w:t>
            </w:r>
          </w:p>
        </w:tc>
        <w:tc>
          <w:tcPr>
            <w:tcW w:w="6426" w:type="dxa"/>
          </w:tcPr>
          <w:p w14:paraId="4611EAB2">
            <w:pPr>
              <w:ind w:firstLine="0"/>
              <w:rPr>
                <w:rFonts w:ascii="仿宋_GB2312" w:eastAsia="仿宋_GB2312"/>
                <w:sz w:val="30"/>
                <w:szCs w:val="30"/>
                <w:lang w:eastAsia="en-US" w:bidi="en-US"/>
              </w:rPr>
            </w:pPr>
            <w:r>
              <w:rPr>
                <w:rFonts w:hint="eastAsia" w:ascii="仿宋_GB2312" w:eastAsia="仿宋_GB2312"/>
                <w:sz w:val="30"/>
                <w:szCs w:val="30"/>
                <w:lang w:eastAsia="en-US" w:bidi="en-US"/>
              </w:rPr>
              <w:t>非标准</w:t>
            </w:r>
            <w:r>
              <w:rPr>
                <w:rFonts w:ascii="仿宋_GB2312" w:eastAsia="仿宋_GB2312"/>
                <w:sz w:val="30"/>
                <w:szCs w:val="30"/>
                <w:lang w:eastAsia="en-US" w:bidi="en-US"/>
              </w:rPr>
              <w:t>合约：</w:t>
            </w:r>
            <w:r>
              <w:rPr>
                <w:rFonts w:hint="eastAsia" w:ascii="仿宋_GB2312" w:eastAsia="仿宋_GB2312"/>
                <w:sz w:val="30"/>
                <w:szCs w:val="30"/>
                <w:lang w:eastAsia="en-US" w:bidi="en-US"/>
              </w:rPr>
              <w:t>可选择</w:t>
            </w:r>
            <w:r>
              <w:rPr>
                <w:rFonts w:ascii="仿宋_GB2312" w:eastAsia="仿宋_GB2312"/>
                <w:sz w:val="30"/>
                <w:szCs w:val="30"/>
                <w:lang w:eastAsia="en-US" w:bidi="en-US"/>
              </w:rPr>
              <w:t>以下</w:t>
            </w:r>
            <w:r>
              <w:rPr>
                <w:rFonts w:hint="eastAsia" w:ascii="仿宋_GB2312" w:eastAsia="仿宋_GB2312"/>
                <w:sz w:val="30"/>
                <w:szCs w:val="30"/>
                <w:lang w:eastAsia="en-US" w:bidi="en-US"/>
              </w:rPr>
              <w:t>3种</w:t>
            </w:r>
            <w:r>
              <w:rPr>
                <w:rFonts w:ascii="仿宋_GB2312" w:eastAsia="仿宋_GB2312"/>
                <w:sz w:val="30"/>
                <w:szCs w:val="30"/>
                <w:lang w:eastAsia="en-US" w:bidi="en-US"/>
              </w:rPr>
              <w:t>方式之一：</w:t>
            </w:r>
          </w:p>
          <w:p w14:paraId="136E8803">
            <w:pPr>
              <w:ind w:firstLine="0"/>
              <w:rPr>
                <w:rFonts w:ascii="仿宋_GB2312" w:eastAsia="仿宋_GB2312"/>
                <w:sz w:val="30"/>
                <w:szCs w:val="30"/>
                <w:lang w:eastAsia="en-US" w:bidi="en-US"/>
              </w:rPr>
            </w:pPr>
            <w:r>
              <w:rPr>
                <w:rFonts w:hint="eastAsia" w:ascii="仿宋_GB2312" w:eastAsia="仿宋_GB2312"/>
                <w:sz w:val="30"/>
                <w:szCs w:val="30"/>
                <w:lang w:eastAsia="en-US" w:bidi="en-US"/>
              </w:rPr>
              <w:t>（1）按季度支付约定保护费（2）按季度标准保护费和部分前端费用相结合（3）</w:t>
            </w:r>
            <w:r>
              <w:rPr>
                <w:rFonts w:ascii="仿宋_GB2312" w:eastAsia="仿宋_GB2312"/>
                <w:sz w:val="30"/>
                <w:szCs w:val="30"/>
                <w:lang w:eastAsia="en-US" w:bidi="en-US"/>
              </w:rPr>
              <w:t>前端一次性支付</w:t>
            </w:r>
            <w:r>
              <w:rPr>
                <w:rFonts w:hint="eastAsia" w:ascii="仿宋_GB2312" w:eastAsia="仿宋_GB2312"/>
                <w:sz w:val="30"/>
                <w:szCs w:val="30"/>
                <w:lang w:eastAsia="en-US" w:bidi="en-US"/>
              </w:rPr>
              <w:t>；</w:t>
            </w:r>
          </w:p>
          <w:p w14:paraId="148AFA5F">
            <w:pPr>
              <w:ind w:firstLine="0"/>
              <w:rPr>
                <w:rFonts w:ascii="仿宋_GB2312" w:eastAsia="仿宋_GB2312"/>
                <w:sz w:val="30"/>
                <w:szCs w:val="30"/>
                <w:lang w:eastAsia="en-US" w:bidi="en-US"/>
              </w:rPr>
            </w:pPr>
            <w:r>
              <w:rPr>
                <w:rFonts w:hint="eastAsia" w:ascii="仿宋_GB2312" w:eastAsia="仿宋_GB2312"/>
                <w:sz w:val="30"/>
                <w:szCs w:val="30"/>
                <w:lang w:eastAsia="en-US" w:bidi="en-US"/>
              </w:rPr>
              <w:t>标准合约：按季度标准保护费和部分前端费用相结合</w:t>
            </w:r>
          </w:p>
        </w:tc>
      </w:tr>
      <w:tr w14:paraId="1C608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Pr>
          <w:p w14:paraId="7BAD3E3B">
            <w:pPr>
              <w:ind w:firstLine="0"/>
              <w:jc w:val="left"/>
              <w:rPr>
                <w:rFonts w:ascii="仿宋_GB2312" w:eastAsia="仿宋_GB2312"/>
                <w:sz w:val="30"/>
                <w:szCs w:val="30"/>
                <w:lang w:eastAsia="en-US" w:bidi="en-US"/>
              </w:rPr>
            </w:pPr>
            <w:r>
              <w:rPr>
                <w:rFonts w:hint="eastAsia" w:ascii="仿宋_GB2312" w:eastAsia="仿宋_GB2312"/>
                <w:sz w:val="30"/>
                <w:szCs w:val="30"/>
                <w:lang w:eastAsia="en-US" w:bidi="en-US"/>
              </w:rPr>
              <w:t>清算安排</w:t>
            </w:r>
          </w:p>
        </w:tc>
        <w:tc>
          <w:tcPr>
            <w:tcW w:w="6426" w:type="dxa"/>
          </w:tcPr>
          <w:p w14:paraId="1A48ECE0">
            <w:pPr>
              <w:ind w:firstLine="0"/>
              <w:rPr>
                <w:rFonts w:ascii="仿宋_GB2312" w:eastAsia="仿宋_GB2312"/>
                <w:sz w:val="30"/>
                <w:szCs w:val="30"/>
                <w:lang w:eastAsia="en-US" w:bidi="en-US"/>
              </w:rPr>
            </w:pPr>
            <w:r>
              <w:rPr>
                <w:rFonts w:hint="eastAsia" w:ascii="仿宋_GB2312" w:eastAsia="仿宋_GB2312"/>
                <w:sz w:val="30"/>
                <w:szCs w:val="30"/>
                <w:lang w:eastAsia="en-US" w:bidi="en-US"/>
              </w:rPr>
              <w:t>双边清算</w:t>
            </w:r>
          </w:p>
        </w:tc>
      </w:tr>
      <w:tr w14:paraId="2442C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14:paraId="22DE5D3E">
            <w:pPr>
              <w:ind w:firstLine="0"/>
              <w:jc w:val="left"/>
              <w:rPr>
                <w:rFonts w:ascii="仿宋_GB2312" w:eastAsia="仿宋_GB2312"/>
                <w:sz w:val="30"/>
                <w:szCs w:val="30"/>
                <w:lang w:eastAsia="en-US" w:bidi="en-US"/>
              </w:rPr>
            </w:pPr>
            <w:r>
              <w:rPr>
                <w:rFonts w:hint="eastAsia" w:ascii="仿宋_GB2312" w:eastAsia="仿宋_GB2312"/>
                <w:sz w:val="30"/>
                <w:szCs w:val="30"/>
                <w:lang w:eastAsia="en-US" w:bidi="en-US"/>
              </w:rPr>
              <w:t>信用事件类型</w:t>
            </w:r>
          </w:p>
        </w:tc>
        <w:tc>
          <w:tcPr>
            <w:tcW w:w="6426" w:type="dxa"/>
          </w:tcPr>
          <w:p w14:paraId="1B81BAEB">
            <w:pPr>
              <w:ind w:firstLine="0"/>
              <w:rPr>
                <w:rFonts w:ascii="仿宋_GB2312" w:eastAsia="仿宋_GB2312"/>
                <w:sz w:val="30"/>
                <w:szCs w:val="30"/>
                <w:lang w:eastAsia="en-US" w:bidi="en-US"/>
              </w:rPr>
            </w:pPr>
            <w:r>
              <w:rPr>
                <w:rFonts w:hint="eastAsia" w:ascii="仿宋_GB2312" w:eastAsia="仿宋_GB2312"/>
                <w:sz w:val="30"/>
                <w:szCs w:val="30"/>
                <w:lang w:eastAsia="en-US" w:bidi="en-US"/>
              </w:rPr>
              <w:t>破产和支付违约</w:t>
            </w:r>
          </w:p>
        </w:tc>
      </w:tr>
      <w:tr w14:paraId="45611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Pr>
          <w:p w14:paraId="1EE7A25C">
            <w:pPr>
              <w:ind w:firstLine="0"/>
              <w:jc w:val="left"/>
              <w:rPr>
                <w:rFonts w:ascii="仿宋_GB2312" w:eastAsia="仿宋_GB2312"/>
                <w:sz w:val="30"/>
                <w:szCs w:val="30"/>
                <w:lang w:eastAsia="en-US" w:bidi="en-US"/>
              </w:rPr>
            </w:pPr>
            <w:r>
              <w:rPr>
                <w:rFonts w:hint="eastAsia" w:ascii="仿宋_GB2312" w:eastAsia="仿宋_GB2312"/>
                <w:sz w:val="30"/>
                <w:szCs w:val="30"/>
                <w:lang w:eastAsia="en-US" w:bidi="en-US"/>
              </w:rPr>
              <w:t>结算方式</w:t>
            </w:r>
          </w:p>
        </w:tc>
        <w:tc>
          <w:tcPr>
            <w:tcW w:w="6426" w:type="dxa"/>
          </w:tcPr>
          <w:p w14:paraId="50B4A736">
            <w:pPr>
              <w:ind w:firstLine="0"/>
              <w:rPr>
                <w:rFonts w:ascii="仿宋_GB2312" w:eastAsia="仿宋_GB2312"/>
                <w:sz w:val="30"/>
                <w:szCs w:val="30"/>
                <w:lang w:eastAsia="en-US" w:bidi="en-US"/>
              </w:rPr>
            </w:pPr>
            <w:r>
              <w:rPr>
                <w:rFonts w:hint="eastAsia" w:ascii="仿宋_GB2312" w:eastAsia="仿宋_GB2312"/>
                <w:sz w:val="30"/>
                <w:szCs w:val="30"/>
                <w:lang w:eastAsia="en-US" w:bidi="en-US"/>
              </w:rPr>
              <w:t>现金结算/实物结算，其中</w:t>
            </w:r>
            <w:r>
              <w:rPr>
                <w:rFonts w:hint="eastAsia" w:eastAsia="仿宋_GB2312" w:cs="宋体"/>
                <w:sz w:val="30"/>
                <w:szCs w:val="30"/>
                <w:lang w:eastAsia="en-US" w:bidi="en-US"/>
              </w:rPr>
              <w:t>实物结算的可交付债务仅限于参考实体在上交所上市或挂牌的债券</w:t>
            </w:r>
          </w:p>
        </w:tc>
      </w:tr>
      <w:tr w14:paraId="440C8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85" w:type="dxa"/>
            <w:vAlign w:val="center"/>
          </w:tcPr>
          <w:p w14:paraId="42CBECCC">
            <w:pPr>
              <w:ind w:firstLine="0"/>
              <w:jc w:val="left"/>
              <w:rPr>
                <w:rFonts w:ascii="仿宋_GB2312" w:eastAsia="仿宋_GB2312"/>
                <w:sz w:val="30"/>
                <w:szCs w:val="30"/>
                <w:lang w:eastAsia="en-US" w:bidi="en-US"/>
              </w:rPr>
            </w:pPr>
            <w:r>
              <w:rPr>
                <w:rFonts w:hint="eastAsia" w:ascii="仿宋_GB2312" w:eastAsia="仿宋_GB2312"/>
                <w:sz w:val="30"/>
                <w:szCs w:val="30"/>
                <w:lang w:eastAsia="en-US" w:bidi="en-US"/>
              </w:rPr>
              <w:t>约定回收率</w:t>
            </w:r>
          </w:p>
        </w:tc>
        <w:tc>
          <w:tcPr>
            <w:tcW w:w="6426" w:type="dxa"/>
          </w:tcPr>
          <w:p w14:paraId="4A90195A">
            <w:pPr>
              <w:ind w:firstLine="0"/>
              <w:rPr>
                <w:rFonts w:ascii="仿宋_GB2312" w:eastAsia="仿宋_GB2312"/>
                <w:sz w:val="30"/>
                <w:szCs w:val="30"/>
                <w:lang w:eastAsia="en-US" w:bidi="en-US"/>
              </w:rPr>
            </w:pPr>
            <w:r>
              <w:rPr>
                <w:rFonts w:hint="eastAsia" w:ascii="仿宋_GB2312" w:eastAsia="仿宋_GB2312"/>
                <w:sz w:val="30"/>
                <w:szCs w:val="30"/>
                <w:lang w:eastAsia="en-US" w:bidi="en-US"/>
              </w:rPr>
              <w:t>参考回收率为25%</w:t>
            </w:r>
          </w:p>
        </w:tc>
      </w:tr>
    </w:tbl>
    <w:p w14:paraId="1FA9D693">
      <w:pPr>
        <w:spacing w:line="560" w:lineRule="exact"/>
        <w:rPr>
          <w:rFonts w:eastAsia="仿宋_GB2312"/>
          <w:sz w:val="30"/>
        </w:rPr>
      </w:pPr>
    </w:p>
    <w:p w14:paraId="2FC3C151">
      <w:pPr>
        <w:widowControl/>
        <w:jc w:val="left"/>
        <w:rPr>
          <w:rFonts w:eastAsia="仿宋_GB2312"/>
        </w:rPr>
      </w:pPr>
      <w:r>
        <w:rPr>
          <w:rFonts w:hint="eastAsia" w:eastAsia="仿宋_GB2312"/>
        </w:rPr>
        <w:t>*交易所</w:t>
      </w:r>
      <w:r>
        <w:rPr>
          <w:rFonts w:eastAsia="仿宋_GB2312"/>
        </w:rPr>
        <w:t>大型发行人CDX和交易所民企CDX</w:t>
      </w:r>
      <w:r>
        <w:rPr>
          <w:rFonts w:hint="eastAsia" w:eastAsia="仿宋_GB2312"/>
        </w:rPr>
        <w:t>的</w:t>
      </w:r>
      <w:r>
        <w:rPr>
          <w:rFonts w:eastAsia="仿宋_GB2312"/>
        </w:rPr>
        <w:t>组合编制方案、组合名单</w:t>
      </w:r>
      <w:r>
        <w:rPr>
          <w:rFonts w:hint="eastAsia" w:eastAsia="仿宋_GB2312"/>
        </w:rPr>
        <w:t>以及信用</w:t>
      </w:r>
      <w:r>
        <w:rPr>
          <w:rFonts w:eastAsia="仿宋_GB2312"/>
        </w:rPr>
        <w:t>曲线等信息均可</w:t>
      </w:r>
      <w:r>
        <w:rPr>
          <w:rFonts w:hint="eastAsia" w:eastAsia="仿宋_GB2312"/>
        </w:rPr>
        <w:t>于中证</w:t>
      </w:r>
      <w:r>
        <w:rPr>
          <w:rFonts w:eastAsia="仿宋_GB2312"/>
        </w:rPr>
        <w:t>指数有限公司网站查看。</w:t>
      </w:r>
    </w:p>
    <w:p w14:paraId="4C1B83AB">
      <w:r>
        <w:br w:type="page"/>
      </w:r>
    </w:p>
    <w:p w14:paraId="62B93C5F">
      <w:pPr>
        <w:widowControl/>
        <w:jc w:val="left"/>
        <w:outlineLvl w:val="1"/>
        <w:rPr>
          <w:rFonts w:ascii="仿宋_GB2312" w:hAnsi="黑体" w:eastAsia="仿宋_GB2312"/>
          <w:b/>
          <w:sz w:val="30"/>
          <w:szCs w:val="30"/>
        </w:rPr>
      </w:pPr>
      <w:bookmarkStart w:id="3929" w:name="_Toc151137108"/>
      <w:bookmarkStart w:id="3930" w:name="_Toc1968337984"/>
      <w:bookmarkStart w:id="3931" w:name="_Toc1747628594"/>
      <w:bookmarkStart w:id="3932" w:name="_Toc2038193489"/>
      <w:bookmarkStart w:id="3933" w:name="_Toc97447555"/>
      <w:r>
        <w:rPr>
          <w:rFonts w:hint="eastAsia" w:ascii="仿宋_GB2312" w:hAnsi="黑体" w:eastAsia="仿宋_GB2312"/>
          <w:b/>
          <w:sz w:val="30"/>
          <w:szCs w:val="30"/>
        </w:rPr>
        <w:t>附件25 信用保护凭证创设说明书参考格式</w:t>
      </w:r>
      <w:bookmarkEnd w:id="3929"/>
      <w:bookmarkEnd w:id="3930"/>
      <w:bookmarkEnd w:id="3931"/>
      <w:bookmarkEnd w:id="3932"/>
      <w:bookmarkEnd w:id="3933"/>
    </w:p>
    <w:p w14:paraId="2C400A94">
      <w:pPr>
        <w:spacing w:line="600" w:lineRule="exact"/>
        <w:jc w:val="left"/>
        <w:rPr>
          <w:rFonts w:ascii="仿宋_GB2312" w:hAnsi="仿宋" w:eastAsia="仿宋_GB2312"/>
          <w:b/>
          <w:bCs/>
          <w:sz w:val="30"/>
          <w:szCs w:val="30"/>
        </w:rPr>
      </w:pPr>
    </w:p>
    <w:p w14:paraId="74C615D4">
      <w:pPr>
        <w:pStyle w:val="100"/>
        <w:spacing w:line="560" w:lineRule="exact"/>
        <w:ind w:firstLine="641"/>
        <w:jc w:val="center"/>
        <w:rPr>
          <w:rFonts w:ascii="黑体" w:hAnsi="黑体" w:eastAsia="黑体"/>
          <w:b/>
          <w:color w:val="auto"/>
          <w:sz w:val="44"/>
          <w:szCs w:val="44"/>
        </w:rPr>
      </w:pPr>
      <w:r>
        <w:rPr>
          <w:rFonts w:ascii="黑体" w:hAnsi="黑体" w:eastAsia="黑体"/>
          <w:b/>
          <w:color w:val="auto"/>
          <w:sz w:val="44"/>
          <w:szCs w:val="44"/>
        </w:rPr>
        <w:t>XXXX</w:t>
      </w:r>
      <w:r>
        <w:rPr>
          <w:rStyle w:val="53"/>
          <w:rFonts w:ascii="黑体" w:hAnsi="黑体" w:eastAsia="黑体"/>
          <w:b/>
          <w:color w:val="auto"/>
          <w:sz w:val="44"/>
          <w:szCs w:val="44"/>
        </w:rPr>
        <w:footnoteReference w:id="3"/>
      </w:r>
      <w:r>
        <w:rPr>
          <w:rFonts w:hint="eastAsia" w:ascii="黑体" w:hAnsi="黑体" w:eastAsia="黑体"/>
          <w:b/>
          <w:color w:val="auto"/>
          <w:sz w:val="44"/>
          <w:szCs w:val="44"/>
        </w:rPr>
        <w:t>信用保护凭证创设说明书</w:t>
      </w:r>
    </w:p>
    <w:p w14:paraId="017E4E1B">
      <w:pPr>
        <w:pStyle w:val="17"/>
        <w:jc w:val="center"/>
        <w:rPr>
          <w:b/>
          <w:sz w:val="30"/>
          <w:szCs w:val="30"/>
        </w:rPr>
      </w:pPr>
      <w:r>
        <w:rPr>
          <w:rFonts w:hint="eastAsia" w:eastAsia="仿宋_GB2312"/>
          <w:b/>
          <w:sz w:val="30"/>
          <w:szCs w:val="30"/>
        </w:rPr>
        <w:t>创设说明书封面和目录</w:t>
      </w:r>
    </w:p>
    <w:p w14:paraId="5EEC8DA7">
      <w:pPr>
        <w:spacing w:line="560" w:lineRule="exact"/>
        <w:ind w:firstLine="600" w:firstLineChars="200"/>
        <w:rPr>
          <w:rFonts w:eastAsia="仿宋_GB2312"/>
          <w:sz w:val="30"/>
          <w:szCs w:val="30"/>
        </w:rPr>
      </w:pPr>
      <w:r>
        <w:rPr>
          <w:rFonts w:hint="eastAsia" w:eastAsia="仿宋_GB2312"/>
          <w:sz w:val="30"/>
          <w:szCs w:val="30"/>
        </w:rPr>
        <w:t>创设说明书封面应当标有“</w:t>
      </w:r>
      <w:r>
        <w:rPr>
          <w:rFonts w:eastAsia="仿宋_GB2312"/>
          <w:sz w:val="30"/>
          <w:szCs w:val="30"/>
        </w:rPr>
        <w:t>XX</w:t>
      </w:r>
      <w:r>
        <w:rPr>
          <w:rFonts w:hint="eastAsia" w:eastAsia="仿宋_GB2312"/>
          <w:sz w:val="30"/>
          <w:szCs w:val="30"/>
        </w:rPr>
        <w:t>信用保护凭证创设说明书</w:t>
      </w:r>
      <w:r>
        <w:rPr>
          <w:rFonts w:eastAsia="仿宋_GB2312"/>
          <w:sz w:val="30"/>
          <w:szCs w:val="30"/>
        </w:rPr>
        <w:t>”</w:t>
      </w:r>
      <w:r>
        <w:rPr>
          <w:rFonts w:hint="eastAsia" w:eastAsia="仿宋_GB2312"/>
          <w:sz w:val="30"/>
          <w:szCs w:val="30"/>
        </w:rPr>
        <w:t>的字样。封面下端应当标明创设机构的全称、时间以及创设机构签章。</w:t>
      </w:r>
    </w:p>
    <w:p w14:paraId="3653A4FA">
      <w:pPr>
        <w:spacing w:line="560" w:lineRule="exact"/>
        <w:ind w:firstLine="600" w:firstLineChars="200"/>
        <w:rPr>
          <w:rFonts w:eastAsia="仿宋_GB2312"/>
          <w:b/>
          <w:sz w:val="30"/>
          <w:szCs w:val="30"/>
        </w:rPr>
      </w:pPr>
      <w:r>
        <w:rPr>
          <w:rFonts w:hint="eastAsia" w:eastAsia="仿宋_GB2312"/>
          <w:sz w:val="30"/>
          <w:szCs w:val="30"/>
        </w:rPr>
        <w:t>创设机构应当在创设说明书的扉页提示投资者：</w:t>
      </w:r>
      <w:r>
        <w:rPr>
          <w:rFonts w:hint="eastAsia" w:eastAsia="仿宋_GB2312"/>
          <w:b/>
          <w:sz w:val="30"/>
          <w:szCs w:val="30"/>
        </w:rPr>
        <w:t>“上海证券交易所同意信用保护凭证的挂牌转让，并不代表对其投资风险、价值或收益作出任何判断或保证。投资者应当认真阅读有关信息披露文件，进行独立的投资判断，自行承担投资风险。”</w:t>
      </w:r>
    </w:p>
    <w:p w14:paraId="06B816DC">
      <w:pPr>
        <w:spacing w:line="560" w:lineRule="exact"/>
        <w:ind w:firstLine="600" w:firstLineChars="200"/>
        <w:rPr>
          <w:rFonts w:eastAsia="仿宋_GB2312"/>
          <w:sz w:val="30"/>
          <w:szCs w:val="30"/>
        </w:rPr>
      </w:pPr>
      <w:r>
        <w:rPr>
          <w:rFonts w:hint="eastAsia" w:eastAsia="仿宋_GB2312"/>
          <w:sz w:val="30"/>
          <w:szCs w:val="30"/>
        </w:rPr>
        <w:t>创设说明书释义应在目录次页排印，对创设说明书中的有关机构简称、代称、专有名词、专业名词进行准确、简要定义。</w:t>
      </w:r>
    </w:p>
    <w:p w14:paraId="01B619AB">
      <w:pPr>
        <w:spacing w:line="560" w:lineRule="exact"/>
        <w:ind w:firstLine="482"/>
        <w:rPr>
          <w:rFonts w:eastAsia="仿宋_GB2312"/>
          <w:sz w:val="30"/>
          <w:szCs w:val="30"/>
        </w:rPr>
      </w:pPr>
    </w:p>
    <w:p w14:paraId="2BFF87C9">
      <w:pPr>
        <w:widowControl/>
        <w:spacing w:line="560" w:lineRule="exact"/>
        <w:jc w:val="left"/>
        <w:rPr>
          <w:rFonts w:eastAsia="仿宋_GB2312" w:cstheme="majorBidi"/>
          <w:b/>
          <w:bCs/>
          <w:sz w:val="30"/>
          <w:szCs w:val="30"/>
        </w:rPr>
      </w:pPr>
      <w:r>
        <w:rPr>
          <w:rFonts w:eastAsia="仿宋_GB2312"/>
          <w:sz w:val="30"/>
          <w:szCs w:val="30"/>
        </w:rPr>
        <w:br w:type="page"/>
      </w:r>
    </w:p>
    <w:p w14:paraId="2F972C7E">
      <w:pPr>
        <w:pStyle w:val="17"/>
        <w:jc w:val="center"/>
        <w:rPr>
          <w:rFonts w:ascii="仿宋_GB2312" w:eastAsia="仿宋_GB2312"/>
          <w:sz w:val="30"/>
          <w:szCs w:val="30"/>
        </w:rPr>
      </w:pPr>
      <w:r>
        <w:rPr>
          <w:rFonts w:hint="eastAsia" w:ascii="仿宋_GB2312" w:eastAsia="仿宋_GB2312"/>
          <w:b/>
          <w:sz w:val="30"/>
          <w:szCs w:val="30"/>
        </w:rPr>
        <w:t>创设说明书正文</w:t>
      </w:r>
    </w:p>
    <w:p w14:paraId="63E1A8D5">
      <w:pPr>
        <w:pStyle w:val="100"/>
        <w:spacing w:line="560" w:lineRule="exact"/>
        <w:rPr>
          <w:rFonts w:cs="Calibri"/>
          <w:b/>
          <w:color w:val="auto"/>
          <w:sz w:val="30"/>
          <w:szCs w:val="30"/>
        </w:rPr>
      </w:pPr>
      <w:r>
        <w:rPr>
          <w:rFonts w:hint="eastAsia"/>
          <w:b/>
          <w:color w:val="auto"/>
          <w:sz w:val="30"/>
          <w:szCs w:val="30"/>
        </w:rPr>
        <w:t>第一节</w:t>
      </w:r>
      <w:r>
        <w:rPr>
          <w:b/>
          <w:color w:val="auto"/>
          <w:sz w:val="30"/>
          <w:szCs w:val="30"/>
        </w:rPr>
        <w:t xml:space="preserve"> </w:t>
      </w:r>
      <w:r>
        <w:rPr>
          <w:rFonts w:hint="eastAsia"/>
          <w:b/>
          <w:color w:val="auto"/>
          <w:sz w:val="30"/>
          <w:szCs w:val="30"/>
        </w:rPr>
        <w:t>本期凭证创设情况</w:t>
      </w:r>
      <w:r>
        <w:rPr>
          <w:rFonts w:cs="Calibri"/>
          <w:b/>
          <w:bCs/>
          <w:color w:val="auto"/>
          <w:sz w:val="30"/>
          <w:szCs w:val="30"/>
        </w:rPr>
        <w:t xml:space="preserve"> </w:t>
      </w:r>
    </w:p>
    <w:p w14:paraId="2CCAB0EA">
      <w:pPr>
        <w:pStyle w:val="100"/>
        <w:spacing w:line="560" w:lineRule="exact"/>
        <w:rPr>
          <w:rFonts w:cs="Calibri"/>
          <w:b/>
          <w:bCs/>
          <w:color w:val="auto"/>
          <w:sz w:val="30"/>
          <w:szCs w:val="30"/>
        </w:rPr>
      </w:pPr>
      <w:r>
        <w:rPr>
          <w:color w:val="auto"/>
          <w:sz w:val="30"/>
          <w:szCs w:val="30"/>
        </w:rPr>
        <w:t xml:space="preserve">1.1 </w:t>
      </w:r>
      <w:r>
        <w:rPr>
          <w:rFonts w:hint="eastAsia"/>
          <w:color w:val="auto"/>
          <w:sz w:val="30"/>
          <w:szCs w:val="30"/>
        </w:rPr>
        <w:t>创设机构基本情况</w:t>
      </w:r>
      <w:r>
        <w:rPr>
          <w:color w:val="auto"/>
          <w:sz w:val="30"/>
          <w:szCs w:val="30"/>
        </w:rPr>
        <w:t xml:space="preserve"> </w:t>
      </w:r>
    </w:p>
    <w:p w14:paraId="377EC7D8">
      <w:pPr>
        <w:pStyle w:val="100"/>
        <w:spacing w:line="560" w:lineRule="exact"/>
        <w:ind w:firstLine="600" w:firstLineChars="200"/>
        <w:rPr>
          <w:rFonts w:cs="Calibri"/>
          <w:b/>
          <w:bCs/>
          <w:color w:val="auto"/>
          <w:sz w:val="30"/>
          <w:szCs w:val="30"/>
        </w:rPr>
      </w:pPr>
      <w:r>
        <w:rPr>
          <w:rFonts w:hint="eastAsia"/>
          <w:color w:val="auto"/>
          <w:sz w:val="30"/>
          <w:szCs w:val="30"/>
        </w:rPr>
        <w:t>包括凭证创设机构的中英文名称等。</w:t>
      </w:r>
    </w:p>
    <w:p w14:paraId="0EDC6512">
      <w:pPr>
        <w:pStyle w:val="100"/>
        <w:spacing w:line="560" w:lineRule="exact"/>
        <w:rPr>
          <w:rFonts w:cs="Calibri"/>
          <w:bCs/>
          <w:color w:val="auto"/>
          <w:sz w:val="30"/>
          <w:szCs w:val="30"/>
        </w:rPr>
      </w:pPr>
      <w:r>
        <w:rPr>
          <w:rFonts w:cs="Calibri"/>
          <w:bCs/>
          <w:color w:val="auto"/>
          <w:sz w:val="30"/>
          <w:szCs w:val="30"/>
        </w:rPr>
        <w:t xml:space="preserve">1.2 </w:t>
      </w:r>
      <w:r>
        <w:rPr>
          <w:rFonts w:hint="eastAsia" w:cs="Calibri"/>
          <w:bCs/>
          <w:color w:val="auto"/>
          <w:sz w:val="30"/>
          <w:szCs w:val="30"/>
        </w:rPr>
        <w:t>本期凭证创设基本情况</w:t>
      </w:r>
    </w:p>
    <w:p w14:paraId="20FB1954">
      <w:pPr>
        <w:pStyle w:val="100"/>
        <w:spacing w:line="560" w:lineRule="exact"/>
        <w:ind w:firstLine="600" w:firstLineChars="200"/>
        <w:jc w:val="both"/>
        <w:rPr>
          <w:rFonts w:cs="Calibri"/>
          <w:bCs/>
          <w:color w:val="auto"/>
          <w:sz w:val="30"/>
          <w:szCs w:val="30"/>
        </w:rPr>
      </w:pPr>
      <w:r>
        <w:rPr>
          <w:rFonts w:hint="eastAsia"/>
          <w:color w:val="auto"/>
          <w:sz w:val="30"/>
          <w:szCs w:val="30"/>
        </w:rPr>
        <w:t>包括凭证名称，备案的交易场所、名义本金，信用保护期限等。</w:t>
      </w:r>
    </w:p>
    <w:p w14:paraId="19536975">
      <w:pPr>
        <w:pStyle w:val="100"/>
        <w:spacing w:line="560" w:lineRule="exact"/>
        <w:rPr>
          <w:rFonts w:cs="Calibri"/>
          <w:b/>
          <w:color w:val="auto"/>
          <w:sz w:val="30"/>
          <w:szCs w:val="30"/>
        </w:rPr>
      </w:pPr>
      <w:r>
        <w:rPr>
          <w:rFonts w:hint="eastAsia"/>
          <w:b/>
          <w:color w:val="auto"/>
          <w:sz w:val="30"/>
          <w:szCs w:val="30"/>
        </w:rPr>
        <w:t>第二节</w:t>
      </w:r>
      <w:r>
        <w:rPr>
          <w:b/>
          <w:color w:val="auto"/>
          <w:sz w:val="30"/>
          <w:szCs w:val="30"/>
        </w:rPr>
        <w:t xml:space="preserve"> </w:t>
      </w:r>
      <w:r>
        <w:rPr>
          <w:rFonts w:hint="eastAsia"/>
          <w:b/>
          <w:color w:val="auto"/>
          <w:sz w:val="30"/>
          <w:szCs w:val="30"/>
        </w:rPr>
        <w:t>凭证的创设条款与流通交易</w:t>
      </w:r>
      <w:r>
        <w:rPr>
          <w:b/>
          <w:color w:val="auto"/>
          <w:sz w:val="30"/>
          <w:szCs w:val="30"/>
        </w:rPr>
        <w:t xml:space="preserve"> </w:t>
      </w:r>
    </w:p>
    <w:p w14:paraId="3DFAFAC7">
      <w:pPr>
        <w:pStyle w:val="100"/>
        <w:spacing w:line="560" w:lineRule="exact"/>
        <w:rPr>
          <w:color w:val="auto"/>
          <w:sz w:val="30"/>
          <w:szCs w:val="30"/>
        </w:rPr>
      </w:pPr>
      <w:r>
        <w:rPr>
          <w:color w:val="auto"/>
          <w:sz w:val="30"/>
          <w:szCs w:val="30"/>
        </w:rPr>
        <w:t xml:space="preserve">2.1 </w:t>
      </w:r>
      <w:r>
        <w:rPr>
          <w:rFonts w:hint="eastAsia"/>
          <w:color w:val="auto"/>
          <w:sz w:val="30"/>
          <w:szCs w:val="30"/>
        </w:rPr>
        <w:t>凭证的创设条款</w:t>
      </w:r>
      <w:r>
        <w:rPr>
          <w:color w:val="auto"/>
          <w:sz w:val="30"/>
          <w:szCs w:val="30"/>
        </w:rPr>
        <w:t xml:space="preserve"> </w:t>
      </w:r>
    </w:p>
    <w:p w14:paraId="5584510A">
      <w:pPr>
        <w:pStyle w:val="100"/>
        <w:spacing w:line="560" w:lineRule="exact"/>
        <w:ind w:firstLine="600" w:firstLineChars="200"/>
        <w:jc w:val="both"/>
        <w:rPr>
          <w:sz w:val="30"/>
          <w:szCs w:val="30"/>
        </w:rPr>
      </w:pPr>
      <w:r>
        <w:rPr>
          <w:rFonts w:hint="eastAsia"/>
          <w:color w:val="auto"/>
          <w:sz w:val="30"/>
          <w:szCs w:val="30"/>
        </w:rPr>
        <w:t>包括凭证全称、创设机构、名义本金总额、参考实体、受保护债务、可交付债务、信用保护期限、起始日、到期日、投资者范围、簿记建档日、缴款日、凭证登记日、上市流通日、凭证创设价格、簿记建档费率区间（年化）、计费年度天数、付费方式、信用事件、结算方式、凭证托管机构等。</w:t>
      </w:r>
    </w:p>
    <w:p w14:paraId="1B01F750">
      <w:pPr>
        <w:pStyle w:val="100"/>
        <w:spacing w:line="560" w:lineRule="exact"/>
        <w:rPr>
          <w:color w:val="auto"/>
          <w:sz w:val="30"/>
          <w:szCs w:val="30"/>
        </w:rPr>
      </w:pPr>
      <w:r>
        <w:rPr>
          <w:color w:val="auto"/>
          <w:sz w:val="30"/>
          <w:szCs w:val="30"/>
        </w:rPr>
        <w:t xml:space="preserve">2.2 </w:t>
      </w:r>
      <w:r>
        <w:rPr>
          <w:rFonts w:hint="eastAsia"/>
          <w:color w:val="auto"/>
          <w:sz w:val="30"/>
          <w:szCs w:val="30"/>
        </w:rPr>
        <w:t>凭证的簿记建档安排</w:t>
      </w:r>
      <w:r>
        <w:rPr>
          <w:color w:val="auto"/>
          <w:sz w:val="30"/>
          <w:szCs w:val="30"/>
        </w:rPr>
        <w:t xml:space="preserve"> </w:t>
      </w:r>
    </w:p>
    <w:p w14:paraId="0F999B5C">
      <w:pPr>
        <w:autoSpaceDE w:val="0"/>
        <w:autoSpaceDN w:val="0"/>
        <w:adjustRightInd w:val="0"/>
        <w:spacing w:line="560" w:lineRule="exact"/>
        <w:ind w:firstLine="600" w:firstLineChars="200"/>
        <w:rPr>
          <w:rFonts w:ascii="仿宋_GB2312" w:eastAsia="仿宋_GB2312" w:cs="楷体"/>
          <w:bCs/>
          <w:kern w:val="0"/>
          <w:sz w:val="30"/>
          <w:szCs w:val="30"/>
        </w:rPr>
      </w:pPr>
      <w:r>
        <w:rPr>
          <w:rFonts w:hint="eastAsia" w:ascii="仿宋_GB2312" w:eastAsia="仿宋_GB2312" w:cs="楷体"/>
          <w:bCs/>
          <w:kern w:val="0"/>
          <w:sz w:val="30"/>
          <w:szCs w:val="30"/>
        </w:rPr>
        <w:t>包括凭证簿记建档管理人及联系人、簿记场所；凭证预配售时间、发送预配售通知的安排；凭证的正式配售安排、正式配售的通知；凭证的定价、配售原则与方式、不予配售的情况等。</w:t>
      </w:r>
    </w:p>
    <w:p w14:paraId="3A82040E">
      <w:pPr>
        <w:pStyle w:val="100"/>
        <w:spacing w:line="560" w:lineRule="exact"/>
        <w:rPr>
          <w:color w:val="auto"/>
          <w:sz w:val="30"/>
          <w:szCs w:val="30"/>
        </w:rPr>
      </w:pPr>
      <w:r>
        <w:rPr>
          <w:color w:val="auto"/>
          <w:sz w:val="30"/>
          <w:szCs w:val="30"/>
        </w:rPr>
        <w:t xml:space="preserve">2.3 </w:t>
      </w:r>
      <w:r>
        <w:rPr>
          <w:rFonts w:hint="eastAsia"/>
          <w:color w:val="auto"/>
          <w:sz w:val="30"/>
          <w:szCs w:val="30"/>
        </w:rPr>
        <w:t>凭证登记托管安排</w:t>
      </w:r>
      <w:r>
        <w:rPr>
          <w:color w:val="auto"/>
          <w:sz w:val="30"/>
          <w:szCs w:val="30"/>
        </w:rPr>
        <w:t xml:space="preserve"> </w:t>
      </w:r>
    </w:p>
    <w:p w14:paraId="1F957687">
      <w:pPr>
        <w:autoSpaceDE w:val="0"/>
        <w:autoSpaceDN w:val="0"/>
        <w:adjustRightInd w:val="0"/>
        <w:spacing w:line="560" w:lineRule="exact"/>
        <w:ind w:firstLine="600" w:firstLineChars="200"/>
        <w:rPr>
          <w:rFonts w:cs="楷体"/>
          <w:bCs/>
          <w:sz w:val="30"/>
          <w:szCs w:val="30"/>
        </w:rPr>
      </w:pPr>
      <w:r>
        <w:rPr>
          <w:rFonts w:hint="eastAsia" w:ascii="仿宋_GB2312" w:eastAsia="仿宋_GB2312" w:cs="楷体"/>
          <w:bCs/>
          <w:kern w:val="0"/>
          <w:sz w:val="30"/>
          <w:szCs w:val="30"/>
        </w:rPr>
        <w:t>包括登记托管机构名称和托管机构的服务内容。</w:t>
      </w:r>
    </w:p>
    <w:p w14:paraId="4D39B63F">
      <w:pPr>
        <w:pStyle w:val="100"/>
        <w:spacing w:line="560" w:lineRule="exact"/>
        <w:rPr>
          <w:color w:val="auto"/>
          <w:sz w:val="30"/>
          <w:szCs w:val="30"/>
        </w:rPr>
      </w:pPr>
      <w:r>
        <w:rPr>
          <w:color w:val="auto"/>
          <w:sz w:val="30"/>
          <w:szCs w:val="30"/>
        </w:rPr>
        <w:t xml:space="preserve">2.4 </w:t>
      </w:r>
      <w:r>
        <w:rPr>
          <w:rFonts w:hint="eastAsia"/>
          <w:color w:val="auto"/>
          <w:sz w:val="30"/>
          <w:szCs w:val="30"/>
        </w:rPr>
        <w:t>信用保护费支付安排</w:t>
      </w:r>
      <w:r>
        <w:rPr>
          <w:color w:val="auto"/>
          <w:sz w:val="30"/>
          <w:szCs w:val="30"/>
        </w:rPr>
        <w:t xml:space="preserve"> </w:t>
      </w:r>
    </w:p>
    <w:p w14:paraId="6EFCE49D">
      <w:pPr>
        <w:autoSpaceDE w:val="0"/>
        <w:autoSpaceDN w:val="0"/>
        <w:adjustRightInd w:val="0"/>
        <w:spacing w:line="560" w:lineRule="exact"/>
        <w:ind w:firstLine="600" w:firstLineChars="200"/>
        <w:rPr>
          <w:rFonts w:ascii="仿宋_GB2312" w:eastAsia="仿宋_GB2312" w:cs="楷体"/>
          <w:bCs/>
          <w:sz w:val="30"/>
          <w:szCs w:val="30"/>
        </w:rPr>
      </w:pPr>
      <w:r>
        <w:rPr>
          <w:rFonts w:hint="eastAsia" w:ascii="仿宋_GB2312" w:eastAsia="仿宋_GB2312" w:cs="楷体"/>
          <w:bCs/>
          <w:kern w:val="0"/>
          <w:sz w:val="30"/>
          <w:szCs w:val="30"/>
        </w:rPr>
        <w:t>包括保护费支付的账户名称、开户行、账号等信息。</w:t>
      </w:r>
    </w:p>
    <w:p w14:paraId="08D2FE7C">
      <w:pPr>
        <w:pStyle w:val="100"/>
        <w:spacing w:line="560" w:lineRule="exact"/>
        <w:rPr>
          <w:color w:val="auto"/>
          <w:sz w:val="30"/>
          <w:szCs w:val="30"/>
        </w:rPr>
      </w:pPr>
      <w:r>
        <w:rPr>
          <w:color w:val="auto"/>
          <w:sz w:val="30"/>
          <w:szCs w:val="30"/>
        </w:rPr>
        <w:t xml:space="preserve">2.5 </w:t>
      </w:r>
      <w:r>
        <w:rPr>
          <w:rFonts w:hint="eastAsia"/>
          <w:color w:val="auto"/>
          <w:sz w:val="30"/>
          <w:szCs w:val="30"/>
        </w:rPr>
        <w:t>凭证的流通交易</w:t>
      </w:r>
      <w:r>
        <w:rPr>
          <w:color w:val="auto"/>
          <w:sz w:val="30"/>
          <w:szCs w:val="30"/>
        </w:rPr>
        <w:t xml:space="preserve"> </w:t>
      </w:r>
    </w:p>
    <w:p w14:paraId="6E2DD25A">
      <w:pPr>
        <w:autoSpaceDE w:val="0"/>
        <w:autoSpaceDN w:val="0"/>
        <w:adjustRightInd w:val="0"/>
        <w:spacing w:line="560" w:lineRule="exact"/>
        <w:ind w:firstLine="600" w:firstLineChars="200"/>
        <w:rPr>
          <w:rFonts w:cs="楷体"/>
          <w:bCs/>
          <w:sz w:val="30"/>
          <w:szCs w:val="30"/>
        </w:rPr>
      </w:pPr>
      <w:r>
        <w:rPr>
          <w:rFonts w:hint="eastAsia" w:ascii="仿宋_GB2312" w:eastAsia="仿宋_GB2312" w:cs="楷体"/>
          <w:bCs/>
          <w:kern w:val="0"/>
          <w:sz w:val="30"/>
          <w:szCs w:val="30"/>
        </w:rPr>
        <w:t>包括凭证挂牌交易场所及交易平台。</w:t>
      </w:r>
    </w:p>
    <w:p w14:paraId="5E61E96D">
      <w:pPr>
        <w:pStyle w:val="100"/>
        <w:spacing w:line="560" w:lineRule="exact"/>
        <w:rPr>
          <w:color w:val="auto"/>
          <w:sz w:val="30"/>
          <w:szCs w:val="30"/>
        </w:rPr>
      </w:pPr>
      <w:r>
        <w:rPr>
          <w:color w:val="auto"/>
          <w:sz w:val="30"/>
          <w:szCs w:val="30"/>
        </w:rPr>
        <w:t xml:space="preserve">2.6 </w:t>
      </w:r>
      <w:r>
        <w:rPr>
          <w:rFonts w:hint="eastAsia"/>
          <w:color w:val="auto"/>
          <w:sz w:val="30"/>
          <w:szCs w:val="30"/>
        </w:rPr>
        <w:t>其他事项说明</w:t>
      </w:r>
    </w:p>
    <w:p w14:paraId="702389AD">
      <w:pPr>
        <w:pStyle w:val="100"/>
        <w:spacing w:line="560" w:lineRule="exact"/>
        <w:rPr>
          <w:rFonts w:cs="Calibri"/>
          <w:b/>
          <w:color w:val="auto"/>
          <w:sz w:val="30"/>
          <w:szCs w:val="30"/>
        </w:rPr>
      </w:pPr>
      <w:r>
        <w:rPr>
          <w:rFonts w:hint="eastAsia"/>
          <w:b/>
          <w:color w:val="auto"/>
          <w:sz w:val="30"/>
          <w:szCs w:val="30"/>
        </w:rPr>
        <w:t>第三节</w:t>
      </w:r>
      <w:r>
        <w:rPr>
          <w:b/>
          <w:color w:val="auto"/>
          <w:sz w:val="30"/>
          <w:szCs w:val="30"/>
        </w:rPr>
        <w:t xml:space="preserve"> </w:t>
      </w:r>
      <w:r>
        <w:rPr>
          <w:rFonts w:hint="eastAsia"/>
          <w:b/>
          <w:color w:val="auto"/>
          <w:sz w:val="30"/>
          <w:szCs w:val="30"/>
        </w:rPr>
        <w:t>创设机构基本情况</w:t>
      </w:r>
      <w:r>
        <w:rPr>
          <w:b/>
          <w:color w:val="auto"/>
          <w:sz w:val="30"/>
          <w:szCs w:val="30"/>
        </w:rPr>
        <w:t xml:space="preserve"> </w:t>
      </w:r>
      <w:r>
        <w:rPr>
          <w:rFonts w:cs="Calibri"/>
          <w:b/>
          <w:bCs/>
          <w:color w:val="auto"/>
          <w:sz w:val="30"/>
          <w:szCs w:val="30"/>
        </w:rPr>
        <w:t xml:space="preserve"> </w:t>
      </w:r>
    </w:p>
    <w:p w14:paraId="377C24AE">
      <w:pPr>
        <w:pStyle w:val="100"/>
        <w:spacing w:line="560" w:lineRule="exact"/>
        <w:rPr>
          <w:color w:val="auto"/>
          <w:sz w:val="30"/>
          <w:szCs w:val="30"/>
        </w:rPr>
      </w:pPr>
      <w:r>
        <w:rPr>
          <w:color w:val="auto"/>
          <w:sz w:val="30"/>
          <w:szCs w:val="30"/>
        </w:rPr>
        <w:t xml:space="preserve">3.1 </w:t>
      </w:r>
      <w:r>
        <w:rPr>
          <w:rFonts w:hint="eastAsia"/>
          <w:color w:val="auto"/>
          <w:sz w:val="30"/>
          <w:szCs w:val="30"/>
        </w:rPr>
        <w:t>创设机构基本情况</w:t>
      </w:r>
      <w:r>
        <w:rPr>
          <w:color w:val="auto"/>
          <w:sz w:val="30"/>
          <w:szCs w:val="30"/>
        </w:rPr>
        <w:t xml:space="preserve"> </w:t>
      </w:r>
    </w:p>
    <w:p w14:paraId="5C20D21C">
      <w:pPr>
        <w:pStyle w:val="100"/>
        <w:spacing w:line="560" w:lineRule="exact"/>
        <w:ind w:firstLine="600" w:firstLineChars="200"/>
        <w:rPr>
          <w:rFonts w:hAnsi="Times New Roman" w:cs="楷体"/>
          <w:bCs/>
          <w:color w:val="auto"/>
          <w:sz w:val="30"/>
          <w:szCs w:val="30"/>
        </w:rPr>
      </w:pPr>
      <w:r>
        <w:rPr>
          <w:rFonts w:hint="eastAsia" w:hAnsi="Times New Roman" w:cs="楷体"/>
          <w:bCs/>
          <w:color w:val="auto"/>
          <w:sz w:val="30"/>
          <w:szCs w:val="30"/>
        </w:rPr>
        <w:t>包括公司名称、法定代表人、设立日期、注册资本、实缴资本、住所、邮编、联系人及其联系方式、所属行业、经营范围、主管部门批准的业务资格与资质等。</w:t>
      </w:r>
    </w:p>
    <w:p w14:paraId="68B359C6">
      <w:pPr>
        <w:pStyle w:val="100"/>
        <w:spacing w:line="560" w:lineRule="exact"/>
        <w:rPr>
          <w:rFonts w:cs="Calibri"/>
          <w:color w:val="auto"/>
          <w:sz w:val="30"/>
          <w:szCs w:val="30"/>
        </w:rPr>
      </w:pPr>
      <w:r>
        <w:rPr>
          <w:rFonts w:cs="Calibri"/>
          <w:color w:val="auto"/>
          <w:sz w:val="30"/>
          <w:szCs w:val="30"/>
        </w:rPr>
        <w:t xml:space="preserve">3.2 </w:t>
      </w:r>
      <w:r>
        <w:rPr>
          <w:rFonts w:hint="eastAsia" w:cs="Calibri"/>
          <w:color w:val="auto"/>
          <w:sz w:val="30"/>
          <w:szCs w:val="30"/>
        </w:rPr>
        <w:t>历史沿革及股东情况</w:t>
      </w:r>
    </w:p>
    <w:p w14:paraId="19EAFA5B">
      <w:pPr>
        <w:pStyle w:val="100"/>
        <w:spacing w:line="560" w:lineRule="exact"/>
        <w:ind w:firstLine="601"/>
        <w:rPr>
          <w:rFonts w:hAnsi="Times New Roman" w:cs="Calibri"/>
          <w:color w:val="auto"/>
          <w:sz w:val="30"/>
          <w:szCs w:val="30"/>
        </w:rPr>
      </w:pPr>
      <w:r>
        <w:rPr>
          <w:rFonts w:hint="eastAsia" w:hAnsi="Times New Roman" w:cs="Calibri"/>
          <w:color w:val="auto"/>
          <w:sz w:val="30"/>
          <w:szCs w:val="30"/>
        </w:rPr>
        <w:t>包括成立时间、历史沿革、增资扩股情况、股东持股情况等。</w:t>
      </w:r>
    </w:p>
    <w:p w14:paraId="4CCA1176">
      <w:pPr>
        <w:pStyle w:val="100"/>
        <w:spacing w:line="560" w:lineRule="exact"/>
        <w:rPr>
          <w:rFonts w:cs="Calibri"/>
          <w:bCs/>
          <w:color w:val="auto"/>
          <w:sz w:val="30"/>
          <w:szCs w:val="30"/>
        </w:rPr>
      </w:pPr>
      <w:r>
        <w:rPr>
          <w:rFonts w:cs="Calibri"/>
          <w:bCs/>
          <w:color w:val="auto"/>
          <w:sz w:val="30"/>
          <w:szCs w:val="30"/>
        </w:rPr>
        <w:t xml:space="preserve">3.3 </w:t>
      </w:r>
      <w:r>
        <w:rPr>
          <w:rFonts w:hint="eastAsia" w:cs="Calibri"/>
          <w:bCs/>
          <w:color w:val="auto"/>
          <w:sz w:val="30"/>
          <w:szCs w:val="30"/>
        </w:rPr>
        <w:t>创设机构的信用能力</w:t>
      </w:r>
    </w:p>
    <w:p w14:paraId="6C2DEE4E">
      <w:pPr>
        <w:pStyle w:val="100"/>
        <w:spacing w:line="560" w:lineRule="exact"/>
        <w:ind w:firstLine="600"/>
        <w:rPr>
          <w:rFonts w:cs="Calibri"/>
          <w:bCs/>
          <w:color w:val="auto"/>
          <w:sz w:val="30"/>
          <w:szCs w:val="30"/>
        </w:rPr>
      </w:pPr>
      <w:r>
        <w:rPr>
          <w:rFonts w:hint="eastAsia" w:cs="Calibri"/>
          <w:bCs/>
          <w:color w:val="auto"/>
          <w:sz w:val="30"/>
          <w:szCs w:val="30"/>
        </w:rPr>
        <w:t>包括针对创设机构的信用评级、资信评级机构名称。</w:t>
      </w:r>
    </w:p>
    <w:p w14:paraId="51B969F9">
      <w:pPr>
        <w:pStyle w:val="100"/>
        <w:spacing w:line="560" w:lineRule="exact"/>
        <w:rPr>
          <w:color w:val="auto"/>
          <w:sz w:val="30"/>
          <w:szCs w:val="30"/>
        </w:rPr>
      </w:pPr>
      <w:r>
        <w:rPr>
          <w:color w:val="auto"/>
          <w:sz w:val="30"/>
          <w:szCs w:val="30"/>
        </w:rPr>
        <w:t xml:space="preserve">3.4 </w:t>
      </w:r>
      <w:r>
        <w:rPr>
          <w:rFonts w:hint="eastAsia"/>
          <w:color w:val="auto"/>
          <w:sz w:val="30"/>
          <w:szCs w:val="30"/>
        </w:rPr>
        <w:t>创设机构公司治理情况</w:t>
      </w:r>
    </w:p>
    <w:p w14:paraId="7079600B">
      <w:pPr>
        <w:pStyle w:val="100"/>
        <w:spacing w:line="560" w:lineRule="exact"/>
        <w:ind w:firstLine="600" w:firstLineChars="200"/>
        <w:rPr>
          <w:rFonts w:cs="Calibri"/>
          <w:color w:val="auto"/>
          <w:sz w:val="30"/>
          <w:szCs w:val="30"/>
        </w:rPr>
      </w:pPr>
      <w:r>
        <w:rPr>
          <w:rFonts w:hint="eastAsia" w:cs="Calibri"/>
          <w:color w:val="auto"/>
          <w:sz w:val="30"/>
          <w:szCs w:val="30"/>
        </w:rPr>
        <w:t>包括</w:t>
      </w:r>
      <w:r>
        <w:rPr>
          <w:rFonts w:hint="eastAsia" w:cs="Times New Roman"/>
          <w:color w:val="auto"/>
          <w:sz w:val="30"/>
          <w:szCs w:val="30"/>
        </w:rPr>
        <w:t>公司组织架构、管理层情况、内部决策机制等。</w:t>
      </w:r>
    </w:p>
    <w:p w14:paraId="1D2AD321">
      <w:pPr>
        <w:pStyle w:val="100"/>
        <w:spacing w:line="560" w:lineRule="exact"/>
        <w:rPr>
          <w:rFonts w:cs="Calibri"/>
          <w:b/>
          <w:bCs/>
          <w:color w:val="auto"/>
          <w:sz w:val="30"/>
          <w:szCs w:val="30"/>
        </w:rPr>
      </w:pPr>
      <w:r>
        <w:rPr>
          <w:rFonts w:cs="Calibri"/>
          <w:bCs/>
          <w:color w:val="auto"/>
          <w:sz w:val="30"/>
          <w:szCs w:val="30"/>
        </w:rPr>
        <w:t>3.5</w:t>
      </w:r>
      <w:r>
        <w:rPr>
          <w:rFonts w:cs="Calibri"/>
          <w:color w:val="auto"/>
          <w:sz w:val="30"/>
          <w:szCs w:val="30"/>
        </w:rPr>
        <w:t xml:space="preserve"> </w:t>
      </w:r>
      <w:r>
        <w:rPr>
          <w:rFonts w:hint="eastAsia"/>
          <w:color w:val="auto"/>
          <w:sz w:val="30"/>
          <w:szCs w:val="30"/>
        </w:rPr>
        <w:t>创设机构业务开展情况</w:t>
      </w:r>
    </w:p>
    <w:p w14:paraId="02374916">
      <w:pPr>
        <w:pStyle w:val="100"/>
        <w:spacing w:line="560" w:lineRule="exact"/>
        <w:ind w:firstLine="600" w:firstLineChars="200"/>
        <w:rPr>
          <w:rFonts w:cs="Calibri"/>
          <w:color w:val="auto"/>
          <w:sz w:val="30"/>
          <w:szCs w:val="30"/>
        </w:rPr>
      </w:pPr>
      <w:r>
        <w:rPr>
          <w:rFonts w:hint="eastAsia" w:cs="Calibri"/>
          <w:bCs/>
          <w:color w:val="auto"/>
          <w:sz w:val="30"/>
          <w:szCs w:val="30"/>
        </w:rPr>
        <w:t>包括其所从事的主要业务、主要产品（或服务）的用途、所在行业状况、经营方针及战略。</w:t>
      </w:r>
    </w:p>
    <w:p w14:paraId="1DC64038">
      <w:pPr>
        <w:pStyle w:val="100"/>
        <w:spacing w:line="560" w:lineRule="exact"/>
        <w:rPr>
          <w:color w:val="auto"/>
          <w:sz w:val="30"/>
          <w:szCs w:val="30"/>
        </w:rPr>
      </w:pPr>
      <w:r>
        <w:rPr>
          <w:color w:val="auto"/>
          <w:sz w:val="30"/>
          <w:szCs w:val="30"/>
        </w:rPr>
        <w:t xml:space="preserve">3.6 </w:t>
      </w:r>
      <w:r>
        <w:rPr>
          <w:rFonts w:hint="eastAsia"/>
          <w:color w:val="auto"/>
          <w:sz w:val="30"/>
          <w:szCs w:val="30"/>
        </w:rPr>
        <w:t>创设机构风险管理体系</w:t>
      </w:r>
    </w:p>
    <w:p w14:paraId="50DCBC13">
      <w:pPr>
        <w:pStyle w:val="100"/>
        <w:spacing w:line="560" w:lineRule="exact"/>
        <w:ind w:firstLine="600"/>
        <w:rPr>
          <w:rFonts w:cs="Times New Roman"/>
          <w:color w:val="auto"/>
          <w:sz w:val="30"/>
          <w:szCs w:val="30"/>
        </w:rPr>
      </w:pPr>
      <w:r>
        <w:rPr>
          <w:rFonts w:hint="eastAsia"/>
          <w:color w:val="auto"/>
          <w:sz w:val="30"/>
          <w:szCs w:val="30"/>
        </w:rPr>
        <w:t>包括</w:t>
      </w:r>
      <w:r>
        <w:rPr>
          <w:rFonts w:hint="eastAsia" w:cs="Times New Roman"/>
          <w:color w:val="auto"/>
          <w:sz w:val="30"/>
          <w:szCs w:val="30"/>
        </w:rPr>
        <w:t>风险管理制度、风险状况分析等。</w:t>
      </w:r>
    </w:p>
    <w:p w14:paraId="2450DE52">
      <w:pPr>
        <w:pStyle w:val="100"/>
        <w:spacing w:line="560" w:lineRule="exact"/>
        <w:rPr>
          <w:rFonts w:cs="Times New Roman"/>
          <w:color w:val="auto"/>
          <w:sz w:val="30"/>
          <w:szCs w:val="30"/>
        </w:rPr>
      </w:pPr>
      <w:r>
        <w:rPr>
          <w:rFonts w:cs="Times New Roman"/>
          <w:color w:val="auto"/>
          <w:sz w:val="30"/>
          <w:szCs w:val="30"/>
        </w:rPr>
        <w:t xml:space="preserve">3.7 </w:t>
      </w:r>
      <w:r>
        <w:rPr>
          <w:rFonts w:hint="eastAsia" w:cs="Times New Roman"/>
          <w:color w:val="auto"/>
          <w:sz w:val="30"/>
          <w:szCs w:val="30"/>
        </w:rPr>
        <w:t>财务情况及分析</w:t>
      </w:r>
    </w:p>
    <w:p w14:paraId="18DADB39">
      <w:pPr>
        <w:pStyle w:val="100"/>
        <w:spacing w:line="560" w:lineRule="exact"/>
        <w:ind w:firstLine="600"/>
        <w:rPr>
          <w:rFonts w:cs="Times New Roman"/>
          <w:color w:val="auto"/>
          <w:sz w:val="30"/>
          <w:szCs w:val="30"/>
        </w:rPr>
      </w:pPr>
      <w:r>
        <w:rPr>
          <w:rFonts w:hint="eastAsia" w:cs="Times New Roman"/>
          <w:color w:val="auto"/>
          <w:sz w:val="30"/>
          <w:szCs w:val="30"/>
        </w:rPr>
        <w:t>包括近年财务报表审计情况、财务报表适用的会计准则、主要财务数据、财务概要分析等</w:t>
      </w:r>
    </w:p>
    <w:p w14:paraId="0EB7E9CC">
      <w:pPr>
        <w:pStyle w:val="100"/>
        <w:spacing w:line="560" w:lineRule="exact"/>
        <w:rPr>
          <w:rFonts w:cs="Times New Roman"/>
          <w:color w:val="auto"/>
          <w:sz w:val="30"/>
          <w:szCs w:val="30"/>
        </w:rPr>
      </w:pPr>
      <w:r>
        <w:rPr>
          <w:rFonts w:cs="Times New Roman"/>
          <w:color w:val="auto"/>
          <w:sz w:val="30"/>
          <w:szCs w:val="30"/>
        </w:rPr>
        <w:t xml:space="preserve">3.8 </w:t>
      </w:r>
      <w:r>
        <w:rPr>
          <w:rFonts w:hint="eastAsia" w:cs="Times New Roman"/>
          <w:color w:val="auto"/>
          <w:sz w:val="30"/>
          <w:szCs w:val="30"/>
        </w:rPr>
        <w:t>内部管理制度</w:t>
      </w:r>
    </w:p>
    <w:p w14:paraId="3137639E">
      <w:pPr>
        <w:pStyle w:val="100"/>
        <w:spacing w:line="560" w:lineRule="exact"/>
        <w:ind w:firstLine="600"/>
        <w:rPr>
          <w:rFonts w:cs="Calibri"/>
          <w:color w:val="auto"/>
          <w:sz w:val="30"/>
          <w:szCs w:val="30"/>
        </w:rPr>
      </w:pPr>
      <w:r>
        <w:rPr>
          <w:rFonts w:hint="eastAsia" w:cs="Times New Roman"/>
          <w:color w:val="auto"/>
          <w:sz w:val="30"/>
          <w:szCs w:val="30"/>
        </w:rPr>
        <w:t>包括公司治理制度、内控管理制度、业务管理制度、财务管理制度等</w:t>
      </w:r>
    </w:p>
    <w:p w14:paraId="339F7E48">
      <w:pPr>
        <w:pStyle w:val="100"/>
        <w:spacing w:line="560" w:lineRule="exact"/>
        <w:rPr>
          <w:rFonts w:cs="Calibri"/>
          <w:b/>
          <w:bCs/>
          <w:color w:val="auto"/>
          <w:sz w:val="30"/>
          <w:szCs w:val="30"/>
        </w:rPr>
      </w:pPr>
      <w:r>
        <w:rPr>
          <w:color w:val="auto"/>
          <w:sz w:val="30"/>
          <w:szCs w:val="30"/>
        </w:rPr>
        <w:t xml:space="preserve">3.9 </w:t>
      </w:r>
      <w:r>
        <w:rPr>
          <w:rFonts w:hint="eastAsia"/>
          <w:color w:val="auto"/>
          <w:sz w:val="30"/>
          <w:szCs w:val="30"/>
        </w:rPr>
        <w:t>合规情况</w:t>
      </w:r>
    </w:p>
    <w:p w14:paraId="479CEDA0">
      <w:pPr>
        <w:pStyle w:val="100"/>
        <w:spacing w:line="560" w:lineRule="exact"/>
        <w:ind w:firstLine="602"/>
        <w:rPr>
          <w:rFonts w:cs="Calibri"/>
          <w:bCs/>
          <w:color w:val="auto"/>
          <w:sz w:val="30"/>
          <w:szCs w:val="30"/>
        </w:rPr>
      </w:pPr>
      <w:r>
        <w:rPr>
          <w:rFonts w:cs="Calibri"/>
          <w:b/>
          <w:bCs/>
          <w:color w:val="auto"/>
          <w:sz w:val="30"/>
          <w:szCs w:val="30"/>
        </w:rPr>
        <w:t xml:space="preserve"> </w:t>
      </w:r>
      <w:r>
        <w:rPr>
          <w:rFonts w:hint="eastAsia" w:cs="Calibri"/>
          <w:bCs/>
          <w:color w:val="auto"/>
          <w:sz w:val="30"/>
          <w:szCs w:val="30"/>
        </w:rPr>
        <w:t>包括最近三年内是否存在违法违规及受处罚的情况，说明董事、监事、高级管理人员的任职是否符合《公司法》及《公司章程》的规定。</w:t>
      </w:r>
    </w:p>
    <w:p w14:paraId="3AFC4D36">
      <w:pPr>
        <w:pStyle w:val="100"/>
        <w:spacing w:line="560" w:lineRule="exact"/>
        <w:rPr>
          <w:rFonts w:cs="Calibri"/>
          <w:b/>
          <w:color w:val="auto"/>
          <w:sz w:val="30"/>
          <w:szCs w:val="30"/>
        </w:rPr>
      </w:pPr>
      <w:r>
        <w:rPr>
          <w:rFonts w:hint="eastAsia"/>
          <w:b/>
          <w:color w:val="auto"/>
          <w:sz w:val="30"/>
          <w:szCs w:val="30"/>
        </w:rPr>
        <w:t>第四节</w:t>
      </w:r>
      <w:r>
        <w:rPr>
          <w:b/>
          <w:color w:val="auto"/>
          <w:sz w:val="30"/>
          <w:szCs w:val="30"/>
        </w:rPr>
        <w:t xml:space="preserve"> </w:t>
      </w:r>
      <w:r>
        <w:rPr>
          <w:rFonts w:hint="eastAsia"/>
          <w:b/>
          <w:color w:val="auto"/>
          <w:sz w:val="30"/>
          <w:szCs w:val="30"/>
        </w:rPr>
        <w:t>参考实体及受保护债务基本情况</w:t>
      </w:r>
      <w:r>
        <w:rPr>
          <w:b/>
          <w:color w:val="auto"/>
          <w:sz w:val="30"/>
          <w:szCs w:val="30"/>
        </w:rPr>
        <w:t xml:space="preserve"> </w:t>
      </w:r>
    </w:p>
    <w:p w14:paraId="16D71145">
      <w:pPr>
        <w:pStyle w:val="100"/>
        <w:spacing w:line="560" w:lineRule="exact"/>
        <w:rPr>
          <w:color w:val="auto"/>
          <w:sz w:val="30"/>
          <w:szCs w:val="30"/>
        </w:rPr>
      </w:pPr>
      <w:r>
        <w:rPr>
          <w:color w:val="auto"/>
          <w:sz w:val="30"/>
          <w:szCs w:val="30"/>
        </w:rPr>
        <w:t xml:space="preserve">4.1 </w:t>
      </w:r>
      <w:r>
        <w:rPr>
          <w:rFonts w:hint="eastAsia"/>
          <w:color w:val="auto"/>
          <w:sz w:val="30"/>
          <w:szCs w:val="30"/>
        </w:rPr>
        <w:t>参考实体情况</w:t>
      </w:r>
      <w:r>
        <w:rPr>
          <w:color w:val="auto"/>
          <w:sz w:val="30"/>
          <w:szCs w:val="30"/>
        </w:rPr>
        <w:t xml:space="preserve"> </w:t>
      </w:r>
    </w:p>
    <w:p w14:paraId="2A779362">
      <w:pPr>
        <w:autoSpaceDE w:val="0"/>
        <w:autoSpaceDN w:val="0"/>
        <w:adjustRightInd w:val="0"/>
        <w:spacing w:line="560" w:lineRule="exact"/>
        <w:ind w:firstLine="450" w:firstLineChars="150"/>
        <w:jc w:val="left"/>
        <w:rPr>
          <w:rFonts w:ascii="仿宋_GB2312" w:eastAsia="仿宋_GB2312" w:cs="楷体"/>
          <w:kern w:val="0"/>
          <w:sz w:val="30"/>
          <w:szCs w:val="30"/>
        </w:rPr>
      </w:pPr>
      <w:r>
        <w:rPr>
          <w:rFonts w:hint="eastAsia" w:ascii="仿宋_GB2312" w:eastAsia="仿宋_GB2312" w:cs="楷体"/>
          <w:kern w:val="0"/>
          <w:sz w:val="30"/>
          <w:szCs w:val="30"/>
        </w:rPr>
        <w:t>包括中文名称</w:t>
      </w:r>
      <w:r>
        <w:rPr>
          <w:rFonts w:hint="eastAsia" w:ascii="仿宋_GB2312" w:eastAsia="仿宋_GB2312"/>
          <w:kern w:val="0"/>
          <w:sz w:val="30"/>
          <w:szCs w:val="30"/>
        </w:rPr>
        <w:t>、</w:t>
      </w:r>
      <w:r>
        <w:rPr>
          <w:rFonts w:hint="eastAsia" w:ascii="仿宋_GB2312" w:eastAsia="仿宋_GB2312" w:cs="楷体"/>
          <w:kern w:val="0"/>
          <w:sz w:val="30"/>
          <w:szCs w:val="30"/>
        </w:rPr>
        <w:t>住所、法定代表人、联系人、联系方式等信息。</w:t>
      </w:r>
    </w:p>
    <w:p w14:paraId="5EF5272C">
      <w:pPr>
        <w:pStyle w:val="100"/>
        <w:spacing w:line="560" w:lineRule="exact"/>
        <w:rPr>
          <w:color w:val="auto"/>
          <w:sz w:val="30"/>
          <w:szCs w:val="30"/>
        </w:rPr>
      </w:pPr>
      <w:r>
        <w:rPr>
          <w:color w:val="auto"/>
          <w:sz w:val="30"/>
          <w:szCs w:val="30"/>
        </w:rPr>
        <w:t xml:space="preserve">4.2 </w:t>
      </w:r>
      <w:r>
        <w:rPr>
          <w:rFonts w:hint="eastAsia"/>
          <w:color w:val="auto"/>
          <w:sz w:val="30"/>
          <w:szCs w:val="30"/>
        </w:rPr>
        <w:t>受保护债务情况</w:t>
      </w:r>
      <w:r>
        <w:rPr>
          <w:color w:val="auto"/>
          <w:sz w:val="30"/>
          <w:szCs w:val="30"/>
        </w:rPr>
        <w:t xml:space="preserve"> </w:t>
      </w:r>
    </w:p>
    <w:p w14:paraId="13A0733F">
      <w:pPr>
        <w:spacing w:line="560" w:lineRule="exact"/>
        <w:ind w:firstLine="600" w:firstLineChars="200"/>
        <w:rPr>
          <w:rFonts w:ascii="仿宋_GB2312" w:eastAsia="仿宋_GB2312"/>
          <w:sz w:val="30"/>
          <w:szCs w:val="30"/>
        </w:rPr>
      </w:pPr>
      <w:r>
        <w:rPr>
          <w:rFonts w:hint="eastAsia" w:ascii="仿宋_GB2312" w:eastAsia="仿宋_GB2312"/>
          <w:sz w:val="30"/>
          <w:szCs w:val="30"/>
        </w:rPr>
        <w:t>包括受保护债务种类及特征。</w:t>
      </w:r>
    </w:p>
    <w:p w14:paraId="6A31B559">
      <w:pPr>
        <w:spacing w:line="560" w:lineRule="exact"/>
        <w:ind w:firstLine="600" w:firstLineChars="200"/>
        <w:rPr>
          <w:rFonts w:ascii="仿宋_GB2312" w:eastAsia="仿宋_GB2312"/>
          <w:sz w:val="30"/>
          <w:szCs w:val="30"/>
        </w:rPr>
      </w:pPr>
      <w:r>
        <w:rPr>
          <w:rFonts w:hint="eastAsia" w:ascii="仿宋_GB2312" w:eastAsia="仿宋_GB2312"/>
          <w:sz w:val="30"/>
          <w:szCs w:val="30"/>
        </w:rPr>
        <w:t>受保护债务为单只或少数几只债券的，应列举债券名称、发行人、承销商、发行金额、期限、面值、发行价格、发行利率、发行日、起息日、缴款日、兑付日、登记和托管机构、担保增信情况、信用评级机构及评级结果（如有）等信息。</w:t>
      </w:r>
    </w:p>
    <w:p w14:paraId="2012058E">
      <w:pPr>
        <w:pStyle w:val="100"/>
        <w:spacing w:line="560" w:lineRule="exact"/>
        <w:rPr>
          <w:rFonts w:cs="Calibri"/>
          <w:b/>
          <w:color w:val="auto"/>
          <w:sz w:val="30"/>
          <w:szCs w:val="30"/>
        </w:rPr>
      </w:pPr>
      <w:r>
        <w:rPr>
          <w:rFonts w:hint="eastAsia"/>
          <w:b/>
          <w:color w:val="auto"/>
          <w:sz w:val="30"/>
          <w:szCs w:val="30"/>
        </w:rPr>
        <w:t>第五节</w:t>
      </w:r>
      <w:r>
        <w:rPr>
          <w:b/>
          <w:color w:val="auto"/>
          <w:sz w:val="30"/>
          <w:szCs w:val="30"/>
        </w:rPr>
        <w:t xml:space="preserve"> </w:t>
      </w:r>
      <w:r>
        <w:rPr>
          <w:rFonts w:hint="eastAsia"/>
          <w:b/>
          <w:color w:val="auto"/>
          <w:sz w:val="30"/>
          <w:szCs w:val="30"/>
        </w:rPr>
        <w:t>信用事件</w:t>
      </w:r>
      <w:r>
        <w:rPr>
          <w:b/>
          <w:color w:val="auto"/>
          <w:sz w:val="30"/>
          <w:szCs w:val="30"/>
        </w:rPr>
        <w:t xml:space="preserve"> </w:t>
      </w:r>
    </w:p>
    <w:p w14:paraId="78C463CE">
      <w:pPr>
        <w:pStyle w:val="100"/>
        <w:spacing w:line="560" w:lineRule="exact"/>
        <w:rPr>
          <w:color w:val="auto"/>
          <w:sz w:val="30"/>
          <w:szCs w:val="30"/>
        </w:rPr>
      </w:pPr>
      <w:r>
        <w:rPr>
          <w:color w:val="auto"/>
          <w:sz w:val="30"/>
          <w:szCs w:val="30"/>
        </w:rPr>
        <w:t xml:space="preserve">5.1 </w:t>
      </w:r>
      <w:r>
        <w:rPr>
          <w:rFonts w:hint="eastAsia"/>
          <w:color w:val="auto"/>
          <w:sz w:val="30"/>
          <w:szCs w:val="30"/>
        </w:rPr>
        <w:t>信用事件范围</w:t>
      </w:r>
      <w:r>
        <w:rPr>
          <w:color w:val="auto"/>
          <w:sz w:val="30"/>
          <w:szCs w:val="30"/>
        </w:rPr>
        <w:t xml:space="preserve"> </w:t>
      </w:r>
    </w:p>
    <w:p w14:paraId="615DD5F7">
      <w:pPr>
        <w:pStyle w:val="100"/>
        <w:spacing w:line="560" w:lineRule="exact"/>
        <w:ind w:firstLine="600" w:firstLineChars="200"/>
        <w:rPr>
          <w:rFonts w:cs="Calibri"/>
          <w:color w:val="auto"/>
          <w:sz w:val="30"/>
          <w:szCs w:val="30"/>
        </w:rPr>
      </w:pPr>
      <w:r>
        <w:rPr>
          <w:rFonts w:hint="eastAsia" w:cs="Calibri"/>
          <w:color w:val="auto"/>
          <w:sz w:val="30"/>
          <w:szCs w:val="30"/>
        </w:rPr>
        <w:t>包括信用事件的类型及选择。</w:t>
      </w:r>
    </w:p>
    <w:p w14:paraId="7BB10325">
      <w:pPr>
        <w:pStyle w:val="100"/>
        <w:spacing w:line="560" w:lineRule="exact"/>
        <w:rPr>
          <w:color w:val="auto"/>
          <w:sz w:val="30"/>
          <w:szCs w:val="30"/>
        </w:rPr>
      </w:pPr>
      <w:r>
        <w:rPr>
          <w:color w:val="auto"/>
          <w:sz w:val="30"/>
          <w:szCs w:val="30"/>
        </w:rPr>
        <w:t xml:space="preserve">5.2 </w:t>
      </w:r>
      <w:r>
        <w:rPr>
          <w:rFonts w:hint="eastAsia"/>
          <w:color w:val="auto"/>
          <w:sz w:val="30"/>
          <w:szCs w:val="30"/>
        </w:rPr>
        <w:t>信用事件定义</w:t>
      </w:r>
      <w:r>
        <w:rPr>
          <w:color w:val="auto"/>
          <w:sz w:val="30"/>
          <w:szCs w:val="30"/>
        </w:rPr>
        <w:t xml:space="preserve"> </w:t>
      </w:r>
    </w:p>
    <w:p w14:paraId="46084D68">
      <w:pPr>
        <w:pStyle w:val="100"/>
        <w:spacing w:line="560" w:lineRule="exact"/>
        <w:ind w:firstLine="600" w:firstLineChars="200"/>
        <w:rPr>
          <w:rFonts w:cs="Calibri"/>
          <w:bCs/>
          <w:color w:val="auto"/>
          <w:sz w:val="30"/>
          <w:szCs w:val="30"/>
        </w:rPr>
      </w:pPr>
      <w:r>
        <w:rPr>
          <w:rFonts w:hint="eastAsia" w:cs="Calibri"/>
          <w:bCs/>
          <w:color w:val="auto"/>
          <w:sz w:val="30"/>
          <w:szCs w:val="30"/>
        </w:rPr>
        <w:t>包括各信用事件类型的具体界定。</w:t>
      </w:r>
    </w:p>
    <w:p w14:paraId="36332C4D">
      <w:pPr>
        <w:pStyle w:val="100"/>
        <w:spacing w:line="560" w:lineRule="exact"/>
        <w:rPr>
          <w:color w:val="auto"/>
          <w:sz w:val="30"/>
          <w:szCs w:val="30"/>
        </w:rPr>
      </w:pPr>
      <w:r>
        <w:rPr>
          <w:color w:val="auto"/>
          <w:sz w:val="30"/>
          <w:szCs w:val="30"/>
        </w:rPr>
        <w:t xml:space="preserve">5.3 </w:t>
      </w:r>
      <w:r>
        <w:rPr>
          <w:rFonts w:hint="eastAsia"/>
          <w:color w:val="auto"/>
          <w:sz w:val="30"/>
          <w:szCs w:val="30"/>
        </w:rPr>
        <w:t>信用事件通知规则</w:t>
      </w:r>
    </w:p>
    <w:p w14:paraId="65620633">
      <w:pPr>
        <w:pStyle w:val="100"/>
        <w:spacing w:line="560" w:lineRule="exact"/>
        <w:ind w:firstLine="600" w:firstLineChars="200"/>
        <w:rPr>
          <w:rFonts w:cs="Calibri"/>
          <w:bCs/>
          <w:color w:val="auto"/>
          <w:sz w:val="30"/>
          <w:szCs w:val="30"/>
        </w:rPr>
      </w:pPr>
      <w:r>
        <w:rPr>
          <w:rFonts w:hint="eastAsia" w:cs="Calibri"/>
          <w:bCs/>
          <w:color w:val="auto"/>
          <w:sz w:val="30"/>
          <w:szCs w:val="30"/>
        </w:rPr>
        <w:t>包括通知的具体方式、形式要求、通知生效时点等。</w:t>
      </w:r>
    </w:p>
    <w:p w14:paraId="1CA8DC44">
      <w:pPr>
        <w:pStyle w:val="100"/>
        <w:spacing w:line="560" w:lineRule="exact"/>
        <w:rPr>
          <w:rFonts w:cs="Calibri"/>
          <w:b/>
          <w:color w:val="auto"/>
          <w:sz w:val="30"/>
          <w:szCs w:val="30"/>
        </w:rPr>
      </w:pPr>
      <w:r>
        <w:rPr>
          <w:rFonts w:hint="eastAsia"/>
          <w:b/>
          <w:color w:val="auto"/>
          <w:sz w:val="30"/>
          <w:szCs w:val="30"/>
        </w:rPr>
        <w:t>第六节</w:t>
      </w:r>
      <w:r>
        <w:rPr>
          <w:b/>
          <w:color w:val="auto"/>
          <w:sz w:val="30"/>
          <w:szCs w:val="30"/>
        </w:rPr>
        <w:t xml:space="preserve"> </w:t>
      </w:r>
      <w:r>
        <w:rPr>
          <w:rFonts w:hint="eastAsia"/>
          <w:b/>
          <w:color w:val="auto"/>
          <w:sz w:val="30"/>
          <w:szCs w:val="30"/>
        </w:rPr>
        <w:t>结算安排</w:t>
      </w:r>
      <w:r>
        <w:rPr>
          <w:b/>
          <w:color w:val="auto"/>
          <w:sz w:val="30"/>
          <w:szCs w:val="30"/>
        </w:rPr>
        <w:t xml:space="preserve"> </w:t>
      </w:r>
    </w:p>
    <w:p w14:paraId="14890F4A">
      <w:pPr>
        <w:pStyle w:val="100"/>
        <w:spacing w:line="560" w:lineRule="exact"/>
        <w:rPr>
          <w:rFonts w:cs="Calibri"/>
          <w:b/>
          <w:bCs/>
          <w:color w:val="auto"/>
          <w:sz w:val="30"/>
          <w:szCs w:val="30"/>
        </w:rPr>
      </w:pPr>
      <w:r>
        <w:rPr>
          <w:color w:val="auto"/>
          <w:sz w:val="30"/>
          <w:szCs w:val="30"/>
        </w:rPr>
        <w:t xml:space="preserve">6.1 </w:t>
      </w:r>
      <w:r>
        <w:rPr>
          <w:rFonts w:hint="eastAsia"/>
          <w:color w:val="auto"/>
          <w:sz w:val="30"/>
          <w:szCs w:val="30"/>
        </w:rPr>
        <w:t>到期注销</w:t>
      </w:r>
      <w:r>
        <w:rPr>
          <w:rFonts w:cs="Calibri"/>
          <w:b/>
          <w:bCs/>
          <w:color w:val="auto"/>
          <w:sz w:val="30"/>
          <w:szCs w:val="30"/>
        </w:rPr>
        <w:t xml:space="preserve"> </w:t>
      </w:r>
    </w:p>
    <w:p w14:paraId="20C62251">
      <w:pPr>
        <w:pStyle w:val="100"/>
        <w:spacing w:line="560" w:lineRule="exact"/>
        <w:ind w:firstLine="600" w:firstLineChars="200"/>
        <w:rPr>
          <w:rFonts w:cs="Calibri"/>
          <w:bCs/>
          <w:color w:val="auto"/>
          <w:sz w:val="30"/>
          <w:szCs w:val="30"/>
        </w:rPr>
      </w:pPr>
      <w:r>
        <w:rPr>
          <w:rFonts w:hint="eastAsia" w:cs="Calibri"/>
          <w:bCs/>
          <w:color w:val="auto"/>
          <w:sz w:val="30"/>
          <w:szCs w:val="30"/>
        </w:rPr>
        <w:t>包括到期注销的条件、到期注销的安排等。</w:t>
      </w:r>
    </w:p>
    <w:p w14:paraId="0D0D1480">
      <w:pPr>
        <w:pStyle w:val="100"/>
        <w:spacing w:line="560" w:lineRule="exact"/>
        <w:rPr>
          <w:rFonts w:cs="Calibri"/>
          <w:bCs/>
          <w:color w:val="auto"/>
          <w:sz w:val="30"/>
          <w:szCs w:val="30"/>
        </w:rPr>
      </w:pPr>
      <w:r>
        <w:rPr>
          <w:rFonts w:cs="Calibri"/>
          <w:bCs/>
          <w:color w:val="auto"/>
          <w:sz w:val="30"/>
          <w:szCs w:val="30"/>
        </w:rPr>
        <w:t xml:space="preserve">6.2 </w:t>
      </w:r>
      <w:r>
        <w:rPr>
          <w:rFonts w:hint="eastAsia"/>
          <w:color w:val="auto"/>
          <w:sz w:val="30"/>
          <w:szCs w:val="30"/>
        </w:rPr>
        <w:t>结算条件</w:t>
      </w:r>
      <w:r>
        <w:rPr>
          <w:rFonts w:cs="Calibri"/>
          <w:b/>
          <w:bCs/>
          <w:color w:val="auto"/>
          <w:sz w:val="30"/>
          <w:szCs w:val="30"/>
        </w:rPr>
        <w:t xml:space="preserve"> </w:t>
      </w:r>
    </w:p>
    <w:p w14:paraId="5E75E7A4">
      <w:pPr>
        <w:pStyle w:val="100"/>
        <w:spacing w:line="560" w:lineRule="exact"/>
        <w:ind w:firstLine="600" w:firstLineChars="200"/>
        <w:rPr>
          <w:rFonts w:cs="Calibri"/>
          <w:bCs/>
          <w:color w:val="auto"/>
          <w:sz w:val="30"/>
          <w:szCs w:val="30"/>
        </w:rPr>
      </w:pPr>
      <w:r>
        <w:rPr>
          <w:rFonts w:hint="eastAsia" w:cs="Calibri"/>
          <w:bCs/>
          <w:color w:val="auto"/>
          <w:sz w:val="30"/>
          <w:szCs w:val="30"/>
        </w:rPr>
        <w:t>包括启动结算的条件、启动结算的流程。</w:t>
      </w:r>
    </w:p>
    <w:p w14:paraId="72047E37">
      <w:pPr>
        <w:pStyle w:val="100"/>
        <w:spacing w:line="560" w:lineRule="exact"/>
        <w:rPr>
          <w:rFonts w:cs="Calibri"/>
          <w:bCs/>
          <w:color w:val="auto"/>
          <w:sz w:val="30"/>
          <w:szCs w:val="30"/>
        </w:rPr>
      </w:pPr>
      <w:r>
        <w:rPr>
          <w:rFonts w:cs="Calibri"/>
          <w:bCs/>
          <w:color w:val="auto"/>
          <w:sz w:val="30"/>
          <w:szCs w:val="30"/>
        </w:rPr>
        <w:t xml:space="preserve">6.3 </w:t>
      </w:r>
      <w:r>
        <w:rPr>
          <w:rFonts w:hint="eastAsia" w:cs="Calibri"/>
          <w:bCs/>
          <w:color w:val="auto"/>
          <w:sz w:val="30"/>
          <w:szCs w:val="30"/>
        </w:rPr>
        <w:t>结算通知规则</w:t>
      </w:r>
    </w:p>
    <w:p w14:paraId="279E5D37">
      <w:pPr>
        <w:pStyle w:val="100"/>
        <w:spacing w:line="560" w:lineRule="exact"/>
        <w:ind w:firstLine="600"/>
        <w:rPr>
          <w:rFonts w:cs="Calibri"/>
          <w:bCs/>
          <w:color w:val="auto"/>
          <w:sz w:val="30"/>
          <w:szCs w:val="30"/>
        </w:rPr>
      </w:pPr>
      <w:r>
        <w:rPr>
          <w:rFonts w:hint="eastAsia" w:cs="Calibri"/>
          <w:bCs/>
          <w:color w:val="auto"/>
          <w:sz w:val="30"/>
          <w:szCs w:val="30"/>
        </w:rPr>
        <w:t>包括结算流程中通知的具体方式、形式要求、通知生效时点等。</w:t>
      </w:r>
    </w:p>
    <w:p w14:paraId="6BEF64BB">
      <w:pPr>
        <w:pStyle w:val="100"/>
        <w:spacing w:line="560" w:lineRule="exact"/>
        <w:rPr>
          <w:rFonts w:cs="Calibri"/>
          <w:b/>
          <w:bCs/>
          <w:color w:val="auto"/>
          <w:sz w:val="30"/>
          <w:szCs w:val="30"/>
        </w:rPr>
      </w:pPr>
      <w:r>
        <w:rPr>
          <w:color w:val="auto"/>
          <w:sz w:val="30"/>
          <w:szCs w:val="30"/>
        </w:rPr>
        <w:t xml:space="preserve">6.4 </w:t>
      </w:r>
      <w:r>
        <w:rPr>
          <w:rFonts w:hint="eastAsia"/>
          <w:color w:val="auto"/>
          <w:sz w:val="30"/>
          <w:szCs w:val="30"/>
        </w:rPr>
        <w:t>发生信用事件后的结算安排</w:t>
      </w:r>
      <w:r>
        <w:rPr>
          <w:color w:val="auto"/>
          <w:sz w:val="30"/>
          <w:szCs w:val="30"/>
        </w:rPr>
        <w:t xml:space="preserve"> </w:t>
      </w:r>
    </w:p>
    <w:p w14:paraId="27A049B4">
      <w:pPr>
        <w:pStyle w:val="100"/>
        <w:spacing w:line="560" w:lineRule="exact"/>
        <w:ind w:firstLine="450" w:firstLineChars="150"/>
        <w:rPr>
          <w:rFonts w:cs="Calibri"/>
          <w:bCs/>
          <w:color w:val="auto"/>
          <w:sz w:val="30"/>
          <w:szCs w:val="30"/>
        </w:rPr>
      </w:pPr>
      <w:r>
        <w:rPr>
          <w:rFonts w:hint="eastAsia" w:cs="Calibri"/>
          <w:bCs/>
          <w:color w:val="auto"/>
          <w:sz w:val="30"/>
          <w:szCs w:val="30"/>
        </w:rPr>
        <w:t>包括实物或现金结算的选择、结算的具体流程、结算日、结算金额计算方式、结算金额支付方式、实物交割方式及流程等。</w:t>
      </w:r>
    </w:p>
    <w:p w14:paraId="5AEB0C22">
      <w:pPr>
        <w:pStyle w:val="100"/>
        <w:spacing w:line="560" w:lineRule="exact"/>
        <w:rPr>
          <w:b/>
          <w:color w:val="auto"/>
          <w:sz w:val="30"/>
          <w:szCs w:val="30"/>
        </w:rPr>
      </w:pPr>
      <w:r>
        <w:rPr>
          <w:rFonts w:hint="eastAsia"/>
          <w:b/>
          <w:color w:val="auto"/>
          <w:sz w:val="30"/>
          <w:szCs w:val="30"/>
        </w:rPr>
        <w:t>第七节</w:t>
      </w:r>
      <w:r>
        <w:rPr>
          <w:b/>
          <w:color w:val="auto"/>
          <w:sz w:val="30"/>
          <w:szCs w:val="30"/>
        </w:rPr>
        <w:t xml:space="preserve"> </w:t>
      </w:r>
      <w:r>
        <w:rPr>
          <w:rFonts w:hint="eastAsia"/>
          <w:b/>
          <w:color w:val="auto"/>
          <w:sz w:val="30"/>
          <w:szCs w:val="30"/>
        </w:rPr>
        <w:t>违约事件和终止事件及处理</w:t>
      </w:r>
    </w:p>
    <w:p w14:paraId="6981D80A">
      <w:pPr>
        <w:pStyle w:val="100"/>
        <w:spacing w:line="560" w:lineRule="exact"/>
        <w:rPr>
          <w:color w:val="auto"/>
          <w:sz w:val="30"/>
          <w:szCs w:val="30"/>
        </w:rPr>
      </w:pPr>
      <w:r>
        <w:rPr>
          <w:color w:val="auto"/>
          <w:sz w:val="30"/>
          <w:szCs w:val="30"/>
        </w:rPr>
        <w:t xml:space="preserve">7.1 </w:t>
      </w:r>
      <w:r>
        <w:rPr>
          <w:rFonts w:hint="eastAsia"/>
          <w:color w:val="auto"/>
          <w:sz w:val="30"/>
          <w:szCs w:val="30"/>
        </w:rPr>
        <w:t>违约事件</w:t>
      </w:r>
    </w:p>
    <w:p w14:paraId="0E9CA847">
      <w:pPr>
        <w:pStyle w:val="100"/>
        <w:spacing w:line="560" w:lineRule="exact"/>
        <w:ind w:firstLine="600"/>
        <w:rPr>
          <w:color w:val="auto"/>
          <w:sz w:val="30"/>
          <w:szCs w:val="30"/>
        </w:rPr>
      </w:pPr>
      <w:r>
        <w:rPr>
          <w:rFonts w:hint="eastAsia"/>
          <w:color w:val="auto"/>
          <w:sz w:val="30"/>
          <w:szCs w:val="30"/>
        </w:rPr>
        <w:t>包括违约事件的类型、具体类型的定义等。</w:t>
      </w:r>
    </w:p>
    <w:p w14:paraId="7A73D367">
      <w:pPr>
        <w:pStyle w:val="100"/>
        <w:spacing w:line="560" w:lineRule="exact"/>
        <w:ind w:firstLine="600"/>
        <w:rPr>
          <w:color w:val="auto"/>
          <w:sz w:val="30"/>
          <w:szCs w:val="30"/>
        </w:rPr>
      </w:pPr>
      <w:r>
        <w:rPr>
          <w:rFonts w:hint="eastAsia"/>
          <w:color w:val="auto"/>
          <w:sz w:val="30"/>
          <w:szCs w:val="30"/>
        </w:rPr>
        <w:t>可参考适用《中国证券期货市场衍生品交易主协议（信用保护合约专用版）》第四条相关表述。</w:t>
      </w:r>
    </w:p>
    <w:p w14:paraId="7D4F6940">
      <w:pPr>
        <w:pStyle w:val="100"/>
        <w:spacing w:line="560" w:lineRule="exact"/>
        <w:rPr>
          <w:color w:val="auto"/>
          <w:sz w:val="30"/>
          <w:szCs w:val="30"/>
        </w:rPr>
      </w:pPr>
      <w:r>
        <w:rPr>
          <w:color w:val="auto"/>
          <w:sz w:val="30"/>
          <w:szCs w:val="30"/>
        </w:rPr>
        <w:t xml:space="preserve">7.2 </w:t>
      </w:r>
      <w:r>
        <w:rPr>
          <w:rFonts w:hint="eastAsia"/>
          <w:color w:val="auto"/>
          <w:sz w:val="30"/>
          <w:szCs w:val="30"/>
        </w:rPr>
        <w:t>违约事件的处理</w:t>
      </w:r>
    </w:p>
    <w:p w14:paraId="3A7D975C">
      <w:pPr>
        <w:pStyle w:val="100"/>
        <w:spacing w:line="560" w:lineRule="exact"/>
        <w:ind w:firstLine="600"/>
        <w:rPr>
          <w:color w:val="auto"/>
          <w:sz w:val="30"/>
          <w:szCs w:val="30"/>
        </w:rPr>
      </w:pPr>
      <w:r>
        <w:rPr>
          <w:rFonts w:hint="eastAsia"/>
          <w:color w:val="auto"/>
          <w:sz w:val="30"/>
          <w:szCs w:val="30"/>
        </w:rPr>
        <w:t>包括违约事件后凭证创设机构和投资者之间的权利义务、违约处理流程和安排、违约救济方式、违约金和资金清算返还金额的计算方法、利息和费用的计算方式、资金支付方式、文件通知送达方式等。</w:t>
      </w:r>
    </w:p>
    <w:p w14:paraId="20737C67">
      <w:pPr>
        <w:pStyle w:val="100"/>
        <w:spacing w:line="560" w:lineRule="exact"/>
        <w:ind w:firstLine="600"/>
        <w:rPr>
          <w:color w:val="auto"/>
          <w:sz w:val="30"/>
          <w:szCs w:val="30"/>
        </w:rPr>
      </w:pPr>
      <w:r>
        <w:rPr>
          <w:rFonts w:hint="eastAsia"/>
          <w:color w:val="auto"/>
          <w:sz w:val="30"/>
          <w:szCs w:val="30"/>
        </w:rPr>
        <w:t>可参考适用《中国证券期货市场场外衍生品交易主协议（信用保护合约专用版）》第五条相关表述。</w:t>
      </w:r>
    </w:p>
    <w:p w14:paraId="213B153A">
      <w:pPr>
        <w:pStyle w:val="100"/>
        <w:spacing w:line="560" w:lineRule="exact"/>
        <w:rPr>
          <w:color w:val="auto"/>
          <w:sz w:val="30"/>
          <w:szCs w:val="30"/>
        </w:rPr>
      </w:pPr>
      <w:r>
        <w:rPr>
          <w:color w:val="auto"/>
          <w:sz w:val="30"/>
          <w:szCs w:val="30"/>
        </w:rPr>
        <w:t xml:space="preserve">7.3 </w:t>
      </w:r>
      <w:r>
        <w:rPr>
          <w:rFonts w:hint="eastAsia"/>
          <w:color w:val="auto"/>
          <w:sz w:val="30"/>
          <w:szCs w:val="30"/>
        </w:rPr>
        <w:t>终止事件</w:t>
      </w:r>
    </w:p>
    <w:p w14:paraId="0EB5D61D">
      <w:pPr>
        <w:pStyle w:val="100"/>
        <w:spacing w:line="560" w:lineRule="exact"/>
        <w:ind w:firstLine="600"/>
        <w:rPr>
          <w:color w:val="auto"/>
          <w:sz w:val="30"/>
          <w:szCs w:val="30"/>
        </w:rPr>
      </w:pPr>
      <w:r>
        <w:rPr>
          <w:rFonts w:hint="eastAsia"/>
          <w:color w:val="auto"/>
          <w:sz w:val="30"/>
          <w:szCs w:val="30"/>
        </w:rPr>
        <w:t>包括终止事件的类型、具体类型的定义等。</w:t>
      </w:r>
    </w:p>
    <w:p w14:paraId="5DD5B909">
      <w:pPr>
        <w:pStyle w:val="100"/>
        <w:spacing w:line="560" w:lineRule="exact"/>
        <w:ind w:firstLine="600"/>
        <w:rPr>
          <w:color w:val="auto"/>
          <w:sz w:val="30"/>
          <w:szCs w:val="30"/>
        </w:rPr>
      </w:pPr>
      <w:r>
        <w:rPr>
          <w:rFonts w:hint="eastAsia"/>
          <w:color w:val="auto"/>
          <w:sz w:val="30"/>
          <w:szCs w:val="30"/>
        </w:rPr>
        <w:t>可参考适用《中国证券期货市场衍生品交易主协议（信用保护合约专用版）》第六条相关表述。</w:t>
      </w:r>
    </w:p>
    <w:p w14:paraId="092CB47B">
      <w:pPr>
        <w:pStyle w:val="100"/>
        <w:spacing w:line="560" w:lineRule="exact"/>
        <w:rPr>
          <w:color w:val="auto"/>
          <w:sz w:val="30"/>
          <w:szCs w:val="30"/>
        </w:rPr>
      </w:pPr>
      <w:r>
        <w:rPr>
          <w:color w:val="auto"/>
          <w:sz w:val="30"/>
          <w:szCs w:val="30"/>
        </w:rPr>
        <w:t xml:space="preserve">7.4 </w:t>
      </w:r>
      <w:r>
        <w:rPr>
          <w:rFonts w:hint="eastAsia"/>
          <w:color w:val="auto"/>
          <w:sz w:val="30"/>
          <w:szCs w:val="30"/>
        </w:rPr>
        <w:t>终止事件的处理</w:t>
      </w:r>
    </w:p>
    <w:p w14:paraId="5A6DFFA7">
      <w:pPr>
        <w:pStyle w:val="100"/>
        <w:spacing w:line="560" w:lineRule="exact"/>
        <w:ind w:firstLine="600"/>
        <w:rPr>
          <w:color w:val="auto"/>
          <w:sz w:val="30"/>
          <w:szCs w:val="30"/>
        </w:rPr>
      </w:pPr>
      <w:r>
        <w:rPr>
          <w:rFonts w:hint="eastAsia"/>
          <w:color w:val="auto"/>
          <w:sz w:val="30"/>
          <w:szCs w:val="30"/>
        </w:rPr>
        <w:t>包括终止事件发生后凭证创设机构和投资者之间的权利义务、交易终止后的处理和安排、交易终止后资金清算返还的计算方法、利息和费用的计算方式、资金支付方式、文件通知送达方式等。</w:t>
      </w:r>
    </w:p>
    <w:p w14:paraId="06D38A86">
      <w:pPr>
        <w:pStyle w:val="100"/>
        <w:spacing w:line="560" w:lineRule="exact"/>
        <w:ind w:firstLine="600"/>
        <w:rPr>
          <w:color w:val="auto"/>
          <w:sz w:val="30"/>
          <w:szCs w:val="30"/>
        </w:rPr>
      </w:pPr>
      <w:r>
        <w:rPr>
          <w:rFonts w:hint="eastAsia"/>
          <w:color w:val="auto"/>
          <w:sz w:val="30"/>
          <w:szCs w:val="30"/>
        </w:rPr>
        <w:t>可参考适用《中国证券期货市场场外衍生品交易主协议（信用保护合约专用版）》第七条相关表述。</w:t>
      </w:r>
    </w:p>
    <w:p w14:paraId="03942168">
      <w:pPr>
        <w:pStyle w:val="100"/>
        <w:spacing w:line="560" w:lineRule="exact"/>
        <w:rPr>
          <w:b/>
          <w:color w:val="auto"/>
          <w:sz w:val="30"/>
          <w:szCs w:val="30"/>
        </w:rPr>
      </w:pPr>
      <w:r>
        <w:rPr>
          <w:rFonts w:hint="eastAsia"/>
          <w:b/>
          <w:color w:val="auto"/>
          <w:sz w:val="30"/>
          <w:szCs w:val="30"/>
        </w:rPr>
        <w:t>第八节</w:t>
      </w:r>
      <w:r>
        <w:rPr>
          <w:b/>
          <w:color w:val="auto"/>
          <w:sz w:val="30"/>
          <w:szCs w:val="30"/>
        </w:rPr>
        <w:t xml:space="preserve"> </w:t>
      </w:r>
      <w:r>
        <w:rPr>
          <w:rFonts w:hint="eastAsia"/>
          <w:b/>
          <w:color w:val="auto"/>
          <w:sz w:val="30"/>
          <w:szCs w:val="30"/>
        </w:rPr>
        <w:t>凭证持有人会议</w:t>
      </w:r>
    </w:p>
    <w:p w14:paraId="2F33CD7A">
      <w:pPr>
        <w:pStyle w:val="100"/>
        <w:spacing w:line="560" w:lineRule="exact"/>
        <w:ind w:firstLine="600" w:firstLineChars="200"/>
        <w:rPr>
          <w:b/>
          <w:color w:val="auto"/>
          <w:sz w:val="30"/>
          <w:szCs w:val="30"/>
        </w:rPr>
      </w:pPr>
      <w:r>
        <w:rPr>
          <w:rFonts w:hint="eastAsia"/>
          <w:color w:val="auto"/>
          <w:sz w:val="30"/>
          <w:szCs w:val="30"/>
        </w:rPr>
        <w:t>包括凭证持有人会议的召开条件、召集程序、会议安排和要求等。</w:t>
      </w:r>
    </w:p>
    <w:p w14:paraId="43551A12">
      <w:pPr>
        <w:pStyle w:val="100"/>
        <w:spacing w:line="560" w:lineRule="exact"/>
        <w:rPr>
          <w:rFonts w:cs="Calibri"/>
          <w:b/>
          <w:color w:val="auto"/>
          <w:sz w:val="30"/>
          <w:szCs w:val="30"/>
        </w:rPr>
      </w:pPr>
      <w:r>
        <w:rPr>
          <w:rFonts w:hint="eastAsia"/>
          <w:b/>
          <w:color w:val="auto"/>
          <w:sz w:val="30"/>
          <w:szCs w:val="30"/>
        </w:rPr>
        <w:t>第九节</w:t>
      </w:r>
      <w:r>
        <w:rPr>
          <w:b/>
          <w:color w:val="auto"/>
          <w:sz w:val="30"/>
          <w:szCs w:val="30"/>
        </w:rPr>
        <w:t xml:space="preserve"> </w:t>
      </w:r>
      <w:r>
        <w:rPr>
          <w:rFonts w:hint="eastAsia"/>
          <w:b/>
          <w:color w:val="auto"/>
          <w:sz w:val="30"/>
          <w:szCs w:val="30"/>
        </w:rPr>
        <w:t>其他应说明的事项</w:t>
      </w:r>
      <w:r>
        <w:rPr>
          <w:b/>
          <w:color w:val="auto"/>
          <w:sz w:val="30"/>
          <w:szCs w:val="30"/>
        </w:rPr>
        <w:t xml:space="preserve"> </w:t>
      </w:r>
    </w:p>
    <w:p w14:paraId="014C7AEE">
      <w:pPr>
        <w:pStyle w:val="100"/>
        <w:spacing w:line="560" w:lineRule="exact"/>
        <w:rPr>
          <w:color w:val="auto"/>
          <w:sz w:val="30"/>
          <w:szCs w:val="30"/>
        </w:rPr>
      </w:pPr>
      <w:r>
        <w:rPr>
          <w:color w:val="auto"/>
          <w:sz w:val="30"/>
          <w:szCs w:val="30"/>
        </w:rPr>
        <w:t xml:space="preserve">9.1 </w:t>
      </w:r>
      <w:r>
        <w:rPr>
          <w:rFonts w:hint="eastAsia"/>
          <w:color w:val="auto"/>
          <w:sz w:val="30"/>
          <w:szCs w:val="30"/>
        </w:rPr>
        <w:t>税收</w:t>
      </w:r>
      <w:r>
        <w:rPr>
          <w:color w:val="auto"/>
          <w:sz w:val="30"/>
          <w:szCs w:val="30"/>
        </w:rPr>
        <w:t xml:space="preserve"> </w:t>
      </w:r>
    </w:p>
    <w:p w14:paraId="7154BC88">
      <w:pPr>
        <w:pStyle w:val="100"/>
        <w:spacing w:line="560" w:lineRule="exact"/>
        <w:ind w:firstLine="600"/>
        <w:rPr>
          <w:rFonts w:cs="Calibri"/>
          <w:color w:val="auto"/>
          <w:sz w:val="30"/>
          <w:szCs w:val="30"/>
        </w:rPr>
      </w:pPr>
      <w:r>
        <w:rPr>
          <w:rFonts w:hint="eastAsia"/>
          <w:color w:val="auto"/>
          <w:sz w:val="30"/>
          <w:szCs w:val="30"/>
        </w:rPr>
        <w:t>包括税收负担的说明、承担缴税职责的约定。</w:t>
      </w:r>
    </w:p>
    <w:p w14:paraId="43ED72C0">
      <w:pPr>
        <w:pStyle w:val="100"/>
        <w:spacing w:line="560" w:lineRule="exact"/>
        <w:rPr>
          <w:rFonts w:cs="Calibri"/>
          <w:color w:val="auto"/>
          <w:sz w:val="30"/>
          <w:szCs w:val="30"/>
        </w:rPr>
      </w:pPr>
      <w:r>
        <w:rPr>
          <w:color w:val="auto"/>
          <w:sz w:val="30"/>
          <w:szCs w:val="30"/>
        </w:rPr>
        <w:t xml:space="preserve">9.2 </w:t>
      </w:r>
      <w:r>
        <w:rPr>
          <w:rFonts w:hint="eastAsia"/>
          <w:color w:val="auto"/>
          <w:sz w:val="30"/>
          <w:szCs w:val="30"/>
        </w:rPr>
        <w:t>弃权</w:t>
      </w:r>
      <w:r>
        <w:rPr>
          <w:color w:val="auto"/>
          <w:sz w:val="30"/>
          <w:szCs w:val="30"/>
        </w:rPr>
        <w:t xml:space="preserve"> </w:t>
      </w:r>
    </w:p>
    <w:p w14:paraId="19D47960">
      <w:pPr>
        <w:pStyle w:val="100"/>
        <w:spacing w:line="560" w:lineRule="exact"/>
        <w:rPr>
          <w:color w:val="auto"/>
          <w:sz w:val="30"/>
          <w:szCs w:val="30"/>
        </w:rPr>
      </w:pPr>
      <w:r>
        <w:rPr>
          <w:color w:val="auto"/>
          <w:sz w:val="30"/>
          <w:szCs w:val="30"/>
        </w:rPr>
        <w:t xml:space="preserve">9.3 </w:t>
      </w:r>
      <w:r>
        <w:rPr>
          <w:rFonts w:hint="eastAsia"/>
          <w:color w:val="auto"/>
          <w:sz w:val="30"/>
          <w:szCs w:val="30"/>
        </w:rPr>
        <w:t>争议的解决</w:t>
      </w:r>
      <w:r>
        <w:rPr>
          <w:color w:val="auto"/>
          <w:sz w:val="30"/>
          <w:szCs w:val="30"/>
        </w:rPr>
        <w:t xml:space="preserve"> </w:t>
      </w:r>
    </w:p>
    <w:p w14:paraId="011B6C93">
      <w:pPr>
        <w:pStyle w:val="100"/>
        <w:spacing w:line="560" w:lineRule="exact"/>
        <w:ind w:firstLine="600" w:firstLineChars="200"/>
        <w:rPr>
          <w:color w:val="auto"/>
          <w:sz w:val="30"/>
          <w:szCs w:val="30"/>
        </w:rPr>
      </w:pPr>
      <w:r>
        <w:rPr>
          <w:rFonts w:hint="eastAsia"/>
          <w:color w:val="auto"/>
          <w:sz w:val="30"/>
          <w:szCs w:val="30"/>
        </w:rPr>
        <w:t>包括适用的法律，争议解决方式等。</w:t>
      </w:r>
    </w:p>
    <w:p w14:paraId="321375A5">
      <w:pPr>
        <w:pStyle w:val="100"/>
        <w:spacing w:line="560" w:lineRule="exact"/>
        <w:rPr>
          <w:rFonts w:cs="Calibri"/>
          <w:color w:val="auto"/>
          <w:sz w:val="30"/>
          <w:szCs w:val="30"/>
        </w:rPr>
      </w:pPr>
      <w:r>
        <w:rPr>
          <w:rFonts w:cs="Calibri"/>
          <w:color w:val="auto"/>
          <w:sz w:val="30"/>
          <w:szCs w:val="30"/>
        </w:rPr>
        <w:t xml:space="preserve">9.4 </w:t>
      </w:r>
      <w:r>
        <w:rPr>
          <w:rFonts w:hint="eastAsia"/>
          <w:color w:val="auto"/>
          <w:sz w:val="30"/>
          <w:szCs w:val="30"/>
        </w:rPr>
        <w:t>风险提示</w:t>
      </w:r>
      <w:r>
        <w:rPr>
          <w:color w:val="auto"/>
          <w:sz w:val="30"/>
          <w:szCs w:val="30"/>
        </w:rPr>
        <w:t xml:space="preserve"> </w:t>
      </w:r>
    </w:p>
    <w:p w14:paraId="4E5571D6">
      <w:pPr>
        <w:pStyle w:val="100"/>
        <w:spacing w:line="560" w:lineRule="exact"/>
        <w:ind w:firstLine="600" w:firstLineChars="200"/>
        <w:rPr>
          <w:rFonts w:cs="Calibri"/>
          <w:color w:val="auto"/>
          <w:sz w:val="30"/>
          <w:szCs w:val="30"/>
        </w:rPr>
      </w:pPr>
      <w:r>
        <w:rPr>
          <w:rFonts w:hint="eastAsia" w:cs="Calibri"/>
          <w:color w:val="auto"/>
          <w:sz w:val="30"/>
          <w:szCs w:val="30"/>
        </w:rPr>
        <w:t>包括在评价和购买本期凭证时，应提醒投资者考虑的各项风险因素。</w:t>
      </w:r>
    </w:p>
    <w:p w14:paraId="71F4F1C9">
      <w:pPr>
        <w:pStyle w:val="100"/>
        <w:spacing w:line="560" w:lineRule="exact"/>
        <w:rPr>
          <w:color w:val="auto"/>
          <w:sz w:val="30"/>
          <w:szCs w:val="30"/>
        </w:rPr>
      </w:pPr>
      <w:r>
        <w:rPr>
          <w:color w:val="auto"/>
          <w:sz w:val="30"/>
          <w:szCs w:val="30"/>
        </w:rPr>
        <w:t xml:space="preserve">9.5 </w:t>
      </w:r>
      <w:r>
        <w:rPr>
          <w:rFonts w:hint="eastAsia"/>
          <w:color w:val="auto"/>
          <w:sz w:val="30"/>
          <w:szCs w:val="30"/>
        </w:rPr>
        <w:t>关联方关系说明</w:t>
      </w:r>
      <w:r>
        <w:rPr>
          <w:color w:val="auto"/>
          <w:sz w:val="30"/>
          <w:szCs w:val="30"/>
        </w:rPr>
        <w:t xml:space="preserve"> </w:t>
      </w:r>
    </w:p>
    <w:p w14:paraId="2E5D7F85">
      <w:pPr>
        <w:pStyle w:val="100"/>
        <w:spacing w:line="560" w:lineRule="exact"/>
        <w:ind w:firstLine="600"/>
        <w:rPr>
          <w:color w:val="auto"/>
          <w:sz w:val="30"/>
          <w:szCs w:val="30"/>
        </w:rPr>
      </w:pPr>
      <w:r>
        <w:rPr>
          <w:rFonts w:hint="eastAsia"/>
          <w:color w:val="auto"/>
          <w:sz w:val="30"/>
          <w:szCs w:val="30"/>
        </w:rPr>
        <w:t>包括创设机构、参考实体、中介机构之间是否存在关联关系的说明。</w:t>
      </w:r>
    </w:p>
    <w:p w14:paraId="2BC53DCE">
      <w:pPr>
        <w:pStyle w:val="100"/>
        <w:spacing w:line="560" w:lineRule="exact"/>
        <w:rPr>
          <w:rFonts w:cs="Calibri"/>
          <w:b/>
          <w:color w:val="auto"/>
          <w:sz w:val="30"/>
          <w:szCs w:val="30"/>
        </w:rPr>
      </w:pPr>
      <w:r>
        <w:rPr>
          <w:rFonts w:hint="eastAsia"/>
          <w:b/>
          <w:color w:val="auto"/>
          <w:sz w:val="30"/>
          <w:szCs w:val="30"/>
        </w:rPr>
        <w:t>第十节</w:t>
      </w:r>
      <w:r>
        <w:rPr>
          <w:b/>
          <w:color w:val="auto"/>
          <w:sz w:val="30"/>
          <w:szCs w:val="30"/>
        </w:rPr>
        <w:t xml:space="preserve"> </w:t>
      </w:r>
      <w:r>
        <w:rPr>
          <w:rFonts w:hint="eastAsia"/>
          <w:b/>
          <w:color w:val="auto"/>
          <w:sz w:val="30"/>
          <w:szCs w:val="30"/>
        </w:rPr>
        <w:t>备查文件</w:t>
      </w:r>
      <w:r>
        <w:rPr>
          <w:b/>
          <w:color w:val="auto"/>
          <w:sz w:val="30"/>
          <w:szCs w:val="30"/>
        </w:rPr>
        <w:t xml:space="preserve"> </w:t>
      </w:r>
    </w:p>
    <w:p w14:paraId="5EF7838C">
      <w:pPr>
        <w:pStyle w:val="100"/>
        <w:spacing w:line="560" w:lineRule="exact"/>
        <w:rPr>
          <w:rFonts w:cs="Calibri"/>
          <w:color w:val="auto"/>
          <w:sz w:val="30"/>
          <w:szCs w:val="30"/>
        </w:rPr>
      </w:pPr>
      <w:r>
        <w:rPr>
          <w:color w:val="auto"/>
          <w:sz w:val="30"/>
          <w:szCs w:val="30"/>
        </w:rPr>
        <w:t xml:space="preserve">10.1 </w:t>
      </w:r>
      <w:r>
        <w:rPr>
          <w:rFonts w:hint="eastAsia"/>
          <w:color w:val="auto"/>
          <w:sz w:val="30"/>
          <w:szCs w:val="30"/>
        </w:rPr>
        <w:t>备查文件清单</w:t>
      </w:r>
      <w:r>
        <w:rPr>
          <w:color w:val="auto"/>
          <w:sz w:val="30"/>
          <w:szCs w:val="30"/>
        </w:rPr>
        <w:t xml:space="preserve"> </w:t>
      </w:r>
    </w:p>
    <w:p w14:paraId="4A7F333A">
      <w:pPr>
        <w:spacing w:line="560" w:lineRule="exact"/>
        <w:rPr>
          <w:rFonts w:ascii="仿宋_GB2312" w:eastAsia="仿宋_GB2312"/>
          <w:sz w:val="30"/>
          <w:szCs w:val="30"/>
        </w:rPr>
      </w:pPr>
      <w:r>
        <w:rPr>
          <w:rFonts w:ascii="仿宋_GB2312" w:eastAsia="仿宋_GB2312"/>
          <w:sz w:val="30"/>
          <w:szCs w:val="30"/>
        </w:rPr>
        <w:t xml:space="preserve">10.2 </w:t>
      </w:r>
      <w:r>
        <w:rPr>
          <w:rFonts w:hint="eastAsia" w:ascii="仿宋_GB2312" w:eastAsia="仿宋_GB2312"/>
          <w:sz w:val="30"/>
          <w:szCs w:val="30"/>
        </w:rPr>
        <w:t>查询地址</w:t>
      </w:r>
      <w:r>
        <w:rPr>
          <w:rFonts w:ascii="仿宋_GB2312" w:eastAsia="仿宋_GB2312"/>
          <w:sz w:val="30"/>
          <w:szCs w:val="30"/>
        </w:rPr>
        <w:t xml:space="preserve"> </w:t>
      </w:r>
    </w:p>
    <w:p w14:paraId="370CC912">
      <w:pPr>
        <w:pStyle w:val="100"/>
        <w:spacing w:line="560" w:lineRule="exact"/>
        <w:ind w:firstLine="600" w:firstLineChars="200"/>
        <w:rPr>
          <w:sz w:val="30"/>
          <w:szCs w:val="30"/>
        </w:rPr>
      </w:pPr>
      <w:r>
        <w:rPr>
          <w:rFonts w:hint="eastAsia"/>
          <w:sz w:val="30"/>
          <w:szCs w:val="30"/>
        </w:rPr>
        <w:t>包括查询方式、查询渠道、查询地址等。</w:t>
      </w:r>
    </w:p>
    <w:p w14:paraId="28C55151">
      <w:r>
        <w:br w:type="page"/>
      </w:r>
    </w:p>
    <w:p w14:paraId="427B094A">
      <w:pPr>
        <w:widowControl/>
        <w:jc w:val="left"/>
        <w:outlineLvl w:val="1"/>
        <w:rPr>
          <w:rFonts w:ascii="仿宋_GB2312" w:hAnsi="黑体" w:eastAsia="仿宋_GB2312"/>
          <w:b/>
          <w:sz w:val="30"/>
          <w:szCs w:val="30"/>
        </w:rPr>
      </w:pPr>
      <w:bookmarkStart w:id="3934" w:name="_Toc2089872629"/>
      <w:bookmarkStart w:id="3935" w:name="_Toc26994998"/>
      <w:bookmarkStart w:id="3936" w:name="_Toc226531103"/>
      <w:bookmarkStart w:id="3937" w:name="_Toc151137109"/>
      <w:bookmarkStart w:id="3938" w:name="_Toc1546759600"/>
      <w:r>
        <w:rPr>
          <w:rFonts w:hint="eastAsia" w:ascii="仿宋_GB2312" w:hAnsi="黑体" w:eastAsia="仿宋_GB2312"/>
          <w:b/>
          <w:sz w:val="30"/>
          <w:szCs w:val="30"/>
        </w:rPr>
        <w:t>附件26 信用保护凭证创设情况公告</w:t>
      </w:r>
      <w:bookmarkEnd w:id="3934"/>
      <w:bookmarkEnd w:id="3935"/>
      <w:bookmarkEnd w:id="3936"/>
      <w:bookmarkEnd w:id="3937"/>
      <w:bookmarkEnd w:id="3938"/>
    </w:p>
    <w:p w14:paraId="1CD184DA">
      <w:pPr>
        <w:spacing w:line="560" w:lineRule="exact"/>
        <w:ind w:firstLine="600" w:firstLineChars="200"/>
        <w:rPr>
          <w:rFonts w:eastAsia="仿宋_GB2312"/>
          <w:sz w:val="30"/>
          <w:szCs w:val="30"/>
        </w:rPr>
      </w:pPr>
    </w:p>
    <w:p w14:paraId="404E86A4">
      <w:pPr>
        <w:pStyle w:val="92"/>
        <w:spacing w:line="560" w:lineRule="exact"/>
        <w:ind w:firstLine="0"/>
        <w:jc w:val="center"/>
        <w:rPr>
          <w:rFonts w:ascii="黑体" w:hAnsi="黑体" w:eastAsia="黑体"/>
          <w:b/>
          <w:sz w:val="44"/>
          <w:szCs w:val="44"/>
          <w:lang w:eastAsia="zh-CN"/>
        </w:rPr>
      </w:pPr>
      <w:r>
        <w:rPr>
          <w:rFonts w:hint="eastAsia" w:ascii="黑体" w:hAnsi="黑体" w:eastAsia="黑体"/>
          <w:b/>
          <w:sz w:val="44"/>
          <w:szCs w:val="44"/>
          <w:lang w:eastAsia="zh-CN"/>
        </w:rPr>
        <w:t>信用保护凭证创设情况公告</w:t>
      </w:r>
    </w:p>
    <w:p w14:paraId="0209D00A">
      <w:pPr>
        <w:spacing w:line="560" w:lineRule="exact"/>
        <w:ind w:firstLine="600" w:firstLineChars="200"/>
        <w:rPr>
          <w:rFonts w:eastAsia="仿宋_GB2312"/>
          <w:sz w:val="30"/>
          <w:szCs w:val="30"/>
        </w:rPr>
      </w:pPr>
    </w:p>
    <w:p w14:paraId="38881565">
      <w:pPr>
        <w:spacing w:line="560" w:lineRule="exact"/>
        <w:rPr>
          <w:rFonts w:eastAsia="仿宋_GB2312"/>
          <w:sz w:val="30"/>
          <w:szCs w:val="32"/>
        </w:rPr>
      </w:pPr>
      <w:r>
        <w:rPr>
          <w:rFonts w:eastAsia="仿宋_GB2312"/>
          <w:sz w:val="30"/>
          <w:szCs w:val="32"/>
        </w:rPr>
        <w:t xml:space="preserve">    XXXX</w:t>
      </w:r>
      <w:r>
        <w:rPr>
          <w:rFonts w:hint="eastAsia" w:eastAsia="仿宋_GB2312"/>
          <w:sz w:val="30"/>
          <w:szCs w:val="32"/>
        </w:rPr>
        <w:t>信用保护凭证创设工作已经结束，根据簿记建档结果，现将本凭证创设最终要素公告如下：</w:t>
      </w: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8"/>
        <w:gridCol w:w="1559"/>
        <w:gridCol w:w="2314"/>
        <w:gridCol w:w="2131"/>
      </w:tblGrid>
      <w:tr w14:paraId="1748B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tcPr>
          <w:p w14:paraId="5308ECE3">
            <w:pPr>
              <w:spacing w:line="560" w:lineRule="exact"/>
              <w:rPr>
                <w:rFonts w:eastAsia="仿宋_GB2312"/>
                <w:sz w:val="24"/>
                <w:szCs w:val="24"/>
              </w:rPr>
            </w:pPr>
            <w:r>
              <w:rPr>
                <w:rFonts w:hint="eastAsia" w:eastAsia="仿宋_GB2312"/>
                <w:sz w:val="24"/>
                <w:szCs w:val="24"/>
              </w:rPr>
              <w:t>凭证名称</w:t>
            </w:r>
          </w:p>
        </w:tc>
        <w:tc>
          <w:tcPr>
            <w:tcW w:w="6004" w:type="dxa"/>
            <w:gridSpan w:val="3"/>
          </w:tcPr>
          <w:p w14:paraId="763B5224">
            <w:pPr>
              <w:spacing w:line="560" w:lineRule="exact"/>
              <w:rPr>
                <w:rFonts w:eastAsia="仿宋_GB2312"/>
                <w:sz w:val="24"/>
                <w:szCs w:val="24"/>
              </w:rPr>
            </w:pPr>
          </w:p>
        </w:tc>
      </w:tr>
      <w:tr w14:paraId="2FE9C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tcPr>
          <w:p w14:paraId="5F4CD213">
            <w:pPr>
              <w:spacing w:line="560" w:lineRule="exact"/>
              <w:rPr>
                <w:rFonts w:eastAsia="仿宋_GB2312"/>
                <w:sz w:val="24"/>
                <w:szCs w:val="24"/>
              </w:rPr>
            </w:pPr>
            <w:r>
              <w:rPr>
                <w:rFonts w:hint="eastAsia" w:eastAsia="仿宋_GB2312"/>
                <w:sz w:val="24"/>
                <w:szCs w:val="24"/>
              </w:rPr>
              <w:t>凭证简称</w:t>
            </w:r>
          </w:p>
        </w:tc>
        <w:tc>
          <w:tcPr>
            <w:tcW w:w="1559" w:type="dxa"/>
          </w:tcPr>
          <w:p w14:paraId="7A0D13BB">
            <w:pPr>
              <w:spacing w:line="560" w:lineRule="exact"/>
              <w:rPr>
                <w:rFonts w:eastAsia="仿宋_GB2312"/>
                <w:sz w:val="24"/>
                <w:szCs w:val="24"/>
              </w:rPr>
            </w:pPr>
          </w:p>
        </w:tc>
        <w:tc>
          <w:tcPr>
            <w:tcW w:w="2314" w:type="dxa"/>
          </w:tcPr>
          <w:p w14:paraId="3E617A46">
            <w:pPr>
              <w:spacing w:line="560" w:lineRule="exact"/>
              <w:rPr>
                <w:rFonts w:eastAsia="仿宋_GB2312"/>
                <w:sz w:val="24"/>
                <w:szCs w:val="24"/>
              </w:rPr>
            </w:pPr>
            <w:r>
              <w:rPr>
                <w:rFonts w:hint="eastAsia" w:eastAsia="仿宋_GB2312"/>
                <w:sz w:val="24"/>
                <w:szCs w:val="24"/>
              </w:rPr>
              <w:t>凭证代码</w:t>
            </w:r>
          </w:p>
        </w:tc>
        <w:tc>
          <w:tcPr>
            <w:tcW w:w="2131" w:type="dxa"/>
          </w:tcPr>
          <w:p w14:paraId="7ADA0CB2">
            <w:pPr>
              <w:spacing w:line="560" w:lineRule="exact"/>
              <w:rPr>
                <w:rFonts w:eastAsia="仿宋_GB2312"/>
                <w:sz w:val="24"/>
                <w:szCs w:val="24"/>
              </w:rPr>
            </w:pPr>
          </w:p>
        </w:tc>
      </w:tr>
      <w:tr w14:paraId="605CE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tcPr>
          <w:p w14:paraId="516F61AC">
            <w:pPr>
              <w:spacing w:line="560" w:lineRule="exact"/>
              <w:rPr>
                <w:rFonts w:eastAsia="仿宋_GB2312"/>
                <w:sz w:val="24"/>
                <w:szCs w:val="24"/>
              </w:rPr>
            </w:pPr>
            <w:r>
              <w:rPr>
                <w:rFonts w:hint="eastAsia" w:eastAsia="仿宋_GB2312"/>
                <w:sz w:val="24"/>
                <w:szCs w:val="24"/>
              </w:rPr>
              <w:t>凭证期限</w:t>
            </w:r>
          </w:p>
        </w:tc>
        <w:tc>
          <w:tcPr>
            <w:tcW w:w="1559" w:type="dxa"/>
          </w:tcPr>
          <w:p w14:paraId="6C35656D">
            <w:pPr>
              <w:spacing w:line="560" w:lineRule="exact"/>
              <w:rPr>
                <w:rFonts w:eastAsia="仿宋_GB2312"/>
                <w:sz w:val="24"/>
                <w:szCs w:val="24"/>
              </w:rPr>
            </w:pPr>
          </w:p>
        </w:tc>
        <w:tc>
          <w:tcPr>
            <w:tcW w:w="2314" w:type="dxa"/>
          </w:tcPr>
          <w:p w14:paraId="67AA1312">
            <w:pPr>
              <w:spacing w:line="560" w:lineRule="exact"/>
              <w:rPr>
                <w:rFonts w:eastAsia="仿宋_GB2312"/>
                <w:sz w:val="24"/>
                <w:szCs w:val="24"/>
              </w:rPr>
            </w:pPr>
            <w:r>
              <w:rPr>
                <w:rFonts w:hint="eastAsia" w:eastAsia="仿宋_GB2312"/>
                <w:sz w:val="24"/>
                <w:szCs w:val="24"/>
              </w:rPr>
              <w:t>凭证创设价格</w:t>
            </w:r>
          </w:p>
        </w:tc>
        <w:tc>
          <w:tcPr>
            <w:tcW w:w="2131" w:type="dxa"/>
          </w:tcPr>
          <w:p w14:paraId="338C3708">
            <w:pPr>
              <w:spacing w:line="560" w:lineRule="exact"/>
              <w:rPr>
                <w:rFonts w:eastAsia="仿宋_GB2312"/>
                <w:sz w:val="24"/>
                <w:szCs w:val="24"/>
              </w:rPr>
            </w:pPr>
          </w:p>
        </w:tc>
      </w:tr>
      <w:tr w14:paraId="732B6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18" w:type="dxa"/>
          </w:tcPr>
          <w:p w14:paraId="07C55AB1">
            <w:pPr>
              <w:spacing w:line="560" w:lineRule="exact"/>
              <w:rPr>
                <w:rFonts w:eastAsia="仿宋_GB2312"/>
                <w:sz w:val="24"/>
                <w:szCs w:val="24"/>
              </w:rPr>
            </w:pPr>
            <w:r>
              <w:rPr>
                <w:rFonts w:hint="eastAsia" w:eastAsia="仿宋_GB2312"/>
                <w:sz w:val="24"/>
                <w:szCs w:val="24"/>
              </w:rPr>
              <w:t>凭证起始日</w:t>
            </w:r>
          </w:p>
        </w:tc>
        <w:tc>
          <w:tcPr>
            <w:tcW w:w="1559" w:type="dxa"/>
          </w:tcPr>
          <w:p w14:paraId="6E5B3F23">
            <w:pPr>
              <w:spacing w:line="560" w:lineRule="exact"/>
              <w:rPr>
                <w:rFonts w:eastAsia="仿宋_GB2312"/>
                <w:sz w:val="24"/>
                <w:szCs w:val="24"/>
              </w:rPr>
            </w:pPr>
          </w:p>
        </w:tc>
        <w:tc>
          <w:tcPr>
            <w:tcW w:w="2314" w:type="dxa"/>
          </w:tcPr>
          <w:p w14:paraId="6295D7F3">
            <w:pPr>
              <w:spacing w:line="560" w:lineRule="exact"/>
              <w:rPr>
                <w:rFonts w:eastAsia="仿宋_GB2312"/>
                <w:sz w:val="24"/>
                <w:szCs w:val="24"/>
              </w:rPr>
            </w:pPr>
            <w:r>
              <w:rPr>
                <w:rFonts w:hint="eastAsia" w:eastAsia="仿宋_GB2312"/>
                <w:sz w:val="24"/>
                <w:szCs w:val="24"/>
              </w:rPr>
              <w:t>凭证到期日</w:t>
            </w:r>
          </w:p>
        </w:tc>
        <w:tc>
          <w:tcPr>
            <w:tcW w:w="2131" w:type="dxa"/>
          </w:tcPr>
          <w:p w14:paraId="7752AB82">
            <w:pPr>
              <w:spacing w:line="560" w:lineRule="exact"/>
              <w:rPr>
                <w:rFonts w:eastAsia="仿宋_GB2312"/>
                <w:sz w:val="24"/>
                <w:szCs w:val="24"/>
              </w:rPr>
            </w:pPr>
          </w:p>
        </w:tc>
      </w:tr>
      <w:tr w14:paraId="17280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tcPr>
          <w:p w14:paraId="1ABF5CA9">
            <w:pPr>
              <w:spacing w:line="560" w:lineRule="exact"/>
              <w:rPr>
                <w:rFonts w:eastAsia="仿宋_GB2312"/>
                <w:sz w:val="24"/>
                <w:szCs w:val="24"/>
              </w:rPr>
            </w:pPr>
            <w:r>
              <w:rPr>
                <w:rFonts w:hint="eastAsia" w:eastAsia="仿宋_GB2312"/>
                <w:sz w:val="24"/>
                <w:szCs w:val="24"/>
              </w:rPr>
              <w:t>创设数量（手）</w:t>
            </w:r>
          </w:p>
        </w:tc>
        <w:tc>
          <w:tcPr>
            <w:tcW w:w="1559" w:type="dxa"/>
          </w:tcPr>
          <w:p w14:paraId="691F554C">
            <w:pPr>
              <w:spacing w:line="560" w:lineRule="exact"/>
              <w:rPr>
                <w:rFonts w:eastAsia="仿宋_GB2312"/>
                <w:sz w:val="24"/>
                <w:szCs w:val="24"/>
              </w:rPr>
            </w:pPr>
          </w:p>
        </w:tc>
        <w:tc>
          <w:tcPr>
            <w:tcW w:w="2314" w:type="dxa"/>
          </w:tcPr>
          <w:p w14:paraId="6DD3EE9A">
            <w:pPr>
              <w:spacing w:line="560" w:lineRule="exact"/>
              <w:rPr>
                <w:rFonts w:eastAsia="仿宋_GB2312"/>
                <w:sz w:val="24"/>
                <w:szCs w:val="24"/>
              </w:rPr>
            </w:pPr>
            <w:r>
              <w:rPr>
                <w:rFonts w:hint="eastAsia" w:eastAsia="仿宋_GB2312"/>
                <w:sz w:val="24"/>
                <w:szCs w:val="24"/>
              </w:rPr>
              <w:t>创设总额（名义本金：元）</w:t>
            </w:r>
          </w:p>
        </w:tc>
        <w:tc>
          <w:tcPr>
            <w:tcW w:w="2131" w:type="dxa"/>
          </w:tcPr>
          <w:p w14:paraId="4DC6CC8D">
            <w:pPr>
              <w:spacing w:line="560" w:lineRule="exact"/>
              <w:rPr>
                <w:rFonts w:eastAsia="仿宋_GB2312"/>
                <w:sz w:val="24"/>
                <w:szCs w:val="24"/>
              </w:rPr>
            </w:pPr>
          </w:p>
        </w:tc>
      </w:tr>
    </w:tbl>
    <w:p w14:paraId="71FB848B">
      <w:pPr>
        <w:spacing w:line="560" w:lineRule="exact"/>
        <w:rPr>
          <w:rFonts w:eastAsia="仿宋_GB2312"/>
          <w:sz w:val="32"/>
          <w:szCs w:val="32"/>
        </w:rPr>
      </w:pPr>
    </w:p>
    <w:p w14:paraId="6E900221">
      <w:pPr>
        <w:spacing w:line="560" w:lineRule="exact"/>
        <w:ind w:right="1280"/>
        <w:rPr>
          <w:rFonts w:eastAsia="仿宋_GB2312"/>
          <w:sz w:val="30"/>
          <w:szCs w:val="30"/>
        </w:rPr>
      </w:pPr>
      <w:r>
        <w:rPr>
          <w:rFonts w:eastAsia="仿宋_GB2312"/>
          <w:sz w:val="32"/>
          <w:szCs w:val="32"/>
        </w:rPr>
        <w:t xml:space="preserve">                           </w:t>
      </w:r>
      <w:r>
        <w:rPr>
          <w:rFonts w:eastAsia="仿宋_GB2312"/>
          <w:sz w:val="30"/>
          <w:szCs w:val="30"/>
        </w:rPr>
        <w:t xml:space="preserve">  </w:t>
      </w:r>
      <w:r>
        <w:rPr>
          <w:rFonts w:hint="eastAsia" w:eastAsia="仿宋_GB2312"/>
          <w:sz w:val="30"/>
          <w:szCs w:val="30"/>
        </w:rPr>
        <w:t>凭证创设机构：</w:t>
      </w:r>
    </w:p>
    <w:p w14:paraId="04B70088">
      <w:pPr>
        <w:spacing w:line="560" w:lineRule="exact"/>
        <w:ind w:firstLine="6000" w:firstLineChars="2000"/>
        <w:rPr>
          <w:rFonts w:eastAsia="仿宋_GB2312"/>
          <w:sz w:val="30"/>
          <w:szCs w:val="30"/>
        </w:rPr>
      </w:pPr>
      <w:r>
        <w:rPr>
          <w:rFonts w:hint="eastAsia" w:eastAsia="仿宋_GB2312"/>
          <w:sz w:val="30"/>
          <w:szCs w:val="30"/>
        </w:rPr>
        <w:t>年</w:t>
      </w:r>
      <w:r>
        <w:rPr>
          <w:rFonts w:eastAsia="仿宋_GB2312"/>
          <w:sz w:val="30"/>
          <w:szCs w:val="30"/>
        </w:rPr>
        <w:t xml:space="preserve">    </w:t>
      </w:r>
      <w:r>
        <w:rPr>
          <w:rFonts w:hint="eastAsia" w:eastAsia="仿宋_GB2312"/>
          <w:sz w:val="30"/>
          <w:szCs w:val="30"/>
        </w:rPr>
        <w:t>月</w:t>
      </w:r>
      <w:r>
        <w:rPr>
          <w:rFonts w:eastAsia="仿宋_GB2312"/>
          <w:sz w:val="30"/>
          <w:szCs w:val="30"/>
        </w:rPr>
        <w:t xml:space="preserve">    </w:t>
      </w:r>
      <w:r>
        <w:rPr>
          <w:rFonts w:hint="eastAsia" w:eastAsia="仿宋_GB2312"/>
          <w:sz w:val="30"/>
          <w:szCs w:val="30"/>
        </w:rPr>
        <w:t>日</w:t>
      </w:r>
    </w:p>
    <w:p w14:paraId="531D9A2C">
      <w:r>
        <w:br w:type="page"/>
      </w:r>
    </w:p>
    <w:p w14:paraId="3BD3C30D">
      <w:pPr>
        <w:widowControl/>
        <w:jc w:val="left"/>
        <w:outlineLvl w:val="1"/>
        <w:rPr>
          <w:rFonts w:ascii="仿宋_GB2312" w:hAnsi="黑体" w:eastAsia="仿宋_GB2312"/>
          <w:b/>
          <w:sz w:val="30"/>
          <w:szCs w:val="30"/>
        </w:rPr>
      </w:pPr>
      <w:bookmarkStart w:id="3939" w:name="_Toc199867051"/>
      <w:bookmarkStart w:id="3940" w:name="_Toc151137110"/>
      <w:bookmarkStart w:id="3941" w:name="_Toc67027891"/>
      <w:bookmarkStart w:id="3942" w:name="_Toc88354767"/>
      <w:bookmarkStart w:id="3943" w:name="_Toc1027299809"/>
      <w:r>
        <w:rPr>
          <w:rFonts w:hint="eastAsia" w:ascii="仿宋_GB2312" w:hAnsi="黑体" w:eastAsia="仿宋_GB2312"/>
          <w:b/>
          <w:sz w:val="30"/>
          <w:szCs w:val="30"/>
        </w:rPr>
        <w:t>附件27 信用保护凭证挂牌转让申请书</w:t>
      </w:r>
      <w:bookmarkEnd w:id="3939"/>
      <w:bookmarkEnd w:id="3940"/>
      <w:bookmarkEnd w:id="3941"/>
      <w:bookmarkEnd w:id="3942"/>
      <w:bookmarkEnd w:id="3943"/>
    </w:p>
    <w:p w14:paraId="50930DD9">
      <w:pPr>
        <w:pStyle w:val="92"/>
        <w:spacing w:line="560" w:lineRule="exact"/>
        <w:ind w:firstLine="0"/>
        <w:jc w:val="center"/>
        <w:rPr>
          <w:rFonts w:ascii="黑体" w:hAnsi="黑体" w:eastAsia="黑体"/>
          <w:b/>
          <w:sz w:val="44"/>
          <w:szCs w:val="44"/>
          <w:lang w:eastAsia="zh-CN"/>
        </w:rPr>
      </w:pPr>
    </w:p>
    <w:p w14:paraId="35C71E6A">
      <w:pPr>
        <w:pStyle w:val="92"/>
        <w:spacing w:line="560" w:lineRule="exact"/>
        <w:ind w:firstLine="0"/>
        <w:jc w:val="center"/>
        <w:rPr>
          <w:rFonts w:ascii="黑体" w:hAnsi="黑体" w:eastAsia="黑体"/>
          <w:b/>
          <w:sz w:val="44"/>
          <w:szCs w:val="44"/>
          <w:lang w:eastAsia="zh-CN"/>
        </w:rPr>
      </w:pPr>
      <w:r>
        <w:rPr>
          <w:rFonts w:hint="eastAsia" w:ascii="黑体" w:hAnsi="黑体" w:eastAsia="黑体"/>
          <w:b/>
          <w:sz w:val="44"/>
          <w:szCs w:val="44"/>
          <w:lang w:eastAsia="zh-CN"/>
        </w:rPr>
        <w:t>信用保护凭证挂牌转让申请书</w:t>
      </w:r>
    </w:p>
    <w:p w14:paraId="16FC7045">
      <w:pPr>
        <w:spacing w:line="560" w:lineRule="exact"/>
        <w:jc w:val="center"/>
        <w:rPr>
          <w:rFonts w:eastAsia="仿宋_GB2312"/>
          <w:sz w:val="30"/>
          <w:szCs w:val="30"/>
        </w:rPr>
      </w:pPr>
      <w:r>
        <w:rPr>
          <w:rFonts w:hint="eastAsia" w:eastAsia="仿宋_GB2312"/>
          <w:sz w:val="30"/>
          <w:szCs w:val="30"/>
        </w:rPr>
        <w:t>（上市（挂牌）申请书至少包括但不限于以下内容）</w:t>
      </w:r>
    </w:p>
    <w:p w14:paraId="163B00FD">
      <w:pPr>
        <w:spacing w:line="560" w:lineRule="exact"/>
        <w:rPr>
          <w:rFonts w:eastAsia="仿宋_GB2312"/>
          <w:sz w:val="32"/>
        </w:rPr>
      </w:pPr>
    </w:p>
    <w:p w14:paraId="7984A8D4">
      <w:pPr>
        <w:spacing w:after="156" w:afterLines="50" w:line="560" w:lineRule="exact"/>
        <w:rPr>
          <w:rFonts w:eastAsia="仿宋_GB2312"/>
          <w:sz w:val="30"/>
          <w:szCs w:val="30"/>
        </w:rPr>
      </w:pPr>
      <w:r>
        <w:rPr>
          <w:rFonts w:hint="eastAsia" w:eastAsia="仿宋_GB2312"/>
          <w:sz w:val="30"/>
          <w:szCs w:val="30"/>
        </w:rPr>
        <w:t>上海证券交易所：</w:t>
      </w:r>
      <w:r>
        <w:rPr>
          <w:rFonts w:eastAsia="仿宋_GB2312"/>
          <w:sz w:val="30"/>
          <w:szCs w:val="30"/>
        </w:rPr>
        <w:t xml:space="preserve"> </w:t>
      </w:r>
    </w:p>
    <w:p w14:paraId="5E200704">
      <w:pPr>
        <w:spacing w:after="156" w:afterLines="50" w:line="560" w:lineRule="exact"/>
        <w:ind w:firstLine="600" w:firstLineChars="200"/>
        <w:rPr>
          <w:rFonts w:eastAsia="仿宋_GB2312"/>
          <w:sz w:val="30"/>
          <w:szCs w:val="30"/>
        </w:rPr>
      </w:pPr>
      <w:r>
        <w:rPr>
          <w:rFonts w:hint="eastAsia" w:eastAsia="仿宋_GB2312"/>
          <w:sz w:val="30"/>
          <w:szCs w:val="30"/>
        </w:rPr>
        <w:t>经贵所备案，本公司</w:t>
      </w:r>
      <w:r>
        <w:rPr>
          <w:rFonts w:eastAsia="仿宋_GB2312"/>
          <w:sz w:val="30"/>
          <w:szCs w:val="30"/>
        </w:rPr>
        <w:t>XXXX</w:t>
      </w:r>
      <w:r>
        <w:rPr>
          <w:rFonts w:hint="eastAsia" w:eastAsia="仿宋_GB2312"/>
          <w:sz w:val="30"/>
          <w:szCs w:val="30"/>
        </w:rPr>
        <w:t>亿元名义本金</w:t>
      </w:r>
      <w:r>
        <w:rPr>
          <w:rFonts w:eastAsia="仿宋_GB2312"/>
          <w:sz w:val="30"/>
          <w:szCs w:val="30"/>
        </w:rPr>
        <w:t>XXXX</w:t>
      </w:r>
      <w:r>
        <w:rPr>
          <w:rFonts w:hint="eastAsia" w:eastAsia="仿宋_GB2312"/>
          <w:sz w:val="30"/>
          <w:szCs w:val="30"/>
        </w:rPr>
        <w:t>年期，参考实体为</w:t>
      </w:r>
      <w:r>
        <w:rPr>
          <w:rFonts w:eastAsia="仿宋_GB2312"/>
          <w:sz w:val="30"/>
          <w:szCs w:val="30"/>
        </w:rPr>
        <w:t>XXXX</w:t>
      </w:r>
      <w:r>
        <w:rPr>
          <w:rFonts w:hint="eastAsia" w:eastAsia="仿宋_GB2312"/>
          <w:sz w:val="30"/>
          <w:szCs w:val="30"/>
        </w:rPr>
        <w:t>的凭证已于</w:t>
      </w:r>
      <w:r>
        <w:rPr>
          <w:rFonts w:eastAsia="仿宋_GB2312"/>
          <w:sz w:val="30"/>
          <w:szCs w:val="30"/>
        </w:rPr>
        <w:t xml:space="preserve"> [  ]</w:t>
      </w:r>
      <w:r>
        <w:rPr>
          <w:rFonts w:hint="eastAsia" w:eastAsia="仿宋_GB2312"/>
          <w:sz w:val="30"/>
          <w:szCs w:val="30"/>
        </w:rPr>
        <w:t>年</w:t>
      </w:r>
      <w:r>
        <w:rPr>
          <w:rFonts w:eastAsia="仿宋_GB2312"/>
          <w:sz w:val="30"/>
          <w:szCs w:val="30"/>
        </w:rPr>
        <w:t xml:space="preserve"> [  ]</w:t>
      </w:r>
      <w:r>
        <w:rPr>
          <w:rFonts w:hint="eastAsia" w:eastAsia="仿宋_GB2312"/>
          <w:sz w:val="30"/>
          <w:szCs w:val="30"/>
        </w:rPr>
        <w:t>月</w:t>
      </w:r>
      <w:r>
        <w:rPr>
          <w:rFonts w:eastAsia="仿宋_GB2312"/>
          <w:sz w:val="30"/>
          <w:szCs w:val="30"/>
        </w:rPr>
        <w:t xml:space="preserve"> [  ]</w:t>
      </w:r>
      <w:r>
        <w:rPr>
          <w:rFonts w:hint="eastAsia" w:eastAsia="仿宋_GB2312"/>
          <w:sz w:val="30"/>
          <w:szCs w:val="30"/>
        </w:rPr>
        <w:t>日创设完毕，并在中国证券登记结算有限责任公司上海分公司完成凭证登记、托管等工作。</w:t>
      </w:r>
    </w:p>
    <w:p w14:paraId="487BE7E9">
      <w:pPr>
        <w:spacing w:after="156" w:afterLines="50" w:line="560" w:lineRule="exact"/>
        <w:ind w:firstLine="600" w:firstLineChars="200"/>
        <w:rPr>
          <w:rFonts w:eastAsia="仿宋_GB2312"/>
          <w:sz w:val="30"/>
          <w:szCs w:val="30"/>
        </w:rPr>
      </w:pPr>
      <w:r>
        <w:rPr>
          <w:rFonts w:hint="eastAsia" w:eastAsia="仿宋_GB2312"/>
          <w:sz w:val="30"/>
          <w:szCs w:val="30"/>
        </w:rPr>
        <w:t>本公司认为本期凭证符合上海证券交易所的凭证挂牌条件，现申请本公司</w:t>
      </w:r>
      <w:r>
        <w:rPr>
          <w:rFonts w:eastAsia="仿宋_GB2312"/>
          <w:sz w:val="30"/>
          <w:szCs w:val="30"/>
        </w:rPr>
        <w:t>XXXX</w:t>
      </w:r>
      <w:r>
        <w:rPr>
          <w:rFonts w:hint="eastAsia" w:eastAsia="仿宋_GB2312"/>
          <w:sz w:val="30"/>
          <w:szCs w:val="30"/>
        </w:rPr>
        <w:t>凭证在贵所固定收益平台挂牌转让，请审核。</w:t>
      </w:r>
    </w:p>
    <w:p w14:paraId="3E025ADE">
      <w:pPr>
        <w:spacing w:after="156" w:afterLines="50" w:line="560" w:lineRule="exact"/>
        <w:ind w:firstLine="600" w:firstLineChars="200"/>
        <w:rPr>
          <w:rFonts w:eastAsia="仿宋_GB2312"/>
          <w:sz w:val="30"/>
          <w:szCs w:val="30"/>
        </w:rPr>
      </w:pPr>
      <w:r>
        <w:rPr>
          <w:rFonts w:hint="eastAsia" w:eastAsia="仿宋_GB2312"/>
          <w:sz w:val="30"/>
          <w:szCs w:val="30"/>
        </w:rPr>
        <w:t>特此申请。</w:t>
      </w:r>
    </w:p>
    <w:p w14:paraId="20CD2464">
      <w:pPr>
        <w:spacing w:after="156" w:afterLines="50" w:line="560" w:lineRule="exact"/>
        <w:rPr>
          <w:rFonts w:eastAsia="仿宋_GB2312"/>
          <w:sz w:val="30"/>
          <w:szCs w:val="30"/>
        </w:rPr>
      </w:pPr>
      <w:r>
        <w:rPr>
          <w:rFonts w:eastAsia="仿宋_GB2312"/>
          <w:sz w:val="30"/>
          <w:szCs w:val="30"/>
        </w:rPr>
        <w:t xml:space="preserve"> </w:t>
      </w:r>
    </w:p>
    <w:p w14:paraId="4A2876A4">
      <w:pPr>
        <w:spacing w:after="156" w:afterLines="50" w:line="560" w:lineRule="exact"/>
        <w:rPr>
          <w:sz w:val="24"/>
        </w:rPr>
      </w:pPr>
    </w:p>
    <w:p w14:paraId="7823DEE6">
      <w:pPr>
        <w:spacing w:after="156" w:afterLines="50" w:line="560" w:lineRule="exact"/>
        <w:rPr>
          <w:sz w:val="24"/>
        </w:rPr>
      </w:pPr>
    </w:p>
    <w:p w14:paraId="0C1B50B5">
      <w:pPr>
        <w:spacing w:after="156" w:afterLines="50" w:line="560" w:lineRule="exact"/>
        <w:ind w:firstLine="6600"/>
        <w:jc w:val="right"/>
        <w:rPr>
          <w:rFonts w:eastAsia="仿宋_GB2312"/>
          <w:sz w:val="30"/>
          <w:szCs w:val="30"/>
        </w:rPr>
      </w:pPr>
      <w:r>
        <w:rPr>
          <w:rFonts w:hint="eastAsia" w:eastAsia="仿宋_GB2312"/>
          <w:sz w:val="30"/>
          <w:szCs w:val="30"/>
        </w:rPr>
        <w:t>创设机构</w:t>
      </w:r>
    </w:p>
    <w:p w14:paraId="277F561E">
      <w:pPr>
        <w:spacing w:after="156" w:afterLines="50" w:line="560" w:lineRule="exact"/>
        <w:ind w:firstLine="6600"/>
        <w:jc w:val="right"/>
        <w:rPr>
          <w:rFonts w:eastAsia="仿宋_GB2312"/>
          <w:sz w:val="30"/>
          <w:szCs w:val="30"/>
        </w:rPr>
      </w:pPr>
      <w:r>
        <w:rPr>
          <w:rFonts w:eastAsia="仿宋_GB2312"/>
          <w:sz w:val="30"/>
          <w:szCs w:val="30"/>
        </w:rPr>
        <w:t>XXXX</w:t>
      </w:r>
      <w:r>
        <w:rPr>
          <w:rFonts w:hint="eastAsia" w:eastAsia="仿宋_GB2312"/>
          <w:sz w:val="30"/>
          <w:szCs w:val="30"/>
        </w:rPr>
        <w:t>公司（盖章）</w:t>
      </w:r>
    </w:p>
    <w:p w14:paraId="59F775FC">
      <w:pPr>
        <w:spacing w:line="560" w:lineRule="exact"/>
        <w:jc w:val="right"/>
        <w:rPr>
          <w:rFonts w:eastAsia="仿宋_GB2312"/>
          <w:sz w:val="30"/>
          <w:szCs w:val="30"/>
        </w:rPr>
      </w:pPr>
      <w:r>
        <w:rPr>
          <w:rFonts w:hint="eastAsia" w:eastAsia="仿宋_GB2312"/>
          <w:sz w:val="30"/>
          <w:szCs w:val="30"/>
        </w:rPr>
        <w:t>年</w:t>
      </w:r>
      <w:r>
        <w:rPr>
          <w:rFonts w:eastAsia="仿宋_GB2312"/>
          <w:sz w:val="30"/>
          <w:szCs w:val="30"/>
        </w:rPr>
        <w:t xml:space="preserve"> </w:t>
      </w:r>
      <w:r>
        <w:rPr>
          <w:rFonts w:hint="eastAsia" w:eastAsia="仿宋_GB2312"/>
          <w:sz w:val="30"/>
          <w:szCs w:val="30"/>
        </w:rPr>
        <w:t>月</w:t>
      </w:r>
      <w:r>
        <w:rPr>
          <w:rFonts w:eastAsia="仿宋_GB2312"/>
          <w:sz w:val="30"/>
          <w:szCs w:val="30"/>
        </w:rPr>
        <w:t xml:space="preserve"> </w:t>
      </w:r>
      <w:r>
        <w:rPr>
          <w:rFonts w:hint="eastAsia" w:eastAsia="仿宋_GB2312"/>
          <w:sz w:val="30"/>
          <w:szCs w:val="30"/>
        </w:rPr>
        <w:t>日</w:t>
      </w:r>
    </w:p>
    <w:p w14:paraId="08D04B86">
      <w:pPr>
        <w:widowControl/>
        <w:jc w:val="left"/>
        <w:rPr>
          <w:rFonts w:ascii="仿宋_GB2312" w:hAnsi="仿宋" w:eastAsia="仿宋_GB2312"/>
          <w:sz w:val="24"/>
          <w:szCs w:val="30"/>
        </w:rPr>
      </w:pPr>
    </w:p>
    <w:p w14:paraId="3C5028B3">
      <w:pPr>
        <w:spacing w:line="600" w:lineRule="exact"/>
        <w:jc w:val="left"/>
        <w:outlineLvl w:val="1"/>
        <w:rPr>
          <w:rFonts w:ascii="仿宋_GB2312" w:hAnsi="仿宋" w:eastAsia="仿宋_GB2312"/>
          <w:b/>
          <w:bCs/>
          <w:sz w:val="30"/>
          <w:szCs w:val="30"/>
        </w:rPr>
      </w:pPr>
      <w:r>
        <w:br w:type="page"/>
      </w:r>
      <w:bookmarkStart w:id="3944" w:name="_Toc443834455"/>
      <w:bookmarkStart w:id="3945" w:name="_Toc412492506"/>
      <w:bookmarkStart w:id="3946" w:name="_Toc2013376819"/>
      <w:bookmarkStart w:id="3947" w:name="_Toc1785922713"/>
      <w:bookmarkStart w:id="3948" w:name="_Toc151137111"/>
      <w:r>
        <w:rPr>
          <w:rFonts w:hint="eastAsia" w:ascii="仿宋_GB2312" w:hAnsi="黑体" w:eastAsia="仿宋_GB2312"/>
          <w:b/>
          <w:sz w:val="30"/>
          <w:szCs w:val="30"/>
        </w:rPr>
        <w:t>附件28 创设款到账确认书</w:t>
      </w:r>
      <w:bookmarkEnd w:id="3944"/>
      <w:bookmarkEnd w:id="3945"/>
      <w:bookmarkEnd w:id="3946"/>
      <w:bookmarkEnd w:id="3947"/>
      <w:bookmarkEnd w:id="3948"/>
    </w:p>
    <w:p w14:paraId="189C3DA3">
      <w:pPr>
        <w:pStyle w:val="92"/>
        <w:spacing w:line="560" w:lineRule="exact"/>
        <w:ind w:firstLine="0"/>
        <w:jc w:val="center"/>
        <w:rPr>
          <w:rFonts w:ascii="黑体" w:hAnsi="黑体" w:eastAsia="黑体"/>
          <w:b/>
          <w:sz w:val="44"/>
          <w:szCs w:val="44"/>
          <w:lang w:eastAsia="zh-CN"/>
        </w:rPr>
      </w:pPr>
    </w:p>
    <w:p w14:paraId="0CB467A4">
      <w:pPr>
        <w:pStyle w:val="92"/>
        <w:spacing w:line="560" w:lineRule="exact"/>
        <w:ind w:firstLine="0"/>
        <w:jc w:val="center"/>
        <w:rPr>
          <w:rFonts w:ascii="黑体" w:hAnsi="黑体" w:eastAsia="黑体"/>
          <w:b/>
          <w:sz w:val="44"/>
          <w:szCs w:val="44"/>
          <w:lang w:eastAsia="zh-CN"/>
        </w:rPr>
      </w:pPr>
      <w:r>
        <w:rPr>
          <w:rFonts w:hint="eastAsia" w:ascii="黑体" w:hAnsi="黑体" w:eastAsia="黑体"/>
          <w:b/>
          <w:sz w:val="44"/>
          <w:szCs w:val="44"/>
          <w:lang w:eastAsia="zh-CN"/>
        </w:rPr>
        <w:t>创设款到账确认书</w:t>
      </w:r>
    </w:p>
    <w:p w14:paraId="2728D987">
      <w:pPr>
        <w:pStyle w:val="92"/>
        <w:spacing w:line="560" w:lineRule="exact"/>
        <w:ind w:firstLine="0"/>
        <w:jc w:val="center"/>
        <w:rPr>
          <w:rFonts w:eastAsia="仿宋_GB2312"/>
          <w:sz w:val="28"/>
          <w:lang w:eastAsia="zh-CN"/>
        </w:rPr>
      </w:pPr>
    </w:p>
    <w:p w14:paraId="172069B9">
      <w:pPr>
        <w:spacing w:after="156" w:afterLines="50" w:line="560" w:lineRule="exact"/>
        <w:ind w:firstLine="600" w:firstLineChars="200"/>
        <w:rPr>
          <w:rFonts w:eastAsia="仿宋_GB2312"/>
          <w:sz w:val="30"/>
          <w:szCs w:val="30"/>
        </w:rPr>
      </w:pPr>
      <w:r>
        <w:rPr>
          <w:rFonts w:hint="eastAsia" w:eastAsia="仿宋_GB2312"/>
          <w:sz w:val="30"/>
          <w:szCs w:val="30"/>
        </w:rPr>
        <w:t>我公司于</w:t>
      </w:r>
      <w:r>
        <w:rPr>
          <w:rFonts w:eastAsia="仿宋_GB2312"/>
          <w:sz w:val="30"/>
          <w:szCs w:val="30"/>
        </w:rPr>
        <w:t xml:space="preserve"> [  ]</w:t>
      </w:r>
      <w:r>
        <w:rPr>
          <w:rFonts w:hint="eastAsia" w:eastAsia="仿宋_GB2312"/>
          <w:sz w:val="30"/>
          <w:szCs w:val="30"/>
        </w:rPr>
        <w:t>年</w:t>
      </w:r>
      <w:r>
        <w:rPr>
          <w:rFonts w:eastAsia="仿宋_GB2312"/>
          <w:sz w:val="30"/>
          <w:szCs w:val="30"/>
        </w:rPr>
        <w:t>[  ]</w:t>
      </w:r>
      <w:r>
        <w:rPr>
          <w:rFonts w:hint="eastAsia" w:eastAsia="仿宋_GB2312"/>
          <w:sz w:val="30"/>
          <w:szCs w:val="30"/>
        </w:rPr>
        <w:t>月</w:t>
      </w:r>
      <w:r>
        <w:rPr>
          <w:rFonts w:eastAsia="仿宋_GB2312"/>
          <w:sz w:val="30"/>
          <w:szCs w:val="30"/>
        </w:rPr>
        <w:t>[  ]</w:t>
      </w:r>
      <w:r>
        <w:rPr>
          <w:rFonts w:hint="eastAsia" w:eastAsia="仿宋_GB2312"/>
          <w:sz w:val="30"/>
          <w:szCs w:val="30"/>
        </w:rPr>
        <w:t>日完成</w:t>
      </w:r>
      <w:r>
        <w:rPr>
          <w:rFonts w:eastAsia="仿宋_GB2312"/>
          <w:sz w:val="30"/>
          <w:szCs w:val="30"/>
        </w:rPr>
        <w:t>XXXX</w:t>
      </w:r>
      <w:r>
        <w:rPr>
          <w:rFonts w:hint="eastAsia" w:eastAsia="仿宋_GB2312"/>
          <w:sz w:val="30"/>
          <w:szCs w:val="30"/>
        </w:rPr>
        <w:t>凭证（证券代码</w:t>
      </w:r>
      <w:r>
        <w:rPr>
          <w:rFonts w:eastAsia="仿宋_GB2312"/>
          <w:sz w:val="30"/>
          <w:szCs w:val="30"/>
        </w:rPr>
        <w:t>XXXX</w:t>
      </w:r>
      <w:r>
        <w:rPr>
          <w:rFonts w:hint="eastAsia" w:eastAsia="仿宋_GB2312"/>
          <w:sz w:val="30"/>
          <w:szCs w:val="30"/>
        </w:rPr>
        <w:t>，证券简称</w:t>
      </w:r>
      <w:r>
        <w:rPr>
          <w:rFonts w:eastAsia="仿宋_GB2312"/>
          <w:sz w:val="30"/>
          <w:szCs w:val="30"/>
        </w:rPr>
        <w:t>XXXX</w:t>
      </w:r>
      <w:r>
        <w:rPr>
          <w:rFonts w:hint="eastAsia" w:eastAsia="仿宋_GB2312"/>
          <w:sz w:val="30"/>
          <w:szCs w:val="30"/>
        </w:rPr>
        <w:t>）创设工作，确认收到本期凭证创设款合计人民币</w:t>
      </w:r>
      <w:r>
        <w:rPr>
          <w:rFonts w:eastAsia="仿宋_GB2312"/>
          <w:sz w:val="30"/>
          <w:szCs w:val="30"/>
        </w:rPr>
        <w:t>XXXX</w:t>
      </w:r>
      <w:r>
        <w:rPr>
          <w:rFonts w:hint="eastAsia" w:eastAsia="仿宋_GB2312"/>
          <w:sz w:val="30"/>
          <w:szCs w:val="30"/>
        </w:rPr>
        <w:t>元（大写</w:t>
      </w:r>
      <w:r>
        <w:rPr>
          <w:rFonts w:eastAsia="仿宋_GB2312"/>
          <w:sz w:val="30"/>
          <w:szCs w:val="30"/>
        </w:rPr>
        <w:t xml:space="preserve"> XXXX</w:t>
      </w:r>
      <w:r>
        <w:rPr>
          <w:rFonts w:hint="eastAsia" w:eastAsia="仿宋_GB2312"/>
          <w:sz w:val="30"/>
          <w:szCs w:val="30"/>
        </w:rPr>
        <w:t>圆）。</w:t>
      </w:r>
    </w:p>
    <w:p w14:paraId="37CE71B8">
      <w:pPr>
        <w:spacing w:after="156" w:afterLines="50" w:line="560" w:lineRule="exact"/>
        <w:ind w:firstLine="600" w:firstLineChars="200"/>
        <w:rPr>
          <w:rFonts w:eastAsia="仿宋_GB2312"/>
          <w:sz w:val="30"/>
          <w:szCs w:val="30"/>
        </w:rPr>
      </w:pPr>
      <w:r>
        <w:rPr>
          <w:rFonts w:hint="eastAsia" w:eastAsia="仿宋_GB2312"/>
          <w:sz w:val="30"/>
          <w:szCs w:val="30"/>
        </w:rPr>
        <w:t>我公司承诺本期凭证募集资金已足额到账并承担因募集资金未及时、足额到位所致的全部法律责任。</w:t>
      </w:r>
    </w:p>
    <w:p w14:paraId="45D028E0">
      <w:pPr>
        <w:spacing w:after="156" w:afterLines="50" w:line="560" w:lineRule="exact"/>
        <w:ind w:firstLine="600" w:firstLineChars="200"/>
        <w:rPr>
          <w:rFonts w:eastAsia="仿宋_GB2312"/>
          <w:sz w:val="30"/>
          <w:szCs w:val="30"/>
        </w:rPr>
      </w:pPr>
      <w:r>
        <w:rPr>
          <w:rFonts w:hint="eastAsia" w:eastAsia="仿宋_GB2312"/>
          <w:sz w:val="30"/>
          <w:szCs w:val="30"/>
        </w:rPr>
        <w:t>特此说明。</w:t>
      </w:r>
    </w:p>
    <w:p w14:paraId="54C1B186">
      <w:pPr>
        <w:widowControl/>
        <w:spacing w:after="156" w:afterLines="50" w:line="560" w:lineRule="exact"/>
        <w:ind w:firstLine="480"/>
        <w:jc w:val="left"/>
        <w:rPr>
          <w:rFonts w:cs="宋体"/>
          <w:kern w:val="0"/>
          <w:sz w:val="24"/>
        </w:rPr>
      </w:pPr>
    </w:p>
    <w:p w14:paraId="7B5DEF13">
      <w:pPr>
        <w:widowControl/>
        <w:spacing w:after="156" w:afterLines="50" w:line="560" w:lineRule="exact"/>
        <w:ind w:firstLine="480"/>
        <w:jc w:val="left"/>
        <w:rPr>
          <w:rFonts w:cs="宋体"/>
          <w:kern w:val="0"/>
          <w:sz w:val="24"/>
        </w:rPr>
      </w:pPr>
    </w:p>
    <w:p w14:paraId="1D986D32">
      <w:pPr>
        <w:widowControl/>
        <w:spacing w:after="156" w:afterLines="50" w:line="560" w:lineRule="exact"/>
        <w:ind w:firstLine="480"/>
        <w:jc w:val="left"/>
        <w:rPr>
          <w:rFonts w:cs="宋体"/>
          <w:kern w:val="0"/>
          <w:sz w:val="24"/>
        </w:rPr>
      </w:pPr>
      <w:r>
        <w:rPr>
          <w:rFonts w:cs="宋体"/>
          <w:kern w:val="0"/>
          <w:sz w:val="24"/>
        </w:rPr>
        <w:t xml:space="preserve">  </w:t>
      </w:r>
    </w:p>
    <w:p w14:paraId="0D5CA774">
      <w:pPr>
        <w:widowControl/>
        <w:spacing w:after="156" w:afterLines="50" w:line="560" w:lineRule="exact"/>
        <w:ind w:firstLine="480"/>
        <w:jc w:val="left"/>
        <w:rPr>
          <w:rFonts w:cs="宋体"/>
          <w:kern w:val="0"/>
          <w:sz w:val="24"/>
        </w:rPr>
      </w:pPr>
    </w:p>
    <w:p w14:paraId="20C679EE">
      <w:pPr>
        <w:spacing w:line="560" w:lineRule="exact"/>
        <w:ind w:firstLine="6750"/>
        <w:jc w:val="right"/>
        <w:rPr>
          <w:rFonts w:eastAsia="仿宋_GB2312"/>
          <w:sz w:val="30"/>
          <w:szCs w:val="30"/>
        </w:rPr>
      </w:pPr>
      <w:r>
        <w:rPr>
          <w:rFonts w:hint="eastAsia" w:eastAsia="仿宋_GB2312"/>
          <w:sz w:val="30"/>
          <w:szCs w:val="30"/>
        </w:rPr>
        <w:t>创设机构</w:t>
      </w:r>
      <w:r>
        <w:rPr>
          <w:rFonts w:eastAsia="仿宋_GB2312"/>
          <w:sz w:val="30"/>
          <w:szCs w:val="30"/>
        </w:rPr>
        <w:t xml:space="preserve">       XXXX</w:t>
      </w:r>
      <w:r>
        <w:rPr>
          <w:rFonts w:hint="eastAsia" w:eastAsia="仿宋_GB2312"/>
          <w:sz w:val="30"/>
          <w:szCs w:val="30"/>
        </w:rPr>
        <w:t>公司</w:t>
      </w:r>
      <w:r>
        <w:rPr>
          <w:rFonts w:eastAsia="仿宋_GB2312"/>
          <w:sz w:val="30"/>
          <w:szCs w:val="30"/>
        </w:rPr>
        <w:t xml:space="preserve"> </w:t>
      </w:r>
      <w:r>
        <w:rPr>
          <w:rFonts w:hint="eastAsia" w:eastAsia="仿宋_GB2312"/>
          <w:sz w:val="30"/>
          <w:szCs w:val="30"/>
        </w:rPr>
        <w:t>（盖章）</w:t>
      </w:r>
    </w:p>
    <w:p w14:paraId="05D064C5">
      <w:pPr>
        <w:spacing w:line="560" w:lineRule="exact"/>
        <w:ind w:firstLine="600" w:firstLineChars="200"/>
        <w:jc w:val="right"/>
        <w:rPr>
          <w:rFonts w:eastAsia="仿宋_GB2312"/>
          <w:sz w:val="30"/>
          <w:szCs w:val="30"/>
        </w:rPr>
      </w:pPr>
      <w:r>
        <w:rPr>
          <w:rFonts w:eastAsia="仿宋_GB2312"/>
          <w:sz w:val="30"/>
          <w:szCs w:val="30"/>
        </w:rPr>
        <w:t xml:space="preserve">             </w:t>
      </w:r>
      <w:r>
        <w:rPr>
          <w:rFonts w:hint="eastAsia" w:eastAsia="仿宋_GB2312"/>
          <w:sz w:val="30"/>
          <w:szCs w:val="30"/>
        </w:rPr>
        <w:t>年</w:t>
      </w:r>
      <w:r>
        <w:rPr>
          <w:rFonts w:eastAsia="仿宋_GB2312"/>
          <w:sz w:val="30"/>
          <w:szCs w:val="30"/>
        </w:rPr>
        <w:t xml:space="preserve">    </w:t>
      </w:r>
      <w:r>
        <w:rPr>
          <w:rFonts w:hint="eastAsia" w:eastAsia="仿宋_GB2312"/>
          <w:sz w:val="30"/>
          <w:szCs w:val="30"/>
        </w:rPr>
        <w:t>月</w:t>
      </w:r>
      <w:r>
        <w:rPr>
          <w:rFonts w:eastAsia="仿宋_GB2312"/>
          <w:sz w:val="30"/>
          <w:szCs w:val="30"/>
        </w:rPr>
        <w:t xml:space="preserve">   </w:t>
      </w:r>
      <w:r>
        <w:rPr>
          <w:rFonts w:hint="eastAsia" w:eastAsia="仿宋_GB2312"/>
          <w:sz w:val="30"/>
          <w:szCs w:val="30"/>
        </w:rPr>
        <w:t>日</w:t>
      </w:r>
    </w:p>
    <w:p w14:paraId="3DB11D22">
      <w:pPr>
        <w:widowControl/>
        <w:jc w:val="left"/>
        <w:rPr>
          <w:rFonts w:ascii="仿宋_GB2312" w:hAnsi="仿宋" w:eastAsia="仿宋_GB2312"/>
          <w:sz w:val="24"/>
          <w:szCs w:val="30"/>
        </w:rPr>
      </w:pPr>
    </w:p>
    <w:p w14:paraId="570DFE23">
      <w:r>
        <w:br w:type="page"/>
      </w:r>
    </w:p>
    <w:p w14:paraId="30F03945">
      <w:pPr>
        <w:widowControl/>
        <w:jc w:val="left"/>
        <w:outlineLvl w:val="1"/>
        <w:rPr>
          <w:rFonts w:ascii="仿宋_GB2312" w:hAnsi="黑体" w:eastAsia="仿宋_GB2312"/>
          <w:b/>
          <w:sz w:val="30"/>
          <w:szCs w:val="30"/>
        </w:rPr>
      </w:pPr>
      <w:bookmarkStart w:id="3949" w:name="_Toc812284048"/>
      <w:bookmarkStart w:id="3950" w:name="_Toc397507854"/>
      <w:bookmarkStart w:id="3951" w:name="_Toc450176048"/>
      <w:bookmarkStart w:id="3952" w:name="_Toc1207042544"/>
      <w:bookmarkStart w:id="3953" w:name="_Toc151137112"/>
      <w:r>
        <w:rPr>
          <w:rFonts w:hint="eastAsia" w:ascii="仿宋_GB2312" w:hAnsi="黑体" w:eastAsia="仿宋_GB2312"/>
          <w:b/>
          <w:sz w:val="30"/>
          <w:szCs w:val="30"/>
        </w:rPr>
        <w:t>附件29 信用保护凭证在上海证券交易所挂牌转让的公告</w:t>
      </w:r>
      <w:bookmarkEnd w:id="3949"/>
      <w:bookmarkEnd w:id="3950"/>
      <w:bookmarkEnd w:id="3951"/>
      <w:bookmarkEnd w:id="3952"/>
      <w:bookmarkEnd w:id="3953"/>
    </w:p>
    <w:p w14:paraId="7AF941FE">
      <w:pPr>
        <w:pStyle w:val="92"/>
        <w:spacing w:line="560" w:lineRule="exact"/>
        <w:ind w:firstLine="0"/>
        <w:jc w:val="center"/>
        <w:rPr>
          <w:rFonts w:ascii="黑体" w:hAnsi="黑体" w:eastAsia="黑体"/>
          <w:b/>
          <w:sz w:val="44"/>
          <w:szCs w:val="44"/>
          <w:lang w:eastAsia="zh-CN"/>
        </w:rPr>
      </w:pPr>
    </w:p>
    <w:p w14:paraId="4B65659B">
      <w:pPr>
        <w:pStyle w:val="92"/>
        <w:spacing w:line="560" w:lineRule="exact"/>
        <w:ind w:firstLine="0"/>
        <w:jc w:val="center"/>
        <w:rPr>
          <w:rFonts w:ascii="黑体" w:hAnsi="黑体" w:eastAsia="黑体"/>
          <w:b/>
          <w:sz w:val="44"/>
          <w:szCs w:val="44"/>
          <w:lang w:eastAsia="zh-CN"/>
        </w:rPr>
      </w:pPr>
      <w:r>
        <w:rPr>
          <w:rFonts w:hint="eastAsia" w:ascii="黑体" w:hAnsi="黑体" w:eastAsia="黑体"/>
          <w:b/>
          <w:sz w:val="44"/>
          <w:szCs w:val="44"/>
          <w:lang w:eastAsia="zh-CN"/>
        </w:rPr>
        <w:t>信用保护凭证在上海证券交易所挂牌</w:t>
      </w:r>
    </w:p>
    <w:p w14:paraId="44E38873">
      <w:pPr>
        <w:pStyle w:val="92"/>
        <w:spacing w:after="93" w:line="560" w:lineRule="exact"/>
        <w:ind w:firstLine="0"/>
        <w:jc w:val="center"/>
        <w:rPr>
          <w:lang w:eastAsia="zh-CN"/>
        </w:rPr>
      </w:pPr>
      <w:r>
        <w:rPr>
          <w:rFonts w:hint="eastAsia" w:ascii="黑体" w:hAnsi="黑体" w:eastAsia="黑体"/>
          <w:b/>
          <w:sz w:val="44"/>
          <w:szCs w:val="44"/>
          <w:lang w:eastAsia="zh-CN"/>
        </w:rPr>
        <w:t>转让的公告</w:t>
      </w:r>
    </w:p>
    <w:p w14:paraId="09D9826F">
      <w:pPr>
        <w:spacing w:line="560" w:lineRule="exact"/>
        <w:ind w:firstLine="600" w:firstLineChars="200"/>
        <w:rPr>
          <w:rFonts w:eastAsia="仿宋_GB2312"/>
          <w:sz w:val="30"/>
          <w:szCs w:val="30"/>
        </w:rPr>
      </w:pPr>
      <w:r>
        <w:rPr>
          <w:rFonts w:hint="eastAsia" w:eastAsia="仿宋_GB2312"/>
          <w:sz w:val="30"/>
          <w:szCs w:val="30"/>
        </w:rPr>
        <w:t>根据上海证券交易所信用保护凭证挂牌的有关规定，</w:t>
      </w:r>
      <w:r>
        <w:rPr>
          <w:rFonts w:eastAsia="仿宋_GB2312"/>
          <w:sz w:val="30"/>
          <w:szCs w:val="30"/>
        </w:rPr>
        <w:t>XXXX</w:t>
      </w:r>
      <w:r>
        <w:rPr>
          <w:rFonts w:hint="eastAsia" w:eastAsia="仿宋_GB2312"/>
          <w:sz w:val="30"/>
          <w:szCs w:val="30"/>
        </w:rPr>
        <w:t>公司创设的</w:t>
      </w:r>
      <w:r>
        <w:rPr>
          <w:rFonts w:eastAsia="仿宋_GB2312"/>
          <w:sz w:val="30"/>
          <w:szCs w:val="30"/>
        </w:rPr>
        <w:t>XXXX</w:t>
      </w:r>
      <w:r>
        <w:rPr>
          <w:rFonts w:hint="eastAsia" w:eastAsia="仿宋_GB2312"/>
          <w:sz w:val="30"/>
          <w:szCs w:val="30"/>
        </w:rPr>
        <w:t>信用保护凭证，将于</w:t>
      </w:r>
      <w:r>
        <w:rPr>
          <w:rFonts w:eastAsia="仿宋_GB2312"/>
          <w:sz w:val="30"/>
          <w:szCs w:val="30"/>
        </w:rPr>
        <w:t>[  ]</w:t>
      </w:r>
      <w:r>
        <w:rPr>
          <w:rFonts w:hint="eastAsia" w:eastAsia="仿宋_GB2312"/>
          <w:sz w:val="30"/>
          <w:szCs w:val="30"/>
        </w:rPr>
        <w:t>年</w:t>
      </w:r>
      <w:r>
        <w:rPr>
          <w:rFonts w:eastAsia="仿宋_GB2312"/>
          <w:sz w:val="30"/>
          <w:szCs w:val="30"/>
        </w:rPr>
        <w:t>[  ]</w:t>
      </w:r>
      <w:r>
        <w:rPr>
          <w:rFonts w:hint="eastAsia" w:eastAsia="仿宋_GB2312"/>
          <w:sz w:val="30"/>
          <w:szCs w:val="30"/>
        </w:rPr>
        <w:t>月</w:t>
      </w:r>
      <w:r>
        <w:rPr>
          <w:rFonts w:eastAsia="仿宋_GB2312"/>
          <w:sz w:val="30"/>
          <w:szCs w:val="30"/>
        </w:rPr>
        <w:t>[  ]</w:t>
      </w:r>
      <w:r>
        <w:rPr>
          <w:rFonts w:hint="eastAsia" w:eastAsia="仿宋_GB2312"/>
          <w:sz w:val="30"/>
          <w:szCs w:val="30"/>
        </w:rPr>
        <w:t>日起在上海证券交易所固定收益证券综合电子平台挂牌转让。信用保护凭证相关要素如下：</w:t>
      </w:r>
      <w:r>
        <w:rPr>
          <w:rFonts w:eastAsia="仿宋_GB2312"/>
          <w:sz w:val="30"/>
          <w:szCs w:val="30"/>
        </w:rPr>
        <w:t xml:space="preserve"> </w:t>
      </w:r>
    </w:p>
    <w:tbl>
      <w:tblPr>
        <w:tblStyle w:val="4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08"/>
        <w:gridCol w:w="5614"/>
      </w:tblGrid>
      <w:tr w14:paraId="09140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6" w:type="pct"/>
            <w:tcBorders>
              <w:top w:val="single" w:color="auto" w:sz="4" w:space="0"/>
              <w:left w:val="single" w:color="auto" w:sz="4" w:space="0"/>
              <w:bottom w:val="single" w:color="auto" w:sz="4" w:space="0"/>
              <w:right w:val="single" w:color="auto" w:sz="4" w:space="0"/>
            </w:tcBorders>
          </w:tcPr>
          <w:p w14:paraId="141F6F54">
            <w:pPr>
              <w:spacing w:line="560" w:lineRule="exact"/>
              <w:jc w:val="center"/>
              <w:rPr>
                <w:rFonts w:eastAsia="仿宋_GB2312"/>
                <w:sz w:val="30"/>
                <w:szCs w:val="30"/>
              </w:rPr>
            </w:pPr>
            <w:r>
              <w:rPr>
                <w:rFonts w:hint="eastAsia" w:eastAsia="仿宋_GB2312"/>
                <w:sz w:val="30"/>
                <w:szCs w:val="30"/>
              </w:rPr>
              <w:t>凭证名称</w:t>
            </w:r>
          </w:p>
        </w:tc>
        <w:tc>
          <w:tcPr>
            <w:tcW w:w="3294" w:type="pct"/>
            <w:tcBorders>
              <w:top w:val="single" w:color="auto" w:sz="4" w:space="0"/>
              <w:left w:val="single" w:color="auto" w:sz="4" w:space="0"/>
              <w:bottom w:val="single" w:color="auto" w:sz="4" w:space="0"/>
              <w:right w:val="single" w:color="auto" w:sz="4" w:space="0"/>
            </w:tcBorders>
          </w:tcPr>
          <w:p w14:paraId="7757B928">
            <w:pPr>
              <w:spacing w:line="560" w:lineRule="exact"/>
              <w:jc w:val="center"/>
              <w:rPr>
                <w:rFonts w:eastAsia="仿宋_GB2312"/>
                <w:sz w:val="30"/>
                <w:szCs w:val="30"/>
              </w:rPr>
            </w:pPr>
          </w:p>
        </w:tc>
      </w:tr>
      <w:tr w14:paraId="6D6D8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6" w:type="pct"/>
            <w:tcBorders>
              <w:top w:val="single" w:color="auto" w:sz="4" w:space="0"/>
              <w:left w:val="single" w:color="auto" w:sz="4" w:space="0"/>
              <w:bottom w:val="single" w:color="auto" w:sz="4" w:space="0"/>
              <w:right w:val="single" w:color="auto" w:sz="4" w:space="0"/>
            </w:tcBorders>
          </w:tcPr>
          <w:p w14:paraId="609E59AA">
            <w:pPr>
              <w:spacing w:line="560" w:lineRule="exact"/>
              <w:jc w:val="center"/>
              <w:rPr>
                <w:rFonts w:eastAsia="仿宋_GB2312"/>
                <w:sz w:val="30"/>
                <w:szCs w:val="30"/>
              </w:rPr>
            </w:pPr>
            <w:r>
              <w:rPr>
                <w:rFonts w:hint="eastAsia" w:eastAsia="仿宋_GB2312"/>
                <w:sz w:val="30"/>
                <w:szCs w:val="30"/>
              </w:rPr>
              <w:t>凭证简称</w:t>
            </w:r>
          </w:p>
        </w:tc>
        <w:tc>
          <w:tcPr>
            <w:tcW w:w="3294" w:type="pct"/>
            <w:tcBorders>
              <w:top w:val="single" w:color="auto" w:sz="4" w:space="0"/>
              <w:left w:val="single" w:color="auto" w:sz="4" w:space="0"/>
              <w:bottom w:val="single" w:color="auto" w:sz="4" w:space="0"/>
              <w:right w:val="single" w:color="auto" w:sz="4" w:space="0"/>
            </w:tcBorders>
          </w:tcPr>
          <w:p w14:paraId="6B95661C">
            <w:pPr>
              <w:spacing w:line="560" w:lineRule="exact"/>
              <w:jc w:val="center"/>
              <w:rPr>
                <w:rFonts w:eastAsia="仿宋_GB2312"/>
                <w:sz w:val="30"/>
                <w:szCs w:val="30"/>
              </w:rPr>
            </w:pPr>
          </w:p>
        </w:tc>
      </w:tr>
      <w:tr w14:paraId="4520D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6" w:type="pct"/>
            <w:tcBorders>
              <w:top w:val="single" w:color="auto" w:sz="4" w:space="0"/>
              <w:left w:val="single" w:color="auto" w:sz="4" w:space="0"/>
              <w:bottom w:val="single" w:color="auto" w:sz="4" w:space="0"/>
              <w:right w:val="single" w:color="auto" w:sz="4" w:space="0"/>
            </w:tcBorders>
          </w:tcPr>
          <w:p w14:paraId="1DC3DC92">
            <w:pPr>
              <w:spacing w:line="560" w:lineRule="exact"/>
              <w:jc w:val="center"/>
              <w:rPr>
                <w:rFonts w:eastAsia="仿宋_GB2312"/>
                <w:sz w:val="30"/>
                <w:szCs w:val="30"/>
              </w:rPr>
            </w:pPr>
            <w:r>
              <w:rPr>
                <w:rFonts w:hint="eastAsia" w:eastAsia="仿宋_GB2312"/>
                <w:sz w:val="30"/>
                <w:szCs w:val="30"/>
              </w:rPr>
              <w:t>凭证代码</w:t>
            </w:r>
          </w:p>
        </w:tc>
        <w:tc>
          <w:tcPr>
            <w:tcW w:w="3294" w:type="pct"/>
            <w:tcBorders>
              <w:top w:val="single" w:color="auto" w:sz="4" w:space="0"/>
              <w:left w:val="single" w:color="auto" w:sz="4" w:space="0"/>
              <w:bottom w:val="single" w:color="auto" w:sz="4" w:space="0"/>
              <w:right w:val="single" w:color="auto" w:sz="4" w:space="0"/>
            </w:tcBorders>
          </w:tcPr>
          <w:p w14:paraId="4C94A237">
            <w:pPr>
              <w:spacing w:line="560" w:lineRule="exact"/>
              <w:jc w:val="center"/>
              <w:rPr>
                <w:rFonts w:eastAsia="仿宋_GB2312"/>
                <w:sz w:val="30"/>
                <w:szCs w:val="30"/>
              </w:rPr>
            </w:pPr>
          </w:p>
        </w:tc>
      </w:tr>
      <w:tr w14:paraId="7CFF1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6" w:type="pct"/>
            <w:tcBorders>
              <w:top w:val="single" w:color="auto" w:sz="4" w:space="0"/>
              <w:left w:val="single" w:color="auto" w:sz="4" w:space="0"/>
              <w:bottom w:val="single" w:color="auto" w:sz="4" w:space="0"/>
              <w:right w:val="single" w:color="auto" w:sz="4" w:space="0"/>
            </w:tcBorders>
          </w:tcPr>
          <w:p w14:paraId="50E275B0">
            <w:pPr>
              <w:spacing w:line="560" w:lineRule="exact"/>
              <w:jc w:val="center"/>
              <w:rPr>
                <w:rFonts w:eastAsia="仿宋_GB2312"/>
                <w:sz w:val="30"/>
                <w:szCs w:val="30"/>
              </w:rPr>
            </w:pPr>
            <w:r>
              <w:rPr>
                <w:rFonts w:hint="eastAsia" w:eastAsia="仿宋_GB2312"/>
                <w:sz w:val="30"/>
                <w:szCs w:val="30"/>
              </w:rPr>
              <w:t>创设机构信用评级</w:t>
            </w:r>
          </w:p>
        </w:tc>
        <w:tc>
          <w:tcPr>
            <w:tcW w:w="3294" w:type="pct"/>
            <w:tcBorders>
              <w:top w:val="single" w:color="auto" w:sz="4" w:space="0"/>
              <w:left w:val="single" w:color="auto" w:sz="4" w:space="0"/>
              <w:bottom w:val="single" w:color="auto" w:sz="4" w:space="0"/>
              <w:right w:val="single" w:color="auto" w:sz="4" w:space="0"/>
            </w:tcBorders>
          </w:tcPr>
          <w:p w14:paraId="6DFB3DC4">
            <w:pPr>
              <w:spacing w:line="560" w:lineRule="exact"/>
              <w:jc w:val="center"/>
              <w:rPr>
                <w:rFonts w:eastAsia="仿宋_GB2312"/>
                <w:sz w:val="30"/>
                <w:szCs w:val="30"/>
              </w:rPr>
            </w:pPr>
          </w:p>
        </w:tc>
      </w:tr>
      <w:tr w14:paraId="1B89C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6" w:type="pct"/>
            <w:tcBorders>
              <w:top w:val="single" w:color="auto" w:sz="4" w:space="0"/>
              <w:left w:val="single" w:color="auto" w:sz="4" w:space="0"/>
              <w:bottom w:val="single" w:color="auto" w:sz="4" w:space="0"/>
              <w:right w:val="single" w:color="auto" w:sz="4" w:space="0"/>
            </w:tcBorders>
          </w:tcPr>
          <w:p w14:paraId="73F2F029">
            <w:pPr>
              <w:spacing w:line="560" w:lineRule="exact"/>
              <w:jc w:val="center"/>
              <w:rPr>
                <w:rFonts w:eastAsia="仿宋_GB2312"/>
                <w:sz w:val="30"/>
                <w:szCs w:val="30"/>
              </w:rPr>
            </w:pPr>
            <w:r>
              <w:rPr>
                <w:rFonts w:hint="eastAsia" w:eastAsia="仿宋_GB2312"/>
                <w:sz w:val="30"/>
                <w:szCs w:val="30"/>
              </w:rPr>
              <w:t>创设机构评级机构</w:t>
            </w:r>
          </w:p>
        </w:tc>
        <w:tc>
          <w:tcPr>
            <w:tcW w:w="3294" w:type="pct"/>
            <w:tcBorders>
              <w:top w:val="single" w:color="auto" w:sz="4" w:space="0"/>
              <w:left w:val="single" w:color="auto" w:sz="4" w:space="0"/>
              <w:bottom w:val="single" w:color="auto" w:sz="4" w:space="0"/>
              <w:right w:val="single" w:color="auto" w:sz="4" w:space="0"/>
            </w:tcBorders>
          </w:tcPr>
          <w:p w14:paraId="6637A9A3">
            <w:pPr>
              <w:spacing w:line="560" w:lineRule="exact"/>
              <w:jc w:val="center"/>
              <w:rPr>
                <w:rFonts w:eastAsia="仿宋_GB2312"/>
                <w:sz w:val="30"/>
                <w:szCs w:val="30"/>
              </w:rPr>
            </w:pPr>
          </w:p>
        </w:tc>
      </w:tr>
      <w:tr w14:paraId="33ED6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6" w:type="pct"/>
            <w:tcBorders>
              <w:top w:val="single" w:color="auto" w:sz="4" w:space="0"/>
              <w:left w:val="single" w:color="auto" w:sz="4" w:space="0"/>
              <w:bottom w:val="single" w:color="auto" w:sz="4" w:space="0"/>
              <w:right w:val="single" w:color="auto" w:sz="4" w:space="0"/>
            </w:tcBorders>
          </w:tcPr>
          <w:p w14:paraId="1AE01E95">
            <w:pPr>
              <w:spacing w:line="560" w:lineRule="exact"/>
              <w:jc w:val="center"/>
              <w:rPr>
                <w:rFonts w:eastAsia="仿宋_GB2312"/>
                <w:sz w:val="30"/>
                <w:szCs w:val="30"/>
              </w:rPr>
            </w:pPr>
            <w:r>
              <w:rPr>
                <w:rFonts w:hint="eastAsia" w:eastAsia="仿宋_GB2312"/>
                <w:sz w:val="30"/>
                <w:szCs w:val="30"/>
              </w:rPr>
              <w:t>创设总额（亿元）</w:t>
            </w:r>
          </w:p>
        </w:tc>
        <w:tc>
          <w:tcPr>
            <w:tcW w:w="3294" w:type="pct"/>
            <w:tcBorders>
              <w:top w:val="single" w:color="auto" w:sz="4" w:space="0"/>
              <w:left w:val="single" w:color="auto" w:sz="4" w:space="0"/>
              <w:bottom w:val="single" w:color="auto" w:sz="4" w:space="0"/>
              <w:right w:val="single" w:color="auto" w:sz="4" w:space="0"/>
            </w:tcBorders>
          </w:tcPr>
          <w:p w14:paraId="43D6D8D7">
            <w:pPr>
              <w:spacing w:line="560" w:lineRule="exact"/>
              <w:jc w:val="center"/>
              <w:rPr>
                <w:rFonts w:eastAsia="仿宋_GB2312"/>
                <w:sz w:val="30"/>
                <w:szCs w:val="30"/>
              </w:rPr>
            </w:pPr>
          </w:p>
        </w:tc>
      </w:tr>
      <w:tr w14:paraId="37332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6" w:type="pct"/>
            <w:tcBorders>
              <w:top w:val="single" w:color="auto" w:sz="4" w:space="0"/>
              <w:left w:val="single" w:color="auto" w:sz="4" w:space="0"/>
              <w:bottom w:val="single" w:color="auto" w:sz="4" w:space="0"/>
              <w:right w:val="single" w:color="auto" w:sz="4" w:space="0"/>
            </w:tcBorders>
          </w:tcPr>
          <w:p w14:paraId="2A7001E8">
            <w:pPr>
              <w:spacing w:line="560" w:lineRule="exact"/>
              <w:jc w:val="center"/>
              <w:rPr>
                <w:rFonts w:eastAsia="仿宋_GB2312"/>
                <w:sz w:val="30"/>
                <w:szCs w:val="30"/>
              </w:rPr>
            </w:pPr>
            <w:r>
              <w:rPr>
                <w:rFonts w:hint="eastAsia" w:eastAsia="仿宋_GB2312"/>
                <w:sz w:val="30"/>
                <w:szCs w:val="30"/>
              </w:rPr>
              <w:t>凭证期限</w:t>
            </w:r>
          </w:p>
        </w:tc>
        <w:tc>
          <w:tcPr>
            <w:tcW w:w="3294" w:type="pct"/>
            <w:tcBorders>
              <w:top w:val="single" w:color="auto" w:sz="4" w:space="0"/>
              <w:left w:val="single" w:color="auto" w:sz="4" w:space="0"/>
              <w:bottom w:val="single" w:color="auto" w:sz="4" w:space="0"/>
              <w:right w:val="single" w:color="auto" w:sz="4" w:space="0"/>
            </w:tcBorders>
          </w:tcPr>
          <w:p w14:paraId="4A8A602B">
            <w:pPr>
              <w:spacing w:line="560" w:lineRule="exact"/>
              <w:jc w:val="center"/>
              <w:rPr>
                <w:rFonts w:eastAsia="仿宋_GB2312"/>
                <w:sz w:val="30"/>
                <w:szCs w:val="30"/>
              </w:rPr>
            </w:pPr>
          </w:p>
        </w:tc>
      </w:tr>
      <w:tr w14:paraId="14A49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6" w:type="pct"/>
            <w:tcBorders>
              <w:top w:val="single" w:color="auto" w:sz="4" w:space="0"/>
              <w:left w:val="single" w:color="auto" w:sz="4" w:space="0"/>
              <w:bottom w:val="single" w:color="auto" w:sz="4" w:space="0"/>
              <w:right w:val="single" w:color="auto" w:sz="4" w:space="0"/>
            </w:tcBorders>
          </w:tcPr>
          <w:p w14:paraId="7AA24F1C">
            <w:pPr>
              <w:spacing w:line="560" w:lineRule="exact"/>
              <w:jc w:val="center"/>
              <w:rPr>
                <w:rFonts w:eastAsia="仿宋_GB2312"/>
                <w:sz w:val="30"/>
                <w:szCs w:val="30"/>
              </w:rPr>
            </w:pPr>
            <w:r>
              <w:rPr>
                <w:rFonts w:hint="eastAsia" w:eastAsia="仿宋_GB2312"/>
                <w:sz w:val="30"/>
                <w:szCs w:val="30"/>
              </w:rPr>
              <w:t>保护起始日</w:t>
            </w:r>
          </w:p>
        </w:tc>
        <w:tc>
          <w:tcPr>
            <w:tcW w:w="3294" w:type="pct"/>
            <w:tcBorders>
              <w:top w:val="single" w:color="auto" w:sz="4" w:space="0"/>
              <w:left w:val="single" w:color="auto" w:sz="4" w:space="0"/>
              <w:bottom w:val="single" w:color="auto" w:sz="4" w:space="0"/>
              <w:right w:val="single" w:color="auto" w:sz="4" w:space="0"/>
            </w:tcBorders>
          </w:tcPr>
          <w:p w14:paraId="4CE8E51A">
            <w:pPr>
              <w:spacing w:line="560" w:lineRule="exact"/>
              <w:jc w:val="center"/>
              <w:rPr>
                <w:rFonts w:eastAsia="仿宋_GB2312"/>
                <w:sz w:val="30"/>
                <w:szCs w:val="30"/>
              </w:rPr>
            </w:pPr>
          </w:p>
        </w:tc>
      </w:tr>
      <w:tr w14:paraId="305E9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6" w:type="pct"/>
            <w:tcBorders>
              <w:top w:val="single" w:color="auto" w:sz="4" w:space="0"/>
              <w:left w:val="single" w:color="auto" w:sz="4" w:space="0"/>
              <w:bottom w:val="single" w:color="auto" w:sz="4" w:space="0"/>
              <w:right w:val="single" w:color="auto" w:sz="4" w:space="0"/>
            </w:tcBorders>
          </w:tcPr>
          <w:p w14:paraId="3EB7BCEF">
            <w:pPr>
              <w:spacing w:line="560" w:lineRule="exact"/>
              <w:jc w:val="center"/>
              <w:rPr>
                <w:rFonts w:eastAsia="仿宋_GB2312"/>
                <w:sz w:val="30"/>
                <w:szCs w:val="30"/>
              </w:rPr>
            </w:pPr>
            <w:r>
              <w:rPr>
                <w:rFonts w:hint="eastAsia" w:eastAsia="仿宋_GB2312"/>
                <w:sz w:val="30"/>
                <w:szCs w:val="30"/>
              </w:rPr>
              <w:t>保护到期日</w:t>
            </w:r>
          </w:p>
        </w:tc>
        <w:tc>
          <w:tcPr>
            <w:tcW w:w="3294" w:type="pct"/>
            <w:tcBorders>
              <w:top w:val="single" w:color="auto" w:sz="4" w:space="0"/>
              <w:left w:val="single" w:color="auto" w:sz="4" w:space="0"/>
              <w:bottom w:val="single" w:color="auto" w:sz="4" w:space="0"/>
              <w:right w:val="single" w:color="auto" w:sz="4" w:space="0"/>
            </w:tcBorders>
          </w:tcPr>
          <w:p w14:paraId="6BA4A918">
            <w:pPr>
              <w:spacing w:line="560" w:lineRule="exact"/>
              <w:jc w:val="center"/>
              <w:rPr>
                <w:rFonts w:eastAsia="仿宋_GB2312"/>
                <w:sz w:val="30"/>
                <w:szCs w:val="30"/>
              </w:rPr>
            </w:pPr>
          </w:p>
        </w:tc>
      </w:tr>
      <w:tr w14:paraId="01E1C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6" w:type="pct"/>
            <w:tcBorders>
              <w:top w:val="single" w:color="auto" w:sz="4" w:space="0"/>
              <w:left w:val="single" w:color="auto" w:sz="4" w:space="0"/>
              <w:bottom w:val="single" w:color="auto" w:sz="4" w:space="0"/>
              <w:right w:val="single" w:color="auto" w:sz="4" w:space="0"/>
            </w:tcBorders>
          </w:tcPr>
          <w:p w14:paraId="416D2923">
            <w:pPr>
              <w:spacing w:line="560" w:lineRule="exact"/>
              <w:ind w:firstLine="600"/>
              <w:jc w:val="center"/>
              <w:rPr>
                <w:rFonts w:eastAsia="仿宋_GB2312"/>
                <w:sz w:val="30"/>
                <w:szCs w:val="30"/>
              </w:rPr>
            </w:pPr>
            <w:r>
              <w:rPr>
                <w:rFonts w:hint="eastAsia" w:eastAsia="仿宋_GB2312"/>
                <w:sz w:val="30"/>
                <w:szCs w:val="30"/>
              </w:rPr>
              <w:t>交易单位</w:t>
            </w:r>
          </w:p>
        </w:tc>
        <w:tc>
          <w:tcPr>
            <w:tcW w:w="3294" w:type="pct"/>
            <w:tcBorders>
              <w:top w:val="single" w:color="auto" w:sz="4" w:space="0"/>
              <w:left w:val="single" w:color="auto" w:sz="4" w:space="0"/>
              <w:bottom w:val="single" w:color="auto" w:sz="4" w:space="0"/>
              <w:right w:val="single" w:color="auto" w:sz="4" w:space="0"/>
            </w:tcBorders>
          </w:tcPr>
          <w:p w14:paraId="6EEA4734">
            <w:pPr>
              <w:spacing w:line="560" w:lineRule="exact"/>
              <w:jc w:val="center"/>
              <w:rPr>
                <w:rFonts w:eastAsia="仿宋_GB2312"/>
                <w:sz w:val="30"/>
                <w:szCs w:val="30"/>
              </w:rPr>
            </w:pPr>
            <w:r>
              <w:rPr>
                <w:rFonts w:hint="eastAsia" w:eastAsia="仿宋_GB2312"/>
                <w:sz w:val="30"/>
                <w:szCs w:val="30"/>
              </w:rPr>
              <w:t>手</w:t>
            </w:r>
          </w:p>
        </w:tc>
      </w:tr>
      <w:tr w14:paraId="287AF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6" w:type="pct"/>
            <w:tcBorders>
              <w:top w:val="single" w:color="auto" w:sz="4" w:space="0"/>
              <w:left w:val="single" w:color="auto" w:sz="4" w:space="0"/>
              <w:bottom w:val="single" w:color="auto" w:sz="4" w:space="0"/>
              <w:right w:val="single" w:color="auto" w:sz="4" w:space="0"/>
            </w:tcBorders>
          </w:tcPr>
          <w:p w14:paraId="5ACA48FA">
            <w:pPr>
              <w:spacing w:line="560" w:lineRule="exact"/>
              <w:jc w:val="center"/>
              <w:rPr>
                <w:rFonts w:eastAsia="仿宋_GB2312"/>
                <w:sz w:val="30"/>
                <w:szCs w:val="30"/>
              </w:rPr>
            </w:pPr>
            <w:r>
              <w:rPr>
                <w:rFonts w:hint="eastAsia" w:eastAsia="仿宋_GB2312"/>
                <w:sz w:val="30"/>
                <w:szCs w:val="30"/>
              </w:rPr>
              <w:t>计价单位</w:t>
            </w:r>
          </w:p>
        </w:tc>
        <w:tc>
          <w:tcPr>
            <w:tcW w:w="3294" w:type="pct"/>
            <w:tcBorders>
              <w:top w:val="single" w:color="auto" w:sz="4" w:space="0"/>
              <w:left w:val="single" w:color="auto" w:sz="4" w:space="0"/>
              <w:bottom w:val="single" w:color="auto" w:sz="4" w:space="0"/>
              <w:right w:val="single" w:color="auto" w:sz="4" w:space="0"/>
            </w:tcBorders>
          </w:tcPr>
          <w:p w14:paraId="60FFA8B1">
            <w:pPr>
              <w:spacing w:line="560" w:lineRule="exact"/>
              <w:jc w:val="center"/>
              <w:rPr>
                <w:rFonts w:eastAsia="仿宋_GB2312"/>
                <w:sz w:val="30"/>
                <w:szCs w:val="30"/>
              </w:rPr>
            </w:pPr>
            <w:r>
              <w:rPr>
                <w:rFonts w:hint="eastAsia" w:eastAsia="仿宋_GB2312"/>
                <w:sz w:val="30"/>
                <w:szCs w:val="30"/>
              </w:rPr>
              <w:t>百元名义本金凭证的价格</w:t>
            </w:r>
          </w:p>
        </w:tc>
      </w:tr>
      <w:tr w14:paraId="204FC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6" w:type="pct"/>
            <w:tcBorders>
              <w:top w:val="single" w:color="auto" w:sz="4" w:space="0"/>
              <w:left w:val="single" w:color="auto" w:sz="4" w:space="0"/>
              <w:bottom w:val="single" w:color="auto" w:sz="4" w:space="0"/>
              <w:right w:val="single" w:color="auto" w:sz="4" w:space="0"/>
            </w:tcBorders>
          </w:tcPr>
          <w:p w14:paraId="77CF3FA5">
            <w:pPr>
              <w:spacing w:line="560" w:lineRule="exact"/>
              <w:jc w:val="center"/>
              <w:rPr>
                <w:rFonts w:eastAsia="仿宋_GB2312"/>
                <w:sz w:val="30"/>
                <w:szCs w:val="30"/>
              </w:rPr>
            </w:pPr>
            <w:r>
              <w:rPr>
                <w:rFonts w:hint="eastAsia" w:eastAsia="仿宋_GB2312"/>
                <w:sz w:val="30"/>
                <w:szCs w:val="30"/>
              </w:rPr>
              <w:t>申报价格变动单位</w:t>
            </w:r>
          </w:p>
        </w:tc>
        <w:tc>
          <w:tcPr>
            <w:tcW w:w="3294" w:type="pct"/>
            <w:tcBorders>
              <w:top w:val="single" w:color="auto" w:sz="4" w:space="0"/>
              <w:left w:val="single" w:color="auto" w:sz="4" w:space="0"/>
              <w:bottom w:val="single" w:color="auto" w:sz="4" w:space="0"/>
              <w:right w:val="single" w:color="auto" w:sz="4" w:space="0"/>
            </w:tcBorders>
          </w:tcPr>
          <w:p w14:paraId="6975E152">
            <w:pPr>
              <w:spacing w:line="560" w:lineRule="exact"/>
              <w:jc w:val="center"/>
              <w:rPr>
                <w:rFonts w:eastAsia="仿宋_GB2312"/>
                <w:sz w:val="30"/>
                <w:szCs w:val="30"/>
              </w:rPr>
            </w:pPr>
            <w:r>
              <w:rPr>
                <w:rFonts w:eastAsia="仿宋_GB2312"/>
                <w:sz w:val="30"/>
                <w:szCs w:val="30"/>
              </w:rPr>
              <w:t>0.001</w:t>
            </w:r>
            <w:r>
              <w:rPr>
                <w:rFonts w:hint="eastAsia" w:eastAsia="仿宋_GB2312"/>
                <w:sz w:val="30"/>
                <w:szCs w:val="30"/>
              </w:rPr>
              <w:t>元</w:t>
            </w:r>
          </w:p>
        </w:tc>
      </w:tr>
      <w:tr w14:paraId="4C346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6" w:type="pct"/>
            <w:tcBorders>
              <w:top w:val="single" w:color="auto" w:sz="4" w:space="0"/>
              <w:left w:val="single" w:color="auto" w:sz="4" w:space="0"/>
              <w:bottom w:val="single" w:color="auto" w:sz="4" w:space="0"/>
              <w:right w:val="single" w:color="auto" w:sz="4" w:space="0"/>
            </w:tcBorders>
          </w:tcPr>
          <w:p w14:paraId="24FC7C63">
            <w:pPr>
              <w:spacing w:line="560" w:lineRule="exact"/>
              <w:jc w:val="center"/>
              <w:rPr>
                <w:rFonts w:eastAsia="仿宋_GB2312"/>
                <w:sz w:val="30"/>
                <w:szCs w:val="30"/>
              </w:rPr>
            </w:pPr>
            <w:r>
              <w:rPr>
                <w:rFonts w:hint="eastAsia" w:eastAsia="仿宋_GB2312"/>
                <w:sz w:val="30"/>
                <w:szCs w:val="30"/>
              </w:rPr>
              <w:t>申报数量</w:t>
            </w:r>
          </w:p>
        </w:tc>
        <w:tc>
          <w:tcPr>
            <w:tcW w:w="3294" w:type="pct"/>
            <w:tcBorders>
              <w:top w:val="single" w:color="auto" w:sz="4" w:space="0"/>
              <w:left w:val="single" w:color="auto" w:sz="4" w:space="0"/>
              <w:bottom w:val="single" w:color="auto" w:sz="4" w:space="0"/>
              <w:right w:val="single" w:color="auto" w:sz="4" w:space="0"/>
            </w:tcBorders>
          </w:tcPr>
          <w:p w14:paraId="4E6A5D24">
            <w:pPr>
              <w:spacing w:line="560" w:lineRule="exact"/>
              <w:jc w:val="center"/>
              <w:rPr>
                <w:rFonts w:eastAsia="仿宋_GB2312"/>
                <w:sz w:val="30"/>
                <w:szCs w:val="30"/>
              </w:rPr>
            </w:pPr>
            <w:r>
              <w:rPr>
                <w:rFonts w:hint="eastAsia" w:eastAsia="仿宋_GB2312"/>
                <w:sz w:val="30"/>
                <w:szCs w:val="30"/>
              </w:rPr>
              <w:t>不低于</w:t>
            </w:r>
            <w:r>
              <w:rPr>
                <w:rFonts w:eastAsia="仿宋_GB2312"/>
                <w:sz w:val="30"/>
                <w:szCs w:val="30"/>
              </w:rPr>
              <w:t>500</w:t>
            </w:r>
            <w:r>
              <w:rPr>
                <w:rFonts w:hint="eastAsia" w:eastAsia="仿宋_GB2312"/>
                <w:sz w:val="30"/>
                <w:szCs w:val="30"/>
              </w:rPr>
              <w:t>手</w:t>
            </w:r>
          </w:p>
        </w:tc>
      </w:tr>
    </w:tbl>
    <w:p w14:paraId="75B0D69B">
      <w:pPr>
        <w:spacing w:line="560" w:lineRule="exact"/>
        <w:rPr>
          <w:rFonts w:eastAsia="仿宋_GB2312"/>
          <w:sz w:val="30"/>
          <w:szCs w:val="30"/>
        </w:rPr>
      </w:pPr>
    </w:p>
    <w:p w14:paraId="5934C776">
      <w:pPr>
        <w:pStyle w:val="39"/>
        <w:spacing w:before="0" w:beforeAutospacing="0" w:after="93" w:afterAutospacing="0" w:line="560" w:lineRule="exact"/>
        <w:ind w:right="108" w:firstLine="600" w:firstLineChars="200"/>
        <w:jc w:val="right"/>
        <w:rPr>
          <w:rFonts w:ascii="Times New Roman" w:hAnsi="Times New Roman" w:eastAsia="仿宋_GB2312" w:cs="Times New Roman"/>
          <w:kern w:val="2"/>
          <w:sz w:val="30"/>
          <w:szCs w:val="30"/>
        </w:rPr>
      </w:pPr>
      <w:r>
        <w:rPr>
          <w:rFonts w:ascii="Times New Roman" w:hAnsi="Times New Roman" w:eastAsia="仿宋_GB2312"/>
          <w:sz w:val="30"/>
          <w:szCs w:val="30"/>
        </w:rPr>
        <w:t>XXXX</w:t>
      </w:r>
      <w:r>
        <w:rPr>
          <w:rFonts w:hint="eastAsia" w:ascii="Times New Roman" w:hAnsi="Times New Roman" w:eastAsia="仿宋_GB2312" w:cs="Times New Roman"/>
          <w:kern w:val="2"/>
          <w:sz w:val="30"/>
          <w:szCs w:val="30"/>
        </w:rPr>
        <w:t>公司</w:t>
      </w:r>
    </w:p>
    <w:p w14:paraId="4AD180B4">
      <w:pPr>
        <w:spacing w:line="560" w:lineRule="exact"/>
        <w:ind w:left="6000" w:hanging="6000" w:hangingChars="2000"/>
        <w:jc w:val="right"/>
      </w:pPr>
      <w:r>
        <w:rPr>
          <w:rFonts w:eastAsia="仿宋_GB2312"/>
          <w:sz w:val="30"/>
          <w:szCs w:val="30"/>
        </w:rPr>
        <w:t xml:space="preserve">  </w:t>
      </w:r>
      <w:r>
        <w:rPr>
          <w:rFonts w:hint="eastAsia" w:eastAsia="仿宋_GB2312"/>
          <w:sz w:val="30"/>
          <w:szCs w:val="30"/>
        </w:rPr>
        <w:t>年</w:t>
      </w:r>
      <w:r>
        <w:rPr>
          <w:rFonts w:eastAsia="仿宋_GB2312"/>
          <w:sz w:val="30"/>
          <w:szCs w:val="30"/>
        </w:rPr>
        <w:t xml:space="preserve">  </w:t>
      </w:r>
      <w:r>
        <w:rPr>
          <w:rFonts w:hint="eastAsia" w:eastAsia="仿宋_GB2312"/>
          <w:sz w:val="30"/>
          <w:szCs w:val="30"/>
        </w:rPr>
        <w:t>月</w:t>
      </w:r>
      <w:r>
        <w:rPr>
          <w:rFonts w:eastAsia="仿宋_GB2312"/>
          <w:sz w:val="30"/>
          <w:szCs w:val="30"/>
        </w:rPr>
        <w:t xml:space="preserve">  </w:t>
      </w:r>
      <w:r>
        <w:rPr>
          <w:rFonts w:hint="eastAsia" w:eastAsia="仿宋_GB2312"/>
          <w:sz w:val="30"/>
          <w:szCs w:val="30"/>
        </w:rPr>
        <w:t>日</w:t>
      </w:r>
    </w:p>
    <w:p w14:paraId="0F808A34">
      <w:pPr>
        <w:widowControl/>
        <w:jc w:val="left"/>
        <w:outlineLvl w:val="1"/>
        <w:rPr>
          <w:rFonts w:ascii="仿宋_GB2312" w:hAnsi="黑体" w:eastAsia="仿宋_GB2312"/>
          <w:b/>
          <w:sz w:val="30"/>
          <w:szCs w:val="30"/>
        </w:rPr>
      </w:pPr>
      <w:bookmarkStart w:id="3954" w:name="_Toc1688961230"/>
      <w:bookmarkStart w:id="3955" w:name="_Toc151137113"/>
      <w:bookmarkStart w:id="3956" w:name="_Toc2105635820"/>
      <w:bookmarkStart w:id="3957" w:name="_Toc1168702978"/>
      <w:bookmarkStart w:id="3958" w:name="_Toc789185090"/>
      <w:r>
        <w:rPr>
          <w:rFonts w:hint="eastAsia" w:ascii="仿宋_GB2312" w:hAnsi="黑体" w:eastAsia="仿宋_GB2312"/>
          <w:b/>
          <w:sz w:val="30"/>
          <w:szCs w:val="30"/>
        </w:rPr>
        <w:t>附件30 信用保护工具信用事件通知书参考模板</w:t>
      </w:r>
      <w:bookmarkEnd w:id="3954"/>
      <w:bookmarkEnd w:id="3955"/>
      <w:bookmarkEnd w:id="3956"/>
      <w:bookmarkEnd w:id="3957"/>
      <w:bookmarkEnd w:id="3958"/>
    </w:p>
    <w:p w14:paraId="404CD75E">
      <w:pPr>
        <w:spacing w:line="560" w:lineRule="exact"/>
        <w:jc w:val="center"/>
        <w:rPr>
          <w:rFonts w:ascii="黑体" w:hAnsi="黑体" w:eastAsia="黑体"/>
          <w:b/>
          <w:kern w:val="0"/>
          <w:sz w:val="44"/>
          <w:szCs w:val="44"/>
          <w:lang w:bidi="en-US"/>
        </w:rPr>
      </w:pPr>
    </w:p>
    <w:p w14:paraId="4A5A3082">
      <w:pPr>
        <w:spacing w:line="560" w:lineRule="exact"/>
        <w:jc w:val="center"/>
        <w:rPr>
          <w:rFonts w:ascii="黑体" w:hAnsi="黑体" w:eastAsia="黑体"/>
          <w:b/>
          <w:kern w:val="0"/>
          <w:sz w:val="44"/>
          <w:szCs w:val="44"/>
          <w:lang w:bidi="en-US"/>
        </w:rPr>
      </w:pPr>
      <w:r>
        <w:rPr>
          <w:rFonts w:hint="eastAsia" w:ascii="黑体" w:hAnsi="黑体" w:eastAsia="黑体"/>
          <w:b/>
          <w:kern w:val="0"/>
          <w:sz w:val="44"/>
          <w:szCs w:val="44"/>
          <w:lang w:bidi="en-US"/>
        </w:rPr>
        <w:t>信用保护工具信用事件通知书</w:t>
      </w:r>
    </w:p>
    <w:p w14:paraId="064EE58B">
      <w:pPr>
        <w:spacing w:line="560" w:lineRule="exact"/>
        <w:rPr>
          <w:rFonts w:eastAsia="仿宋_GB2312"/>
          <w:sz w:val="32"/>
          <w:szCs w:val="32"/>
        </w:rPr>
      </w:pPr>
    </w:p>
    <w:p w14:paraId="6F2086A5">
      <w:pPr>
        <w:spacing w:line="560" w:lineRule="exact"/>
        <w:rPr>
          <w:rFonts w:eastAsia="仿宋_GB2312"/>
          <w:b/>
          <w:sz w:val="30"/>
          <w:szCs w:val="28"/>
        </w:rPr>
      </w:pPr>
      <w:r>
        <w:rPr>
          <w:rFonts w:hint="eastAsia" w:eastAsia="仿宋_GB2312"/>
          <w:b/>
          <w:sz w:val="30"/>
          <w:szCs w:val="28"/>
        </w:rPr>
        <w:t>合约版本：</w:t>
      </w:r>
    </w:p>
    <w:p w14:paraId="3BAE5757">
      <w:pPr>
        <w:spacing w:line="560" w:lineRule="exact"/>
        <w:rPr>
          <w:rFonts w:eastAsia="仿宋_GB2312"/>
          <w:sz w:val="30"/>
          <w:szCs w:val="28"/>
        </w:rPr>
      </w:pPr>
      <w:r>
        <w:rPr>
          <w:rFonts w:hint="eastAsia" w:eastAsia="仿宋_GB2312"/>
          <w:sz w:val="30"/>
          <w:szCs w:val="28"/>
        </w:rPr>
        <w:t>收件方：</w:t>
      </w:r>
      <w:r>
        <w:rPr>
          <w:rFonts w:eastAsia="仿宋_GB2312"/>
          <w:sz w:val="30"/>
          <w:szCs w:val="28"/>
        </w:rPr>
        <w:t>[</w:t>
      </w:r>
      <w:r>
        <w:rPr>
          <w:rFonts w:hint="eastAsia" w:eastAsia="仿宋_GB2312"/>
          <w:sz w:val="30"/>
          <w:szCs w:val="28"/>
        </w:rPr>
        <w:t>请填入收件方名称、地址、联系人与联系方式</w:t>
      </w:r>
      <w:r>
        <w:rPr>
          <w:rFonts w:eastAsia="仿宋_GB2312"/>
          <w:sz w:val="30"/>
          <w:szCs w:val="28"/>
        </w:rPr>
        <w:t xml:space="preserve">] </w:t>
      </w:r>
    </w:p>
    <w:p w14:paraId="18E0D279">
      <w:pPr>
        <w:spacing w:line="560" w:lineRule="exact"/>
        <w:rPr>
          <w:rFonts w:eastAsia="仿宋_GB2312"/>
          <w:sz w:val="30"/>
          <w:szCs w:val="28"/>
        </w:rPr>
      </w:pPr>
      <w:r>
        <w:rPr>
          <w:rFonts w:hint="eastAsia" w:eastAsia="仿宋_GB2312"/>
          <w:sz w:val="30"/>
          <w:szCs w:val="28"/>
        </w:rPr>
        <w:t>通知方：</w:t>
      </w:r>
      <w:r>
        <w:rPr>
          <w:rFonts w:eastAsia="仿宋_GB2312"/>
          <w:sz w:val="30"/>
          <w:szCs w:val="28"/>
        </w:rPr>
        <w:t>[</w:t>
      </w:r>
      <w:r>
        <w:rPr>
          <w:rFonts w:hint="eastAsia" w:eastAsia="仿宋_GB2312"/>
          <w:sz w:val="30"/>
          <w:szCs w:val="28"/>
        </w:rPr>
        <w:t>请填入通知方名称、地址、联系人与联系方式</w:t>
      </w:r>
      <w:r>
        <w:rPr>
          <w:rFonts w:eastAsia="仿宋_GB2312"/>
          <w:sz w:val="30"/>
          <w:szCs w:val="28"/>
        </w:rPr>
        <w:t xml:space="preserve">] </w:t>
      </w:r>
    </w:p>
    <w:p w14:paraId="4969581D">
      <w:pPr>
        <w:spacing w:line="560" w:lineRule="exact"/>
        <w:rPr>
          <w:rFonts w:eastAsia="仿宋_GB2312"/>
          <w:sz w:val="30"/>
          <w:szCs w:val="28"/>
        </w:rPr>
      </w:pPr>
    </w:p>
    <w:p w14:paraId="33952EBE">
      <w:pPr>
        <w:spacing w:line="560" w:lineRule="exact"/>
        <w:rPr>
          <w:rFonts w:eastAsia="仿宋_GB2312"/>
          <w:sz w:val="30"/>
          <w:szCs w:val="28"/>
        </w:rPr>
      </w:pPr>
      <w:r>
        <w:rPr>
          <w:rFonts w:hint="eastAsia" w:eastAsia="仿宋_GB2312"/>
          <w:sz w:val="30"/>
          <w:szCs w:val="28"/>
        </w:rPr>
        <w:t>事由：签署日期为</w:t>
      </w:r>
      <w:r>
        <w:rPr>
          <w:rFonts w:eastAsia="仿宋_GB2312"/>
          <w:sz w:val="30"/>
          <w:szCs w:val="28"/>
        </w:rPr>
        <w:t>[   ]</w:t>
      </w:r>
      <w:r>
        <w:rPr>
          <w:rFonts w:hint="eastAsia" w:eastAsia="仿宋_GB2312"/>
          <w:sz w:val="30"/>
          <w:szCs w:val="28"/>
        </w:rPr>
        <w:t>年</w:t>
      </w:r>
      <w:r>
        <w:rPr>
          <w:rFonts w:eastAsia="仿宋_GB2312"/>
          <w:sz w:val="30"/>
          <w:szCs w:val="28"/>
        </w:rPr>
        <w:t>[   ]</w:t>
      </w:r>
      <w:r>
        <w:rPr>
          <w:rFonts w:hint="eastAsia" w:eastAsia="仿宋_GB2312"/>
          <w:sz w:val="30"/>
          <w:szCs w:val="28"/>
        </w:rPr>
        <w:t>月</w:t>
      </w:r>
      <w:r>
        <w:rPr>
          <w:rFonts w:eastAsia="仿宋_GB2312"/>
          <w:sz w:val="30"/>
          <w:szCs w:val="28"/>
        </w:rPr>
        <w:t>[   ]</w:t>
      </w:r>
      <w:r>
        <w:rPr>
          <w:rFonts w:hint="eastAsia" w:eastAsia="仿宋_GB2312"/>
          <w:sz w:val="30"/>
          <w:szCs w:val="28"/>
        </w:rPr>
        <w:t>日的以</w:t>
      </w:r>
      <w:r>
        <w:rPr>
          <w:rFonts w:eastAsia="仿宋_GB2312"/>
          <w:sz w:val="30"/>
          <w:szCs w:val="28"/>
        </w:rPr>
        <w:t>[   ]</w:t>
      </w:r>
      <w:r>
        <w:rPr>
          <w:rFonts w:hint="eastAsia" w:eastAsia="仿宋_GB2312"/>
          <w:sz w:val="30"/>
          <w:szCs w:val="28"/>
        </w:rPr>
        <w:t>为参考实体以</w:t>
      </w:r>
      <w:r>
        <w:rPr>
          <w:rFonts w:eastAsia="仿宋_GB2312"/>
          <w:sz w:val="30"/>
          <w:szCs w:val="28"/>
        </w:rPr>
        <w:t>[   ]</w:t>
      </w:r>
      <w:r>
        <w:rPr>
          <w:rFonts w:hint="eastAsia" w:eastAsia="仿宋_GB2312"/>
          <w:sz w:val="30"/>
          <w:szCs w:val="28"/>
        </w:rPr>
        <w:t>为受保护债务的《</w:t>
      </w:r>
      <w:r>
        <w:rPr>
          <w:rFonts w:eastAsia="仿宋_GB2312"/>
          <w:sz w:val="30"/>
          <w:szCs w:val="28"/>
        </w:rPr>
        <w:t>XXXX</w:t>
      </w:r>
      <w:r>
        <w:rPr>
          <w:rFonts w:hint="eastAsia" w:eastAsia="仿宋_GB2312"/>
          <w:sz w:val="30"/>
          <w:szCs w:val="28"/>
        </w:rPr>
        <w:t>信用保护合约交易确认书》（编号：</w:t>
      </w:r>
      <w:r>
        <w:rPr>
          <w:rFonts w:eastAsia="仿宋_GB2312"/>
          <w:sz w:val="30"/>
          <w:szCs w:val="28"/>
        </w:rPr>
        <w:t>[</w:t>
      </w:r>
      <w:r>
        <w:rPr>
          <w:rFonts w:eastAsia="仿宋_GB2312"/>
          <w:sz w:val="30"/>
          <w:szCs w:val="28"/>
        </w:rPr>
        <w:tab/>
      </w:r>
      <w:r>
        <w:rPr>
          <w:rFonts w:eastAsia="仿宋_GB2312"/>
          <w:sz w:val="30"/>
          <w:szCs w:val="28"/>
        </w:rPr>
        <w:t>]</w:t>
      </w:r>
      <w:r>
        <w:rPr>
          <w:rFonts w:hint="eastAsia" w:eastAsia="仿宋_GB2312"/>
          <w:sz w:val="30"/>
          <w:szCs w:val="28"/>
        </w:rPr>
        <w:t>，以下简称《交易确认书》）项下的信用事件通知。</w:t>
      </w:r>
    </w:p>
    <w:p w14:paraId="0D81ABF8">
      <w:pPr>
        <w:spacing w:line="560" w:lineRule="exact"/>
        <w:rPr>
          <w:rFonts w:eastAsia="仿宋_GB2312"/>
          <w:sz w:val="30"/>
          <w:szCs w:val="28"/>
        </w:rPr>
      </w:pPr>
    </w:p>
    <w:p w14:paraId="3B836E3A">
      <w:pPr>
        <w:spacing w:line="560" w:lineRule="exact"/>
        <w:rPr>
          <w:rFonts w:eastAsia="仿宋_GB2312"/>
          <w:sz w:val="30"/>
          <w:szCs w:val="28"/>
        </w:rPr>
      </w:pPr>
      <w:r>
        <w:rPr>
          <w:rFonts w:hint="eastAsia" w:eastAsia="仿宋_GB2312"/>
          <w:sz w:val="30"/>
          <w:szCs w:val="28"/>
        </w:rPr>
        <w:t>本通知构成前述《交易确认书》所指的信用事件通知。除非本通知另有定义，《交易确认书》中定义的术语在本通知中具有相同的含义。</w:t>
      </w:r>
    </w:p>
    <w:p w14:paraId="4AC6314E">
      <w:pPr>
        <w:spacing w:line="560" w:lineRule="exact"/>
        <w:rPr>
          <w:rFonts w:eastAsia="仿宋_GB2312"/>
          <w:sz w:val="30"/>
          <w:szCs w:val="28"/>
        </w:rPr>
      </w:pPr>
    </w:p>
    <w:p w14:paraId="39687AFD">
      <w:pPr>
        <w:spacing w:line="560" w:lineRule="exact"/>
        <w:rPr>
          <w:rFonts w:eastAsia="仿宋_GB2312"/>
          <w:sz w:val="30"/>
          <w:szCs w:val="28"/>
        </w:rPr>
      </w:pPr>
      <w:r>
        <w:rPr>
          <w:rFonts w:hint="eastAsia" w:eastAsia="仿宋_GB2312"/>
          <w:sz w:val="30"/>
          <w:szCs w:val="28"/>
        </w:rPr>
        <w:t>我方作为通知方，特此通知贵方，</w:t>
      </w:r>
      <w:r>
        <w:rPr>
          <w:rFonts w:eastAsia="仿宋_GB2312"/>
          <w:sz w:val="30"/>
          <w:szCs w:val="28"/>
        </w:rPr>
        <w:t>[</w:t>
      </w:r>
      <w:r>
        <w:rPr>
          <w:rFonts w:hint="eastAsia" w:eastAsia="仿宋_GB2312"/>
          <w:sz w:val="30"/>
          <w:szCs w:val="28"/>
        </w:rPr>
        <w:t>请填入参考实体及</w:t>
      </w:r>
      <w:r>
        <w:rPr>
          <w:rFonts w:eastAsia="仿宋_GB2312"/>
          <w:sz w:val="30"/>
          <w:szCs w:val="28"/>
        </w:rPr>
        <w:t>/</w:t>
      </w:r>
      <w:r>
        <w:rPr>
          <w:rFonts w:hint="eastAsia" w:eastAsia="仿宋_GB2312"/>
          <w:sz w:val="30"/>
          <w:szCs w:val="28"/>
        </w:rPr>
        <w:t>或满足特定债务种类和债务特征的债务的名称及信息</w:t>
      </w:r>
      <w:r>
        <w:rPr>
          <w:rFonts w:eastAsia="仿宋_GB2312"/>
          <w:sz w:val="30"/>
          <w:szCs w:val="28"/>
        </w:rPr>
        <w:t>]</w:t>
      </w:r>
      <w:r>
        <w:rPr>
          <w:rFonts w:hint="eastAsia" w:eastAsia="仿宋_GB2312"/>
          <w:sz w:val="30"/>
          <w:szCs w:val="28"/>
        </w:rPr>
        <w:t>于</w:t>
      </w:r>
      <w:r>
        <w:rPr>
          <w:rFonts w:eastAsia="仿宋_GB2312"/>
          <w:sz w:val="30"/>
          <w:szCs w:val="28"/>
        </w:rPr>
        <w:t>[ ]</w:t>
      </w:r>
      <w:r>
        <w:rPr>
          <w:rFonts w:hint="eastAsia" w:eastAsia="仿宋_GB2312"/>
          <w:sz w:val="30"/>
          <w:szCs w:val="28"/>
        </w:rPr>
        <w:t>年</w:t>
      </w:r>
      <w:r>
        <w:rPr>
          <w:rFonts w:eastAsia="仿宋_GB2312"/>
          <w:sz w:val="30"/>
          <w:szCs w:val="28"/>
        </w:rPr>
        <w:t>[ ]</w:t>
      </w:r>
      <w:r>
        <w:rPr>
          <w:rFonts w:hint="eastAsia" w:eastAsia="仿宋_GB2312"/>
          <w:sz w:val="30"/>
          <w:szCs w:val="28"/>
        </w:rPr>
        <w:t>月</w:t>
      </w:r>
      <w:r>
        <w:rPr>
          <w:rFonts w:eastAsia="仿宋_GB2312"/>
          <w:sz w:val="30"/>
          <w:szCs w:val="28"/>
        </w:rPr>
        <w:t>[ ]</w:t>
      </w:r>
      <w:r>
        <w:rPr>
          <w:rFonts w:hint="eastAsia" w:eastAsia="仿宋_GB2312"/>
          <w:sz w:val="30"/>
          <w:szCs w:val="28"/>
        </w:rPr>
        <w:t>日或其前后发生了一项</w:t>
      </w:r>
      <w:r>
        <w:rPr>
          <w:rFonts w:eastAsia="仿宋_GB2312"/>
          <w:sz w:val="30"/>
          <w:szCs w:val="28"/>
        </w:rPr>
        <w:t>[</w:t>
      </w:r>
      <w:r>
        <w:rPr>
          <w:rFonts w:hint="eastAsia" w:eastAsia="仿宋_GB2312"/>
          <w:sz w:val="30"/>
          <w:szCs w:val="28"/>
        </w:rPr>
        <w:t>请填入适用信用事件的种类</w:t>
      </w:r>
      <w:r>
        <w:rPr>
          <w:rFonts w:eastAsia="仿宋_GB2312"/>
          <w:sz w:val="30"/>
          <w:szCs w:val="28"/>
        </w:rPr>
        <w:t>]</w:t>
      </w:r>
      <w:r>
        <w:rPr>
          <w:rFonts w:hint="eastAsia" w:eastAsia="仿宋_GB2312"/>
          <w:sz w:val="30"/>
          <w:szCs w:val="28"/>
        </w:rPr>
        <w:t>信用事件，其具体情况如下：</w:t>
      </w:r>
      <w:r>
        <w:rPr>
          <w:rFonts w:eastAsia="仿宋_GB2312"/>
          <w:sz w:val="30"/>
          <w:szCs w:val="28"/>
        </w:rPr>
        <w:t>[</w:t>
      </w:r>
      <w:r>
        <w:rPr>
          <w:rFonts w:hint="eastAsia" w:eastAsia="仿宋_GB2312"/>
          <w:sz w:val="30"/>
          <w:szCs w:val="28"/>
        </w:rPr>
        <w:t>请填入有关信息</w:t>
      </w:r>
      <w:r>
        <w:rPr>
          <w:rFonts w:eastAsia="仿宋_GB2312"/>
          <w:sz w:val="30"/>
          <w:szCs w:val="28"/>
        </w:rPr>
        <w:t>]</w:t>
      </w:r>
      <w:r>
        <w:rPr>
          <w:rFonts w:hint="eastAsia" w:eastAsia="仿宋_GB2312"/>
          <w:sz w:val="30"/>
          <w:szCs w:val="28"/>
        </w:rPr>
        <w:t>。</w:t>
      </w:r>
    </w:p>
    <w:p w14:paraId="3489D98D">
      <w:pPr>
        <w:spacing w:line="560" w:lineRule="exact"/>
        <w:rPr>
          <w:rFonts w:eastAsia="仿宋_GB2312"/>
          <w:sz w:val="30"/>
          <w:szCs w:val="28"/>
        </w:rPr>
      </w:pPr>
    </w:p>
    <w:p w14:paraId="73EE57CF">
      <w:pPr>
        <w:spacing w:line="560" w:lineRule="exact"/>
        <w:rPr>
          <w:rFonts w:eastAsia="仿宋_GB2312"/>
          <w:sz w:val="30"/>
          <w:szCs w:val="28"/>
        </w:rPr>
      </w:pPr>
      <w:r>
        <w:rPr>
          <w:rFonts w:hint="eastAsia" w:eastAsia="仿宋_GB2312"/>
          <w:sz w:val="30"/>
          <w:szCs w:val="28"/>
        </w:rPr>
        <w:t>通知方（印章）：</w:t>
      </w:r>
    </w:p>
    <w:p w14:paraId="195ABC17">
      <w:pPr>
        <w:spacing w:line="560" w:lineRule="exact"/>
        <w:rPr>
          <w:rFonts w:eastAsia="仿宋_GB2312"/>
          <w:sz w:val="30"/>
          <w:szCs w:val="28"/>
        </w:rPr>
      </w:pPr>
      <w:r>
        <w:rPr>
          <w:rFonts w:hint="eastAsia" w:eastAsia="仿宋_GB2312"/>
          <w:sz w:val="30"/>
          <w:szCs w:val="28"/>
        </w:rPr>
        <w:t>法定代表人（授权代理人）签字：</w:t>
      </w:r>
    </w:p>
    <w:p w14:paraId="6720F538">
      <w:pPr>
        <w:spacing w:line="560" w:lineRule="exact"/>
        <w:rPr>
          <w:rFonts w:eastAsia="仿宋_GB2312"/>
          <w:sz w:val="30"/>
          <w:szCs w:val="28"/>
        </w:rPr>
        <w:sectPr>
          <w:headerReference r:id="rId4" w:type="default"/>
          <w:footerReference r:id="rId6" w:type="default"/>
          <w:headerReference r:id="rId5" w:type="even"/>
          <w:footerReference r:id="rId7" w:type="even"/>
          <w:pgSz w:w="11906" w:h="16838"/>
          <w:pgMar w:top="1440" w:right="1800" w:bottom="1440" w:left="1800" w:header="851" w:footer="992" w:gutter="0"/>
          <w:cols w:space="425" w:num="1"/>
          <w:docGrid w:type="lines" w:linePitch="312" w:charSpace="0"/>
        </w:sectPr>
      </w:pPr>
      <w:r>
        <w:rPr>
          <w:rFonts w:hint="eastAsia" w:eastAsia="仿宋_GB2312"/>
          <w:sz w:val="30"/>
          <w:szCs w:val="28"/>
        </w:rPr>
        <w:t>信用事件通知日期：</w:t>
      </w:r>
    </w:p>
    <w:p w14:paraId="2CD98035">
      <w:pPr>
        <w:spacing w:line="560" w:lineRule="exact"/>
        <w:rPr>
          <w:rFonts w:eastAsia="仿宋_GB2312"/>
          <w:b/>
          <w:sz w:val="30"/>
          <w:szCs w:val="28"/>
        </w:rPr>
      </w:pPr>
      <w:r>
        <w:rPr>
          <w:rFonts w:hint="eastAsia" w:eastAsia="仿宋_GB2312"/>
          <w:b/>
          <w:sz w:val="30"/>
          <w:szCs w:val="28"/>
        </w:rPr>
        <w:t>凭证版本（买方版本）：</w:t>
      </w:r>
    </w:p>
    <w:p w14:paraId="2A99689A">
      <w:pPr>
        <w:spacing w:line="560" w:lineRule="exact"/>
        <w:rPr>
          <w:rFonts w:eastAsia="仿宋_GB2312"/>
          <w:sz w:val="30"/>
          <w:szCs w:val="28"/>
        </w:rPr>
      </w:pPr>
      <w:r>
        <w:rPr>
          <w:rFonts w:hint="eastAsia" w:eastAsia="仿宋_GB2312"/>
          <w:sz w:val="30"/>
          <w:szCs w:val="28"/>
        </w:rPr>
        <w:t>收件方：</w:t>
      </w:r>
      <w:r>
        <w:rPr>
          <w:rFonts w:eastAsia="仿宋_GB2312"/>
          <w:sz w:val="30"/>
          <w:szCs w:val="28"/>
        </w:rPr>
        <w:t>[</w:t>
      </w:r>
      <w:r>
        <w:rPr>
          <w:rFonts w:hint="eastAsia" w:eastAsia="仿宋_GB2312"/>
          <w:sz w:val="30"/>
          <w:szCs w:val="28"/>
        </w:rPr>
        <w:t>请填入收件方名称、地址、联系人与联系方式</w:t>
      </w:r>
      <w:r>
        <w:rPr>
          <w:rFonts w:eastAsia="仿宋_GB2312"/>
          <w:sz w:val="30"/>
          <w:szCs w:val="28"/>
        </w:rPr>
        <w:t xml:space="preserve">] </w:t>
      </w:r>
    </w:p>
    <w:p w14:paraId="3F542F3A">
      <w:pPr>
        <w:spacing w:line="560" w:lineRule="exact"/>
        <w:rPr>
          <w:rFonts w:eastAsia="仿宋_GB2312"/>
          <w:sz w:val="30"/>
          <w:szCs w:val="28"/>
        </w:rPr>
      </w:pPr>
      <w:r>
        <w:rPr>
          <w:rFonts w:hint="eastAsia" w:eastAsia="仿宋_GB2312"/>
          <w:sz w:val="30"/>
          <w:szCs w:val="28"/>
        </w:rPr>
        <w:t>通知方：</w:t>
      </w:r>
      <w:r>
        <w:rPr>
          <w:rFonts w:eastAsia="仿宋_GB2312"/>
          <w:sz w:val="30"/>
          <w:szCs w:val="28"/>
        </w:rPr>
        <w:t>[</w:t>
      </w:r>
      <w:r>
        <w:rPr>
          <w:rFonts w:hint="eastAsia" w:eastAsia="仿宋_GB2312"/>
          <w:sz w:val="30"/>
          <w:szCs w:val="28"/>
        </w:rPr>
        <w:t>请填入通知方名称、地址、联系人与联系方式</w:t>
      </w:r>
      <w:r>
        <w:rPr>
          <w:rFonts w:eastAsia="仿宋_GB2312"/>
          <w:sz w:val="30"/>
          <w:szCs w:val="28"/>
        </w:rPr>
        <w:t xml:space="preserve">] </w:t>
      </w:r>
    </w:p>
    <w:p w14:paraId="3536780A">
      <w:pPr>
        <w:spacing w:line="560" w:lineRule="exact"/>
        <w:rPr>
          <w:rFonts w:eastAsia="仿宋_GB2312"/>
          <w:sz w:val="30"/>
          <w:szCs w:val="28"/>
        </w:rPr>
      </w:pPr>
    </w:p>
    <w:p w14:paraId="4613C2D6">
      <w:pPr>
        <w:spacing w:line="560" w:lineRule="exact"/>
        <w:rPr>
          <w:rFonts w:eastAsia="仿宋_GB2312"/>
          <w:sz w:val="30"/>
          <w:szCs w:val="28"/>
        </w:rPr>
      </w:pPr>
      <w:r>
        <w:rPr>
          <w:rFonts w:hint="eastAsia" w:eastAsia="仿宋_GB2312"/>
          <w:sz w:val="30"/>
          <w:szCs w:val="28"/>
        </w:rPr>
        <w:t>事由：信用保护凭证创设机构</w:t>
      </w:r>
      <w:r>
        <w:rPr>
          <w:rFonts w:eastAsia="仿宋_GB2312"/>
          <w:sz w:val="30"/>
          <w:szCs w:val="28"/>
        </w:rPr>
        <w:t xml:space="preserve">[   ] </w:t>
      </w:r>
      <w:r>
        <w:rPr>
          <w:rFonts w:hint="eastAsia" w:eastAsia="仿宋_GB2312"/>
          <w:sz w:val="30"/>
          <w:szCs w:val="28"/>
        </w:rPr>
        <w:t>于</w:t>
      </w:r>
      <w:r>
        <w:rPr>
          <w:rFonts w:eastAsia="仿宋_GB2312"/>
          <w:sz w:val="30"/>
          <w:szCs w:val="28"/>
        </w:rPr>
        <w:t>[   ]</w:t>
      </w:r>
      <w:r>
        <w:rPr>
          <w:rFonts w:hint="eastAsia" w:eastAsia="仿宋_GB2312"/>
          <w:sz w:val="30"/>
          <w:szCs w:val="28"/>
        </w:rPr>
        <w:t>年</w:t>
      </w:r>
      <w:r>
        <w:rPr>
          <w:rFonts w:eastAsia="仿宋_GB2312"/>
          <w:sz w:val="30"/>
          <w:szCs w:val="28"/>
        </w:rPr>
        <w:t>[   ]</w:t>
      </w:r>
      <w:r>
        <w:rPr>
          <w:rFonts w:hint="eastAsia" w:eastAsia="仿宋_GB2312"/>
          <w:sz w:val="30"/>
          <w:szCs w:val="28"/>
        </w:rPr>
        <w:t>月</w:t>
      </w:r>
      <w:r>
        <w:rPr>
          <w:rFonts w:eastAsia="仿宋_GB2312"/>
          <w:sz w:val="30"/>
          <w:szCs w:val="28"/>
        </w:rPr>
        <w:t>[   ]</w:t>
      </w:r>
      <w:r>
        <w:rPr>
          <w:rFonts w:hint="eastAsia" w:eastAsia="仿宋_GB2312"/>
          <w:sz w:val="30"/>
          <w:szCs w:val="28"/>
        </w:rPr>
        <w:t>日创设了</w:t>
      </w:r>
      <w:r>
        <w:rPr>
          <w:rFonts w:eastAsia="仿宋_GB2312"/>
          <w:sz w:val="30"/>
          <w:szCs w:val="28"/>
        </w:rPr>
        <w:t>[   ]</w:t>
      </w:r>
      <w:r>
        <w:rPr>
          <w:rFonts w:hint="eastAsia" w:eastAsia="仿宋_GB2312"/>
          <w:sz w:val="30"/>
          <w:szCs w:val="28"/>
        </w:rPr>
        <w:t>信用保护凭证（以下简称凭证），并在凭证创设说明书（编号</w:t>
      </w:r>
      <w:r>
        <w:rPr>
          <w:rFonts w:eastAsia="仿宋_GB2312"/>
          <w:sz w:val="30"/>
          <w:szCs w:val="28"/>
        </w:rPr>
        <w:t>[   ]</w:t>
      </w:r>
      <w:r>
        <w:rPr>
          <w:rFonts w:hint="eastAsia" w:eastAsia="仿宋_GB2312"/>
          <w:sz w:val="30"/>
          <w:szCs w:val="28"/>
        </w:rPr>
        <w:t>）中对于交易双方权利义务进行了约定。截至本通知发送日，通知方持有</w:t>
      </w:r>
      <w:r>
        <w:rPr>
          <w:rFonts w:eastAsia="仿宋_GB2312"/>
          <w:sz w:val="30"/>
          <w:szCs w:val="28"/>
        </w:rPr>
        <w:t>[   ]</w:t>
      </w:r>
      <w:r>
        <w:rPr>
          <w:rFonts w:hint="eastAsia" w:eastAsia="仿宋_GB2312"/>
          <w:sz w:val="30"/>
          <w:szCs w:val="28"/>
        </w:rPr>
        <w:t>手该凭证。</w:t>
      </w:r>
    </w:p>
    <w:p w14:paraId="1BD3657F">
      <w:pPr>
        <w:spacing w:line="560" w:lineRule="exact"/>
        <w:rPr>
          <w:rFonts w:eastAsia="仿宋_GB2312"/>
          <w:sz w:val="30"/>
          <w:szCs w:val="28"/>
        </w:rPr>
      </w:pPr>
    </w:p>
    <w:p w14:paraId="6FA1BFCA">
      <w:pPr>
        <w:spacing w:line="560" w:lineRule="exact"/>
        <w:rPr>
          <w:rFonts w:eastAsia="仿宋_GB2312"/>
          <w:sz w:val="30"/>
          <w:szCs w:val="28"/>
        </w:rPr>
      </w:pPr>
      <w:r>
        <w:rPr>
          <w:rFonts w:hint="eastAsia" w:eastAsia="仿宋_GB2312"/>
          <w:sz w:val="30"/>
          <w:szCs w:val="28"/>
        </w:rPr>
        <w:t>本通知构成前述凭证所指的信用事件通知。除非本通知另有定义，该凭证创设说明书中定义的术语在本通知中具有相同的含义。</w:t>
      </w:r>
    </w:p>
    <w:p w14:paraId="46C73506">
      <w:pPr>
        <w:spacing w:line="560" w:lineRule="exact"/>
        <w:rPr>
          <w:rFonts w:eastAsia="仿宋_GB2312"/>
          <w:sz w:val="30"/>
          <w:szCs w:val="28"/>
        </w:rPr>
      </w:pPr>
    </w:p>
    <w:p w14:paraId="77B699C7">
      <w:pPr>
        <w:spacing w:line="560" w:lineRule="exact"/>
        <w:rPr>
          <w:rFonts w:eastAsia="仿宋_GB2312"/>
          <w:sz w:val="30"/>
          <w:szCs w:val="28"/>
        </w:rPr>
      </w:pPr>
      <w:r>
        <w:rPr>
          <w:rFonts w:hint="eastAsia" w:eastAsia="仿宋_GB2312"/>
          <w:sz w:val="30"/>
          <w:szCs w:val="28"/>
        </w:rPr>
        <w:t>我方作为通知方，特此通知贵方，</w:t>
      </w:r>
      <w:r>
        <w:rPr>
          <w:rFonts w:eastAsia="仿宋_GB2312"/>
          <w:sz w:val="30"/>
          <w:szCs w:val="28"/>
        </w:rPr>
        <w:t>[</w:t>
      </w:r>
      <w:r>
        <w:rPr>
          <w:rFonts w:hint="eastAsia" w:eastAsia="仿宋_GB2312"/>
          <w:sz w:val="30"/>
          <w:szCs w:val="28"/>
        </w:rPr>
        <w:t>请填入参考实体及</w:t>
      </w:r>
      <w:r>
        <w:rPr>
          <w:rFonts w:eastAsia="仿宋_GB2312"/>
          <w:sz w:val="30"/>
          <w:szCs w:val="28"/>
        </w:rPr>
        <w:t>/</w:t>
      </w:r>
      <w:r>
        <w:rPr>
          <w:rFonts w:hint="eastAsia" w:eastAsia="仿宋_GB2312"/>
          <w:sz w:val="30"/>
          <w:szCs w:val="28"/>
        </w:rPr>
        <w:t>或满足特定债务种类和债务特征的债务的名称及信息</w:t>
      </w:r>
      <w:r>
        <w:rPr>
          <w:rFonts w:eastAsia="仿宋_GB2312"/>
          <w:sz w:val="30"/>
          <w:szCs w:val="28"/>
        </w:rPr>
        <w:t>]</w:t>
      </w:r>
      <w:r>
        <w:rPr>
          <w:rFonts w:hint="eastAsia" w:eastAsia="仿宋_GB2312"/>
          <w:sz w:val="30"/>
          <w:szCs w:val="28"/>
        </w:rPr>
        <w:t>于</w:t>
      </w:r>
      <w:r>
        <w:rPr>
          <w:rFonts w:eastAsia="仿宋_GB2312"/>
          <w:sz w:val="30"/>
          <w:szCs w:val="28"/>
        </w:rPr>
        <w:t>[ ]</w:t>
      </w:r>
      <w:r>
        <w:rPr>
          <w:rFonts w:hint="eastAsia" w:eastAsia="仿宋_GB2312"/>
          <w:sz w:val="30"/>
          <w:szCs w:val="28"/>
        </w:rPr>
        <w:t>年</w:t>
      </w:r>
      <w:r>
        <w:rPr>
          <w:rFonts w:eastAsia="仿宋_GB2312"/>
          <w:sz w:val="30"/>
          <w:szCs w:val="28"/>
        </w:rPr>
        <w:t>[ ]</w:t>
      </w:r>
      <w:r>
        <w:rPr>
          <w:rFonts w:hint="eastAsia" w:eastAsia="仿宋_GB2312"/>
          <w:sz w:val="30"/>
          <w:szCs w:val="28"/>
        </w:rPr>
        <w:t>月</w:t>
      </w:r>
      <w:r>
        <w:rPr>
          <w:rFonts w:eastAsia="仿宋_GB2312"/>
          <w:sz w:val="30"/>
          <w:szCs w:val="28"/>
        </w:rPr>
        <w:t>[ ]</w:t>
      </w:r>
      <w:r>
        <w:rPr>
          <w:rFonts w:hint="eastAsia" w:eastAsia="仿宋_GB2312"/>
          <w:sz w:val="30"/>
          <w:szCs w:val="28"/>
        </w:rPr>
        <w:t>日或其前后发生了一项</w:t>
      </w:r>
      <w:r>
        <w:rPr>
          <w:rFonts w:eastAsia="仿宋_GB2312"/>
          <w:sz w:val="30"/>
          <w:szCs w:val="28"/>
        </w:rPr>
        <w:t>[</w:t>
      </w:r>
      <w:r>
        <w:rPr>
          <w:rFonts w:hint="eastAsia" w:eastAsia="仿宋_GB2312"/>
          <w:sz w:val="30"/>
          <w:szCs w:val="28"/>
        </w:rPr>
        <w:t>请填入适用信用事件的种类</w:t>
      </w:r>
      <w:r>
        <w:rPr>
          <w:rFonts w:eastAsia="仿宋_GB2312"/>
          <w:sz w:val="30"/>
          <w:szCs w:val="28"/>
        </w:rPr>
        <w:t>]</w:t>
      </w:r>
      <w:r>
        <w:rPr>
          <w:rFonts w:hint="eastAsia" w:eastAsia="仿宋_GB2312"/>
          <w:sz w:val="30"/>
          <w:szCs w:val="28"/>
        </w:rPr>
        <w:t>信用事件，其具体情况如下：</w:t>
      </w:r>
      <w:r>
        <w:rPr>
          <w:rFonts w:eastAsia="仿宋_GB2312"/>
          <w:sz w:val="30"/>
          <w:szCs w:val="28"/>
        </w:rPr>
        <w:t>[</w:t>
      </w:r>
      <w:r>
        <w:rPr>
          <w:rFonts w:hint="eastAsia" w:eastAsia="仿宋_GB2312"/>
          <w:sz w:val="30"/>
          <w:szCs w:val="28"/>
        </w:rPr>
        <w:t>请填入有关信息</w:t>
      </w:r>
      <w:r>
        <w:rPr>
          <w:rFonts w:eastAsia="仿宋_GB2312"/>
          <w:sz w:val="30"/>
          <w:szCs w:val="28"/>
        </w:rPr>
        <w:t>]</w:t>
      </w:r>
      <w:r>
        <w:rPr>
          <w:rFonts w:hint="eastAsia" w:eastAsia="仿宋_GB2312"/>
          <w:sz w:val="30"/>
          <w:szCs w:val="28"/>
        </w:rPr>
        <w:t>。</w:t>
      </w:r>
    </w:p>
    <w:p w14:paraId="39D01D27">
      <w:pPr>
        <w:spacing w:line="560" w:lineRule="exact"/>
        <w:rPr>
          <w:rFonts w:eastAsia="仿宋_GB2312"/>
          <w:sz w:val="30"/>
          <w:szCs w:val="28"/>
        </w:rPr>
      </w:pPr>
    </w:p>
    <w:p w14:paraId="287653FE">
      <w:pPr>
        <w:spacing w:line="560" w:lineRule="exact"/>
        <w:rPr>
          <w:rFonts w:eastAsia="仿宋_GB2312"/>
          <w:sz w:val="30"/>
          <w:szCs w:val="28"/>
        </w:rPr>
      </w:pPr>
      <w:r>
        <w:rPr>
          <w:rFonts w:hint="eastAsia" w:eastAsia="仿宋_GB2312"/>
          <w:sz w:val="30"/>
          <w:szCs w:val="28"/>
        </w:rPr>
        <w:t>通知方（印章）：</w:t>
      </w:r>
    </w:p>
    <w:p w14:paraId="5F79693D">
      <w:pPr>
        <w:spacing w:line="560" w:lineRule="exact"/>
        <w:rPr>
          <w:rFonts w:eastAsia="仿宋_GB2312"/>
          <w:sz w:val="30"/>
          <w:szCs w:val="28"/>
        </w:rPr>
      </w:pPr>
      <w:r>
        <w:rPr>
          <w:rFonts w:hint="eastAsia" w:eastAsia="仿宋_GB2312"/>
          <w:sz w:val="30"/>
          <w:szCs w:val="28"/>
        </w:rPr>
        <w:t>法定代表人（授权代理人）签字：</w:t>
      </w:r>
      <w:r>
        <w:rPr>
          <w:rFonts w:eastAsia="仿宋_GB2312"/>
          <w:sz w:val="30"/>
          <w:szCs w:val="28"/>
        </w:rPr>
        <w:t xml:space="preserve"> </w:t>
      </w:r>
    </w:p>
    <w:p w14:paraId="28ED4331">
      <w:pPr>
        <w:spacing w:line="560" w:lineRule="exact"/>
        <w:rPr>
          <w:rFonts w:eastAsia="仿宋_GB2312"/>
          <w:sz w:val="30"/>
          <w:szCs w:val="28"/>
        </w:rPr>
      </w:pPr>
      <w:r>
        <w:rPr>
          <w:rFonts w:hint="eastAsia" w:eastAsia="仿宋_GB2312"/>
          <w:sz w:val="30"/>
          <w:szCs w:val="28"/>
        </w:rPr>
        <w:t>信用事件通知日期：</w:t>
      </w:r>
    </w:p>
    <w:p w14:paraId="3A728EA8">
      <w:pPr>
        <w:spacing w:line="560" w:lineRule="exact"/>
        <w:rPr>
          <w:rFonts w:eastAsia="仿宋_GB2312"/>
          <w:sz w:val="30"/>
          <w:szCs w:val="28"/>
        </w:rPr>
      </w:pPr>
    </w:p>
    <w:p w14:paraId="0CE623DE">
      <w:pPr>
        <w:spacing w:line="560" w:lineRule="exact"/>
        <w:rPr>
          <w:rFonts w:eastAsia="仿宋_GB2312"/>
          <w:sz w:val="30"/>
          <w:szCs w:val="28"/>
        </w:rPr>
      </w:pPr>
    </w:p>
    <w:p w14:paraId="2FD0EF60">
      <w:pPr>
        <w:spacing w:line="560" w:lineRule="exact"/>
        <w:rPr>
          <w:rFonts w:eastAsia="仿宋_GB2312"/>
          <w:sz w:val="30"/>
          <w:szCs w:val="28"/>
        </w:rPr>
      </w:pPr>
    </w:p>
    <w:p w14:paraId="2518EB67">
      <w:pPr>
        <w:spacing w:line="560" w:lineRule="exact"/>
        <w:rPr>
          <w:rFonts w:eastAsia="仿宋_GB2312"/>
          <w:sz w:val="30"/>
          <w:szCs w:val="28"/>
        </w:rPr>
      </w:pPr>
    </w:p>
    <w:p w14:paraId="0B154158">
      <w:pPr>
        <w:spacing w:line="560" w:lineRule="exact"/>
        <w:rPr>
          <w:rFonts w:eastAsia="仿宋_GB2312"/>
          <w:b/>
          <w:sz w:val="30"/>
          <w:szCs w:val="28"/>
        </w:rPr>
      </w:pPr>
      <w:r>
        <w:rPr>
          <w:rFonts w:hint="eastAsia" w:eastAsia="仿宋_GB2312"/>
          <w:b/>
          <w:sz w:val="30"/>
          <w:szCs w:val="28"/>
        </w:rPr>
        <w:t>凭证版本（卖方版本）：</w:t>
      </w:r>
    </w:p>
    <w:p w14:paraId="1773F905">
      <w:pPr>
        <w:spacing w:line="560" w:lineRule="exact"/>
        <w:rPr>
          <w:rFonts w:eastAsia="仿宋_GB2312"/>
          <w:sz w:val="30"/>
          <w:szCs w:val="28"/>
        </w:rPr>
      </w:pPr>
      <w:r>
        <w:rPr>
          <w:rFonts w:hint="eastAsia" w:eastAsia="仿宋_GB2312"/>
          <w:sz w:val="30"/>
          <w:szCs w:val="28"/>
        </w:rPr>
        <w:t>事由：我公司于</w:t>
      </w:r>
      <w:r>
        <w:rPr>
          <w:rFonts w:eastAsia="仿宋_GB2312"/>
          <w:sz w:val="30"/>
          <w:szCs w:val="28"/>
        </w:rPr>
        <w:t>[   ]</w:t>
      </w:r>
      <w:r>
        <w:rPr>
          <w:rFonts w:hint="eastAsia" w:eastAsia="仿宋_GB2312"/>
          <w:sz w:val="30"/>
          <w:szCs w:val="28"/>
        </w:rPr>
        <w:t>年</w:t>
      </w:r>
      <w:r>
        <w:rPr>
          <w:rFonts w:eastAsia="仿宋_GB2312"/>
          <w:sz w:val="30"/>
          <w:szCs w:val="28"/>
        </w:rPr>
        <w:t>[   ]</w:t>
      </w:r>
      <w:r>
        <w:rPr>
          <w:rFonts w:hint="eastAsia" w:eastAsia="仿宋_GB2312"/>
          <w:sz w:val="30"/>
          <w:szCs w:val="28"/>
        </w:rPr>
        <w:t>月</w:t>
      </w:r>
      <w:r>
        <w:rPr>
          <w:rFonts w:eastAsia="仿宋_GB2312"/>
          <w:sz w:val="30"/>
          <w:szCs w:val="28"/>
        </w:rPr>
        <w:t>[   ]</w:t>
      </w:r>
      <w:r>
        <w:rPr>
          <w:rFonts w:hint="eastAsia" w:eastAsia="仿宋_GB2312"/>
          <w:sz w:val="30"/>
          <w:szCs w:val="28"/>
        </w:rPr>
        <w:t>日创设了</w:t>
      </w:r>
      <w:r>
        <w:rPr>
          <w:rFonts w:eastAsia="仿宋_GB2312"/>
          <w:sz w:val="30"/>
          <w:szCs w:val="28"/>
        </w:rPr>
        <w:t>[   ]</w:t>
      </w:r>
      <w:r>
        <w:rPr>
          <w:rFonts w:hint="eastAsia" w:eastAsia="仿宋_GB2312"/>
          <w:sz w:val="30"/>
          <w:szCs w:val="28"/>
        </w:rPr>
        <w:t>信用保护凭证（以下简称凭证），并在凭证创设说明书（编号</w:t>
      </w:r>
      <w:r>
        <w:rPr>
          <w:rFonts w:eastAsia="仿宋_GB2312"/>
          <w:sz w:val="30"/>
          <w:szCs w:val="28"/>
        </w:rPr>
        <w:t>[   ]</w:t>
      </w:r>
      <w:r>
        <w:rPr>
          <w:rFonts w:hint="eastAsia" w:eastAsia="仿宋_GB2312"/>
          <w:sz w:val="30"/>
          <w:szCs w:val="28"/>
        </w:rPr>
        <w:t>）中对于交易双方权利义务进行了约定。</w:t>
      </w:r>
    </w:p>
    <w:p w14:paraId="5825F3F4">
      <w:pPr>
        <w:spacing w:line="560" w:lineRule="exact"/>
        <w:rPr>
          <w:rFonts w:eastAsia="仿宋_GB2312"/>
          <w:sz w:val="30"/>
          <w:szCs w:val="28"/>
        </w:rPr>
      </w:pPr>
    </w:p>
    <w:p w14:paraId="74B9069E">
      <w:pPr>
        <w:spacing w:line="560" w:lineRule="exact"/>
        <w:rPr>
          <w:rFonts w:eastAsia="仿宋_GB2312"/>
          <w:sz w:val="30"/>
          <w:szCs w:val="28"/>
        </w:rPr>
      </w:pPr>
      <w:r>
        <w:rPr>
          <w:rFonts w:hint="eastAsia" w:eastAsia="仿宋_GB2312"/>
          <w:sz w:val="30"/>
          <w:szCs w:val="28"/>
        </w:rPr>
        <w:t>本通知构成前述凭证所指的信用事件通知。除非本通知另有定义，该凭证创设说明书中定义的术语在本通知中具有相同的含义。</w:t>
      </w:r>
    </w:p>
    <w:p w14:paraId="37D60E83">
      <w:pPr>
        <w:spacing w:line="560" w:lineRule="exact"/>
        <w:rPr>
          <w:rFonts w:eastAsia="仿宋_GB2312"/>
          <w:sz w:val="30"/>
          <w:szCs w:val="28"/>
        </w:rPr>
      </w:pPr>
    </w:p>
    <w:p w14:paraId="31907D47">
      <w:pPr>
        <w:spacing w:line="560" w:lineRule="exact"/>
        <w:rPr>
          <w:rFonts w:eastAsia="仿宋_GB2312"/>
          <w:sz w:val="30"/>
          <w:szCs w:val="28"/>
        </w:rPr>
      </w:pPr>
      <w:r>
        <w:rPr>
          <w:rFonts w:hint="eastAsia" w:eastAsia="仿宋_GB2312"/>
          <w:sz w:val="30"/>
          <w:szCs w:val="28"/>
        </w:rPr>
        <w:t>我方作为通知方，特此通知凭证投资者，</w:t>
      </w:r>
      <w:r>
        <w:rPr>
          <w:rFonts w:eastAsia="仿宋_GB2312"/>
          <w:sz w:val="30"/>
          <w:szCs w:val="28"/>
        </w:rPr>
        <w:t>[</w:t>
      </w:r>
      <w:r>
        <w:rPr>
          <w:rFonts w:hint="eastAsia" w:eastAsia="仿宋_GB2312"/>
          <w:sz w:val="30"/>
          <w:szCs w:val="28"/>
        </w:rPr>
        <w:t>请填入参考实体及</w:t>
      </w:r>
      <w:r>
        <w:rPr>
          <w:rFonts w:eastAsia="仿宋_GB2312"/>
          <w:sz w:val="30"/>
          <w:szCs w:val="28"/>
        </w:rPr>
        <w:t>/</w:t>
      </w:r>
      <w:r>
        <w:rPr>
          <w:rFonts w:hint="eastAsia" w:eastAsia="仿宋_GB2312"/>
          <w:sz w:val="30"/>
          <w:szCs w:val="28"/>
        </w:rPr>
        <w:t>或满足特定债务种类和债务特征的债务的名称及信息</w:t>
      </w:r>
      <w:r>
        <w:rPr>
          <w:rFonts w:eastAsia="仿宋_GB2312"/>
          <w:sz w:val="30"/>
          <w:szCs w:val="28"/>
        </w:rPr>
        <w:t>]</w:t>
      </w:r>
      <w:r>
        <w:rPr>
          <w:rFonts w:hint="eastAsia" w:eastAsia="仿宋_GB2312"/>
          <w:sz w:val="30"/>
          <w:szCs w:val="28"/>
        </w:rPr>
        <w:t>于</w:t>
      </w:r>
      <w:r>
        <w:rPr>
          <w:rFonts w:eastAsia="仿宋_GB2312"/>
          <w:sz w:val="30"/>
          <w:szCs w:val="28"/>
        </w:rPr>
        <w:t>[ ]</w:t>
      </w:r>
      <w:r>
        <w:rPr>
          <w:rFonts w:hint="eastAsia" w:eastAsia="仿宋_GB2312"/>
          <w:sz w:val="30"/>
          <w:szCs w:val="28"/>
        </w:rPr>
        <w:t>年</w:t>
      </w:r>
      <w:r>
        <w:rPr>
          <w:rFonts w:eastAsia="仿宋_GB2312"/>
          <w:sz w:val="30"/>
          <w:szCs w:val="28"/>
        </w:rPr>
        <w:t>[ ]</w:t>
      </w:r>
      <w:r>
        <w:rPr>
          <w:rFonts w:hint="eastAsia" w:eastAsia="仿宋_GB2312"/>
          <w:sz w:val="30"/>
          <w:szCs w:val="28"/>
        </w:rPr>
        <w:t>月</w:t>
      </w:r>
      <w:r>
        <w:rPr>
          <w:rFonts w:eastAsia="仿宋_GB2312"/>
          <w:sz w:val="30"/>
          <w:szCs w:val="28"/>
        </w:rPr>
        <w:t>[ ]</w:t>
      </w:r>
      <w:r>
        <w:rPr>
          <w:rFonts w:hint="eastAsia" w:eastAsia="仿宋_GB2312"/>
          <w:sz w:val="30"/>
          <w:szCs w:val="28"/>
        </w:rPr>
        <w:t>日或其前后发生了一项</w:t>
      </w:r>
      <w:r>
        <w:rPr>
          <w:rFonts w:eastAsia="仿宋_GB2312"/>
          <w:sz w:val="30"/>
          <w:szCs w:val="28"/>
        </w:rPr>
        <w:t>[</w:t>
      </w:r>
      <w:r>
        <w:rPr>
          <w:rFonts w:hint="eastAsia" w:eastAsia="仿宋_GB2312"/>
          <w:sz w:val="30"/>
          <w:szCs w:val="28"/>
        </w:rPr>
        <w:t>请填入适用信用事件的种类</w:t>
      </w:r>
      <w:r>
        <w:rPr>
          <w:rFonts w:eastAsia="仿宋_GB2312"/>
          <w:sz w:val="30"/>
          <w:szCs w:val="28"/>
        </w:rPr>
        <w:t>]</w:t>
      </w:r>
      <w:r>
        <w:rPr>
          <w:rFonts w:hint="eastAsia" w:eastAsia="仿宋_GB2312"/>
          <w:sz w:val="30"/>
          <w:szCs w:val="28"/>
        </w:rPr>
        <w:t>信用事件，其具体情况如下：</w:t>
      </w:r>
      <w:r>
        <w:rPr>
          <w:rFonts w:eastAsia="仿宋_GB2312"/>
          <w:sz w:val="30"/>
          <w:szCs w:val="28"/>
        </w:rPr>
        <w:t>[</w:t>
      </w:r>
      <w:r>
        <w:rPr>
          <w:rFonts w:hint="eastAsia" w:eastAsia="仿宋_GB2312"/>
          <w:sz w:val="30"/>
          <w:szCs w:val="28"/>
        </w:rPr>
        <w:t>请填入有关信息</w:t>
      </w:r>
      <w:r>
        <w:rPr>
          <w:rFonts w:eastAsia="仿宋_GB2312"/>
          <w:sz w:val="30"/>
          <w:szCs w:val="28"/>
        </w:rPr>
        <w:t>]</w:t>
      </w:r>
      <w:r>
        <w:rPr>
          <w:rFonts w:hint="eastAsia" w:eastAsia="仿宋_GB2312"/>
          <w:sz w:val="30"/>
          <w:szCs w:val="28"/>
        </w:rPr>
        <w:t>。</w:t>
      </w:r>
    </w:p>
    <w:p w14:paraId="4B3EC30E">
      <w:pPr>
        <w:spacing w:line="560" w:lineRule="exact"/>
        <w:rPr>
          <w:rFonts w:eastAsia="仿宋_GB2312"/>
          <w:sz w:val="30"/>
          <w:szCs w:val="28"/>
        </w:rPr>
      </w:pPr>
    </w:p>
    <w:p w14:paraId="6373B3C6">
      <w:pPr>
        <w:spacing w:line="560" w:lineRule="exact"/>
        <w:rPr>
          <w:rFonts w:eastAsia="仿宋_GB2312"/>
          <w:sz w:val="30"/>
          <w:szCs w:val="28"/>
        </w:rPr>
      </w:pPr>
    </w:p>
    <w:p w14:paraId="0E9CF528">
      <w:pPr>
        <w:spacing w:line="560" w:lineRule="exact"/>
        <w:rPr>
          <w:rFonts w:eastAsia="仿宋_GB2312"/>
          <w:sz w:val="30"/>
          <w:szCs w:val="28"/>
        </w:rPr>
      </w:pPr>
      <w:r>
        <w:rPr>
          <w:rFonts w:hint="eastAsia" w:eastAsia="仿宋_GB2312"/>
          <w:sz w:val="30"/>
          <w:szCs w:val="28"/>
        </w:rPr>
        <w:t>通知方（印章）：</w:t>
      </w:r>
    </w:p>
    <w:p w14:paraId="67EDB948">
      <w:pPr>
        <w:spacing w:line="560" w:lineRule="exact"/>
        <w:rPr>
          <w:rFonts w:eastAsia="仿宋_GB2312"/>
          <w:sz w:val="30"/>
          <w:szCs w:val="28"/>
        </w:rPr>
      </w:pPr>
      <w:r>
        <w:rPr>
          <w:rFonts w:hint="eastAsia" w:eastAsia="仿宋_GB2312"/>
          <w:sz w:val="30"/>
          <w:szCs w:val="28"/>
        </w:rPr>
        <w:t>法定代表人（授权代理人）签字：</w:t>
      </w:r>
    </w:p>
    <w:p w14:paraId="5E642D55">
      <w:pPr>
        <w:widowControl/>
        <w:jc w:val="left"/>
        <w:rPr>
          <w:rFonts w:eastAsia="仿宋_GB2312"/>
          <w:sz w:val="30"/>
          <w:szCs w:val="28"/>
        </w:rPr>
      </w:pPr>
      <w:r>
        <w:rPr>
          <w:rFonts w:hint="eastAsia" w:eastAsia="仿宋_GB2312"/>
          <w:sz w:val="30"/>
          <w:szCs w:val="28"/>
        </w:rPr>
        <w:t>信用事件通知日期：</w:t>
      </w:r>
    </w:p>
    <w:p w14:paraId="36DA9AC8">
      <w:pPr>
        <w:widowControl/>
        <w:jc w:val="left"/>
        <w:rPr>
          <w:rFonts w:eastAsia="仿宋_GB2312"/>
          <w:sz w:val="30"/>
          <w:szCs w:val="28"/>
        </w:rPr>
      </w:pPr>
    </w:p>
    <w:p w14:paraId="5B7F1598">
      <w:r>
        <w:br w:type="page"/>
      </w:r>
    </w:p>
    <w:p w14:paraId="6A148018">
      <w:pPr>
        <w:widowControl/>
        <w:jc w:val="left"/>
        <w:outlineLvl w:val="1"/>
        <w:rPr>
          <w:rFonts w:ascii="仿宋_GB2312" w:hAnsi="黑体" w:eastAsia="仿宋_GB2312"/>
          <w:b/>
          <w:sz w:val="30"/>
          <w:szCs w:val="30"/>
        </w:rPr>
      </w:pPr>
      <w:bookmarkStart w:id="3959" w:name="_Toc1126670178"/>
      <w:bookmarkStart w:id="3960" w:name="_Toc1374098022"/>
      <w:bookmarkStart w:id="3961" w:name="_Toc1232401433"/>
      <w:bookmarkStart w:id="3962" w:name="_Toc151137114"/>
      <w:bookmarkStart w:id="3963" w:name="_Toc1154617772"/>
      <w:r>
        <w:rPr>
          <w:rFonts w:hint="eastAsia" w:ascii="仿宋_GB2312" w:hAnsi="黑体" w:eastAsia="仿宋_GB2312"/>
          <w:b/>
          <w:sz w:val="30"/>
          <w:szCs w:val="30"/>
        </w:rPr>
        <w:t>附件31 信用保护工具公共信息通知书参考模板</w:t>
      </w:r>
      <w:bookmarkEnd w:id="3959"/>
      <w:bookmarkEnd w:id="3960"/>
      <w:bookmarkEnd w:id="3961"/>
      <w:bookmarkEnd w:id="3962"/>
      <w:bookmarkEnd w:id="3963"/>
    </w:p>
    <w:p w14:paraId="373ED10D">
      <w:pPr>
        <w:spacing w:line="600" w:lineRule="exact"/>
        <w:jc w:val="left"/>
        <w:rPr>
          <w:rFonts w:ascii="黑体" w:hAnsi="黑体" w:eastAsia="黑体"/>
          <w:b/>
          <w:kern w:val="0"/>
          <w:sz w:val="44"/>
          <w:szCs w:val="44"/>
          <w:lang w:bidi="en-US"/>
        </w:rPr>
      </w:pPr>
    </w:p>
    <w:p w14:paraId="1E18CC86">
      <w:pPr>
        <w:spacing w:line="560" w:lineRule="exact"/>
        <w:jc w:val="center"/>
        <w:rPr>
          <w:rFonts w:eastAsia="仿宋_GB2312"/>
          <w:b/>
          <w:sz w:val="28"/>
          <w:szCs w:val="28"/>
        </w:rPr>
      </w:pPr>
      <w:r>
        <w:rPr>
          <w:rFonts w:hint="eastAsia" w:ascii="黑体" w:hAnsi="黑体" w:eastAsia="黑体"/>
          <w:b/>
          <w:kern w:val="0"/>
          <w:sz w:val="44"/>
          <w:szCs w:val="44"/>
          <w:lang w:bidi="en-US"/>
        </w:rPr>
        <w:t>信用保护工具公共信息通知书</w:t>
      </w:r>
    </w:p>
    <w:p w14:paraId="526DDB67">
      <w:pPr>
        <w:spacing w:line="560" w:lineRule="exact"/>
        <w:rPr>
          <w:rFonts w:eastAsia="仿宋_GB2312"/>
          <w:sz w:val="30"/>
          <w:szCs w:val="28"/>
        </w:rPr>
      </w:pPr>
      <w:r>
        <w:rPr>
          <w:rFonts w:hint="eastAsia" w:eastAsia="仿宋_GB2312"/>
          <w:b/>
          <w:sz w:val="30"/>
          <w:szCs w:val="28"/>
        </w:rPr>
        <w:t>合约版本：</w:t>
      </w:r>
    </w:p>
    <w:p w14:paraId="2925D201">
      <w:pPr>
        <w:spacing w:line="560" w:lineRule="exact"/>
        <w:rPr>
          <w:rFonts w:eastAsia="仿宋_GB2312"/>
          <w:sz w:val="30"/>
          <w:szCs w:val="28"/>
        </w:rPr>
      </w:pPr>
      <w:r>
        <w:rPr>
          <w:rFonts w:hint="eastAsia" w:eastAsia="仿宋_GB2312"/>
          <w:sz w:val="30"/>
          <w:szCs w:val="28"/>
        </w:rPr>
        <w:t>收件方：</w:t>
      </w:r>
      <w:r>
        <w:rPr>
          <w:rFonts w:eastAsia="仿宋_GB2312"/>
          <w:sz w:val="30"/>
          <w:szCs w:val="28"/>
        </w:rPr>
        <w:t>[</w:t>
      </w:r>
      <w:r>
        <w:rPr>
          <w:rFonts w:hint="eastAsia" w:eastAsia="仿宋_GB2312"/>
          <w:sz w:val="30"/>
          <w:szCs w:val="28"/>
        </w:rPr>
        <w:t>请填入收件方名称、地址、联系人与联系方式</w:t>
      </w:r>
      <w:r>
        <w:rPr>
          <w:rFonts w:eastAsia="仿宋_GB2312"/>
          <w:sz w:val="30"/>
          <w:szCs w:val="28"/>
        </w:rPr>
        <w:t xml:space="preserve">] </w:t>
      </w:r>
    </w:p>
    <w:p w14:paraId="64D5F56B">
      <w:pPr>
        <w:spacing w:line="560" w:lineRule="exact"/>
        <w:rPr>
          <w:rFonts w:eastAsia="仿宋_GB2312"/>
          <w:sz w:val="30"/>
          <w:szCs w:val="28"/>
        </w:rPr>
      </w:pPr>
      <w:r>
        <w:rPr>
          <w:rFonts w:hint="eastAsia" w:eastAsia="仿宋_GB2312"/>
          <w:sz w:val="30"/>
          <w:szCs w:val="28"/>
        </w:rPr>
        <w:t>通知方：</w:t>
      </w:r>
      <w:r>
        <w:rPr>
          <w:rFonts w:eastAsia="仿宋_GB2312"/>
          <w:sz w:val="30"/>
          <w:szCs w:val="28"/>
        </w:rPr>
        <w:t>[</w:t>
      </w:r>
      <w:r>
        <w:rPr>
          <w:rFonts w:hint="eastAsia" w:eastAsia="仿宋_GB2312"/>
          <w:sz w:val="30"/>
          <w:szCs w:val="28"/>
        </w:rPr>
        <w:t>请填入通知方名称、地址、联系人与联系方式</w:t>
      </w:r>
      <w:r>
        <w:rPr>
          <w:rFonts w:eastAsia="仿宋_GB2312"/>
          <w:sz w:val="30"/>
          <w:szCs w:val="28"/>
        </w:rPr>
        <w:t xml:space="preserve">] </w:t>
      </w:r>
    </w:p>
    <w:p w14:paraId="23578BC3">
      <w:pPr>
        <w:spacing w:line="600" w:lineRule="exact"/>
        <w:jc w:val="left"/>
        <w:rPr>
          <w:rFonts w:ascii="黑体" w:hAnsi="黑体" w:eastAsia="黑体"/>
          <w:b/>
          <w:kern w:val="0"/>
          <w:sz w:val="44"/>
          <w:szCs w:val="44"/>
          <w:lang w:bidi="en-US"/>
        </w:rPr>
      </w:pPr>
    </w:p>
    <w:p w14:paraId="131A6695">
      <w:pPr>
        <w:spacing w:line="560" w:lineRule="exact"/>
        <w:rPr>
          <w:rFonts w:eastAsia="仿宋_GB2312"/>
          <w:sz w:val="30"/>
          <w:szCs w:val="28"/>
        </w:rPr>
      </w:pPr>
      <w:r>
        <w:rPr>
          <w:rFonts w:hint="eastAsia" w:eastAsia="仿宋_GB2312"/>
          <w:sz w:val="30"/>
          <w:szCs w:val="28"/>
        </w:rPr>
        <w:t>事由：签署日期为</w:t>
      </w:r>
      <w:r>
        <w:rPr>
          <w:rFonts w:eastAsia="仿宋_GB2312"/>
          <w:sz w:val="30"/>
          <w:szCs w:val="28"/>
        </w:rPr>
        <w:t>[   ]</w:t>
      </w:r>
      <w:r>
        <w:rPr>
          <w:rFonts w:hint="eastAsia" w:eastAsia="仿宋_GB2312"/>
          <w:sz w:val="30"/>
          <w:szCs w:val="28"/>
        </w:rPr>
        <w:t>年</w:t>
      </w:r>
      <w:r>
        <w:rPr>
          <w:rFonts w:eastAsia="仿宋_GB2312"/>
          <w:sz w:val="30"/>
          <w:szCs w:val="28"/>
        </w:rPr>
        <w:t>[   ]</w:t>
      </w:r>
      <w:r>
        <w:rPr>
          <w:rFonts w:hint="eastAsia" w:eastAsia="仿宋_GB2312"/>
          <w:sz w:val="30"/>
          <w:szCs w:val="28"/>
        </w:rPr>
        <w:t>月</w:t>
      </w:r>
      <w:r>
        <w:rPr>
          <w:rFonts w:eastAsia="仿宋_GB2312"/>
          <w:sz w:val="30"/>
          <w:szCs w:val="28"/>
        </w:rPr>
        <w:t>[   ]</w:t>
      </w:r>
      <w:r>
        <w:rPr>
          <w:rFonts w:hint="eastAsia" w:eastAsia="仿宋_GB2312"/>
          <w:sz w:val="30"/>
          <w:szCs w:val="28"/>
        </w:rPr>
        <w:t>日的以</w:t>
      </w:r>
      <w:r>
        <w:rPr>
          <w:rFonts w:eastAsia="仿宋_GB2312"/>
          <w:sz w:val="30"/>
          <w:szCs w:val="28"/>
        </w:rPr>
        <w:t>[   ]</w:t>
      </w:r>
      <w:r>
        <w:rPr>
          <w:rFonts w:hint="eastAsia" w:eastAsia="仿宋_GB2312"/>
          <w:sz w:val="30"/>
          <w:szCs w:val="28"/>
        </w:rPr>
        <w:t>为参考实体以</w:t>
      </w:r>
      <w:r>
        <w:rPr>
          <w:rFonts w:eastAsia="仿宋_GB2312"/>
          <w:sz w:val="30"/>
          <w:szCs w:val="28"/>
        </w:rPr>
        <w:t>[   ]</w:t>
      </w:r>
      <w:r>
        <w:rPr>
          <w:rFonts w:hint="eastAsia" w:eastAsia="仿宋_GB2312"/>
          <w:sz w:val="30"/>
          <w:szCs w:val="28"/>
        </w:rPr>
        <w:t>为受保护债务的《</w:t>
      </w:r>
      <w:r>
        <w:rPr>
          <w:rFonts w:eastAsia="仿宋_GB2312"/>
          <w:sz w:val="30"/>
          <w:szCs w:val="28"/>
        </w:rPr>
        <w:t>XXXX</w:t>
      </w:r>
      <w:r>
        <w:rPr>
          <w:rFonts w:hint="eastAsia" w:eastAsia="仿宋_GB2312"/>
          <w:sz w:val="30"/>
          <w:szCs w:val="28"/>
        </w:rPr>
        <w:t>信用保护合约交易确认书》（编号：</w:t>
      </w:r>
      <w:r>
        <w:rPr>
          <w:rFonts w:eastAsia="仿宋_GB2312"/>
          <w:sz w:val="30"/>
          <w:szCs w:val="28"/>
        </w:rPr>
        <w:t>[</w:t>
      </w:r>
      <w:r>
        <w:rPr>
          <w:rFonts w:eastAsia="仿宋_GB2312"/>
          <w:sz w:val="30"/>
          <w:szCs w:val="28"/>
        </w:rPr>
        <w:tab/>
      </w:r>
      <w:r>
        <w:rPr>
          <w:rFonts w:eastAsia="仿宋_GB2312"/>
          <w:sz w:val="30"/>
          <w:szCs w:val="28"/>
        </w:rPr>
        <w:t xml:space="preserve">] </w:t>
      </w:r>
      <w:r>
        <w:rPr>
          <w:rFonts w:hint="eastAsia" w:eastAsia="仿宋_GB2312"/>
          <w:sz w:val="30"/>
          <w:szCs w:val="28"/>
        </w:rPr>
        <w:t>，以下简称《交易确认书》）项下的公共信息通知书。</w:t>
      </w:r>
    </w:p>
    <w:p w14:paraId="38B6E2EC">
      <w:pPr>
        <w:spacing w:line="560" w:lineRule="exact"/>
        <w:rPr>
          <w:rFonts w:eastAsia="仿宋_GB2312"/>
          <w:sz w:val="30"/>
          <w:szCs w:val="28"/>
        </w:rPr>
      </w:pPr>
    </w:p>
    <w:p w14:paraId="45BF6A7B">
      <w:pPr>
        <w:spacing w:line="560" w:lineRule="exact"/>
        <w:rPr>
          <w:rFonts w:eastAsia="仿宋_GB2312"/>
          <w:sz w:val="30"/>
          <w:szCs w:val="28"/>
        </w:rPr>
      </w:pPr>
      <w:r>
        <w:rPr>
          <w:rFonts w:hint="eastAsia" w:eastAsia="仿宋_GB2312"/>
          <w:sz w:val="30"/>
          <w:szCs w:val="28"/>
        </w:rPr>
        <w:t>本通知构成前述《交易确认书》所指的公共信息通知书。除非本</w:t>
      </w:r>
      <w:r>
        <w:rPr>
          <w:rFonts w:eastAsia="仿宋_GB2312"/>
          <w:sz w:val="30"/>
          <w:szCs w:val="28"/>
        </w:rPr>
        <w:t xml:space="preserve"> </w:t>
      </w:r>
      <w:r>
        <w:rPr>
          <w:rFonts w:hint="eastAsia" w:eastAsia="仿宋_GB2312"/>
          <w:sz w:val="30"/>
          <w:szCs w:val="28"/>
        </w:rPr>
        <w:t>通知另有定义，《交易确认书》中定义的术语在本通知中具有相同的含义。</w:t>
      </w:r>
    </w:p>
    <w:p w14:paraId="67FBC523">
      <w:pPr>
        <w:spacing w:line="560" w:lineRule="exact"/>
        <w:rPr>
          <w:rFonts w:eastAsia="仿宋_GB2312"/>
          <w:sz w:val="30"/>
          <w:szCs w:val="28"/>
        </w:rPr>
      </w:pPr>
    </w:p>
    <w:p w14:paraId="6B0E3498">
      <w:pPr>
        <w:spacing w:line="560" w:lineRule="exact"/>
        <w:rPr>
          <w:rFonts w:eastAsia="仿宋_GB2312"/>
          <w:sz w:val="30"/>
          <w:szCs w:val="28"/>
        </w:rPr>
      </w:pPr>
      <w:r>
        <w:rPr>
          <w:rFonts w:hint="eastAsia" w:eastAsia="仿宋_GB2312"/>
          <w:sz w:val="30"/>
          <w:szCs w:val="28"/>
        </w:rPr>
        <w:t>我方作为通知方，特此通知贵方，</w:t>
      </w:r>
      <w:r>
        <w:rPr>
          <w:rFonts w:eastAsia="仿宋_GB2312"/>
          <w:sz w:val="30"/>
          <w:szCs w:val="28"/>
        </w:rPr>
        <w:t>[</w:t>
      </w:r>
      <w:r>
        <w:rPr>
          <w:rFonts w:hint="eastAsia" w:eastAsia="仿宋_GB2312"/>
          <w:sz w:val="30"/>
          <w:szCs w:val="28"/>
        </w:rPr>
        <w:t>请填入参考实体及</w:t>
      </w:r>
      <w:r>
        <w:rPr>
          <w:rFonts w:eastAsia="仿宋_GB2312"/>
          <w:sz w:val="30"/>
          <w:szCs w:val="28"/>
        </w:rPr>
        <w:t>/</w:t>
      </w:r>
      <w:r>
        <w:rPr>
          <w:rFonts w:hint="eastAsia" w:eastAsia="仿宋_GB2312"/>
          <w:sz w:val="30"/>
          <w:szCs w:val="28"/>
        </w:rPr>
        <w:t>或满足特定债务种类和债务特征的债务的名称及信息</w:t>
      </w:r>
      <w:r>
        <w:rPr>
          <w:rFonts w:eastAsia="仿宋_GB2312"/>
          <w:sz w:val="30"/>
          <w:szCs w:val="28"/>
        </w:rPr>
        <w:t>]</w:t>
      </w:r>
      <w:r>
        <w:rPr>
          <w:rFonts w:hint="eastAsia" w:eastAsia="仿宋_GB2312"/>
          <w:sz w:val="30"/>
          <w:szCs w:val="28"/>
        </w:rPr>
        <w:t>于</w:t>
      </w:r>
      <w:r>
        <w:rPr>
          <w:rFonts w:eastAsia="仿宋_GB2312"/>
          <w:sz w:val="30"/>
          <w:szCs w:val="28"/>
        </w:rPr>
        <w:t>[ ]</w:t>
      </w:r>
      <w:r>
        <w:rPr>
          <w:rFonts w:hint="eastAsia" w:eastAsia="仿宋_GB2312"/>
          <w:sz w:val="30"/>
          <w:szCs w:val="28"/>
        </w:rPr>
        <w:t>年</w:t>
      </w:r>
      <w:r>
        <w:rPr>
          <w:rFonts w:eastAsia="仿宋_GB2312"/>
          <w:sz w:val="30"/>
          <w:szCs w:val="28"/>
        </w:rPr>
        <w:t>[ ]</w:t>
      </w:r>
      <w:r>
        <w:rPr>
          <w:rFonts w:hint="eastAsia" w:eastAsia="仿宋_GB2312"/>
          <w:sz w:val="30"/>
          <w:szCs w:val="28"/>
        </w:rPr>
        <w:t>月</w:t>
      </w:r>
      <w:r>
        <w:rPr>
          <w:rFonts w:eastAsia="仿宋_GB2312"/>
          <w:sz w:val="30"/>
          <w:szCs w:val="28"/>
        </w:rPr>
        <w:t>[ ]</w:t>
      </w:r>
      <w:r>
        <w:rPr>
          <w:rFonts w:hint="eastAsia" w:eastAsia="仿宋_GB2312"/>
          <w:sz w:val="30"/>
          <w:szCs w:val="28"/>
        </w:rPr>
        <w:t>日或其前后发生了一项</w:t>
      </w:r>
      <w:r>
        <w:rPr>
          <w:rFonts w:eastAsia="仿宋_GB2312"/>
          <w:sz w:val="30"/>
          <w:szCs w:val="28"/>
        </w:rPr>
        <w:t>[</w:t>
      </w:r>
      <w:r>
        <w:rPr>
          <w:rFonts w:hint="eastAsia" w:eastAsia="仿宋_GB2312"/>
          <w:sz w:val="30"/>
          <w:szCs w:val="28"/>
        </w:rPr>
        <w:t>请填入适用的信用事件种类</w:t>
      </w:r>
      <w:r>
        <w:rPr>
          <w:rFonts w:eastAsia="仿宋_GB2312"/>
          <w:sz w:val="30"/>
          <w:szCs w:val="28"/>
        </w:rPr>
        <w:t>]</w:t>
      </w:r>
      <w:r>
        <w:rPr>
          <w:rFonts w:hint="eastAsia" w:eastAsia="仿宋_GB2312"/>
          <w:sz w:val="30"/>
          <w:szCs w:val="28"/>
        </w:rPr>
        <w:t>。</w:t>
      </w:r>
    </w:p>
    <w:p w14:paraId="0D79B6FB">
      <w:pPr>
        <w:spacing w:line="560" w:lineRule="exact"/>
        <w:rPr>
          <w:rFonts w:eastAsia="仿宋_GB2312"/>
          <w:sz w:val="30"/>
          <w:szCs w:val="28"/>
        </w:rPr>
      </w:pPr>
    </w:p>
    <w:p w14:paraId="16D6CCB8">
      <w:pPr>
        <w:spacing w:line="560" w:lineRule="exact"/>
        <w:rPr>
          <w:rFonts w:eastAsia="仿宋_GB2312"/>
          <w:sz w:val="30"/>
          <w:szCs w:val="28"/>
        </w:rPr>
      </w:pPr>
      <w:r>
        <w:rPr>
          <w:rFonts w:hint="eastAsia" w:eastAsia="仿宋_GB2312"/>
          <w:sz w:val="30"/>
          <w:szCs w:val="28"/>
        </w:rPr>
        <w:t>本通知作为该</w:t>
      </w:r>
      <w:r>
        <w:rPr>
          <w:rFonts w:eastAsia="仿宋_GB2312"/>
          <w:sz w:val="30"/>
          <w:szCs w:val="28"/>
        </w:rPr>
        <w:t>[</w:t>
      </w:r>
      <w:r>
        <w:rPr>
          <w:rFonts w:hint="eastAsia" w:eastAsia="仿宋_GB2312"/>
          <w:sz w:val="30"/>
          <w:szCs w:val="28"/>
        </w:rPr>
        <w:t>信用事件</w:t>
      </w:r>
      <w:r>
        <w:rPr>
          <w:rFonts w:eastAsia="仿宋_GB2312"/>
          <w:sz w:val="30"/>
          <w:szCs w:val="28"/>
        </w:rPr>
        <w:t>]</w:t>
      </w:r>
      <w:r>
        <w:rPr>
          <w:rFonts w:hint="eastAsia" w:eastAsia="仿宋_GB2312"/>
          <w:sz w:val="30"/>
          <w:szCs w:val="28"/>
        </w:rPr>
        <w:t>的公共信息通知书，有关公开信息的情况如下：</w:t>
      </w:r>
      <w:r>
        <w:rPr>
          <w:rFonts w:eastAsia="仿宋_GB2312"/>
          <w:sz w:val="30"/>
          <w:szCs w:val="28"/>
        </w:rPr>
        <w:t>[</w:t>
      </w:r>
      <w:r>
        <w:rPr>
          <w:rFonts w:hint="eastAsia" w:eastAsia="仿宋_GB2312"/>
          <w:sz w:val="30"/>
          <w:szCs w:val="28"/>
        </w:rPr>
        <w:t>请填入获得的有关公开信息</w:t>
      </w:r>
      <w:r>
        <w:rPr>
          <w:rFonts w:eastAsia="仿宋_GB2312"/>
          <w:sz w:val="30"/>
          <w:szCs w:val="28"/>
        </w:rPr>
        <w:t>]</w:t>
      </w:r>
      <w:r>
        <w:rPr>
          <w:rFonts w:hint="eastAsia" w:eastAsia="仿宋_GB2312"/>
          <w:sz w:val="30"/>
          <w:szCs w:val="28"/>
        </w:rPr>
        <w:t>。</w:t>
      </w:r>
    </w:p>
    <w:p w14:paraId="7905406A">
      <w:pPr>
        <w:spacing w:line="560" w:lineRule="exact"/>
        <w:rPr>
          <w:rFonts w:eastAsia="仿宋_GB2312"/>
          <w:sz w:val="30"/>
          <w:szCs w:val="28"/>
        </w:rPr>
      </w:pPr>
    </w:p>
    <w:p w14:paraId="42E8BF40">
      <w:pPr>
        <w:spacing w:line="560" w:lineRule="exact"/>
        <w:rPr>
          <w:rFonts w:eastAsia="仿宋_GB2312"/>
          <w:sz w:val="30"/>
          <w:szCs w:val="28"/>
        </w:rPr>
      </w:pPr>
      <w:r>
        <w:rPr>
          <w:rFonts w:hint="eastAsia" w:eastAsia="仿宋_GB2312"/>
          <w:sz w:val="30"/>
          <w:szCs w:val="28"/>
        </w:rPr>
        <w:t>通知方（印章）：</w:t>
      </w:r>
    </w:p>
    <w:p w14:paraId="4D72ED17">
      <w:pPr>
        <w:spacing w:line="560" w:lineRule="exact"/>
        <w:rPr>
          <w:rFonts w:eastAsia="仿宋_GB2312"/>
          <w:sz w:val="30"/>
          <w:szCs w:val="28"/>
        </w:rPr>
      </w:pPr>
      <w:r>
        <w:rPr>
          <w:rFonts w:hint="eastAsia" w:eastAsia="仿宋_GB2312"/>
          <w:sz w:val="30"/>
          <w:szCs w:val="28"/>
        </w:rPr>
        <w:t>法定代表人（授权代理人）签字：</w:t>
      </w:r>
    </w:p>
    <w:p w14:paraId="635E5670">
      <w:pPr>
        <w:widowControl/>
        <w:jc w:val="left"/>
        <w:rPr>
          <w:rFonts w:eastAsia="仿宋_GB2312"/>
          <w:sz w:val="30"/>
          <w:szCs w:val="28"/>
        </w:rPr>
      </w:pPr>
      <w:r>
        <w:rPr>
          <w:rFonts w:hint="eastAsia" w:eastAsia="仿宋_GB2312"/>
          <w:sz w:val="30"/>
          <w:szCs w:val="28"/>
        </w:rPr>
        <w:t>公开信息通知日期：</w:t>
      </w:r>
    </w:p>
    <w:p w14:paraId="73ECF06D">
      <w:pPr>
        <w:widowControl/>
        <w:jc w:val="left"/>
        <w:rPr>
          <w:rFonts w:eastAsia="仿宋_GB2312"/>
          <w:sz w:val="30"/>
          <w:szCs w:val="28"/>
        </w:rPr>
      </w:pPr>
      <w:r>
        <w:rPr>
          <w:rFonts w:eastAsia="仿宋_GB2312"/>
          <w:sz w:val="30"/>
          <w:szCs w:val="28"/>
        </w:rPr>
        <w:br w:type="page"/>
      </w:r>
    </w:p>
    <w:p w14:paraId="0DBBE889">
      <w:pPr>
        <w:widowControl/>
        <w:jc w:val="left"/>
        <w:outlineLvl w:val="1"/>
        <w:rPr>
          <w:rFonts w:ascii="仿宋_GB2312" w:hAnsi="黑体" w:eastAsia="仿宋_GB2312"/>
          <w:b/>
          <w:sz w:val="30"/>
          <w:szCs w:val="30"/>
          <w:lang w:bidi="en-US"/>
        </w:rPr>
      </w:pPr>
      <w:bookmarkStart w:id="3964" w:name="_Toc1647842853"/>
      <w:bookmarkStart w:id="3965" w:name="_Toc333741453"/>
      <w:bookmarkStart w:id="3966" w:name="_Toc2128875316"/>
      <w:bookmarkStart w:id="3967" w:name="_Toc151137115"/>
      <w:bookmarkStart w:id="3968" w:name="_Toc1880833016"/>
      <w:bookmarkStart w:id="3969" w:name="_Toc514051556"/>
      <w:r>
        <w:rPr>
          <w:rFonts w:hint="eastAsia" w:ascii="仿宋_GB2312" w:hAnsi="黑体" w:eastAsia="仿宋_GB2312"/>
          <w:b/>
          <w:sz w:val="30"/>
          <w:szCs w:val="30"/>
        </w:rPr>
        <w:t>附件32 信用保护工具结算通知书参考模板</w:t>
      </w:r>
      <w:bookmarkEnd w:id="3964"/>
      <w:bookmarkEnd w:id="3965"/>
      <w:bookmarkEnd w:id="3966"/>
      <w:bookmarkEnd w:id="3967"/>
      <w:bookmarkEnd w:id="3968"/>
    </w:p>
    <w:p w14:paraId="20C4A40C">
      <w:pPr>
        <w:spacing w:line="560" w:lineRule="exact"/>
        <w:jc w:val="center"/>
        <w:rPr>
          <w:rFonts w:ascii="黑体" w:hAnsi="黑体" w:eastAsia="黑体"/>
          <w:b/>
          <w:kern w:val="0"/>
          <w:sz w:val="44"/>
          <w:szCs w:val="44"/>
          <w:lang w:bidi="en-US"/>
        </w:rPr>
      </w:pPr>
    </w:p>
    <w:p w14:paraId="527F0806">
      <w:pPr>
        <w:spacing w:line="560" w:lineRule="exact"/>
        <w:jc w:val="center"/>
        <w:rPr>
          <w:rFonts w:ascii="黑体" w:hAnsi="黑体" w:eastAsia="黑体"/>
          <w:b/>
          <w:kern w:val="0"/>
          <w:sz w:val="44"/>
          <w:szCs w:val="44"/>
          <w:lang w:bidi="en-US"/>
        </w:rPr>
      </w:pPr>
      <w:r>
        <w:rPr>
          <w:rFonts w:hint="eastAsia" w:ascii="黑体" w:hAnsi="黑体" w:eastAsia="黑体"/>
          <w:b/>
          <w:kern w:val="0"/>
          <w:sz w:val="44"/>
          <w:szCs w:val="44"/>
          <w:lang w:bidi="en-US"/>
        </w:rPr>
        <w:t>信用保护工具结算通知书</w:t>
      </w:r>
    </w:p>
    <w:p w14:paraId="014F0D90">
      <w:pPr>
        <w:spacing w:line="560" w:lineRule="exact"/>
        <w:jc w:val="center"/>
        <w:rPr>
          <w:rFonts w:eastAsia="仿宋_GB2312"/>
          <w:sz w:val="30"/>
          <w:szCs w:val="28"/>
        </w:rPr>
      </w:pPr>
    </w:p>
    <w:p w14:paraId="27BD9CA1">
      <w:pPr>
        <w:spacing w:line="560" w:lineRule="exact"/>
        <w:rPr>
          <w:rFonts w:eastAsia="仿宋_GB2312"/>
          <w:b/>
          <w:sz w:val="30"/>
          <w:szCs w:val="28"/>
        </w:rPr>
      </w:pPr>
      <w:r>
        <w:rPr>
          <w:rFonts w:hint="eastAsia" w:eastAsia="仿宋_GB2312"/>
          <w:b/>
          <w:sz w:val="30"/>
          <w:szCs w:val="28"/>
        </w:rPr>
        <w:t>合约版本：</w:t>
      </w:r>
    </w:p>
    <w:p w14:paraId="46572863">
      <w:pPr>
        <w:spacing w:line="560" w:lineRule="exact"/>
        <w:rPr>
          <w:rFonts w:eastAsia="仿宋_GB2312"/>
          <w:sz w:val="30"/>
          <w:szCs w:val="28"/>
        </w:rPr>
      </w:pPr>
      <w:r>
        <w:rPr>
          <w:rFonts w:hint="eastAsia" w:eastAsia="仿宋_GB2312"/>
          <w:sz w:val="30"/>
          <w:szCs w:val="28"/>
        </w:rPr>
        <w:t>收件方：</w:t>
      </w:r>
      <w:r>
        <w:rPr>
          <w:rFonts w:eastAsia="仿宋_GB2312"/>
          <w:sz w:val="30"/>
          <w:szCs w:val="28"/>
        </w:rPr>
        <w:t>[</w:t>
      </w:r>
      <w:r>
        <w:rPr>
          <w:rFonts w:hint="eastAsia" w:eastAsia="仿宋_GB2312"/>
          <w:sz w:val="30"/>
          <w:szCs w:val="28"/>
        </w:rPr>
        <w:t>请填入收件方名称、地址、联系人与联系方式</w:t>
      </w:r>
      <w:r>
        <w:rPr>
          <w:rFonts w:eastAsia="仿宋_GB2312"/>
          <w:sz w:val="30"/>
          <w:szCs w:val="28"/>
        </w:rPr>
        <w:t>]</w:t>
      </w:r>
    </w:p>
    <w:p w14:paraId="22F91954">
      <w:pPr>
        <w:spacing w:line="560" w:lineRule="exact"/>
        <w:rPr>
          <w:rFonts w:eastAsia="仿宋_GB2312"/>
          <w:sz w:val="30"/>
          <w:szCs w:val="28"/>
        </w:rPr>
      </w:pPr>
      <w:r>
        <w:rPr>
          <w:rFonts w:hint="eastAsia" w:eastAsia="仿宋_GB2312"/>
          <w:sz w:val="30"/>
          <w:szCs w:val="28"/>
        </w:rPr>
        <w:t>通知方：</w:t>
      </w:r>
      <w:r>
        <w:rPr>
          <w:rFonts w:eastAsia="仿宋_GB2312"/>
          <w:sz w:val="30"/>
          <w:szCs w:val="28"/>
        </w:rPr>
        <w:t>[</w:t>
      </w:r>
      <w:r>
        <w:rPr>
          <w:rFonts w:hint="eastAsia" w:eastAsia="仿宋_GB2312"/>
          <w:sz w:val="30"/>
          <w:szCs w:val="28"/>
        </w:rPr>
        <w:t>请填入通知方名称、地址、联系人与联系方式</w:t>
      </w:r>
      <w:r>
        <w:rPr>
          <w:rFonts w:eastAsia="仿宋_GB2312"/>
          <w:sz w:val="30"/>
          <w:szCs w:val="28"/>
        </w:rPr>
        <w:t xml:space="preserve">] </w:t>
      </w:r>
    </w:p>
    <w:p w14:paraId="0AB55567">
      <w:pPr>
        <w:spacing w:line="560" w:lineRule="exact"/>
        <w:rPr>
          <w:rFonts w:eastAsia="仿宋_GB2312"/>
          <w:sz w:val="30"/>
          <w:szCs w:val="28"/>
        </w:rPr>
      </w:pPr>
    </w:p>
    <w:p w14:paraId="5E2BD9BB">
      <w:pPr>
        <w:spacing w:line="560" w:lineRule="exact"/>
        <w:rPr>
          <w:rFonts w:eastAsia="仿宋_GB2312"/>
          <w:sz w:val="30"/>
          <w:szCs w:val="28"/>
        </w:rPr>
      </w:pPr>
      <w:r>
        <w:rPr>
          <w:rFonts w:hint="eastAsia" w:eastAsia="仿宋_GB2312"/>
          <w:sz w:val="30"/>
          <w:szCs w:val="28"/>
        </w:rPr>
        <w:t>事由：签署日期为</w:t>
      </w:r>
      <w:r>
        <w:rPr>
          <w:rFonts w:eastAsia="仿宋_GB2312"/>
          <w:sz w:val="30"/>
          <w:szCs w:val="28"/>
        </w:rPr>
        <w:t>[   ]</w:t>
      </w:r>
      <w:r>
        <w:rPr>
          <w:rFonts w:hint="eastAsia" w:eastAsia="仿宋_GB2312"/>
          <w:sz w:val="30"/>
          <w:szCs w:val="28"/>
        </w:rPr>
        <w:t>年</w:t>
      </w:r>
      <w:r>
        <w:rPr>
          <w:rFonts w:eastAsia="仿宋_GB2312"/>
          <w:sz w:val="30"/>
          <w:szCs w:val="28"/>
        </w:rPr>
        <w:t>[   ]</w:t>
      </w:r>
      <w:r>
        <w:rPr>
          <w:rFonts w:hint="eastAsia" w:eastAsia="仿宋_GB2312"/>
          <w:sz w:val="30"/>
          <w:szCs w:val="28"/>
        </w:rPr>
        <w:t>月</w:t>
      </w:r>
      <w:r>
        <w:rPr>
          <w:rFonts w:eastAsia="仿宋_GB2312"/>
          <w:sz w:val="30"/>
          <w:szCs w:val="28"/>
        </w:rPr>
        <w:t>[   ]</w:t>
      </w:r>
      <w:r>
        <w:rPr>
          <w:rFonts w:hint="eastAsia" w:eastAsia="仿宋_GB2312"/>
          <w:sz w:val="30"/>
          <w:szCs w:val="28"/>
        </w:rPr>
        <w:t>日的以</w:t>
      </w:r>
      <w:r>
        <w:rPr>
          <w:rFonts w:eastAsia="仿宋_GB2312"/>
          <w:sz w:val="30"/>
          <w:szCs w:val="28"/>
        </w:rPr>
        <w:t>[   ]</w:t>
      </w:r>
      <w:r>
        <w:rPr>
          <w:rFonts w:hint="eastAsia" w:eastAsia="仿宋_GB2312"/>
          <w:sz w:val="30"/>
          <w:szCs w:val="28"/>
        </w:rPr>
        <w:t>为参考实体以</w:t>
      </w:r>
      <w:r>
        <w:rPr>
          <w:rFonts w:eastAsia="仿宋_GB2312"/>
          <w:sz w:val="30"/>
          <w:szCs w:val="28"/>
        </w:rPr>
        <w:t>[   ]</w:t>
      </w:r>
      <w:r>
        <w:rPr>
          <w:rFonts w:hint="eastAsia" w:eastAsia="仿宋_GB2312"/>
          <w:sz w:val="30"/>
          <w:szCs w:val="28"/>
        </w:rPr>
        <w:t>为受保护债务的《</w:t>
      </w:r>
      <w:r>
        <w:rPr>
          <w:rFonts w:eastAsia="仿宋_GB2312"/>
          <w:sz w:val="30"/>
          <w:szCs w:val="28"/>
        </w:rPr>
        <w:t>XXXX</w:t>
      </w:r>
      <w:r>
        <w:rPr>
          <w:rFonts w:hint="eastAsia" w:eastAsia="仿宋_GB2312"/>
          <w:sz w:val="30"/>
          <w:szCs w:val="28"/>
        </w:rPr>
        <w:t>信用保护合约交易确认书》（编号：</w:t>
      </w:r>
      <w:r>
        <w:rPr>
          <w:rFonts w:eastAsia="仿宋_GB2312"/>
          <w:sz w:val="30"/>
          <w:szCs w:val="28"/>
        </w:rPr>
        <w:t>[</w:t>
      </w:r>
      <w:r>
        <w:rPr>
          <w:rFonts w:eastAsia="仿宋_GB2312"/>
          <w:sz w:val="30"/>
          <w:szCs w:val="28"/>
        </w:rPr>
        <w:tab/>
      </w:r>
      <w:r>
        <w:rPr>
          <w:rFonts w:eastAsia="仿宋_GB2312"/>
          <w:sz w:val="30"/>
          <w:szCs w:val="28"/>
        </w:rPr>
        <w:t xml:space="preserve">] </w:t>
      </w:r>
      <w:r>
        <w:rPr>
          <w:rFonts w:hint="eastAsia" w:eastAsia="仿宋_GB2312"/>
          <w:sz w:val="30"/>
          <w:szCs w:val="28"/>
        </w:rPr>
        <w:t>，以下简称《交易确认书》）项下的结算通知。</w:t>
      </w:r>
    </w:p>
    <w:p w14:paraId="20CA8075">
      <w:pPr>
        <w:spacing w:line="560" w:lineRule="exact"/>
        <w:rPr>
          <w:rFonts w:eastAsia="仿宋_GB2312"/>
          <w:sz w:val="30"/>
          <w:szCs w:val="28"/>
        </w:rPr>
      </w:pPr>
    </w:p>
    <w:p w14:paraId="18BA2958">
      <w:pPr>
        <w:spacing w:line="560" w:lineRule="exact"/>
        <w:rPr>
          <w:rFonts w:eastAsia="仿宋_GB2312"/>
          <w:sz w:val="30"/>
          <w:szCs w:val="28"/>
        </w:rPr>
      </w:pPr>
      <w:r>
        <w:rPr>
          <w:rFonts w:hint="eastAsia" w:eastAsia="仿宋_GB2312"/>
          <w:sz w:val="30"/>
          <w:szCs w:val="28"/>
        </w:rPr>
        <w:t>本通知构成前述《交易确认书》所指的结算通知。除非本通知另有定义，《交易确认书》中定义的术语在本通知中具有相同的含义。</w:t>
      </w:r>
    </w:p>
    <w:p w14:paraId="172E9252">
      <w:pPr>
        <w:spacing w:line="560" w:lineRule="exact"/>
        <w:rPr>
          <w:rFonts w:eastAsia="仿宋_GB2312"/>
          <w:sz w:val="30"/>
          <w:szCs w:val="28"/>
        </w:rPr>
      </w:pPr>
    </w:p>
    <w:p w14:paraId="10D18D76">
      <w:pPr>
        <w:spacing w:line="560" w:lineRule="exact"/>
        <w:rPr>
          <w:rFonts w:eastAsia="仿宋_GB2312"/>
          <w:sz w:val="30"/>
          <w:szCs w:val="28"/>
        </w:rPr>
      </w:pPr>
      <w:r>
        <w:rPr>
          <w:rFonts w:hint="eastAsia" w:eastAsia="仿宋_GB2312"/>
          <w:sz w:val="30"/>
          <w:szCs w:val="28"/>
        </w:rPr>
        <w:t>我方特此确认将就交易采取</w:t>
      </w:r>
      <w:r>
        <w:rPr>
          <w:rFonts w:eastAsia="仿宋_GB2312"/>
          <w:sz w:val="30"/>
          <w:szCs w:val="28"/>
        </w:rPr>
        <w:t>[      ]</w:t>
      </w:r>
      <w:r>
        <w:rPr>
          <w:rFonts w:hint="eastAsia" w:eastAsia="仿宋_GB2312"/>
          <w:sz w:val="30"/>
          <w:szCs w:val="28"/>
        </w:rPr>
        <w:t>结算。具体结算信息如下：</w:t>
      </w:r>
    </w:p>
    <w:p w14:paraId="4B1ABCF1">
      <w:pPr>
        <w:spacing w:line="560" w:lineRule="exact"/>
        <w:rPr>
          <w:rFonts w:eastAsia="仿宋_GB2312"/>
          <w:sz w:val="30"/>
          <w:szCs w:val="28"/>
        </w:rPr>
      </w:pPr>
    </w:p>
    <w:p w14:paraId="19D418EE">
      <w:pPr>
        <w:spacing w:line="560" w:lineRule="exact"/>
        <w:rPr>
          <w:rFonts w:eastAsia="仿宋_GB2312"/>
          <w:sz w:val="30"/>
          <w:szCs w:val="28"/>
        </w:rPr>
      </w:pPr>
      <w:r>
        <w:rPr>
          <w:rFonts w:hint="eastAsia" w:eastAsia="仿宋_GB2312"/>
          <w:sz w:val="30"/>
          <w:szCs w:val="28"/>
        </w:rPr>
        <w:t>（</w:t>
      </w:r>
      <w:r>
        <w:rPr>
          <w:rFonts w:eastAsia="仿宋_GB2312"/>
          <w:sz w:val="30"/>
          <w:szCs w:val="28"/>
        </w:rPr>
        <w:t>1</w:t>
      </w:r>
      <w:r>
        <w:rPr>
          <w:rFonts w:hint="eastAsia" w:eastAsia="仿宋_GB2312"/>
          <w:sz w:val="30"/>
          <w:szCs w:val="28"/>
        </w:rPr>
        <w:t>）结算期间：</w:t>
      </w:r>
      <w:r>
        <w:rPr>
          <w:rFonts w:eastAsia="仿宋_GB2312"/>
          <w:sz w:val="30"/>
          <w:szCs w:val="28"/>
        </w:rPr>
        <w:t>[</w:t>
      </w:r>
      <w:r>
        <w:rPr>
          <w:rFonts w:eastAsia="仿宋_GB2312"/>
          <w:sz w:val="30"/>
          <w:szCs w:val="28"/>
        </w:rPr>
        <w:tab/>
      </w:r>
      <w:r>
        <w:rPr>
          <w:rFonts w:eastAsia="仿宋_GB2312"/>
          <w:sz w:val="30"/>
          <w:szCs w:val="28"/>
        </w:rPr>
        <w:t>]</w:t>
      </w:r>
      <w:r>
        <w:rPr>
          <w:rFonts w:hint="eastAsia" w:eastAsia="仿宋_GB2312"/>
          <w:sz w:val="30"/>
          <w:szCs w:val="28"/>
        </w:rPr>
        <w:t>个交易日，始于贵方收到本通知之日（含该日）</w:t>
      </w:r>
    </w:p>
    <w:p w14:paraId="156B54B2">
      <w:pPr>
        <w:spacing w:line="560" w:lineRule="exact"/>
        <w:rPr>
          <w:rFonts w:eastAsia="仿宋_GB2312"/>
          <w:sz w:val="30"/>
          <w:szCs w:val="28"/>
        </w:rPr>
      </w:pPr>
      <w:r>
        <w:rPr>
          <w:rFonts w:hint="eastAsia" w:eastAsia="仿宋_GB2312"/>
          <w:sz w:val="30"/>
          <w:szCs w:val="28"/>
        </w:rPr>
        <w:t>（</w:t>
      </w:r>
      <w:r>
        <w:rPr>
          <w:rFonts w:eastAsia="仿宋_GB2312"/>
          <w:sz w:val="30"/>
          <w:szCs w:val="28"/>
        </w:rPr>
        <w:t>2</w:t>
      </w:r>
      <w:r>
        <w:rPr>
          <w:rFonts w:hint="eastAsia" w:eastAsia="仿宋_GB2312"/>
          <w:sz w:val="30"/>
          <w:szCs w:val="28"/>
        </w:rPr>
        <w:t>）可交付债务明细（若采取实物结算）：</w:t>
      </w:r>
      <w:r>
        <w:rPr>
          <w:rFonts w:eastAsia="仿宋_GB2312"/>
          <w:sz w:val="30"/>
          <w:szCs w:val="28"/>
        </w:rPr>
        <w:t>[</w:t>
      </w:r>
      <w:r>
        <w:rPr>
          <w:rFonts w:hint="eastAsia" w:eastAsia="仿宋_GB2312"/>
          <w:sz w:val="30"/>
          <w:szCs w:val="28"/>
        </w:rPr>
        <w:t>请填入具体信息</w:t>
      </w:r>
      <w:r>
        <w:rPr>
          <w:rFonts w:eastAsia="仿宋_GB2312"/>
          <w:sz w:val="30"/>
          <w:szCs w:val="28"/>
        </w:rPr>
        <w:t>]</w:t>
      </w:r>
    </w:p>
    <w:p w14:paraId="09F4E813">
      <w:pPr>
        <w:spacing w:line="560" w:lineRule="exact"/>
        <w:rPr>
          <w:rFonts w:eastAsia="仿宋_GB2312"/>
          <w:sz w:val="30"/>
          <w:szCs w:val="28"/>
        </w:rPr>
      </w:pPr>
      <w:r>
        <w:rPr>
          <w:rFonts w:hint="eastAsia" w:eastAsia="仿宋_GB2312"/>
          <w:sz w:val="30"/>
          <w:szCs w:val="28"/>
        </w:rPr>
        <w:t>（</w:t>
      </w:r>
      <w:r>
        <w:rPr>
          <w:rFonts w:eastAsia="仿宋_GB2312"/>
          <w:sz w:val="30"/>
          <w:szCs w:val="28"/>
        </w:rPr>
        <w:t>3</w:t>
      </w:r>
      <w:r>
        <w:rPr>
          <w:rFonts w:hint="eastAsia" w:eastAsia="仿宋_GB2312"/>
          <w:sz w:val="30"/>
          <w:szCs w:val="28"/>
        </w:rPr>
        <w:t>）收款账户信息（若采取现金结算）：</w:t>
      </w:r>
      <w:r>
        <w:rPr>
          <w:rFonts w:eastAsia="仿宋_GB2312"/>
          <w:sz w:val="30"/>
          <w:szCs w:val="28"/>
        </w:rPr>
        <w:t>[      ]</w:t>
      </w:r>
    </w:p>
    <w:p w14:paraId="4903B9BB">
      <w:pPr>
        <w:spacing w:line="560" w:lineRule="exact"/>
        <w:rPr>
          <w:rFonts w:eastAsia="仿宋_GB2312"/>
          <w:sz w:val="30"/>
          <w:szCs w:val="28"/>
        </w:rPr>
      </w:pPr>
      <w:r>
        <w:rPr>
          <w:rFonts w:hint="eastAsia" w:eastAsia="仿宋_GB2312"/>
          <w:sz w:val="30"/>
          <w:szCs w:val="28"/>
        </w:rPr>
        <w:t>（</w:t>
      </w:r>
      <w:r>
        <w:rPr>
          <w:rFonts w:eastAsia="仿宋_GB2312"/>
          <w:sz w:val="30"/>
          <w:szCs w:val="28"/>
        </w:rPr>
        <w:t>4</w:t>
      </w:r>
      <w:r>
        <w:rPr>
          <w:rFonts w:hint="eastAsia" w:eastAsia="仿宋_GB2312"/>
          <w:sz w:val="30"/>
          <w:szCs w:val="28"/>
        </w:rPr>
        <w:t>）结算地点：</w:t>
      </w:r>
      <w:r>
        <w:rPr>
          <w:rFonts w:eastAsia="仿宋_GB2312"/>
          <w:sz w:val="30"/>
          <w:szCs w:val="28"/>
        </w:rPr>
        <w:t xml:space="preserve">[ </w:t>
      </w:r>
      <w:r>
        <w:rPr>
          <w:rFonts w:eastAsia="仿宋_GB2312"/>
          <w:sz w:val="30"/>
          <w:szCs w:val="28"/>
        </w:rPr>
        <w:tab/>
      </w:r>
      <w:r>
        <w:rPr>
          <w:rFonts w:eastAsia="仿宋_GB2312"/>
          <w:sz w:val="30"/>
          <w:szCs w:val="28"/>
        </w:rPr>
        <w:t>]</w:t>
      </w:r>
    </w:p>
    <w:p w14:paraId="2921BFC9">
      <w:pPr>
        <w:spacing w:line="560" w:lineRule="exact"/>
        <w:rPr>
          <w:rFonts w:eastAsia="仿宋_GB2312"/>
          <w:sz w:val="30"/>
          <w:szCs w:val="28"/>
        </w:rPr>
      </w:pPr>
      <w:r>
        <w:rPr>
          <w:rFonts w:hint="eastAsia" w:eastAsia="仿宋_GB2312"/>
          <w:sz w:val="30"/>
          <w:szCs w:val="28"/>
        </w:rPr>
        <w:t>（</w:t>
      </w:r>
      <w:r>
        <w:rPr>
          <w:rFonts w:eastAsia="仿宋_GB2312"/>
          <w:sz w:val="30"/>
          <w:szCs w:val="28"/>
        </w:rPr>
        <w:t>5</w:t>
      </w:r>
      <w:r>
        <w:rPr>
          <w:rFonts w:hint="eastAsia" w:eastAsia="仿宋_GB2312"/>
          <w:sz w:val="30"/>
          <w:szCs w:val="28"/>
        </w:rPr>
        <w:t>）其他：</w:t>
      </w:r>
    </w:p>
    <w:p w14:paraId="3AA9941D">
      <w:pPr>
        <w:spacing w:line="560" w:lineRule="exact"/>
        <w:rPr>
          <w:rFonts w:eastAsia="仿宋_GB2312"/>
          <w:sz w:val="30"/>
          <w:szCs w:val="28"/>
        </w:rPr>
      </w:pPr>
    </w:p>
    <w:p w14:paraId="5075CD60">
      <w:pPr>
        <w:spacing w:line="560" w:lineRule="exact"/>
        <w:rPr>
          <w:rFonts w:eastAsia="仿宋_GB2312"/>
          <w:sz w:val="30"/>
          <w:szCs w:val="28"/>
        </w:rPr>
      </w:pPr>
      <w:r>
        <w:rPr>
          <w:rFonts w:hint="eastAsia" w:eastAsia="仿宋_GB2312"/>
          <w:sz w:val="30"/>
          <w:szCs w:val="28"/>
        </w:rPr>
        <w:t>通知方（印章）：</w:t>
      </w:r>
    </w:p>
    <w:p w14:paraId="44AA1D80">
      <w:pPr>
        <w:spacing w:line="560" w:lineRule="exact"/>
        <w:rPr>
          <w:rFonts w:eastAsia="仿宋_GB2312"/>
          <w:sz w:val="30"/>
          <w:szCs w:val="28"/>
        </w:rPr>
      </w:pPr>
      <w:r>
        <w:rPr>
          <w:rFonts w:hint="eastAsia" w:eastAsia="仿宋_GB2312"/>
          <w:sz w:val="30"/>
          <w:szCs w:val="28"/>
        </w:rPr>
        <w:t>法定代表人（授权代理人）签字：</w:t>
      </w:r>
    </w:p>
    <w:p w14:paraId="78E38071">
      <w:pPr>
        <w:spacing w:line="560" w:lineRule="exact"/>
        <w:rPr>
          <w:rFonts w:eastAsia="仿宋_GB2312"/>
          <w:sz w:val="30"/>
          <w:szCs w:val="28"/>
        </w:rPr>
      </w:pPr>
      <w:r>
        <w:rPr>
          <w:rFonts w:eastAsia="仿宋_GB2312"/>
          <w:sz w:val="30"/>
          <w:szCs w:val="28"/>
        </w:rPr>
        <w:t>[      ]</w:t>
      </w:r>
      <w:r>
        <w:rPr>
          <w:rFonts w:hint="eastAsia" w:eastAsia="仿宋_GB2312"/>
          <w:sz w:val="30"/>
          <w:szCs w:val="28"/>
        </w:rPr>
        <w:t>结算通知日期：</w:t>
      </w:r>
    </w:p>
    <w:p w14:paraId="6286FCA0">
      <w:pPr>
        <w:spacing w:line="560" w:lineRule="exact"/>
        <w:rPr>
          <w:rFonts w:eastAsia="仿宋_GB2312"/>
          <w:sz w:val="30"/>
          <w:szCs w:val="28"/>
        </w:rPr>
      </w:pPr>
    </w:p>
    <w:p w14:paraId="5BD1DFB2">
      <w:pPr>
        <w:spacing w:line="560" w:lineRule="exact"/>
        <w:rPr>
          <w:rFonts w:eastAsia="仿宋_GB2312"/>
          <w:sz w:val="30"/>
          <w:szCs w:val="28"/>
        </w:rPr>
      </w:pPr>
    </w:p>
    <w:p w14:paraId="42F6B317">
      <w:pPr>
        <w:widowControl/>
        <w:spacing w:line="560" w:lineRule="exact"/>
        <w:rPr>
          <w:rFonts w:eastAsia="仿宋_GB2312"/>
          <w:sz w:val="30"/>
          <w:szCs w:val="28"/>
        </w:rPr>
      </w:pPr>
    </w:p>
    <w:p w14:paraId="748CDAA8">
      <w:pPr>
        <w:widowControl/>
        <w:spacing w:line="560" w:lineRule="exact"/>
        <w:rPr>
          <w:rFonts w:eastAsia="仿宋_GB2312"/>
          <w:sz w:val="30"/>
          <w:szCs w:val="28"/>
        </w:rPr>
      </w:pPr>
    </w:p>
    <w:p w14:paraId="0F07DDB3">
      <w:pPr>
        <w:widowControl/>
        <w:spacing w:line="560" w:lineRule="exact"/>
        <w:rPr>
          <w:rFonts w:eastAsia="仿宋_GB2312"/>
          <w:sz w:val="30"/>
          <w:szCs w:val="28"/>
        </w:rPr>
      </w:pPr>
    </w:p>
    <w:p w14:paraId="29F2B4EA">
      <w:pPr>
        <w:widowControl/>
        <w:spacing w:line="560" w:lineRule="exact"/>
        <w:rPr>
          <w:rFonts w:eastAsia="仿宋_GB2312"/>
          <w:sz w:val="30"/>
          <w:szCs w:val="28"/>
        </w:rPr>
      </w:pPr>
    </w:p>
    <w:p w14:paraId="78D0B459">
      <w:pPr>
        <w:widowControl/>
        <w:spacing w:line="560" w:lineRule="exact"/>
        <w:rPr>
          <w:rFonts w:eastAsia="仿宋_GB2312"/>
          <w:sz w:val="30"/>
          <w:szCs w:val="28"/>
        </w:rPr>
      </w:pPr>
    </w:p>
    <w:p w14:paraId="6CADE5FB">
      <w:pPr>
        <w:widowControl/>
        <w:spacing w:line="560" w:lineRule="exact"/>
        <w:rPr>
          <w:rFonts w:eastAsia="仿宋_GB2312"/>
          <w:sz w:val="30"/>
          <w:szCs w:val="28"/>
        </w:rPr>
      </w:pPr>
    </w:p>
    <w:p w14:paraId="44470A4D">
      <w:pPr>
        <w:widowControl/>
        <w:spacing w:line="560" w:lineRule="exact"/>
        <w:rPr>
          <w:rFonts w:eastAsia="仿宋_GB2312"/>
          <w:sz w:val="30"/>
          <w:szCs w:val="28"/>
        </w:rPr>
      </w:pPr>
    </w:p>
    <w:p w14:paraId="2862BE41">
      <w:pPr>
        <w:widowControl/>
        <w:spacing w:line="560" w:lineRule="exact"/>
        <w:rPr>
          <w:rFonts w:eastAsia="仿宋_GB2312"/>
          <w:sz w:val="30"/>
          <w:szCs w:val="28"/>
        </w:rPr>
      </w:pPr>
    </w:p>
    <w:p w14:paraId="02AFA07C">
      <w:pPr>
        <w:widowControl/>
        <w:spacing w:line="560" w:lineRule="exact"/>
        <w:rPr>
          <w:rFonts w:eastAsia="仿宋_GB2312"/>
          <w:sz w:val="30"/>
          <w:szCs w:val="28"/>
        </w:rPr>
      </w:pPr>
    </w:p>
    <w:p w14:paraId="705EC92A">
      <w:pPr>
        <w:widowControl/>
        <w:spacing w:line="560" w:lineRule="exact"/>
        <w:rPr>
          <w:rFonts w:eastAsia="仿宋_GB2312"/>
          <w:sz w:val="30"/>
          <w:szCs w:val="28"/>
        </w:rPr>
      </w:pPr>
    </w:p>
    <w:p w14:paraId="2B800D7F">
      <w:pPr>
        <w:widowControl/>
        <w:spacing w:line="560" w:lineRule="exact"/>
        <w:rPr>
          <w:rFonts w:eastAsia="仿宋_GB2312"/>
          <w:sz w:val="30"/>
          <w:szCs w:val="28"/>
        </w:rPr>
      </w:pPr>
    </w:p>
    <w:p w14:paraId="280040CA">
      <w:pPr>
        <w:widowControl/>
        <w:spacing w:line="560" w:lineRule="exact"/>
        <w:rPr>
          <w:rFonts w:eastAsia="仿宋_GB2312"/>
          <w:sz w:val="30"/>
          <w:szCs w:val="28"/>
        </w:rPr>
      </w:pPr>
    </w:p>
    <w:p w14:paraId="4035DD20">
      <w:pPr>
        <w:widowControl/>
        <w:jc w:val="left"/>
        <w:rPr>
          <w:rFonts w:eastAsia="仿宋_GB2312"/>
          <w:sz w:val="30"/>
          <w:szCs w:val="28"/>
        </w:rPr>
      </w:pPr>
      <w:r>
        <w:rPr>
          <w:rFonts w:eastAsia="仿宋_GB2312"/>
          <w:sz w:val="30"/>
          <w:szCs w:val="28"/>
        </w:rPr>
        <w:br w:type="page"/>
      </w:r>
    </w:p>
    <w:p w14:paraId="4EC04E63">
      <w:pPr>
        <w:spacing w:line="560" w:lineRule="exact"/>
        <w:rPr>
          <w:rFonts w:eastAsia="仿宋_GB2312"/>
          <w:b/>
          <w:sz w:val="30"/>
          <w:szCs w:val="28"/>
        </w:rPr>
      </w:pPr>
      <w:r>
        <w:rPr>
          <w:rFonts w:hint="eastAsia" w:eastAsia="仿宋_GB2312"/>
          <w:b/>
          <w:sz w:val="30"/>
          <w:szCs w:val="28"/>
        </w:rPr>
        <w:t>凭证版本：</w:t>
      </w:r>
    </w:p>
    <w:p w14:paraId="5E983DD8">
      <w:pPr>
        <w:spacing w:line="560" w:lineRule="exact"/>
        <w:rPr>
          <w:rFonts w:eastAsia="仿宋_GB2312"/>
          <w:sz w:val="30"/>
          <w:szCs w:val="28"/>
        </w:rPr>
      </w:pPr>
      <w:r>
        <w:rPr>
          <w:rFonts w:hint="eastAsia" w:eastAsia="仿宋_GB2312"/>
          <w:sz w:val="30"/>
          <w:szCs w:val="28"/>
        </w:rPr>
        <w:t>收件方：</w:t>
      </w:r>
      <w:r>
        <w:rPr>
          <w:rFonts w:eastAsia="仿宋_GB2312"/>
          <w:sz w:val="30"/>
          <w:szCs w:val="28"/>
        </w:rPr>
        <w:t>[</w:t>
      </w:r>
      <w:r>
        <w:rPr>
          <w:rFonts w:hint="eastAsia" w:eastAsia="仿宋_GB2312"/>
          <w:sz w:val="30"/>
          <w:szCs w:val="28"/>
        </w:rPr>
        <w:t>请填入收件方名称、地址、联系人与联系方式</w:t>
      </w:r>
      <w:r>
        <w:rPr>
          <w:rFonts w:eastAsia="仿宋_GB2312"/>
          <w:sz w:val="30"/>
          <w:szCs w:val="28"/>
        </w:rPr>
        <w:t xml:space="preserve">] </w:t>
      </w:r>
    </w:p>
    <w:p w14:paraId="1E7B5BFF">
      <w:pPr>
        <w:spacing w:line="560" w:lineRule="exact"/>
        <w:rPr>
          <w:rFonts w:eastAsia="仿宋_GB2312"/>
          <w:sz w:val="30"/>
          <w:szCs w:val="28"/>
        </w:rPr>
      </w:pPr>
      <w:r>
        <w:rPr>
          <w:rFonts w:hint="eastAsia" w:eastAsia="仿宋_GB2312"/>
          <w:sz w:val="30"/>
          <w:szCs w:val="28"/>
        </w:rPr>
        <w:t>通知方：</w:t>
      </w:r>
      <w:r>
        <w:rPr>
          <w:rFonts w:eastAsia="仿宋_GB2312"/>
          <w:sz w:val="30"/>
          <w:szCs w:val="28"/>
        </w:rPr>
        <w:t>[</w:t>
      </w:r>
      <w:r>
        <w:rPr>
          <w:rFonts w:hint="eastAsia" w:eastAsia="仿宋_GB2312"/>
          <w:sz w:val="30"/>
          <w:szCs w:val="28"/>
        </w:rPr>
        <w:t>请填入通知方名称、地址、联系人与联系方式</w:t>
      </w:r>
      <w:r>
        <w:rPr>
          <w:rFonts w:eastAsia="仿宋_GB2312"/>
          <w:sz w:val="30"/>
          <w:szCs w:val="28"/>
        </w:rPr>
        <w:t xml:space="preserve">] </w:t>
      </w:r>
    </w:p>
    <w:p w14:paraId="24F6F880">
      <w:pPr>
        <w:spacing w:line="560" w:lineRule="exact"/>
        <w:rPr>
          <w:rFonts w:eastAsia="仿宋_GB2312"/>
          <w:sz w:val="30"/>
          <w:szCs w:val="28"/>
        </w:rPr>
      </w:pPr>
    </w:p>
    <w:p w14:paraId="18D019AC">
      <w:pPr>
        <w:spacing w:line="560" w:lineRule="exact"/>
        <w:rPr>
          <w:rFonts w:eastAsia="仿宋_GB2312"/>
          <w:sz w:val="30"/>
          <w:szCs w:val="28"/>
        </w:rPr>
      </w:pPr>
      <w:r>
        <w:rPr>
          <w:rFonts w:hint="eastAsia" w:eastAsia="仿宋_GB2312"/>
          <w:sz w:val="30"/>
          <w:szCs w:val="28"/>
        </w:rPr>
        <w:t>事由：信用保护凭证创设机构</w:t>
      </w:r>
      <w:r>
        <w:rPr>
          <w:rFonts w:eastAsia="仿宋_GB2312"/>
          <w:sz w:val="30"/>
          <w:szCs w:val="28"/>
        </w:rPr>
        <w:t>[   ]</w:t>
      </w:r>
      <w:r>
        <w:rPr>
          <w:rFonts w:hint="eastAsia" w:eastAsia="仿宋_GB2312"/>
          <w:sz w:val="30"/>
          <w:szCs w:val="28"/>
        </w:rPr>
        <w:t>于</w:t>
      </w:r>
      <w:r>
        <w:rPr>
          <w:rFonts w:eastAsia="仿宋_GB2312"/>
          <w:sz w:val="30"/>
          <w:szCs w:val="28"/>
        </w:rPr>
        <w:t>[   ]</w:t>
      </w:r>
      <w:r>
        <w:rPr>
          <w:rFonts w:hint="eastAsia" w:eastAsia="仿宋_GB2312"/>
          <w:sz w:val="30"/>
          <w:szCs w:val="28"/>
        </w:rPr>
        <w:t>年</w:t>
      </w:r>
      <w:r>
        <w:rPr>
          <w:rFonts w:eastAsia="仿宋_GB2312"/>
          <w:sz w:val="30"/>
          <w:szCs w:val="28"/>
        </w:rPr>
        <w:t>[   ]</w:t>
      </w:r>
      <w:r>
        <w:rPr>
          <w:rFonts w:hint="eastAsia" w:eastAsia="仿宋_GB2312"/>
          <w:sz w:val="30"/>
          <w:szCs w:val="28"/>
        </w:rPr>
        <w:t>月</w:t>
      </w:r>
      <w:r>
        <w:rPr>
          <w:rFonts w:eastAsia="仿宋_GB2312"/>
          <w:sz w:val="30"/>
          <w:szCs w:val="28"/>
        </w:rPr>
        <w:t>[   ]</w:t>
      </w:r>
      <w:r>
        <w:rPr>
          <w:rFonts w:hint="eastAsia" w:eastAsia="仿宋_GB2312"/>
          <w:sz w:val="30"/>
          <w:szCs w:val="28"/>
        </w:rPr>
        <w:t>日创设了</w:t>
      </w:r>
      <w:r>
        <w:rPr>
          <w:rFonts w:eastAsia="仿宋_GB2312"/>
          <w:sz w:val="30"/>
          <w:szCs w:val="28"/>
        </w:rPr>
        <w:t>[   ]</w:t>
      </w:r>
      <w:r>
        <w:rPr>
          <w:rFonts w:hint="eastAsia" w:eastAsia="仿宋_GB2312"/>
          <w:sz w:val="30"/>
          <w:szCs w:val="28"/>
        </w:rPr>
        <w:t>信用保护凭证（以下简称凭证），并在凭证创设说明书（编号</w:t>
      </w:r>
      <w:r>
        <w:rPr>
          <w:rFonts w:eastAsia="仿宋_GB2312"/>
          <w:sz w:val="30"/>
          <w:szCs w:val="28"/>
        </w:rPr>
        <w:t>[   ]</w:t>
      </w:r>
      <w:r>
        <w:rPr>
          <w:rFonts w:hint="eastAsia" w:eastAsia="仿宋_GB2312"/>
          <w:sz w:val="30"/>
          <w:szCs w:val="28"/>
        </w:rPr>
        <w:t>）中对于交易双方权利义务进行了约定。截至本通知发送日，通知方持有</w:t>
      </w:r>
      <w:r>
        <w:rPr>
          <w:rFonts w:eastAsia="仿宋_GB2312"/>
          <w:sz w:val="30"/>
          <w:szCs w:val="28"/>
        </w:rPr>
        <w:t>[   ]</w:t>
      </w:r>
      <w:r>
        <w:rPr>
          <w:rFonts w:hint="eastAsia" w:eastAsia="仿宋_GB2312"/>
          <w:sz w:val="30"/>
          <w:szCs w:val="28"/>
        </w:rPr>
        <w:t>手该凭证。</w:t>
      </w:r>
    </w:p>
    <w:p w14:paraId="67A75828">
      <w:pPr>
        <w:spacing w:line="560" w:lineRule="exact"/>
        <w:rPr>
          <w:rFonts w:eastAsia="仿宋_GB2312"/>
          <w:sz w:val="30"/>
          <w:szCs w:val="28"/>
        </w:rPr>
      </w:pPr>
    </w:p>
    <w:p w14:paraId="3034D1F0">
      <w:pPr>
        <w:spacing w:line="560" w:lineRule="exact"/>
        <w:rPr>
          <w:rFonts w:eastAsia="仿宋_GB2312"/>
          <w:sz w:val="30"/>
          <w:szCs w:val="28"/>
        </w:rPr>
      </w:pPr>
      <w:r>
        <w:rPr>
          <w:rFonts w:hint="eastAsia" w:eastAsia="仿宋_GB2312"/>
          <w:sz w:val="30"/>
          <w:szCs w:val="28"/>
        </w:rPr>
        <w:t>本通知构成前述凭证所指的结算通知。除非本通知另有定义，该凭证创设说明书定义的术语在本通知中具有相同的含义。</w:t>
      </w:r>
    </w:p>
    <w:p w14:paraId="13EBD013">
      <w:pPr>
        <w:spacing w:line="560" w:lineRule="exact"/>
        <w:rPr>
          <w:rFonts w:eastAsia="仿宋_GB2312"/>
          <w:sz w:val="30"/>
          <w:szCs w:val="28"/>
        </w:rPr>
      </w:pPr>
    </w:p>
    <w:p w14:paraId="42282779">
      <w:pPr>
        <w:spacing w:line="560" w:lineRule="exact"/>
        <w:rPr>
          <w:rFonts w:eastAsia="仿宋_GB2312"/>
          <w:sz w:val="30"/>
          <w:szCs w:val="28"/>
        </w:rPr>
      </w:pPr>
      <w:r>
        <w:rPr>
          <w:rFonts w:hint="eastAsia" w:eastAsia="仿宋_GB2312"/>
          <w:sz w:val="30"/>
          <w:szCs w:val="28"/>
        </w:rPr>
        <w:t>我方特此确认将就交易采取</w:t>
      </w:r>
      <w:r>
        <w:rPr>
          <w:rFonts w:eastAsia="仿宋_GB2312"/>
          <w:sz w:val="30"/>
          <w:szCs w:val="28"/>
        </w:rPr>
        <w:t>[      ]</w:t>
      </w:r>
      <w:r>
        <w:rPr>
          <w:rFonts w:hint="eastAsia" w:eastAsia="仿宋_GB2312"/>
          <w:sz w:val="30"/>
          <w:szCs w:val="28"/>
        </w:rPr>
        <w:t>结算。具体结算信息如下：</w:t>
      </w:r>
    </w:p>
    <w:p w14:paraId="6A18BFE0">
      <w:pPr>
        <w:spacing w:line="560" w:lineRule="exact"/>
        <w:rPr>
          <w:rFonts w:eastAsia="仿宋_GB2312"/>
          <w:sz w:val="30"/>
          <w:szCs w:val="28"/>
        </w:rPr>
      </w:pPr>
    </w:p>
    <w:p w14:paraId="074D0C69">
      <w:pPr>
        <w:spacing w:line="560" w:lineRule="exact"/>
        <w:rPr>
          <w:rFonts w:eastAsia="仿宋_GB2312"/>
          <w:sz w:val="30"/>
          <w:szCs w:val="28"/>
        </w:rPr>
      </w:pPr>
      <w:r>
        <w:rPr>
          <w:rFonts w:hint="eastAsia" w:eastAsia="仿宋_GB2312"/>
          <w:sz w:val="30"/>
          <w:szCs w:val="28"/>
        </w:rPr>
        <w:t>（</w:t>
      </w:r>
      <w:r>
        <w:rPr>
          <w:rFonts w:eastAsia="仿宋_GB2312"/>
          <w:sz w:val="30"/>
          <w:szCs w:val="28"/>
        </w:rPr>
        <w:t>1</w:t>
      </w:r>
      <w:r>
        <w:rPr>
          <w:rFonts w:hint="eastAsia" w:eastAsia="仿宋_GB2312"/>
          <w:sz w:val="30"/>
          <w:szCs w:val="28"/>
        </w:rPr>
        <w:t>）结算期间：</w:t>
      </w:r>
      <w:r>
        <w:rPr>
          <w:rFonts w:eastAsia="仿宋_GB2312"/>
          <w:sz w:val="30"/>
          <w:szCs w:val="28"/>
        </w:rPr>
        <w:t>[</w:t>
      </w:r>
      <w:r>
        <w:rPr>
          <w:rFonts w:eastAsia="仿宋_GB2312"/>
          <w:sz w:val="30"/>
          <w:szCs w:val="28"/>
        </w:rPr>
        <w:tab/>
      </w:r>
      <w:r>
        <w:rPr>
          <w:rFonts w:eastAsia="仿宋_GB2312"/>
          <w:sz w:val="30"/>
          <w:szCs w:val="28"/>
        </w:rPr>
        <w:t>]</w:t>
      </w:r>
      <w:r>
        <w:rPr>
          <w:rFonts w:hint="eastAsia" w:eastAsia="仿宋_GB2312"/>
          <w:sz w:val="30"/>
          <w:szCs w:val="28"/>
        </w:rPr>
        <w:t>个交易日，始于贵方收到本通知之日（含该日）</w:t>
      </w:r>
    </w:p>
    <w:p w14:paraId="0D3700B1">
      <w:pPr>
        <w:spacing w:line="560" w:lineRule="exact"/>
        <w:rPr>
          <w:rFonts w:eastAsia="仿宋_GB2312"/>
          <w:sz w:val="30"/>
          <w:szCs w:val="28"/>
        </w:rPr>
      </w:pPr>
      <w:r>
        <w:rPr>
          <w:rFonts w:hint="eastAsia" w:eastAsia="仿宋_GB2312"/>
          <w:sz w:val="30"/>
          <w:szCs w:val="28"/>
        </w:rPr>
        <w:t>（</w:t>
      </w:r>
      <w:r>
        <w:rPr>
          <w:rFonts w:eastAsia="仿宋_GB2312"/>
          <w:sz w:val="30"/>
          <w:szCs w:val="28"/>
        </w:rPr>
        <w:t>2</w:t>
      </w:r>
      <w:r>
        <w:rPr>
          <w:rFonts w:hint="eastAsia" w:eastAsia="仿宋_GB2312"/>
          <w:sz w:val="30"/>
          <w:szCs w:val="28"/>
        </w:rPr>
        <w:t>）可交付债务明细（若采取实物结算）：</w:t>
      </w:r>
      <w:r>
        <w:rPr>
          <w:rFonts w:eastAsia="仿宋_GB2312"/>
          <w:sz w:val="30"/>
          <w:szCs w:val="28"/>
        </w:rPr>
        <w:t>[</w:t>
      </w:r>
      <w:r>
        <w:rPr>
          <w:rFonts w:hint="eastAsia" w:eastAsia="仿宋_GB2312"/>
          <w:sz w:val="30"/>
          <w:szCs w:val="28"/>
        </w:rPr>
        <w:t>请填入具体信息</w:t>
      </w:r>
      <w:r>
        <w:rPr>
          <w:rFonts w:eastAsia="仿宋_GB2312"/>
          <w:sz w:val="30"/>
          <w:szCs w:val="28"/>
        </w:rPr>
        <w:t>]</w:t>
      </w:r>
    </w:p>
    <w:p w14:paraId="7C08F8CA">
      <w:pPr>
        <w:spacing w:line="560" w:lineRule="exact"/>
        <w:rPr>
          <w:rFonts w:eastAsia="仿宋_GB2312"/>
          <w:sz w:val="30"/>
          <w:szCs w:val="28"/>
        </w:rPr>
      </w:pPr>
      <w:r>
        <w:rPr>
          <w:rFonts w:hint="eastAsia" w:eastAsia="仿宋_GB2312"/>
          <w:sz w:val="30"/>
          <w:szCs w:val="28"/>
        </w:rPr>
        <w:t>（</w:t>
      </w:r>
      <w:r>
        <w:rPr>
          <w:rFonts w:eastAsia="仿宋_GB2312"/>
          <w:sz w:val="30"/>
          <w:szCs w:val="28"/>
        </w:rPr>
        <w:t>3</w:t>
      </w:r>
      <w:r>
        <w:rPr>
          <w:rFonts w:hint="eastAsia" w:eastAsia="仿宋_GB2312"/>
          <w:sz w:val="30"/>
          <w:szCs w:val="28"/>
        </w:rPr>
        <w:t>）收款账户信息（若采取现金结算）：</w:t>
      </w:r>
      <w:r>
        <w:rPr>
          <w:rFonts w:eastAsia="仿宋_GB2312"/>
          <w:sz w:val="30"/>
          <w:szCs w:val="28"/>
        </w:rPr>
        <w:t>[      ]</w:t>
      </w:r>
    </w:p>
    <w:p w14:paraId="0A44620D">
      <w:pPr>
        <w:spacing w:line="560" w:lineRule="exact"/>
        <w:rPr>
          <w:rFonts w:eastAsia="仿宋_GB2312"/>
          <w:sz w:val="30"/>
          <w:szCs w:val="28"/>
        </w:rPr>
      </w:pPr>
      <w:r>
        <w:rPr>
          <w:rFonts w:hint="eastAsia" w:eastAsia="仿宋_GB2312"/>
          <w:sz w:val="30"/>
          <w:szCs w:val="28"/>
        </w:rPr>
        <w:t>（</w:t>
      </w:r>
      <w:r>
        <w:rPr>
          <w:rFonts w:eastAsia="仿宋_GB2312"/>
          <w:sz w:val="30"/>
          <w:szCs w:val="28"/>
        </w:rPr>
        <w:t>4</w:t>
      </w:r>
      <w:r>
        <w:rPr>
          <w:rFonts w:hint="eastAsia" w:eastAsia="仿宋_GB2312"/>
          <w:sz w:val="30"/>
          <w:szCs w:val="28"/>
        </w:rPr>
        <w:t>）结算地点：</w:t>
      </w:r>
      <w:r>
        <w:rPr>
          <w:rFonts w:eastAsia="仿宋_GB2312"/>
          <w:sz w:val="30"/>
          <w:szCs w:val="28"/>
        </w:rPr>
        <w:t>[</w:t>
      </w:r>
      <w:r>
        <w:rPr>
          <w:rFonts w:eastAsia="仿宋_GB2312"/>
          <w:sz w:val="30"/>
          <w:szCs w:val="28"/>
        </w:rPr>
        <w:tab/>
      </w:r>
      <w:r>
        <w:rPr>
          <w:rFonts w:eastAsia="仿宋_GB2312"/>
          <w:sz w:val="30"/>
          <w:szCs w:val="28"/>
        </w:rPr>
        <w:t xml:space="preserve">   ]</w:t>
      </w:r>
    </w:p>
    <w:p w14:paraId="09FFB290">
      <w:pPr>
        <w:spacing w:line="560" w:lineRule="exact"/>
        <w:rPr>
          <w:rFonts w:eastAsia="仿宋_GB2312"/>
          <w:sz w:val="30"/>
          <w:szCs w:val="28"/>
        </w:rPr>
      </w:pPr>
      <w:r>
        <w:rPr>
          <w:rFonts w:hint="eastAsia" w:eastAsia="仿宋_GB2312"/>
          <w:sz w:val="30"/>
          <w:szCs w:val="28"/>
        </w:rPr>
        <w:t>（</w:t>
      </w:r>
      <w:r>
        <w:rPr>
          <w:rFonts w:eastAsia="仿宋_GB2312"/>
          <w:sz w:val="30"/>
          <w:szCs w:val="28"/>
        </w:rPr>
        <w:t>5</w:t>
      </w:r>
      <w:r>
        <w:rPr>
          <w:rFonts w:hint="eastAsia" w:eastAsia="仿宋_GB2312"/>
          <w:sz w:val="30"/>
          <w:szCs w:val="28"/>
        </w:rPr>
        <w:t>）其他：</w:t>
      </w:r>
    </w:p>
    <w:p w14:paraId="11F190C1">
      <w:pPr>
        <w:spacing w:line="560" w:lineRule="exact"/>
        <w:rPr>
          <w:rFonts w:eastAsia="仿宋_GB2312"/>
          <w:sz w:val="30"/>
          <w:szCs w:val="28"/>
        </w:rPr>
      </w:pPr>
    </w:p>
    <w:p w14:paraId="009399CF">
      <w:pPr>
        <w:spacing w:line="560" w:lineRule="exact"/>
        <w:rPr>
          <w:rFonts w:eastAsia="仿宋_GB2312"/>
          <w:sz w:val="30"/>
          <w:szCs w:val="28"/>
        </w:rPr>
      </w:pPr>
      <w:r>
        <w:rPr>
          <w:rFonts w:hint="eastAsia" w:eastAsia="仿宋_GB2312"/>
          <w:sz w:val="30"/>
          <w:szCs w:val="28"/>
        </w:rPr>
        <w:t>通知方（印章）：</w:t>
      </w:r>
    </w:p>
    <w:p w14:paraId="53AE32DC">
      <w:pPr>
        <w:spacing w:line="560" w:lineRule="exact"/>
        <w:rPr>
          <w:rFonts w:eastAsia="仿宋_GB2312"/>
          <w:sz w:val="30"/>
          <w:szCs w:val="28"/>
        </w:rPr>
      </w:pPr>
      <w:r>
        <w:rPr>
          <w:rFonts w:hint="eastAsia" w:eastAsia="仿宋_GB2312"/>
          <w:sz w:val="30"/>
          <w:szCs w:val="28"/>
        </w:rPr>
        <w:t>法定代表人（授权代理人）签字：</w:t>
      </w:r>
    </w:p>
    <w:p w14:paraId="2E4C7C8A">
      <w:pPr>
        <w:widowControl/>
        <w:jc w:val="left"/>
        <w:rPr>
          <w:rFonts w:eastAsia="仿宋_GB2312"/>
          <w:sz w:val="30"/>
          <w:szCs w:val="28"/>
        </w:rPr>
      </w:pPr>
      <w:r>
        <w:rPr>
          <w:rFonts w:eastAsia="仿宋_GB2312"/>
          <w:sz w:val="30"/>
          <w:szCs w:val="28"/>
        </w:rPr>
        <w:t>[      ]</w:t>
      </w:r>
      <w:r>
        <w:rPr>
          <w:rFonts w:hint="eastAsia" w:eastAsia="仿宋_GB2312"/>
          <w:sz w:val="30"/>
          <w:szCs w:val="28"/>
        </w:rPr>
        <w:t>结算通知日期：</w:t>
      </w:r>
      <w:bookmarkEnd w:id="3969"/>
    </w:p>
    <w:p w14:paraId="50E99C7A">
      <w:pPr>
        <w:widowControl/>
        <w:jc w:val="left"/>
        <w:rPr>
          <w:rFonts w:eastAsia="仿宋_GB2312"/>
          <w:sz w:val="30"/>
          <w:szCs w:val="28"/>
        </w:rPr>
      </w:pPr>
      <w:r>
        <w:rPr>
          <w:rFonts w:eastAsia="仿宋_GB2312"/>
          <w:sz w:val="30"/>
          <w:szCs w:val="28"/>
        </w:rPr>
        <w:br w:type="page"/>
      </w:r>
    </w:p>
    <w:p w14:paraId="6CC8049C">
      <w:pPr>
        <w:widowControl/>
        <w:jc w:val="left"/>
        <w:outlineLvl w:val="1"/>
        <w:rPr>
          <w:rFonts w:ascii="仿宋_GB2312" w:hAnsi="黑体" w:eastAsia="仿宋_GB2312"/>
          <w:b/>
          <w:sz w:val="30"/>
          <w:szCs w:val="30"/>
        </w:rPr>
      </w:pPr>
      <w:bookmarkStart w:id="3970" w:name="_Toc151137116"/>
      <w:bookmarkStart w:id="3971" w:name="_Toc1110442753"/>
      <w:bookmarkStart w:id="3972" w:name="_Toc668528572"/>
      <w:bookmarkStart w:id="3973" w:name="_Toc1569323533"/>
      <w:bookmarkStart w:id="3974" w:name="_Toc303408403"/>
      <w:bookmarkStart w:id="3975" w:name="_Toc103332513"/>
      <w:bookmarkStart w:id="3976" w:name="_Toc108164112"/>
      <w:r>
        <w:rPr>
          <w:rFonts w:hint="eastAsia" w:ascii="仿宋_GB2312" w:hAnsi="黑体" w:eastAsia="仿宋_GB2312"/>
          <w:b/>
          <w:sz w:val="30"/>
          <w:szCs w:val="30"/>
        </w:rPr>
        <w:t>附件33 上海证券交易所债券担保品处置平台功能简介</w:t>
      </w:r>
      <w:bookmarkEnd w:id="3970"/>
      <w:bookmarkEnd w:id="3971"/>
      <w:bookmarkEnd w:id="3972"/>
      <w:bookmarkEnd w:id="3973"/>
      <w:bookmarkEnd w:id="3974"/>
    </w:p>
    <w:p w14:paraId="20A6211A">
      <w:pPr>
        <w:spacing w:line="560" w:lineRule="exact"/>
        <w:jc w:val="center"/>
        <w:rPr>
          <w:rFonts w:ascii="黑体" w:hAnsi="黑体" w:eastAsia="黑体"/>
          <w:b/>
          <w:kern w:val="0"/>
          <w:sz w:val="44"/>
          <w:szCs w:val="44"/>
          <w:lang w:bidi="en-US"/>
        </w:rPr>
      </w:pPr>
    </w:p>
    <w:p w14:paraId="5B896803">
      <w:pPr>
        <w:spacing w:line="560" w:lineRule="exact"/>
        <w:jc w:val="center"/>
        <w:rPr>
          <w:rFonts w:ascii="黑体" w:hAnsi="黑体" w:eastAsia="黑体"/>
          <w:b/>
          <w:sz w:val="44"/>
          <w:szCs w:val="44"/>
          <w:lang w:bidi="en-US"/>
        </w:rPr>
      </w:pPr>
      <w:r>
        <w:rPr>
          <w:rFonts w:hint="eastAsia" w:ascii="黑体" w:hAnsi="黑体" w:eastAsia="黑体"/>
          <w:b/>
          <w:sz w:val="44"/>
          <w:szCs w:val="44"/>
          <w:lang w:bidi="en-US"/>
        </w:rPr>
        <w:t>上海证券交易所债券担保品处置平台</w:t>
      </w:r>
    </w:p>
    <w:p w14:paraId="2CEB619D">
      <w:pPr>
        <w:spacing w:line="560" w:lineRule="exact"/>
        <w:jc w:val="center"/>
        <w:rPr>
          <w:rFonts w:ascii="黑体" w:hAnsi="黑体" w:eastAsia="黑体"/>
          <w:b/>
          <w:sz w:val="44"/>
          <w:szCs w:val="44"/>
          <w:lang w:bidi="en-US"/>
        </w:rPr>
      </w:pPr>
      <w:r>
        <w:rPr>
          <w:rFonts w:hint="eastAsia" w:ascii="黑体" w:hAnsi="黑体" w:eastAsia="黑体"/>
          <w:b/>
          <w:sz w:val="44"/>
          <w:szCs w:val="44"/>
          <w:lang w:bidi="en-US"/>
        </w:rPr>
        <w:t>功能简介</w:t>
      </w:r>
    </w:p>
    <w:p w14:paraId="08F55DC9">
      <w:pPr>
        <w:spacing w:line="560" w:lineRule="exact"/>
        <w:ind w:firstLine="600" w:firstLineChars="200"/>
        <w:jc w:val="left"/>
        <w:rPr>
          <w:rFonts w:ascii="仿宋_GB2312" w:hAnsi="宋体" w:eastAsia="仿宋_GB2312"/>
          <w:sz w:val="30"/>
          <w:szCs w:val="30"/>
        </w:rPr>
      </w:pPr>
      <w:r>
        <w:rPr>
          <w:rFonts w:hint="eastAsia" w:ascii="仿宋_GB2312" w:eastAsia="仿宋_GB2312"/>
          <w:sz w:val="30"/>
          <w:szCs w:val="28"/>
        </w:rPr>
        <w:t>上海证券交易所债券担保品处置平台</w:t>
      </w:r>
      <w:r>
        <w:rPr>
          <w:rFonts w:hint="eastAsia" w:ascii="仿宋_GB2312" w:hAnsi="宋体" w:eastAsia="仿宋_GB2312"/>
          <w:sz w:val="30"/>
          <w:szCs w:val="30"/>
        </w:rPr>
        <w:t>，专门用于债券质押类融资业务违约后的</w:t>
      </w:r>
      <w:r>
        <w:rPr>
          <w:rFonts w:hint="eastAsia" w:ascii="仿宋_GB2312" w:eastAsia="仿宋_GB2312"/>
          <w:sz w:val="30"/>
          <w:szCs w:val="28"/>
        </w:rPr>
        <w:t>债券担保品快速处置</w:t>
      </w:r>
      <w:r>
        <w:rPr>
          <w:rFonts w:hint="eastAsia" w:ascii="仿宋_GB2312" w:hAnsi="宋体" w:eastAsia="仿宋_GB2312"/>
          <w:sz w:val="30"/>
          <w:szCs w:val="30"/>
        </w:rPr>
        <w:t>。处置平台功能健全、系统稳定，可为债券担保品处置提供有效的技术保障。</w:t>
      </w:r>
    </w:p>
    <w:p w14:paraId="0211E1F7">
      <w:pPr>
        <w:pStyle w:val="92"/>
        <w:ind w:left="159" w:leftChars="76" w:firstLine="600"/>
        <w:rPr>
          <w:rFonts w:ascii="黑体" w:hAnsi="黑体" w:eastAsia="黑体"/>
          <w:sz w:val="30"/>
          <w:szCs w:val="30"/>
          <w:lang w:eastAsia="zh-CN"/>
        </w:rPr>
      </w:pPr>
      <w:r>
        <w:rPr>
          <w:rFonts w:hint="eastAsia" w:ascii="黑体" w:hAnsi="黑体" w:eastAsia="黑体"/>
          <w:sz w:val="30"/>
          <w:szCs w:val="30"/>
          <w:lang w:eastAsia="zh-CN"/>
        </w:rPr>
        <w:t>一、处置平台功能要点</w:t>
      </w:r>
    </w:p>
    <w:p w14:paraId="661C465B">
      <w:pPr>
        <w:spacing w:line="600" w:lineRule="exact"/>
        <w:ind w:firstLine="600" w:firstLineChars="200"/>
        <w:rPr>
          <w:rFonts w:ascii="仿宋_GB2312" w:hAnsi="宋体" w:eastAsia="仿宋_GB2312"/>
          <w:b/>
          <w:sz w:val="30"/>
          <w:szCs w:val="30"/>
        </w:rPr>
      </w:pPr>
      <w:r>
        <w:rPr>
          <w:rFonts w:hint="eastAsia" w:ascii="仿宋_GB2312" w:hAnsi="宋体" w:eastAsia="仿宋_GB2312"/>
          <w:sz w:val="30"/>
          <w:szCs w:val="30"/>
        </w:rPr>
        <w:t xml:space="preserve"> </w:t>
      </w:r>
      <w:bookmarkStart w:id="3977" w:name="_Toc446332677"/>
      <w:bookmarkEnd w:id="3977"/>
      <w:bookmarkStart w:id="3978" w:name="_Toc446191711"/>
      <w:bookmarkEnd w:id="3978"/>
      <w:bookmarkStart w:id="3979" w:name="_Toc446331224"/>
      <w:bookmarkEnd w:id="3979"/>
      <w:r>
        <w:rPr>
          <w:rFonts w:hint="eastAsia" w:ascii="仿宋_GB2312" w:hAnsi="宋体" w:eastAsia="仿宋_GB2312"/>
          <w:b/>
          <w:sz w:val="30"/>
          <w:szCs w:val="30"/>
        </w:rPr>
        <w:t>（一）支持多种报价团模式</w:t>
      </w:r>
    </w:p>
    <w:p w14:paraId="195FE3D3">
      <w:pPr>
        <w:pStyle w:val="92"/>
        <w:ind w:left="159" w:leftChars="76" w:firstLine="600"/>
        <w:rPr>
          <w:rFonts w:ascii="仿宋_GB2312" w:eastAsia="仿宋_GB2312"/>
          <w:sz w:val="30"/>
          <w:szCs w:val="28"/>
          <w:lang w:eastAsia="zh-CN"/>
        </w:rPr>
      </w:pPr>
      <w:r>
        <w:rPr>
          <w:rFonts w:hint="eastAsia" w:ascii="仿宋_GB2312" w:eastAsia="仿宋_GB2312"/>
          <w:sz w:val="30"/>
          <w:szCs w:val="28"/>
          <w:lang w:eastAsia="zh-CN"/>
        </w:rPr>
        <w:t>处置平台对每次处置既支持全部的合格报价团参与报价，也支持指定报价团成员参与报价。</w:t>
      </w:r>
    </w:p>
    <w:p w14:paraId="26EBABE7">
      <w:pPr>
        <w:spacing w:line="600" w:lineRule="exact"/>
        <w:ind w:firstLine="753" w:firstLineChars="250"/>
        <w:rPr>
          <w:rFonts w:ascii="仿宋_GB2312" w:hAnsi="宋体" w:eastAsia="仿宋_GB2312"/>
          <w:b/>
          <w:sz w:val="30"/>
          <w:szCs w:val="30"/>
        </w:rPr>
      </w:pPr>
      <w:r>
        <w:rPr>
          <w:rFonts w:hint="eastAsia" w:ascii="仿宋_GB2312" w:hAnsi="宋体" w:eastAsia="仿宋_GB2312"/>
          <w:b/>
          <w:sz w:val="30"/>
          <w:szCs w:val="30"/>
        </w:rPr>
        <w:t>（二）支持多种处置模式</w:t>
      </w:r>
    </w:p>
    <w:p w14:paraId="0252CBB1">
      <w:pPr>
        <w:pStyle w:val="92"/>
        <w:ind w:left="159" w:leftChars="76" w:firstLine="600"/>
        <w:rPr>
          <w:rFonts w:ascii="仿宋_GB2312" w:eastAsia="仿宋_GB2312"/>
          <w:sz w:val="30"/>
          <w:szCs w:val="28"/>
          <w:lang w:eastAsia="zh-CN"/>
        </w:rPr>
      </w:pPr>
      <w:r>
        <w:rPr>
          <w:rFonts w:hint="eastAsia" w:ascii="仿宋_GB2312" w:eastAsia="仿宋_GB2312"/>
          <w:sz w:val="30"/>
          <w:szCs w:val="28"/>
          <w:lang w:eastAsia="zh-CN"/>
        </w:rPr>
        <w:t>处置平台支持单只债券分别进行处置，也支持将多只债券以资产包形式进行处置。单只债券处置时，采取荷兰式招标原则。资产包处置时，报价团成员对单个处置资产包报价，采取“价高者得”的中标原则，相同报价时，申报时间优先者得。</w:t>
      </w:r>
    </w:p>
    <w:p w14:paraId="6BF3FD10">
      <w:pPr>
        <w:pStyle w:val="92"/>
        <w:ind w:left="159" w:leftChars="76" w:firstLine="600"/>
        <w:rPr>
          <w:rFonts w:ascii="仿宋_GB2312" w:eastAsia="仿宋_GB2312"/>
          <w:sz w:val="30"/>
          <w:szCs w:val="28"/>
          <w:lang w:eastAsia="zh-CN"/>
        </w:rPr>
      </w:pPr>
      <w:r>
        <w:rPr>
          <w:rFonts w:hint="eastAsia" w:ascii="仿宋_GB2312" w:eastAsia="仿宋_GB2312"/>
          <w:sz w:val="30"/>
          <w:szCs w:val="28"/>
          <w:lang w:eastAsia="zh-CN"/>
        </w:rPr>
        <w:t>处置时，每个报价团成员限定只能投单一标位。</w:t>
      </w:r>
    </w:p>
    <w:p w14:paraId="2BEB0C4B">
      <w:pPr>
        <w:ind w:firstLine="781"/>
        <w:rPr>
          <w:rFonts w:ascii="仿宋_GB2312" w:hAnsi="宋体" w:eastAsia="仿宋_GB2312"/>
          <w:sz w:val="30"/>
          <w:szCs w:val="30"/>
        </w:rPr>
      </w:pPr>
      <w:r>
        <w:rPr>
          <w:rFonts w:hint="eastAsia" w:ascii="仿宋_GB2312" w:hAnsi="宋体" w:eastAsia="仿宋_GB2312"/>
          <w:b/>
          <w:sz w:val="30"/>
          <w:szCs w:val="30"/>
        </w:rPr>
        <w:t>（三）支持多期处置同时进行。</w:t>
      </w:r>
      <w:r>
        <w:rPr>
          <w:rFonts w:hint="eastAsia" w:ascii="仿宋_GB2312" w:eastAsia="仿宋_GB2312"/>
          <w:sz w:val="30"/>
          <w:szCs w:val="28"/>
        </w:rPr>
        <w:t>处置平台</w:t>
      </w:r>
      <w:r>
        <w:rPr>
          <w:rFonts w:hint="eastAsia" w:ascii="仿宋_GB2312" w:hAnsi="宋体" w:eastAsia="仿宋_GB2312"/>
          <w:sz w:val="30"/>
          <w:szCs w:val="30"/>
        </w:rPr>
        <w:t>在各处置场所配置终端，支持多期</w:t>
      </w:r>
      <w:r>
        <w:rPr>
          <w:rFonts w:hint="eastAsia" w:ascii="仿宋_GB2312" w:eastAsia="仿宋_GB2312"/>
          <w:sz w:val="30"/>
          <w:szCs w:val="28"/>
        </w:rPr>
        <w:t>债券担保品处置</w:t>
      </w:r>
      <w:r>
        <w:rPr>
          <w:rFonts w:hint="eastAsia" w:ascii="仿宋_GB2312" w:hAnsi="宋体" w:eastAsia="仿宋_GB2312"/>
          <w:sz w:val="30"/>
          <w:szCs w:val="30"/>
        </w:rPr>
        <w:t>同时进行处置。</w:t>
      </w:r>
    </w:p>
    <w:p w14:paraId="4A79479A">
      <w:pPr>
        <w:pStyle w:val="92"/>
        <w:ind w:left="159" w:leftChars="76" w:firstLine="602"/>
        <w:rPr>
          <w:rFonts w:ascii="仿宋_GB2312" w:hAnsi="宋体" w:eastAsia="仿宋_GB2312"/>
          <w:sz w:val="30"/>
          <w:szCs w:val="30"/>
          <w:lang w:eastAsia="zh-CN"/>
        </w:rPr>
      </w:pPr>
      <w:r>
        <w:rPr>
          <w:rFonts w:hint="eastAsia" w:ascii="仿宋_GB2312" w:hAnsi="宋体" w:eastAsia="仿宋_GB2312"/>
          <w:b/>
          <w:sz w:val="30"/>
          <w:szCs w:val="30"/>
          <w:lang w:eastAsia="zh-CN"/>
        </w:rPr>
        <w:t>（四）提供报价信息及其查询</w:t>
      </w:r>
      <w:r>
        <w:rPr>
          <w:rFonts w:hint="eastAsia" w:ascii="仿宋_GB2312" w:hAnsi="宋体" w:eastAsia="仿宋_GB2312"/>
          <w:sz w:val="30"/>
          <w:szCs w:val="30"/>
          <w:lang w:eastAsia="zh-CN"/>
        </w:rPr>
        <w:t>。处置前，</w:t>
      </w:r>
      <w:r>
        <w:rPr>
          <w:rFonts w:hint="eastAsia" w:ascii="仿宋_GB2312" w:eastAsia="仿宋_GB2312"/>
          <w:sz w:val="30"/>
          <w:szCs w:val="28"/>
          <w:lang w:eastAsia="zh-CN"/>
        </w:rPr>
        <w:t>处置平台</w:t>
      </w:r>
      <w:r>
        <w:rPr>
          <w:rFonts w:hint="eastAsia" w:ascii="仿宋_GB2312" w:hAnsi="宋体" w:eastAsia="仿宋_GB2312"/>
          <w:sz w:val="30"/>
          <w:szCs w:val="30"/>
          <w:lang w:eastAsia="zh-CN"/>
        </w:rPr>
        <w:t>发布当期处置的基本信息，包括处置方名称、处置担保品信息、处置模式、报价团模式等相关信息，供报价团成员使用。处置后，</w:t>
      </w:r>
      <w:r>
        <w:rPr>
          <w:rFonts w:hint="eastAsia" w:ascii="仿宋_GB2312" w:eastAsia="仿宋_GB2312"/>
          <w:sz w:val="30"/>
          <w:szCs w:val="28"/>
          <w:lang w:eastAsia="zh-CN"/>
        </w:rPr>
        <w:t>处置平台</w:t>
      </w:r>
      <w:r>
        <w:rPr>
          <w:rFonts w:hint="eastAsia" w:ascii="仿宋_GB2312" w:hAnsi="宋体" w:eastAsia="仿宋_GB2312"/>
          <w:sz w:val="30"/>
          <w:szCs w:val="30"/>
          <w:lang w:eastAsia="zh-CN"/>
        </w:rPr>
        <w:t>统计并提供当期处置的报价量、中标量等数据，供处置方和报价团成员查询、打印或导出。</w:t>
      </w:r>
    </w:p>
    <w:p w14:paraId="52FABF6B">
      <w:pPr>
        <w:ind w:firstLine="602" w:firstLineChars="200"/>
        <w:rPr>
          <w:rFonts w:ascii="仿宋_GB2312" w:hAnsi="仿宋" w:eastAsia="仿宋_GB2312"/>
          <w:b/>
          <w:sz w:val="30"/>
          <w:szCs w:val="30"/>
        </w:rPr>
      </w:pPr>
      <w:r>
        <w:rPr>
          <w:rFonts w:hint="eastAsia" w:ascii="仿宋_GB2312" w:hAnsi="仿宋" w:eastAsia="仿宋_GB2312"/>
          <w:b/>
          <w:sz w:val="30"/>
          <w:szCs w:val="30"/>
        </w:rPr>
        <w:t>（五）提供担保品处置相关数据报送。</w:t>
      </w:r>
      <w:r>
        <w:rPr>
          <w:rFonts w:hint="eastAsia" w:ascii="仿宋_GB2312" w:hAnsi="仿宋" w:eastAsia="仿宋_GB2312"/>
          <w:sz w:val="30"/>
          <w:szCs w:val="30"/>
        </w:rPr>
        <w:t>处置后，担保品处置平台向参与处置的报价团成员发送各自的处置中标结果。</w:t>
      </w:r>
    </w:p>
    <w:p w14:paraId="3F4C6F7F">
      <w:pPr>
        <w:ind w:firstLine="602" w:firstLineChars="200"/>
        <w:rPr>
          <w:rFonts w:ascii="仿宋_GB2312" w:hAnsi="宋体" w:eastAsia="仿宋_GB2312"/>
          <w:sz w:val="30"/>
          <w:szCs w:val="30"/>
        </w:rPr>
      </w:pPr>
      <w:r>
        <w:rPr>
          <w:rFonts w:hint="eastAsia" w:ascii="仿宋_GB2312" w:hAnsi="仿宋" w:eastAsia="仿宋_GB2312"/>
          <w:b/>
          <w:sz w:val="30"/>
          <w:szCs w:val="30"/>
        </w:rPr>
        <w:t>（六）</w:t>
      </w:r>
      <w:r>
        <w:rPr>
          <w:rFonts w:hint="eastAsia" w:ascii="仿宋_GB2312" w:hAnsi="宋体" w:eastAsia="仿宋_GB2312"/>
          <w:b/>
          <w:sz w:val="30"/>
          <w:szCs w:val="30"/>
        </w:rPr>
        <w:t>提供</w:t>
      </w:r>
      <w:r>
        <w:rPr>
          <w:rFonts w:hint="eastAsia" w:ascii="仿宋_GB2312" w:hAnsi="仿宋" w:eastAsia="仿宋_GB2312"/>
          <w:b/>
          <w:sz w:val="30"/>
          <w:szCs w:val="30"/>
        </w:rPr>
        <w:t>应急报价功能。</w:t>
      </w:r>
      <w:r>
        <w:rPr>
          <w:rFonts w:hint="eastAsia" w:ascii="仿宋_GB2312" w:hAnsi="宋体" w:eastAsia="仿宋_GB2312"/>
          <w:sz w:val="30"/>
          <w:szCs w:val="30"/>
        </w:rPr>
        <w:t>因技术故障等原因，报价团成员可用传真方式进行应急报价。</w:t>
      </w:r>
      <w:r>
        <w:rPr>
          <w:rFonts w:hint="eastAsia" w:ascii="仿宋_GB2312" w:eastAsia="仿宋_GB2312"/>
          <w:sz w:val="30"/>
          <w:szCs w:val="28"/>
        </w:rPr>
        <w:t>处置平台</w:t>
      </w:r>
      <w:r>
        <w:rPr>
          <w:rFonts w:hint="eastAsia" w:ascii="仿宋_GB2312" w:hAnsi="宋体" w:eastAsia="仿宋_GB2312"/>
          <w:sz w:val="30"/>
          <w:szCs w:val="30"/>
        </w:rPr>
        <w:t>提供应急报价的录入功能，由上交所技术支持人员应急录入。</w:t>
      </w:r>
    </w:p>
    <w:p w14:paraId="784244B7">
      <w:pPr>
        <w:spacing w:line="360" w:lineRule="auto"/>
        <w:ind w:firstLine="602" w:firstLineChars="200"/>
        <w:rPr>
          <w:rFonts w:ascii="仿宋_GB2312" w:hAnsi="仿宋" w:eastAsia="仿宋_GB2312"/>
          <w:b/>
          <w:sz w:val="30"/>
          <w:szCs w:val="30"/>
        </w:rPr>
      </w:pPr>
      <w:r>
        <w:rPr>
          <w:rFonts w:hint="eastAsia" w:ascii="仿宋_GB2312" w:hAnsi="宋体" w:eastAsia="仿宋_GB2312"/>
          <w:b/>
          <w:sz w:val="30"/>
          <w:szCs w:val="30"/>
        </w:rPr>
        <w:t>（七）实现处置情况即时全面</w:t>
      </w:r>
      <w:r>
        <w:rPr>
          <w:rFonts w:hint="eastAsia" w:ascii="仿宋_GB2312" w:hAnsi="仿宋" w:eastAsia="仿宋_GB2312"/>
          <w:b/>
          <w:sz w:val="30"/>
          <w:szCs w:val="30"/>
        </w:rPr>
        <w:t>展示。</w:t>
      </w:r>
      <w:r>
        <w:rPr>
          <w:rFonts w:hint="eastAsia" w:ascii="仿宋_GB2312" w:eastAsia="仿宋_GB2312"/>
          <w:sz w:val="30"/>
          <w:szCs w:val="28"/>
        </w:rPr>
        <w:t>处置平台</w:t>
      </w:r>
      <w:r>
        <w:rPr>
          <w:rFonts w:hint="eastAsia" w:ascii="仿宋_GB2312" w:hAnsi="仿宋" w:eastAsia="仿宋_GB2312"/>
          <w:sz w:val="30"/>
          <w:szCs w:val="30"/>
        </w:rPr>
        <w:t>即时、全面展示</w:t>
      </w:r>
      <w:r>
        <w:rPr>
          <w:rFonts w:hint="eastAsia" w:ascii="仿宋_GB2312" w:hAnsi="宋体" w:eastAsia="仿宋_GB2312"/>
          <w:sz w:val="30"/>
          <w:szCs w:val="30"/>
        </w:rPr>
        <w:t>每一报价团成员的报价数量、报价价格、报价时间等相关信息，供处置方掌握</w:t>
      </w:r>
      <w:r>
        <w:rPr>
          <w:rFonts w:hint="eastAsia" w:ascii="仿宋_GB2312" w:eastAsia="仿宋_GB2312"/>
          <w:sz w:val="30"/>
          <w:szCs w:val="28"/>
        </w:rPr>
        <w:t>担保品处置</w:t>
      </w:r>
      <w:r>
        <w:rPr>
          <w:rFonts w:hint="eastAsia" w:ascii="仿宋_GB2312" w:hAnsi="宋体" w:eastAsia="仿宋_GB2312"/>
          <w:sz w:val="30"/>
          <w:szCs w:val="30"/>
        </w:rPr>
        <w:t>进程和情况。</w:t>
      </w:r>
    </w:p>
    <w:p w14:paraId="3722ADF1">
      <w:pPr>
        <w:spacing w:line="360" w:lineRule="auto"/>
        <w:ind w:firstLine="602" w:firstLineChars="200"/>
        <w:rPr>
          <w:rFonts w:ascii="仿宋_GB2312" w:eastAsia="仿宋_GB2312"/>
          <w:sz w:val="30"/>
          <w:szCs w:val="28"/>
        </w:rPr>
      </w:pPr>
      <w:r>
        <w:rPr>
          <w:rFonts w:hint="eastAsia" w:ascii="黑体" w:eastAsia="黑体"/>
          <w:b/>
          <w:kern w:val="0"/>
          <w:sz w:val="30"/>
          <w:szCs w:val="30"/>
          <w:lang w:val="zh-CN"/>
        </w:rPr>
        <w:t>二、处置平台使用要点</w:t>
      </w:r>
    </w:p>
    <w:p w14:paraId="352AD3E5">
      <w:pPr>
        <w:spacing w:line="360" w:lineRule="auto"/>
        <w:ind w:firstLine="602" w:firstLineChars="200"/>
        <w:rPr>
          <w:rFonts w:ascii="仿宋_GB2312" w:hAnsi="宋体" w:eastAsia="仿宋_GB2312"/>
          <w:sz w:val="30"/>
          <w:szCs w:val="30"/>
        </w:rPr>
      </w:pPr>
      <w:r>
        <w:rPr>
          <w:rFonts w:hint="eastAsia" w:ascii="仿宋_GB2312" w:hAnsi="仿宋" w:eastAsia="仿宋_GB2312"/>
          <w:b/>
          <w:sz w:val="30"/>
          <w:szCs w:val="30"/>
        </w:rPr>
        <w:t>（一）登录方式。</w:t>
      </w:r>
      <w:r>
        <w:rPr>
          <w:rFonts w:hint="eastAsia" w:ascii="仿宋_GB2312" w:hAnsi="宋体" w:eastAsia="仿宋_GB2312"/>
          <w:sz w:val="30"/>
          <w:szCs w:val="30"/>
        </w:rPr>
        <w:t>报价团成员等用户使用上交所配发的CA证书，通过互联网远程登录处置平台，不需另外部署专门设备和专门线路。</w:t>
      </w:r>
    </w:p>
    <w:p w14:paraId="3CEBB1E1">
      <w:pPr>
        <w:spacing w:line="360" w:lineRule="auto"/>
        <w:ind w:firstLine="602" w:firstLineChars="200"/>
        <w:rPr>
          <w:rFonts w:ascii="仿宋_GB2312" w:hAnsi="宋体" w:eastAsia="仿宋_GB2312"/>
          <w:sz w:val="30"/>
          <w:szCs w:val="30"/>
        </w:rPr>
      </w:pPr>
      <w:r>
        <w:rPr>
          <w:rFonts w:hint="eastAsia" w:ascii="仿宋_GB2312" w:hAnsi="仿宋" w:eastAsia="仿宋_GB2312"/>
          <w:b/>
          <w:sz w:val="30"/>
          <w:szCs w:val="30"/>
        </w:rPr>
        <w:t>（二）用户使用。</w:t>
      </w:r>
      <w:r>
        <w:rPr>
          <w:rFonts w:hint="eastAsia" w:ascii="仿宋_GB2312" w:hAnsi="仿宋" w:eastAsia="仿宋_GB2312"/>
          <w:sz w:val="30"/>
          <w:szCs w:val="30"/>
        </w:rPr>
        <w:t>使用</w:t>
      </w:r>
      <w:r>
        <w:rPr>
          <w:rFonts w:hint="eastAsia" w:ascii="仿宋_GB2312" w:eastAsia="仿宋_GB2312"/>
          <w:sz w:val="30"/>
          <w:szCs w:val="28"/>
        </w:rPr>
        <w:t>处置平台</w:t>
      </w:r>
      <w:r>
        <w:rPr>
          <w:rFonts w:hint="eastAsia" w:ascii="仿宋_GB2312" w:hAnsi="宋体" w:eastAsia="仿宋_GB2312"/>
          <w:sz w:val="30"/>
          <w:szCs w:val="30"/>
        </w:rPr>
        <w:t>的用户包括处置方用户、报价团成员用户和交易所用户。</w:t>
      </w:r>
    </w:p>
    <w:p w14:paraId="62715DE7">
      <w:pPr>
        <w:spacing w:line="360" w:lineRule="auto"/>
        <w:ind w:firstLine="600" w:firstLineChars="200"/>
        <w:rPr>
          <w:rFonts w:ascii="仿宋_GB2312" w:hAnsi="宋体" w:eastAsia="仿宋_GB2312"/>
          <w:sz w:val="30"/>
          <w:szCs w:val="30"/>
        </w:rPr>
      </w:pPr>
      <w:r>
        <w:rPr>
          <w:rFonts w:ascii="仿宋_GB2312" w:hAnsi="宋体" w:eastAsia="仿宋_GB2312"/>
          <w:sz w:val="30"/>
          <w:szCs w:val="30"/>
        </w:rPr>
        <w:t>1、</w:t>
      </w:r>
      <w:r>
        <w:rPr>
          <w:rFonts w:hint="eastAsia" w:ascii="仿宋_GB2312" w:hAnsi="宋体" w:eastAsia="仿宋_GB2312"/>
          <w:sz w:val="30"/>
          <w:szCs w:val="30"/>
        </w:rPr>
        <w:t>处置方用户。处置方在进行担保品处置前，在</w:t>
      </w:r>
      <w:r>
        <w:rPr>
          <w:rFonts w:hint="eastAsia" w:ascii="仿宋_GB2312" w:eastAsia="仿宋_GB2312"/>
          <w:sz w:val="30"/>
          <w:szCs w:val="28"/>
        </w:rPr>
        <w:t>担保品处置平台</w:t>
      </w:r>
      <w:r>
        <w:rPr>
          <w:rFonts w:hint="eastAsia" w:ascii="仿宋_GB2312" w:hAnsi="宋体" w:eastAsia="仿宋_GB2312"/>
          <w:sz w:val="30"/>
          <w:szCs w:val="30"/>
        </w:rPr>
        <w:t>确认上交所技术支持人员事先录入的</w:t>
      </w:r>
      <w:r>
        <w:rPr>
          <w:rFonts w:hint="eastAsia" w:ascii="仿宋_GB2312" w:eastAsia="仿宋_GB2312"/>
          <w:sz w:val="30"/>
          <w:szCs w:val="28"/>
        </w:rPr>
        <w:t>担保品处置</w:t>
      </w:r>
      <w:r>
        <w:rPr>
          <w:rFonts w:hint="eastAsia" w:ascii="仿宋_GB2312" w:hAnsi="宋体" w:eastAsia="仿宋_GB2312"/>
          <w:sz w:val="30"/>
          <w:szCs w:val="30"/>
        </w:rPr>
        <w:t>要素并通过系统发布；处置中通过上交所设立的处置场所，实时监测、掌握报价进程；处置后向中标报价团成员发布中标结果，查询投标和中标情况。</w:t>
      </w:r>
    </w:p>
    <w:p w14:paraId="474DE4EC">
      <w:pPr>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2、报价团成员用户。报价团成员在处置中，使用</w:t>
      </w:r>
      <w:r>
        <w:rPr>
          <w:rFonts w:hint="eastAsia" w:ascii="仿宋_GB2312" w:eastAsia="仿宋_GB2312"/>
          <w:sz w:val="30"/>
          <w:szCs w:val="28"/>
        </w:rPr>
        <w:t>处置平台</w:t>
      </w:r>
      <w:r>
        <w:rPr>
          <w:rFonts w:hint="eastAsia" w:ascii="仿宋_GB2312" w:hAnsi="宋体" w:eastAsia="仿宋_GB2312"/>
          <w:sz w:val="30"/>
          <w:szCs w:val="30"/>
        </w:rPr>
        <w:t>报价；处置后通过</w:t>
      </w:r>
      <w:r>
        <w:rPr>
          <w:rFonts w:hint="eastAsia" w:ascii="仿宋_GB2312" w:eastAsia="仿宋_GB2312"/>
          <w:sz w:val="30"/>
          <w:szCs w:val="28"/>
        </w:rPr>
        <w:t>处置平台</w:t>
      </w:r>
      <w:r>
        <w:rPr>
          <w:rFonts w:hint="eastAsia" w:ascii="仿宋_GB2312" w:hAnsi="宋体" w:eastAsia="仿宋_GB2312"/>
          <w:sz w:val="30"/>
          <w:szCs w:val="30"/>
        </w:rPr>
        <w:t>查看中标结果，录入债券托管数据。报价团成员需具有中国证券登记结算有限责任公司或其他债券登记结算机构开立的债券账户。</w:t>
      </w:r>
    </w:p>
    <w:p w14:paraId="3FCB2A47">
      <w:pPr>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3、交易所用户。上交所技术支持人员处置前在</w:t>
      </w:r>
      <w:r>
        <w:rPr>
          <w:rFonts w:hint="eastAsia" w:ascii="仿宋_GB2312" w:eastAsia="仿宋_GB2312"/>
          <w:sz w:val="30"/>
          <w:szCs w:val="28"/>
        </w:rPr>
        <w:t>处置平台</w:t>
      </w:r>
      <w:r>
        <w:rPr>
          <w:rFonts w:hint="eastAsia" w:ascii="仿宋_GB2312" w:hAnsi="宋体" w:eastAsia="仿宋_GB2312"/>
          <w:sz w:val="30"/>
          <w:szCs w:val="30"/>
        </w:rPr>
        <w:t>场务端录入处置要素；处置中和处置后根据应急报价的情况，录入相应数据等。缴款完成收到处置方的资金到账确认书后，将资金到账情况录入</w:t>
      </w:r>
      <w:r>
        <w:rPr>
          <w:rFonts w:hint="eastAsia" w:ascii="仿宋_GB2312" w:eastAsia="仿宋_GB2312"/>
          <w:sz w:val="30"/>
          <w:szCs w:val="28"/>
        </w:rPr>
        <w:t>处置平台。</w:t>
      </w:r>
    </w:p>
    <w:p w14:paraId="4297E3D4">
      <w:pPr>
        <w:spacing w:line="360" w:lineRule="auto"/>
        <w:ind w:firstLine="602" w:firstLineChars="200"/>
        <w:rPr>
          <w:rFonts w:ascii="仿宋_GB2312" w:hAnsi="宋体" w:eastAsia="仿宋_GB2312"/>
          <w:sz w:val="30"/>
          <w:szCs w:val="30"/>
        </w:rPr>
      </w:pPr>
      <w:r>
        <w:rPr>
          <w:rFonts w:hint="eastAsia" w:ascii="仿宋_GB2312" w:hAnsi="仿宋" w:eastAsia="仿宋_GB2312"/>
          <w:b/>
          <w:sz w:val="30"/>
          <w:szCs w:val="30"/>
        </w:rPr>
        <w:t>（三）主要操作流程。</w:t>
      </w:r>
      <w:r>
        <w:rPr>
          <w:rFonts w:hint="eastAsia" w:ascii="仿宋_GB2312" w:hAnsi="宋体" w:eastAsia="仿宋_GB2312"/>
          <w:sz w:val="30"/>
          <w:szCs w:val="30"/>
        </w:rPr>
        <w:t>在</w:t>
      </w:r>
      <w:r>
        <w:rPr>
          <w:rFonts w:hint="eastAsia" w:ascii="仿宋_GB2312" w:eastAsia="仿宋_GB2312"/>
          <w:sz w:val="30"/>
          <w:szCs w:val="28"/>
        </w:rPr>
        <w:t>处置平台</w:t>
      </w:r>
      <w:r>
        <w:rPr>
          <w:rFonts w:hint="eastAsia" w:ascii="仿宋_GB2312" w:hAnsi="宋体" w:eastAsia="仿宋_GB2312"/>
          <w:sz w:val="30"/>
          <w:szCs w:val="30"/>
        </w:rPr>
        <w:t>进行担保品处置的主要操作流程，包括处置准备、处置报价、处置结果产生及确认、资金到账确认等几个环节。</w:t>
      </w:r>
    </w:p>
    <w:p w14:paraId="1D835306">
      <w:pPr>
        <w:spacing w:line="360" w:lineRule="auto"/>
        <w:ind w:firstLine="567"/>
        <w:rPr>
          <w:rFonts w:ascii="仿宋_GB2312" w:hAnsi="宋体" w:eastAsia="仿宋_GB2312"/>
          <w:sz w:val="30"/>
          <w:szCs w:val="30"/>
        </w:rPr>
      </w:pPr>
      <w:r>
        <w:rPr>
          <w:rFonts w:ascii="仿宋_GB2312" w:hAnsi="宋体" w:eastAsia="仿宋_GB2312"/>
          <w:sz w:val="30"/>
          <w:szCs w:val="30"/>
        </w:rPr>
        <w:t>1</w:t>
      </w:r>
      <w:r>
        <w:rPr>
          <w:rFonts w:hint="eastAsia" w:ascii="仿宋_GB2312" w:hAnsi="宋体" w:eastAsia="仿宋_GB2312"/>
          <w:sz w:val="30"/>
          <w:szCs w:val="30"/>
        </w:rPr>
        <w:t>、担保品处置准备。担保品处置的报价团成员登录就绪，上交所技术支持人员在处置平台完成处置标书设定。处置标书要素录入后，处置方登录系统，通过“处置书发布”</w:t>
      </w:r>
      <w:r>
        <w:rPr>
          <w:rFonts w:ascii="仿宋_GB2312" w:hAnsi="宋体" w:eastAsia="仿宋_GB2312"/>
          <w:sz w:val="30"/>
          <w:szCs w:val="30"/>
        </w:rPr>
        <w:t>—</w:t>
      </w:r>
      <w:r>
        <w:rPr>
          <w:rFonts w:hint="eastAsia" w:ascii="仿宋_GB2312" w:hAnsi="宋体" w:eastAsia="仿宋_GB2312"/>
          <w:sz w:val="30"/>
          <w:szCs w:val="30"/>
        </w:rPr>
        <w:t>点击“发布”确认并发布处置标书（图1）。</w:t>
      </w:r>
    </w:p>
    <w:p w14:paraId="4DF0A1D9">
      <w:pPr>
        <w:spacing w:line="360" w:lineRule="auto"/>
        <w:ind w:firstLine="567"/>
        <w:jc w:val="center"/>
        <w:rPr>
          <w:rFonts w:ascii="仿宋_GB2312" w:hAnsi="宋体" w:eastAsia="仿宋_GB2312"/>
          <w:sz w:val="24"/>
          <w:szCs w:val="24"/>
        </w:rPr>
      </w:pPr>
      <w:r>
        <w:rPr>
          <w:rFonts w:ascii="仿宋_GB2312" w:hAnsi="宋体" w:eastAsia="仿宋_GB2312"/>
          <w:sz w:val="24"/>
          <w:szCs w:val="24"/>
        </w:rPr>
        <w:drawing>
          <wp:anchor distT="0" distB="0" distL="114300" distR="114300" simplePos="0" relativeHeight="251660288" behindDoc="0" locked="0" layoutInCell="1" allowOverlap="1">
            <wp:simplePos x="0" y="0"/>
            <wp:positionH relativeFrom="column">
              <wp:posOffset>247650</wp:posOffset>
            </wp:positionH>
            <wp:positionV relativeFrom="paragraph">
              <wp:posOffset>25400</wp:posOffset>
            </wp:positionV>
            <wp:extent cx="5277485" cy="3510915"/>
            <wp:effectExtent l="19050" t="0" r="0" b="0"/>
            <wp:wrapTopAndBottom/>
            <wp:docPr id="7" name="图片 5" descr="E:\A. 研究创新\2. 担保品处置平台\操作指南\处置方-发布处置书.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descr="E:\A. 研究创新\2. 担保品处置平台\操作指南\处置方-发布处置书.png"/>
                    <pic:cNvPicPr>
                      <a:picLocks noChangeAspect="1" noChangeArrowheads="1"/>
                    </pic:cNvPicPr>
                  </pic:nvPicPr>
                  <pic:blipFill>
                    <a:blip r:embed="rId13" cstate="print"/>
                    <a:srcRect/>
                    <a:stretch>
                      <a:fillRect/>
                    </a:stretch>
                  </pic:blipFill>
                  <pic:spPr>
                    <a:xfrm>
                      <a:off x="0" y="0"/>
                      <a:ext cx="5277485" cy="3510915"/>
                    </a:xfrm>
                    <a:prstGeom prst="rect">
                      <a:avLst/>
                    </a:prstGeom>
                    <a:noFill/>
                    <a:ln w="9525">
                      <a:noFill/>
                      <a:miter lim="800000"/>
                      <a:headEnd/>
                      <a:tailEnd/>
                    </a:ln>
                  </pic:spPr>
                </pic:pic>
              </a:graphicData>
            </a:graphic>
          </wp:anchor>
        </w:drawing>
      </w:r>
      <w:r>
        <w:rPr>
          <w:rFonts w:hint="eastAsia" w:ascii="仿宋_GB2312" w:hAnsi="宋体" w:eastAsia="仿宋_GB2312"/>
          <w:sz w:val="24"/>
          <w:szCs w:val="24"/>
        </w:rPr>
        <w:t>（图</w:t>
      </w:r>
      <w:r>
        <w:rPr>
          <w:rFonts w:ascii="仿宋_GB2312" w:hAnsi="宋体" w:eastAsia="仿宋_GB2312"/>
          <w:sz w:val="24"/>
          <w:szCs w:val="24"/>
        </w:rPr>
        <w:t>1）</w:t>
      </w:r>
    </w:p>
    <w:p w14:paraId="42471C8E">
      <w:pPr>
        <w:spacing w:line="360" w:lineRule="auto"/>
        <w:ind w:firstLine="600" w:firstLineChars="200"/>
        <w:rPr>
          <w:rFonts w:ascii="仿宋_GB2312" w:hAnsi="宋体" w:eastAsia="仿宋_GB2312"/>
          <w:sz w:val="30"/>
          <w:szCs w:val="30"/>
        </w:rPr>
      </w:pPr>
      <w:r>
        <w:rPr>
          <w:rFonts w:ascii="仿宋_GB2312" w:hAnsi="宋体" w:eastAsia="仿宋_GB2312"/>
          <w:sz w:val="30"/>
          <w:szCs w:val="30"/>
        </w:rPr>
        <w:drawing>
          <wp:anchor distT="0" distB="0" distL="114300" distR="114300" simplePos="0" relativeHeight="251659264" behindDoc="0" locked="0" layoutInCell="1" allowOverlap="1">
            <wp:simplePos x="0" y="0"/>
            <wp:positionH relativeFrom="column">
              <wp:posOffset>273050</wp:posOffset>
            </wp:positionH>
            <wp:positionV relativeFrom="paragraph">
              <wp:posOffset>1212850</wp:posOffset>
            </wp:positionV>
            <wp:extent cx="5277485" cy="3510915"/>
            <wp:effectExtent l="19050" t="0" r="0" b="0"/>
            <wp:wrapTopAndBottom/>
            <wp:docPr id="8" name="图片 6" descr="E:\A. 研究创新\2. 担保品处置平台\操作指南\报价方-查看报价书.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descr="E:\A. 研究创新\2. 担保品处置平台\操作指南\报价方-查看报价书.png"/>
                    <pic:cNvPicPr>
                      <a:picLocks noChangeAspect="1" noChangeArrowheads="1"/>
                    </pic:cNvPicPr>
                  </pic:nvPicPr>
                  <pic:blipFill>
                    <a:blip r:embed="rId14" cstate="print"/>
                    <a:srcRect/>
                    <a:stretch>
                      <a:fillRect/>
                    </a:stretch>
                  </pic:blipFill>
                  <pic:spPr>
                    <a:xfrm>
                      <a:off x="0" y="0"/>
                      <a:ext cx="5277485" cy="3510915"/>
                    </a:xfrm>
                    <a:prstGeom prst="rect">
                      <a:avLst/>
                    </a:prstGeom>
                    <a:noFill/>
                    <a:ln w="9525">
                      <a:noFill/>
                      <a:miter lim="800000"/>
                      <a:headEnd/>
                      <a:tailEnd/>
                    </a:ln>
                  </pic:spPr>
                </pic:pic>
              </a:graphicData>
            </a:graphic>
          </wp:anchor>
        </w:drawing>
      </w:r>
      <w:r>
        <w:rPr>
          <w:rFonts w:hint="eastAsia" w:ascii="仿宋_GB2312" w:hAnsi="宋体" w:eastAsia="仿宋_GB2312"/>
          <w:sz w:val="30"/>
          <w:szCs w:val="30"/>
        </w:rPr>
        <w:t>处置标书要素发布后将自动展示在报价团成员用户端的页面，报价团成员登录后可看到处置标书要素相关信息。状态为“处置中”的处置书可以进行查看或报价（图2）。</w:t>
      </w:r>
    </w:p>
    <w:p w14:paraId="141422B1">
      <w:pPr>
        <w:spacing w:line="360" w:lineRule="auto"/>
        <w:ind w:firstLine="567"/>
        <w:jc w:val="center"/>
        <w:rPr>
          <w:rFonts w:ascii="仿宋_GB2312" w:hAnsi="宋体" w:eastAsia="仿宋_GB2312"/>
          <w:sz w:val="24"/>
          <w:szCs w:val="24"/>
        </w:rPr>
      </w:pPr>
      <w:r>
        <w:rPr>
          <w:rFonts w:hint="eastAsia" w:ascii="仿宋_GB2312" w:hAnsi="宋体" w:eastAsia="仿宋_GB2312"/>
          <w:sz w:val="24"/>
          <w:szCs w:val="24"/>
        </w:rPr>
        <w:t>（图</w:t>
      </w:r>
      <w:r>
        <w:rPr>
          <w:rFonts w:ascii="仿宋_GB2312" w:hAnsi="宋体" w:eastAsia="仿宋_GB2312"/>
          <w:sz w:val="24"/>
          <w:szCs w:val="24"/>
        </w:rPr>
        <w:t>2）</w:t>
      </w:r>
    </w:p>
    <w:p w14:paraId="4F867609">
      <w:pPr>
        <w:spacing w:line="360" w:lineRule="auto"/>
        <w:ind w:firstLine="567"/>
        <w:rPr>
          <w:rFonts w:ascii="仿宋_GB2312" w:hAnsi="宋体" w:eastAsia="仿宋_GB2312"/>
          <w:sz w:val="30"/>
          <w:szCs w:val="30"/>
        </w:rPr>
      </w:pPr>
      <w:r>
        <w:rPr>
          <w:rFonts w:ascii="仿宋_GB2312" w:hAnsi="宋体" w:eastAsia="仿宋_GB2312"/>
          <w:sz w:val="30"/>
          <w:szCs w:val="30"/>
        </w:rPr>
        <w:t>2、</w:t>
      </w:r>
      <w:r>
        <w:rPr>
          <w:rFonts w:hint="eastAsia" w:ascii="仿宋_GB2312" w:hAnsi="宋体" w:eastAsia="仿宋_GB2312"/>
          <w:sz w:val="30"/>
          <w:szCs w:val="30"/>
        </w:rPr>
        <w:t>处置报价</w:t>
      </w:r>
      <w:r>
        <w:rPr>
          <w:rFonts w:ascii="仿宋_GB2312" w:hAnsi="宋体" w:eastAsia="仿宋_GB2312"/>
          <w:sz w:val="30"/>
          <w:szCs w:val="30"/>
        </w:rPr>
        <w:t>。</w:t>
      </w:r>
      <w:r>
        <w:rPr>
          <w:rFonts w:hint="eastAsia" w:ascii="仿宋_GB2312" w:hAnsi="宋体" w:eastAsia="仿宋_GB2312"/>
          <w:sz w:val="30"/>
          <w:szCs w:val="30"/>
        </w:rPr>
        <w:t>报价团成员远程登录处置平台后，在报价团成员用户端录入报价信息，并可对录入的报价信息进行修改、删除、发送和查询，平台对报价信息进行有效性检查。</w:t>
      </w:r>
    </w:p>
    <w:p w14:paraId="7776EDA9">
      <w:pPr>
        <w:spacing w:line="360" w:lineRule="auto"/>
        <w:ind w:firstLine="567"/>
        <w:jc w:val="left"/>
        <w:rPr>
          <w:rFonts w:ascii="仿宋_GB2312" w:hAnsi="宋体" w:eastAsia="仿宋_GB2312"/>
          <w:sz w:val="30"/>
          <w:szCs w:val="30"/>
        </w:rPr>
      </w:pPr>
      <w:r>
        <w:rPr>
          <w:rFonts w:hint="eastAsia" w:ascii="仿宋_GB2312" w:hAnsi="宋体" w:eastAsia="仿宋_GB2312"/>
          <w:sz w:val="30"/>
          <w:szCs w:val="30"/>
        </w:rPr>
        <w:t>报价价位应输入报价面值，且应在报价下限及报价上限范围内报价；报价数量应以“手”为单位输入；报价金额不需要手动输入，为系统自动计算所得，但报价金额应不低于单笔最低报价量。（图3）</w:t>
      </w:r>
      <w:r>
        <w:rPr>
          <w:rFonts w:ascii="仿宋_GB2312" w:hAnsi="宋体" w:eastAsia="仿宋_GB2312"/>
          <w:sz w:val="30"/>
          <w:szCs w:val="30"/>
        </w:rPr>
        <w:drawing>
          <wp:inline distT="0" distB="0" distL="0" distR="0">
            <wp:extent cx="5274310" cy="3512185"/>
            <wp:effectExtent l="19050" t="0" r="2540" b="0"/>
            <wp:docPr id="30" name="图片 2" descr="E:\A. 研究创新\2. 担保品处置平台\操作指南\报价方-输入报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 descr="E:\A. 研究创新\2. 担保品处置平台\操作指南\报价方-输入报价.png"/>
                    <pic:cNvPicPr>
                      <a:picLocks noChangeAspect="1" noChangeArrowheads="1"/>
                    </pic:cNvPicPr>
                  </pic:nvPicPr>
                  <pic:blipFill>
                    <a:blip r:embed="rId15" cstate="print"/>
                    <a:srcRect/>
                    <a:stretch>
                      <a:fillRect/>
                    </a:stretch>
                  </pic:blipFill>
                  <pic:spPr>
                    <a:xfrm>
                      <a:off x="0" y="0"/>
                      <a:ext cx="5274310" cy="3512451"/>
                    </a:xfrm>
                    <a:prstGeom prst="rect">
                      <a:avLst/>
                    </a:prstGeom>
                    <a:noFill/>
                    <a:ln w="9525">
                      <a:noFill/>
                      <a:miter lim="800000"/>
                      <a:headEnd/>
                      <a:tailEnd/>
                    </a:ln>
                  </pic:spPr>
                </pic:pic>
              </a:graphicData>
            </a:graphic>
          </wp:inline>
        </w:drawing>
      </w:r>
    </w:p>
    <w:p w14:paraId="6D04B393">
      <w:pPr>
        <w:spacing w:line="360" w:lineRule="auto"/>
        <w:ind w:firstLine="567"/>
        <w:jc w:val="center"/>
        <w:rPr>
          <w:rFonts w:ascii="仿宋_GB2312" w:hAnsi="宋体" w:eastAsia="仿宋_GB2312"/>
          <w:sz w:val="24"/>
          <w:szCs w:val="24"/>
        </w:rPr>
      </w:pPr>
      <w:r>
        <w:rPr>
          <w:rFonts w:hint="eastAsia" w:ascii="仿宋_GB2312" w:hAnsi="宋体" w:eastAsia="仿宋_GB2312"/>
          <w:sz w:val="24"/>
          <w:szCs w:val="24"/>
        </w:rPr>
        <w:t>（图</w:t>
      </w:r>
      <w:r>
        <w:rPr>
          <w:rFonts w:ascii="仿宋_GB2312" w:hAnsi="宋体" w:eastAsia="仿宋_GB2312"/>
          <w:sz w:val="24"/>
          <w:szCs w:val="24"/>
        </w:rPr>
        <w:t>3）</w:t>
      </w:r>
    </w:p>
    <w:p w14:paraId="790DBD2A">
      <w:pPr>
        <w:spacing w:line="360" w:lineRule="auto"/>
        <w:ind w:firstLine="567"/>
        <w:rPr>
          <w:rFonts w:ascii="仿宋_GB2312" w:hAnsi="宋体" w:eastAsia="仿宋_GB2312"/>
          <w:sz w:val="30"/>
          <w:szCs w:val="30"/>
        </w:rPr>
      </w:pPr>
      <w:r>
        <w:rPr>
          <w:rFonts w:hint="eastAsia" w:ascii="仿宋_GB2312" w:hAnsi="宋体" w:eastAsia="仿宋_GB2312"/>
          <w:sz w:val="30"/>
          <w:szCs w:val="30"/>
        </w:rPr>
        <w:t>报价成功后，返回主页面，可以在处置截止时间之前修改或撤销报价。点击“修改报价”，将返回输入报价页面进行修改确认。点击“撤销报价”，将会弹出确认框，点击“确认”即可撤销报价。</w:t>
      </w:r>
    </w:p>
    <w:p w14:paraId="388EF884">
      <w:pPr>
        <w:spacing w:line="360" w:lineRule="auto"/>
        <w:ind w:firstLine="567"/>
        <w:jc w:val="center"/>
        <w:rPr>
          <w:rFonts w:ascii="仿宋_GB2312" w:hAnsi="宋体" w:eastAsia="仿宋_GB2312"/>
          <w:sz w:val="24"/>
          <w:szCs w:val="24"/>
        </w:rPr>
      </w:pPr>
      <w:r>
        <w:rPr>
          <w:rFonts w:ascii="仿宋_GB2312" w:hAnsi="宋体" w:eastAsia="仿宋_GB2312"/>
          <w:sz w:val="24"/>
          <w:szCs w:val="24"/>
        </w:rPr>
        <w:drawing>
          <wp:anchor distT="0" distB="0" distL="114300" distR="114300" simplePos="0" relativeHeight="251661312" behindDoc="0" locked="0" layoutInCell="1" allowOverlap="1">
            <wp:simplePos x="0" y="0"/>
            <wp:positionH relativeFrom="column">
              <wp:posOffset>247650</wp:posOffset>
            </wp:positionH>
            <wp:positionV relativeFrom="paragraph">
              <wp:posOffset>25400</wp:posOffset>
            </wp:positionV>
            <wp:extent cx="5277485" cy="3510915"/>
            <wp:effectExtent l="19050" t="0" r="0" b="0"/>
            <wp:wrapTopAndBottom/>
            <wp:docPr id="11" name="图片 9" descr="E:\A. 研究创新\2. 担保品处置平台\操作指南\报价方-撤销报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9" descr="E:\A. 研究创新\2. 担保品处置平台\操作指南\报价方-撤销报价.png"/>
                    <pic:cNvPicPr>
                      <a:picLocks noChangeAspect="1" noChangeArrowheads="1"/>
                    </pic:cNvPicPr>
                  </pic:nvPicPr>
                  <pic:blipFill>
                    <a:blip r:embed="rId16" cstate="print"/>
                    <a:srcRect/>
                    <a:stretch>
                      <a:fillRect/>
                    </a:stretch>
                  </pic:blipFill>
                  <pic:spPr>
                    <a:xfrm>
                      <a:off x="0" y="0"/>
                      <a:ext cx="5277485" cy="3510915"/>
                    </a:xfrm>
                    <a:prstGeom prst="rect">
                      <a:avLst/>
                    </a:prstGeom>
                    <a:noFill/>
                    <a:ln w="9525">
                      <a:noFill/>
                      <a:miter lim="800000"/>
                      <a:headEnd/>
                      <a:tailEnd/>
                    </a:ln>
                  </pic:spPr>
                </pic:pic>
              </a:graphicData>
            </a:graphic>
          </wp:anchor>
        </w:drawing>
      </w:r>
      <w:r>
        <w:rPr>
          <w:rFonts w:hint="eastAsia" w:ascii="仿宋_GB2312" w:hAnsi="宋体" w:eastAsia="仿宋_GB2312"/>
          <w:sz w:val="24"/>
          <w:szCs w:val="24"/>
        </w:rPr>
        <w:t>（图</w:t>
      </w:r>
      <w:r>
        <w:rPr>
          <w:rFonts w:ascii="仿宋_GB2312" w:hAnsi="宋体" w:eastAsia="仿宋_GB2312"/>
          <w:sz w:val="24"/>
          <w:szCs w:val="24"/>
        </w:rPr>
        <w:t>4）</w:t>
      </w:r>
    </w:p>
    <w:p w14:paraId="3444DBE9">
      <w:pPr>
        <w:spacing w:line="360" w:lineRule="auto"/>
        <w:ind w:firstLine="567"/>
        <w:rPr>
          <w:rFonts w:ascii="仿宋_GB2312" w:hAnsi="宋体" w:eastAsia="仿宋_GB2312"/>
          <w:sz w:val="30"/>
          <w:szCs w:val="30"/>
        </w:rPr>
      </w:pPr>
      <w:r>
        <w:rPr>
          <w:rFonts w:hint="eastAsia" w:ascii="仿宋_GB2312" w:hAnsi="宋体" w:eastAsia="仿宋_GB2312"/>
          <w:sz w:val="30"/>
          <w:szCs w:val="30"/>
        </w:rPr>
        <w:t>应急报价的，报价方</w:t>
      </w:r>
      <w:r>
        <w:rPr>
          <w:rFonts w:hint="eastAsia" w:ascii="仿宋_GB2312" w:eastAsia="仿宋_GB2312"/>
          <w:sz w:val="30"/>
          <w:szCs w:val="30"/>
        </w:rPr>
        <w:t>应当在处置公告确定的报价截止时间前，完整、准确填写《债券担保品处置应急报价书》（格式见服务指引的附件6），并传真到处置场所进行应急报价并电话联系</w:t>
      </w:r>
      <w:r>
        <w:rPr>
          <w:rFonts w:hint="eastAsia" w:ascii="仿宋_GB2312" w:hAnsi="宋体" w:eastAsia="仿宋_GB2312"/>
          <w:sz w:val="30"/>
          <w:szCs w:val="30"/>
        </w:rPr>
        <w:t>上交所技术支持工作人员</w:t>
      </w:r>
      <w:r>
        <w:rPr>
          <w:rFonts w:hint="eastAsia" w:ascii="仿宋_GB2312" w:eastAsia="仿宋_GB2312"/>
          <w:sz w:val="30"/>
          <w:szCs w:val="30"/>
        </w:rPr>
        <w:t>。</w:t>
      </w:r>
      <w:r>
        <w:rPr>
          <w:rFonts w:hint="eastAsia" w:ascii="仿宋_GB2312" w:hAnsi="宋体" w:eastAsia="仿宋_GB2312"/>
          <w:sz w:val="30"/>
          <w:szCs w:val="30"/>
        </w:rPr>
        <w:t>由上交所技术支持工作人员将应急报价信息录入处置平台。</w:t>
      </w:r>
    </w:p>
    <w:p w14:paraId="7811BC91">
      <w:pPr>
        <w:spacing w:line="360" w:lineRule="auto"/>
        <w:ind w:firstLine="567"/>
        <w:rPr>
          <w:rFonts w:ascii="仿宋_GB2312" w:hAnsi="宋体" w:eastAsia="仿宋_GB2312"/>
          <w:b/>
          <w:sz w:val="30"/>
          <w:szCs w:val="30"/>
        </w:rPr>
      </w:pPr>
      <w:r>
        <w:rPr>
          <w:rFonts w:hint="eastAsia" w:ascii="仿宋_GB2312" w:hAnsi="宋体" w:eastAsia="仿宋_GB2312"/>
          <w:sz w:val="30"/>
          <w:szCs w:val="30"/>
        </w:rPr>
        <w:t>3、处置结果产生及确认。处置平台按事先确定的处置模式、中标原则，对有效报价进行汇总、排序和计算，产生处置结果。处置结果经确认后，通过处置平台向各报价团成员发送各自的中标结果。处置方和报价团成员可通过处置平台查询、打印或导出处置相关情况和结果数据。</w:t>
      </w:r>
    </w:p>
    <w:p w14:paraId="2C82D144">
      <w:pPr>
        <w:spacing w:line="360" w:lineRule="auto"/>
        <w:ind w:firstLine="567"/>
        <w:rPr>
          <w:rFonts w:ascii="仿宋_GB2312" w:hAnsi="宋体" w:eastAsia="仿宋_GB2312"/>
          <w:sz w:val="30"/>
          <w:szCs w:val="30"/>
        </w:rPr>
      </w:pPr>
      <w:r>
        <w:rPr>
          <w:rFonts w:hint="eastAsia" w:ascii="仿宋_GB2312" w:hAnsi="宋体" w:eastAsia="仿宋_GB2312"/>
          <w:sz w:val="30"/>
          <w:szCs w:val="30"/>
        </w:rPr>
        <w:t>在处置尚未截止之前，处置方可登陆系统，选择相应的处置书，实时查看报价情况、报价明细并进行中标试算（图5）。</w:t>
      </w:r>
      <w:r>
        <w:rPr>
          <w:rFonts w:ascii="仿宋_GB2312" w:hAnsi="宋体" w:eastAsia="仿宋_GB2312"/>
          <w:sz w:val="30"/>
          <w:szCs w:val="30"/>
        </w:rPr>
        <w:drawing>
          <wp:inline distT="0" distB="0" distL="0" distR="0">
            <wp:extent cx="5274310" cy="3508375"/>
            <wp:effectExtent l="19050" t="0" r="2540" b="0"/>
            <wp:docPr id="9" name="图片 10" descr="E:\A. 研究创新\2. 担保品处置平台\操作指南\处置方-实时查看报价情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0" descr="E:\A. 研究创新\2. 担保品处置平台\操作指南\处置方-实时查看报价情况.png"/>
                    <pic:cNvPicPr>
                      <a:picLocks noChangeAspect="1" noChangeArrowheads="1"/>
                    </pic:cNvPicPr>
                  </pic:nvPicPr>
                  <pic:blipFill>
                    <a:blip r:embed="rId17" cstate="print"/>
                    <a:srcRect/>
                    <a:stretch>
                      <a:fillRect/>
                    </a:stretch>
                  </pic:blipFill>
                  <pic:spPr>
                    <a:xfrm>
                      <a:off x="0" y="0"/>
                      <a:ext cx="5274310" cy="3508783"/>
                    </a:xfrm>
                    <a:prstGeom prst="rect">
                      <a:avLst/>
                    </a:prstGeom>
                    <a:noFill/>
                    <a:ln w="9525">
                      <a:noFill/>
                      <a:miter lim="800000"/>
                      <a:headEnd/>
                      <a:tailEnd/>
                    </a:ln>
                  </pic:spPr>
                </pic:pic>
              </a:graphicData>
            </a:graphic>
          </wp:inline>
        </w:drawing>
      </w:r>
    </w:p>
    <w:p w14:paraId="0FAC9A1F">
      <w:pPr>
        <w:spacing w:line="360" w:lineRule="auto"/>
        <w:ind w:firstLine="567"/>
        <w:jc w:val="center"/>
        <w:rPr>
          <w:rFonts w:ascii="仿宋_GB2312" w:hAnsi="宋体" w:eastAsia="仿宋_GB2312"/>
          <w:sz w:val="24"/>
          <w:szCs w:val="24"/>
        </w:rPr>
      </w:pPr>
      <w:r>
        <w:rPr>
          <w:rFonts w:hint="eastAsia" w:ascii="仿宋_GB2312" w:hAnsi="宋体" w:eastAsia="仿宋_GB2312"/>
          <w:sz w:val="24"/>
          <w:szCs w:val="24"/>
        </w:rPr>
        <w:t>（图</w:t>
      </w:r>
      <w:r>
        <w:rPr>
          <w:rFonts w:ascii="仿宋_GB2312" w:hAnsi="宋体" w:eastAsia="仿宋_GB2312"/>
          <w:sz w:val="24"/>
          <w:szCs w:val="24"/>
        </w:rPr>
        <w:t>5）</w:t>
      </w:r>
    </w:p>
    <w:p w14:paraId="4FFDF79D">
      <w:pPr>
        <w:spacing w:line="360" w:lineRule="auto"/>
        <w:ind w:firstLine="567"/>
        <w:rPr>
          <w:rFonts w:ascii="仿宋_GB2312" w:hAnsi="宋体" w:eastAsia="仿宋_GB2312"/>
          <w:sz w:val="30"/>
          <w:szCs w:val="30"/>
        </w:rPr>
      </w:pPr>
    </w:p>
    <w:p w14:paraId="13E1FA35">
      <w:pPr>
        <w:spacing w:line="360" w:lineRule="auto"/>
        <w:ind w:firstLine="567"/>
        <w:rPr>
          <w:rFonts w:ascii="仿宋_GB2312" w:hAnsi="宋体" w:eastAsia="仿宋_GB2312"/>
          <w:sz w:val="30"/>
          <w:szCs w:val="30"/>
        </w:rPr>
      </w:pPr>
      <w:r>
        <w:rPr>
          <w:rFonts w:ascii="仿宋_GB2312" w:hAnsi="宋体" w:eastAsia="仿宋_GB2312"/>
          <w:sz w:val="30"/>
          <w:szCs w:val="30"/>
        </w:rPr>
        <w:drawing>
          <wp:anchor distT="0" distB="0" distL="114300" distR="114300" simplePos="0" relativeHeight="251662336" behindDoc="0" locked="0" layoutInCell="1" allowOverlap="1">
            <wp:simplePos x="0" y="0"/>
            <wp:positionH relativeFrom="column">
              <wp:posOffset>247650</wp:posOffset>
            </wp:positionH>
            <wp:positionV relativeFrom="paragraph">
              <wp:posOffset>420370</wp:posOffset>
            </wp:positionV>
            <wp:extent cx="5277485" cy="3510915"/>
            <wp:effectExtent l="19050" t="0" r="0" b="0"/>
            <wp:wrapTopAndBottom/>
            <wp:docPr id="13" name="图片 11" descr="E:\A. 研究创新\2. 担保品处置平台\操作指南\处置方-中标试算.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1" descr="E:\A. 研究创新\2. 担保品处置平台\操作指南\处置方-中标试算.png"/>
                    <pic:cNvPicPr>
                      <a:picLocks noChangeAspect="1" noChangeArrowheads="1"/>
                    </pic:cNvPicPr>
                  </pic:nvPicPr>
                  <pic:blipFill>
                    <a:blip r:embed="rId18" cstate="print"/>
                    <a:srcRect/>
                    <a:stretch>
                      <a:fillRect/>
                    </a:stretch>
                  </pic:blipFill>
                  <pic:spPr>
                    <a:xfrm>
                      <a:off x="0" y="0"/>
                      <a:ext cx="5277485" cy="3510915"/>
                    </a:xfrm>
                    <a:prstGeom prst="rect">
                      <a:avLst/>
                    </a:prstGeom>
                    <a:noFill/>
                    <a:ln w="9525">
                      <a:noFill/>
                      <a:miter lim="800000"/>
                      <a:headEnd/>
                      <a:tailEnd/>
                    </a:ln>
                  </pic:spPr>
                </pic:pic>
              </a:graphicData>
            </a:graphic>
          </wp:anchor>
        </w:drawing>
      </w:r>
      <w:r>
        <w:rPr>
          <w:rFonts w:hint="eastAsia" w:ascii="仿宋_GB2312" w:hAnsi="宋体" w:eastAsia="仿宋_GB2312"/>
          <w:sz w:val="30"/>
          <w:szCs w:val="30"/>
        </w:rPr>
        <w:t>查看当前报价的中标试算结果（图6）：</w:t>
      </w:r>
    </w:p>
    <w:p w14:paraId="71F086F8">
      <w:pPr>
        <w:spacing w:line="360" w:lineRule="auto"/>
        <w:ind w:firstLine="567"/>
        <w:jc w:val="center"/>
        <w:rPr>
          <w:rFonts w:ascii="仿宋_GB2312" w:hAnsi="宋体" w:eastAsia="仿宋_GB2312"/>
          <w:sz w:val="24"/>
          <w:szCs w:val="24"/>
        </w:rPr>
      </w:pPr>
      <w:r>
        <w:rPr>
          <w:rFonts w:hint="eastAsia" w:ascii="仿宋_GB2312" w:hAnsi="宋体" w:eastAsia="仿宋_GB2312"/>
          <w:sz w:val="24"/>
          <w:szCs w:val="24"/>
        </w:rPr>
        <w:t>（图</w:t>
      </w:r>
      <w:r>
        <w:rPr>
          <w:rFonts w:ascii="仿宋_GB2312" w:hAnsi="宋体" w:eastAsia="仿宋_GB2312"/>
          <w:sz w:val="24"/>
          <w:szCs w:val="24"/>
        </w:rPr>
        <w:t>6）</w:t>
      </w:r>
    </w:p>
    <w:p w14:paraId="4E78B074">
      <w:pPr>
        <w:spacing w:line="360" w:lineRule="auto"/>
        <w:ind w:firstLine="567"/>
        <w:rPr>
          <w:rFonts w:ascii="仿宋_GB2312" w:hAnsi="宋体" w:eastAsia="仿宋_GB2312"/>
          <w:sz w:val="30"/>
          <w:szCs w:val="30"/>
        </w:rPr>
      </w:pPr>
      <w:r>
        <w:rPr>
          <w:rFonts w:ascii="仿宋_GB2312" w:hAnsi="宋体" w:eastAsia="仿宋_GB2312"/>
          <w:sz w:val="30"/>
          <w:szCs w:val="30"/>
        </w:rPr>
        <w:drawing>
          <wp:anchor distT="0" distB="0" distL="114300" distR="114300" simplePos="0" relativeHeight="251663360" behindDoc="0" locked="0" layoutInCell="1" allowOverlap="1">
            <wp:simplePos x="0" y="0"/>
            <wp:positionH relativeFrom="column">
              <wp:posOffset>247650</wp:posOffset>
            </wp:positionH>
            <wp:positionV relativeFrom="paragraph">
              <wp:posOffset>819150</wp:posOffset>
            </wp:positionV>
            <wp:extent cx="5277485" cy="3510915"/>
            <wp:effectExtent l="19050" t="0" r="0" b="0"/>
            <wp:wrapTopAndBottom/>
            <wp:docPr id="15" name="图片 13" descr="E:\A. 研究创新\2. 担保品处置平台\操作指南\处置方-处置完成.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3" descr="E:\A. 研究创新\2. 担保品处置平台\操作指南\处置方-处置完成.png"/>
                    <pic:cNvPicPr>
                      <a:picLocks noChangeAspect="1" noChangeArrowheads="1"/>
                    </pic:cNvPicPr>
                  </pic:nvPicPr>
                  <pic:blipFill>
                    <a:blip r:embed="rId19" cstate="print"/>
                    <a:srcRect/>
                    <a:stretch>
                      <a:fillRect/>
                    </a:stretch>
                  </pic:blipFill>
                  <pic:spPr>
                    <a:xfrm>
                      <a:off x="0" y="0"/>
                      <a:ext cx="5277485" cy="3510915"/>
                    </a:xfrm>
                    <a:prstGeom prst="rect">
                      <a:avLst/>
                    </a:prstGeom>
                    <a:noFill/>
                    <a:ln w="9525">
                      <a:noFill/>
                      <a:miter lim="800000"/>
                      <a:headEnd/>
                      <a:tailEnd/>
                    </a:ln>
                  </pic:spPr>
                </pic:pic>
              </a:graphicData>
            </a:graphic>
          </wp:anchor>
        </w:drawing>
      </w:r>
      <w:r>
        <w:rPr>
          <w:rFonts w:hint="eastAsia" w:ascii="仿宋_GB2312" w:hAnsi="宋体" w:eastAsia="仿宋_GB2312"/>
          <w:sz w:val="30"/>
          <w:szCs w:val="30"/>
        </w:rPr>
        <w:t>处置截止时间到，处置方可登陆系统，选择相应的处置书，进行中标计算（图7）。</w:t>
      </w:r>
    </w:p>
    <w:p w14:paraId="706E7DE3">
      <w:pPr>
        <w:spacing w:line="360" w:lineRule="auto"/>
        <w:ind w:firstLine="567"/>
        <w:jc w:val="center"/>
        <w:rPr>
          <w:rFonts w:ascii="仿宋_GB2312" w:hAnsi="宋体" w:eastAsia="仿宋_GB2312"/>
          <w:sz w:val="24"/>
          <w:szCs w:val="24"/>
        </w:rPr>
      </w:pPr>
      <w:r>
        <w:rPr>
          <w:rFonts w:hint="eastAsia" w:ascii="仿宋_GB2312" w:hAnsi="宋体" w:eastAsia="仿宋_GB2312"/>
          <w:sz w:val="24"/>
          <w:szCs w:val="24"/>
        </w:rPr>
        <w:t>（图</w:t>
      </w:r>
      <w:r>
        <w:rPr>
          <w:rFonts w:ascii="仿宋_GB2312" w:hAnsi="宋体" w:eastAsia="仿宋_GB2312"/>
          <w:sz w:val="24"/>
          <w:szCs w:val="24"/>
        </w:rPr>
        <w:t>7）</w:t>
      </w:r>
    </w:p>
    <w:p w14:paraId="4EE075DF">
      <w:pPr>
        <w:spacing w:line="360" w:lineRule="auto"/>
        <w:ind w:firstLine="567"/>
        <w:jc w:val="left"/>
        <w:rPr>
          <w:rFonts w:ascii="仿宋_GB2312" w:hAnsi="宋体" w:eastAsia="仿宋_GB2312"/>
          <w:sz w:val="30"/>
          <w:szCs w:val="30"/>
        </w:rPr>
      </w:pPr>
      <w:r>
        <w:rPr>
          <w:rFonts w:hint="eastAsia" w:ascii="仿宋_GB2312" w:hAnsi="宋体" w:eastAsia="仿宋_GB2312"/>
          <w:sz w:val="30"/>
          <w:szCs w:val="30"/>
        </w:rPr>
        <w:t>中标计算结果显示如下，处置方可查看“报价明细”、“处置基本情况”、“中标明细”进行复核确认。（图8）</w:t>
      </w:r>
      <w:r>
        <w:rPr>
          <w:rFonts w:ascii="仿宋_GB2312" w:hAnsi="宋体" w:eastAsia="仿宋_GB2312"/>
          <w:sz w:val="30"/>
          <w:szCs w:val="30"/>
        </w:rPr>
        <w:drawing>
          <wp:inline distT="0" distB="0" distL="0" distR="0">
            <wp:extent cx="5274310" cy="3509645"/>
            <wp:effectExtent l="19050" t="0" r="2540" b="0"/>
            <wp:docPr id="14" name="图片 14" descr="C:\Users\sse\AppData\Local\Temp\153933215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C:\Users\sse\AppData\Local\Temp\1539332151(1).png"/>
                    <pic:cNvPicPr>
                      <a:picLocks noChangeAspect="1" noChangeArrowheads="1"/>
                    </pic:cNvPicPr>
                  </pic:nvPicPr>
                  <pic:blipFill>
                    <a:blip r:embed="rId20" cstate="print"/>
                    <a:srcRect/>
                    <a:stretch>
                      <a:fillRect/>
                    </a:stretch>
                  </pic:blipFill>
                  <pic:spPr>
                    <a:xfrm>
                      <a:off x="0" y="0"/>
                      <a:ext cx="5274310" cy="3509891"/>
                    </a:xfrm>
                    <a:prstGeom prst="rect">
                      <a:avLst/>
                    </a:prstGeom>
                    <a:noFill/>
                    <a:ln w="9525">
                      <a:noFill/>
                      <a:miter lim="800000"/>
                      <a:headEnd/>
                      <a:tailEnd/>
                    </a:ln>
                  </pic:spPr>
                </pic:pic>
              </a:graphicData>
            </a:graphic>
          </wp:inline>
        </w:drawing>
      </w:r>
    </w:p>
    <w:p w14:paraId="0B820866">
      <w:pPr>
        <w:spacing w:line="360" w:lineRule="auto"/>
        <w:ind w:firstLine="567"/>
        <w:jc w:val="center"/>
        <w:rPr>
          <w:rFonts w:ascii="仿宋_GB2312" w:hAnsi="宋体" w:eastAsia="仿宋_GB2312"/>
          <w:sz w:val="24"/>
          <w:szCs w:val="24"/>
        </w:rPr>
      </w:pPr>
      <w:r>
        <w:rPr>
          <w:rFonts w:hint="eastAsia" w:ascii="仿宋_GB2312" w:hAnsi="宋体" w:eastAsia="仿宋_GB2312"/>
          <w:sz w:val="24"/>
          <w:szCs w:val="24"/>
        </w:rPr>
        <w:t>（图</w:t>
      </w:r>
      <w:r>
        <w:rPr>
          <w:rFonts w:ascii="仿宋_GB2312" w:hAnsi="宋体" w:eastAsia="仿宋_GB2312"/>
          <w:sz w:val="24"/>
          <w:szCs w:val="24"/>
        </w:rPr>
        <w:t>8）</w:t>
      </w:r>
    </w:p>
    <w:p w14:paraId="552C74AA">
      <w:pPr>
        <w:spacing w:line="360" w:lineRule="auto"/>
        <w:ind w:firstLine="567"/>
        <w:jc w:val="left"/>
        <w:rPr>
          <w:rFonts w:ascii="仿宋_GB2312" w:hAnsi="宋体" w:eastAsia="仿宋_GB2312"/>
          <w:sz w:val="30"/>
          <w:szCs w:val="30"/>
        </w:rPr>
      </w:pPr>
      <w:r>
        <w:rPr>
          <w:rFonts w:hint="eastAsia" w:ascii="仿宋_GB2312" w:hAnsi="宋体" w:eastAsia="仿宋_GB2312"/>
          <w:sz w:val="30"/>
          <w:szCs w:val="30"/>
        </w:rPr>
        <w:t>处置方确认无误后点击“中标复核确认”即可向报价团发布处置结果。（图9）</w:t>
      </w:r>
      <w:r>
        <w:rPr>
          <w:rFonts w:ascii="仿宋_GB2312" w:hAnsi="宋体" w:eastAsia="仿宋_GB2312"/>
          <w:sz w:val="30"/>
          <w:szCs w:val="30"/>
        </w:rPr>
        <w:drawing>
          <wp:inline distT="0" distB="0" distL="0" distR="0">
            <wp:extent cx="5274310" cy="3509645"/>
            <wp:effectExtent l="19050" t="0" r="2540" b="0"/>
            <wp:docPr id="22" name="图片 15" descr="C:\Users\sse\AppData\Local\Temp\153933257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5" descr="C:\Users\sse\AppData\Local\Temp\1539332575(1).png"/>
                    <pic:cNvPicPr>
                      <a:picLocks noChangeAspect="1" noChangeArrowheads="1"/>
                    </pic:cNvPicPr>
                  </pic:nvPicPr>
                  <pic:blipFill>
                    <a:blip r:embed="rId21" cstate="print"/>
                    <a:srcRect/>
                    <a:stretch>
                      <a:fillRect/>
                    </a:stretch>
                  </pic:blipFill>
                  <pic:spPr>
                    <a:xfrm>
                      <a:off x="0" y="0"/>
                      <a:ext cx="5274310" cy="3509891"/>
                    </a:xfrm>
                    <a:prstGeom prst="rect">
                      <a:avLst/>
                    </a:prstGeom>
                    <a:noFill/>
                    <a:ln w="9525">
                      <a:noFill/>
                      <a:miter lim="800000"/>
                      <a:headEnd/>
                      <a:tailEnd/>
                    </a:ln>
                  </pic:spPr>
                </pic:pic>
              </a:graphicData>
            </a:graphic>
          </wp:inline>
        </w:drawing>
      </w:r>
    </w:p>
    <w:p w14:paraId="425C29C6">
      <w:pPr>
        <w:spacing w:line="360" w:lineRule="auto"/>
        <w:ind w:firstLine="567"/>
        <w:jc w:val="center"/>
        <w:rPr>
          <w:rFonts w:ascii="仿宋_GB2312" w:hAnsi="宋体" w:eastAsia="仿宋_GB2312"/>
          <w:sz w:val="24"/>
          <w:szCs w:val="24"/>
        </w:rPr>
      </w:pPr>
      <w:r>
        <w:rPr>
          <w:rFonts w:hint="eastAsia" w:ascii="仿宋_GB2312" w:hAnsi="宋体" w:eastAsia="仿宋_GB2312"/>
          <w:sz w:val="24"/>
          <w:szCs w:val="24"/>
        </w:rPr>
        <w:t>（图</w:t>
      </w:r>
      <w:r>
        <w:rPr>
          <w:rFonts w:ascii="仿宋_GB2312" w:hAnsi="宋体" w:eastAsia="仿宋_GB2312"/>
          <w:sz w:val="24"/>
          <w:szCs w:val="24"/>
        </w:rPr>
        <w:t>9）</w:t>
      </w:r>
    </w:p>
    <w:p w14:paraId="7712B96D">
      <w:pPr>
        <w:spacing w:line="360" w:lineRule="auto"/>
        <w:ind w:firstLine="567"/>
        <w:jc w:val="left"/>
        <w:rPr>
          <w:rFonts w:ascii="仿宋_GB2312" w:hAnsi="宋体" w:eastAsia="仿宋_GB2312"/>
          <w:sz w:val="30"/>
          <w:szCs w:val="30"/>
        </w:rPr>
      </w:pPr>
      <w:r>
        <w:rPr>
          <w:rFonts w:hint="eastAsia" w:ascii="仿宋_GB2312" w:hAnsi="宋体" w:eastAsia="仿宋_GB2312"/>
          <w:sz w:val="30"/>
          <w:szCs w:val="30"/>
        </w:rPr>
        <w:t>发布中标结果后，点击“生成处置结果公告文件”或“生成处置报表文件”可自动生成公告文件。（图10）</w:t>
      </w:r>
      <w:r>
        <w:rPr>
          <w:rFonts w:ascii="仿宋_GB2312" w:hAnsi="宋体" w:eastAsia="仿宋_GB2312"/>
          <w:sz w:val="30"/>
          <w:szCs w:val="30"/>
        </w:rPr>
        <w:drawing>
          <wp:inline distT="0" distB="0" distL="0" distR="0">
            <wp:extent cx="5274310" cy="3509645"/>
            <wp:effectExtent l="19050" t="0" r="2540" b="0"/>
            <wp:docPr id="23" name="图片 16" descr="C:\Users\sse\AppData\Local\Temp\153933262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6" descr="C:\Users\sse\AppData\Local\Temp\1539332624(1).png"/>
                    <pic:cNvPicPr>
                      <a:picLocks noChangeAspect="1" noChangeArrowheads="1"/>
                    </pic:cNvPicPr>
                  </pic:nvPicPr>
                  <pic:blipFill>
                    <a:blip r:embed="rId22" cstate="print"/>
                    <a:srcRect/>
                    <a:stretch>
                      <a:fillRect/>
                    </a:stretch>
                  </pic:blipFill>
                  <pic:spPr>
                    <a:xfrm>
                      <a:off x="0" y="0"/>
                      <a:ext cx="5274310" cy="3509891"/>
                    </a:xfrm>
                    <a:prstGeom prst="rect">
                      <a:avLst/>
                    </a:prstGeom>
                    <a:noFill/>
                    <a:ln w="9525">
                      <a:noFill/>
                      <a:miter lim="800000"/>
                      <a:headEnd/>
                      <a:tailEnd/>
                    </a:ln>
                  </pic:spPr>
                </pic:pic>
              </a:graphicData>
            </a:graphic>
          </wp:inline>
        </w:drawing>
      </w:r>
    </w:p>
    <w:p w14:paraId="62E10FFF">
      <w:pPr>
        <w:spacing w:line="360" w:lineRule="auto"/>
        <w:ind w:firstLine="567"/>
        <w:jc w:val="center"/>
        <w:rPr>
          <w:rFonts w:ascii="仿宋_GB2312" w:hAnsi="宋体" w:eastAsia="仿宋_GB2312"/>
          <w:sz w:val="24"/>
          <w:szCs w:val="24"/>
        </w:rPr>
      </w:pPr>
      <w:r>
        <w:rPr>
          <w:rFonts w:hint="eastAsia" w:ascii="仿宋_GB2312" w:hAnsi="宋体" w:eastAsia="仿宋_GB2312"/>
          <w:sz w:val="24"/>
          <w:szCs w:val="24"/>
        </w:rPr>
        <w:t>（图</w:t>
      </w:r>
      <w:r>
        <w:rPr>
          <w:rFonts w:ascii="仿宋_GB2312" w:hAnsi="宋体" w:eastAsia="仿宋_GB2312"/>
          <w:sz w:val="24"/>
          <w:szCs w:val="24"/>
        </w:rPr>
        <w:t>10）</w:t>
      </w:r>
    </w:p>
    <w:p w14:paraId="09DEF982">
      <w:pPr>
        <w:spacing w:line="360" w:lineRule="auto"/>
        <w:ind w:firstLine="567"/>
        <w:jc w:val="left"/>
        <w:rPr>
          <w:rFonts w:ascii="仿宋_GB2312" w:hAnsi="宋体" w:eastAsia="仿宋_GB2312"/>
          <w:sz w:val="30"/>
          <w:szCs w:val="30"/>
        </w:rPr>
      </w:pPr>
      <w:r>
        <w:rPr>
          <w:rFonts w:hint="eastAsia" w:ascii="仿宋_GB2312" w:hAnsi="宋体" w:eastAsia="仿宋_GB2312"/>
          <w:sz w:val="30"/>
          <w:szCs w:val="30"/>
        </w:rPr>
        <w:t>公告文件将由上交所上传。上传完成后，报价方即可在登录系统后的公告栏查看并下载公告。（图11）</w:t>
      </w:r>
      <w:r>
        <w:rPr>
          <w:rFonts w:ascii="仿宋_GB2312" w:hAnsi="宋体" w:eastAsia="仿宋_GB2312"/>
          <w:sz w:val="30"/>
          <w:szCs w:val="30"/>
        </w:rPr>
        <w:drawing>
          <wp:inline distT="0" distB="0" distL="0" distR="0">
            <wp:extent cx="5274310" cy="3509645"/>
            <wp:effectExtent l="19050" t="0" r="2540" b="0"/>
            <wp:docPr id="24" name="图片 17" descr="E:\A. 研究创新\2. 担保品处置平台\操作指南\报价方-查看公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7" descr="E:\A. 研究创新\2. 担保品处置平台\操作指南\报价方-查看公告.png"/>
                    <pic:cNvPicPr>
                      <a:picLocks noChangeAspect="1" noChangeArrowheads="1"/>
                    </pic:cNvPicPr>
                  </pic:nvPicPr>
                  <pic:blipFill>
                    <a:blip r:embed="rId23" cstate="print"/>
                    <a:srcRect/>
                    <a:stretch>
                      <a:fillRect/>
                    </a:stretch>
                  </pic:blipFill>
                  <pic:spPr>
                    <a:xfrm>
                      <a:off x="0" y="0"/>
                      <a:ext cx="5274310" cy="3509891"/>
                    </a:xfrm>
                    <a:prstGeom prst="rect">
                      <a:avLst/>
                    </a:prstGeom>
                    <a:noFill/>
                    <a:ln w="9525">
                      <a:noFill/>
                      <a:miter lim="800000"/>
                      <a:headEnd/>
                      <a:tailEnd/>
                    </a:ln>
                  </pic:spPr>
                </pic:pic>
              </a:graphicData>
            </a:graphic>
          </wp:inline>
        </w:drawing>
      </w:r>
    </w:p>
    <w:p w14:paraId="50CC6FAB">
      <w:pPr>
        <w:spacing w:line="360" w:lineRule="auto"/>
        <w:ind w:firstLine="567"/>
        <w:jc w:val="center"/>
        <w:rPr>
          <w:rFonts w:ascii="仿宋_GB2312" w:hAnsi="宋体" w:eastAsia="仿宋_GB2312"/>
          <w:sz w:val="24"/>
          <w:szCs w:val="24"/>
        </w:rPr>
      </w:pPr>
      <w:r>
        <w:rPr>
          <w:rFonts w:hint="eastAsia" w:ascii="仿宋_GB2312" w:hAnsi="宋体" w:eastAsia="仿宋_GB2312"/>
          <w:sz w:val="24"/>
          <w:szCs w:val="24"/>
        </w:rPr>
        <w:t>（图</w:t>
      </w:r>
      <w:r>
        <w:rPr>
          <w:rFonts w:ascii="仿宋_GB2312" w:hAnsi="宋体" w:eastAsia="仿宋_GB2312"/>
          <w:sz w:val="24"/>
          <w:szCs w:val="24"/>
        </w:rPr>
        <w:t>11）</w:t>
      </w:r>
    </w:p>
    <w:p w14:paraId="1DDB77AF">
      <w:pPr>
        <w:spacing w:line="360" w:lineRule="auto"/>
        <w:ind w:firstLine="567"/>
        <w:jc w:val="left"/>
        <w:rPr>
          <w:rFonts w:ascii="仿宋_GB2312" w:hAnsi="宋体" w:eastAsia="仿宋_GB2312"/>
          <w:sz w:val="30"/>
          <w:szCs w:val="30"/>
        </w:rPr>
      </w:pPr>
      <w:r>
        <w:rPr>
          <w:rFonts w:hint="eastAsia" w:ascii="仿宋_GB2312" w:hAnsi="宋体" w:eastAsia="仿宋_GB2312"/>
          <w:sz w:val="30"/>
          <w:szCs w:val="30"/>
        </w:rPr>
        <w:t>4、托管。报价方可以在处置完成当日17:00前对处置所得债券进行托管。（图12）</w:t>
      </w:r>
      <w:r>
        <w:rPr>
          <w:rFonts w:ascii="仿宋_GB2312" w:hAnsi="宋体" w:eastAsia="仿宋_GB2312"/>
          <w:sz w:val="30"/>
          <w:szCs w:val="30"/>
        </w:rPr>
        <w:drawing>
          <wp:inline distT="0" distB="0" distL="0" distR="0">
            <wp:extent cx="5274310" cy="3509645"/>
            <wp:effectExtent l="19050" t="0" r="2540" b="0"/>
            <wp:docPr id="25" name="图片 18" descr="C:\Users\sse\AppData\Local\Temp\153933376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8" descr="C:\Users\sse\AppData\Local\Temp\1539333767(1).png"/>
                    <pic:cNvPicPr>
                      <a:picLocks noChangeAspect="1" noChangeArrowheads="1"/>
                    </pic:cNvPicPr>
                  </pic:nvPicPr>
                  <pic:blipFill>
                    <a:blip r:embed="rId24" cstate="print"/>
                    <a:srcRect/>
                    <a:stretch>
                      <a:fillRect/>
                    </a:stretch>
                  </pic:blipFill>
                  <pic:spPr>
                    <a:xfrm>
                      <a:off x="0" y="0"/>
                      <a:ext cx="5274310" cy="3509891"/>
                    </a:xfrm>
                    <a:prstGeom prst="rect">
                      <a:avLst/>
                    </a:prstGeom>
                    <a:noFill/>
                    <a:ln w="9525">
                      <a:noFill/>
                      <a:miter lim="800000"/>
                      <a:headEnd/>
                      <a:tailEnd/>
                    </a:ln>
                  </pic:spPr>
                </pic:pic>
              </a:graphicData>
            </a:graphic>
          </wp:inline>
        </w:drawing>
      </w:r>
    </w:p>
    <w:p w14:paraId="334F5D4F">
      <w:pPr>
        <w:spacing w:line="360" w:lineRule="auto"/>
        <w:ind w:firstLine="567"/>
        <w:jc w:val="center"/>
        <w:rPr>
          <w:rFonts w:ascii="仿宋_GB2312" w:hAnsi="宋体" w:eastAsia="仿宋_GB2312"/>
          <w:sz w:val="24"/>
          <w:szCs w:val="24"/>
        </w:rPr>
      </w:pPr>
      <w:r>
        <w:rPr>
          <w:rFonts w:hint="eastAsia" w:ascii="仿宋_GB2312" w:hAnsi="宋体" w:eastAsia="仿宋_GB2312"/>
          <w:sz w:val="24"/>
          <w:szCs w:val="24"/>
        </w:rPr>
        <w:t>（图</w:t>
      </w:r>
      <w:r>
        <w:rPr>
          <w:rFonts w:ascii="仿宋_GB2312" w:hAnsi="宋体" w:eastAsia="仿宋_GB2312"/>
          <w:sz w:val="24"/>
          <w:szCs w:val="24"/>
        </w:rPr>
        <w:t>12）</w:t>
      </w:r>
    </w:p>
    <w:p w14:paraId="17DC7CB0">
      <w:pPr>
        <w:pStyle w:val="92"/>
        <w:spacing w:line="560" w:lineRule="exact"/>
        <w:ind w:left="0" w:firstLine="600" w:firstLineChars="200"/>
        <w:jc w:val="both"/>
        <w:rPr>
          <w:rFonts w:ascii="仿宋_GB2312" w:hAnsi="宋体" w:eastAsia="仿宋_GB2312"/>
          <w:kern w:val="2"/>
          <w:sz w:val="30"/>
          <w:szCs w:val="30"/>
          <w:lang w:eastAsia="zh-CN" w:bidi="ar-SA"/>
        </w:rPr>
      </w:pPr>
      <w:r>
        <w:rPr>
          <w:rFonts w:hint="eastAsia" w:ascii="仿宋_GB2312" w:hAnsi="宋体" w:eastAsia="仿宋_GB2312"/>
          <w:kern w:val="2"/>
          <w:sz w:val="30"/>
          <w:szCs w:val="30"/>
          <w:lang w:eastAsia="zh-CN" w:bidi="ar-SA"/>
        </w:rPr>
        <w:t>托管信息包括证券账户及每只债券的托管量。每个中标的报价团成员可将中标的债券分别托管指定多个证券账户下，但多个证券账户的债券托管量合计应等于本次中标量。指定的证券账户可以是自营账户、经纪客户的账户或者本公司作为管理人的资管产品账户。采取资产包模式的，可将资产包包含的债券拆开托管在不同账户下。</w:t>
      </w:r>
    </w:p>
    <w:p w14:paraId="0E586F8C">
      <w:pPr>
        <w:spacing w:line="360" w:lineRule="auto"/>
        <w:ind w:firstLine="567"/>
        <w:jc w:val="left"/>
        <w:rPr>
          <w:rFonts w:ascii="仿宋_GB2312" w:hAnsi="宋体" w:eastAsia="仿宋_GB2312"/>
          <w:sz w:val="30"/>
          <w:szCs w:val="30"/>
        </w:rPr>
      </w:pPr>
      <w:r>
        <w:rPr>
          <w:rFonts w:hint="eastAsia" w:ascii="仿宋_GB2312" w:hAnsi="宋体" w:eastAsia="仿宋_GB2312"/>
          <w:sz w:val="30"/>
          <w:szCs w:val="30"/>
        </w:rPr>
        <w:t>托管可以添加新证券账户，若主账户（即第一个证券账户）中不进行债券托管，托管数量可以填“0”。若在上述时间内未进行托管设置，则默认为将全部中标债券托管在主账户。（图13）</w:t>
      </w:r>
      <w:r>
        <w:rPr>
          <w:rFonts w:ascii="仿宋_GB2312" w:hAnsi="宋体" w:eastAsia="仿宋_GB2312"/>
          <w:sz w:val="30"/>
          <w:szCs w:val="30"/>
        </w:rPr>
        <w:drawing>
          <wp:inline distT="0" distB="0" distL="0" distR="0">
            <wp:extent cx="5274310" cy="3509645"/>
            <wp:effectExtent l="19050" t="0" r="2540" b="0"/>
            <wp:docPr id="26" name="图片 19" descr="E:\A. 研究创新\2. 担保品处置平台\操作指南\报价方-托管.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9" descr="E:\A. 研究创新\2. 担保品处置平台\操作指南\报价方-托管.png"/>
                    <pic:cNvPicPr>
                      <a:picLocks noChangeAspect="1" noChangeArrowheads="1"/>
                    </pic:cNvPicPr>
                  </pic:nvPicPr>
                  <pic:blipFill>
                    <a:blip r:embed="rId25" cstate="print"/>
                    <a:srcRect/>
                    <a:stretch>
                      <a:fillRect/>
                    </a:stretch>
                  </pic:blipFill>
                  <pic:spPr>
                    <a:xfrm>
                      <a:off x="0" y="0"/>
                      <a:ext cx="5274310" cy="3509891"/>
                    </a:xfrm>
                    <a:prstGeom prst="rect">
                      <a:avLst/>
                    </a:prstGeom>
                    <a:noFill/>
                    <a:ln w="9525">
                      <a:noFill/>
                      <a:miter lim="800000"/>
                      <a:headEnd/>
                      <a:tailEnd/>
                    </a:ln>
                  </pic:spPr>
                </pic:pic>
              </a:graphicData>
            </a:graphic>
          </wp:inline>
        </w:drawing>
      </w:r>
    </w:p>
    <w:p w14:paraId="12E1C057">
      <w:pPr>
        <w:spacing w:line="360" w:lineRule="auto"/>
        <w:ind w:firstLine="567"/>
        <w:jc w:val="center"/>
        <w:rPr>
          <w:rFonts w:ascii="仿宋_GB2312" w:hAnsi="宋体" w:eastAsia="仿宋_GB2312"/>
          <w:sz w:val="24"/>
          <w:szCs w:val="24"/>
        </w:rPr>
      </w:pPr>
      <w:r>
        <w:rPr>
          <w:rFonts w:hint="eastAsia" w:ascii="仿宋_GB2312" w:hAnsi="宋体" w:eastAsia="仿宋_GB2312"/>
          <w:sz w:val="24"/>
          <w:szCs w:val="24"/>
        </w:rPr>
        <w:t>（图</w:t>
      </w:r>
      <w:r>
        <w:rPr>
          <w:rFonts w:ascii="仿宋_GB2312" w:hAnsi="宋体" w:eastAsia="仿宋_GB2312"/>
          <w:sz w:val="24"/>
          <w:szCs w:val="24"/>
        </w:rPr>
        <w:t>13）</w:t>
      </w:r>
    </w:p>
    <w:p w14:paraId="69BD12C6">
      <w:pPr>
        <w:widowControl/>
        <w:ind w:firstLine="600" w:firstLineChars="200"/>
        <w:jc w:val="left"/>
        <w:rPr>
          <w:rFonts w:ascii="仿宋_GB2312" w:hAnsi="仿宋" w:eastAsia="仿宋_GB2312"/>
          <w:b/>
          <w:bCs/>
          <w:sz w:val="30"/>
          <w:szCs w:val="30"/>
        </w:rPr>
      </w:pPr>
      <w:r>
        <w:rPr>
          <w:rFonts w:hint="eastAsia" w:ascii="仿宋_GB2312" w:hAnsi="宋体" w:eastAsia="仿宋_GB2312"/>
          <w:sz w:val="30"/>
          <w:szCs w:val="30"/>
        </w:rPr>
        <w:t>5</w:t>
      </w:r>
      <w:r>
        <w:rPr>
          <w:rFonts w:ascii="仿宋_GB2312" w:hAnsi="宋体" w:eastAsia="仿宋_GB2312"/>
          <w:sz w:val="30"/>
          <w:szCs w:val="30"/>
        </w:rPr>
        <w:t>、</w:t>
      </w:r>
      <w:r>
        <w:rPr>
          <w:rFonts w:hint="eastAsia" w:ascii="仿宋_GB2312" w:hAnsi="宋体" w:eastAsia="仿宋_GB2312"/>
          <w:sz w:val="30"/>
          <w:szCs w:val="30"/>
        </w:rPr>
        <w:t>过户数据的发送。缴款完成，上交所技术支持人员在收到处置方的资金到账确认书后，将资金到账情况录入处置平台。处置平台当日向债券登记结算机构发送过户数据。</w:t>
      </w:r>
    </w:p>
    <w:p w14:paraId="58F15A96">
      <w:pPr>
        <w:widowControl/>
        <w:jc w:val="left"/>
        <w:rPr>
          <w:rFonts w:ascii="仿宋_GB2312" w:hAnsi="仿宋" w:eastAsia="仿宋_GB2312"/>
          <w:b/>
          <w:bCs/>
          <w:sz w:val="30"/>
          <w:szCs w:val="30"/>
        </w:rPr>
      </w:pPr>
      <w:r>
        <w:rPr>
          <w:rFonts w:ascii="仿宋_GB2312" w:hAnsi="仿宋" w:eastAsia="仿宋_GB2312"/>
          <w:b/>
          <w:bCs/>
          <w:sz w:val="30"/>
          <w:szCs w:val="30"/>
        </w:rPr>
        <w:br w:type="page"/>
      </w:r>
    </w:p>
    <w:p w14:paraId="3022F2FE">
      <w:pPr>
        <w:widowControl/>
        <w:jc w:val="left"/>
        <w:outlineLvl w:val="1"/>
        <w:rPr>
          <w:rFonts w:ascii="仿宋_GB2312" w:hAnsi="黑体" w:eastAsia="仿宋_GB2312"/>
          <w:b/>
          <w:sz w:val="30"/>
          <w:szCs w:val="30"/>
        </w:rPr>
      </w:pPr>
      <w:bookmarkStart w:id="3980" w:name="_Toc925509536"/>
      <w:bookmarkStart w:id="3981" w:name="_Toc375209365"/>
      <w:bookmarkStart w:id="3982" w:name="_Toc151137117"/>
      <w:bookmarkStart w:id="3983" w:name="_Toc1376534025"/>
      <w:bookmarkStart w:id="3984" w:name="_Toc699941275"/>
      <w:r>
        <w:rPr>
          <w:rFonts w:hint="eastAsia" w:ascii="仿宋_GB2312" w:hAnsi="黑体" w:eastAsia="仿宋_GB2312"/>
          <w:b/>
          <w:sz w:val="30"/>
          <w:szCs w:val="30"/>
        </w:rPr>
        <w:t>附件34 债券担保品处置平台用户数字证书办理流程</w:t>
      </w:r>
      <w:bookmarkEnd w:id="3980"/>
      <w:bookmarkEnd w:id="3981"/>
      <w:bookmarkEnd w:id="3982"/>
      <w:bookmarkEnd w:id="3983"/>
      <w:bookmarkEnd w:id="3984"/>
    </w:p>
    <w:p w14:paraId="72310EFB">
      <w:pPr>
        <w:widowControl/>
        <w:jc w:val="left"/>
        <w:rPr>
          <w:rFonts w:ascii="仿宋_GB2312" w:hAnsi="仿宋" w:eastAsia="仿宋_GB2312"/>
          <w:b/>
          <w:bCs/>
          <w:sz w:val="30"/>
          <w:szCs w:val="30"/>
        </w:rPr>
      </w:pPr>
    </w:p>
    <w:p w14:paraId="4CAF0FC5">
      <w:pPr>
        <w:spacing w:line="560" w:lineRule="exact"/>
        <w:jc w:val="center"/>
        <w:rPr>
          <w:rFonts w:ascii="黑体" w:hAnsi="黑体" w:eastAsia="黑体"/>
          <w:b/>
          <w:sz w:val="44"/>
          <w:szCs w:val="44"/>
        </w:rPr>
      </w:pPr>
      <w:r>
        <w:rPr>
          <w:rFonts w:hint="eastAsia" w:ascii="黑体" w:hAnsi="黑体" w:eastAsia="黑体"/>
          <w:b/>
          <w:sz w:val="44"/>
          <w:szCs w:val="44"/>
        </w:rPr>
        <w:t>上海证券交易所债券担保品处置平台</w:t>
      </w:r>
    </w:p>
    <w:p w14:paraId="6A7347D6">
      <w:pPr>
        <w:spacing w:line="560" w:lineRule="exact"/>
        <w:jc w:val="center"/>
        <w:rPr>
          <w:rFonts w:ascii="黑体" w:hAnsi="黑体" w:eastAsia="黑体"/>
          <w:b/>
          <w:sz w:val="44"/>
          <w:szCs w:val="44"/>
        </w:rPr>
      </w:pPr>
      <w:r>
        <w:rPr>
          <w:rFonts w:hint="eastAsia" w:ascii="黑体" w:hAnsi="黑体" w:eastAsia="黑体"/>
          <w:b/>
          <w:sz w:val="44"/>
          <w:szCs w:val="44"/>
        </w:rPr>
        <w:t>用户数字证书办理流程</w:t>
      </w:r>
    </w:p>
    <w:p w14:paraId="04D6BB3A">
      <w:pPr>
        <w:widowControl/>
        <w:spacing w:line="560" w:lineRule="exact"/>
        <w:ind w:firstLine="602" w:firstLineChars="200"/>
        <w:rPr>
          <w:rFonts w:ascii="仿宋_GB2312" w:eastAsia="仿宋_GB2312"/>
          <w:b/>
          <w:sz w:val="30"/>
          <w:szCs w:val="30"/>
        </w:rPr>
      </w:pPr>
    </w:p>
    <w:p w14:paraId="2C1ED8BB">
      <w:pPr>
        <w:widowControl/>
        <w:spacing w:line="560" w:lineRule="exact"/>
        <w:ind w:firstLine="602" w:firstLineChars="200"/>
        <w:rPr>
          <w:rFonts w:ascii="仿宋_GB2312" w:eastAsia="仿宋_GB2312"/>
          <w:b/>
          <w:sz w:val="30"/>
          <w:szCs w:val="30"/>
        </w:rPr>
      </w:pPr>
      <w:r>
        <w:rPr>
          <w:rFonts w:hint="eastAsia" w:ascii="仿宋_GB2312" w:eastAsia="仿宋_GB2312"/>
          <w:b/>
          <w:sz w:val="30"/>
          <w:szCs w:val="30"/>
        </w:rPr>
        <w:t>一、准备申请材料</w:t>
      </w:r>
    </w:p>
    <w:p w14:paraId="77166432">
      <w:pPr>
        <w:widowControl/>
        <w:spacing w:line="560" w:lineRule="exact"/>
        <w:ind w:firstLine="600" w:firstLineChars="200"/>
        <w:rPr>
          <w:rFonts w:ascii="仿宋_GB2312" w:eastAsia="仿宋_GB2312"/>
          <w:sz w:val="30"/>
          <w:szCs w:val="30"/>
        </w:rPr>
      </w:pPr>
      <w:r>
        <w:rPr>
          <w:rFonts w:ascii="仿宋_GB2312" w:eastAsia="仿宋_GB2312"/>
          <w:sz w:val="30"/>
          <w:szCs w:val="30"/>
        </w:rPr>
        <w:t>1</w:t>
      </w:r>
      <w:r>
        <w:rPr>
          <w:rFonts w:hint="eastAsia" w:ascii="仿宋_GB2312" w:eastAsia="仿宋_GB2312"/>
          <w:sz w:val="30"/>
          <w:szCs w:val="30"/>
        </w:rPr>
        <w:t>、报价团成员（以下简称“申请人”）打印填写《</w:t>
      </w:r>
      <w:r>
        <w:rPr>
          <w:rFonts w:ascii="仿宋_GB2312" w:eastAsia="仿宋_GB2312"/>
          <w:sz w:val="30"/>
          <w:szCs w:val="30"/>
        </w:rPr>
        <w:t>CnSCA</w:t>
      </w:r>
      <w:r>
        <w:rPr>
          <w:rFonts w:hint="eastAsia" w:ascii="仿宋_GB2312" w:eastAsia="仿宋_GB2312"/>
          <w:sz w:val="30"/>
          <w:szCs w:val="30"/>
        </w:rPr>
        <w:t>数字证书机构申请表》（附件）。各申请人须按要求填写，建议首次申请时申请</w:t>
      </w:r>
      <w:r>
        <w:rPr>
          <w:rFonts w:ascii="仿宋_GB2312" w:eastAsia="仿宋_GB2312"/>
          <w:sz w:val="30"/>
          <w:szCs w:val="30"/>
        </w:rPr>
        <w:t>2</w:t>
      </w:r>
      <w:r>
        <w:rPr>
          <w:rFonts w:hint="eastAsia" w:ascii="仿宋_GB2312" w:eastAsia="仿宋_GB2312"/>
          <w:sz w:val="30"/>
          <w:szCs w:val="30"/>
        </w:rPr>
        <w:t>个证书。</w:t>
      </w:r>
    </w:p>
    <w:p w14:paraId="56F46BD2">
      <w:pPr>
        <w:widowControl/>
        <w:spacing w:line="560" w:lineRule="exact"/>
        <w:ind w:firstLine="600" w:firstLineChars="200"/>
        <w:rPr>
          <w:rFonts w:ascii="仿宋_GB2312" w:eastAsia="仿宋_GB2312"/>
          <w:sz w:val="30"/>
          <w:szCs w:val="30"/>
        </w:rPr>
      </w:pPr>
      <w:r>
        <w:rPr>
          <w:rFonts w:ascii="仿宋_GB2312" w:eastAsia="仿宋_GB2312"/>
          <w:sz w:val="30"/>
          <w:szCs w:val="30"/>
        </w:rPr>
        <w:t>2</w:t>
      </w:r>
      <w:r>
        <w:rPr>
          <w:rFonts w:hint="eastAsia" w:ascii="仿宋_GB2312" w:eastAsia="仿宋_GB2312"/>
          <w:sz w:val="30"/>
          <w:szCs w:val="30"/>
        </w:rPr>
        <w:t>、申请人从上海证券交易所网站“</w:t>
      </w:r>
      <w:r>
        <w:rPr>
          <w:rFonts w:ascii="仿宋_GB2312" w:eastAsia="仿宋_GB2312"/>
          <w:sz w:val="30"/>
          <w:szCs w:val="30"/>
        </w:rPr>
        <w:t>CA</w:t>
      </w:r>
      <w:r>
        <w:rPr>
          <w:rFonts w:hint="eastAsia" w:ascii="仿宋_GB2312" w:eastAsia="仿宋_GB2312"/>
          <w:sz w:val="30"/>
          <w:szCs w:val="30"/>
        </w:rPr>
        <w:t>服务专区”（网址：</w:t>
      </w:r>
      <w:r>
        <w:rPr>
          <w:rFonts w:ascii="仿宋_GB2312" w:eastAsia="仿宋_GB2312"/>
          <w:sz w:val="30"/>
          <w:szCs w:val="30"/>
        </w:rPr>
        <w:t>http:</w:t>
      </w:r>
      <w:r>
        <w:rPr>
          <w:rFonts w:hint="eastAsia" w:ascii="仿宋_GB2312" w:eastAsia="仿宋_GB2312"/>
          <w:sz w:val="30"/>
          <w:szCs w:val="30"/>
        </w:rPr>
        <w:t>//www.sse.com.cn/home/biz/cnsca/）“数字证书申请责任书”栏下载打印《</w:t>
      </w:r>
      <w:r>
        <w:rPr>
          <w:rFonts w:ascii="仿宋_GB2312" w:eastAsia="仿宋_GB2312"/>
          <w:sz w:val="30"/>
          <w:szCs w:val="30"/>
        </w:rPr>
        <w:t>CnSCA</w:t>
      </w:r>
      <w:r>
        <w:rPr>
          <w:rFonts w:hint="eastAsia" w:ascii="仿宋_GB2312" w:eastAsia="仿宋_GB2312"/>
          <w:sz w:val="30"/>
          <w:szCs w:val="30"/>
        </w:rPr>
        <w:t>数字证书用户责任书》并盖公章。</w:t>
      </w:r>
    </w:p>
    <w:p w14:paraId="044CC224">
      <w:pPr>
        <w:widowControl/>
        <w:spacing w:line="560" w:lineRule="exact"/>
        <w:ind w:firstLine="600" w:firstLineChars="200"/>
        <w:rPr>
          <w:rFonts w:ascii="仿宋_GB2312" w:eastAsia="仿宋_GB2312"/>
          <w:sz w:val="30"/>
          <w:szCs w:val="30"/>
        </w:rPr>
      </w:pPr>
      <w:r>
        <w:rPr>
          <w:rFonts w:ascii="仿宋_GB2312" w:eastAsia="仿宋_GB2312"/>
          <w:sz w:val="30"/>
          <w:szCs w:val="30"/>
        </w:rPr>
        <w:t>3</w:t>
      </w:r>
      <w:r>
        <w:rPr>
          <w:rFonts w:hint="eastAsia" w:ascii="仿宋_GB2312" w:eastAsia="仿宋_GB2312"/>
          <w:sz w:val="30"/>
          <w:szCs w:val="30"/>
        </w:rPr>
        <w:t>、加盖公章的组织机构代码证或企业法人营业执照、经办人身份证件复印件各一份。（如曾提交过加盖公章的组织机构代码证或企业法人营业执照且证照信息无变更，则仅需要提供加盖公章的经办人身份证件复印件即可。）</w:t>
      </w:r>
    </w:p>
    <w:p w14:paraId="2DA87C63">
      <w:pPr>
        <w:widowControl/>
        <w:spacing w:line="560" w:lineRule="exact"/>
        <w:ind w:firstLine="602" w:firstLineChars="200"/>
        <w:rPr>
          <w:rFonts w:ascii="仿宋_GB2312" w:eastAsia="仿宋_GB2312"/>
          <w:b/>
          <w:sz w:val="30"/>
          <w:szCs w:val="30"/>
        </w:rPr>
      </w:pPr>
      <w:r>
        <w:rPr>
          <w:rFonts w:hint="eastAsia" w:ascii="仿宋_GB2312" w:eastAsia="仿宋_GB2312"/>
          <w:b/>
          <w:sz w:val="30"/>
          <w:szCs w:val="30"/>
        </w:rPr>
        <w:t>二、提交申请材料</w:t>
      </w:r>
    </w:p>
    <w:p w14:paraId="2DAA3C05">
      <w:pPr>
        <w:widowControl/>
        <w:spacing w:line="560" w:lineRule="exact"/>
        <w:ind w:firstLine="600" w:firstLineChars="200"/>
        <w:rPr>
          <w:rFonts w:ascii="仿宋_GB2312" w:eastAsia="仿宋_GB2312"/>
          <w:sz w:val="30"/>
          <w:szCs w:val="30"/>
        </w:rPr>
      </w:pPr>
      <w:r>
        <w:rPr>
          <w:rFonts w:hint="eastAsia" w:ascii="仿宋_GB2312" w:eastAsia="仿宋_GB2312"/>
          <w:sz w:val="30"/>
          <w:szCs w:val="30"/>
        </w:rPr>
        <w:t>申请人将上述申请材料送交上海证券交易所债券业务部，也可以特快专递的方式寄至债券业务部。</w:t>
      </w:r>
    </w:p>
    <w:p w14:paraId="2B13F9C2">
      <w:pPr>
        <w:widowControl/>
        <w:spacing w:line="560" w:lineRule="exact"/>
        <w:ind w:firstLine="600" w:firstLineChars="200"/>
        <w:rPr>
          <w:rFonts w:ascii="仿宋_GB2312" w:eastAsia="仿宋_GB2312"/>
          <w:sz w:val="30"/>
          <w:szCs w:val="30"/>
        </w:rPr>
      </w:pPr>
      <w:r>
        <w:rPr>
          <w:rFonts w:hint="eastAsia" w:ascii="仿宋_GB2312" w:eastAsia="仿宋_GB2312"/>
          <w:sz w:val="30"/>
          <w:szCs w:val="30"/>
        </w:rPr>
        <w:t>邮寄地址：上海市浦东新区杨高南路388号上海证券交易所债券业务部。</w:t>
      </w:r>
    </w:p>
    <w:p w14:paraId="7618AE36">
      <w:pPr>
        <w:widowControl/>
        <w:spacing w:line="560" w:lineRule="exact"/>
        <w:ind w:firstLine="600" w:firstLineChars="200"/>
        <w:rPr>
          <w:rFonts w:ascii="仿宋_GB2312" w:eastAsia="仿宋_GB2312"/>
          <w:sz w:val="30"/>
          <w:szCs w:val="30"/>
        </w:rPr>
      </w:pPr>
      <w:r>
        <w:rPr>
          <w:rFonts w:hint="eastAsia" w:ascii="仿宋_GB2312" w:eastAsia="仿宋_GB2312"/>
          <w:sz w:val="30"/>
          <w:szCs w:val="30"/>
        </w:rPr>
        <w:t>邮政编码：</w:t>
      </w:r>
      <w:r>
        <w:rPr>
          <w:rFonts w:ascii="仿宋_GB2312" w:eastAsia="仿宋_GB2312"/>
          <w:sz w:val="30"/>
          <w:szCs w:val="30"/>
        </w:rPr>
        <w:t>2001</w:t>
      </w:r>
      <w:r>
        <w:rPr>
          <w:rFonts w:hint="eastAsia" w:ascii="仿宋_GB2312" w:eastAsia="仿宋_GB2312"/>
          <w:sz w:val="30"/>
          <w:szCs w:val="30"/>
        </w:rPr>
        <w:t>35。</w:t>
      </w:r>
    </w:p>
    <w:p w14:paraId="1AD3FA56">
      <w:pPr>
        <w:widowControl/>
        <w:spacing w:line="560" w:lineRule="exact"/>
        <w:ind w:firstLine="600" w:firstLineChars="200"/>
        <w:rPr>
          <w:rFonts w:ascii="仿宋_GB2312" w:eastAsia="仿宋_GB2312"/>
          <w:sz w:val="30"/>
          <w:szCs w:val="30"/>
        </w:rPr>
      </w:pPr>
      <w:r>
        <w:rPr>
          <w:rFonts w:hint="eastAsia" w:ascii="仿宋_GB2312" w:eastAsia="仿宋_GB2312"/>
          <w:sz w:val="30"/>
          <w:szCs w:val="30"/>
        </w:rPr>
        <w:t>联系人：</w:t>
      </w:r>
      <w:r>
        <w:rPr>
          <w:rFonts w:hint="eastAsia" w:ascii="仿宋_GB2312" w:eastAsia="仿宋_GB2312"/>
          <w:sz w:val="28"/>
          <w:szCs w:val="28"/>
        </w:rPr>
        <w:t>邱兆东</w:t>
      </w:r>
      <w:r>
        <w:rPr>
          <w:rFonts w:ascii="仿宋_GB2312" w:eastAsia="仿宋_GB2312"/>
          <w:sz w:val="30"/>
          <w:szCs w:val="30"/>
        </w:rPr>
        <w:t xml:space="preserve">   </w:t>
      </w:r>
      <w:r>
        <w:rPr>
          <w:rFonts w:hint="eastAsia" w:ascii="仿宋_GB2312" w:eastAsia="仿宋_GB2312"/>
          <w:sz w:val="30"/>
          <w:szCs w:val="30"/>
        </w:rPr>
        <w:t xml:space="preserve">   联系电话：</w:t>
      </w:r>
      <w:r>
        <w:rPr>
          <w:rFonts w:ascii="仿宋_GB2312" w:eastAsia="仿宋_GB2312"/>
          <w:sz w:val="30"/>
          <w:szCs w:val="30"/>
        </w:rPr>
        <w:t>021-</w:t>
      </w:r>
      <w:r>
        <w:rPr>
          <w:rFonts w:hint="eastAsia" w:ascii="仿宋_GB2312" w:eastAsia="仿宋_GB2312"/>
          <w:sz w:val="30"/>
          <w:szCs w:val="30"/>
        </w:rPr>
        <w:t>68601985</w:t>
      </w:r>
    </w:p>
    <w:p w14:paraId="644A168B">
      <w:pPr>
        <w:widowControl/>
        <w:spacing w:line="560" w:lineRule="exact"/>
        <w:ind w:firstLine="602" w:firstLineChars="200"/>
        <w:rPr>
          <w:rFonts w:ascii="仿宋_GB2312" w:eastAsia="仿宋_GB2312"/>
          <w:b/>
          <w:sz w:val="30"/>
          <w:szCs w:val="30"/>
        </w:rPr>
      </w:pPr>
      <w:r>
        <w:rPr>
          <w:rFonts w:hint="eastAsia" w:ascii="仿宋_GB2312" w:eastAsia="仿宋_GB2312"/>
          <w:b/>
          <w:sz w:val="30"/>
          <w:szCs w:val="30"/>
        </w:rPr>
        <w:t>三、数字证书制作和配发</w:t>
      </w:r>
    </w:p>
    <w:p w14:paraId="410A2293">
      <w:pPr>
        <w:widowControl/>
        <w:spacing w:line="560" w:lineRule="exact"/>
        <w:ind w:firstLine="600" w:firstLineChars="200"/>
        <w:rPr>
          <w:rFonts w:ascii="仿宋_GB2312" w:eastAsia="仿宋_GB2312"/>
          <w:sz w:val="30"/>
          <w:szCs w:val="30"/>
        </w:rPr>
      </w:pPr>
      <w:r>
        <w:rPr>
          <w:rFonts w:hint="eastAsia" w:ascii="仿宋_GB2312" w:eastAsia="仿宋_GB2312"/>
          <w:sz w:val="30"/>
          <w:szCs w:val="30"/>
        </w:rPr>
        <w:t>上海证券交易所制作和开通数字证书后，将数字证书送交、邮寄给申请人。</w:t>
      </w:r>
    </w:p>
    <w:p w14:paraId="676B08C6">
      <w:pPr>
        <w:widowControl/>
        <w:spacing w:line="560" w:lineRule="exact"/>
        <w:ind w:firstLine="600" w:firstLineChars="200"/>
        <w:rPr>
          <w:rFonts w:ascii="仿宋_GB2312" w:eastAsia="仿宋_GB2312"/>
          <w:sz w:val="30"/>
          <w:szCs w:val="30"/>
        </w:rPr>
      </w:pPr>
      <w:r>
        <w:rPr>
          <w:rFonts w:hint="eastAsia" w:ascii="仿宋_GB2312" w:eastAsia="仿宋_GB2312"/>
          <w:sz w:val="30"/>
          <w:szCs w:val="30"/>
        </w:rPr>
        <w:t>申请人申请数字证书，2个以内免收费用，超过2个的由交易所依据相关规定进行收费。</w:t>
      </w:r>
    </w:p>
    <w:p w14:paraId="035BE26E">
      <w:pPr>
        <w:widowControl/>
        <w:spacing w:line="560" w:lineRule="exact"/>
        <w:ind w:firstLine="600" w:firstLineChars="200"/>
        <w:rPr>
          <w:rFonts w:ascii="仿宋_GB2312" w:eastAsia="仿宋_GB2312"/>
          <w:sz w:val="30"/>
          <w:szCs w:val="30"/>
        </w:rPr>
      </w:pPr>
    </w:p>
    <w:p w14:paraId="34C052AC">
      <w:pPr>
        <w:widowControl/>
        <w:spacing w:line="560" w:lineRule="exact"/>
        <w:ind w:firstLine="600" w:firstLineChars="200"/>
        <w:rPr>
          <w:rFonts w:ascii="仿宋_GB2312" w:eastAsia="仿宋_GB2312"/>
          <w:sz w:val="30"/>
          <w:szCs w:val="30"/>
        </w:rPr>
      </w:pPr>
    </w:p>
    <w:p w14:paraId="2548D341">
      <w:pPr>
        <w:widowControl/>
        <w:spacing w:line="560" w:lineRule="exact"/>
        <w:ind w:firstLine="600" w:firstLineChars="200"/>
        <w:rPr>
          <w:rFonts w:ascii="仿宋_GB2312" w:eastAsia="仿宋_GB2312"/>
          <w:sz w:val="30"/>
          <w:szCs w:val="30"/>
        </w:rPr>
      </w:pPr>
    </w:p>
    <w:p w14:paraId="658B5CDF">
      <w:pPr>
        <w:widowControl/>
        <w:spacing w:line="560" w:lineRule="exact"/>
        <w:ind w:firstLine="600" w:firstLineChars="200"/>
        <w:rPr>
          <w:rFonts w:ascii="仿宋_GB2312" w:eastAsia="仿宋_GB2312"/>
          <w:sz w:val="30"/>
          <w:szCs w:val="30"/>
        </w:rPr>
        <w:sectPr>
          <w:footerReference r:id="rId8" w:type="default"/>
          <w:footerReference r:id="rId9" w:type="even"/>
          <w:pgSz w:w="11906" w:h="16838"/>
          <w:pgMar w:top="1440" w:right="1800" w:bottom="1440" w:left="1800" w:header="851" w:footer="992" w:gutter="0"/>
          <w:cols w:space="425" w:num="1"/>
          <w:docGrid w:type="lines" w:linePitch="312" w:charSpace="0"/>
        </w:sectPr>
      </w:pPr>
      <w:r>
        <w:rPr>
          <w:rFonts w:hint="eastAsia" w:ascii="仿宋_GB2312" w:eastAsia="仿宋_GB2312"/>
          <w:sz w:val="30"/>
          <w:szCs w:val="30"/>
        </w:rPr>
        <w:t>附件：CnSCA数字证书机构申请表</w:t>
      </w:r>
    </w:p>
    <w:p w14:paraId="74FB81DF">
      <w:pPr>
        <w:jc w:val="center"/>
        <w:rPr>
          <w:rFonts w:ascii="华文楷体" w:hAnsi="华文楷体" w:eastAsia="华文楷体" w:cstheme="minorBidi"/>
          <w:b/>
          <w:sz w:val="36"/>
          <w:szCs w:val="36"/>
        </w:rPr>
      </w:pPr>
      <w:r>
        <w:rPr>
          <w:rFonts w:hint="eastAsia" w:ascii="华文楷体" w:hAnsi="华文楷体" w:eastAsia="华文楷体" w:cstheme="minorBidi"/>
          <w:b/>
          <w:sz w:val="36"/>
          <w:szCs w:val="36"/>
        </w:rPr>
        <w:t>CnSCA数字证书机构申请表</w:t>
      </w:r>
    </w:p>
    <w:p w14:paraId="39E9FB28">
      <w:pPr>
        <w:jc w:val="center"/>
        <w:rPr>
          <w:rFonts w:ascii="黑体" w:eastAsia="黑体"/>
          <w:color w:val="000000"/>
          <w:sz w:val="24"/>
        </w:rPr>
      </w:pPr>
      <w:r>
        <w:rPr>
          <w:rFonts w:hint="eastAsia" w:ascii="黑体" w:eastAsia="黑体"/>
          <w:color w:val="000000"/>
        </w:rPr>
        <w:t>（适用于机构, 请填写后打印，签名并加盖单位公章，</w:t>
      </w:r>
      <w:bookmarkStart w:id="3985" w:name="OLE_LINK6"/>
      <w:bookmarkStart w:id="3986" w:name="OLE_LINK9"/>
      <w:bookmarkStart w:id="3987" w:name="OLE_LINK5"/>
      <w:bookmarkStart w:id="3988" w:name="OLE_LINK7"/>
      <w:bookmarkStart w:id="3989" w:name="OLE_LINK4"/>
      <w:bookmarkStart w:id="3990" w:name="OLE_LINK3"/>
      <w:bookmarkStart w:id="3991" w:name="OLE_LINK8"/>
      <w:r>
        <w:rPr>
          <w:rFonts w:hint="eastAsia" w:ascii="黑体" w:eastAsia="黑体"/>
          <w:color w:val="000000"/>
        </w:rPr>
        <w:t>V1.</w:t>
      </w:r>
      <w:bookmarkEnd w:id="3985"/>
      <w:bookmarkEnd w:id="3986"/>
      <w:bookmarkEnd w:id="3987"/>
      <w:bookmarkEnd w:id="3988"/>
      <w:bookmarkEnd w:id="3989"/>
      <w:bookmarkEnd w:id="3990"/>
      <w:bookmarkEnd w:id="3991"/>
      <w:r>
        <w:rPr>
          <w:rFonts w:ascii="黑体" w:eastAsia="黑体"/>
          <w:color w:val="000000"/>
        </w:rPr>
        <w:t>5</w:t>
      </w:r>
      <w:r>
        <w:rPr>
          <w:rFonts w:hint="eastAsia" w:ascii="黑体" w:eastAsia="黑体"/>
          <w:color w:val="000000"/>
          <w:sz w:val="24"/>
        </w:rPr>
        <w:t>）</w:t>
      </w:r>
    </w:p>
    <w:tbl>
      <w:tblPr>
        <w:tblStyle w:val="43"/>
        <w:tblW w:w="92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3"/>
        <w:gridCol w:w="577"/>
        <w:gridCol w:w="989"/>
        <w:gridCol w:w="715"/>
        <w:gridCol w:w="280"/>
        <w:gridCol w:w="1700"/>
        <w:gridCol w:w="996"/>
        <w:gridCol w:w="1560"/>
        <w:gridCol w:w="141"/>
        <w:gridCol w:w="1060"/>
        <w:gridCol w:w="812"/>
      </w:tblGrid>
      <w:tr w14:paraId="265F7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6" w:hRule="atLeast"/>
        </w:trPr>
        <w:tc>
          <w:tcPr>
            <w:tcW w:w="413" w:type="dxa"/>
            <w:vMerge w:val="restart"/>
            <w:shd w:val="clear" w:color="auto" w:fill="auto"/>
            <w:vAlign w:val="center"/>
          </w:tcPr>
          <w:p w14:paraId="6290BDF5">
            <w:pPr>
              <w:jc w:val="center"/>
              <w:rPr>
                <w:rFonts w:ascii="宋体" w:hAnsi="宋体"/>
                <w:b/>
                <w:color w:val="000000"/>
              </w:rPr>
            </w:pPr>
            <w:r>
              <w:rPr>
                <w:rFonts w:hint="eastAsia" w:ascii="宋体" w:hAnsi="宋体"/>
                <w:b/>
                <w:color w:val="000000"/>
              </w:rPr>
              <w:t>申</w:t>
            </w:r>
          </w:p>
          <w:p w14:paraId="7EDCA974">
            <w:pPr>
              <w:jc w:val="center"/>
              <w:rPr>
                <w:rFonts w:ascii="宋体" w:hAnsi="宋体"/>
                <w:b/>
                <w:color w:val="000000"/>
              </w:rPr>
            </w:pPr>
          </w:p>
          <w:p w14:paraId="2F573AA8">
            <w:pPr>
              <w:jc w:val="center"/>
              <w:rPr>
                <w:rFonts w:ascii="宋体" w:hAnsi="宋体"/>
                <w:b/>
                <w:color w:val="000000"/>
              </w:rPr>
            </w:pPr>
            <w:r>
              <w:rPr>
                <w:rFonts w:hint="eastAsia" w:ascii="宋体" w:hAnsi="宋体"/>
                <w:b/>
                <w:color w:val="000000"/>
              </w:rPr>
              <w:t>请</w:t>
            </w:r>
          </w:p>
          <w:p w14:paraId="7170D0A5">
            <w:pPr>
              <w:jc w:val="center"/>
              <w:rPr>
                <w:rFonts w:ascii="宋体" w:hAnsi="宋体"/>
                <w:b/>
                <w:color w:val="000000"/>
              </w:rPr>
            </w:pPr>
          </w:p>
          <w:p w14:paraId="6EDCC9DB">
            <w:pPr>
              <w:jc w:val="center"/>
              <w:rPr>
                <w:rFonts w:ascii="宋体" w:hAnsi="宋体"/>
                <w:b/>
                <w:color w:val="000000"/>
              </w:rPr>
            </w:pPr>
            <w:r>
              <w:rPr>
                <w:rFonts w:hint="eastAsia" w:ascii="宋体" w:hAnsi="宋体"/>
                <w:b/>
                <w:color w:val="000000"/>
              </w:rPr>
              <w:t>单</w:t>
            </w:r>
          </w:p>
          <w:p w14:paraId="67D14FAF">
            <w:pPr>
              <w:jc w:val="center"/>
              <w:rPr>
                <w:rFonts w:ascii="宋体" w:hAnsi="宋体"/>
                <w:b/>
                <w:color w:val="000000"/>
              </w:rPr>
            </w:pPr>
          </w:p>
          <w:p w14:paraId="6370931C">
            <w:pPr>
              <w:jc w:val="center"/>
              <w:rPr>
                <w:rFonts w:ascii="宋体" w:hAnsi="宋体"/>
                <w:b/>
                <w:color w:val="000000"/>
              </w:rPr>
            </w:pPr>
            <w:r>
              <w:rPr>
                <w:rFonts w:hint="eastAsia" w:ascii="宋体" w:hAnsi="宋体"/>
                <w:b/>
                <w:color w:val="000000"/>
              </w:rPr>
              <w:t>位</w:t>
            </w:r>
          </w:p>
          <w:p w14:paraId="67590BF4">
            <w:pPr>
              <w:jc w:val="center"/>
              <w:rPr>
                <w:rFonts w:ascii="宋体" w:hAnsi="宋体"/>
                <w:b/>
                <w:color w:val="000000"/>
              </w:rPr>
            </w:pPr>
          </w:p>
          <w:p w14:paraId="7031FB12">
            <w:pPr>
              <w:jc w:val="center"/>
              <w:rPr>
                <w:rFonts w:ascii="宋体" w:hAnsi="宋体"/>
                <w:b/>
                <w:color w:val="000000"/>
              </w:rPr>
            </w:pPr>
            <w:r>
              <w:rPr>
                <w:rFonts w:hint="eastAsia" w:ascii="宋体" w:hAnsi="宋体"/>
                <w:b/>
                <w:color w:val="000000"/>
              </w:rPr>
              <w:t>填</w:t>
            </w:r>
          </w:p>
          <w:p w14:paraId="398147B8">
            <w:pPr>
              <w:jc w:val="center"/>
              <w:rPr>
                <w:rFonts w:ascii="宋体" w:hAnsi="宋体"/>
                <w:b/>
                <w:color w:val="000000"/>
              </w:rPr>
            </w:pPr>
          </w:p>
          <w:p w14:paraId="23F69428">
            <w:pPr>
              <w:jc w:val="center"/>
              <w:rPr>
                <w:rFonts w:ascii="宋体" w:hAnsi="宋体"/>
                <w:b/>
                <w:color w:val="000000"/>
              </w:rPr>
            </w:pPr>
            <w:r>
              <w:rPr>
                <w:rFonts w:hint="eastAsia" w:ascii="宋体" w:hAnsi="宋体"/>
                <w:b/>
                <w:color w:val="000000"/>
              </w:rPr>
              <w:t>写</w:t>
            </w:r>
          </w:p>
        </w:tc>
        <w:tc>
          <w:tcPr>
            <w:tcW w:w="2561" w:type="dxa"/>
            <w:gridSpan w:val="4"/>
            <w:shd w:val="clear" w:color="auto" w:fill="auto"/>
            <w:vAlign w:val="center"/>
          </w:tcPr>
          <w:p w14:paraId="2E52CE49">
            <w:pPr>
              <w:jc w:val="center"/>
              <w:rPr>
                <w:rFonts w:ascii="宋体" w:hAnsi="宋体"/>
                <w:b/>
                <w:color w:val="000000"/>
              </w:rPr>
            </w:pPr>
            <w:r>
              <w:rPr>
                <w:rFonts w:hint="eastAsia" w:ascii="宋体" w:hAnsi="宋体"/>
                <w:b/>
                <w:color w:val="000000"/>
              </w:rPr>
              <w:t>申请类型</w:t>
            </w:r>
          </w:p>
        </w:tc>
        <w:tc>
          <w:tcPr>
            <w:tcW w:w="6269" w:type="dxa"/>
            <w:gridSpan w:val="6"/>
            <w:shd w:val="clear" w:color="auto" w:fill="auto"/>
            <w:vAlign w:val="center"/>
          </w:tcPr>
          <w:p w14:paraId="5AEEB731">
            <w:pPr>
              <w:rPr>
                <w:rFonts w:ascii="宋体" w:hAnsi="宋体"/>
                <w:b/>
                <w:color w:val="000000"/>
              </w:rPr>
            </w:pPr>
            <w:r>
              <w:rPr>
                <w:rFonts w:ascii="宋体" w:hAnsi="宋体"/>
                <w:b/>
              </w:rPr>
              <w:t>□</w:t>
            </w:r>
            <w:r>
              <w:rPr>
                <w:rFonts w:hint="eastAsia" w:ascii="宋体" w:hAnsi="宋体"/>
                <w:b/>
                <w:color w:val="000000"/>
              </w:rPr>
              <w:t>新增</w:t>
            </w:r>
            <w:r>
              <w:rPr>
                <w:rFonts w:hint="eastAsia" w:ascii="宋体" w:hAnsi="宋体"/>
                <w:b/>
                <w:color w:val="000000"/>
                <w:u w:val="single"/>
              </w:rPr>
              <w:t xml:space="preserve">     </w:t>
            </w:r>
            <w:r>
              <w:rPr>
                <w:rFonts w:hint="eastAsia" w:ascii="宋体" w:hAnsi="宋体"/>
                <w:b/>
                <w:color w:val="000000"/>
              </w:rPr>
              <w:t xml:space="preserve">（个） </w:t>
            </w:r>
          </w:p>
        </w:tc>
      </w:tr>
      <w:tr w14:paraId="34B70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2" w:hRule="atLeast"/>
        </w:trPr>
        <w:tc>
          <w:tcPr>
            <w:tcW w:w="413" w:type="dxa"/>
            <w:vMerge w:val="continue"/>
            <w:shd w:val="clear" w:color="auto" w:fill="auto"/>
            <w:vAlign w:val="center"/>
          </w:tcPr>
          <w:p w14:paraId="695E825E">
            <w:pPr>
              <w:jc w:val="center"/>
              <w:rPr>
                <w:rFonts w:ascii="宋体" w:hAnsi="宋体"/>
                <w:b/>
                <w:color w:val="000000"/>
              </w:rPr>
            </w:pPr>
          </w:p>
        </w:tc>
        <w:tc>
          <w:tcPr>
            <w:tcW w:w="577" w:type="dxa"/>
            <w:vMerge w:val="restart"/>
            <w:shd w:val="clear" w:color="auto" w:fill="auto"/>
            <w:vAlign w:val="center"/>
          </w:tcPr>
          <w:p w14:paraId="6F3E5B0F">
            <w:pPr>
              <w:jc w:val="center"/>
              <w:rPr>
                <w:rFonts w:ascii="宋体" w:hAnsi="宋体"/>
                <w:b/>
                <w:color w:val="000000"/>
              </w:rPr>
            </w:pPr>
            <w:r>
              <w:rPr>
                <w:rFonts w:hint="eastAsia" w:ascii="宋体" w:hAnsi="宋体"/>
                <w:b/>
                <w:color w:val="000000"/>
              </w:rPr>
              <w:t>机构申请信息</w:t>
            </w:r>
          </w:p>
        </w:tc>
        <w:tc>
          <w:tcPr>
            <w:tcW w:w="1984" w:type="dxa"/>
            <w:gridSpan w:val="3"/>
            <w:shd w:val="clear" w:color="auto" w:fill="auto"/>
            <w:vAlign w:val="center"/>
          </w:tcPr>
          <w:p w14:paraId="39100E11">
            <w:pPr>
              <w:jc w:val="left"/>
              <w:rPr>
                <w:rFonts w:ascii="宋体" w:hAnsi="宋体"/>
                <w:b/>
                <w:color w:val="000000"/>
              </w:rPr>
            </w:pPr>
            <w:r>
              <w:rPr>
                <w:rFonts w:hint="eastAsia" w:ascii="宋体" w:hAnsi="宋体"/>
                <w:b/>
                <w:color w:val="000000"/>
              </w:rPr>
              <w:t>机构名称</w:t>
            </w:r>
          </w:p>
        </w:tc>
        <w:tc>
          <w:tcPr>
            <w:tcW w:w="6269" w:type="dxa"/>
            <w:gridSpan w:val="6"/>
            <w:shd w:val="clear" w:color="auto" w:fill="auto"/>
            <w:vAlign w:val="center"/>
          </w:tcPr>
          <w:p w14:paraId="60527C83">
            <w:pPr>
              <w:rPr>
                <w:rFonts w:ascii="宋体" w:hAnsi="宋体"/>
                <w:b/>
                <w:color w:val="000000"/>
              </w:rPr>
            </w:pPr>
          </w:p>
        </w:tc>
      </w:tr>
      <w:tr w14:paraId="54BE2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4" w:hRule="atLeast"/>
        </w:trPr>
        <w:tc>
          <w:tcPr>
            <w:tcW w:w="413" w:type="dxa"/>
            <w:vMerge w:val="continue"/>
            <w:shd w:val="clear" w:color="auto" w:fill="auto"/>
            <w:vAlign w:val="center"/>
          </w:tcPr>
          <w:p w14:paraId="14AB0FE6">
            <w:pPr>
              <w:jc w:val="center"/>
              <w:rPr>
                <w:rFonts w:ascii="宋体" w:hAnsi="宋体"/>
                <w:b/>
                <w:color w:val="000000"/>
              </w:rPr>
            </w:pPr>
          </w:p>
        </w:tc>
        <w:tc>
          <w:tcPr>
            <w:tcW w:w="577" w:type="dxa"/>
            <w:vMerge w:val="continue"/>
            <w:shd w:val="clear" w:color="auto" w:fill="auto"/>
            <w:vAlign w:val="center"/>
          </w:tcPr>
          <w:p w14:paraId="3F4899BA">
            <w:pPr>
              <w:jc w:val="center"/>
              <w:rPr>
                <w:rFonts w:ascii="宋体" w:hAnsi="宋体"/>
                <w:b/>
                <w:color w:val="000000"/>
              </w:rPr>
            </w:pPr>
          </w:p>
        </w:tc>
        <w:tc>
          <w:tcPr>
            <w:tcW w:w="1984" w:type="dxa"/>
            <w:gridSpan w:val="3"/>
            <w:shd w:val="clear" w:color="auto" w:fill="auto"/>
            <w:vAlign w:val="center"/>
          </w:tcPr>
          <w:p w14:paraId="4B0265D8">
            <w:pPr>
              <w:jc w:val="left"/>
              <w:rPr>
                <w:rFonts w:ascii="宋体" w:hAnsi="宋体"/>
                <w:b/>
                <w:color w:val="000000"/>
              </w:rPr>
            </w:pPr>
            <w:r>
              <w:rPr>
                <w:rFonts w:hint="eastAsia" w:ascii="宋体" w:hAnsi="宋体"/>
                <w:b/>
                <w:color w:val="000000"/>
              </w:rPr>
              <w:t>邮政地址</w:t>
            </w:r>
          </w:p>
        </w:tc>
        <w:tc>
          <w:tcPr>
            <w:tcW w:w="4256" w:type="dxa"/>
            <w:gridSpan w:val="3"/>
            <w:shd w:val="clear" w:color="auto" w:fill="auto"/>
            <w:vAlign w:val="center"/>
          </w:tcPr>
          <w:p w14:paraId="2EDC9178">
            <w:pPr>
              <w:rPr>
                <w:rFonts w:ascii="宋体" w:hAnsi="宋体"/>
                <w:b/>
                <w:color w:val="000000"/>
              </w:rPr>
            </w:pPr>
          </w:p>
        </w:tc>
        <w:tc>
          <w:tcPr>
            <w:tcW w:w="1201" w:type="dxa"/>
            <w:gridSpan w:val="2"/>
            <w:shd w:val="clear" w:color="auto" w:fill="auto"/>
            <w:vAlign w:val="center"/>
          </w:tcPr>
          <w:p w14:paraId="07ADCED4">
            <w:pPr>
              <w:rPr>
                <w:rFonts w:ascii="宋体" w:hAnsi="宋体"/>
                <w:b/>
                <w:color w:val="000000"/>
              </w:rPr>
            </w:pPr>
            <w:r>
              <w:rPr>
                <w:rFonts w:hint="eastAsia" w:ascii="宋体" w:hAnsi="宋体"/>
                <w:b/>
                <w:color w:val="000000"/>
              </w:rPr>
              <w:t>邮政编码</w:t>
            </w:r>
          </w:p>
        </w:tc>
        <w:tc>
          <w:tcPr>
            <w:tcW w:w="812" w:type="dxa"/>
            <w:shd w:val="clear" w:color="auto" w:fill="auto"/>
            <w:vAlign w:val="center"/>
          </w:tcPr>
          <w:p w14:paraId="3BAA3E9F">
            <w:pPr>
              <w:rPr>
                <w:rFonts w:ascii="宋体" w:hAnsi="宋体"/>
                <w:b/>
                <w:color w:val="000000"/>
              </w:rPr>
            </w:pPr>
          </w:p>
        </w:tc>
      </w:tr>
      <w:tr w14:paraId="748B5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5" w:hRule="atLeast"/>
        </w:trPr>
        <w:tc>
          <w:tcPr>
            <w:tcW w:w="413" w:type="dxa"/>
            <w:vMerge w:val="continue"/>
            <w:shd w:val="clear" w:color="auto" w:fill="auto"/>
            <w:vAlign w:val="center"/>
          </w:tcPr>
          <w:p w14:paraId="4F3EA928">
            <w:pPr>
              <w:jc w:val="center"/>
              <w:rPr>
                <w:rFonts w:ascii="宋体" w:hAnsi="宋体"/>
                <w:b/>
                <w:color w:val="000000"/>
              </w:rPr>
            </w:pPr>
          </w:p>
        </w:tc>
        <w:tc>
          <w:tcPr>
            <w:tcW w:w="577" w:type="dxa"/>
            <w:vMerge w:val="continue"/>
            <w:shd w:val="clear" w:color="auto" w:fill="auto"/>
            <w:vAlign w:val="center"/>
          </w:tcPr>
          <w:p w14:paraId="2052394E">
            <w:pPr>
              <w:jc w:val="center"/>
              <w:rPr>
                <w:rFonts w:ascii="宋体" w:hAnsi="宋体"/>
                <w:b/>
                <w:color w:val="000000"/>
              </w:rPr>
            </w:pPr>
          </w:p>
        </w:tc>
        <w:tc>
          <w:tcPr>
            <w:tcW w:w="1984" w:type="dxa"/>
            <w:gridSpan w:val="3"/>
            <w:shd w:val="clear" w:color="auto" w:fill="auto"/>
            <w:vAlign w:val="center"/>
          </w:tcPr>
          <w:p w14:paraId="06B24621">
            <w:pPr>
              <w:jc w:val="left"/>
              <w:rPr>
                <w:rFonts w:ascii="宋体" w:hAnsi="宋体"/>
                <w:b/>
                <w:color w:val="000000"/>
              </w:rPr>
            </w:pPr>
            <w:r>
              <w:rPr>
                <w:rFonts w:hint="eastAsia" w:ascii="宋体" w:hAnsi="宋体"/>
                <w:b/>
                <w:color w:val="000000"/>
              </w:rPr>
              <w:t>机构联系电话</w:t>
            </w:r>
          </w:p>
        </w:tc>
        <w:tc>
          <w:tcPr>
            <w:tcW w:w="4256" w:type="dxa"/>
            <w:gridSpan w:val="3"/>
            <w:shd w:val="clear" w:color="auto" w:fill="auto"/>
            <w:vAlign w:val="center"/>
          </w:tcPr>
          <w:p w14:paraId="1EC4546D">
            <w:pPr>
              <w:rPr>
                <w:rFonts w:ascii="宋体" w:hAnsi="宋体"/>
                <w:b/>
                <w:color w:val="000000"/>
              </w:rPr>
            </w:pPr>
          </w:p>
        </w:tc>
        <w:tc>
          <w:tcPr>
            <w:tcW w:w="1201" w:type="dxa"/>
            <w:gridSpan w:val="2"/>
            <w:shd w:val="clear" w:color="auto" w:fill="auto"/>
            <w:vAlign w:val="center"/>
          </w:tcPr>
          <w:p w14:paraId="4E2CEA98">
            <w:pPr>
              <w:rPr>
                <w:rFonts w:ascii="宋体" w:hAnsi="宋体"/>
                <w:b/>
                <w:color w:val="000000"/>
              </w:rPr>
            </w:pPr>
            <w:r>
              <w:rPr>
                <w:rFonts w:hint="eastAsia" w:ascii="宋体" w:hAnsi="宋体"/>
                <w:b/>
                <w:color w:val="000000"/>
              </w:rPr>
              <w:t>联系人</w:t>
            </w:r>
          </w:p>
        </w:tc>
        <w:tc>
          <w:tcPr>
            <w:tcW w:w="812" w:type="dxa"/>
            <w:shd w:val="clear" w:color="auto" w:fill="auto"/>
            <w:vAlign w:val="center"/>
          </w:tcPr>
          <w:p w14:paraId="6CE577F8">
            <w:pPr>
              <w:rPr>
                <w:rFonts w:ascii="宋体" w:hAnsi="宋体"/>
                <w:b/>
                <w:color w:val="000000"/>
              </w:rPr>
            </w:pPr>
          </w:p>
        </w:tc>
      </w:tr>
      <w:tr w14:paraId="37542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trPr>
        <w:tc>
          <w:tcPr>
            <w:tcW w:w="413" w:type="dxa"/>
            <w:vMerge w:val="continue"/>
            <w:shd w:val="clear" w:color="auto" w:fill="auto"/>
            <w:vAlign w:val="center"/>
          </w:tcPr>
          <w:p w14:paraId="598CBD83">
            <w:pPr>
              <w:jc w:val="center"/>
              <w:rPr>
                <w:rFonts w:ascii="宋体" w:hAnsi="宋体"/>
                <w:b/>
                <w:color w:val="000000"/>
              </w:rPr>
            </w:pPr>
          </w:p>
        </w:tc>
        <w:tc>
          <w:tcPr>
            <w:tcW w:w="577" w:type="dxa"/>
            <w:vMerge w:val="continue"/>
            <w:shd w:val="clear" w:color="auto" w:fill="auto"/>
            <w:vAlign w:val="center"/>
          </w:tcPr>
          <w:p w14:paraId="4F364D17">
            <w:pPr>
              <w:jc w:val="center"/>
              <w:rPr>
                <w:rFonts w:ascii="宋体" w:hAnsi="宋体"/>
                <w:b/>
                <w:color w:val="000000"/>
              </w:rPr>
            </w:pPr>
          </w:p>
        </w:tc>
        <w:tc>
          <w:tcPr>
            <w:tcW w:w="1984" w:type="dxa"/>
            <w:gridSpan w:val="3"/>
            <w:shd w:val="clear" w:color="auto" w:fill="auto"/>
            <w:vAlign w:val="center"/>
          </w:tcPr>
          <w:p w14:paraId="627C7DB8">
            <w:pPr>
              <w:jc w:val="left"/>
              <w:rPr>
                <w:rFonts w:ascii="宋体" w:hAnsi="宋体"/>
                <w:b/>
                <w:color w:val="000000"/>
              </w:rPr>
            </w:pPr>
            <w:r>
              <w:rPr>
                <w:rFonts w:hint="eastAsia" w:ascii="宋体" w:hAnsi="宋体"/>
                <w:b/>
                <w:color w:val="000000"/>
              </w:rPr>
              <w:t>法定代表人</w:t>
            </w:r>
          </w:p>
        </w:tc>
        <w:tc>
          <w:tcPr>
            <w:tcW w:w="1700" w:type="dxa"/>
            <w:tcBorders>
              <w:bottom w:val="single" w:color="auto" w:sz="4" w:space="0"/>
            </w:tcBorders>
            <w:shd w:val="clear" w:color="auto" w:fill="auto"/>
            <w:vAlign w:val="center"/>
          </w:tcPr>
          <w:p w14:paraId="541037E0">
            <w:pPr>
              <w:rPr>
                <w:rFonts w:ascii="宋体" w:hAnsi="宋体"/>
                <w:b/>
                <w:color w:val="000000"/>
              </w:rPr>
            </w:pPr>
          </w:p>
        </w:tc>
        <w:tc>
          <w:tcPr>
            <w:tcW w:w="2556" w:type="dxa"/>
            <w:gridSpan w:val="2"/>
            <w:tcBorders>
              <w:bottom w:val="single" w:color="auto" w:sz="4" w:space="0"/>
            </w:tcBorders>
            <w:shd w:val="clear" w:color="auto" w:fill="auto"/>
            <w:vAlign w:val="center"/>
          </w:tcPr>
          <w:p w14:paraId="4FE1AEE9">
            <w:pPr>
              <w:rPr>
                <w:rFonts w:ascii="宋体" w:hAnsi="宋体"/>
                <w:b/>
                <w:color w:val="000000"/>
              </w:rPr>
            </w:pPr>
            <w:r>
              <w:rPr>
                <w:rFonts w:hint="eastAsia" w:ascii="宋体" w:hAnsi="宋体"/>
                <w:b/>
                <w:color w:val="000000"/>
              </w:rPr>
              <w:t>联系人电子信箱</w:t>
            </w:r>
          </w:p>
        </w:tc>
        <w:tc>
          <w:tcPr>
            <w:tcW w:w="2013" w:type="dxa"/>
            <w:gridSpan w:val="3"/>
            <w:tcBorders>
              <w:bottom w:val="single" w:color="auto" w:sz="4" w:space="0"/>
            </w:tcBorders>
            <w:shd w:val="clear" w:color="auto" w:fill="auto"/>
            <w:vAlign w:val="center"/>
          </w:tcPr>
          <w:p w14:paraId="4DB3C814">
            <w:pPr>
              <w:pStyle w:val="30"/>
            </w:pPr>
          </w:p>
        </w:tc>
      </w:tr>
      <w:tr w14:paraId="4FC35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13" w:type="dxa"/>
            <w:vMerge w:val="continue"/>
            <w:shd w:val="clear" w:color="auto" w:fill="auto"/>
            <w:vAlign w:val="center"/>
          </w:tcPr>
          <w:p w14:paraId="55D0A928">
            <w:pPr>
              <w:jc w:val="center"/>
              <w:rPr>
                <w:rFonts w:ascii="宋体" w:hAnsi="宋体"/>
                <w:b/>
                <w:color w:val="000000"/>
              </w:rPr>
            </w:pPr>
          </w:p>
        </w:tc>
        <w:tc>
          <w:tcPr>
            <w:tcW w:w="577" w:type="dxa"/>
            <w:vMerge w:val="continue"/>
            <w:shd w:val="clear" w:color="auto" w:fill="auto"/>
            <w:vAlign w:val="center"/>
          </w:tcPr>
          <w:p w14:paraId="2B535424">
            <w:pPr>
              <w:jc w:val="center"/>
              <w:rPr>
                <w:rFonts w:ascii="宋体" w:hAnsi="宋体"/>
                <w:b/>
                <w:color w:val="000000"/>
              </w:rPr>
            </w:pPr>
          </w:p>
        </w:tc>
        <w:tc>
          <w:tcPr>
            <w:tcW w:w="1984" w:type="dxa"/>
            <w:gridSpan w:val="3"/>
            <w:shd w:val="clear" w:color="auto" w:fill="auto"/>
            <w:vAlign w:val="center"/>
          </w:tcPr>
          <w:p w14:paraId="7E44C5DA">
            <w:pPr>
              <w:jc w:val="left"/>
              <w:rPr>
                <w:rFonts w:ascii="宋体" w:hAnsi="宋体"/>
                <w:b/>
                <w:color w:val="000000"/>
              </w:rPr>
            </w:pPr>
            <w:r>
              <w:rPr>
                <w:rFonts w:hint="eastAsia" w:ascii="宋体" w:hAnsi="宋体"/>
                <w:b/>
                <w:color w:val="000000"/>
              </w:rPr>
              <w:t>注册地址</w:t>
            </w:r>
          </w:p>
        </w:tc>
        <w:tc>
          <w:tcPr>
            <w:tcW w:w="6269" w:type="dxa"/>
            <w:gridSpan w:val="6"/>
            <w:tcBorders>
              <w:bottom w:val="single" w:color="auto" w:sz="4" w:space="0"/>
            </w:tcBorders>
            <w:shd w:val="clear" w:color="auto" w:fill="auto"/>
            <w:vAlign w:val="center"/>
          </w:tcPr>
          <w:p w14:paraId="5F8E72DF">
            <w:pPr>
              <w:rPr>
                <w:rFonts w:ascii="宋体" w:hAnsi="宋体"/>
                <w:b/>
                <w:color w:val="000000"/>
              </w:rPr>
            </w:pPr>
          </w:p>
        </w:tc>
      </w:tr>
      <w:tr w14:paraId="375CA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13" w:type="dxa"/>
            <w:vMerge w:val="continue"/>
            <w:shd w:val="clear" w:color="auto" w:fill="auto"/>
            <w:vAlign w:val="center"/>
          </w:tcPr>
          <w:p w14:paraId="078790AB">
            <w:pPr>
              <w:jc w:val="center"/>
              <w:rPr>
                <w:rFonts w:ascii="宋体" w:hAnsi="宋体"/>
                <w:b/>
                <w:color w:val="000000"/>
              </w:rPr>
            </w:pPr>
          </w:p>
        </w:tc>
        <w:tc>
          <w:tcPr>
            <w:tcW w:w="577" w:type="dxa"/>
            <w:vMerge w:val="continue"/>
            <w:shd w:val="clear" w:color="auto" w:fill="auto"/>
            <w:vAlign w:val="center"/>
          </w:tcPr>
          <w:p w14:paraId="1CC9DAFF">
            <w:pPr>
              <w:jc w:val="center"/>
              <w:rPr>
                <w:rFonts w:ascii="宋体" w:hAnsi="宋体"/>
                <w:b/>
                <w:color w:val="000000"/>
              </w:rPr>
            </w:pPr>
          </w:p>
        </w:tc>
        <w:tc>
          <w:tcPr>
            <w:tcW w:w="1984" w:type="dxa"/>
            <w:gridSpan w:val="3"/>
            <w:shd w:val="clear" w:color="auto" w:fill="auto"/>
            <w:vAlign w:val="center"/>
          </w:tcPr>
          <w:p w14:paraId="100E85F6">
            <w:pPr>
              <w:jc w:val="left"/>
              <w:rPr>
                <w:rFonts w:ascii="宋体" w:hAnsi="宋体"/>
                <w:b/>
                <w:color w:val="000000"/>
              </w:rPr>
            </w:pPr>
            <w:r>
              <w:rPr>
                <w:rFonts w:hint="eastAsia" w:ascii="宋体" w:hAnsi="宋体"/>
                <w:b/>
                <w:color w:val="000000"/>
              </w:rPr>
              <w:t>统一</w:t>
            </w:r>
            <w:r>
              <w:rPr>
                <w:rFonts w:ascii="宋体" w:hAnsi="宋体"/>
                <w:b/>
                <w:color w:val="000000"/>
              </w:rPr>
              <w:t>社会信用代码</w:t>
            </w:r>
          </w:p>
        </w:tc>
        <w:tc>
          <w:tcPr>
            <w:tcW w:w="6269" w:type="dxa"/>
            <w:gridSpan w:val="6"/>
            <w:tcBorders>
              <w:bottom w:val="single" w:color="auto" w:sz="4" w:space="0"/>
            </w:tcBorders>
            <w:shd w:val="clear" w:color="auto" w:fill="auto"/>
            <w:vAlign w:val="center"/>
          </w:tcPr>
          <w:p w14:paraId="28639BF6">
            <w:pPr>
              <w:rPr>
                <w:rFonts w:ascii="宋体" w:hAnsi="宋体"/>
                <w:b/>
                <w:color w:val="000000"/>
              </w:rPr>
            </w:pPr>
          </w:p>
        </w:tc>
      </w:tr>
      <w:tr w14:paraId="1FD9A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atLeast"/>
        </w:trPr>
        <w:tc>
          <w:tcPr>
            <w:tcW w:w="413" w:type="dxa"/>
            <w:vMerge w:val="continue"/>
            <w:shd w:val="clear" w:color="auto" w:fill="auto"/>
            <w:vAlign w:val="center"/>
          </w:tcPr>
          <w:p w14:paraId="0931E521">
            <w:pPr>
              <w:jc w:val="center"/>
              <w:rPr>
                <w:rFonts w:ascii="宋体" w:hAnsi="宋体"/>
                <w:b/>
                <w:color w:val="000000"/>
              </w:rPr>
            </w:pPr>
          </w:p>
        </w:tc>
        <w:tc>
          <w:tcPr>
            <w:tcW w:w="577" w:type="dxa"/>
            <w:vMerge w:val="continue"/>
            <w:shd w:val="clear" w:color="auto" w:fill="auto"/>
            <w:vAlign w:val="center"/>
          </w:tcPr>
          <w:p w14:paraId="4575B706">
            <w:pPr>
              <w:jc w:val="center"/>
              <w:rPr>
                <w:rFonts w:ascii="宋体" w:hAnsi="宋体"/>
                <w:b/>
                <w:color w:val="000000"/>
              </w:rPr>
            </w:pPr>
          </w:p>
        </w:tc>
        <w:tc>
          <w:tcPr>
            <w:tcW w:w="989" w:type="dxa"/>
            <w:vMerge w:val="restart"/>
            <w:shd w:val="clear" w:color="auto" w:fill="auto"/>
            <w:vAlign w:val="center"/>
          </w:tcPr>
          <w:p w14:paraId="7C548E78">
            <w:pPr>
              <w:jc w:val="center"/>
              <w:rPr>
                <w:rFonts w:ascii="宋体" w:hAnsi="宋体"/>
                <w:b/>
              </w:rPr>
            </w:pPr>
            <w:r>
              <w:rPr>
                <w:rFonts w:hint="eastAsia" w:ascii="宋体" w:hAnsi="宋体"/>
                <w:b/>
              </w:rPr>
              <w:t>证书</w:t>
            </w:r>
          </w:p>
          <w:p w14:paraId="551B1C65">
            <w:pPr>
              <w:jc w:val="center"/>
              <w:rPr>
                <w:rFonts w:ascii="宋体" w:hAnsi="宋体"/>
                <w:b/>
              </w:rPr>
            </w:pPr>
            <w:r>
              <w:rPr>
                <w:rFonts w:hint="eastAsia" w:ascii="宋体" w:hAnsi="宋体"/>
                <w:b/>
              </w:rPr>
              <w:t>类型</w:t>
            </w:r>
          </w:p>
          <w:p w14:paraId="2F20F105">
            <w:pPr>
              <w:jc w:val="center"/>
              <w:rPr>
                <w:rFonts w:ascii="宋体" w:hAnsi="宋体"/>
                <w:b/>
              </w:rPr>
            </w:pPr>
            <w:r>
              <w:rPr>
                <w:rFonts w:hint="eastAsia" w:ascii="宋体" w:hAnsi="宋体"/>
                <w:sz w:val="18"/>
                <w:szCs w:val="18"/>
              </w:rPr>
              <w:t>（请在申请的证书类型前打</w:t>
            </w:r>
            <w:r>
              <w:rPr>
                <w:rFonts w:ascii="宋体" w:hAnsi="宋体"/>
                <w:b/>
              </w:rPr>
              <w:sym w:font="Wingdings 2" w:char="0052"/>
            </w:r>
            <w:r>
              <w:rPr>
                <w:rFonts w:hint="eastAsia" w:ascii="宋体" w:hAnsi="宋体"/>
                <w:b/>
              </w:rPr>
              <w:t>,</w:t>
            </w:r>
            <w:r>
              <w:rPr>
                <w:rFonts w:hint="eastAsia" w:ascii="宋体" w:hAnsi="宋体"/>
              </w:rPr>
              <w:t>单选</w:t>
            </w:r>
            <w:r>
              <w:rPr>
                <w:rFonts w:hint="eastAsia" w:ascii="宋体" w:hAnsi="宋体"/>
                <w:sz w:val="18"/>
                <w:szCs w:val="18"/>
              </w:rPr>
              <w:t>）</w:t>
            </w:r>
          </w:p>
        </w:tc>
        <w:tc>
          <w:tcPr>
            <w:tcW w:w="7264" w:type="dxa"/>
            <w:gridSpan w:val="8"/>
            <w:shd w:val="clear" w:color="auto" w:fill="FFFFFF"/>
            <w:vAlign w:val="center"/>
          </w:tcPr>
          <w:p w14:paraId="01DD2FDA">
            <w:pPr>
              <w:rPr>
                <w:rFonts w:ascii="宋体" w:hAnsi="宋体"/>
              </w:rPr>
            </w:pPr>
            <w:r>
              <w:rPr>
                <w:rFonts w:ascii="宋体" w:hAnsi="宋体"/>
                <w:b/>
              </w:rPr>
              <w:t>□</w:t>
            </w:r>
            <w:r>
              <w:rPr>
                <w:rFonts w:hint="eastAsia" w:ascii="宋体" w:hAnsi="宋体"/>
                <w:b/>
              </w:rPr>
              <w:t>债券担保品处置业务</w:t>
            </w:r>
          </w:p>
        </w:tc>
      </w:tr>
      <w:tr w14:paraId="1F4A2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8" w:hRule="atLeast"/>
        </w:trPr>
        <w:tc>
          <w:tcPr>
            <w:tcW w:w="413" w:type="dxa"/>
            <w:vMerge w:val="continue"/>
            <w:shd w:val="clear" w:color="auto" w:fill="auto"/>
            <w:vAlign w:val="center"/>
          </w:tcPr>
          <w:p w14:paraId="1D574B0B">
            <w:pPr>
              <w:jc w:val="center"/>
              <w:rPr>
                <w:rFonts w:ascii="宋体" w:hAnsi="宋体"/>
                <w:b/>
                <w:color w:val="000000"/>
              </w:rPr>
            </w:pPr>
          </w:p>
        </w:tc>
        <w:tc>
          <w:tcPr>
            <w:tcW w:w="577" w:type="dxa"/>
            <w:vMerge w:val="continue"/>
            <w:shd w:val="clear" w:color="auto" w:fill="auto"/>
            <w:vAlign w:val="center"/>
          </w:tcPr>
          <w:p w14:paraId="57D89D21">
            <w:pPr>
              <w:jc w:val="center"/>
              <w:rPr>
                <w:rFonts w:ascii="宋体" w:hAnsi="宋体"/>
                <w:b/>
                <w:color w:val="000000"/>
              </w:rPr>
            </w:pPr>
          </w:p>
        </w:tc>
        <w:tc>
          <w:tcPr>
            <w:tcW w:w="989" w:type="dxa"/>
            <w:vMerge w:val="continue"/>
            <w:shd w:val="clear" w:color="auto" w:fill="auto"/>
            <w:vAlign w:val="center"/>
          </w:tcPr>
          <w:p w14:paraId="7ACB7899">
            <w:pPr>
              <w:jc w:val="center"/>
              <w:rPr>
                <w:rFonts w:ascii="宋体" w:hAnsi="宋体"/>
                <w:b/>
              </w:rPr>
            </w:pPr>
          </w:p>
        </w:tc>
        <w:tc>
          <w:tcPr>
            <w:tcW w:w="7264" w:type="dxa"/>
            <w:gridSpan w:val="8"/>
            <w:shd w:val="clear" w:color="auto" w:fill="FFFFFF"/>
            <w:vAlign w:val="center"/>
          </w:tcPr>
          <w:p w14:paraId="5326E84B"/>
        </w:tc>
      </w:tr>
      <w:tr w14:paraId="409DA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3" w:hRule="atLeast"/>
        </w:trPr>
        <w:tc>
          <w:tcPr>
            <w:tcW w:w="413" w:type="dxa"/>
            <w:vMerge w:val="continue"/>
            <w:shd w:val="clear" w:color="auto" w:fill="auto"/>
            <w:vAlign w:val="center"/>
          </w:tcPr>
          <w:p w14:paraId="5F795CA0">
            <w:pPr>
              <w:jc w:val="center"/>
              <w:rPr>
                <w:rFonts w:ascii="宋体" w:hAnsi="宋体"/>
                <w:b/>
                <w:color w:val="000000"/>
              </w:rPr>
            </w:pPr>
          </w:p>
        </w:tc>
        <w:tc>
          <w:tcPr>
            <w:tcW w:w="577" w:type="dxa"/>
            <w:vMerge w:val="continue"/>
            <w:shd w:val="clear" w:color="auto" w:fill="auto"/>
            <w:vAlign w:val="center"/>
          </w:tcPr>
          <w:p w14:paraId="0C925DF9">
            <w:pPr>
              <w:jc w:val="center"/>
              <w:rPr>
                <w:rFonts w:ascii="宋体" w:hAnsi="宋体"/>
                <w:b/>
                <w:color w:val="000000"/>
              </w:rPr>
            </w:pPr>
          </w:p>
        </w:tc>
        <w:tc>
          <w:tcPr>
            <w:tcW w:w="989" w:type="dxa"/>
            <w:vMerge w:val="continue"/>
            <w:shd w:val="clear" w:color="auto" w:fill="auto"/>
            <w:vAlign w:val="center"/>
          </w:tcPr>
          <w:p w14:paraId="35BF4D10">
            <w:pPr>
              <w:pStyle w:val="30"/>
            </w:pPr>
          </w:p>
        </w:tc>
        <w:tc>
          <w:tcPr>
            <w:tcW w:w="7264" w:type="dxa"/>
            <w:gridSpan w:val="8"/>
            <w:shd w:val="clear" w:color="auto" w:fill="auto"/>
            <w:vAlign w:val="center"/>
          </w:tcPr>
          <w:p w14:paraId="37B6A37E">
            <w:pPr>
              <w:rPr>
                <w:rFonts w:ascii="宋体" w:hAnsi="宋体"/>
              </w:rPr>
            </w:pPr>
          </w:p>
        </w:tc>
      </w:tr>
      <w:tr w14:paraId="3E6CE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3" w:hRule="atLeast"/>
        </w:trPr>
        <w:tc>
          <w:tcPr>
            <w:tcW w:w="413" w:type="dxa"/>
            <w:vMerge w:val="continue"/>
            <w:shd w:val="clear" w:color="auto" w:fill="auto"/>
            <w:vAlign w:val="center"/>
          </w:tcPr>
          <w:p w14:paraId="0F0101E1">
            <w:pPr>
              <w:jc w:val="center"/>
              <w:rPr>
                <w:rFonts w:ascii="宋体" w:hAnsi="宋体"/>
                <w:b/>
                <w:color w:val="000000"/>
              </w:rPr>
            </w:pPr>
          </w:p>
        </w:tc>
        <w:tc>
          <w:tcPr>
            <w:tcW w:w="577" w:type="dxa"/>
            <w:vMerge w:val="continue"/>
            <w:shd w:val="clear" w:color="auto" w:fill="auto"/>
            <w:vAlign w:val="center"/>
          </w:tcPr>
          <w:p w14:paraId="14502977">
            <w:pPr>
              <w:jc w:val="center"/>
              <w:rPr>
                <w:rFonts w:ascii="宋体" w:hAnsi="宋体"/>
                <w:b/>
                <w:color w:val="000000"/>
              </w:rPr>
            </w:pPr>
          </w:p>
        </w:tc>
        <w:tc>
          <w:tcPr>
            <w:tcW w:w="989" w:type="dxa"/>
            <w:vMerge w:val="continue"/>
            <w:shd w:val="clear" w:color="auto" w:fill="auto"/>
            <w:vAlign w:val="center"/>
          </w:tcPr>
          <w:p w14:paraId="63D8DEDA">
            <w:pPr>
              <w:pStyle w:val="30"/>
            </w:pPr>
          </w:p>
        </w:tc>
        <w:tc>
          <w:tcPr>
            <w:tcW w:w="7264" w:type="dxa"/>
            <w:gridSpan w:val="8"/>
            <w:shd w:val="clear" w:color="auto" w:fill="auto"/>
            <w:vAlign w:val="center"/>
          </w:tcPr>
          <w:p w14:paraId="53A3D2D7">
            <w:pPr>
              <w:rPr>
                <w:rFonts w:ascii="宋体" w:hAnsi="宋体"/>
                <w:b/>
              </w:rPr>
            </w:pPr>
          </w:p>
        </w:tc>
      </w:tr>
      <w:tr w14:paraId="340C9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3" w:hRule="atLeast"/>
        </w:trPr>
        <w:tc>
          <w:tcPr>
            <w:tcW w:w="413" w:type="dxa"/>
            <w:vMerge w:val="continue"/>
            <w:shd w:val="clear" w:color="auto" w:fill="auto"/>
            <w:vAlign w:val="center"/>
          </w:tcPr>
          <w:p w14:paraId="4164DC18">
            <w:pPr>
              <w:jc w:val="center"/>
              <w:rPr>
                <w:rFonts w:ascii="宋体" w:hAnsi="宋体"/>
                <w:b/>
                <w:color w:val="000000"/>
              </w:rPr>
            </w:pPr>
          </w:p>
        </w:tc>
        <w:tc>
          <w:tcPr>
            <w:tcW w:w="577" w:type="dxa"/>
            <w:vMerge w:val="continue"/>
            <w:shd w:val="clear" w:color="auto" w:fill="auto"/>
            <w:vAlign w:val="center"/>
          </w:tcPr>
          <w:p w14:paraId="41CACA44">
            <w:pPr>
              <w:jc w:val="center"/>
              <w:rPr>
                <w:rFonts w:ascii="宋体" w:hAnsi="宋体"/>
                <w:b/>
                <w:color w:val="000000"/>
              </w:rPr>
            </w:pPr>
          </w:p>
        </w:tc>
        <w:tc>
          <w:tcPr>
            <w:tcW w:w="989" w:type="dxa"/>
            <w:vMerge w:val="continue"/>
            <w:shd w:val="clear" w:color="auto" w:fill="auto"/>
            <w:vAlign w:val="center"/>
          </w:tcPr>
          <w:p w14:paraId="02223146">
            <w:pPr>
              <w:pStyle w:val="30"/>
            </w:pPr>
          </w:p>
        </w:tc>
        <w:tc>
          <w:tcPr>
            <w:tcW w:w="7264" w:type="dxa"/>
            <w:gridSpan w:val="8"/>
            <w:shd w:val="clear" w:color="auto" w:fill="auto"/>
            <w:vAlign w:val="center"/>
          </w:tcPr>
          <w:p w14:paraId="0D5BEC30">
            <w:pPr>
              <w:rPr>
                <w:rFonts w:ascii="宋体" w:hAnsi="宋体"/>
                <w:b/>
              </w:rPr>
            </w:pPr>
          </w:p>
        </w:tc>
      </w:tr>
      <w:tr w14:paraId="4360E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3" w:hRule="atLeast"/>
        </w:trPr>
        <w:tc>
          <w:tcPr>
            <w:tcW w:w="413" w:type="dxa"/>
            <w:vMerge w:val="continue"/>
            <w:shd w:val="clear" w:color="auto" w:fill="auto"/>
            <w:vAlign w:val="center"/>
          </w:tcPr>
          <w:p w14:paraId="49703CFD">
            <w:pPr>
              <w:jc w:val="center"/>
              <w:rPr>
                <w:rFonts w:ascii="宋体" w:hAnsi="宋体"/>
                <w:b/>
                <w:color w:val="000000"/>
              </w:rPr>
            </w:pPr>
          </w:p>
        </w:tc>
        <w:tc>
          <w:tcPr>
            <w:tcW w:w="577" w:type="dxa"/>
            <w:vMerge w:val="continue"/>
            <w:shd w:val="clear" w:color="auto" w:fill="auto"/>
            <w:vAlign w:val="center"/>
          </w:tcPr>
          <w:p w14:paraId="75DD8A92">
            <w:pPr>
              <w:jc w:val="center"/>
              <w:rPr>
                <w:rFonts w:ascii="宋体" w:hAnsi="宋体"/>
                <w:b/>
                <w:color w:val="000000"/>
              </w:rPr>
            </w:pPr>
          </w:p>
        </w:tc>
        <w:tc>
          <w:tcPr>
            <w:tcW w:w="989" w:type="dxa"/>
            <w:vMerge w:val="continue"/>
            <w:shd w:val="clear" w:color="auto" w:fill="auto"/>
            <w:vAlign w:val="center"/>
          </w:tcPr>
          <w:p w14:paraId="10DAE485">
            <w:pPr>
              <w:pStyle w:val="30"/>
            </w:pPr>
          </w:p>
        </w:tc>
        <w:tc>
          <w:tcPr>
            <w:tcW w:w="7264" w:type="dxa"/>
            <w:gridSpan w:val="8"/>
            <w:shd w:val="clear" w:color="auto" w:fill="auto"/>
            <w:vAlign w:val="center"/>
          </w:tcPr>
          <w:p w14:paraId="18033FBE">
            <w:pPr>
              <w:rPr>
                <w:rFonts w:ascii="宋体" w:hAnsi="宋体"/>
                <w:b/>
              </w:rPr>
            </w:pPr>
          </w:p>
        </w:tc>
      </w:tr>
      <w:tr w14:paraId="0FB97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3" w:hRule="atLeast"/>
        </w:trPr>
        <w:tc>
          <w:tcPr>
            <w:tcW w:w="413" w:type="dxa"/>
            <w:vMerge w:val="continue"/>
            <w:shd w:val="clear" w:color="auto" w:fill="auto"/>
            <w:vAlign w:val="center"/>
          </w:tcPr>
          <w:p w14:paraId="0179B04F">
            <w:pPr>
              <w:jc w:val="center"/>
              <w:rPr>
                <w:rFonts w:ascii="宋体" w:hAnsi="宋体"/>
                <w:b/>
                <w:color w:val="000000"/>
              </w:rPr>
            </w:pPr>
          </w:p>
        </w:tc>
        <w:tc>
          <w:tcPr>
            <w:tcW w:w="577" w:type="dxa"/>
            <w:vMerge w:val="continue"/>
            <w:shd w:val="clear" w:color="auto" w:fill="auto"/>
            <w:vAlign w:val="center"/>
          </w:tcPr>
          <w:p w14:paraId="6E9193A7">
            <w:pPr>
              <w:jc w:val="center"/>
              <w:rPr>
                <w:rFonts w:ascii="宋体" w:hAnsi="宋体"/>
                <w:b/>
                <w:color w:val="000000"/>
              </w:rPr>
            </w:pPr>
          </w:p>
        </w:tc>
        <w:tc>
          <w:tcPr>
            <w:tcW w:w="989" w:type="dxa"/>
            <w:vMerge w:val="continue"/>
            <w:shd w:val="clear" w:color="auto" w:fill="auto"/>
            <w:vAlign w:val="center"/>
          </w:tcPr>
          <w:p w14:paraId="6F5FC631">
            <w:pPr>
              <w:pStyle w:val="30"/>
            </w:pPr>
          </w:p>
        </w:tc>
        <w:tc>
          <w:tcPr>
            <w:tcW w:w="7264" w:type="dxa"/>
            <w:gridSpan w:val="8"/>
            <w:shd w:val="clear" w:color="auto" w:fill="auto"/>
            <w:vAlign w:val="center"/>
          </w:tcPr>
          <w:p w14:paraId="2ECECC54">
            <w:pPr>
              <w:rPr>
                <w:rFonts w:ascii="宋体" w:hAnsi="宋体"/>
                <w:b/>
              </w:rPr>
            </w:pPr>
            <w:bookmarkStart w:id="3992" w:name="14"/>
            <w:bookmarkEnd w:id="3992"/>
          </w:p>
        </w:tc>
      </w:tr>
      <w:tr w14:paraId="176A0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3" w:hRule="atLeast"/>
        </w:trPr>
        <w:tc>
          <w:tcPr>
            <w:tcW w:w="413" w:type="dxa"/>
            <w:vMerge w:val="continue"/>
            <w:shd w:val="clear" w:color="auto" w:fill="auto"/>
            <w:vAlign w:val="center"/>
          </w:tcPr>
          <w:p w14:paraId="6FB08865">
            <w:pPr>
              <w:jc w:val="center"/>
              <w:rPr>
                <w:rFonts w:ascii="宋体" w:hAnsi="宋体"/>
                <w:b/>
                <w:color w:val="000000"/>
              </w:rPr>
            </w:pPr>
          </w:p>
        </w:tc>
        <w:tc>
          <w:tcPr>
            <w:tcW w:w="577" w:type="dxa"/>
            <w:vMerge w:val="continue"/>
            <w:shd w:val="clear" w:color="auto" w:fill="auto"/>
            <w:vAlign w:val="center"/>
          </w:tcPr>
          <w:p w14:paraId="70743700">
            <w:pPr>
              <w:jc w:val="center"/>
              <w:rPr>
                <w:rFonts w:ascii="宋体" w:hAnsi="宋体"/>
                <w:b/>
                <w:color w:val="000000"/>
              </w:rPr>
            </w:pPr>
          </w:p>
        </w:tc>
        <w:tc>
          <w:tcPr>
            <w:tcW w:w="989" w:type="dxa"/>
            <w:vMerge w:val="continue"/>
            <w:shd w:val="clear" w:color="auto" w:fill="auto"/>
            <w:vAlign w:val="center"/>
          </w:tcPr>
          <w:p w14:paraId="2A488EAE">
            <w:pPr>
              <w:pStyle w:val="30"/>
            </w:pPr>
          </w:p>
        </w:tc>
        <w:tc>
          <w:tcPr>
            <w:tcW w:w="7264" w:type="dxa"/>
            <w:gridSpan w:val="8"/>
            <w:shd w:val="clear" w:color="auto" w:fill="auto"/>
            <w:vAlign w:val="center"/>
          </w:tcPr>
          <w:p w14:paraId="41349A03">
            <w:pPr>
              <w:rPr>
                <w:rFonts w:ascii="宋体" w:hAnsi="宋体"/>
                <w:b/>
              </w:rPr>
            </w:pPr>
            <w:bookmarkStart w:id="3993" w:name="16"/>
            <w:bookmarkEnd w:id="3993"/>
            <w:bookmarkStart w:id="3994" w:name="15"/>
            <w:bookmarkEnd w:id="3994"/>
          </w:p>
        </w:tc>
      </w:tr>
      <w:tr w14:paraId="1491A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3" w:hRule="atLeast"/>
        </w:trPr>
        <w:tc>
          <w:tcPr>
            <w:tcW w:w="413" w:type="dxa"/>
            <w:vMerge w:val="continue"/>
            <w:shd w:val="clear" w:color="auto" w:fill="auto"/>
            <w:vAlign w:val="center"/>
          </w:tcPr>
          <w:p w14:paraId="4DB9A6DE">
            <w:pPr>
              <w:jc w:val="center"/>
              <w:rPr>
                <w:rFonts w:ascii="宋体" w:hAnsi="宋体"/>
                <w:b/>
                <w:color w:val="000000"/>
              </w:rPr>
            </w:pPr>
          </w:p>
        </w:tc>
        <w:tc>
          <w:tcPr>
            <w:tcW w:w="577" w:type="dxa"/>
            <w:vMerge w:val="continue"/>
            <w:shd w:val="clear" w:color="auto" w:fill="auto"/>
            <w:vAlign w:val="center"/>
          </w:tcPr>
          <w:p w14:paraId="577DA955">
            <w:pPr>
              <w:jc w:val="center"/>
              <w:rPr>
                <w:rFonts w:ascii="宋体" w:hAnsi="宋体"/>
                <w:b/>
                <w:color w:val="000000"/>
              </w:rPr>
            </w:pPr>
          </w:p>
        </w:tc>
        <w:tc>
          <w:tcPr>
            <w:tcW w:w="989" w:type="dxa"/>
            <w:vMerge w:val="continue"/>
            <w:shd w:val="clear" w:color="auto" w:fill="auto"/>
            <w:vAlign w:val="center"/>
          </w:tcPr>
          <w:p w14:paraId="0E780B17">
            <w:pPr>
              <w:pStyle w:val="30"/>
            </w:pPr>
          </w:p>
        </w:tc>
        <w:tc>
          <w:tcPr>
            <w:tcW w:w="7264" w:type="dxa"/>
            <w:gridSpan w:val="8"/>
            <w:shd w:val="clear" w:color="auto" w:fill="auto"/>
            <w:vAlign w:val="center"/>
          </w:tcPr>
          <w:p w14:paraId="0B98FC1B">
            <w:pPr>
              <w:rPr>
                <w:rFonts w:ascii="宋体" w:hAnsi="宋体"/>
                <w:b/>
              </w:rPr>
            </w:pPr>
          </w:p>
        </w:tc>
      </w:tr>
      <w:tr w14:paraId="734DA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1" w:hRule="atLeast"/>
        </w:trPr>
        <w:tc>
          <w:tcPr>
            <w:tcW w:w="413" w:type="dxa"/>
            <w:vMerge w:val="continue"/>
            <w:shd w:val="clear" w:color="auto" w:fill="auto"/>
            <w:vAlign w:val="center"/>
          </w:tcPr>
          <w:p w14:paraId="17A68AA7">
            <w:pPr>
              <w:jc w:val="center"/>
              <w:rPr>
                <w:rFonts w:ascii="宋体" w:hAnsi="宋体"/>
                <w:b/>
                <w:color w:val="000000"/>
              </w:rPr>
            </w:pPr>
          </w:p>
        </w:tc>
        <w:tc>
          <w:tcPr>
            <w:tcW w:w="577" w:type="dxa"/>
            <w:vMerge w:val="continue"/>
            <w:shd w:val="clear" w:color="auto" w:fill="auto"/>
            <w:vAlign w:val="center"/>
          </w:tcPr>
          <w:p w14:paraId="0DAF076F">
            <w:pPr>
              <w:jc w:val="center"/>
              <w:rPr>
                <w:rFonts w:ascii="宋体" w:hAnsi="宋体"/>
                <w:b/>
                <w:color w:val="000000"/>
              </w:rPr>
            </w:pPr>
          </w:p>
        </w:tc>
        <w:tc>
          <w:tcPr>
            <w:tcW w:w="989" w:type="dxa"/>
            <w:vMerge w:val="continue"/>
            <w:shd w:val="clear" w:color="auto" w:fill="auto"/>
            <w:vAlign w:val="center"/>
          </w:tcPr>
          <w:p w14:paraId="4BC2E1BC">
            <w:pPr>
              <w:pStyle w:val="30"/>
            </w:pPr>
          </w:p>
        </w:tc>
        <w:tc>
          <w:tcPr>
            <w:tcW w:w="7264" w:type="dxa"/>
            <w:gridSpan w:val="8"/>
            <w:shd w:val="clear" w:color="auto" w:fill="auto"/>
            <w:vAlign w:val="center"/>
          </w:tcPr>
          <w:p w14:paraId="69B3086E">
            <w:pPr>
              <w:rPr>
                <w:rFonts w:ascii="宋体" w:hAnsi="宋体"/>
                <w:b/>
              </w:rPr>
            </w:pPr>
          </w:p>
        </w:tc>
      </w:tr>
      <w:tr w14:paraId="2AB3D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1" w:hRule="atLeast"/>
        </w:trPr>
        <w:tc>
          <w:tcPr>
            <w:tcW w:w="413" w:type="dxa"/>
            <w:vMerge w:val="continue"/>
            <w:shd w:val="clear" w:color="auto" w:fill="auto"/>
            <w:vAlign w:val="center"/>
          </w:tcPr>
          <w:p w14:paraId="05565DA9">
            <w:pPr>
              <w:jc w:val="center"/>
              <w:rPr>
                <w:rFonts w:ascii="宋体" w:hAnsi="宋体"/>
                <w:b/>
                <w:color w:val="000000"/>
              </w:rPr>
            </w:pPr>
          </w:p>
        </w:tc>
        <w:tc>
          <w:tcPr>
            <w:tcW w:w="577" w:type="dxa"/>
            <w:vMerge w:val="continue"/>
            <w:shd w:val="clear" w:color="auto" w:fill="auto"/>
            <w:vAlign w:val="center"/>
          </w:tcPr>
          <w:p w14:paraId="430DD2FA">
            <w:pPr>
              <w:jc w:val="center"/>
              <w:rPr>
                <w:rFonts w:ascii="宋体" w:hAnsi="宋体"/>
                <w:b/>
                <w:color w:val="000000"/>
              </w:rPr>
            </w:pPr>
          </w:p>
        </w:tc>
        <w:tc>
          <w:tcPr>
            <w:tcW w:w="989" w:type="dxa"/>
            <w:vMerge w:val="continue"/>
            <w:shd w:val="clear" w:color="auto" w:fill="auto"/>
            <w:vAlign w:val="center"/>
          </w:tcPr>
          <w:p w14:paraId="7294DEE1">
            <w:pPr>
              <w:pStyle w:val="30"/>
            </w:pPr>
          </w:p>
        </w:tc>
        <w:tc>
          <w:tcPr>
            <w:tcW w:w="7264" w:type="dxa"/>
            <w:gridSpan w:val="8"/>
            <w:shd w:val="clear" w:color="auto" w:fill="auto"/>
            <w:vAlign w:val="center"/>
          </w:tcPr>
          <w:p w14:paraId="40199D50">
            <w:pPr>
              <w:rPr>
                <w:rFonts w:ascii="宋体" w:hAnsi="宋体"/>
                <w:b/>
              </w:rPr>
            </w:pPr>
          </w:p>
        </w:tc>
      </w:tr>
      <w:tr w14:paraId="4B626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 w:hRule="atLeast"/>
        </w:trPr>
        <w:tc>
          <w:tcPr>
            <w:tcW w:w="413" w:type="dxa"/>
            <w:vMerge w:val="continue"/>
            <w:shd w:val="clear" w:color="auto" w:fill="auto"/>
            <w:vAlign w:val="center"/>
          </w:tcPr>
          <w:p w14:paraId="2C155772">
            <w:pPr>
              <w:jc w:val="center"/>
              <w:rPr>
                <w:rFonts w:ascii="宋体" w:hAnsi="宋体"/>
                <w:b/>
                <w:color w:val="000000"/>
              </w:rPr>
            </w:pPr>
          </w:p>
        </w:tc>
        <w:tc>
          <w:tcPr>
            <w:tcW w:w="577" w:type="dxa"/>
            <w:vMerge w:val="restart"/>
            <w:shd w:val="clear" w:color="auto" w:fill="auto"/>
            <w:vAlign w:val="center"/>
          </w:tcPr>
          <w:p w14:paraId="1F408534">
            <w:pPr>
              <w:jc w:val="center"/>
              <w:rPr>
                <w:rFonts w:ascii="宋体" w:hAnsi="宋体"/>
                <w:b/>
                <w:color w:val="000000"/>
              </w:rPr>
            </w:pPr>
            <w:r>
              <w:rPr>
                <w:rFonts w:hint="eastAsia" w:ascii="宋体" w:hAnsi="宋体"/>
                <w:b/>
                <w:color w:val="000000"/>
              </w:rPr>
              <w:t>经办人</w:t>
            </w:r>
          </w:p>
        </w:tc>
        <w:tc>
          <w:tcPr>
            <w:tcW w:w="1704" w:type="dxa"/>
            <w:gridSpan w:val="2"/>
            <w:shd w:val="clear" w:color="auto" w:fill="auto"/>
            <w:vAlign w:val="center"/>
          </w:tcPr>
          <w:p w14:paraId="4438A6C4">
            <w:pPr>
              <w:jc w:val="center"/>
              <w:rPr>
                <w:rFonts w:ascii="宋体" w:hAnsi="宋体"/>
                <w:color w:val="000000"/>
              </w:rPr>
            </w:pPr>
            <w:r>
              <w:rPr>
                <w:rFonts w:hint="eastAsia" w:ascii="宋体" w:hAnsi="宋体"/>
                <w:color w:val="000000"/>
              </w:rPr>
              <w:t>姓名</w:t>
            </w:r>
          </w:p>
        </w:tc>
        <w:tc>
          <w:tcPr>
            <w:tcW w:w="2976" w:type="dxa"/>
            <w:gridSpan w:val="3"/>
            <w:shd w:val="clear" w:color="auto" w:fill="auto"/>
            <w:vAlign w:val="center"/>
          </w:tcPr>
          <w:p w14:paraId="1A4694E2">
            <w:pPr>
              <w:rPr>
                <w:rFonts w:ascii="宋体" w:hAnsi="宋体"/>
                <w:color w:val="000000"/>
              </w:rPr>
            </w:pPr>
          </w:p>
        </w:tc>
        <w:tc>
          <w:tcPr>
            <w:tcW w:w="1701" w:type="dxa"/>
            <w:gridSpan w:val="2"/>
            <w:shd w:val="clear" w:color="auto" w:fill="auto"/>
            <w:vAlign w:val="center"/>
          </w:tcPr>
          <w:p w14:paraId="1E9D5665">
            <w:pPr>
              <w:jc w:val="center"/>
              <w:rPr>
                <w:rFonts w:ascii="宋体" w:hAnsi="宋体"/>
                <w:color w:val="000000"/>
              </w:rPr>
            </w:pPr>
            <w:r>
              <w:rPr>
                <w:rFonts w:hint="eastAsia" w:ascii="宋体" w:hAnsi="宋体"/>
                <w:color w:val="000000"/>
              </w:rPr>
              <w:t>身份证号</w:t>
            </w:r>
          </w:p>
        </w:tc>
        <w:tc>
          <w:tcPr>
            <w:tcW w:w="1872" w:type="dxa"/>
            <w:gridSpan w:val="2"/>
            <w:shd w:val="clear" w:color="auto" w:fill="auto"/>
            <w:vAlign w:val="center"/>
          </w:tcPr>
          <w:p w14:paraId="6AF4AE99">
            <w:pPr>
              <w:rPr>
                <w:rFonts w:ascii="宋体" w:hAnsi="宋体"/>
                <w:color w:val="000000"/>
              </w:rPr>
            </w:pPr>
          </w:p>
        </w:tc>
      </w:tr>
      <w:tr w14:paraId="4EC2E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413" w:type="dxa"/>
            <w:vMerge w:val="continue"/>
            <w:shd w:val="clear" w:color="auto" w:fill="auto"/>
            <w:vAlign w:val="center"/>
          </w:tcPr>
          <w:p w14:paraId="3FF736DE">
            <w:pPr>
              <w:jc w:val="center"/>
              <w:rPr>
                <w:rFonts w:ascii="宋体" w:hAnsi="宋体"/>
                <w:b/>
                <w:color w:val="000000"/>
              </w:rPr>
            </w:pPr>
          </w:p>
        </w:tc>
        <w:tc>
          <w:tcPr>
            <w:tcW w:w="577" w:type="dxa"/>
            <w:vMerge w:val="continue"/>
            <w:shd w:val="clear" w:color="auto" w:fill="auto"/>
            <w:vAlign w:val="center"/>
          </w:tcPr>
          <w:p w14:paraId="1A965325">
            <w:pPr>
              <w:jc w:val="center"/>
              <w:rPr>
                <w:rFonts w:ascii="宋体" w:hAnsi="宋体"/>
                <w:b/>
                <w:color w:val="000000"/>
              </w:rPr>
            </w:pPr>
          </w:p>
        </w:tc>
        <w:tc>
          <w:tcPr>
            <w:tcW w:w="1704" w:type="dxa"/>
            <w:gridSpan w:val="2"/>
            <w:shd w:val="clear" w:color="auto" w:fill="auto"/>
            <w:vAlign w:val="center"/>
          </w:tcPr>
          <w:p w14:paraId="547C4871">
            <w:pPr>
              <w:jc w:val="center"/>
              <w:rPr>
                <w:rFonts w:ascii="宋体" w:hAnsi="宋体"/>
                <w:color w:val="000000"/>
              </w:rPr>
            </w:pPr>
            <w:r>
              <w:rPr>
                <w:rFonts w:hint="eastAsia" w:ascii="宋体" w:hAnsi="宋体"/>
                <w:color w:val="000000"/>
              </w:rPr>
              <w:t>手机（</w:t>
            </w:r>
            <w:r>
              <w:rPr>
                <w:rFonts w:ascii="宋体" w:hAnsi="宋体"/>
                <w:color w:val="000000"/>
              </w:rPr>
              <w:t>重要</w:t>
            </w:r>
            <w:r>
              <w:rPr>
                <w:rFonts w:hint="eastAsia" w:ascii="宋体" w:hAnsi="宋体"/>
                <w:color w:val="000000"/>
              </w:rPr>
              <w:t>）</w:t>
            </w:r>
          </w:p>
        </w:tc>
        <w:tc>
          <w:tcPr>
            <w:tcW w:w="2976" w:type="dxa"/>
            <w:gridSpan w:val="3"/>
            <w:shd w:val="clear" w:color="auto" w:fill="auto"/>
            <w:vAlign w:val="center"/>
          </w:tcPr>
          <w:p w14:paraId="32D4E1E2">
            <w:pPr>
              <w:jc w:val="center"/>
              <w:rPr>
                <w:rFonts w:ascii="宋体" w:hAnsi="宋体"/>
                <w:color w:val="000000"/>
              </w:rPr>
            </w:pPr>
          </w:p>
        </w:tc>
        <w:tc>
          <w:tcPr>
            <w:tcW w:w="1701" w:type="dxa"/>
            <w:gridSpan w:val="2"/>
            <w:shd w:val="clear" w:color="auto" w:fill="auto"/>
            <w:vAlign w:val="center"/>
          </w:tcPr>
          <w:p w14:paraId="061FCC95">
            <w:pPr>
              <w:jc w:val="center"/>
              <w:rPr>
                <w:rFonts w:ascii="宋体" w:hAnsi="宋体"/>
                <w:color w:val="000000"/>
              </w:rPr>
            </w:pPr>
            <w:r>
              <w:rPr>
                <w:rFonts w:hint="eastAsia" w:ascii="宋体" w:hAnsi="宋体"/>
                <w:color w:val="000000"/>
              </w:rPr>
              <w:t>固话（</w:t>
            </w:r>
            <w:r>
              <w:rPr>
                <w:rFonts w:ascii="宋体" w:hAnsi="宋体"/>
                <w:color w:val="000000"/>
              </w:rPr>
              <w:t>带区号</w:t>
            </w:r>
            <w:r>
              <w:rPr>
                <w:rFonts w:hint="eastAsia" w:ascii="宋体" w:hAnsi="宋体"/>
                <w:color w:val="000000"/>
              </w:rPr>
              <w:t>）</w:t>
            </w:r>
          </w:p>
        </w:tc>
        <w:tc>
          <w:tcPr>
            <w:tcW w:w="1872" w:type="dxa"/>
            <w:gridSpan w:val="2"/>
            <w:shd w:val="clear" w:color="auto" w:fill="auto"/>
            <w:vAlign w:val="center"/>
          </w:tcPr>
          <w:p w14:paraId="2122A3C4">
            <w:pPr>
              <w:rPr>
                <w:rFonts w:ascii="宋体" w:hAnsi="宋体"/>
                <w:color w:val="000000"/>
              </w:rPr>
            </w:pPr>
          </w:p>
        </w:tc>
      </w:tr>
      <w:tr w14:paraId="38D9C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13" w:type="dxa"/>
            <w:vMerge w:val="continue"/>
            <w:shd w:val="clear" w:color="auto" w:fill="auto"/>
            <w:vAlign w:val="center"/>
          </w:tcPr>
          <w:p w14:paraId="6F49E7C9">
            <w:pPr>
              <w:jc w:val="center"/>
              <w:rPr>
                <w:rFonts w:ascii="宋体" w:hAnsi="宋体"/>
                <w:b/>
                <w:color w:val="000000"/>
              </w:rPr>
            </w:pPr>
          </w:p>
        </w:tc>
        <w:tc>
          <w:tcPr>
            <w:tcW w:w="577" w:type="dxa"/>
            <w:vMerge w:val="continue"/>
            <w:shd w:val="clear" w:color="auto" w:fill="auto"/>
            <w:vAlign w:val="center"/>
          </w:tcPr>
          <w:p w14:paraId="10175505">
            <w:pPr>
              <w:jc w:val="center"/>
              <w:rPr>
                <w:rFonts w:ascii="宋体" w:hAnsi="宋体"/>
                <w:b/>
                <w:color w:val="000000"/>
              </w:rPr>
            </w:pPr>
          </w:p>
        </w:tc>
        <w:tc>
          <w:tcPr>
            <w:tcW w:w="1704" w:type="dxa"/>
            <w:gridSpan w:val="2"/>
            <w:shd w:val="clear" w:color="auto" w:fill="auto"/>
            <w:vAlign w:val="center"/>
          </w:tcPr>
          <w:p w14:paraId="0FA4617D">
            <w:pPr>
              <w:jc w:val="center"/>
              <w:rPr>
                <w:rFonts w:ascii="宋体" w:hAnsi="宋体"/>
                <w:color w:val="000000"/>
              </w:rPr>
            </w:pPr>
            <w:r>
              <w:rPr>
                <w:rFonts w:hint="eastAsia" w:ascii="宋体" w:hAnsi="宋体"/>
                <w:color w:val="000000"/>
              </w:rPr>
              <w:t>电子邮箱</w:t>
            </w:r>
          </w:p>
        </w:tc>
        <w:tc>
          <w:tcPr>
            <w:tcW w:w="2976" w:type="dxa"/>
            <w:gridSpan w:val="3"/>
            <w:shd w:val="clear" w:color="auto" w:fill="auto"/>
            <w:vAlign w:val="center"/>
          </w:tcPr>
          <w:p w14:paraId="013D1905">
            <w:pPr>
              <w:jc w:val="center"/>
              <w:rPr>
                <w:rFonts w:ascii="宋体" w:hAnsi="宋体"/>
                <w:color w:val="000000"/>
              </w:rPr>
            </w:pPr>
          </w:p>
        </w:tc>
        <w:tc>
          <w:tcPr>
            <w:tcW w:w="1701" w:type="dxa"/>
            <w:gridSpan w:val="2"/>
            <w:shd w:val="clear" w:color="auto" w:fill="auto"/>
            <w:vAlign w:val="center"/>
          </w:tcPr>
          <w:p w14:paraId="0B8E95FF">
            <w:pPr>
              <w:jc w:val="center"/>
              <w:rPr>
                <w:rFonts w:ascii="宋体" w:hAnsi="宋体"/>
                <w:color w:val="000000"/>
              </w:rPr>
            </w:pPr>
            <w:r>
              <w:rPr>
                <w:rFonts w:hint="eastAsia" w:ascii="宋体" w:hAnsi="宋体"/>
                <w:color w:val="000000"/>
              </w:rPr>
              <w:t>传真</w:t>
            </w:r>
          </w:p>
        </w:tc>
        <w:tc>
          <w:tcPr>
            <w:tcW w:w="1872" w:type="dxa"/>
            <w:gridSpan w:val="2"/>
            <w:shd w:val="clear" w:color="auto" w:fill="auto"/>
            <w:vAlign w:val="center"/>
          </w:tcPr>
          <w:p w14:paraId="5A42D51C">
            <w:pPr>
              <w:jc w:val="center"/>
              <w:rPr>
                <w:rFonts w:ascii="宋体" w:hAnsi="宋体"/>
                <w:color w:val="000000"/>
              </w:rPr>
            </w:pPr>
          </w:p>
        </w:tc>
      </w:tr>
      <w:tr w14:paraId="69DC4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9" w:hRule="atLeast"/>
        </w:trPr>
        <w:tc>
          <w:tcPr>
            <w:tcW w:w="413" w:type="dxa"/>
            <w:vMerge w:val="continue"/>
            <w:shd w:val="clear" w:color="auto" w:fill="auto"/>
            <w:vAlign w:val="center"/>
          </w:tcPr>
          <w:p w14:paraId="77E424C6">
            <w:pPr>
              <w:jc w:val="center"/>
              <w:rPr>
                <w:rFonts w:ascii="宋体" w:hAnsi="宋体"/>
                <w:b/>
                <w:color w:val="000000"/>
              </w:rPr>
            </w:pPr>
          </w:p>
        </w:tc>
        <w:tc>
          <w:tcPr>
            <w:tcW w:w="577" w:type="dxa"/>
            <w:vMerge w:val="continue"/>
            <w:shd w:val="clear" w:color="auto" w:fill="auto"/>
            <w:vAlign w:val="center"/>
          </w:tcPr>
          <w:p w14:paraId="023882AB">
            <w:pPr>
              <w:jc w:val="center"/>
              <w:rPr>
                <w:rFonts w:ascii="宋体" w:hAnsi="宋体"/>
                <w:b/>
                <w:color w:val="000000"/>
              </w:rPr>
            </w:pPr>
          </w:p>
        </w:tc>
        <w:tc>
          <w:tcPr>
            <w:tcW w:w="1704" w:type="dxa"/>
            <w:gridSpan w:val="2"/>
            <w:shd w:val="clear" w:color="auto" w:fill="auto"/>
            <w:vAlign w:val="center"/>
          </w:tcPr>
          <w:p w14:paraId="422A7AEC">
            <w:pPr>
              <w:jc w:val="center"/>
              <w:rPr>
                <w:rFonts w:ascii="宋体" w:hAnsi="宋体"/>
                <w:color w:val="000000"/>
              </w:rPr>
            </w:pPr>
            <w:r>
              <w:rPr>
                <w:rFonts w:hint="eastAsia" w:ascii="宋体" w:hAnsi="宋体"/>
                <w:color w:val="000000"/>
              </w:rPr>
              <w:t>证书领取方式</w:t>
            </w:r>
          </w:p>
        </w:tc>
        <w:tc>
          <w:tcPr>
            <w:tcW w:w="6549" w:type="dxa"/>
            <w:gridSpan w:val="7"/>
            <w:shd w:val="clear" w:color="auto" w:fill="auto"/>
            <w:vAlign w:val="center"/>
          </w:tcPr>
          <w:p w14:paraId="0C41E9F4">
            <w:pPr>
              <w:jc w:val="left"/>
              <w:rPr>
                <w:rFonts w:ascii="宋体" w:hAnsi="宋体"/>
                <w:color w:val="000000"/>
              </w:rPr>
            </w:pPr>
            <w:r>
              <w:rPr>
                <w:rFonts w:ascii="宋体" w:hAnsi="宋体"/>
                <w:color w:val="000000"/>
              </w:rPr>
              <w:t>□</w:t>
            </w:r>
            <w:r>
              <w:rPr>
                <w:rFonts w:hint="eastAsia" w:ascii="宋体" w:hAnsi="宋体"/>
                <w:color w:val="000000"/>
              </w:rPr>
              <w:t>来人领取</w:t>
            </w:r>
            <w:r>
              <w:rPr>
                <w:rFonts w:ascii="宋体" w:hAnsi="宋体"/>
                <w:color w:val="000000"/>
              </w:rPr>
              <w:t xml:space="preserve"> </w:t>
            </w:r>
          </w:p>
        </w:tc>
      </w:tr>
      <w:tr w14:paraId="31E97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9" w:hRule="atLeast"/>
        </w:trPr>
        <w:tc>
          <w:tcPr>
            <w:tcW w:w="413" w:type="dxa"/>
            <w:vMerge w:val="continue"/>
            <w:shd w:val="clear" w:color="auto" w:fill="auto"/>
            <w:vAlign w:val="center"/>
          </w:tcPr>
          <w:p w14:paraId="38EECD4F">
            <w:pPr>
              <w:jc w:val="center"/>
              <w:rPr>
                <w:rFonts w:ascii="宋体" w:hAnsi="宋体"/>
                <w:b/>
                <w:color w:val="000000"/>
              </w:rPr>
            </w:pPr>
          </w:p>
        </w:tc>
        <w:tc>
          <w:tcPr>
            <w:tcW w:w="577" w:type="dxa"/>
            <w:shd w:val="clear" w:color="auto" w:fill="auto"/>
            <w:vAlign w:val="center"/>
          </w:tcPr>
          <w:p w14:paraId="17141C29">
            <w:pPr>
              <w:jc w:val="center"/>
              <w:rPr>
                <w:rFonts w:ascii="宋体" w:hAnsi="宋体"/>
                <w:b/>
                <w:color w:val="000000"/>
              </w:rPr>
            </w:pPr>
            <w:r>
              <w:rPr>
                <w:rFonts w:hint="eastAsia" w:ascii="宋体" w:hAnsi="宋体"/>
                <w:b/>
                <w:color w:val="000000"/>
              </w:rPr>
              <w:t>用户须知</w:t>
            </w:r>
          </w:p>
        </w:tc>
        <w:tc>
          <w:tcPr>
            <w:tcW w:w="8253" w:type="dxa"/>
            <w:gridSpan w:val="9"/>
            <w:shd w:val="clear" w:color="auto" w:fill="auto"/>
            <w:vAlign w:val="center"/>
          </w:tcPr>
          <w:p w14:paraId="1C2F3BA1">
            <w:pPr>
              <w:numPr>
                <w:ilvl w:val="0"/>
                <w:numId w:val="30"/>
              </w:numPr>
              <w:spacing w:line="0" w:lineRule="atLeast"/>
              <w:rPr>
                <w:rFonts w:ascii="宋体" w:hAnsi="宋体"/>
                <w:b/>
                <w:color w:val="000000"/>
                <w:sz w:val="18"/>
              </w:rPr>
            </w:pPr>
            <w:r>
              <w:rPr>
                <w:rFonts w:hint="eastAsia" w:ascii="宋体" w:hAnsi="宋体"/>
                <w:b/>
                <w:color w:val="000000"/>
                <w:sz w:val="18"/>
              </w:rPr>
              <w:t>填写内容须真实、准确，字迹须清楚、整洁，建议使用电子打印方式。</w:t>
            </w:r>
          </w:p>
          <w:p w14:paraId="741B641F">
            <w:pPr>
              <w:numPr>
                <w:ilvl w:val="0"/>
                <w:numId w:val="30"/>
              </w:numPr>
              <w:spacing w:line="0" w:lineRule="atLeast"/>
              <w:rPr>
                <w:rFonts w:ascii="宋体" w:hAnsi="宋体"/>
                <w:b/>
                <w:color w:val="000000"/>
                <w:sz w:val="18"/>
              </w:rPr>
            </w:pPr>
            <w:r>
              <w:rPr>
                <w:rFonts w:hint="eastAsia" w:ascii="宋体" w:hAnsi="宋体"/>
                <w:b/>
                <w:color w:val="000000"/>
                <w:sz w:val="18"/>
              </w:rPr>
              <w:t>请仔细阅读后签署《CnSCA数字证书申请责任书》一份并加盖公章。</w:t>
            </w:r>
          </w:p>
          <w:p w14:paraId="338555AC">
            <w:pPr>
              <w:numPr>
                <w:ilvl w:val="0"/>
                <w:numId w:val="30"/>
              </w:numPr>
              <w:spacing w:line="0" w:lineRule="atLeast"/>
              <w:rPr>
                <w:rFonts w:ascii="宋体" w:hAnsi="宋体"/>
                <w:b/>
                <w:color w:val="000000"/>
                <w:sz w:val="18"/>
              </w:rPr>
            </w:pPr>
            <w:r>
              <w:rPr>
                <w:rFonts w:hint="eastAsia" w:ascii="宋体" w:hAnsi="宋体"/>
                <w:b/>
                <w:color w:val="000000"/>
                <w:sz w:val="18"/>
              </w:rPr>
              <w:t>提供加盖单位公章的《企业法人营业执照》</w:t>
            </w:r>
            <w:r>
              <w:rPr>
                <w:rFonts w:hint="eastAsia" w:ascii="宋体" w:hAnsi="宋体"/>
                <w:b/>
                <w:sz w:val="18"/>
              </w:rPr>
              <w:t>复印</w:t>
            </w:r>
            <w:r>
              <w:rPr>
                <w:rFonts w:hint="eastAsia" w:ascii="宋体" w:hAnsi="宋体"/>
                <w:b/>
                <w:color w:val="000000"/>
                <w:sz w:val="18"/>
              </w:rPr>
              <w:t>件各一份。</w:t>
            </w:r>
          </w:p>
          <w:p w14:paraId="243EF7FE">
            <w:pPr>
              <w:numPr>
                <w:ilvl w:val="0"/>
                <w:numId w:val="30"/>
              </w:numPr>
              <w:spacing w:line="0" w:lineRule="atLeast"/>
              <w:rPr>
                <w:rFonts w:ascii="宋体" w:hAnsi="宋体"/>
                <w:b/>
                <w:color w:val="000000"/>
                <w:sz w:val="18"/>
              </w:rPr>
            </w:pPr>
            <w:r>
              <w:rPr>
                <w:rFonts w:hint="eastAsia" w:ascii="宋体" w:hAnsi="宋体"/>
                <w:b/>
                <w:color w:val="000000"/>
                <w:sz w:val="18"/>
              </w:rPr>
              <w:t>提供业务申请流程中需要的其它资料。</w:t>
            </w:r>
          </w:p>
          <w:p w14:paraId="52893A61">
            <w:pPr>
              <w:numPr>
                <w:ilvl w:val="0"/>
                <w:numId w:val="30"/>
              </w:numPr>
              <w:spacing w:line="0" w:lineRule="atLeast"/>
              <w:rPr>
                <w:rFonts w:ascii="宋体" w:hAnsi="宋体"/>
                <w:b/>
                <w:color w:val="000000"/>
                <w:sz w:val="20"/>
              </w:rPr>
            </w:pPr>
            <w:r>
              <w:rPr>
                <w:rFonts w:hint="eastAsia" w:ascii="宋体" w:hAnsi="宋体"/>
                <w:b/>
                <w:color w:val="000000"/>
                <w:sz w:val="18"/>
              </w:rPr>
              <w:t>证书的有效期从签发日开始计算。</w:t>
            </w:r>
          </w:p>
        </w:tc>
      </w:tr>
      <w:tr w14:paraId="185DE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6" w:hRule="atLeast"/>
        </w:trPr>
        <w:tc>
          <w:tcPr>
            <w:tcW w:w="413" w:type="dxa"/>
            <w:vMerge w:val="continue"/>
            <w:shd w:val="clear" w:color="auto" w:fill="auto"/>
            <w:vAlign w:val="center"/>
          </w:tcPr>
          <w:p w14:paraId="203682F0">
            <w:pPr>
              <w:jc w:val="center"/>
              <w:rPr>
                <w:rFonts w:ascii="宋体" w:hAnsi="宋体"/>
                <w:b/>
                <w:color w:val="000000"/>
              </w:rPr>
            </w:pPr>
          </w:p>
        </w:tc>
        <w:tc>
          <w:tcPr>
            <w:tcW w:w="577" w:type="dxa"/>
            <w:shd w:val="clear" w:color="auto" w:fill="auto"/>
            <w:vAlign w:val="center"/>
          </w:tcPr>
          <w:p w14:paraId="3385B75C">
            <w:pPr>
              <w:jc w:val="center"/>
              <w:rPr>
                <w:rFonts w:ascii="宋体" w:hAnsi="宋体"/>
                <w:b/>
                <w:color w:val="000000"/>
              </w:rPr>
            </w:pPr>
            <w:r>
              <w:rPr>
                <w:rFonts w:hint="eastAsia" w:ascii="宋体" w:hAnsi="宋体"/>
                <w:b/>
                <w:color w:val="000000"/>
              </w:rPr>
              <w:t>郑重承诺</w:t>
            </w:r>
          </w:p>
        </w:tc>
        <w:tc>
          <w:tcPr>
            <w:tcW w:w="8253" w:type="dxa"/>
            <w:gridSpan w:val="9"/>
            <w:shd w:val="clear" w:color="auto" w:fill="auto"/>
          </w:tcPr>
          <w:p w14:paraId="24D95C04">
            <w:pPr>
              <w:spacing w:before="100" w:beforeAutospacing="1"/>
              <w:ind w:firstLine="437"/>
              <w:rPr>
                <w:rFonts w:ascii="宋体" w:hAnsi="宋体"/>
                <w:b/>
                <w:color w:val="000000"/>
                <w:sz w:val="18"/>
              </w:rPr>
            </w:pPr>
            <w:r>
              <w:rPr>
                <w:rFonts w:hint="eastAsia" w:ascii="宋体" w:hAnsi="宋体"/>
                <w:b/>
                <w:color w:val="000000"/>
                <w:sz w:val="18"/>
              </w:rPr>
              <w:t>本单位已认真阅读并签署了《CnSCA数字证书申请责任书》，愿意接受责任条款中的各项规定，承诺填写的内容真实准确。如选择邮寄方式领取，本单位承诺在邮寄过程中造成的证书遗失、损坏及其引起的后果由本单位自行承担。</w:t>
            </w:r>
          </w:p>
          <w:p w14:paraId="610292BA">
            <w:pPr>
              <w:rPr>
                <w:rFonts w:ascii="宋体" w:hAnsi="宋体"/>
                <w:b/>
                <w:color w:val="000000"/>
                <w:sz w:val="18"/>
              </w:rPr>
            </w:pPr>
            <w:r>
              <w:rPr>
                <w:rFonts w:hint="eastAsia" w:ascii="宋体" w:hAnsi="宋体"/>
                <w:b/>
                <w:color w:val="000000"/>
                <w:sz w:val="18"/>
              </w:rPr>
              <w:t xml:space="preserve">  经办人签名：                               申请单位盖章（单位公章）：</w:t>
            </w:r>
          </w:p>
          <w:p w14:paraId="3022AE46">
            <w:pPr>
              <w:rPr>
                <w:rFonts w:ascii="宋体" w:hAnsi="宋体"/>
                <w:b/>
                <w:color w:val="000000"/>
                <w:sz w:val="18"/>
              </w:rPr>
            </w:pPr>
            <w:r>
              <w:rPr>
                <w:rFonts w:hint="eastAsia" w:ascii="宋体" w:hAnsi="宋体"/>
                <w:b/>
                <w:color w:val="000000"/>
                <w:sz w:val="18"/>
              </w:rPr>
              <w:t xml:space="preserve">         年     月     日                    </w:t>
            </w:r>
            <w:r>
              <w:rPr>
                <w:rFonts w:ascii="宋体" w:hAnsi="宋体"/>
                <w:b/>
                <w:color w:val="000000"/>
                <w:sz w:val="18"/>
              </w:rPr>
              <w:t xml:space="preserve">                     </w:t>
            </w:r>
            <w:r>
              <w:rPr>
                <w:rFonts w:hint="eastAsia" w:ascii="宋体" w:hAnsi="宋体"/>
                <w:b/>
                <w:color w:val="000000"/>
                <w:sz w:val="18"/>
              </w:rPr>
              <w:t xml:space="preserve">      年     月     日</w:t>
            </w:r>
          </w:p>
        </w:tc>
      </w:tr>
      <w:tr w14:paraId="169B3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4" w:hRule="atLeast"/>
        </w:trPr>
        <w:tc>
          <w:tcPr>
            <w:tcW w:w="990" w:type="dxa"/>
            <w:gridSpan w:val="2"/>
            <w:shd w:val="clear" w:color="auto" w:fill="auto"/>
            <w:vAlign w:val="center"/>
          </w:tcPr>
          <w:p w14:paraId="2DF4F3EF">
            <w:pPr>
              <w:jc w:val="center"/>
              <w:rPr>
                <w:rFonts w:ascii="宋体" w:hAnsi="宋体"/>
                <w:b/>
                <w:color w:val="000000"/>
              </w:rPr>
            </w:pPr>
            <w:r>
              <w:rPr>
                <w:rFonts w:hint="eastAsia" w:ascii="宋体" w:hAnsi="宋体"/>
                <w:b/>
                <w:color w:val="000000"/>
              </w:rPr>
              <w:t>上交所</w:t>
            </w:r>
          </w:p>
          <w:p w14:paraId="06A37E73">
            <w:pPr>
              <w:jc w:val="center"/>
              <w:rPr>
                <w:rFonts w:ascii="宋体" w:hAnsi="宋体"/>
                <w:b/>
                <w:color w:val="000000"/>
              </w:rPr>
            </w:pPr>
            <w:r>
              <w:rPr>
                <w:rFonts w:hint="eastAsia" w:ascii="宋体" w:hAnsi="宋体"/>
                <w:b/>
                <w:color w:val="000000"/>
              </w:rPr>
              <w:t>业务审</w:t>
            </w:r>
          </w:p>
          <w:p w14:paraId="05D65D24">
            <w:pPr>
              <w:jc w:val="center"/>
              <w:rPr>
                <w:rFonts w:ascii="宋体" w:hAnsi="宋体"/>
                <w:b/>
                <w:color w:val="000000"/>
              </w:rPr>
            </w:pPr>
            <w:r>
              <w:rPr>
                <w:rFonts w:hint="eastAsia" w:ascii="宋体" w:hAnsi="宋体"/>
                <w:b/>
                <w:color w:val="000000"/>
              </w:rPr>
              <w:t>核部门</w:t>
            </w:r>
          </w:p>
          <w:p w14:paraId="065695F6">
            <w:pPr>
              <w:jc w:val="center"/>
              <w:rPr>
                <w:rFonts w:ascii="宋体" w:hAnsi="宋体"/>
                <w:b/>
                <w:color w:val="000000"/>
              </w:rPr>
            </w:pPr>
            <w:r>
              <w:rPr>
                <w:rFonts w:hint="eastAsia" w:ascii="宋体" w:hAnsi="宋体"/>
                <w:b/>
                <w:color w:val="000000"/>
              </w:rPr>
              <w:t>填写</w:t>
            </w:r>
          </w:p>
        </w:tc>
        <w:tc>
          <w:tcPr>
            <w:tcW w:w="8253" w:type="dxa"/>
            <w:gridSpan w:val="9"/>
            <w:shd w:val="clear" w:color="auto" w:fill="auto"/>
            <w:vAlign w:val="center"/>
          </w:tcPr>
          <w:p w14:paraId="75FA13EC">
            <w:pPr>
              <w:spacing w:line="0" w:lineRule="atLeast"/>
              <w:ind w:firstLine="90" w:firstLineChars="50"/>
              <w:rPr>
                <w:rFonts w:ascii="宋体" w:hAnsi="宋体"/>
                <w:b/>
                <w:color w:val="000000"/>
                <w:sz w:val="18"/>
                <w:u w:val="single"/>
              </w:rPr>
            </w:pPr>
            <w:r>
              <w:rPr>
                <w:rFonts w:hint="eastAsia" w:ascii="宋体" w:hAnsi="宋体"/>
                <w:b/>
                <w:color w:val="000000"/>
                <w:sz w:val="18"/>
              </w:rPr>
              <w:t>审核意见：</w:t>
            </w:r>
            <w:r>
              <w:rPr>
                <w:rFonts w:ascii="宋体" w:hAnsi="宋体"/>
                <w:b/>
                <w:color w:val="000000"/>
                <w:sz w:val="18"/>
              </w:rPr>
              <w:t xml:space="preserve">  </w:t>
            </w:r>
            <w:r>
              <w:rPr>
                <w:rFonts w:hint="eastAsia" w:ascii="宋体" w:hAnsi="宋体"/>
                <w:b/>
                <w:color w:val="000000"/>
              </w:rPr>
              <w:t>□</w:t>
            </w:r>
            <w:r>
              <w:rPr>
                <w:rFonts w:hint="eastAsia" w:ascii="宋体" w:hAnsi="宋体"/>
                <w:b/>
                <w:color w:val="000000"/>
                <w:sz w:val="18"/>
              </w:rPr>
              <w:t>审核</w:t>
            </w:r>
            <w:r>
              <w:rPr>
                <w:rFonts w:ascii="宋体" w:hAnsi="宋体"/>
                <w:b/>
                <w:color w:val="000000"/>
                <w:sz w:val="18"/>
              </w:rPr>
              <w:t>通过</w:t>
            </w:r>
            <w:r>
              <w:rPr>
                <w:rFonts w:hint="eastAsia" w:ascii="宋体" w:hAnsi="宋体"/>
                <w:b/>
                <w:color w:val="000000"/>
                <w:sz w:val="18"/>
              </w:rPr>
              <w:t xml:space="preserve">    </w:t>
            </w:r>
            <w:r>
              <w:rPr>
                <w:rFonts w:hint="eastAsia" w:ascii="宋体" w:hAnsi="宋体"/>
                <w:b/>
                <w:color w:val="000000"/>
              </w:rPr>
              <w:t>□</w:t>
            </w:r>
            <w:r>
              <w:rPr>
                <w:rFonts w:hint="eastAsia" w:ascii="宋体" w:hAnsi="宋体"/>
                <w:b/>
                <w:color w:val="000000"/>
                <w:sz w:val="18"/>
              </w:rPr>
              <w:t>审核</w:t>
            </w:r>
            <w:r>
              <w:rPr>
                <w:rFonts w:ascii="宋体" w:hAnsi="宋体"/>
                <w:b/>
                <w:color w:val="000000"/>
                <w:sz w:val="18"/>
              </w:rPr>
              <w:t>不通过</w:t>
            </w:r>
            <w:r>
              <w:rPr>
                <w:rFonts w:hint="eastAsia" w:ascii="宋体" w:hAnsi="宋体"/>
                <w:b/>
                <w:color w:val="000000"/>
                <w:sz w:val="18"/>
              </w:rPr>
              <w:t>，原因</w:t>
            </w:r>
            <w:r>
              <w:rPr>
                <w:rFonts w:ascii="宋体" w:hAnsi="宋体"/>
                <w:b/>
                <w:color w:val="000000"/>
                <w:sz w:val="18"/>
              </w:rPr>
              <w:t>：</w:t>
            </w:r>
            <w:r>
              <w:rPr>
                <w:rFonts w:hint="eastAsia" w:ascii="宋体" w:hAnsi="宋体"/>
                <w:b/>
                <w:color w:val="000000"/>
                <w:sz w:val="18"/>
              </w:rPr>
              <w:t xml:space="preserve"> </w:t>
            </w:r>
            <w:r>
              <w:rPr>
                <w:rFonts w:hint="eastAsia" w:ascii="宋体" w:hAnsi="宋体"/>
                <w:b/>
                <w:color w:val="000000"/>
                <w:sz w:val="18"/>
                <w:u w:val="single"/>
              </w:rPr>
              <w:t xml:space="preserve"> </w:t>
            </w:r>
            <w:r>
              <w:rPr>
                <w:rFonts w:ascii="宋体" w:hAnsi="宋体"/>
                <w:b/>
                <w:color w:val="000000"/>
                <w:sz w:val="18"/>
                <w:u w:val="single"/>
              </w:rPr>
              <w:t xml:space="preserve">          </w:t>
            </w:r>
            <w:r>
              <w:rPr>
                <w:rFonts w:hint="eastAsia" w:ascii="宋体" w:hAnsi="宋体"/>
                <w:b/>
                <w:color w:val="000000"/>
                <w:sz w:val="18"/>
                <w:u w:val="single"/>
              </w:rPr>
              <w:t xml:space="preserve">                              </w:t>
            </w:r>
          </w:p>
          <w:p w14:paraId="6545E309">
            <w:pPr>
              <w:spacing w:line="0" w:lineRule="atLeast"/>
              <w:rPr>
                <w:rFonts w:ascii="宋体" w:hAnsi="宋体"/>
                <w:b/>
                <w:color w:val="000000"/>
                <w:sz w:val="18"/>
              </w:rPr>
            </w:pPr>
            <w:r>
              <w:rPr>
                <w:rFonts w:hint="eastAsia" w:ascii="宋体" w:hAnsi="宋体"/>
                <w:b/>
                <w:color w:val="000000"/>
                <w:sz w:val="18"/>
              </w:rPr>
              <w:t xml:space="preserve">   </w:t>
            </w:r>
          </w:p>
          <w:p w14:paraId="42F7CE0A">
            <w:pPr>
              <w:spacing w:line="0" w:lineRule="atLeast"/>
              <w:ind w:firstLine="90" w:firstLineChars="50"/>
              <w:rPr>
                <w:rFonts w:ascii="宋体" w:hAnsi="宋体"/>
                <w:b/>
                <w:color w:val="000000"/>
                <w:sz w:val="18"/>
                <w:u w:val="single"/>
              </w:rPr>
            </w:pPr>
            <w:r>
              <w:rPr>
                <w:rFonts w:hint="eastAsia" w:ascii="宋体" w:hAnsi="宋体"/>
                <w:b/>
                <w:color w:val="000000"/>
                <w:sz w:val="18"/>
              </w:rPr>
              <w:t>为用户</w:t>
            </w:r>
            <w:r>
              <w:rPr>
                <w:rFonts w:ascii="宋体" w:hAnsi="宋体"/>
                <w:b/>
                <w:color w:val="000000"/>
                <w:sz w:val="18"/>
              </w:rPr>
              <w:t>分配的</w:t>
            </w:r>
            <w:r>
              <w:rPr>
                <w:rFonts w:hint="eastAsia" w:ascii="宋体" w:hAnsi="宋体"/>
                <w:b/>
                <w:color w:val="000000"/>
                <w:sz w:val="18"/>
              </w:rPr>
              <w:t>应用标识为：</w:t>
            </w:r>
            <w:r>
              <w:rPr>
                <w:rFonts w:hint="eastAsia" w:ascii="宋体" w:hAnsi="宋体"/>
                <w:b/>
                <w:color w:val="000000"/>
                <w:sz w:val="18"/>
                <w:u w:val="single"/>
              </w:rPr>
              <w:t xml:space="preserve">                               </w:t>
            </w:r>
          </w:p>
          <w:p w14:paraId="5316383A">
            <w:pPr>
              <w:spacing w:line="0" w:lineRule="atLeast"/>
              <w:rPr>
                <w:rFonts w:ascii="宋体" w:hAnsi="宋体"/>
                <w:b/>
                <w:color w:val="000000"/>
                <w:sz w:val="18"/>
                <w:u w:val="single"/>
              </w:rPr>
            </w:pPr>
          </w:p>
          <w:p w14:paraId="3564AEBF">
            <w:pPr>
              <w:spacing w:line="0" w:lineRule="atLeast"/>
              <w:rPr>
                <w:rFonts w:ascii="宋体" w:hAnsi="宋体"/>
                <w:b/>
                <w:color w:val="000000"/>
              </w:rPr>
            </w:pPr>
            <w:r>
              <w:rPr>
                <w:rFonts w:hint="eastAsia" w:ascii="宋体" w:hAnsi="宋体"/>
                <w:b/>
                <w:color w:val="000000"/>
                <w:sz w:val="18"/>
              </w:rPr>
              <w:t>审核部门：</w:t>
            </w:r>
            <w:r>
              <w:rPr>
                <w:rFonts w:hint="eastAsia" w:ascii="宋体" w:hAnsi="宋体"/>
                <w:b/>
                <w:color w:val="000000"/>
                <w:sz w:val="18"/>
                <w:u w:val="single"/>
              </w:rPr>
              <w:t xml:space="preserve">                  </w:t>
            </w:r>
            <w:r>
              <w:rPr>
                <w:rFonts w:hint="eastAsia" w:ascii="宋体" w:hAnsi="宋体"/>
                <w:b/>
                <w:color w:val="000000"/>
                <w:sz w:val="18"/>
              </w:rPr>
              <w:t>审核人员签字：</w:t>
            </w:r>
            <w:r>
              <w:rPr>
                <w:rFonts w:hint="eastAsia" w:ascii="宋体" w:hAnsi="宋体"/>
                <w:b/>
                <w:color w:val="000000"/>
                <w:sz w:val="18"/>
                <w:u w:val="single"/>
              </w:rPr>
              <w:t xml:space="preserve">              </w:t>
            </w:r>
            <w:r>
              <w:rPr>
                <w:rFonts w:hint="eastAsia" w:ascii="宋体" w:hAnsi="宋体"/>
                <w:b/>
                <w:color w:val="000000"/>
                <w:sz w:val="18"/>
              </w:rPr>
              <w:t xml:space="preserve">   时间：</w:t>
            </w:r>
            <w:r>
              <w:rPr>
                <w:rFonts w:hint="eastAsia" w:ascii="宋体" w:hAnsi="宋体"/>
                <w:b/>
                <w:color w:val="000000"/>
                <w:sz w:val="18"/>
                <w:u w:val="single"/>
              </w:rPr>
              <w:t xml:space="preserve">      年   月   日</w:t>
            </w:r>
          </w:p>
        </w:tc>
      </w:tr>
      <w:tr w14:paraId="13EFF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990" w:type="dxa"/>
            <w:gridSpan w:val="2"/>
            <w:shd w:val="clear" w:color="auto" w:fill="auto"/>
            <w:vAlign w:val="center"/>
          </w:tcPr>
          <w:p w14:paraId="2681AFF9">
            <w:pPr>
              <w:jc w:val="center"/>
              <w:rPr>
                <w:rFonts w:ascii="宋体" w:hAnsi="宋体"/>
                <w:b/>
                <w:color w:val="000000"/>
              </w:rPr>
            </w:pPr>
            <w:r>
              <w:rPr>
                <w:rFonts w:hint="eastAsia" w:ascii="宋体" w:hAnsi="宋体"/>
                <w:b/>
                <w:color w:val="000000"/>
              </w:rPr>
              <w:t>CA中心填写</w:t>
            </w:r>
          </w:p>
        </w:tc>
        <w:tc>
          <w:tcPr>
            <w:tcW w:w="8253" w:type="dxa"/>
            <w:gridSpan w:val="9"/>
            <w:shd w:val="clear" w:color="auto" w:fill="auto"/>
            <w:vAlign w:val="center"/>
          </w:tcPr>
          <w:p w14:paraId="36C2AF14">
            <w:pPr>
              <w:ind w:firstLine="435"/>
              <w:rPr>
                <w:rFonts w:ascii="宋体" w:hAnsi="宋体"/>
                <w:b/>
                <w:color w:val="000000"/>
                <w:sz w:val="18"/>
                <w:szCs w:val="18"/>
              </w:rPr>
            </w:pPr>
            <w:r>
              <w:rPr>
                <w:rFonts w:hint="eastAsia" w:ascii="宋体" w:hAnsi="宋体"/>
                <w:b/>
                <w:color w:val="000000"/>
                <w:sz w:val="18"/>
                <w:szCs w:val="18"/>
              </w:rPr>
              <w:t>CA中心备注信息：</w:t>
            </w:r>
          </w:p>
          <w:p w14:paraId="2343760A">
            <w:pPr>
              <w:ind w:firstLine="435"/>
              <w:rPr>
                <w:rFonts w:ascii="宋体" w:hAnsi="宋体"/>
                <w:b/>
                <w:color w:val="000000"/>
                <w:sz w:val="18"/>
                <w:szCs w:val="18"/>
              </w:rPr>
            </w:pPr>
            <w:r>
              <w:rPr>
                <w:rFonts w:hint="eastAsia" w:ascii="宋体" w:hAnsi="宋体"/>
                <w:b/>
                <w:color w:val="000000"/>
                <w:sz w:val="18"/>
                <w:szCs w:val="18"/>
              </w:rPr>
              <w:t>CA中心经办人签字：</w:t>
            </w:r>
            <w:r>
              <w:rPr>
                <w:rFonts w:hint="eastAsia" w:ascii="宋体" w:hAnsi="宋体"/>
                <w:b/>
                <w:color w:val="000000"/>
                <w:sz w:val="18"/>
                <w:szCs w:val="18"/>
                <w:u w:val="single"/>
              </w:rPr>
              <w:t xml:space="preserve">                       </w:t>
            </w:r>
            <w:r>
              <w:rPr>
                <w:rFonts w:hint="eastAsia" w:ascii="宋体" w:hAnsi="宋体"/>
                <w:b/>
                <w:color w:val="000000"/>
                <w:sz w:val="18"/>
                <w:szCs w:val="18"/>
              </w:rPr>
              <w:t xml:space="preserve">   日期：</w:t>
            </w:r>
            <w:r>
              <w:rPr>
                <w:rFonts w:hint="eastAsia" w:ascii="宋体" w:hAnsi="宋体"/>
                <w:b/>
                <w:color w:val="000000"/>
                <w:sz w:val="18"/>
                <w:szCs w:val="18"/>
                <w:u w:val="single"/>
              </w:rPr>
              <w:t xml:space="preserve">                        </w:t>
            </w:r>
            <w:r>
              <w:rPr>
                <w:rFonts w:hint="eastAsia" w:ascii="宋体" w:hAnsi="宋体"/>
                <w:b/>
                <w:color w:val="000000"/>
                <w:sz w:val="18"/>
                <w:szCs w:val="18"/>
              </w:rPr>
              <w:t xml:space="preserve"> </w:t>
            </w:r>
          </w:p>
        </w:tc>
      </w:tr>
    </w:tbl>
    <w:p w14:paraId="5D41A24B">
      <w:pPr>
        <w:widowControl/>
        <w:jc w:val="left"/>
        <w:rPr>
          <w:rFonts w:ascii="仿宋_GB2312" w:hAnsi="仿宋" w:eastAsia="仿宋_GB2312"/>
          <w:b/>
          <w:bCs/>
          <w:sz w:val="30"/>
          <w:szCs w:val="30"/>
        </w:rPr>
      </w:pPr>
    </w:p>
    <w:p w14:paraId="6E37ABFC">
      <w:pPr>
        <w:widowControl/>
        <w:jc w:val="left"/>
        <w:rPr>
          <w:rFonts w:ascii="仿宋_GB2312" w:hAnsi="仿宋" w:eastAsia="仿宋_GB2312"/>
          <w:b/>
          <w:bCs/>
          <w:sz w:val="30"/>
          <w:szCs w:val="30"/>
        </w:rPr>
      </w:pPr>
      <w:r>
        <w:rPr>
          <w:rFonts w:ascii="仿宋_GB2312" w:hAnsi="仿宋" w:eastAsia="仿宋_GB2312"/>
          <w:b/>
          <w:bCs/>
          <w:sz w:val="30"/>
          <w:szCs w:val="30"/>
        </w:rPr>
        <w:br w:type="page"/>
      </w:r>
    </w:p>
    <w:p w14:paraId="0DA6172F">
      <w:pPr>
        <w:widowControl/>
        <w:jc w:val="left"/>
        <w:outlineLvl w:val="1"/>
        <w:rPr>
          <w:rFonts w:ascii="仿宋_GB2312" w:hAnsi="黑体" w:eastAsia="仿宋_GB2312"/>
          <w:b/>
          <w:sz w:val="30"/>
          <w:szCs w:val="30"/>
        </w:rPr>
      </w:pPr>
      <w:bookmarkStart w:id="3995" w:name="_Toc525558644"/>
      <w:bookmarkStart w:id="3996" w:name="_Toc127219607"/>
      <w:bookmarkStart w:id="3997" w:name="_Toc151137118"/>
      <w:bookmarkStart w:id="3998" w:name="_Toc1574805650"/>
      <w:bookmarkStart w:id="3999" w:name="_Toc1272501542"/>
      <w:r>
        <w:rPr>
          <w:rFonts w:hint="eastAsia" w:ascii="仿宋_GB2312" w:hAnsi="黑体" w:eastAsia="仿宋_GB2312"/>
          <w:b/>
          <w:sz w:val="30"/>
          <w:szCs w:val="30"/>
        </w:rPr>
        <w:t>附件35 拟参与债券担保品处置的指定报价团成员名单</w:t>
      </w:r>
      <w:bookmarkEnd w:id="3995"/>
      <w:bookmarkEnd w:id="3996"/>
      <w:bookmarkEnd w:id="3997"/>
      <w:bookmarkEnd w:id="3998"/>
      <w:bookmarkEnd w:id="3999"/>
    </w:p>
    <w:p w14:paraId="232C8245">
      <w:pPr>
        <w:spacing w:line="560" w:lineRule="exact"/>
        <w:jc w:val="center"/>
        <w:rPr>
          <w:rFonts w:ascii="黑体" w:hAnsi="黑体" w:eastAsia="黑体"/>
          <w:b/>
          <w:sz w:val="44"/>
          <w:szCs w:val="44"/>
        </w:rPr>
      </w:pPr>
    </w:p>
    <w:p w14:paraId="07F319D4">
      <w:pPr>
        <w:spacing w:line="560" w:lineRule="exact"/>
        <w:jc w:val="center"/>
        <w:rPr>
          <w:rFonts w:ascii="黑体" w:hAnsi="黑体" w:eastAsia="黑体"/>
          <w:b/>
          <w:sz w:val="44"/>
          <w:szCs w:val="44"/>
        </w:rPr>
      </w:pPr>
      <w:r>
        <w:rPr>
          <w:rFonts w:hint="eastAsia" w:ascii="黑体" w:hAnsi="黑体" w:eastAsia="黑体"/>
          <w:b/>
          <w:sz w:val="44"/>
          <w:szCs w:val="44"/>
        </w:rPr>
        <w:t>拟参与债券担保品处置的指定报价团</w:t>
      </w:r>
    </w:p>
    <w:p w14:paraId="22D0B7A0">
      <w:pPr>
        <w:spacing w:line="560" w:lineRule="exact"/>
        <w:jc w:val="center"/>
        <w:rPr>
          <w:rFonts w:ascii="黑体" w:hAnsi="黑体" w:eastAsia="黑体"/>
          <w:b/>
          <w:sz w:val="32"/>
          <w:szCs w:val="32"/>
        </w:rPr>
      </w:pPr>
      <w:r>
        <w:rPr>
          <w:rFonts w:hint="eastAsia" w:ascii="黑体" w:hAnsi="黑体" w:eastAsia="黑体"/>
          <w:b/>
          <w:sz w:val="44"/>
          <w:szCs w:val="44"/>
        </w:rPr>
        <w:t>成员名单</w:t>
      </w:r>
    </w:p>
    <w:tbl>
      <w:tblPr>
        <w:tblStyle w:val="43"/>
        <w:tblW w:w="9684" w:type="dxa"/>
        <w:tblInd w:w="-318"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894"/>
        <w:gridCol w:w="3785"/>
        <w:gridCol w:w="2126"/>
        <w:gridCol w:w="2879"/>
      </w:tblGrid>
      <w:tr w14:paraId="0983EA3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30" w:hRule="atLeast"/>
        </w:trPr>
        <w:tc>
          <w:tcPr>
            <w:tcW w:w="894" w:type="dxa"/>
            <w:noWrap/>
            <w:tcMar>
              <w:top w:w="0" w:type="dxa"/>
              <w:left w:w="108" w:type="dxa"/>
              <w:bottom w:w="0" w:type="dxa"/>
              <w:right w:w="108" w:type="dxa"/>
            </w:tcMar>
            <w:vAlign w:val="center"/>
          </w:tcPr>
          <w:p w14:paraId="642AA53E">
            <w:pPr>
              <w:spacing w:line="560" w:lineRule="exact"/>
              <w:jc w:val="center"/>
              <w:rPr>
                <w:rFonts w:ascii="仿宋_GB2312" w:eastAsia="仿宋_GB2312"/>
                <w:sz w:val="28"/>
                <w:szCs w:val="28"/>
              </w:rPr>
            </w:pPr>
            <w:r>
              <w:rPr>
                <w:rFonts w:hint="eastAsia" w:ascii="仿宋_GB2312" w:eastAsia="仿宋_GB2312"/>
                <w:sz w:val="28"/>
                <w:szCs w:val="28"/>
              </w:rPr>
              <w:t>序号</w:t>
            </w:r>
          </w:p>
        </w:tc>
        <w:tc>
          <w:tcPr>
            <w:tcW w:w="3785" w:type="dxa"/>
            <w:noWrap/>
            <w:tcMar>
              <w:top w:w="0" w:type="dxa"/>
              <w:left w:w="108" w:type="dxa"/>
              <w:bottom w:w="0" w:type="dxa"/>
              <w:right w:w="108" w:type="dxa"/>
            </w:tcMar>
            <w:vAlign w:val="center"/>
          </w:tcPr>
          <w:p w14:paraId="19B194CA">
            <w:pPr>
              <w:spacing w:line="560" w:lineRule="exact"/>
              <w:jc w:val="center"/>
              <w:rPr>
                <w:rFonts w:ascii="仿宋_GB2312" w:eastAsia="仿宋_GB2312"/>
                <w:sz w:val="28"/>
                <w:szCs w:val="28"/>
              </w:rPr>
            </w:pPr>
            <w:r>
              <w:rPr>
                <w:rFonts w:hint="eastAsia" w:ascii="仿宋_GB2312" w:eastAsia="仿宋_GB2312"/>
                <w:sz w:val="28"/>
                <w:szCs w:val="28"/>
              </w:rPr>
              <w:t>单位名称</w:t>
            </w:r>
          </w:p>
        </w:tc>
        <w:tc>
          <w:tcPr>
            <w:tcW w:w="2126" w:type="dxa"/>
            <w:noWrap/>
            <w:tcMar>
              <w:top w:w="0" w:type="dxa"/>
              <w:left w:w="108" w:type="dxa"/>
              <w:bottom w:w="0" w:type="dxa"/>
              <w:right w:w="108" w:type="dxa"/>
            </w:tcMar>
            <w:vAlign w:val="center"/>
          </w:tcPr>
          <w:p w14:paraId="7D725437">
            <w:pPr>
              <w:spacing w:line="560" w:lineRule="exact"/>
              <w:jc w:val="center"/>
              <w:rPr>
                <w:rFonts w:ascii="仿宋_GB2312" w:eastAsia="仿宋_GB2312"/>
                <w:sz w:val="28"/>
                <w:szCs w:val="28"/>
              </w:rPr>
            </w:pPr>
            <w:r>
              <w:rPr>
                <w:rFonts w:hint="eastAsia" w:ascii="仿宋_GB2312" w:eastAsia="仿宋_GB2312"/>
                <w:sz w:val="28"/>
                <w:szCs w:val="28"/>
              </w:rPr>
              <w:t>联系人</w:t>
            </w:r>
          </w:p>
        </w:tc>
        <w:tc>
          <w:tcPr>
            <w:tcW w:w="2879" w:type="dxa"/>
            <w:tcMar>
              <w:top w:w="0" w:type="dxa"/>
              <w:left w:w="108" w:type="dxa"/>
              <w:bottom w:w="0" w:type="dxa"/>
              <w:right w:w="108" w:type="dxa"/>
            </w:tcMar>
            <w:vAlign w:val="center"/>
          </w:tcPr>
          <w:p w14:paraId="4EC01B4E">
            <w:pPr>
              <w:spacing w:line="560" w:lineRule="exact"/>
              <w:jc w:val="center"/>
              <w:rPr>
                <w:rFonts w:ascii="仿宋_GB2312" w:eastAsia="仿宋_GB2312"/>
                <w:sz w:val="28"/>
                <w:szCs w:val="28"/>
              </w:rPr>
            </w:pPr>
            <w:r>
              <w:rPr>
                <w:rFonts w:hint="eastAsia" w:ascii="仿宋_GB2312" w:eastAsia="仿宋_GB2312"/>
                <w:sz w:val="28"/>
                <w:szCs w:val="28"/>
              </w:rPr>
              <w:t>联系方式</w:t>
            </w:r>
          </w:p>
        </w:tc>
      </w:tr>
      <w:tr w14:paraId="7AEA6E0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96" w:hRule="atLeast"/>
        </w:trPr>
        <w:tc>
          <w:tcPr>
            <w:tcW w:w="894" w:type="dxa"/>
            <w:vMerge w:val="restart"/>
            <w:shd w:val="clear" w:color="auto" w:fill="auto"/>
            <w:noWrap/>
            <w:tcMar>
              <w:top w:w="0" w:type="dxa"/>
              <w:left w:w="108" w:type="dxa"/>
              <w:bottom w:w="0" w:type="dxa"/>
              <w:right w:w="108" w:type="dxa"/>
            </w:tcMar>
            <w:vAlign w:val="center"/>
          </w:tcPr>
          <w:p w14:paraId="3D97A869">
            <w:pPr>
              <w:spacing w:line="560" w:lineRule="exact"/>
              <w:jc w:val="center"/>
              <w:rPr>
                <w:rFonts w:ascii="仿宋_GB2312" w:eastAsia="仿宋_GB2312"/>
                <w:sz w:val="28"/>
                <w:szCs w:val="28"/>
              </w:rPr>
            </w:pPr>
            <w:r>
              <w:rPr>
                <w:rFonts w:ascii="仿宋_GB2312" w:eastAsia="仿宋_GB2312"/>
                <w:sz w:val="28"/>
                <w:szCs w:val="28"/>
              </w:rPr>
              <w:t>1</w:t>
            </w:r>
          </w:p>
        </w:tc>
        <w:tc>
          <w:tcPr>
            <w:tcW w:w="3785" w:type="dxa"/>
            <w:vMerge w:val="restart"/>
            <w:shd w:val="clear" w:color="auto" w:fill="auto"/>
            <w:noWrap/>
            <w:tcMar>
              <w:top w:w="0" w:type="dxa"/>
              <w:left w:w="108" w:type="dxa"/>
              <w:bottom w:w="0" w:type="dxa"/>
              <w:right w:w="108" w:type="dxa"/>
            </w:tcMar>
            <w:vAlign w:val="center"/>
          </w:tcPr>
          <w:p w14:paraId="3F90AED9">
            <w:pPr>
              <w:spacing w:line="560" w:lineRule="exact"/>
              <w:jc w:val="center"/>
              <w:rPr>
                <w:rFonts w:ascii="仿宋_GB2312" w:eastAsia="仿宋_GB2312"/>
                <w:sz w:val="28"/>
                <w:szCs w:val="28"/>
              </w:rPr>
            </w:pPr>
          </w:p>
        </w:tc>
        <w:tc>
          <w:tcPr>
            <w:tcW w:w="2126" w:type="dxa"/>
            <w:shd w:val="clear" w:color="auto" w:fill="auto"/>
            <w:noWrap/>
            <w:tcMar>
              <w:top w:w="0" w:type="dxa"/>
              <w:left w:w="108" w:type="dxa"/>
              <w:bottom w:w="0" w:type="dxa"/>
              <w:right w:w="108" w:type="dxa"/>
            </w:tcMar>
            <w:vAlign w:val="center"/>
          </w:tcPr>
          <w:p w14:paraId="66D7439E">
            <w:pPr>
              <w:spacing w:line="560" w:lineRule="exact"/>
              <w:jc w:val="center"/>
              <w:rPr>
                <w:rFonts w:ascii="仿宋_GB2312" w:eastAsia="仿宋_GB2312"/>
                <w:sz w:val="28"/>
                <w:szCs w:val="28"/>
              </w:rPr>
            </w:pPr>
          </w:p>
        </w:tc>
        <w:tc>
          <w:tcPr>
            <w:tcW w:w="2879" w:type="dxa"/>
            <w:shd w:val="clear" w:color="auto" w:fill="auto"/>
            <w:tcMar>
              <w:top w:w="0" w:type="dxa"/>
              <w:left w:w="108" w:type="dxa"/>
              <w:bottom w:w="0" w:type="dxa"/>
              <w:right w:w="108" w:type="dxa"/>
            </w:tcMar>
            <w:vAlign w:val="center"/>
          </w:tcPr>
          <w:p w14:paraId="71A9BB65">
            <w:pPr>
              <w:spacing w:line="560" w:lineRule="exact"/>
              <w:jc w:val="center"/>
              <w:rPr>
                <w:rFonts w:ascii="仿宋_GB2312" w:eastAsia="仿宋_GB2312"/>
                <w:sz w:val="28"/>
                <w:szCs w:val="28"/>
              </w:rPr>
            </w:pPr>
          </w:p>
        </w:tc>
      </w:tr>
      <w:tr w14:paraId="6A878D3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85" w:hRule="atLeast"/>
        </w:trPr>
        <w:tc>
          <w:tcPr>
            <w:tcW w:w="894" w:type="dxa"/>
            <w:vMerge w:val="continue"/>
            <w:shd w:val="clear" w:color="auto" w:fill="auto"/>
            <w:vAlign w:val="center"/>
          </w:tcPr>
          <w:p w14:paraId="04AF9A87">
            <w:pPr>
              <w:spacing w:line="560" w:lineRule="exact"/>
              <w:jc w:val="center"/>
              <w:rPr>
                <w:rFonts w:ascii="仿宋_GB2312" w:eastAsia="仿宋_GB2312"/>
                <w:sz w:val="28"/>
                <w:szCs w:val="28"/>
              </w:rPr>
            </w:pPr>
          </w:p>
        </w:tc>
        <w:tc>
          <w:tcPr>
            <w:tcW w:w="3785" w:type="dxa"/>
            <w:vMerge w:val="continue"/>
            <w:shd w:val="clear" w:color="auto" w:fill="auto"/>
            <w:vAlign w:val="center"/>
          </w:tcPr>
          <w:p w14:paraId="4BD674E9">
            <w:pPr>
              <w:spacing w:line="560" w:lineRule="exact"/>
              <w:jc w:val="center"/>
              <w:rPr>
                <w:rFonts w:ascii="仿宋_GB2312" w:eastAsia="仿宋_GB2312"/>
                <w:sz w:val="28"/>
                <w:szCs w:val="28"/>
              </w:rPr>
            </w:pPr>
          </w:p>
        </w:tc>
        <w:tc>
          <w:tcPr>
            <w:tcW w:w="2126" w:type="dxa"/>
            <w:shd w:val="clear" w:color="auto" w:fill="auto"/>
            <w:noWrap/>
            <w:tcMar>
              <w:top w:w="0" w:type="dxa"/>
              <w:left w:w="108" w:type="dxa"/>
              <w:bottom w:w="0" w:type="dxa"/>
              <w:right w:w="108" w:type="dxa"/>
            </w:tcMar>
            <w:vAlign w:val="center"/>
          </w:tcPr>
          <w:p w14:paraId="0E464A55">
            <w:pPr>
              <w:spacing w:line="560" w:lineRule="exact"/>
              <w:jc w:val="center"/>
              <w:rPr>
                <w:rFonts w:ascii="仿宋_GB2312" w:eastAsia="仿宋_GB2312"/>
                <w:sz w:val="28"/>
                <w:szCs w:val="28"/>
              </w:rPr>
            </w:pPr>
          </w:p>
        </w:tc>
        <w:tc>
          <w:tcPr>
            <w:tcW w:w="2879" w:type="dxa"/>
            <w:shd w:val="clear" w:color="auto" w:fill="auto"/>
            <w:tcMar>
              <w:top w:w="0" w:type="dxa"/>
              <w:left w:w="108" w:type="dxa"/>
              <w:bottom w:w="0" w:type="dxa"/>
              <w:right w:w="108" w:type="dxa"/>
            </w:tcMar>
            <w:vAlign w:val="center"/>
          </w:tcPr>
          <w:p w14:paraId="3EC66307">
            <w:pPr>
              <w:spacing w:line="560" w:lineRule="exact"/>
              <w:jc w:val="center"/>
              <w:rPr>
                <w:rFonts w:ascii="仿宋_GB2312" w:eastAsia="仿宋_GB2312"/>
                <w:sz w:val="28"/>
                <w:szCs w:val="28"/>
              </w:rPr>
            </w:pPr>
          </w:p>
        </w:tc>
      </w:tr>
      <w:tr w14:paraId="0822723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85" w:hRule="atLeast"/>
        </w:trPr>
        <w:tc>
          <w:tcPr>
            <w:tcW w:w="894" w:type="dxa"/>
            <w:vMerge w:val="restart"/>
            <w:shd w:val="clear" w:color="auto" w:fill="auto"/>
            <w:noWrap/>
            <w:tcMar>
              <w:top w:w="0" w:type="dxa"/>
              <w:left w:w="108" w:type="dxa"/>
              <w:bottom w:w="0" w:type="dxa"/>
              <w:right w:w="108" w:type="dxa"/>
            </w:tcMar>
            <w:vAlign w:val="center"/>
          </w:tcPr>
          <w:p w14:paraId="1BF1B01B">
            <w:pPr>
              <w:spacing w:line="560" w:lineRule="exact"/>
              <w:jc w:val="center"/>
              <w:rPr>
                <w:rFonts w:ascii="仿宋_GB2312" w:eastAsia="仿宋_GB2312"/>
                <w:sz w:val="28"/>
                <w:szCs w:val="28"/>
              </w:rPr>
            </w:pPr>
            <w:r>
              <w:rPr>
                <w:rFonts w:hint="eastAsia" w:ascii="仿宋_GB2312" w:eastAsia="仿宋_GB2312"/>
                <w:sz w:val="28"/>
                <w:szCs w:val="28"/>
              </w:rPr>
              <w:t>2</w:t>
            </w:r>
          </w:p>
        </w:tc>
        <w:tc>
          <w:tcPr>
            <w:tcW w:w="3785" w:type="dxa"/>
            <w:vMerge w:val="restart"/>
            <w:shd w:val="clear" w:color="auto" w:fill="auto"/>
            <w:noWrap/>
            <w:tcMar>
              <w:top w:w="0" w:type="dxa"/>
              <w:left w:w="108" w:type="dxa"/>
              <w:bottom w:w="0" w:type="dxa"/>
              <w:right w:w="108" w:type="dxa"/>
            </w:tcMar>
            <w:vAlign w:val="center"/>
          </w:tcPr>
          <w:p w14:paraId="1E21668A">
            <w:pPr>
              <w:spacing w:line="560" w:lineRule="exact"/>
              <w:jc w:val="center"/>
              <w:rPr>
                <w:rFonts w:ascii="仿宋_GB2312" w:eastAsia="仿宋_GB2312"/>
                <w:sz w:val="28"/>
                <w:szCs w:val="28"/>
              </w:rPr>
            </w:pPr>
          </w:p>
        </w:tc>
        <w:tc>
          <w:tcPr>
            <w:tcW w:w="2126" w:type="dxa"/>
            <w:shd w:val="clear" w:color="auto" w:fill="auto"/>
            <w:noWrap/>
            <w:tcMar>
              <w:top w:w="0" w:type="dxa"/>
              <w:left w:w="108" w:type="dxa"/>
              <w:bottom w:w="0" w:type="dxa"/>
              <w:right w:w="108" w:type="dxa"/>
            </w:tcMar>
            <w:vAlign w:val="center"/>
          </w:tcPr>
          <w:p w14:paraId="20B9ECA7">
            <w:pPr>
              <w:spacing w:line="560" w:lineRule="exact"/>
              <w:jc w:val="center"/>
              <w:rPr>
                <w:rFonts w:ascii="仿宋_GB2312" w:eastAsia="仿宋_GB2312"/>
                <w:sz w:val="28"/>
                <w:szCs w:val="28"/>
              </w:rPr>
            </w:pPr>
          </w:p>
        </w:tc>
        <w:tc>
          <w:tcPr>
            <w:tcW w:w="2879" w:type="dxa"/>
            <w:shd w:val="clear" w:color="auto" w:fill="auto"/>
            <w:tcMar>
              <w:top w:w="0" w:type="dxa"/>
              <w:left w:w="108" w:type="dxa"/>
              <w:bottom w:w="0" w:type="dxa"/>
              <w:right w:w="108" w:type="dxa"/>
            </w:tcMar>
            <w:vAlign w:val="center"/>
          </w:tcPr>
          <w:p w14:paraId="099BA42E">
            <w:pPr>
              <w:spacing w:line="560" w:lineRule="exact"/>
              <w:jc w:val="center"/>
              <w:rPr>
                <w:rFonts w:ascii="仿宋_GB2312" w:eastAsia="仿宋_GB2312"/>
                <w:sz w:val="28"/>
                <w:szCs w:val="28"/>
              </w:rPr>
            </w:pPr>
          </w:p>
        </w:tc>
      </w:tr>
      <w:tr w14:paraId="4D65722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85" w:hRule="atLeast"/>
        </w:trPr>
        <w:tc>
          <w:tcPr>
            <w:tcW w:w="894" w:type="dxa"/>
            <w:vMerge w:val="continue"/>
            <w:shd w:val="clear" w:color="auto" w:fill="auto"/>
            <w:vAlign w:val="center"/>
          </w:tcPr>
          <w:p w14:paraId="43E4DA75">
            <w:pPr>
              <w:spacing w:line="560" w:lineRule="exact"/>
              <w:jc w:val="center"/>
              <w:rPr>
                <w:rFonts w:ascii="仿宋_GB2312" w:eastAsia="仿宋_GB2312"/>
                <w:sz w:val="28"/>
                <w:szCs w:val="28"/>
              </w:rPr>
            </w:pPr>
          </w:p>
        </w:tc>
        <w:tc>
          <w:tcPr>
            <w:tcW w:w="3785" w:type="dxa"/>
            <w:vMerge w:val="continue"/>
            <w:shd w:val="clear" w:color="auto" w:fill="auto"/>
            <w:vAlign w:val="center"/>
          </w:tcPr>
          <w:p w14:paraId="079AF021">
            <w:pPr>
              <w:spacing w:line="560" w:lineRule="exact"/>
              <w:jc w:val="center"/>
              <w:rPr>
                <w:rFonts w:ascii="仿宋_GB2312" w:eastAsia="仿宋_GB2312"/>
                <w:sz w:val="28"/>
                <w:szCs w:val="28"/>
              </w:rPr>
            </w:pPr>
          </w:p>
        </w:tc>
        <w:tc>
          <w:tcPr>
            <w:tcW w:w="2126" w:type="dxa"/>
            <w:shd w:val="clear" w:color="auto" w:fill="auto"/>
            <w:noWrap/>
            <w:tcMar>
              <w:top w:w="0" w:type="dxa"/>
              <w:left w:w="108" w:type="dxa"/>
              <w:bottom w:w="0" w:type="dxa"/>
              <w:right w:w="108" w:type="dxa"/>
            </w:tcMar>
            <w:vAlign w:val="center"/>
          </w:tcPr>
          <w:p w14:paraId="4BD005F5">
            <w:pPr>
              <w:spacing w:line="560" w:lineRule="exact"/>
              <w:jc w:val="center"/>
              <w:rPr>
                <w:rFonts w:ascii="仿宋_GB2312" w:eastAsia="仿宋_GB2312"/>
                <w:sz w:val="28"/>
                <w:szCs w:val="28"/>
              </w:rPr>
            </w:pPr>
          </w:p>
        </w:tc>
        <w:tc>
          <w:tcPr>
            <w:tcW w:w="2879" w:type="dxa"/>
            <w:shd w:val="clear" w:color="auto" w:fill="auto"/>
            <w:tcMar>
              <w:top w:w="0" w:type="dxa"/>
              <w:left w:w="108" w:type="dxa"/>
              <w:bottom w:w="0" w:type="dxa"/>
              <w:right w:w="108" w:type="dxa"/>
            </w:tcMar>
            <w:vAlign w:val="center"/>
          </w:tcPr>
          <w:p w14:paraId="536E622E">
            <w:pPr>
              <w:spacing w:line="560" w:lineRule="exact"/>
              <w:jc w:val="center"/>
              <w:rPr>
                <w:rFonts w:ascii="仿宋_GB2312" w:eastAsia="仿宋_GB2312"/>
                <w:sz w:val="28"/>
                <w:szCs w:val="28"/>
              </w:rPr>
            </w:pPr>
          </w:p>
        </w:tc>
      </w:tr>
      <w:tr w14:paraId="72F0669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85" w:hRule="atLeast"/>
        </w:trPr>
        <w:tc>
          <w:tcPr>
            <w:tcW w:w="894" w:type="dxa"/>
            <w:vMerge w:val="restart"/>
            <w:shd w:val="clear" w:color="auto" w:fill="auto"/>
            <w:noWrap/>
            <w:tcMar>
              <w:top w:w="0" w:type="dxa"/>
              <w:left w:w="108" w:type="dxa"/>
              <w:bottom w:w="0" w:type="dxa"/>
              <w:right w:w="108" w:type="dxa"/>
            </w:tcMar>
            <w:vAlign w:val="center"/>
          </w:tcPr>
          <w:p w14:paraId="5CB04FE8">
            <w:pPr>
              <w:spacing w:line="560" w:lineRule="exact"/>
              <w:jc w:val="center"/>
              <w:rPr>
                <w:rFonts w:ascii="仿宋_GB2312" w:eastAsia="仿宋_GB2312"/>
                <w:sz w:val="28"/>
                <w:szCs w:val="28"/>
              </w:rPr>
            </w:pPr>
            <w:r>
              <w:rPr>
                <w:rFonts w:hint="eastAsia" w:ascii="仿宋_GB2312" w:eastAsia="仿宋_GB2312"/>
                <w:sz w:val="28"/>
                <w:szCs w:val="28"/>
              </w:rPr>
              <w:t>3</w:t>
            </w:r>
          </w:p>
        </w:tc>
        <w:tc>
          <w:tcPr>
            <w:tcW w:w="3785" w:type="dxa"/>
            <w:vMerge w:val="restart"/>
            <w:shd w:val="clear" w:color="auto" w:fill="auto"/>
            <w:noWrap/>
            <w:tcMar>
              <w:top w:w="0" w:type="dxa"/>
              <w:left w:w="108" w:type="dxa"/>
              <w:bottom w:w="0" w:type="dxa"/>
              <w:right w:w="108" w:type="dxa"/>
            </w:tcMar>
            <w:vAlign w:val="center"/>
          </w:tcPr>
          <w:p w14:paraId="7B71CB4E">
            <w:pPr>
              <w:spacing w:line="560" w:lineRule="exact"/>
              <w:jc w:val="center"/>
              <w:rPr>
                <w:rFonts w:ascii="仿宋_GB2312" w:eastAsia="仿宋_GB2312"/>
                <w:sz w:val="28"/>
                <w:szCs w:val="28"/>
              </w:rPr>
            </w:pPr>
          </w:p>
        </w:tc>
        <w:tc>
          <w:tcPr>
            <w:tcW w:w="2126" w:type="dxa"/>
            <w:shd w:val="clear" w:color="auto" w:fill="auto"/>
            <w:noWrap/>
            <w:tcMar>
              <w:top w:w="0" w:type="dxa"/>
              <w:left w:w="108" w:type="dxa"/>
              <w:bottom w:w="0" w:type="dxa"/>
              <w:right w:w="108" w:type="dxa"/>
            </w:tcMar>
            <w:vAlign w:val="center"/>
          </w:tcPr>
          <w:p w14:paraId="00C35BC6">
            <w:pPr>
              <w:spacing w:line="560" w:lineRule="exact"/>
              <w:jc w:val="center"/>
              <w:rPr>
                <w:rFonts w:ascii="仿宋_GB2312" w:eastAsia="仿宋_GB2312"/>
                <w:sz w:val="28"/>
                <w:szCs w:val="28"/>
              </w:rPr>
            </w:pPr>
          </w:p>
        </w:tc>
        <w:tc>
          <w:tcPr>
            <w:tcW w:w="2879" w:type="dxa"/>
            <w:shd w:val="clear" w:color="auto" w:fill="auto"/>
            <w:tcMar>
              <w:top w:w="0" w:type="dxa"/>
              <w:left w:w="108" w:type="dxa"/>
              <w:bottom w:w="0" w:type="dxa"/>
              <w:right w:w="108" w:type="dxa"/>
            </w:tcMar>
            <w:vAlign w:val="center"/>
          </w:tcPr>
          <w:p w14:paraId="6CA59883">
            <w:pPr>
              <w:spacing w:line="560" w:lineRule="exact"/>
              <w:jc w:val="center"/>
              <w:rPr>
                <w:rFonts w:ascii="仿宋_GB2312" w:eastAsia="仿宋_GB2312"/>
                <w:sz w:val="28"/>
                <w:szCs w:val="28"/>
              </w:rPr>
            </w:pPr>
          </w:p>
        </w:tc>
      </w:tr>
      <w:tr w14:paraId="44E94C1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85" w:hRule="atLeast"/>
        </w:trPr>
        <w:tc>
          <w:tcPr>
            <w:tcW w:w="894" w:type="dxa"/>
            <w:vMerge w:val="continue"/>
            <w:shd w:val="clear" w:color="auto" w:fill="auto"/>
            <w:vAlign w:val="center"/>
          </w:tcPr>
          <w:p w14:paraId="498A3FAA">
            <w:pPr>
              <w:spacing w:line="560" w:lineRule="exact"/>
              <w:jc w:val="center"/>
              <w:rPr>
                <w:rFonts w:ascii="仿宋_GB2312" w:eastAsia="仿宋_GB2312"/>
                <w:sz w:val="28"/>
                <w:szCs w:val="28"/>
              </w:rPr>
            </w:pPr>
          </w:p>
        </w:tc>
        <w:tc>
          <w:tcPr>
            <w:tcW w:w="3785" w:type="dxa"/>
            <w:vMerge w:val="continue"/>
            <w:shd w:val="clear" w:color="auto" w:fill="auto"/>
            <w:vAlign w:val="center"/>
          </w:tcPr>
          <w:p w14:paraId="0993621F">
            <w:pPr>
              <w:spacing w:line="560" w:lineRule="exact"/>
              <w:jc w:val="center"/>
              <w:rPr>
                <w:rFonts w:ascii="仿宋_GB2312" w:eastAsia="仿宋_GB2312"/>
                <w:sz w:val="28"/>
                <w:szCs w:val="28"/>
              </w:rPr>
            </w:pPr>
          </w:p>
        </w:tc>
        <w:tc>
          <w:tcPr>
            <w:tcW w:w="2126" w:type="dxa"/>
            <w:shd w:val="clear" w:color="auto" w:fill="auto"/>
            <w:noWrap/>
            <w:tcMar>
              <w:top w:w="0" w:type="dxa"/>
              <w:left w:w="108" w:type="dxa"/>
              <w:bottom w:w="0" w:type="dxa"/>
              <w:right w:w="108" w:type="dxa"/>
            </w:tcMar>
            <w:vAlign w:val="center"/>
          </w:tcPr>
          <w:p w14:paraId="7130F902">
            <w:pPr>
              <w:spacing w:line="560" w:lineRule="exact"/>
              <w:jc w:val="center"/>
              <w:rPr>
                <w:rFonts w:ascii="仿宋_GB2312" w:eastAsia="仿宋_GB2312"/>
                <w:sz w:val="28"/>
                <w:szCs w:val="28"/>
              </w:rPr>
            </w:pPr>
          </w:p>
        </w:tc>
        <w:tc>
          <w:tcPr>
            <w:tcW w:w="2879" w:type="dxa"/>
            <w:shd w:val="clear" w:color="auto" w:fill="auto"/>
            <w:tcMar>
              <w:top w:w="0" w:type="dxa"/>
              <w:left w:w="108" w:type="dxa"/>
              <w:bottom w:w="0" w:type="dxa"/>
              <w:right w:w="108" w:type="dxa"/>
            </w:tcMar>
            <w:vAlign w:val="center"/>
          </w:tcPr>
          <w:p w14:paraId="3D2A7E78">
            <w:pPr>
              <w:spacing w:line="560" w:lineRule="exact"/>
              <w:jc w:val="center"/>
              <w:rPr>
                <w:rFonts w:ascii="仿宋_GB2312" w:eastAsia="仿宋_GB2312"/>
                <w:sz w:val="28"/>
                <w:szCs w:val="28"/>
              </w:rPr>
            </w:pPr>
          </w:p>
        </w:tc>
      </w:tr>
      <w:tr w14:paraId="2B49B03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85" w:hRule="atLeast"/>
        </w:trPr>
        <w:tc>
          <w:tcPr>
            <w:tcW w:w="894" w:type="dxa"/>
            <w:vMerge w:val="restart"/>
            <w:shd w:val="clear" w:color="auto" w:fill="auto"/>
            <w:noWrap/>
            <w:tcMar>
              <w:top w:w="0" w:type="dxa"/>
              <w:left w:w="108" w:type="dxa"/>
              <w:bottom w:w="0" w:type="dxa"/>
              <w:right w:w="108" w:type="dxa"/>
            </w:tcMar>
            <w:vAlign w:val="center"/>
          </w:tcPr>
          <w:p w14:paraId="296EDBC0">
            <w:pPr>
              <w:spacing w:line="560" w:lineRule="exact"/>
              <w:jc w:val="center"/>
              <w:rPr>
                <w:rFonts w:ascii="仿宋_GB2312" w:eastAsia="仿宋_GB2312"/>
                <w:sz w:val="28"/>
                <w:szCs w:val="28"/>
              </w:rPr>
            </w:pPr>
            <w:r>
              <w:rPr>
                <w:rFonts w:hint="eastAsia" w:ascii="仿宋_GB2312" w:eastAsia="仿宋_GB2312"/>
                <w:sz w:val="28"/>
                <w:szCs w:val="28"/>
              </w:rPr>
              <w:t>4</w:t>
            </w:r>
          </w:p>
        </w:tc>
        <w:tc>
          <w:tcPr>
            <w:tcW w:w="3785" w:type="dxa"/>
            <w:vMerge w:val="restart"/>
            <w:shd w:val="clear" w:color="auto" w:fill="auto"/>
            <w:noWrap/>
            <w:tcMar>
              <w:top w:w="0" w:type="dxa"/>
              <w:left w:w="108" w:type="dxa"/>
              <w:bottom w:w="0" w:type="dxa"/>
              <w:right w:w="108" w:type="dxa"/>
            </w:tcMar>
            <w:vAlign w:val="center"/>
          </w:tcPr>
          <w:p w14:paraId="7D0AD90F">
            <w:pPr>
              <w:spacing w:line="560" w:lineRule="exact"/>
              <w:jc w:val="center"/>
              <w:rPr>
                <w:rFonts w:ascii="仿宋_GB2312" w:eastAsia="仿宋_GB2312"/>
                <w:sz w:val="28"/>
                <w:szCs w:val="28"/>
              </w:rPr>
            </w:pPr>
          </w:p>
        </w:tc>
        <w:tc>
          <w:tcPr>
            <w:tcW w:w="2126" w:type="dxa"/>
            <w:shd w:val="clear" w:color="auto" w:fill="auto"/>
            <w:noWrap/>
            <w:tcMar>
              <w:top w:w="0" w:type="dxa"/>
              <w:left w:w="108" w:type="dxa"/>
              <w:bottom w:w="0" w:type="dxa"/>
              <w:right w:w="108" w:type="dxa"/>
            </w:tcMar>
            <w:vAlign w:val="center"/>
          </w:tcPr>
          <w:p w14:paraId="6CDD3CE0">
            <w:pPr>
              <w:spacing w:line="560" w:lineRule="exact"/>
              <w:jc w:val="center"/>
              <w:rPr>
                <w:rFonts w:ascii="仿宋_GB2312" w:eastAsia="仿宋_GB2312"/>
                <w:sz w:val="28"/>
                <w:szCs w:val="28"/>
              </w:rPr>
            </w:pPr>
          </w:p>
        </w:tc>
        <w:tc>
          <w:tcPr>
            <w:tcW w:w="2879" w:type="dxa"/>
            <w:shd w:val="clear" w:color="auto" w:fill="auto"/>
            <w:tcMar>
              <w:top w:w="0" w:type="dxa"/>
              <w:left w:w="108" w:type="dxa"/>
              <w:bottom w:w="0" w:type="dxa"/>
              <w:right w:w="108" w:type="dxa"/>
            </w:tcMar>
            <w:vAlign w:val="center"/>
          </w:tcPr>
          <w:p w14:paraId="431034DC">
            <w:pPr>
              <w:spacing w:line="560" w:lineRule="exact"/>
              <w:jc w:val="center"/>
              <w:rPr>
                <w:rFonts w:ascii="仿宋_GB2312" w:eastAsia="仿宋_GB2312"/>
                <w:sz w:val="28"/>
                <w:szCs w:val="28"/>
              </w:rPr>
            </w:pPr>
          </w:p>
        </w:tc>
      </w:tr>
      <w:tr w14:paraId="0F28673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85" w:hRule="atLeast"/>
        </w:trPr>
        <w:tc>
          <w:tcPr>
            <w:tcW w:w="894" w:type="dxa"/>
            <w:vMerge w:val="continue"/>
            <w:shd w:val="clear" w:color="auto" w:fill="auto"/>
            <w:vAlign w:val="center"/>
          </w:tcPr>
          <w:p w14:paraId="1DD43EEE">
            <w:pPr>
              <w:spacing w:line="560" w:lineRule="exact"/>
              <w:jc w:val="center"/>
              <w:rPr>
                <w:rFonts w:ascii="仿宋_GB2312" w:eastAsia="仿宋_GB2312"/>
                <w:sz w:val="28"/>
                <w:szCs w:val="28"/>
              </w:rPr>
            </w:pPr>
          </w:p>
        </w:tc>
        <w:tc>
          <w:tcPr>
            <w:tcW w:w="3785" w:type="dxa"/>
            <w:vMerge w:val="continue"/>
            <w:shd w:val="clear" w:color="auto" w:fill="auto"/>
            <w:vAlign w:val="center"/>
          </w:tcPr>
          <w:p w14:paraId="04C54E3A">
            <w:pPr>
              <w:spacing w:line="560" w:lineRule="exact"/>
              <w:jc w:val="center"/>
              <w:rPr>
                <w:rFonts w:ascii="仿宋_GB2312" w:eastAsia="仿宋_GB2312"/>
                <w:sz w:val="28"/>
                <w:szCs w:val="28"/>
              </w:rPr>
            </w:pPr>
          </w:p>
        </w:tc>
        <w:tc>
          <w:tcPr>
            <w:tcW w:w="2126" w:type="dxa"/>
            <w:shd w:val="clear" w:color="auto" w:fill="auto"/>
            <w:noWrap/>
            <w:tcMar>
              <w:top w:w="0" w:type="dxa"/>
              <w:left w:w="108" w:type="dxa"/>
              <w:bottom w:w="0" w:type="dxa"/>
              <w:right w:w="108" w:type="dxa"/>
            </w:tcMar>
            <w:vAlign w:val="center"/>
          </w:tcPr>
          <w:p w14:paraId="4221071A">
            <w:pPr>
              <w:spacing w:line="560" w:lineRule="exact"/>
              <w:jc w:val="center"/>
              <w:rPr>
                <w:rFonts w:ascii="仿宋_GB2312" w:eastAsia="仿宋_GB2312"/>
                <w:sz w:val="28"/>
                <w:szCs w:val="28"/>
              </w:rPr>
            </w:pPr>
          </w:p>
        </w:tc>
        <w:tc>
          <w:tcPr>
            <w:tcW w:w="2879" w:type="dxa"/>
            <w:shd w:val="clear" w:color="auto" w:fill="auto"/>
            <w:tcMar>
              <w:top w:w="0" w:type="dxa"/>
              <w:left w:w="108" w:type="dxa"/>
              <w:bottom w:w="0" w:type="dxa"/>
              <w:right w:w="108" w:type="dxa"/>
            </w:tcMar>
            <w:vAlign w:val="center"/>
          </w:tcPr>
          <w:p w14:paraId="751B1B89">
            <w:pPr>
              <w:spacing w:line="560" w:lineRule="exact"/>
              <w:jc w:val="center"/>
              <w:rPr>
                <w:rFonts w:ascii="仿宋_GB2312" w:eastAsia="仿宋_GB2312"/>
                <w:sz w:val="28"/>
                <w:szCs w:val="28"/>
              </w:rPr>
            </w:pPr>
          </w:p>
        </w:tc>
      </w:tr>
      <w:tr w14:paraId="1556D1E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00" w:hRule="atLeast"/>
        </w:trPr>
        <w:tc>
          <w:tcPr>
            <w:tcW w:w="894" w:type="dxa"/>
            <w:vMerge w:val="restart"/>
            <w:shd w:val="clear" w:color="auto" w:fill="auto"/>
            <w:noWrap/>
            <w:tcMar>
              <w:top w:w="0" w:type="dxa"/>
              <w:left w:w="108" w:type="dxa"/>
              <w:bottom w:w="0" w:type="dxa"/>
              <w:right w:w="108" w:type="dxa"/>
            </w:tcMar>
            <w:vAlign w:val="center"/>
          </w:tcPr>
          <w:p w14:paraId="02E46217">
            <w:pPr>
              <w:spacing w:line="560" w:lineRule="exact"/>
              <w:jc w:val="center"/>
              <w:rPr>
                <w:rFonts w:ascii="仿宋_GB2312" w:eastAsia="仿宋_GB2312"/>
                <w:sz w:val="28"/>
                <w:szCs w:val="28"/>
              </w:rPr>
            </w:pPr>
            <w:r>
              <w:rPr>
                <w:rFonts w:hint="eastAsia" w:ascii="仿宋_GB2312" w:eastAsia="仿宋_GB2312"/>
                <w:sz w:val="28"/>
                <w:szCs w:val="28"/>
              </w:rPr>
              <w:t>5</w:t>
            </w:r>
          </w:p>
        </w:tc>
        <w:tc>
          <w:tcPr>
            <w:tcW w:w="3785" w:type="dxa"/>
            <w:vMerge w:val="restart"/>
            <w:shd w:val="clear" w:color="auto" w:fill="auto"/>
            <w:noWrap/>
            <w:tcMar>
              <w:top w:w="0" w:type="dxa"/>
              <w:left w:w="108" w:type="dxa"/>
              <w:bottom w:w="0" w:type="dxa"/>
              <w:right w:w="108" w:type="dxa"/>
            </w:tcMar>
            <w:vAlign w:val="center"/>
          </w:tcPr>
          <w:p w14:paraId="3F883641">
            <w:pPr>
              <w:spacing w:line="560" w:lineRule="exact"/>
              <w:jc w:val="center"/>
              <w:rPr>
                <w:rFonts w:ascii="仿宋_GB2312" w:eastAsia="仿宋_GB2312"/>
                <w:sz w:val="28"/>
                <w:szCs w:val="28"/>
              </w:rPr>
            </w:pPr>
          </w:p>
        </w:tc>
        <w:tc>
          <w:tcPr>
            <w:tcW w:w="2126" w:type="dxa"/>
            <w:shd w:val="clear" w:color="auto" w:fill="auto"/>
            <w:noWrap/>
            <w:tcMar>
              <w:top w:w="0" w:type="dxa"/>
              <w:left w:w="108" w:type="dxa"/>
              <w:bottom w:w="0" w:type="dxa"/>
              <w:right w:w="108" w:type="dxa"/>
            </w:tcMar>
            <w:vAlign w:val="center"/>
          </w:tcPr>
          <w:p w14:paraId="5599BE93">
            <w:pPr>
              <w:spacing w:line="560" w:lineRule="exact"/>
              <w:jc w:val="center"/>
              <w:rPr>
                <w:rFonts w:ascii="仿宋_GB2312" w:eastAsia="仿宋_GB2312"/>
                <w:sz w:val="28"/>
                <w:szCs w:val="28"/>
              </w:rPr>
            </w:pPr>
          </w:p>
        </w:tc>
        <w:tc>
          <w:tcPr>
            <w:tcW w:w="2879" w:type="dxa"/>
            <w:shd w:val="clear" w:color="auto" w:fill="auto"/>
            <w:tcMar>
              <w:top w:w="0" w:type="dxa"/>
              <w:left w:w="108" w:type="dxa"/>
              <w:bottom w:w="0" w:type="dxa"/>
              <w:right w:w="108" w:type="dxa"/>
            </w:tcMar>
            <w:vAlign w:val="center"/>
          </w:tcPr>
          <w:p w14:paraId="5A99C9CC">
            <w:pPr>
              <w:spacing w:line="560" w:lineRule="exact"/>
              <w:jc w:val="center"/>
              <w:rPr>
                <w:rFonts w:ascii="仿宋_GB2312" w:eastAsia="仿宋_GB2312"/>
                <w:sz w:val="28"/>
                <w:szCs w:val="28"/>
              </w:rPr>
            </w:pPr>
          </w:p>
        </w:tc>
      </w:tr>
      <w:tr w14:paraId="1B64BF9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00" w:hRule="atLeast"/>
        </w:trPr>
        <w:tc>
          <w:tcPr>
            <w:tcW w:w="894" w:type="dxa"/>
            <w:vMerge w:val="continue"/>
            <w:shd w:val="clear" w:color="auto" w:fill="auto"/>
            <w:vAlign w:val="center"/>
          </w:tcPr>
          <w:p w14:paraId="51B54B07">
            <w:pPr>
              <w:spacing w:line="560" w:lineRule="exact"/>
              <w:jc w:val="center"/>
              <w:rPr>
                <w:rFonts w:ascii="仿宋_GB2312" w:eastAsia="仿宋_GB2312"/>
                <w:sz w:val="28"/>
                <w:szCs w:val="28"/>
              </w:rPr>
            </w:pPr>
          </w:p>
        </w:tc>
        <w:tc>
          <w:tcPr>
            <w:tcW w:w="3785" w:type="dxa"/>
            <w:vMerge w:val="continue"/>
            <w:shd w:val="clear" w:color="auto" w:fill="auto"/>
            <w:vAlign w:val="center"/>
          </w:tcPr>
          <w:p w14:paraId="77645C84">
            <w:pPr>
              <w:spacing w:line="560" w:lineRule="exact"/>
              <w:jc w:val="center"/>
              <w:rPr>
                <w:rFonts w:ascii="仿宋_GB2312" w:eastAsia="仿宋_GB2312"/>
                <w:sz w:val="28"/>
                <w:szCs w:val="28"/>
              </w:rPr>
            </w:pPr>
          </w:p>
        </w:tc>
        <w:tc>
          <w:tcPr>
            <w:tcW w:w="2126" w:type="dxa"/>
            <w:shd w:val="clear" w:color="auto" w:fill="auto"/>
            <w:noWrap/>
            <w:tcMar>
              <w:top w:w="0" w:type="dxa"/>
              <w:left w:w="108" w:type="dxa"/>
              <w:bottom w:w="0" w:type="dxa"/>
              <w:right w:w="108" w:type="dxa"/>
            </w:tcMar>
            <w:vAlign w:val="center"/>
          </w:tcPr>
          <w:p w14:paraId="35723348">
            <w:pPr>
              <w:spacing w:line="560" w:lineRule="exact"/>
              <w:jc w:val="center"/>
              <w:rPr>
                <w:rFonts w:ascii="仿宋_GB2312" w:eastAsia="仿宋_GB2312"/>
                <w:sz w:val="28"/>
                <w:szCs w:val="28"/>
              </w:rPr>
            </w:pPr>
          </w:p>
        </w:tc>
        <w:tc>
          <w:tcPr>
            <w:tcW w:w="2879" w:type="dxa"/>
            <w:shd w:val="clear" w:color="auto" w:fill="auto"/>
            <w:tcMar>
              <w:top w:w="0" w:type="dxa"/>
              <w:left w:w="108" w:type="dxa"/>
              <w:bottom w:w="0" w:type="dxa"/>
              <w:right w:w="108" w:type="dxa"/>
            </w:tcMar>
            <w:vAlign w:val="center"/>
          </w:tcPr>
          <w:p w14:paraId="25BA8A64">
            <w:pPr>
              <w:spacing w:line="560" w:lineRule="exact"/>
              <w:jc w:val="center"/>
              <w:rPr>
                <w:rFonts w:ascii="仿宋_GB2312" w:eastAsia="仿宋_GB2312"/>
                <w:sz w:val="28"/>
                <w:szCs w:val="28"/>
              </w:rPr>
            </w:pPr>
          </w:p>
        </w:tc>
      </w:tr>
      <w:tr w14:paraId="5BE19DB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85" w:hRule="atLeast"/>
        </w:trPr>
        <w:tc>
          <w:tcPr>
            <w:tcW w:w="894" w:type="dxa"/>
            <w:vMerge w:val="restart"/>
            <w:shd w:val="clear" w:color="auto" w:fill="auto"/>
            <w:noWrap/>
            <w:tcMar>
              <w:top w:w="0" w:type="dxa"/>
              <w:left w:w="108" w:type="dxa"/>
              <w:bottom w:w="0" w:type="dxa"/>
              <w:right w:w="108" w:type="dxa"/>
            </w:tcMar>
            <w:vAlign w:val="center"/>
          </w:tcPr>
          <w:p w14:paraId="6E06AB5F">
            <w:pPr>
              <w:spacing w:line="560" w:lineRule="exact"/>
              <w:jc w:val="center"/>
              <w:rPr>
                <w:rFonts w:ascii="仿宋_GB2312" w:eastAsia="仿宋_GB2312"/>
                <w:sz w:val="28"/>
                <w:szCs w:val="28"/>
              </w:rPr>
            </w:pPr>
            <w:r>
              <w:rPr>
                <w:rFonts w:hint="eastAsia" w:ascii="仿宋_GB2312" w:eastAsia="仿宋_GB2312"/>
                <w:sz w:val="28"/>
                <w:szCs w:val="28"/>
              </w:rPr>
              <w:t>6</w:t>
            </w:r>
          </w:p>
        </w:tc>
        <w:tc>
          <w:tcPr>
            <w:tcW w:w="3785" w:type="dxa"/>
            <w:vMerge w:val="restart"/>
            <w:shd w:val="clear" w:color="auto" w:fill="auto"/>
            <w:noWrap/>
            <w:tcMar>
              <w:top w:w="0" w:type="dxa"/>
              <w:left w:w="108" w:type="dxa"/>
              <w:bottom w:w="0" w:type="dxa"/>
              <w:right w:w="108" w:type="dxa"/>
            </w:tcMar>
            <w:vAlign w:val="center"/>
          </w:tcPr>
          <w:p w14:paraId="71E85921">
            <w:pPr>
              <w:spacing w:line="560" w:lineRule="exact"/>
              <w:jc w:val="center"/>
              <w:rPr>
                <w:rFonts w:ascii="仿宋_GB2312" w:eastAsia="仿宋_GB2312"/>
                <w:sz w:val="28"/>
                <w:szCs w:val="28"/>
              </w:rPr>
            </w:pPr>
          </w:p>
        </w:tc>
        <w:tc>
          <w:tcPr>
            <w:tcW w:w="2126" w:type="dxa"/>
            <w:shd w:val="clear" w:color="auto" w:fill="auto"/>
            <w:noWrap/>
            <w:tcMar>
              <w:top w:w="0" w:type="dxa"/>
              <w:left w:w="108" w:type="dxa"/>
              <w:bottom w:w="0" w:type="dxa"/>
              <w:right w:w="108" w:type="dxa"/>
            </w:tcMar>
            <w:vAlign w:val="center"/>
          </w:tcPr>
          <w:p w14:paraId="5B440479">
            <w:pPr>
              <w:spacing w:line="560" w:lineRule="exact"/>
              <w:jc w:val="center"/>
              <w:rPr>
                <w:rFonts w:ascii="仿宋_GB2312" w:eastAsia="仿宋_GB2312"/>
                <w:sz w:val="28"/>
                <w:szCs w:val="28"/>
              </w:rPr>
            </w:pPr>
          </w:p>
        </w:tc>
        <w:tc>
          <w:tcPr>
            <w:tcW w:w="2879" w:type="dxa"/>
            <w:shd w:val="clear" w:color="auto" w:fill="auto"/>
            <w:tcMar>
              <w:top w:w="0" w:type="dxa"/>
              <w:left w:w="108" w:type="dxa"/>
              <w:bottom w:w="0" w:type="dxa"/>
              <w:right w:w="108" w:type="dxa"/>
            </w:tcMar>
            <w:vAlign w:val="center"/>
          </w:tcPr>
          <w:p w14:paraId="277F2445">
            <w:pPr>
              <w:spacing w:line="560" w:lineRule="exact"/>
              <w:jc w:val="center"/>
              <w:rPr>
                <w:rFonts w:ascii="仿宋_GB2312" w:eastAsia="仿宋_GB2312"/>
                <w:sz w:val="28"/>
                <w:szCs w:val="28"/>
              </w:rPr>
            </w:pPr>
          </w:p>
        </w:tc>
      </w:tr>
      <w:tr w14:paraId="6DC5894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85" w:hRule="atLeast"/>
        </w:trPr>
        <w:tc>
          <w:tcPr>
            <w:tcW w:w="894" w:type="dxa"/>
            <w:vMerge w:val="continue"/>
            <w:shd w:val="clear" w:color="auto" w:fill="auto"/>
            <w:noWrap/>
            <w:tcMar>
              <w:top w:w="0" w:type="dxa"/>
              <w:left w:w="108" w:type="dxa"/>
              <w:bottom w:w="0" w:type="dxa"/>
              <w:right w:w="108" w:type="dxa"/>
            </w:tcMar>
            <w:vAlign w:val="center"/>
          </w:tcPr>
          <w:p w14:paraId="31D2C611">
            <w:pPr>
              <w:spacing w:line="560" w:lineRule="exact"/>
              <w:jc w:val="center"/>
              <w:rPr>
                <w:rFonts w:ascii="仿宋_GB2312" w:eastAsia="仿宋_GB2312"/>
                <w:sz w:val="28"/>
                <w:szCs w:val="28"/>
              </w:rPr>
            </w:pPr>
          </w:p>
        </w:tc>
        <w:tc>
          <w:tcPr>
            <w:tcW w:w="3785" w:type="dxa"/>
            <w:vMerge w:val="continue"/>
            <w:shd w:val="clear" w:color="auto" w:fill="auto"/>
            <w:tcMar>
              <w:top w:w="0" w:type="dxa"/>
              <w:left w:w="108" w:type="dxa"/>
              <w:bottom w:w="0" w:type="dxa"/>
              <w:right w:w="108" w:type="dxa"/>
            </w:tcMar>
            <w:vAlign w:val="center"/>
          </w:tcPr>
          <w:p w14:paraId="130212A1">
            <w:pPr>
              <w:spacing w:line="560" w:lineRule="exact"/>
              <w:jc w:val="left"/>
              <w:rPr>
                <w:rFonts w:ascii="仿宋_GB2312" w:eastAsia="仿宋_GB2312"/>
                <w:sz w:val="28"/>
                <w:szCs w:val="28"/>
              </w:rPr>
            </w:pPr>
          </w:p>
        </w:tc>
        <w:tc>
          <w:tcPr>
            <w:tcW w:w="2126" w:type="dxa"/>
            <w:shd w:val="clear" w:color="auto" w:fill="auto"/>
            <w:noWrap/>
            <w:tcMar>
              <w:top w:w="0" w:type="dxa"/>
              <w:left w:w="108" w:type="dxa"/>
              <w:bottom w:w="0" w:type="dxa"/>
              <w:right w:w="108" w:type="dxa"/>
            </w:tcMar>
            <w:vAlign w:val="center"/>
          </w:tcPr>
          <w:p w14:paraId="54DA5D56">
            <w:pPr>
              <w:spacing w:line="560" w:lineRule="exact"/>
              <w:jc w:val="center"/>
              <w:rPr>
                <w:rFonts w:ascii="仿宋_GB2312" w:eastAsia="仿宋_GB2312"/>
                <w:sz w:val="28"/>
                <w:szCs w:val="28"/>
              </w:rPr>
            </w:pPr>
          </w:p>
        </w:tc>
        <w:tc>
          <w:tcPr>
            <w:tcW w:w="2879" w:type="dxa"/>
            <w:shd w:val="clear" w:color="auto" w:fill="auto"/>
            <w:tcMar>
              <w:top w:w="0" w:type="dxa"/>
              <w:left w:w="108" w:type="dxa"/>
              <w:bottom w:w="0" w:type="dxa"/>
              <w:right w:w="108" w:type="dxa"/>
            </w:tcMar>
            <w:vAlign w:val="center"/>
          </w:tcPr>
          <w:p w14:paraId="70566AD7">
            <w:pPr>
              <w:spacing w:line="560" w:lineRule="exact"/>
              <w:jc w:val="center"/>
              <w:rPr>
                <w:rFonts w:ascii="仿宋_GB2312" w:eastAsia="仿宋_GB2312"/>
                <w:sz w:val="28"/>
                <w:szCs w:val="28"/>
              </w:rPr>
            </w:pPr>
          </w:p>
        </w:tc>
      </w:tr>
      <w:tr w14:paraId="3AADB75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85" w:hRule="atLeast"/>
        </w:trPr>
        <w:tc>
          <w:tcPr>
            <w:tcW w:w="894" w:type="dxa"/>
            <w:vMerge w:val="restart"/>
            <w:shd w:val="clear" w:color="auto" w:fill="auto"/>
            <w:noWrap/>
            <w:tcMar>
              <w:top w:w="0" w:type="dxa"/>
              <w:left w:w="108" w:type="dxa"/>
              <w:bottom w:w="0" w:type="dxa"/>
              <w:right w:w="108" w:type="dxa"/>
            </w:tcMar>
            <w:vAlign w:val="center"/>
          </w:tcPr>
          <w:p w14:paraId="2DD39E70">
            <w:pPr>
              <w:spacing w:line="560" w:lineRule="exact"/>
              <w:jc w:val="center"/>
              <w:rPr>
                <w:rFonts w:ascii="仿宋_GB2312" w:eastAsia="仿宋_GB2312"/>
                <w:sz w:val="28"/>
                <w:szCs w:val="28"/>
              </w:rPr>
            </w:pPr>
            <w:r>
              <w:rPr>
                <w:rFonts w:hint="eastAsia" w:ascii="仿宋_GB2312" w:eastAsia="仿宋_GB2312"/>
                <w:sz w:val="28"/>
                <w:szCs w:val="28"/>
              </w:rPr>
              <w:t>7</w:t>
            </w:r>
          </w:p>
        </w:tc>
        <w:tc>
          <w:tcPr>
            <w:tcW w:w="3785" w:type="dxa"/>
            <w:vMerge w:val="restart"/>
            <w:shd w:val="clear" w:color="auto" w:fill="auto"/>
            <w:noWrap/>
            <w:tcMar>
              <w:top w:w="0" w:type="dxa"/>
              <w:left w:w="108" w:type="dxa"/>
              <w:bottom w:w="0" w:type="dxa"/>
              <w:right w:w="108" w:type="dxa"/>
            </w:tcMar>
            <w:vAlign w:val="center"/>
          </w:tcPr>
          <w:p w14:paraId="2C51D7E1">
            <w:pPr>
              <w:spacing w:line="560" w:lineRule="exact"/>
              <w:jc w:val="center"/>
              <w:rPr>
                <w:rFonts w:ascii="仿宋_GB2312" w:eastAsia="仿宋_GB2312"/>
                <w:sz w:val="28"/>
                <w:szCs w:val="28"/>
              </w:rPr>
            </w:pPr>
          </w:p>
        </w:tc>
        <w:tc>
          <w:tcPr>
            <w:tcW w:w="2126" w:type="dxa"/>
            <w:shd w:val="clear" w:color="auto" w:fill="auto"/>
            <w:noWrap/>
            <w:tcMar>
              <w:top w:w="0" w:type="dxa"/>
              <w:left w:w="108" w:type="dxa"/>
              <w:bottom w:w="0" w:type="dxa"/>
              <w:right w:w="108" w:type="dxa"/>
            </w:tcMar>
            <w:vAlign w:val="center"/>
          </w:tcPr>
          <w:p w14:paraId="5B5B05C4">
            <w:pPr>
              <w:spacing w:line="560" w:lineRule="exact"/>
              <w:jc w:val="center"/>
              <w:rPr>
                <w:rFonts w:ascii="仿宋_GB2312" w:eastAsia="仿宋_GB2312"/>
                <w:sz w:val="28"/>
                <w:szCs w:val="28"/>
              </w:rPr>
            </w:pPr>
          </w:p>
        </w:tc>
        <w:tc>
          <w:tcPr>
            <w:tcW w:w="2879" w:type="dxa"/>
            <w:shd w:val="clear" w:color="auto" w:fill="auto"/>
            <w:tcMar>
              <w:top w:w="0" w:type="dxa"/>
              <w:left w:w="108" w:type="dxa"/>
              <w:bottom w:w="0" w:type="dxa"/>
              <w:right w:w="108" w:type="dxa"/>
            </w:tcMar>
            <w:vAlign w:val="center"/>
          </w:tcPr>
          <w:p w14:paraId="7A313ED0">
            <w:pPr>
              <w:spacing w:line="560" w:lineRule="exact"/>
              <w:jc w:val="center"/>
              <w:rPr>
                <w:rFonts w:ascii="仿宋_GB2312" w:eastAsia="仿宋_GB2312"/>
                <w:sz w:val="28"/>
                <w:szCs w:val="28"/>
              </w:rPr>
            </w:pPr>
          </w:p>
        </w:tc>
      </w:tr>
      <w:tr w14:paraId="52E4FE3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15" w:hRule="atLeast"/>
        </w:trPr>
        <w:tc>
          <w:tcPr>
            <w:tcW w:w="894" w:type="dxa"/>
            <w:vMerge w:val="continue"/>
            <w:shd w:val="clear" w:color="auto" w:fill="auto"/>
            <w:vAlign w:val="center"/>
          </w:tcPr>
          <w:p w14:paraId="619D1350">
            <w:pPr>
              <w:spacing w:line="560" w:lineRule="exact"/>
              <w:jc w:val="center"/>
              <w:rPr>
                <w:rFonts w:ascii="仿宋_GB2312" w:eastAsia="仿宋_GB2312"/>
                <w:sz w:val="28"/>
                <w:szCs w:val="28"/>
              </w:rPr>
            </w:pPr>
          </w:p>
        </w:tc>
        <w:tc>
          <w:tcPr>
            <w:tcW w:w="3785" w:type="dxa"/>
            <w:vMerge w:val="continue"/>
            <w:shd w:val="clear" w:color="auto" w:fill="auto"/>
            <w:vAlign w:val="center"/>
          </w:tcPr>
          <w:p w14:paraId="3E59AFC2">
            <w:pPr>
              <w:spacing w:line="560" w:lineRule="exact"/>
              <w:jc w:val="center"/>
              <w:rPr>
                <w:rFonts w:ascii="仿宋_GB2312" w:eastAsia="仿宋_GB2312"/>
                <w:sz w:val="28"/>
                <w:szCs w:val="28"/>
              </w:rPr>
            </w:pPr>
          </w:p>
        </w:tc>
        <w:tc>
          <w:tcPr>
            <w:tcW w:w="2126" w:type="dxa"/>
            <w:shd w:val="clear" w:color="auto" w:fill="auto"/>
            <w:noWrap/>
            <w:tcMar>
              <w:top w:w="0" w:type="dxa"/>
              <w:left w:w="108" w:type="dxa"/>
              <w:bottom w:w="0" w:type="dxa"/>
              <w:right w:w="108" w:type="dxa"/>
            </w:tcMar>
            <w:vAlign w:val="center"/>
          </w:tcPr>
          <w:p w14:paraId="2B98B809">
            <w:pPr>
              <w:spacing w:line="560" w:lineRule="exact"/>
              <w:jc w:val="center"/>
              <w:rPr>
                <w:rFonts w:ascii="仿宋_GB2312" w:eastAsia="仿宋_GB2312"/>
                <w:sz w:val="28"/>
                <w:szCs w:val="28"/>
              </w:rPr>
            </w:pPr>
          </w:p>
        </w:tc>
        <w:tc>
          <w:tcPr>
            <w:tcW w:w="2879" w:type="dxa"/>
            <w:shd w:val="clear" w:color="auto" w:fill="auto"/>
            <w:tcMar>
              <w:top w:w="0" w:type="dxa"/>
              <w:left w:w="108" w:type="dxa"/>
              <w:bottom w:w="0" w:type="dxa"/>
              <w:right w:w="108" w:type="dxa"/>
            </w:tcMar>
            <w:vAlign w:val="center"/>
          </w:tcPr>
          <w:p w14:paraId="16CB8AA3">
            <w:pPr>
              <w:spacing w:line="560" w:lineRule="exact"/>
              <w:jc w:val="center"/>
              <w:rPr>
                <w:rFonts w:ascii="仿宋_GB2312" w:eastAsia="仿宋_GB2312"/>
                <w:sz w:val="28"/>
                <w:szCs w:val="28"/>
              </w:rPr>
            </w:pPr>
          </w:p>
        </w:tc>
      </w:tr>
      <w:tr w14:paraId="2EB39DE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15" w:hRule="atLeast"/>
        </w:trPr>
        <w:tc>
          <w:tcPr>
            <w:tcW w:w="894" w:type="dxa"/>
            <w:shd w:val="clear" w:color="auto" w:fill="auto"/>
            <w:vAlign w:val="center"/>
          </w:tcPr>
          <w:p w14:paraId="753D3D70">
            <w:pPr>
              <w:spacing w:line="560" w:lineRule="exact"/>
              <w:jc w:val="center"/>
              <w:rPr>
                <w:rFonts w:ascii="仿宋_GB2312" w:eastAsia="仿宋_GB2312"/>
                <w:sz w:val="28"/>
                <w:szCs w:val="28"/>
              </w:rPr>
            </w:pPr>
            <w:r>
              <w:rPr>
                <w:rFonts w:hint="eastAsia" w:ascii="仿宋_GB2312" w:eastAsia="仿宋_GB2312"/>
                <w:sz w:val="28"/>
                <w:szCs w:val="28"/>
              </w:rPr>
              <w:t>……</w:t>
            </w:r>
          </w:p>
        </w:tc>
        <w:tc>
          <w:tcPr>
            <w:tcW w:w="3785" w:type="dxa"/>
            <w:shd w:val="clear" w:color="auto" w:fill="auto"/>
            <w:vAlign w:val="center"/>
          </w:tcPr>
          <w:p w14:paraId="46DA2A23">
            <w:pPr>
              <w:spacing w:line="560" w:lineRule="exact"/>
              <w:jc w:val="center"/>
              <w:rPr>
                <w:rFonts w:ascii="仿宋_GB2312" w:eastAsia="仿宋_GB2312"/>
                <w:sz w:val="28"/>
                <w:szCs w:val="28"/>
              </w:rPr>
            </w:pPr>
          </w:p>
        </w:tc>
        <w:tc>
          <w:tcPr>
            <w:tcW w:w="2126" w:type="dxa"/>
            <w:shd w:val="clear" w:color="auto" w:fill="auto"/>
            <w:noWrap/>
            <w:tcMar>
              <w:top w:w="0" w:type="dxa"/>
              <w:left w:w="108" w:type="dxa"/>
              <w:bottom w:w="0" w:type="dxa"/>
              <w:right w:w="108" w:type="dxa"/>
            </w:tcMar>
            <w:vAlign w:val="center"/>
          </w:tcPr>
          <w:p w14:paraId="64361628">
            <w:pPr>
              <w:spacing w:line="560" w:lineRule="exact"/>
              <w:jc w:val="center"/>
              <w:rPr>
                <w:rFonts w:ascii="仿宋_GB2312" w:eastAsia="仿宋_GB2312"/>
                <w:sz w:val="28"/>
                <w:szCs w:val="28"/>
              </w:rPr>
            </w:pPr>
          </w:p>
        </w:tc>
        <w:tc>
          <w:tcPr>
            <w:tcW w:w="2879" w:type="dxa"/>
            <w:shd w:val="clear" w:color="auto" w:fill="auto"/>
            <w:tcMar>
              <w:top w:w="0" w:type="dxa"/>
              <w:left w:w="108" w:type="dxa"/>
              <w:bottom w:w="0" w:type="dxa"/>
              <w:right w:w="108" w:type="dxa"/>
            </w:tcMar>
            <w:vAlign w:val="center"/>
          </w:tcPr>
          <w:p w14:paraId="0DC7DF20">
            <w:pPr>
              <w:spacing w:line="560" w:lineRule="exact"/>
              <w:jc w:val="center"/>
              <w:rPr>
                <w:rFonts w:ascii="仿宋_GB2312" w:eastAsia="仿宋_GB2312"/>
                <w:sz w:val="28"/>
                <w:szCs w:val="28"/>
              </w:rPr>
            </w:pPr>
          </w:p>
        </w:tc>
      </w:tr>
    </w:tbl>
    <w:p w14:paraId="5E96BE33">
      <w:pPr>
        <w:widowControl/>
        <w:jc w:val="left"/>
        <w:rPr>
          <w:rFonts w:ascii="仿宋_GB2312" w:hAnsi="仿宋" w:eastAsia="仿宋_GB2312"/>
          <w:b/>
          <w:bCs/>
          <w:sz w:val="30"/>
          <w:szCs w:val="30"/>
        </w:rPr>
      </w:pPr>
    </w:p>
    <w:p w14:paraId="5141E0D3">
      <w:pPr>
        <w:widowControl/>
        <w:jc w:val="left"/>
        <w:rPr>
          <w:rFonts w:ascii="仿宋_GB2312" w:hAnsi="仿宋" w:eastAsia="仿宋_GB2312"/>
          <w:b/>
          <w:bCs/>
          <w:sz w:val="30"/>
          <w:szCs w:val="30"/>
        </w:rPr>
      </w:pPr>
      <w:r>
        <w:rPr>
          <w:rFonts w:ascii="仿宋_GB2312" w:hAnsi="仿宋" w:eastAsia="仿宋_GB2312"/>
          <w:b/>
          <w:bCs/>
          <w:sz w:val="30"/>
          <w:szCs w:val="30"/>
        </w:rPr>
        <w:br w:type="page"/>
      </w:r>
    </w:p>
    <w:p w14:paraId="6C4BD695">
      <w:pPr>
        <w:widowControl/>
        <w:jc w:val="left"/>
        <w:outlineLvl w:val="1"/>
        <w:rPr>
          <w:rFonts w:ascii="仿宋_GB2312" w:hAnsi="黑体" w:eastAsia="仿宋_GB2312"/>
          <w:b/>
          <w:sz w:val="30"/>
          <w:szCs w:val="30"/>
        </w:rPr>
      </w:pPr>
      <w:bookmarkStart w:id="4000" w:name="_Toc112934167"/>
      <w:bookmarkStart w:id="4001" w:name="_Toc931534820"/>
      <w:bookmarkStart w:id="4002" w:name="_Toc151137119"/>
      <w:bookmarkStart w:id="4003" w:name="_Toc1504868679"/>
      <w:bookmarkStart w:id="4004" w:name="_Toc1008829154"/>
      <w:r>
        <w:rPr>
          <w:rFonts w:hint="eastAsia" w:ascii="仿宋_GB2312" w:hAnsi="黑体" w:eastAsia="仿宋_GB2312"/>
          <w:b/>
          <w:sz w:val="30"/>
          <w:szCs w:val="30"/>
        </w:rPr>
        <w:t>附件36 处置现场负责人及进入处置场所的人员名单</w:t>
      </w:r>
      <w:bookmarkEnd w:id="4000"/>
      <w:bookmarkEnd w:id="4001"/>
      <w:bookmarkEnd w:id="4002"/>
      <w:bookmarkEnd w:id="4003"/>
      <w:bookmarkEnd w:id="4004"/>
    </w:p>
    <w:p w14:paraId="2D6FA397">
      <w:pPr>
        <w:spacing w:line="560" w:lineRule="exact"/>
        <w:jc w:val="center"/>
        <w:rPr>
          <w:rFonts w:ascii="黑体" w:hAnsi="黑体" w:eastAsia="黑体"/>
          <w:b/>
          <w:sz w:val="44"/>
          <w:szCs w:val="44"/>
        </w:rPr>
      </w:pPr>
    </w:p>
    <w:p w14:paraId="4A188822">
      <w:pPr>
        <w:spacing w:line="560" w:lineRule="exact"/>
        <w:jc w:val="center"/>
        <w:rPr>
          <w:rFonts w:ascii="黑体" w:hAnsi="黑体" w:eastAsia="黑体"/>
          <w:b/>
          <w:sz w:val="44"/>
          <w:szCs w:val="44"/>
        </w:rPr>
      </w:pPr>
      <w:r>
        <w:rPr>
          <w:rFonts w:hint="eastAsia" w:ascii="黑体" w:hAnsi="黑体" w:eastAsia="黑体"/>
          <w:b/>
          <w:sz w:val="44"/>
          <w:szCs w:val="44"/>
        </w:rPr>
        <w:t>处置现场负责人及进入处置场所的</w:t>
      </w:r>
    </w:p>
    <w:p w14:paraId="2DC13E8C">
      <w:pPr>
        <w:spacing w:line="560" w:lineRule="exact"/>
        <w:jc w:val="center"/>
        <w:rPr>
          <w:rFonts w:ascii="黑体" w:hAnsi="黑体" w:eastAsia="黑体"/>
          <w:b/>
          <w:sz w:val="32"/>
          <w:szCs w:val="32"/>
        </w:rPr>
      </w:pPr>
      <w:r>
        <w:rPr>
          <w:rFonts w:hint="eastAsia" w:ascii="黑体" w:hAnsi="黑体" w:eastAsia="黑体"/>
          <w:b/>
          <w:sz w:val="44"/>
          <w:szCs w:val="44"/>
        </w:rPr>
        <w:t>人员名单</w:t>
      </w:r>
    </w:p>
    <w:p w14:paraId="2BE20684">
      <w:pPr>
        <w:spacing w:line="560" w:lineRule="exact"/>
        <w:ind w:left="-708" w:leftChars="-337" w:firstLine="750" w:firstLineChars="250"/>
        <w:rPr>
          <w:rFonts w:ascii="仿宋_GB2312" w:eastAsia="仿宋_GB2312"/>
          <w:sz w:val="30"/>
          <w:szCs w:val="30"/>
        </w:rPr>
      </w:pPr>
      <w:r>
        <w:rPr>
          <w:rFonts w:hint="eastAsia" w:ascii="仿宋_GB2312" w:eastAsia="仿宋_GB2312"/>
          <w:sz w:val="30"/>
          <w:szCs w:val="30"/>
        </w:rPr>
        <w:t>处置名称：XX 公司 XX 年（X）期债券担保品处置</w:t>
      </w:r>
    </w:p>
    <w:p w14:paraId="34C0134D">
      <w:pPr>
        <w:spacing w:line="560" w:lineRule="exact"/>
        <w:ind w:left="-708" w:leftChars="-337" w:firstLine="750" w:firstLineChars="250"/>
        <w:rPr>
          <w:rFonts w:ascii="仿宋_GB2312" w:eastAsia="仿宋_GB2312"/>
          <w:sz w:val="30"/>
          <w:szCs w:val="30"/>
        </w:rPr>
      </w:pPr>
      <w:r>
        <w:rPr>
          <w:rFonts w:hint="eastAsia" w:ascii="仿宋_GB2312" w:eastAsia="仿宋_GB2312"/>
          <w:sz w:val="30"/>
          <w:szCs w:val="30"/>
        </w:rPr>
        <w:t>处置日期：</w:t>
      </w:r>
      <w:r>
        <w:rPr>
          <w:rFonts w:ascii="仿宋_GB2312" w:eastAsia="仿宋_GB2312"/>
          <w:sz w:val="30"/>
          <w:szCs w:val="30"/>
        </w:rPr>
        <w:t xml:space="preserve">       </w:t>
      </w:r>
      <w:r>
        <w:rPr>
          <w:rFonts w:hint="eastAsia" w:ascii="仿宋_GB2312" w:eastAsia="仿宋_GB2312"/>
          <w:sz w:val="30"/>
          <w:szCs w:val="30"/>
        </w:rPr>
        <w:t>年</w:t>
      </w:r>
      <w:r>
        <w:rPr>
          <w:rFonts w:ascii="仿宋_GB2312" w:eastAsia="仿宋_GB2312"/>
          <w:sz w:val="30"/>
          <w:szCs w:val="30"/>
        </w:rPr>
        <w:t xml:space="preserve">    </w:t>
      </w:r>
      <w:r>
        <w:rPr>
          <w:rFonts w:hint="eastAsia" w:ascii="仿宋_GB2312" w:eastAsia="仿宋_GB2312"/>
          <w:sz w:val="30"/>
          <w:szCs w:val="30"/>
        </w:rPr>
        <w:t>月</w:t>
      </w:r>
      <w:r>
        <w:rPr>
          <w:rFonts w:ascii="仿宋_GB2312" w:eastAsia="仿宋_GB2312"/>
          <w:sz w:val="30"/>
          <w:szCs w:val="30"/>
        </w:rPr>
        <w:t xml:space="preserve">   </w:t>
      </w:r>
      <w:r>
        <w:rPr>
          <w:rFonts w:hint="eastAsia" w:ascii="仿宋_GB2312" w:eastAsia="仿宋_GB2312"/>
          <w:sz w:val="30"/>
          <w:szCs w:val="30"/>
        </w:rPr>
        <w:t>日</w:t>
      </w:r>
    </w:p>
    <w:tbl>
      <w:tblPr>
        <w:tblStyle w:val="43"/>
        <w:tblW w:w="85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7"/>
        <w:gridCol w:w="1475"/>
        <w:gridCol w:w="2180"/>
        <w:gridCol w:w="1936"/>
        <w:gridCol w:w="1915"/>
      </w:tblGrid>
      <w:tr w14:paraId="11F59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17" w:type="dxa"/>
          </w:tcPr>
          <w:p w14:paraId="4B585317">
            <w:pPr>
              <w:spacing w:line="560" w:lineRule="exact"/>
              <w:jc w:val="center"/>
              <w:rPr>
                <w:rFonts w:ascii="仿宋_GB2312" w:eastAsia="仿宋_GB2312"/>
                <w:sz w:val="28"/>
                <w:szCs w:val="28"/>
              </w:rPr>
            </w:pPr>
            <w:r>
              <w:rPr>
                <w:rFonts w:hint="eastAsia" w:ascii="仿宋_GB2312" w:eastAsia="仿宋_GB2312"/>
                <w:sz w:val="28"/>
                <w:szCs w:val="28"/>
              </w:rPr>
              <w:t>序号</w:t>
            </w:r>
          </w:p>
        </w:tc>
        <w:tc>
          <w:tcPr>
            <w:tcW w:w="1475" w:type="dxa"/>
          </w:tcPr>
          <w:p w14:paraId="75480F0C">
            <w:pPr>
              <w:spacing w:line="560" w:lineRule="exact"/>
              <w:jc w:val="center"/>
              <w:rPr>
                <w:rFonts w:ascii="仿宋_GB2312" w:eastAsia="仿宋_GB2312"/>
                <w:sz w:val="28"/>
                <w:szCs w:val="28"/>
              </w:rPr>
            </w:pPr>
            <w:r>
              <w:rPr>
                <w:rFonts w:hint="eastAsia" w:ascii="仿宋_GB2312" w:eastAsia="仿宋_GB2312"/>
                <w:sz w:val="28"/>
                <w:szCs w:val="28"/>
              </w:rPr>
              <w:t>姓名</w:t>
            </w:r>
          </w:p>
        </w:tc>
        <w:tc>
          <w:tcPr>
            <w:tcW w:w="2180" w:type="dxa"/>
          </w:tcPr>
          <w:p w14:paraId="161E2D25">
            <w:pPr>
              <w:spacing w:line="560" w:lineRule="exact"/>
              <w:jc w:val="center"/>
              <w:rPr>
                <w:rFonts w:ascii="仿宋_GB2312" w:eastAsia="仿宋_GB2312"/>
                <w:sz w:val="28"/>
                <w:szCs w:val="28"/>
              </w:rPr>
            </w:pPr>
            <w:r>
              <w:rPr>
                <w:rFonts w:hint="eastAsia" w:ascii="仿宋_GB2312" w:eastAsia="仿宋_GB2312"/>
                <w:sz w:val="28"/>
                <w:szCs w:val="28"/>
              </w:rPr>
              <w:t>部门</w:t>
            </w:r>
          </w:p>
        </w:tc>
        <w:tc>
          <w:tcPr>
            <w:tcW w:w="1936" w:type="dxa"/>
          </w:tcPr>
          <w:p w14:paraId="0B5D35E7">
            <w:pPr>
              <w:spacing w:line="560" w:lineRule="exact"/>
              <w:jc w:val="center"/>
              <w:rPr>
                <w:rFonts w:ascii="仿宋_GB2312" w:eastAsia="仿宋_GB2312"/>
                <w:sz w:val="28"/>
                <w:szCs w:val="28"/>
              </w:rPr>
            </w:pPr>
            <w:r>
              <w:rPr>
                <w:rFonts w:hint="eastAsia" w:ascii="仿宋_GB2312" w:eastAsia="仿宋_GB2312"/>
                <w:sz w:val="28"/>
                <w:szCs w:val="28"/>
              </w:rPr>
              <w:t>职务</w:t>
            </w:r>
          </w:p>
        </w:tc>
        <w:tc>
          <w:tcPr>
            <w:tcW w:w="1915" w:type="dxa"/>
          </w:tcPr>
          <w:p w14:paraId="43FB40DA">
            <w:pPr>
              <w:spacing w:line="560" w:lineRule="exact"/>
              <w:jc w:val="center"/>
              <w:rPr>
                <w:rFonts w:ascii="仿宋_GB2312" w:eastAsia="仿宋_GB2312"/>
                <w:sz w:val="28"/>
                <w:szCs w:val="28"/>
              </w:rPr>
            </w:pPr>
            <w:r>
              <w:rPr>
                <w:rFonts w:hint="eastAsia" w:ascii="仿宋_GB2312" w:eastAsia="仿宋_GB2312"/>
                <w:sz w:val="28"/>
                <w:szCs w:val="28"/>
              </w:rPr>
              <w:t>备注</w:t>
            </w:r>
          </w:p>
        </w:tc>
      </w:tr>
      <w:tr w14:paraId="364A5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17" w:type="dxa"/>
          </w:tcPr>
          <w:p w14:paraId="00AB358E">
            <w:pPr>
              <w:spacing w:line="560" w:lineRule="exact"/>
              <w:jc w:val="center"/>
              <w:rPr>
                <w:rFonts w:ascii="仿宋_GB2312" w:eastAsia="仿宋_GB2312"/>
                <w:sz w:val="28"/>
                <w:szCs w:val="28"/>
              </w:rPr>
            </w:pPr>
            <w:r>
              <w:rPr>
                <w:rFonts w:ascii="仿宋_GB2312" w:eastAsia="仿宋_GB2312"/>
                <w:sz w:val="28"/>
                <w:szCs w:val="28"/>
              </w:rPr>
              <w:t>1</w:t>
            </w:r>
          </w:p>
        </w:tc>
        <w:tc>
          <w:tcPr>
            <w:tcW w:w="1475" w:type="dxa"/>
          </w:tcPr>
          <w:p w14:paraId="5FBAB3C0">
            <w:pPr>
              <w:spacing w:line="560" w:lineRule="exact"/>
              <w:rPr>
                <w:rFonts w:ascii="仿宋_GB2312" w:eastAsia="仿宋_GB2312"/>
                <w:sz w:val="28"/>
                <w:szCs w:val="28"/>
              </w:rPr>
            </w:pPr>
          </w:p>
        </w:tc>
        <w:tc>
          <w:tcPr>
            <w:tcW w:w="2180" w:type="dxa"/>
          </w:tcPr>
          <w:p w14:paraId="61DB74B8">
            <w:pPr>
              <w:spacing w:line="560" w:lineRule="exact"/>
              <w:rPr>
                <w:rFonts w:ascii="仿宋_GB2312" w:eastAsia="仿宋_GB2312"/>
                <w:sz w:val="28"/>
                <w:szCs w:val="28"/>
              </w:rPr>
            </w:pPr>
          </w:p>
        </w:tc>
        <w:tc>
          <w:tcPr>
            <w:tcW w:w="1936" w:type="dxa"/>
          </w:tcPr>
          <w:p w14:paraId="5D463638">
            <w:pPr>
              <w:spacing w:line="560" w:lineRule="exact"/>
              <w:rPr>
                <w:rFonts w:ascii="仿宋_GB2312" w:eastAsia="仿宋_GB2312"/>
                <w:sz w:val="28"/>
                <w:szCs w:val="28"/>
              </w:rPr>
            </w:pPr>
          </w:p>
        </w:tc>
        <w:tc>
          <w:tcPr>
            <w:tcW w:w="1915" w:type="dxa"/>
          </w:tcPr>
          <w:p w14:paraId="664773CE">
            <w:pPr>
              <w:spacing w:line="560" w:lineRule="exact"/>
              <w:rPr>
                <w:rFonts w:ascii="仿宋_GB2312" w:eastAsia="仿宋_GB2312"/>
                <w:sz w:val="28"/>
                <w:szCs w:val="28"/>
              </w:rPr>
            </w:pPr>
          </w:p>
        </w:tc>
      </w:tr>
      <w:tr w14:paraId="6389F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17" w:type="dxa"/>
          </w:tcPr>
          <w:p w14:paraId="17FEA466">
            <w:pPr>
              <w:spacing w:line="560" w:lineRule="exact"/>
              <w:jc w:val="center"/>
              <w:rPr>
                <w:rFonts w:ascii="仿宋_GB2312" w:eastAsia="仿宋_GB2312"/>
                <w:sz w:val="28"/>
                <w:szCs w:val="28"/>
              </w:rPr>
            </w:pPr>
            <w:r>
              <w:rPr>
                <w:rFonts w:ascii="仿宋_GB2312" w:eastAsia="仿宋_GB2312"/>
                <w:sz w:val="28"/>
                <w:szCs w:val="28"/>
              </w:rPr>
              <w:t>2</w:t>
            </w:r>
          </w:p>
        </w:tc>
        <w:tc>
          <w:tcPr>
            <w:tcW w:w="1475" w:type="dxa"/>
          </w:tcPr>
          <w:p w14:paraId="7EDBF985">
            <w:pPr>
              <w:spacing w:line="560" w:lineRule="exact"/>
              <w:rPr>
                <w:rFonts w:ascii="仿宋_GB2312" w:eastAsia="仿宋_GB2312"/>
                <w:sz w:val="28"/>
                <w:szCs w:val="28"/>
              </w:rPr>
            </w:pPr>
          </w:p>
        </w:tc>
        <w:tc>
          <w:tcPr>
            <w:tcW w:w="2180" w:type="dxa"/>
          </w:tcPr>
          <w:p w14:paraId="4EB81CB2">
            <w:pPr>
              <w:spacing w:line="560" w:lineRule="exact"/>
              <w:rPr>
                <w:rFonts w:ascii="仿宋_GB2312" w:eastAsia="仿宋_GB2312"/>
                <w:sz w:val="28"/>
                <w:szCs w:val="28"/>
              </w:rPr>
            </w:pPr>
          </w:p>
        </w:tc>
        <w:tc>
          <w:tcPr>
            <w:tcW w:w="1936" w:type="dxa"/>
          </w:tcPr>
          <w:p w14:paraId="21F453DE">
            <w:pPr>
              <w:spacing w:line="560" w:lineRule="exact"/>
              <w:rPr>
                <w:rFonts w:ascii="仿宋_GB2312" w:eastAsia="仿宋_GB2312"/>
                <w:sz w:val="28"/>
                <w:szCs w:val="28"/>
              </w:rPr>
            </w:pPr>
          </w:p>
        </w:tc>
        <w:tc>
          <w:tcPr>
            <w:tcW w:w="1915" w:type="dxa"/>
          </w:tcPr>
          <w:p w14:paraId="2333DCBA">
            <w:pPr>
              <w:spacing w:line="560" w:lineRule="exact"/>
              <w:rPr>
                <w:rFonts w:ascii="仿宋_GB2312" w:eastAsia="仿宋_GB2312"/>
                <w:sz w:val="28"/>
                <w:szCs w:val="28"/>
              </w:rPr>
            </w:pPr>
          </w:p>
        </w:tc>
      </w:tr>
      <w:tr w14:paraId="035E6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17" w:type="dxa"/>
          </w:tcPr>
          <w:p w14:paraId="49C949D5">
            <w:pPr>
              <w:spacing w:line="560" w:lineRule="exact"/>
              <w:jc w:val="center"/>
              <w:rPr>
                <w:rFonts w:ascii="仿宋_GB2312" w:eastAsia="仿宋_GB2312"/>
                <w:sz w:val="28"/>
                <w:szCs w:val="28"/>
              </w:rPr>
            </w:pPr>
            <w:r>
              <w:rPr>
                <w:rFonts w:ascii="仿宋_GB2312" w:eastAsia="仿宋_GB2312"/>
                <w:sz w:val="28"/>
                <w:szCs w:val="28"/>
              </w:rPr>
              <w:t>3</w:t>
            </w:r>
          </w:p>
        </w:tc>
        <w:tc>
          <w:tcPr>
            <w:tcW w:w="1475" w:type="dxa"/>
          </w:tcPr>
          <w:p w14:paraId="6206DB9F">
            <w:pPr>
              <w:spacing w:line="560" w:lineRule="exact"/>
              <w:rPr>
                <w:rFonts w:ascii="仿宋_GB2312" w:eastAsia="仿宋_GB2312"/>
                <w:sz w:val="28"/>
                <w:szCs w:val="28"/>
              </w:rPr>
            </w:pPr>
          </w:p>
        </w:tc>
        <w:tc>
          <w:tcPr>
            <w:tcW w:w="2180" w:type="dxa"/>
          </w:tcPr>
          <w:p w14:paraId="2C7B893B">
            <w:pPr>
              <w:spacing w:line="560" w:lineRule="exact"/>
              <w:rPr>
                <w:rFonts w:ascii="仿宋_GB2312" w:eastAsia="仿宋_GB2312"/>
                <w:sz w:val="28"/>
                <w:szCs w:val="28"/>
              </w:rPr>
            </w:pPr>
          </w:p>
        </w:tc>
        <w:tc>
          <w:tcPr>
            <w:tcW w:w="1936" w:type="dxa"/>
          </w:tcPr>
          <w:p w14:paraId="14B6DDA0">
            <w:pPr>
              <w:spacing w:line="560" w:lineRule="exact"/>
              <w:rPr>
                <w:rFonts w:ascii="仿宋_GB2312" w:eastAsia="仿宋_GB2312"/>
                <w:sz w:val="28"/>
                <w:szCs w:val="28"/>
              </w:rPr>
            </w:pPr>
          </w:p>
        </w:tc>
        <w:tc>
          <w:tcPr>
            <w:tcW w:w="1915" w:type="dxa"/>
          </w:tcPr>
          <w:p w14:paraId="27C2F187">
            <w:pPr>
              <w:spacing w:line="560" w:lineRule="exact"/>
              <w:rPr>
                <w:rFonts w:ascii="仿宋_GB2312" w:eastAsia="仿宋_GB2312"/>
                <w:sz w:val="28"/>
                <w:szCs w:val="28"/>
              </w:rPr>
            </w:pPr>
          </w:p>
        </w:tc>
      </w:tr>
      <w:tr w14:paraId="75A09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17" w:type="dxa"/>
          </w:tcPr>
          <w:p w14:paraId="11CB50DD">
            <w:pPr>
              <w:spacing w:line="560" w:lineRule="exact"/>
              <w:jc w:val="center"/>
              <w:rPr>
                <w:rFonts w:ascii="仿宋_GB2312" w:eastAsia="仿宋_GB2312"/>
                <w:sz w:val="28"/>
                <w:szCs w:val="28"/>
              </w:rPr>
            </w:pPr>
            <w:r>
              <w:rPr>
                <w:rFonts w:ascii="仿宋_GB2312" w:eastAsia="仿宋_GB2312"/>
                <w:sz w:val="28"/>
                <w:szCs w:val="28"/>
              </w:rPr>
              <w:t>4</w:t>
            </w:r>
          </w:p>
        </w:tc>
        <w:tc>
          <w:tcPr>
            <w:tcW w:w="1475" w:type="dxa"/>
          </w:tcPr>
          <w:p w14:paraId="5E7B9675">
            <w:pPr>
              <w:spacing w:line="560" w:lineRule="exact"/>
              <w:rPr>
                <w:rFonts w:ascii="仿宋_GB2312" w:eastAsia="仿宋_GB2312"/>
                <w:sz w:val="28"/>
                <w:szCs w:val="28"/>
              </w:rPr>
            </w:pPr>
          </w:p>
        </w:tc>
        <w:tc>
          <w:tcPr>
            <w:tcW w:w="2180" w:type="dxa"/>
          </w:tcPr>
          <w:p w14:paraId="404BE361">
            <w:pPr>
              <w:spacing w:line="560" w:lineRule="exact"/>
              <w:rPr>
                <w:rFonts w:ascii="仿宋_GB2312" w:eastAsia="仿宋_GB2312"/>
                <w:sz w:val="28"/>
                <w:szCs w:val="28"/>
              </w:rPr>
            </w:pPr>
          </w:p>
        </w:tc>
        <w:tc>
          <w:tcPr>
            <w:tcW w:w="1936" w:type="dxa"/>
          </w:tcPr>
          <w:p w14:paraId="7FFC30FB">
            <w:pPr>
              <w:spacing w:line="560" w:lineRule="exact"/>
              <w:rPr>
                <w:rFonts w:ascii="仿宋_GB2312" w:eastAsia="仿宋_GB2312"/>
                <w:sz w:val="28"/>
                <w:szCs w:val="28"/>
              </w:rPr>
            </w:pPr>
          </w:p>
        </w:tc>
        <w:tc>
          <w:tcPr>
            <w:tcW w:w="1915" w:type="dxa"/>
          </w:tcPr>
          <w:p w14:paraId="1BC34478">
            <w:pPr>
              <w:spacing w:line="560" w:lineRule="exact"/>
              <w:rPr>
                <w:rFonts w:ascii="仿宋_GB2312" w:eastAsia="仿宋_GB2312"/>
                <w:sz w:val="28"/>
                <w:szCs w:val="28"/>
              </w:rPr>
            </w:pPr>
          </w:p>
        </w:tc>
      </w:tr>
      <w:tr w14:paraId="15553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17" w:type="dxa"/>
          </w:tcPr>
          <w:p w14:paraId="3E1C563C">
            <w:pPr>
              <w:spacing w:line="560" w:lineRule="exact"/>
              <w:jc w:val="center"/>
              <w:rPr>
                <w:rFonts w:ascii="仿宋_GB2312" w:eastAsia="仿宋_GB2312"/>
                <w:sz w:val="28"/>
                <w:szCs w:val="28"/>
              </w:rPr>
            </w:pPr>
            <w:r>
              <w:rPr>
                <w:rFonts w:ascii="仿宋_GB2312" w:eastAsia="仿宋_GB2312"/>
                <w:sz w:val="28"/>
                <w:szCs w:val="28"/>
              </w:rPr>
              <w:t>5</w:t>
            </w:r>
          </w:p>
        </w:tc>
        <w:tc>
          <w:tcPr>
            <w:tcW w:w="1475" w:type="dxa"/>
          </w:tcPr>
          <w:p w14:paraId="600220D8">
            <w:pPr>
              <w:spacing w:line="560" w:lineRule="exact"/>
              <w:rPr>
                <w:rFonts w:ascii="仿宋_GB2312" w:eastAsia="仿宋_GB2312"/>
                <w:sz w:val="28"/>
                <w:szCs w:val="28"/>
              </w:rPr>
            </w:pPr>
          </w:p>
        </w:tc>
        <w:tc>
          <w:tcPr>
            <w:tcW w:w="2180" w:type="dxa"/>
          </w:tcPr>
          <w:p w14:paraId="06BC2AE1">
            <w:pPr>
              <w:spacing w:line="560" w:lineRule="exact"/>
              <w:rPr>
                <w:rFonts w:ascii="仿宋_GB2312" w:eastAsia="仿宋_GB2312"/>
                <w:sz w:val="28"/>
                <w:szCs w:val="28"/>
              </w:rPr>
            </w:pPr>
          </w:p>
        </w:tc>
        <w:tc>
          <w:tcPr>
            <w:tcW w:w="1936" w:type="dxa"/>
          </w:tcPr>
          <w:p w14:paraId="2ED2F2C4">
            <w:pPr>
              <w:spacing w:line="560" w:lineRule="exact"/>
              <w:rPr>
                <w:rFonts w:ascii="仿宋_GB2312" w:eastAsia="仿宋_GB2312"/>
                <w:sz w:val="28"/>
                <w:szCs w:val="28"/>
              </w:rPr>
            </w:pPr>
          </w:p>
        </w:tc>
        <w:tc>
          <w:tcPr>
            <w:tcW w:w="1915" w:type="dxa"/>
          </w:tcPr>
          <w:p w14:paraId="7D231DB8">
            <w:pPr>
              <w:spacing w:line="560" w:lineRule="exact"/>
              <w:rPr>
                <w:rFonts w:ascii="仿宋_GB2312" w:eastAsia="仿宋_GB2312"/>
                <w:sz w:val="28"/>
                <w:szCs w:val="28"/>
              </w:rPr>
            </w:pPr>
          </w:p>
        </w:tc>
      </w:tr>
      <w:tr w14:paraId="19193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17" w:type="dxa"/>
          </w:tcPr>
          <w:p w14:paraId="4249B15B">
            <w:pPr>
              <w:spacing w:line="560" w:lineRule="exact"/>
              <w:jc w:val="center"/>
              <w:rPr>
                <w:rFonts w:ascii="仿宋_GB2312" w:eastAsia="仿宋_GB2312"/>
                <w:sz w:val="28"/>
                <w:szCs w:val="28"/>
              </w:rPr>
            </w:pPr>
            <w:r>
              <w:rPr>
                <w:rFonts w:ascii="仿宋_GB2312" w:eastAsia="仿宋_GB2312"/>
                <w:sz w:val="28"/>
                <w:szCs w:val="28"/>
              </w:rPr>
              <w:t>……</w:t>
            </w:r>
          </w:p>
        </w:tc>
        <w:tc>
          <w:tcPr>
            <w:tcW w:w="1475" w:type="dxa"/>
          </w:tcPr>
          <w:p w14:paraId="61D1A302">
            <w:pPr>
              <w:spacing w:line="560" w:lineRule="exact"/>
              <w:rPr>
                <w:rFonts w:ascii="仿宋_GB2312" w:eastAsia="仿宋_GB2312"/>
                <w:sz w:val="28"/>
                <w:szCs w:val="28"/>
              </w:rPr>
            </w:pPr>
          </w:p>
        </w:tc>
        <w:tc>
          <w:tcPr>
            <w:tcW w:w="2180" w:type="dxa"/>
          </w:tcPr>
          <w:p w14:paraId="570280E1">
            <w:pPr>
              <w:spacing w:line="560" w:lineRule="exact"/>
              <w:rPr>
                <w:rFonts w:ascii="仿宋_GB2312" w:eastAsia="仿宋_GB2312"/>
                <w:sz w:val="28"/>
                <w:szCs w:val="28"/>
              </w:rPr>
            </w:pPr>
          </w:p>
        </w:tc>
        <w:tc>
          <w:tcPr>
            <w:tcW w:w="1936" w:type="dxa"/>
          </w:tcPr>
          <w:p w14:paraId="53F1B8B6">
            <w:pPr>
              <w:spacing w:line="560" w:lineRule="exact"/>
              <w:rPr>
                <w:rFonts w:ascii="仿宋_GB2312" w:eastAsia="仿宋_GB2312"/>
                <w:sz w:val="28"/>
                <w:szCs w:val="28"/>
              </w:rPr>
            </w:pPr>
          </w:p>
        </w:tc>
        <w:tc>
          <w:tcPr>
            <w:tcW w:w="1915" w:type="dxa"/>
          </w:tcPr>
          <w:p w14:paraId="2C48368D">
            <w:pPr>
              <w:spacing w:line="560" w:lineRule="exact"/>
              <w:rPr>
                <w:rFonts w:ascii="仿宋_GB2312" w:eastAsia="仿宋_GB2312"/>
                <w:sz w:val="28"/>
                <w:szCs w:val="28"/>
              </w:rPr>
            </w:pPr>
          </w:p>
        </w:tc>
      </w:tr>
    </w:tbl>
    <w:p w14:paraId="119E6379">
      <w:pPr>
        <w:spacing w:line="560" w:lineRule="exact"/>
        <w:ind w:left="-708" w:leftChars="-337" w:firstLine="480" w:firstLineChars="200"/>
        <w:rPr>
          <w:rFonts w:ascii="仿宋_GB2312" w:eastAsia="仿宋_GB2312"/>
          <w:sz w:val="24"/>
          <w:szCs w:val="24"/>
        </w:rPr>
      </w:pPr>
      <w:r>
        <w:rPr>
          <w:rFonts w:hint="eastAsia" w:ascii="仿宋_GB2312" w:eastAsia="仿宋_GB2312"/>
          <w:sz w:val="24"/>
          <w:szCs w:val="24"/>
        </w:rPr>
        <w:t>注：</w:t>
      </w:r>
      <w:r>
        <w:rPr>
          <w:rFonts w:ascii="仿宋_GB2312" w:eastAsia="仿宋_GB2312"/>
          <w:sz w:val="24"/>
          <w:szCs w:val="24"/>
        </w:rPr>
        <w:t xml:space="preserve"> 1.</w:t>
      </w:r>
      <w:r>
        <w:rPr>
          <w:rFonts w:hint="eastAsia" w:ascii="仿宋_GB2312" w:eastAsia="仿宋_GB2312"/>
          <w:sz w:val="24"/>
          <w:szCs w:val="24"/>
        </w:rPr>
        <w:t>处置方负责人在备注栏注明。</w:t>
      </w:r>
    </w:p>
    <w:p w14:paraId="2B44A480">
      <w:pPr>
        <w:spacing w:line="560" w:lineRule="exact"/>
        <w:ind w:left="-708" w:leftChars="-337" w:firstLine="1068" w:firstLineChars="445"/>
        <w:rPr>
          <w:rFonts w:ascii="仿宋_GB2312" w:eastAsia="仿宋_GB2312"/>
          <w:sz w:val="24"/>
          <w:szCs w:val="24"/>
        </w:rPr>
      </w:pPr>
      <w:r>
        <w:rPr>
          <w:rFonts w:ascii="仿宋_GB2312" w:eastAsia="仿宋_GB2312"/>
          <w:sz w:val="24"/>
          <w:szCs w:val="24"/>
        </w:rPr>
        <w:t>2.</w:t>
      </w:r>
      <w:r>
        <w:rPr>
          <w:rFonts w:hint="eastAsia" w:ascii="仿宋_GB2312" w:eastAsia="仿宋_GB2312"/>
          <w:sz w:val="24"/>
          <w:szCs w:val="24"/>
        </w:rPr>
        <w:t>参与组织协调、观摩的领导和人员不在本表中填列，可通过电话等方式及时告知上交所。</w:t>
      </w:r>
    </w:p>
    <w:p w14:paraId="0F769696">
      <w:pPr>
        <w:spacing w:line="560" w:lineRule="exact"/>
        <w:ind w:firstLine="360" w:firstLineChars="150"/>
        <w:jc w:val="left"/>
        <w:rPr>
          <w:rFonts w:ascii="仿宋_GB2312" w:eastAsia="仿宋_GB2312"/>
          <w:sz w:val="24"/>
          <w:szCs w:val="24"/>
        </w:rPr>
      </w:pPr>
      <w:r>
        <w:rPr>
          <w:rFonts w:ascii="仿宋_GB2312" w:eastAsia="仿宋_GB2312"/>
          <w:sz w:val="24"/>
          <w:szCs w:val="24"/>
        </w:rPr>
        <w:t>3.</w:t>
      </w:r>
      <w:r>
        <w:rPr>
          <w:rFonts w:hint="eastAsia" w:ascii="仿宋_GB2312" w:eastAsia="仿宋_GB2312"/>
          <w:sz w:val="24"/>
          <w:szCs w:val="24"/>
        </w:rPr>
        <w:t xml:space="preserve"> 注：请处置方于处置日前</w:t>
      </w:r>
      <w:r>
        <w:rPr>
          <w:rFonts w:ascii="仿宋_GB2312" w:eastAsia="仿宋_GB2312"/>
          <w:sz w:val="24"/>
          <w:szCs w:val="24"/>
        </w:rPr>
        <w:t>2</w:t>
      </w:r>
      <w:r>
        <w:rPr>
          <w:rFonts w:hint="eastAsia" w:ascii="仿宋_GB2312" w:eastAsia="仿宋_GB2312"/>
          <w:sz w:val="24"/>
          <w:szCs w:val="24"/>
        </w:rPr>
        <w:t>个工作日内（T-2日），通过邮箱（</w:t>
      </w:r>
      <w:r>
        <w:rPr>
          <w:rFonts w:ascii="仿宋_GB2312" w:eastAsia="仿宋_GB2312"/>
          <w:sz w:val="24"/>
          <w:szCs w:val="24"/>
        </w:rPr>
        <w:t>ssebond@ sse.com.cn</w:t>
      </w:r>
      <w:r>
        <w:rPr>
          <w:rFonts w:hint="eastAsia" w:ascii="仿宋_GB2312" w:eastAsia="仿宋_GB2312"/>
          <w:sz w:val="24"/>
          <w:szCs w:val="24"/>
        </w:rPr>
        <w:t>）方式提供给上交所，并向上交所债券担保品处置服务联系人确认。</w:t>
      </w:r>
    </w:p>
    <w:p w14:paraId="22C48749">
      <w:pPr>
        <w:spacing w:line="560" w:lineRule="exact"/>
        <w:jc w:val="right"/>
        <w:rPr>
          <w:rFonts w:ascii="仿宋_GB2312" w:eastAsia="仿宋_GB2312"/>
          <w:sz w:val="28"/>
          <w:szCs w:val="28"/>
        </w:rPr>
      </w:pPr>
    </w:p>
    <w:p w14:paraId="4E1B66AF">
      <w:pPr>
        <w:wordWrap w:val="0"/>
        <w:spacing w:line="560" w:lineRule="exact"/>
        <w:jc w:val="right"/>
        <w:rPr>
          <w:rFonts w:ascii="仿宋_GB2312" w:eastAsia="仿宋_GB2312"/>
          <w:sz w:val="28"/>
          <w:szCs w:val="28"/>
        </w:rPr>
      </w:pPr>
      <w:r>
        <w:rPr>
          <w:rFonts w:hint="eastAsia" w:ascii="仿宋_GB2312" w:eastAsia="仿宋_GB2312"/>
          <w:sz w:val="28"/>
          <w:szCs w:val="28"/>
        </w:rPr>
        <w:t xml:space="preserve">处置方： </w:t>
      </w:r>
      <w:r>
        <w:rPr>
          <w:rFonts w:ascii="仿宋_GB2312" w:eastAsia="仿宋_GB2312"/>
          <w:sz w:val="28"/>
          <w:szCs w:val="28"/>
        </w:rPr>
        <w:t xml:space="preserve">                       </w:t>
      </w:r>
    </w:p>
    <w:p w14:paraId="7C1D44F7">
      <w:pPr>
        <w:wordWrap w:val="0"/>
        <w:spacing w:line="560" w:lineRule="exact"/>
        <w:ind w:right="560"/>
        <w:jc w:val="right"/>
        <w:rPr>
          <w:rFonts w:ascii="仿宋_GB2312" w:eastAsia="仿宋_GB2312"/>
          <w:sz w:val="28"/>
          <w:szCs w:val="28"/>
        </w:rPr>
      </w:pPr>
      <w:r>
        <w:rPr>
          <w:rFonts w:hint="eastAsia" w:ascii="仿宋_GB2312" w:eastAsia="仿宋_GB2312"/>
          <w:sz w:val="28"/>
          <w:szCs w:val="28"/>
        </w:rPr>
        <w:t>联系人：</w:t>
      </w:r>
      <w:r>
        <w:rPr>
          <w:rFonts w:ascii="仿宋_GB2312" w:eastAsia="仿宋_GB2312"/>
          <w:sz w:val="28"/>
          <w:szCs w:val="28"/>
        </w:rPr>
        <w:t xml:space="preserve">                    </w:t>
      </w:r>
    </w:p>
    <w:p w14:paraId="4E9A5D22">
      <w:pPr>
        <w:spacing w:line="560" w:lineRule="exact"/>
        <w:jc w:val="right"/>
        <w:rPr>
          <w:rFonts w:ascii="仿宋_GB2312" w:hAnsi="仿宋" w:eastAsia="仿宋_GB2312"/>
          <w:b/>
          <w:bCs/>
          <w:sz w:val="30"/>
          <w:szCs w:val="30"/>
        </w:rPr>
      </w:pPr>
      <w:r>
        <w:rPr>
          <w:rFonts w:hint="eastAsia" w:ascii="仿宋_GB2312" w:eastAsia="仿宋_GB2312"/>
          <w:sz w:val="28"/>
          <w:szCs w:val="28"/>
        </w:rPr>
        <w:t xml:space="preserve">联系电话：  </w:t>
      </w:r>
      <w:r>
        <w:rPr>
          <w:rFonts w:ascii="仿宋_GB2312" w:eastAsia="仿宋_GB2312"/>
          <w:sz w:val="28"/>
          <w:szCs w:val="28"/>
        </w:rPr>
        <w:t xml:space="preserve">      </w:t>
      </w:r>
      <w:r>
        <w:rPr>
          <w:rFonts w:hint="eastAsia" w:ascii="仿宋_GB2312" w:eastAsia="仿宋_GB2312"/>
          <w:sz w:val="28"/>
          <w:szCs w:val="28"/>
        </w:rPr>
        <w:t>年</w:t>
      </w:r>
      <w:r>
        <w:rPr>
          <w:rFonts w:ascii="仿宋_GB2312" w:eastAsia="仿宋_GB2312"/>
          <w:sz w:val="28"/>
          <w:szCs w:val="28"/>
        </w:rPr>
        <w:t xml:space="preserve">    </w:t>
      </w:r>
      <w:r>
        <w:rPr>
          <w:rFonts w:hint="eastAsia" w:ascii="仿宋_GB2312" w:eastAsia="仿宋_GB2312"/>
          <w:sz w:val="28"/>
          <w:szCs w:val="28"/>
        </w:rPr>
        <w:t>月</w:t>
      </w:r>
      <w:r>
        <w:rPr>
          <w:rFonts w:ascii="仿宋_GB2312" w:eastAsia="仿宋_GB2312"/>
          <w:sz w:val="28"/>
          <w:szCs w:val="28"/>
        </w:rPr>
        <w:t xml:space="preserve">  </w:t>
      </w:r>
      <w:r>
        <w:rPr>
          <w:rFonts w:hint="eastAsia" w:ascii="仿宋_GB2312" w:eastAsia="仿宋_GB2312"/>
          <w:sz w:val="28"/>
          <w:szCs w:val="28"/>
        </w:rPr>
        <w:t xml:space="preserve"> </w:t>
      </w:r>
      <w:r>
        <w:rPr>
          <w:rFonts w:ascii="仿宋_GB2312" w:eastAsia="仿宋_GB2312"/>
          <w:sz w:val="28"/>
          <w:szCs w:val="28"/>
        </w:rPr>
        <w:t xml:space="preserve"> </w:t>
      </w:r>
      <w:r>
        <w:rPr>
          <w:rFonts w:hint="eastAsia" w:ascii="仿宋_GB2312" w:eastAsia="仿宋_GB2312"/>
          <w:sz w:val="28"/>
          <w:szCs w:val="28"/>
        </w:rPr>
        <w:t>日</w:t>
      </w:r>
    </w:p>
    <w:p w14:paraId="437D68BF">
      <w:pPr>
        <w:widowControl/>
        <w:jc w:val="left"/>
        <w:rPr>
          <w:rFonts w:ascii="仿宋_GB2312" w:hAnsi="仿宋" w:eastAsia="仿宋_GB2312"/>
          <w:b/>
          <w:bCs/>
          <w:sz w:val="30"/>
          <w:szCs w:val="30"/>
        </w:rPr>
      </w:pPr>
      <w:r>
        <w:rPr>
          <w:rFonts w:ascii="仿宋_GB2312" w:hAnsi="仿宋" w:eastAsia="仿宋_GB2312"/>
          <w:b/>
          <w:bCs/>
          <w:sz w:val="30"/>
          <w:szCs w:val="30"/>
        </w:rPr>
        <w:br w:type="page"/>
      </w:r>
    </w:p>
    <w:p w14:paraId="0B5D2721">
      <w:pPr>
        <w:widowControl/>
        <w:jc w:val="left"/>
        <w:outlineLvl w:val="1"/>
        <w:rPr>
          <w:rFonts w:ascii="仿宋_GB2312" w:hAnsi="黑体" w:eastAsia="仿宋_GB2312"/>
          <w:b/>
          <w:sz w:val="30"/>
          <w:szCs w:val="30"/>
        </w:rPr>
      </w:pPr>
      <w:bookmarkStart w:id="4005" w:name="_Toc937611856"/>
      <w:bookmarkStart w:id="4006" w:name="_Toc826606826"/>
      <w:bookmarkStart w:id="4007" w:name="_Toc1532472761"/>
      <w:bookmarkStart w:id="4008" w:name="_Toc620368589"/>
      <w:bookmarkStart w:id="4009" w:name="_Toc151137120"/>
      <w:r>
        <w:rPr>
          <w:rFonts w:hint="eastAsia" w:ascii="仿宋_GB2312" w:hAnsi="黑体" w:eastAsia="仿宋_GB2312"/>
          <w:b/>
          <w:sz w:val="30"/>
          <w:szCs w:val="30"/>
        </w:rPr>
        <w:t>附件37 上交所债券担保品处置服务联系人</w:t>
      </w:r>
      <w:bookmarkEnd w:id="4005"/>
      <w:bookmarkEnd w:id="4006"/>
      <w:bookmarkEnd w:id="4007"/>
      <w:bookmarkEnd w:id="4008"/>
      <w:bookmarkEnd w:id="4009"/>
    </w:p>
    <w:p w14:paraId="5526A2F0">
      <w:pPr>
        <w:spacing w:line="560" w:lineRule="exact"/>
        <w:jc w:val="center"/>
        <w:rPr>
          <w:rFonts w:ascii="黑体" w:hAnsi="黑体" w:eastAsia="黑体"/>
          <w:b/>
          <w:sz w:val="32"/>
          <w:szCs w:val="32"/>
        </w:rPr>
      </w:pPr>
    </w:p>
    <w:p w14:paraId="6C98C732">
      <w:pPr>
        <w:spacing w:line="560" w:lineRule="exact"/>
        <w:jc w:val="center"/>
        <w:rPr>
          <w:rFonts w:ascii="黑体" w:hAnsi="黑体" w:eastAsia="黑体"/>
          <w:b/>
          <w:sz w:val="44"/>
          <w:szCs w:val="44"/>
        </w:rPr>
      </w:pPr>
      <w:r>
        <w:rPr>
          <w:rFonts w:hint="eastAsia" w:ascii="黑体" w:hAnsi="黑体" w:eastAsia="黑体"/>
          <w:b/>
          <w:sz w:val="44"/>
          <w:szCs w:val="44"/>
        </w:rPr>
        <w:t>上交所债券担保品处置服务联系人</w:t>
      </w:r>
    </w:p>
    <w:p w14:paraId="57AE1997">
      <w:pPr>
        <w:spacing w:line="560" w:lineRule="exact"/>
        <w:rPr>
          <w:rFonts w:ascii="黑体" w:hAnsi="黑体" w:eastAsia="黑体"/>
          <w:b/>
          <w:sz w:val="32"/>
          <w:szCs w:val="32"/>
        </w:rPr>
      </w:pPr>
    </w:p>
    <w:tbl>
      <w:tblPr>
        <w:tblStyle w:val="4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6E331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79F7FDA2">
            <w:pPr>
              <w:spacing w:line="560" w:lineRule="exact"/>
              <w:ind w:firstLine="360"/>
              <w:jc w:val="right"/>
              <w:rPr>
                <w:rFonts w:ascii="仿宋_GB2312" w:eastAsia="仿宋_GB2312"/>
                <w:sz w:val="28"/>
                <w:szCs w:val="28"/>
                <w:lang w:eastAsia="en-US" w:bidi="en-US"/>
              </w:rPr>
            </w:pPr>
            <w:r>
              <w:rPr>
                <w:rFonts w:hint="eastAsia" w:ascii="仿宋_GB2312" w:eastAsia="仿宋_GB2312"/>
                <w:sz w:val="28"/>
                <w:szCs w:val="28"/>
                <w:lang w:eastAsia="en-US" w:bidi="en-US"/>
              </w:rPr>
              <w:t>姓名</w:t>
            </w:r>
          </w:p>
        </w:tc>
        <w:tc>
          <w:tcPr>
            <w:tcW w:w="2841" w:type="dxa"/>
          </w:tcPr>
          <w:p w14:paraId="257D330F">
            <w:pPr>
              <w:spacing w:line="560" w:lineRule="exact"/>
              <w:ind w:firstLine="360"/>
              <w:jc w:val="right"/>
              <w:rPr>
                <w:rFonts w:ascii="仿宋_GB2312" w:eastAsia="仿宋_GB2312"/>
                <w:sz w:val="28"/>
                <w:szCs w:val="28"/>
                <w:lang w:eastAsia="en-US" w:bidi="en-US"/>
              </w:rPr>
            </w:pPr>
            <w:r>
              <w:rPr>
                <w:rFonts w:hint="eastAsia" w:ascii="仿宋_GB2312" w:eastAsia="仿宋_GB2312"/>
                <w:sz w:val="28"/>
                <w:szCs w:val="28"/>
                <w:lang w:eastAsia="en-US" w:bidi="en-US"/>
              </w:rPr>
              <w:t>部门</w:t>
            </w:r>
          </w:p>
        </w:tc>
        <w:tc>
          <w:tcPr>
            <w:tcW w:w="2841" w:type="dxa"/>
          </w:tcPr>
          <w:p w14:paraId="5BE1C7A3">
            <w:pPr>
              <w:spacing w:line="560" w:lineRule="exact"/>
              <w:ind w:firstLine="360"/>
              <w:jc w:val="right"/>
              <w:rPr>
                <w:rFonts w:ascii="仿宋_GB2312" w:eastAsia="仿宋_GB2312"/>
                <w:sz w:val="28"/>
                <w:szCs w:val="28"/>
                <w:lang w:eastAsia="en-US" w:bidi="en-US"/>
              </w:rPr>
            </w:pPr>
            <w:r>
              <w:rPr>
                <w:rFonts w:hint="eastAsia" w:ascii="仿宋_GB2312" w:eastAsia="仿宋_GB2312"/>
                <w:sz w:val="28"/>
                <w:szCs w:val="28"/>
                <w:lang w:eastAsia="en-US" w:bidi="en-US"/>
              </w:rPr>
              <w:t>联系电话</w:t>
            </w:r>
          </w:p>
        </w:tc>
      </w:tr>
      <w:tr w14:paraId="13DE5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604B399B">
            <w:pPr>
              <w:spacing w:line="560" w:lineRule="exact"/>
              <w:ind w:firstLine="360"/>
              <w:jc w:val="right"/>
              <w:rPr>
                <w:rFonts w:ascii="仿宋_GB2312" w:eastAsia="仿宋_GB2312"/>
                <w:sz w:val="28"/>
                <w:szCs w:val="28"/>
                <w:lang w:eastAsia="en-US" w:bidi="en-US"/>
              </w:rPr>
            </w:pPr>
            <w:r>
              <w:rPr>
                <w:rFonts w:hint="eastAsia" w:ascii="仿宋_GB2312" w:eastAsia="仿宋_GB2312"/>
                <w:sz w:val="28"/>
                <w:szCs w:val="28"/>
                <w:lang w:eastAsia="en-US" w:bidi="en-US"/>
              </w:rPr>
              <w:t>徐蕙</w:t>
            </w:r>
          </w:p>
        </w:tc>
        <w:tc>
          <w:tcPr>
            <w:tcW w:w="2841" w:type="dxa"/>
          </w:tcPr>
          <w:p w14:paraId="36FC670E">
            <w:pPr>
              <w:ind w:firstLine="360"/>
              <w:jc w:val="right"/>
              <w:rPr>
                <w:lang w:eastAsia="en-US" w:bidi="en-US"/>
              </w:rPr>
            </w:pPr>
            <w:r>
              <w:rPr>
                <w:rFonts w:hint="eastAsia" w:ascii="仿宋_GB2312" w:eastAsia="仿宋_GB2312"/>
                <w:sz w:val="28"/>
                <w:szCs w:val="28"/>
                <w:lang w:eastAsia="en-US" w:bidi="en-US"/>
              </w:rPr>
              <w:t>债券业务部</w:t>
            </w:r>
          </w:p>
        </w:tc>
        <w:tc>
          <w:tcPr>
            <w:tcW w:w="2841" w:type="dxa"/>
          </w:tcPr>
          <w:p w14:paraId="6D890CCB">
            <w:pPr>
              <w:spacing w:line="560" w:lineRule="exact"/>
              <w:ind w:firstLine="360"/>
              <w:jc w:val="right"/>
              <w:rPr>
                <w:rFonts w:ascii="仿宋_GB2312" w:eastAsia="仿宋_GB2312"/>
                <w:sz w:val="28"/>
                <w:szCs w:val="28"/>
                <w:lang w:eastAsia="en-US" w:bidi="en-US"/>
              </w:rPr>
            </w:pPr>
            <w:r>
              <w:rPr>
                <w:rFonts w:ascii="仿宋_GB2312" w:eastAsia="仿宋_GB2312"/>
                <w:sz w:val="30"/>
                <w:szCs w:val="30"/>
                <w:lang w:eastAsia="en-US" w:bidi="en-US"/>
              </w:rPr>
              <w:t>021-</w:t>
            </w:r>
            <w:r>
              <w:rPr>
                <w:rFonts w:hint="eastAsia" w:ascii="仿宋_GB2312" w:eastAsia="仿宋_GB2312"/>
                <w:sz w:val="30"/>
                <w:szCs w:val="30"/>
                <w:lang w:eastAsia="en-US" w:bidi="en-US"/>
              </w:rPr>
              <w:t>68601981</w:t>
            </w:r>
          </w:p>
        </w:tc>
      </w:tr>
      <w:tr w14:paraId="33477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54468768">
            <w:pPr>
              <w:spacing w:line="560" w:lineRule="exact"/>
              <w:ind w:firstLine="360"/>
              <w:jc w:val="right"/>
              <w:rPr>
                <w:rFonts w:ascii="仿宋_GB2312" w:eastAsia="仿宋_GB2312"/>
                <w:sz w:val="28"/>
                <w:szCs w:val="28"/>
                <w:lang w:eastAsia="en-US" w:bidi="en-US"/>
              </w:rPr>
            </w:pPr>
            <w:r>
              <w:rPr>
                <w:rFonts w:hint="eastAsia" w:ascii="仿宋_GB2312" w:eastAsia="仿宋_GB2312"/>
                <w:sz w:val="28"/>
                <w:szCs w:val="28"/>
                <w:lang w:eastAsia="en-US" w:bidi="en-US"/>
              </w:rPr>
              <w:t>廖佳敏</w:t>
            </w:r>
          </w:p>
        </w:tc>
        <w:tc>
          <w:tcPr>
            <w:tcW w:w="2841" w:type="dxa"/>
          </w:tcPr>
          <w:p w14:paraId="153A6CA4">
            <w:pPr>
              <w:ind w:firstLine="360"/>
              <w:jc w:val="right"/>
              <w:rPr>
                <w:lang w:eastAsia="en-US" w:bidi="en-US"/>
              </w:rPr>
            </w:pPr>
            <w:r>
              <w:rPr>
                <w:rFonts w:hint="eastAsia" w:ascii="仿宋_GB2312" w:eastAsia="仿宋_GB2312"/>
                <w:sz w:val="28"/>
                <w:szCs w:val="28"/>
                <w:lang w:eastAsia="en-US" w:bidi="en-US"/>
              </w:rPr>
              <w:t>债券业务部</w:t>
            </w:r>
          </w:p>
        </w:tc>
        <w:tc>
          <w:tcPr>
            <w:tcW w:w="2841" w:type="dxa"/>
          </w:tcPr>
          <w:p w14:paraId="4520F2C8">
            <w:pPr>
              <w:spacing w:line="560" w:lineRule="exact"/>
              <w:ind w:firstLine="360"/>
              <w:jc w:val="right"/>
              <w:rPr>
                <w:rFonts w:ascii="仿宋_GB2312" w:eastAsia="仿宋_GB2312"/>
                <w:sz w:val="28"/>
                <w:szCs w:val="28"/>
                <w:lang w:eastAsia="en-US" w:bidi="en-US"/>
              </w:rPr>
            </w:pPr>
            <w:r>
              <w:rPr>
                <w:rFonts w:ascii="仿宋_GB2312" w:eastAsia="仿宋_GB2312"/>
                <w:sz w:val="30"/>
                <w:szCs w:val="30"/>
                <w:lang w:eastAsia="en-US" w:bidi="en-US"/>
              </w:rPr>
              <w:t>021-</w:t>
            </w:r>
            <w:r>
              <w:rPr>
                <w:rFonts w:hint="eastAsia" w:ascii="仿宋_GB2312" w:eastAsia="仿宋_GB2312"/>
                <w:sz w:val="30"/>
                <w:szCs w:val="30"/>
                <w:lang w:eastAsia="en-US" w:bidi="en-US"/>
              </w:rPr>
              <w:t>68601998</w:t>
            </w:r>
          </w:p>
        </w:tc>
      </w:tr>
    </w:tbl>
    <w:p w14:paraId="04AFD9B1">
      <w:pPr>
        <w:spacing w:line="560" w:lineRule="exact"/>
        <w:jc w:val="center"/>
        <w:rPr>
          <w:rFonts w:ascii="黑体" w:hAnsi="黑体" w:eastAsia="黑体"/>
          <w:b/>
          <w:sz w:val="32"/>
          <w:szCs w:val="32"/>
        </w:rPr>
      </w:pPr>
    </w:p>
    <w:p w14:paraId="57DC0C7F">
      <w:pPr>
        <w:widowControl/>
        <w:jc w:val="left"/>
        <w:rPr>
          <w:rFonts w:ascii="仿宋_GB2312" w:hAnsi="仿宋" w:eastAsia="仿宋_GB2312"/>
          <w:b/>
          <w:bCs/>
          <w:sz w:val="30"/>
          <w:szCs w:val="30"/>
        </w:rPr>
      </w:pPr>
      <w:r>
        <w:rPr>
          <w:rFonts w:ascii="仿宋_GB2312" w:hAnsi="仿宋" w:eastAsia="仿宋_GB2312"/>
          <w:b/>
          <w:bCs/>
          <w:sz w:val="30"/>
          <w:szCs w:val="30"/>
        </w:rPr>
        <w:br w:type="page"/>
      </w:r>
    </w:p>
    <w:p w14:paraId="1BBD5F4A">
      <w:pPr>
        <w:widowControl/>
        <w:jc w:val="left"/>
        <w:outlineLvl w:val="1"/>
        <w:rPr>
          <w:rFonts w:ascii="仿宋_GB2312" w:hAnsi="黑体" w:eastAsia="仿宋_GB2312"/>
          <w:b/>
          <w:sz w:val="30"/>
          <w:szCs w:val="30"/>
        </w:rPr>
      </w:pPr>
      <w:bookmarkStart w:id="4010" w:name="_Toc1117941329"/>
      <w:bookmarkStart w:id="4011" w:name="_Toc151137121"/>
      <w:bookmarkStart w:id="4012" w:name="_Toc2040807296"/>
      <w:bookmarkStart w:id="4013" w:name="_Toc1743657235"/>
      <w:bookmarkStart w:id="4014" w:name="_Toc1281671411"/>
      <w:r>
        <w:rPr>
          <w:rFonts w:hint="eastAsia" w:ascii="仿宋_GB2312" w:hAnsi="黑体" w:eastAsia="仿宋_GB2312"/>
          <w:b/>
          <w:sz w:val="30"/>
          <w:szCs w:val="30"/>
        </w:rPr>
        <w:t>附件38 处置结果公告（样张）</w:t>
      </w:r>
      <w:bookmarkEnd w:id="4010"/>
      <w:bookmarkEnd w:id="4011"/>
      <w:bookmarkEnd w:id="4012"/>
      <w:bookmarkEnd w:id="4013"/>
      <w:bookmarkEnd w:id="4014"/>
    </w:p>
    <w:p w14:paraId="7874DF22">
      <w:pPr>
        <w:spacing w:line="560" w:lineRule="exact"/>
        <w:jc w:val="center"/>
        <w:rPr>
          <w:rFonts w:ascii="黑体" w:hAnsi="黑体" w:eastAsia="黑体"/>
          <w:b/>
          <w:sz w:val="44"/>
          <w:szCs w:val="44"/>
        </w:rPr>
      </w:pPr>
    </w:p>
    <w:p w14:paraId="285BA773">
      <w:pPr>
        <w:widowControl/>
        <w:spacing w:before="62" w:after="100" w:afterAutospacing="1" w:line="600" w:lineRule="exact"/>
        <w:ind w:firstLine="2209" w:firstLineChars="500"/>
        <w:jc w:val="left"/>
        <w:rPr>
          <w:rFonts w:ascii="仿宋_GB2312" w:hAnsi="宋体" w:eastAsia="仿宋_GB2312" w:cs="宋体"/>
          <w:b/>
          <w:color w:val="000000" w:themeColor="text1"/>
          <w:sz w:val="44"/>
          <w:szCs w:val="44"/>
          <w14:textFill>
            <w14:solidFill>
              <w14:schemeClr w14:val="tx1"/>
            </w14:solidFill>
          </w14:textFill>
        </w:rPr>
      </w:pPr>
      <w:r>
        <w:rPr>
          <w:rFonts w:hint="eastAsia" w:ascii="黑体" w:hAnsi="黑体" w:eastAsia="黑体"/>
          <w:b/>
          <w:color w:val="000000" w:themeColor="text1"/>
          <w:sz w:val="44"/>
          <w:szCs w:val="44"/>
          <w14:textFill>
            <w14:solidFill>
              <w14:schemeClr w14:val="tx1"/>
            </w14:solidFill>
          </w14:textFill>
        </w:rPr>
        <w:t>债券担保品处置结果公告</w:t>
      </w:r>
    </w:p>
    <w:p w14:paraId="5E2C1CBE">
      <w:pPr>
        <w:spacing w:before="100" w:beforeAutospacing="1" w:after="100" w:afterAutospacing="1" w:line="560" w:lineRule="exact"/>
        <w:ind w:firstLine="600" w:firstLineChars="200"/>
        <w:rPr>
          <w:rFonts w:ascii="仿宋_GB2312" w:hAnsi="宋体" w:eastAsia="仿宋_GB2312" w:cs="宋体"/>
          <w:color w:val="000000" w:themeColor="text1"/>
          <w:sz w:val="30"/>
          <w:szCs w:val="30"/>
          <w14:textFill>
            <w14:solidFill>
              <w14:schemeClr w14:val="tx1"/>
            </w14:solidFill>
          </w14:textFill>
        </w:rPr>
      </w:pPr>
      <w:r>
        <w:rPr>
          <w:rFonts w:hint="eastAsia" w:ascii="仿宋_GB2312" w:hAnsi="宋体" w:eastAsia="仿宋_GB2312" w:cs="宋体"/>
          <w:color w:val="000000" w:themeColor="text1"/>
          <w:sz w:val="30"/>
          <w:szCs w:val="30"/>
          <w14:textFill>
            <w14:solidFill>
              <w14:schemeClr w14:val="tx1"/>
            </w14:solidFill>
          </w14:textFill>
        </w:rPr>
        <w:t>我司于</w:t>
      </w:r>
      <w:r>
        <w:rPr>
          <w:rFonts w:ascii="仿宋_GB2312" w:hAnsi="宋体" w:eastAsia="仿宋_GB2312" w:cs="宋体"/>
          <w:color w:val="000000" w:themeColor="text1"/>
          <w:sz w:val="30"/>
          <w:szCs w:val="30"/>
          <w14:textFill>
            <w14:solidFill>
              <w14:schemeClr w14:val="tx1"/>
            </w14:solidFill>
          </w14:textFill>
        </w:rPr>
        <w:t>XX年XX月XX日在上海证券交易所债券担保品处置平台进行XX公司XX年（X）期债券担保品处置，本次计划处置规模XX万元，实际处置规模XX万元，处置所得款项XX万元。</w:t>
      </w:r>
    </w:p>
    <w:p w14:paraId="57D69A39">
      <w:pPr>
        <w:pStyle w:val="92"/>
        <w:spacing w:before="62" w:after="100" w:afterAutospacing="1" w:line="252" w:lineRule="atLeast"/>
        <w:ind w:left="1103" w:leftChars="525" w:firstLine="600"/>
        <w:rPr>
          <w:rFonts w:ascii="仿宋_GB2312" w:hAnsi="宋体" w:eastAsia="仿宋_GB2312" w:cs="宋体"/>
          <w:color w:val="FF0000"/>
          <w:sz w:val="30"/>
          <w:szCs w:val="30"/>
          <w:lang w:eastAsia="zh-CN"/>
        </w:rPr>
      </w:pPr>
    </w:p>
    <w:p w14:paraId="6AF1B81D">
      <w:pPr>
        <w:widowControl/>
        <w:spacing w:before="62" w:after="100" w:afterAutospacing="1" w:line="252" w:lineRule="atLeast"/>
        <w:ind w:firstLine="6150"/>
        <w:jc w:val="right"/>
        <w:rPr>
          <w:rFonts w:ascii="宋体" w:hAnsi="宋体" w:cs="宋体"/>
          <w:color w:val="000000" w:themeColor="text1"/>
          <w:kern w:val="0"/>
          <w14:textFill>
            <w14:solidFill>
              <w14:schemeClr w14:val="tx1"/>
            </w14:solidFill>
          </w14:textFill>
        </w:rPr>
      </w:pPr>
      <w:r>
        <w:rPr>
          <w:rFonts w:ascii="仿宋_GB2312" w:hAnsi="宋体" w:eastAsia="仿宋_GB2312" w:cs="宋体"/>
          <w:color w:val="000000" w:themeColor="text1"/>
          <w:kern w:val="0"/>
          <w:sz w:val="30"/>
          <w:szCs w:val="30"/>
          <w14:textFill>
            <w14:solidFill>
              <w14:schemeClr w14:val="tx1"/>
            </w14:solidFill>
          </w14:textFill>
        </w:rPr>
        <w:t>XX公司</w:t>
      </w:r>
    </w:p>
    <w:p w14:paraId="1511E16B">
      <w:pPr>
        <w:widowControl/>
        <w:jc w:val="right"/>
        <w:rPr>
          <w:rFonts w:ascii="仿宋_GB2312" w:hAnsi="仿宋" w:eastAsia="仿宋_GB2312"/>
          <w:b/>
          <w:bCs/>
          <w:sz w:val="30"/>
          <w:szCs w:val="30"/>
        </w:rPr>
      </w:pPr>
      <w:r>
        <w:rPr>
          <w:rFonts w:ascii="仿宋_GB2312" w:hAnsi="宋体" w:eastAsia="仿宋_GB2312" w:cs="宋体"/>
          <w:color w:val="000000" w:themeColor="text1"/>
          <w:kern w:val="0"/>
          <w:sz w:val="30"/>
          <w:szCs w:val="30"/>
          <w14:textFill>
            <w14:solidFill>
              <w14:schemeClr w14:val="tx1"/>
            </w14:solidFill>
          </w14:textFill>
        </w:rPr>
        <w:t>XX年XX月XX日</w:t>
      </w:r>
    </w:p>
    <w:p w14:paraId="5B2CD95C">
      <w:pPr>
        <w:widowControl/>
        <w:jc w:val="left"/>
        <w:rPr>
          <w:rFonts w:ascii="仿宋_GB2312" w:hAnsi="仿宋" w:eastAsia="仿宋_GB2312"/>
          <w:b/>
          <w:bCs/>
          <w:sz w:val="30"/>
          <w:szCs w:val="30"/>
        </w:rPr>
      </w:pPr>
      <w:r>
        <w:rPr>
          <w:rFonts w:ascii="仿宋_GB2312" w:hAnsi="仿宋" w:eastAsia="仿宋_GB2312"/>
          <w:b/>
          <w:bCs/>
          <w:sz w:val="30"/>
          <w:szCs w:val="30"/>
        </w:rPr>
        <w:br w:type="page"/>
      </w:r>
    </w:p>
    <w:p w14:paraId="31670C05">
      <w:pPr>
        <w:widowControl/>
        <w:jc w:val="left"/>
        <w:outlineLvl w:val="1"/>
        <w:rPr>
          <w:rFonts w:ascii="仿宋_GB2312" w:hAnsi="黑体" w:eastAsia="仿宋_GB2312"/>
          <w:b/>
          <w:sz w:val="30"/>
          <w:szCs w:val="30"/>
        </w:rPr>
      </w:pPr>
      <w:bookmarkStart w:id="4015" w:name="_Toc916368717"/>
      <w:bookmarkStart w:id="4016" w:name="_Toc201577526"/>
      <w:bookmarkStart w:id="4017" w:name="_Toc1380981708"/>
      <w:bookmarkStart w:id="4018" w:name="_Toc151137122"/>
      <w:bookmarkStart w:id="4019" w:name="_Toc2061580904"/>
      <w:r>
        <w:rPr>
          <w:rFonts w:hint="eastAsia" w:ascii="仿宋_GB2312" w:hAnsi="黑体" w:eastAsia="仿宋_GB2312"/>
          <w:b/>
          <w:sz w:val="30"/>
          <w:szCs w:val="30"/>
        </w:rPr>
        <w:t>附件39 债券交易情况说明表</w:t>
      </w:r>
      <w:bookmarkEnd w:id="3975"/>
      <w:bookmarkEnd w:id="3976"/>
      <w:bookmarkEnd w:id="4015"/>
      <w:bookmarkEnd w:id="4016"/>
      <w:bookmarkEnd w:id="4017"/>
      <w:bookmarkEnd w:id="4018"/>
      <w:bookmarkEnd w:id="4019"/>
    </w:p>
    <w:p w14:paraId="1700EB9F">
      <w:pPr>
        <w:snapToGrid w:val="0"/>
        <w:spacing w:line="600" w:lineRule="exact"/>
        <w:jc w:val="center"/>
        <w:rPr>
          <w:rFonts w:ascii="黑体" w:hAnsi="黑体" w:eastAsia="黑体" w:cs="黑体"/>
          <w:b/>
          <w:sz w:val="44"/>
          <w:szCs w:val="44"/>
        </w:rPr>
      </w:pPr>
      <w:r>
        <w:rPr>
          <w:rFonts w:hint="eastAsia" w:ascii="黑体" w:hAnsi="黑体" w:eastAsia="黑体" w:cs="黑体"/>
          <w:b/>
          <w:sz w:val="44"/>
          <w:szCs w:val="44"/>
        </w:rPr>
        <w:t>债券交易情况说明表</w:t>
      </w:r>
    </w:p>
    <w:p w14:paraId="0DEC1A14">
      <w:pPr>
        <w:spacing w:line="600" w:lineRule="exact"/>
        <w:jc w:val="left"/>
        <w:rPr>
          <w:rFonts w:ascii="Calibri" w:hAnsi="Calibri" w:eastAsia="仿宋_GB2312"/>
          <w:sz w:val="24"/>
          <w:szCs w:val="22"/>
        </w:rPr>
      </w:pPr>
      <w:r>
        <w:rPr>
          <w:rFonts w:hint="eastAsia" w:ascii="Calibri" w:hAnsi="Calibri" w:eastAsia="仿宋_GB2312"/>
          <w:sz w:val="24"/>
          <w:szCs w:val="22"/>
        </w:rPr>
        <w:t>机构名称：                              填表人：</w:t>
      </w:r>
    </w:p>
    <w:p w14:paraId="0520B798">
      <w:pPr>
        <w:spacing w:line="600" w:lineRule="exact"/>
        <w:jc w:val="left"/>
        <w:rPr>
          <w:rFonts w:ascii="Calibri" w:hAnsi="Calibri" w:eastAsia="仿宋_GB2312"/>
          <w:sz w:val="24"/>
          <w:szCs w:val="22"/>
        </w:rPr>
      </w:pPr>
      <w:r>
        <w:rPr>
          <w:rFonts w:hint="eastAsia" w:ascii="Calibri" w:hAnsi="Calibri" w:eastAsia="仿宋_GB2312"/>
          <w:sz w:val="24"/>
          <w:szCs w:val="22"/>
        </w:rPr>
        <w:t>联系电话：                              填表日期：</w:t>
      </w: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88"/>
        <w:gridCol w:w="2097"/>
        <w:gridCol w:w="1966"/>
        <w:gridCol w:w="2671"/>
      </w:tblGrid>
      <w:tr w14:paraId="72749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09" w:type="dxa"/>
            <w:vAlign w:val="center"/>
          </w:tcPr>
          <w:p w14:paraId="0A03B417">
            <w:pPr>
              <w:rPr>
                <w:rFonts w:ascii="仿宋_GB2312" w:hAnsi="Calibri" w:eastAsia="仿宋_GB2312"/>
                <w:sz w:val="24"/>
                <w:szCs w:val="22"/>
              </w:rPr>
            </w:pPr>
            <w:r>
              <w:rPr>
                <w:rFonts w:hint="eastAsia" w:ascii="仿宋_GB2312" w:hAnsi="Calibri" w:eastAsia="仿宋_GB2312"/>
                <w:sz w:val="24"/>
                <w:szCs w:val="22"/>
              </w:rPr>
              <w:t>债券名称</w:t>
            </w:r>
          </w:p>
        </w:tc>
        <w:tc>
          <w:tcPr>
            <w:tcW w:w="2127" w:type="dxa"/>
            <w:vAlign w:val="center"/>
          </w:tcPr>
          <w:p w14:paraId="79933645">
            <w:pPr>
              <w:ind w:firstLine="480"/>
              <w:jc w:val="center"/>
              <w:rPr>
                <w:rFonts w:ascii="仿宋_GB2312" w:hAnsi="Calibri" w:eastAsia="仿宋_GB2312"/>
                <w:sz w:val="24"/>
                <w:szCs w:val="22"/>
              </w:rPr>
            </w:pPr>
          </w:p>
        </w:tc>
        <w:tc>
          <w:tcPr>
            <w:tcW w:w="1984" w:type="dxa"/>
            <w:vAlign w:val="center"/>
          </w:tcPr>
          <w:p w14:paraId="17A743A4">
            <w:pPr>
              <w:rPr>
                <w:rFonts w:ascii="仿宋_GB2312" w:hAnsi="Calibri" w:eastAsia="仿宋_GB2312"/>
                <w:sz w:val="24"/>
                <w:szCs w:val="22"/>
              </w:rPr>
            </w:pPr>
            <w:r>
              <w:rPr>
                <w:rFonts w:hint="eastAsia" w:ascii="仿宋_GB2312" w:hAnsi="Calibri" w:eastAsia="仿宋_GB2312"/>
                <w:sz w:val="24"/>
                <w:szCs w:val="22"/>
              </w:rPr>
              <w:t>债券代码</w:t>
            </w:r>
          </w:p>
        </w:tc>
        <w:tc>
          <w:tcPr>
            <w:tcW w:w="2696" w:type="dxa"/>
          </w:tcPr>
          <w:p w14:paraId="0727DF74">
            <w:pPr>
              <w:ind w:firstLine="480"/>
              <w:jc w:val="left"/>
              <w:rPr>
                <w:rFonts w:ascii="仿宋_GB2312" w:hAnsi="Calibri" w:eastAsia="仿宋_GB2312"/>
                <w:sz w:val="24"/>
                <w:szCs w:val="22"/>
              </w:rPr>
            </w:pPr>
          </w:p>
        </w:tc>
      </w:tr>
      <w:tr w14:paraId="3C34D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09" w:type="dxa"/>
            <w:vAlign w:val="center"/>
          </w:tcPr>
          <w:p w14:paraId="2561F486">
            <w:pPr>
              <w:rPr>
                <w:rFonts w:ascii="仿宋_GB2312" w:hAnsi="Calibri" w:eastAsia="仿宋_GB2312"/>
                <w:sz w:val="24"/>
                <w:szCs w:val="22"/>
              </w:rPr>
            </w:pPr>
            <w:r>
              <w:rPr>
                <w:rFonts w:hint="eastAsia" w:ascii="仿宋_GB2312" w:hAnsi="Calibri" w:eastAsia="仿宋_GB2312"/>
                <w:sz w:val="24"/>
                <w:szCs w:val="22"/>
              </w:rPr>
              <w:t>账户名称</w:t>
            </w:r>
          </w:p>
        </w:tc>
        <w:tc>
          <w:tcPr>
            <w:tcW w:w="2127" w:type="dxa"/>
            <w:vAlign w:val="center"/>
          </w:tcPr>
          <w:p w14:paraId="42976708">
            <w:pPr>
              <w:rPr>
                <w:rFonts w:ascii="仿宋_GB2312" w:hAnsi="Calibri" w:eastAsia="仿宋_GB2312"/>
                <w:sz w:val="24"/>
                <w:szCs w:val="22"/>
              </w:rPr>
            </w:pPr>
          </w:p>
        </w:tc>
        <w:tc>
          <w:tcPr>
            <w:tcW w:w="1984" w:type="dxa"/>
            <w:vAlign w:val="center"/>
          </w:tcPr>
          <w:p w14:paraId="7ACE342B">
            <w:pPr>
              <w:rPr>
                <w:rFonts w:ascii="仿宋_GB2312" w:hAnsi="Calibri" w:eastAsia="仿宋_GB2312"/>
                <w:sz w:val="24"/>
                <w:szCs w:val="22"/>
              </w:rPr>
            </w:pPr>
            <w:r>
              <w:rPr>
                <w:rFonts w:hint="eastAsia" w:ascii="仿宋_GB2312" w:hAnsi="Calibri" w:eastAsia="仿宋_GB2312"/>
                <w:sz w:val="24"/>
                <w:szCs w:val="22"/>
              </w:rPr>
              <w:t>证券账号</w:t>
            </w:r>
          </w:p>
        </w:tc>
        <w:tc>
          <w:tcPr>
            <w:tcW w:w="2696" w:type="dxa"/>
          </w:tcPr>
          <w:p w14:paraId="52AC41C1">
            <w:pPr>
              <w:rPr>
                <w:rFonts w:ascii="仿宋_GB2312" w:hAnsi="Calibri" w:eastAsia="仿宋_GB2312"/>
                <w:sz w:val="24"/>
                <w:szCs w:val="22"/>
              </w:rPr>
            </w:pPr>
          </w:p>
        </w:tc>
      </w:tr>
      <w:tr w14:paraId="13735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09" w:type="dxa"/>
            <w:vAlign w:val="center"/>
          </w:tcPr>
          <w:p w14:paraId="5D416DDA">
            <w:pPr>
              <w:rPr>
                <w:rFonts w:ascii="仿宋_GB2312" w:hAnsi="Calibri" w:eastAsia="仿宋_GB2312"/>
                <w:sz w:val="24"/>
                <w:szCs w:val="22"/>
              </w:rPr>
            </w:pPr>
            <w:r>
              <w:rPr>
                <w:rFonts w:hint="eastAsia" w:ascii="仿宋_GB2312" w:hAnsi="Calibri" w:eastAsia="仿宋_GB2312"/>
                <w:sz w:val="24"/>
                <w:szCs w:val="22"/>
              </w:rPr>
              <w:t>委托/申报时间</w:t>
            </w:r>
          </w:p>
        </w:tc>
        <w:tc>
          <w:tcPr>
            <w:tcW w:w="2127" w:type="dxa"/>
            <w:vAlign w:val="center"/>
          </w:tcPr>
          <w:p w14:paraId="2B24D481">
            <w:pPr>
              <w:rPr>
                <w:rFonts w:ascii="仿宋_GB2312" w:hAnsi="Calibri" w:eastAsia="仿宋_GB2312"/>
                <w:sz w:val="24"/>
                <w:szCs w:val="22"/>
              </w:rPr>
            </w:pPr>
          </w:p>
        </w:tc>
        <w:tc>
          <w:tcPr>
            <w:tcW w:w="1984" w:type="dxa"/>
            <w:vAlign w:val="center"/>
          </w:tcPr>
          <w:p w14:paraId="4BCAF481">
            <w:pPr>
              <w:rPr>
                <w:rFonts w:ascii="仿宋_GB2312" w:hAnsi="Calibri" w:eastAsia="仿宋_GB2312"/>
                <w:sz w:val="24"/>
                <w:szCs w:val="22"/>
              </w:rPr>
            </w:pPr>
            <w:r>
              <w:rPr>
                <w:rFonts w:hint="eastAsia" w:ascii="仿宋_GB2312" w:hAnsi="Calibri" w:eastAsia="仿宋_GB2312"/>
                <w:sz w:val="24"/>
                <w:szCs w:val="22"/>
              </w:rPr>
              <w:t>委托/申报方向</w:t>
            </w:r>
          </w:p>
        </w:tc>
        <w:tc>
          <w:tcPr>
            <w:tcW w:w="2696" w:type="dxa"/>
          </w:tcPr>
          <w:p w14:paraId="13F99E81">
            <w:pPr>
              <w:rPr>
                <w:rFonts w:ascii="仿宋_GB2312" w:hAnsi="Calibri" w:eastAsia="仿宋_GB2312"/>
                <w:sz w:val="24"/>
                <w:szCs w:val="22"/>
              </w:rPr>
            </w:pPr>
          </w:p>
        </w:tc>
      </w:tr>
      <w:tr w14:paraId="21981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09" w:type="dxa"/>
            <w:vAlign w:val="center"/>
          </w:tcPr>
          <w:p w14:paraId="68D4A7CE">
            <w:pPr>
              <w:rPr>
                <w:rFonts w:ascii="仿宋_GB2312" w:hAnsi="Calibri" w:eastAsia="仿宋_GB2312"/>
                <w:sz w:val="24"/>
                <w:szCs w:val="22"/>
              </w:rPr>
            </w:pPr>
            <w:r>
              <w:rPr>
                <w:rFonts w:hint="eastAsia" w:ascii="仿宋_GB2312" w:hAnsi="Calibri" w:eastAsia="仿宋_GB2312"/>
                <w:sz w:val="24"/>
                <w:szCs w:val="22"/>
              </w:rPr>
              <w:t>委托/申报数量</w:t>
            </w:r>
          </w:p>
        </w:tc>
        <w:tc>
          <w:tcPr>
            <w:tcW w:w="2127" w:type="dxa"/>
            <w:vAlign w:val="center"/>
          </w:tcPr>
          <w:p w14:paraId="312E410E">
            <w:pPr>
              <w:rPr>
                <w:rFonts w:ascii="仿宋_GB2312" w:hAnsi="Calibri" w:eastAsia="仿宋_GB2312"/>
                <w:sz w:val="24"/>
                <w:szCs w:val="22"/>
              </w:rPr>
            </w:pPr>
          </w:p>
        </w:tc>
        <w:tc>
          <w:tcPr>
            <w:tcW w:w="1984" w:type="dxa"/>
            <w:vAlign w:val="center"/>
          </w:tcPr>
          <w:p w14:paraId="76B19D18">
            <w:pPr>
              <w:rPr>
                <w:rFonts w:ascii="仿宋_GB2312" w:hAnsi="Calibri" w:eastAsia="仿宋_GB2312"/>
                <w:sz w:val="24"/>
                <w:szCs w:val="22"/>
              </w:rPr>
            </w:pPr>
            <w:r>
              <w:rPr>
                <w:rFonts w:hint="eastAsia" w:ascii="仿宋_GB2312" w:hAnsi="Calibri" w:eastAsia="仿宋_GB2312"/>
                <w:sz w:val="24"/>
                <w:szCs w:val="22"/>
              </w:rPr>
              <w:t>委托/申报价格</w:t>
            </w:r>
          </w:p>
        </w:tc>
        <w:tc>
          <w:tcPr>
            <w:tcW w:w="2696" w:type="dxa"/>
          </w:tcPr>
          <w:p w14:paraId="7062DFD2">
            <w:pPr>
              <w:rPr>
                <w:rFonts w:ascii="仿宋_GB2312" w:hAnsi="Calibri" w:eastAsia="仿宋_GB2312"/>
                <w:sz w:val="24"/>
                <w:szCs w:val="22"/>
              </w:rPr>
            </w:pPr>
          </w:p>
        </w:tc>
      </w:tr>
      <w:tr w14:paraId="50A99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09" w:type="dxa"/>
            <w:vAlign w:val="center"/>
          </w:tcPr>
          <w:p w14:paraId="0FF7FB41">
            <w:pPr>
              <w:rPr>
                <w:rFonts w:ascii="仿宋_GB2312" w:hAnsi="Calibri" w:eastAsia="仿宋_GB2312"/>
                <w:sz w:val="24"/>
                <w:szCs w:val="22"/>
              </w:rPr>
            </w:pPr>
            <w:r>
              <w:rPr>
                <w:rFonts w:hint="eastAsia" w:ascii="仿宋_GB2312" w:hAnsi="Calibri" w:eastAsia="仿宋_GB2312"/>
                <w:sz w:val="24"/>
                <w:szCs w:val="22"/>
              </w:rPr>
              <w:t>成交时间</w:t>
            </w:r>
          </w:p>
        </w:tc>
        <w:tc>
          <w:tcPr>
            <w:tcW w:w="2127" w:type="dxa"/>
            <w:vAlign w:val="center"/>
          </w:tcPr>
          <w:p w14:paraId="6AF223AC">
            <w:pPr>
              <w:rPr>
                <w:rFonts w:ascii="仿宋_GB2312" w:hAnsi="Calibri" w:eastAsia="仿宋_GB2312"/>
                <w:sz w:val="24"/>
                <w:szCs w:val="22"/>
              </w:rPr>
            </w:pPr>
          </w:p>
        </w:tc>
        <w:tc>
          <w:tcPr>
            <w:tcW w:w="1984" w:type="dxa"/>
            <w:vAlign w:val="center"/>
          </w:tcPr>
          <w:p w14:paraId="0CF61CAF">
            <w:pPr>
              <w:rPr>
                <w:rFonts w:ascii="仿宋_GB2312" w:hAnsi="Calibri" w:eastAsia="仿宋_GB2312"/>
                <w:sz w:val="24"/>
                <w:szCs w:val="22"/>
              </w:rPr>
            </w:pPr>
            <w:r>
              <w:rPr>
                <w:rFonts w:hint="eastAsia" w:ascii="仿宋_GB2312" w:hAnsi="Calibri" w:eastAsia="仿宋_GB2312"/>
                <w:sz w:val="24"/>
                <w:szCs w:val="22"/>
              </w:rPr>
              <w:t>成交数量</w:t>
            </w:r>
          </w:p>
        </w:tc>
        <w:tc>
          <w:tcPr>
            <w:tcW w:w="2696" w:type="dxa"/>
          </w:tcPr>
          <w:p w14:paraId="5858F8BB">
            <w:pPr>
              <w:rPr>
                <w:rFonts w:ascii="仿宋_GB2312" w:hAnsi="Calibri" w:eastAsia="仿宋_GB2312"/>
                <w:sz w:val="24"/>
                <w:szCs w:val="22"/>
              </w:rPr>
            </w:pPr>
          </w:p>
        </w:tc>
      </w:tr>
      <w:tr w14:paraId="61A5B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09" w:type="dxa"/>
            <w:vAlign w:val="center"/>
          </w:tcPr>
          <w:p w14:paraId="5036B8DB">
            <w:pPr>
              <w:rPr>
                <w:rFonts w:ascii="仿宋_GB2312" w:hAnsi="Calibri" w:eastAsia="仿宋_GB2312"/>
                <w:sz w:val="24"/>
                <w:szCs w:val="22"/>
              </w:rPr>
            </w:pPr>
            <w:r>
              <w:rPr>
                <w:rFonts w:hint="eastAsia" w:ascii="仿宋_GB2312" w:hAnsi="Calibri" w:eastAsia="仿宋_GB2312"/>
                <w:sz w:val="24"/>
                <w:szCs w:val="22"/>
              </w:rPr>
              <w:t>成交价格</w:t>
            </w:r>
          </w:p>
        </w:tc>
        <w:tc>
          <w:tcPr>
            <w:tcW w:w="2127" w:type="dxa"/>
            <w:vAlign w:val="center"/>
          </w:tcPr>
          <w:p w14:paraId="11877FB7">
            <w:pPr>
              <w:rPr>
                <w:rFonts w:ascii="仿宋_GB2312" w:hAnsi="Calibri" w:eastAsia="仿宋_GB2312"/>
                <w:sz w:val="24"/>
                <w:szCs w:val="22"/>
              </w:rPr>
            </w:pPr>
          </w:p>
        </w:tc>
        <w:tc>
          <w:tcPr>
            <w:tcW w:w="1984" w:type="dxa"/>
            <w:vAlign w:val="center"/>
          </w:tcPr>
          <w:p w14:paraId="2018068C">
            <w:pPr>
              <w:rPr>
                <w:rFonts w:ascii="仿宋_GB2312" w:hAnsi="Calibri" w:eastAsia="仿宋_GB2312"/>
                <w:sz w:val="24"/>
                <w:szCs w:val="22"/>
              </w:rPr>
            </w:pPr>
            <w:r>
              <w:rPr>
                <w:rFonts w:hint="eastAsia" w:ascii="仿宋_GB2312" w:hAnsi="Calibri" w:eastAsia="仿宋_GB2312"/>
                <w:sz w:val="24"/>
                <w:szCs w:val="22"/>
              </w:rPr>
              <w:t>成交价格与比较基准（中债估值/ 中证估值）偏离（%）</w:t>
            </w:r>
          </w:p>
        </w:tc>
        <w:tc>
          <w:tcPr>
            <w:tcW w:w="2696" w:type="dxa"/>
          </w:tcPr>
          <w:p w14:paraId="3F5C908C">
            <w:pPr>
              <w:rPr>
                <w:rFonts w:ascii="仿宋_GB2312" w:hAnsi="Calibri" w:eastAsia="仿宋_GB2312"/>
                <w:sz w:val="24"/>
                <w:szCs w:val="22"/>
              </w:rPr>
            </w:pPr>
            <w:r>
              <w:rPr>
                <w:rFonts w:hint="eastAsia" w:ascii="仿宋_GB2312" w:hAnsi="Calibri" w:eastAsia="仿宋_GB2312"/>
                <w:sz w:val="24"/>
                <w:szCs w:val="22"/>
              </w:rPr>
              <w:t>向上偏离：  %</w:t>
            </w:r>
          </w:p>
          <w:p w14:paraId="60C37C0B">
            <w:pPr>
              <w:rPr>
                <w:rFonts w:ascii="仿宋_GB2312" w:hAnsi="Calibri" w:eastAsia="仿宋_GB2312"/>
                <w:sz w:val="24"/>
                <w:szCs w:val="22"/>
              </w:rPr>
            </w:pPr>
            <w:r>
              <w:rPr>
                <w:rFonts w:hint="eastAsia" w:ascii="仿宋_GB2312" w:hAnsi="Calibri" w:eastAsia="仿宋_GB2312"/>
                <w:sz w:val="24"/>
                <w:szCs w:val="22"/>
              </w:rPr>
              <w:t>向下偏离：  %</w:t>
            </w:r>
          </w:p>
        </w:tc>
      </w:tr>
      <w:tr w14:paraId="0C4DB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4" w:hRule="atLeast"/>
        </w:trPr>
        <w:tc>
          <w:tcPr>
            <w:tcW w:w="1809" w:type="dxa"/>
            <w:vAlign w:val="center"/>
          </w:tcPr>
          <w:p w14:paraId="7D2D349F">
            <w:pPr>
              <w:rPr>
                <w:rFonts w:ascii="仿宋_GB2312" w:hAnsi="Calibri" w:eastAsia="仿宋_GB2312"/>
                <w:sz w:val="24"/>
                <w:szCs w:val="22"/>
              </w:rPr>
            </w:pPr>
            <w:r>
              <w:rPr>
                <w:rFonts w:hint="eastAsia" w:ascii="仿宋_GB2312" w:hAnsi="Calibri" w:eastAsia="仿宋_GB2312"/>
                <w:sz w:val="24"/>
                <w:szCs w:val="22"/>
              </w:rPr>
              <w:t>交易情况</w:t>
            </w:r>
          </w:p>
          <w:p w14:paraId="3F4E9A8E">
            <w:pPr>
              <w:rPr>
                <w:rFonts w:ascii="仿宋_GB2312" w:hAnsi="Calibri" w:eastAsia="仿宋_GB2312"/>
                <w:sz w:val="24"/>
                <w:szCs w:val="22"/>
              </w:rPr>
            </w:pPr>
            <w:r>
              <w:rPr>
                <w:rFonts w:hint="eastAsia" w:ascii="仿宋_GB2312" w:hAnsi="Calibri" w:eastAsia="仿宋_GB2312"/>
                <w:sz w:val="24"/>
                <w:szCs w:val="22"/>
              </w:rPr>
              <w:t>及原因</w:t>
            </w:r>
          </w:p>
        </w:tc>
        <w:tc>
          <w:tcPr>
            <w:tcW w:w="6807" w:type="dxa"/>
            <w:gridSpan w:val="3"/>
            <w:vAlign w:val="center"/>
          </w:tcPr>
          <w:p w14:paraId="5C5A1173">
            <w:pPr>
              <w:rPr>
                <w:rFonts w:ascii="仿宋_GB2312" w:hAnsi="Calibri" w:eastAsia="仿宋_GB2312"/>
                <w:sz w:val="24"/>
                <w:szCs w:val="22"/>
              </w:rPr>
            </w:pPr>
          </w:p>
        </w:tc>
      </w:tr>
    </w:tbl>
    <w:p w14:paraId="135B682A">
      <w:pPr>
        <w:spacing w:line="600" w:lineRule="exact"/>
        <w:ind w:firstLine="480"/>
        <w:jc w:val="left"/>
        <w:rPr>
          <w:rFonts w:ascii="仿宋_GB2312" w:hAnsi="仿宋" w:eastAsia="仿宋_GB2312"/>
          <w:sz w:val="24"/>
          <w:szCs w:val="30"/>
        </w:rPr>
      </w:pPr>
      <w:r>
        <w:rPr>
          <w:rFonts w:hint="eastAsia" w:ascii="仿宋_GB2312" w:hAnsi="仿宋" w:eastAsia="仿宋_GB2312"/>
          <w:sz w:val="24"/>
          <w:szCs w:val="30"/>
        </w:rPr>
        <w:t>说明：成交价格同时偏离中债估值和中证估值超过2%（含）的，债券交易参与人应填报本表。债券交易参与人在填写本表时应明确所使用的比较基准。</w:t>
      </w:r>
    </w:p>
    <w:p w14:paraId="5697BBD4">
      <w:pPr>
        <w:spacing w:line="600" w:lineRule="exact"/>
        <w:ind w:firstLine="720" w:firstLineChars="300"/>
        <w:jc w:val="left"/>
        <w:rPr>
          <w:rFonts w:ascii="仿宋_GB2312" w:hAnsi="仿宋" w:eastAsia="仿宋_GB2312"/>
          <w:sz w:val="24"/>
          <w:szCs w:val="30"/>
        </w:rPr>
      </w:pPr>
      <w:r>
        <w:rPr>
          <w:rFonts w:hint="eastAsia" w:ascii="仿宋_GB2312" w:hAnsi="仿宋" w:eastAsia="仿宋_GB2312"/>
          <w:sz w:val="24"/>
          <w:szCs w:val="30"/>
        </w:rPr>
        <w:t xml:space="preserve">                                   机构名称（盖章）： </w:t>
      </w:r>
    </w:p>
    <w:p w14:paraId="4129A21E">
      <w:pPr>
        <w:spacing w:line="600" w:lineRule="exact"/>
        <w:ind w:left="360" w:firstLine="480"/>
        <w:jc w:val="right"/>
        <w:rPr>
          <w:rFonts w:hint="eastAsia" w:ascii="仿宋_GB2312" w:hAnsi="仿宋" w:eastAsia="仿宋_GB2312"/>
          <w:sz w:val="24"/>
          <w:szCs w:val="30"/>
        </w:rPr>
      </w:pPr>
      <w:r>
        <w:rPr>
          <w:rFonts w:hint="eastAsia" w:ascii="仿宋_GB2312" w:hAnsi="仿宋" w:eastAsia="仿宋_GB2312"/>
          <w:sz w:val="24"/>
          <w:szCs w:val="30"/>
        </w:rPr>
        <w:t xml:space="preserve">                                               年  月  日</w:t>
      </w:r>
    </w:p>
    <w:p w14:paraId="021B90E8">
      <w:pPr>
        <w:spacing w:line="600" w:lineRule="exact"/>
        <w:ind w:left="360" w:firstLine="480"/>
        <w:jc w:val="right"/>
        <w:rPr>
          <w:rFonts w:hint="eastAsia" w:ascii="仿宋_GB2312" w:hAnsi="仿宋" w:eastAsia="仿宋_GB2312"/>
          <w:sz w:val="24"/>
          <w:szCs w:val="30"/>
        </w:rPr>
      </w:pPr>
    </w:p>
    <w:p w14:paraId="2F303E92">
      <w:pPr>
        <w:spacing w:line="600" w:lineRule="exact"/>
        <w:ind w:left="360" w:firstLine="480"/>
        <w:jc w:val="right"/>
        <w:rPr>
          <w:rFonts w:hint="eastAsia" w:ascii="仿宋_GB2312" w:hAnsi="仿宋" w:eastAsia="仿宋_GB2312"/>
          <w:sz w:val="24"/>
          <w:szCs w:val="30"/>
        </w:rPr>
      </w:pPr>
    </w:p>
    <w:p w14:paraId="4EADA11E">
      <w:pPr>
        <w:spacing w:line="600" w:lineRule="exact"/>
        <w:ind w:left="360" w:firstLine="480"/>
        <w:jc w:val="center"/>
        <w:rPr>
          <w:rFonts w:hint="eastAsia" w:ascii="仿宋_GB2312" w:hAnsi="仿宋" w:eastAsia="仿宋_GB2312"/>
          <w:sz w:val="24"/>
          <w:szCs w:val="30"/>
        </w:rPr>
      </w:pPr>
    </w:p>
    <w:p w14:paraId="5BD6A5A3">
      <w:pPr>
        <w:widowControl/>
        <w:jc w:val="left"/>
        <w:outlineLvl w:val="1"/>
        <w:rPr>
          <w:rFonts w:ascii="仿宋_GB2312" w:hAnsi="黑体" w:eastAsia="仿宋_GB2312"/>
          <w:b/>
          <w:sz w:val="30"/>
          <w:szCs w:val="30"/>
        </w:rPr>
      </w:pPr>
      <w:bookmarkStart w:id="4020" w:name="_Toc1301"/>
      <w:bookmarkStart w:id="4021" w:name="_Toc22887"/>
      <w:bookmarkStart w:id="4022" w:name="_Toc372804189"/>
      <w:bookmarkStart w:id="4023" w:name="_Toc952659401"/>
      <w:bookmarkStart w:id="4024" w:name="_Toc2649"/>
      <w:bookmarkStart w:id="4025" w:name="_Toc25769"/>
      <w:bookmarkStart w:id="4026" w:name="_Toc623031245"/>
      <w:bookmarkStart w:id="4027" w:name="_Toc1217922061"/>
      <w:bookmarkStart w:id="4028" w:name="_Toc8157"/>
      <w:bookmarkStart w:id="4029" w:name="_Toc15002"/>
      <w:bookmarkStart w:id="4030" w:name="_Toc2093404865"/>
      <w:bookmarkStart w:id="4031" w:name="_Toc32461"/>
      <w:bookmarkStart w:id="4032" w:name="_Toc4068"/>
      <w:r>
        <w:rPr>
          <w:rFonts w:hint="eastAsia" w:ascii="仿宋_GB2312" w:hAnsi="黑体" w:eastAsia="仿宋_GB2312"/>
          <w:b/>
          <w:sz w:val="30"/>
          <w:szCs w:val="30"/>
        </w:rPr>
        <w:t>附件</w:t>
      </w:r>
      <w:r>
        <w:rPr>
          <w:rFonts w:hint="eastAsia" w:ascii="仿宋_GB2312" w:hAnsi="黑体" w:eastAsia="仿宋_GB2312"/>
          <w:b/>
          <w:sz w:val="30"/>
          <w:szCs w:val="30"/>
          <w:lang w:val="en-US" w:eastAsia="zh-CN"/>
        </w:rPr>
        <w:t>40</w:t>
      </w:r>
      <w:r>
        <w:rPr>
          <w:rFonts w:hint="eastAsia" w:ascii="仿宋_GB2312" w:hAnsi="黑体" w:eastAsia="仿宋_GB2312"/>
          <w:b/>
          <w:sz w:val="30"/>
          <w:szCs w:val="30"/>
        </w:rPr>
        <w:t xml:space="preserve"> 上海证券交易所债券转让确认申请表</w:t>
      </w:r>
      <w:bookmarkEnd w:id="4020"/>
      <w:bookmarkEnd w:id="4021"/>
      <w:bookmarkEnd w:id="4022"/>
      <w:bookmarkEnd w:id="4023"/>
      <w:bookmarkEnd w:id="4024"/>
      <w:bookmarkEnd w:id="4025"/>
      <w:bookmarkEnd w:id="4026"/>
      <w:bookmarkEnd w:id="4027"/>
      <w:bookmarkEnd w:id="4028"/>
      <w:bookmarkEnd w:id="4029"/>
      <w:bookmarkEnd w:id="4030"/>
      <w:bookmarkEnd w:id="4031"/>
      <w:bookmarkEnd w:id="4032"/>
    </w:p>
    <w:p w14:paraId="32A963E7">
      <w:pPr>
        <w:pStyle w:val="18"/>
        <w:spacing w:line="300" w:lineRule="auto"/>
        <w:ind w:firstLine="1606" w:firstLineChars="500"/>
        <w:jc w:val="center"/>
        <w:rPr>
          <w:rFonts w:hint="eastAsia" w:asciiTheme="minorEastAsia" w:hAnsiTheme="minorEastAsia" w:eastAsiaTheme="minorEastAsia" w:cstheme="minorEastAsia"/>
          <w:b/>
          <w:bCs/>
          <w:sz w:val="32"/>
          <w:szCs w:val="32"/>
        </w:rPr>
      </w:pPr>
      <w:bookmarkStart w:id="4033" w:name="_Toc432669539"/>
      <w:r>
        <w:rPr>
          <w:rFonts w:hint="eastAsia" w:asciiTheme="minorEastAsia" w:hAnsiTheme="minorEastAsia" w:eastAsiaTheme="minorEastAsia" w:cstheme="minorEastAsia"/>
          <w:b/>
          <w:bCs/>
          <w:sz w:val="32"/>
          <w:szCs w:val="32"/>
        </w:rPr>
        <w:t>上海证券交易所债券转让确认申请表</w:t>
      </w:r>
      <w:bookmarkEnd w:id="4033"/>
    </w:p>
    <w:p w14:paraId="5D5D865E">
      <w:pPr>
        <w:wordWrap w:val="0"/>
        <w:jc w:val="right"/>
        <w:rPr>
          <w:rFonts w:ascii="黑体" w:eastAsia="黑体"/>
          <w:bCs/>
          <w:szCs w:val="21"/>
        </w:rPr>
      </w:pPr>
      <w:r>
        <w:rPr>
          <w:rFonts w:ascii="仿宋_GB2312" w:eastAsia="仿宋_GB2312"/>
          <w:bCs/>
          <w:szCs w:val="21"/>
        </w:rPr>
        <w:t xml:space="preserve">  </w:t>
      </w:r>
      <w:r>
        <w:rPr>
          <w:rFonts w:hint="eastAsia" w:ascii="黑体" w:eastAsia="黑体"/>
          <w:bCs/>
          <w:szCs w:val="21"/>
        </w:rPr>
        <w:t>上证债转确字[20  ]第</w:t>
      </w:r>
      <w:r>
        <w:rPr>
          <w:rFonts w:ascii="黑体" w:eastAsia="黑体"/>
          <w:bCs/>
          <w:szCs w:val="21"/>
        </w:rPr>
        <w:t xml:space="preserve">       </w:t>
      </w:r>
      <w:r>
        <w:rPr>
          <w:rFonts w:hint="eastAsia" w:ascii="黑体" w:eastAsia="黑体"/>
          <w:bCs/>
          <w:szCs w:val="21"/>
        </w:rPr>
        <w:t>号</w:t>
      </w:r>
    </w:p>
    <w:tbl>
      <w:tblPr>
        <w:tblStyle w:val="43"/>
        <w:tblW w:w="9900" w:type="dxa"/>
        <w:tblInd w:w="-61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39"/>
        <w:gridCol w:w="471"/>
        <w:gridCol w:w="728"/>
        <w:gridCol w:w="642"/>
        <w:gridCol w:w="849"/>
        <w:gridCol w:w="131"/>
        <w:gridCol w:w="1787"/>
        <w:gridCol w:w="426"/>
        <w:gridCol w:w="9"/>
        <w:gridCol w:w="801"/>
        <w:gridCol w:w="577"/>
        <w:gridCol w:w="158"/>
        <w:gridCol w:w="408"/>
        <w:gridCol w:w="15"/>
        <w:gridCol w:w="18"/>
        <w:gridCol w:w="1741"/>
      </w:tblGrid>
      <w:tr w14:paraId="677D46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80" w:hRule="atLeast"/>
        </w:trPr>
        <w:tc>
          <w:tcPr>
            <w:tcW w:w="1139" w:type="dxa"/>
            <w:tcBorders>
              <w:top w:val="single" w:color="auto" w:sz="4" w:space="0"/>
              <w:left w:val="single" w:color="auto" w:sz="4" w:space="0"/>
              <w:bottom w:val="single" w:color="auto" w:sz="4" w:space="0"/>
              <w:right w:val="single" w:color="auto" w:sz="4" w:space="0"/>
            </w:tcBorders>
            <w:noWrap w:val="0"/>
            <w:textDirection w:val="tbRlV"/>
            <w:vAlign w:val="center"/>
          </w:tcPr>
          <w:p w14:paraId="6BDE1CCC">
            <w:pPr>
              <w:adjustRightInd w:val="0"/>
              <w:snapToGrid w:val="0"/>
              <w:ind w:left="113" w:right="113"/>
              <w:jc w:val="center"/>
              <w:rPr>
                <w:rFonts w:hint="eastAsia" w:ascii="黑体" w:eastAsia="黑体"/>
                <w:b/>
              </w:rPr>
            </w:pPr>
            <w:r>
              <w:rPr>
                <w:rFonts w:hint="eastAsia" w:ascii="黑体" w:eastAsia="黑体"/>
                <w:b/>
              </w:rPr>
              <w:t>类型</w:t>
            </w:r>
          </w:p>
          <w:p w14:paraId="559430F0">
            <w:pPr>
              <w:adjustRightInd w:val="0"/>
              <w:snapToGrid w:val="0"/>
              <w:ind w:left="113" w:right="113"/>
              <w:jc w:val="center"/>
              <w:rPr>
                <w:rFonts w:ascii="黑体" w:eastAsia="黑体"/>
                <w:b/>
              </w:rPr>
            </w:pPr>
            <w:r>
              <w:rPr>
                <w:rFonts w:hint="eastAsia" w:ascii="黑体" w:eastAsia="黑体"/>
                <w:b/>
              </w:rPr>
              <w:t>过户</w:t>
            </w:r>
          </w:p>
        </w:tc>
        <w:tc>
          <w:tcPr>
            <w:tcW w:w="1199" w:type="dxa"/>
            <w:gridSpan w:val="2"/>
            <w:tcBorders>
              <w:top w:val="single" w:color="auto" w:sz="4" w:space="0"/>
              <w:left w:val="single" w:color="auto" w:sz="4" w:space="0"/>
              <w:bottom w:val="single" w:color="auto" w:sz="4" w:space="0"/>
              <w:right w:val="single" w:color="auto" w:sz="4" w:space="0"/>
            </w:tcBorders>
            <w:noWrap w:val="0"/>
            <w:vAlign w:val="center"/>
          </w:tcPr>
          <w:p w14:paraId="0EF36351">
            <w:pPr>
              <w:adjustRightInd w:val="0"/>
              <w:snapToGrid w:val="0"/>
              <w:rPr>
                <w:rFonts w:hint="eastAsia" w:ascii="仿宋_GB2312" w:eastAsia="仿宋_GB2312"/>
                <w:bCs/>
                <w:szCs w:val="21"/>
              </w:rPr>
            </w:pPr>
            <w:r>
              <w:rPr>
                <w:rFonts w:hint="eastAsia" w:ascii="仿宋_GB2312" w:hAnsi="宋体" w:eastAsia="仿宋_GB2312"/>
                <w:bCs/>
                <w:szCs w:val="21"/>
              </w:rPr>
              <w:t>过户事由</w:t>
            </w:r>
          </w:p>
        </w:tc>
        <w:tc>
          <w:tcPr>
            <w:tcW w:w="7562" w:type="dxa"/>
            <w:gridSpan w:val="13"/>
            <w:tcBorders>
              <w:top w:val="single" w:color="auto" w:sz="4" w:space="0"/>
              <w:left w:val="single" w:color="auto" w:sz="4" w:space="0"/>
              <w:bottom w:val="single" w:color="auto" w:sz="4" w:space="0"/>
              <w:right w:val="single" w:color="auto" w:sz="4" w:space="0"/>
            </w:tcBorders>
            <w:noWrap w:val="0"/>
            <w:vAlign w:val="center"/>
          </w:tcPr>
          <w:p w14:paraId="58B8AA5E">
            <w:pPr>
              <w:adjustRightInd w:val="0"/>
              <w:snapToGrid w:val="0"/>
              <w:jc w:val="left"/>
              <w:rPr>
                <w:rFonts w:hint="eastAsia" w:ascii="仿宋_GB2312" w:eastAsia="仿宋_GB2312"/>
                <w:bCs/>
                <w:szCs w:val="21"/>
              </w:rPr>
            </w:pPr>
            <w:r>
              <w:rPr>
                <w:rFonts w:ascii="仿宋_GB2312" w:hAnsi="宋体" w:eastAsia="仿宋_GB2312"/>
                <w:bCs/>
                <w:szCs w:val="21"/>
              </w:rPr>
              <w:sym w:font="Wingdings 2" w:char="0051"/>
            </w:r>
            <w:r>
              <w:rPr>
                <w:rFonts w:ascii="仿宋_GB2312" w:hAnsi="宋体" w:eastAsia="仿宋_GB2312"/>
                <w:bCs/>
                <w:szCs w:val="21"/>
              </w:rPr>
              <w:t xml:space="preserve"> </w:t>
            </w:r>
            <w:r>
              <w:rPr>
                <w:rFonts w:hint="eastAsia" w:ascii="仿宋_GB2312" w:hAnsi="宋体" w:eastAsia="仿宋_GB2312"/>
                <w:bCs/>
                <w:szCs w:val="21"/>
              </w:rPr>
              <w:t xml:space="preserve">债券暂停上市  </w:t>
            </w:r>
            <w:r>
              <w:rPr>
                <w:rFonts w:hint="eastAsia" w:ascii="仿宋_GB2312" w:hAnsi="宋体" w:eastAsia="仿宋_GB2312"/>
                <w:bCs/>
                <w:szCs w:val="21"/>
                <w:lang w:eastAsia="zh-CN"/>
              </w:rPr>
              <w:sym w:font="Wingdings 2" w:char="00A3"/>
            </w:r>
            <w:r>
              <w:rPr>
                <w:rFonts w:ascii="仿宋_GB2312" w:hAnsi="宋体" w:eastAsia="仿宋_GB2312"/>
                <w:bCs/>
                <w:szCs w:val="21"/>
              </w:rPr>
              <w:t xml:space="preserve"> </w:t>
            </w:r>
            <w:r>
              <w:rPr>
                <w:rFonts w:hint="eastAsia" w:ascii="仿宋_GB2312" w:hAnsi="宋体" w:eastAsia="仿宋_GB2312"/>
                <w:bCs/>
                <w:szCs w:val="21"/>
              </w:rPr>
              <w:t>回售转售</w:t>
            </w:r>
          </w:p>
          <w:p w14:paraId="59B92F83">
            <w:pPr>
              <w:adjustRightInd w:val="0"/>
              <w:snapToGrid w:val="0"/>
              <w:ind w:left="2520" w:hanging="2520" w:hangingChars="1200"/>
              <w:jc w:val="left"/>
              <w:rPr>
                <w:rFonts w:hint="eastAsia" w:ascii="仿宋_GB2312" w:eastAsia="仿宋_GB2312"/>
                <w:bCs/>
                <w:szCs w:val="21"/>
              </w:rPr>
            </w:pPr>
            <w:r>
              <w:rPr>
                <w:rFonts w:hint="eastAsia" w:ascii="仿宋_GB2312" w:hAnsi="宋体" w:eastAsia="仿宋_GB2312"/>
                <w:bCs/>
                <w:szCs w:val="21"/>
              </w:rPr>
              <w:sym w:font="Wingdings 2" w:char="0051"/>
            </w:r>
            <w:r>
              <w:rPr>
                <w:rFonts w:hint="eastAsia" w:ascii="仿宋_GB2312" w:hAnsi="宋体" w:eastAsia="仿宋_GB2312"/>
                <w:bCs/>
                <w:szCs w:val="21"/>
                <w:lang w:val="en-US" w:eastAsia="zh-CN"/>
              </w:rPr>
              <w:t xml:space="preserve"> </w:t>
            </w:r>
            <w:r>
              <w:rPr>
                <w:rFonts w:hint="eastAsia" w:ascii="仿宋_GB2312" w:hAnsi="宋体" w:eastAsia="仿宋_GB2312"/>
                <w:bCs/>
                <w:szCs w:val="21"/>
              </w:rPr>
              <w:t xml:space="preserve">初始登记有误  </w:t>
            </w:r>
            <w:r>
              <w:rPr>
                <w:rFonts w:hint="eastAsia" w:ascii="仿宋_GB2312" w:hAnsi="宋体" w:eastAsia="仿宋_GB2312"/>
                <w:bCs/>
                <w:szCs w:val="21"/>
                <w:lang w:eastAsia="zh-CN"/>
              </w:rPr>
              <w:sym w:font="Wingdings 2" w:char="00A3"/>
            </w:r>
            <w:r>
              <w:rPr>
                <w:rFonts w:ascii="仿宋_GB2312" w:hAnsi="宋体" w:eastAsia="仿宋_GB2312"/>
                <w:bCs/>
                <w:szCs w:val="21"/>
              </w:rPr>
              <w:t xml:space="preserve"> </w:t>
            </w:r>
            <w:r>
              <w:rPr>
                <w:rFonts w:hint="eastAsia" w:ascii="仿宋_GB2312" w:hAnsi="宋体" w:eastAsia="仿宋_GB2312"/>
                <w:bCs/>
                <w:szCs w:val="21"/>
              </w:rPr>
              <w:t xml:space="preserve">交易通道限制 </w:t>
            </w:r>
          </w:p>
        </w:tc>
      </w:tr>
      <w:tr w14:paraId="409390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89" w:hRule="atLeast"/>
        </w:trPr>
        <w:tc>
          <w:tcPr>
            <w:tcW w:w="1139" w:type="dxa"/>
            <w:vMerge w:val="restart"/>
            <w:tcBorders>
              <w:top w:val="single" w:color="auto" w:sz="4" w:space="0"/>
              <w:left w:val="single" w:color="auto" w:sz="4" w:space="0"/>
              <w:right w:val="single" w:color="auto" w:sz="4" w:space="0"/>
            </w:tcBorders>
            <w:noWrap w:val="0"/>
            <w:textDirection w:val="tbRlV"/>
            <w:vAlign w:val="center"/>
          </w:tcPr>
          <w:p w14:paraId="21EE9168">
            <w:pPr>
              <w:adjustRightInd w:val="0"/>
              <w:snapToGrid w:val="0"/>
              <w:ind w:left="113" w:right="113"/>
              <w:jc w:val="center"/>
              <w:rPr>
                <w:rFonts w:ascii="黑体" w:eastAsia="黑体"/>
                <w:b/>
                <w:szCs w:val="21"/>
              </w:rPr>
            </w:pPr>
            <w:r>
              <w:rPr>
                <w:rFonts w:hint="eastAsia" w:ascii="黑体" w:eastAsia="黑体"/>
                <w:b/>
              </w:rPr>
              <w:t>申请人基本情况</w:t>
            </w:r>
          </w:p>
        </w:tc>
        <w:tc>
          <w:tcPr>
            <w:tcW w:w="471" w:type="dxa"/>
            <w:vMerge w:val="restart"/>
            <w:tcBorders>
              <w:top w:val="single" w:color="auto" w:sz="4" w:space="0"/>
              <w:left w:val="single" w:color="auto" w:sz="4" w:space="0"/>
              <w:right w:val="single" w:color="auto" w:sz="4" w:space="0"/>
            </w:tcBorders>
            <w:noWrap w:val="0"/>
            <w:textDirection w:val="tbRlV"/>
            <w:vAlign w:val="center"/>
          </w:tcPr>
          <w:p w14:paraId="28BFF287">
            <w:pPr>
              <w:adjustRightInd w:val="0"/>
              <w:snapToGrid w:val="0"/>
              <w:jc w:val="center"/>
              <w:rPr>
                <w:rFonts w:ascii="仿宋_GB2312" w:eastAsia="仿宋_GB2312"/>
                <w:bCs/>
                <w:szCs w:val="21"/>
              </w:rPr>
            </w:pPr>
            <w:r>
              <w:rPr>
                <w:rFonts w:hint="eastAsia" w:ascii="仿宋_GB2312" w:eastAsia="仿宋_GB2312"/>
                <w:bCs/>
                <w:szCs w:val="21"/>
              </w:rPr>
              <w:t>转 出 方</w:t>
            </w:r>
          </w:p>
        </w:tc>
        <w:tc>
          <w:tcPr>
            <w:tcW w:w="1370" w:type="dxa"/>
            <w:gridSpan w:val="2"/>
            <w:tcBorders>
              <w:top w:val="single" w:color="auto" w:sz="4" w:space="0"/>
              <w:left w:val="single" w:color="auto" w:sz="4" w:space="0"/>
              <w:bottom w:val="single" w:color="auto" w:sz="4" w:space="0"/>
              <w:right w:val="single" w:color="auto" w:sz="4" w:space="0"/>
            </w:tcBorders>
            <w:noWrap w:val="0"/>
            <w:vAlign w:val="center"/>
          </w:tcPr>
          <w:p w14:paraId="259E7F5C">
            <w:pPr>
              <w:adjustRightInd w:val="0"/>
              <w:snapToGrid w:val="0"/>
              <w:jc w:val="left"/>
              <w:rPr>
                <w:rFonts w:ascii="仿宋_GB2312" w:hAnsi="宋体" w:eastAsia="仿宋_GB2312"/>
                <w:bCs/>
                <w:szCs w:val="21"/>
              </w:rPr>
            </w:pPr>
            <w:r>
              <w:rPr>
                <w:rFonts w:hint="eastAsia" w:ascii="仿宋_GB2312" w:hAnsi="宋体" w:eastAsia="仿宋_GB2312"/>
                <w:bCs/>
                <w:szCs w:val="21"/>
              </w:rPr>
              <w:t>转出方名称</w:t>
            </w:r>
          </w:p>
        </w:tc>
        <w:tc>
          <w:tcPr>
            <w:tcW w:w="6920" w:type="dxa"/>
            <w:gridSpan w:val="12"/>
            <w:tcBorders>
              <w:top w:val="single" w:color="auto" w:sz="4" w:space="0"/>
              <w:left w:val="single" w:color="auto" w:sz="4" w:space="0"/>
              <w:bottom w:val="single" w:color="auto" w:sz="4" w:space="0"/>
              <w:right w:val="single" w:color="auto" w:sz="4" w:space="0"/>
            </w:tcBorders>
            <w:noWrap w:val="0"/>
            <w:vAlign w:val="center"/>
          </w:tcPr>
          <w:p w14:paraId="5B34B241">
            <w:pPr>
              <w:adjustRightInd w:val="0"/>
              <w:snapToGrid w:val="0"/>
              <w:rPr>
                <w:rFonts w:ascii="仿宋_GB2312" w:hAnsi="宋体" w:eastAsia="仿宋_GB2312"/>
                <w:bCs/>
                <w:szCs w:val="21"/>
              </w:rPr>
            </w:pPr>
          </w:p>
        </w:tc>
      </w:tr>
      <w:tr w14:paraId="4DD358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3" w:hRule="atLeast"/>
        </w:trPr>
        <w:tc>
          <w:tcPr>
            <w:tcW w:w="1139" w:type="dxa"/>
            <w:vMerge w:val="continue"/>
            <w:tcBorders>
              <w:left w:val="single" w:color="auto" w:sz="4" w:space="0"/>
              <w:right w:val="single" w:color="auto" w:sz="4" w:space="0"/>
            </w:tcBorders>
            <w:noWrap w:val="0"/>
            <w:vAlign w:val="center"/>
          </w:tcPr>
          <w:p w14:paraId="2D94B4EF">
            <w:pPr>
              <w:widowControl/>
              <w:jc w:val="left"/>
              <w:rPr>
                <w:rFonts w:ascii="仿宋_GB2312" w:eastAsia="仿宋_GB2312"/>
                <w:b/>
                <w:szCs w:val="21"/>
              </w:rPr>
            </w:pPr>
          </w:p>
        </w:tc>
        <w:tc>
          <w:tcPr>
            <w:tcW w:w="471" w:type="dxa"/>
            <w:vMerge w:val="continue"/>
            <w:tcBorders>
              <w:left w:val="single" w:color="auto" w:sz="4" w:space="0"/>
              <w:right w:val="single" w:color="auto" w:sz="4" w:space="0"/>
            </w:tcBorders>
            <w:noWrap w:val="0"/>
            <w:vAlign w:val="center"/>
          </w:tcPr>
          <w:p w14:paraId="035FEB0A">
            <w:pPr>
              <w:widowControl/>
              <w:jc w:val="left"/>
              <w:rPr>
                <w:rFonts w:ascii="仿宋_GB2312" w:eastAsia="仿宋_GB2312"/>
                <w:bCs/>
                <w:szCs w:val="21"/>
              </w:rPr>
            </w:pPr>
          </w:p>
        </w:tc>
        <w:tc>
          <w:tcPr>
            <w:tcW w:w="2219" w:type="dxa"/>
            <w:gridSpan w:val="3"/>
            <w:tcBorders>
              <w:top w:val="single" w:color="auto" w:sz="4" w:space="0"/>
              <w:left w:val="single" w:color="auto" w:sz="4" w:space="0"/>
              <w:bottom w:val="single" w:color="auto" w:sz="4" w:space="0"/>
              <w:right w:val="single" w:color="auto" w:sz="4" w:space="0"/>
            </w:tcBorders>
            <w:noWrap w:val="0"/>
            <w:vAlign w:val="center"/>
          </w:tcPr>
          <w:p w14:paraId="66B98CBB">
            <w:pPr>
              <w:adjustRightInd w:val="0"/>
              <w:snapToGrid w:val="0"/>
              <w:rPr>
                <w:rFonts w:ascii="仿宋_GB2312" w:eastAsia="仿宋_GB2312"/>
                <w:bCs/>
                <w:szCs w:val="21"/>
              </w:rPr>
            </w:pPr>
            <w:r>
              <w:rPr>
                <w:rFonts w:hint="eastAsia" w:ascii="仿宋_GB2312" w:eastAsia="仿宋_GB2312"/>
                <w:bCs/>
                <w:szCs w:val="21"/>
              </w:rPr>
              <w:t>注册号码/身份证号码</w:t>
            </w:r>
          </w:p>
        </w:tc>
        <w:tc>
          <w:tcPr>
            <w:tcW w:w="2344" w:type="dxa"/>
            <w:gridSpan w:val="3"/>
            <w:tcBorders>
              <w:top w:val="single" w:color="auto" w:sz="4" w:space="0"/>
              <w:left w:val="single" w:color="auto" w:sz="4" w:space="0"/>
              <w:bottom w:val="single" w:color="auto" w:sz="4" w:space="0"/>
              <w:right w:val="single" w:color="auto" w:sz="4" w:space="0"/>
            </w:tcBorders>
            <w:noWrap w:val="0"/>
            <w:vAlign w:val="center"/>
          </w:tcPr>
          <w:p w14:paraId="1718136F">
            <w:pPr>
              <w:adjustRightInd w:val="0"/>
              <w:snapToGrid w:val="0"/>
              <w:rPr>
                <w:rFonts w:ascii="仿宋_GB2312" w:eastAsia="仿宋_GB2312"/>
                <w:bCs/>
                <w:szCs w:val="21"/>
              </w:rPr>
            </w:pPr>
          </w:p>
        </w:tc>
        <w:tc>
          <w:tcPr>
            <w:tcW w:w="1545" w:type="dxa"/>
            <w:gridSpan w:val="4"/>
            <w:tcBorders>
              <w:top w:val="single" w:color="auto" w:sz="4" w:space="0"/>
              <w:left w:val="single" w:color="auto" w:sz="4" w:space="0"/>
              <w:bottom w:val="single" w:color="auto" w:sz="4" w:space="0"/>
              <w:right w:val="single" w:color="auto" w:sz="4" w:space="0"/>
            </w:tcBorders>
            <w:noWrap w:val="0"/>
            <w:vAlign w:val="center"/>
          </w:tcPr>
          <w:p w14:paraId="555EE23A">
            <w:pPr>
              <w:adjustRightInd w:val="0"/>
              <w:snapToGrid w:val="0"/>
              <w:rPr>
                <w:rFonts w:ascii="仿宋_GB2312" w:eastAsia="仿宋_GB2312"/>
                <w:bCs/>
                <w:szCs w:val="21"/>
              </w:rPr>
            </w:pPr>
            <w:r>
              <w:rPr>
                <w:rFonts w:hint="eastAsia" w:ascii="仿宋_GB2312" w:eastAsia="仿宋_GB2312"/>
                <w:bCs/>
                <w:szCs w:val="21"/>
              </w:rPr>
              <w:t>证券帐户</w:t>
            </w:r>
          </w:p>
        </w:tc>
        <w:tc>
          <w:tcPr>
            <w:tcW w:w="2182" w:type="dxa"/>
            <w:gridSpan w:val="4"/>
            <w:tcBorders>
              <w:top w:val="single" w:color="auto" w:sz="4" w:space="0"/>
              <w:left w:val="single" w:color="auto" w:sz="4" w:space="0"/>
              <w:bottom w:val="single" w:color="auto" w:sz="4" w:space="0"/>
              <w:right w:val="single" w:color="auto" w:sz="4" w:space="0"/>
            </w:tcBorders>
            <w:noWrap w:val="0"/>
            <w:vAlign w:val="center"/>
          </w:tcPr>
          <w:p w14:paraId="53A6F6DD">
            <w:pPr>
              <w:adjustRightInd w:val="0"/>
              <w:snapToGrid w:val="0"/>
              <w:rPr>
                <w:rFonts w:ascii="仿宋_GB2312" w:eastAsia="仿宋_GB2312"/>
                <w:bCs/>
                <w:szCs w:val="21"/>
              </w:rPr>
            </w:pPr>
          </w:p>
        </w:tc>
      </w:tr>
      <w:tr w14:paraId="754D6D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01" w:hRule="atLeast"/>
        </w:trPr>
        <w:tc>
          <w:tcPr>
            <w:tcW w:w="1139" w:type="dxa"/>
            <w:vMerge w:val="continue"/>
            <w:tcBorders>
              <w:left w:val="single" w:color="auto" w:sz="4" w:space="0"/>
              <w:right w:val="single" w:color="auto" w:sz="4" w:space="0"/>
            </w:tcBorders>
            <w:noWrap w:val="0"/>
            <w:vAlign w:val="center"/>
          </w:tcPr>
          <w:p w14:paraId="6A2C54C3">
            <w:pPr>
              <w:widowControl/>
              <w:jc w:val="left"/>
              <w:rPr>
                <w:rFonts w:ascii="仿宋_GB2312" w:eastAsia="仿宋_GB2312"/>
                <w:b/>
                <w:szCs w:val="21"/>
              </w:rPr>
            </w:pPr>
          </w:p>
        </w:tc>
        <w:tc>
          <w:tcPr>
            <w:tcW w:w="471" w:type="dxa"/>
            <w:vMerge w:val="continue"/>
            <w:tcBorders>
              <w:left w:val="single" w:color="auto" w:sz="4" w:space="0"/>
              <w:right w:val="single" w:color="auto" w:sz="4" w:space="0"/>
            </w:tcBorders>
            <w:noWrap w:val="0"/>
            <w:vAlign w:val="center"/>
          </w:tcPr>
          <w:p w14:paraId="55E62BCF">
            <w:pPr>
              <w:widowControl/>
              <w:jc w:val="left"/>
              <w:rPr>
                <w:rFonts w:ascii="仿宋_GB2312" w:eastAsia="仿宋_GB2312"/>
                <w:bCs/>
                <w:szCs w:val="21"/>
              </w:rPr>
            </w:pPr>
          </w:p>
        </w:tc>
        <w:tc>
          <w:tcPr>
            <w:tcW w:w="2219" w:type="dxa"/>
            <w:gridSpan w:val="3"/>
            <w:tcBorders>
              <w:top w:val="single" w:color="auto" w:sz="4" w:space="0"/>
              <w:left w:val="single" w:color="auto" w:sz="4" w:space="0"/>
              <w:bottom w:val="single" w:color="auto" w:sz="4" w:space="0"/>
              <w:right w:val="single" w:color="auto" w:sz="4" w:space="0"/>
            </w:tcBorders>
            <w:noWrap w:val="0"/>
            <w:vAlign w:val="center"/>
          </w:tcPr>
          <w:p w14:paraId="39B69252">
            <w:pPr>
              <w:adjustRightInd w:val="0"/>
              <w:snapToGrid w:val="0"/>
              <w:rPr>
                <w:rFonts w:ascii="仿宋_GB2312" w:eastAsia="仿宋_GB2312"/>
                <w:bCs/>
                <w:szCs w:val="21"/>
              </w:rPr>
            </w:pPr>
            <w:r>
              <w:rPr>
                <w:rFonts w:hint="eastAsia" w:ascii="仿宋_GB2312" w:eastAsia="仿宋_GB2312"/>
                <w:bCs/>
                <w:szCs w:val="21"/>
              </w:rPr>
              <w:t>经办人及身份证号码</w:t>
            </w:r>
          </w:p>
        </w:tc>
        <w:tc>
          <w:tcPr>
            <w:tcW w:w="3154" w:type="dxa"/>
            <w:gridSpan w:val="5"/>
            <w:tcBorders>
              <w:top w:val="single" w:color="auto" w:sz="4" w:space="0"/>
              <w:left w:val="single" w:color="auto" w:sz="4" w:space="0"/>
              <w:bottom w:val="single" w:color="auto" w:sz="4" w:space="0"/>
              <w:right w:val="single" w:color="auto" w:sz="4" w:space="0"/>
            </w:tcBorders>
            <w:noWrap w:val="0"/>
            <w:vAlign w:val="center"/>
          </w:tcPr>
          <w:p w14:paraId="57F668FF">
            <w:pPr>
              <w:adjustRightInd w:val="0"/>
              <w:snapToGrid w:val="0"/>
              <w:rPr>
                <w:rFonts w:ascii="仿宋_GB2312" w:eastAsia="仿宋_GB2312"/>
                <w:bCs/>
                <w:szCs w:val="18"/>
              </w:rPr>
            </w:pPr>
          </w:p>
        </w:tc>
        <w:tc>
          <w:tcPr>
            <w:tcW w:w="1143" w:type="dxa"/>
            <w:gridSpan w:val="3"/>
            <w:tcBorders>
              <w:top w:val="single" w:color="auto" w:sz="4" w:space="0"/>
              <w:left w:val="single" w:color="auto" w:sz="4" w:space="0"/>
              <w:bottom w:val="single" w:color="auto" w:sz="4" w:space="0"/>
              <w:right w:val="single" w:color="auto" w:sz="4" w:space="0"/>
            </w:tcBorders>
            <w:noWrap w:val="0"/>
            <w:vAlign w:val="center"/>
          </w:tcPr>
          <w:p w14:paraId="233AC2AB">
            <w:pPr>
              <w:adjustRightInd w:val="0"/>
              <w:snapToGrid w:val="0"/>
              <w:rPr>
                <w:rFonts w:ascii="仿宋_GB2312" w:eastAsia="仿宋_GB2312"/>
                <w:bCs/>
                <w:szCs w:val="18"/>
              </w:rPr>
            </w:pPr>
            <w:r>
              <w:rPr>
                <w:rFonts w:hint="eastAsia" w:ascii="仿宋_GB2312" w:eastAsia="仿宋_GB2312"/>
                <w:bCs/>
                <w:szCs w:val="21"/>
              </w:rPr>
              <w:t>联系电话</w:t>
            </w:r>
          </w:p>
        </w:tc>
        <w:tc>
          <w:tcPr>
            <w:tcW w:w="1774" w:type="dxa"/>
            <w:gridSpan w:val="3"/>
            <w:tcBorders>
              <w:top w:val="single" w:color="auto" w:sz="4" w:space="0"/>
              <w:left w:val="single" w:color="auto" w:sz="4" w:space="0"/>
              <w:bottom w:val="single" w:color="auto" w:sz="4" w:space="0"/>
              <w:right w:val="single" w:color="auto" w:sz="4" w:space="0"/>
            </w:tcBorders>
            <w:noWrap w:val="0"/>
            <w:vAlign w:val="center"/>
          </w:tcPr>
          <w:p w14:paraId="7BFEB6E7">
            <w:pPr>
              <w:adjustRightInd w:val="0"/>
              <w:snapToGrid w:val="0"/>
              <w:rPr>
                <w:rFonts w:ascii="仿宋_GB2312" w:eastAsia="仿宋_GB2312"/>
                <w:bCs/>
                <w:szCs w:val="18"/>
              </w:rPr>
            </w:pPr>
          </w:p>
        </w:tc>
      </w:tr>
      <w:tr w14:paraId="571FAD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1" w:hRule="atLeast"/>
        </w:trPr>
        <w:tc>
          <w:tcPr>
            <w:tcW w:w="1139" w:type="dxa"/>
            <w:vMerge w:val="continue"/>
            <w:tcBorders>
              <w:left w:val="single" w:color="auto" w:sz="4" w:space="0"/>
              <w:right w:val="single" w:color="auto" w:sz="4" w:space="0"/>
            </w:tcBorders>
            <w:noWrap w:val="0"/>
            <w:vAlign w:val="center"/>
          </w:tcPr>
          <w:p w14:paraId="50BF8A88">
            <w:pPr>
              <w:widowControl/>
              <w:jc w:val="left"/>
              <w:rPr>
                <w:rFonts w:ascii="仿宋_GB2312" w:eastAsia="仿宋_GB2312"/>
                <w:b/>
                <w:szCs w:val="21"/>
              </w:rPr>
            </w:pPr>
          </w:p>
        </w:tc>
        <w:tc>
          <w:tcPr>
            <w:tcW w:w="471" w:type="dxa"/>
            <w:vMerge w:val="continue"/>
            <w:tcBorders>
              <w:left w:val="single" w:color="auto" w:sz="4" w:space="0"/>
              <w:bottom w:val="single" w:color="auto" w:sz="4" w:space="0"/>
              <w:right w:val="single" w:color="auto" w:sz="4" w:space="0"/>
            </w:tcBorders>
            <w:noWrap w:val="0"/>
            <w:vAlign w:val="center"/>
          </w:tcPr>
          <w:p w14:paraId="2CA9A6A7">
            <w:pPr>
              <w:widowControl/>
              <w:jc w:val="left"/>
              <w:rPr>
                <w:rFonts w:ascii="仿宋_GB2312" w:eastAsia="仿宋_GB2312"/>
                <w:bCs/>
                <w:szCs w:val="21"/>
              </w:rPr>
            </w:pPr>
          </w:p>
        </w:tc>
        <w:tc>
          <w:tcPr>
            <w:tcW w:w="4563" w:type="dxa"/>
            <w:gridSpan w:val="6"/>
            <w:tcBorders>
              <w:top w:val="single" w:color="auto" w:sz="4" w:space="0"/>
              <w:left w:val="single" w:color="auto" w:sz="4" w:space="0"/>
              <w:bottom w:val="single" w:color="auto" w:sz="4" w:space="0"/>
              <w:right w:val="single" w:color="auto" w:sz="4" w:space="0"/>
            </w:tcBorders>
            <w:noWrap w:val="0"/>
            <w:vAlign w:val="center"/>
          </w:tcPr>
          <w:p w14:paraId="574395D0">
            <w:pPr>
              <w:adjustRightInd w:val="0"/>
              <w:snapToGrid w:val="0"/>
              <w:rPr>
                <w:rFonts w:hint="eastAsia" w:ascii="仿宋_GB2312" w:eastAsia="仿宋_GB2312"/>
                <w:bCs/>
                <w:szCs w:val="18"/>
              </w:rPr>
            </w:pPr>
            <w:r>
              <w:rPr>
                <w:rFonts w:hint="eastAsia" w:ascii="仿宋_GB2312" w:eastAsia="仿宋_GB2312"/>
                <w:bCs/>
                <w:szCs w:val="18"/>
              </w:rPr>
              <w:t>转出方是否为国有单位</w:t>
            </w:r>
          </w:p>
        </w:tc>
        <w:tc>
          <w:tcPr>
            <w:tcW w:w="1968" w:type="dxa"/>
            <w:gridSpan w:val="6"/>
            <w:tcBorders>
              <w:top w:val="single" w:color="auto" w:sz="4" w:space="0"/>
              <w:left w:val="single" w:color="auto" w:sz="4" w:space="0"/>
              <w:bottom w:val="single" w:color="auto" w:sz="4" w:space="0"/>
              <w:right w:val="single" w:color="auto" w:sz="4" w:space="0"/>
            </w:tcBorders>
            <w:noWrap w:val="0"/>
            <w:vAlign w:val="center"/>
          </w:tcPr>
          <w:p w14:paraId="7E7D6CF0">
            <w:pPr>
              <w:adjustRightInd w:val="0"/>
              <w:snapToGrid w:val="0"/>
              <w:rPr>
                <w:rFonts w:hint="eastAsia" w:ascii="仿宋_GB2312" w:eastAsia="仿宋_GB2312"/>
                <w:bCs/>
                <w:szCs w:val="21"/>
              </w:rPr>
            </w:pPr>
            <w:r>
              <w:rPr>
                <w:rFonts w:hint="eastAsia" w:ascii="仿宋_GB2312" w:hAnsi="宋体" w:eastAsia="仿宋_GB2312"/>
                <w:bCs/>
                <w:szCs w:val="21"/>
              </w:rPr>
              <w:t>□     是</w:t>
            </w:r>
          </w:p>
        </w:tc>
        <w:tc>
          <w:tcPr>
            <w:tcW w:w="1759" w:type="dxa"/>
            <w:gridSpan w:val="2"/>
            <w:tcBorders>
              <w:top w:val="single" w:color="auto" w:sz="4" w:space="0"/>
              <w:left w:val="single" w:color="auto" w:sz="4" w:space="0"/>
              <w:bottom w:val="single" w:color="auto" w:sz="4" w:space="0"/>
              <w:right w:val="single" w:color="auto" w:sz="4" w:space="0"/>
            </w:tcBorders>
            <w:noWrap w:val="0"/>
            <w:vAlign w:val="center"/>
          </w:tcPr>
          <w:p w14:paraId="21D5C598">
            <w:pPr>
              <w:adjustRightInd w:val="0"/>
              <w:snapToGrid w:val="0"/>
              <w:rPr>
                <w:rFonts w:hint="eastAsia" w:ascii="仿宋_GB2312" w:eastAsia="仿宋_GB2312"/>
                <w:bCs/>
                <w:szCs w:val="18"/>
              </w:rPr>
            </w:pPr>
            <w:r>
              <w:rPr>
                <w:rFonts w:hint="eastAsia" w:ascii="仿宋_GB2312" w:hAnsi="宋体" w:eastAsia="仿宋_GB2312"/>
                <w:bCs/>
                <w:szCs w:val="21"/>
              </w:rPr>
              <w:t>□    否</w:t>
            </w:r>
          </w:p>
        </w:tc>
      </w:tr>
      <w:tr w14:paraId="6447C4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5" w:hRule="atLeast"/>
        </w:trPr>
        <w:tc>
          <w:tcPr>
            <w:tcW w:w="1139" w:type="dxa"/>
            <w:vMerge w:val="continue"/>
            <w:tcBorders>
              <w:left w:val="single" w:color="auto" w:sz="4" w:space="0"/>
              <w:right w:val="single" w:color="auto" w:sz="4" w:space="0"/>
            </w:tcBorders>
            <w:noWrap w:val="0"/>
            <w:vAlign w:val="center"/>
          </w:tcPr>
          <w:p w14:paraId="70EF19B0">
            <w:pPr>
              <w:widowControl/>
              <w:jc w:val="left"/>
              <w:rPr>
                <w:rFonts w:ascii="仿宋_GB2312" w:eastAsia="仿宋_GB2312"/>
                <w:b/>
                <w:szCs w:val="21"/>
              </w:rPr>
            </w:pPr>
          </w:p>
        </w:tc>
        <w:tc>
          <w:tcPr>
            <w:tcW w:w="471" w:type="dxa"/>
            <w:vMerge w:val="restart"/>
            <w:tcBorders>
              <w:top w:val="single" w:color="auto" w:sz="4" w:space="0"/>
              <w:left w:val="single" w:color="auto" w:sz="4" w:space="0"/>
              <w:right w:val="single" w:color="auto" w:sz="4" w:space="0"/>
            </w:tcBorders>
            <w:noWrap w:val="0"/>
            <w:vAlign w:val="center"/>
          </w:tcPr>
          <w:p w14:paraId="7BC861A9">
            <w:pPr>
              <w:adjustRightInd w:val="0"/>
              <w:snapToGrid w:val="0"/>
              <w:rPr>
                <w:rFonts w:ascii="仿宋_GB2312" w:eastAsia="仿宋_GB2312"/>
                <w:bCs/>
                <w:szCs w:val="21"/>
              </w:rPr>
            </w:pPr>
            <w:r>
              <w:rPr>
                <w:rFonts w:hint="eastAsia" w:ascii="仿宋_GB2312" w:eastAsia="仿宋_GB2312"/>
                <w:bCs/>
                <w:szCs w:val="21"/>
              </w:rPr>
              <w:t>转入方</w:t>
            </w:r>
          </w:p>
        </w:tc>
        <w:tc>
          <w:tcPr>
            <w:tcW w:w="1370" w:type="dxa"/>
            <w:gridSpan w:val="2"/>
            <w:tcBorders>
              <w:top w:val="single" w:color="auto" w:sz="4" w:space="0"/>
              <w:left w:val="single" w:color="auto" w:sz="4" w:space="0"/>
              <w:bottom w:val="single" w:color="auto" w:sz="4" w:space="0"/>
              <w:right w:val="single" w:color="auto" w:sz="4" w:space="0"/>
            </w:tcBorders>
            <w:noWrap w:val="0"/>
            <w:vAlign w:val="center"/>
          </w:tcPr>
          <w:p w14:paraId="035FB957">
            <w:pPr>
              <w:adjustRightInd w:val="0"/>
              <w:snapToGrid w:val="0"/>
              <w:jc w:val="left"/>
              <w:rPr>
                <w:rFonts w:ascii="仿宋_GB2312" w:eastAsia="仿宋_GB2312"/>
                <w:bCs/>
                <w:szCs w:val="21"/>
              </w:rPr>
            </w:pPr>
            <w:r>
              <w:rPr>
                <w:rFonts w:hint="eastAsia" w:ascii="仿宋_GB2312" w:eastAsia="仿宋_GB2312"/>
                <w:bCs/>
                <w:szCs w:val="21"/>
              </w:rPr>
              <w:t>转入方名称</w:t>
            </w:r>
          </w:p>
        </w:tc>
        <w:tc>
          <w:tcPr>
            <w:tcW w:w="6920" w:type="dxa"/>
            <w:gridSpan w:val="12"/>
            <w:tcBorders>
              <w:top w:val="single" w:color="auto" w:sz="4" w:space="0"/>
              <w:left w:val="single" w:color="auto" w:sz="4" w:space="0"/>
              <w:bottom w:val="single" w:color="auto" w:sz="4" w:space="0"/>
              <w:right w:val="single" w:color="auto" w:sz="4" w:space="0"/>
            </w:tcBorders>
            <w:noWrap w:val="0"/>
            <w:vAlign w:val="center"/>
          </w:tcPr>
          <w:p w14:paraId="5B4421A0">
            <w:pPr>
              <w:adjustRightInd w:val="0"/>
              <w:snapToGrid w:val="0"/>
              <w:rPr>
                <w:rFonts w:ascii="仿宋_GB2312" w:eastAsia="仿宋_GB2312"/>
                <w:bCs/>
                <w:szCs w:val="21"/>
              </w:rPr>
            </w:pPr>
          </w:p>
        </w:tc>
      </w:tr>
      <w:tr w14:paraId="294C3D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9" w:hRule="atLeast"/>
        </w:trPr>
        <w:tc>
          <w:tcPr>
            <w:tcW w:w="1139" w:type="dxa"/>
            <w:vMerge w:val="continue"/>
            <w:tcBorders>
              <w:left w:val="single" w:color="auto" w:sz="4" w:space="0"/>
              <w:right w:val="single" w:color="auto" w:sz="4" w:space="0"/>
            </w:tcBorders>
            <w:noWrap w:val="0"/>
            <w:vAlign w:val="center"/>
          </w:tcPr>
          <w:p w14:paraId="614E8F75">
            <w:pPr>
              <w:widowControl/>
              <w:jc w:val="left"/>
              <w:rPr>
                <w:rFonts w:ascii="仿宋_GB2312" w:eastAsia="仿宋_GB2312"/>
                <w:b/>
                <w:szCs w:val="21"/>
              </w:rPr>
            </w:pPr>
          </w:p>
        </w:tc>
        <w:tc>
          <w:tcPr>
            <w:tcW w:w="471" w:type="dxa"/>
            <w:vMerge w:val="continue"/>
            <w:tcBorders>
              <w:left w:val="single" w:color="auto" w:sz="4" w:space="0"/>
              <w:right w:val="single" w:color="auto" w:sz="4" w:space="0"/>
            </w:tcBorders>
            <w:noWrap w:val="0"/>
            <w:vAlign w:val="center"/>
          </w:tcPr>
          <w:p w14:paraId="3E229A7C">
            <w:pPr>
              <w:widowControl/>
              <w:jc w:val="left"/>
              <w:rPr>
                <w:rFonts w:ascii="仿宋_GB2312" w:eastAsia="仿宋_GB2312"/>
                <w:bCs/>
                <w:szCs w:val="21"/>
              </w:rPr>
            </w:pPr>
          </w:p>
        </w:tc>
        <w:tc>
          <w:tcPr>
            <w:tcW w:w="2350" w:type="dxa"/>
            <w:gridSpan w:val="4"/>
            <w:tcBorders>
              <w:top w:val="single" w:color="auto" w:sz="4" w:space="0"/>
              <w:left w:val="single" w:color="auto" w:sz="4" w:space="0"/>
              <w:bottom w:val="single" w:color="auto" w:sz="4" w:space="0"/>
              <w:right w:val="single" w:color="auto" w:sz="4" w:space="0"/>
            </w:tcBorders>
            <w:noWrap w:val="0"/>
            <w:vAlign w:val="center"/>
          </w:tcPr>
          <w:p w14:paraId="195FECDE">
            <w:pPr>
              <w:adjustRightInd w:val="0"/>
              <w:snapToGrid w:val="0"/>
              <w:rPr>
                <w:rFonts w:ascii="仿宋_GB2312" w:eastAsia="仿宋_GB2312"/>
                <w:bCs/>
                <w:szCs w:val="21"/>
              </w:rPr>
            </w:pPr>
            <w:r>
              <w:rPr>
                <w:rFonts w:hint="eastAsia" w:ascii="仿宋_GB2312" w:eastAsia="仿宋_GB2312"/>
                <w:bCs/>
                <w:szCs w:val="21"/>
              </w:rPr>
              <w:t>注册号码/身份证号码</w:t>
            </w:r>
          </w:p>
        </w:tc>
        <w:tc>
          <w:tcPr>
            <w:tcW w:w="2213" w:type="dxa"/>
            <w:gridSpan w:val="2"/>
            <w:tcBorders>
              <w:top w:val="single" w:color="auto" w:sz="4" w:space="0"/>
              <w:left w:val="single" w:color="auto" w:sz="4" w:space="0"/>
              <w:bottom w:val="single" w:color="auto" w:sz="4" w:space="0"/>
              <w:right w:val="single" w:color="auto" w:sz="4" w:space="0"/>
            </w:tcBorders>
            <w:noWrap w:val="0"/>
            <w:vAlign w:val="center"/>
          </w:tcPr>
          <w:p w14:paraId="2380E7F6">
            <w:pPr>
              <w:adjustRightInd w:val="0"/>
              <w:snapToGrid w:val="0"/>
              <w:rPr>
                <w:rFonts w:ascii="仿宋_GB2312" w:eastAsia="仿宋_GB2312"/>
                <w:bCs/>
                <w:szCs w:val="21"/>
              </w:rPr>
            </w:pPr>
          </w:p>
        </w:tc>
        <w:tc>
          <w:tcPr>
            <w:tcW w:w="1545" w:type="dxa"/>
            <w:gridSpan w:val="4"/>
            <w:tcBorders>
              <w:top w:val="single" w:color="auto" w:sz="4" w:space="0"/>
              <w:left w:val="single" w:color="auto" w:sz="4" w:space="0"/>
              <w:bottom w:val="single" w:color="auto" w:sz="4" w:space="0"/>
              <w:right w:val="single" w:color="auto" w:sz="4" w:space="0"/>
            </w:tcBorders>
            <w:noWrap w:val="0"/>
            <w:vAlign w:val="center"/>
          </w:tcPr>
          <w:p w14:paraId="75763F32">
            <w:pPr>
              <w:adjustRightInd w:val="0"/>
              <w:snapToGrid w:val="0"/>
              <w:rPr>
                <w:rFonts w:ascii="仿宋_GB2312" w:eastAsia="仿宋_GB2312"/>
                <w:bCs/>
                <w:szCs w:val="21"/>
              </w:rPr>
            </w:pPr>
            <w:r>
              <w:rPr>
                <w:rFonts w:hint="eastAsia" w:ascii="仿宋_GB2312" w:eastAsia="仿宋_GB2312"/>
                <w:bCs/>
                <w:szCs w:val="21"/>
              </w:rPr>
              <w:t>证券帐户</w:t>
            </w:r>
          </w:p>
        </w:tc>
        <w:tc>
          <w:tcPr>
            <w:tcW w:w="2182" w:type="dxa"/>
            <w:gridSpan w:val="4"/>
            <w:tcBorders>
              <w:top w:val="single" w:color="auto" w:sz="4" w:space="0"/>
              <w:left w:val="single" w:color="auto" w:sz="4" w:space="0"/>
              <w:bottom w:val="single" w:color="auto" w:sz="4" w:space="0"/>
              <w:right w:val="single" w:color="auto" w:sz="4" w:space="0"/>
            </w:tcBorders>
            <w:noWrap w:val="0"/>
            <w:vAlign w:val="center"/>
          </w:tcPr>
          <w:p w14:paraId="01F55A83">
            <w:pPr>
              <w:adjustRightInd w:val="0"/>
              <w:snapToGrid w:val="0"/>
              <w:rPr>
                <w:rFonts w:ascii="仿宋_GB2312" w:eastAsia="仿宋_GB2312"/>
                <w:bCs/>
                <w:szCs w:val="21"/>
              </w:rPr>
            </w:pPr>
          </w:p>
        </w:tc>
      </w:tr>
      <w:tr w14:paraId="0E0D44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89" w:hRule="atLeast"/>
        </w:trPr>
        <w:tc>
          <w:tcPr>
            <w:tcW w:w="1139" w:type="dxa"/>
            <w:vMerge w:val="continue"/>
            <w:tcBorders>
              <w:left w:val="single" w:color="auto" w:sz="4" w:space="0"/>
              <w:right w:val="single" w:color="auto" w:sz="4" w:space="0"/>
            </w:tcBorders>
            <w:noWrap w:val="0"/>
            <w:vAlign w:val="center"/>
          </w:tcPr>
          <w:p w14:paraId="371E5B37">
            <w:pPr>
              <w:widowControl/>
              <w:jc w:val="left"/>
              <w:rPr>
                <w:rFonts w:ascii="仿宋_GB2312" w:eastAsia="仿宋_GB2312"/>
                <w:b/>
                <w:szCs w:val="21"/>
              </w:rPr>
            </w:pPr>
          </w:p>
        </w:tc>
        <w:tc>
          <w:tcPr>
            <w:tcW w:w="471" w:type="dxa"/>
            <w:vMerge w:val="continue"/>
            <w:tcBorders>
              <w:left w:val="single" w:color="auto" w:sz="4" w:space="0"/>
              <w:right w:val="single" w:color="auto" w:sz="4" w:space="0"/>
            </w:tcBorders>
            <w:noWrap w:val="0"/>
            <w:vAlign w:val="center"/>
          </w:tcPr>
          <w:p w14:paraId="6AA086A0">
            <w:pPr>
              <w:widowControl/>
              <w:jc w:val="left"/>
              <w:rPr>
                <w:rFonts w:ascii="仿宋_GB2312" w:eastAsia="仿宋_GB2312"/>
                <w:bCs/>
                <w:szCs w:val="21"/>
              </w:rPr>
            </w:pPr>
          </w:p>
        </w:tc>
        <w:tc>
          <w:tcPr>
            <w:tcW w:w="2350" w:type="dxa"/>
            <w:gridSpan w:val="4"/>
            <w:tcBorders>
              <w:top w:val="single" w:color="auto" w:sz="4" w:space="0"/>
              <w:left w:val="single" w:color="auto" w:sz="4" w:space="0"/>
              <w:bottom w:val="single" w:color="auto" w:sz="4" w:space="0"/>
              <w:right w:val="nil"/>
            </w:tcBorders>
            <w:noWrap w:val="0"/>
            <w:vAlign w:val="center"/>
          </w:tcPr>
          <w:p w14:paraId="298857EF">
            <w:pPr>
              <w:adjustRightInd w:val="0"/>
              <w:snapToGrid w:val="0"/>
              <w:rPr>
                <w:rFonts w:ascii="仿宋_GB2312" w:eastAsia="仿宋_GB2312"/>
                <w:bCs/>
                <w:szCs w:val="21"/>
              </w:rPr>
            </w:pPr>
            <w:r>
              <w:rPr>
                <w:rFonts w:hint="eastAsia" w:ascii="仿宋_GB2312" w:eastAsia="仿宋_GB2312"/>
                <w:bCs/>
                <w:szCs w:val="21"/>
              </w:rPr>
              <w:t>经办人及身份证号码</w:t>
            </w:r>
          </w:p>
        </w:tc>
        <w:tc>
          <w:tcPr>
            <w:tcW w:w="3023" w:type="dxa"/>
            <w:gridSpan w:val="4"/>
            <w:tcBorders>
              <w:top w:val="single" w:color="auto" w:sz="4" w:space="0"/>
              <w:left w:val="single" w:color="auto" w:sz="4" w:space="0"/>
              <w:bottom w:val="single" w:color="auto" w:sz="4" w:space="0"/>
              <w:right w:val="single" w:color="auto" w:sz="4" w:space="0"/>
            </w:tcBorders>
            <w:noWrap w:val="0"/>
            <w:vAlign w:val="center"/>
          </w:tcPr>
          <w:p w14:paraId="6943D7BA">
            <w:pPr>
              <w:adjustRightInd w:val="0"/>
              <w:snapToGrid w:val="0"/>
              <w:rPr>
                <w:rFonts w:ascii="仿宋_GB2312" w:eastAsia="仿宋_GB2312"/>
                <w:bCs/>
                <w:szCs w:val="21"/>
              </w:rPr>
            </w:pPr>
          </w:p>
        </w:tc>
        <w:tc>
          <w:tcPr>
            <w:tcW w:w="1176" w:type="dxa"/>
            <w:gridSpan w:val="5"/>
            <w:tcBorders>
              <w:top w:val="single" w:color="auto" w:sz="4" w:space="0"/>
              <w:left w:val="single" w:color="auto" w:sz="4" w:space="0"/>
              <w:bottom w:val="single" w:color="auto" w:sz="4" w:space="0"/>
              <w:right w:val="single" w:color="auto" w:sz="4" w:space="0"/>
            </w:tcBorders>
            <w:noWrap w:val="0"/>
            <w:vAlign w:val="center"/>
          </w:tcPr>
          <w:p w14:paraId="62777357">
            <w:pPr>
              <w:adjustRightInd w:val="0"/>
              <w:snapToGrid w:val="0"/>
              <w:rPr>
                <w:rFonts w:ascii="仿宋_GB2312" w:eastAsia="仿宋_GB2312"/>
                <w:bCs/>
                <w:szCs w:val="21"/>
              </w:rPr>
            </w:pPr>
            <w:r>
              <w:rPr>
                <w:rFonts w:hint="eastAsia" w:ascii="仿宋_GB2312" w:eastAsia="仿宋_GB2312"/>
                <w:bCs/>
                <w:szCs w:val="21"/>
              </w:rPr>
              <w:t>联系电话</w:t>
            </w:r>
          </w:p>
        </w:tc>
        <w:tc>
          <w:tcPr>
            <w:tcW w:w="1741" w:type="dxa"/>
            <w:tcBorders>
              <w:top w:val="single" w:color="auto" w:sz="4" w:space="0"/>
              <w:left w:val="single" w:color="auto" w:sz="4" w:space="0"/>
              <w:bottom w:val="single" w:color="auto" w:sz="4" w:space="0"/>
              <w:right w:val="single" w:color="auto" w:sz="4" w:space="0"/>
            </w:tcBorders>
            <w:noWrap w:val="0"/>
            <w:vAlign w:val="center"/>
          </w:tcPr>
          <w:p w14:paraId="607D17C1">
            <w:pPr>
              <w:adjustRightInd w:val="0"/>
              <w:snapToGrid w:val="0"/>
              <w:rPr>
                <w:rFonts w:ascii="仿宋_GB2312" w:eastAsia="仿宋_GB2312"/>
                <w:bCs/>
                <w:szCs w:val="21"/>
              </w:rPr>
            </w:pPr>
          </w:p>
        </w:tc>
      </w:tr>
      <w:tr w14:paraId="32B211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41" w:hRule="atLeast"/>
        </w:trPr>
        <w:tc>
          <w:tcPr>
            <w:tcW w:w="1139" w:type="dxa"/>
            <w:tcBorders>
              <w:left w:val="single" w:color="auto" w:sz="4" w:space="0"/>
              <w:right w:val="single" w:color="auto" w:sz="4" w:space="0"/>
            </w:tcBorders>
            <w:noWrap w:val="0"/>
            <w:vAlign w:val="center"/>
          </w:tcPr>
          <w:p w14:paraId="4B83EF3A">
            <w:pPr>
              <w:widowControl/>
              <w:jc w:val="left"/>
              <w:rPr>
                <w:rFonts w:ascii="仿宋_GB2312" w:eastAsia="仿宋_GB2312"/>
                <w:b/>
                <w:szCs w:val="21"/>
              </w:rPr>
            </w:pPr>
          </w:p>
        </w:tc>
        <w:tc>
          <w:tcPr>
            <w:tcW w:w="471" w:type="dxa"/>
            <w:tcBorders>
              <w:left w:val="single" w:color="auto" w:sz="4" w:space="0"/>
              <w:bottom w:val="single" w:color="auto" w:sz="4" w:space="0"/>
              <w:right w:val="single" w:color="auto" w:sz="4" w:space="0"/>
            </w:tcBorders>
            <w:noWrap w:val="0"/>
            <w:vAlign w:val="center"/>
          </w:tcPr>
          <w:p w14:paraId="1CB1BB71">
            <w:pPr>
              <w:widowControl/>
              <w:jc w:val="left"/>
              <w:rPr>
                <w:rFonts w:ascii="仿宋_GB2312" w:eastAsia="仿宋_GB2312"/>
                <w:bCs/>
                <w:szCs w:val="21"/>
              </w:rPr>
            </w:pPr>
          </w:p>
        </w:tc>
        <w:tc>
          <w:tcPr>
            <w:tcW w:w="4572" w:type="dxa"/>
            <w:gridSpan w:val="7"/>
            <w:tcBorders>
              <w:top w:val="single" w:color="auto" w:sz="4" w:space="0"/>
              <w:left w:val="single" w:color="auto" w:sz="4" w:space="0"/>
              <w:bottom w:val="single" w:color="auto" w:sz="4" w:space="0"/>
              <w:right w:val="nil"/>
            </w:tcBorders>
            <w:noWrap w:val="0"/>
            <w:vAlign w:val="center"/>
          </w:tcPr>
          <w:p w14:paraId="54196BC1">
            <w:pPr>
              <w:adjustRightInd w:val="0"/>
              <w:snapToGrid w:val="0"/>
              <w:rPr>
                <w:rFonts w:hint="eastAsia" w:ascii="仿宋_GB2312" w:hAnsi="宋体" w:eastAsia="仿宋_GB2312"/>
                <w:bCs/>
                <w:szCs w:val="21"/>
              </w:rPr>
            </w:pPr>
            <w:r>
              <w:rPr>
                <w:rFonts w:hint="eastAsia" w:ascii="仿宋_GB2312" w:eastAsia="仿宋_GB2312"/>
                <w:bCs/>
                <w:szCs w:val="18"/>
              </w:rPr>
              <w:t>过入方是否为国有单位</w:t>
            </w:r>
          </w:p>
        </w:tc>
        <w:tc>
          <w:tcPr>
            <w:tcW w:w="1977" w:type="dxa"/>
            <w:gridSpan w:val="6"/>
            <w:tcBorders>
              <w:top w:val="single" w:color="auto" w:sz="4" w:space="0"/>
              <w:left w:val="single" w:color="auto" w:sz="4" w:space="0"/>
              <w:bottom w:val="single" w:color="auto" w:sz="4" w:space="0"/>
              <w:right w:val="nil"/>
            </w:tcBorders>
            <w:noWrap w:val="0"/>
            <w:vAlign w:val="center"/>
          </w:tcPr>
          <w:p w14:paraId="34312596">
            <w:pPr>
              <w:adjustRightInd w:val="0"/>
              <w:snapToGrid w:val="0"/>
              <w:rPr>
                <w:rFonts w:hint="eastAsia" w:ascii="仿宋_GB2312" w:hAnsi="宋体" w:eastAsia="仿宋_GB2312"/>
                <w:bCs/>
                <w:szCs w:val="21"/>
              </w:rPr>
            </w:pPr>
            <w:r>
              <w:rPr>
                <w:rFonts w:hint="eastAsia" w:ascii="仿宋_GB2312" w:hAnsi="宋体" w:eastAsia="仿宋_GB2312"/>
                <w:bCs/>
                <w:szCs w:val="21"/>
              </w:rPr>
              <w:t>□     是</w:t>
            </w:r>
          </w:p>
        </w:tc>
        <w:tc>
          <w:tcPr>
            <w:tcW w:w="1741" w:type="dxa"/>
            <w:tcBorders>
              <w:top w:val="single" w:color="auto" w:sz="4" w:space="0"/>
              <w:left w:val="single" w:color="auto" w:sz="4" w:space="0"/>
              <w:bottom w:val="single" w:color="auto" w:sz="4" w:space="0"/>
              <w:right w:val="single" w:color="auto" w:sz="4" w:space="0"/>
            </w:tcBorders>
            <w:noWrap w:val="0"/>
            <w:vAlign w:val="center"/>
          </w:tcPr>
          <w:p w14:paraId="368EB291">
            <w:pPr>
              <w:adjustRightInd w:val="0"/>
              <w:snapToGrid w:val="0"/>
              <w:rPr>
                <w:rFonts w:hint="eastAsia" w:ascii="仿宋_GB2312" w:hAnsi="宋体" w:eastAsia="仿宋_GB2312"/>
                <w:bCs/>
                <w:szCs w:val="21"/>
              </w:rPr>
            </w:pPr>
            <w:r>
              <w:rPr>
                <w:rFonts w:hint="eastAsia" w:ascii="仿宋_GB2312" w:hAnsi="宋体" w:eastAsia="仿宋_GB2312"/>
                <w:bCs/>
                <w:szCs w:val="21"/>
              </w:rPr>
              <w:t>□    否</w:t>
            </w:r>
          </w:p>
        </w:tc>
      </w:tr>
      <w:tr w14:paraId="14BA34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11" w:hRule="atLeast"/>
        </w:trPr>
        <w:tc>
          <w:tcPr>
            <w:tcW w:w="1139" w:type="dxa"/>
            <w:vMerge w:val="restart"/>
            <w:tcBorders>
              <w:top w:val="single" w:color="auto" w:sz="4" w:space="0"/>
              <w:left w:val="single" w:color="auto" w:sz="4" w:space="0"/>
              <w:bottom w:val="nil"/>
              <w:right w:val="single" w:color="auto" w:sz="4" w:space="0"/>
            </w:tcBorders>
            <w:noWrap w:val="0"/>
            <w:textDirection w:val="tbRlV"/>
            <w:vAlign w:val="center"/>
          </w:tcPr>
          <w:p w14:paraId="5CD192EA">
            <w:pPr>
              <w:adjustRightInd w:val="0"/>
              <w:snapToGrid w:val="0"/>
              <w:ind w:left="113" w:right="113"/>
              <w:jc w:val="center"/>
              <w:rPr>
                <w:rFonts w:hint="eastAsia" w:ascii="黑体" w:eastAsia="黑体"/>
                <w:b/>
              </w:rPr>
            </w:pPr>
            <w:r>
              <w:rPr>
                <w:rFonts w:hint="eastAsia" w:ascii="黑体" w:eastAsia="黑体"/>
                <w:b/>
              </w:rPr>
              <w:t>债券情况</w:t>
            </w:r>
          </w:p>
          <w:p w14:paraId="65D2C19D">
            <w:pPr>
              <w:adjustRightInd w:val="0"/>
              <w:snapToGrid w:val="0"/>
              <w:ind w:left="113" w:right="113"/>
              <w:jc w:val="center"/>
              <w:rPr>
                <w:rFonts w:ascii="黑体" w:eastAsia="黑体"/>
                <w:b/>
              </w:rPr>
            </w:pPr>
            <w:r>
              <w:rPr>
                <w:rFonts w:hint="eastAsia" w:ascii="黑体" w:eastAsia="黑体"/>
                <w:b/>
              </w:rPr>
              <w:t>拟转让</w:t>
            </w:r>
          </w:p>
        </w:tc>
        <w:tc>
          <w:tcPr>
            <w:tcW w:w="1841" w:type="dxa"/>
            <w:gridSpan w:val="3"/>
            <w:tcBorders>
              <w:top w:val="single" w:color="auto" w:sz="4" w:space="0"/>
              <w:left w:val="single" w:color="auto" w:sz="4" w:space="0"/>
              <w:bottom w:val="single" w:color="auto" w:sz="4" w:space="0"/>
              <w:right w:val="single" w:color="auto" w:sz="4" w:space="0"/>
            </w:tcBorders>
            <w:noWrap w:val="0"/>
            <w:vAlign w:val="center"/>
          </w:tcPr>
          <w:p w14:paraId="5F94A09C">
            <w:pPr>
              <w:adjustRightInd w:val="0"/>
              <w:snapToGrid w:val="0"/>
              <w:rPr>
                <w:rFonts w:ascii="仿宋_GB2312" w:eastAsia="仿宋_GB2312"/>
                <w:bCs/>
                <w:szCs w:val="21"/>
              </w:rPr>
            </w:pPr>
            <w:r>
              <w:rPr>
                <w:rFonts w:hint="eastAsia" w:ascii="仿宋_GB2312" w:eastAsia="仿宋_GB2312"/>
                <w:bCs/>
                <w:szCs w:val="21"/>
              </w:rPr>
              <w:t>债券简称</w:t>
            </w:r>
          </w:p>
        </w:tc>
        <w:tc>
          <w:tcPr>
            <w:tcW w:w="2767" w:type="dxa"/>
            <w:gridSpan w:val="3"/>
            <w:tcBorders>
              <w:top w:val="single" w:color="auto" w:sz="4" w:space="0"/>
              <w:left w:val="single" w:color="auto" w:sz="4" w:space="0"/>
              <w:bottom w:val="single" w:color="auto" w:sz="4" w:space="0"/>
              <w:right w:val="single" w:color="auto" w:sz="4" w:space="0"/>
            </w:tcBorders>
            <w:noWrap w:val="0"/>
            <w:vAlign w:val="center"/>
          </w:tcPr>
          <w:p w14:paraId="41BF108F">
            <w:pPr>
              <w:adjustRightInd w:val="0"/>
              <w:snapToGrid w:val="0"/>
              <w:rPr>
                <w:rFonts w:ascii="仿宋_GB2312" w:eastAsia="仿宋_GB2312"/>
                <w:bCs/>
                <w:szCs w:val="21"/>
              </w:rPr>
            </w:pPr>
          </w:p>
        </w:tc>
        <w:tc>
          <w:tcPr>
            <w:tcW w:w="1813" w:type="dxa"/>
            <w:gridSpan w:val="4"/>
            <w:tcBorders>
              <w:top w:val="single" w:color="auto" w:sz="4" w:space="0"/>
              <w:left w:val="single" w:color="auto" w:sz="4" w:space="0"/>
              <w:bottom w:val="single" w:color="auto" w:sz="4" w:space="0"/>
              <w:right w:val="single" w:color="auto" w:sz="4" w:space="0"/>
            </w:tcBorders>
            <w:noWrap w:val="0"/>
            <w:vAlign w:val="center"/>
          </w:tcPr>
          <w:p w14:paraId="19BCB960">
            <w:pPr>
              <w:adjustRightInd w:val="0"/>
              <w:snapToGrid w:val="0"/>
              <w:rPr>
                <w:rFonts w:ascii="仿宋_GB2312" w:eastAsia="仿宋_GB2312"/>
                <w:bCs/>
                <w:szCs w:val="21"/>
              </w:rPr>
            </w:pPr>
            <w:r>
              <w:rPr>
                <w:rFonts w:hint="eastAsia" w:ascii="仿宋_GB2312" w:eastAsia="仿宋_GB2312"/>
                <w:bCs/>
                <w:szCs w:val="21"/>
              </w:rPr>
              <w:t>债券代码</w:t>
            </w:r>
          </w:p>
        </w:tc>
        <w:tc>
          <w:tcPr>
            <w:tcW w:w="2340" w:type="dxa"/>
            <w:gridSpan w:val="5"/>
            <w:tcBorders>
              <w:top w:val="single" w:color="auto" w:sz="4" w:space="0"/>
              <w:left w:val="single" w:color="auto" w:sz="4" w:space="0"/>
              <w:bottom w:val="single" w:color="auto" w:sz="4" w:space="0"/>
              <w:right w:val="single" w:color="auto" w:sz="4" w:space="0"/>
            </w:tcBorders>
            <w:noWrap w:val="0"/>
            <w:vAlign w:val="center"/>
          </w:tcPr>
          <w:p w14:paraId="2E04D072">
            <w:pPr>
              <w:adjustRightInd w:val="0"/>
              <w:snapToGrid w:val="0"/>
              <w:ind w:firstLine="1260" w:firstLineChars="600"/>
              <w:rPr>
                <w:rFonts w:ascii="仿宋_GB2312" w:eastAsia="仿宋_GB2312"/>
                <w:bCs/>
                <w:szCs w:val="21"/>
              </w:rPr>
            </w:pPr>
          </w:p>
        </w:tc>
      </w:tr>
      <w:tr w14:paraId="2D9963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55" w:hRule="atLeast"/>
        </w:trPr>
        <w:tc>
          <w:tcPr>
            <w:tcW w:w="1139" w:type="dxa"/>
            <w:vMerge w:val="continue"/>
            <w:tcBorders>
              <w:top w:val="single" w:color="auto" w:sz="4" w:space="0"/>
              <w:left w:val="single" w:color="auto" w:sz="4" w:space="0"/>
              <w:bottom w:val="nil"/>
              <w:right w:val="single" w:color="auto" w:sz="4" w:space="0"/>
            </w:tcBorders>
            <w:noWrap w:val="0"/>
            <w:vAlign w:val="center"/>
          </w:tcPr>
          <w:p w14:paraId="3C619A41">
            <w:pPr>
              <w:widowControl/>
              <w:jc w:val="left"/>
              <w:rPr>
                <w:rFonts w:ascii="仿宋_GB2312" w:eastAsia="仿宋_GB2312"/>
                <w:b/>
              </w:rPr>
            </w:pPr>
          </w:p>
        </w:tc>
        <w:tc>
          <w:tcPr>
            <w:tcW w:w="1841" w:type="dxa"/>
            <w:gridSpan w:val="3"/>
            <w:tcBorders>
              <w:top w:val="single" w:color="auto" w:sz="4" w:space="0"/>
              <w:left w:val="single" w:color="auto" w:sz="4" w:space="0"/>
              <w:bottom w:val="single" w:color="auto" w:sz="4" w:space="0"/>
              <w:right w:val="single" w:color="auto" w:sz="4" w:space="0"/>
            </w:tcBorders>
            <w:noWrap w:val="0"/>
            <w:vAlign w:val="center"/>
          </w:tcPr>
          <w:p w14:paraId="6957C616">
            <w:pPr>
              <w:adjustRightInd w:val="0"/>
              <w:snapToGrid w:val="0"/>
              <w:rPr>
                <w:rFonts w:ascii="仿宋_GB2312" w:eastAsia="仿宋_GB2312"/>
                <w:bCs/>
                <w:szCs w:val="21"/>
              </w:rPr>
            </w:pPr>
            <w:r>
              <w:rPr>
                <w:rFonts w:hint="eastAsia" w:ascii="仿宋_GB2312" w:eastAsia="仿宋_GB2312"/>
                <w:bCs/>
                <w:szCs w:val="21"/>
              </w:rPr>
              <w:t>转让数量（元）</w:t>
            </w:r>
          </w:p>
        </w:tc>
        <w:tc>
          <w:tcPr>
            <w:tcW w:w="2767" w:type="dxa"/>
            <w:gridSpan w:val="3"/>
            <w:tcBorders>
              <w:top w:val="single" w:color="auto" w:sz="4" w:space="0"/>
              <w:left w:val="single" w:color="auto" w:sz="4" w:space="0"/>
              <w:bottom w:val="single" w:color="auto" w:sz="4" w:space="0"/>
              <w:right w:val="single" w:color="auto" w:sz="4" w:space="0"/>
            </w:tcBorders>
            <w:noWrap w:val="0"/>
            <w:vAlign w:val="center"/>
          </w:tcPr>
          <w:p w14:paraId="04882D8E">
            <w:pPr>
              <w:adjustRightInd w:val="0"/>
              <w:snapToGrid w:val="0"/>
              <w:rPr>
                <w:rFonts w:ascii="仿宋_GB2312" w:eastAsia="仿宋_GB2312"/>
                <w:bCs/>
                <w:szCs w:val="21"/>
              </w:rPr>
            </w:pPr>
            <w:r>
              <w:rPr>
                <w:rFonts w:hint="eastAsia" w:ascii="仿宋_GB2312" w:eastAsia="仿宋_GB2312"/>
                <w:bCs/>
                <w:color w:val="BEBEBE"/>
                <w:szCs w:val="21"/>
              </w:rPr>
              <w:t>张数×100</w:t>
            </w:r>
          </w:p>
        </w:tc>
        <w:tc>
          <w:tcPr>
            <w:tcW w:w="1813" w:type="dxa"/>
            <w:gridSpan w:val="4"/>
            <w:tcBorders>
              <w:top w:val="single" w:color="auto" w:sz="4" w:space="0"/>
              <w:left w:val="single" w:color="auto" w:sz="4" w:space="0"/>
              <w:bottom w:val="single" w:color="auto" w:sz="4" w:space="0"/>
              <w:right w:val="single" w:color="auto" w:sz="4" w:space="0"/>
            </w:tcBorders>
            <w:noWrap w:val="0"/>
            <w:vAlign w:val="center"/>
          </w:tcPr>
          <w:p w14:paraId="3EB299D6">
            <w:pPr>
              <w:adjustRightInd w:val="0"/>
              <w:snapToGrid w:val="0"/>
              <w:rPr>
                <w:rFonts w:ascii="仿宋_GB2312" w:eastAsia="仿宋_GB2312"/>
                <w:bCs/>
                <w:szCs w:val="21"/>
              </w:rPr>
            </w:pPr>
            <w:r>
              <w:rPr>
                <w:rFonts w:hint="eastAsia" w:ascii="仿宋_GB2312" w:eastAsia="仿宋_GB2312"/>
                <w:bCs/>
                <w:szCs w:val="21"/>
              </w:rPr>
              <w:t>每元转让价格（元）</w:t>
            </w:r>
          </w:p>
        </w:tc>
        <w:tc>
          <w:tcPr>
            <w:tcW w:w="2340" w:type="dxa"/>
            <w:gridSpan w:val="5"/>
            <w:tcBorders>
              <w:top w:val="single" w:color="auto" w:sz="4" w:space="0"/>
              <w:left w:val="single" w:color="auto" w:sz="4" w:space="0"/>
              <w:bottom w:val="single" w:color="auto" w:sz="4" w:space="0"/>
              <w:right w:val="single" w:color="auto" w:sz="4" w:space="0"/>
            </w:tcBorders>
            <w:noWrap w:val="0"/>
            <w:vAlign w:val="center"/>
          </w:tcPr>
          <w:p w14:paraId="5E88B911">
            <w:pPr>
              <w:adjustRightInd w:val="0"/>
              <w:snapToGrid w:val="0"/>
              <w:rPr>
                <w:rFonts w:hint="eastAsia" w:ascii="仿宋_GB2312" w:eastAsia="仿宋_GB2312"/>
                <w:bCs/>
                <w:color w:val="BEBEBE"/>
                <w:szCs w:val="21"/>
              </w:rPr>
            </w:pPr>
            <w:r>
              <w:rPr>
                <w:rFonts w:hint="eastAsia" w:ascii="仿宋_GB2312" w:eastAsia="仿宋_GB2312"/>
                <w:bCs/>
                <w:color w:val="BEBEBE"/>
                <w:szCs w:val="21"/>
              </w:rPr>
              <w:t>每张成交价格/100</w:t>
            </w:r>
          </w:p>
          <w:p w14:paraId="73BA617D">
            <w:pPr>
              <w:adjustRightInd w:val="0"/>
              <w:snapToGrid w:val="0"/>
              <w:rPr>
                <w:rFonts w:ascii="仿宋_GB2312" w:eastAsia="仿宋_GB2312"/>
                <w:bCs/>
                <w:szCs w:val="21"/>
              </w:rPr>
            </w:pPr>
            <w:r>
              <w:rPr>
                <w:rFonts w:hint="eastAsia" w:ascii="仿宋_GB2312" w:eastAsia="仿宋_GB2312"/>
                <w:bCs/>
                <w:color w:val="BEBEBE"/>
                <w:szCs w:val="21"/>
              </w:rPr>
              <w:t>(四舍五入，不超过5位小数)</w:t>
            </w:r>
          </w:p>
        </w:tc>
      </w:tr>
      <w:tr w14:paraId="625E22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579" w:hRule="atLeast"/>
        </w:trPr>
        <w:tc>
          <w:tcPr>
            <w:tcW w:w="1139" w:type="dxa"/>
            <w:tcBorders>
              <w:top w:val="single" w:color="auto" w:sz="4" w:space="0"/>
              <w:left w:val="single" w:color="auto" w:sz="4" w:space="0"/>
              <w:bottom w:val="single" w:color="auto" w:sz="4" w:space="0"/>
              <w:right w:val="single" w:color="auto" w:sz="4" w:space="0"/>
            </w:tcBorders>
            <w:noWrap w:val="0"/>
            <w:textDirection w:val="tbRlV"/>
            <w:vAlign w:val="center"/>
          </w:tcPr>
          <w:p w14:paraId="2EDEB444">
            <w:pPr>
              <w:adjustRightInd w:val="0"/>
              <w:snapToGrid w:val="0"/>
              <w:spacing w:line="240" w:lineRule="exact"/>
              <w:ind w:left="113" w:right="113"/>
              <w:jc w:val="center"/>
              <w:rPr>
                <w:rFonts w:hint="eastAsia" w:ascii="黑体" w:eastAsia="黑体"/>
                <w:b/>
              </w:rPr>
            </w:pPr>
            <w:r>
              <w:rPr>
                <w:rFonts w:hint="eastAsia" w:ascii="黑体" w:eastAsia="黑体"/>
                <w:b/>
              </w:rPr>
              <w:t>申请文件</w:t>
            </w:r>
          </w:p>
          <w:p w14:paraId="1D64C556">
            <w:pPr>
              <w:adjustRightInd w:val="0"/>
              <w:snapToGrid w:val="0"/>
              <w:spacing w:line="240" w:lineRule="exact"/>
              <w:ind w:left="113" w:right="113"/>
              <w:jc w:val="center"/>
              <w:rPr>
                <w:rFonts w:ascii="黑体" w:eastAsia="黑体"/>
                <w:b/>
              </w:rPr>
            </w:pPr>
            <w:r>
              <w:rPr>
                <w:rFonts w:hint="eastAsia" w:ascii="黑体" w:eastAsia="黑体"/>
                <w:b/>
              </w:rPr>
              <w:t>申请人提交的</w:t>
            </w:r>
          </w:p>
        </w:tc>
        <w:tc>
          <w:tcPr>
            <w:tcW w:w="8761" w:type="dxa"/>
            <w:gridSpan w:val="15"/>
            <w:tcBorders>
              <w:top w:val="nil"/>
              <w:left w:val="single" w:color="auto" w:sz="4" w:space="0"/>
              <w:bottom w:val="single" w:color="auto" w:sz="4" w:space="0"/>
              <w:right w:val="single" w:color="auto" w:sz="4" w:space="0"/>
            </w:tcBorders>
            <w:noWrap w:val="0"/>
            <w:vAlign w:val="center"/>
          </w:tcPr>
          <w:p w14:paraId="2AF5BE93">
            <w:pPr>
              <w:adjustRightInd w:val="0"/>
              <w:snapToGrid w:val="0"/>
              <w:spacing w:line="240" w:lineRule="exact"/>
              <w:rPr>
                <w:rFonts w:ascii="仿宋_GB2312" w:eastAsia="仿宋_GB2312"/>
              </w:rPr>
            </w:pPr>
            <w:r>
              <w:rPr>
                <w:rFonts w:hint="eastAsia" w:ascii="仿宋_GB2312" w:hAnsi="宋体" w:eastAsia="仿宋_GB2312"/>
                <w:bCs/>
                <w:szCs w:val="21"/>
              </w:rPr>
              <w:sym w:font="Wingdings" w:char="F0FE"/>
            </w:r>
            <w:r>
              <w:rPr>
                <w:rFonts w:hint="eastAsia" w:ascii="仿宋_GB2312" w:eastAsia="仿宋_GB2312"/>
              </w:rPr>
              <w:t>1、转让双方营业执照及复印件；</w:t>
            </w:r>
          </w:p>
          <w:p w14:paraId="019542E8">
            <w:pPr>
              <w:adjustRightInd w:val="0"/>
              <w:snapToGrid w:val="0"/>
              <w:spacing w:line="240" w:lineRule="exact"/>
              <w:rPr>
                <w:rFonts w:ascii="仿宋_GB2312" w:eastAsia="仿宋_GB2312"/>
              </w:rPr>
            </w:pPr>
            <w:r>
              <w:rPr>
                <w:rFonts w:ascii="仿宋_GB2312" w:hAnsi="宋体" w:eastAsia="仿宋_GB2312"/>
                <w:bCs/>
                <w:szCs w:val="21"/>
              </w:rPr>
              <w:sym w:font="Wingdings" w:char="F0FE"/>
            </w:r>
            <w:r>
              <w:rPr>
                <w:rFonts w:hint="eastAsia" w:ascii="仿宋_GB2312" w:eastAsia="仿宋_GB2312"/>
              </w:rPr>
              <w:t>2、转让双方法定代表人证明书及身份证复印件和授权委托书（加盖法定代表人签章）；</w:t>
            </w:r>
          </w:p>
          <w:p w14:paraId="0FF80950">
            <w:pPr>
              <w:adjustRightInd w:val="0"/>
              <w:snapToGrid w:val="0"/>
              <w:spacing w:line="240" w:lineRule="exact"/>
              <w:rPr>
                <w:rFonts w:hint="eastAsia" w:ascii="仿宋_GB2312" w:eastAsia="仿宋_GB2312"/>
              </w:rPr>
            </w:pPr>
            <w:r>
              <w:rPr>
                <w:rFonts w:ascii="仿宋_GB2312" w:hAnsi="宋体" w:eastAsia="仿宋_GB2312"/>
                <w:bCs/>
                <w:szCs w:val="21"/>
              </w:rPr>
              <w:sym w:font="Wingdings" w:char="F0FE"/>
            </w:r>
            <w:r>
              <w:rPr>
                <w:rFonts w:hint="eastAsia" w:ascii="仿宋_GB2312" w:eastAsia="仿宋_GB2312"/>
              </w:rPr>
              <w:t>3、转让双方经办人身份证及复印件；</w:t>
            </w:r>
          </w:p>
          <w:p w14:paraId="1F4BCC88">
            <w:pPr>
              <w:adjustRightInd w:val="0"/>
              <w:snapToGrid w:val="0"/>
              <w:spacing w:line="240" w:lineRule="exact"/>
              <w:rPr>
                <w:rFonts w:hint="eastAsia" w:ascii="仿宋_GB2312" w:eastAsia="仿宋_GB2312"/>
              </w:rPr>
            </w:pPr>
            <w:r>
              <w:rPr>
                <w:rFonts w:ascii="仿宋_GB2312" w:hAnsi="宋体" w:eastAsia="仿宋_GB2312"/>
                <w:bCs/>
                <w:szCs w:val="21"/>
              </w:rPr>
              <w:sym w:font="Wingdings" w:char="F0FE"/>
            </w:r>
            <w:r>
              <w:rPr>
                <w:rFonts w:hint="eastAsia" w:ascii="仿宋_GB2312" w:eastAsia="仿宋_GB2312"/>
              </w:rPr>
              <w:t>4、转让双方的证券账户卡；</w:t>
            </w:r>
          </w:p>
          <w:p w14:paraId="00A14F71">
            <w:pPr>
              <w:adjustRightInd w:val="0"/>
              <w:snapToGrid w:val="0"/>
              <w:spacing w:line="240" w:lineRule="exact"/>
              <w:rPr>
                <w:rFonts w:ascii="仿宋_GB2312" w:eastAsia="仿宋_GB2312"/>
              </w:rPr>
            </w:pPr>
            <w:r>
              <w:rPr>
                <w:rFonts w:ascii="仿宋_GB2312" w:hAnsi="宋体" w:eastAsia="仿宋_GB2312"/>
                <w:bCs/>
                <w:szCs w:val="21"/>
              </w:rPr>
              <w:sym w:font="Wingdings" w:char="F0FE"/>
            </w:r>
            <w:r>
              <w:rPr>
                <w:rFonts w:hint="eastAsia" w:ascii="仿宋_GB2312" w:eastAsia="仿宋_GB2312"/>
              </w:rPr>
              <w:t>5、转让协议或归属证明；</w:t>
            </w:r>
          </w:p>
          <w:p w14:paraId="5367A6C5">
            <w:pPr>
              <w:adjustRightInd w:val="0"/>
              <w:snapToGrid w:val="0"/>
              <w:spacing w:line="240" w:lineRule="exact"/>
              <w:jc w:val="left"/>
              <w:rPr>
                <w:rStyle w:val="156"/>
                <w:rFonts w:ascii="仿宋_GB2312" w:eastAsia="仿宋_GB2312"/>
              </w:rPr>
            </w:pPr>
            <w:r>
              <w:rPr>
                <w:rFonts w:ascii="仿宋_GB2312" w:hAnsi="宋体" w:eastAsia="仿宋_GB2312"/>
                <w:bCs/>
                <w:szCs w:val="21"/>
              </w:rPr>
              <w:sym w:font="Wingdings" w:char="F0FE"/>
            </w:r>
            <w:r>
              <w:rPr>
                <w:rFonts w:hint="eastAsia" w:ascii="仿宋_GB2312" w:eastAsia="仿宋_GB2312"/>
              </w:rPr>
              <w:t>6、本所要求提交的其他文件。</w:t>
            </w:r>
          </w:p>
        </w:tc>
      </w:tr>
      <w:tr w14:paraId="70288E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837" w:hRule="atLeast"/>
        </w:trPr>
        <w:tc>
          <w:tcPr>
            <w:tcW w:w="1139" w:type="dxa"/>
            <w:tcBorders>
              <w:top w:val="single" w:color="auto" w:sz="4" w:space="0"/>
              <w:left w:val="single" w:color="auto" w:sz="4" w:space="0"/>
              <w:bottom w:val="single" w:color="auto" w:sz="4" w:space="0"/>
              <w:right w:val="single" w:color="auto" w:sz="4" w:space="0"/>
            </w:tcBorders>
            <w:noWrap w:val="0"/>
            <w:textDirection w:val="tbRlV"/>
            <w:vAlign w:val="center"/>
          </w:tcPr>
          <w:p w14:paraId="279385B8">
            <w:pPr>
              <w:adjustRightInd w:val="0"/>
              <w:snapToGrid w:val="0"/>
              <w:ind w:left="113" w:right="113"/>
              <w:jc w:val="center"/>
              <w:rPr>
                <w:rFonts w:ascii="黑体" w:eastAsia="黑体"/>
                <w:b/>
                <w:szCs w:val="21"/>
              </w:rPr>
            </w:pPr>
            <w:r>
              <w:rPr>
                <w:rFonts w:hint="eastAsia" w:ascii="黑体" w:eastAsia="黑体"/>
                <w:b/>
                <w:szCs w:val="21"/>
              </w:rPr>
              <w:t>申请人承诺</w:t>
            </w:r>
          </w:p>
        </w:tc>
        <w:tc>
          <w:tcPr>
            <w:tcW w:w="8761" w:type="dxa"/>
            <w:gridSpan w:val="15"/>
            <w:tcBorders>
              <w:top w:val="single" w:color="auto" w:sz="4" w:space="0"/>
              <w:left w:val="single" w:color="auto" w:sz="4" w:space="0"/>
              <w:bottom w:val="single" w:color="auto" w:sz="4" w:space="0"/>
              <w:right w:val="single" w:color="auto" w:sz="4" w:space="0"/>
            </w:tcBorders>
            <w:noWrap w:val="0"/>
            <w:vAlign w:val="center"/>
          </w:tcPr>
          <w:p w14:paraId="6A12E698">
            <w:pPr>
              <w:widowControl/>
              <w:spacing w:before="100" w:beforeAutospacing="1" w:after="100" w:afterAutospacing="1"/>
              <w:jc w:val="left"/>
              <w:rPr>
                <w:rStyle w:val="156"/>
                <w:rFonts w:ascii="黑体" w:hAnsi="宋体" w:eastAsia="宋体" w:cs="宋体"/>
                <w:kern w:val="0"/>
                <w:sz w:val="24"/>
                <w:szCs w:val="24"/>
                <w:lang w:val="en-US" w:eastAsia="en-US" w:bidi="en-US"/>
              </w:rPr>
            </w:pPr>
            <w:r>
              <w:rPr>
                <w:rStyle w:val="156"/>
                <w:rFonts w:ascii="黑体" w:hAnsi="Times New Roman" w:eastAsia="宋体" w:cs="Times New Roman"/>
                <w:b/>
                <w:bCs/>
                <w:kern w:val="2"/>
                <w:lang w:val="en-US" w:eastAsia="zh-CN" w:bidi="ar-SA"/>
              </w:rPr>
              <w:t>申请人承诺</w:t>
            </w:r>
            <w:r>
              <w:rPr>
                <w:rStyle w:val="156"/>
                <w:rFonts w:ascii="黑体" w:hAnsi="Times New Roman" w:eastAsia="宋体" w:cs="Times New Roman"/>
                <w:kern w:val="2"/>
                <w:lang w:val="en-US" w:eastAsia="zh-CN" w:bidi="ar-SA"/>
              </w:rPr>
              <w:t>：</w:t>
            </w:r>
          </w:p>
          <w:p w14:paraId="65415727">
            <w:pPr>
              <w:widowControl/>
              <w:spacing w:before="100" w:beforeAutospacing="1" w:after="100" w:afterAutospacing="1" w:line="240" w:lineRule="exact"/>
              <w:ind w:firstLine="420" w:firstLineChars="200"/>
              <w:jc w:val="left"/>
              <w:rPr>
                <w:rFonts w:hint="eastAsia" w:ascii="宋体" w:hAnsi="Times New Roman" w:eastAsia="宋体" w:cs="Times New Roman"/>
                <w:bCs/>
                <w:kern w:val="2"/>
                <w:sz w:val="24"/>
                <w:szCs w:val="24"/>
                <w:lang w:val="en-US" w:eastAsia="en-US" w:bidi="en-US"/>
              </w:rPr>
            </w:pPr>
            <w:r>
              <w:rPr>
                <w:rFonts w:hint="eastAsia" w:ascii="Times New Roman" w:hAnsi="Times New Roman" w:eastAsia="宋体" w:cs="Times New Roman"/>
                <w:bCs/>
                <w:kern w:val="2"/>
                <w:sz w:val="21"/>
                <w:szCs w:val="20"/>
                <w:lang w:val="en-US" w:eastAsia="en-US" w:bidi="en-US"/>
              </w:rPr>
              <w:t>为保证非交易过户业务的完成，申请人将自愿遵守上海证券交易所及中国证券登记结算有限责任公司上海分公司的要求，如实提供相关材料、保证所陈述的过户事由属实，并承担由于上述非交易过户可能引发的一切连带责任。</w:t>
            </w:r>
          </w:p>
          <w:p w14:paraId="3AA2A776">
            <w:pPr>
              <w:widowControl/>
              <w:spacing w:before="100" w:beforeAutospacing="1" w:after="100" w:afterAutospacing="1" w:line="240" w:lineRule="exact"/>
              <w:ind w:firstLine="480" w:firstLineChars="200"/>
              <w:jc w:val="left"/>
              <w:rPr>
                <w:rFonts w:hint="eastAsia" w:ascii="宋体" w:hAnsi="Times New Roman" w:eastAsia="宋体" w:cs="Times New Roman"/>
                <w:bCs/>
                <w:kern w:val="2"/>
                <w:sz w:val="24"/>
                <w:szCs w:val="24"/>
                <w:lang w:val="en-US" w:eastAsia="en-US" w:bidi="en-US"/>
              </w:rPr>
            </w:pPr>
          </w:p>
          <w:p w14:paraId="18605FEE">
            <w:pPr>
              <w:adjustRightInd w:val="0"/>
              <w:snapToGrid w:val="0"/>
              <w:spacing w:line="300" w:lineRule="exact"/>
              <w:rPr>
                <w:rFonts w:hint="eastAsia" w:ascii="仿宋_GB2312" w:eastAsia="仿宋_GB2312"/>
                <w:bCs/>
                <w:color w:val="000000"/>
                <w:szCs w:val="21"/>
              </w:rPr>
            </w:pPr>
            <w:r>
              <w:rPr>
                <w:rFonts w:hint="eastAsia" w:eastAsia="宋体"/>
                <w:bCs/>
              </w:rPr>
              <w:t>过</w:t>
            </w:r>
            <w:r>
              <w:rPr>
                <w:rFonts w:eastAsia="宋体"/>
                <w:bCs/>
              </w:rPr>
              <w:t>出</w:t>
            </w:r>
            <w:r>
              <w:rPr>
                <w:rFonts w:hint="eastAsia" w:eastAsia="宋体"/>
                <w:bCs/>
              </w:rPr>
              <w:t>方</w:t>
            </w:r>
            <w:r>
              <w:rPr>
                <w:rFonts w:eastAsia="宋体"/>
                <w:bCs/>
              </w:rPr>
              <w:t>或其授权代表</w:t>
            </w:r>
            <w:r>
              <w:rPr>
                <w:rFonts w:hint="eastAsia" w:ascii="仿宋_GB2312" w:eastAsia="仿宋_GB2312"/>
                <w:bCs/>
                <w:color w:val="000000"/>
                <w:szCs w:val="21"/>
              </w:rPr>
              <w:t xml:space="preserve">（签章）                 过入方或其授权代表（签章）  </w:t>
            </w:r>
          </w:p>
          <w:p w14:paraId="728B0FD3">
            <w:pPr>
              <w:spacing w:line="240" w:lineRule="exact"/>
              <w:rPr>
                <w:rFonts w:hint="eastAsia" w:eastAsia="宋体"/>
                <w:bCs/>
              </w:rPr>
            </w:pPr>
          </w:p>
          <w:p w14:paraId="413085C8">
            <w:pPr>
              <w:adjustRightInd w:val="0"/>
              <w:snapToGrid w:val="0"/>
              <w:spacing w:line="300" w:lineRule="exact"/>
              <w:rPr>
                <w:rFonts w:ascii="仿宋_GB2312" w:eastAsia="仿宋_GB2312"/>
                <w:bCs/>
                <w:color w:val="000000"/>
                <w:szCs w:val="21"/>
              </w:rPr>
            </w:pPr>
          </w:p>
          <w:p w14:paraId="42842E8E">
            <w:pPr>
              <w:adjustRightInd w:val="0"/>
              <w:snapToGrid w:val="0"/>
              <w:spacing w:line="300" w:lineRule="exact"/>
              <w:ind w:right="420" w:firstLine="2415" w:firstLineChars="1150"/>
              <w:rPr>
                <w:rFonts w:hint="eastAsia" w:ascii="仿宋_GB2312" w:eastAsia="仿宋_GB2312"/>
                <w:bCs/>
                <w:color w:val="000000"/>
                <w:szCs w:val="21"/>
              </w:rPr>
            </w:pPr>
            <w:r>
              <w:rPr>
                <w:rFonts w:hint="eastAsia" w:ascii="仿宋_GB2312" w:eastAsia="仿宋_GB2312"/>
                <w:bCs/>
                <w:color w:val="000000"/>
                <w:szCs w:val="21"/>
              </w:rPr>
              <w:t>年   月   日                              年   月   日</w:t>
            </w:r>
          </w:p>
        </w:tc>
      </w:tr>
      <w:tr w14:paraId="13F289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765" w:hRule="atLeast"/>
        </w:trPr>
        <w:tc>
          <w:tcPr>
            <w:tcW w:w="1139" w:type="dxa"/>
            <w:tcBorders>
              <w:top w:val="single" w:color="auto" w:sz="4" w:space="0"/>
              <w:left w:val="single" w:color="auto" w:sz="4" w:space="0"/>
              <w:bottom w:val="single" w:color="auto" w:sz="4" w:space="0"/>
              <w:right w:val="single" w:color="auto" w:sz="4" w:space="0"/>
            </w:tcBorders>
            <w:noWrap w:val="0"/>
            <w:textDirection w:val="tbRlV"/>
            <w:vAlign w:val="center"/>
          </w:tcPr>
          <w:p w14:paraId="7A98A8C5">
            <w:pPr>
              <w:adjustRightInd w:val="0"/>
              <w:snapToGrid w:val="0"/>
              <w:ind w:left="113" w:right="113"/>
              <w:jc w:val="center"/>
              <w:rPr>
                <w:rFonts w:hint="eastAsia" w:ascii="黑体" w:eastAsia="黑体"/>
                <w:b/>
              </w:rPr>
            </w:pPr>
            <w:r>
              <w:rPr>
                <w:rFonts w:hint="eastAsia" w:ascii="黑体" w:eastAsia="黑体"/>
                <w:b/>
              </w:rPr>
              <w:t>确认意见</w:t>
            </w:r>
          </w:p>
          <w:p w14:paraId="498BB80B">
            <w:pPr>
              <w:adjustRightInd w:val="0"/>
              <w:snapToGrid w:val="0"/>
              <w:ind w:left="113" w:right="113"/>
              <w:jc w:val="center"/>
              <w:rPr>
                <w:rFonts w:ascii="仿宋_GB2312" w:eastAsia="仿宋_GB2312"/>
                <w:b/>
                <w:szCs w:val="21"/>
              </w:rPr>
            </w:pPr>
            <w:r>
              <w:rPr>
                <w:rFonts w:hint="eastAsia" w:ascii="黑体" w:eastAsia="黑体"/>
                <w:b/>
              </w:rPr>
              <w:t>上证所债券部</w:t>
            </w:r>
          </w:p>
        </w:tc>
        <w:tc>
          <w:tcPr>
            <w:tcW w:w="8761" w:type="dxa"/>
            <w:gridSpan w:val="15"/>
            <w:tcBorders>
              <w:top w:val="single" w:color="auto" w:sz="4" w:space="0"/>
              <w:left w:val="single" w:color="auto" w:sz="4" w:space="0"/>
              <w:bottom w:val="single" w:color="auto" w:sz="4" w:space="0"/>
            </w:tcBorders>
            <w:noWrap w:val="0"/>
            <w:vAlign w:val="center"/>
          </w:tcPr>
          <w:p w14:paraId="6327516A">
            <w:pPr>
              <w:widowControl/>
              <w:spacing w:before="100" w:beforeAutospacing="1" w:after="100" w:afterAutospacing="1" w:line="240" w:lineRule="exact"/>
              <w:ind w:firstLine="480" w:firstLineChars="200"/>
              <w:jc w:val="left"/>
              <w:rPr>
                <w:rFonts w:hint="eastAsia" w:ascii="Times New Roman" w:hAnsi="Times New Roman" w:eastAsia="宋体" w:cs="Times New Roman"/>
                <w:bCs/>
                <w:kern w:val="2"/>
                <w:sz w:val="24"/>
                <w:szCs w:val="20"/>
                <w:lang w:val="en-US" w:eastAsia="en-US" w:bidi="en-US"/>
              </w:rPr>
            </w:pPr>
            <w:r>
              <w:rPr>
                <w:rFonts w:hint="eastAsia" w:ascii="Times New Roman" w:hAnsi="Times New Roman" w:eastAsia="宋体" w:cs="Times New Roman"/>
                <w:bCs/>
                <w:kern w:val="2"/>
                <w:sz w:val="24"/>
                <w:szCs w:val="20"/>
                <w:lang w:val="en-US" w:eastAsia="en-US" w:bidi="en-US"/>
              </w:rPr>
              <w:t>经审阅，我部对上述转让信息无异议，请贵司协助办理相关转让事宜。</w:t>
            </w:r>
          </w:p>
          <w:p w14:paraId="67F8F070">
            <w:pPr>
              <w:adjustRightInd w:val="0"/>
              <w:snapToGrid w:val="0"/>
              <w:ind w:firstLine="630" w:firstLineChars="300"/>
              <w:rPr>
                <w:rFonts w:hint="eastAsia" w:ascii="仿宋_GB2312" w:eastAsia="仿宋_GB2312"/>
                <w:bCs/>
                <w:color w:val="000000"/>
                <w:szCs w:val="21"/>
              </w:rPr>
            </w:pPr>
            <w:r>
              <w:rPr>
                <w:rFonts w:hint="eastAsia" w:ascii="仿宋_GB2312" w:eastAsia="仿宋_GB2312"/>
                <w:bCs/>
                <w:color w:val="000000"/>
                <w:szCs w:val="21"/>
              </w:rPr>
              <w:t xml:space="preserve">初审人：               复核人： </w:t>
            </w:r>
          </w:p>
          <w:p w14:paraId="4C0913A9">
            <w:pPr>
              <w:adjustRightInd w:val="0"/>
              <w:snapToGrid w:val="0"/>
              <w:rPr>
                <w:rFonts w:hint="eastAsia" w:ascii="仿宋_GB2312" w:eastAsia="仿宋_GB2312"/>
                <w:bCs/>
                <w:color w:val="000000"/>
                <w:szCs w:val="21"/>
              </w:rPr>
            </w:pPr>
            <w:r>
              <w:rPr>
                <w:rFonts w:hint="eastAsia" w:ascii="仿宋_GB2312" w:eastAsia="仿宋_GB2312"/>
                <w:bCs/>
                <w:color w:val="000000"/>
                <w:szCs w:val="21"/>
              </w:rPr>
              <w:t xml:space="preserve">                                                                 年   月   日                                                            </w:t>
            </w:r>
          </w:p>
        </w:tc>
      </w:tr>
    </w:tbl>
    <w:p w14:paraId="020332BE">
      <w:pPr>
        <w:adjustRightInd w:val="0"/>
        <w:snapToGrid w:val="0"/>
        <w:spacing w:line="260" w:lineRule="exact"/>
        <w:rPr>
          <w:rFonts w:ascii="仿宋_GB2312" w:eastAsia="仿宋_GB2312"/>
          <w:szCs w:val="21"/>
        </w:rPr>
      </w:pPr>
      <w:r>
        <w:rPr>
          <w:rFonts w:hint="eastAsia" w:ascii="仿宋_GB2312" w:eastAsia="仿宋_GB2312"/>
          <w:szCs w:val="21"/>
        </w:rPr>
        <w:t>注：1、本表中“申请人承诺”栏及以上由申请人员填写；</w:t>
      </w:r>
    </w:p>
    <w:p w14:paraId="12C4E84D">
      <w:pPr>
        <w:spacing w:line="260" w:lineRule="exact"/>
        <w:ind w:firstLine="420" w:firstLineChars="200"/>
        <w:rPr>
          <w:rFonts w:hint="eastAsia" w:ascii="仿宋_GB2312" w:eastAsia="仿宋_GB2312"/>
          <w:szCs w:val="21"/>
        </w:rPr>
      </w:pPr>
      <w:r>
        <w:rPr>
          <w:rFonts w:hint="eastAsia" w:ascii="仿宋_GB2312" w:eastAsia="仿宋_GB2312"/>
          <w:szCs w:val="21"/>
        </w:rPr>
        <w:t>2、本表自本所债券部签字确认之日起三十日内有效。逾期未办理的，须重新申请。</w:t>
      </w:r>
    </w:p>
    <w:p w14:paraId="4391378C">
      <w:pPr>
        <w:spacing w:line="260" w:lineRule="exact"/>
        <w:ind w:firstLine="420" w:firstLineChars="200"/>
        <w:rPr>
          <w:rFonts w:hint="eastAsia" w:ascii="仿宋_GB2312" w:eastAsia="仿宋_GB2312"/>
          <w:szCs w:val="21"/>
        </w:rPr>
      </w:pPr>
      <w:r>
        <w:rPr>
          <w:rFonts w:hint="eastAsia" w:ascii="仿宋_GB2312" w:eastAsia="仿宋_GB2312"/>
          <w:szCs w:val="21"/>
        </w:rPr>
        <w:t>3、本表原件与中国结算公司上海分公司收到的信息核对一致，方可办理过户手续。</w:t>
      </w:r>
    </w:p>
    <w:p w14:paraId="5C11095D">
      <w:pPr>
        <w:spacing w:after="156" w:afterLines="50" w:line="560" w:lineRule="exact"/>
        <w:ind w:firstLine="600" w:firstLineChars="200"/>
        <w:rPr>
          <w:rFonts w:hint="eastAsia" w:ascii="Times New Roman" w:eastAsia="仿宋_GB2312"/>
          <w:sz w:val="30"/>
          <w:szCs w:val="30"/>
        </w:rPr>
      </w:pPr>
      <w:r>
        <w:rPr>
          <w:rFonts w:hint="eastAsia" w:ascii="Times New Roman" w:eastAsia="仿宋_GB2312"/>
          <w:sz w:val="30"/>
          <w:szCs w:val="30"/>
        </w:rPr>
        <w:br w:type="page"/>
      </w:r>
    </w:p>
    <w:p w14:paraId="50A532D6">
      <w:pPr>
        <w:widowControl/>
        <w:spacing w:beforeLines="-2147483648" w:afterLines="-2147483648" w:line="240" w:lineRule="auto"/>
        <w:ind w:firstLine="0" w:firstLineChars="0"/>
        <w:jc w:val="left"/>
        <w:outlineLvl w:val="1"/>
        <w:rPr>
          <w:rFonts w:hint="eastAsia" w:ascii="仿宋_GB2312" w:hAnsi="黑体" w:eastAsia="仿宋_GB2312"/>
          <w:b/>
          <w:sz w:val="30"/>
          <w:szCs w:val="30"/>
        </w:rPr>
      </w:pPr>
      <w:bookmarkStart w:id="4034" w:name="_Toc26948"/>
      <w:bookmarkStart w:id="4035" w:name="_Toc309394423"/>
      <w:bookmarkStart w:id="4036" w:name="_Toc22165"/>
      <w:bookmarkStart w:id="4037" w:name="_Toc15300"/>
      <w:bookmarkStart w:id="4038" w:name="_Toc998715501"/>
      <w:bookmarkStart w:id="4039" w:name="_Toc2058949173"/>
      <w:bookmarkStart w:id="4040" w:name="_Toc14552"/>
      <w:bookmarkStart w:id="4041" w:name="_Toc23707"/>
      <w:bookmarkStart w:id="4042" w:name="_Toc1639837925"/>
      <w:bookmarkStart w:id="4043" w:name="_Toc3306"/>
      <w:bookmarkStart w:id="4044" w:name="_Toc12395"/>
      <w:bookmarkStart w:id="4045" w:name="_Toc7633"/>
      <w:bookmarkStart w:id="4046" w:name="_Toc1319736936"/>
      <w:r>
        <w:rPr>
          <w:rFonts w:hint="eastAsia" w:ascii="仿宋_GB2312" w:hAnsi="黑体" w:eastAsia="仿宋_GB2312"/>
          <w:b/>
          <w:sz w:val="30"/>
          <w:szCs w:val="30"/>
        </w:rPr>
        <w:t>附件</w:t>
      </w:r>
      <w:r>
        <w:rPr>
          <w:rFonts w:hint="eastAsia" w:ascii="仿宋_GB2312" w:hAnsi="黑体" w:eastAsia="仿宋_GB2312"/>
          <w:b/>
          <w:sz w:val="30"/>
          <w:szCs w:val="30"/>
          <w:lang w:val="en-US" w:eastAsia="zh-CN"/>
        </w:rPr>
        <w:t>41</w:t>
      </w:r>
      <w:r>
        <w:rPr>
          <w:rFonts w:hint="eastAsia" w:ascii="仿宋_GB2312" w:hAnsi="黑体" w:eastAsia="仿宋_GB2312"/>
          <w:b/>
          <w:sz w:val="30"/>
          <w:szCs w:val="30"/>
        </w:rPr>
        <w:t xml:space="preserve"> 关于债券非交易过户的申请</w:t>
      </w:r>
      <w:bookmarkEnd w:id="4034"/>
      <w:bookmarkEnd w:id="4035"/>
      <w:bookmarkEnd w:id="4036"/>
      <w:bookmarkEnd w:id="4037"/>
      <w:bookmarkEnd w:id="4038"/>
      <w:bookmarkEnd w:id="4039"/>
      <w:bookmarkEnd w:id="4040"/>
      <w:bookmarkEnd w:id="4041"/>
      <w:bookmarkEnd w:id="4042"/>
      <w:bookmarkEnd w:id="4043"/>
      <w:bookmarkEnd w:id="4044"/>
      <w:bookmarkEnd w:id="4045"/>
      <w:bookmarkEnd w:id="4046"/>
    </w:p>
    <w:p w14:paraId="4A8F781B">
      <w:pPr>
        <w:widowControl/>
        <w:spacing w:after="156" w:afterLines="50" w:line="560" w:lineRule="exact"/>
        <w:ind w:firstLine="0" w:firstLineChars="0"/>
        <w:jc w:val="center"/>
        <w:rPr>
          <w:rFonts w:hint="eastAsia" w:ascii="Times New Roman" w:hAnsi="Times New Roman" w:eastAsia="仿宋_GB2312" w:cs="Times New Roman"/>
          <w:kern w:val="2"/>
          <w:sz w:val="30"/>
          <w:szCs w:val="30"/>
          <w:lang w:val="en-US" w:eastAsia="zh-CN" w:bidi="ar-SA"/>
        </w:rPr>
      </w:pPr>
      <w:r>
        <w:rPr>
          <w:rFonts w:hint="eastAsia" w:ascii="Times New Roman" w:hAnsi="Times New Roman" w:eastAsia="仿宋_GB2312" w:cs="Times New Roman"/>
          <w:b w:val="0"/>
          <w:bCs w:val="0"/>
          <w:kern w:val="2"/>
          <w:sz w:val="30"/>
          <w:szCs w:val="30"/>
          <w:lang w:val="en-US" w:eastAsia="zh-CN" w:bidi="ar-SA"/>
        </w:rPr>
        <w:t>关于债券非交易过户的申请</w:t>
      </w:r>
    </w:p>
    <w:p w14:paraId="61920A6E">
      <w:pPr>
        <w:spacing w:beforeLines="-2147483648" w:after="156" w:afterLines="50" w:line="560" w:lineRule="exact"/>
        <w:ind w:firstLine="0" w:firstLineChars="0"/>
        <w:rPr>
          <w:rFonts w:hint="eastAsia" w:ascii="Times New Roman" w:hAnsi="Times New Roman" w:eastAsia="仿宋_GB2312" w:cs="Times New Roman"/>
          <w:sz w:val="30"/>
          <w:szCs w:val="30"/>
        </w:rPr>
      </w:pPr>
      <w:r>
        <w:rPr>
          <w:rFonts w:hint="eastAsia" w:ascii="Times New Roman" w:hAnsi="Times New Roman" w:eastAsia="仿宋_GB2312" w:cs="Times New Roman"/>
          <w:sz w:val="30"/>
          <w:szCs w:val="30"/>
        </w:rPr>
        <w:t>上海证券交易所、中国证券登记结算有限责任公司上海分公司：</w:t>
      </w:r>
    </w:p>
    <w:p w14:paraId="3ACA348D">
      <w:pPr>
        <w:spacing w:beforeLines="-2147483648" w:after="156" w:afterLines="50" w:line="560" w:lineRule="exact"/>
        <w:ind w:firstLine="600" w:firstLineChars="200"/>
        <w:rPr>
          <w:rFonts w:hint="eastAsia" w:ascii="Times New Roman" w:hAnsi="Times New Roman" w:eastAsia="仿宋_GB2312" w:cs="Times New Roman"/>
          <w:sz w:val="30"/>
          <w:szCs w:val="30"/>
        </w:rPr>
      </w:pPr>
      <w:r>
        <w:rPr>
          <w:rFonts w:hint="eastAsia" w:ascii="Times New Roman" w:hAnsi="Times New Roman" w:eastAsia="仿宋_GB2312" w:cs="Times New Roman"/>
          <w:sz w:val="30"/>
          <w:szCs w:val="30"/>
        </w:rPr>
        <w:t>鉴于**原因，导致     情况的发生。现经双方协商一致，拟采取将**债券**</w:t>
      </w:r>
      <w:r>
        <w:rPr>
          <w:rFonts w:hint="eastAsia" w:ascii="Times New Roman" w:hAnsi="Times New Roman" w:eastAsia="仿宋_GB2312" w:cs="Times New Roman"/>
          <w:sz w:val="30"/>
          <w:szCs w:val="30"/>
          <w:lang w:eastAsia="zh-CN"/>
        </w:rPr>
        <w:t>（张数</w:t>
      </w:r>
      <w:r>
        <w:rPr>
          <w:rFonts w:hint="eastAsia" w:ascii="Times New Roman" w:hAnsi="Times New Roman" w:eastAsia="仿宋_GB2312" w:cs="Times New Roman"/>
          <w:sz w:val="30"/>
          <w:szCs w:val="30"/>
          <w:lang w:val="en-US" w:eastAsia="zh-CN"/>
        </w:rPr>
        <w:t>×100</w:t>
      </w:r>
      <w:r>
        <w:rPr>
          <w:rFonts w:hint="eastAsia" w:ascii="Times New Roman" w:hAnsi="Times New Roman" w:eastAsia="仿宋_GB2312" w:cs="Times New Roman"/>
          <w:sz w:val="30"/>
          <w:szCs w:val="30"/>
          <w:lang w:eastAsia="zh-CN"/>
        </w:rPr>
        <w:t>）</w:t>
      </w:r>
      <w:r>
        <w:rPr>
          <w:rFonts w:hint="eastAsia" w:ascii="Times New Roman" w:hAnsi="Times New Roman" w:eastAsia="仿宋_GB2312" w:cs="Times New Roman"/>
          <w:sz w:val="30"/>
          <w:szCs w:val="30"/>
        </w:rPr>
        <w:t>元</w:t>
      </w:r>
      <w:r>
        <w:rPr>
          <w:rFonts w:hint="eastAsia" w:ascii="Times New Roman" w:hAnsi="Times New Roman" w:eastAsia="仿宋_GB2312" w:cs="Times New Roman"/>
          <w:sz w:val="30"/>
          <w:szCs w:val="30"/>
          <w:lang w:eastAsia="zh-CN"/>
        </w:rPr>
        <w:t>（若面值非</w:t>
      </w:r>
      <w:r>
        <w:rPr>
          <w:rFonts w:hint="eastAsia" w:ascii="Times New Roman" w:hAnsi="Times New Roman" w:eastAsia="仿宋_GB2312" w:cs="Times New Roman"/>
          <w:sz w:val="30"/>
          <w:szCs w:val="30"/>
          <w:lang w:val="en-US" w:eastAsia="zh-CN"/>
        </w:rPr>
        <w:t>100，请备注：合XX张，每张面值XX元</w:t>
      </w:r>
      <w:r>
        <w:rPr>
          <w:rFonts w:hint="eastAsia" w:ascii="Times New Roman" w:hAnsi="Times New Roman" w:eastAsia="仿宋_GB2312" w:cs="Times New Roman"/>
          <w:sz w:val="30"/>
          <w:szCs w:val="30"/>
          <w:lang w:eastAsia="zh-CN"/>
        </w:rPr>
        <w:t>）</w:t>
      </w:r>
      <w:r>
        <w:rPr>
          <w:rFonts w:hint="eastAsia" w:ascii="Times New Roman" w:hAnsi="Times New Roman" w:eastAsia="仿宋_GB2312" w:cs="Times New Roman"/>
          <w:sz w:val="30"/>
          <w:szCs w:val="30"/>
        </w:rPr>
        <w:t>以非交易过户方式从**方过户给**方，过户要素及双方账户信息如下：</w:t>
      </w:r>
    </w:p>
    <w:tbl>
      <w:tblPr>
        <w:tblStyle w:val="43"/>
        <w:tblW w:w="83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66"/>
        <w:gridCol w:w="1017"/>
        <w:gridCol w:w="1815"/>
        <w:gridCol w:w="3690"/>
      </w:tblGrid>
      <w:tr w14:paraId="40CF5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exact"/>
        </w:trPr>
        <w:tc>
          <w:tcPr>
            <w:tcW w:w="1866" w:type="dxa"/>
            <w:tcBorders>
              <w:top w:val="single" w:color="auto" w:sz="4" w:space="0"/>
              <w:left w:val="single" w:color="auto" w:sz="4" w:space="0"/>
              <w:bottom w:val="single" w:color="auto" w:sz="4" w:space="0"/>
              <w:right w:val="single" w:color="auto" w:sz="4" w:space="0"/>
            </w:tcBorders>
          </w:tcPr>
          <w:p w14:paraId="719F9393">
            <w:pPr>
              <w:spacing w:line="300" w:lineRule="auto"/>
              <w:rPr>
                <w:rFonts w:eastAsia="宋体"/>
              </w:rPr>
            </w:pPr>
          </w:p>
        </w:tc>
        <w:tc>
          <w:tcPr>
            <w:tcW w:w="1017" w:type="dxa"/>
            <w:tcBorders>
              <w:top w:val="single" w:color="auto" w:sz="4" w:space="0"/>
              <w:left w:val="single" w:color="auto" w:sz="4" w:space="0"/>
              <w:bottom w:val="single" w:color="auto" w:sz="4" w:space="0"/>
              <w:right w:val="single" w:color="auto" w:sz="4" w:space="0"/>
            </w:tcBorders>
          </w:tcPr>
          <w:p w14:paraId="22659DBA">
            <w:pPr>
              <w:spacing w:line="300" w:lineRule="auto"/>
              <w:rPr>
                <w:rFonts w:eastAsia="宋体"/>
              </w:rPr>
            </w:pPr>
          </w:p>
        </w:tc>
        <w:tc>
          <w:tcPr>
            <w:tcW w:w="1815" w:type="dxa"/>
            <w:tcBorders>
              <w:top w:val="single" w:color="auto" w:sz="4" w:space="0"/>
              <w:left w:val="single" w:color="auto" w:sz="4" w:space="0"/>
              <w:bottom w:val="single" w:color="auto" w:sz="4" w:space="0"/>
              <w:right w:val="single" w:color="auto" w:sz="4" w:space="0"/>
            </w:tcBorders>
          </w:tcPr>
          <w:p w14:paraId="41895917">
            <w:pPr>
              <w:spacing w:line="300" w:lineRule="auto"/>
              <w:rPr>
                <w:rFonts w:eastAsia="宋体"/>
              </w:rPr>
            </w:pPr>
          </w:p>
        </w:tc>
        <w:tc>
          <w:tcPr>
            <w:tcW w:w="3690" w:type="dxa"/>
            <w:tcBorders>
              <w:top w:val="single" w:color="auto" w:sz="4" w:space="0"/>
              <w:left w:val="single" w:color="auto" w:sz="4" w:space="0"/>
              <w:bottom w:val="single" w:color="auto" w:sz="4" w:space="0"/>
              <w:right w:val="single" w:color="auto" w:sz="4" w:space="0"/>
            </w:tcBorders>
          </w:tcPr>
          <w:p w14:paraId="6BC102EB">
            <w:pPr>
              <w:spacing w:line="300" w:lineRule="auto"/>
              <w:rPr>
                <w:rFonts w:eastAsia="宋体"/>
              </w:rPr>
            </w:pPr>
          </w:p>
        </w:tc>
      </w:tr>
      <w:tr w14:paraId="74A46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6522" w:type="dxa"/>
        </w:trPr>
        <w:tc>
          <w:tcPr>
            <w:tcW w:w="1866" w:type="dxa"/>
            <w:tcBorders>
              <w:top w:val="single" w:color="auto" w:sz="4" w:space="0"/>
              <w:left w:val="single" w:color="auto" w:sz="4" w:space="0"/>
              <w:bottom w:val="single" w:color="auto" w:sz="4" w:space="0"/>
              <w:right w:val="single" w:color="auto" w:sz="4" w:space="0"/>
            </w:tcBorders>
          </w:tcPr>
          <w:p w14:paraId="38503FFA">
            <w:pPr>
              <w:spacing w:line="300" w:lineRule="auto"/>
              <w:rPr>
                <w:rFonts w:eastAsia="宋体"/>
                <w:b/>
              </w:rPr>
            </w:pPr>
            <w:r>
              <w:rPr>
                <w:rFonts w:hint="eastAsia" w:eastAsia="宋体"/>
                <w:b/>
              </w:rPr>
              <w:t>非交易过户要素</w:t>
            </w:r>
          </w:p>
        </w:tc>
      </w:tr>
      <w:tr w14:paraId="2CAB8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6" w:type="dxa"/>
            <w:tcBorders>
              <w:top w:val="single" w:color="auto" w:sz="4" w:space="0"/>
              <w:left w:val="single" w:color="auto" w:sz="4" w:space="0"/>
              <w:bottom w:val="single" w:color="auto" w:sz="4" w:space="0"/>
              <w:right w:val="single" w:color="auto" w:sz="4" w:space="0"/>
            </w:tcBorders>
          </w:tcPr>
          <w:p w14:paraId="783AE27B">
            <w:pPr>
              <w:spacing w:line="300" w:lineRule="auto"/>
              <w:rPr>
                <w:rFonts w:eastAsia="宋体"/>
              </w:rPr>
            </w:pPr>
            <w:r>
              <w:rPr>
                <w:rFonts w:hint="eastAsia" w:eastAsia="宋体"/>
              </w:rPr>
              <w:t>债券名称</w:t>
            </w:r>
          </w:p>
        </w:tc>
        <w:tc>
          <w:tcPr>
            <w:tcW w:w="1017" w:type="dxa"/>
            <w:tcBorders>
              <w:top w:val="single" w:color="auto" w:sz="4" w:space="0"/>
              <w:left w:val="single" w:color="auto" w:sz="4" w:space="0"/>
              <w:bottom w:val="single" w:color="auto" w:sz="4" w:space="0"/>
              <w:right w:val="single" w:color="auto" w:sz="4" w:space="0"/>
            </w:tcBorders>
          </w:tcPr>
          <w:p w14:paraId="737EC903">
            <w:pPr>
              <w:spacing w:line="300" w:lineRule="auto"/>
              <w:rPr>
                <w:rFonts w:eastAsia="宋体"/>
              </w:rPr>
            </w:pPr>
          </w:p>
        </w:tc>
        <w:tc>
          <w:tcPr>
            <w:tcW w:w="1815" w:type="dxa"/>
            <w:tcBorders>
              <w:top w:val="single" w:color="auto" w:sz="4" w:space="0"/>
              <w:left w:val="single" w:color="auto" w:sz="4" w:space="0"/>
              <w:bottom w:val="single" w:color="auto" w:sz="4" w:space="0"/>
              <w:right w:val="single" w:color="auto" w:sz="4" w:space="0"/>
            </w:tcBorders>
          </w:tcPr>
          <w:p w14:paraId="5FDC2DB7">
            <w:pPr>
              <w:spacing w:line="300" w:lineRule="auto"/>
              <w:rPr>
                <w:rFonts w:eastAsia="宋体"/>
              </w:rPr>
            </w:pPr>
            <w:r>
              <w:rPr>
                <w:rFonts w:hint="eastAsia" w:eastAsia="宋体"/>
              </w:rPr>
              <w:t>过户数量（元）</w:t>
            </w:r>
          </w:p>
        </w:tc>
        <w:tc>
          <w:tcPr>
            <w:tcW w:w="3690" w:type="dxa"/>
            <w:tcBorders>
              <w:top w:val="single" w:color="auto" w:sz="4" w:space="0"/>
              <w:left w:val="single" w:color="auto" w:sz="4" w:space="0"/>
              <w:bottom w:val="single" w:color="auto" w:sz="4" w:space="0"/>
              <w:right w:val="single" w:color="auto" w:sz="4" w:space="0"/>
            </w:tcBorders>
          </w:tcPr>
          <w:p w14:paraId="01813C5D">
            <w:pPr>
              <w:spacing w:line="300" w:lineRule="auto"/>
              <w:rPr>
                <w:rFonts w:eastAsia="宋体"/>
              </w:rPr>
            </w:pPr>
            <w:r>
              <w:rPr>
                <w:rFonts w:hint="eastAsia" w:eastAsia="宋体"/>
                <w:color w:val="BFBFBF" w:themeColor="background1" w:themeShade="BF"/>
                <w:sz w:val="24"/>
                <w:lang w:eastAsia="zh-CN"/>
              </w:rPr>
              <w:t>张数</w:t>
            </w:r>
            <w:r>
              <w:rPr>
                <w:rFonts w:hint="eastAsia" w:eastAsia="宋体"/>
                <w:color w:val="BFBFBF" w:themeColor="background1" w:themeShade="BF"/>
                <w:sz w:val="24"/>
                <w:lang w:val="en-US" w:eastAsia="zh-CN"/>
              </w:rPr>
              <w:t>×100（</w:t>
            </w:r>
            <w:r>
              <w:rPr>
                <w:rFonts w:hint="eastAsia" w:eastAsia="宋体"/>
                <w:sz w:val="24"/>
                <w:lang w:eastAsia="zh-CN"/>
              </w:rPr>
              <w:t>若面值非</w:t>
            </w:r>
            <w:r>
              <w:rPr>
                <w:rFonts w:hint="eastAsia" w:eastAsia="宋体"/>
                <w:sz w:val="24"/>
                <w:lang w:val="en-US" w:eastAsia="zh-CN"/>
              </w:rPr>
              <w:t>100，请备注：</w:t>
            </w:r>
            <w:r>
              <w:rPr>
                <w:rFonts w:hint="eastAsia" w:eastAsia="宋体"/>
                <w:color w:val="BFBFBF" w:themeColor="background1" w:themeShade="BF"/>
                <w:sz w:val="24"/>
                <w:lang w:val="en-US" w:eastAsia="zh-CN"/>
              </w:rPr>
              <w:t>合XX张，每张面值XX元）</w:t>
            </w:r>
          </w:p>
        </w:tc>
      </w:tr>
      <w:tr w14:paraId="569C5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6" w:type="dxa"/>
            <w:tcBorders>
              <w:top w:val="single" w:color="auto" w:sz="4" w:space="0"/>
              <w:left w:val="single" w:color="auto" w:sz="4" w:space="0"/>
              <w:bottom w:val="single" w:color="auto" w:sz="4" w:space="0"/>
              <w:right w:val="single" w:color="auto" w:sz="4" w:space="0"/>
            </w:tcBorders>
          </w:tcPr>
          <w:p w14:paraId="400197C3">
            <w:pPr>
              <w:spacing w:line="300" w:lineRule="auto"/>
              <w:rPr>
                <w:rFonts w:eastAsia="宋体"/>
              </w:rPr>
            </w:pPr>
            <w:r>
              <w:rPr>
                <w:rFonts w:hint="eastAsia" w:eastAsia="宋体"/>
              </w:rPr>
              <w:t>债券代码</w:t>
            </w:r>
          </w:p>
        </w:tc>
        <w:tc>
          <w:tcPr>
            <w:tcW w:w="1017" w:type="dxa"/>
            <w:tcBorders>
              <w:top w:val="single" w:color="auto" w:sz="4" w:space="0"/>
              <w:left w:val="single" w:color="auto" w:sz="4" w:space="0"/>
              <w:bottom w:val="single" w:color="auto" w:sz="4" w:space="0"/>
              <w:right w:val="single" w:color="auto" w:sz="4" w:space="0"/>
            </w:tcBorders>
          </w:tcPr>
          <w:p w14:paraId="11CB436A">
            <w:pPr>
              <w:spacing w:line="300" w:lineRule="auto"/>
              <w:rPr>
                <w:rFonts w:eastAsia="宋体"/>
              </w:rPr>
            </w:pPr>
          </w:p>
        </w:tc>
        <w:tc>
          <w:tcPr>
            <w:tcW w:w="1815" w:type="dxa"/>
            <w:tcBorders>
              <w:top w:val="single" w:color="auto" w:sz="4" w:space="0"/>
              <w:left w:val="single" w:color="auto" w:sz="4" w:space="0"/>
              <w:bottom w:val="single" w:color="auto" w:sz="4" w:space="0"/>
              <w:right w:val="single" w:color="auto" w:sz="4" w:space="0"/>
            </w:tcBorders>
          </w:tcPr>
          <w:p w14:paraId="31B1FAF1">
            <w:pPr>
              <w:spacing w:line="300" w:lineRule="auto"/>
              <w:rPr>
                <w:rFonts w:eastAsia="宋体"/>
              </w:rPr>
            </w:pPr>
            <w:r>
              <w:rPr>
                <w:rFonts w:hint="eastAsia" w:eastAsia="宋体"/>
              </w:rPr>
              <w:t>债券类别</w:t>
            </w:r>
          </w:p>
        </w:tc>
        <w:tc>
          <w:tcPr>
            <w:tcW w:w="3690" w:type="dxa"/>
            <w:tcBorders>
              <w:top w:val="single" w:color="auto" w:sz="4" w:space="0"/>
              <w:left w:val="single" w:color="auto" w:sz="4" w:space="0"/>
              <w:bottom w:val="single" w:color="auto" w:sz="4" w:space="0"/>
              <w:right w:val="single" w:color="auto" w:sz="4" w:space="0"/>
            </w:tcBorders>
          </w:tcPr>
          <w:p w14:paraId="04CAA23A">
            <w:pPr>
              <w:spacing w:line="300" w:lineRule="auto"/>
              <w:rPr>
                <w:rFonts w:eastAsia="宋体"/>
              </w:rPr>
            </w:pPr>
          </w:p>
        </w:tc>
      </w:tr>
      <w:tr w14:paraId="43169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6" w:type="dxa"/>
            <w:tcBorders>
              <w:top w:val="single" w:color="auto" w:sz="4" w:space="0"/>
              <w:left w:val="single" w:color="auto" w:sz="4" w:space="0"/>
              <w:bottom w:val="single" w:color="auto" w:sz="4" w:space="0"/>
              <w:right w:val="single" w:color="auto" w:sz="4" w:space="0"/>
            </w:tcBorders>
          </w:tcPr>
          <w:p w14:paraId="64B070CD">
            <w:pPr>
              <w:spacing w:line="300" w:lineRule="auto"/>
              <w:rPr>
                <w:rFonts w:eastAsia="宋体"/>
              </w:rPr>
            </w:pPr>
            <w:r>
              <w:rPr>
                <w:rFonts w:hint="eastAsia" w:eastAsia="宋体"/>
              </w:rPr>
              <w:t>过出方名称</w:t>
            </w:r>
          </w:p>
        </w:tc>
        <w:tc>
          <w:tcPr>
            <w:tcW w:w="1017" w:type="dxa"/>
            <w:tcBorders>
              <w:top w:val="single" w:color="auto" w:sz="4" w:space="0"/>
              <w:left w:val="single" w:color="auto" w:sz="4" w:space="0"/>
              <w:bottom w:val="single" w:color="auto" w:sz="4" w:space="0"/>
              <w:right w:val="single" w:color="auto" w:sz="4" w:space="0"/>
            </w:tcBorders>
          </w:tcPr>
          <w:p w14:paraId="215F2376">
            <w:pPr>
              <w:spacing w:line="300" w:lineRule="auto"/>
              <w:rPr>
                <w:rFonts w:eastAsia="宋体"/>
              </w:rPr>
            </w:pPr>
          </w:p>
        </w:tc>
        <w:tc>
          <w:tcPr>
            <w:tcW w:w="1815" w:type="dxa"/>
            <w:tcBorders>
              <w:top w:val="single" w:color="auto" w:sz="4" w:space="0"/>
              <w:left w:val="single" w:color="auto" w:sz="4" w:space="0"/>
              <w:bottom w:val="single" w:color="auto" w:sz="4" w:space="0"/>
              <w:right w:val="single" w:color="auto" w:sz="4" w:space="0"/>
            </w:tcBorders>
          </w:tcPr>
          <w:p w14:paraId="7E2DCF3A">
            <w:pPr>
              <w:spacing w:line="300" w:lineRule="auto"/>
              <w:rPr>
                <w:rFonts w:eastAsia="宋体"/>
              </w:rPr>
            </w:pPr>
            <w:r>
              <w:rPr>
                <w:rFonts w:hint="eastAsia" w:eastAsia="宋体"/>
              </w:rPr>
              <w:t>过出方证券账户</w:t>
            </w:r>
          </w:p>
        </w:tc>
        <w:tc>
          <w:tcPr>
            <w:tcW w:w="3690" w:type="dxa"/>
            <w:tcBorders>
              <w:top w:val="single" w:color="auto" w:sz="4" w:space="0"/>
              <w:left w:val="single" w:color="auto" w:sz="4" w:space="0"/>
              <w:bottom w:val="single" w:color="auto" w:sz="4" w:space="0"/>
              <w:right w:val="single" w:color="auto" w:sz="4" w:space="0"/>
            </w:tcBorders>
          </w:tcPr>
          <w:p w14:paraId="46B031AA">
            <w:pPr>
              <w:spacing w:line="300" w:lineRule="auto"/>
              <w:rPr>
                <w:rFonts w:eastAsia="宋体"/>
              </w:rPr>
            </w:pPr>
          </w:p>
        </w:tc>
      </w:tr>
      <w:tr w14:paraId="279DC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6" w:type="dxa"/>
            <w:tcBorders>
              <w:top w:val="single" w:color="auto" w:sz="4" w:space="0"/>
              <w:left w:val="single" w:color="auto" w:sz="4" w:space="0"/>
              <w:bottom w:val="single" w:color="auto" w:sz="4" w:space="0"/>
              <w:right w:val="single" w:color="auto" w:sz="4" w:space="0"/>
            </w:tcBorders>
          </w:tcPr>
          <w:p w14:paraId="2815C633">
            <w:pPr>
              <w:spacing w:line="300" w:lineRule="auto"/>
              <w:rPr>
                <w:rFonts w:eastAsia="宋体"/>
              </w:rPr>
            </w:pPr>
            <w:r>
              <w:rPr>
                <w:rFonts w:hint="eastAsia" w:eastAsia="宋体"/>
              </w:rPr>
              <w:t>过入方名称</w:t>
            </w:r>
          </w:p>
        </w:tc>
        <w:tc>
          <w:tcPr>
            <w:tcW w:w="1017" w:type="dxa"/>
            <w:tcBorders>
              <w:top w:val="single" w:color="auto" w:sz="4" w:space="0"/>
              <w:left w:val="single" w:color="auto" w:sz="4" w:space="0"/>
              <w:bottom w:val="single" w:color="auto" w:sz="4" w:space="0"/>
              <w:right w:val="single" w:color="auto" w:sz="4" w:space="0"/>
            </w:tcBorders>
          </w:tcPr>
          <w:p w14:paraId="7558FD6A">
            <w:pPr>
              <w:spacing w:line="300" w:lineRule="auto"/>
              <w:rPr>
                <w:rFonts w:eastAsia="宋体"/>
              </w:rPr>
            </w:pPr>
          </w:p>
        </w:tc>
        <w:tc>
          <w:tcPr>
            <w:tcW w:w="1815" w:type="dxa"/>
            <w:tcBorders>
              <w:top w:val="single" w:color="auto" w:sz="4" w:space="0"/>
              <w:left w:val="single" w:color="auto" w:sz="4" w:space="0"/>
              <w:bottom w:val="single" w:color="auto" w:sz="4" w:space="0"/>
              <w:right w:val="single" w:color="auto" w:sz="4" w:space="0"/>
            </w:tcBorders>
          </w:tcPr>
          <w:p w14:paraId="70E0076E">
            <w:pPr>
              <w:spacing w:line="300" w:lineRule="auto"/>
              <w:rPr>
                <w:rFonts w:eastAsia="宋体"/>
              </w:rPr>
            </w:pPr>
            <w:r>
              <w:rPr>
                <w:rFonts w:hint="eastAsia" w:eastAsia="宋体"/>
              </w:rPr>
              <w:t>过入方证券账户</w:t>
            </w:r>
          </w:p>
        </w:tc>
        <w:tc>
          <w:tcPr>
            <w:tcW w:w="3690" w:type="dxa"/>
            <w:tcBorders>
              <w:top w:val="single" w:color="auto" w:sz="4" w:space="0"/>
              <w:left w:val="single" w:color="auto" w:sz="4" w:space="0"/>
              <w:bottom w:val="single" w:color="auto" w:sz="4" w:space="0"/>
              <w:right w:val="single" w:color="auto" w:sz="4" w:space="0"/>
            </w:tcBorders>
          </w:tcPr>
          <w:p w14:paraId="4E217532">
            <w:pPr>
              <w:spacing w:line="300" w:lineRule="auto"/>
              <w:rPr>
                <w:rFonts w:eastAsia="宋体"/>
              </w:rPr>
            </w:pPr>
          </w:p>
        </w:tc>
      </w:tr>
      <w:tr w14:paraId="24375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3" w:type="dxa"/>
            <w:gridSpan w:val="2"/>
            <w:tcBorders>
              <w:top w:val="single" w:color="auto" w:sz="4" w:space="0"/>
              <w:left w:val="single" w:color="auto" w:sz="4" w:space="0"/>
              <w:bottom w:val="single" w:color="auto" w:sz="4" w:space="0"/>
              <w:right w:val="single" w:color="auto" w:sz="4" w:space="0"/>
            </w:tcBorders>
          </w:tcPr>
          <w:p w14:paraId="6109A52E">
            <w:pPr>
              <w:spacing w:line="300" w:lineRule="auto"/>
              <w:rPr>
                <w:rFonts w:eastAsia="宋体"/>
              </w:rPr>
            </w:pPr>
            <w:r>
              <w:rPr>
                <w:rFonts w:hint="eastAsia" w:eastAsia="宋体"/>
              </w:rPr>
              <w:t>成交价格（每元面值）</w:t>
            </w:r>
          </w:p>
        </w:tc>
        <w:tc>
          <w:tcPr>
            <w:tcW w:w="5505" w:type="dxa"/>
            <w:gridSpan w:val="2"/>
            <w:tcBorders>
              <w:top w:val="single" w:color="auto" w:sz="4" w:space="0"/>
              <w:left w:val="single" w:color="auto" w:sz="4" w:space="0"/>
              <w:bottom w:val="single" w:color="auto" w:sz="4" w:space="0"/>
              <w:right w:val="single" w:color="auto" w:sz="4" w:space="0"/>
            </w:tcBorders>
          </w:tcPr>
          <w:p w14:paraId="6A22BBE2">
            <w:pPr>
              <w:spacing w:line="300" w:lineRule="auto"/>
              <w:rPr>
                <w:rFonts w:hint="default" w:eastAsia="宋体"/>
                <w:lang w:val="en-US"/>
              </w:rPr>
            </w:pPr>
            <w:r>
              <w:rPr>
                <w:rFonts w:hint="eastAsia" w:ascii="仿宋_GB2312" w:eastAsia="仿宋_GB2312"/>
                <w:bCs/>
                <w:color w:val="BFBFBF" w:themeColor="background1" w:themeShade="BF"/>
                <w:szCs w:val="21"/>
                <w:lang w:eastAsia="zh-CN"/>
              </w:rPr>
              <w:t>每张成交价格</w:t>
            </w:r>
            <w:r>
              <w:rPr>
                <w:rFonts w:hint="eastAsia" w:ascii="仿宋_GB2312" w:eastAsia="仿宋_GB2312"/>
                <w:bCs/>
                <w:color w:val="BFBFBF" w:themeColor="background1" w:themeShade="BF"/>
                <w:szCs w:val="21"/>
                <w:lang w:val="en-US" w:eastAsia="zh-CN"/>
              </w:rPr>
              <w:t>/100(</w:t>
            </w:r>
            <w:r>
              <w:rPr>
                <w:rFonts w:hint="eastAsia" w:ascii="仿宋_GB2312" w:eastAsia="仿宋_GB2312"/>
                <w:bCs/>
                <w:color w:val="BEBEBE"/>
                <w:szCs w:val="21"/>
                <w:lang w:val="en-US" w:eastAsia="zh-CN"/>
              </w:rPr>
              <w:t>四舍五入，不超过5位小数</w:t>
            </w:r>
            <w:r>
              <w:rPr>
                <w:rFonts w:hint="eastAsia" w:ascii="仿宋_GB2312" w:eastAsia="仿宋_GB2312"/>
                <w:bCs/>
                <w:color w:val="BFBFBF" w:themeColor="background1" w:themeShade="BF"/>
                <w:szCs w:val="21"/>
                <w:lang w:val="en-US" w:eastAsia="zh-CN"/>
              </w:rPr>
              <w:t>)</w:t>
            </w:r>
          </w:p>
        </w:tc>
      </w:tr>
    </w:tbl>
    <w:p w14:paraId="398DE6AF">
      <w:pPr>
        <w:spacing w:beforeLines="-2147483648" w:after="156" w:afterLines="50" w:line="560" w:lineRule="exact"/>
        <w:ind w:firstLine="600" w:firstLineChars="200"/>
        <w:rPr>
          <w:rFonts w:hint="eastAsia" w:ascii="Times New Roman" w:hAnsi="Times New Roman" w:eastAsia="仿宋_GB2312" w:cs="Times New Roman"/>
          <w:sz w:val="30"/>
          <w:szCs w:val="30"/>
        </w:rPr>
      </w:pPr>
      <w:r>
        <w:rPr>
          <w:rFonts w:hint="eastAsia" w:ascii="Times New Roman" w:hAnsi="Times New Roman" w:eastAsia="仿宋_GB2312" w:cs="Times New Roman"/>
          <w:sz w:val="30"/>
          <w:szCs w:val="30"/>
        </w:rPr>
        <w:t>为保证非交易过户业务的完成，申请人将自愿遵守上海证券交易所及中国证券登记结算有限责任公司上海分公司的要求，如实提供相关材料、保证所陈述的过户原因属实，并承担由于上述非交易过户可能引发的一切连带责任。</w:t>
      </w:r>
    </w:p>
    <w:p w14:paraId="59FC4440">
      <w:pPr>
        <w:spacing w:beforeLines="-2147483648" w:after="156" w:afterLines="50" w:line="560" w:lineRule="exact"/>
        <w:ind w:firstLine="600" w:firstLineChars="200"/>
        <w:rPr>
          <w:rFonts w:hint="eastAsia" w:ascii="Times New Roman" w:hAnsi="Times New Roman" w:eastAsia="仿宋_GB2312" w:cs="Times New Roman"/>
          <w:sz w:val="30"/>
          <w:szCs w:val="30"/>
        </w:rPr>
      </w:pPr>
    </w:p>
    <w:p w14:paraId="2A19BD95">
      <w:pPr>
        <w:spacing w:beforeLines="-2147483648" w:after="156" w:afterLines="50" w:line="560" w:lineRule="exact"/>
        <w:ind w:firstLine="600" w:firstLineChars="200"/>
        <w:rPr>
          <w:rFonts w:hint="eastAsia" w:ascii="Times New Roman" w:hAnsi="Times New Roman" w:eastAsia="仿宋_GB2312" w:cs="Times New Roman"/>
          <w:sz w:val="30"/>
          <w:szCs w:val="30"/>
        </w:rPr>
      </w:pPr>
      <w:r>
        <w:rPr>
          <w:rFonts w:hint="eastAsia" w:ascii="Times New Roman" w:hAnsi="Times New Roman" w:eastAsia="仿宋_GB2312" w:cs="Times New Roman"/>
          <w:sz w:val="30"/>
          <w:szCs w:val="30"/>
        </w:rPr>
        <w:t xml:space="preserve">过出方：                       </w:t>
      </w:r>
      <w:r>
        <w:rPr>
          <w:rFonts w:hint="eastAsia" w:ascii="Times New Roman" w:hAnsi="Times New Roman" w:eastAsia="仿宋_GB2312" w:cs="Times New Roman"/>
          <w:sz w:val="30"/>
          <w:szCs w:val="30"/>
          <w:lang w:val="en-US" w:eastAsia="zh-CN"/>
        </w:rPr>
        <w:t xml:space="preserve">   </w:t>
      </w:r>
      <w:r>
        <w:rPr>
          <w:rFonts w:hint="eastAsia" w:ascii="Times New Roman" w:hAnsi="Times New Roman" w:eastAsia="仿宋_GB2312" w:cs="Times New Roman"/>
          <w:sz w:val="30"/>
          <w:szCs w:val="30"/>
        </w:rPr>
        <w:t>过入方：</w:t>
      </w:r>
    </w:p>
    <w:p w14:paraId="4D99214C">
      <w:pPr>
        <w:spacing w:beforeLines="-2147483648" w:after="156" w:afterLines="50" w:line="560" w:lineRule="exact"/>
        <w:ind w:firstLine="0" w:firstLineChars="0"/>
        <w:rPr>
          <w:rFonts w:hint="eastAsia" w:ascii="Times New Roman" w:hAnsi="Times New Roman" w:eastAsia="仿宋_GB2312" w:cs="Times New Roman"/>
          <w:sz w:val="30"/>
          <w:szCs w:val="30"/>
        </w:rPr>
      </w:pPr>
      <w:r>
        <w:rPr>
          <w:rFonts w:hint="eastAsia" w:ascii="Times New Roman" w:hAnsi="Times New Roman" w:eastAsia="仿宋_GB2312" w:cs="Times New Roman"/>
          <w:sz w:val="30"/>
          <w:szCs w:val="30"/>
        </w:rPr>
        <w:t xml:space="preserve">单位公章 （或者个人签名）       </w:t>
      </w:r>
      <w:r>
        <w:rPr>
          <w:rFonts w:hint="eastAsia" w:ascii="Times New Roman" w:hAnsi="Times New Roman" w:eastAsia="仿宋_GB2312" w:cs="Times New Roman"/>
          <w:sz w:val="30"/>
          <w:szCs w:val="30"/>
          <w:lang w:val="en-US" w:eastAsia="zh-CN"/>
        </w:rPr>
        <w:t xml:space="preserve"> </w:t>
      </w:r>
      <w:r>
        <w:rPr>
          <w:rFonts w:hint="eastAsia" w:ascii="Times New Roman" w:hAnsi="Times New Roman" w:eastAsia="仿宋_GB2312" w:cs="Times New Roman"/>
          <w:sz w:val="30"/>
          <w:szCs w:val="30"/>
        </w:rPr>
        <w:t xml:space="preserve">单位公章 （或者个人签名） </w:t>
      </w:r>
    </w:p>
    <w:p w14:paraId="292967E7">
      <w:pPr>
        <w:spacing w:beforeLines="-2147483648" w:after="156" w:afterLines="50" w:line="560" w:lineRule="exact"/>
        <w:ind w:firstLine="300" w:firstLineChars="100"/>
        <w:rPr>
          <w:rFonts w:hint="eastAsia" w:ascii="Times New Roman" w:hAnsi="Times New Roman" w:eastAsia="仿宋_GB2312" w:cs="Times New Roman"/>
          <w:sz w:val="30"/>
          <w:szCs w:val="30"/>
        </w:rPr>
      </w:pPr>
      <w:r>
        <w:rPr>
          <w:rFonts w:hint="eastAsia" w:ascii="Times New Roman" w:hAnsi="Times New Roman" w:eastAsia="仿宋_GB2312" w:cs="Times New Roman"/>
          <w:sz w:val="30"/>
          <w:szCs w:val="30"/>
        </w:rPr>
        <w:t xml:space="preserve">法定代表人签章                  </w:t>
      </w:r>
      <w:r>
        <w:rPr>
          <w:rFonts w:hint="eastAsia" w:ascii="Times New Roman" w:hAnsi="Times New Roman" w:eastAsia="仿宋_GB2312" w:cs="Times New Roman"/>
          <w:sz w:val="30"/>
          <w:szCs w:val="30"/>
          <w:lang w:val="en-US" w:eastAsia="zh-CN"/>
        </w:rPr>
        <w:t xml:space="preserve"> </w:t>
      </w:r>
      <w:r>
        <w:rPr>
          <w:rFonts w:hint="eastAsia" w:ascii="Times New Roman" w:hAnsi="Times New Roman" w:eastAsia="仿宋_GB2312" w:cs="Times New Roman"/>
          <w:sz w:val="30"/>
          <w:szCs w:val="30"/>
        </w:rPr>
        <w:t xml:space="preserve"> 法定代表人签章  </w:t>
      </w:r>
    </w:p>
    <w:p w14:paraId="5BF7E2DE">
      <w:pPr>
        <w:spacing w:beforeLines="-2147483648" w:after="156" w:afterLines="50" w:line="560" w:lineRule="exact"/>
        <w:ind w:firstLine="600" w:firstLineChars="200"/>
        <w:rPr>
          <w:rFonts w:hint="eastAsia" w:ascii="Times New Roman" w:hAnsi="Times New Roman" w:eastAsia="仿宋_GB2312" w:cs="Times New Roman"/>
          <w:sz w:val="30"/>
          <w:szCs w:val="30"/>
        </w:rPr>
      </w:pPr>
      <w:r>
        <w:rPr>
          <w:rFonts w:hint="eastAsia" w:ascii="Times New Roman" w:hAnsi="Times New Roman" w:eastAsia="仿宋_GB2312" w:cs="Times New Roman"/>
          <w:sz w:val="30"/>
          <w:szCs w:val="30"/>
        </w:rPr>
        <w:t>年</w:t>
      </w:r>
      <w:r>
        <w:rPr>
          <w:rFonts w:hint="eastAsia" w:eastAsia="仿宋_GB2312" w:cs="Times New Roman"/>
          <w:sz w:val="30"/>
          <w:szCs w:val="30"/>
          <w:lang w:val="en-US" w:eastAsia="zh-CN"/>
        </w:rPr>
        <w:t xml:space="preserve">  </w:t>
      </w:r>
      <w:r>
        <w:rPr>
          <w:rFonts w:hint="eastAsia" w:ascii="Times New Roman" w:hAnsi="Times New Roman" w:eastAsia="仿宋_GB2312" w:cs="Times New Roman"/>
          <w:sz w:val="30"/>
          <w:szCs w:val="30"/>
        </w:rPr>
        <w:t>月</w:t>
      </w:r>
      <w:r>
        <w:rPr>
          <w:rFonts w:hint="eastAsia" w:eastAsia="仿宋_GB2312" w:cs="Times New Roman"/>
          <w:sz w:val="30"/>
          <w:szCs w:val="30"/>
          <w:lang w:val="en-US" w:eastAsia="zh-CN"/>
        </w:rPr>
        <w:t xml:space="preserve">  </w:t>
      </w:r>
      <w:r>
        <w:rPr>
          <w:rFonts w:hint="eastAsia" w:ascii="Times New Roman" w:hAnsi="Times New Roman" w:eastAsia="仿宋_GB2312" w:cs="Times New Roman"/>
          <w:sz w:val="30"/>
          <w:szCs w:val="30"/>
        </w:rPr>
        <w:t xml:space="preserve">日                         </w:t>
      </w:r>
      <w:r>
        <w:rPr>
          <w:rFonts w:hint="eastAsia" w:ascii="Times New Roman" w:hAnsi="Times New Roman" w:eastAsia="仿宋_GB2312" w:cs="Times New Roman"/>
          <w:sz w:val="30"/>
          <w:szCs w:val="30"/>
          <w:lang w:val="en-US" w:eastAsia="zh-CN"/>
        </w:rPr>
        <w:t xml:space="preserve">  </w:t>
      </w:r>
      <w:r>
        <w:rPr>
          <w:rFonts w:hint="eastAsia" w:ascii="Times New Roman" w:hAnsi="Times New Roman" w:eastAsia="仿宋_GB2312" w:cs="Times New Roman"/>
          <w:sz w:val="30"/>
          <w:szCs w:val="30"/>
        </w:rPr>
        <w:t>年</w:t>
      </w:r>
      <w:r>
        <w:rPr>
          <w:rFonts w:hint="eastAsia" w:eastAsia="仿宋_GB2312" w:cs="Times New Roman"/>
          <w:sz w:val="30"/>
          <w:szCs w:val="30"/>
          <w:lang w:val="en-US" w:eastAsia="zh-CN"/>
        </w:rPr>
        <w:t xml:space="preserve">  </w:t>
      </w:r>
      <w:r>
        <w:rPr>
          <w:rFonts w:hint="eastAsia" w:ascii="Times New Roman" w:hAnsi="Times New Roman" w:eastAsia="仿宋_GB2312" w:cs="Times New Roman"/>
          <w:sz w:val="30"/>
          <w:szCs w:val="30"/>
        </w:rPr>
        <w:t>月</w:t>
      </w:r>
      <w:r>
        <w:rPr>
          <w:rFonts w:hint="eastAsia" w:eastAsia="仿宋_GB2312" w:cs="Times New Roman"/>
          <w:sz w:val="30"/>
          <w:szCs w:val="30"/>
          <w:lang w:val="en-US" w:eastAsia="zh-CN"/>
        </w:rPr>
        <w:t xml:space="preserve"> </w:t>
      </w:r>
      <w:r>
        <w:rPr>
          <w:rFonts w:hint="eastAsia" w:ascii="Times New Roman" w:hAnsi="Times New Roman" w:eastAsia="仿宋_GB2312" w:cs="Times New Roman"/>
          <w:sz w:val="30"/>
          <w:szCs w:val="30"/>
        </w:rPr>
        <w:t>日</w:t>
      </w:r>
    </w:p>
    <w:p w14:paraId="7176A936">
      <w:pPr>
        <w:spacing w:beforeLines="-2147483648" w:afterLines="-2147483648" w:line="240" w:lineRule="auto"/>
        <w:ind w:firstLine="0" w:firstLineChars="0"/>
        <w:rPr>
          <w:rFonts w:hint="eastAsia" w:eastAsia="宋体"/>
          <w:sz w:val="24"/>
        </w:rPr>
      </w:pPr>
      <w:r>
        <w:rPr>
          <w:rFonts w:hint="eastAsia" w:eastAsia="宋体"/>
          <w:sz w:val="24"/>
        </w:rPr>
        <w:br w:type="page"/>
      </w:r>
    </w:p>
    <w:p w14:paraId="0C4AB322">
      <w:pPr>
        <w:widowControl/>
        <w:spacing w:beforeLines="-2147483648" w:afterLines="-2147483648" w:line="240" w:lineRule="auto"/>
        <w:ind w:firstLine="0" w:firstLineChars="0"/>
        <w:jc w:val="left"/>
        <w:outlineLvl w:val="1"/>
        <w:rPr>
          <w:rFonts w:hint="eastAsia" w:ascii="仿宋_GB2312" w:hAnsi="黑体" w:eastAsia="仿宋_GB2312"/>
          <w:b/>
          <w:sz w:val="30"/>
          <w:szCs w:val="30"/>
        </w:rPr>
      </w:pPr>
      <w:bookmarkStart w:id="4047" w:name="_Toc6767"/>
      <w:bookmarkStart w:id="4048" w:name="_Toc1226271238"/>
      <w:bookmarkStart w:id="4049" w:name="_Toc1398829643"/>
      <w:bookmarkStart w:id="4050" w:name="_Toc1537001823"/>
      <w:bookmarkStart w:id="4051" w:name="_Toc27226"/>
      <w:bookmarkStart w:id="4052" w:name="_Toc1933250745"/>
      <w:bookmarkStart w:id="4053" w:name="_Toc17055"/>
      <w:bookmarkStart w:id="4054" w:name="_Toc1934523525"/>
      <w:bookmarkStart w:id="4055" w:name="_Toc8167"/>
      <w:bookmarkStart w:id="4056" w:name="_Toc14724"/>
      <w:bookmarkStart w:id="4057" w:name="_Toc6581"/>
      <w:bookmarkStart w:id="4058" w:name="_Toc24339"/>
      <w:r>
        <w:rPr>
          <w:rFonts w:hint="eastAsia" w:ascii="仿宋_GB2312" w:hAnsi="黑体" w:eastAsia="仿宋_GB2312"/>
          <w:b/>
          <w:sz w:val="30"/>
          <w:szCs w:val="30"/>
        </w:rPr>
        <w:t>附件</w:t>
      </w:r>
      <w:r>
        <w:rPr>
          <w:rFonts w:hint="eastAsia" w:ascii="仿宋_GB2312" w:hAnsi="黑体" w:eastAsia="仿宋_GB2312"/>
          <w:b/>
          <w:sz w:val="30"/>
          <w:szCs w:val="30"/>
          <w:lang w:val="en-US" w:eastAsia="zh-CN"/>
        </w:rPr>
        <w:t>42</w:t>
      </w:r>
      <w:r>
        <w:rPr>
          <w:rFonts w:hint="eastAsia" w:ascii="仿宋_GB2312" w:hAnsi="黑体" w:eastAsia="仿宋_GB2312"/>
          <w:b/>
          <w:sz w:val="30"/>
          <w:szCs w:val="30"/>
        </w:rPr>
        <w:t xml:space="preserve"> 授权委托书</w:t>
      </w:r>
      <w:bookmarkEnd w:id="4047"/>
      <w:bookmarkEnd w:id="4048"/>
      <w:bookmarkEnd w:id="4049"/>
      <w:bookmarkEnd w:id="4050"/>
      <w:bookmarkEnd w:id="4051"/>
      <w:bookmarkEnd w:id="4052"/>
      <w:bookmarkEnd w:id="4053"/>
      <w:bookmarkEnd w:id="4054"/>
      <w:bookmarkEnd w:id="4055"/>
      <w:bookmarkEnd w:id="4056"/>
      <w:bookmarkEnd w:id="4057"/>
      <w:bookmarkEnd w:id="4058"/>
    </w:p>
    <w:p w14:paraId="45148E23">
      <w:pPr>
        <w:jc w:val="center"/>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rPr>
        <w:t>授权委托书</w:t>
      </w:r>
    </w:p>
    <w:p w14:paraId="53FA39CC">
      <w:pPr>
        <w:jc w:val="center"/>
        <w:rPr>
          <w:rFonts w:hint="eastAsia" w:ascii="仿宋_GB2312" w:hAnsi="仿宋_GB2312" w:eastAsia="仿宋_GB2312" w:cs="仿宋_GB2312"/>
          <w:b/>
          <w:color w:val="808080" w:themeColor="background1" w:themeShade="80"/>
          <w:sz w:val="30"/>
          <w:szCs w:val="30"/>
        </w:rPr>
      </w:pPr>
      <w:r>
        <w:rPr>
          <w:rFonts w:hint="eastAsia" w:ascii="仿宋_GB2312" w:hAnsi="仿宋_GB2312" w:eastAsia="仿宋_GB2312" w:cs="仿宋_GB2312"/>
          <w:b/>
          <w:color w:val="808080" w:themeColor="background1" w:themeShade="80"/>
          <w:sz w:val="30"/>
          <w:szCs w:val="30"/>
        </w:rPr>
        <w:t>（样张）</w:t>
      </w:r>
    </w:p>
    <w:p w14:paraId="09D7D41B">
      <w:pPr>
        <w:spacing w:line="360" w:lineRule="auto"/>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上海证券交易所、中国证券登记结算有限责任公司上海分公司：</w:t>
      </w:r>
    </w:p>
    <w:p w14:paraId="6CC55707">
      <w:pPr>
        <w:spacing w:line="360" w:lineRule="auto"/>
        <w:rPr>
          <w:rFonts w:hint="eastAsia" w:ascii="仿宋_GB2312" w:hAnsi="仿宋_GB2312" w:eastAsia="仿宋_GB2312" w:cs="仿宋_GB2312"/>
          <w:b/>
          <w:bCs/>
          <w:sz w:val="30"/>
          <w:szCs w:val="30"/>
        </w:rPr>
      </w:pPr>
    </w:p>
    <w:p w14:paraId="6CBFED82">
      <w:pPr>
        <w:spacing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我单位兹授权  </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（身份证号：</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）办理</w:t>
      </w:r>
      <w:r>
        <w:rPr>
          <w:rFonts w:hint="eastAsia" w:ascii="仿宋_GB2312" w:hAnsi="仿宋_GB2312" w:eastAsia="仿宋_GB2312" w:cs="仿宋_GB2312"/>
          <w:color w:val="808080" w:themeColor="background1" w:themeShade="80"/>
          <w:sz w:val="30"/>
          <w:szCs w:val="30"/>
          <w:u w:val="single"/>
        </w:rPr>
        <w:t>证券简称（证券代码）</w:t>
      </w:r>
      <w:r>
        <w:rPr>
          <w:rFonts w:hint="eastAsia" w:ascii="仿宋_GB2312" w:hAnsi="仿宋_GB2312" w:eastAsia="仿宋_GB2312" w:cs="仿宋_GB2312"/>
          <w:sz w:val="30"/>
          <w:szCs w:val="30"/>
        </w:rPr>
        <w:t>债券非交易过户相关业务。</w:t>
      </w:r>
    </w:p>
    <w:p w14:paraId="33FB6DDB">
      <w:pPr>
        <w:spacing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有效期限：自</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年</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月</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日至</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年</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月</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日</w:t>
      </w:r>
    </w:p>
    <w:p w14:paraId="5F3FFCB9">
      <w:pPr>
        <w:rPr>
          <w:rFonts w:hint="eastAsia" w:ascii="仿宋_GB2312" w:hAnsi="仿宋_GB2312" w:eastAsia="仿宋_GB2312" w:cs="仿宋_GB2312"/>
          <w:sz w:val="30"/>
          <w:szCs w:val="30"/>
        </w:rPr>
      </w:pPr>
    </w:p>
    <w:p w14:paraId="2CBB61AB">
      <w:pPr>
        <w:ind w:firstLine="4431" w:firstLineChars="1477"/>
        <w:rPr>
          <w:rFonts w:hint="eastAsia" w:ascii="仿宋_GB2312" w:hAnsi="仿宋_GB2312" w:eastAsia="仿宋_GB2312" w:cs="仿宋_GB2312"/>
          <w:sz w:val="30"/>
          <w:szCs w:val="30"/>
        </w:rPr>
      </w:pPr>
    </w:p>
    <w:p w14:paraId="227E0366">
      <w:pPr>
        <w:spacing w:line="36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授权人（法定代表人）：              被授权人： </w:t>
      </w:r>
    </w:p>
    <w:p w14:paraId="4DBF39D0">
      <w:pPr>
        <w:spacing w:line="360" w:lineRule="auto"/>
        <w:ind w:firstLine="600" w:firstLineChars="200"/>
        <w:rPr>
          <w:rFonts w:hint="eastAsia" w:ascii="仿宋_GB2312" w:hAnsi="仿宋_GB2312" w:eastAsia="仿宋_GB2312" w:cs="仿宋_GB2312"/>
          <w:sz w:val="30"/>
          <w:szCs w:val="30"/>
        </w:rPr>
      </w:pPr>
    </w:p>
    <w:p w14:paraId="4B753078">
      <w:pPr>
        <w:spacing w:line="360" w:lineRule="auto"/>
        <w:ind w:firstLine="5400" w:firstLineChars="1800"/>
        <w:rPr>
          <w:rFonts w:hint="eastAsia" w:ascii="仿宋_GB2312" w:hAnsi="仿宋_GB2312" w:eastAsia="仿宋_GB2312" w:cs="仿宋_GB2312"/>
          <w:sz w:val="30"/>
          <w:szCs w:val="30"/>
        </w:rPr>
      </w:pPr>
    </w:p>
    <w:p w14:paraId="59774DA7">
      <w:pPr>
        <w:spacing w:line="360" w:lineRule="auto"/>
        <w:ind w:firstLine="4200" w:firstLineChars="14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单位签章： </w:t>
      </w:r>
    </w:p>
    <w:p w14:paraId="0EE88FFF">
      <w:pPr>
        <w:spacing w:beforeLines="-2147483648" w:afterLines="-2147483648" w:line="560" w:lineRule="exact"/>
        <w:ind w:firstLine="5700" w:firstLineChars="19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年    月    日</w:t>
      </w:r>
    </w:p>
    <w:p w14:paraId="7848E263">
      <w:pPr>
        <w:spacing w:beforeLines="-2147483648" w:afterLines="-2147483648" w:line="240" w:lineRule="auto"/>
        <w:ind w:firstLine="0" w:firstLineChars="0"/>
        <w:rPr>
          <w:rFonts w:hint="eastAsia" w:eastAsia="宋体"/>
          <w:sz w:val="28"/>
        </w:rPr>
      </w:pPr>
      <w:r>
        <w:rPr>
          <w:rFonts w:hint="eastAsia" w:eastAsia="宋体"/>
          <w:sz w:val="28"/>
        </w:rPr>
        <w:br w:type="page"/>
      </w:r>
    </w:p>
    <w:p w14:paraId="18D725C4">
      <w:pPr>
        <w:widowControl/>
        <w:spacing w:beforeLines="-2147483648" w:afterLines="-2147483648" w:line="240" w:lineRule="auto"/>
        <w:ind w:firstLine="0" w:firstLineChars="0"/>
        <w:jc w:val="left"/>
        <w:outlineLvl w:val="1"/>
        <w:rPr>
          <w:rFonts w:hint="eastAsia" w:ascii="仿宋_GB2312" w:hAnsi="黑体" w:eastAsia="仿宋_GB2312"/>
          <w:b/>
          <w:sz w:val="30"/>
          <w:szCs w:val="30"/>
        </w:rPr>
      </w:pPr>
      <w:bookmarkStart w:id="4059" w:name="_Toc1685379475"/>
      <w:bookmarkStart w:id="4060" w:name="_Toc54291000"/>
      <w:bookmarkStart w:id="4061" w:name="_Toc9187"/>
      <w:bookmarkStart w:id="4062" w:name="_Toc833869448"/>
      <w:bookmarkStart w:id="4063" w:name="_Toc348304577"/>
      <w:bookmarkStart w:id="4064" w:name="_Toc3595"/>
      <w:bookmarkStart w:id="4065" w:name="_Toc15288"/>
      <w:bookmarkStart w:id="4066" w:name="_Toc27876"/>
      <w:bookmarkStart w:id="4067" w:name="_Toc1016567143"/>
      <w:bookmarkStart w:id="4068" w:name="_Toc108"/>
      <w:r>
        <w:rPr>
          <w:rFonts w:hint="eastAsia" w:ascii="仿宋_GB2312" w:hAnsi="黑体" w:eastAsia="仿宋_GB2312"/>
          <w:b/>
          <w:sz w:val="30"/>
          <w:szCs w:val="30"/>
        </w:rPr>
        <w:t>附件</w:t>
      </w:r>
      <w:r>
        <w:rPr>
          <w:rFonts w:hint="eastAsia" w:ascii="仿宋_GB2312" w:hAnsi="黑体" w:eastAsia="仿宋_GB2312"/>
          <w:b/>
          <w:sz w:val="30"/>
          <w:szCs w:val="30"/>
          <w:lang w:val="en-US" w:eastAsia="zh-CN"/>
        </w:rPr>
        <w:t>43</w:t>
      </w:r>
      <w:r>
        <w:rPr>
          <w:rFonts w:hint="eastAsia" w:ascii="仿宋_GB2312" w:hAnsi="黑体" w:eastAsia="仿宋_GB2312"/>
          <w:b/>
          <w:sz w:val="30"/>
          <w:szCs w:val="30"/>
        </w:rPr>
        <w:t xml:space="preserve"> 关于转让合规性核查的说明</w:t>
      </w:r>
      <w:bookmarkEnd w:id="4059"/>
      <w:bookmarkEnd w:id="4060"/>
      <w:bookmarkEnd w:id="4061"/>
      <w:bookmarkEnd w:id="4062"/>
      <w:bookmarkEnd w:id="4063"/>
      <w:bookmarkEnd w:id="4064"/>
      <w:bookmarkEnd w:id="4065"/>
      <w:bookmarkEnd w:id="4066"/>
      <w:bookmarkEnd w:id="4067"/>
      <w:bookmarkEnd w:id="4068"/>
    </w:p>
    <w:p w14:paraId="4EFC3C86">
      <w:pPr>
        <w:jc w:val="center"/>
        <w:rPr>
          <w:rFonts w:hint="eastAsia" w:ascii="仿宋_GB2312" w:hAnsi="仿宋_GB2312" w:eastAsia="仿宋_GB2312" w:cs="仿宋_GB2312"/>
          <w:b/>
          <w:bCs/>
          <w:sz w:val="30"/>
          <w:szCs w:val="30"/>
          <w:lang w:val="en-US" w:eastAsia="zh-CN"/>
        </w:rPr>
      </w:pPr>
    </w:p>
    <w:p w14:paraId="498FAF88">
      <w:pPr>
        <w:jc w:val="center"/>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b/>
          <w:bCs/>
          <w:sz w:val="30"/>
          <w:szCs w:val="30"/>
          <w:lang w:val="en-US" w:eastAsia="zh-CN"/>
        </w:rPr>
        <w:t>关于转让合规性核查的说明</w:t>
      </w:r>
    </w:p>
    <w:p w14:paraId="5EA6B533">
      <w:pPr>
        <w:jc w:val="center"/>
        <w:rPr>
          <w:rFonts w:hint="eastAsia" w:ascii="仿宋_GB2312" w:hAnsi="仿宋_GB2312" w:eastAsia="仿宋_GB2312" w:cs="仿宋_GB2312"/>
          <w:sz w:val="30"/>
          <w:szCs w:val="30"/>
          <w:lang w:val="en-US" w:eastAsia="zh-CN"/>
        </w:rPr>
      </w:pPr>
    </w:p>
    <w:p w14:paraId="3A7F8A3C">
      <w:pPr>
        <w:keepNext w:val="0"/>
        <w:keepLines w:val="0"/>
        <w:pageBreakBefore w:val="0"/>
        <w:widowControl/>
        <w:kinsoku/>
        <w:wordWrap/>
        <w:overflowPunct/>
        <w:topLinePunct w:val="0"/>
        <w:autoSpaceDE/>
        <w:autoSpaceDN/>
        <w:bidi w:val="0"/>
        <w:adjustRightInd/>
        <w:snapToGrid/>
        <w:spacing w:after="156" w:afterLines="50" w:line="560" w:lineRule="exact"/>
        <w:ind w:firstLine="600" w:firstLineChars="200"/>
        <w:jc w:val="left"/>
        <w:textAlignment w:val="auto"/>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___________________________（以下简称“发行人”）于_______年发行__________________________________（债券代码：_______，债券简称：_______），债券总规模_____亿元，期限____年，在第___年末附有投资人回售选择权。回售登记期内共有_____亿元（合_____张）申报回售行权，将于_______年____月____日兑付。</w:t>
      </w:r>
    </w:p>
    <w:p w14:paraId="2CEE684F">
      <w:pPr>
        <w:keepNext w:val="0"/>
        <w:keepLines w:val="0"/>
        <w:pageBreakBefore w:val="0"/>
        <w:widowControl/>
        <w:kinsoku/>
        <w:wordWrap/>
        <w:overflowPunct/>
        <w:topLinePunct w:val="0"/>
        <w:autoSpaceDE/>
        <w:autoSpaceDN/>
        <w:bidi w:val="0"/>
        <w:adjustRightInd/>
        <w:snapToGrid/>
        <w:spacing w:after="156" w:afterLines="50" w:line="560" w:lineRule="exact"/>
        <w:ind w:firstLine="600" w:firstLineChars="200"/>
        <w:jc w:val="left"/>
        <w:textAlignment w:val="auto"/>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发行人决定对本期债券进行转售，已____________（过入方）签订协议，相关转售资金已划付。</w:t>
      </w:r>
    </w:p>
    <w:p w14:paraId="3F599AAE">
      <w:pPr>
        <w:keepNext w:val="0"/>
        <w:keepLines w:val="0"/>
        <w:pageBreakBefore w:val="0"/>
        <w:widowControl/>
        <w:kinsoku/>
        <w:wordWrap/>
        <w:overflowPunct/>
        <w:topLinePunct w:val="0"/>
        <w:autoSpaceDE/>
        <w:autoSpaceDN/>
        <w:bidi w:val="0"/>
        <w:adjustRightInd/>
        <w:snapToGrid/>
        <w:spacing w:after="156" w:afterLines="50" w:line="560" w:lineRule="exact"/>
        <w:ind w:firstLine="600" w:firstLineChars="200"/>
        <w:jc w:val="left"/>
        <w:textAlignment w:val="auto"/>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经核查，受托管理人确认：相关债券进行非交易过户符合相关法律法规的要求，不违反募集说明书约定及相关承诺，转让对价合理，不存在利益输送或破坏市场秩序等行为。</w:t>
      </w:r>
    </w:p>
    <w:p w14:paraId="7923A414">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sz w:val="30"/>
          <w:szCs w:val="30"/>
          <w:lang w:val="en-US" w:eastAsia="zh-CN"/>
        </w:rPr>
      </w:pPr>
    </w:p>
    <w:p w14:paraId="300C3876">
      <w:pPr>
        <w:keepNext w:val="0"/>
        <w:keepLines w:val="0"/>
        <w:pageBreakBefore w:val="0"/>
        <w:widowControl/>
        <w:kinsoku/>
        <w:wordWrap/>
        <w:overflowPunct/>
        <w:topLinePunct w:val="0"/>
        <w:autoSpaceDE/>
        <w:autoSpaceDN/>
        <w:bidi w:val="0"/>
        <w:adjustRightInd/>
        <w:snapToGrid/>
        <w:spacing w:after="156" w:afterLines="50" w:line="560" w:lineRule="exact"/>
        <w:ind w:firstLine="600" w:firstLineChars="200"/>
        <w:jc w:val="left"/>
        <w:textAlignment w:val="auto"/>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 xml:space="preserve">                         受托管理人：     </w:t>
      </w:r>
    </w:p>
    <w:p w14:paraId="6F63D84E">
      <w:pPr>
        <w:keepNext w:val="0"/>
        <w:keepLines w:val="0"/>
        <w:pageBreakBefore w:val="0"/>
        <w:widowControl/>
        <w:kinsoku/>
        <w:wordWrap/>
        <w:overflowPunct/>
        <w:topLinePunct w:val="0"/>
        <w:autoSpaceDE/>
        <w:autoSpaceDN/>
        <w:bidi w:val="0"/>
        <w:adjustRightInd/>
        <w:snapToGrid/>
        <w:spacing w:after="156" w:afterLines="50" w:line="560" w:lineRule="exact"/>
        <w:ind w:firstLine="600" w:firstLineChars="200"/>
        <w:jc w:val="left"/>
        <w:textAlignment w:val="auto"/>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 xml:space="preserve">                             _______年____月____日</w:t>
      </w:r>
    </w:p>
    <w:p w14:paraId="78B5A19D">
      <w:pPr>
        <w:spacing w:line="600" w:lineRule="exact"/>
        <w:ind w:left="360" w:firstLine="480"/>
        <w:jc w:val="both"/>
        <w:rPr>
          <w:rFonts w:hint="eastAsia" w:ascii="仿宋_GB2312" w:hAnsi="仿宋" w:eastAsia="仿宋_GB2312"/>
          <w:sz w:val="24"/>
          <w:szCs w:val="30"/>
        </w:rPr>
      </w:pPr>
    </w:p>
    <w:sectPr>
      <w:footerReference r:id="rId10"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方正大标宋简体">
    <w:panose1 w:val="02000000000000000000"/>
    <w:charset w:val="86"/>
    <w:family w:val="script"/>
    <w:pitch w:val="default"/>
    <w:sig w:usb0="A00002BF" w:usb1="184F6CFA" w:usb2="00000012" w:usb3="00000000" w:csb0="00040001" w:csb1="00000000"/>
  </w:font>
  <w:font w:name="Cambria">
    <w:altName w:val="Noto Sans Syriac Eastern"/>
    <w:panose1 w:val="020408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
    <w:altName w:val="宋体"/>
    <w:panose1 w:val="02010609060101010101"/>
    <w:charset w:val="86"/>
    <w:family w:val="modern"/>
    <w:pitch w:val="default"/>
    <w:sig w:usb0="00000000" w:usb1="00000000" w:usb2="00000016" w:usb3="00000000" w:csb0="00040001" w:csb1="00000000"/>
  </w:font>
  <w:font w:name="微软雅黑">
    <w:altName w:val="黑体"/>
    <w:panose1 w:val="020B0503020204020204"/>
    <w:charset w:val="86"/>
    <w:family w:val="swiss"/>
    <w:pitch w:val="default"/>
    <w:sig w:usb0="00000000" w:usb1="00000000" w:usb2="00000016" w:usb3="00000000" w:csb0="0004001F" w:csb1="00000000"/>
  </w:font>
  <w:font w:name="Futura Bk">
    <w:altName w:val="阿里巴巴普惠体 R"/>
    <w:panose1 w:val="00000000000000000000"/>
    <w:charset w:val="00"/>
    <w:family w:val="swiss"/>
    <w:pitch w:val="default"/>
    <w:sig w:usb0="00000000" w:usb1="00000000" w:usb2="00000000" w:usb3="00000000" w:csb0="0000009F" w:csb1="00000000"/>
  </w:font>
  <w:font w:name="阿里巴巴普惠体 R">
    <w:panose1 w:val="00020600040101010101"/>
    <w:charset w:val="86"/>
    <w:family w:val="auto"/>
    <w:pitch w:val="default"/>
    <w:sig w:usb0="A00002FF" w:usb1="7ACF7CFB" w:usb2="0000001E" w:usb3="00000000" w:csb0="0004009F" w:csb1="00000000"/>
  </w:font>
  <w:font w:name="Tahoma">
    <w:altName w:val="DejaVu Sans"/>
    <w:panose1 w:val="020B0604030504040204"/>
    <w:charset w:val="00"/>
    <w:family w:val="swiss"/>
    <w:pitch w:val="default"/>
    <w:sig w:usb0="00000000" w:usb1="00000000" w:usb2="00000029" w:usb3="00000000" w:csb0="200101FF" w:csb1="20280000"/>
  </w:font>
  <w:font w:name="华文细黑">
    <w:altName w:val="汉仪中等线简"/>
    <w:panose1 w:val="02010600040101010101"/>
    <w:charset w:val="86"/>
    <w:family w:val="auto"/>
    <w:pitch w:val="default"/>
    <w:sig w:usb0="00000000" w:usb1="00000000" w:usb2="00000000" w:usb3="00000000" w:csb0="0004009F" w:csb1="DFD70000"/>
  </w:font>
  <w:font w:name="汉仪中等线简">
    <w:panose1 w:val="02010600000101010101"/>
    <w:charset w:val="86"/>
    <w:family w:val="auto"/>
    <w:pitch w:val="default"/>
    <w:sig w:usb0="00000001" w:usb1="080E0800" w:usb2="00000002" w:usb3="00000000" w:csb0="00040000" w:csb1="00000000"/>
  </w:font>
  <w:font w:name="Cambria Math">
    <w:altName w:val="DejaVu Math TeX Gyre"/>
    <w:panose1 w:val="02040503050406030204"/>
    <w:charset w:val="00"/>
    <w:family w:val="roman"/>
    <w:pitch w:val="default"/>
    <w:sig w:usb0="00000000" w:usb1="00000000" w:usb2="00000000" w:usb3="00000000" w:csb0="2000019F" w:csb1="00000000"/>
  </w:font>
  <w:font w:name="DejaVu Math TeX Gyre">
    <w:panose1 w:val="02000503000000000000"/>
    <w:charset w:val="00"/>
    <w:family w:val="auto"/>
    <w:pitch w:val="default"/>
    <w:sig w:usb0="A10000EF" w:usb1="4201F9EE" w:usb2="02000000" w:usb3="00000000" w:csb0="60000193" w:csb1="0DD40000"/>
  </w:font>
  <w:font w:name="Times">
    <w:altName w:val="Times New Roman"/>
    <w:panose1 w:val="02020603050405020304"/>
    <w:charset w:val="00"/>
    <w:family w:val="roman"/>
    <w:pitch w:val="default"/>
    <w:sig w:usb0="00000000" w:usb1="00000000" w:usb2="00000009" w:usb3="00000000" w:csb0="000001FF" w:csb1="00000000"/>
  </w:font>
  <w:font w:name="华文仿宋">
    <w:altName w:val="汉仪仿宋简"/>
    <w:panose1 w:val="02010600040101010101"/>
    <w:charset w:val="86"/>
    <w:family w:val="auto"/>
    <w:pitch w:val="default"/>
    <w:sig w:usb0="00000000" w:usb1="00000000" w:usb2="00000000" w:usb3="00000000" w:csb0="0004009F" w:csb1="DFD70000"/>
  </w:font>
  <w:font w:name="汉仪仿宋简">
    <w:panose1 w:val="02010600000101010101"/>
    <w:charset w:val="86"/>
    <w:family w:val="auto"/>
    <w:pitch w:val="default"/>
    <w:sig w:usb0="00000001" w:usb1="080E0800" w:usb2="00000002" w:usb3="00000000" w:csb0="00040000" w:csb1="00000000"/>
  </w:font>
  <w:font w:name="新宋体">
    <w:panose1 w:val="02010609030101010101"/>
    <w:charset w:val="86"/>
    <w:family w:val="modern"/>
    <w:pitch w:val="default"/>
    <w:sig w:usb0="00000003" w:usb1="288F0000" w:usb2="00000006" w:usb3="00000000" w:csb0="00040001"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华文楷体">
    <w:altName w:val="方正楷体_GBK"/>
    <w:panose1 w:val="02010600040101010101"/>
    <w:charset w:val="86"/>
    <w:family w:val="auto"/>
    <w:pitch w:val="default"/>
    <w:sig w:usb0="00000000" w:usb1="00000000" w:usb2="00000000" w:usb3="00000000" w:csb0="0004009F" w:csb1="DFD70000"/>
  </w:font>
  <w:font w:name="Wingdings 2">
    <w:panose1 w:val="05020102010507070707"/>
    <w:charset w:val="02"/>
    <w:family w:val="roman"/>
    <w:pitch w:val="default"/>
    <w:sig w:usb0="00000000" w:usb1="00000000" w:usb2="00000000" w:usb3="00000000" w:csb0="80000000"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D52036">
    <w:pPr>
      <w:pStyle w:val="28"/>
      <w:jc w:val="right"/>
    </w:pPr>
    <w:r>
      <w:rPr>
        <w:rFonts w:hint="eastAsia" w:ascii="仿宋_GB2312" w:eastAsia="仿宋_GB2312"/>
        <w:bCs/>
        <w:sz w:val="28"/>
      </w:rPr>
      <w:t>－</w:t>
    </w:r>
    <w:r>
      <w:rPr>
        <w:sz w:val="28"/>
      </w:rPr>
      <w:fldChar w:fldCharType="begin"/>
    </w:r>
    <w:r>
      <w:rPr>
        <w:sz w:val="28"/>
      </w:rPr>
      <w:instrText xml:space="preserve"> PAGE </w:instrText>
    </w:r>
    <w:r>
      <w:rPr>
        <w:sz w:val="28"/>
      </w:rPr>
      <w:fldChar w:fldCharType="separate"/>
    </w:r>
    <w:r>
      <w:rPr>
        <w:sz w:val="28"/>
      </w:rPr>
      <w:t>5</w:t>
    </w:r>
    <w:r>
      <w:rPr>
        <w:sz w:val="28"/>
      </w:rPr>
      <w:fldChar w:fldCharType="end"/>
    </w:r>
    <w:r>
      <w:rPr>
        <w:rFonts w:hint="eastAsia" w:ascii="仿宋_GB2312" w:eastAsia="仿宋_GB2312"/>
        <w:bCs/>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18A909">
    <w:pPr>
      <w:pStyle w:val="28"/>
    </w:pPr>
    <w:r>
      <w:rPr>
        <w:rFonts w:hint="eastAsia" w:ascii="仿宋_GB2312" w:eastAsia="仿宋_GB2312"/>
        <w:bCs/>
        <w:sz w:val="28"/>
      </w:rPr>
      <w:t>－</w:t>
    </w:r>
    <w:r>
      <w:rPr>
        <w:sz w:val="28"/>
      </w:rPr>
      <w:fldChar w:fldCharType="begin"/>
    </w:r>
    <w:r>
      <w:rPr>
        <w:sz w:val="28"/>
      </w:rPr>
      <w:instrText xml:space="preserve"> PAGE </w:instrText>
    </w:r>
    <w:r>
      <w:rPr>
        <w:sz w:val="28"/>
      </w:rPr>
      <w:fldChar w:fldCharType="separate"/>
    </w:r>
    <w:r>
      <w:rPr>
        <w:sz w:val="28"/>
      </w:rPr>
      <w:t>6</w:t>
    </w:r>
    <w:r>
      <w:rPr>
        <w:sz w:val="28"/>
      </w:rPr>
      <w:fldChar w:fldCharType="end"/>
    </w:r>
    <w:r>
      <w:rPr>
        <w:rFonts w:hint="eastAsia" w:ascii="仿宋_GB2312" w:eastAsia="仿宋_GB2312"/>
        <w:bCs/>
        <w:sz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0AB003">
    <w:pPr>
      <w:pStyle w:val="28"/>
      <w:ind w:left="360" w:right="90"/>
      <w:jc w:val="right"/>
      <w:rPr>
        <w:rFonts w:ascii="仿宋_GB2312" w:eastAsia="仿宋_GB2312"/>
        <w:bCs/>
        <w:sz w:val="28"/>
        <w:szCs w:val="28"/>
      </w:rPr>
    </w:pPr>
    <w:sdt>
      <w:sdtPr>
        <w:id w:val="-1"/>
      </w:sdtPr>
      <w:sdtEndPr>
        <w:rPr>
          <w:rFonts w:ascii="仿宋_GB2312" w:eastAsia="仿宋_GB2312"/>
          <w:bCs/>
          <w:sz w:val="28"/>
          <w:szCs w:val="28"/>
        </w:rPr>
      </w:sdtEndPr>
      <w:sdtContent>
        <w:r>
          <w:rPr>
            <w:rFonts w:asciiTheme="minorEastAsia" w:hAnsiTheme="minorEastAsia" w:eastAsiaTheme="minorEastAsia"/>
            <w:sz w:val="28"/>
            <w:szCs w:val="28"/>
          </w:rPr>
          <w:t>-</w:t>
        </w:r>
        <w:r>
          <w:rPr>
            <w:rFonts w:ascii="仿宋_GB2312" w:eastAsia="仿宋_GB2312"/>
            <w:bCs/>
            <w:sz w:val="28"/>
            <w:szCs w:val="28"/>
          </w:rPr>
          <w:fldChar w:fldCharType="begin"/>
        </w:r>
        <w:r>
          <w:rPr>
            <w:rFonts w:ascii="仿宋_GB2312" w:eastAsia="仿宋_GB2312"/>
            <w:bCs/>
            <w:sz w:val="28"/>
            <w:szCs w:val="28"/>
          </w:rPr>
          <w:instrText xml:space="preserve">PAGE   \* MERGEFORMAT</w:instrText>
        </w:r>
        <w:r>
          <w:rPr>
            <w:rFonts w:ascii="仿宋_GB2312" w:eastAsia="仿宋_GB2312"/>
            <w:bCs/>
            <w:sz w:val="28"/>
            <w:szCs w:val="28"/>
          </w:rPr>
          <w:fldChar w:fldCharType="separate"/>
        </w:r>
        <w:r>
          <w:rPr>
            <w:rFonts w:ascii="仿宋_GB2312" w:eastAsia="仿宋_GB2312"/>
            <w:bCs/>
            <w:sz w:val="28"/>
            <w:szCs w:val="28"/>
          </w:rPr>
          <w:t>401</w:t>
        </w:r>
        <w:r>
          <w:rPr>
            <w:rFonts w:ascii="仿宋_GB2312" w:eastAsia="仿宋_GB2312"/>
            <w:bCs/>
            <w:sz w:val="28"/>
            <w:szCs w:val="28"/>
          </w:rPr>
          <w:fldChar w:fldCharType="end"/>
        </w:r>
      </w:sdtContent>
    </w:sdt>
    <w:r>
      <w:rPr>
        <w:rFonts w:ascii="仿宋_GB2312" w:eastAsia="仿宋_GB2312"/>
        <w:bCs/>
        <w:sz w:val="28"/>
        <w:szCs w:val="28"/>
      </w:rPr>
      <w:t>-</w:t>
    </w:r>
  </w:p>
  <w:p w14:paraId="2355D982">
    <w:pPr>
      <w:pStyle w:val="2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18B3B1">
    <w:pPr>
      <w:pStyle w:val="28"/>
      <w:ind w:left="360" w:right="90"/>
      <w:rPr>
        <w:rFonts w:ascii="仿宋_GB2312" w:eastAsia="仿宋_GB2312"/>
        <w:bCs/>
        <w:sz w:val="28"/>
        <w:szCs w:val="28"/>
      </w:rPr>
    </w:pPr>
    <w:sdt>
      <w:sdtPr>
        <w:id w:val="147463297"/>
      </w:sdtPr>
      <w:sdtEndPr>
        <w:rPr>
          <w:rFonts w:ascii="仿宋_GB2312" w:eastAsia="仿宋_GB2312"/>
          <w:bCs/>
          <w:sz w:val="28"/>
          <w:szCs w:val="28"/>
        </w:rPr>
      </w:sdtEndPr>
      <w:sdtContent>
        <w:r>
          <w:rPr>
            <w:rFonts w:asciiTheme="minorEastAsia" w:hAnsiTheme="minorEastAsia" w:eastAsiaTheme="minorEastAsia"/>
            <w:sz w:val="28"/>
            <w:szCs w:val="28"/>
          </w:rPr>
          <w:t>-</w:t>
        </w:r>
        <w:r>
          <w:rPr>
            <w:rFonts w:ascii="仿宋_GB2312" w:eastAsia="仿宋_GB2312"/>
            <w:bCs/>
            <w:sz w:val="28"/>
            <w:szCs w:val="28"/>
          </w:rPr>
          <w:fldChar w:fldCharType="begin"/>
        </w:r>
        <w:r>
          <w:rPr>
            <w:rFonts w:ascii="仿宋_GB2312" w:eastAsia="仿宋_GB2312"/>
            <w:bCs/>
            <w:sz w:val="28"/>
            <w:szCs w:val="28"/>
          </w:rPr>
          <w:instrText xml:space="preserve">PAGE   \* MERGEFORMAT</w:instrText>
        </w:r>
        <w:r>
          <w:rPr>
            <w:rFonts w:ascii="仿宋_GB2312" w:eastAsia="仿宋_GB2312"/>
            <w:bCs/>
            <w:sz w:val="28"/>
            <w:szCs w:val="28"/>
          </w:rPr>
          <w:fldChar w:fldCharType="separate"/>
        </w:r>
        <w:r>
          <w:rPr>
            <w:rFonts w:ascii="仿宋_GB2312" w:eastAsia="仿宋_GB2312"/>
            <w:bCs/>
            <w:sz w:val="28"/>
            <w:szCs w:val="28"/>
          </w:rPr>
          <w:t>408</w:t>
        </w:r>
        <w:r>
          <w:rPr>
            <w:rFonts w:ascii="仿宋_GB2312" w:eastAsia="仿宋_GB2312"/>
            <w:bCs/>
            <w:sz w:val="28"/>
            <w:szCs w:val="28"/>
          </w:rPr>
          <w:fldChar w:fldCharType="end"/>
        </w:r>
      </w:sdtContent>
    </w:sdt>
    <w:r>
      <w:rPr>
        <w:rFonts w:ascii="仿宋_GB2312" w:eastAsia="仿宋_GB2312"/>
        <w:bCs/>
        <w:sz w:val="28"/>
        <w:szCs w:val="28"/>
      </w:rPr>
      <w:t>-</w:t>
    </w:r>
  </w:p>
  <w:p w14:paraId="35E0BA01">
    <w:pPr>
      <w:pStyle w:val="28"/>
      <w:jc w:val="both"/>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62D71E">
    <w:pPr>
      <w:pStyle w:val="28"/>
      <w:ind w:left="360" w:right="90"/>
      <w:jc w:val="right"/>
    </w:pPr>
    <w:sdt>
      <w:sdtPr>
        <w:id w:val="1082801306"/>
      </w:sdtPr>
      <w:sdtEndPr>
        <w:rPr>
          <w:rFonts w:ascii="仿宋_GB2312" w:eastAsia="仿宋_GB2312"/>
          <w:bCs/>
          <w:sz w:val="28"/>
          <w:szCs w:val="28"/>
        </w:rPr>
      </w:sdtEndPr>
      <w:sdtContent>
        <w:r>
          <w:rPr>
            <w:rFonts w:asciiTheme="minorEastAsia" w:hAnsiTheme="minorEastAsia" w:eastAsiaTheme="minorEastAsia"/>
            <w:sz w:val="28"/>
            <w:szCs w:val="28"/>
          </w:rPr>
          <w:t>-</w:t>
        </w:r>
        <w:r>
          <w:rPr>
            <w:rFonts w:ascii="仿宋_GB2312" w:eastAsia="仿宋_GB2312"/>
            <w:bCs/>
            <w:sz w:val="28"/>
            <w:szCs w:val="28"/>
          </w:rPr>
          <w:fldChar w:fldCharType="begin"/>
        </w:r>
        <w:r>
          <w:rPr>
            <w:rFonts w:ascii="仿宋_GB2312" w:eastAsia="仿宋_GB2312"/>
            <w:bCs/>
            <w:sz w:val="28"/>
            <w:szCs w:val="28"/>
          </w:rPr>
          <w:instrText xml:space="preserve">PAGE   \* MERGEFORMAT</w:instrText>
        </w:r>
        <w:r>
          <w:rPr>
            <w:rFonts w:ascii="仿宋_GB2312" w:eastAsia="仿宋_GB2312"/>
            <w:bCs/>
            <w:sz w:val="28"/>
            <w:szCs w:val="28"/>
          </w:rPr>
          <w:fldChar w:fldCharType="separate"/>
        </w:r>
        <w:r>
          <w:rPr>
            <w:rFonts w:ascii="仿宋_GB2312" w:eastAsia="仿宋_GB2312"/>
            <w:bCs/>
            <w:sz w:val="28"/>
            <w:szCs w:val="28"/>
          </w:rPr>
          <w:t>407</w:t>
        </w:r>
        <w:r>
          <w:rPr>
            <w:rFonts w:ascii="仿宋_GB2312" w:eastAsia="仿宋_GB2312"/>
            <w:bCs/>
            <w:sz w:val="28"/>
            <w:szCs w:val="28"/>
          </w:rPr>
          <w:fldChar w:fldCharType="end"/>
        </w:r>
      </w:sdtContent>
    </w:sdt>
    <w:r>
      <w:rPr>
        <w:rFonts w:ascii="仿宋_GB2312" w:eastAsia="仿宋_GB2312"/>
        <w:bCs/>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8">
    <w:p>
      <w:r>
        <w:separator/>
      </w:r>
    </w:p>
  </w:footnote>
  <w:footnote w:type="continuationSeparator" w:id="9">
    <w:p>
      <w:r>
        <w:continuationSeparator/>
      </w:r>
    </w:p>
  </w:footnote>
  <w:footnote w:id="0">
    <w:p w14:paraId="3C6D99C1">
      <w:pPr>
        <w:pStyle w:val="33"/>
        <w:ind w:firstLine="0" w:firstLineChars="0"/>
        <w:rPr>
          <w:rFonts w:ascii="宋体" w:hAnsi="宋体" w:cs="宋体"/>
          <w:sz w:val="21"/>
          <w:szCs w:val="21"/>
        </w:rPr>
      </w:pPr>
      <w:r>
        <w:rPr>
          <w:rStyle w:val="53"/>
          <w:rFonts w:hint="eastAsia" w:ascii="宋体" w:hAnsi="宋体" w:cs="宋体"/>
          <w:sz w:val="21"/>
          <w:szCs w:val="21"/>
        </w:rPr>
        <w:footnoteRef/>
      </w:r>
      <w:r>
        <w:rPr>
          <w:rFonts w:hint="eastAsia" w:ascii="宋体" w:hAnsi="宋体" w:cs="宋体"/>
          <w:sz w:val="21"/>
          <w:szCs w:val="21"/>
        </w:rPr>
        <w:t xml:space="preserve"> 此为根据实践情况推荐的交易结算方式，部分投资者（如符合相关条件的财务公司及其他机构）经申请成为债券交易参与人的，亦可选择直接入场的交易参与方式。</w:t>
      </w:r>
    </w:p>
  </w:footnote>
  <w:footnote w:id="1">
    <w:p w14:paraId="47447659">
      <w:pPr>
        <w:pStyle w:val="33"/>
        <w:ind w:firstLine="360"/>
      </w:pPr>
      <w:r>
        <w:rPr>
          <w:rStyle w:val="53"/>
        </w:rPr>
        <w:footnoteRef/>
      </w:r>
      <w:r>
        <w:t xml:space="preserve"> </w:t>
      </w:r>
      <w:r>
        <w:rPr>
          <w:rFonts w:hint="eastAsia" w:ascii="仿宋_GB2312" w:eastAsia="仿宋_GB2312"/>
        </w:rPr>
        <w:t>详见《上海证券交易所会员管理业务指南第2号——风险揭示书必备条款》，全文可至本所官方网站（http://www.sse.com.cn）“规则”下的“本所业务指南与流程”栏目查询。</w:t>
      </w:r>
    </w:p>
  </w:footnote>
  <w:footnote w:id="2">
    <w:p w14:paraId="276867B6">
      <w:pPr>
        <w:pStyle w:val="33"/>
        <w:ind w:firstLine="360"/>
      </w:pPr>
      <w:r>
        <w:rPr>
          <w:rStyle w:val="53"/>
        </w:rPr>
        <w:footnoteRef/>
      </w:r>
      <w:r>
        <w:rPr>
          <w:vertAlign w:val="superscript"/>
        </w:rPr>
        <w:t xml:space="preserve"> </w:t>
      </w:r>
      <w:r>
        <w:rPr>
          <w:rFonts w:hint="eastAsia" w:ascii="仿宋_GB2312" w:eastAsia="仿宋_GB2312"/>
        </w:rPr>
        <w:t>此处请填写参考实体简称。</w:t>
      </w:r>
    </w:p>
  </w:footnote>
  <w:footnote w:id="3">
    <w:p w14:paraId="682D24E7">
      <w:pPr>
        <w:pStyle w:val="33"/>
        <w:ind w:firstLine="360"/>
        <w:rPr>
          <w:rFonts w:ascii="仿宋_GB2312" w:eastAsia="仿宋_GB2312"/>
        </w:rPr>
      </w:pPr>
      <w:r>
        <w:rPr>
          <w:rStyle w:val="53"/>
          <w:rFonts w:ascii="仿宋_GB2312" w:eastAsia="仿宋_GB2312"/>
        </w:rPr>
        <w:footnoteRef/>
      </w:r>
      <w:r>
        <w:rPr>
          <w:rFonts w:hint="eastAsia" w:ascii="仿宋_GB2312" w:eastAsia="仿宋_GB2312"/>
        </w:rPr>
        <w:t>此处请填写参考实体简称。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81142">
    <w:pPr>
      <w:pStyle w:val="2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5F9FF9">
    <w:pPr>
      <w:pStyle w:val="2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393533"/>
    <w:multiLevelType w:val="singleLevel"/>
    <w:tmpl w:val="8B393533"/>
    <w:lvl w:ilvl="0" w:tentative="0">
      <w:start w:val="1"/>
      <w:numFmt w:val="decimal"/>
      <w:lvlText w:val="%1."/>
      <w:lvlJc w:val="left"/>
      <w:pPr>
        <w:tabs>
          <w:tab w:val="left" w:pos="312"/>
        </w:tabs>
      </w:pPr>
    </w:lvl>
  </w:abstractNum>
  <w:abstractNum w:abstractNumId="1">
    <w:nsid w:val="967F9668"/>
    <w:multiLevelType w:val="singleLevel"/>
    <w:tmpl w:val="967F9668"/>
    <w:lvl w:ilvl="0" w:tentative="0">
      <w:start w:val="2"/>
      <w:numFmt w:val="decimal"/>
      <w:suff w:val="nothing"/>
      <w:lvlText w:val="%1、"/>
      <w:lvlJc w:val="left"/>
    </w:lvl>
  </w:abstractNum>
  <w:abstractNum w:abstractNumId="2">
    <w:nsid w:val="D369BD06"/>
    <w:multiLevelType w:val="singleLevel"/>
    <w:tmpl w:val="D369BD06"/>
    <w:lvl w:ilvl="0" w:tentative="0">
      <w:start w:val="1"/>
      <w:numFmt w:val="decimal"/>
      <w:lvlText w:val="%1."/>
      <w:lvlJc w:val="left"/>
      <w:pPr>
        <w:tabs>
          <w:tab w:val="left" w:pos="312"/>
        </w:tabs>
      </w:pPr>
    </w:lvl>
  </w:abstractNum>
  <w:abstractNum w:abstractNumId="3">
    <w:nsid w:val="FDE6E37C"/>
    <w:multiLevelType w:val="singleLevel"/>
    <w:tmpl w:val="FDE6E37C"/>
    <w:lvl w:ilvl="0" w:tentative="0">
      <w:start w:val="1"/>
      <w:numFmt w:val="decimal"/>
      <w:lvlText w:val="%1."/>
      <w:lvlJc w:val="left"/>
      <w:pPr>
        <w:tabs>
          <w:tab w:val="left" w:pos="312"/>
        </w:tabs>
      </w:pPr>
    </w:lvl>
  </w:abstractNum>
  <w:abstractNum w:abstractNumId="4">
    <w:nsid w:val="00015B7C"/>
    <w:multiLevelType w:val="multilevel"/>
    <w:tmpl w:val="00015B7C"/>
    <w:lvl w:ilvl="0" w:tentative="0">
      <w:start w:val="9"/>
      <w:numFmt w:val="decimal"/>
      <w:pStyle w:val="79"/>
      <w:suff w:val="space"/>
      <w:lvlText w:val="%1"/>
      <w:lvlJc w:val="left"/>
      <w:pPr>
        <w:ind w:left="567" w:firstLine="0"/>
      </w:pPr>
      <w:rPr>
        <w:rFonts w:hint="default" w:ascii="黑体" w:hAnsi="黑体" w:eastAsia="黑体"/>
        <w:sz w:val="30"/>
        <w:szCs w:val="30"/>
      </w:rPr>
    </w:lvl>
    <w:lvl w:ilvl="1" w:tentative="0">
      <w:start w:val="1"/>
      <w:numFmt w:val="decimal"/>
      <w:pStyle w:val="3"/>
      <w:suff w:val="space"/>
      <w:lvlText w:val="%1.%2"/>
      <w:lvlJc w:val="left"/>
      <w:pPr>
        <w:ind w:left="567" w:firstLine="0"/>
      </w:pPr>
      <w:rPr>
        <w:rFonts w:hint="eastAsia"/>
      </w:rPr>
    </w:lvl>
    <w:lvl w:ilvl="2" w:tentative="0">
      <w:start w:val="1"/>
      <w:numFmt w:val="decimal"/>
      <w:lvlText w:val="12.1.%3"/>
      <w:lvlJc w:val="left"/>
      <w:pPr>
        <w:ind w:left="567" w:firstLine="0"/>
      </w:pPr>
      <w:rPr>
        <w:rFonts w:hint="eastAsia" w:ascii="仿宋_GB2312" w:eastAsia="仿宋_GB2312"/>
        <w:b w:val="0"/>
        <w:i w:val="0"/>
        <w:sz w:val="30"/>
      </w:rPr>
    </w:lvl>
    <w:lvl w:ilvl="3" w:tentative="0">
      <w:start w:val="1"/>
      <w:numFmt w:val="decimal"/>
      <w:pStyle w:val="5"/>
      <w:suff w:val="space"/>
      <w:lvlText w:val="%1.%2.%3.%4"/>
      <w:lvlJc w:val="left"/>
      <w:pPr>
        <w:ind w:left="567" w:firstLine="0"/>
      </w:pPr>
      <w:rPr>
        <w:rFonts w:hint="eastAsia"/>
      </w:rPr>
    </w:lvl>
    <w:lvl w:ilvl="4" w:tentative="0">
      <w:start w:val="1"/>
      <w:numFmt w:val="decimal"/>
      <w:pStyle w:val="6"/>
      <w:suff w:val="space"/>
      <w:lvlText w:val="%1.%2.%3.%4.%5"/>
      <w:lvlJc w:val="left"/>
      <w:pPr>
        <w:ind w:left="567" w:firstLine="567"/>
      </w:pPr>
      <w:rPr>
        <w:rFonts w:hint="eastAsia"/>
      </w:rPr>
    </w:lvl>
    <w:lvl w:ilvl="5" w:tentative="0">
      <w:start w:val="1"/>
      <w:numFmt w:val="decimal"/>
      <w:pStyle w:val="7"/>
      <w:lvlText w:val="%1.%2.%3.%4.%5.%6"/>
      <w:lvlJc w:val="left"/>
      <w:pPr>
        <w:ind w:left="567" w:firstLine="567"/>
      </w:pPr>
      <w:rPr>
        <w:rFonts w:hint="eastAsia"/>
      </w:rPr>
    </w:lvl>
    <w:lvl w:ilvl="6" w:tentative="0">
      <w:start w:val="1"/>
      <w:numFmt w:val="decimal"/>
      <w:pStyle w:val="8"/>
      <w:lvlText w:val="%1.%2.%3.%4.%5.%6.%7"/>
      <w:lvlJc w:val="left"/>
      <w:pPr>
        <w:ind w:left="567" w:firstLine="0"/>
      </w:pPr>
      <w:rPr>
        <w:rFonts w:hint="eastAsia"/>
      </w:rPr>
    </w:lvl>
    <w:lvl w:ilvl="7" w:tentative="0">
      <w:start w:val="1"/>
      <w:numFmt w:val="decimal"/>
      <w:pStyle w:val="9"/>
      <w:lvlText w:val="%1.%2.%3.%4.%5.%6.%7.%8"/>
      <w:lvlJc w:val="left"/>
      <w:pPr>
        <w:ind w:left="567" w:firstLine="0"/>
      </w:pPr>
      <w:rPr>
        <w:rFonts w:hint="eastAsia"/>
      </w:rPr>
    </w:lvl>
    <w:lvl w:ilvl="8" w:tentative="0">
      <w:start w:val="1"/>
      <w:numFmt w:val="decimal"/>
      <w:pStyle w:val="10"/>
      <w:lvlText w:val="%1.%2.%3.%4.%5.%6.%7.%8.%9"/>
      <w:lvlJc w:val="left"/>
      <w:pPr>
        <w:ind w:left="567" w:firstLine="0"/>
      </w:pPr>
      <w:rPr>
        <w:rFonts w:hint="eastAsia"/>
      </w:rPr>
    </w:lvl>
  </w:abstractNum>
  <w:abstractNum w:abstractNumId="5">
    <w:nsid w:val="051F275D"/>
    <w:multiLevelType w:val="multilevel"/>
    <w:tmpl w:val="051F275D"/>
    <w:lvl w:ilvl="0" w:tentative="0">
      <w:start w:val="1"/>
      <w:numFmt w:val="decimal"/>
      <w:lvlText w:val="%1."/>
      <w:lvlJc w:val="left"/>
      <w:pPr>
        <w:ind w:left="425" w:hanging="425"/>
      </w:pPr>
      <w:rPr>
        <w:rFonts w:hint="eastAsia" w:ascii="黑体" w:hAnsi="黑体" w:eastAsia="黑体"/>
        <w:b/>
        <w:sz w:val="36"/>
        <w:szCs w:val="36"/>
      </w:rPr>
    </w:lvl>
    <w:lvl w:ilvl="1" w:tentative="0">
      <w:start w:val="1"/>
      <w:numFmt w:val="decimal"/>
      <w:lvlText w:val="%1.%2."/>
      <w:lvlJc w:val="left"/>
      <w:pPr>
        <w:ind w:left="567" w:hanging="567"/>
      </w:pPr>
      <w:rPr>
        <w:rFonts w:hint="eastAsia" w:ascii="仿宋_GB2312" w:eastAsia="仿宋_GB2312"/>
      </w:rPr>
    </w:lvl>
    <w:lvl w:ilvl="2" w:tentative="0">
      <w:start w:val="1"/>
      <w:numFmt w:val="decimal"/>
      <w:lvlText w:val="%1.%2.%3."/>
      <w:lvlJc w:val="left"/>
      <w:pPr>
        <w:ind w:left="709" w:hanging="709"/>
      </w:pPr>
      <w:rPr>
        <w:rFonts w:hint="eastAsia" w:ascii="仿宋_GB2312" w:eastAsia="仿宋_GB2312"/>
        <w:b/>
      </w:rPr>
    </w:lvl>
    <w:lvl w:ilvl="3" w:tentative="0">
      <w:start w:val="1"/>
      <w:numFmt w:val="decimal"/>
      <w:lvlText w:val="%1.%2.%3.%4."/>
      <w:lvlJc w:val="left"/>
      <w:pPr>
        <w:ind w:left="1418" w:hanging="851"/>
      </w:pPr>
      <w:rPr>
        <w:rFonts w:hint="eastAsia" w:ascii="仿宋_GB2312" w:eastAsia="仿宋_GB2312"/>
      </w:r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6">
    <w:nsid w:val="0A091EDD"/>
    <w:multiLevelType w:val="multilevel"/>
    <w:tmpl w:val="0A091EDD"/>
    <w:lvl w:ilvl="0" w:tentative="0">
      <w:start w:val="1"/>
      <w:numFmt w:val="bullet"/>
      <w:lvlText w:val=""/>
      <w:lvlJc w:val="left"/>
      <w:pPr>
        <w:tabs>
          <w:tab w:val="left" w:pos="420"/>
        </w:tabs>
        <w:ind w:left="420" w:hanging="420"/>
      </w:pPr>
      <w:rPr>
        <w:rFonts w:hint="default" w:ascii="Wingdings" w:hAnsi="Wingdings"/>
        <w:color w:val="auto"/>
      </w:rPr>
    </w:lvl>
    <w:lvl w:ilvl="1" w:tentative="0">
      <w:start w:val="0"/>
      <w:numFmt w:val="bullet"/>
      <w:lvlText w:val="●"/>
      <w:lvlJc w:val="left"/>
      <w:pPr>
        <w:tabs>
          <w:tab w:val="left" w:pos="780"/>
        </w:tabs>
        <w:ind w:left="780" w:hanging="360"/>
      </w:pPr>
      <w:rPr>
        <w:rFonts w:hint="eastAsia" w:ascii="宋体" w:hAnsi="宋体" w:eastAsia="宋体" w:cs="Times New Roman"/>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7">
    <w:nsid w:val="0BC24116"/>
    <w:multiLevelType w:val="multilevel"/>
    <w:tmpl w:val="0BC24116"/>
    <w:lvl w:ilvl="0" w:tentative="0">
      <w:start w:val="1"/>
      <w:numFmt w:val="decimal"/>
      <w:lvlText w:val="%1）"/>
      <w:lvlJc w:val="left"/>
      <w:pPr>
        <w:ind w:left="846" w:hanging="420"/>
      </w:pPr>
      <w:rPr>
        <w:rFonts w:hint="eastAsia"/>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8">
    <w:nsid w:val="0E906EF4"/>
    <w:multiLevelType w:val="multilevel"/>
    <w:tmpl w:val="0E906EF4"/>
    <w:lvl w:ilvl="0" w:tentative="0">
      <w:start w:val="1"/>
      <w:numFmt w:val="decimal"/>
      <w:lvlText w:val="%1）"/>
      <w:lvlJc w:val="left"/>
      <w:pPr>
        <w:ind w:left="1647" w:hanging="1080"/>
      </w:pPr>
      <w:rPr>
        <w:rFonts w:ascii="仿宋_GB2312" w:hAnsi="Cambria" w:eastAsia="仿宋_GB2312" w:cs="Times New Roman"/>
        <w:lang w:val="en-US"/>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9">
    <w:nsid w:val="12D22E01"/>
    <w:multiLevelType w:val="multilevel"/>
    <w:tmpl w:val="12D22E01"/>
    <w:lvl w:ilvl="0" w:tentative="0">
      <w:start w:val="1"/>
      <w:numFmt w:val="decimal"/>
      <w:lvlText w:val="%1）"/>
      <w:lvlJc w:val="left"/>
      <w:pPr>
        <w:ind w:left="1555" w:hanging="420"/>
      </w:pPr>
      <w:rPr>
        <w:rFonts w:hint="eastAsia"/>
      </w:rPr>
    </w:lvl>
    <w:lvl w:ilvl="1" w:tentative="0">
      <w:start w:val="1"/>
      <w:numFmt w:val="lowerLetter"/>
      <w:lvlText w:val="%2)"/>
      <w:lvlJc w:val="left"/>
      <w:pPr>
        <w:ind w:left="1975" w:hanging="420"/>
      </w:pPr>
    </w:lvl>
    <w:lvl w:ilvl="2" w:tentative="0">
      <w:start w:val="1"/>
      <w:numFmt w:val="lowerRoman"/>
      <w:lvlText w:val="%3."/>
      <w:lvlJc w:val="right"/>
      <w:pPr>
        <w:ind w:left="2395" w:hanging="420"/>
      </w:pPr>
    </w:lvl>
    <w:lvl w:ilvl="3" w:tentative="0">
      <w:start w:val="1"/>
      <w:numFmt w:val="decimal"/>
      <w:lvlText w:val="%4."/>
      <w:lvlJc w:val="left"/>
      <w:pPr>
        <w:ind w:left="2815" w:hanging="420"/>
      </w:pPr>
    </w:lvl>
    <w:lvl w:ilvl="4" w:tentative="0">
      <w:start w:val="1"/>
      <w:numFmt w:val="lowerLetter"/>
      <w:lvlText w:val="%5)"/>
      <w:lvlJc w:val="left"/>
      <w:pPr>
        <w:ind w:left="3235" w:hanging="420"/>
      </w:pPr>
    </w:lvl>
    <w:lvl w:ilvl="5" w:tentative="0">
      <w:start w:val="1"/>
      <w:numFmt w:val="lowerRoman"/>
      <w:lvlText w:val="%6."/>
      <w:lvlJc w:val="right"/>
      <w:pPr>
        <w:ind w:left="3655" w:hanging="420"/>
      </w:pPr>
    </w:lvl>
    <w:lvl w:ilvl="6" w:tentative="0">
      <w:start w:val="1"/>
      <w:numFmt w:val="decimal"/>
      <w:lvlText w:val="%7."/>
      <w:lvlJc w:val="left"/>
      <w:pPr>
        <w:ind w:left="4075" w:hanging="420"/>
      </w:pPr>
    </w:lvl>
    <w:lvl w:ilvl="7" w:tentative="0">
      <w:start w:val="1"/>
      <w:numFmt w:val="lowerLetter"/>
      <w:lvlText w:val="%8)"/>
      <w:lvlJc w:val="left"/>
      <w:pPr>
        <w:ind w:left="4495" w:hanging="420"/>
      </w:pPr>
    </w:lvl>
    <w:lvl w:ilvl="8" w:tentative="0">
      <w:start w:val="1"/>
      <w:numFmt w:val="lowerRoman"/>
      <w:lvlText w:val="%9."/>
      <w:lvlJc w:val="right"/>
      <w:pPr>
        <w:ind w:left="4915" w:hanging="420"/>
      </w:pPr>
    </w:lvl>
  </w:abstractNum>
  <w:abstractNum w:abstractNumId="10">
    <w:nsid w:val="15DC4BC2"/>
    <w:multiLevelType w:val="multilevel"/>
    <w:tmpl w:val="15DC4BC2"/>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225F4449"/>
    <w:multiLevelType w:val="multilevel"/>
    <w:tmpl w:val="225F4449"/>
    <w:lvl w:ilvl="0" w:tentative="0">
      <w:start w:val="1"/>
      <w:numFmt w:val="decimal"/>
      <w:lvlText w:val="(%1)"/>
      <w:lvlJc w:val="left"/>
      <w:pPr>
        <w:ind w:left="495" w:hanging="360"/>
      </w:pPr>
      <w:rPr>
        <w:rFonts w:hint="default"/>
        <w:b w:val="0"/>
      </w:rPr>
    </w:lvl>
    <w:lvl w:ilvl="1" w:tentative="0">
      <w:start w:val="1"/>
      <w:numFmt w:val="lowerLetter"/>
      <w:lvlText w:val="%2)"/>
      <w:lvlJc w:val="left"/>
      <w:pPr>
        <w:ind w:left="975" w:hanging="420"/>
      </w:pPr>
    </w:lvl>
    <w:lvl w:ilvl="2" w:tentative="0">
      <w:start w:val="1"/>
      <w:numFmt w:val="lowerRoman"/>
      <w:lvlText w:val="%3."/>
      <w:lvlJc w:val="right"/>
      <w:pPr>
        <w:ind w:left="1395" w:hanging="420"/>
      </w:pPr>
    </w:lvl>
    <w:lvl w:ilvl="3" w:tentative="0">
      <w:start w:val="1"/>
      <w:numFmt w:val="decimal"/>
      <w:lvlText w:val="%4."/>
      <w:lvlJc w:val="left"/>
      <w:pPr>
        <w:ind w:left="1815" w:hanging="420"/>
      </w:pPr>
    </w:lvl>
    <w:lvl w:ilvl="4" w:tentative="0">
      <w:start w:val="1"/>
      <w:numFmt w:val="lowerLetter"/>
      <w:lvlText w:val="%5)"/>
      <w:lvlJc w:val="left"/>
      <w:pPr>
        <w:ind w:left="2235" w:hanging="420"/>
      </w:pPr>
    </w:lvl>
    <w:lvl w:ilvl="5" w:tentative="0">
      <w:start w:val="1"/>
      <w:numFmt w:val="lowerRoman"/>
      <w:lvlText w:val="%6."/>
      <w:lvlJc w:val="right"/>
      <w:pPr>
        <w:ind w:left="2655" w:hanging="420"/>
      </w:pPr>
    </w:lvl>
    <w:lvl w:ilvl="6" w:tentative="0">
      <w:start w:val="1"/>
      <w:numFmt w:val="decimal"/>
      <w:lvlText w:val="%7."/>
      <w:lvlJc w:val="left"/>
      <w:pPr>
        <w:ind w:left="3075" w:hanging="420"/>
      </w:pPr>
    </w:lvl>
    <w:lvl w:ilvl="7" w:tentative="0">
      <w:start w:val="1"/>
      <w:numFmt w:val="lowerLetter"/>
      <w:lvlText w:val="%8)"/>
      <w:lvlJc w:val="left"/>
      <w:pPr>
        <w:ind w:left="3495" w:hanging="420"/>
      </w:pPr>
    </w:lvl>
    <w:lvl w:ilvl="8" w:tentative="0">
      <w:start w:val="1"/>
      <w:numFmt w:val="lowerRoman"/>
      <w:lvlText w:val="%9."/>
      <w:lvlJc w:val="right"/>
      <w:pPr>
        <w:ind w:left="3915" w:hanging="420"/>
      </w:pPr>
    </w:lvl>
  </w:abstractNum>
  <w:abstractNum w:abstractNumId="12">
    <w:nsid w:val="27B50E36"/>
    <w:multiLevelType w:val="multilevel"/>
    <w:tmpl w:val="27B50E36"/>
    <w:lvl w:ilvl="0" w:tentative="0">
      <w:start w:val="1"/>
      <w:numFmt w:val="decimal"/>
      <w:lvlText w:val="%1）"/>
      <w:lvlJc w:val="left"/>
      <w:pPr>
        <w:ind w:left="980" w:hanging="420"/>
      </w:pPr>
      <w:rPr>
        <w:rFonts w:hint="eastAsia"/>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13">
    <w:nsid w:val="2AB87EC7"/>
    <w:multiLevelType w:val="multilevel"/>
    <w:tmpl w:val="2AB87EC7"/>
    <w:lvl w:ilvl="0" w:tentative="0">
      <w:start w:val="1"/>
      <w:numFmt w:val="decimal"/>
      <w:lvlText w:val="(%1)"/>
      <w:lvlJc w:val="left"/>
      <w:pPr>
        <w:ind w:left="840" w:hanging="420"/>
      </w:pPr>
      <w:rPr>
        <w:rFonts w:hint="eastAsia" w:eastAsia="仿宋_GB2312"/>
      </w:rPr>
    </w:lvl>
    <w:lvl w:ilvl="1" w:tentative="0">
      <w:start w:val="1"/>
      <w:numFmt w:val="decimal"/>
      <w:lvlText w:val="（%2）"/>
      <w:lvlJc w:val="left"/>
      <w:pPr>
        <w:ind w:left="420" w:hanging="420"/>
      </w:pPr>
      <w:rPr>
        <w:rFonts w:hint="eastAsia" w:eastAsia="仿宋_GB2312"/>
      </w:rPr>
    </w:lvl>
    <w:lvl w:ilvl="2" w:tentative="0">
      <w:start w:val="2"/>
      <w:numFmt w:val="decimal"/>
      <w:lvlText w:val="（%3）"/>
      <w:lvlJc w:val="left"/>
      <w:pPr>
        <w:ind w:left="1920" w:hanging="108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30AC058E"/>
    <w:multiLevelType w:val="multilevel"/>
    <w:tmpl w:val="30AC058E"/>
    <w:lvl w:ilvl="0" w:tentative="0">
      <w:start w:val="2"/>
      <w:numFmt w:val="decimal"/>
      <w:lvlText w:val="（%1）"/>
      <w:lvlJc w:val="left"/>
      <w:pPr>
        <w:ind w:left="1917" w:hanging="1080"/>
      </w:pPr>
      <w:rPr>
        <w:rFonts w:hint="default"/>
      </w:rPr>
    </w:lvl>
    <w:lvl w:ilvl="1" w:tentative="0">
      <w:start w:val="1"/>
      <w:numFmt w:val="lowerLetter"/>
      <w:lvlText w:val="%2)"/>
      <w:lvlJc w:val="left"/>
      <w:pPr>
        <w:ind w:left="1677" w:hanging="420"/>
      </w:pPr>
    </w:lvl>
    <w:lvl w:ilvl="2" w:tentative="0">
      <w:start w:val="1"/>
      <w:numFmt w:val="lowerRoman"/>
      <w:lvlText w:val="%3."/>
      <w:lvlJc w:val="right"/>
      <w:pPr>
        <w:ind w:left="2097" w:hanging="420"/>
      </w:pPr>
    </w:lvl>
    <w:lvl w:ilvl="3" w:tentative="0">
      <w:start w:val="1"/>
      <w:numFmt w:val="decimal"/>
      <w:lvlText w:val="%4."/>
      <w:lvlJc w:val="left"/>
      <w:pPr>
        <w:ind w:left="2517" w:hanging="420"/>
      </w:pPr>
    </w:lvl>
    <w:lvl w:ilvl="4" w:tentative="0">
      <w:start w:val="1"/>
      <w:numFmt w:val="lowerLetter"/>
      <w:lvlText w:val="%5)"/>
      <w:lvlJc w:val="left"/>
      <w:pPr>
        <w:ind w:left="2937" w:hanging="420"/>
      </w:pPr>
    </w:lvl>
    <w:lvl w:ilvl="5" w:tentative="0">
      <w:start w:val="1"/>
      <w:numFmt w:val="lowerRoman"/>
      <w:lvlText w:val="%6."/>
      <w:lvlJc w:val="right"/>
      <w:pPr>
        <w:ind w:left="3357" w:hanging="420"/>
      </w:pPr>
    </w:lvl>
    <w:lvl w:ilvl="6" w:tentative="0">
      <w:start w:val="1"/>
      <w:numFmt w:val="decimal"/>
      <w:lvlText w:val="%7."/>
      <w:lvlJc w:val="left"/>
      <w:pPr>
        <w:ind w:left="3777" w:hanging="420"/>
      </w:pPr>
    </w:lvl>
    <w:lvl w:ilvl="7" w:tentative="0">
      <w:start w:val="1"/>
      <w:numFmt w:val="lowerLetter"/>
      <w:lvlText w:val="%8)"/>
      <w:lvlJc w:val="left"/>
      <w:pPr>
        <w:ind w:left="4197" w:hanging="420"/>
      </w:pPr>
    </w:lvl>
    <w:lvl w:ilvl="8" w:tentative="0">
      <w:start w:val="1"/>
      <w:numFmt w:val="lowerRoman"/>
      <w:lvlText w:val="%9."/>
      <w:lvlJc w:val="right"/>
      <w:pPr>
        <w:ind w:left="4617" w:hanging="420"/>
      </w:pPr>
    </w:lvl>
  </w:abstractNum>
  <w:abstractNum w:abstractNumId="15">
    <w:nsid w:val="33615EC8"/>
    <w:multiLevelType w:val="multilevel"/>
    <w:tmpl w:val="33615EC8"/>
    <w:lvl w:ilvl="0" w:tentative="0">
      <w:start w:val="1"/>
      <w:numFmt w:val="decimal"/>
      <w:lvlText w:val="（%1）"/>
      <w:lvlJc w:val="left"/>
      <w:pPr>
        <w:ind w:left="1020" w:hanging="420"/>
      </w:pPr>
      <w:rPr>
        <w:rFonts w:hint="eastAsia" w:eastAsia="仿宋_GB2312"/>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16">
    <w:nsid w:val="33A334C7"/>
    <w:multiLevelType w:val="multilevel"/>
    <w:tmpl w:val="33A334C7"/>
    <w:lvl w:ilvl="0" w:tentative="0">
      <w:start w:val="1"/>
      <w:numFmt w:val="chineseCountingThousand"/>
      <w:lvlText w:val="第%1条"/>
      <w:lvlJc w:val="left"/>
      <w:pPr>
        <w:ind w:left="420" w:hanging="420"/>
      </w:pPr>
      <w:rPr>
        <w:rFonts w:hint="default" w:ascii="Calibri" w:hAnsi="Calibri" w:eastAsia="仿宋_GB2312" w:cs="Times New Roman"/>
        <w:b/>
        <w:i w:val="0"/>
        <w:color w:val="auto"/>
        <w:sz w:val="30"/>
      </w:rPr>
    </w:lvl>
    <w:lvl w:ilvl="1" w:tentative="0">
      <w:start w:val="1"/>
      <w:numFmt w:val="japaneseCounting"/>
      <w:lvlText w:val="（%2）"/>
      <w:lvlJc w:val="left"/>
      <w:pPr>
        <w:ind w:left="1890" w:hanging="147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3E0F73B1"/>
    <w:multiLevelType w:val="multilevel"/>
    <w:tmpl w:val="3E0F73B1"/>
    <w:lvl w:ilvl="0" w:tentative="0">
      <w:start w:val="1"/>
      <w:numFmt w:val="decimal"/>
      <w:lvlText w:val="%1)"/>
      <w:lvlJc w:val="left"/>
      <w:pPr>
        <w:ind w:left="1020" w:hanging="420"/>
      </w:pPr>
    </w:lvl>
    <w:lvl w:ilvl="1" w:tentative="0">
      <w:start w:val="1"/>
      <w:numFmt w:val="decimal"/>
      <w:lvlText w:val="（%2）"/>
      <w:lvlJc w:val="left"/>
      <w:pPr>
        <w:ind w:left="2100" w:hanging="1080"/>
      </w:pPr>
      <w:rPr>
        <w:rFonts w:hint="default" w:hAnsi="黑体"/>
      </w:rPr>
    </w:lvl>
    <w:lvl w:ilvl="2" w:tentative="0">
      <w:start w:val="2"/>
      <w:numFmt w:val="decimal"/>
      <w:lvlText w:val="（%3）"/>
      <w:lvlJc w:val="left"/>
      <w:pPr>
        <w:ind w:left="2520" w:hanging="1080"/>
      </w:pPr>
      <w:rPr>
        <w:rFonts w:hint="default"/>
      </w:r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18">
    <w:nsid w:val="40F12327"/>
    <w:multiLevelType w:val="multilevel"/>
    <w:tmpl w:val="40F12327"/>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502566B9"/>
    <w:multiLevelType w:val="multilevel"/>
    <w:tmpl w:val="502566B9"/>
    <w:lvl w:ilvl="0" w:tentative="0">
      <w:start w:val="1"/>
      <w:numFmt w:val="decimal"/>
      <w:lvlText w:val="%1）"/>
      <w:lvlJc w:val="left"/>
      <w:pPr>
        <w:ind w:left="1129" w:hanging="420"/>
      </w:pPr>
      <w:rPr>
        <w:rFonts w:ascii="仿宋_GB2312" w:hAnsi="仿宋" w:eastAsia="仿宋_GB2312" w:cs="Times New Roman"/>
        <w:lang w:val="en-US"/>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20">
    <w:nsid w:val="530F1FD9"/>
    <w:multiLevelType w:val="multilevel"/>
    <w:tmpl w:val="530F1FD9"/>
    <w:lvl w:ilvl="0" w:tentative="0">
      <w:start w:val="1"/>
      <w:numFmt w:val="decimal"/>
      <w:lvlText w:val="(%1)"/>
      <w:lvlJc w:val="left"/>
      <w:pPr>
        <w:ind w:left="495" w:hanging="360"/>
      </w:pPr>
      <w:rPr>
        <w:rFonts w:hint="default"/>
        <w:b w:val="0"/>
      </w:rPr>
    </w:lvl>
    <w:lvl w:ilvl="1" w:tentative="0">
      <w:start w:val="1"/>
      <w:numFmt w:val="lowerLetter"/>
      <w:lvlText w:val="%2)"/>
      <w:lvlJc w:val="left"/>
      <w:pPr>
        <w:ind w:left="975" w:hanging="420"/>
      </w:pPr>
    </w:lvl>
    <w:lvl w:ilvl="2" w:tentative="0">
      <w:start w:val="1"/>
      <w:numFmt w:val="lowerRoman"/>
      <w:lvlText w:val="%3."/>
      <w:lvlJc w:val="right"/>
      <w:pPr>
        <w:ind w:left="1395" w:hanging="420"/>
      </w:pPr>
    </w:lvl>
    <w:lvl w:ilvl="3" w:tentative="0">
      <w:start w:val="1"/>
      <w:numFmt w:val="decimal"/>
      <w:lvlText w:val="%4."/>
      <w:lvlJc w:val="left"/>
      <w:pPr>
        <w:ind w:left="1815" w:hanging="420"/>
      </w:pPr>
    </w:lvl>
    <w:lvl w:ilvl="4" w:tentative="0">
      <w:start w:val="1"/>
      <w:numFmt w:val="lowerLetter"/>
      <w:lvlText w:val="%5)"/>
      <w:lvlJc w:val="left"/>
      <w:pPr>
        <w:ind w:left="2235" w:hanging="420"/>
      </w:pPr>
    </w:lvl>
    <w:lvl w:ilvl="5" w:tentative="0">
      <w:start w:val="1"/>
      <w:numFmt w:val="lowerRoman"/>
      <w:lvlText w:val="%6."/>
      <w:lvlJc w:val="right"/>
      <w:pPr>
        <w:ind w:left="2655" w:hanging="420"/>
      </w:pPr>
    </w:lvl>
    <w:lvl w:ilvl="6" w:tentative="0">
      <w:start w:val="1"/>
      <w:numFmt w:val="decimal"/>
      <w:lvlText w:val="%7."/>
      <w:lvlJc w:val="left"/>
      <w:pPr>
        <w:ind w:left="3075" w:hanging="420"/>
      </w:pPr>
    </w:lvl>
    <w:lvl w:ilvl="7" w:tentative="0">
      <w:start w:val="1"/>
      <w:numFmt w:val="lowerLetter"/>
      <w:lvlText w:val="%8)"/>
      <w:lvlJc w:val="left"/>
      <w:pPr>
        <w:ind w:left="3495" w:hanging="420"/>
      </w:pPr>
    </w:lvl>
    <w:lvl w:ilvl="8" w:tentative="0">
      <w:start w:val="1"/>
      <w:numFmt w:val="lowerRoman"/>
      <w:lvlText w:val="%9."/>
      <w:lvlJc w:val="right"/>
      <w:pPr>
        <w:ind w:left="3915" w:hanging="420"/>
      </w:pPr>
    </w:lvl>
  </w:abstractNum>
  <w:abstractNum w:abstractNumId="21">
    <w:nsid w:val="5EA656DE"/>
    <w:multiLevelType w:val="multilevel"/>
    <w:tmpl w:val="5EA656DE"/>
    <w:lvl w:ilvl="0" w:tentative="0">
      <w:start w:val="1"/>
      <w:numFmt w:val="japaneseCounting"/>
      <w:pStyle w:val="108"/>
      <w:lvlText w:val="第%1条"/>
      <w:lvlJc w:val="left"/>
      <w:pPr>
        <w:ind w:left="3045" w:hanging="420"/>
      </w:pPr>
      <w:rPr>
        <w:rFonts w:hint="eastAsia" w:ascii="仿宋_GB2312" w:eastAsia="仿宋_GB2312" w:cs="Times New Roman"/>
        <w:b/>
        <w:sz w:val="30"/>
        <w:szCs w:val="30"/>
      </w:rPr>
    </w:lvl>
    <w:lvl w:ilvl="1" w:tentative="0">
      <w:start w:val="1"/>
      <w:numFmt w:val="chineseCountingThousand"/>
      <w:lvlText w:val="第%2条"/>
      <w:lvlJc w:val="left"/>
      <w:pPr>
        <w:tabs>
          <w:tab w:val="left" w:pos="3856"/>
        </w:tabs>
        <w:ind w:left="1928" w:firstLine="567"/>
      </w:pPr>
      <w:rPr>
        <w:rFonts w:hint="eastAsia" w:ascii="仿宋_GB2312" w:eastAsia="仿宋_GB2312" w:cs="Times New Roman"/>
        <w:b w:val="0"/>
        <w:i w:val="0"/>
        <w:strike w:val="0"/>
        <w:dstrike w:val="0"/>
        <w:spacing w:val="0"/>
        <w:w w:val="100"/>
        <w:kern w:val="0"/>
        <w:position w:val="0"/>
        <w:sz w:val="32"/>
        <w:szCs w:val="32"/>
        <w:u w:val="none"/>
      </w:rPr>
    </w:lvl>
    <w:lvl w:ilvl="2" w:tentative="0">
      <w:start w:val="1"/>
      <w:numFmt w:val="decimal"/>
      <w:lvlText w:val="%3."/>
      <w:lvlJc w:val="left"/>
      <w:pPr>
        <w:tabs>
          <w:tab w:val="left" w:pos="3595"/>
        </w:tabs>
        <w:ind w:left="3595" w:hanging="360"/>
      </w:pPr>
      <w:rPr>
        <w:rFonts w:cs="Times New Roman"/>
      </w:rPr>
    </w:lvl>
    <w:lvl w:ilvl="3" w:tentative="0">
      <w:start w:val="1"/>
      <w:numFmt w:val="decimal"/>
      <w:lvlText w:val="%4."/>
      <w:lvlJc w:val="left"/>
      <w:pPr>
        <w:tabs>
          <w:tab w:val="left" w:pos="4315"/>
        </w:tabs>
        <w:ind w:left="4315" w:hanging="360"/>
      </w:pPr>
      <w:rPr>
        <w:rFonts w:cs="Times New Roman"/>
      </w:rPr>
    </w:lvl>
    <w:lvl w:ilvl="4" w:tentative="0">
      <w:start w:val="1"/>
      <w:numFmt w:val="decimal"/>
      <w:lvlText w:val="%5."/>
      <w:lvlJc w:val="left"/>
      <w:pPr>
        <w:tabs>
          <w:tab w:val="left" w:pos="5035"/>
        </w:tabs>
        <w:ind w:left="5035" w:hanging="360"/>
      </w:pPr>
      <w:rPr>
        <w:rFonts w:cs="Times New Roman"/>
      </w:rPr>
    </w:lvl>
    <w:lvl w:ilvl="5" w:tentative="0">
      <w:start w:val="1"/>
      <w:numFmt w:val="decimal"/>
      <w:lvlText w:val="%6."/>
      <w:lvlJc w:val="left"/>
      <w:pPr>
        <w:tabs>
          <w:tab w:val="left" w:pos="5755"/>
        </w:tabs>
        <w:ind w:left="5755" w:hanging="360"/>
      </w:pPr>
      <w:rPr>
        <w:rFonts w:cs="Times New Roman"/>
      </w:rPr>
    </w:lvl>
    <w:lvl w:ilvl="6" w:tentative="0">
      <w:start w:val="1"/>
      <w:numFmt w:val="decimal"/>
      <w:lvlText w:val="%7."/>
      <w:lvlJc w:val="left"/>
      <w:pPr>
        <w:tabs>
          <w:tab w:val="left" w:pos="6475"/>
        </w:tabs>
        <w:ind w:left="6475" w:hanging="360"/>
      </w:pPr>
      <w:rPr>
        <w:rFonts w:cs="Times New Roman"/>
      </w:rPr>
    </w:lvl>
    <w:lvl w:ilvl="7" w:tentative="0">
      <w:start w:val="1"/>
      <w:numFmt w:val="decimal"/>
      <w:lvlText w:val="%8."/>
      <w:lvlJc w:val="left"/>
      <w:pPr>
        <w:tabs>
          <w:tab w:val="left" w:pos="7195"/>
        </w:tabs>
        <w:ind w:left="7195" w:hanging="360"/>
      </w:pPr>
      <w:rPr>
        <w:rFonts w:cs="Times New Roman"/>
      </w:rPr>
    </w:lvl>
    <w:lvl w:ilvl="8" w:tentative="0">
      <w:start w:val="1"/>
      <w:numFmt w:val="decimal"/>
      <w:lvlText w:val="%9."/>
      <w:lvlJc w:val="left"/>
      <w:pPr>
        <w:tabs>
          <w:tab w:val="left" w:pos="7915"/>
        </w:tabs>
        <w:ind w:left="7915" w:hanging="360"/>
      </w:pPr>
      <w:rPr>
        <w:rFonts w:cs="Times New Roman"/>
      </w:rPr>
    </w:lvl>
  </w:abstractNum>
  <w:abstractNum w:abstractNumId="22">
    <w:nsid w:val="61000131"/>
    <w:multiLevelType w:val="multilevel"/>
    <w:tmpl w:val="61000131"/>
    <w:lvl w:ilvl="0" w:tentative="0">
      <w:start w:val="1"/>
      <w:numFmt w:val="decimal"/>
      <w:lvlText w:val="%1)"/>
      <w:lvlJc w:val="left"/>
      <w:pPr>
        <w:ind w:left="1020" w:hanging="420"/>
      </w:p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23">
    <w:nsid w:val="61F756AC"/>
    <w:multiLevelType w:val="singleLevel"/>
    <w:tmpl w:val="61F756AC"/>
    <w:lvl w:ilvl="0" w:tentative="0">
      <w:start w:val="1"/>
      <w:numFmt w:val="decimal"/>
      <w:suff w:val="nothing"/>
      <w:lvlText w:val="（%1）"/>
      <w:lvlJc w:val="left"/>
    </w:lvl>
  </w:abstractNum>
  <w:abstractNum w:abstractNumId="24">
    <w:nsid w:val="6A8418B2"/>
    <w:multiLevelType w:val="multilevel"/>
    <w:tmpl w:val="6A8418B2"/>
    <w:lvl w:ilvl="0" w:tentative="0">
      <w:start w:val="1"/>
      <w:numFmt w:val="decimal"/>
      <w:lvlText w:val="（%1）"/>
      <w:lvlJc w:val="left"/>
      <w:pPr>
        <w:ind w:left="987" w:hanging="420"/>
      </w:pPr>
      <w:rPr>
        <w:rFonts w:hint="eastAsia" w:eastAsia="仿宋_GB2312"/>
        <w:b w:val="0"/>
        <w:i w:val="0"/>
        <w:sz w:val="30"/>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25">
    <w:nsid w:val="75BD12CA"/>
    <w:multiLevelType w:val="multilevel"/>
    <w:tmpl w:val="75BD12CA"/>
    <w:lvl w:ilvl="0" w:tentative="0">
      <w:start w:val="1"/>
      <w:numFmt w:val="decimal"/>
      <w:pStyle w:val="2"/>
      <w:lvlText w:val="%1"/>
      <w:lvlJc w:val="left"/>
      <w:pPr>
        <w:ind w:left="420" w:hanging="420"/>
      </w:pPr>
      <w:rPr>
        <w:rFonts w:hint="eastAsia" w:eastAsia="仿宋_GB2312"/>
        <w:lang w:eastAsia="zh-C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6">
    <w:nsid w:val="78C74745"/>
    <w:multiLevelType w:val="multilevel"/>
    <w:tmpl w:val="78C74745"/>
    <w:lvl w:ilvl="0" w:tentative="0">
      <w:start w:val="6"/>
      <w:numFmt w:val="decimal"/>
      <w:lvlText w:val="（%1）"/>
      <w:lvlJc w:val="left"/>
      <w:pPr>
        <w:ind w:left="30" w:hanging="1080"/>
      </w:pPr>
      <w:rPr>
        <w:rFonts w:hint="default"/>
      </w:rPr>
    </w:lvl>
    <w:lvl w:ilvl="1" w:tentative="0">
      <w:start w:val="1"/>
      <w:numFmt w:val="lowerLetter"/>
      <w:lvlText w:val="%2)"/>
      <w:lvlJc w:val="left"/>
      <w:pPr>
        <w:ind w:left="-210" w:hanging="420"/>
      </w:pPr>
    </w:lvl>
    <w:lvl w:ilvl="2" w:tentative="0">
      <w:start w:val="1"/>
      <w:numFmt w:val="lowerRoman"/>
      <w:lvlText w:val="%3."/>
      <w:lvlJc w:val="right"/>
      <w:pPr>
        <w:ind w:left="210" w:hanging="420"/>
      </w:pPr>
    </w:lvl>
    <w:lvl w:ilvl="3" w:tentative="0">
      <w:start w:val="1"/>
      <w:numFmt w:val="decimal"/>
      <w:lvlText w:val="%4."/>
      <w:lvlJc w:val="left"/>
      <w:pPr>
        <w:ind w:left="630" w:hanging="420"/>
      </w:pPr>
    </w:lvl>
    <w:lvl w:ilvl="4" w:tentative="0">
      <w:start w:val="1"/>
      <w:numFmt w:val="lowerLetter"/>
      <w:lvlText w:val="%5)"/>
      <w:lvlJc w:val="left"/>
      <w:pPr>
        <w:ind w:left="1050" w:hanging="420"/>
      </w:pPr>
    </w:lvl>
    <w:lvl w:ilvl="5" w:tentative="0">
      <w:start w:val="1"/>
      <w:numFmt w:val="lowerRoman"/>
      <w:lvlText w:val="%6."/>
      <w:lvlJc w:val="right"/>
      <w:pPr>
        <w:ind w:left="1470" w:hanging="420"/>
      </w:pPr>
    </w:lvl>
    <w:lvl w:ilvl="6" w:tentative="0">
      <w:start w:val="1"/>
      <w:numFmt w:val="decimal"/>
      <w:lvlText w:val="%7."/>
      <w:lvlJc w:val="left"/>
      <w:pPr>
        <w:ind w:left="1890" w:hanging="420"/>
      </w:pPr>
    </w:lvl>
    <w:lvl w:ilvl="7" w:tentative="0">
      <w:start w:val="1"/>
      <w:numFmt w:val="lowerLetter"/>
      <w:lvlText w:val="%8)"/>
      <w:lvlJc w:val="left"/>
      <w:pPr>
        <w:ind w:left="2310" w:hanging="420"/>
      </w:pPr>
    </w:lvl>
    <w:lvl w:ilvl="8" w:tentative="0">
      <w:start w:val="1"/>
      <w:numFmt w:val="lowerRoman"/>
      <w:lvlText w:val="%9."/>
      <w:lvlJc w:val="right"/>
      <w:pPr>
        <w:ind w:left="2730" w:hanging="420"/>
      </w:pPr>
    </w:lvl>
  </w:abstractNum>
  <w:abstractNum w:abstractNumId="27">
    <w:nsid w:val="7BA54873"/>
    <w:multiLevelType w:val="multilevel"/>
    <w:tmpl w:val="7BA54873"/>
    <w:lvl w:ilvl="0" w:tentative="0">
      <w:start w:val="1"/>
      <w:numFmt w:val="decimal"/>
      <w:lvlText w:val="%1）"/>
      <w:lvlJc w:val="left"/>
      <w:pPr>
        <w:ind w:left="1020" w:hanging="420"/>
      </w:pPr>
      <w:rPr>
        <w:rFonts w:hint="eastAsia"/>
        <w:lang w:val="en-US"/>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28">
    <w:nsid w:val="7EFD7C5C"/>
    <w:multiLevelType w:val="multilevel"/>
    <w:tmpl w:val="7EFD7C5C"/>
    <w:lvl w:ilvl="0" w:tentative="0">
      <w:start w:val="1"/>
      <w:numFmt w:val="decimal"/>
      <w:lvlText w:val="（%1）"/>
      <w:lvlJc w:val="left"/>
      <w:pPr>
        <w:ind w:left="980" w:hanging="420"/>
      </w:pPr>
      <w:rPr>
        <w:rFonts w:hint="eastAsia"/>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29">
    <w:nsid w:val="7F066573"/>
    <w:multiLevelType w:val="multilevel"/>
    <w:tmpl w:val="7F066573"/>
    <w:lvl w:ilvl="0" w:tentative="0">
      <w:start w:val="1"/>
      <w:numFmt w:val="bullet"/>
      <w:lvlText w:val=""/>
      <w:lvlJc w:val="left"/>
      <w:pPr>
        <w:ind w:left="987" w:hanging="420"/>
      </w:pPr>
      <w:rPr>
        <w:rFonts w:hint="default" w:ascii="Wingdings" w:hAnsi="Wingdings"/>
      </w:rPr>
    </w:lvl>
    <w:lvl w:ilvl="1" w:tentative="0">
      <w:start w:val="1"/>
      <w:numFmt w:val="bullet"/>
      <w:lvlText w:val=""/>
      <w:lvlJc w:val="left"/>
      <w:pPr>
        <w:ind w:left="1407" w:hanging="420"/>
      </w:pPr>
      <w:rPr>
        <w:rFonts w:hint="default" w:ascii="Wingdings" w:hAnsi="Wingdings"/>
      </w:rPr>
    </w:lvl>
    <w:lvl w:ilvl="2" w:tentative="0">
      <w:start w:val="1"/>
      <w:numFmt w:val="bullet"/>
      <w:lvlText w:val=""/>
      <w:lvlJc w:val="left"/>
      <w:pPr>
        <w:ind w:left="1827" w:hanging="420"/>
      </w:pPr>
      <w:rPr>
        <w:rFonts w:hint="default" w:ascii="Wingdings" w:hAnsi="Wingdings"/>
      </w:rPr>
    </w:lvl>
    <w:lvl w:ilvl="3" w:tentative="0">
      <w:start w:val="1"/>
      <w:numFmt w:val="bullet"/>
      <w:lvlText w:val=""/>
      <w:lvlJc w:val="left"/>
      <w:pPr>
        <w:ind w:left="2247" w:hanging="420"/>
      </w:pPr>
      <w:rPr>
        <w:rFonts w:hint="default" w:ascii="Wingdings" w:hAnsi="Wingdings"/>
      </w:rPr>
    </w:lvl>
    <w:lvl w:ilvl="4" w:tentative="0">
      <w:start w:val="1"/>
      <w:numFmt w:val="bullet"/>
      <w:lvlText w:val=""/>
      <w:lvlJc w:val="left"/>
      <w:pPr>
        <w:ind w:left="2667" w:hanging="420"/>
      </w:pPr>
      <w:rPr>
        <w:rFonts w:hint="default" w:ascii="Wingdings" w:hAnsi="Wingdings"/>
      </w:rPr>
    </w:lvl>
    <w:lvl w:ilvl="5" w:tentative="0">
      <w:start w:val="1"/>
      <w:numFmt w:val="bullet"/>
      <w:lvlText w:val=""/>
      <w:lvlJc w:val="left"/>
      <w:pPr>
        <w:ind w:left="3087" w:hanging="420"/>
      </w:pPr>
      <w:rPr>
        <w:rFonts w:hint="default" w:ascii="Wingdings" w:hAnsi="Wingdings"/>
      </w:rPr>
    </w:lvl>
    <w:lvl w:ilvl="6" w:tentative="0">
      <w:start w:val="1"/>
      <w:numFmt w:val="bullet"/>
      <w:lvlText w:val=""/>
      <w:lvlJc w:val="left"/>
      <w:pPr>
        <w:ind w:left="3507" w:hanging="420"/>
      </w:pPr>
      <w:rPr>
        <w:rFonts w:hint="default" w:ascii="Wingdings" w:hAnsi="Wingdings"/>
      </w:rPr>
    </w:lvl>
    <w:lvl w:ilvl="7" w:tentative="0">
      <w:start w:val="1"/>
      <w:numFmt w:val="bullet"/>
      <w:lvlText w:val=""/>
      <w:lvlJc w:val="left"/>
      <w:pPr>
        <w:ind w:left="3927" w:hanging="420"/>
      </w:pPr>
      <w:rPr>
        <w:rFonts w:hint="default" w:ascii="Wingdings" w:hAnsi="Wingdings"/>
      </w:rPr>
    </w:lvl>
    <w:lvl w:ilvl="8" w:tentative="0">
      <w:start w:val="1"/>
      <w:numFmt w:val="bullet"/>
      <w:lvlText w:val=""/>
      <w:lvlJc w:val="left"/>
      <w:pPr>
        <w:ind w:left="4347" w:hanging="420"/>
      </w:pPr>
      <w:rPr>
        <w:rFonts w:hint="default" w:ascii="Wingdings" w:hAnsi="Wingdings"/>
      </w:rPr>
    </w:lvl>
  </w:abstractNum>
  <w:num w:numId="1">
    <w:abstractNumId w:val="25"/>
  </w:num>
  <w:num w:numId="2">
    <w:abstractNumId w:val="4"/>
  </w:num>
  <w:num w:numId="3">
    <w:abstractNumId w:val="21"/>
  </w:num>
  <w:num w:numId="4">
    <w:abstractNumId w:val="5"/>
  </w:num>
  <w:num w:numId="5">
    <w:abstractNumId w:val="27"/>
  </w:num>
  <w:num w:numId="6">
    <w:abstractNumId w:val="10"/>
  </w:num>
  <w:num w:numId="7">
    <w:abstractNumId w:val="18"/>
  </w:num>
  <w:num w:numId="8">
    <w:abstractNumId w:val="29"/>
  </w:num>
  <w:num w:numId="9">
    <w:abstractNumId w:val="22"/>
  </w:num>
  <w:num w:numId="10">
    <w:abstractNumId w:val="17"/>
  </w:num>
  <w:num w:numId="11">
    <w:abstractNumId w:val="26"/>
  </w:num>
  <w:num w:numId="12">
    <w:abstractNumId w:val="15"/>
  </w:num>
  <w:num w:numId="13">
    <w:abstractNumId w:val="13"/>
  </w:num>
  <w:num w:numId="14">
    <w:abstractNumId w:val="19"/>
  </w:num>
  <w:num w:numId="15">
    <w:abstractNumId w:val="9"/>
  </w:num>
  <w:num w:numId="16">
    <w:abstractNumId w:val="7"/>
  </w:num>
  <w:num w:numId="17">
    <w:abstractNumId w:val="0"/>
  </w:num>
  <w:num w:numId="18">
    <w:abstractNumId w:val="3"/>
  </w:num>
  <w:num w:numId="19">
    <w:abstractNumId w:val="14"/>
  </w:num>
  <w:num w:numId="20">
    <w:abstractNumId w:val="23"/>
  </w:num>
  <w:num w:numId="21">
    <w:abstractNumId w:val="2"/>
  </w:num>
  <w:num w:numId="22">
    <w:abstractNumId w:val="24"/>
  </w:num>
  <w:num w:numId="23">
    <w:abstractNumId w:val="28"/>
  </w:num>
  <w:num w:numId="24">
    <w:abstractNumId w:val="12"/>
  </w:num>
  <w:num w:numId="25">
    <w:abstractNumId w:val="8"/>
  </w:num>
  <w:num w:numId="26">
    <w:abstractNumId w:val="1"/>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num>
  <w:num w:numId="29">
    <w:abstractNumId w:val="20"/>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hideGrammaticalErrors/>
  <w:documentProtection w:enforcement="0"/>
  <w:defaultTabStop w:val="0"/>
  <w:evenAndOddHeaders w:val="1"/>
  <w:drawingGridHorizontalSpacing w:val="105"/>
  <w:drawingGridVerticalSpacing w:val="156"/>
  <w:displayHorizontalDrawingGridEvery w:val="2"/>
  <w:displayVerticalDrawingGridEvery w:val="2"/>
  <w:noPunctuationKerning w:val="1"/>
  <w:characterSpacingControl w:val="compressPunctuation"/>
  <w:footnotePr>
    <w:footnote w:id="8"/>
    <w:footnote w:id="9"/>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FhMDY5ZWZkMjNhZjM4OTRjYWYwMzNiOWM2NWVmNDMifQ=="/>
  </w:docVars>
  <w:rsids>
    <w:rsidRoot w:val="00054864"/>
    <w:rsid w:val="00000111"/>
    <w:rsid w:val="000003F9"/>
    <w:rsid w:val="00002001"/>
    <w:rsid w:val="000022F0"/>
    <w:rsid w:val="000023D2"/>
    <w:rsid w:val="00002E7D"/>
    <w:rsid w:val="00003560"/>
    <w:rsid w:val="00003EA7"/>
    <w:rsid w:val="0000401B"/>
    <w:rsid w:val="00005F62"/>
    <w:rsid w:val="00006128"/>
    <w:rsid w:val="00007151"/>
    <w:rsid w:val="000108FD"/>
    <w:rsid w:val="00011ED6"/>
    <w:rsid w:val="0001287D"/>
    <w:rsid w:val="000131A8"/>
    <w:rsid w:val="000141CC"/>
    <w:rsid w:val="000144EB"/>
    <w:rsid w:val="00015C78"/>
    <w:rsid w:val="00016CF1"/>
    <w:rsid w:val="00017C70"/>
    <w:rsid w:val="00021CEB"/>
    <w:rsid w:val="00021E00"/>
    <w:rsid w:val="00022762"/>
    <w:rsid w:val="000231E7"/>
    <w:rsid w:val="000237B2"/>
    <w:rsid w:val="00023ABC"/>
    <w:rsid w:val="00023CFF"/>
    <w:rsid w:val="00024225"/>
    <w:rsid w:val="000252B8"/>
    <w:rsid w:val="0002547C"/>
    <w:rsid w:val="000274E7"/>
    <w:rsid w:val="00030718"/>
    <w:rsid w:val="000318E0"/>
    <w:rsid w:val="00031C19"/>
    <w:rsid w:val="00032AA2"/>
    <w:rsid w:val="00032F7A"/>
    <w:rsid w:val="00033DE6"/>
    <w:rsid w:val="0003459E"/>
    <w:rsid w:val="000349B2"/>
    <w:rsid w:val="00036F41"/>
    <w:rsid w:val="0003709B"/>
    <w:rsid w:val="00040748"/>
    <w:rsid w:val="00040F89"/>
    <w:rsid w:val="000412D2"/>
    <w:rsid w:val="000414DC"/>
    <w:rsid w:val="00043325"/>
    <w:rsid w:val="00044191"/>
    <w:rsid w:val="000448FF"/>
    <w:rsid w:val="00044EF2"/>
    <w:rsid w:val="000450B9"/>
    <w:rsid w:val="00045921"/>
    <w:rsid w:val="00045AAE"/>
    <w:rsid w:val="00045BEF"/>
    <w:rsid w:val="000475C8"/>
    <w:rsid w:val="000512C3"/>
    <w:rsid w:val="00051D58"/>
    <w:rsid w:val="0005203C"/>
    <w:rsid w:val="000533A4"/>
    <w:rsid w:val="000536FF"/>
    <w:rsid w:val="00053980"/>
    <w:rsid w:val="00054864"/>
    <w:rsid w:val="00054B19"/>
    <w:rsid w:val="00055D22"/>
    <w:rsid w:val="00056058"/>
    <w:rsid w:val="00057952"/>
    <w:rsid w:val="0006046C"/>
    <w:rsid w:val="00060C5C"/>
    <w:rsid w:val="0006157D"/>
    <w:rsid w:val="00062B12"/>
    <w:rsid w:val="00062E78"/>
    <w:rsid w:val="00063801"/>
    <w:rsid w:val="00063E4F"/>
    <w:rsid w:val="00063EED"/>
    <w:rsid w:val="00064386"/>
    <w:rsid w:val="00065663"/>
    <w:rsid w:val="000661BD"/>
    <w:rsid w:val="000666F6"/>
    <w:rsid w:val="00066A09"/>
    <w:rsid w:val="00066BBA"/>
    <w:rsid w:val="0006753E"/>
    <w:rsid w:val="000675F8"/>
    <w:rsid w:val="00067D1E"/>
    <w:rsid w:val="0007161D"/>
    <w:rsid w:val="00072043"/>
    <w:rsid w:val="000727E8"/>
    <w:rsid w:val="000742D6"/>
    <w:rsid w:val="000743C4"/>
    <w:rsid w:val="00074581"/>
    <w:rsid w:val="0007535A"/>
    <w:rsid w:val="00076703"/>
    <w:rsid w:val="0008097A"/>
    <w:rsid w:val="00082111"/>
    <w:rsid w:val="00083711"/>
    <w:rsid w:val="00083D32"/>
    <w:rsid w:val="000848A2"/>
    <w:rsid w:val="00084991"/>
    <w:rsid w:val="00084D03"/>
    <w:rsid w:val="00084FFC"/>
    <w:rsid w:val="000854D9"/>
    <w:rsid w:val="000856D8"/>
    <w:rsid w:val="000860E5"/>
    <w:rsid w:val="00086322"/>
    <w:rsid w:val="00086815"/>
    <w:rsid w:val="00087538"/>
    <w:rsid w:val="00087D04"/>
    <w:rsid w:val="00087F5C"/>
    <w:rsid w:val="00090822"/>
    <w:rsid w:val="00090BA4"/>
    <w:rsid w:val="0009153B"/>
    <w:rsid w:val="00092F9F"/>
    <w:rsid w:val="00093625"/>
    <w:rsid w:val="000943A6"/>
    <w:rsid w:val="00095760"/>
    <w:rsid w:val="00095866"/>
    <w:rsid w:val="00096282"/>
    <w:rsid w:val="000A0529"/>
    <w:rsid w:val="000A0CCF"/>
    <w:rsid w:val="000A11BC"/>
    <w:rsid w:val="000A1BB8"/>
    <w:rsid w:val="000A1C9D"/>
    <w:rsid w:val="000A341A"/>
    <w:rsid w:val="000A3421"/>
    <w:rsid w:val="000A3787"/>
    <w:rsid w:val="000A3B74"/>
    <w:rsid w:val="000A40E8"/>
    <w:rsid w:val="000A446E"/>
    <w:rsid w:val="000A4626"/>
    <w:rsid w:val="000A507A"/>
    <w:rsid w:val="000A5F28"/>
    <w:rsid w:val="000A5F76"/>
    <w:rsid w:val="000A6751"/>
    <w:rsid w:val="000A744F"/>
    <w:rsid w:val="000A768F"/>
    <w:rsid w:val="000B0A0F"/>
    <w:rsid w:val="000B2597"/>
    <w:rsid w:val="000B40D6"/>
    <w:rsid w:val="000B66E4"/>
    <w:rsid w:val="000B6C27"/>
    <w:rsid w:val="000C0143"/>
    <w:rsid w:val="000C0D62"/>
    <w:rsid w:val="000C1E2B"/>
    <w:rsid w:val="000C2879"/>
    <w:rsid w:val="000C3A11"/>
    <w:rsid w:val="000C3CFB"/>
    <w:rsid w:val="000C4855"/>
    <w:rsid w:val="000C5203"/>
    <w:rsid w:val="000C56B2"/>
    <w:rsid w:val="000C5DF1"/>
    <w:rsid w:val="000C6C57"/>
    <w:rsid w:val="000D0511"/>
    <w:rsid w:val="000D1314"/>
    <w:rsid w:val="000D2AB6"/>
    <w:rsid w:val="000D330B"/>
    <w:rsid w:val="000D4686"/>
    <w:rsid w:val="000D50D2"/>
    <w:rsid w:val="000D5891"/>
    <w:rsid w:val="000D5B3D"/>
    <w:rsid w:val="000D5FB2"/>
    <w:rsid w:val="000D63CC"/>
    <w:rsid w:val="000D69B1"/>
    <w:rsid w:val="000D6A2F"/>
    <w:rsid w:val="000D6E23"/>
    <w:rsid w:val="000E0018"/>
    <w:rsid w:val="000E0330"/>
    <w:rsid w:val="000E1F5B"/>
    <w:rsid w:val="000E3401"/>
    <w:rsid w:val="000E3B3D"/>
    <w:rsid w:val="000E4D13"/>
    <w:rsid w:val="000E4DDF"/>
    <w:rsid w:val="000E5BB3"/>
    <w:rsid w:val="000E70C3"/>
    <w:rsid w:val="000E725C"/>
    <w:rsid w:val="000F0B3A"/>
    <w:rsid w:val="000F24A8"/>
    <w:rsid w:val="000F3B47"/>
    <w:rsid w:val="000F40AA"/>
    <w:rsid w:val="000F4BA5"/>
    <w:rsid w:val="000F776E"/>
    <w:rsid w:val="000F7B0B"/>
    <w:rsid w:val="001009CE"/>
    <w:rsid w:val="00101785"/>
    <w:rsid w:val="00101CB4"/>
    <w:rsid w:val="00104600"/>
    <w:rsid w:val="001047D9"/>
    <w:rsid w:val="00104C76"/>
    <w:rsid w:val="0010525E"/>
    <w:rsid w:val="00105926"/>
    <w:rsid w:val="001059B6"/>
    <w:rsid w:val="001066A0"/>
    <w:rsid w:val="00110A66"/>
    <w:rsid w:val="00111668"/>
    <w:rsid w:val="00112167"/>
    <w:rsid w:val="00112518"/>
    <w:rsid w:val="00112A43"/>
    <w:rsid w:val="00114336"/>
    <w:rsid w:val="00115352"/>
    <w:rsid w:val="00116F79"/>
    <w:rsid w:val="00120417"/>
    <w:rsid w:val="0012107B"/>
    <w:rsid w:val="00121187"/>
    <w:rsid w:val="00122A27"/>
    <w:rsid w:val="00122E49"/>
    <w:rsid w:val="00122EF3"/>
    <w:rsid w:val="00124738"/>
    <w:rsid w:val="00124A32"/>
    <w:rsid w:val="001259B3"/>
    <w:rsid w:val="00125BB3"/>
    <w:rsid w:val="00126803"/>
    <w:rsid w:val="0012719B"/>
    <w:rsid w:val="001307D5"/>
    <w:rsid w:val="0013246A"/>
    <w:rsid w:val="00134133"/>
    <w:rsid w:val="00135054"/>
    <w:rsid w:val="001352B3"/>
    <w:rsid w:val="00135A8A"/>
    <w:rsid w:val="00137699"/>
    <w:rsid w:val="00137B92"/>
    <w:rsid w:val="00140582"/>
    <w:rsid w:val="001405CD"/>
    <w:rsid w:val="00141D82"/>
    <w:rsid w:val="00142B0B"/>
    <w:rsid w:val="00144360"/>
    <w:rsid w:val="00144678"/>
    <w:rsid w:val="001450B1"/>
    <w:rsid w:val="00145EE6"/>
    <w:rsid w:val="0014669F"/>
    <w:rsid w:val="00146F5F"/>
    <w:rsid w:val="00147A94"/>
    <w:rsid w:val="00147DBC"/>
    <w:rsid w:val="00147EA9"/>
    <w:rsid w:val="00147ECD"/>
    <w:rsid w:val="00150640"/>
    <w:rsid w:val="00150EE2"/>
    <w:rsid w:val="0015156D"/>
    <w:rsid w:val="00151C5C"/>
    <w:rsid w:val="00151C68"/>
    <w:rsid w:val="00151F6D"/>
    <w:rsid w:val="001522EB"/>
    <w:rsid w:val="00153529"/>
    <w:rsid w:val="00153F52"/>
    <w:rsid w:val="00156340"/>
    <w:rsid w:val="00157FFA"/>
    <w:rsid w:val="00161BAE"/>
    <w:rsid w:val="00162385"/>
    <w:rsid w:val="00162DDB"/>
    <w:rsid w:val="00163D21"/>
    <w:rsid w:val="00164859"/>
    <w:rsid w:val="00164A85"/>
    <w:rsid w:val="0017017E"/>
    <w:rsid w:val="00171A21"/>
    <w:rsid w:val="00171C0D"/>
    <w:rsid w:val="00172284"/>
    <w:rsid w:val="00172EBB"/>
    <w:rsid w:val="00173455"/>
    <w:rsid w:val="00173A4F"/>
    <w:rsid w:val="00173F39"/>
    <w:rsid w:val="001744B9"/>
    <w:rsid w:val="001764CD"/>
    <w:rsid w:val="00176D3B"/>
    <w:rsid w:val="00181349"/>
    <w:rsid w:val="00181DCC"/>
    <w:rsid w:val="001834DA"/>
    <w:rsid w:val="00183A29"/>
    <w:rsid w:val="00183DDD"/>
    <w:rsid w:val="0018449F"/>
    <w:rsid w:val="001844CC"/>
    <w:rsid w:val="00184759"/>
    <w:rsid w:val="0018570B"/>
    <w:rsid w:val="00185D04"/>
    <w:rsid w:val="00186F41"/>
    <w:rsid w:val="00190427"/>
    <w:rsid w:val="00191734"/>
    <w:rsid w:val="00191BD6"/>
    <w:rsid w:val="00192ACD"/>
    <w:rsid w:val="00192B8B"/>
    <w:rsid w:val="00193AAA"/>
    <w:rsid w:val="001945FA"/>
    <w:rsid w:val="00194C4B"/>
    <w:rsid w:val="001959C0"/>
    <w:rsid w:val="001959C9"/>
    <w:rsid w:val="0019620E"/>
    <w:rsid w:val="00196853"/>
    <w:rsid w:val="00197C1C"/>
    <w:rsid w:val="001A04C9"/>
    <w:rsid w:val="001A19B5"/>
    <w:rsid w:val="001A299D"/>
    <w:rsid w:val="001A392C"/>
    <w:rsid w:val="001A3B21"/>
    <w:rsid w:val="001A4972"/>
    <w:rsid w:val="001A4B36"/>
    <w:rsid w:val="001A5B65"/>
    <w:rsid w:val="001A5D1A"/>
    <w:rsid w:val="001A6BF6"/>
    <w:rsid w:val="001A6D3E"/>
    <w:rsid w:val="001A71D7"/>
    <w:rsid w:val="001B1010"/>
    <w:rsid w:val="001B2182"/>
    <w:rsid w:val="001B3F0E"/>
    <w:rsid w:val="001B458F"/>
    <w:rsid w:val="001B51A0"/>
    <w:rsid w:val="001B575E"/>
    <w:rsid w:val="001B5B85"/>
    <w:rsid w:val="001B5E01"/>
    <w:rsid w:val="001B6333"/>
    <w:rsid w:val="001B698C"/>
    <w:rsid w:val="001B7165"/>
    <w:rsid w:val="001C252E"/>
    <w:rsid w:val="001C2985"/>
    <w:rsid w:val="001C2D57"/>
    <w:rsid w:val="001C35D7"/>
    <w:rsid w:val="001C41AF"/>
    <w:rsid w:val="001C43C4"/>
    <w:rsid w:val="001C4DA8"/>
    <w:rsid w:val="001C5AC1"/>
    <w:rsid w:val="001C5C09"/>
    <w:rsid w:val="001C6021"/>
    <w:rsid w:val="001C6990"/>
    <w:rsid w:val="001C6EF4"/>
    <w:rsid w:val="001C70CB"/>
    <w:rsid w:val="001C735E"/>
    <w:rsid w:val="001C74E7"/>
    <w:rsid w:val="001D045C"/>
    <w:rsid w:val="001D0C6F"/>
    <w:rsid w:val="001D0E23"/>
    <w:rsid w:val="001D1933"/>
    <w:rsid w:val="001D1DBB"/>
    <w:rsid w:val="001D1F7F"/>
    <w:rsid w:val="001D21CC"/>
    <w:rsid w:val="001D32D5"/>
    <w:rsid w:val="001D4663"/>
    <w:rsid w:val="001D48FC"/>
    <w:rsid w:val="001D4CF4"/>
    <w:rsid w:val="001D4ED6"/>
    <w:rsid w:val="001D6751"/>
    <w:rsid w:val="001D6F62"/>
    <w:rsid w:val="001D7803"/>
    <w:rsid w:val="001D7BD0"/>
    <w:rsid w:val="001E0EFD"/>
    <w:rsid w:val="001E433F"/>
    <w:rsid w:val="001E43DC"/>
    <w:rsid w:val="001F004E"/>
    <w:rsid w:val="001F02DF"/>
    <w:rsid w:val="001F11BF"/>
    <w:rsid w:val="001F1EFA"/>
    <w:rsid w:val="001F2479"/>
    <w:rsid w:val="001F42BF"/>
    <w:rsid w:val="001F46D9"/>
    <w:rsid w:val="001F47A1"/>
    <w:rsid w:val="001F4901"/>
    <w:rsid w:val="001F4A3C"/>
    <w:rsid w:val="001F5B90"/>
    <w:rsid w:val="001F5C7A"/>
    <w:rsid w:val="001F5C82"/>
    <w:rsid w:val="00200A9D"/>
    <w:rsid w:val="00200C9C"/>
    <w:rsid w:val="00200FC9"/>
    <w:rsid w:val="00202359"/>
    <w:rsid w:val="00202429"/>
    <w:rsid w:val="00202661"/>
    <w:rsid w:val="00202C50"/>
    <w:rsid w:val="00202D46"/>
    <w:rsid w:val="00203D01"/>
    <w:rsid w:val="002049CC"/>
    <w:rsid w:val="002065F8"/>
    <w:rsid w:val="002066C6"/>
    <w:rsid w:val="00206803"/>
    <w:rsid w:val="00206C71"/>
    <w:rsid w:val="00210F5E"/>
    <w:rsid w:val="002114EA"/>
    <w:rsid w:val="002130AE"/>
    <w:rsid w:val="0021359C"/>
    <w:rsid w:val="002141E0"/>
    <w:rsid w:val="00217AE4"/>
    <w:rsid w:val="00217B71"/>
    <w:rsid w:val="00221B8B"/>
    <w:rsid w:val="002229D4"/>
    <w:rsid w:val="00222DA7"/>
    <w:rsid w:val="00223D97"/>
    <w:rsid w:val="00224251"/>
    <w:rsid w:val="0022492D"/>
    <w:rsid w:val="00224DAB"/>
    <w:rsid w:val="002250B2"/>
    <w:rsid w:val="00227057"/>
    <w:rsid w:val="00227FA4"/>
    <w:rsid w:val="002308EF"/>
    <w:rsid w:val="00230FCE"/>
    <w:rsid w:val="0023233D"/>
    <w:rsid w:val="002375B4"/>
    <w:rsid w:val="00237694"/>
    <w:rsid w:val="00237C96"/>
    <w:rsid w:val="00237E42"/>
    <w:rsid w:val="00240AA0"/>
    <w:rsid w:val="00241F9A"/>
    <w:rsid w:val="002423A3"/>
    <w:rsid w:val="002447B2"/>
    <w:rsid w:val="00244A0C"/>
    <w:rsid w:val="00244E44"/>
    <w:rsid w:val="002454B4"/>
    <w:rsid w:val="00245764"/>
    <w:rsid w:val="00245B14"/>
    <w:rsid w:val="0024664B"/>
    <w:rsid w:val="00246ECB"/>
    <w:rsid w:val="002479C3"/>
    <w:rsid w:val="00247FF4"/>
    <w:rsid w:val="00250223"/>
    <w:rsid w:val="00250945"/>
    <w:rsid w:val="0025132E"/>
    <w:rsid w:val="00251E73"/>
    <w:rsid w:val="00252BDC"/>
    <w:rsid w:val="00253B81"/>
    <w:rsid w:val="00253F11"/>
    <w:rsid w:val="00255DA1"/>
    <w:rsid w:val="00256479"/>
    <w:rsid w:val="00256A69"/>
    <w:rsid w:val="00257D18"/>
    <w:rsid w:val="00257EC9"/>
    <w:rsid w:val="002601A0"/>
    <w:rsid w:val="00260379"/>
    <w:rsid w:val="002604AD"/>
    <w:rsid w:val="00260C7C"/>
    <w:rsid w:val="002626A5"/>
    <w:rsid w:val="00263128"/>
    <w:rsid w:val="002636C2"/>
    <w:rsid w:val="00264786"/>
    <w:rsid w:val="00265487"/>
    <w:rsid w:val="002656D4"/>
    <w:rsid w:val="002700F9"/>
    <w:rsid w:val="00270471"/>
    <w:rsid w:val="002712B1"/>
    <w:rsid w:val="00273125"/>
    <w:rsid w:val="00275162"/>
    <w:rsid w:val="00275820"/>
    <w:rsid w:val="00277433"/>
    <w:rsid w:val="00280A6B"/>
    <w:rsid w:val="00280CAF"/>
    <w:rsid w:val="00282176"/>
    <w:rsid w:val="002827CD"/>
    <w:rsid w:val="00284FCD"/>
    <w:rsid w:val="00284FEE"/>
    <w:rsid w:val="00291864"/>
    <w:rsid w:val="0029231B"/>
    <w:rsid w:val="00292AC6"/>
    <w:rsid w:val="00293BDD"/>
    <w:rsid w:val="00293F40"/>
    <w:rsid w:val="00293F99"/>
    <w:rsid w:val="002956DF"/>
    <w:rsid w:val="00295DAD"/>
    <w:rsid w:val="0029687D"/>
    <w:rsid w:val="002968F5"/>
    <w:rsid w:val="0029708F"/>
    <w:rsid w:val="002A0A39"/>
    <w:rsid w:val="002A0AD3"/>
    <w:rsid w:val="002A1844"/>
    <w:rsid w:val="002A220C"/>
    <w:rsid w:val="002A2376"/>
    <w:rsid w:val="002A274D"/>
    <w:rsid w:val="002A37BD"/>
    <w:rsid w:val="002A43F6"/>
    <w:rsid w:val="002A4869"/>
    <w:rsid w:val="002A59FD"/>
    <w:rsid w:val="002A5F23"/>
    <w:rsid w:val="002A5FDD"/>
    <w:rsid w:val="002A71A2"/>
    <w:rsid w:val="002A7431"/>
    <w:rsid w:val="002A7680"/>
    <w:rsid w:val="002A7FF4"/>
    <w:rsid w:val="002B06F1"/>
    <w:rsid w:val="002B0F43"/>
    <w:rsid w:val="002B1333"/>
    <w:rsid w:val="002B1766"/>
    <w:rsid w:val="002B1FA9"/>
    <w:rsid w:val="002B2368"/>
    <w:rsid w:val="002B346F"/>
    <w:rsid w:val="002B36D0"/>
    <w:rsid w:val="002B3E22"/>
    <w:rsid w:val="002B4857"/>
    <w:rsid w:val="002B5F8F"/>
    <w:rsid w:val="002B6104"/>
    <w:rsid w:val="002B7F28"/>
    <w:rsid w:val="002C123A"/>
    <w:rsid w:val="002C1931"/>
    <w:rsid w:val="002C1D0A"/>
    <w:rsid w:val="002C1DCA"/>
    <w:rsid w:val="002C2979"/>
    <w:rsid w:val="002C3693"/>
    <w:rsid w:val="002C49DB"/>
    <w:rsid w:val="002C54C1"/>
    <w:rsid w:val="002C5A28"/>
    <w:rsid w:val="002D0604"/>
    <w:rsid w:val="002D0C26"/>
    <w:rsid w:val="002D1011"/>
    <w:rsid w:val="002D19DF"/>
    <w:rsid w:val="002D1A6C"/>
    <w:rsid w:val="002D1E8E"/>
    <w:rsid w:val="002D25E2"/>
    <w:rsid w:val="002D37A7"/>
    <w:rsid w:val="002D6BF3"/>
    <w:rsid w:val="002D74F3"/>
    <w:rsid w:val="002D7B93"/>
    <w:rsid w:val="002E13D9"/>
    <w:rsid w:val="002E210E"/>
    <w:rsid w:val="002E21A3"/>
    <w:rsid w:val="002E2DBA"/>
    <w:rsid w:val="002E3C03"/>
    <w:rsid w:val="002E41D2"/>
    <w:rsid w:val="002E5F6D"/>
    <w:rsid w:val="002E615B"/>
    <w:rsid w:val="002E6409"/>
    <w:rsid w:val="002E6ACC"/>
    <w:rsid w:val="002E7780"/>
    <w:rsid w:val="002F026D"/>
    <w:rsid w:val="002F1560"/>
    <w:rsid w:val="002F17E9"/>
    <w:rsid w:val="002F1919"/>
    <w:rsid w:val="002F3167"/>
    <w:rsid w:val="002F5EF2"/>
    <w:rsid w:val="002F798A"/>
    <w:rsid w:val="003006DB"/>
    <w:rsid w:val="00302CC5"/>
    <w:rsid w:val="00303A34"/>
    <w:rsid w:val="00304A19"/>
    <w:rsid w:val="00304A37"/>
    <w:rsid w:val="00304C60"/>
    <w:rsid w:val="00306250"/>
    <w:rsid w:val="00306CED"/>
    <w:rsid w:val="003072C6"/>
    <w:rsid w:val="0030781D"/>
    <w:rsid w:val="0030786D"/>
    <w:rsid w:val="00310934"/>
    <w:rsid w:val="00310B3D"/>
    <w:rsid w:val="003111F8"/>
    <w:rsid w:val="003151B8"/>
    <w:rsid w:val="00317425"/>
    <w:rsid w:val="00320079"/>
    <w:rsid w:val="003203B0"/>
    <w:rsid w:val="003213CC"/>
    <w:rsid w:val="00321829"/>
    <w:rsid w:val="00321E44"/>
    <w:rsid w:val="0032283C"/>
    <w:rsid w:val="003229FD"/>
    <w:rsid w:val="00323340"/>
    <w:rsid w:val="003244E4"/>
    <w:rsid w:val="00324543"/>
    <w:rsid w:val="00325475"/>
    <w:rsid w:val="00325B99"/>
    <w:rsid w:val="00326631"/>
    <w:rsid w:val="00326D65"/>
    <w:rsid w:val="00326FC6"/>
    <w:rsid w:val="00326FD6"/>
    <w:rsid w:val="003271A6"/>
    <w:rsid w:val="003271F6"/>
    <w:rsid w:val="00331564"/>
    <w:rsid w:val="003318B7"/>
    <w:rsid w:val="00331E3E"/>
    <w:rsid w:val="00332366"/>
    <w:rsid w:val="003324B8"/>
    <w:rsid w:val="003327C5"/>
    <w:rsid w:val="00333A2A"/>
    <w:rsid w:val="00334449"/>
    <w:rsid w:val="003351F3"/>
    <w:rsid w:val="00336205"/>
    <w:rsid w:val="00341C10"/>
    <w:rsid w:val="00343C36"/>
    <w:rsid w:val="00345049"/>
    <w:rsid w:val="00345065"/>
    <w:rsid w:val="00345F81"/>
    <w:rsid w:val="00347E47"/>
    <w:rsid w:val="003509C1"/>
    <w:rsid w:val="00351C60"/>
    <w:rsid w:val="00352108"/>
    <w:rsid w:val="00354822"/>
    <w:rsid w:val="00356707"/>
    <w:rsid w:val="00356C27"/>
    <w:rsid w:val="00357681"/>
    <w:rsid w:val="00360A4C"/>
    <w:rsid w:val="00361148"/>
    <w:rsid w:val="003616E2"/>
    <w:rsid w:val="003624C5"/>
    <w:rsid w:val="00362A12"/>
    <w:rsid w:val="003630A3"/>
    <w:rsid w:val="00363265"/>
    <w:rsid w:val="003639EB"/>
    <w:rsid w:val="00367640"/>
    <w:rsid w:val="00371C3D"/>
    <w:rsid w:val="00372472"/>
    <w:rsid w:val="00372BCF"/>
    <w:rsid w:val="0037325A"/>
    <w:rsid w:val="00374DA6"/>
    <w:rsid w:val="00375F5B"/>
    <w:rsid w:val="00376CA1"/>
    <w:rsid w:val="00381BEC"/>
    <w:rsid w:val="00381DDF"/>
    <w:rsid w:val="003825C8"/>
    <w:rsid w:val="00382746"/>
    <w:rsid w:val="003852E3"/>
    <w:rsid w:val="00385A70"/>
    <w:rsid w:val="00386357"/>
    <w:rsid w:val="00391216"/>
    <w:rsid w:val="00392494"/>
    <w:rsid w:val="00393884"/>
    <w:rsid w:val="003948A0"/>
    <w:rsid w:val="00394E58"/>
    <w:rsid w:val="003953F1"/>
    <w:rsid w:val="003955FF"/>
    <w:rsid w:val="00397C3D"/>
    <w:rsid w:val="003A0005"/>
    <w:rsid w:val="003A1062"/>
    <w:rsid w:val="003A2FB2"/>
    <w:rsid w:val="003A564E"/>
    <w:rsid w:val="003A5E5F"/>
    <w:rsid w:val="003A6148"/>
    <w:rsid w:val="003A666F"/>
    <w:rsid w:val="003A6AC6"/>
    <w:rsid w:val="003A6B66"/>
    <w:rsid w:val="003A6E7F"/>
    <w:rsid w:val="003A78E1"/>
    <w:rsid w:val="003A7D6F"/>
    <w:rsid w:val="003B15BC"/>
    <w:rsid w:val="003B234B"/>
    <w:rsid w:val="003B24CA"/>
    <w:rsid w:val="003B2E83"/>
    <w:rsid w:val="003B45C8"/>
    <w:rsid w:val="003B4675"/>
    <w:rsid w:val="003B5A07"/>
    <w:rsid w:val="003B5AAA"/>
    <w:rsid w:val="003B65E8"/>
    <w:rsid w:val="003B7205"/>
    <w:rsid w:val="003B7924"/>
    <w:rsid w:val="003B7C4C"/>
    <w:rsid w:val="003C02C3"/>
    <w:rsid w:val="003C0543"/>
    <w:rsid w:val="003C4D04"/>
    <w:rsid w:val="003C5224"/>
    <w:rsid w:val="003C6897"/>
    <w:rsid w:val="003C7E99"/>
    <w:rsid w:val="003D026F"/>
    <w:rsid w:val="003D089B"/>
    <w:rsid w:val="003D2EBD"/>
    <w:rsid w:val="003D2F98"/>
    <w:rsid w:val="003D715B"/>
    <w:rsid w:val="003D735D"/>
    <w:rsid w:val="003E0397"/>
    <w:rsid w:val="003E0968"/>
    <w:rsid w:val="003E12DB"/>
    <w:rsid w:val="003E18B3"/>
    <w:rsid w:val="003E3D42"/>
    <w:rsid w:val="003E4038"/>
    <w:rsid w:val="003E5EFE"/>
    <w:rsid w:val="003E65D9"/>
    <w:rsid w:val="003E722D"/>
    <w:rsid w:val="003E74FE"/>
    <w:rsid w:val="003E762A"/>
    <w:rsid w:val="003F23EE"/>
    <w:rsid w:val="003F277E"/>
    <w:rsid w:val="003F2EEE"/>
    <w:rsid w:val="003F3FB0"/>
    <w:rsid w:val="003F4A66"/>
    <w:rsid w:val="003F4D48"/>
    <w:rsid w:val="003F5948"/>
    <w:rsid w:val="003F774E"/>
    <w:rsid w:val="00400958"/>
    <w:rsid w:val="00400C65"/>
    <w:rsid w:val="004014B7"/>
    <w:rsid w:val="00401C84"/>
    <w:rsid w:val="004021D3"/>
    <w:rsid w:val="0040265D"/>
    <w:rsid w:val="00402A72"/>
    <w:rsid w:val="004037DA"/>
    <w:rsid w:val="00406099"/>
    <w:rsid w:val="00410732"/>
    <w:rsid w:val="004110D1"/>
    <w:rsid w:val="00411EBD"/>
    <w:rsid w:val="00413427"/>
    <w:rsid w:val="00414833"/>
    <w:rsid w:val="00415A9F"/>
    <w:rsid w:val="004161AA"/>
    <w:rsid w:val="00420178"/>
    <w:rsid w:val="0042038A"/>
    <w:rsid w:val="004204C0"/>
    <w:rsid w:val="004219BC"/>
    <w:rsid w:val="00421EDF"/>
    <w:rsid w:val="0042414A"/>
    <w:rsid w:val="00424AA3"/>
    <w:rsid w:val="00425528"/>
    <w:rsid w:val="00425F91"/>
    <w:rsid w:val="00426195"/>
    <w:rsid w:val="00426F8B"/>
    <w:rsid w:val="004274F3"/>
    <w:rsid w:val="00427776"/>
    <w:rsid w:val="00427CA2"/>
    <w:rsid w:val="00427E57"/>
    <w:rsid w:val="00431DCB"/>
    <w:rsid w:val="004322F5"/>
    <w:rsid w:val="004322FF"/>
    <w:rsid w:val="00433EAF"/>
    <w:rsid w:val="00434C6B"/>
    <w:rsid w:val="004352A5"/>
    <w:rsid w:val="004372F7"/>
    <w:rsid w:val="004379DF"/>
    <w:rsid w:val="00440FCA"/>
    <w:rsid w:val="00441245"/>
    <w:rsid w:val="0044142E"/>
    <w:rsid w:val="00444945"/>
    <w:rsid w:val="00445569"/>
    <w:rsid w:val="004464C1"/>
    <w:rsid w:val="00450098"/>
    <w:rsid w:val="0045016D"/>
    <w:rsid w:val="00450268"/>
    <w:rsid w:val="004507D1"/>
    <w:rsid w:val="00450B02"/>
    <w:rsid w:val="00450F0F"/>
    <w:rsid w:val="00453C0B"/>
    <w:rsid w:val="004543DA"/>
    <w:rsid w:val="00454791"/>
    <w:rsid w:val="00454ECF"/>
    <w:rsid w:val="0045562D"/>
    <w:rsid w:val="00455FE0"/>
    <w:rsid w:val="00457ADF"/>
    <w:rsid w:val="00460A91"/>
    <w:rsid w:val="00461AAE"/>
    <w:rsid w:val="004621AA"/>
    <w:rsid w:val="00462513"/>
    <w:rsid w:val="00462A78"/>
    <w:rsid w:val="004631C5"/>
    <w:rsid w:val="004647D7"/>
    <w:rsid w:val="00464EDE"/>
    <w:rsid w:val="004664DC"/>
    <w:rsid w:val="004677E3"/>
    <w:rsid w:val="00467B70"/>
    <w:rsid w:val="00470A8A"/>
    <w:rsid w:val="004711B8"/>
    <w:rsid w:val="00471471"/>
    <w:rsid w:val="00471E44"/>
    <w:rsid w:val="00472B2E"/>
    <w:rsid w:val="00472C7B"/>
    <w:rsid w:val="004741FE"/>
    <w:rsid w:val="00474296"/>
    <w:rsid w:val="004748DE"/>
    <w:rsid w:val="00474F00"/>
    <w:rsid w:val="00474F74"/>
    <w:rsid w:val="004755E9"/>
    <w:rsid w:val="00475607"/>
    <w:rsid w:val="004756F5"/>
    <w:rsid w:val="00475C6F"/>
    <w:rsid w:val="0047629A"/>
    <w:rsid w:val="00476EC9"/>
    <w:rsid w:val="00477B74"/>
    <w:rsid w:val="00477EA7"/>
    <w:rsid w:val="0048081F"/>
    <w:rsid w:val="00480C77"/>
    <w:rsid w:val="00483754"/>
    <w:rsid w:val="0048417F"/>
    <w:rsid w:val="0048462C"/>
    <w:rsid w:val="00485243"/>
    <w:rsid w:val="00487410"/>
    <w:rsid w:val="00490B91"/>
    <w:rsid w:val="0049179F"/>
    <w:rsid w:val="00491ABB"/>
    <w:rsid w:val="00491F26"/>
    <w:rsid w:val="00493340"/>
    <w:rsid w:val="00493489"/>
    <w:rsid w:val="004935F0"/>
    <w:rsid w:val="00496234"/>
    <w:rsid w:val="004A0794"/>
    <w:rsid w:val="004A0FB4"/>
    <w:rsid w:val="004A3EB0"/>
    <w:rsid w:val="004A422F"/>
    <w:rsid w:val="004A4B4E"/>
    <w:rsid w:val="004A4E6E"/>
    <w:rsid w:val="004A5DBC"/>
    <w:rsid w:val="004A71D3"/>
    <w:rsid w:val="004A77E8"/>
    <w:rsid w:val="004A796F"/>
    <w:rsid w:val="004A7F0A"/>
    <w:rsid w:val="004B033C"/>
    <w:rsid w:val="004B2B5D"/>
    <w:rsid w:val="004B37E7"/>
    <w:rsid w:val="004B3BEC"/>
    <w:rsid w:val="004B4083"/>
    <w:rsid w:val="004B470F"/>
    <w:rsid w:val="004B65B3"/>
    <w:rsid w:val="004B6AC8"/>
    <w:rsid w:val="004B6F9C"/>
    <w:rsid w:val="004B7D4E"/>
    <w:rsid w:val="004C000D"/>
    <w:rsid w:val="004C00DF"/>
    <w:rsid w:val="004C122A"/>
    <w:rsid w:val="004C153B"/>
    <w:rsid w:val="004C1E26"/>
    <w:rsid w:val="004C2554"/>
    <w:rsid w:val="004C25B3"/>
    <w:rsid w:val="004C2CB7"/>
    <w:rsid w:val="004C31BD"/>
    <w:rsid w:val="004C48C5"/>
    <w:rsid w:val="004C57D7"/>
    <w:rsid w:val="004C5D9E"/>
    <w:rsid w:val="004C61F4"/>
    <w:rsid w:val="004C7A43"/>
    <w:rsid w:val="004C7DA2"/>
    <w:rsid w:val="004D059A"/>
    <w:rsid w:val="004D0D43"/>
    <w:rsid w:val="004D0F05"/>
    <w:rsid w:val="004D1F9F"/>
    <w:rsid w:val="004D25B8"/>
    <w:rsid w:val="004D32F7"/>
    <w:rsid w:val="004D3D8D"/>
    <w:rsid w:val="004D3DAD"/>
    <w:rsid w:val="004D3DC9"/>
    <w:rsid w:val="004D52C8"/>
    <w:rsid w:val="004D5D83"/>
    <w:rsid w:val="004D6521"/>
    <w:rsid w:val="004E126C"/>
    <w:rsid w:val="004E1ED8"/>
    <w:rsid w:val="004E1FAE"/>
    <w:rsid w:val="004E29ED"/>
    <w:rsid w:val="004E2C00"/>
    <w:rsid w:val="004E3AAD"/>
    <w:rsid w:val="004E3DF7"/>
    <w:rsid w:val="004E3E61"/>
    <w:rsid w:val="004E428E"/>
    <w:rsid w:val="004E4E9B"/>
    <w:rsid w:val="004E5995"/>
    <w:rsid w:val="004F0044"/>
    <w:rsid w:val="004F0E6E"/>
    <w:rsid w:val="004F117B"/>
    <w:rsid w:val="004F17B3"/>
    <w:rsid w:val="004F2793"/>
    <w:rsid w:val="004F4143"/>
    <w:rsid w:val="004F4814"/>
    <w:rsid w:val="004F5736"/>
    <w:rsid w:val="004F6047"/>
    <w:rsid w:val="004F7E37"/>
    <w:rsid w:val="004F7EC8"/>
    <w:rsid w:val="00500218"/>
    <w:rsid w:val="00502567"/>
    <w:rsid w:val="00502815"/>
    <w:rsid w:val="00502AE7"/>
    <w:rsid w:val="00503CB8"/>
    <w:rsid w:val="005047ED"/>
    <w:rsid w:val="00505CB2"/>
    <w:rsid w:val="0050679B"/>
    <w:rsid w:val="00506C37"/>
    <w:rsid w:val="005076EE"/>
    <w:rsid w:val="00507E64"/>
    <w:rsid w:val="005109E9"/>
    <w:rsid w:val="0051202A"/>
    <w:rsid w:val="00512FDD"/>
    <w:rsid w:val="00513F11"/>
    <w:rsid w:val="00514772"/>
    <w:rsid w:val="00514FEA"/>
    <w:rsid w:val="00515833"/>
    <w:rsid w:val="0051725C"/>
    <w:rsid w:val="00517CE3"/>
    <w:rsid w:val="00521087"/>
    <w:rsid w:val="0052262E"/>
    <w:rsid w:val="0052472F"/>
    <w:rsid w:val="005258D6"/>
    <w:rsid w:val="00527CDC"/>
    <w:rsid w:val="00527E53"/>
    <w:rsid w:val="00531671"/>
    <w:rsid w:val="00532DC3"/>
    <w:rsid w:val="00534676"/>
    <w:rsid w:val="0053511D"/>
    <w:rsid w:val="00535A00"/>
    <w:rsid w:val="00535A10"/>
    <w:rsid w:val="00535EC5"/>
    <w:rsid w:val="00536748"/>
    <w:rsid w:val="005379B6"/>
    <w:rsid w:val="00542CE9"/>
    <w:rsid w:val="00544619"/>
    <w:rsid w:val="00547D0B"/>
    <w:rsid w:val="00550027"/>
    <w:rsid w:val="005502BE"/>
    <w:rsid w:val="00550BC4"/>
    <w:rsid w:val="005513B4"/>
    <w:rsid w:val="005514C2"/>
    <w:rsid w:val="00552387"/>
    <w:rsid w:val="00552BAA"/>
    <w:rsid w:val="005533DC"/>
    <w:rsid w:val="00554291"/>
    <w:rsid w:val="00554440"/>
    <w:rsid w:val="0055452A"/>
    <w:rsid w:val="00554C94"/>
    <w:rsid w:val="00556C52"/>
    <w:rsid w:val="00557816"/>
    <w:rsid w:val="00560970"/>
    <w:rsid w:val="00560D6A"/>
    <w:rsid w:val="005618F9"/>
    <w:rsid w:val="00561EC6"/>
    <w:rsid w:val="005622F4"/>
    <w:rsid w:val="00562B7D"/>
    <w:rsid w:val="005631DD"/>
    <w:rsid w:val="00564E40"/>
    <w:rsid w:val="00565469"/>
    <w:rsid w:val="005671D1"/>
    <w:rsid w:val="00567DC5"/>
    <w:rsid w:val="005711A1"/>
    <w:rsid w:val="005717DB"/>
    <w:rsid w:val="00571D53"/>
    <w:rsid w:val="00571F3F"/>
    <w:rsid w:val="00572AB4"/>
    <w:rsid w:val="0057380B"/>
    <w:rsid w:val="0057393E"/>
    <w:rsid w:val="00573BD9"/>
    <w:rsid w:val="0057480F"/>
    <w:rsid w:val="00574C3D"/>
    <w:rsid w:val="00576296"/>
    <w:rsid w:val="00576986"/>
    <w:rsid w:val="00577E5B"/>
    <w:rsid w:val="00580D9E"/>
    <w:rsid w:val="00581C43"/>
    <w:rsid w:val="00581C45"/>
    <w:rsid w:val="00582130"/>
    <w:rsid w:val="00583B24"/>
    <w:rsid w:val="00583F81"/>
    <w:rsid w:val="005841A3"/>
    <w:rsid w:val="00585E0F"/>
    <w:rsid w:val="0058656F"/>
    <w:rsid w:val="005872D9"/>
    <w:rsid w:val="00587C24"/>
    <w:rsid w:val="00590934"/>
    <w:rsid w:val="00591AD6"/>
    <w:rsid w:val="00592DBB"/>
    <w:rsid w:val="00594D47"/>
    <w:rsid w:val="0059649C"/>
    <w:rsid w:val="00596851"/>
    <w:rsid w:val="00596DC9"/>
    <w:rsid w:val="005971A8"/>
    <w:rsid w:val="005A0F77"/>
    <w:rsid w:val="005A1148"/>
    <w:rsid w:val="005A1381"/>
    <w:rsid w:val="005A2038"/>
    <w:rsid w:val="005A44A4"/>
    <w:rsid w:val="005A50C2"/>
    <w:rsid w:val="005A5C49"/>
    <w:rsid w:val="005A5F3E"/>
    <w:rsid w:val="005A62DE"/>
    <w:rsid w:val="005A6413"/>
    <w:rsid w:val="005A74A4"/>
    <w:rsid w:val="005A7646"/>
    <w:rsid w:val="005B0949"/>
    <w:rsid w:val="005B09DC"/>
    <w:rsid w:val="005B2505"/>
    <w:rsid w:val="005B2571"/>
    <w:rsid w:val="005B25DA"/>
    <w:rsid w:val="005B268B"/>
    <w:rsid w:val="005B2C3F"/>
    <w:rsid w:val="005B3046"/>
    <w:rsid w:val="005B56B7"/>
    <w:rsid w:val="005B574E"/>
    <w:rsid w:val="005B5A2E"/>
    <w:rsid w:val="005B5F1F"/>
    <w:rsid w:val="005B5F85"/>
    <w:rsid w:val="005B6851"/>
    <w:rsid w:val="005B6924"/>
    <w:rsid w:val="005B6C5E"/>
    <w:rsid w:val="005B7730"/>
    <w:rsid w:val="005B7AF4"/>
    <w:rsid w:val="005B7D6B"/>
    <w:rsid w:val="005C083F"/>
    <w:rsid w:val="005C098C"/>
    <w:rsid w:val="005C0C8F"/>
    <w:rsid w:val="005C140D"/>
    <w:rsid w:val="005C18FE"/>
    <w:rsid w:val="005C3BB9"/>
    <w:rsid w:val="005C43C7"/>
    <w:rsid w:val="005C4D93"/>
    <w:rsid w:val="005C4FBC"/>
    <w:rsid w:val="005C6073"/>
    <w:rsid w:val="005C7C39"/>
    <w:rsid w:val="005D0832"/>
    <w:rsid w:val="005D0BB9"/>
    <w:rsid w:val="005D1C02"/>
    <w:rsid w:val="005D372D"/>
    <w:rsid w:val="005D4CCC"/>
    <w:rsid w:val="005D4D3D"/>
    <w:rsid w:val="005D4E9B"/>
    <w:rsid w:val="005D653E"/>
    <w:rsid w:val="005D7ABE"/>
    <w:rsid w:val="005E020D"/>
    <w:rsid w:val="005E0502"/>
    <w:rsid w:val="005E0BBD"/>
    <w:rsid w:val="005E0CCD"/>
    <w:rsid w:val="005E1B26"/>
    <w:rsid w:val="005E245D"/>
    <w:rsid w:val="005E2C99"/>
    <w:rsid w:val="005E36E8"/>
    <w:rsid w:val="005E4294"/>
    <w:rsid w:val="005E4417"/>
    <w:rsid w:val="005E4890"/>
    <w:rsid w:val="005E4A38"/>
    <w:rsid w:val="005E50CD"/>
    <w:rsid w:val="005E5420"/>
    <w:rsid w:val="005E6F35"/>
    <w:rsid w:val="005E7019"/>
    <w:rsid w:val="005E7A55"/>
    <w:rsid w:val="005E7C4C"/>
    <w:rsid w:val="005F0C2F"/>
    <w:rsid w:val="005F118C"/>
    <w:rsid w:val="005F13F1"/>
    <w:rsid w:val="005F2143"/>
    <w:rsid w:val="005F48F9"/>
    <w:rsid w:val="005F4BFE"/>
    <w:rsid w:val="00600609"/>
    <w:rsid w:val="00601711"/>
    <w:rsid w:val="00601DE5"/>
    <w:rsid w:val="00601EDF"/>
    <w:rsid w:val="00602125"/>
    <w:rsid w:val="006035D7"/>
    <w:rsid w:val="00604BBA"/>
    <w:rsid w:val="006056F9"/>
    <w:rsid w:val="006058C6"/>
    <w:rsid w:val="0060797A"/>
    <w:rsid w:val="0061077D"/>
    <w:rsid w:val="00610E2B"/>
    <w:rsid w:val="00612469"/>
    <w:rsid w:val="006125F4"/>
    <w:rsid w:val="00613E27"/>
    <w:rsid w:val="006148AC"/>
    <w:rsid w:val="00615E30"/>
    <w:rsid w:val="006169CB"/>
    <w:rsid w:val="00620465"/>
    <w:rsid w:val="006211A2"/>
    <w:rsid w:val="00621706"/>
    <w:rsid w:val="00621B86"/>
    <w:rsid w:val="0062322E"/>
    <w:rsid w:val="00624063"/>
    <w:rsid w:val="006249DA"/>
    <w:rsid w:val="00625C87"/>
    <w:rsid w:val="00626FFD"/>
    <w:rsid w:val="00627899"/>
    <w:rsid w:val="00627A3E"/>
    <w:rsid w:val="006312C6"/>
    <w:rsid w:val="00632080"/>
    <w:rsid w:val="00633826"/>
    <w:rsid w:val="00633DE6"/>
    <w:rsid w:val="00633EEB"/>
    <w:rsid w:val="00636CA9"/>
    <w:rsid w:val="00640B8B"/>
    <w:rsid w:val="00642F17"/>
    <w:rsid w:val="00643250"/>
    <w:rsid w:val="00644700"/>
    <w:rsid w:val="00646BB2"/>
    <w:rsid w:val="00647740"/>
    <w:rsid w:val="00650667"/>
    <w:rsid w:val="00650B58"/>
    <w:rsid w:val="00650B62"/>
    <w:rsid w:val="00651591"/>
    <w:rsid w:val="006516B3"/>
    <w:rsid w:val="00652523"/>
    <w:rsid w:val="006525B3"/>
    <w:rsid w:val="00652BAA"/>
    <w:rsid w:val="006532C6"/>
    <w:rsid w:val="0065389B"/>
    <w:rsid w:val="00657157"/>
    <w:rsid w:val="00657479"/>
    <w:rsid w:val="006577CC"/>
    <w:rsid w:val="0066139E"/>
    <w:rsid w:val="006643BE"/>
    <w:rsid w:val="006654CE"/>
    <w:rsid w:val="00666978"/>
    <w:rsid w:val="00666CC2"/>
    <w:rsid w:val="0066759B"/>
    <w:rsid w:val="00667B13"/>
    <w:rsid w:val="00671875"/>
    <w:rsid w:val="006735F5"/>
    <w:rsid w:val="00673947"/>
    <w:rsid w:val="0067412C"/>
    <w:rsid w:val="00675DC8"/>
    <w:rsid w:val="00675E5F"/>
    <w:rsid w:val="006767E7"/>
    <w:rsid w:val="00677A26"/>
    <w:rsid w:val="006803AB"/>
    <w:rsid w:val="00680902"/>
    <w:rsid w:val="00680A5C"/>
    <w:rsid w:val="006811D8"/>
    <w:rsid w:val="00682412"/>
    <w:rsid w:val="00682499"/>
    <w:rsid w:val="00683059"/>
    <w:rsid w:val="006833E0"/>
    <w:rsid w:val="00683958"/>
    <w:rsid w:val="00683A25"/>
    <w:rsid w:val="00684641"/>
    <w:rsid w:val="00685238"/>
    <w:rsid w:val="00685838"/>
    <w:rsid w:val="00686B04"/>
    <w:rsid w:val="006877AB"/>
    <w:rsid w:val="006877F8"/>
    <w:rsid w:val="00687844"/>
    <w:rsid w:val="00687E34"/>
    <w:rsid w:val="00693407"/>
    <w:rsid w:val="00693440"/>
    <w:rsid w:val="006940DD"/>
    <w:rsid w:val="006948D5"/>
    <w:rsid w:val="00694A49"/>
    <w:rsid w:val="00694F76"/>
    <w:rsid w:val="0069585D"/>
    <w:rsid w:val="00696CA4"/>
    <w:rsid w:val="00696DCD"/>
    <w:rsid w:val="006974A3"/>
    <w:rsid w:val="00697A6D"/>
    <w:rsid w:val="006A07DE"/>
    <w:rsid w:val="006A14E8"/>
    <w:rsid w:val="006A177C"/>
    <w:rsid w:val="006A2855"/>
    <w:rsid w:val="006A3295"/>
    <w:rsid w:val="006A43D3"/>
    <w:rsid w:val="006B0B7F"/>
    <w:rsid w:val="006B0C5D"/>
    <w:rsid w:val="006B0E9C"/>
    <w:rsid w:val="006B155B"/>
    <w:rsid w:val="006B1860"/>
    <w:rsid w:val="006B1C54"/>
    <w:rsid w:val="006B208F"/>
    <w:rsid w:val="006B24D3"/>
    <w:rsid w:val="006B264A"/>
    <w:rsid w:val="006B3840"/>
    <w:rsid w:val="006B449B"/>
    <w:rsid w:val="006B4770"/>
    <w:rsid w:val="006B4B8C"/>
    <w:rsid w:val="006B60A4"/>
    <w:rsid w:val="006B6629"/>
    <w:rsid w:val="006B75D3"/>
    <w:rsid w:val="006C0633"/>
    <w:rsid w:val="006C082B"/>
    <w:rsid w:val="006C2044"/>
    <w:rsid w:val="006C3CD0"/>
    <w:rsid w:val="006C3F56"/>
    <w:rsid w:val="006C6CB4"/>
    <w:rsid w:val="006C6D61"/>
    <w:rsid w:val="006C76A7"/>
    <w:rsid w:val="006C7946"/>
    <w:rsid w:val="006D0EAB"/>
    <w:rsid w:val="006D2198"/>
    <w:rsid w:val="006D36F1"/>
    <w:rsid w:val="006D3A03"/>
    <w:rsid w:val="006D5487"/>
    <w:rsid w:val="006D5DBF"/>
    <w:rsid w:val="006D6021"/>
    <w:rsid w:val="006D6505"/>
    <w:rsid w:val="006D6AEF"/>
    <w:rsid w:val="006E0449"/>
    <w:rsid w:val="006E0D35"/>
    <w:rsid w:val="006E1114"/>
    <w:rsid w:val="006E19B3"/>
    <w:rsid w:val="006E1C44"/>
    <w:rsid w:val="006E1D0A"/>
    <w:rsid w:val="006E2CAE"/>
    <w:rsid w:val="006E3C21"/>
    <w:rsid w:val="006E462E"/>
    <w:rsid w:val="006E486F"/>
    <w:rsid w:val="006E5345"/>
    <w:rsid w:val="006E554D"/>
    <w:rsid w:val="006E59C8"/>
    <w:rsid w:val="006E7ED1"/>
    <w:rsid w:val="006F1606"/>
    <w:rsid w:val="006F190A"/>
    <w:rsid w:val="006F2017"/>
    <w:rsid w:val="006F2A18"/>
    <w:rsid w:val="006F3FC1"/>
    <w:rsid w:val="006F49AD"/>
    <w:rsid w:val="006F506D"/>
    <w:rsid w:val="006F5365"/>
    <w:rsid w:val="006F67C0"/>
    <w:rsid w:val="006F76F4"/>
    <w:rsid w:val="007003DD"/>
    <w:rsid w:val="00700824"/>
    <w:rsid w:val="00701470"/>
    <w:rsid w:val="00701CD2"/>
    <w:rsid w:val="00704882"/>
    <w:rsid w:val="00704EF5"/>
    <w:rsid w:val="007051E1"/>
    <w:rsid w:val="007054BC"/>
    <w:rsid w:val="007068F4"/>
    <w:rsid w:val="00707C59"/>
    <w:rsid w:val="00710150"/>
    <w:rsid w:val="00710411"/>
    <w:rsid w:val="00710528"/>
    <w:rsid w:val="0071189D"/>
    <w:rsid w:val="0071195F"/>
    <w:rsid w:val="00711A01"/>
    <w:rsid w:val="00711AE6"/>
    <w:rsid w:val="00713762"/>
    <w:rsid w:val="007150F7"/>
    <w:rsid w:val="00715691"/>
    <w:rsid w:val="00715E1A"/>
    <w:rsid w:val="00716414"/>
    <w:rsid w:val="00720078"/>
    <w:rsid w:val="00720116"/>
    <w:rsid w:val="007205A7"/>
    <w:rsid w:val="00720F69"/>
    <w:rsid w:val="0072328C"/>
    <w:rsid w:val="007239E1"/>
    <w:rsid w:val="00723B0B"/>
    <w:rsid w:val="00725D12"/>
    <w:rsid w:val="00730572"/>
    <w:rsid w:val="00730B42"/>
    <w:rsid w:val="00730D47"/>
    <w:rsid w:val="00731DD6"/>
    <w:rsid w:val="00733DB9"/>
    <w:rsid w:val="007342CA"/>
    <w:rsid w:val="007353CD"/>
    <w:rsid w:val="007354C5"/>
    <w:rsid w:val="00735532"/>
    <w:rsid w:val="00735B5A"/>
    <w:rsid w:val="007364C3"/>
    <w:rsid w:val="007368B6"/>
    <w:rsid w:val="00737480"/>
    <w:rsid w:val="00737962"/>
    <w:rsid w:val="00737C4D"/>
    <w:rsid w:val="00737CDA"/>
    <w:rsid w:val="007416D2"/>
    <w:rsid w:val="007446F8"/>
    <w:rsid w:val="00744883"/>
    <w:rsid w:val="00744BFA"/>
    <w:rsid w:val="00745295"/>
    <w:rsid w:val="007459C6"/>
    <w:rsid w:val="007464C1"/>
    <w:rsid w:val="00754CF1"/>
    <w:rsid w:val="0075504A"/>
    <w:rsid w:val="00755B00"/>
    <w:rsid w:val="00755C91"/>
    <w:rsid w:val="007564AC"/>
    <w:rsid w:val="00757D6E"/>
    <w:rsid w:val="00761CC7"/>
    <w:rsid w:val="00761DE7"/>
    <w:rsid w:val="007621F8"/>
    <w:rsid w:val="0076252E"/>
    <w:rsid w:val="0076271B"/>
    <w:rsid w:val="007634C1"/>
    <w:rsid w:val="00763F4E"/>
    <w:rsid w:val="0076470F"/>
    <w:rsid w:val="00764D1E"/>
    <w:rsid w:val="007660D1"/>
    <w:rsid w:val="007666B4"/>
    <w:rsid w:val="0076677C"/>
    <w:rsid w:val="0077081E"/>
    <w:rsid w:val="00770E53"/>
    <w:rsid w:val="0077169B"/>
    <w:rsid w:val="007719BE"/>
    <w:rsid w:val="00771B2E"/>
    <w:rsid w:val="00771D49"/>
    <w:rsid w:val="007725AD"/>
    <w:rsid w:val="00772A31"/>
    <w:rsid w:val="00773F6B"/>
    <w:rsid w:val="00774092"/>
    <w:rsid w:val="007748C0"/>
    <w:rsid w:val="007749BA"/>
    <w:rsid w:val="00774F97"/>
    <w:rsid w:val="00775043"/>
    <w:rsid w:val="00775255"/>
    <w:rsid w:val="00776D92"/>
    <w:rsid w:val="00776F8F"/>
    <w:rsid w:val="00777F88"/>
    <w:rsid w:val="00781172"/>
    <w:rsid w:val="00781318"/>
    <w:rsid w:val="007813C5"/>
    <w:rsid w:val="00782784"/>
    <w:rsid w:val="00783590"/>
    <w:rsid w:val="00784190"/>
    <w:rsid w:val="007852F7"/>
    <w:rsid w:val="007853B4"/>
    <w:rsid w:val="007869D9"/>
    <w:rsid w:val="00787DDE"/>
    <w:rsid w:val="00787DFE"/>
    <w:rsid w:val="00790A74"/>
    <w:rsid w:val="00791462"/>
    <w:rsid w:val="007915A4"/>
    <w:rsid w:val="00791C9C"/>
    <w:rsid w:val="00791FCF"/>
    <w:rsid w:val="00792837"/>
    <w:rsid w:val="00793314"/>
    <w:rsid w:val="00793457"/>
    <w:rsid w:val="007934E4"/>
    <w:rsid w:val="0079404A"/>
    <w:rsid w:val="00794059"/>
    <w:rsid w:val="00794449"/>
    <w:rsid w:val="00795A9A"/>
    <w:rsid w:val="00795D6F"/>
    <w:rsid w:val="00795FE7"/>
    <w:rsid w:val="00796007"/>
    <w:rsid w:val="007979AE"/>
    <w:rsid w:val="007A03D7"/>
    <w:rsid w:val="007A2B23"/>
    <w:rsid w:val="007A2EF9"/>
    <w:rsid w:val="007A3204"/>
    <w:rsid w:val="007A3453"/>
    <w:rsid w:val="007A34BF"/>
    <w:rsid w:val="007A3DCF"/>
    <w:rsid w:val="007A42F3"/>
    <w:rsid w:val="007A5A28"/>
    <w:rsid w:val="007A74C7"/>
    <w:rsid w:val="007B02F9"/>
    <w:rsid w:val="007B0309"/>
    <w:rsid w:val="007B08C7"/>
    <w:rsid w:val="007B0905"/>
    <w:rsid w:val="007B0EF3"/>
    <w:rsid w:val="007B1618"/>
    <w:rsid w:val="007B4813"/>
    <w:rsid w:val="007B7121"/>
    <w:rsid w:val="007C006E"/>
    <w:rsid w:val="007C0E48"/>
    <w:rsid w:val="007C1CC3"/>
    <w:rsid w:val="007C4E0D"/>
    <w:rsid w:val="007C4FB9"/>
    <w:rsid w:val="007C5E33"/>
    <w:rsid w:val="007C70AB"/>
    <w:rsid w:val="007C7B84"/>
    <w:rsid w:val="007C7B85"/>
    <w:rsid w:val="007C7BE3"/>
    <w:rsid w:val="007D0427"/>
    <w:rsid w:val="007D16F7"/>
    <w:rsid w:val="007D22D8"/>
    <w:rsid w:val="007D255B"/>
    <w:rsid w:val="007D30A7"/>
    <w:rsid w:val="007D393A"/>
    <w:rsid w:val="007D3941"/>
    <w:rsid w:val="007D470C"/>
    <w:rsid w:val="007D5B86"/>
    <w:rsid w:val="007D5D2F"/>
    <w:rsid w:val="007D65BA"/>
    <w:rsid w:val="007D7408"/>
    <w:rsid w:val="007D77BD"/>
    <w:rsid w:val="007E04BD"/>
    <w:rsid w:val="007E1199"/>
    <w:rsid w:val="007E12E8"/>
    <w:rsid w:val="007E22BA"/>
    <w:rsid w:val="007E3431"/>
    <w:rsid w:val="007E4372"/>
    <w:rsid w:val="007E4667"/>
    <w:rsid w:val="007E494B"/>
    <w:rsid w:val="007E55C9"/>
    <w:rsid w:val="007E576D"/>
    <w:rsid w:val="007E6400"/>
    <w:rsid w:val="007E6EB3"/>
    <w:rsid w:val="007E78B4"/>
    <w:rsid w:val="007E78FC"/>
    <w:rsid w:val="007F05F2"/>
    <w:rsid w:val="007F1924"/>
    <w:rsid w:val="007F280C"/>
    <w:rsid w:val="007F298F"/>
    <w:rsid w:val="007F2A45"/>
    <w:rsid w:val="007F2F05"/>
    <w:rsid w:val="007F3DEA"/>
    <w:rsid w:val="007F49E8"/>
    <w:rsid w:val="007F4A21"/>
    <w:rsid w:val="007F5D81"/>
    <w:rsid w:val="007F6276"/>
    <w:rsid w:val="007F6327"/>
    <w:rsid w:val="007F67AE"/>
    <w:rsid w:val="007F7599"/>
    <w:rsid w:val="007F763D"/>
    <w:rsid w:val="007F7775"/>
    <w:rsid w:val="00800180"/>
    <w:rsid w:val="00800F6C"/>
    <w:rsid w:val="00801F4C"/>
    <w:rsid w:val="00802DD2"/>
    <w:rsid w:val="00802F06"/>
    <w:rsid w:val="00804643"/>
    <w:rsid w:val="00807A44"/>
    <w:rsid w:val="00807F0C"/>
    <w:rsid w:val="00807FBC"/>
    <w:rsid w:val="00810931"/>
    <w:rsid w:val="00810C14"/>
    <w:rsid w:val="0081260F"/>
    <w:rsid w:val="00812C18"/>
    <w:rsid w:val="008135D7"/>
    <w:rsid w:val="00813743"/>
    <w:rsid w:val="00814967"/>
    <w:rsid w:val="00815D59"/>
    <w:rsid w:val="00816614"/>
    <w:rsid w:val="00820676"/>
    <w:rsid w:val="00820937"/>
    <w:rsid w:val="00820FF1"/>
    <w:rsid w:val="0082105B"/>
    <w:rsid w:val="0082109D"/>
    <w:rsid w:val="00821945"/>
    <w:rsid w:val="0082347C"/>
    <w:rsid w:val="00823AFC"/>
    <w:rsid w:val="008272F9"/>
    <w:rsid w:val="008277BC"/>
    <w:rsid w:val="00830113"/>
    <w:rsid w:val="00830D5B"/>
    <w:rsid w:val="00831FF0"/>
    <w:rsid w:val="00832021"/>
    <w:rsid w:val="00832D5D"/>
    <w:rsid w:val="00832F41"/>
    <w:rsid w:val="008337CE"/>
    <w:rsid w:val="00834E24"/>
    <w:rsid w:val="00835027"/>
    <w:rsid w:val="008357AE"/>
    <w:rsid w:val="00835EF6"/>
    <w:rsid w:val="00837201"/>
    <w:rsid w:val="00840466"/>
    <w:rsid w:val="00840AC7"/>
    <w:rsid w:val="00841AF5"/>
    <w:rsid w:val="008429A9"/>
    <w:rsid w:val="00842ED0"/>
    <w:rsid w:val="00843310"/>
    <w:rsid w:val="008458E5"/>
    <w:rsid w:val="00845C1A"/>
    <w:rsid w:val="00846EA7"/>
    <w:rsid w:val="00847036"/>
    <w:rsid w:val="00847809"/>
    <w:rsid w:val="00852546"/>
    <w:rsid w:val="00852843"/>
    <w:rsid w:val="00852A6F"/>
    <w:rsid w:val="008553BD"/>
    <w:rsid w:val="00855B48"/>
    <w:rsid w:val="00855C18"/>
    <w:rsid w:val="00860634"/>
    <w:rsid w:val="00860D2E"/>
    <w:rsid w:val="008619D7"/>
    <w:rsid w:val="00862195"/>
    <w:rsid w:val="008640B5"/>
    <w:rsid w:val="00864C06"/>
    <w:rsid w:val="008662B4"/>
    <w:rsid w:val="00866BFD"/>
    <w:rsid w:val="00867A74"/>
    <w:rsid w:val="00870DEC"/>
    <w:rsid w:val="00871DC9"/>
    <w:rsid w:val="00872522"/>
    <w:rsid w:val="00872CE7"/>
    <w:rsid w:val="00872DF0"/>
    <w:rsid w:val="008743E3"/>
    <w:rsid w:val="00874A37"/>
    <w:rsid w:val="0087554F"/>
    <w:rsid w:val="00875796"/>
    <w:rsid w:val="00875A14"/>
    <w:rsid w:val="00876F42"/>
    <w:rsid w:val="0087725F"/>
    <w:rsid w:val="00877E25"/>
    <w:rsid w:val="00880B33"/>
    <w:rsid w:val="00881866"/>
    <w:rsid w:val="00881A6F"/>
    <w:rsid w:val="00882AF2"/>
    <w:rsid w:val="008836BD"/>
    <w:rsid w:val="00884031"/>
    <w:rsid w:val="00885AE3"/>
    <w:rsid w:val="00885B49"/>
    <w:rsid w:val="008864B1"/>
    <w:rsid w:val="00886A91"/>
    <w:rsid w:val="00886AFB"/>
    <w:rsid w:val="00887A55"/>
    <w:rsid w:val="00890063"/>
    <w:rsid w:val="008912A8"/>
    <w:rsid w:val="00891E3F"/>
    <w:rsid w:val="008921A2"/>
    <w:rsid w:val="008923BF"/>
    <w:rsid w:val="008926D6"/>
    <w:rsid w:val="00892A02"/>
    <w:rsid w:val="008937BE"/>
    <w:rsid w:val="00893E1B"/>
    <w:rsid w:val="00894862"/>
    <w:rsid w:val="00894D1D"/>
    <w:rsid w:val="00894D63"/>
    <w:rsid w:val="00895971"/>
    <w:rsid w:val="00895BA6"/>
    <w:rsid w:val="00896194"/>
    <w:rsid w:val="00896346"/>
    <w:rsid w:val="00896C09"/>
    <w:rsid w:val="00897FE6"/>
    <w:rsid w:val="008A13C4"/>
    <w:rsid w:val="008A170A"/>
    <w:rsid w:val="008A230F"/>
    <w:rsid w:val="008A2769"/>
    <w:rsid w:val="008A2F06"/>
    <w:rsid w:val="008A360D"/>
    <w:rsid w:val="008A36D5"/>
    <w:rsid w:val="008A4DFA"/>
    <w:rsid w:val="008A5534"/>
    <w:rsid w:val="008A555F"/>
    <w:rsid w:val="008A5B18"/>
    <w:rsid w:val="008A634A"/>
    <w:rsid w:val="008A63E3"/>
    <w:rsid w:val="008A6CAE"/>
    <w:rsid w:val="008B0567"/>
    <w:rsid w:val="008B0623"/>
    <w:rsid w:val="008B1068"/>
    <w:rsid w:val="008B3090"/>
    <w:rsid w:val="008B3994"/>
    <w:rsid w:val="008B3A59"/>
    <w:rsid w:val="008B5F31"/>
    <w:rsid w:val="008B6610"/>
    <w:rsid w:val="008B6A9A"/>
    <w:rsid w:val="008B6B04"/>
    <w:rsid w:val="008B73F2"/>
    <w:rsid w:val="008C10C2"/>
    <w:rsid w:val="008C1379"/>
    <w:rsid w:val="008C17C3"/>
    <w:rsid w:val="008C1F42"/>
    <w:rsid w:val="008C2750"/>
    <w:rsid w:val="008C2BF0"/>
    <w:rsid w:val="008C35F0"/>
    <w:rsid w:val="008C3709"/>
    <w:rsid w:val="008C3CE3"/>
    <w:rsid w:val="008C4600"/>
    <w:rsid w:val="008C46CA"/>
    <w:rsid w:val="008C52BE"/>
    <w:rsid w:val="008C5DB0"/>
    <w:rsid w:val="008C64BA"/>
    <w:rsid w:val="008C74D8"/>
    <w:rsid w:val="008C7D09"/>
    <w:rsid w:val="008D049C"/>
    <w:rsid w:val="008D197E"/>
    <w:rsid w:val="008D1DAC"/>
    <w:rsid w:val="008D27BD"/>
    <w:rsid w:val="008D3C22"/>
    <w:rsid w:val="008D3C6B"/>
    <w:rsid w:val="008D5A01"/>
    <w:rsid w:val="008D77BB"/>
    <w:rsid w:val="008E1CFB"/>
    <w:rsid w:val="008E1ED8"/>
    <w:rsid w:val="008E294D"/>
    <w:rsid w:val="008E2BB8"/>
    <w:rsid w:val="008E32C8"/>
    <w:rsid w:val="008E3535"/>
    <w:rsid w:val="008E3CE0"/>
    <w:rsid w:val="008E3CFB"/>
    <w:rsid w:val="008E4039"/>
    <w:rsid w:val="008E52C4"/>
    <w:rsid w:val="008E52EE"/>
    <w:rsid w:val="008E5D7C"/>
    <w:rsid w:val="008E7385"/>
    <w:rsid w:val="008F0707"/>
    <w:rsid w:val="008F08D2"/>
    <w:rsid w:val="008F0BA2"/>
    <w:rsid w:val="008F34C5"/>
    <w:rsid w:val="008F3D24"/>
    <w:rsid w:val="008F3D43"/>
    <w:rsid w:val="008F5599"/>
    <w:rsid w:val="008F58D5"/>
    <w:rsid w:val="008F5FA4"/>
    <w:rsid w:val="008F6CF2"/>
    <w:rsid w:val="008F7391"/>
    <w:rsid w:val="008F7881"/>
    <w:rsid w:val="008F7DAD"/>
    <w:rsid w:val="008F7DC1"/>
    <w:rsid w:val="009008BE"/>
    <w:rsid w:val="0090243B"/>
    <w:rsid w:val="00902E44"/>
    <w:rsid w:val="0090310B"/>
    <w:rsid w:val="009036AD"/>
    <w:rsid w:val="0090535E"/>
    <w:rsid w:val="009053DF"/>
    <w:rsid w:val="00905E99"/>
    <w:rsid w:val="009079DE"/>
    <w:rsid w:val="00910D77"/>
    <w:rsid w:val="00911F37"/>
    <w:rsid w:val="00912EA4"/>
    <w:rsid w:val="009133D8"/>
    <w:rsid w:val="00914ABC"/>
    <w:rsid w:val="00914D90"/>
    <w:rsid w:val="0091661E"/>
    <w:rsid w:val="009167A0"/>
    <w:rsid w:val="0091694A"/>
    <w:rsid w:val="00920BAE"/>
    <w:rsid w:val="0092240D"/>
    <w:rsid w:val="009227F6"/>
    <w:rsid w:val="00923E3A"/>
    <w:rsid w:val="0092410D"/>
    <w:rsid w:val="0092470D"/>
    <w:rsid w:val="00924C13"/>
    <w:rsid w:val="00924D7F"/>
    <w:rsid w:val="00925322"/>
    <w:rsid w:val="00925382"/>
    <w:rsid w:val="00930AAD"/>
    <w:rsid w:val="00931049"/>
    <w:rsid w:val="00932419"/>
    <w:rsid w:val="009330BA"/>
    <w:rsid w:val="00933F7F"/>
    <w:rsid w:val="00934786"/>
    <w:rsid w:val="009357B8"/>
    <w:rsid w:val="00936B23"/>
    <w:rsid w:val="00937E63"/>
    <w:rsid w:val="009410B9"/>
    <w:rsid w:val="00941C7E"/>
    <w:rsid w:val="009428B0"/>
    <w:rsid w:val="009428BF"/>
    <w:rsid w:val="00942A00"/>
    <w:rsid w:val="00942D50"/>
    <w:rsid w:val="009433CB"/>
    <w:rsid w:val="00944B2B"/>
    <w:rsid w:val="00946596"/>
    <w:rsid w:val="00946B08"/>
    <w:rsid w:val="00946B84"/>
    <w:rsid w:val="0095042E"/>
    <w:rsid w:val="009518AE"/>
    <w:rsid w:val="00951951"/>
    <w:rsid w:val="00951BED"/>
    <w:rsid w:val="0095362F"/>
    <w:rsid w:val="009543D9"/>
    <w:rsid w:val="00956683"/>
    <w:rsid w:val="00956A66"/>
    <w:rsid w:val="00956CDA"/>
    <w:rsid w:val="00957252"/>
    <w:rsid w:val="00957709"/>
    <w:rsid w:val="00957C40"/>
    <w:rsid w:val="0096112C"/>
    <w:rsid w:val="00961A46"/>
    <w:rsid w:val="00961D22"/>
    <w:rsid w:val="00962477"/>
    <w:rsid w:val="00962484"/>
    <w:rsid w:val="009635DF"/>
    <w:rsid w:val="00964B61"/>
    <w:rsid w:val="00965243"/>
    <w:rsid w:val="00965B66"/>
    <w:rsid w:val="00965B8E"/>
    <w:rsid w:val="009670E6"/>
    <w:rsid w:val="00967548"/>
    <w:rsid w:val="00970DFD"/>
    <w:rsid w:val="00972AA8"/>
    <w:rsid w:val="009743E4"/>
    <w:rsid w:val="00975F40"/>
    <w:rsid w:val="0097611D"/>
    <w:rsid w:val="00976396"/>
    <w:rsid w:val="00976C29"/>
    <w:rsid w:val="0097704D"/>
    <w:rsid w:val="00977068"/>
    <w:rsid w:val="00977991"/>
    <w:rsid w:val="00980995"/>
    <w:rsid w:val="00981115"/>
    <w:rsid w:val="00981427"/>
    <w:rsid w:val="00982767"/>
    <w:rsid w:val="00983414"/>
    <w:rsid w:val="00984112"/>
    <w:rsid w:val="0098422A"/>
    <w:rsid w:val="0098477B"/>
    <w:rsid w:val="009860AE"/>
    <w:rsid w:val="0098685D"/>
    <w:rsid w:val="009902F2"/>
    <w:rsid w:val="00990637"/>
    <w:rsid w:val="0099118E"/>
    <w:rsid w:val="009918C8"/>
    <w:rsid w:val="00992FEF"/>
    <w:rsid w:val="0099375D"/>
    <w:rsid w:val="009937AD"/>
    <w:rsid w:val="00993ABC"/>
    <w:rsid w:val="00993D88"/>
    <w:rsid w:val="0099422F"/>
    <w:rsid w:val="00994762"/>
    <w:rsid w:val="009957CF"/>
    <w:rsid w:val="0099597C"/>
    <w:rsid w:val="00995FE9"/>
    <w:rsid w:val="009966E0"/>
    <w:rsid w:val="009967FD"/>
    <w:rsid w:val="00996FC5"/>
    <w:rsid w:val="00997091"/>
    <w:rsid w:val="00997E6C"/>
    <w:rsid w:val="009A114C"/>
    <w:rsid w:val="009A154E"/>
    <w:rsid w:val="009A1AAA"/>
    <w:rsid w:val="009A2653"/>
    <w:rsid w:val="009A38D0"/>
    <w:rsid w:val="009A41BA"/>
    <w:rsid w:val="009A5679"/>
    <w:rsid w:val="009A5EE0"/>
    <w:rsid w:val="009A62E2"/>
    <w:rsid w:val="009A64BE"/>
    <w:rsid w:val="009A70F1"/>
    <w:rsid w:val="009A767E"/>
    <w:rsid w:val="009B13DA"/>
    <w:rsid w:val="009B452F"/>
    <w:rsid w:val="009B4F9B"/>
    <w:rsid w:val="009B54FE"/>
    <w:rsid w:val="009B5E45"/>
    <w:rsid w:val="009B701C"/>
    <w:rsid w:val="009C176E"/>
    <w:rsid w:val="009C1E6C"/>
    <w:rsid w:val="009C3C48"/>
    <w:rsid w:val="009C5DD4"/>
    <w:rsid w:val="009C6230"/>
    <w:rsid w:val="009C662A"/>
    <w:rsid w:val="009C6A23"/>
    <w:rsid w:val="009C7BAB"/>
    <w:rsid w:val="009D009F"/>
    <w:rsid w:val="009D0656"/>
    <w:rsid w:val="009D12A6"/>
    <w:rsid w:val="009D24AF"/>
    <w:rsid w:val="009D2734"/>
    <w:rsid w:val="009D3B53"/>
    <w:rsid w:val="009D497D"/>
    <w:rsid w:val="009D49F8"/>
    <w:rsid w:val="009D4C6A"/>
    <w:rsid w:val="009D555F"/>
    <w:rsid w:val="009D5881"/>
    <w:rsid w:val="009D6AFB"/>
    <w:rsid w:val="009D7A0B"/>
    <w:rsid w:val="009E1503"/>
    <w:rsid w:val="009E1EA5"/>
    <w:rsid w:val="009E26A4"/>
    <w:rsid w:val="009E2730"/>
    <w:rsid w:val="009E35F7"/>
    <w:rsid w:val="009E371B"/>
    <w:rsid w:val="009E3D3D"/>
    <w:rsid w:val="009E4374"/>
    <w:rsid w:val="009E47F1"/>
    <w:rsid w:val="009E5BB7"/>
    <w:rsid w:val="009E7115"/>
    <w:rsid w:val="009F0229"/>
    <w:rsid w:val="009F0B2E"/>
    <w:rsid w:val="009F0CBA"/>
    <w:rsid w:val="009F40B6"/>
    <w:rsid w:val="009F41EE"/>
    <w:rsid w:val="009F4680"/>
    <w:rsid w:val="009F5973"/>
    <w:rsid w:val="009F5CAE"/>
    <w:rsid w:val="009F5FAF"/>
    <w:rsid w:val="009F63DF"/>
    <w:rsid w:val="009F6EC3"/>
    <w:rsid w:val="009F7661"/>
    <w:rsid w:val="00A00315"/>
    <w:rsid w:val="00A01546"/>
    <w:rsid w:val="00A019A2"/>
    <w:rsid w:val="00A02682"/>
    <w:rsid w:val="00A0368E"/>
    <w:rsid w:val="00A054CD"/>
    <w:rsid w:val="00A067AF"/>
    <w:rsid w:val="00A1059B"/>
    <w:rsid w:val="00A11423"/>
    <w:rsid w:val="00A11857"/>
    <w:rsid w:val="00A125C9"/>
    <w:rsid w:val="00A12D46"/>
    <w:rsid w:val="00A1306A"/>
    <w:rsid w:val="00A137B5"/>
    <w:rsid w:val="00A14BAB"/>
    <w:rsid w:val="00A14D13"/>
    <w:rsid w:val="00A1511C"/>
    <w:rsid w:val="00A15241"/>
    <w:rsid w:val="00A1576B"/>
    <w:rsid w:val="00A163D8"/>
    <w:rsid w:val="00A16D2C"/>
    <w:rsid w:val="00A179A3"/>
    <w:rsid w:val="00A20D9B"/>
    <w:rsid w:val="00A212D0"/>
    <w:rsid w:val="00A21F59"/>
    <w:rsid w:val="00A2216E"/>
    <w:rsid w:val="00A2219D"/>
    <w:rsid w:val="00A22326"/>
    <w:rsid w:val="00A2395D"/>
    <w:rsid w:val="00A24C77"/>
    <w:rsid w:val="00A2538E"/>
    <w:rsid w:val="00A256E9"/>
    <w:rsid w:val="00A25701"/>
    <w:rsid w:val="00A2591E"/>
    <w:rsid w:val="00A26647"/>
    <w:rsid w:val="00A26D94"/>
    <w:rsid w:val="00A27137"/>
    <w:rsid w:val="00A301FB"/>
    <w:rsid w:val="00A302C7"/>
    <w:rsid w:val="00A3119C"/>
    <w:rsid w:val="00A312DD"/>
    <w:rsid w:val="00A314CC"/>
    <w:rsid w:val="00A31F1E"/>
    <w:rsid w:val="00A3393B"/>
    <w:rsid w:val="00A3420F"/>
    <w:rsid w:val="00A34409"/>
    <w:rsid w:val="00A345B1"/>
    <w:rsid w:val="00A34CA6"/>
    <w:rsid w:val="00A3582D"/>
    <w:rsid w:val="00A37494"/>
    <w:rsid w:val="00A376CE"/>
    <w:rsid w:val="00A412FF"/>
    <w:rsid w:val="00A41352"/>
    <w:rsid w:val="00A4197A"/>
    <w:rsid w:val="00A430F1"/>
    <w:rsid w:val="00A454FA"/>
    <w:rsid w:val="00A458B2"/>
    <w:rsid w:val="00A46DFE"/>
    <w:rsid w:val="00A479E9"/>
    <w:rsid w:val="00A47C78"/>
    <w:rsid w:val="00A50B99"/>
    <w:rsid w:val="00A51249"/>
    <w:rsid w:val="00A524A3"/>
    <w:rsid w:val="00A52AEE"/>
    <w:rsid w:val="00A52E65"/>
    <w:rsid w:val="00A531B7"/>
    <w:rsid w:val="00A537AF"/>
    <w:rsid w:val="00A54023"/>
    <w:rsid w:val="00A54E99"/>
    <w:rsid w:val="00A55B55"/>
    <w:rsid w:val="00A5631B"/>
    <w:rsid w:val="00A568AB"/>
    <w:rsid w:val="00A573C8"/>
    <w:rsid w:val="00A6052C"/>
    <w:rsid w:val="00A61BB2"/>
    <w:rsid w:val="00A61ECB"/>
    <w:rsid w:val="00A624E8"/>
    <w:rsid w:val="00A63033"/>
    <w:rsid w:val="00A64091"/>
    <w:rsid w:val="00A656DF"/>
    <w:rsid w:val="00A66262"/>
    <w:rsid w:val="00A67034"/>
    <w:rsid w:val="00A67229"/>
    <w:rsid w:val="00A675C3"/>
    <w:rsid w:val="00A67B89"/>
    <w:rsid w:val="00A70127"/>
    <w:rsid w:val="00A703D5"/>
    <w:rsid w:val="00A7067C"/>
    <w:rsid w:val="00A712D3"/>
    <w:rsid w:val="00A7174B"/>
    <w:rsid w:val="00A722E8"/>
    <w:rsid w:val="00A7262C"/>
    <w:rsid w:val="00A72D7F"/>
    <w:rsid w:val="00A7376C"/>
    <w:rsid w:val="00A73771"/>
    <w:rsid w:val="00A741FB"/>
    <w:rsid w:val="00A745F8"/>
    <w:rsid w:val="00A7526D"/>
    <w:rsid w:val="00A76D6C"/>
    <w:rsid w:val="00A77685"/>
    <w:rsid w:val="00A778DF"/>
    <w:rsid w:val="00A805D8"/>
    <w:rsid w:val="00A808D1"/>
    <w:rsid w:val="00A808D9"/>
    <w:rsid w:val="00A81275"/>
    <w:rsid w:val="00A84172"/>
    <w:rsid w:val="00A8659D"/>
    <w:rsid w:val="00A868CF"/>
    <w:rsid w:val="00A86F4E"/>
    <w:rsid w:val="00A90630"/>
    <w:rsid w:val="00A92C0A"/>
    <w:rsid w:val="00A96537"/>
    <w:rsid w:val="00A96622"/>
    <w:rsid w:val="00A96A65"/>
    <w:rsid w:val="00A96EB4"/>
    <w:rsid w:val="00A9721D"/>
    <w:rsid w:val="00A974AD"/>
    <w:rsid w:val="00A97C88"/>
    <w:rsid w:val="00AA01E0"/>
    <w:rsid w:val="00AA08DA"/>
    <w:rsid w:val="00AA0B09"/>
    <w:rsid w:val="00AA16F3"/>
    <w:rsid w:val="00AA1E96"/>
    <w:rsid w:val="00AA231E"/>
    <w:rsid w:val="00AA4DB8"/>
    <w:rsid w:val="00AA5359"/>
    <w:rsid w:val="00AA59CD"/>
    <w:rsid w:val="00AA626A"/>
    <w:rsid w:val="00AA6A58"/>
    <w:rsid w:val="00AA704A"/>
    <w:rsid w:val="00AA7AC8"/>
    <w:rsid w:val="00AB15EA"/>
    <w:rsid w:val="00AB2540"/>
    <w:rsid w:val="00AB2959"/>
    <w:rsid w:val="00AB3530"/>
    <w:rsid w:val="00AB6C96"/>
    <w:rsid w:val="00AB6DA4"/>
    <w:rsid w:val="00AB7D23"/>
    <w:rsid w:val="00AB7F2C"/>
    <w:rsid w:val="00AC1DB3"/>
    <w:rsid w:val="00AC1E50"/>
    <w:rsid w:val="00AC2401"/>
    <w:rsid w:val="00AC25AB"/>
    <w:rsid w:val="00AC2C16"/>
    <w:rsid w:val="00AC362D"/>
    <w:rsid w:val="00AC5357"/>
    <w:rsid w:val="00AC566C"/>
    <w:rsid w:val="00AC5A2F"/>
    <w:rsid w:val="00AC5E1E"/>
    <w:rsid w:val="00AC6DF9"/>
    <w:rsid w:val="00AC77D7"/>
    <w:rsid w:val="00AC79BF"/>
    <w:rsid w:val="00AC7C13"/>
    <w:rsid w:val="00AD07F7"/>
    <w:rsid w:val="00AD0DBF"/>
    <w:rsid w:val="00AD147D"/>
    <w:rsid w:val="00AD1E6A"/>
    <w:rsid w:val="00AD2564"/>
    <w:rsid w:val="00AD2ABC"/>
    <w:rsid w:val="00AD2F98"/>
    <w:rsid w:val="00AD3B07"/>
    <w:rsid w:val="00AD4936"/>
    <w:rsid w:val="00AD49D3"/>
    <w:rsid w:val="00AD4D03"/>
    <w:rsid w:val="00AD59CC"/>
    <w:rsid w:val="00AD6381"/>
    <w:rsid w:val="00AE0BE5"/>
    <w:rsid w:val="00AE1623"/>
    <w:rsid w:val="00AE292D"/>
    <w:rsid w:val="00AE4E5E"/>
    <w:rsid w:val="00AE5317"/>
    <w:rsid w:val="00AE5E54"/>
    <w:rsid w:val="00AE60E9"/>
    <w:rsid w:val="00AE6451"/>
    <w:rsid w:val="00AE6609"/>
    <w:rsid w:val="00AE6DD4"/>
    <w:rsid w:val="00AF067C"/>
    <w:rsid w:val="00AF0B02"/>
    <w:rsid w:val="00AF14FB"/>
    <w:rsid w:val="00AF1FC8"/>
    <w:rsid w:val="00AF2C89"/>
    <w:rsid w:val="00AF48CC"/>
    <w:rsid w:val="00AF4D51"/>
    <w:rsid w:val="00AF4EF2"/>
    <w:rsid w:val="00AF5DAC"/>
    <w:rsid w:val="00AF5F84"/>
    <w:rsid w:val="00AF7885"/>
    <w:rsid w:val="00B00EC3"/>
    <w:rsid w:val="00B0186D"/>
    <w:rsid w:val="00B01DD8"/>
    <w:rsid w:val="00B02227"/>
    <w:rsid w:val="00B02578"/>
    <w:rsid w:val="00B0356E"/>
    <w:rsid w:val="00B03D79"/>
    <w:rsid w:val="00B04637"/>
    <w:rsid w:val="00B050C8"/>
    <w:rsid w:val="00B0545C"/>
    <w:rsid w:val="00B05BE5"/>
    <w:rsid w:val="00B061D8"/>
    <w:rsid w:val="00B063CC"/>
    <w:rsid w:val="00B10BF8"/>
    <w:rsid w:val="00B1176E"/>
    <w:rsid w:val="00B11FB8"/>
    <w:rsid w:val="00B1314E"/>
    <w:rsid w:val="00B1318E"/>
    <w:rsid w:val="00B133CA"/>
    <w:rsid w:val="00B14825"/>
    <w:rsid w:val="00B20B8B"/>
    <w:rsid w:val="00B2183C"/>
    <w:rsid w:val="00B2187C"/>
    <w:rsid w:val="00B21A8E"/>
    <w:rsid w:val="00B2383E"/>
    <w:rsid w:val="00B23CFF"/>
    <w:rsid w:val="00B25ED9"/>
    <w:rsid w:val="00B30CB3"/>
    <w:rsid w:val="00B3112F"/>
    <w:rsid w:val="00B3194E"/>
    <w:rsid w:val="00B32670"/>
    <w:rsid w:val="00B32E23"/>
    <w:rsid w:val="00B33015"/>
    <w:rsid w:val="00B3327A"/>
    <w:rsid w:val="00B332B8"/>
    <w:rsid w:val="00B3333E"/>
    <w:rsid w:val="00B33554"/>
    <w:rsid w:val="00B3474B"/>
    <w:rsid w:val="00B34FA8"/>
    <w:rsid w:val="00B35879"/>
    <w:rsid w:val="00B3590D"/>
    <w:rsid w:val="00B363B5"/>
    <w:rsid w:val="00B370F1"/>
    <w:rsid w:val="00B375A4"/>
    <w:rsid w:val="00B37803"/>
    <w:rsid w:val="00B37917"/>
    <w:rsid w:val="00B416D7"/>
    <w:rsid w:val="00B41ED9"/>
    <w:rsid w:val="00B43D82"/>
    <w:rsid w:val="00B44581"/>
    <w:rsid w:val="00B44C96"/>
    <w:rsid w:val="00B4534E"/>
    <w:rsid w:val="00B46263"/>
    <w:rsid w:val="00B50BF2"/>
    <w:rsid w:val="00B50E4F"/>
    <w:rsid w:val="00B50FFB"/>
    <w:rsid w:val="00B52918"/>
    <w:rsid w:val="00B536A7"/>
    <w:rsid w:val="00B54472"/>
    <w:rsid w:val="00B553D1"/>
    <w:rsid w:val="00B561C9"/>
    <w:rsid w:val="00B57E74"/>
    <w:rsid w:val="00B60DA0"/>
    <w:rsid w:val="00B613B6"/>
    <w:rsid w:val="00B627E8"/>
    <w:rsid w:val="00B62E62"/>
    <w:rsid w:val="00B63588"/>
    <w:rsid w:val="00B63A4F"/>
    <w:rsid w:val="00B63BE2"/>
    <w:rsid w:val="00B65371"/>
    <w:rsid w:val="00B66868"/>
    <w:rsid w:val="00B66A12"/>
    <w:rsid w:val="00B67585"/>
    <w:rsid w:val="00B67B07"/>
    <w:rsid w:val="00B67F6D"/>
    <w:rsid w:val="00B67FE0"/>
    <w:rsid w:val="00B708C2"/>
    <w:rsid w:val="00B7249B"/>
    <w:rsid w:val="00B72B6E"/>
    <w:rsid w:val="00B72E4A"/>
    <w:rsid w:val="00B730F4"/>
    <w:rsid w:val="00B738F6"/>
    <w:rsid w:val="00B73A6E"/>
    <w:rsid w:val="00B741D0"/>
    <w:rsid w:val="00B752DC"/>
    <w:rsid w:val="00B75ADE"/>
    <w:rsid w:val="00B7608A"/>
    <w:rsid w:val="00B76AF3"/>
    <w:rsid w:val="00B77007"/>
    <w:rsid w:val="00B779E2"/>
    <w:rsid w:val="00B8018F"/>
    <w:rsid w:val="00B802DC"/>
    <w:rsid w:val="00B805FE"/>
    <w:rsid w:val="00B80FD0"/>
    <w:rsid w:val="00B81A59"/>
    <w:rsid w:val="00B81E38"/>
    <w:rsid w:val="00B83908"/>
    <w:rsid w:val="00B8409C"/>
    <w:rsid w:val="00B84798"/>
    <w:rsid w:val="00B85077"/>
    <w:rsid w:val="00B85B63"/>
    <w:rsid w:val="00B85FC9"/>
    <w:rsid w:val="00B8740E"/>
    <w:rsid w:val="00B87641"/>
    <w:rsid w:val="00B879F5"/>
    <w:rsid w:val="00B87DBD"/>
    <w:rsid w:val="00B9082D"/>
    <w:rsid w:val="00B91E79"/>
    <w:rsid w:val="00B92527"/>
    <w:rsid w:val="00B928D0"/>
    <w:rsid w:val="00B930E3"/>
    <w:rsid w:val="00B93F2A"/>
    <w:rsid w:val="00B94DE4"/>
    <w:rsid w:val="00B95731"/>
    <w:rsid w:val="00B95C39"/>
    <w:rsid w:val="00B961F6"/>
    <w:rsid w:val="00B96AC5"/>
    <w:rsid w:val="00B9734C"/>
    <w:rsid w:val="00B97965"/>
    <w:rsid w:val="00BA03F5"/>
    <w:rsid w:val="00BA10FA"/>
    <w:rsid w:val="00BA1EA5"/>
    <w:rsid w:val="00BA3690"/>
    <w:rsid w:val="00BA3F97"/>
    <w:rsid w:val="00BA4076"/>
    <w:rsid w:val="00BA4C1E"/>
    <w:rsid w:val="00BA4E20"/>
    <w:rsid w:val="00BA4E9D"/>
    <w:rsid w:val="00BA4F1E"/>
    <w:rsid w:val="00BA521C"/>
    <w:rsid w:val="00BA5D2D"/>
    <w:rsid w:val="00BA61AF"/>
    <w:rsid w:val="00BA6513"/>
    <w:rsid w:val="00BA6654"/>
    <w:rsid w:val="00BA687F"/>
    <w:rsid w:val="00BB111C"/>
    <w:rsid w:val="00BB329D"/>
    <w:rsid w:val="00BB33CD"/>
    <w:rsid w:val="00BB3590"/>
    <w:rsid w:val="00BB492B"/>
    <w:rsid w:val="00BB4F65"/>
    <w:rsid w:val="00BB6D9F"/>
    <w:rsid w:val="00BB71B6"/>
    <w:rsid w:val="00BB73B1"/>
    <w:rsid w:val="00BC2262"/>
    <w:rsid w:val="00BC31D3"/>
    <w:rsid w:val="00BC3DE2"/>
    <w:rsid w:val="00BC47BC"/>
    <w:rsid w:val="00BC4853"/>
    <w:rsid w:val="00BC4FED"/>
    <w:rsid w:val="00BC6499"/>
    <w:rsid w:val="00BC73D7"/>
    <w:rsid w:val="00BC74F8"/>
    <w:rsid w:val="00BC76CB"/>
    <w:rsid w:val="00BC7A31"/>
    <w:rsid w:val="00BD1272"/>
    <w:rsid w:val="00BD1E8D"/>
    <w:rsid w:val="00BD3078"/>
    <w:rsid w:val="00BD387C"/>
    <w:rsid w:val="00BD39C5"/>
    <w:rsid w:val="00BD3FBA"/>
    <w:rsid w:val="00BD4014"/>
    <w:rsid w:val="00BD4FC5"/>
    <w:rsid w:val="00BD711D"/>
    <w:rsid w:val="00BD739E"/>
    <w:rsid w:val="00BE0C72"/>
    <w:rsid w:val="00BE12B1"/>
    <w:rsid w:val="00BE19AB"/>
    <w:rsid w:val="00BE1BD1"/>
    <w:rsid w:val="00BE2A41"/>
    <w:rsid w:val="00BE2B49"/>
    <w:rsid w:val="00BE31B4"/>
    <w:rsid w:val="00BE3637"/>
    <w:rsid w:val="00BE49C6"/>
    <w:rsid w:val="00BE4F76"/>
    <w:rsid w:val="00BE53EA"/>
    <w:rsid w:val="00BE5F22"/>
    <w:rsid w:val="00BE72AA"/>
    <w:rsid w:val="00BF2054"/>
    <w:rsid w:val="00BF2AC7"/>
    <w:rsid w:val="00BF355C"/>
    <w:rsid w:val="00BF44DA"/>
    <w:rsid w:val="00BF4D35"/>
    <w:rsid w:val="00BF4E22"/>
    <w:rsid w:val="00BF5B2E"/>
    <w:rsid w:val="00BF5D47"/>
    <w:rsid w:val="00BF7F51"/>
    <w:rsid w:val="00C00CF0"/>
    <w:rsid w:val="00C018CF"/>
    <w:rsid w:val="00C022FE"/>
    <w:rsid w:val="00C0246B"/>
    <w:rsid w:val="00C0252E"/>
    <w:rsid w:val="00C02DC4"/>
    <w:rsid w:val="00C03EC5"/>
    <w:rsid w:val="00C05051"/>
    <w:rsid w:val="00C0606A"/>
    <w:rsid w:val="00C07347"/>
    <w:rsid w:val="00C077CB"/>
    <w:rsid w:val="00C1102C"/>
    <w:rsid w:val="00C1104C"/>
    <w:rsid w:val="00C11B2D"/>
    <w:rsid w:val="00C11EF6"/>
    <w:rsid w:val="00C12461"/>
    <w:rsid w:val="00C129A4"/>
    <w:rsid w:val="00C13C0C"/>
    <w:rsid w:val="00C14224"/>
    <w:rsid w:val="00C1428A"/>
    <w:rsid w:val="00C14B91"/>
    <w:rsid w:val="00C16130"/>
    <w:rsid w:val="00C20E0A"/>
    <w:rsid w:val="00C21EF9"/>
    <w:rsid w:val="00C22006"/>
    <w:rsid w:val="00C238BC"/>
    <w:rsid w:val="00C238FB"/>
    <w:rsid w:val="00C24A9B"/>
    <w:rsid w:val="00C24F1D"/>
    <w:rsid w:val="00C3016C"/>
    <w:rsid w:val="00C30E14"/>
    <w:rsid w:val="00C31FA2"/>
    <w:rsid w:val="00C34C9A"/>
    <w:rsid w:val="00C34E9C"/>
    <w:rsid w:val="00C364BC"/>
    <w:rsid w:val="00C366B9"/>
    <w:rsid w:val="00C378A0"/>
    <w:rsid w:val="00C37A4D"/>
    <w:rsid w:val="00C40B94"/>
    <w:rsid w:val="00C4121E"/>
    <w:rsid w:val="00C41587"/>
    <w:rsid w:val="00C45D62"/>
    <w:rsid w:val="00C461FE"/>
    <w:rsid w:val="00C464A8"/>
    <w:rsid w:val="00C4669C"/>
    <w:rsid w:val="00C46760"/>
    <w:rsid w:val="00C4701F"/>
    <w:rsid w:val="00C47334"/>
    <w:rsid w:val="00C47362"/>
    <w:rsid w:val="00C47B26"/>
    <w:rsid w:val="00C5067E"/>
    <w:rsid w:val="00C50AFD"/>
    <w:rsid w:val="00C51C6D"/>
    <w:rsid w:val="00C521FF"/>
    <w:rsid w:val="00C52871"/>
    <w:rsid w:val="00C5309E"/>
    <w:rsid w:val="00C530CF"/>
    <w:rsid w:val="00C53497"/>
    <w:rsid w:val="00C54390"/>
    <w:rsid w:val="00C54416"/>
    <w:rsid w:val="00C544BA"/>
    <w:rsid w:val="00C54789"/>
    <w:rsid w:val="00C549D8"/>
    <w:rsid w:val="00C54E9E"/>
    <w:rsid w:val="00C55424"/>
    <w:rsid w:val="00C563DE"/>
    <w:rsid w:val="00C5685D"/>
    <w:rsid w:val="00C56D7D"/>
    <w:rsid w:val="00C63865"/>
    <w:rsid w:val="00C645FD"/>
    <w:rsid w:val="00C64DF1"/>
    <w:rsid w:val="00C65887"/>
    <w:rsid w:val="00C65E0F"/>
    <w:rsid w:val="00C70D0E"/>
    <w:rsid w:val="00C714A2"/>
    <w:rsid w:val="00C72181"/>
    <w:rsid w:val="00C72CF1"/>
    <w:rsid w:val="00C74094"/>
    <w:rsid w:val="00C741EA"/>
    <w:rsid w:val="00C74201"/>
    <w:rsid w:val="00C742AB"/>
    <w:rsid w:val="00C7579C"/>
    <w:rsid w:val="00C75912"/>
    <w:rsid w:val="00C76B67"/>
    <w:rsid w:val="00C77662"/>
    <w:rsid w:val="00C804D1"/>
    <w:rsid w:val="00C810AA"/>
    <w:rsid w:val="00C8124E"/>
    <w:rsid w:val="00C81CFD"/>
    <w:rsid w:val="00C81F2E"/>
    <w:rsid w:val="00C82D5A"/>
    <w:rsid w:val="00C82E39"/>
    <w:rsid w:val="00C82F2E"/>
    <w:rsid w:val="00C83240"/>
    <w:rsid w:val="00C83D59"/>
    <w:rsid w:val="00C84360"/>
    <w:rsid w:val="00C85DF1"/>
    <w:rsid w:val="00C86A29"/>
    <w:rsid w:val="00C9005C"/>
    <w:rsid w:val="00C91095"/>
    <w:rsid w:val="00C91304"/>
    <w:rsid w:val="00C91317"/>
    <w:rsid w:val="00C91E94"/>
    <w:rsid w:val="00C91F07"/>
    <w:rsid w:val="00C92199"/>
    <w:rsid w:val="00C92BAA"/>
    <w:rsid w:val="00C9379D"/>
    <w:rsid w:val="00C93F22"/>
    <w:rsid w:val="00C94B8A"/>
    <w:rsid w:val="00C9506B"/>
    <w:rsid w:val="00C95462"/>
    <w:rsid w:val="00C963D6"/>
    <w:rsid w:val="00C96B78"/>
    <w:rsid w:val="00C96D13"/>
    <w:rsid w:val="00C96F19"/>
    <w:rsid w:val="00C97710"/>
    <w:rsid w:val="00C97CDF"/>
    <w:rsid w:val="00CA0555"/>
    <w:rsid w:val="00CA0B4C"/>
    <w:rsid w:val="00CA0BAF"/>
    <w:rsid w:val="00CA0E77"/>
    <w:rsid w:val="00CA1264"/>
    <w:rsid w:val="00CA12A2"/>
    <w:rsid w:val="00CA1E44"/>
    <w:rsid w:val="00CA2049"/>
    <w:rsid w:val="00CA2BFE"/>
    <w:rsid w:val="00CA2EB8"/>
    <w:rsid w:val="00CA418B"/>
    <w:rsid w:val="00CA5D91"/>
    <w:rsid w:val="00CA6AB7"/>
    <w:rsid w:val="00CA6B04"/>
    <w:rsid w:val="00CA7CA5"/>
    <w:rsid w:val="00CA7EA9"/>
    <w:rsid w:val="00CB09DF"/>
    <w:rsid w:val="00CB2B64"/>
    <w:rsid w:val="00CB32D0"/>
    <w:rsid w:val="00CB3687"/>
    <w:rsid w:val="00CB378B"/>
    <w:rsid w:val="00CB4199"/>
    <w:rsid w:val="00CB53E2"/>
    <w:rsid w:val="00CB577B"/>
    <w:rsid w:val="00CB58A6"/>
    <w:rsid w:val="00CB5D80"/>
    <w:rsid w:val="00CB681D"/>
    <w:rsid w:val="00CB6EFF"/>
    <w:rsid w:val="00CB7263"/>
    <w:rsid w:val="00CB7890"/>
    <w:rsid w:val="00CC1556"/>
    <w:rsid w:val="00CC274D"/>
    <w:rsid w:val="00CC313B"/>
    <w:rsid w:val="00CC3E08"/>
    <w:rsid w:val="00CC5A43"/>
    <w:rsid w:val="00CC65FE"/>
    <w:rsid w:val="00CC74AF"/>
    <w:rsid w:val="00CD169F"/>
    <w:rsid w:val="00CD45A1"/>
    <w:rsid w:val="00CD6C20"/>
    <w:rsid w:val="00CD77B8"/>
    <w:rsid w:val="00CD7D45"/>
    <w:rsid w:val="00CD7F4C"/>
    <w:rsid w:val="00CE0375"/>
    <w:rsid w:val="00CE083F"/>
    <w:rsid w:val="00CE139F"/>
    <w:rsid w:val="00CE164F"/>
    <w:rsid w:val="00CE25D5"/>
    <w:rsid w:val="00CE2B99"/>
    <w:rsid w:val="00CE350E"/>
    <w:rsid w:val="00CE5795"/>
    <w:rsid w:val="00CE6AE5"/>
    <w:rsid w:val="00CF0388"/>
    <w:rsid w:val="00CF22BA"/>
    <w:rsid w:val="00CF2324"/>
    <w:rsid w:val="00CF3008"/>
    <w:rsid w:val="00CF3EBC"/>
    <w:rsid w:val="00CF492B"/>
    <w:rsid w:val="00CF4A19"/>
    <w:rsid w:val="00CF4A90"/>
    <w:rsid w:val="00D01D77"/>
    <w:rsid w:val="00D02DC5"/>
    <w:rsid w:val="00D0308C"/>
    <w:rsid w:val="00D030C8"/>
    <w:rsid w:val="00D03221"/>
    <w:rsid w:val="00D037EA"/>
    <w:rsid w:val="00D0393B"/>
    <w:rsid w:val="00D03A42"/>
    <w:rsid w:val="00D04305"/>
    <w:rsid w:val="00D04932"/>
    <w:rsid w:val="00D04A2B"/>
    <w:rsid w:val="00D04C21"/>
    <w:rsid w:val="00D05C4B"/>
    <w:rsid w:val="00D06621"/>
    <w:rsid w:val="00D10B91"/>
    <w:rsid w:val="00D119B1"/>
    <w:rsid w:val="00D11C03"/>
    <w:rsid w:val="00D13E02"/>
    <w:rsid w:val="00D140F4"/>
    <w:rsid w:val="00D143EF"/>
    <w:rsid w:val="00D14D9C"/>
    <w:rsid w:val="00D151FE"/>
    <w:rsid w:val="00D15D59"/>
    <w:rsid w:val="00D16928"/>
    <w:rsid w:val="00D1714E"/>
    <w:rsid w:val="00D20729"/>
    <w:rsid w:val="00D20E89"/>
    <w:rsid w:val="00D2106A"/>
    <w:rsid w:val="00D23F96"/>
    <w:rsid w:val="00D24555"/>
    <w:rsid w:val="00D24C58"/>
    <w:rsid w:val="00D263F5"/>
    <w:rsid w:val="00D267DE"/>
    <w:rsid w:val="00D26B2C"/>
    <w:rsid w:val="00D30F21"/>
    <w:rsid w:val="00D3319C"/>
    <w:rsid w:val="00D332A9"/>
    <w:rsid w:val="00D33BFE"/>
    <w:rsid w:val="00D344ED"/>
    <w:rsid w:val="00D34B35"/>
    <w:rsid w:val="00D36658"/>
    <w:rsid w:val="00D36CAC"/>
    <w:rsid w:val="00D40175"/>
    <w:rsid w:val="00D40559"/>
    <w:rsid w:val="00D407DA"/>
    <w:rsid w:val="00D41576"/>
    <w:rsid w:val="00D417C0"/>
    <w:rsid w:val="00D41890"/>
    <w:rsid w:val="00D426A3"/>
    <w:rsid w:val="00D432CB"/>
    <w:rsid w:val="00D44573"/>
    <w:rsid w:val="00D44600"/>
    <w:rsid w:val="00D45DB1"/>
    <w:rsid w:val="00D46173"/>
    <w:rsid w:val="00D471E6"/>
    <w:rsid w:val="00D47785"/>
    <w:rsid w:val="00D50995"/>
    <w:rsid w:val="00D5157E"/>
    <w:rsid w:val="00D51639"/>
    <w:rsid w:val="00D51837"/>
    <w:rsid w:val="00D52BBB"/>
    <w:rsid w:val="00D52C9F"/>
    <w:rsid w:val="00D52EAD"/>
    <w:rsid w:val="00D53623"/>
    <w:rsid w:val="00D53B49"/>
    <w:rsid w:val="00D54953"/>
    <w:rsid w:val="00D54D74"/>
    <w:rsid w:val="00D55530"/>
    <w:rsid w:val="00D55BBC"/>
    <w:rsid w:val="00D57911"/>
    <w:rsid w:val="00D600A8"/>
    <w:rsid w:val="00D6022C"/>
    <w:rsid w:val="00D62A76"/>
    <w:rsid w:val="00D6346B"/>
    <w:rsid w:val="00D63561"/>
    <w:rsid w:val="00D639AA"/>
    <w:rsid w:val="00D639FD"/>
    <w:rsid w:val="00D64214"/>
    <w:rsid w:val="00D64A65"/>
    <w:rsid w:val="00D67BAB"/>
    <w:rsid w:val="00D67DF2"/>
    <w:rsid w:val="00D67F34"/>
    <w:rsid w:val="00D7094C"/>
    <w:rsid w:val="00D70C31"/>
    <w:rsid w:val="00D71133"/>
    <w:rsid w:val="00D72320"/>
    <w:rsid w:val="00D737AC"/>
    <w:rsid w:val="00D76367"/>
    <w:rsid w:val="00D770E6"/>
    <w:rsid w:val="00D7725A"/>
    <w:rsid w:val="00D77995"/>
    <w:rsid w:val="00D779C4"/>
    <w:rsid w:val="00D801DF"/>
    <w:rsid w:val="00D80427"/>
    <w:rsid w:val="00D8042D"/>
    <w:rsid w:val="00D80775"/>
    <w:rsid w:val="00D812D4"/>
    <w:rsid w:val="00D817AF"/>
    <w:rsid w:val="00D81D89"/>
    <w:rsid w:val="00D822AC"/>
    <w:rsid w:val="00D823C6"/>
    <w:rsid w:val="00D8281D"/>
    <w:rsid w:val="00D83431"/>
    <w:rsid w:val="00D8608F"/>
    <w:rsid w:val="00D8651C"/>
    <w:rsid w:val="00D86C15"/>
    <w:rsid w:val="00D870D1"/>
    <w:rsid w:val="00D87324"/>
    <w:rsid w:val="00D87443"/>
    <w:rsid w:val="00D87CFC"/>
    <w:rsid w:val="00D9081D"/>
    <w:rsid w:val="00D90D5B"/>
    <w:rsid w:val="00D90EBB"/>
    <w:rsid w:val="00D91142"/>
    <w:rsid w:val="00D9281E"/>
    <w:rsid w:val="00D94DA0"/>
    <w:rsid w:val="00D9740C"/>
    <w:rsid w:val="00DA1EA6"/>
    <w:rsid w:val="00DA1F6F"/>
    <w:rsid w:val="00DA4A89"/>
    <w:rsid w:val="00DA589E"/>
    <w:rsid w:val="00DA71AD"/>
    <w:rsid w:val="00DA732A"/>
    <w:rsid w:val="00DB198C"/>
    <w:rsid w:val="00DB1E07"/>
    <w:rsid w:val="00DB32E1"/>
    <w:rsid w:val="00DB5CF1"/>
    <w:rsid w:val="00DB5E63"/>
    <w:rsid w:val="00DB5F8A"/>
    <w:rsid w:val="00DB755E"/>
    <w:rsid w:val="00DB7E8F"/>
    <w:rsid w:val="00DC1111"/>
    <w:rsid w:val="00DC162E"/>
    <w:rsid w:val="00DC3B2A"/>
    <w:rsid w:val="00DC3CC1"/>
    <w:rsid w:val="00DC4AEF"/>
    <w:rsid w:val="00DC51FC"/>
    <w:rsid w:val="00DC7CD3"/>
    <w:rsid w:val="00DC7D7B"/>
    <w:rsid w:val="00DD0463"/>
    <w:rsid w:val="00DD067F"/>
    <w:rsid w:val="00DD0ED7"/>
    <w:rsid w:val="00DD18E0"/>
    <w:rsid w:val="00DD19A6"/>
    <w:rsid w:val="00DD2972"/>
    <w:rsid w:val="00DD2E46"/>
    <w:rsid w:val="00DD46CE"/>
    <w:rsid w:val="00DD4DC5"/>
    <w:rsid w:val="00DD5341"/>
    <w:rsid w:val="00DD5630"/>
    <w:rsid w:val="00DD5AFF"/>
    <w:rsid w:val="00DD6091"/>
    <w:rsid w:val="00DD6122"/>
    <w:rsid w:val="00DD74DD"/>
    <w:rsid w:val="00DD7833"/>
    <w:rsid w:val="00DD792C"/>
    <w:rsid w:val="00DE0F50"/>
    <w:rsid w:val="00DE3631"/>
    <w:rsid w:val="00DE37BC"/>
    <w:rsid w:val="00DE4030"/>
    <w:rsid w:val="00DE41F3"/>
    <w:rsid w:val="00DE4503"/>
    <w:rsid w:val="00DE461C"/>
    <w:rsid w:val="00DE53AD"/>
    <w:rsid w:val="00DE6227"/>
    <w:rsid w:val="00DE6E76"/>
    <w:rsid w:val="00DE771A"/>
    <w:rsid w:val="00DF134D"/>
    <w:rsid w:val="00DF170C"/>
    <w:rsid w:val="00DF3F59"/>
    <w:rsid w:val="00DF4D46"/>
    <w:rsid w:val="00DF5A75"/>
    <w:rsid w:val="00DF6D5A"/>
    <w:rsid w:val="00DF6F82"/>
    <w:rsid w:val="00E002FC"/>
    <w:rsid w:val="00E0058D"/>
    <w:rsid w:val="00E00600"/>
    <w:rsid w:val="00E0074C"/>
    <w:rsid w:val="00E00BE1"/>
    <w:rsid w:val="00E00EE1"/>
    <w:rsid w:val="00E0174B"/>
    <w:rsid w:val="00E02F07"/>
    <w:rsid w:val="00E048CB"/>
    <w:rsid w:val="00E049C8"/>
    <w:rsid w:val="00E069EA"/>
    <w:rsid w:val="00E074D1"/>
    <w:rsid w:val="00E102FE"/>
    <w:rsid w:val="00E105BE"/>
    <w:rsid w:val="00E11370"/>
    <w:rsid w:val="00E12257"/>
    <w:rsid w:val="00E12877"/>
    <w:rsid w:val="00E12BC6"/>
    <w:rsid w:val="00E13384"/>
    <w:rsid w:val="00E136B6"/>
    <w:rsid w:val="00E14450"/>
    <w:rsid w:val="00E15CE7"/>
    <w:rsid w:val="00E16170"/>
    <w:rsid w:val="00E16318"/>
    <w:rsid w:val="00E16B63"/>
    <w:rsid w:val="00E174A0"/>
    <w:rsid w:val="00E179B0"/>
    <w:rsid w:val="00E17B4E"/>
    <w:rsid w:val="00E21703"/>
    <w:rsid w:val="00E21741"/>
    <w:rsid w:val="00E223C6"/>
    <w:rsid w:val="00E22E05"/>
    <w:rsid w:val="00E251AB"/>
    <w:rsid w:val="00E30005"/>
    <w:rsid w:val="00E30BAE"/>
    <w:rsid w:val="00E30BAF"/>
    <w:rsid w:val="00E3187C"/>
    <w:rsid w:val="00E31886"/>
    <w:rsid w:val="00E334A9"/>
    <w:rsid w:val="00E35E63"/>
    <w:rsid w:val="00E36159"/>
    <w:rsid w:val="00E36303"/>
    <w:rsid w:val="00E369E6"/>
    <w:rsid w:val="00E36A68"/>
    <w:rsid w:val="00E37831"/>
    <w:rsid w:val="00E40CAF"/>
    <w:rsid w:val="00E40DE7"/>
    <w:rsid w:val="00E41698"/>
    <w:rsid w:val="00E43478"/>
    <w:rsid w:val="00E44697"/>
    <w:rsid w:val="00E471EC"/>
    <w:rsid w:val="00E506AD"/>
    <w:rsid w:val="00E50B92"/>
    <w:rsid w:val="00E518E3"/>
    <w:rsid w:val="00E54645"/>
    <w:rsid w:val="00E5593F"/>
    <w:rsid w:val="00E560B6"/>
    <w:rsid w:val="00E575B1"/>
    <w:rsid w:val="00E57715"/>
    <w:rsid w:val="00E60371"/>
    <w:rsid w:val="00E606F7"/>
    <w:rsid w:val="00E61CF1"/>
    <w:rsid w:val="00E62922"/>
    <w:rsid w:val="00E62CFB"/>
    <w:rsid w:val="00E64A84"/>
    <w:rsid w:val="00E64B15"/>
    <w:rsid w:val="00E662DA"/>
    <w:rsid w:val="00E66C24"/>
    <w:rsid w:val="00E70EF6"/>
    <w:rsid w:val="00E710E1"/>
    <w:rsid w:val="00E71255"/>
    <w:rsid w:val="00E71310"/>
    <w:rsid w:val="00E72B4D"/>
    <w:rsid w:val="00E72EE1"/>
    <w:rsid w:val="00E73B79"/>
    <w:rsid w:val="00E747A2"/>
    <w:rsid w:val="00E74BC6"/>
    <w:rsid w:val="00E75520"/>
    <w:rsid w:val="00E75670"/>
    <w:rsid w:val="00E75C41"/>
    <w:rsid w:val="00E768C5"/>
    <w:rsid w:val="00E77A33"/>
    <w:rsid w:val="00E80545"/>
    <w:rsid w:val="00E81483"/>
    <w:rsid w:val="00E81B0A"/>
    <w:rsid w:val="00E82C33"/>
    <w:rsid w:val="00E85629"/>
    <w:rsid w:val="00E85833"/>
    <w:rsid w:val="00E86243"/>
    <w:rsid w:val="00E87157"/>
    <w:rsid w:val="00E900AB"/>
    <w:rsid w:val="00E91D93"/>
    <w:rsid w:val="00E92471"/>
    <w:rsid w:val="00E93E0A"/>
    <w:rsid w:val="00E96593"/>
    <w:rsid w:val="00E96933"/>
    <w:rsid w:val="00E96978"/>
    <w:rsid w:val="00E96BA7"/>
    <w:rsid w:val="00E97C6D"/>
    <w:rsid w:val="00EA0CE0"/>
    <w:rsid w:val="00EA2768"/>
    <w:rsid w:val="00EA2987"/>
    <w:rsid w:val="00EA3363"/>
    <w:rsid w:val="00EA3A49"/>
    <w:rsid w:val="00EA4667"/>
    <w:rsid w:val="00EA4A10"/>
    <w:rsid w:val="00EA5C14"/>
    <w:rsid w:val="00EA63F1"/>
    <w:rsid w:val="00EA772A"/>
    <w:rsid w:val="00EA7BDE"/>
    <w:rsid w:val="00EB211D"/>
    <w:rsid w:val="00EB2243"/>
    <w:rsid w:val="00EB2ACE"/>
    <w:rsid w:val="00EB2D2F"/>
    <w:rsid w:val="00EB3374"/>
    <w:rsid w:val="00EB35B1"/>
    <w:rsid w:val="00EB3913"/>
    <w:rsid w:val="00EB3CB3"/>
    <w:rsid w:val="00EB5C7E"/>
    <w:rsid w:val="00EB6476"/>
    <w:rsid w:val="00EB695A"/>
    <w:rsid w:val="00EB7ABB"/>
    <w:rsid w:val="00EC0286"/>
    <w:rsid w:val="00EC028D"/>
    <w:rsid w:val="00EC0699"/>
    <w:rsid w:val="00EC1333"/>
    <w:rsid w:val="00EC293B"/>
    <w:rsid w:val="00EC2EDA"/>
    <w:rsid w:val="00EC34F3"/>
    <w:rsid w:val="00EC394D"/>
    <w:rsid w:val="00EC4FDE"/>
    <w:rsid w:val="00EC7739"/>
    <w:rsid w:val="00ED01DA"/>
    <w:rsid w:val="00ED0A45"/>
    <w:rsid w:val="00ED14D1"/>
    <w:rsid w:val="00ED3618"/>
    <w:rsid w:val="00ED3A4A"/>
    <w:rsid w:val="00ED4537"/>
    <w:rsid w:val="00ED4968"/>
    <w:rsid w:val="00ED5A5D"/>
    <w:rsid w:val="00ED6C33"/>
    <w:rsid w:val="00EE2A9C"/>
    <w:rsid w:val="00EE4382"/>
    <w:rsid w:val="00EE5254"/>
    <w:rsid w:val="00EE65BF"/>
    <w:rsid w:val="00EE7149"/>
    <w:rsid w:val="00EE74EC"/>
    <w:rsid w:val="00EE78B1"/>
    <w:rsid w:val="00EE7B8A"/>
    <w:rsid w:val="00EF0163"/>
    <w:rsid w:val="00EF05E2"/>
    <w:rsid w:val="00EF06DF"/>
    <w:rsid w:val="00EF1919"/>
    <w:rsid w:val="00EF1C25"/>
    <w:rsid w:val="00EF2617"/>
    <w:rsid w:val="00F01A46"/>
    <w:rsid w:val="00F02E9F"/>
    <w:rsid w:val="00F03056"/>
    <w:rsid w:val="00F053E5"/>
    <w:rsid w:val="00F058D6"/>
    <w:rsid w:val="00F07C10"/>
    <w:rsid w:val="00F105F8"/>
    <w:rsid w:val="00F11387"/>
    <w:rsid w:val="00F115A5"/>
    <w:rsid w:val="00F11690"/>
    <w:rsid w:val="00F11ABD"/>
    <w:rsid w:val="00F127CC"/>
    <w:rsid w:val="00F128DE"/>
    <w:rsid w:val="00F12E8E"/>
    <w:rsid w:val="00F1409D"/>
    <w:rsid w:val="00F15528"/>
    <w:rsid w:val="00F16727"/>
    <w:rsid w:val="00F17334"/>
    <w:rsid w:val="00F17A05"/>
    <w:rsid w:val="00F17A3A"/>
    <w:rsid w:val="00F2006C"/>
    <w:rsid w:val="00F21C31"/>
    <w:rsid w:val="00F21FAF"/>
    <w:rsid w:val="00F23BBD"/>
    <w:rsid w:val="00F23CEA"/>
    <w:rsid w:val="00F2506C"/>
    <w:rsid w:val="00F2556B"/>
    <w:rsid w:val="00F25C73"/>
    <w:rsid w:val="00F31398"/>
    <w:rsid w:val="00F32CAC"/>
    <w:rsid w:val="00F32D3D"/>
    <w:rsid w:val="00F33825"/>
    <w:rsid w:val="00F34B5C"/>
    <w:rsid w:val="00F34F77"/>
    <w:rsid w:val="00F354D2"/>
    <w:rsid w:val="00F36608"/>
    <w:rsid w:val="00F3660A"/>
    <w:rsid w:val="00F36F9F"/>
    <w:rsid w:val="00F37F64"/>
    <w:rsid w:val="00F401F1"/>
    <w:rsid w:val="00F40473"/>
    <w:rsid w:val="00F4077D"/>
    <w:rsid w:val="00F40A74"/>
    <w:rsid w:val="00F42CD2"/>
    <w:rsid w:val="00F43A0F"/>
    <w:rsid w:val="00F44161"/>
    <w:rsid w:val="00F44F95"/>
    <w:rsid w:val="00F45003"/>
    <w:rsid w:val="00F454BA"/>
    <w:rsid w:val="00F50476"/>
    <w:rsid w:val="00F50956"/>
    <w:rsid w:val="00F50DDF"/>
    <w:rsid w:val="00F510AA"/>
    <w:rsid w:val="00F525FA"/>
    <w:rsid w:val="00F52ABD"/>
    <w:rsid w:val="00F52D5A"/>
    <w:rsid w:val="00F53973"/>
    <w:rsid w:val="00F539AE"/>
    <w:rsid w:val="00F53C62"/>
    <w:rsid w:val="00F54593"/>
    <w:rsid w:val="00F54A6A"/>
    <w:rsid w:val="00F54B3A"/>
    <w:rsid w:val="00F552DF"/>
    <w:rsid w:val="00F555D6"/>
    <w:rsid w:val="00F55CF0"/>
    <w:rsid w:val="00F568F2"/>
    <w:rsid w:val="00F569AC"/>
    <w:rsid w:val="00F56EDB"/>
    <w:rsid w:val="00F57621"/>
    <w:rsid w:val="00F57CCF"/>
    <w:rsid w:val="00F60C1B"/>
    <w:rsid w:val="00F60F42"/>
    <w:rsid w:val="00F61AE8"/>
    <w:rsid w:val="00F63DF0"/>
    <w:rsid w:val="00F63E5C"/>
    <w:rsid w:val="00F658EA"/>
    <w:rsid w:val="00F65B68"/>
    <w:rsid w:val="00F71117"/>
    <w:rsid w:val="00F712C3"/>
    <w:rsid w:val="00F71E5E"/>
    <w:rsid w:val="00F724DA"/>
    <w:rsid w:val="00F73CA8"/>
    <w:rsid w:val="00F7510C"/>
    <w:rsid w:val="00F757E2"/>
    <w:rsid w:val="00F75968"/>
    <w:rsid w:val="00F76805"/>
    <w:rsid w:val="00F76873"/>
    <w:rsid w:val="00F76AEC"/>
    <w:rsid w:val="00F80437"/>
    <w:rsid w:val="00F80A09"/>
    <w:rsid w:val="00F82A13"/>
    <w:rsid w:val="00F83621"/>
    <w:rsid w:val="00F83B38"/>
    <w:rsid w:val="00F847FB"/>
    <w:rsid w:val="00F84C22"/>
    <w:rsid w:val="00F866C9"/>
    <w:rsid w:val="00F87410"/>
    <w:rsid w:val="00F87650"/>
    <w:rsid w:val="00F907CF"/>
    <w:rsid w:val="00F90A63"/>
    <w:rsid w:val="00F91B39"/>
    <w:rsid w:val="00F91C86"/>
    <w:rsid w:val="00F91CD5"/>
    <w:rsid w:val="00F91F71"/>
    <w:rsid w:val="00F93E04"/>
    <w:rsid w:val="00F94BA9"/>
    <w:rsid w:val="00F94C83"/>
    <w:rsid w:val="00F94FF1"/>
    <w:rsid w:val="00F95B90"/>
    <w:rsid w:val="00F96654"/>
    <w:rsid w:val="00F97DC5"/>
    <w:rsid w:val="00FA1ADB"/>
    <w:rsid w:val="00FA2D53"/>
    <w:rsid w:val="00FA4A6E"/>
    <w:rsid w:val="00FA5064"/>
    <w:rsid w:val="00FA5367"/>
    <w:rsid w:val="00FA6CAC"/>
    <w:rsid w:val="00FA6E43"/>
    <w:rsid w:val="00FA736E"/>
    <w:rsid w:val="00FA759B"/>
    <w:rsid w:val="00FB216F"/>
    <w:rsid w:val="00FB21EF"/>
    <w:rsid w:val="00FB25B5"/>
    <w:rsid w:val="00FB34EA"/>
    <w:rsid w:val="00FB3BCF"/>
    <w:rsid w:val="00FB3CFB"/>
    <w:rsid w:val="00FB41AB"/>
    <w:rsid w:val="00FB4C06"/>
    <w:rsid w:val="00FB55EC"/>
    <w:rsid w:val="00FB5E4E"/>
    <w:rsid w:val="00FB6A33"/>
    <w:rsid w:val="00FB719D"/>
    <w:rsid w:val="00FB7821"/>
    <w:rsid w:val="00FB7B02"/>
    <w:rsid w:val="00FC048B"/>
    <w:rsid w:val="00FC09DC"/>
    <w:rsid w:val="00FC2A02"/>
    <w:rsid w:val="00FC3399"/>
    <w:rsid w:val="00FC3A5C"/>
    <w:rsid w:val="00FC5A31"/>
    <w:rsid w:val="00FC5D02"/>
    <w:rsid w:val="00FC69A9"/>
    <w:rsid w:val="00FC7A75"/>
    <w:rsid w:val="00FD0BA9"/>
    <w:rsid w:val="00FD266F"/>
    <w:rsid w:val="00FD43AE"/>
    <w:rsid w:val="00FD527E"/>
    <w:rsid w:val="00FD5728"/>
    <w:rsid w:val="00FD6555"/>
    <w:rsid w:val="00FD775B"/>
    <w:rsid w:val="00FE04BC"/>
    <w:rsid w:val="00FE0E37"/>
    <w:rsid w:val="00FE1998"/>
    <w:rsid w:val="00FE2702"/>
    <w:rsid w:val="00FE3250"/>
    <w:rsid w:val="00FE3485"/>
    <w:rsid w:val="00FE348B"/>
    <w:rsid w:val="00FE4106"/>
    <w:rsid w:val="00FE4630"/>
    <w:rsid w:val="00FE4777"/>
    <w:rsid w:val="00FE5407"/>
    <w:rsid w:val="00FE6440"/>
    <w:rsid w:val="00FE6FBA"/>
    <w:rsid w:val="00FE7923"/>
    <w:rsid w:val="00FE7F55"/>
    <w:rsid w:val="00FF2A62"/>
    <w:rsid w:val="00FF46BB"/>
    <w:rsid w:val="00FF4BA3"/>
    <w:rsid w:val="00FF7252"/>
    <w:rsid w:val="00FF7638"/>
    <w:rsid w:val="010C0502"/>
    <w:rsid w:val="01277C69"/>
    <w:rsid w:val="013B2B96"/>
    <w:rsid w:val="015B6D94"/>
    <w:rsid w:val="016C71F3"/>
    <w:rsid w:val="016D6AC7"/>
    <w:rsid w:val="01D64122"/>
    <w:rsid w:val="01F66ABD"/>
    <w:rsid w:val="01FD7E4B"/>
    <w:rsid w:val="02293F32"/>
    <w:rsid w:val="02300221"/>
    <w:rsid w:val="024A62FC"/>
    <w:rsid w:val="025B2DC4"/>
    <w:rsid w:val="02884B29"/>
    <w:rsid w:val="02B04EBD"/>
    <w:rsid w:val="02C92FE9"/>
    <w:rsid w:val="02D212D8"/>
    <w:rsid w:val="02D74B40"/>
    <w:rsid w:val="03033783"/>
    <w:rsid w:val="031B2C7F"/>
    <w:rsid w:val="031C69F7"/>
    <w:rsid w:val="032558AB"/>
    <w:rsid w:val="03304250"/>
    <w:rsid w:val="03355182"/>
    <w:rsid w:val="03500260"/>
    <w:rsid w:val="0371289F"/>
    <w:rsid w:val="03833C7A"/>
    <w:rsid w:val="03B16FD7"/>
    <w:rsid w:val="03B42718"/>
    <w:rsid w:val="03CD1071"/>
    <w:rsid w:val="03E7444B"/>
    <w:rsid w:val="04245B63"/>
    <w:rsid w:val="04262EDA"/>
    <w:rsid w:val="04277401"/>
    <w:rsid w:val="042B6AEB"/>
    <w:rsid w:val="0430275A"/>
    <w:rsid w:val="043D09D3"/>
    <w:rsid w:val="04425FE9"/>
    <w:rsid w:val="044C0B85"/>
    <w:rsid w:val="04510922"/>
    <w:rsid w:val="049D7357"/>
    <w:rsid w:val="04A10F62"/>
    <w:rsid w:val="04A42D6D"/>
    <w:rsid w:val="04A61D6F"/>
    <w:rsid w:val="04B05649"/>
    <w:rsid w:val="04D70E27"/>
    <w:rsid w:val="04E56DE7"/>
    <w:rsid w:val="05121E5F"/>
    <w:rsid w:val="051E6A56"/>
    <w:rsid w:val="053E16EE"/>
    <w:rsid w:val="055C30DB"/>
    <w:rsid w:val="057606BA"/>
    <w:rsid w:val="058645FB"/>
    <w:rsid w:val="058F525E"/>
    <w:rsid w:val="05AC4062"/>
    <w:rsid w:val="05ED01D7"/>
    <w:rsid w:val="0616772D"/>
    <w:rsid w:val="062260D2"/>
    <w:rsid w:val="063B3638"/>
    <w:rsid w:val="063D4CBA"/>
    <w:rsid w:val="06400C4E"/>
    <w:rsid w:val="06436049"/>
    <w:rsid w:val="06850C3E"/>
    <w:rsid w:val="06A77A96"/>
    <w:rsid w:val="06A905A2"/>
    <w:rsid w:val="06B55198"/>
    <w:rsid w:val="06B56F46"/>
    <w:rsid w:val="06C86EDF"/>
    <w:rsid w:val="06D3561E"/>
    <w:rsid w:val="06DF5D71"/>
    <w:rsid w:val="06FC4B75"/>
    <w:rsid w:val="070852B7"/>
    <w:rsid w:val="071874D5"/>
    <w:rsid w:val="07484D47"/>
    <w:rsid w:val="075C5614"/>
    <w:rsid w:val="077A5294"/>
    <w:rsid w:val="077B723E"/>
    <w:rsid w:val="078A26D8"/>
    <w:rsid w:val="07A52007"/>
    <w:rsid w:val="07B76CEE"/>
    <w:rsid w:val="07C22A40"/>
    <w:rsid w:val="07F93C1E"/>
    <w:rsid w:val="080B2B96"/>
    <w:rsid w:val="081D1247"/>
    <w:rsid w:val="082F4AD6"/>
    <w:rsid w:val="084C5688"/>
    <w:rsid w:val="084E1401"/>
    <w:rsid w:val="085F5FBF"/>
    <w:rsid w:val="086504F8"/>
    <w:rsid w:val="0865674A"/>
    <w:rsid w:val="086724C2"/>
    <w:rsid w:val="087D7F38"/>
    <w:rsid w:val="08877BE0"/>
    <w:rsid w:val="088D745B"/>
    <w:rsid w:val="08987DAC"/>
    <w:rsid w:val="08A2174C"/>
    <w:rsid w:val="08CA47FF"/>
    <w:rsid w:val="090441B5"/>
    <w:rsid w:val="091650F7"/>
    <w:rsid w:val="09212671"/>
    <w:rsid w:val="09385C0D"/>
    <w:rsid w:val="093A3733"/>
    <w:rsid w:val="0969226A"/>
    <w:rsid w:val="0980632C"/>
    <w:rsid w:val="098826F0"/>
    <w:rsid w:val="09C97BB6"/>
    <w:rsid w:val="09D122E9"/>
    <w:rsid w:val="09E638BB"/>
    <w:rsid w:val="0A0338DA"/>
    <w:rsid w:val="0A3E54A5"/>
    <w:rsid w:val="0A586566"/>
    <w:rsid w:val="0A701077"/>
    <w:rsid w:val="0A710C84"/>
    <w:rsid w:val="0A7315F2"/>
    <w:rsid w:val="0A740EC6"/>
    <w:rsid w:val="0A7B2255"/>
    <w:rsid w:val="0A801619"/>
    <w:rsid w:val="0AA25A34"/>
    <w:rsid w:val="0ABF2205"/>
    <w:rsid w:val="0B0D6C7C"/>
    <w:rsid w:val="0B21104E"/>
    <w:rsid w:val="0B2428ED"/>
    <w:rsid w:val="0B3F3282"/>
    <w:rsid w:val="0B3F7726"/>
    <w:rsid w:val="0B552AA6"/>
    <w:rsid w:val="0B6D26FA"/>
    <w:rsid w:val="0B8769D7"/>
    <w:rsid w:val="0B8B471A"/>
    <w:rsid w:val="0B927856"/>
    <w:rsid w:val="0BBA0B5B"/>
    <w:rsid w:val="0BBF2615"/>
    <w:rsid w:val="0BD75BB1"/>
    <w:rsid w:val="0BF16C73"/>
    <w:rsid w:val="0BF56037"/>
    <w:rsid w:val="0C061FF2"/>
    <w:rsid w:val="0C1B5AE1"/>
    <w:rsid w:val="0C216E2C"/>
    <w:rsid w:val="0C3721AC"/>
    <w:rsid w:val="0C5114BF"/>
    <w:rsid w:val="0C564D28"/>
    <w:rsid w:val="0C767178"/>
    <w:rsid w:val="0C7DFBDB"/>
    <w:rsid w:val="0C85560D"/>
    <w:rsid w:val="0C931AD8"/>
    <w:rsid w:val="0C965124"/>
    <w:rsid w:val="0C9F46C4"/>
    <w:rsid w:val="0CA51ED6"/>
    <w:rsid w:val="0CAE4666"/>
    <w:rsid w:val="0CC46FA3"/>
    <w:rsid w:val="0CE3721B"/>
    <w:rsid w:val="0CF307C8"/>
    <w:rsid w:val="0CF956B3"/>
    <w:rsid w:val="0D1471FC"/>
    <w:rsid w:val="0D1621AD"/>
    <w:rsid w:val="0D447276"/>
    <w:rsid w:val="0D4B23B2"/>
    <w:rsid w:val="0D4F46D6"/>
    <w:rsid w:val="0D5D3E94"/>
    <w:rsid w:val="0D6C3A29"/>
    <w:rsid w:val="0D7A1104"/>
    <w:rsid w:val="0DA47D15"/>
    <w:rsid w:val="0DA87805"/>
    <w:rsid w:val="0DBA3094"/>
    <w:rsid w:val="0DBC505E"/>
    <w:rsid w:val="0DC4170C"/>
    <w:rsid w:val="0DCE7C62"/>
    <w:rsid w:val="0DD02BF2"/>
    <w:rsid w:val="0DED346A"/>
    <w:rsid w:val="0DFA5B87"/>
    <w:rsid w:val="0DFC36AD"/>
    <w:rsid w:val="0DFC6A1D"/>
    <w:rsid w:val="0E012A71"/>
    <w:rsid w:val="0E0213F2"/>
    <w:rsid w:val="0E07732B"/>
    <w:rsid w:val="0E26697C"/>
    <w:rsid w:val="0E2A69C7"/>
    <w:rsid w:val="0E323572"/>
    <w:rsid w:val="0E414D0F"/>
    <w:rsid w:val="0E4A08BC"/>
    <w:rsid w:val="0E626CA5"/>
    <w:rsid w:val="0E63197E"/>
    <w:rsid w:val="0E960052"/>
    <w:rsid w:val="0EA855E3"/>
    <w:rsid w:val="0EAA3109"/>
    <w:rsid w:val="0EB9159E"/>
    <w:rsid w:val="0EE04D7C"/>
    <w:rsid w:val="0EFB3964"/>
    <w:rsid w:val="0F07055B"/>
    <w:rsid w:val="0F0F62AD"/>
    <w:rsid w:val="0F227143"/>
    <w:rsid w:val="0F31382A"/>
    <w:rsid w:val="0F73799F"/>
    <w:rsid w:val="0F87344A"/>
    <w:rsid w:val="0F913406"/>
    <w:rsid w:val="0FA45DAA"/>
    <w:rsid w:val="0FAC2EB1"/>
    <w:rsid w:val="0FB87AA7"/>
    <w:rsid w:val="0FE663C2"/>
    <w:rsid w:val="0FF02D9D"/>
    <w:rsid w:val="0FF860F6"/>
    <w:rsid w:val="0FFE195E"/>
    <w:rsid w:val="0FFF4507"/>
    <w:rsid w:val="10042CED"/>
    <w:rsid w:val="100F5919"/>
    <w:rsid w:val="10270194"/>
    <w:rsid w:val="10357AE2"/>
    <w:rsid w:val="103C2486"/>
    <w:rsid w:val="104F21BA"/>
    <w:rsid w:val="104F3F68"/>
    <w:rsid w:val="106043C7"/>
    <w:rsid w:val="106D43EE"/>
    <w:rsid w:val="10725EA8"/>
    <w:rsid w:val="107B4D5D"/>
    <w:rsid w:val="107B5A6F"/>
    <w:rsid w:val="107E3167"/>
    <w:rsid w:val="109A0961"/>
    <w:rsid w:val="10B822C3"/>
    <w:rsid w:val="10BE4C49"/>
    <w:rsid w:val="10BE733F"/>
    <w:rsid w:val="10D87AE7"/>
    <w:rsid w:val="10DF0E3F"/>
    <w:rsid w:val="10E250B3"/>
    <w:rsid w:val="10EC085B"/>
    <w:rsid w:val="112F3D99"/>
    <w:rsid w:val="11357601"/>
    <w:rsid w:val="113917C7"/>
    <w:rsid w:val="11503CCA"/>
    <w:rsid w:val="115769FC"/>
    <w:rsid w:val="116577BB"/>
    <w:rsid w:val="11677ADA"/>
    <w:rsid w:val="116F4196"/>
    <w:rsid w:val="117B1695"/>
    <w:rsid w:val="1193257A"/>
    <w:rsid w:val="11967974"/>
    <w:rsid w:val="11B27829"/>
    <w:rsid w:val="11C97D4A"/>
    <w:rsid w:val="11FB2294"/>
    <w:rsid w:val="12350C2A"/>
    <w:rsid w:val="123553DF"/>
    <w:rsid w:val="125735A8"/>
    <w:rsid w:val="126E58D4"/>
    <w:rsid w:val="1280578A"/>
    <w:rsid w:val="128879FC"/>
    <w:rsid w:val="128B259E"/>
    <w:rsid w:val="129E11D6"/>
    <w:rsid w:val="129F64F0"/>
    <w:rsid w:val="12A3059B"/>
    <w:rsid w:val="12D9220E"/>
    <w:rsid w:val="130D347A"/>
    <w:rsid w:val="131E17F3"/>
    <w:rsid w:val="13315BA7"/>
    <w:rsid w:val="136D0E51"/>
    <w:rsid w:val="13715411"/>
    <w:rsid w:val="13795061"/>
    <w:rsid w:val="139B3968"/>
    <w:rsid w:val="139B69DE"/>
    <w:rsid w:val="13B567D8"/>
    <w:rsid w:val="13B76062"/>
    <w:rsid w:val="13D33102"/>
    <w:rsid w:val="13E56991"/>
    <w:rsid w:val="14103C2C"/>
    <w:rsid w:val="14221993"/>
    <w:rsid w:val="14551D69"/>
    <w:rsid w:val="145A1E9B"/>
    <w:rsid w:val="1468616B"/>
    <w:rsid w:val="1472086C"/>
    <w:rsid w:val="147F6DE6"/>
    <w:rsid w:val="14A16D5C"/>
    <w:rsid w:val="14AA6775"/>
    <w:rsid w:val="14B940A6"/>
    <w:rsid w:val="14C01F6E"/>
    <w:rsid w:val="14C667C2"/>
    <w:rsid w:val="14E629C1"/>
    <w:rsid w:val="14FA380C"/>
    <w:rsid w:val="14FB646C"/>
    <w:rsid w:val="15015A4D"/>
    <w:rsid w:val="15076514"/>
    <w:rsid w:val="151B08BC"/>
    <w:rsid w:val="151D2886"/>
    <w:rsid w:val="152A0AFF"/>
    <w:rsid w:val="152F25BA"/>
    <w:rsid w:val="153320AA"/>
    <w:rsid w:val="154D0C92"/>
    <w:rsid w:val="154E3A52"/>
    <w:rsid w:val="155E2E9F"/>
    <w:rsid w:val="15714980"/>
    <w:rsid w:val="159B37AB"/>
    <w:rsid w:val="15A5287C"/>
    <w:rsid w:val="15AC3C0A"/>
    <w:rsid w:val="15B036FB"/>
    <w:rsid w:val="15C03212"/>
    <w:rsid w:val="15CA3CDD"/>
    <w:rsid w:val="15D3486C"/>
    <w:rsid w:val="15E2762C"/>
    <w:rsid w:val="161F618A"/>
    <w:rsid w:val="16247C45"/>
    <w:rsid w:val="162C539E"/>
    <w:rsid w:val="166C4E41"/>
    <w:rsid w:val="1675166E"/>
    <w:rsid w:val="16881F81"/>
    <w:rsid w:val="16A843D2"/>
    <w:rsid w:val="16AB2114"/>
    <w:rsid w:val="16CA189C"/>
    <w:rsid w:val="16CE51E9"/>
    <w:rsid w:val="16F13FCB"/>
    <w:rsid w:val="16F74D42"/>
    <w:rsid w:val="17081314"/>
    <w:rsid w:val="170D4E5D"/>
    <w:rsid w:val="171323D2"/>
    <w:rsid w:val="17255A22"/>
    <w:rsid w:val="173159F1"/>
    <w:rsid w:val="17503446"/>
    <w:rsid w:val="17555BDC"/>
    <w:rsid w:val="175E3CFD"/>
    <w:rsid w:val="175E3E19"/>
    <w:rsid w:val="175E43D3"/>
    <w:rsid w:val="17611D6A"/>
    <w:rsid w:val="17636F90"/>
    <w:rsid w:val="177469AA"/>
    <w:rsid w:val="179761F4"/>
    <w:rsid w:val="17AC6144"/>
    <w:rsid w:val="17C214C3"/>
    <w:rsid w:val="17C34EE7"/>
    <w:rsid w:val="17E06F0D"/>
    <w:rsid w:val="17E838C7"/>
    <w:rsid w:val="17E841F0"/>
    <w:rsid w:val="17EE187A"/>
    <w:rsid w:val="180F4434"/>
    <w:rsid w:val="181D0DEF"/>
    <w:rsid w:val="18475E6C"/>
    <w:rsid w:val="18477C1A"/>
    <w:rsid w:val="1853036D"/>
    <w:rsid w:val="1854459C"/>
    <w:rsid w:val="1870071C"/>
    <w:rsid w:val="18736C61"/>
    <w:rsid w:val="18A961DF"/>
    <w:rsid w:val="18AC53DF"/>
    <w:rsid w:val="18AF0101"/>
    <w:rsid w:val="18C474BD"/>
    <w:rsid w:val="18DA1DC8"/>
    <w:rsid w:val="18EF453A"/>
    <w:rsid w:val="18F25DD8"/>
    <w:rsid w:val="18F733EE"/>
    <w:rsid w:val="19020A55"/>
    <w:rsid w:val="1907517C"/>
    <w:rsid w:val="190B731E"/>
    <w:rsid w:val="191F64A1"/>
    <w:rsid w:val="193F0930"/>
    <w:rsid w:val="19832ED4"/>
    <w:rsid w:val="19882298"/>
    <w:rsid w:val="198A4263"/>
    <w:rsid w:val="19962C07"/>
    <w:rsid w:val="199B6470"/>
    <w:rsid w:val="19A26E60"/>
    <w:rsid w:val="19CC03D7"/>
    <w:rsid w:val="19DE1BE9"/>
    <w:rsid w:val="19E014E6"/>
    <w:rsid w:val="19EE47F1"/>
    <w:rsid w:val="19F5712E"/>
    <w:rsid w:val="19FD744C"/>
    <w:rsid w:val="1A0069EE"/>
    <w:rsid w:val="1A1678A4"/>
    <w:rsid w:val="1A267911"/>
    <w:rsid w:val="1A514D80"/>
    <w:rsid w:val="1A686394"/>
    <w:rsid w:val="1A766595"/>
    <w:rsid w:val="1A930EF5"/>
    <w:rsid w:val="1A9B78E3"/>
    <w:rsid w:val="1A9D1D74"/>
    <w:rsid w:val="1AE1489F"/>
    <w:rsid w:val="1AE856E5"/>
    <w:rsid w:val="1AE94FB9"/>
    <w:rsid w:val="1B154000"/>
    <w:rsid w:val="1B283D33"/>
    <w:rsid w:val="1B326960"/>
    <w:rsid w:val="1B362FB2"/>
    <w:rsid w:val="1B7444D0"/>
    <w:rsid w:val="1BA3160C"/>
    <w:rsid w:val="1BB750B7"/>
    <w:rsid w:val="1BBFB0A1"/>
    <w:rsid w:val="1BCA1716"/>
    <w:rsid w:val="1BCD03EF"/>
    <w:rsid w:val="1BEC2850"/>
    <w:rsid w:val="1BF53B0B"/>
    <w:rsid w:val="1C191753"/>
    <w:rsid w:val="1C273FEB"/>
    <w:rsid w:val="1C32160C"/>
    <w:rsid w:val="1C450915"/>
    <w:rsid w:val="1C4F677C"/>
    <w:rsid w:val="1C8651B5"/>
    <w:rsid w:val="1C8B6F24"/>
    <w:rsid w:val="1C980A44"/>
    <w:rsid w:val="1C9F1DD3"/>
    <w:rsid w:val="1CC77DA9"/>
    <w:rsid w:val="1CD53A47"/>
    <w:rsid w:val="1CD852E5"/>
    <w:rsid w:val="1CE13E99"/>
    <w:rsid w:val="1CE40584"/>
    <w:rsid w:val="1CF739BD"/>
    <w:rsid w:val="1D091942"/>
    <w:rsid w:val="1D2C234D"/>
    <w:rsid w:val="1D2D3883"/>
    <w:rsid w:val="1D352737"/>
    <w:rsid w:val="1D4604A0"/>
    <w:rsid w:val="1D864D41"/>
    <w:rsid w:val="1DA5166B"/>
    <w:rsid w:val="1DC16D85"/>
    <w:rsid w:val="1DCD2970"/>
    <w:rsid w:val="1DED3012"/>
    <w:rsid w:val="1DFC3255"/>
    <w:rsid w:val="1E05035C"/>
    <w:rsid w:val="1E0A5972"/>
    <w:rsid w:val="1E3F177C"/>
    <w:rsid w:val="1E4D69E5"/>
    <w:rsid w:val="1E7948A6"/>
    <w:rsid w:val="1E935967"/>
    <w:rsid w:val="1E9E3B55"/>
    <w:rsid w:val="1EA20F54"/>
    <w:rsid w:val="1EA27958"/>
    <w:rsid w:val="1EB107C7"/>
    <w:rsid w:val="1EB3600A"/>
    <w:rsid w:val="1EBF4740"/>
    <w:rsid w:val="1EBF584C"/>
    <w:rsid w:val="1ED5486E"/>
    <w:rsid w:val="1EDD7BF3"/>
    <w:rsid w:val="1EE00481"/>
    <w:rsid w:val="1EF87EC0"/>
    <w:rsid w:val="1F0979D8"/>
    <w:rsid w:val="1F1B03F8"/>
    <w:rsid w:val="1F205CCE"/>
    <w:rsid w:val="1F7019FE"/>
    <w:rsid w:val="1F705CA9"/>
    <w:rsid w:val="1F8C2552"/>
    <w:rsid w:val="1F9A0F77"/>
    <w:rsid w:val="1FBF278C"/>
    <w:rsid w:val="1FE8583F"/>
    <w:rsid w:val="1FFC40E1"/>
    <w:rsid w:val="20450EE3"/>
    <w:rsid w:val="20476A09"/>
    <w:rsid w:val="20582F84"/>
    <w:rsid w:val="20767191"/>
    <w:rsid w:val="20B10327"/>
    <w:rsid w:val="20BF3588"/>
    <w:rsid w:val="20D81D57"/>
    <w:rsid w:val="20FB267F"/>
    <w:rsid w:val="21050673"/>
    <w:rsid w:val="210C7C53"/>
    <w:rsid w:val="210D399D"/>
    <w:rsid w:val="211C0882"/>
    <w:rsid w:val="2144119B"/>
    <w:rsid w:val="21621621"/>
    <w:rsid w:val="21751354"/>
    <w:rsid w:val="21845A3B"/>
    <w:rsid w:val="219C4B33"/>
    <w:rsid w:val="21A25EC1"/>
    <w:rsid w:val="21B06830"/>
    <w:rsid w:val="21BF6CED"/>
    <w:rsid w:val="21D56297"/>
    <w:rsid w:val="21FA5CFD"/>
    <w:rsid w:val="222D5373"/>
    <w:rsid w:val="222E3A1A"/>
    <w:rsid w:val="224A27E1"/>
    <w:rsid w:val="226F3DF9"/>
    <w:rsid w:val="228026A7"/>
    <w:rsid w:val="228201CD"/>
    <w:rsid w:val="228F6446"/>
    <w:rsid w:val="229E741D"/>
    <w:rsid w:val="22A55C69"/>
    <w:rsid w:val="22B67B82"/>
    <w:rsid w:val="22CA3922"/>
    <w:rsid w:val="22D14673"/>
    <w:rsid w:val="22D95913"/>
    <w:rsid w:val="22DF73CD"/>
    <w:rsid w:val="22E4624E"/>
    <w:rsid w:val="22F97D63"/>
    <w:rsid w:val="23007343"/>
    <w:rsid w:val="2322731E"/>
    <w:rsid w:val="232E3EB1"/>
    <w:rsid w:val="233A4603"/>
    <w:rsid w:val="23611AE3"/>
    <w:rsid w:val="237733D9"/>
    <w:rsid w:val="23810484"/>
    <w:rsid w:val="23966C6F"/>
    <w:rsid w:val="23A55DA4"/>
    <w:rsid w:val="23A61C99"/>
    <w:rsid w:val="23A81EB5"/>
    <w:rsid w:val="23CD1928"/>
    <w:rsid w:val="240D1D18"/>
    <w:rsid w:val="241F1A4B"/>
    <w:rsid w:val="2443398C"/>
    <w:rsid w:val="24520CA3"/>
    <w:rsid w:val="24660589"/>
    <w:rsid w:val="247B55C5"/>
    <w:rsid w:val="24822706"/>
    <w:rsid w:val="24861ACA"/>
    <w:rsid w:val="24883A94"/>
    <w:rsid w:val="24A24B56"/>
    <w:rsid w:val="24C70EF2"/>
    <w:rsid w:val="24DB3BC4"/>
    <w:rsid w:val="24FA50EA"/>
    <w:rsid w:val="24FF2E71"/>
    <w:rsid w:val="25071D86"/>
    <w:rsid w:val="250A26FB"/>
    <w:rsid w:val="250C0222"/>
    <w:rsid w:val="25175517"/>
    <w:rsid w:val="25317C88"/>
    <w:rsid w:val="25387269"/>
    <w:rsid w:val="25513E86"/>
    <w:rsid w:val="256D0462"/>
    <w:rsid w:val="257F6C45"/>
    <w:rsid w:val="25902C01"/>
    <w:rsid w:val="2593449F"/>
    <w:rsid w:val="25A8248F"/>
    <w:rsid w:val="25B659A0"/>
    <w:rsid w:val="25DC2065"/>
    <w:rsid w:val="25E82A3D"/>
    <w:rsid w:val="26045C60"/>
    <w:rsid w:val="26280FB8"/>
    <w:rsid w:val="2628108B"/>
    <w:rsid w:val="264458DF"/>
    <w:rsid w:val="264834DB"/>
    <w:rsid w:val="265E2CFF"/>
    <w:rsid w:val="26753BA5"/>
    <w:rsid w:val="26891D15"/>
    <w:rsid w:val="268F4733"/>
    <w:rsid w:val="26993D37"/>
    <w:rsid w:val="26A60202"/>
    <w:rsid w:val="26BE379D"/>
    <w:rsid w:val="26CF59AB"/>
    <w:rsid w:val="26D94B49"/>
    <w:rsid w:val="26DB004C"/>
    <w:rsid w:val="26EA27E4"/>
    <w:rsid w:val="270218DC"/>
    <w:rsid w:val="270C62B7"/>
    <w:rsid w:val="270D202F"/>
    <w:rsid w:val="27111B1F"/>
    <w:rsid w:val="272D0F38"/>
    <w:rsid w:val="2737519E"/>
    <w:rsid w:val="273B094A"/>
    <w:rsid w:val="27443084"/>
    <w:rsid w:val="27581276"/>
    <w:rsid w:val="278510AA"/>
    <w:rsid w:val="278D7BBD"/>
    <w:rsid w:val="27AC1848"/>
    <w:rsid w:val="27AC700D"/>
    <w:rsid w:val="27B32BD6"/>
    <w:rsid w:val="27C052F3"/>
    <w:rsid w:val="27ED433A"/>
    <w:rsid w:val="28072F22"/>
    <w:rsid w:val="28313741"/>
    <w:rsid w:val="283830DC"/>
    <w:rsid w:val="2859377E"/>
    <w:rsid w:val="28623F84"/>
    <w:rsid w:val="2867707F"/>
    <w:rsid w:val="28724840"/>
    <w:rsid w:val="28771E56"/>
    <w:rsid w:val="28893937"/>
    <w:rsid w:val="28944BAE"/>
    <w:rsid w:val="28956F38"/>
    <w:rsid w:val="28C11323"/>
    <w:rsid w:val="28D6498F"/>
    <w:rsid w:val="28F60FCD"/>
    <w:rsid w:val="29015BC3"/>
    <w:rsid w:val="290870F3"/>
    <w:rsid w:val="292A4F60"/>
    <w:rsid w:val="29323FCF"/>
    <w:rsid w:val="2939710B"/>
    <w:rsid w:val="2944442E"/>
    <w:rsid w:val="29453D02"/>
    <w:rsid w:val="294A30C6"/>
    <w:rsid w:val="295D729E"/>
    <w:rsid w:val="29844A21"/>
    <w:rsid w:val="29A07F2C"/>
    <w:rsid w:val="29C92DE2"/>
    <w:rsid w:val="29D82462"/>
    <w:rsid w:val="29DB01C2"/>
    <w:rsid w:val="29E72052"/>
    <w:rsid w:val="29E96D83"/>
    <w:rsid w:val="29FB319D"/>
    <w:rsid w:val="2A0B0AA8"/>
    <w:rsid w:val="2A175AF9"/>
    <w:rsid w:val="2A383867"/>
    <w:rsid w:val="2A3B6ADF"/>
    <w:rsid w:val="2A3E2317"/>
    <w:rsid w:val="2A6428AE"/>
    <w:rsid w:val="2A66642C"/>
    <w:rsid w:val="2A6F54DA"/>
    <w:rsid w:val="2A7725E1"/>
    <w:rsid w:val="2A830F86"/>
    <w:rsid w:val="2A8B7E3A"/>
    <w:rsid w:val="2A900FAD"/>
    <w:rsid w:val="2A930A9D"/>
    <w:rsid w:val="2ABC6246"/>
    <w:rsid w:val="2AC05D36"/>
    <w:rsid w:val="2ACB0237"/>
    <w:rsid w:val="2AD1624A"/>
    <w:rsid w:val="2AE412F9"/>
    <w:rsid w:val="2AE80DE9"/>
    <w:rsid w:val="2AF3387C"/>
    <w:rsid w:val="2AFB6D6E"/>
    <w:rsid w:val="2B065713"/>
    <w:rsid w:val="2B3F23E7"/>
    <w:rsid w:val="2B572D95"/>
    <w:rsid w:val="2B7408CF"/>
    <w:rsid w:val="2B807273"/>
    <w:rsid w:val="2B8247D2"/>
    <w:rsid w:val="2B872ED7"/>
    <w:rsid w:val="2BC7343E"/>
    <w:rsid w:val="2BD1187D"/>
    <w:rsid w:val="2BD20463"/>
    <w:rsid w:val="2BD63337"/>
    <w:rsid w:val="2BE42114"/>
    <w:rsid w:val="2BEC66B7"/>
    <w:rsid w:val="2BF05768"/>
    <w:rsid w:val="2BF832AE"/>
    <w:rsid w:val="2C0307A3"/>
    <w:rsid w:val="2C21378B"/>
    <w:rsid w:val="2C4958B7"/>
    <w:rsid w:val="2C5875CB"/>
    <w:rsid w:val="2C640943"/>
    <w:rsid w:val="2C6E6C8C"/>
    <w:rsid w:val="2C7212B2"/>
    <w:rsid w:val="2C730BBA"/>
    <w:rsid w:val="2CDC497D"/>
    <w:rsid w:val="2CDC7A4B"/>
    <w:rsid w:val="2CF41CC7"/>
    <w:rsid w:val="2D6911F0"/>
    <w:rsid w:val="2D7E652C"/>
    <w:rsid w:val="2D8E795D"/>
    <w:rsid w:val="2D9432B6"/>
    <w:rsid w:val="2D980FAF"/>
    <w:rsid w:val="2DD41AF8"/>
    <w:rsid w:val="2E04632A"/>
    <w:rsid w:val="2E0949AC"/>
    <w:rsid w:val="2E175BCA"/>
    <w:rsid w:val="2E206AEC"/>
    <w:rsid w:val="2E383E35"/>
    <w:rsid w:val="2E3D31FA"/>
    <w:rsid w:val="2E5F13C2"/>
    <w:rsid w:val="2E6E7857"/>
    <w:rsid w:val="2E786928"/>
    <w:rsid w:val="2E901010"/>
    <w:rsid w:val="2E965B15"/>
    <w:rsid w:val="2ED27DE6"/>
    <w:rsid w:val="2EE67CD4"/>
    <w:rsid w:val="2EEE2746"/>
    <w:rsid w:val="2EF30CD1"/>
    <w:rsid w:val="2F0C331C"/>
    <w:rsid w:val="2F177EEF"/>
    <w:rsid w:val="2F1E6C0C"/>
    <w:rsid w:val="2F4033C5"/>
    <w:rsid w:val="2F416D1A"/>
    <w:rsid w:val="2F503ECF"/>
    <w:rsid w:val="2F522CD5"/>
    <w:rsid w:val="2F5606BB"/>
    <w:rsid w:val="2F662C24"/>
    <w:rsid w:val="2F6D62A6"/>
    <w:rsid w:val="2F8F217B"/>
    <w:rsid w:val="2FAD43AF"/>
    <w:rsid w:val="2FB614B6"/>
    <w:rsid w:val="2FD14541"/>
    <w:rsid w:val="2FD908D5"/>
    <w:rsid w:val="2FE04785"/>
    <w:rsid w:val="2FE36023"/>
    <w:rsid w:val="2FED3DE1"/>
    <w:rsid w:val="2FEE6C2B"/>
    <w:rsid w:val="30090A4C"/>
    <w:rsid w:val="3020552E"/>
    <w:rsid w:val="30230610"/>
    <w:rsid w:val="30403475"/>
    <w:rsid w:val="304212B8"/>
    <w:rsid w:val="30647164"/>
    <w:rsid w:val="306B59C4"/>
    <w:rsid w:val="307373A7"/>
    <w:rsid w:val="30803872"/>
    <w:rsid w:val="309D2676"/>
    <w:rsid w:val="30A05CC2"/>
    <w:rsid w:val="30A9101A"/>
    <w:rsid w:val="30CC4D09"/>
    <w:rsid w:val="30E6401D"/>
    <w:rsid w:val="30F1651D"/>
    <w:rsid w:val="30FA1876"/>
    <w:rsid w:val="30FD34B3"/>
    <w:rsid w:val="311961A0"/>
    <w:rsid w:val="31224929"/>
    <w:rsid w:val="312468F3"/>
    <w:rsid w:val="31570A76"/>
    <w:rsid w:val="315F792B"/>
    <w:rsid w:val="31682C84"/>
    <w:rsid w:val="318F0210"/>
    <w:rsid w:val="319D5A1B"/>
    <w:rsid w:val="319F398A"/>
    <w:rsid w:val="31AD77A6"/>
    <w:rsid w:val="31C34087"/>
    <w:rsid w:val="31F14A27"/>
    <w:rsid w:val="31FE7144"/>
    <w:rsid w:val="321B7CF6"/>
    <w:rsid w:val="321D3A6E"/>
    <w:rsid w:val="323B2146"/>
    <w:rsid w:val="32594346"/>
    <w:rsid w:val="3260630E"/>
    <w:rsid w:val="326E7E26"/>
    <w:rsid w:val="327318E0"/>
    <w:rsid w:val="32851613"/>
    <w:rsid w:val="328B5B25"/>
    <w:rsid w:val="32902492"/>
    <w:rsid w:val="3296737C"/>
    <w:rsid w:val="32AE7C54"/>
    <w:rsid w:val="32C043F9"/>
    <w:rsid w:val="32E203C0"/>
    <w:rsid w:val="32E427DE"/>
    <w:rsid w:val="32EE12BF"/>
    <w:rsid w:val="33182487"/>
    <w:rsid w:val="3337290D"/>
    <w:rsid w:val="335222DF"/>
    <w:rsid w:val="336E6E75"/>
    <w:rsid w:val="337D170B"/>
    <w:rsid w:val="338C5C79"/>
    <w:rsid w:val="339C70EE"/>
    <w:rsid w:val="33C6541B"/>
    <w:rsid w:val="33E61686"/>
    <w:rsid w:val="33EFE83E"/>
    <w:rsid w:val="33F407FF"/>
    <w:rsid w:val="340440DB"/>
    <w:rsid w:val="341E1017"/>
    <w:rsid w:val="342A2472"/>
    <w:rsid w:val="342F5CDB"/>
    <w:rsid w:val="3442156A"/>
    <w:rsid w:val="346E53C6"/>
    <w:rsid w:val="3481782D"/>
    <w:rsid w:val="349F0D00"/>
    <w:rsid w:val="34E938F8"/>
    <w:rsid w:val="351F7AFD"/>
    <w:rsid w:val="35313DB7"/>
    <w:rsid w:val="353A66E5"/>
    <w:rsid w:val="355377A7"/>
    <w:rsid w:val="357C4F4F"/>
    <w:rsid w:val="35814314"/>
    <w:rsid w:val="35906305"/>
    <w:rsid w:val="35BC359E"/>
    <w:rsid w:val="35BE7938"/>
    <w:rsid w:val="35CF32D1"/>
    <w:rsid w:val="35D609C2"/>
    <w:rsid w:val="35ED7BFB"/>
    <w:rsid w:val="360C1C1F"/>
    <w:rsid w:val="362353CB"/>
    <w:rsid w:val="36260A17"/>
    <w:rsid w:val="36401AD9"/>
    <w:rsid w:val="36657792"/>
    <w:rsid w:val="36853990"/>
    <w:rsid w:val="3699743B"/>
    <w:rsid w:val="36B62E57"/>
    <w:rsid w:val="36C71D39"/>
    <w:rsid w:val="36D509BD"/>
    <w:rsid w:val="36D6068F"/>
    <w:rsid w:val="371B60A2"/>
    <w:rsid w:val="37411FAD"/>
    <w:rsid w:val="375021F0"/>
    <w:rsid w:val="375B08FF"/>
    <w:rsid w:val="375F2433"/>
    <w:rsid w:val="377C467F"/>
    <w:rsid w:val="379245B6"/>
    <w:rsid w:val="379508A6"/>
    <w:rsid w:val="379A3A9E"/>
    <w:rsid w:val="37A472BB"/>
    <w:rsid w:val="37B44180"/>
    <w:rsid w:val="37C60704"/>
    <w:rsid w:val="37CF2144"/>
    <w:rsid w:val="3810372D"/>
    <w:rsid w:val="381A30F5"/>
    <w:rsid w:val="382D2531"/>
    <w:rsid w:val="38305B7D"/>
    <w:rsid w:val="38412978"/>
    <w:rsid w:val="384977AD"/>
    <w:rsid w:val="3851753C"/>
    <w:rsid w:val="385B0E4C"/>
    <w:rsid w:val="38C033A5"/>
    <w:rsid w:val="38CA7D80"/>
    <w:rsid w:val="38CD2F41"/>
    <w:rsid w:val="38D16F80"/>
    <w:rsid w:val="38DB4964"/>
    <w:rsid w:val="38EA7CFE"/>
    <w:rsid w:val="38EE1CC0"/>
    <w:rsid w:val="38F0269B"/>
    <w:rsid w:val="38F207D6"/>
    <w:rsid w:val="38FD0155"/>
    <w:rsid w:val="393260E7"/>
    <w:rsid w:val="393D49F6"/>
    <w:rsid w:val="39537D75"/>
    <w:rsid w:val="397321C6"/>
    <w:rsid w:val="398E69FC"/>
    <w:rsid w:val="399860D0"/>
    <w:rsid w:val="39BB0DEF"/>
    <w:rsid w:val="39EB599F"/>
    <w:rsid w:val="39EE7A9E"/>
    <w:rsid w:val="39F86974"/>
    <w:rsid w:val="39FD01AF"/>
    <w:rsid w:val="39FE7CD2"/>
    <w:rsid w:val="3A64183E"/>
    <w:rsid w:val="3A6A35C8"/>
    <w:rsid w:val="3A773F37"/>
    <w:rsid w:val="3A813937"/>
    <w:rsid w:val="3A823F5C"/>
    <w:rsid w:val="3A914FF9"/>
    <w:rsid w:val="3A9952B8"/>
    <w:rsid w:val="3AA36ADA"/>
    <w:rsid w:val="3AA61025"/>
    <w:rsid w:val="3ABF721B"/>
    <w:rsid w:val="3ACC532D"/>
    <w:rsid w:val="3AD4138A"/>
    <w:rsid w:val="3ADD1FEC"/>
    <w:rsid w:val="3AE27603"/>
    <w:rsid w:val="3B3140E6"/>
    <w:rsid w:val="3B392F9B"/>
    <w:rsid w:val="3B7D557D"/>
    <w:rsid w:val="3B926229"/>
    <w:rsid w:val="3B9A7EDD"/>
    <w:rsid w:val="3BA82A38"/>
    <w:rsid w:val="3BB15227"/>
    <w:rsid w:val="3BB70A8F"/>
    <w:rsid w:val="3BD32474"/>
    <w:rsid w:val="3BE21884"/>
    <w:rsid w:val="3BE41159"/>
    <w:rsid w:val="3C083348"/>
    <w:rsid w:val="3C20265B"/>
    <w:rsid w:val="3C2C521D"/>
    <w:rsid w:val="3C2D6FA3"/>
    <w:rsid w:val="3C3B72FF"/>
    <w:rsid w:val="3C3E10BB"/>
    <w:rsid w:val="3CB1259C"/>
    <w:rsid w:val="3CCD01CF"/>
    <w:rsid w:val="3CE05DC4"/>
    <w:rsid w:val="3CF17FD1"/>
    <w:rsid w:val="3CF40F67"/>
    <w:rsid w:val="3CFE26EE"/>
    <w:rsid w:val="3D1729DA"/>
    <w:rsid w:val="3D1912D6"/>
    <w:rsid w:val="3D3808F7"/>
    <w:rsid w:val="3D3D6D72"/>
    <w:rsid w:val="3D436353"/>
    <w:rsid w:val="3D4520CB"/>
    <w:rsid w:val="3D5854BC"/>
    <w:rsid w:val="3D631F35"/>
    <w:rsid w:val="3D651D55"/>
    <w:rsid w:val="3D734E8A"/>
    <w:rsid w:val="3DAF631F"/>
    <w:rsid w:val="3DBF00CF"/>
    <w:rsid w:val="3DC94AAA"/>
    <w:rsid w:val="3DD0408A"/>
    <w:rsid w:val="3DD75419"/>
    <w:rsid w:val="3DDA2813"/>
    <w:rsid w:val="3DDD2AD7"/>
    <w:rsid w:val="3DE713D4"/>
    <w:rsid w:val="3E06185A"/>
    <w:rsid w:val="3E063608"/>
    <w:rsid w:val="3E0728CE"/>
    <w:rsid w:val="3E0E6961"/>
    <w:rsid w:val="3E167085"/>
    <w:rsid w:val="3E1F0B6E"/>
    <w:rsid w:val="3E1F46CA"/>
    <w:rsid w:val="3E263682"/>
    <w:rsid w:val="3E3363C7"/>
    <w:rsid w:val="3E344619"/>
    <w:rsid w:val="3E410AE4"/>
    <w:rsid w:val="3E412892"/>
    <w:rsid w:val="3E622809"/>
    <w:rsid w:val="3E6842C3"/>
    <w:rsid w:val="3E773E46"/>
    <w:rsid w:val="3EAB2402"/>
    <w:rsid w:val="3EB2553E"/>
    <w:rsid w:val="3EB72464"/>
    <w:rsid w:val="3EBE2135"/>
    <w:rsid w:val="3EC16814"/>
    <w:rsid w:val="3ED92ACB"/>
    <w:rsid w:val="3EF23B8C"/>
    <w:rsid w:val="3EFE4B5C"/>
    <w:rsid w:val="3F022566"/>
    <w:rsid w:val="3F283A52"/>
    <w:rsid w:val="3F40206E"/>
    <w:rsid w:val="3F520ACF"/>
    <w:rsid w:val="3F5C4D83"/>
    <w:rsid w:val="3F610664"/>
    <w:rsid w:val="3F8769CB"/>
    <w:rsid w:val="3FB672B0"/>
    <w:rsid w:val="3FC419CD"/>
    <w:rsid w:val="3FC8246F"/>
    <w:rsid w:val="3FF43934"/>
    <w:rsid w:val="40063F3B"/>
    <w:rsid w:val="4010076E"/>
    <w:rsid w:val="401A4D5C"/>
    <w:rsid w:val="403E188E"/>
    <w:rsid w:val="40550877"/>
    <w:rsid w:val="40662A84"/>
    <w:rsid w:val="40842F0A"/>
    <w:rsid w:val="40925627"/>
    <w:rsid w:val="4099122F"/>
    <w:rsid w:val="40AB0497"/>
    <w:rsid w:val="40B90E06"/>
    <w:rsid w:val="40C559FD"/>
    <w:rsid w:val="40D65AC5"/>
    <w:rsid w:val="40F605C1"/>
    <w:rsid w:val="40F96CE8"/>
    <w:rsid w:val="40FB7778"/>
    <w:rsid w:val="41200E85"/>
    <w:rsid w:val="413063AB"/>
    <w:rsid w:val="41316F34"/>
    <w:rsid w:val="414508EB"/>
    <w:rsid w:val="415428DD"/>
    <w:rsid w:val="41676AB4"/>
    <w:rsid w:val="419D447B"/>
    <w:rsid w:val="419E0AA1"/>
    <w:rsid w:val="41C71300"/>
    <w:rsid w:val="41DC2347"/>
    <w:rsid w:val="41FA23F0"/>
    <w:rsid w:val="420C1409"/>
    <w:rsid w:val="42166F4E"/>
    <w:rsid w:val="421B7C1E"/>
    <w:rsid w:val="422E312E"/>
    <w:rsid w:val="424741EF"/>
    <w:rsid w:val="42622A3F"/>
    <w:rsid w:val="42686DAA"/>
    <w:rsid w:val="426B4382"/>
    <w:rsid w:val="426B6130"/>
    <w:rsid w:val="42823479"/>
    <w:rsid w:val="42846E8E"/>
    <w:rsid w:val="42871AEA"/>
    <w:rsid w:val="42975177"/>
    <w:rsid w:val="42BF022A"/>
    <w:rsid w:val="42CC3426"/>
    <w:rsid w:val="42D44BBD"/>
    <w:rsid w:val="42DE4F84"/>
    <w:rsid w:val="431E13F4"/>
    <w:rsid w:val="4320516C"/>
    <w:rsid w:val="43234C5C"/>
    <w:rsid w:val="43452E25"/>
    <w:rsid w:val="43496F4C"/>
    <w:rsid w:val="434A21E9"/>
    <w:rsid w:val="4364501E"/>
    <w:rsid w:val="4365306C"/>
    <w:rsid w:val="439671DC"/>
    <w:rsid w:val="43D321DE"/>
    <w:rsid w:val="43EE1136"/>
    <w:rsid w:val="443C4228"/>
    <w:rsid w:val="44466E54"/>
    <w:rsid w:val="445552E9"/>
    <w:rsid w:val="446D4262"/>
    <w:rsid w:val="44890AEF"/>
    <w:rsid w:val="44D34460"/>
    <w:rsid w:val="44EE0237"/>
    <w:rsid w:val="44F01B54"/>
    <w:rsid w:val="44FA379B"/>
    <w:rsid w:val="45027F52"/>
    <w:rsid w:val="452B429C"/>
    <w:rsid w:val="455B3BBA"/>
    <w:rsid w:val="45603DD6"/>
    <w:rsid w:val="45612673"/>
    <w:rsid w:val="4585575A"/>
    <w:rsid w:val="45B20A0F"/>
    <w:rsid w:val="45B846D6"/>
    <w:rsid w:val="45C7751F"/>
    <w:rsid w:val="45D20F7D"/>
    <w:rsid w:val="45E47879"/>
    <w:rsid w:val="45EC57D9"/>
    <w:rsid w:val="45F11042"/>
    <w:rsid w:val="45FE72BB"/>
    <w:rsid w:val="46072613"/>
    <w:rsid w:val="46252A99"/>
    <w:rsid w:val="463158E2"/>
    <w:rsid w:val="46380A1F"/>
    <w:rsid w:val="46685890"/>
    <w:rsid w:val="46761547"/>
    <w:rsid w:val="4690085B"/>
    <w:rsid w:val="4698326B"/>
    <w:rsid w:val="469E0229"/>
    <w:rsid w:val="46B1257F"/>
    <w:rsid w:val="46D5626E"/>
    <w:rsid w:val="46E841F3"/>
    <w:rsid w:val="46F549B4"/>
    <w:rsid w:val="46FA5CD4"/>
    <w:rsid w:val="470152B5"/>
    <w:rsid w:val="470C01AE"/>
    <w:rsid w:val="471042CE"/>
    <w:rsid w:val="4723522B"/>
    <w:rsid w:val="47264D1B"/>
    <w:rsid w:val="473476FC"/>
    <w:rsid w:val="47431429"/>
    <w:rsid w:val="47492772"/>
    <w:rsid w:val="47573126"/>
    <w:rsid w:val="477C1EAB"/>
    <w:rsid w:val="478B4B7E"/>
    <w:rsid w:val="478D7141"/>
    <w:rsid w:val="47940560"/>
    <w:rsid w:val="47981849"/>
    <w:rsid w:val="47B440D5"/>
    <w:rsid w:val="47C25E39"/>
    <w:rsid w:val="47CF4628"/>
    <w:rsid w:val="47DD1AF7"/>
    <w:rsid w:val="48063096"/>
    <w:rsid w:val="48074089"/>
    <w:rsid w:val="480F3A01"/>
    <w:rsid w:val="482B7945"/>
    <w:rsid w:val="483A1140"/>
    <w:rsid w:val="483A4554"/>
    <w:rsid w:val="484E277B"/>
    <w:rsid w:val="486C72C0"/>
    <w:rsid w:val="489155C8"/>
    <w:rsid w:val="489A151D"/>
    <w:rsid w:val="48B00D40"/>
    <w:rsid w:val="48BB76E5"/>
    <w:rsid w:val="48E00EFA"/>
    <w:rsid w:val="48EC5AF0"/>
    <w:rsid w:val="48F84470"/>
    <w:rsid w:val="4904531A"/>
    <w:rsid w:val="491F6F81"/>
    <w:rsid w:val="4922704D"/>
    <w:rsid w:val="494D47E1"/>
    <w:rsid w:val="49673F35"/>
    <w:rsid w:val="49747FC0"/>
    <w:rsid w:val="497F36BE"/>
    <w:rsid w:val="4997621F"/>
    <w:rsid w:val="49A53698"/>
    <w:rsid w:val="49C12AD9"/>
    <w:rsid w:val="49D0319A"/>
    <w:rsid w:val="4A031344"/>
    <w:rsid w:val="4A21665E"/>
    <w:rsid w:val="4A8D34C0"/>
    <w:rsid w:val="4A8E0ECE"/>
    <w:rsid w:val="4AD7205D"/>
    <w:rsid w:val="4ADD6D8E"/>
    <w:rsid w:val="4B02325D"/>
    <w:rsid w:val="4B0825DD"/>
    <w:rsid w:val="4B0D48B0"/>
    <w:rsid w:val="4B143B2C"/>
    <w:rsid w:val="4B1D6435"/>
    <w:rsid w:val="4B2E0642"/>
    <w:rsid w:val="4B671FA9"/>
    <w:rsid w:val="4B7103C2"/>
    <w:rsid w:val="4B771FE9"/>
    <w:rsid w:val="4B7F2C4C"/>
    <w:rsid w:val="4B8B4DEE"/>
    <w:rsid w:val="4B9E420D"/>
    <w:rsid w:val="4BA40904"/>
    <w:rsid w:val="4BAD77B9"/>
    <w:rsid w:val="4BB328F5"/>
    <w:rsid w:val="4BBA1ED6"/>
    <w:rsid w:val="4BBA3C84"/>
    <w:rsid w:val="4BD16D6F"/>
    <w:rsid w:val="4BE11211"/>
    <w:rsid w:val="4BE156B5"/>
    <w:rsid w:val="4BE44D06"/>
    <w:rsid w:val="4BF54CBC"/>
    <w:rsid w:val="4C1930A0"/>
    <w:rsid w:val="4C24269D"/>
    <w:rsid w:val="4C431ECB"/>
    <w:rsid w:val="4C45481B"/>
    <w:rsid w:val="4C4579F1"/>
    <w:rsid w:val="4C465518"/>
    <w:rsid w:val="4C6A145D"/>
    <w:rsid w:val="4CBB7CB4"/>
    <w:rsid w:val="4CC96874"/>
    <w:rsid w:val="4CCE3E8B"/>
    <w:rsid w:val="4CE4720A"/>
    <w:rsid w:val="4CEA67EB"/>
    <w:rsid w:val="4CF02261"/>
    <w:rsid w:val="4CFB6302"/>
    <w:rsid w:val="4D0F6379"/>
    <w:rsid w:val="4D1760B7"/>
    <w:rsid w:val="4D2770F7"/>
    <w:rsid w:val="4D41354B"/>
    <w:rsid w:val="4D445EFB"/>
    <w:rsid w:val="4D626381"/>
    <w:rsid w:val="4D84279B"/>
    <w:rsid w:val="4DBF1A26"/>
    <w:rsid w:val="4DC4528E"/>
    <w:rsid w:val="4DDE00FE"/>
    <w:rsid w:val="4DE81C5E"/>
    <w:rsid w:val="4DE91067"/>
    <w:rsid w:val="4DF711BF"/>
    <w:rsid w:val="4E375DDA"/>
    <w:rsid w:val="4E571C5E"/>
    <w:rsid w:val="4E594E5D"/>
    <w:rsid w:val="4E6661CA"/>
    <w:rsid w:val="4E704ADB"/>
    <w:rsid w:val="4E76551D"/>
    <w:rsid w:val="4E797E26"/>
    <w:rsid w:val="4E920EE8"/>
    <w:rsid w:val="4E994F3D"/>
    <w:rsid w:val="4EA2112B"/>
    <w:rsid w:val="4EC372F3"/>
    <w:rsid w:val="4EC54E1A"/>
    <w:rsid w:val="4ECB7DF8"/>
    <w:rsid w:val="4EDF237F"/>
    <w:rsid w:val="4F1A59B8"/>
    <w:rsid w:val="4F2D4021"/>
    <w:rsid w:val="4F367AC5"/>
    <w:rsid w:val="4F457D08"/>
    <w:rsid w:val="4F562811"/>
    <w:rsid w:val="4F6F20D3"/>
    <w:rsid w:val="4F730D1A"/>
    <w:rsid w:val="4F74628A"/>
    <w:rsid w:val="4F8627FB"/>
    <w:rsid w:val="4F8B7E11"/>
    <w:rsid w:val="4F9273F2"/>
    <w:rsid w:val="4FD95020"/>
    <w:rsid w:val="4FE739C4"/>
    <w:rsid w:val="4FE85264"/>
    <w:rsid w:val="4FEE03A0"/>
    <w:rsid w:val="4FF97471"/>
    <w:rsid w:val="50081462"/>
    <w:rsid w:val="501F74AB"/>
    <w:rsid w:val="50325D21"/>
    <w:rsid w:val="50334005"/>
    <w:rsid w:val="503A0AC9"/>
    <w:rsid w:val="50586EC8"/>
    <w:rsid w:val="506574C6"/>
    <w:rsid w:val="5076286F"/>
    <w:rsid w:val="507C1E50"/>
    <w:rsid w:val="509727E6"/>
    <w:rsid w:val="509E3B74"/>
    <w:rsid w:val="50BE6A7A"/>
    <w:rsid w:val="50C01D3C"/>
    <w:rsid w:val="50DD469C"/>
    <w:rsid w:val="50E579F5"/>
    <w:rsid w:val="50EA57CF"/>
    <w:rsid w:val="50F33EC0"/>
    <w:rsid w:val="5127467D"/>
    <w:rsid w:val="514A5AAA"/>
    <w:rsid w:val="515A41E2"/>
    <w:rsid w:val="51644DBE"/>
    <w:rsid w:val="516B68C8"/>
    <w:rsid w:val="5176064D"/>
    <w:rsid w:val="51836B3F"/>
    <w:rsid w:val="51954F77"/>
    <w:rsid w:val="51B573C7"/>
    <w:rsid w:val="51BF3DA2"/>
    <w:rsid w:val="51BF5961"/>
    <w:rsid w:val="51D320A3"/>
    <w:rsid w:val="51E7154B"/>
    <w:rsid w:val="51EE6435"/>
    <w:rsid w:val="5223678D"/>
    <w:rsid w:val="522C7F68"/>
    <w:rsid w:val="522D1654"/>
    <w:rsid w:val="52392F23"/>
    <w:rsid w:val="52405F5A"/>
    <w:rsid w:val="527340EA"/>
    <w:rsid w:val="527E5C95"/>
    <w:rsid w:val="52A66D10"/>
    <w:rsid w:val="52B47EF4"/>
    <w:rsid w:val="52B72CCB"/>
    <w:rsid w:val="52D63A99"/>
    <w:rsid w:val="52DA35C6"/>
    <w:rsid w:val="52F42171"/>
    <w:rsid w:val="530028C4"/>
    <w:rsid w:val="5305612D"/>
    <w:rsid w:val="5311687F"/>
    <w:rsid w:val="532F31A9"/>
    <w:rsid w:val="532F3457"/>
    <w:rsid w:val="5334256E"/>
    <w:rsid w:val="53427A1B"/>
    <w:rsid w:val="53430A03"/>
    <w:rsid w:val="53487E20"/>
    <w:rsid w:val="534B31D2"/>
    <w:rsid w:val="534C5B09"/>
    <w:rsid w:val="53566988"/>
    <w:rsid w:val="536A41E2"/>
    <w:rsid w:val="53706852"/>
    <w:rsid w:val="538E6122"/>
    <w:rsid w:val="53B84F4D"/>
    <w:rsid w:val="53C2131D"/>
    <w:rsid w:val="53C2401E"/>
    <w:rsid w:val="53CF0730"/>
    <w:rsid w:val="53D22A0C"/>
    <w:rsid w:val="53D31D87"/>
    <w:rsid w:val="53F44044"/>
    <w:rsid w:val="53F47D47"/>
    <w:rsid w:val="53FA78AB"/>
    <w:rsid w:val="5415239F"/>
    <w:rsid w:val="54274BF4"/>
    <w:rsid w:val="5428561B"/>
    <w:rsid w:val="542E3166"/>
    <w:rsid w:val="543C348C"/>
    <w:rsid w:val="54413194"/>
    <w:rsid w:val="54556C40"/>
    <w:rsid w:val="54596730"/>
    <w:rsid w:val="546450D5"/>
    <w:rsid w:val="546D5D37"/>
    <w:rsid w:val="5484657D"/>
    <w:rsid w:val="54962A1D"/>
    <w:rsid w:val="54990292"/>
    <w:rsid w:val="54A656ED"/>
    <w:rsid w:val="54B716A8"/>
    <w:rsid w:val="54BE34CB"/>
    <w:rsid w:val="54CB6F02"/>
    <w:rsid w:val="54E1305C"/>
    <w:rsid w:val="54EA0F6C"/>
    <w:rsid w:val="54F31E22"/>
    <w:rsid w:val="54FC70BB"/>
    <w:rsid w:val="55006BAB"/>
    <w:rsid w:val="550A5C7C"/>
    <w:rsid w:val="55180399"/>
    <w:rsid w:val="554A067A"/>
    <w:rsid w:val="556F788D"/>
    <w:rsid w:val="5579695E"/>
    <w:rsid w:val="5586381E"/>
    <w:rsid w:val="559317CE"/>
    <w:rsid w:val="55A25EB5"/>
    <w:rsid w:val="55B13095"/>
    <w:rsid w:val="55BB0D24"/>
    <w:rsid w:val="55BF57CF"/>
    <w:rsid w:val="55C7591B"/>
    <w:rsid w:val="55CC1183"/>
    <w:rsid w:val="55D51F06"/>
    <w:rsid w:val="55D93123"/>
    <w:rsid w:val="55E62245"/>
    <w:rsid w:val="55E825E8"/>
    <w:rsid w:val="55F169BF"/>
    <w:rsid w:val="5606092B"/>
    <w:rsid w:val="56095F34"/>
    <w:rsid w:val="560A5808"/>
    <w:rsid w:val="561B6BEB"/>
    <w:rsid w:val="561D378D"/>
    <w:rsid w:val="5621502B"/>
    <w:rsid w:val="562A2B7D"/>
    <w:rsid w:val="564C7BCE"/>
    <w:rsid w:val="56510DF0"/>
    <w:rsid w:val="566E6115"/>
    <w:rsid w:val="56925F29"/>
    <w:rsid w:val="56A33C92"/>
    <w:rsid w:val="56C65BD3"/>
    <w:rsid w:val="56F20776"/>
    <w:rsid w:val="56F269C8"/>
    <w:rsid w:val="56F86492"/>
    <w:rsid w:val="570C3708"/>
    <w:rsid w:val="573043AD"/>
    <w:rsid w:val="57305CD9"/>
    <w:rsid w:val="575136EE"/>
    <w:rsid w:val="5753390A"/>
    <w:rsid w:val="57592280"/>
    <w:rsid w:val="57702786"/>
    <w:rsid w:val="577613A7"/>
    <w:rsid w:val="57974F35"/>
    <w:rsid w:val="579B203A"/>
    <w:rsid w:val="579B66F9"/>
    <w:rsid w:val="57AA2DFF"/>
    <w:rsid w:val="57AC4DC9"/>
    <w:rsid w:val="57C33EC0"/>
    <w:rsid w:val="57DF67F9"/>
    <w:rsid w:val="57F66683"/>
    <w:rsid w:val="57FBD331"/>
    <w:rsid w:val="580C3AB9"/>
    <w:rsid w:val="58270C9E"/>
    <w:rsid w:val="587753D7"/>
    <w:rsid w:val="58791ABD"/>
    <w:rsid w:val="587B479B"/>
    <w:rsid w:val="58A106A5"/>
    <w:rsid w:val="58EB36CF"/>
    <w:rsid w:val="59034EBC"/>
    <w:rsid w:val="590A1327"/>
    <w:rsid w:val="591075D9"/>
    <w:rsid w:val="59140E77"/>
    <w:rsid w:val="591C5F7E"/>
    <w:rsid w:val="59360753"/>
    <w:rsid w:val="593E2DA3"/>
    <w:rsid w:val="59563B77"/>
    <w:rsid w:val="59617CF6"/>
    <w:rsid w:val="59B77A55"/>
    <w:rsid w:val="59D620C4"/>
    <w:rsid w:val="59D81EA5"/>
    <w:rsid w:val="59DD570D"/>
    <w:rsid w:val="59E051FD"/>
    <w:rsid w:val="59F367F2"/>
    <w:rsid w:val="5A032C9A"/>
    <w:rsid w:val="5A3B2D8E"/>
    <w:rsid w:val="5A4237C2"/>
    <w:rsid w:val="5A4E03B9"/>
    <w:rsid w:val="5A625C12"/>
    <w:rsid w:val="5A6F196A"/>
    <w:rsid w:val="5A8A4156"/>
    <w:rsid w:val="5A9B1124"/>
    <w:rsid w:val="5AB04BD0"/>
    <w:rsid w:val="5AB67D0C"/>
    <w:rsid w:val="5ADA4C20"/>
    <w:rsid w:val="5AEB4AF6"/>
    <w:rsid w:val="5AF977F4"/>
    <w:rsid w:val="5AFE3B8D"/>
    <w:rsid w:val="5B046CCA"/>
    <w:rsid w:val="5B266C40"/>
    <w:rsid w:val="5B3752F1"/>
    <w:rsid w:val="5B484E08"/>
    <w:rsid w:val="5B6069B3"/>
    <w:rsid w:val="5B8A3673"/>
    <w:rsid w:val="5B9462A0"/>
    <w:rsid w:val="5B9B13DC"/>
    <w:rsid w:val="5BB22DA2"/>
    <w:rsid w:val="5BDB3ECE"/>
    <w:rsid w:val="5BE31E0F"/>
    <w:rsid w:val="5BEF1728"/>
    <w:rsid w:val="5BF64864"/>
    <w:rsid w:val="5BFAF69C"/>
    <w:rsid w:val="5C273E95"/>
    <w:rsid w:val="5C3354F2"/>
    <w:rsid w:val="5C3A2094"/>
    <w:rsid w:val="5C4F02C9"/>
    <w:rsid w:val="5C62014C"/>
    <w:rsid w:val="5C661155"/>
    <w:rsid w:val="5C7779C1"/>
    <w:rsid w:val="5C805DFE"/>
    <w:rsid w:val="5C964BDC"/>
    <w:rsid w:val="5CA42512"/>
    <w:rsid w:val="5CCD61CB"/>
    <w:rsid w:val="5CDC1CAC"/>
    <w:rsid w:val="5CF04837"/>
    <w:rsid w:val="5CF353A3"/>
    <w:rsid w:val="5CF80AB0"/>
    <w:rsid w:val="5D1A27D4"/>
    <w:rsid w:val="5D563A15"/>
    <w:rsid w:val="5D5A0E23"/>
    <w:rsid w:val="5D6A375C"/>
    <w:rsid w:val="5D9407D9"/>
    <w:rsid w:val="5DB20C5F"/>
    <w:rsid w:val="5DBC1ADE"/>
    <w:rsid w:val="5DC41746"/>
    <w:rsid w:val="5DED0B88"/>
    <w:rsid w:val="5DFF3965"/>
    <w:rsid w:val="5E1B2CA8"/>
    <w:rsid w:val="5E1C257C"/>
    <w:rsid w:val="5E373AEB"/>
    <w:rsid w:val="5E39312E"/>
    <w:rsid w:val="5E47584B"/>
    <w:rsid w:val="5E4A533B"/>
    <w:rsid w:val="5E624433"/>
    <w:rsid w:val="5E7A5C21"/>
    <w:rsid w:val="5E7D126D"/>
    <w:rsid w:val="5E93283E"/>
    <w:rsid w:val="5E954808"/>
    <w:rsid w:val="5EB033F0"/>
    <w:rsid w:val="5EB6477F"/>
    <w:rsid w:val="5EC06CB8"/>
    <w:rsid w:val="5ED05841"/>
    <w:rsid w:val="5EF7640B"/>
    <w:rsid w:val="5F1514A5"/>
    <w:rsid w:val="5F1B26E1"/>
    <w:rsid w:val="5F351B48"/>
    <w:rsid w:val="5F571ABE"/>
    <w:rsid w:val="5F990328"/>
    <w:rsid w:val="5F9E593F"/>
    <w:rsid w:val="5FA40A7B"/>
    <w:rsid w:val="5FB567E4"/>
    <w:rsid w:val="5FCFCA7A"/>
    <w:rsid w:val="5FDB26EF"/>
    <w:rsid w:val="5FE315A4"/>
    <w:rsid w:val="5FE86BBA"/>
    <w:rsid w:val="5FEB0458"/>
    <w:rsid w:val="60024395"/>
    <w:rsid w:val="60107EBF"/>
    <w:rsid w:val="60261FB8"/>
    <w:rsid w:val="604A0FC0"/>
    <w:rsid w:val="604C403E"/>
    <w:rsid w:val="60593614"/>
    <w:rsid w:val="606F1089"/>
    <w:rsid w:val="607F642D"/>
    <w:rsid w:val="60805044"/>
    <w:rsid w:val="60830691"/>
    <w:rsid w:val="608C39E9"/>
    <w:rsid w:val="60BB2A43"/>
    <w:rsid w:val="60BD1DF5"/>
    <w:rsid w:val="60CC05C6"/>
    <w:rsid w:val="60DD4245"/>
    <w:rsid w:val="60EB5CEF"/>
    <w:rsid w:val="60F46535"/>
    <w:rsid w:val="61023CAB"/>
    <w:rsid w:val="61056F12"/>
    <w:rsid w:val="610C4B2A"/>
    <w:rsid w:val="610C68D8"/>
    <w:rsid w:val="61146CF4"/>
    <w:rsid w:val="6129748A"/>
    <w:rsid w:val="613B0E5A"/>
    <w:rsid w:val="613E3A52"/>
    <w:rsid w:val="61554044"/>
    <w:rsid w:val="61665FE8"/>
    <w:rsid w:val="61772197"/>
    <w:rsid w:val="61891CD7"/>
    <w:rsid w:val="6189617B"/>
    <w:rsid w:val="619F7C50"/>
    <w:rsid w:val="61AE798F"/>
    <w:rsid w:val="61CE1DDF"/>
    <w:rsid w:val="61D261ED"/>
    <w:rsid w:val="61EA7522"/>
    <w:rsid w:val="61F1708C"/>
    <w:rsid w:val="61F77588"/>
    <w:rsid w:val="62214605"/>
    <w:rsid w:val="6223212B"/>
    <w:rsid w:val="62415366"/>
    <w:rsid w:val="624D3BE8"/>
    <w:rsid w:val="6260512D"/>
    <w:rsid w:val="626562A0"/>
    <w:rsid w:val="62792AF3"/>
    <w:rsid w:val="6280132C"/>
    <w:rsid w:val="62950339"/>
    <w:rsid w:val="62C51434"/>
    <w:rsid w:val="62D358FF"/>
    <w:rsid w:val="62E80C7F"/>
    <w:rsid w:val="62F56D26"/>
    <w:rsid w:val="62FB3153"/>
    <w:rsid w:val="63057A83"/>
    <w:rsid w:val="63100901"/>
    <w:rsid w:val="631A1780"/>
    <w:rsid w:val="631C55EA"/>
    <w:rsid w:val="634E142A"/>
    <w:rsid w:val="63586994"/>
    <w:rsid w:val="63612F0B"/>
    <w:rsid w:val="636C18B0"/>
    <w:rsid w:val="636E5628"/>
    <w:rsid w:val="63771075"/>
    <w:rsid w:val="638B7F88"/>
    <w:rsid w:val="63A04400"/>
    <w:rsid w:val="63D80CF3"/>
    <w:rsid w:val="63DA2CBD"/>
    <w:rsid w:val="63E2651A"/>
    <w:rsid w:val="643E0066"/>
    <w:rsid w:val="646F3406"/>
    <w:rsid w:val="6481138B"/>
    <w:rsid w:val="648F32AC"/>
    <w:rsid w:val="649B6C42"/>
    <w:rsid w:val="64A22188"/>
    <w:rsid w:val="64BE5B27"/>
    <w:rsid w:val="64CD637E"/>
    <w:rsid w:val="64E01116"/>
    <w:rsid w:val="64FD4EB5"/>
    <w:rsid w:val="65247C56"/>
    <w:rsid w:val="652A557F"/>
    <w:rsid w:val="653359CE"/>
    <w:rsid w:val="653B59DE"/>
    <w:rsid w:val="654725D5"/>
    <w:rsid w:val="654F4FE5"/>
    <w:rsid w:val="655645C6"/>
    <w:rsid w:val="655F347A"/>
    <w:rsid w:val="656767D3"/>
    <w:rsid w:val="656942F9"/>
    <w:rsid w:val="65842EE1"/>
    <w:rsid w:val="658E3D60"/>
    <w:rsid w:val="659D0AB0"/>
    <w:rsid w:val="65B512EC"/>
    <w:rsid w:val="65BB267B"/>
    <w:rsid w:val="65D73958"/>
    <w:rsid w:val="65D82226"/>
    <w:rsid w:val="65DF6369"/>
    <w:rsid w:val="65F862ED"/>
    <w:rsid w:val="66046B2A"/>
    <w:rsid w:val="6612673F"/>
    <w:rsid w:val="661E407A"/>
    <w:rsid w:val="6621000F"/>
    <w:rsid w:val="66246472"/>
    <w:rsid w:val="66263F98"/>
    <w:rsid w:val="6646293E"/>
    <w:rsid w:val="664F7993"/>
    <w:rsid w:val="6657757A"/>
    <w:rsid w:val="665E73A6"/>
    <w:rsid w:val="66807B4C"/>
    <w:rsid w:val="66AE3D23"/>
    <w:rsid w:val="66B27E30"/>
    <w:rsid w:val="66BA61C2"/>
    <w:rsid w:val="66BB6DD6"/>
    <w:rsid w:val="66BD7716"/>
    <w:rsid w:val="66BE7ED8"/>
    <w:rsid w:val="66C814F3"/>
    <w:rsid w:val="66CF4630"/>
    <w:rsid w:val="66D103A8"/>
    <w:rsid w:val="66EC2AFF"/>
    <w:rsid w:val="66F70FB4"/>
    <w:rsid w:val="66F83B86"/>
    <w:rsid w:val="670E33AA"/>
    <w:rsid w:val="671F7C23"/>
    <w:rsid w:val="67310E46"/>
    <w:rsid w:val="6731167B"/>
    <w:rsid w:val="6738382B"/>
    <w:rsid w:val="67566AFF"/>
    <w:rsid w:val="676477F6"/>
    <w:rsid w:val="676E1F1A"/>
    <w:rsid w:val="677A35E9"/>
    <w:rsid w:val="678A1D07"/>
    <w:rsid w:val="678A67A9"/>
    <w:rsid w:val="679A2E90"/>
    <w:rsid w:val="67DC79EA"/>
    <w:rsid w:val="67EB5499"/>
    <w:rsid w:val="67F02AB0"/>
    <w:rsid w:val="67F84128"/>
    <w:rsid w:val="67F87BB6"/>
    <w:rsid w:val="67FA7C0D"/>
    <w:rsid w:val="68071BA7"/>
    <w:rsid w:val="68112A26"/>
    <w:rsid w:val="68150768"/>
    <w:rsid w:val="68180E35"/>
    <w:rsid w:val="68190258"/>
    <w:rsid w:val="68774BB2"/>
    <w:rsid w:val="68993AC2"/>
    <w:rsid w:val="689C49E5"/>
    <w:rsid w:val="68B73552"/>
    <w:rsid w:val="68B97345"/>
    <w:rsid w:val="68D27D9D"/>
    <w:rsid w:val="68D9058B"/>
    <w:rsid w:val="68E048D2"/>
    <w:rsid w:val="68EA786C"/>
    <w:rsid w:val="68EF4566"/>
    <w:rsid w:val="68FE2FAA"/>
    <w:rsid w:val="690B665C"/>
    <w:rsid w:val="691E26C3"/>
    <w:rsid w:val="69272501"/>
    <w:rsid w:val="695B664F"/>
    <w:rsid w:val="698536CB"/>
    <w:rsid w:val="699441C6"/>
    <w:rsid w:val="69A1521B"/>
    <w:rsid w:val="69BD2E65"/>
    <w:rsid w:val="69D72179"/>
    <w:rsid w:val="69E228CC"/>
    <w:rsid w:val="69EA2868"/>
    <w:rsid w:val="69F525FF"/>
    <w:rsid w:val="6A0C7949"/>
    <w:rsid w:val="6A162576"/>
    <w:rsid w:val="6A3B0848"/>
    <w:rsid w:val="6A553A32"/>
    <w:rsid w:val="6A641533"/>
    <w:rsid w:val="6A681023"/>
    <w:rsid w:val="6A694D9B"/>
    <w:rsid w:val="6A6D6639"/>
    <w:rsid w:val="6A6D7C61"/>
    <w:rsid w:val="6A7C687C"/>
    <w:rsid w:val="6ACD742A"/>
    <w:rsid w:val="6B0C5E52"/>
    <w:rsid w:val="6B105217"/>
    <w:rsid w:val="6B106FC5"/>
    <w:rsid w:val="6B204D59"/>
    <w:rsid w:val="6B2A6220"/>
    <w:rsid w:val="6B3158B9"/>
    <w:rsid w:val="6B3715F5"/>
    <w:rsid w:val="6B3A3AE0"/>
    <w:rsid w:val="6B421874"/>
    <w:rsid w:val="6B431148"/>
    <w:rsid w:val="6B4F3F91"/>
    <w:rsid w:val="6B5F71E4"/>
    <w:rsid w:val="6B6123A4"/>
    <w:rsid w:val="6B6C069F"/>
    <w:rsid w:val="6B6C68F1"/>
    <w:rsid w:val="6B7834E8"/>
    <w:rsid w:val="6BB34520"/>
    <w:rsid w:val="6BCF6E80"/>
    <w:rsid w:val="6BD91777"/>
    <w:rsid w:val="6BE742BF"/>
    <w:rsid w:val="6BF47465"/>
    <w:rsid w:val="6BF56C52"/>
    <w:rsid w:val="6C041279"/>
    <w:rsid w:val="6C123E23"/>
    <w:rsid w:val="6C25217A"/>
    <w:rsid w:val="6C2B055A"/>
    <w:rsid w:val="6C315445"/>
    <w:rsid w:val="6C627CF4"/>
    <w:rsid w:val="6C703B78"/>
    <w:rsid w:val="6C884442"/>
    <w:rsid w:val="6CA0308B"/>
    <w:rsid w:val="6CAB5E11"/>
    <w:rsid w:val="6CC45CF8"/>
    <w:rsid w:val="6CDF1345"/>
    <w:rsid w:val="6CF44DF0"/>
    <w:rsid w:val="6D21195D"/>
    <w:rsid w:val="6D282CEC"/>
    <w:rsid w:val="6D431C0C"/>
    <w:rsid w:val="6D434A7C"/>
    <w:rsid w:val="6D51565A"/>
    <w:rsid w:val="6D57537F"/>
    <w:rsid w:val="6D5E04BB"/>
    <w:rsid w:val="6D604233"/>
    <w:rsid w:val="6D741A8D"/>
    <w:rsid w:val="6D77C0D7"/>
    <w:rsid w:val="6D80338A"/>
    <w:rsid w:val="6D8F2D6B"/>
    <w:rsid w:val="6D9143ED"/>
    <w:rsid w:val="6D9306D3"/>
    <w:rsid w:val="6D9D5BEC"/>
    <w:rsid w:val="6DA85BDA"/>
    <w:rsid w:val="6DA94D04"/>
    <w:rsid w:val="6DD32C57"/>
    <w:rsid w:val="6DDF784E"/>
    <w:rsid w:val="6E0F17B6"/>
    <w:rsid w:val="6E276AFF"/>
    <w:rsid w:val="6E3631E6"/>
    <w:rsid w:val="6E364F94"/>
    <w:rsid w:val="6E4A5F9F"/>
    <w:rsid w:val="6E5673E4"/>
    <w:rsid w:val="6E600263"/>
    <w:rsid w:val="6E7F4B8D"/>
    <w:rsid w:val="6E963C85"/>
    <w:rsid w:val="6EB02F99"/>
    <w:rsid w:val="6ECC44C5"/>
    <w:rsid w:val="6F0926A9"/>
    <w:rsid w:val="6F33E4C3"/>
    <w:rsid w:val="6F4A519B"/>
    <w:rsid w:val="6F4D6A39"/>
    <w:rsid w:val="6F504CAD"/>
    <w:rsid w:val="6F6B4531"/>
    <w:rsid w:val="6F6B5112"/>
    <w:rsid w:val="6F6E34E9"/>
    <w:rsid w:val="6F735C64"/>
    <w:rsid w:val="6F7E3097"/>
    <w:rsid w:val="6F900316"/>
    <w:rsid w:val="6F992E66"/>
    <w:rsid w:val="6F9D5C29"/>
    <w:rsid w:val="6FB506AC"/>
    <w:rsid w:val="6FB767E8"/>
    <w:rsid w:val="6FC7059A"/>
    <w:rsid w:val="6FCF56A0"/>
    <w:rsid w:val="6FE078AE"/>
    <w:rsid w:val="6FE3114C"/>
    <w:rsid w:val="6FE80510"/>
    <w:rsid w:val="6FEF1874"/>
    <w:rsid w:val="7012558D"/>
    <w:rsid w:val="7020414E"/>
    <w:rsid w:val="70640CCF"/>
    <w:rsid w:val="70652184"/>
    <w:rsid w:val="706E4EB9"/>
    <w:rsid w:val="707B1384"/>
    <w:rsid w:val="708159DE"/>
    <w:rsid w:val="70840239"/>
    <w:rsid w:val="70932B72"/>
    <w:rsid w:val="709E580C"/>
    <w:rsid w:val="70A64653"/>
    <w:rsid w:val="70AC7790"/>
    <w:rsid w:val="70C81183"/>
    <w:rsid w:val="70CE69DE"/>
    <w:rsid w:val="70D50A94"/>
    <w:rsid w:val="70E61887"/>
    <w:rsid w:val="70F25AEA"/>
    <w:rsid w:val="7104581E"/>
    <w:rsid w:val="710650F2"/>
    <w:rsid w:val="71233EF6"/>
    <w:rsid w:val="712A5284"/>
    <w:rsid w:val="71356763"/>
    <w:rsid w:val="71357785"/>
    <w:rsid w:val="715220E5"/>
    <w:rsid w:val="716B31A7"/>
    <w:rsid w:val="71704C61"/>
    <w:rsid w:val="717B788E"/>
    <w:rsid w:val="71804EA4"/>
    <w:rsid w:val="71926B20"/>
    <w:rsid w:val="71BE0B66"/>
    <w:rsid w:val="71CC00E9"/>
    <w:rsid w:val="71E72C94"/>
    <w:rsid w:val="71FB277D"/>
    <w:rsid w:val="720535FB"/>
    <w:rsid w:val="72086C48"/>
    <w:rsid w:val="721245BB"/>
    <w:rsid w:val="72190E55"/>
    <w:rsid w:val="72522E7D"/>
    <w:rsid w:val="726631BE"/>
    <w:rsid w:val="72710C91"/>
    <w:rsid w:val="727453D2"/>
    <w:rsid w:val="72874010"/>
    <w:rsid w:val="729B5F95"/>
    <w:rsid w:val="729C76E2"/>
    <w:rsid w:val="72A70371"/>
    <w:rsid w:val="72B172DF"/>
    <w:rsid w:val="72C15774"/>
    <w:rsid w:val="72C54C9C"/>
    <w:rsid w:val="72EE0533"/>
    <w:rsid w:val="72FD1442"/>
    <w:rsid w:val="731004AA"/>
    <w:rsid w:val="73295287"/>
    <w:rsid w:val="73302372"/>
    <w:rsid w:val="73487C44"/>
    <w:rsid w:val="734B1EBB"/>
    <w:rsid w:val="736600CA"/>
    <w:rsid w:val="736E51D0"/>
    <w:rsid w:val="73B110E9"/>
    <w:rsid w:val="73C92407"/>
    <w:rsid w:val="73CD6DE1"/>
    <w:rsid w:val="73D5156F"/>
    <w:rsid w:val="73DF5372"/>
    <w:rsid w:val="73EB5F85"/>
    <w:rsid w:val="73F751C6"/>
    <w:rsid w:val="74055312"/>
    <w:rsid w:val="74123DAE"/>
    <w:rsid w:val="74235FBB"/>
    <w:rsid w:val="743B1556"/>
    <w:rsid w:val="743B3F87"/>
    <w:rsid w:val="743C0E2B"/>
    <w:rsid w:val="74404DBF"/>
    <w:rsid w:val="74420FDF"/>
    <w:rsid w:val="744A3547"/>
    <w:rsid w:val="7453031D"/>
    <w:rsid w:val="74561EEC"/>
    <w:rsid w:val="746C5BB4"/>
    <w:rsid w:val="747A00A6"/>
    <w:rsid w:val="74A94712"/>
    <w:rsid w:val="74B17885"/>
    <w:rsid w:val="74BB1C18"/>
    <w:rsid w:val="74E136FC"/>
    <w:rsid w:val="74F65FDA"/>
    <w:rsid w:val="7500577B"/>
    <w:rsid w:val="751A116C"/>
    <w:rsid w:val="7533222E"/>
    <w:rsid w:val="75383CE8"/>
    <w:rsid w:val="75500FC5"/>
    <w:rsid w:val="755A1EB0"/>
    <w:rsid w:val="7562285A"/>
    <w:rsid w:val="757A1C0A"/>
    <w:rsid w:val="758D4034"/>
    <w:rsid w:val="759451BD"/>
    <w:rsid w:val="759A405B"/>
    <w:rsid w:val="75AD38A2"/>
    <w:rsid w:val="75D94B83"/>
    <w:rsid w:val="75E023B5"/>
    <w:rsid w:val="75E75B41"/>
    <w:rsid w:val="75F06371"/>
    <w:rsid w:val="75F56F60"/>
    <w:rsid w:val="75FB71EF"/>
    <w:rsid w:val="76067942"/>
    <w:rsid w:val="76317661"/>
    <w:rsid w:val="7634625D"/>
    <w:rsid w:val="76404C02"/>
    <w:rsid w:val="764D5571"/>
    <w:rsid w:val="764F63A3"/>
    <w:rsid w:val="765C6A8D"/>
    <w:rsid w:val="76636B42"/>
    <w:rsid w:val="767D564A"/>
    <w:rsid w:val="76866AB1"/>
    <w:rsid w:val="76911902"/>
    <w:rsid w:val="7691736B"/>
    <w:rsid w:val="76992D10"/>
    <w:rsid w:val="76A56115"/>
    <w:rsid w:val="76DD68F5"/>
    <w:rsid w:val="76EF1037"/>
    <w:rsid w:val="76F265F0"/>
    <w:rsid w:val="76FA1255"/>
    <w:rsid w:val="76FF4B26"/>
    <w:rsid w:val="77043E82"/>
    <w:rsid w:val="77072E6C"/>
    <w:rsid w:val="770F2826"/>
    <w:rsid w:val="77324E93"/>
    <w:rsid w:val="77387FCF"/>
    <w:rsid w:val="773A0865"/>
    <w:rsid w:val="77530949"/>
    <w:rsid w:val="77575D2B"/>
    <w:rsid w:val="77610F13"/>
    <w:rsid w:val="776115E9"/>
    <w:rsid w:val="776B5CAF"/>
    <w:rsid w:val="77982CD4"/>
    <w:rsid w:val="77BD2282"/>
    <w:rsid w:val="77C81353"/>
    <w:rsid w:val="77CF26E1"/>
    <w:rsid w:val="77E65C7D"/>
    <w:rsid w:val="77E65CFA"/>
    <w:rsid w:val="780D6D66"/>
    <w:rsid w:val="781C344D"/>
    <w:rsid w:val="781D0955"/>
    <w:rsid w:val="782E5589"/>
    <w:rsid w:val="783C589D"/>
    <w:rsid w:val="7844229D"/>
    <w:rsid w:val="784A599C"/>
    <w:rsid w:val="7871654C"/>
    <w:rsid w:val="78827754"/>
    <w:rsid w:val="788334CC"/>
    <w:rsid w:val="789254BD"/>
    <w:rsid w:val="78943D73"/>
    <w:rsid w:val="78AA0A59"/>
    <w:rsid w:val="78D15FE5"/>
    <w:rsid w:val="79073671"/>
    <w:rsid w:val="790E548B"/>
    <w:rsid w:val="79110AD8"/>
    <w:rsid w:val="79231B0D"/>
    <w:rsid w:val="792D2178"/>
    <w:rsid w:val="796230E1"/>
    <w:rsid w:val="79635895"/>
    <w:rsid w:val="79655D92"/>
    <w:rsid w:val="796D4C26"/>
    <w:rsid w:val="797D662C"/>
    <w:rsid w:val="798B4E50"/>
    <w:rsid w:val="79AE4579"/>
    <w:rsid w:val="79B34AB5"/>
    <w:rsid w:val="79C23068"/>
    <w:rsid w:val="79C40804"/>
    <w:rsid w:val="79C8563A"/>
    <w:rsid w:val="79D57D57"/>
    <w:rsid w:val="79D6843A"/>
    <w:rsid w:val="7A04638F"/>
    <w:rsid w:val="7A4D3D91"/>
    <w:rsid w:val="7A4F7B0A"/>
    <w:rsid w:val="7A5353B6"/>
    <w:rsid w:val="7A6448CE"/>
    <w:rsid w:val="7A7E219D"/>
    <w:rsid w:val="7A85352B"/>
    <w:rsid w:val="7AAD4A7F"/>
    <w:rsid w:val="7AC8166A"/>
    <w:rsid w:val="7AEB1F89"/>
    <w:rsid w:val="7AF91823"/>
    <w:rsid w:val="7AF97A75"/>
    <w:rsid w:val="7B1E128A"/>
    <w:rsid w:val="7B1F572E"/>
    <w:rsid w:val="7B2C1BF9"/>
    <w:rsid w:val="7B304553"/>
    <w:rsid w:val="7B31720F"/>
    <w:rsid w:val="7B4B7FFB"/>
    <w:rsid w:val="7B51340D"/>
    <w:rsid w:val="7B542EFE"/>
    <w:rsid w:val="7B584B03"/>
    <w:rsid w:val="7B5B24DE"/>
    <w:rsid w:val="7B6A2721"/>
    <w:rsid w:val="7B740B29"/>
    <w:rsid w:val="7B8B2DD5"/>
    <w:rsid w:val="7BA305F1"/>
    <w:rsid w:val="7BA41A8B"/>
    <w:rsid w:val="7BCB1412"/>
    <w:rsid w:val="7BE1712F"/>
    <w:rsid w:val="7BE44282"/>
    <w:rsid w:val="7C077F70"/>
    <w:rsid w:val="7C0B2ED7"/>
    <w:rsid w:val="7C553B09"/>
    <w:rsid w:val="7C715C38"/>
    <w:rsid w:val="7C75137E"/>
    <w:rsid w:val="7C7C44BA"/>
    <w:rsid w:val="7C8438B9"/>
    <w:rsid w:val="7C8A3FBC"/>
    <w:rsid w:val="7C8D4919"/>
    <w:rsid w:val="7CB71996"/>
    <w:rsid w:val="7CD42548"/>
    <w:rsid w:val="7D034BDB"/>
    <w:rsid w:val="7D142945"/>
    <w:rsid w:val="7D1B3CD3"/>
    <w:rsid w:val="7D3870F7"/>
    <w:rsid w:val="7D3B25C7"/>
    <w:rsid w:val="7D4A280A"/>
    <w:rsid w:val="7D5176F5"/>
    <w:rsid w:val="7D62250F"/>
    <w:rsid w:val="7D625DA6"/>
    <w:rsid w:val="7D6C2034"/>
    <w:rsid w:val="7D8442E1"/>
    <w:rsid w:val="7D893333"/>
    <w:rsid w:val="7D8A0E59"/>
    <w:rsid w:val="7D951CD7"/>
    <w:rsid w:val="7DAE5A58"/>
    <w:rsid w:val="7E6D4A02"/>
    <w:rsid w:val="7E8B290D"/>
    <w:rsid w:val="7E8B6C36"/>
    <w:rsid w:val="7E8C3035"/>
    <w:rsid w:val="7E8F4979"/>
    <w:rsid w:val="7E953F59"/>
    <w:rsid w:val="7ED625A7"/>
    <w:rsid w:val="7EF26CB5"/>
    <w:rsid w:val="7EF46ED2"/>
    <w:rsid w:val="7F0569E9"/>
    <w:rsid w:val="7F431965"/>
    <w:rsid w:val="7F572FBC"/>
    <w:rsid w:val="7F8F2756"/>
    <w:rsid w:val="7F916D83"/>
    <w:rsid w:val="7F9935D5"/>
    <w:rsid w:val="7FBB79EF"/>
    <w:rsid w:val="7FC4519B"/>
    <w:rsid w:val="7FC82093"/>
    <w:rsid w:val="7FCE1614"/>
    <w:rsid w:val="7FD9144C"/>
    <w:rsid w:val="7FE65FC0"/>
    <w:rsid w:val="7FFF5885"/>
    <w:rsid w:val="86FF70C7"/>
    <w:rsid w:val="9CFCB9B5"/>
    <w:rsid w:val="AB9F1E44"/>
    <w:rsid w:val="B3DD991C"/>
    <w:rsid w:val="B5EB72C2"/>
    <w:rsid w:val="BFA36FCB"/>
    <w:rsid w:val="BFE939BD"/>
    <w:rsid w:val="BFFF968E"/>
    <w:rsid w:val="C6FA0E32"/>
    <w:rsid w:val="CBF76D88"/>
    <w:rsid w:val="CDDD3E6F"/>
    <w:rsid w:val="D7FC491B"/>
    <w:rsid w:val="DBFE845F"/>
    <w:rsid w:val="DDDFF1C3"/>
    <w:rsid w:val="DFBBF82D"/>
    <w:rsid w:val="DFC672AC"/>
    <w:rsid w:val="EFF9989D"/>
    <w:rsid w:val="F6FEF632"/>
    <w:rsid w:val="F7423A8A"/>
    <w:rsid w:val="F7ED9346"/>
    <w:rsid w:val="FABF627D"/>
    <w:rsid w:val="FAFFAA35"/>
    <w:rsid w:val="FDBE8E6E"/>
    <w:rsid w:val="FDF50075"/>
    <w:rsid w:val="FF7F9BC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1"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nhideWhenUsed="0" w:uiPriority="99" w:semiHidden="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nhideWhenUsed="0" w:uiPriority="99" w:semiHidden="0" w:name="caption"/>
    <w:lsdException w:uiPriority="99" w:name="table of figures"/>
    <w:lsdException w:uiPriority="99" w:name="envelope address"/>
    <w:lsdException w:uiPriority="99" w:name="envelope return"/>
    <w:lsdException w:qFormat="1" w:unhideWhenUsed="0" w:uiPriority="99" w:semiHidden="0" w:name="footnote reference"/>
    <w:lsdException w:qFormat="1" w:uiPriority="99" w:semiHidden="0" w:name="annotation reference"/>
    <w:lsdException w:uiPriority="99" w:name="line number"/>
    <w:lsdException w:qFormat="1" w:unhideWhenUsed="0" w:uiPriority="0" w:semiHidden="0" w:name="page number"/>
    <w:lsdException w:qFormat="1" w:uiPriority="99" w:semiHidden="0" w:name="endnote reference"/>
    <w:lsdException w:qFormat="1"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55"/>
    <w:qFormat/>
    <w:uiPriority w:val="1"/>
    <w:pPr>
      <w:widowControl/>
      <w:numPr>
        <w:ilvl w:val="0"/>
        <w:numId w:val="1"/>
      </w:numPr>
      <w:jc w:val="left"/>
      <w:outlineLvl w:val="0"/>
    </w:pPr>
    <w:rPr>
      <w:b/>
      <w:bCs/>
      <w:kern w:val="0"/>
      <w:sz w:val="30"/>
      <w:szCs w:val="24"/>
      <w:lang w:bidi="en-US"/>
    </w:rPr>
  </w:style>
  <w:style w:type="paragraph" w:styleId="3">
    <w:name w:val="heading 2"/>
    <w:basedOn w:val="1"/>
    <w:next w:val="1"/>
    <w:link w:val="56"/>
    <w:qFormat/>
    <w:uiPriority w:val="9"/>
    <w:pPr>
      <w:widowControl/>
      <w:numPr>
        <w:ilvl w:val="1"/>
        <w:numId w:val="2"/>
      </w:numPr>
      <w:pBdr>
        <w:bottom w:val="single" w:color="4F81BD" w:sz="8" w:space="1"/>
      </w:pBdr>
      <w:spacing w:before="200" w:after="80"/>
      <w:jc w:val="left"/>
      <w:outlineLvl w:val="1"/>
    </w:pPr>
    <w:rPr>
      <w:color w:val="365F91"/>
      <w:kern w:val="0"/>
      <w:sz w:val="24"/>
      <w:szCs w:val="24"/>
      <w:lang w:eastAsia="en-US" w:bidi="en-US"/>
    </w:rPr>
  </w:style>
  <w:style w:type="paragraph" w:styleId="4">
    <w:name w:val="heading 3"/>
    <w:basedOn w:val="1"/>
    <w:next w:val="1"/>
    <w:link w:val="57"/>
    <w:qFormat/>
    <w:uiPriority w:val="9"/>
    <w:pPr>
      <w:widowControl/>
      <w:pBdr>
        <w:bottom w:val="single" w:color="95B3D7" w:sz="4" w:space="1"/>
      </w:pBdr>
      <w:spacing w:before="200" w:after="80"/>
      <w:jc w:val="left"/>
      <w:outlineLvl w:val="2"/>
    </w:pPr>
    <w:rPr>
      <w:color w:val="4F81BD"/>
      <w:kern w:val="0"/>
      <w:sz w:val="24"/>
      <w:szCs w:val="24"/>
      <w:lang w:eastAsia="en-US" w:bidi="en-US"/>
    </w:rPr>
  </w:style>
  <w:style w:type="paragraph" w:styleId="5">
    <w:name w:val="heading 4"/>
    <w:basedOn w:val="1"/>
    <w:next w:val="1"/>
    <w:link w:val="58"/>
    <w:qFormat/>
    <w:uiPriority w:val="9"/>
    <w:pPr>
      <w:widowControl/>
      <w:numPr>
        <w:ilvl w:val="3"/>
        <w:numId w:val="2"/>
      </w:numPr>
      <w:pBdr>
        <w:bottom w:val="single" w:color="B8CCE4" w:sz="4" w:space="2"/>
      </w:pBdr>
      <w:spacing w:before="200" w:after="80"/>
      <w:jc w:val="left"/>
      <w:outlineLvl w:val="3"/>
    </w:pPr>
    <w:rPr>
      <w:i/>
      <w:iCs/>
      <w:color w:val="4F81BD"/>
      <w:kern w:val="0"/>
      <w:sz w:val="24"/>
      <w:szCs w:val="24"/>
      <w:lang w:eastAsia="en-US" w:bidi="en-US"/>
    </w:rPr>
  </w:style>
  <w:style w:type="paragraph" w:styleId="6">
    <w:name w:val="heading 5"/>
    <w:basedOn w:val="1"/>
    <w:next w:val="1"/>
    <w:link w:val="59"/>
    <w:qFormat/>
    <w:uiPriority w:val="1"/>
    <w:pPr>
      <w:widowControl/>
      <w:numPr>
        <w:ilvl w:val="4"/>
        <w:numId w:val="2"/>
      </w:numPr>
      <w:spacing w:before="200" w:after="80"/>
      <w:jc w:val="left"/>
      <w:outlineLvl w:val="4"/>
    </w:pPr>
    <w:rPr>
      <w:color w:val="4F81BD"/>
      <w:kern w:val="0"/>
      <w:sz w:val="22"/>
      <w:lang w:eastAsia="en-US" w:bidi="en-US"/>
    </w:rPr>
  </w:style>
  <w:style w:type="paragraph" w:styleId="7">
    <w:name w:val="heading 6"/>
    <w:basedOn w:val="1"/>
    <w:next w:val="1"/>
    <w:link w:val="60"/>
    <w:qFormat/>
    <w:uiPriority w:val="9"/>
    <w:pPr>
      <w:widowControl/>
      <w:numPr>
        <w:ilvl w:val="5"/>
        <w:numId w:val="2"/>
      </w:numPr>
      <w:spacing w:before="280" w:after="100"/>
      <w:jc w:val="left"/>
      <w:outlineLvl w:val="5"/>
    </w:pPr>
    <w:rPr>
      <w:i/>
      <w:iCs/>
      <w:color w:val="4F81BD"/>
      <w:kern w:val="0"/>
      <w:sz w:val="22"/>
      <w:lang w:eastAsia="en-US" w:bidi="en-US"/>
    </w:rPr>
  </w:style>
  <w:style w:type="paragraph" w:styleId="8">
    <w:name w:val="heading 7"/>
    <w:basedOn w:val="1"/>
    <w:next w:val="1"/>
    <w:link w:val="61"/>
    <w:qFormat/>
    <w:uiPriority w:val="9"/>
    <w:pPr>
      <w:widowControl/>
      <w:numPr>
        <w:ilvl w:val="6"/>
        <w:numId w:val="2"/>
      </w:numPr>
      <w:spacing w:before="320" w:after="100"/>
      <w:jc w:val="left"/>
      <w:outlineLvl w:val="6"/>
    </w:pPr>
    <w:rPr>
      <w:b/>
      <w:bCs/>
      <w:color w:val="9BBB59"/>
      <w:kern w:val="0"/>
      <w:sz w:val="20"/>
      <w:szCs w:val="20"/>
      <w:lang w:eastAsia="en-US" w:bidi="en-US"/>
    </w:rPr>
  </w:style>
  <w:style w:type="paragraph" w:styleId="9">
    <w:name w:val="heading 8"/>
    <w:basedOn w:val="1"/>
    <w:next w:val="1"/>
    <w:link w:val="62"/>
    <w:qFormat/>
    <w:uiPriority w:val="9"/>
    <w:pPr>
      <w:widowControl/>
      <w:numPr>
        <w:ilvl w:val="7"/>
        <w:numId w:val="2"/>
      </w:numPr>
      <w:spacing w:before="320" w:after="100"/>
      <w:jc w:val="left"/>
      <w:outlineLvl w:val="7"/>
    </w:pPr>
    <w:rPr>
      <w:b/>
      <w:bCs/>
      <w:i/>
      <w:iCs/>
      <w:color w:val="9BBB59"/>
      <w:kern w:val="0"/>
      <w:sz w:val="20"/>
      <w:szCs w:val="20"/>
      <w:lang w:eastAsia="en-US" w:bidi="en-US"/>
    </w:rPr>
  </w:style>
  <w:style w:type="paragraph" w:styleId="10">
    <w:name w:val="heading 9"/>
    <w:basedOn w:val="1"/>
    <w:next w:val="1"/>
    <w:link w:val="63"/>
    <w:qFormat/>
    <w:uiPriority w:val="9"/>
    <w:pPr>
      <w:widowControl/>
      <w:numPr>
        <w:ilvl w:val="8"/>
        <w:numId w:val="2"/>
      </w:numPr>
      <w:spacing w:before="320" w:after="100"/>
      <w:jc w:val="left"/>
      <w:outlineLvl w:val="8"/>
    </w:pPr>
    <w:rPr>
      <w:i/>
      <w:iCs/>
      <w:color w:val="9BBB59"/>
      <w:kern w:val="0"/>
      <w:sz w:val="20"/>
      <w:szCs w:val="20"/>
      <w:lang w:eastAsia="en-US" w:bidi="en-US"/>
    </w:rPr>
  </w:style>
  <w:style w:type="character" w:default="1" w:styleId="45">
    <w:name w:val="Default Paragraph Font"/>
    <w:semiHidden/>
    <w:unhideWhenUsed/>
    <w:qFormat/>
    <w:uiPriority w:val="1"/>
  </w:style>
  <w:style w:type="table" w:default="1" w:styleId="43">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ind w:left="1260"/>
      <w:jc w:val="left"/>
    </w:pPr>
    <w:rPr>
      <w:rFonts w:ascii="Calibri" w:hAnsi="Calibri"/>
      <w:sz w:val="18"/>
      <w:szCs w:val="18"/>
    </w:rPr>
  </w:style>
  <w:style w:type="paragraph" w:styleId="12">
    <w:name w:val="Normal Indent"/>
    <w:basedOn w:val="1"/>
    <w:qFormat/>
    <w:uiPriority w:val="0"/>
    <w:pPr>
      <w:spacing w:line="300" w:lineRule="auto"/>
      <w:ind w:firstLine="420" w:firstLineChars="200"/>
    </w:pPr>
    <w:rPr>
      <w:sz w:val="24"/>
      <w:szCs w:val="24"/>
    </w:rPr>
  </w:style>
  <w:style w:type="paragraph" w:styleId="13">
    <w:name w:val="caption"/>
    <w:basedOn w:val="1"/>
    <w:next w:val="1"/>
    <w:qFormat/>
    <w:uiPriority w:val="99"/>
    <w:pPr>
      <w:spacing w:line="360" w:lineRule="auto"/>
      <w:ind w:firstLine="200" w:firstLineChars="200"/>
    </w:pPr>
    <w:rPr>
      <w:rFonts w:ascii="Cambria" w:hAnsi="Cambria"/>
      <w:sz w:val="20"/>
      <w:szCs w:val="20"/>
    </w:rPr>
  </w:style>
  <w:style w:type="paragraph" w:styleId="14">
    <w:name w:val="Document Map"/>
    <w:basedOn w:val="1"/>
    <w:link w:val="64"/>
    <w:unhideWhenUsed/>
    <w:qFormat/>
    <w:uiPriority w:val="99"/>
    <w:rPr>
      <w:rFonts w:ascii="宋体"/>
      <w:kern w:val="0"/>
      <w:sz w:val="18"/>
      <w:szCs w:val="18"/>
    </w:rPr>
  </w:style>
  <w:style w:type="paragraph" w:styleId="15">
    <w:name w:val="annotation text"/>
    <w:basedOn w:val="1"/>
    <w:link w:val="54"/>
    <w:unhideWhenUsed/>
    <w:qFormat/>
    <w:uiPriority w:val="99"/>
    <w:pPr>
      <w:widowControl/>
      <w:spacing w:line="560" w:lineRule="exact"/>
      <w:ind w:firstLine="360"/>
      <w:jc w:val="left"/>
    </w:pPr>
    <w:rPr>
      <w:kern w:val="0"/>
      <w:sz w:val="28"/>
      <w:szCs w:val="20"/>
      <w:lang w:eastAsia="en-US" w:bidi="en-US"/>
    </w:rPr>
  </w:style>
  <w:style w:type="paragraph" w:styleId="16">
    <w:name w:val="Body Text 3"/>
    <w:basedOn w:val="1"/>
    <w:link w:val="127"/>
    <w:qFormat/>
    <w:uiPriority w:val="0"/>
    <w:pPr>
      <w:spacing w:line="840" w:lineRule="exact"/>
      <w:jc w:val="center"/>
    </w:pPr>
    <w:rPr>
      <w:rFonts w:ascii="方正大标宋简体" w:hAnsi="宋体" w:eastAsia="方正大标宋简体"/>
      <w:bCs/>
      <w:sz w:val="42"/>
      <w:szCs w:val="42"/>
    </w:rPr>
  </w:style>
  <w:style w:type="paragraph" w:styleId="17">
    <w:name w:val="Body Text"/>
    <w:basedOn w:val="1"/>
    <w:link w:val="65"/>
    <w:qFormat/>
    <w:uiPriority w:val="0"/>
    <w:pPr>
      <w:spacing w:after="120"/>
    </w:pPr>
    <w:rPr>
      <w:kern w:val="0"/>
      <w:sz w:val="20"/>
      <w:szCs w:val="20"/>
    </w:rPr>
  </w:style>
  <w:style w:type="paragraph" w:styleId="18">
    <w:name w:val="Body Text Indent"/>
    <w:basedOn w:val="1"/>
    <w:link w:val="66"/>
    <w:qFormat/>
    <w:uiPriority w:val="0"/>
    <w:pPr>
      <w:tabs>
        <w:tab w:val="left" w:pos="7020"/>
      </w:tabs>
      <w:spacing w:line="600" w:lineRule="exact"/>
      <w:ind w:firstLine="600" w:firstLineChars="200"/>
    </w:pPr>
    <w:rPr>
      <w:rFonts w:ascii="仿宋_GB2312" w:eastAsia="仿宋_GB2312"/>
      <w:kern w:val="0"/>
      <w:sz w:val="30"/>
      <w:szCs w:val="24"/>
    </w:rPr>
  </w:style>
  <w:style w:type="paragraph" w:styleId="19">
    <w:name w:val="Block Text"/>
    <w:basedOn w:val="1"/>
    <w:qFormat/>
    <w:uiPriority w:val="0"/>
    <w:pPr>
      <w:spacing w:line="360" w:lineRule="auto"/>
      <w:ind w:left="840" w:right="840"/>
      <w:jc w:val="center"/>
    </w:pPr>
    <w:rPr>
      <w:sz w:val="36"/>
      <w:szCs w:val="20"/>
    </w:rPr>
  </w:style>
  <w:style w:type="paragraph" w:styleId="20">
    <w:name w:val="toc 5"/>
    <w:basedOn w:val="1"/>
    <w:next w:val="1"/>
    <w:unhideWhenUsed/>
    <w:qFormat/>
    <w:uiPriority w:val="39"/>
    <w:pPr>
      <w:ind w:left="840"/>
      <w:jc w:val="left"/>
    </w:pPr>
    <w:rPr>
      <w:rFonts w:ascii="Calibri" w:hAnsi="Calibri"/>
      <w:sz w:val="18"/>
      <w:szCs w:val="18"/>
    </w:rPr>
  </w:style>
  <w:style w:type="paragraph" w:styleId="21">
    <w:name w:val="toc 3"/>
    <w:basedOn w:val="1"/>
    <w:next w:val="1"/>
    <w:unhideWhenUsed/>
    <w:qFormat/>
    <w:uiPriority w:val="39"/>
    <w:pPr>
      <w:ind w:left="420"/>
      <w:jc w:val="left"/>
    </w:pPr>
    <w:rPr>
      <w:rFonts w:ascii="Calibri" w:hAnsi="Calibri"/>
      <w:i/>
      <w:iCs/>
      <w:sz w:val="20"/>
      <w:szCs w:val="20"/>
    </w:rPr>
  </w:style>
  <w:style w:type="paragraph" w:styleId="22">
    <w:name w:val="Plain Text"/>
    <w:basedOn w:val="1"/>
    <w:link w:val="122"/>
    <w:qFormat/>
    <w:uiPriority w:val="0"/>
    <w:rPr>
      <w:rFonts w:ascii="宋体" w:hAnsi="Courier New"/>
      <w:szCs w:val="20"/>
    </w:rPr>
  </w:style>
  <w:style w:type="paragraph" w:styleId="23">
    <w:name w:val="toc 8"/>
    <w:basedOn w:val="1"/>
    <w:next w:val="1"/>
    <w:unhideWhenUsed/>
    <w:qFormat/>
    <w:uiPriority w:val="39"/>
    <w:pPr>
      <w:ind w:left="1470"/>
      <w:jc w:val="left"/>
    </w:pPr>
    <w:rPr>
      <w:rFonts w:ascii="Calibri" w:hAnsi="Calibri"/>
      <w:sz w:val="18"/>
      <w:szCs w:val="18"/>
    </w:rPr>
  </w:style>
  <w:style w:type="paragraph" w:styleId="24">
    <w:name w:val="Date"/>
    <w:basedOn w:val="1"/>
    <w:next w:val="1"/>
    <w:link w:val="67"/>
    <w:unhideWhenUsed/>
    <w:qFormat/>
    <w:uiPriority w:val="99"/>
    <w:pPr>
      <w:ind w:left="100" w:leftChars="2500"/>
    </w:pPr>
  </w:style>
  <w:style w:type="paragraph" w:styleId="25">
    <w:name w:val="Body Text Indent 2"/>
    <w:basedOn w:val="1"/>
    <w:link w:val="124"/>
    <w:qFormat/>
    <w:uiPriority w:val="0"/>
    <w:pPr>
      <w:spacing w:line="600" w:lineRule="exact"/>
      <w:ind w:firstLine="600" w:firstLineChars="200"/>
    </w:pPr>
    <w:rPr>
      <w:rFonts w:ascii="仿宋_GB2312" w:hAnsi="宋体" w:eastAsia="仿宋_GB2312"/>
      <w:sz w:val="30"/>
      <w:szCs w:val="30"/>
    </w:rPr>
  </w:style>
  <w:style w:type="paragraph" w:styleId="26">
    <w:name w:val="endnote text"/>
    <w:basedOn w:val="1"/>
    <w:link w:val="143"/>
    <w:unhideWhenUsed/>
    <w:qFormat/>
    <w:uiPriority w:val="99"/>
    <w:pPr>
      <w:snapToGrid w:val="0"/>
      <w:jc w:val="left"/>
    </w:pPr>
    <w:rPr>
      <w:rFonts w:ascii="Calibri" w:hAnsi="Calibri"/>
      <w:szCs w:val="22"/>
    </w:rPr>
  </w:style>
  <w:style w:type="paragraph" w:styleId="27">
    <w:name w:val="Balloon Text"/>
    <w:basedOn w:val="1"/>
    <w:link w:val="68"/>
    <w:unhideWhenUsed/>
    <w:qFormat/>
    <w:uiPriority w:val="99"/>
    <w:rPr>
      <w:kern w:val="0"/>
      <w:sz w:val="18"/>
      <w:szCs w:val="18"/>
    </w:rPr>
  </w:style>
  <w:style w:type="paragraph" w:styleId="28">
    <w:name w:val="footer"/>
    <w:basedOn w:val="1"/>
    <w:link w:val="69"/>
    <w:unhideWhenUsed/>
    <w:qFormat/>
    <w:uiPriority w:val="99"/>
    <w:pPr>
      <w:tabs>
        <w:tab w:val="center" w:pos="4153"/>
        <w:tab w:val="right" w:pos="8306"/>
      </w:tabs>
      <w:snapToGrid w:val="0"/>
      <w:jc w:val="left"/>
    </w:pPr>
    <w:rPr>
      <w:kern w:val="0"/>
      <w:sz w:val="18"/>
      <w:szCs w:val="18"/>
    </w:rPr>
  </w:style>
  <w:style w:type="paragraph" w:styleId="29">
    <w:name w:val="header"/>
    <w:basedOn w:val="1"/>
    <w:link w:val="70"/>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30">
    <w:name w:val="toc 1"/>
    <w:basedOn w:val="1"/>
    <w:next w:val="1"/>
    <w:unhideWhenUsed/>
    <w:qFormat/>
    <w:uiPriority w:val="39"/>
    <w:pPr>
      <w:spacing w:before="120" w:after="120"/>
      <w:jc w:val="left"/>
    </w:pPr>
    <w:rPr>
      <w:rFonts w:ascii="Calibri" w:hAnsi="Calibri"/>
      <w:b/>
      <w:bCs/>
      <w:caps/>
      <w:sz w:val="20"/>
      <w:szCs w:val="20"/>
    </w:rPr>
  </w:style>
  <w:style w:type="paragraph" w:styleId="31">
    <w:name w:val="toc 4"/>
    <w:basedOn w:val="1"/>
    <w:next w:val="1"/>
    <w:unhideWhenUsed/>
    <w:qFormat/>
    <w:uiPriority w:val="39"/>
    <w:pPr>
      <w:ind w:left="630"/>
      <w:jc w:val="left"/>
    </w:pPr>
    <w:rPr>
      <w:rFonts w:ascii="Calibri" w:hAnsi="Calibri"/>
      <w:sz w:val="18"/>
      <w:szCs w:val="18"/>
    </w:rPr>
  </w:style>
  <w:style w:type="paragraph" w:styleId="32">
    <w:name w:val="Subtitle"/>
    <w:basedOn w:val="1"/>
    <w:next w:val="1"/>
    <w:link w:val="71"/>
    <w:qFormat/>
    <w:uiPriority w:val="11"/>
    <w:pPr>
      <w:widowControl/>
      <w:spacing w:before="200" w:after="900"/>
      <w:jc w:val="right"/>
    </w:pPr>
    <w:rPr>
      <w:i/>
      <w:iCs/>
      <w:kern w:val="0"/>
      <w:sz w:val="24"/>
      <w:szCs w:val="24"/>
      <w:lang w:eastAsia="en-US" w:bidi="en-US"/>
    </w:rPr>
  </w:style>
  <w:style w:type="paragraph" w:styleId="33">
    <w:name w:val="footnote text"/>
    <w:basedOn w:val="1"/>
    <w:link w:val="72"/>
    <w:qFormat/>
    <w:uiPriority w:val="99"/>
    <w:pPr>
      <w:snapToGrid w:val="0"/>
      <w:spacing w:line="360" w:lineRule="auto"/>
      <w:ind w:firstLine="200" w:firstLineChars="200"/>
      <w:jc w:val="left"/>
    </w:pPr>
    <w:rPr>
      <w:kern w:val="0"/>
      <w:sz w:val="18"/>
      <w:szCs w:val="18"/>
    </w:rPr>
  </w:style>
  <w:style w:type="paragraph" w:styleId="34">
    <w:name w:val="toc 6"/>
    <w:basedOn w:val="1"/>
    <w:next w:val="1"/>
    <w:unhideWhenUsed/>
    <w:qFormat/>
    <w:uiPriority w:val="39"/>
    <w:pPr>
      <w:ind w:left="1050"/>
      <w:jc w:val="left"/>
    </w:pPr>
    <w:rPr>
      <w:rFonts w:ascii="Calibri" w:hAnsi="Calibri"/>
      <w:sz w:val="18"/>
      <w:szCs w:val="18"/>
    </w:rPr>
  </w:style>
  <w:style w:type="paragraph" w:styleId="35">
    <w:name w:val="Body Text Indent 3"/>
    <w:basedOn w:val="1"/>
    <w:link w:val="126"/>
    <w:qFormat/>
    <w:uiPriority w:val="0"/>
    <w:pPr>
      <w:autoSpaceDE w:val="0"/>
      <w:autoSpaceDN w:val="0"/>
      <w:adjustRightInd w:val="0"/>
      <w:spacing w:line="760" w:lineRule="exact"/>
      <w:ind w:firstLine="560"/>
      <w:jc w:val="left"/>
    </w:pPr>
    <w:rPr>
      <w:rFonts w:ascii="仿宋_GB2312" w:eastAsia="仿宋_GB2312"/>
      <w:kern w:val="0"/>
      <w:sz w:val="30"/>
      <w:szCs w:val="28"/>
      <w:lang w:val="zh-CN"/>
    </w:rPr>
  </w:style>
  <w:style w:type="paragraph" w:styleId="36">
    <w:name w:val="toc 2"/>
    <w:basedOn w:val="1"/>
    <w:next w:val="1"/>
    <w:unhideWhenUsed/>
    <w:qFormat/>
    <w:uiPriority w:val="39"/>
    <w:pPr>
      <w:ind w:left="210"/>
      <w:jc w:val="left"/>
    </w:pPr>
    <w:rPr>
      <w:rFonts w:ascii="Calibri" w:hAnsi="Calibri"/>
      <w:smallCaps/>
      <w:sz w:val="20"/>
      <w:szCs w:val="20"/>
    </w:rPr>
  </w:style>
  <w:style w:type="paragraph" w:styleId="37">
    <w:name w:val="toc 9"/>
    <w:basedOn w:val="1"/>
    <w:next w:val="1"/>
    <w:unhideWhenUsed/>
    <w:qFormat/>
    <w:uiPriority w:val="39"/>
    <w:pPr>
      <w:ind w:left="1680"/>
      <w:jc w:val="left"/>
    </w:pPr>
    <w:rPr>
      <w:rFonts w:ascii="Calibri" w:hAnsi="Calibri"/>
      <w:sz w:val="18"/>
      <w:szCs w:val="18"/>
    </w:rPr>
  </w:style>
  <w:style w:type="paragraph" w:styleId="38">
    <w:name w:val="Body Text 2"/>
    <w:basedOn w:val="1"/>
    <w:link w:val="125"/>
    <w:qFormat/>
    <w:uiPriority w:val="0"/>
    <w:pPr>
      <w:spacing w:line="840" w:lineRule="exact"/>
      <w:jc w:val="center"/>
    </w:pPr>
    <w:rPr>
      <w:rFonts w:ascii="黑体" w:hAnsi="宋体" w:eastAsia="黑体"/>
      <w:b/>
      <w:sz w:val="44"/>
      <w:szCs w:val="42"/>
    </w:rPr>
  </w:style>
  <w:style w:type="paragraph" w:styleId="39">
    <w:name w:val="Normal (Web)"/>
    <w:basedOn w:val="1"/>
    <w:link w:val="73"/>
    <w:unhideWhenUsed/>
    <w:qFormat/>
    <w:uiPriority w:val="0"/>
    <w:pPr>
      <w:widowControl/>
      <w:spacing w:before="100" w:beforeAutospacing="1" w:after="100" w:afterAutospacing="1"/>
      <w:jc w:val="left"/>
    </w:pPr>
    <w:rPr>
      <w:rFonts w:ascii="宋体" w:hAnsi="宋体" w:cs="宋体"/>
      <w:kern w:val="0"/>
      <w:sz w:val="24"/>
      <w:szCs w:val="24"/>
      <w:lang w:eastAsia="en-US" w:bidi="en-US"/>
    </w:rPr>
  </w:style>
  <w:style w:type="paragraph" w:styleId="40">
    <w:name w:val="Title"/>
    <w:basedOn w:val="1"/>
    <w:next w:val="1"/>
    <w:link w:val="74"/>
    <w:qFormat/>
    <w:uiPriority w:val="0"/>
    <w:pPr>
      <w:widowControl/>
      <w:pBdr>
        <w:top w:val="single" w:color="A7BFDE" w:sz="8" w:space="10"/>
        <w:bottom w:val="single" w:color="9BBB59" w:sz="24" w:space="15"/>
      </w:pBdr>
      <w:jc w:val="center"/>
    </w:pPr>
    <w:rPr>
      <w:i/>
      <w:iCs/>
      <w:color w:val="243F60"/>
      <w:kern w:val="0"/>
      <w:sz w:val="60"/>
      <w:szCs w:val="60"/>
      <w:lang w:eastAsia="en-US" w:bidi="en-US"/>
    </w:rPr>
  </w:style>
  <w:style w:type="paragraph" w:styleId="41">
    <w:name w:val="annotation subject"/>
    <w:basedOn w:val="15"/>
    <w:next w:val="15"/>
    <w:link w:val="75"/>
    <w:unhideWhenUsed/>
    <w:qFormat/>
    <w:uiPriority w:val="99"/>
    <w:pPr>
      <w:spacing w:line="240" w:lineRule="auto"/>
    </w:pPr>
    <w:rPr>
      <w:b/>
      <w:bCs/>
      <w:sz w:val="30"/>
    </w:rPr>
  </w:style>
  <w:style w:type="paragraph" w:styleId="42">
    <w:name w:val="Body Text First Indent"/>
    <w:basedOn w:val="1"/>
    <w:link w:val="76"/>
    <w:qFormat/>
    <w:uiPriority w:val="0"/>
    <w:pPr>
      <w:tabs>
        <w:tab w:val="left" w:pos="900"/>
        <w:tab w:val="left" w:pos="1320"/>
      </w:tabs>
      <w:spacing w:afterLines="30"/>
      <w:jc w:val="left"/>
    </w:pPr>
    <w:rPr>
      <w:bCs/>
      <w:iCs/>
      <w:kern w:val="0"/>
      <w:sz w:val="24"/>
      <w:szCs w:val="24"/>
    </w:rPr>
  </w:style>
  <w:style w:type="table" w:styleId="44">
    <w:name w:val="Table Grid"/>
    <w:basedOn w:val="43"/>
    <w:qFormat/>
    <w:uiPriority w:val="59"/>
    <w:pPr>
      <w:ind w:firstLine="360"/>
    </w:pPr>
    <w:rPr>
      <w:sz w:val="22"/>
      <w:lang w:eastAsia="en-US" w:bidi="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6">
    <w:name w:val="Strong"/>
    <w:qFormat/>
    <w:uiPriority w:val="22"/>
    <w:rPr>
      <w:b/>
      <w:bCs/>
      <w:spacing w:val="0"/>
    </w:rPr>
  </w:style>
  <w:style w:type="character" w:styleId="47">
    <w:name w:val="endnote reference"/>
    <w:basedOn w:val="45"/>
    <w:unhideWhenUsed/>
    <w:qFormat/>
    <w:uiPriority w:val="99"/>
    <w:rPr>
      <w:vertAlign w:val="superscript"/>
    </w:rPr>
  </w:style>
  <w:style w:type="character" w:styleId="48">
    <w:name w:val="page number"/>
    <w:basedOn w:val="45"/>
    <w:qFormat/>
    <w:uiPriority w:val="0"/>
  </w:style>
  <w:style w:type="character" w:styleId="49">
    <w:name w:val="FollowedHyperlink"/>
    <w:unhideWhenUsed/>
    <w:qFormat/>
    <w:uiPriority w:val="99"/>
    <w:rPr>
      <w:color w:val="800080"/>
      <w:u w:val="single"/>
    </w:rPr>
  </w:style>
  <w:style w:type="character" w:styleId="50">
    <w:name w:val="Emphasis"/>
    <w:qFormat/>
    <w:uiPriority w:val="20"/>
    <w:rPr>
      <w:b/>
      <w:bCs/>
      <w:i/>
      <w:iCs/>
      <w:color w:val="5A5A5A"/>
    </w:rPr>
  </w:style>
  <w:style w:type="character" w:styleId="51">
    <w:name w:val="Hyperlink"/>
    <w:unhideWhenUsed/>
    <w:qFormat/>
    <w:uiPriority w:val="99"/>
    <w:rPr>
      <w:color w:val="0000FF"/>
      <w:u w:val="single"/>
    </w:rPr>
  </w:style>
  <w:style w:type="character" w:styleId="52">
    <w:name w:val="annotation reference"/>
    <w:unhideWhenUsed/>
    <w:qFormat/>
    <w:uiPriority w:val="99"/>
    <w:rPr>
      <w:sz w:val="21"/>
      <w:szCs w:val="21"/>
    </w:rPr>
  </w:style>
  <w:style w:type="character" w:styleId="53">
    <w:name w:val="footnote reference"/>
    <w:qFormat/>
    <w:uiPriority w:val="99"/>
    <w:rPr>
      <w:rFonts w:cs="Times New Roman"/>
      <w:vertAlign w:val="superscript"/>
    </w:rPr>
  </w:style>
  <w:style w:type="character" w:customStyle="1" w:styleId="54">
    <w:name w:val="批注文字 字符"/>
    <w:link w:val="15"/>
    <w:qFormat/>
    <w:uiPriority w:val="99"/>
    <w:rPr>
      <w:kern w:val="0"/>
      <w:sz w:val="28"/>
      <w:lang w:eastAsia="en-US" w:bidi="en-US"/>
    </w:rPr>
  </w:style>
  <w:style w:type="character" w:customStyle="1" w:styleId="55">
    <w:name w:val="标题 1 字符"/>
    <w:link w:val="2"/>
    <w:qFormat/>
    <w:uiPriority w:val="1"/>
    <w:rPr>
      <w:b/>
      <w:bCs/>
      <w:sz w:val="30"/>
      <w:szCs w:val="24"/>
      <w:lang w:bidi="en-US"/>
    </w:rPr>
  </w:style>
  <w:style w:type="character" w:customStyle="1" w:styleId="56">
    <w:name w:val="标题 2 字符"/>
    <w:link w:val="3"/>
    <w:qFormat/>
    <w:uiPriority w:val="9"/>
    <w:rPr>
      <w:color w:val="365F91"/>
      <w:sz w:val="24"/>
      <w:szCs w:val="24"/>
      <w:lang w:eastAsia="en-US" w:bidi="en-US"/>
    </w:rPr>
  </w:style>
  <w:style w:type="character" w:customStyle="1" w:styleId="57">
    <w:name w:val="标题 3 字符"/>
    <w:link w:val="4"/>
    <w:qFormat/>
    <w:uiPriority w:val="9"/>
    <w:rPr>
      <w:color w:val="4F81BD"/>
      <w:sz w:val="24"/>
      <w:szCs w:val="24"/>
      <w:lang w:eastAsia="en-US" w:bidi="en-US"/>
    </w:rPr>
  </w:style>
  <w:style w:type="character" w:customStyle="1" w:styleId="58">
    <w:name w:val="标题 4 字符"/>
    <w:link w:val="5"/>
    <w:qFormat/>
    <w:uiPriority w:val="9"/>
    <w:rPr>
      <w:i/>
      <w:iCs/>
      <w:color w:val="4F81BD"/>
      <w:sz w:val="24"/>
      <w:szCs w:val="24"/>
      <w:lang w:eastAsia="en-US" w:bidi="en-US"/>
    </w:rPr>
  </w:style>
  <w:style w:type="character" w:customStyle="1" w:styleId="59">
    <w:name w:val="标题 5 字符"/>
    <w:link w:val="6"/>
    <w:qFormat/>
    <w:uiPriority w:val="1"/>
    <w:rPr>
      <w:color w:val="4F81BD"/>
      <w:sz w:val="22"/>
      <w:szCs w:val="21"/>
      <w:lang w:eastAsia="en-US" w:bidi="en-US"/>
    </w:rPr>
  </w:style>
  <w:style w:type="character" w:customStyle="1" w:styleId="60">
    <w:name w:val="标题 6 字符"/>
    <w:link w:val="7"/>
    <w:qFormat/>
    <w:uiPriority w:val="9"/>
    <w:rPr>
      <w:i/>
      <w:iCs/>
      <w:color w:val="4F81BD"/>
      <w:sz w:val="22"/>
      <w:szCs w:val="21"/>
      <w:lang w:eastAsia="en-US" w:bidi="en-US"/>
    </w:rPr>
  </w:style>
  <w:style w:type="character" w:customStyle="1" w:styleId="61">
    <w:name w:val="标题 7 字符"/>
    <w:link w:val="8"/>
    <w:qFormat/>
    <w:uiPriority w:val="9"/>
    <w:rPr>
      <w:b/>
      <w:bCs/>
      <w:color w:val="9BBB59"/>
      <w:lang w:eastAsia="en-US" w:bidi="en-US"/>
    </w:rPr>
  </w:style>
  <w:style w:type="character" w:customStyle="1" w:styleId="62">
    <w:name w:val="标题 8 字符"/>
    <w:link w:val="9"/>
    <w:qFormat/>
    <w:uiPriority w:val="9"/>
    <w:rPr>
      <w:b/>
      <w:bCs/>
      <w:i/>
      <w:iCs/>
      <w:color w:val="9BBB59"/>
      <w:lang w:eastAsia="en-US" w:bidi="en-US"/>
    </w:rPr>
  </w:style>
  <w:style w:type="character" w:customStyle="1" w:styleId="63">
    <w:name w:val="标题 9 字符"/>
    <w:link w:val="10"/>
    <w:qFormat/>
    <w:uiPriority w:val="9"/>
    <w:rPr>
      <w:i/>
      <w:iCs/>
      <w:color w:val="9BBB59"/>
      <w:lang w:eastAsia="en-US" w:bidi="en-US"/>
    </w:rPr>
  </w:style>
  <w:style w:type="character" w:customStyle="1" w:styleId="64">
    <w:name w:val="文档结构图 字符"/>
    <w:link w:val="14"/>
    <w:qFormat/>
    <w:uiPriority w:val="99"/>
    <w:rPr>
      <w:rFonts w:ascii="宋体" w:eastAsia="宋体"/>
      <w:sz w:val="18"/>
      <w:szCs w:val="18"/>
    </w:rPr>
  </w:style>
  <w:style w:type="character" w:customStyle="1" w:styleId="65">
    <w:name w:val="正文文本 字符"/>
    <w:link w:val="17"/>
    <w:qFormat/>
    <w:uiPriority w:val="0"/>
    <w:rPr>
      <w:rFonts w:ascii="Times New Roman" w:hAnsi="Times New Roman" w:eastAsia="宋体" w:cs="Times New Roman"/>
      <w:szCs w:val="20"/>
    </w:rPr>
  </w:style>
  <w:style w:type="character" w:customStyle="1" w:styleId="66">
    <w:name w:val="正文文本缩进 字符"/>
    <w:link w:val="18"/>
    <w:qFormat/>
    <w:uiPriority w:val="0"/>
    <w:rPr>
      <w:rFonts w:ascii="仿宋_GB2312" w:hAnsi="Times New Roman" w:eastAsia="仿宋_GB2312" w:cs="Times New Roman"/>
      <w:sz w:val="30"/>
      <w:szCs w:val="24"/>
    </w:rPr>
  </w:style>
  <w:style w:type="character" w:customStyle="1" w:styleId="67">
    <w:name w:val="日期 字符"/>
    <w:basedOn w:val="45"/>
    <w:link w:val="24"/>
    <w:qFormat/>
    <w:uiPriority w:val="99"/>
  </w:style>
  <w:style w:type="character" w:customStyle="1" w:styleId="68">
    <w:name w:val="批注框文本 字符"/>
    <w:link w:val="27"/>
    <w:qFormat/>
    <w:uiPriority w:val="99"/>
    <w:rPr>
      <w:sz w:val="18"/>
      <w:szCs w:val="18"/>
    </w:rPr>
  </w:style>
  <w:style w:type="character" w:customStyle="1" w:styleId="69">
    <w:name w:val="页脚 字符"/>
    <w:link w:val="28"/>
    <w:qFormat/>
    <w:uiPriority w:val="99"/>
    <w:rPr>
      <w:sz w:val="18"/>
      <w:szCs w:val="18"/>
    </w:rPr>
  </w:style>
  <w:style w:type="character" w:customStyle="1" w:styleId="70">
    <w:name w:val="页眉 字符"/>
    <w:link w:val="29"/>
    <w:qFormat/>
    <w:uiPriority w:val="99"/>
    <w:rPr>
      <w:sz w:val="18"/>
      <w:szCs w:val="18"/>
    </w:rPr>
  </w:style>
  <w:style w:type="character" w:customStyle="1" w:styleId="71">
    <w:name w:val="副标题 字符"/>
    <w:link w:val="32"/>
    <w:qFormat/>
    <w:uiPriority w:val="11"/>
    <w:rPr>
      <w:i/>
      <w:iCs/>
      <w:kern w:val="0"/>
      <w:sz w:val="24"/>
      <w:szCs w:val="24"/>
      <w:lang w:eastAsia="en-US" w:bidi="en-US"/>
    </w:rPr>
  </w:style>
  <w:style w:type="character" w:customStyle="1" w:styleId="72">
    <w:name w:val="脚注文本 字符1"/>
    <w:link w:val="33"/>
    <w:qFormat/>
    <w:uiPriority w:val="99"/>
    <w:rPr>
      <w:rFonts w:ascii="Times New Roman" w:hAnsi="Times New Roman" w:eastAsia="宋体" w:cs="Times New Roman"/>
      <w:sz w:val="18"/>
      <w:szCs w:val="18"/>
    </w:rPr>
  </w:style>
  <w:style w:type="character" w:customStyle="1" w:styleId="73">
    <w:name w:val="普通(网站) 字符1"/>
    <w:link w:val="39"/>
    <w:qFormat/>
    <w:uiPriority w:val="99"/>
    <w:rPr>
      <w:rFonts w:ascii="宋体" w:hAnsi="宋体" w:eastAsia="宋体" w:cs="宋体"/>
      <w:kern w:val="0"/>
      <w:sz w:val="24"/>
      <w:szCs w:val="24"/>
      <w:lang w:eastAsia="en-US" w:bidi="en-US"/>
    </w:rPr>
  </w:style>
  <w:style w:type="character" w:customStyle="1" w:styleId="74">
    <w:name w:val="标题 字符"/>
    <w:link w:val="40"/>
    <w:qFormat/>
    <w:uiPriority w:val="0"/>
    <w:rPr>
      <w:rFonts w:ascii="Arial" w:hAnsi="Arial" w:eastAsia="黑体" w:cs="Times New Roman"/>
      <w:i/>
      <w:iCs/>
      <w:color w:val="243F60"/>
      <w:kern w:val="0"/>
      <w:sz w:val="60"/>
      <w:szCs w:val="60"/>
      <w:lang w:eastAsia="en-US" w:bidi="en-US"/>
    </w:rPr>
  </w:style>
  <w:style w:type="character" w:customStyle="1" w:styleId="75">
    <w:name w:val="批注主题 字符"/>
    <w:link w:val="41"/>
    <w:qFormat/>
    <w:uiPriority w:val="99"/>
    <w:rPr>
      <w:b/>
      <w:bCs/>
      <w:kern w:val="0"/>
      <w:sz w:val="30"/>
      <w:lang w:eastAsia="en-US" w:bidi="en-US"/>
    </w:rPr>
  </w:style>
  <w:style w:type="character" w:customStyle="1" w:styleId="76">
    <w:name w:val="正文首行缩进 字符"/>
    <w:link w:val="42"/>
    <w:qFormat/>
    <w:uiPriority w:val="0"/>
    <w:rPr>
      <w:rFonts w:ascii="Times New Roman" w:hAnsi="Times New Roman" w:eastAsia="宋体" w:cs="Times New Roman"/>
      <w:bCs/>
      <w:iCs/>
      <w:kern w:val="0"/>
      <w:sz w:val="24"/>
      <w:szCs w:val="24"/>
    </w:rPr>
  </w:style>
  <w:style w:type="character" w:customStyle="1" w:styleId="77">
    <w:name w:val="_Style 67"/>
    <w:qFormat/>
    <w:uiPriority w:val="21"/>
    <w:rPr>
      <w:b/>
      <w:bCs/>
      <w:i/>
      <w:iCs/>
      <w:color w:val="4F81BD"/>
      <w:sz w:val="22"/>
      <w:szCs w:val="22"/>
    </w:rPr>
  </w:style>
  <w:style w:type="character" w:customStyle="1" w:styleId="78">
    <w:name w:val="第一级标题 Char"/>
    <w:link w:val="79"/>
    <w:qFormat/>
    <w:uiPriority w:val="0"/>
    <w:rPr>
      <w:rFonts w:ascii="黑体" w:hAnsi="黑体"/>
      <w:b/>
      <w:bCs/>
      <w:kern w:val="44"/>
      <w:sz w:val="36"/>
      <w:szCs w:val="32"/>
      <w:lang w:bidi="en-US"/>
    </w:rPr>
  </w:style>
  <w:style w:type="paragraph" w:customStyle="1" w:styleId="79">
    <w:name w:val="第一级标题"/>
    <w:basedOn w:val="2"/>
    <w:link w:val="78"/>
    <w:qFormat/>
    <w:uiPriority w:val="0"/>
    <w:pPr>
      <w:widowControl w:val="0"/>
      <w:numPr>
        <w:numId w:val="2"/>
      </w:numPr>
      <w:spacing w:before="120" w:after="120" w:line="560" w:lineRule="exact"/>
    </w:pPr>
    <w:rPr>
      <w:rFonts w:ascii="黑体" w:hAnsi="黑体"/>
      <w:kern w:val="44"/>
      <w:sz w:val="36"/>
      <w:szCs w:val="32"/>
    </w:rPr>
  </w:style>
  <w:style w:type="character" w:customStyle="1" w:styleId="80">
    <w:name w:val="apple-style-span"/>
    <w:basedOn w:val="45"/>
    <w:qFormat/>
    <w:uiPriority w:val="0"/>
  </w:style>
  <w:style w:type="character" w:customStyle="1" w:styleId="81">
    <w:name w:val="脚注文本 字符"/>
    <w:qFormat/>
    <w:uiPriority w:val="99"/>
    <w:rPr>
      <w:rFonts w:ascii="Times New Roman" w:hAnsi="Times New Roman" w:eastAsia="宋体" w:cs="Times New Roman"/>
      <w:sz w:val="18"/>
      <w:szCs w:val="18"/>
    </w:rPr>
  </w:style>
  <w:style w:type="character" w:styleId="82">
    <w:name w:val="Placeholder Text"/>
    <w:semiHidden/>
    <w:qFormat/>
    <w:uiPriority w:val="99"/>
    <w:rPr>
      <w:color w:val="808080"/>
    </w:rPr>
  </w:style>
  <w:style w:type="character" w:customStyle="1" w:styleId="83">
    <w:name w:val="明显引用 字符"/>
    <w:link w:val="84"/>
    <w:qFormat/>
    <w:uiPriority w:val="30"/>
    <w:rPr>
      <w:rFonts w:ascii="Arial" w:hAnsi="Arial" w:eastAsia="黑体" w:cs="Times New Roman"/>
      <w:i/>
      <w:iCs/>
      <w:color w:val="FFFFFF"/>
      <w:kern w:val="0"/>
      <w:sz w:val="24"/>
      <w:szCs w:val="24"/>
      <w:shd w:val="clear" w:color="auto" w:fill="4F81BD"/>
      <w:lang w:eastAsia="en-US" w:bidi="en-US"/>
    </w:rPr>
  </w:style>
  <w:style w:type="paragraph" w:styleId="84">
    <w:name w:val="Intense Quote"/>
    <w:basedOn w:val="1"/>
    <w:next w:val="1"/>
    <w:link w:val="83"/>
    <w:qFormat/>
    <w:uiPriority w:val="30"/>
    <w:pPr>
      <w:widowControl/>
      <w:pBdr>
        <w:top w:val="single" w:color="B8CCE4" w:sz="12" w:space="10"/>
        <w:left w:val="single" w:color="4F81BD" w:sz="36" w:space="4"/>
        <w:bottom w:val="single" w:color="9BBB59" w:sz="24" w:space="10"/>
        <w:right w:val="single" w:color="4F81BD" w:sz="36" w:space="4"/>
      </w:pBdr>
      <w:shd w:val="clear" w:color="auto" w:fill="4F81BD"/>
      <w:spacing w:before="320" w:after="320" w:line="300" w:lineRule="auto"/>
      <w:ind w:left="1440" w:right="1440" w:firstLine="360"/>
      <w:jc w:val="left"/>
    </w:pPr>
    <w:rPr>
      <w:i/>
      <w:iCs/>
      <w:color w:val="FFFFFF"/>
      <w:kern w:val="0"/>
      <w:sz w:val="24"/>
      <w:szCs w:val="24"/>
      <w:lang w:eastAsia="en-US" w:bidi="en-US"/>
    </w:rPr>
  </w:style>
  <w:style w:type="character" w:customStyle="1" w:styleId="85">
    <w:name w:val="引用 字符"/>
    <w:link w:val="86"/>
    <w:qFormat/>
    <w:uiPriority w:val="29"/>
    <w:rPr>
      <w:rFonts w:ascii="Arial" w:hAnsi="Arial" w:eastAsia="黑体" w:cs="Times New Roman"/>
      <w:i/>
      <w:iCs/>
      <w:color w:val="5A5A5A"/>
      <w:kern w:val="0"/>
      <w:sz w:val="22"/>
      <w:lang w:eastAsia="en-US" w:bidi="en-US"/>
    </w:rPr>
  </w:style>
  <w:style w:type="paragraph" w:styleId="86">
    <w:name w:val="Quote"/>
    <w:basedOn w:val="1"/>
    <w:next w:val="1"/>
    <w:link w:val="85"/>
    <w:qFormat/>
    <w:uiPriority w:val="29"/>
    <w:pPr>
      <w:widowControl/>
      <w:ind w:firstLine="360"/>
      <w:jc w:val="left"/>
    </w:pPr>
    <w:rPr>
      <w:i/>
      <w:iCs/>
      <w:color w:val="5A5A5A"/>
      <w:kern w:val="0"/>
      <w:sz w:val="22"/>
      <w:szCs w:val="20"/>
      <w:lang w:eastAsia="en-US" w:bidi="en-US"/>
    </w:rPr>
  </w:style>
  <w:style w:type="character" w:customStyle="1" w:styleId="87">
    <w:name w:val="普通(网站) 字符"/>
    <w:qFormat/>
    <w:uiPriority w:val="99"/>
    <w:rPr>
      <w:rFonts w:ascii="宋体" w:hAnsi="宋体" w:eastAsia="宋体" w:cs="宋体"/>
      <w:kern w:val="0"/>
      <w:sz w:val="24"/>
      <w:szCs w:val="24"/>
    </w:rPr>
  </w:style>
  <w:style w:type="character" w:customStyle="1" w:styleId="88">
    <w:name w:val="_Style 78"/>
    <w:qFormat/>
    <w:uiPriority w:val="33"/>
    <w:rPr>
      <w:rFonts w:ascii="Arial" w:hAnsi="Arial" w:eastAsia="黑体" w:cs="Times New Roman"/>
      <w:b/>
      <w:bCs/>
      <w:i/>
      <w:iCs/>
      <w:color w:val="auto"/>
    </w:rPr>
  </w:style>
  <w:style w:type="character" w:customStyle="1" w:styleId="89">
    <w:name w:val="条 Char"/>
    <w:link w:val="90"/>
    <w:qFormat/>
    <w:uiPriority w:val="0"/>
    <w:rPr>
      <w:rFonts w:ascii="仿宋_GB2312" w:hAnsi="仿宋" w:eastAsia="仿宋_GB2312" w:cs="Times New Roman"/>
      <w:sz w:val="32"/>
      <w:szCs w:val="32"/>
    </w:rPr>
  </w:style>
  <w:style w:type="paragraph" w:customStyle="1" w:styleId="90">
    <w:name w:val="条"/>
    <w:basedOn w:val="1"/>
    <w:link w:val="89"/>
    <w:qFormat/>
    <w:uiPriority w:val="0"/>
    <w:pPr>
      <w:spacing w:line="560" w:lineRule="exact"/>
      <w:ind w:firstLine="640" w:firstLineChars="200"/>
    </w:pPr>
    <w:rPr>
      <w:rFonts w:ascii="仿宋_GB2312" w:hAnsi="仿宋" w:eastAsia="仿宋_GB2312"/>
      <w:kern w:val="0"/>
      <w:sz w:val="32"/>
      <w:szCs w:val="32"/>
    </w:rPr>
  </w:style>
  <w:style w:type="character" w:customStyle="1" w:styleId="91">
    <w:name w:val="列出段落 字符"/>
    <w:link w:val="92"/>
    <w:qFormat/>
    <w:uiPriority w:val="99"/>
    <w:rPr>
      <w:kern w:val="0"/>
      <w:sz w:val="22"/>
      <w:lang w:eastAsia="en-US" w:bidi="en-US"/>
    </w:rPr>
  </w:style>
  <w:style w:type="paragraph" w:styleId="92">
    <w:name w:val="List Paragraph"/>
    <w:basedOn w:val="1"/>
    <w:link w:val="91"/>
    <w:qFormat/>
    <w:uiPriority w:val="0"/>
    <w:pPr>
      <w:widowControl/>
      <w:ind w:left="720" w:firstLine="360"/>
      <w:contextualSpacing/>
      <w:jc w:val="left"/>
    </w:pPr>
    <w:rPr>
      <w:kern w:val="0"/>
      <w:sz w:val="22"/>
      <w:szCs w:val="20"/>
      <w:lang w:eastAsia="en-US" w:bidi="en-US"/>
    </w:rPr>
  </w:style>
  <w:style w:type="character" w:customStyle="1" w:styleId="93">
    <w:name w:val="apple-converted-space"/>
    <w:basedOn w:val="45"/>
    <w:qFormat/>
    <w:uiPriority w:val="0"/>
  </w:style>
  <w:style w:type="character" w:customStyle="1" w:styleId="94">
    <w:name w:val="msoins"/>
    <w:basedOn w:val="45"/>
    <w:qFormat/>
    <w:uiPriority w:val="0"/>
  </w:style>
  <w:style w:type="character" w:customStyle="1" w:styleId="95">
    <w:name w:val="无间隔 字符"/>
    <w:link w:val="96"/>
    <w:qFormat/>
    <w:uiPriority w:val="1"/>
    <w:rPr>
      <w:kern w:val="0"/>
      <w:sz w:val="22"/>
      <w:lang w:eastAsia="en-US" w:bidi="en-US"/>
    </w:rPr>
  </w:style>
  <w:style w:type="paragraph" w:styleId="96">
    <w:name w:val="No Spacing"/>
    <w:basedOn w:val="1"/>
    <w:link w:val="95"/>
    <w:qFormat/>
    <w:uiPriority w:val="1"/>
    <w:pPr>
      <w:widowControl/>
      <w:jc w:val="left"/>
    </w:pPr>
    <w:rPr>
      <w:kern w:val="0"/>
      <w:sz w:val="22"/>
      <w:szCs w:val="20"/>
      <w:lang w:eastAsia="en-US" w:bidi="en-US"/>
    </w:rPr>
  </w:style>
  <w:style w:type="character" w:customStyle="1" w:styleId="97">
    <w:name w:val="_Style 87"/>
    <w:qFormat/>
    <w:uiPriority w:val="19"/>
    <w:rPr>
      <w:i/>
      <w:iCs/>
      <w:color w:val="5A5A5A"/>
    </w:rPr>
  </w:style>
  <w:style w:type="character" w:customStyle="1" w:styleId="98">
    <w:name w:val="_Style 88"/>
    <w:qFormat/>
    <w:uiPriority w:val="31"/>
    <w:rPr>
      <w:color w:val="auto"/>
      <w:u w:val="single" w:color="9BBB59"/>
    </w:rPr>
  </w:style>
  <w:style w:type="character" w:customStyle="1" w:styleId="99">
    <w:name w:val="_Style 89"/>
    <w:qFormat/>
    <w:uiPriority w:val="32"/>
    <w:rPr>
      <w:b/>
      <w:bCs/>
      <w:color w:val="76923C"/>
      <w:u w:val="single" w:color="9BBB59"/>
    </w:rPr>
  </w:style>
  <w:style w:type="paragraph" w:customStyle="1" w:styleId="100">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customStyle="1" w:styleId="101">
    <w:name w:val="TOC 标题1"/>
    <w:basedOn w:val="2"/>
    <w:next w:val="1"/>
    <w:unhideWhenUsed/>
    <w:qFormat/>
    <w:uiPriority w:val="39"/>
    <w:pPr>
      <w:keepNext/>
      <w:keepLines/>
      <w:numPr>
        <w:numId w:val="0"/>
      </w:numPr>
      <w:spacing w:before="480" w:line="276" w:lineRule="auto"/>
      <w:outlineLvl w:val="9"/>
    </w:pPr>
    <w:rPr>
      <w:sz w:val="28"/>
      <w:szCs w:val="28"/>
      <w:lang w:bidi="ar-SA"/>
    </w:rPr>
  </w:style>
  <w:style w:type="paragraph" w:customStyle="1" w:styleId="102">
    <w:name w:val="修订1"/>
    <w:semiHidden/>
    <w:qFormat/>
    <w:uiPriority w:val="99"/>
    <w:rPr>
      <w:rFonts w:ascii="Times New Roman" w:hAnsi="Times New Roman" w:eastAsia="宋体" w:cs="Times New Roman"/>
      <w:kern w:val="2"/>
      <w:sz w:val="21"/>
      <w:szCs w:val="21"/>
      <w:lang w:val="en-US" w:eastAsia="zh-CN" w:bidi="ar-SA"/>
    </w:rPr>
  </w:style>
  <w:style w:type="paragraph" w:customStyle="1" w:styleId="103">
    <w:name w:val="一级标题"/>
    <w:basedOn w:val="1"/>
    <w:qFormat/>
    <w:uiPriority w:val="0"/>
    <w:pPr>
      <w:ind w:firstLine="602" w:firstLineChars="200"/>
    </w:pPr>
    <w:rPr>
      <w:rFonts w:ascii="黑体" w:hAnsi="黑体"/>
      <w:b/>
      <w:sz w:val="30"/>
      <w:szCs w:val="30"/>
    </w:rPr>
  </w:style>
  <w:style w:type="paragraph" w:customStyle="1" w:styleId="104">
    <w:name w:val="_Style 94"/>
    <w:qFormat/>
    <w:uiPriority w:val="99"/>
    <w:pPr>
      <w:ind w:firstLine="360"/>
    </w:pPr>
    <w:rPr>
      <w:rFonts w:ascii="仿宋_GB2312" w:hAnsi="微软雅黑" w:eastAsia="仿宋_GB2312" w:cs="Times New Roman"/>
      <w:sz w:val="30"/>
      <w:szCs w:val="30"/>
      <w:shd w:val="clear" w:color="auto" w:fill="FFFF00"/>
      <w:lang w:val="en-US" w:eastAsia="en-US" w:bidi="en-US"/>
    </w:rPr>
  </w:style>
  <w:style w:type="paragraph" w:customStyle="1" w:styleId="105">
    <w:name w:val="_Style 95"/>
    <w:basedOn w:val="2"/>
    <w:next w:val="1"/>
    <w:qFormat/>
    <w:uiPriority w:val="39"/>
    <w:pPr>
      <w:numPr>
        <w:numId w:val="0"/>
      </w:numPr>
      <w:outlineLvl w:val="9"/>
    </w:pPr>
  </w:style>
  <w:style w:type="paragraph" w:customStyle="1" w:styleId="106">
    <w:name w:val="Char Char Char1 Char Char Char"/>
    <w:basedOn w:val="1"/>
    <w:qFormat/>
    <w:uiPriority w:val="0"/>
    <w:pPr>
      <w:widowControl/>
      <w:pBdr>
        <w:bottom w:val="single" w:color="auto" w:sz="6" w:space="1"/>
      </w:pBdr>
      <w:jc w:val="left"/>
    </w:pPr>
    <w:rPr>
      <w:rFonts w:ascii="Futura Bk" w:hAnsi="Futura Bk"/>
      <w:kern w:val="0"/>
      <w:sz w:val="20"/>
      <w:szCs w:val="20"/>
      <w:lang w:val="en-GB" w:eastAsia="en-US"/>
    </w:rPr>
  </w:style>
  <w:style w:type="paragraph" w:customStyle="1" w:styleId="107">
    <w:name w:val="Table Paragraph"/>
    <w:basedOn w:val="1"/>
    <w:qFormat/>
    <w:uiPriority w:val="1"/>
    <w:pPr>
      <w:jc w:val="left"/>
    </w:pPr>
    <w:rPr>
      <w:rFonts w:ascii="Calibri" w:hAnsi="Calibri"/>
      <w:kern w:val="0"/>
      <w:sz w:val="22"/>
      <w:szCs w:val="22"/>
      <w:lang w:eastAsia="en-US"/>
    </w:rPr>
  </w:style>
  <w:style w:type="paragraph" w:customStyle="1" w:styleId="108">
    <w:name w:val="样式1"/>
    <w:basedOn w:val="1"/>
    <w:link w:val="134"/>
    <w:qFormat/>
    <w:uiPriority w:val="0"/>
    <w:pPr>
      <w:numPr>
        <w:ilvl w:val="0"/>
        <w:numId w:val="3"/>
      </w:numPr>
      <w:tabs>
        <w:tab w:val="left" w:pos="2127"/>
      </w:tabs>
      <w:adjustRightInd w:val="0"/>
      <w:snapToGrid w:val="0"/>
      <w:spacing w:line="540" w:lineRule="exact"/>
    </w:pPr>
    <w:rPr>
      <w:rFonts w:ascii="仿宋_GB2312" w:hAnsi="宋体" w:eastAsia="仿宋_GB2312"/>
      <w:kern w:val="0"/>
      <w:sz w:val="30"/>
      <w:szCs w:val="30"/>
    </w:rPr>
  </w:style>
  <w:style w:type="table" w:customStyle="1" w:styleId="109">
    <w:name w:val="网格型2"/>
    <w:basedOn w:val="43"/>
    <w:unhideWhenUsed/>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0">
    <w:name w:val="网格型1"/>
    <w:basedOn w:val="43"/>
    <w:qFormat/>
    <w:uiPriority w:val="39"/>
    <w:pPr>
      <w:widowControl w:val="0"/>
      <w:spacing w:line="30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
    <w:name w:val="网格型3"/>
    <w:basedOn w:val="43"/>
    <w:unhideWhenUsed/>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2">
    <w:name w:val="网格型4"/>
    <w:basedOn w:val="43"/>
    <w:unhideWhenUsed/>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3">
    <w:name w:val="网格型5"/>
    <w:basedOn w:val="43"/>
    <w:unhideWhenUsed/>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4">
    <w:name w:val="修订2"/>
    <w:hidden/>
    <w:semiHidden/>
    <w:qFormat/>
    <w:uiPriority w:val="99"/>
    <w:rPr>
      <w:rFonts w:ascii="Times New Roman" w:hAnsi="Times New Roman" w:eastAsia="宋体" w:cs="Times New Roman"/>
      <w:kern w:val="2"/>
      <w:sz w:val="21"/>
      <w:szCs w:val="21"/>
      <w:lang w:val="en-US" w:eastAsia="zh-CN" w:bidi="ar-SA"/>
    </w:rPr>
  </w:style>
  <w:style w:type="character" w:customStyle="1" w:styleId="115">
    <w:name w:val="未处理的提及1"/>
    <w:basedOn w:val="45"/>
    <w:semiHidden/>
    <w:unhideWhenUsed/>
    <w:qFormat/>
    <w:uiPriority w:val="99"/>
    <w:rPr>
      <w:color w:val="605E5C"/>
      <w:shd w:val="clear" w:color="auto" w:fill="E1DFDD"/>
    </w:rPr>
  </w:style>
  <w:style w:type="paragraph" w:customStyle="1" w:styleId="116">
    <w:name w:val="修订3"/>
    <w:hidden/>
    <w:semiHidden/>
    <w:qFormat/>
    <w:uiPriority w:val="99"/>
    <w:rPr>
      <w:rFonts w:ascii="Times New Roman" w:hAnsi="Times New Roman" w:eastAsia="宋体" w:cs="Times New Roman"/>
      <w:kern w:val="2"/>
      <w:sz w:val="21"/>
      <w:szCs w:val="21"/>
      <w:lang w:val="en-US" w:eastAsia="zh-CN" w:bidi="ar-SA"/>
    </w:rPr>
  </w:style>
  <w:style w:type="character" w:customStyle="1" w:styleId="117">
    <w:name w:val="未处理的提及2"/>
    <w:basedOn w:val="45"/>
    <w:semiHidden/>
    <w:unhideWhenUsed/>
    <w:qFormat/>
    <w:uiPriority w:val="99"/>
    <w:rPr>
      <w:color w:val="605E5C"/>
      <w:shd w:val="clear" w:color="auto" w:fill="E1DFDD"/>
    </w:rPr>
  </w:style>
  <w:style w:type="character" w:customStyle="1" w:styleId="118">
    <w:name w:val="未处理的提及3"/>
    <w:basedOn w:val="45"/>
    <w:semiHidden/>
    <w:unhideWhenUsed/>
    <w:qFormat/>
    <w:uiPriority w:val="99"/>
    <w:rPr>
      <w:color w:val="605E5C"/>
      <w:shd w:val="clear" w:color="auto" w:fill="E1DFDD"/>
    </w:rPr>
  </w:style>
  <w:style w:type="paragraph" w:customStyle="1" w:styleId="119">
    <w:name w:val="SSE正文"/>
    <w:basedOn w:val="1"/>
    <w:link w:val="120"/>
    <w:qFormat/>
    <w:uiPriority w:val="0"/>
    <w:pPr>
      <w:ind w:firstLine="200" w:firstLineChars="200"/>
    </w:pPr>
    <w:rPr>
      <w:rFonts w:eastAsia="仿宋_GB2312"/>
      <w:kern w:val="0"/>
      <w:sz w:val="28"/>
      <w:szCs w:val="28"/>
    </w:rPr>
  </w:style>
  <w:style w:type="character" w:customStyle="1" w:styleId="120">
    <w:name w:val="SSE正文 Char"/>
    <w:link w:val="119"/>
    <w:qFormat/>
    <w:locked/>
    <w:uiPriority w:val="0"/>
    <w:rPr>
      <w:rFonts w:eastAsia="仿宋_GB2312"/>
      <w:sz w:val="28"/>
      <w:szCs w:val="28"/>
    </w:rPr>
  </w:style>
  <w:style w:type="character" w:customStyle="1" w:styleId="121">
    <w:name w:val="不明显强调1"/>
    <w:basedOn w:val="45"/>
    <w:qFormat/>
    <w:uiPriority w:val="19"/>
    <w:rPr>
      <w:i/>
      <w:iCs/>
      <w:color w:val="404040" w:themeColor="text1" w:themeTint="BF"/>
      <w14:textFill>
        <w14:solidFill>
          <w14:schemeClr w14:val="tx1">
            <w14:lumMod w14:val="75000"/>
            <w14:lumOff w14:val="25000"/>
          </w14:schemeClr>
        </w14:solidFill>
      </w14:textFill>
    </w:rPr>
  </w:style>
  <w:style w:type="character" w:customStyle="1" w:styleId="122">
    <w:name w:val="纯文本 字符"/>
    <w:basedOn w:val="45"/>
    <w:link w:val="22"/>
    <w:qFormat/>
    <w:uiPriority w:val="0"/>
    <w:rPr>
      <w:rFonts w:ascii="宋体" w:hAnsi="Courier New"/>
      <w:kern w:val="2"/>
      <w:sz w:val="21"/>
    </w:rPr>
  </w:style>
  <w:style w:type="character" w:customStyle="1" w:styleId="123">
    <w:name w:val="afont1"/>
    <w:basedOn w:val="45"/>
    <w:qFormat/>
    <w:uiPriority w:val="0"/>
  </w:style>
  <w:style w:type="character" w:customStyle="1" w:styleId="124">
    <w:name w:val="正文文本缩进 2 字符"/>
    <w:basedOn w:val="45"/>
    <w:link w:val="25"/>
    <w:qFormat/>
    <w:uiPriority w:val="0"/>
    <w:rPr>
      <w:rFonts w:ascii="仿宋_GB2312" w:hAnsi="宋体" w:eastAsia="仿宋_GB2312"/>
      <w:kern w:val="2"/>
      <w:sz w:val="30"/>
      <w:szCs w:val="30"/>
    </w:rPr>
  </w:style>
  <w:style w:type="character" w:customStyle="1" w:styleId="125">
    <w:name w:val="正文文本 2 字符"/>
    <w:basedOn w:val="45"/>
    <w:link w:val="38"/>
    <w:qFormat/>
    <w:uiPriority w:val="0"/>
    <w:rPr>
      <w:rFonts w:ascii="黑体" w:hAnsi="宋体" w:eastAsia="黑体"/>
      <w:b/>
      <w:kern w:val="2"/>
      <w:sz w:val="44"/>
      <w:szCs w:val="42"/>
    </w:rPr>
  </w:style>
  <w:style w:type="character" w:customStyle="1" w:styleId="126">
    <w:name w:val="正文文本缩进 3 字符"/>
    <w:basedOn w:val="45"/>
    <w:link w:val="35"/>
    <w:qFormat/>
    <w:uiPriority w:val="0"/>
    <w:rPr>
      <w:rFonts w:ascii="仿宋_GB2312" w:eastAsia="仿宋_GB2312"/>
      <w:sz w:val="30"/>
      <w:szCs w:val="28"/>
      <w:lang w:val="zh-CN"/>
    </w:rPr>
  </w:style>
  <w:style w:type="character" w:customStyle="1" w:styleId="127">
    <w:name w:val="正文文本 3 字符"/>
    <w:basedOn w:val="45"/>
    <w:link w:val="16"/>
    <w:qFormat/>
    <w:uiPriority w:val="0"/>
    <w:rPr>
      <w:rFonts w:ascii="方正大标宋简体" w:hAnsi="宋体" w:eastAsia="方正大标宋简体"/>
      <w:bCs/>
      <w:kern w:val="2"/>
      <w:sz w:val="42"/>
      <w:szCs w:val="42"/>
    </w:rPr>
  </w:style>
  <w:style w:type="paragraph" w:customStyle="1" w:styleId="128">
    <w:name w:val="Char1"/>
    <w:basedOn w:val="1"/>
    <w:qFormat/>
    <w:uiPriority w:val="0"/>
    <w:pPr>
      <w:widowControl/>
      <w:pBdr>
        <w:bottom w:val="single" w:color="auto" w:sz="6" w:space="1"/>
      </w:pBdr>
      <w:jc w:val="left"/>
    </w:pPr>
    <w:rPr>
      <w:rFonts w:ascii="Futura Bk" w:hAnsi="Futura Bk"/>
      <w:kern w:val="0"/>
      <w:sz w:val="20"/>
      <w:szCs w:val="20"/>
      <w:lang w:val="en-GB" w:eastAsia="en-US"/>
    </w:rPr>
  </w:style>
  <w:style w:type="paragraph" w:customStyle="1" w:styleId="129">
    <w:name w:val="段 Char Char Char"/>
    <w:basedOn w:val="1"/>
    <w:qFormat/>
    <w:uiPriority w:val="0"/>
    <w:pPr>
      <w:widowControl/>
      <w:spacing w:beforeLines="2" w:afterLines="2" w:line="320" w:lineRule="exact"/>
      <w:ind w:firstLine="360" w:firstLineChars="200"/>
      <w:jc w:val="left"/>
    </w:pPr>
    <w:rPr>
      <w:rFonts w:ascii="宋体" w:hAnsi="Tahoma"/>
    </w:rPr>
  </w:style>
  <w:style w:type="paragraph" w:customStyle="1" w:styleId="130">
    <w:name w:val="xl25"/>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18"/>
      <w:szCs w:val="18"/>
    </w:rPr>
  </w:style>
  <w:style w:type="paragraph" w:customStyle="1" w:styleId="131">
    <w:name w:val="a"/>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32">
    <w:name w:val="列出段落1"/>
    <w:basedOn w:val="1"/>
    <w:qFormat/>
    <w:uiPriority w:val="34"/>
    <w:pPr>
      <w:ind w:firstLine="420" w:firstLineChars="200"/>
    </w:pPr>
    <w:rPr>
      <w:rFonts w:ascii="Calibri" w:hAnsi="Calibri" w:cs="Calibri"/>
    </w:rPr>
  </w:style>
  <w:style w:type="paragraph" w:customStyle="1" w:styleId="133">
    <w:name w:val="Char Char Char Char Char Char Char"/>
    <w:basedOn w:val="1"/>
    <w:qFormat/>
    <w:uiPriority w:val="0"/>
    <w:pPr>
      <w:tabs>
        <w:tab w:val="left" w:pos="360"/>
      </w:tabs>
    </w:pPr>
    <w:rPr>
      <w:sz w:val="24"/>
      <w:szCs w:val="24"/>
    </w:rPr>
  </w:style>
  <w:style w:type="character" w:customStyle="1" w:styleId="134">
    <w:name w:val="样式1 Char"/>
    <w:link w:val="108"/>
    <w:qFormat/>
    <w:uiPriority w:val="0"/>
    <w:rPr>
      <w:rFonts w:ascii="仿宋_GB2312" w:hAnsi="宋体" w:eastAsia="仿宋_GB2312"/>
      <w:sz w:val="30"/>
      <w:szCs w:val="30"/>
    </w:rPr>
  </w:style>
  <w:style w:type="paragraph" w:customStyle="1" w:styleId="135">
    <w:name w:val="msolistparagraph"/>
    <w:basedOn w:val="1"/>
    <w:qFormat/>
    <w:uiPriority w:val="0"/>
    <w:pPr>
      <w:widowControl/>
      <w:ind w:firstLine="420"/>
    </w:pPr>
    <w:rPr>
      <w:rFonts w:ascii="Calibri" w:hAnsi="Calibri" w:cs="宋体"/>
      <w:kern w:val="0"/>
    </w:rPr>
  </w:style>
  <w:style w:type="paragraph" w:customStyle="1" w:styleId="136">
    <w:name w:val="修订4"/>
    <w:hidden/>
    <w:semiHidden/>
    <w:qFormat/>
    <w:uiPriority w:val="99"/>
    <w:rPr>
      <w:rFonts w:ascii="Times New Roman" w:hAnsi="Times New Roman" w:eastAsia="宋体" w:cs="Times New Roman"/>
      <w:kern w:val="2"/>
      <w:sz w:val="21"/>
      <w:szCs w:val="24"/>
      <w:lang w:val="en-US" w:eastAsia="zh-CN" w:bidi="ar-SA"/>
    </w:rPr>
  </w:style>
  <w:style w:type="paragraph" w:customStyle="1" w:styleId="137">
    <w:name w:val="列出段落2"/>
    <w:basedOn w:val="1"/>
    <w:qFormat/>
    <w:uiPriority w:val="0"/>
    <w:pPr>
      <w:ind w:firstLine="420" w:firstLineChars="200"/>
    </w:pPr>
    <w:rPr>
      <w:rFonts w:ascii="Calibri" w:hAnsi="Calibri"/>
      <w:szCs w:val="22"/>
    </w:rPr>
  </w:style>
  <w:style w:type="paragraph" w:customStyle="1" w:styleId="138">
    <w:name w:val="default"/>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39">
    <w:name w:val="fontstyle01"/>
    <w:basedOn w:val="45"/>
    <w:qFormat/>
    <w:uiPriority w:val="0"/>
    <w:rPr>
      <w:rFonts w:hint="eastAsia" w:ascii="仿宋_GB2312" w:eastAsia="仿宋_GB2312"/>
      <w:color w:val="000000"/>
      <w:sz w:val="30"/>
      <w:szCs w:val="30"/>
    </w:rPr>
  </w:style>
  <w:style w:type="paragraph" w:customStyle="1" w:styleId="140">
    <w:name w:val="列出段落11"/>
    <w:basedOn w:val="1"/>
    <w:qFormat/>
    <w:uiPriority w:val="0"/>
    <w:pPr>
      <w:ind w:firstLine="420" w:firstLineChars="200"/>
    </w:pPr>
    <w:rPr>
      <w:szCs w:val="24"/>
    </w:rPr>
  </w:style>
  <w:style w:type="character" w:customStyle="1" w:styleId="141">
    <w:name w:val="fontstyle21"/>
    <w:basedOn w:val="45"/>
    <w:qFormat/>
    <w:uiPriority w:val="0"/>
    <w:rPr>
      <w:rFonts w:hint="default" w:ascii="Calibri" w:hAnsi="Calibri"/>
      <w:color w:val="000000"/>
      <w:sz w:val="30"/>
      <w:szCs w:val="30"/>
    </w:rPr>
  </w:style>
  <w:style w:type="character" w:customStyle="1" w:styleId="142">
    <w:name w:val="fontstyle11"/>
    <w:basedOn w:val="45"/>
    <w:qFormat/>
    <w:uiPriority w:val="0"/>
    <w:rPr>
      <w:rFonts w:hint="default" w:ascii="Calibri" w:hAnsi="Calibri"/>
      <w:color w:val="000000"/>
      <w:sz w:val="30"/>
      <w:szCs w:val="30"/>
    </w:rPr>
  </w:style>
  <w:style w:type="character" w:customStyle="1" w:styleId="143">
    <w:name w:val="尾注文本 字符"/>
    <w:basedOn w:val="45"/>
    <w:link w:val="26"/>
    <w:qFormat/>
    <w:uiPriority w:val="99"/>
    <w:rPr>
      <w:rFonts w:ascii="Calibri" w:hAnsi="Calibri"/>
      <w:kern w:val="2"/>
      <w:sz w:val="21"/>
      <w:szCs w:val="22"/>
    </w:rPr>
  </w:style>
  <w:style w:type="paragraph" w:customStyle="1" w:styleId="144">
    <w:name w:val="SSE标题2"/>
    <w:basedOn w:val="3"/>
    <w:link w:val="145"/>
    <w:qFormat/>
    <w:uiPriority w:val="0"/>
    <w:pPr>
      <w:keepNext/>
      <w:keepLines/>
      <w:widowControl w:val="0"/>
      <w:numPr>
        <w:ilvl w:val="0"/>
        <w:numId w:val="0"/>
      </w:numPr>
      <w:pBdr>
        <w:bottom w:val="none" w:color="auto" w:sz="0" w:space="0"/>
      </w:pBdr>
      <w:spacing w:before="0" w:after="120"/>
      <w:ind w:firstLine="643"/>
    </w:pPr>
    <w:rPr>
      <w:rFonts w:eastAsia="仿宋_GB2312"/>
      <w:b/>
      <w:bCs/>
      <w:color w:val="auto"/>
      <w:sz w:val="28"/>
      <w:szCs w:val="28"/>
      <w:lang w:eastAsia="zh-CN" w:bidi="ar-SA"/>
    </w:rPr>
  </w:style>
  <w:style w:type="character" w:customStyle="1" w:styleId="145">
    <w:name w:val="SSE标题2 Char"/>
    <w:link w:val="144"/>
    <w:qFormat/>
    <w:locked/>
    <w:uiPriority w:val="0"/>
    <w:rPr>
      <w:rFonts w:eastAsia="仿宋_GB2312"/>
      <w:b/>
      <w:bCs/>
      <w:sz w:val="28"/>
      <w:szCs w:val="28"/>
    </w:rPr>
  </w:style>
  <w:style w:type="paragraph" w:customStyle="1" w:styleId="146">
    <w:name w:val="SSE标题1"/>
    <w:basedOn w:val="2"/>
    <w:link w:val="147"/>
    <w:qFormat/>
    <w:uiPriority w:val="99"/>
    <w:pPr>
      <w:keepNext/>
      <w:keepLines/>
      <w:widowControl w:val="0"/>
      <w:numPr>
        <w:numId w:val="0"/>
      </w:numPr>
      <w:spacing w:after="120"/>
      <w:jc w:val="both"/>
    </w:pPr>
    <w:rPr>
      <w:rFonts w:eastAsia="黑体"/>
      <w:kern w:val="44"/>
      <w:szCs w:val="30"/>
      <w:lang w:bidi="ar-SA"/>
    </w:rPr>
  </w:style>
  <w:style w:type="character" w:customStyle="1" w:styleId="147">
    <w:name w:val="SSE标题1 Char"/>
    <w:link w:val="146"/>
    <w:qFormat/>
    <w:locked/>
    <w:uiPriority w:val="99"/>
    <w:rPr>
      <w:rFonts w:eastAsia="黑体"/>
      <w:b/>
      <w:bCs/>
      <w:kern w:val="44"/>
      <w:sz w:val="30"/>
      <w:szCs w:val="30"/>
    </w:rPr>
  </w:style>
  <w:style w:type="paragraph" w:customStyle="1" w:styleId="148">
    <w:name w:val="SSE表格文字"/>
    <w:basedOn w:val="1"/>
    <w:link w:val="149"/>
    <w:qFormat/>
    <w:uiPriority w:val="99"/>
    <w:pPr>
      <w:widowControl/>
      <w:jc w:val="center"/>
    </w:pPr>
    <w:rPr>
      <w:rFonts w:eastAsia="仿宋_GB2312"/>
      <w:color w:val="000000"/>
      <w:kern w:val="0"/>
      <w:sz w:val="24"/>
      <w:szCs w:val="24"/>
    </w:rPr>
  </w:style>
  <w:style w:type="character" w:customStyle="1" w:styleId="149">
    <w:name w:val="SSE表格文字 Char"/>
    <w:link w:val="148"/>
    <w:qFormat/>
    <w:locked/>
    <w:uiPriority w:val="99"/>
    <w:rPr>
      <w:rFonts w:eastAsia="仿宋_GB2312"/>
      <w:color w:val="000000"/>
      <w:sz w:val="24"/>
      <w:szCs w:val="24"/>
    </w:rPr>
  </w:style>
  <w:style w:type="table" w:customStyle="1" w:styleId="150">
    <w:name w:val="Table Normal"/>
    <w:unhideWhenUsed/>
    <w:qFormat/>
    <w:uiPriority w:val="2"/>
    <w:pPr>
      <w:widowControl w:val="0"/>
    </w:pPr>
    <w:rPr>
      <w:rFonts w:ascii="Calibri" w:hAnsi="Calibri"/>
      <w:sz w:val="22"/>
      <w:lang w:eastAsia="en-US"/>
    </w:rPr>
    <w:tblPr>
      <w:tblCellMar>
        <w:top w:w="0" w:type="dxa"/>
        <w:left w:w="0" w:type="dxa"/>
        <w:bottom w:w="0" w:type="dxa"/>
        <w:right w:w="0" w:type="dxa"/>
      </w:tblCellMar>
    </w:tblPr>
  </w:style>
  <w:style w:type="table" w:customStyle="1" w:styleId="151">
    <w:name w:val="中等深浅底纹 1 - 着色 11"/>
    <w:basedOn w:val="43"/>
    <w:qFormat/>
    <w:uiPriority w:val="63"/>
    <w:rPr>
      <w:rFonts w:ascii="Calibri" w:hAnsi="Calibri"/>
    </w:rPr>
    <w:tblPr>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StylePr>
    <w:tblStylePr w:type="lastCol">
      <w:rPr>
        <w:b/>
        <w:bCs/>
      </w:rPr>
    </w:tblStylePr>
    <w:tblStylePr w:type="band1Vert">
      <w:tcPr>
        <w:shd w:val="clear" w:color="auto" w:fill="D3DFEE"/>
      </w:tcPr>
    </w:tblStylePr>
    <w:tblStylePr w:type="band1Horz">
      <w:tcPr>
        <w:tcBorders>
          <w:insideH w:val="nil"/>
          <w:insideV w:val="nil"/>
        </w:tcBorders>
        <w:shd w:val="clear" w:color="auto" w:fill="D3DFEE"/>
      </w:tcPr>
    </w:tblStylePr>
    <w:tblStylePr w:type="band2Horz">
      <w:tcPr>
        <w:tcBorders>
          <w:insideH w:val="nil"/>
          <w:insideV w:val="nil"/>
        </w:tcBorders>
      </w:tcPr>
    </w:tblStylePr>
  </w:style>
  <w:style w:type="character" w:customStyle="1" w:styleId="152">
    <w:name w:val="不明显强调11"/>
    <w:basedOn w:val="45"/>
    <w:qFormat/>
    <w:uiPriority w:val="19"/>
    <w:rPr>
      <w:i/>
      <w:iCs/>
      <w:color w:val="404040" w:themeColor="text1" w:themeTint="BF"/>
      <w14:textFill>
        <w14:solidFill>
          <w14:schemeClr w14:val="tx1">
            <w14:lumMod w14:val="75000"/>
            <w14:lumOff w14:val="25000"/>
          </w14:schemeClr>
        </w14:solidFill>
      </w14:textFill>
    </w:rPr>
  </w:style>
  <w:style w:type="paragraph" w:customStyle="1" w:styleId="153">
    <w:name w:val="修订41"/>
    <w:hidden/>
    <w:semiHidden/>
    <w:qFormat/>
    <w:uiPriority w:val="99"/>
    <w:rPr>
      <w:rFonts w:ascii="Times New Roman" w:hAnsi="Times New Roman" w:eastAsia="宋体" w:cs="Times New Roman"/>
      <w:kern w:val="2"/>
      <w:sz w:val="21"/>
      <w:szCs w:val="24"/>
      <w:lang w:val="en-US" w:eastAsia="zh-CN" w:bidi="ar-SA"/>
    </w:rPr>
  </w:style>
  <w:style w:type="paragraph" w:customStyle="1" w:styleId="154">
    <w:name w:val="修订5"/>
    <w:hidden/>
    <w:semiHidden/>
    <w:qFormat/>
    <w:uiPriority w:val="99"/>
    <w:rPr>
      <w:rFonts w:ascii="Times New Roman" w:hAnsi="Times New Roman" w:eastAsia="宋体" w:cs="Times New Roman"/>
      <w:kern w:val="2"/>
      <w:sz w:val="21"/>
      <w:szCs w:val="21"/>
      <w:lang w:val="en-US" w:eastAsia="zh-CN" w:bidi="ar-SA"/>
    </w:rPr>
  </w:style>
  <w:style w:type="paragraph" w:customStyle="1" w:styleId="155">
    <w:name w:val="修订6"/>
    <w:hidden/>
    <w:semiHidden/>
    <w:qFormat/>
    <w:uiPriority w:val="99"/>
    <w:rPr>
      <w:rFonts w:ascii="Times New Roman" w:hAnsi="Times New Roman" w:eastAsia="宋体" w:cs="Times New Roman"/>
      <w:kern w:val="2"/>
      <w:sz w:val="21"/>
      <w:szCs w:val="21"/>
      <w:lang w:val="en-US" w:eastAsia="zh-CN" w:bidi="ar-SA"/>
    </w:rPr>
  </w:style>
  <w:style w:type="character" w:customStyle="1" w:styleId="156">
    <w:name w:val="da1"/>
    <w:qFormat/>
    <w:uiPriority w:val="0"/>
    <w:rPr>
      <w:color w:val="000000"/>
      <w:spacing w:val="36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image" Target="media/image14.png"/><Relationship Id="rId24" Type="http://schemas.openxmlformats.org/officeDocument/2006/relationships/image" Target="media/image13.png"/><Relationship Id="rId23" Type="http://schemas.openxmlformats.org/officeDocument/2006/relationships/image" Target="media/image12.png"/><Relationship Id="rId22" Type="http://schemas.openxmlformats.org/officeDocument/2006/relationships/image" Target="media/image11.png"/><Relationship Id="rId21" Type="http://schemas.openxmlformats.org/officeDocument/2006/relationships/image" Target="media/image10.png"/><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wmf"/><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414</Pages>
  <Words>174171</Words>
  <Characters>181796</Characters>
  <Lines>1432</Lines>
  <Paragraphs>403</Paragraphs>
  <TotalTime>0</TotalTime>
  <ScaleCrop>false</ScaleCrop>
  <LinksUpToDate>false</LinksUpToDate>
  <CharactersWithSpaces>185606</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2024-09-15T06:33:00Z</dcterms:created>
  <dc:creator>sse</dc:creator>
  <cp:lastModifiedBy>whxu</cp:lastModifiedBy>
  <cp:lastPrinted>2023-10-29T17:13:00Z</cp:lastPrinted>
  <dcterms:modified xsi:type="dcterms:W3CDTF">2026-05-22T16:21:44Z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CD3E0F85ADFD50621206106AD068094D_43</vt:lpwstr>
  </property>
</Properties>
</file>