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z w:val="32"/>
          <w:szCs w:val="32"/>
        </w:rPr>
      </w:pPr>
      <w:bookmarkStart w:id="0" w:name="_Toc340839653"/>
      <w:bookmarkStart w:id="1" w:name="_Toc108525204"/>
      <w:bookmarkStart w:id="2" w:name="_Toc50034098"/>
      <w:bookmarkStart w:id="3" w:name="_Toc330904170"/>
      <w:r>
        <w:rPr>
          <w:rFonts w:hint="eastAsia"/>
          <w:sz w:val="32"/>
          <w:szCs w:val="32"/>
        </w:rPr>
        <w:t>科创板上市公司可转债转股结果暨股份变动</w:t>
      </w:r>
      <w:bookmarkEnd w:id="0"/>
      <w:bookmarkEnd w:id="1"/>
      <w:bookmarkEnd w:id="2"/>
      <w:bookmarkEnd w:id="3"/>
      <w:bookmarkStart w:id="5" w:name="_GoBack"/>
      <w:bookmarkEnd w:id="5"/>
    </w:p>
    <w:p>
      <w:pPr>
        <w:widowControl/>
        <w:adjustRightInd w:val="0"/>
        <w:snapToGrid w:val="0"/>
        <w:spacing w:line="560" w:lineRule="exact"/>
        <w:jc w:val="left"/>
        <w:rPr>
          <w:rFonts w:ascii="仿宋" w:hAnsi="仿宋" w:eastAsia="仿宋_GB2312" w:cs="宋体"/>
          <w:b/>
          <w:bCs/>
          <w:kern w:val="0"/>
          <w:sz w:val="30"/>
          <w:szCs w:val="30"/>
        </w:rPr>
      </w:pPr>
      <w:r>
        <w:rPr>
          <w:rFonts w:hint="eastAsia" w:ascii="仿宋" w:hAnsi="仿宋" w:eastAsia="仿宋_GB2312" w:cs="宋体"/>
          <w:b/>
          <w:bCs/>
          <w:kern w:val="0"/>
          <w:sz w:val="30"/>
          <w:szCs w:val="30"/>
        </w:rPr>
        <w:t>适用情形：</w:t>
      </w:r>
    </w:p>
    <w:p>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1、转股期间每个季度结束后的2个交易日内，无论是否出现转股情况均须披露转股结果公告。</w:t>
      </w:r>
    </w:p>
    <w:p>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2、可转债转换为股份的数额累计达到可转债转股前公司已发行股份总额10%。</w:t>
      </w:r>
    </w:p>
    <w:p>
      <w:pPr>
        <w:adjustRightInd w:val="0"/>
        <w:snapToGrid w:val="0"/>
        <w:spacing w:line="560" w:lineRule="exact"/>
        <w:ind w:firstLine="600" w:firstLineChars="200"/>
        <w:rPr>
          <w:rFonts w:ascii="仿宋" w:hAnsi="仿宋" w:eastAsia="仿宋_GB2312"/>
          <w:sz w:val="30"/>
          <w:szCs w:val="30"/>
          <w:u w:val="single"/>
        </w:rPr>
      </w:pPr>
    </w:p>
    <w:p>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证券代码：            证券简称：            公告编号：</w:t>
      </w:r>
    </w:p>
    <w:p>
      <w:pPr>
        <w:adjustRightInd w:val="0"/>
        <w:snapToGrid w:val="0"/>
        <w:spacing w:line="560" w:lineRule="exact"/>
        <w:rPr>
          <w:rFonts w:ascii="仿宋" w:hAnsi="仿宋" w:eastAsia="仿宋_GB2312"/>
          <w:sz w:val="30"/>
          <w:szCs w:val="30"/>
        </w:rPr>
      </w:pPr>
      <w:r>
        <w:rPr>
          <w:rFonts w:hint="eastAsia" w:ascii="仿宋" w:hAnsi="仿宋" w:eastAsia="仿宋_GB2312"/>
          <w:sz w:val="30"/>
          <w:szCs w:val="30"/>
        </w:rPr>
        <w:t>转债代码：            转债简称：</w:t>
      </w:r>
    </w:p>
    <w:p>
      <w:pPr>
        <w:adjustRightInd w:val="0"/>
        <w:snapToGrid w:val="0"/>
        <w:spacing w:line="560" w:lineRule="exact"/>
        <w:ind w:firstLine="600" w:firstLineChars="200"/>
        <w:rPr>
          <w:rFonts w:ascii="仿宋" w:hAnsi="仿宋" w:eastAsia="仿宋_GB2312"/>
          <w:sz w:val="30"/>
          <w:szCs w:val="30"/>
        </w:rPr>
      </w:pPr>
    </w:p>
    <w:p>
      <w:pPr>
        <w:adjustRightInd w:val="0"/>
        <w:snapToGrid w:val="0"/>
        <w:spacing w:line="560" w:lineRule="exact"/>
        <w:jc w:val="center"/>
        <w:rPr>
          <w:rFonts w:ascii="仿宋" w:hAnsi="仿宋" w:eastAsia="仿宋_GB2312"/>
          <w:sz w:val="30"/>
          <w:szCs w:val="30"/>
        </w:rPr>
      </w:pPr>
      <w:r>
        <w:rPr>
          <w:rFonts w:hint="eastAsia" w:ascii="仿宋" w:hAnsi="仿宋" w:eastAsia="仿宋_GB2312"/>
          <w:sz w:val="30"/>
          <w:szCs w:val="30"/>
        </w:rPr>
        <w:t>XXXX股份有限公司可转债转股结果暨股份变动公告</w:t>
      </w:r>
    </w:p>
    <w:p>
      <w:pPr>
        <w:adjustRightInd w:val="0"/>
        <w:snapToGrid w:val="0"/>
        <w:spacing w:line="560" w:lineRule="exact"/>
        <w:ind w:firstLine="600" w:firstLineChars="200"/>
        <w:jc w:val="center"/>
        <w:rPr>
          <w:rFonts w:ascii="仿宋" w:hAnsi="仿宋" w:eastAsia="仿宋_GB2312"/>
          <w:sz w:val="30"/>
          <w:szCs w:val="30"/>
        </w:rPr>
      </w:pP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本公司董事会及全体董事保证本公告内容不存在任何虚假记载、误导性陈述或者重大遗漏，并对其内容的真实性、准确性和完整性承担法律责任。</w:t>
      </w:r>
    </w:p>
    <w:p>
      <w:pPr>
        <w:pBdr>
          <w:top w:val="single" w:color="auto" w:sz="4" w:space="1"/>
          <w:left w:val="single" w:color="auto" w:sz="4" w:space="4"/>
          <w:bottom w:val="single" w:color="auto" w:sz="4" w:space="1"/>
          <w:right w:val="single" w:color="auto" w:sz="4" w:space="4"/>
        </w:pBdr>
        <w:adjustRightInd w:val="0"/>
        <w:snapToGrid w:val="0"/>
        <w:spacing w:line="560" w:lineRule="exact"/>
        <w:ind w:firstLine="600" w:firstLineChars="200"/>
        <w:rPr>
          <w:rFonts w:ascii="仿宋" w:hAnsi="仿宋" w:eastAsia="仿宋_GB2312"/>
          <w:color w:val="000000"/>
          <w:sz w:val="30"/>
          <w:szCs w:val="30"/>
        </w:rPr>
      </w:pPr>
      <w:r>
        <w:rPr>
          <w:rFonts w:hint="eastAsia" w:ascii="仿宋" w:hAnsi="仿宋" w:eastAsia="仿宋_GB2312"/>
          <w:color w:val="000000"/>
          <w:sz w:val="30"/>
          <w:szCs w:val="30"/>
        </w:rPr>
        <w:t>如有董事对临时公告内容的真实性、准确性和完整性无法保证或存在异议的，公司应当在公告中作特别提示。</w:t>
      </w:r>
    </w:p>
    <w:p>
      <w:pPr>
        <w:adjustRightInd w:val="0"/>
        <w:snapToGrid w:val="0"/>
        <w:spacing w:line="560" w:lineRule="exact"/>
        <w:ind w:firstLine="600" w:firstLineChars="200"/>
        <w:rPr>
          <w:rFonts w:ascii="仿宋" w:hAnsi="仿宋" w:eastAsia="仿宋_GB2312"/>
          <w:sz w:val="30"/>
          <w:szCs w:val="30"/>
        </w:rPr>
      </w:pPr>
    </w:p>
    <w:p>
      <w:pPr>
        <w:adjustRightInd w:val="0"/>
        <w:snapToGrid w:val="0"/>
        <w:spacing w:line="560" w:lineRule="exact"/>
        <w:ind w:firstLine="602" w:firstLineChars="200"/>
        <w:rPr>
          <w:rFonts w:ascii="仿宋" w:hAnsi="仿宋" w:eastAsia="仿宋_GB2312"/>
          <w:b/>
          <w:sz w:val="30"/>
          <w:szCs w:val="30"/>
        </w:rPr>
      </w:pPr>
      <w:r>
        <w:rPr>
          <w:rFonts w:hint="eastAsia" w:ascii="仿宋" w:hAnsi="仿宋" w:eastAsia="仿宋_GB2312"/>
          <w:b/>
          <w:sz w:val="30"/>
          <w:szCs w:val="30"/>
        </w:rPr>
        <w:t>重要内容提示：</w:t>
      </w:r>
    </w:p>
    <w:p>
      <w:pPr>
        <w:numPr>
          <w:ilvl w:val="0"/>
          <w:numId w:val="1"/>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累计转股情况（说明可转债累计转股的金额、累计因转股形成的股份数量以及占可转债转股前公司已发行股份总额的比例）</w:t>
      </w:r>
    </w:p>
    <w:p>
      <w:pPr>
        <w:numPr>
          <w:ilvl w:val="0"/>
          <w:numId w:val="1"/>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未转股可转债情况（说明尚未转股的可转债金额以及占可转债发行总量的比例）</w:t>
      </w:r>
    </w:p>
    <w:p>
      <w:pPr>
        <w:numPr>
          <w:ilvl w:val="0"/>
          <w:numId w:val="1"/>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本季度转股情况（说明本季度可转债转股的金额、因转股形成的股份数量）（如适用）</w:t>
      </w:r>
    </w:p>
    <w:p>
      <w:pPr>
        <w:numPr>
          <w:ilvl w:val="0"/>
          <w:numId w:val="1"/>
        </w:numPr>
        <w:adjustRightInd w:val="0"/>
        <w:snapToGrid w:val="0"/>
        <w:spacing w:line="560" w:lineRule="exact"/>
        <w:ind w:left="0" w:firstLine="600" w:firstLineChars="200"/>
        <w:rPr>
          <w:rFonts w:ascii="仿宋" w:hAnsi="仿宋" w:eastAsia="仿宋_GB2312"/>
          <w:sz w:val="30"/>
          <w:szCs w:val="30"/>
        </w:rPr>
      </w:pPr>
      <w:r>
        <w:rPr>
          <w:rFonts w:hint="eastAsia" w:ascii="仿宋" w:hAnsi="仿宋" w:eastAsia="仿宋_GB2312"/>
          <w:sz w:val="30"/>
          <w:szCs w:val="30"/>
        </w:rPr>
        <w:t>需提请投资者注意的其他情况（如适用）</w:t>
      </w:r>
    </w:p>
    <w:p>
      <w:pPr>
        <w:adjustRightInd w:val="0"/>
        <w:snapToGrid w:val="0"/>
        <w:spacing w:line="560" w:lineRule="exact"/>
        <w:ind w:firstLine="600" w:firstLineChars="200"/>
        <w:rPr>
          <w:rFonts w:ascii="仿宋" w:hAnsi="仿宋" w:eastAsia="仿宋_GB2312"/>
          <w:sz w:val="30"/>
          <w:szCs w:val="30"/>
        </w:rPr>
      </w:pPr>
    </w:p>
    <w:p>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一、可转债发行上市概况</w:t>
      </w:r>
    </w:p>
    <w:p>
      <w:pPr>
        <w:autoSpaceDE w:val="0"/>
        <w:autoSpaceDN w:val="0"/>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（一）可转债获中国证监会注册发行基本情况，</w:t>
      </w:r>
      <w:r>
        <w:rPr>
          <w:rFonts w:hint="eastAsia" w:ascii="仿宋_GB2312" w:hAnsi="宋体" w:eastAsia="仿宋_GB2312"/>
          <w:sz w:val="30"/>
          <w:szCs w:val="30"/>
        </w:rPr>
        <w:t>包括注册号、发行时间、发行数量、面值、发行总额、期限等</w:t>
      </w:r>
      <w:r>
        <w:rPr>
          <w:rFonts w:hint="eastAsia" w:ascii="仿宋_GB2312" w:hAnsi="宋体" w:eastAsia="仿宋_GB2312" w:cs="宋体"/>
          <w:kern w:val="0"/>
          <w:sz w:val="30"/>
          <w:szCs w:val="30"/>
        </w:rPr>
        <w:t>。</w:t>
      </w:r>
    </w:p>
    <w:p>
      <w:pPr>
        <w:autoSpaceDE w:val="0"/>
        <w:autoSpaceDN w:val="0"/>
        <w:adjustRightInd w:val="0"/>
        <w:snapToGrid w:val="0"/>
        <w:spacing w:line="600" w:lineRule="exact"/>
        <w:ind w:firstLine="600" w:firstLineChars="200"/>
        <w:jc w:val="left"/>
        <w:rPr>
          <w:rFonts w:ascii="仿宋_GB2312" w:hAnsi="宋体" w:eastAsia="仿宋_GB2312" w:cs="宋体"/>
          <w:kern w:val="0"/>
          <w:sz w:val="30"/>
          <w:szCs w:val="30"/>
        </w:rPr>
      </w:pPr>
      <w:r>
        <w:rPr>
          <w:rFonts w:hint="eastAsia" w:ascii="仿宋_GB2312" w:hAnsi="宋体" w:eastAsia="仿宋_GB2312" w:cs="宋体"/>
          <w:kern w:val="0"/>
          <w:sz w:val="30"/>
          <w:szCs w:val="30"/>
        </w:rPr>
        <w:t>（二）可转债在上海证券交易所挂牌上市的基本情况，包括核准上市文号、上市日期、可转债交易代码、可转债简称等。</w:t>
      </w:r>
    </w:p>
    <w:p>
      <w:pPr>
        <w:autoSpaceDE w:val="0"/>
        <w:autoSpaceDN w:val="0"/>
        <w:adjustRightInd w:val="0"/>
        <w:snapToGrid w:val="0"/>
        <w:spacing w:line="560" w:lineRule="exact"/>
        <w:ind w:firstLine="600" w:firstLineChars="200"/>
        <w:jc w:val="left"/>
        <w:rPr>
          <w:rFonts w:ascii="仿宋" w:hAnsi="仿宋" w:eastAsia="仿宋_GB2312"/>
          <w:sz w:val="30"/>
          <w:szCs w:val="30"/>
        </w:rPr>
      </w:pPr>
      <w:r>
        <w:rPr>
          <w:rFonts w:hint="eastAsia" w:ascii="仿宋_GB2312" w:hAnsi="宋体" w:eastAsia="仿宋_GB2312"/>
          <w:sz w:val="30"/>
          <w:szCs w:val="30"/>
        </w:rPr>
        <w:t>（三）公司应说明公司可转债开始转股的日期、转股价格等。</w:t>
      </w:r>
    </w:p>
    <w:p>
      <w:pPr>
        <w:autoSpaceDE w:val="0"/>
        <w:autoSpaceDN w:val="0"/>
        <w:adjustRightInd w:val="0"/>
        <w:snapToGrid w:val="0"/>
        <w:spacing w:line="560" w:lineRule="exact"/>
        <w:ind w:firstLine="600" w:firstLineChars="200"/>
        <w:jc w:val="left"/>
        <w:rPr>
          <w:rFonts w:ascii="仿宋" w:hAnsi="仿宋" w:eastAsia="仿宋_GB2312"/>
          <w:sz w:val="30"/>
          <w:szCs w:val="30"/>
        </w:rPr>
      </w:pPr>
    </w:p>
    <w:p>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二、可转债本次转股情况</w:t>
      </w:r>
    </w:p>
    <w:p>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一）公司应说明可转债的转股情况，包括转股期间、本次可转债转股金额、本次因转股形成的股份数量，以及累计转股的金额、累计因转股形成的股份数量以及占公司可转债转股前公司已发行股份总额的比例等。</w:t>
      </w:r>
    </w:p>
    <w:p>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（二）说明未转股可转债的情况，包括尚未转股的可转债金额以及占可转债发行总量的比例等。</w:t>
      </w:r>
    </w:p>
    <w:p>
      <w:pPr>
        <w:adjustRightInd w:val="0"/>
        <w:snapToGrid w:val="0"/>
        <w:spacing w:line="560" w:lineRule="exact"/>
        <w:ind w:firstLine="600" w:firstLineChars="200"/>
        <w:rPr>
          <w:rFonts w:ascii="仿宋" w:hAnsi="仿宋" w:eastAsia="仿宋_GB2312"/>
          <w:sz w:val="30"/>
          <w:szCs w:val="30"/>
        </w:rPr>
      </w:pPr>
    </w:p>
    <w:p>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三、股本变动情况（如披露期间无转股，应予以明示）</w:t>
      </w:r>
    </w:p>
    <w:p>
      <w:pPr>
        <w:widowControl/>
        <w:adjustRightInd w:val="0"/>
        <w:snapToGrid w:val="0"/>
        <w:spacing w:line="560" w:lineRule="exact"/>
        <w:ind w:firstLine="600" w:firstLineChars="200"/>
        <w:jc w:val="left"/>
        <w:rPr>
          <w:rFonts w:ascii="仿宋" w:hAnsi="仿宋" w:eastAsia="仿宋_GB2312"/>
          <w:sz w:val="30"/>
          <w:szCs w:val="30"/>
        </w:rPr>
      </w:pPr>
      <w:r>
        <w:rPr>
          <w:rFonts w:hint="eastAsia" w:ascii="仿宋" w:hAnsi="仿宋" w:eastAsia="仿宋_GB2312"/>
          <w:sz w:val="30"/>
          <w:szCs w:val="30"/>
        </w:rPr>
        <w:t>公司应列表说明因可转债本次转股导致的股本变动情况</w:t>
      </w:r>
    </w:p>
    <w:p>
      <w:pPr>
        <w:adjustRightInd w:val="0"/>
        <w:snapToGrid w:val="0"/>
        <w:spacing w:line="560" w:lineRule="exact"/>
        <w:ind w:firstLine="480" w:firstLineChars="200"/>
        <w:jc w:val="right"/>
        <w:rPr>
          <w:rFonts w:ascii="仿宋" w:hAnsi="仿宋" w:eastAsia="仿宋_GB2312"/>
          <w:sz w:val="24"/>
          <w:szCs w:val="24"/>
        </w:rPr>
      </w:pPr>
      <w:r>
        <w:rPr>
          <w:rFonts w:hint="eastAsia" w:ascii="仿宋" w:hAnsi="仿宋" w:eastAsia="仿宋_GB2312"/>
          <w:sz w:val="24"/>
          <w:szCs w:val="24"/>
        </w:rPr>
        <w:t>单位：股</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2055"/>
        <w:gridCol w:w="1888"/>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vAlign w:val="center"/>
          </w:tcPr>
          <w:p>
            <w:pPr>
              <w:adjustRightInd w:val="0"/>
              <w:snapToGrid w:val="0"/>
              <w:spacing w:line="560" w:lineRule="exact"/>
              <w:ind w:firstLine="480" w:firstLineChars="200"/>
              <w:rPr>
                <w:rFonts w:ascii="仿宋_GB2312" w:hAnsi="仿宋" w:eastAsia="仿宋_GB2312"/>
                <w:kern w:val="0"/>
                <w:sz w:val="24"/>
                <w:szCs w:val="24"/>
              </w:rPr>
            </w:pPr>
            <w:r>
              <w:rPr>
                <w:rFonts w:hint="eastAsia" w:ascii="仿宋_GB2312" w:hAnsi="仿宋" w:eastAsia="仿宋_GB2312"/>
                <w:kern w:val="0"/>
                <w:sz w:val="24"/>
                <w:szCs w:val="24"/>
              </w:rPr>
              <w:t>股份类别</w:t>
            </w:r>
          </w:p>
        </w:tc>
        <w:tc>
          <w:tcPr>
            <w:tcW w:w="2055" w:type="dxa"/>
            <w:vAlign w:val="center"/>
          </w:tcPr>
          <w:p>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变动前（</w:t>
            </w:r>
            <w:r>
              <w:rPr>
                <w:rFonts w:hint="eastAsia" w:ascii="仿宋_GB2312" w:hAnsi="仿宋" w:eastAsia="仿宋_GB2312" w:cs="宋体"/>
                <w:kern w:val="0"/>
                <w:sz w:val="24"/>
                <w:szCs w:val="24"/>
              </w:rPr>
              <w:t>XXXX</w:t>
            </w:r>
            <w:r>
              <w:rPr>
                <w:rFonts w:hint="eastAsia" w:ascii="仿宋_GB2312" w:hAnsi="仿宋_GB2312" w:eastAsia="仿宋_GB2312" w:cs="仿宋_GB2312"/>
                <w:kern w:val="0"/>
                <w:sz w:val="24"/>
                <w:szCs w:val="24"/>
              </w:rPr>
              <w:t>年</w:t>
            </w:r>
            <w:r>
              <w:rPr>
                <w:rFonts w:hint="eastAsia" w:ascii="仿宋_GB2312" w:hAnsi="仿宋" w:eastAsia="仿宋_GB2312" w:cs="宋体"/>
                <w:kern w:val="0"/>
                <w:sz w:val="24"/>
                <w:szCs w:val="24"/>
              </w:rPr>
              <w:t>XX</w:t>
            </w:r>
            <w:r>
              <w:rPr>
                <w:rFonts w:hint="eastAsia" w:ascii="仿宋_GB2312" w:hAnsi="仿宋" w:eastAsia="仿宋_GB2312"/>
                <w:kern w:val="0"/>
                <w:sz w:val="24"/>
                <w:szCs w:val="24"/>
              </w:rPr>
              <w:t>月</w:t>
            </w:r>
            <w:r>
              <w:rPr>
                <w:rFonts w:hint="eastAsia" w:ascii="仿宋_GB2312" w:hAnsi="仿宋" w:eastAsia="仿宋_GB2312" w:cs="宋体"/>
                <w:kern w:val="0"/>
                <w:sz w:val="24"/>
                <w:szCs w:val="24"/>
              </w:rPr>
              <w:t>XX</w:t>
            </w:r>
            <w:r>
              <w:rPr>
                <w:rFonts w:hint="eastAsia" w:ascii="仿宋_GB2312" w:hAnsi="仿宋_GB2312" w:eastAsia="仿宋_GB2312" w:cs="仿宋_GB2312"/>
                <w:kern w:val="0"/>
                <w:sz w:val="24"/>
                <w:szCs w:val="24"/>
              </w:rPr>
              <w:t>日）</w:t>
            </w:r>
          </w:p>
        </w:tc>
        <w:tc>
          <w:tcPr>
            <w:tcW w:w="1888" w:type="dxa"/>
            <w:vAlign w:val="center"/>
          </w:tcPr>
          <w:p>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本次可转债转股</w:t>
            </w:r>
          </w:p>
        </w:tc>
        <w:tc>
          <w:tcPr>
            <w:tcW w:w="2131" w:type="dxa"/>
            <w:vAlign w:val="center"/>
          </w:tcPr>
          <w:p>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变动后（</w:t>
            </w:r>
            <w:r>
              <w:rPr>
                <w:rFonts w:hint="eastAsia" w:ascii="仿宋_GB2312" w:hAnsi="仿宋" w:eastAsia="仿宋_GB2312" w:cs="宋体"/>
                <w:kern w:val="0"/>
                <w:sz w:val="24"/>
                <w:szCs w:val="24"/>
              </w:rPr>
              <w:t>XXXX</w:t>
            </w:r>
            <w:r>
              <w:rPr>
                <w:rFonts w:hint="eastAsia" w:ascii="仿宋_GB2312" w:hAnsi="仿宋_GB2312" w:eastAsia="仿宋_GB2312" w:cs="仿宋_GB2312"/>
                <w:kern w:val="0"/>
                <w:sz w:val="24"/>
                <w:szCs w:val="24"/>
              </w:rPr>
              <w:t>年</w:t>
            </w:r>
            <w:r>
              <w:rPr>
                <w:rFonts w:hint="eastAsia" w:ascii="仿宋_GB2312" w:hAnsi="仿宋" w:eastAsia="仿宋_GB2312" w:cs="宋体"/>
                <w:kern w:val="0"/>
                <w:sz w:val="24"/>
                <w:szCs w:val="24"/>
              </w:rPr>
              <w:t>XX</w:t>
            </w:r>
            <w:r>
              <w:rPr>
                <w:rFonts w:hint="eastAsia" w:ascii="仿宋_GB2312" w:hAnsi="仿宋" w:eastAsia="仿宋_GB2312"/>
                <w:kern w:val="0"/>
                <w:sz w:val="24"/>
                <w:szCs w:val="24"/>
              </w:rPr>
              <w:t>月</w:t>
            </w:r>
            <w:r>
              <w:rPr>
                <w:rFonts w:hint="eastAsia" w:ascii="仿宋_GB2312" w:hAnsi="仿宋" w:eastAsia="仿宋_GB2312" w:cs="宋体"/>
                <w:kern w:val="0"/>
                <w:sz w:val="24"/>
                <w:szCs w:val="24"/>
              </w:rPr>
              <w:t>XX</w:t>
            </w:r>
            <w:r>
              <w:rPr>
                <w:rFonts w:hint="eastAsia" w:ascii="仿宋_GB2312" w:hAnsi="仿宋_GB2312" w:eastAsia="仿宋_GB2312" w:cs="仿宋_GB2312"/>
                <w:kern w:val="0"/>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有限售条件流通股</w:t>
            </w:r>
          </w:p>
        </w:tc>
        <w:tc>
          <w:tcPr>
            <w:tcW w:w="2055" w:type="dxa"/>
          </w:tcPr>
          <w:p>
            <w:pPr>
              <w:adjustRightInd w:val="0"/>
              <w:snapToGrid w:val="0"/>
              <w:spacing w:line="560" w:lineRule="exact"/>
              <w:ind w:firstLine="480" w:firstLineChars="200"/>
              <w:jc w:val="center"/>
              <w:rPr>
                <w:rFonts w:ascii="仿宋_GB2312" w:hAnsi="仿宋" w:eastAsia="仿宋_GB2312"/>
                <w:kern w:val="0"/>
                <w:sz w:val="24"/>
                <w:szCs w:val="24"/>
              </w:rPr>
            </w:pPr>
          </w:p>
        </w:tc>
        <w:tc>
          <w:tcPr>
            <w:tcW w:w="1888" w:type="dxa"/>
          </w:tcPr>
          <w:p>
            <w:pPr>
              <w:adjustRightInd w:val="0"/>
              <w:snapToGrid w:val="0"/>
              <w:spacing w:line="560" w:lineRule="exact"/>
              <w:ind w:firstLine="480" w:firstLineChars="200"/>
              <w:jc w:val="center"/>
              <w:rPr>
                <w:rFonts w:ascii="仿宋_GB2312" w:hAnsi="仿宋" w:eastAsia="仿宋_GB2312"/>
                <w:kern w:val="0"/>
                <w:sz w:val="24"/>
                <w:szCs w:val="24"/>
              </w:rPr>
            </w:pPr>
          </w:p>
        </w:tc>
        <w:tc>
          <w:tcPr>
            <w:tcW w:w="2131" w:type="dxa"/>
          </w:tcPr>
          <w:p>
            <w:pPr>
              <w:adjustRightInd w:val="0"/>
              <w:snapToGrid w:val="0"/>
              <w:spacing w:line="560" w:lineRule="exact"/>
              <w:ind w:firstLine="480" w:firstLineChars="20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无限售条件流通股</w:t>
            </w:r>
          </w:p>
        </w:tc>
        <w:tc>
          <w:tcPr>
            <w:tcW w:w="2055" w:type="dxa"/>
          </w:tcPr>
          <w:p>
            <w:pPr>
              <w:adjustRightInd w:val="0"/>
              <w:snapToGrid w:val="0"/>
              <w:spacing w:line="560" w:lineRule="exact"/>
              <w:ind w:firstLine="480" w:firstLineChars="200"/>
              <w:jc w:val="center"/>
              <w:rPr>
                <w:rFonts w:ascii="仿宋_GB2312" w:hAnsi="仿宋" w:eastAsia="仿宋_GB2312"/>
                <w:kern w:val="0"/>
                <w:sz w:val="24"/>
                <w:szCs w:val="24"/>
              </w:rPr>
            </w:pPr>
          </w:p>
        </w:tc>
        <w:tc>
          <w:tcPr>
            <w:tcW w:w="1888" w:type="dxa"/>
          </w:tcPr>
          <w:p>
            <w:pPr>
              <w:adjustRightInd w:val="0"/>
              <w:snapToGrid w:val="0"/>
              <w:spacing w:line="560" w:lineRule="exact"/>
              <w:ind w:firstLine="480" w:firstLineChars="200"/>
              <w:jc w:val="center"/>
              <w:rPr>
                <w:rFonts w:ascii="仿宋_GB2312" w:hAnsi="仿宋" w:eastAsia="仿宋_GB2312"/>
                <w:kern w:val="0"/>
                <w:sz w:val="24"/>
                <w:szCs w:val="24"/>
              </w:rPr>
            </w:pPr>
          </w:p>
        </w:tc>
        <w:tc>
          <w:tcPr>
            <w:tcW w:w="2131" w:type="dxa"/>
          </w:tcPr>
          <w:p>
            <w:pPr>
              <w:adjustRightInd w:val="0"/>
              <w:snapToGrid w:val="0"/>
              <w:spacing w:line="560" w:lineRule="exact"/>
              <w:ind w:firstLine="480" w:firstLineChars="200"/>
              <w:jc w:val="center"/>
              <w:rPr>
                <w:rFonts w:ascii="仿宋_GB2312" w:hAnsi="仿宋" w:eastAsia="仿宋_GB2312"/>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48" w:type="dxa"/>
          </w:tcPr>
          <w:p>
            <w:pPr>
              <w:adjustRightInd w:val="0"/>
              <w:snapToGrid w:val="0"/>
              <w:spacing w:line="560" w:lineRule="exact"/>
              <w:rPr>
                <w:rFonts w:ascii="仿宋_GB2312" w:hAnsi="仿宋" w:eastAsia="仿宋_GB2312"/>
                <w:kern w:val="0"/>
                <w:sz w:val="24"/>
                <w:szCs w:val="24"/>
              </w:rPr>
            </w:pPr>
            <w:r>
              <w:rPr>
                <w:rFonts w:hint="eastAsia" w:ascii="仿宋_GB2312" w:hAnsi="仿宋" w:eastAsia="仿宋_GB2312"/>
                <w:kern w:val="0"/>
                <w:sz w:val="24"/>
                <w:szCs w:val="24"/>
              </w:rPr>
              <w:t>总股本</w:t>
            </w:r>
          </w:p>
        </w:tc>
        <w:tc>
          <w:tcPr>
            <w:tcW w:w="2055" w:type="dxa"/>
          </w:tcPr>
          <w:p>
            <w:pPr>
              <w:adjustRightInd w:val="0"/>
              <w:snapToGrid w:val="0"/>
              <w:spacing w:line="560" w:lineRule="exact"/>
              <w:ind w:firstLine="480" w:firstLineChars="200"/>
              <w:jc w:val="center"/>
              <w:rPr>
                <w:rFonts w:ascii="仿宋_GB2312" w:hAnsi="仿宋" w:eastAsia="仿宋_GB2312"/>
                <w:kern w:val="0"/>
                <w:sz w:val="24"/>
                <w:szCs w:val="24"/>
              </w:rPr>
            </w:pPr>
          </w:p>
        </w:tc>
        <w:tc>
          <w:tcPr>
            <w:tcW w:w="1888" w:type="dxa"/>
          </w:tcPr>
          <w:p>
            <w:pPr>
              <w:adjustRightInd w:val="0"/>
              <w:snapToGrid w:val="0"/>
              <w:spacing w:line="560" w:lineRule="exact"/>
              <w:ind w:firstLine="480" w:firstLineChars="200"/>
              <w:jc w:val="center"/>
              <w:rPr>
                <w:rFonts w:ascii="仿宋_GB2312" w:hAnsi="仿宋" w:eastAsia="仿宋_GB2312"/>
                <w:kern w:val="0"/>
                <w:sz w:val="24"/>
                <w:szCs w:val="24"/>
              </w:rPr>
            </w:pPr>
          </w:p>
        </w:tc>
        <w:tc>
          <w:tcPr>
            <w:tcW w:w="2131" w:type="dxa"/>
          </w:tcPr>
          <w:p>
            <w:pPr>
              <w:adjustRightInd w:val="0"/>
              <w:snapToGrid w:val="0"/>
              <w:spacing w:line="560" w:lineRule="exact"/>
              <w:ind w:firstLine="480" w:firstLineChars="200"/>
              <w:jc w:val="center"/>
              <w:rPr>
                <w:rFonts w:ascii="仿宋_GB2312" w:hAnsi="仿宋" w:eastAsia="仿宋_GB2312"/>
                <w:kern w:val="0"/>
                <w:sz w:val="24"/>
                <w:szCs w:val="24"/>
              </w:rPr>
            </w:pPr>
          </w:p>
        </w:tc>
      </w:tr>
    </w:tbl>
    <w:p>
      <w:pPr>
        <w:widowControl/>
        <w:adjustRightInd w:val="0"/>
        <w:snapToGrid w:val="0"/>
        <w:spacing w:line="560" w:lineRule="exact"/>
        <w:ind w:firstLine="480" w:firstLineChars="200"/>
        <w:rPr>
          <w:rFonts w:ascii="楷体" w:hAnsi="楷体" w:eastAsia="楷体"/>
          <w:kern w:val="0"/>
          <w:sz w:val="24"/>
          <w:szCs w:val="24"/>
        </w:rPr>
      </w:pPr>
      <w:r>
        <w:rPr>
          <w:rFonts w:hint="eastAsia" w:ascii="楷体" w:hAnsi="楷体" w:eastAsia="楷体"/>
          <w:kern w:val="0"/>
          <w:sz w:val="24"/>
          <w:szCs w:val="24"/>
        </w:rPr>
        <w:t>（编制提醒：如披露期间存在其他情形导致的股本变动，公司可对列表做相应增加或者添加备注说明。）</w:t>
      </w:r>
    </w:p>
    <w:p>
      <w:pPr>
        <w:widowControl/>
        <w:adjustRightInd w:val="0"/>
        <w:snapToGrid w:val="0"/>
        <w:spacing w:line="560" w:lineRule="exact"/>
        <w:ind w:firstLine="600" w:firstLineChars="200"/>
        <w:rPr>
          <w:rFonts w:ascii="仿宋" w:hAnsi="仿宋" w:eastAsia="仿宋_GB2312" w:cs="宋体"/>
          <w:kern w:val="0"/>
          <w:sz w:val="30"/>
          <w:szCs w:val="30"/>
        </w:rPr>
      </w:pPr>
    </w:p>
    <w:p>
      <w:pPr>
        <w:widowControl/>
        <w:adjustRightInd w:val="0"/>
        <w:snapToGrid w:val="0"/>
        <w:spacing w:line="560" w:lineRule="exact"/>
        <w:ind w:firstLine="602" w:firstLineChars="200"/>
        <w:jc w:val="left"/>
        <w:rPr>
          <w:rFonts w:hint="eastAsia" w:ascii="黑体" w:hAnsi="黑体" w:eastAsia="黑体" w:cs="宋体"/>
          <w:b/>
          <w:bCs/>
          <w:kern w:val="0"/>
          <w:sz w:val="30"/>
          <w:szCs w:val="30"/>
        </w:rPr>
      </w:pPr>
      <w:r>
        <w:rPr>
          <w:rFonts w:hint="eastAsia" w:ascii="黑体" w:hAnsi="黑体" w:eastAsia="黑体" w:cs="宋体"/>
          <w:b/>
          <w:bCs/>
          <w:kern w:val="0"/>
          <w:sz w:val="30"/>
          <w:szCs w:val="30"/>
        </w:rPr>
        <w:t>四、转股前后公司相关股东持股变化（如适用）</w:t>
      </w:r>
    </w:p>
    <w:p>
      <w:pPr>
        <w:adjustRightInd w:val="0"/>
        <w:snapToGrid w:val="0"/>
        <w:spacing w:line="560" w:lineRule="exact"/>
        <w:ind w:firstLine="600" w:firstLineChars="200"/>
        <w:rPr>
          <w:rFonts w:ascii="仿宋" w:hAnsi="仿宋" w:eastAsia="仿宋_GB2312"/>
          <w:bCs/>
          <w:sz w:val="30"/>
          <w:szCs w:val="30"/>
        </w:rPr>
      </w:pPr>
      <w:r>
        <w:rPr>
          <w:rFonts w:hint="eastAsia" w:eastAsia="仿宋_GB2312" w:cs="Times New Roman"/>
          <w:color w:val="000000"/>
          <w:sz w:val="30"/>
          <w:szCs w:val="30"/>
        </w:rPr>
        <w:t>上市公司股本变动，可能导致公司</w:t>
      </w:r>
      <w:r>
        <w:rPr>
          <w:rFonts w:hint="eastAsia" w:ascii="Times New Roman" w:hAnsi="Times New Roman" w:eastAsia="仿宋_GB2312" w:cs="Times New Roman"/>
          <w:color w:val="000000"/>
          <w:sz w:val="30"/>
          <w:szCs w:val="30"/>
        </w:rPr>
        <w:t>股东及其一致行动人拥有权益的股份比例触及或者跨越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的整数倍，或者导致持股</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以上的</w:t>
      </w:r>
      <w:r>
        <w:rPr>
          <w:rFonts w:hint="eastAsia" w:eastAsia="仿宋_GB2312" w:cs="Times New Roman"/>
          <w:color w:val="000000"/>
          <w:sz w:val="30"/>
          <w:szCs w:val="30"/>
        </w:rPr>
        <w:t>股东</w:t>
      </w:r>
      <w:r>
        <w:rPr>
          <w:rFonts w:hint="eastAsia" w:ascii="Times New Roman" w:hAnsi="Times New Roman" w:eastAsia="仿宋_GB2312" w:cs="Times New Roman"/>
          <w:color w:val="000000"/>
          <w:sz w:val="30"/>
          <w:szCs w:val="30"/>
        </w:rPr>
        <w:t>及其一致行动人拥有权益的股份比例触及</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的整数倍</w:t>
      </w:r>
      <w:r>
        <w:rPr>
          <w:rFonts w:hint="eastAsia" w:eastAsia="仿宋_GB2312" w:cs="Times New Roman"/>
          <w:color w:val="000000"/>
          <w:sz w:val="30"/>
          <w:szCs w:val="30"/>
        </w:rPr>
        <w:t>。存在前述情况的，公司应当</w:t>
      </w:r>
      <w:r>
        <w:rPr>
          <w:rFonts w:hint="eastAsia" w:ascii="仿宋" w:hAnsi="仿宋" w:eastAsia="仿宋_GB2312"/>
          <w:bCs/>
          <w:sz w:val="30"/>
          <w:szCs w:val="30"/>
        </w:rPr>
        <w:t>列示转股前后，上述股东及其一致行动人的</w:t>
      </w:r>
      <w:r>
        <w:rPr>
          <w:rFonts w:hint="eastAsia" w:ascii="仿宋" w:hAnsi="仿宋" w:eastAsia="仿宋_GB2312" w:cs="Times New Roman"/>
          <w:sz w:val="30"/>
          <w:szCs w:val="30"/>
        </w:rPr>
        <w:t>持股数量和持股比例变动</w:t>
      </w:r>
      <w:r>
        <w:rPr>
          <w:rFonts w:hint="eastAsia" w:ascii="仿宋" w:hAnsi="仿宋" w:eastAsia="仿宋_GB2312"/>
          <w:bCs/>
          <w:sz w:val="30"/>
          <w:szCs w:val="30"/>
        </w:rPr>
        <w:t>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1418"/>
        <w:gridCol w:w="1417"/>
        <w:gridCol w:w="1248"/>
        <w:gridCol w:w="1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仿宋" w:eastAsia="仿宋_GB2312"/>
                <w:sz w:val="24"/>
                <w:szCs w:val="24"/>
              </w:rPr>
            </w:pPr>
            <w:r>
              <w:rPr>
                <w:rFonts w:hint="eastAsia" w:ascii="仿宋_GB2312" w:hAnsi="仿宋" w:eastAsia="仿宋_GB2312"/>
                <w:szCs w:val="21"/>
              </w:rPr>
              <w:t>股东名称</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股东A及其一致行动人（</w:t>
            </w:r>
            <w:bookmarkStart w:id="4" w:name="OLE_LINK1"/>
            <w:r>
              <w:rPr>
                <w:rFonts w:hint="eastAsia" w:ascii="仿宋_GB2312" w:hAnsi="楷体" w:eastAsia="仿宋_GB2312" w:cs="楷体"/>
                <w:szCs w:val="21"/>
              </w:rPr>
              <w:t>合并计算</w:t>
            </w:r>
            <w:bookmarkEnd w:id="4"/>
            <w:r>
              <w:rPr>
                <w:rFonts w:hint="eastAsia" w:ascii="仿宋_GB2312" w:hAnsi="楷体" w:eastAsia="仿宋_GB2312" w:cs="楷体"/>
                <w:szCs w:val="21"/>
              </w:rPr>
              <w:t>）</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pPr>
              <w:adjustRightInd w:val="0"/>
              <w:snapToGrid w:val="0"/>
              <w:spacing w:line="360" w:lineRule="auto"/>
              <w:jc w:val="center"/>
              <w:rPr>
                <w:rFonts w:ascii="仿宋_GB2312" w:hAnsi="楷体" w:eastAsia="仿宋_GB2312" w:cs="楷体"/>
                <w:szCs w:val="20"/>
              </w:rPr>
            </w:pPr>
          </w:p>
        </w:tc>
      </w:tr>
    </w:tbl>
    <w:p>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w:t>
      </w:r>
      <w:r>
        <w:rPr>
          <w:rFonts w:hint="eastAsia" w:ascii="仿宋_GB2312" w:hAnsi="楷体" w:eastAsia="仿宋_GB2312" w:cs="楷体"/>
          <w:lang w:eastAsia="zh-CN"/>
        </w:rPr>
        <w:t>列示</w:t>
      </w:r>
      <w:r>
        <w:rPr>
          <w:rFonts w:hint="eastAsia" w:ascii="仿宋_GB2312" w:hAnsi="楷体" w:eastAsia="仿宋_GB2312" w:cs="楷体"/>
        </w:rPr>
        <w:t>，后单独列示；股东如无一致行动人参照股东B进行披露</w:t>
      </w:r>
      <w:r>
        <w:rPr>
          <w:rFonts w:hint="eastAsia" w:ascii="仿宋_GB2312" w:hAnsi="宋体" w:eastAsia="仿宋_GB2312" w:cs="宋体"/>
          <w:color w:val="000000"/>
          <w:kern w:val="0"/>
          <w:sz w:val="24"/>
        </w:rPr>
        <w:t>。</w:t>
      </w:r>
    </w:p>
    <w:p>
      <w:pPr>
        <w:widowControl/>
        <w:adjustRightInd w:val="0"/>
        <w:snapToGrid w:val="0"/>
        <w:spacing w:line="560" w:lineRule="exact"/>
        <w:ind w:firstLine="600" w:firstLineChars="200"/>
        <w:rPr>
          <w:rFonts w:ascii="仿宋" w:hAnsi="仿宋" w:eastAsia="仿宋_GB2312" w:cs="宋体"/>
          <w:kern w:val="0"/>
          <w:sz w:val="30"/>
          <w:szCs w:val="30"/>
        </w:rPr>
      </w:pPr>
    </w:p>
    <w:p>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lang w:eastAsia="zh-CN"/>
        </w:rPr>
        <w:t>五</w:t>
      </w:r>
      <w:r>
        <w:rPr>
          <w:rFonts w:ascii="黑体" w:hAnsi="黑体" w:eastAsia="黑体" w:cs="宋体"/>
          <w:b/>
          <w:bCs/>
          <w:kern w:val="0"/>
          <w:sz w:val="30"/>
          <w:szCs w:val="30"/>
        </w:rPr>
        <w:t>、其他</w:t>
      </w:r>
    </w:p>
    <w:p>
      <w:pPr>
        <w:widowControl/>
        <w:adjustRightInd w:val="0"/>
        <w:snapToGrid w:val="0"/>
        <w:spacing w:line="560" w:lineRule="exact"/>
        <w:ind w:firstLine="600" w:firstLineChars="200"/>
        <w:rPr>
          <w:rFonts w:ascii="仿宋" w:hAnsi="仿宋" w:eastAsia="仿宋_GB2312" w:cs="宋体"/>
          <w:kern w:val="0"/>
          <w:sz w:val="30"/>
          <w:szCs w:val="30"/>
        </w:rPr>
      </w:pPr>
      <w:r>
        <w:rPr>
          <w:rFonts w:hint="eastAsia" w:ascii="仿宋" w:hAnsi="仿宋" w:eastAsia="仿宋_GB2312" w:cs="宋体"/>
          <w:kern w:val="0"/>
          <w:sz w:val="30"/>
          <w:szCs w:val="30"/>
        </w:rPr>
        <w:t>联系人、咨询电话等其他内容。</w:t>
      </w:r>
    </w:p>
    <w:p>
      <w:pPr>
        <w:widowControl/>
        <w:adjustRightInd w:val="0"/>
        <w:snapToGrid w:val="0"/>
        <w:spacing w:line="560" w:lineRule="exact"/>
        <w:ind w:firstLine="600" w:firstLineChars="200"/>
        <w:jc w:val="left"/>
        <w:rPr>
          <w:rFonts w:ascii="仿宋" w:hAnsi="仿宋" w:eastAsia="仿宋_GB2312" w:cs="宋体"/>
          <w:kern w:val="0"/>
          <w:sz w:val="30"/>
          <w:szCs w:val="30"/>
        </w:rPr>
      </w:pPr>
    </w:p>
    <w:p>
      <w:pPr>
        <w:widowControl/>
        <w:adjustRightInd w:val="0"/>
        <w:snapToGrid w:val="0"/>
        <w:spacing w:line="560" w:lineRule="exact"/>
        <w:ind w:firstLine="600" w:firstLineChars="200"/>
        <w:jc w:val="left"/>
        <w:rPr>
          <w:rFonts w:ascii="仿宋" w:hAnsi="仿宋" w:eastAsia="仿宋_GB2312" w:cs="宋体"/>
          <w:kern w:val="0"/>
          <w:sz w:val="30"/>
          <w:szCs w:val="30"/>
        </w:rPr>
      </w:pPr>
      <w:r>
        <w:rPr>
          <w:rFonts w:hint="eastAsia" w:ascii="仿宋" w:hAnsi="仿宋" w:eastAsia="仿宋_GB2312" w:cs="宋体"/>
          <w:kern w:val="0"/>
          <w:sz w:val="30"/>
          <w:szCs w:val="30"/>
        </w:rPr>
        <w:t>特此公告。</w:t>
      </w:r>
    </w:p>
    <w:p>
      <w:pPr>
        <w:adjustRightInd w:val="0"/>
        <w:snapToGrid w:val="0"/>
        <w:spacing w:line="560" w:lineRule="exact"/>
        <w:ind w:firstLine="600" w:firstLineChars="200"/>
        <w:rPr>
          <w:rFonts w:ascii="仿宋" w:hAnsi="仿宋" w:eastAsia="仿宋_GB2312"/>
          <w:sz w:val="30"/>
          <w:szCs w:val="30"/>
        </w:rPr>
      </w:pPr>
    </w:p>
    <w:p>
      <w:pPr>
        <w:adjustRightInd w:val="0"/>
        <w:snapToGrid w:val="0"/>
        <w:spacing w:beforeLines="50" w:afterLines="50" w:line="560" w:lineRule="exact"/>
        <w:ind w:firstLine="600" w:firstLineChars="200"/>
        <w:jc w:val="right"/>
        <w:rPr>
          <w:rFonts w:hint="eastAsia" w:ascii="仿宋" w:hAnsi="仿宋" w:eastAsia="仿宋_GB2312"/>
          <w:bCs/>
          <w:sz w:val="30"/>
          <w:szCs w:val="30"/>
          <w:lang w:eastAsia="zh-CN"/>
        </w:rPr>
      </w:pPr>
      <w:r>
        <w:rPr>
          <w:rFonts w:hint="eastAsia" w:ascii="仿宋" w:hAnsi="仿宋" w:eastAsia="仿宋_GB2312"/>
          <w:bCs/>
          <w:sz w:val="30"/>
          <w:szCs w:val="30"/>
        </w:rPr>
        <w:t>XXXX股份有限公司</w:t>
      </w:r>
      <w:r>
        <w:rPr>
          <w:rFonts w:hint="eastAsia" w:ascii="仿宋" w:hAnsi="仿宋" w:eastAsia="仿宋_GB2312"/>
          <w:bCs/>
          <w:sz w:val="30"/>
          <w:szCs w:val="30"/>
          <w:lang w:eastAsia="zh-CN"/>
        </w:rPr>
        <w:t>董事会</w:t>
      </w:r>
    </w:p>
    <w:p>
      <w:pPr>
        <w:adjustRightInd w:val="0"/>
        <w:snapToGrid w:val="0"/>
        <w:spacing w:beforeLines="50" w:afterLines="50" w:line="560" w:lineRule="exact"/>
        <w:ind w:firstLine="600" w:firstLineChars="200"/>
        <w:jc w:val="right"/>
        <w:rPr>
          <w:rFonts w:ascii="仿宋" w:hAnsi="仿宋" w:eastAsia="仿宋_GB2312"/>
          <w:bCs/>
          <w:sz w:val="30"/>
          <w:szCs w:val="30"/>
        </w:rPr>
      </w:pPr>
      <w:r>
        <w:rPr>
          <w:rFonts w:hint="eastAsia" w:ascii="仿宋" w:hAnsi="仿宋" w:eastAsia="仿宋_GB2312"/>
          <w:bCs/>
          <w:sz w:val="30"/>
          <w:szCs w:val="30"/>
        </w:rPr>
        <w:t>年  月  日</w:t>
      </w:r>
    </w:p>
    <w:p>
      <w:pPr>
        <w:numPr>
          <w:ilvl w:val="0"/>
          <w:numId w:val="2"/>
        </w:numPr>
        <w:adjustRightInd w:val="0"/>
        <w:snapToGrid w:val="0"/>
        <w:spacing w:line="560" w:lineRule="exact"/>
        <w:ind w:left="0" w:firstLine="602" w:firstLineChars="200"/>
        <w:rPr>
          <w:rFonts w:ascii="仿宋" w:hAnsi="仿宋" w:eastAsia="仿宋_GB2312"/>
          <w:b/>
          <w:sz w:val="30"/>
          <w:szCs w:val="30"/>
        </w:rPr>
      </w:pPr>
      <w:r>
        <w:rPr>
          <w:rFonts w:hint="eastAsia" w:ascii="仿宋" w:hAnsi="仿宋" w:eastAsia="仿宋_GB2312"/>
          <w:b/>
          <w:sz w:val="30"/>
          <w:szCs w:val="30"/>
        </w:rPr>
        <w:t>报备文件</w:t>
      </w:r>
    </w:p>
    <w:p>
      <w:pPr>
        <w:adjustRightInd w:val="0"/>
        <w:snapToGrid w:val="0"/>
        <w:spacing w:line="560" w:lineRule="exact"/>
        <w:ind w:firstLine="600" w:firstLineChars="200"/>
        <w:rPr>
          <w:rFonts w:ascii="仿宋" w:hAnsi="仿宋" w:eastAsia="仿宋_GB2312"/>
          <w:sz w:val="30"/>
          <w:szCs w:val="30"/>
        </w:rPr>
      </w:pPr>
      <w:r>
        <w:rPr>
          <w:rFonts w:hint="eastAsia" w:ascii="仿宋" w:hAnsi="仿宋" w:eastAsia="仿宋_GB2312"/>
          <w:sz w:val="30"/>
          <w:szCs w:val="30"/>
        </w:rPr>
        <w:t>发行人证券登记查询证明</w:t>
      </w:r>
    </w:p>
    <w:p>
      <w:pPr>
        <w:adjustRightInd w:val="0"/>
        <w:snapToGrid w:val="0"/>
        <w:spacing w:line="560" w:lineRule="exact"/>
        <w:ind w:firstLine="600" w:firstLineChars="200"/>
        <w:rPr>
          <w:rFonts w:ascii="仿宋" w:hAnsi="仿宋" w:eastAsia="仿宋_GB2312"/>
          <w:sz w:val="30"/>
          <w:szCs w:val="30"/>
        </w:rPr>
      </w:pPr>
    </w:p>
    <w:p>
      <w:pPr>
        <w:numPr>
          <w:ilvl w:val="0"/>
          <w:numId w:val="2"/>
        </w:numPr>
        <w:adjustRightInd w:val="0"/>
        <w:snapToGrid w:val="0"/>
        <w:spacing w:line="600" w:lineRule="exact"/>
        <w:ind w:left="0" w:firstLine="602" w:firstLineChars="200"/>
        <w:rPr>
          <w:rFonts w:ascii="仿宋_GB2312" w:hAnsi="宋体" w:eastAsia="仿宋_GB2312" w:cs="Times New Roman"/>
          <w:b/>
          <w:sz w:val="30"/>
          <w:szCs w:val="30"/>
        </w:rPr>
      </w:pPr>
      <w:r>
        <w:rPr>
          <w:rFonts w:hint="eastAsia" w:ascii="仿宋_GB2312" w:hAnsi="宋体" w:eastAsia="仿宋_GB2312" w:cs="Times New Roman"/>
          <w:b/>
          <w:sz w:val="30"/>
          <w:szCs w:val="30"/>
        </w:rPr>
        <w:t>注意事项</w:t>
      </w:r>
    </w:p>
    <w:p>
      <w:pPr>
        <w:adjustRightInd w:val="0"/>
        <w:snapToGrid w:val="0"/>
        <w:spacing w:line="60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（一）可转债转股金额按可转债的面值计算。</w:t>
      </w:r>
    </w:p>
    <w:p>
      <w:pPr>
        <w:adjustRightInd w:val="0"/>
        <w:snapToGrid w:val="0"/>
        <w:spacing w:line="600" w:lineRule="exact"/>
        <w:ind w:firstLine="600" w:firstLineChars="200"/>
        <w:rPr>
          <w:rFonts w:ascii="仿宋_GB2312" w:hAnsi="Times New Roman" w:eastAsia="仿宋_GB2312" w:cs="Times New Roman"/>
          <w:sz w:val="30"/>
          <w:szCs w:val="30"/>
        </w:rPr>
      </w:pPr>
      <w:r>
        <w:rPr>
          <w:rFonts w:hint="eastAsia" w:ascii="仿宋_GB2312" w:hAnsi="宋体" w:eastAsia="仿宋_GB2312" w:cs="Times New Roman"/>
          <w:sz w:val="30"/>
          <w:szCs w:val="30"/>
        </w:rPr>
        <w:t>（二）“因转股形成的股份数量”、“累计因转股形成的股份数量”以及“累计因转股形成的股份数量占公司可转债转股前公司已发行股份总额的比例”计算时，如期间曾实施送转股权益分派，应作相应调整。</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C03C9E"/>
    <w:multiLevelType w:val="multilevel"/>
    <w:tmpl w:val="4BC03C9E"/>
    <w:lvl w:ilvl="0" w:tentative="0">
      <w:start w:val="1"/>
      <w:numFmt w:val="bullet"/>
      <w:lvlText w:val=""/>
      <w:lvlJc w:val="left"/>
      <w:pPr>
        <w:ind w:left="900" w:hanging="420"/>
      </w:pPr>
      <w:rPr>
        <w:rFonts w:hint="default" w:ascii="Wingdings" w:hAnsi="Wingdings"/>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73D15925"/>
    <w:multiLevelType w:val="multilevel"/>
    <w:tmpl w:val="73D15925"/>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739"/>
    <w:rsid w:val="00172E0C"/>
    <w:rsid w:val="00313B1F"/>
    <w:rsid w:val="004A4B4F"/>
    <w:rsid w:val="004B2739"/>
    <w:rsid w:val="00541E01"/>
    <w:rsid w:val="00581DDA"/>
    <w:rsid w:val="005C0F1C"/>
    <w:rsid w:val="0078575E"/>
    <w:rsid w:val="007A07C6"/>
    <w:rsid w:val="0084381C"/>
    <w:rsid w:val="00A636A1"/>
    <w:rsid w:val="00A6556F"/>
    <w:rsid w:val="00C12835"/>
    <w:rsid w:val="00CC6414"/>
    <w:rsid w:val="00D07469"/>
    <w:rsid w:val="00EA2656"/>
    <w:rsid w:val="055943D7"/>
    <w:rsid w:val="23CE152E"/>
    <w:rsid w:val="39FC5BB1"/>
    <w:rsid w:val="3A673404"/>
    <w:rsid w:val="3EB36AEF"/>
    <w:rsid w:val="3FFE5EB5"/>
    <w:rsid w:val="5E1F7999"/>
    <w:rsid w:val="769474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8"/>
    <w:unhideWhenUsed/>
    <w:qFormat/>
    <w:uiPriority w:val="9"/>
    <w:pPr>
      <w:keepNext/>
      <w:keepLines/>
      <w:spacing w:before="260" w:after="260" w:line="416" w:lineRule="auto"/>
      <w:jc w:val="center"/>
      <w:outlineLvl w:val="2"/>
    </w:pPr>
    <w:rPr>
      <w:rFonts w:ascii="黑体" w:hAnsi="黑体" w:eastAsia="黑体"/>
      <w:b/>
      <w:bCs/>
      <w:sz w:val="36"/>
      <w:szCs w:val="36"/>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1"/>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标题 3 Char"/>
    <w:basedOn w:val="7"/>
    <w:link w:val="2"/>
    <w:qFormat/>
    <w:uiPriority w:val="9"/>
    <w:rPr>
      <w:rFonts w:ascii="黑体" w:hAnsi="黑体" w:eastAsia="黑体"/>
      <w:b/>
      <w:bCs/>
      <w:sz w:val="36"/>
      <w:szCs w:val="36"/>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202</Words>
  <Characters>1156</Characters>
  <Lines>9</Lines>
  <Paragraphs>2</Paragraphs>
  <TotalTime>0</TotalTime>
  <ScaleCrop>false</ScaleCrop>
  <LinksUpToDate>false</LinksUpToDate>
  <CharactersWithSpaces>1356</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2022-07-20T09:25:00Z</dcterms:created>
  <dc:creator>ytzhai</dc:creator>
  <cp:lastModifiedBy>tanshiyu</cp:lastModifiedBy>
  <dcterms:modified xsi:type="dcterms:W3CDTF">2025-04-21T08:15:25Z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0EFCA2BCA234460F94E1A11E4E34B3D5</vt:lpwstr>
  </property>
</Properties>
</file>