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E2756" w14:textId="1CCB26F1" w:rsidR="006F3D2A" w:rsidRDefault="00A352EE">
      <w:pPr>
        <w:spacing w:line="560" w:lineRule="exact"/>
        <w:jc w:val="center"/>
        <w:rPr>
          <w:rFonts w:ascii="黑体" w:eastAsia="黑体" w:hAnsi="黑体"/>
          <w:b/>
          <w:sz w:val="36"/>
          <w:szCs w:val="36"/>
        </w:rPr>
      </w:pPr>
      <w:r>
        <w:rPr>
          <w:rFonts w:ascii="黑体" w:eastAsia="黑体" w:hAnsi="黑体"/>
          <w:b/>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b/>
          <w:sz w:val="36"/>
          <w:szCs w:val="36"/>
        </w:rPr>
        <w:instrText>ADDIN CNKISM.UserStyle</w:instrText>
      </w:r>
      <w:r>
        <w:rPr>
          <w:rFonts w:ascii="黑体" w:eastAsia="黑体" w:hAnsi="黑体"/>
          <w:b/>
          <w:sz w:val="36"/>
          <w:szCs w:val="36"/>
        </w:rPr>
      </w:r>
      <w:r>
        <w:rPr>
          <w:rFonts w:ascii="黑体" w:eastAsia="黑体" w:hAnsi="黑体"/>
          <w:b/>
          <w:sz w:val="36"/>
          <w:szCs w:val="36"/>
        </w:rPr>
        <w:fldChar w:fldCharType="separate"/>
      </w:r>
      <w:r>
        <w:rPr>
          <w:rFonts w:ascii="黑体" w:eastAsia="黑体" w:hAnsi="黑体"/>
          <w:b/>
          <w:sz w:val="36"/>
          <w:szCs w:val="36"/>
        </w:rPr>
        <w:fldChar w:fldCharType="end"/>
      </w:r>
      <w:r w:rsidR="00291481">
        <w:rPr>
          <w:rFonts w:ascii="黑体" w:eastAsia="黑体" w:hAnsi="黑体" w:hint="eastAsia"/>
          <w:b/>
          <w:sz w:val="36"/>
          <w:szCs w:val="36"/>
        </w:rPr>
        <w:t>第二十五号</w:t>
      </w:r>
      <w:r w:rsidR="00291481">
        <w:rPr>
          <w:rFonts w:ascii="黑体" w:eastAsia="黑体" w:hAnsi="黑体" w:hint="eastAsia"/>
          <w:b/>
          <w:sz w:val="36"/>
          <w:szCs w:val="36"/>
        </w:rPr>
        <w:t xml:space="preserve"> </w:t>
      </w:r>
      <w:r w:rsidR="00291481">
        <w:rPr>
          <w:rFonts w:ascii="黑体" w:eastAsia="黑体" w:hAnsi="黑体" w:hint="eastAsia"/>
          <w:b/>
          <w:sz w:val="36"/>
          <w:szCs w:val="36"/>
        </w:rPr>
        <w:t>科创板上市公司利润分配、公积金转增股本方案公告</w:t>
      </w:r>
    </w:p>
    <w:p w14:paraId="5C2E2F66" w14:textId="77777777" w:rsidR="006F3D2A" w:rsidRDefault="006F3D2A">
      <w:pPr>
        <w:adjustRightInd w:val="0"/>
        <w:snapToGrid w:val="0"/>
        <w:spacing w:line="560" w:lineRule="exact"/>
        <w:rPr>
          <w:rFonts w:ascii="仿宋_GB2312" w:eastAsia="仿宋_GB2312" w:hAnsi="宋体"/>
          <w:b/>
          <w:sz w:val="30"/>
          <w:szCs w:val="30"/>
        </w:rPr>
      </w:pPr>
    </w:p>
    <w:p w14:paraId="7CBEB581" w14:textId="77777777" w:rsidR="006F3D2A" w:rsidRDefault="00291481">
      <w:pPr>
        <w:adjustRightInd w:val="0"/>
        <w:snapToGrid w:val="0"/>
        <w:spacing w:line="560" w:lineRule="exact"/>
        <w:ind w:firstLineChars="196" w:firstLine="590"/>
        <w:rPr>
          <w:rFonts w:ascii="仿宋_GB2312" w:eastAsia="仿宋_GB2312" w:hAnsi="宋体"/>
          <w:b/>
          <w:sz w:val="30"/>
          <w:szCs w:val="30"/>
        </w:rPr>
      </w:pPr>
      <w:r>
        <w:rPr>
          <w:rFonts w:ascii="仿宋_GB2312" w:eastAsia="仿宋_GB2312" w:hAnsi="宋体" w:hint="eastAsia"/>
          <w:b/>
          <w:sz w:val="30"/>
          <w:szCs w:val="30"/>
        </w:rPr>
        <w:t>适用范围：</w:t>
      </w:r>
    </w:p>
    <w:p w14:paraId="4F35E11D" w14:textId="77777777" w:rsidR="006F3D2A" w:rsidRDefault="00291481">
      <w:pPr>
        <w:adjustRightInd w:val="0"/>
        <w:snapToGrid w:val="0"/>
        <w:spacing w:line="560" w:lineRule="exact"/>
        <w:ind w:firstLineChars="196" w:firstLine="588"/>
        <w:rPr>
          <w:rFonts w:ascii="仿宋_GB2312" w:eastAsia="仿宋_GB2312" w:hAnsi="宋体"/>
          <w:bCs/>
          <w:sz w:val="30"/>
          <w:szCs w:val="30"/>
        </w:rPr>
      </w:pPr>
      <w:r>
        <w:rPr>
          <w:rFonts w:ascii="仿宋_GB2312" w:eastAsia="仿宋_GB2312" w:hAnsi="宋体" w:hint="eastAsia"/>
          <w:bCs/>
          <w:sz w:val="30"/>
          <w:szCs w:val="30"/>
        </w:rPr>
        <w:t>1.</w:t>
      </w:r>
      <w:r>
        <w:rPr>
          <w:rFonts w:hint="eastAsia"/>
        </w:rPr>
        <w:t xml:space="preserve"> </w:t>
      </w:r>
      <w:r>
        <w:rPr>
          <w:rFonts w:ascii="仿宋_GB2312" w:eastAsia="仿宋_GB2312" w:hAnsi="宋体" w:hint="eastAsia"/>
          <w:bCs/>
          <w:sz w:val="30"/>
          <w:szCs w:val="30"/>
        </w:rPr>
        <w:t>科创板上市公司（以下简称上市公司）编制披露利润分配、公积金转增股本方案，包括派送现金红利、送红股、以盈余公积金、资本公积金转增股本等，适用本指引。上市公司年度拟不实施利润分配、公积金转增股本的，参照适用本公告格式披露相关内容。</w:t>
      </w:r>
    </w:p>
    <w:p w14:paraId="762F4EAD" w14:textId="77777777" w:rsidR="006F3D2A" w:rsidRDefault="00291481">
      <w:pPr>
        <w:adjustRightInd w:val="0"/>
        <w:snapToGrid w:val="0"/>
        <w:spacing w:line="560" w:lineRule="exact"/>
        <w:ind w:firstLineChars="196" w:firstLine="588"/>
        <w:rPr>
          <w:rFonts w:ascii="仿宋_GB2312" w:eastAsia="仿宋_GB2312" w:hAnsi="宋体"/>
          <w:bCs/>
          <w:sz w:val="30"/>
          <w:szCs w:val="30"/>
        </w:rPr>
      </w:pPr>
      <w:r>
        <w:rPr>
          <w:rFonts w:ascii="仿宋_GB2312" w:eastAsia="仿宋_GB2312" w:hAnsi="宋体" w:hint="eastAsia"/>
          <w:bCs/>
          <w:sz w:val="30"/>
          <w:szCs w:val="30"/>
        </w:rPr>
        <w:t>2.</w:t>
      </w:r>
      <w:r>
        <w:rPr>
          <w:rFonts w:ascii="仿宋_GB2312" w:eastAsia="仿宋_GB2312" w:hAnsi="宋体" w:hint="eastAsia"/>
          <w:bCs/>
          <w:sz w:val="30"/>
          <w:szCs w:val="30"/>
        </w:rPr>
        <w:t>送转比例构成高送转的，上市公司应当同时参照适用本所</w:t>
      </w:r>
      <w:r>
        <w:rPr>
          <w:rFonts w:ascii="仿宋_GB2312" w:eastAsia="仿宋_GB2312" w:hAnsi="宋体" w:hint="eastAsia"/>
          <w:sz w:val="30"/>
          <w:szCs w:val="30"/>
        </w:rPr>
        <w:t>《科创板上市公司自律监管指南第</w:t>
      </w:r>
      <w:r>
        <w:rPr>
          <w:rFonts w:ascii="仿宋_GB2312" w:eastAsia="仿宋_GB2312" w:hAnsi="宋体" w:hint="eastAsia"/>
          <w:sz w:val="30"/>
          <w:szCs w:val="30"/>
        </w:rPr>
        <w:t>3</w:t>
      </w:r>
      <w:r>
        <w:rPr>
          <w:rFonts w:ascii="仿宋_GB2312" w:eastAsia="仿宋_GB2312" w:hAnsi="宋体" w:hint="eastAsia"/>
          <w:sz w:val="30"/>
          <w:szCs w:val="30"/>
        </w:rPr>
        <w:t>号——日常信息披露》</w:t>
      </w:r>
      <w:r>
        <w:rPr>
          <w:rFonts w:ascii="仿宋_GB2312" w:eastAsia="仿宋_GB2312" w:hAnsi="宋体" w:hint="eastAsia"/>
          <w:bCs/>
          <w:sz w:val="30"/>
          <w:szCs w:val="30"/>
        </w:rPr>
        <w:t>所附《第十七号</w:t>
      </w:r>
      <w:r>
        <w:rPr>
          <w:rFonts w:ascii="仿宋_GB2312" w:eastAsia="仿宋_GB2312" w:hAnsi="宋体" w:hint="eastAsia"/>
          <w:bCs/>
          <w:sz w:val="30"/>
          <w:szCs w:val="30"/>
        </w:rPr>
        <w:t xml:space="preserve"> </w:t>
      </w:r>
      <w:r>
        <w:rPr>
          <w:rFonts w:ascii="仿宋_GB2312" w:eastAsia="仿宋_GB2312" w:hAnsi="宋体" w:hint="eastAsia"/>
          <w:bCs/>
          <w:sz w:val="30"/>
          <w:szCs w:val="30"/>
        </w:rPr>
        <w:t>科创板上市公司董事会审议高送转公告》格式指引，披露相关内容。</w:t>
      </w:r>
    </w:p>
    <w:p w14:paraId="4F0E7F8B" w14:textId="77777777" w:rsidR="006F3D2A" w:rsidRDefault="00291481">
      <w:pPr>
        <w:adjustRightInd w:val="0"/>
        <w:snapToGrid w:val="0"/>
        <w:spacing w:line="560" w:lineRule="exact"/>
        <w:ind w:firstLineChars="200" w:firstLine="600"/>
        <w:rPr>
          <w:rFonts w:ascii="仿宋_GB2312" w:eastAsia="仿宋_GB2312" w:hAnsi="宋体"/>
          <w:bCs/>
          <w:sz w:val="30"/>
          <w:szCs w:val="30"/>
        </w:rPr>
      </w:pPr>
      <w:r>
        <w:rPr>
          <w:rFonts w:ascii="仿宋_GB2312" w:eastAsia="仿宋_GB2312" w:hAnsi="宋体" w:hint="eastAsia"/>
          <w:bCs/>
          <w:sz w:val="30"/>
          <w:szCs w:val="30"/>
        </w:rPr>
        <w:t>3.</w:t>
      </w:r>
      <w:r>
        <w:rPr>
          <w:rFonts w:ascii="仿宋_GB2312" w:eastAsia="仿宋_GB2312" w:hAnsi="宋体" w:hint="eastAsia"/>
          <w:bCs/>
          <w:sz w:val="30"/>
          <w:szCs w:val="30"/>
        </w:rPr>
        <w:t>上市公司应当综合考虑未分配利润、当期业绩等因素确定分红频次，并在具备条件的情况下增加分红频次，稳定投资者分红预期。上市公司可在年度</w:t>
      </w:r>
      <w:r>
        <w:rPr>
          <w:rFonts w:ascii="仿宋_GB2312" w:eastAsia="仿宋_GB2312" w:hAnsi="宋体" w:hint="eastAsia"/>
          <w:bCs/>
          <w:sz w:val="30"/>
          <w:szCs w:val="30"/>
        </w:rPr>
        <w:t>股东会</w:t>
      </w:r>
      <w:r>
        <w:rPr>
          <w:rFonts w:ascii="仿宋_GB2312" w:eastAsia="仿宋_GB2312" w:hAnsi="宋体" w:hint="eastAsia"/>
          <w:bCs/>
          <w:sz w:val="30"/>
          <w:szCs w:val="30"/>
        </w:rPr>
        <w:t>增加关于次年中期分红安排的议案，授权董事会根据具体情况制定中期分红方案，简化分红程序。上市公司拟实施中期现金分红，且不送红股、不以公积金转增股本的，半年报、季度报告可以不经审计。</w:t>
      </w:r>
    </w:p>
    <w:p w14:paraId="1D11952E" w14:textId="77777777" w:rsidR="006F3D2A" w:rsidRDefault="006F3D2A">
      <w:pPr>
        <w:adjustRightInd w:val="0"/>
        <w:snapToGrid w:val="0"/>
        <w:spacing w:line="560" w:lineRule="exact"/>
        <w:rPr>
          <w:rFonts w:ascii="仿宋_GB2312" w:eastAsia="仿宋_GB2312" w:hAnsi="宋体"/>
          <w:bCs/>
          <w:sz w:val="30"/>
          <w:szCs w:val="30"/>
        </w:rPr>
      </w:pPr>
    </w:p>
    <w:p w14:paraId="51F7DBC4" w14:textId="77777777" w:rsidR="006F3D2A" w:rsidRDefault="006F3D2A">
      <w:pPr>
        <w:adjustRightInd w:val="0"/>
        <w:snapToGrid w:val="0"/>
        <w:spacing w:line="560" w:lineRule="exact"/>
        <w:rPr>
          <w:rFonts w:ascii="仿宋_GB2312" w:eastAsia="仿宋_GB2312" w:hAnsi="宋体"/>
          <w:bCs/>
          <w:sz w:val="30"/>
          <w:szCs w:val="30"/>
        </w:rPr>
      </w:pPr>
    </w:p>
    <w:p w14:paraId="18C75B12" w14:textId="77777777" w:rsidR="006F3D2A" w:rsidRDefault="006F3D2A">
      <w:pPr>
        <w:adjustRightInd w:val="0"/>
        <w:snapToGrid w:val="0"/>
        <w:spacing w:line="560" w:lineRule="exact"/>
        <w:rPr>
          <w:rFonts w:ascii="仿宋_GB2312" w:eastAsia="仿宋_GB2312" w:hAnsi="宋体"/>
          <w:bCs/>
          <w:sz w:val="30"/>
          <w:szCs w:val="30"/>
        </w:rPr>
      </w:pPr>
    </w:p>
    <w:p w14:paraId="28FC4250" w14:textId="77777777" w:rsidR="006F3D2A" w:rsidRDefault="006F3D2A">
      <w:pPr>
        <w:adjustRightInd w:val="0"/>
        <w:snapToGrid w:val="0"/>
        <w:spacing w:line="560" w:lineRule="exact"/>
        <w:rPr>
          <w:rFonts w:ascii="仿宋_GB2312" w:eastAsia="仿宋_GB2312" w:hAnsi="宋体"/>
          <w:bCs/>
          <w:sz w:val="30"/>
          <w:szCs w:val="30"/>
        </w:rPr>
      </w:pPr>
    </w:p>
    <w:p w14:paraId="404FA37E" w14:textId="77777777" w:rsidR="006F3D2A" w:rsidRDefault="00291481">
      <w:pPr>
        <w:adjustRightInd w:val="0"/>
        <w:snapToGrid w:val="0"/>
        <w:spacing w:line="560" w:lineRule="exact"/>
        <w:rPr>
          <w:rFonts w:ascii="仿宋_GB2312" w:eastAsia="仿宋_GB2312" w:hAnsi="宋体"/>
          <w:sz w:val="30"/>
          <w:szCs w:val="30"/>
        </w:rPr>
      </w:pPr>
      <w:r>
        <w:rPr>
          <w:rFonts w:ascii="仿宋_GB2312" w:eastAsia="仿宋_GB2312" w:hAnsi="宋体" w:hint="eastAsia"/>
          <w:sz w:val="30"/>
          <w:szCs w:val="30"/>
        </w:rPr>
        <w:t>证券代码：</w:t>
      </w:r>
      <w:r>
        <w:rPr>
          <w:rFonts w:ascii="仿宋_GB2312" w:eastAsia="仿宋_GB2312" w:hAnsi="宋体" w:hint="eastAsia"/>
          <w:sz w:val="30"/>
          <w:szCs w:val="30"/>
        </w:rPr>
        <w:t xml:space="preserve">             </w:t>
      </w:r>
      <w:r>
        <w:rPr>
          <w:rFonts w:ascii="仿宋_GB2312" w:eastAsia="仿宋_GB2312" w:hAnsi="宋体" w:hint="eastAsia"/>
          <w:sz w:val="30"/>
          <w:szCs w:val="30"/>
        </w:rPr>
        <w:t>证券简称：</w:t>
      </w:r>
      <w:r>
        <w:rPr>
          <w:rFonts w:ascii="仿宋_GB2312" w:eastAsia="仿宋_GB2312" w:hAnsi="宋体" w:hint="eastAsia"/>
          <w:sz w:val="30"/>
          <w:szCs w:val="30"/>
        </w:rPr>
        <w:t xml:space="preserve">            </w:t>
      </w:r>
      <w:r>
        <w:rPr>
          <w:rFonts w:ascii="仿宋_GB2312" w:eastAsia="仿宋_GB2312" w:hAnsi="宋体" w:hint="eastAsia"/>
          <w:sz w:val="30"/>
          <w:szCs w:val="30"/>
        </w:rPr>
        <w:t>公告编号：</w:t>
      </w:r>
    </w:p>
    <w:p w14:paraId="64DEB264" w14:textId="77777777" w:rsidR="006F3D2A" w:rsidRDefault="006F3D2A">
      <w:pPr>
        <w:adjustRightInd w:val="0"/>
        <w:snapToGrid w:val="0"/>
        <w:spacing w:line="560" w:lineRule="exact"/>
        <w:jc w:val="center"/>
        <w:rPr>
          <w:rFonts w:ascii="宋体" w:hAnsi="宋体"/>
          <w:sz w:val="24"/>
        </w:rPr>
      </w:pPr>
    </w:p>
    <w:p w14:paraId="79B514BE" w14:textId="77777777" w:rsidR="006F3D2A" w:rsidRDefault="00291481">
      <w:pPr>
        <w:adjustRightInd w:val="0"/>
        <w:snapToGrid w:val="0"/>
        <w:spacing w:line="560" w:lineRule="exact"/>
        <w:jc w:val="center"/>
        <w:rPr>
          <w:rFonts w:ascii="仿宋_GB2312" w:eastAsia="仿宋_GB2312" w:hAnsi="宋体"/>
          <w:sz w:val="30"/>
          <w:szCs w:val="30"/>
        </w:rPr>
      </w:pPr>
      <w:r>
        <w:rPr>
          <w:rFonts w:ascii="仿宋_GB2312" w:eastAsia="仿宋_GB2312" w:hAnsi="宋体" w:hint="eastAsia"/>
          <w:sz w:val="30"/>
          <w:szCs w:val="30"/>
        </w:rPr>
        <w:t>XX</w:t>
      </w:r>
      <w:r>
        <w:rPr>
          <w:rFonts w:ascii="仿宋_GB2312" w:eastAsia="仿宋_GB2312" w:hAnsi="宋体" w:hint="eastAsia"/>
          <w:sz w:val="30"/>
          <w:szCs w:val="30"/>
        </w:rPr>
        <w:t>股份有限公司</w:t>
      </w:r>
      <w:r>
        <w:rPr>
          <w:rFonts w:ascii="仿宋_GB2312" w:eastAsia="仿宋_GB2312" w:hAnsi="宋体" w:hint="eastAsia"/>
          <w:sz w:val="30"/>
          <w:szCs w:val="30"/>
        </w:rPr>
        <w:t>XX</w:t>
      </w:r>
      <w:r>
        <w:rPr>
          <w:rFonts w:ascii="仿宋_GB2312" w:eastAsia="仿宋_GB2312" w:hAnsi="宋体" w:hint="eastAsia"/>
          <w:sz w:val="30"/>
          <w:szCs w:val="30"/>
        </w:rPr>
        <w:t>年年度（一季度</w:t>
      </w:r>
      <w:r>
        <w:rPr>
          <w:rFonts w:ascii="仿宋_GB2312" w:eastAsia="仿宋_GB2312" w:hAnsi="宋体" w:hint="eastAsia"/>
          <w:sz w:val="30"/>
          <w:szCs w:val="30"/>
        </w:rPr>
        <w:t>/</w:t>
      </w:r>
      <w:r>
        <w:rPr>
          <w:rFonts w:ascii="仿宋_GB2312" w:eastAsia="仿宋_GB2312" w:hAnsi="宋体" w:hint="eastAsia"/>
          <w:sz w:val="30"/>
          <w:szCs w:val="30"/>
        </w:rPr>
        <w:t>半年度</w:t>
      </w:r>
      <w:r>
        <w:rPr>
          <w:rFonts w:ascii="仿宋_GB2312" w:eastAsia="仿宋_GB2312" w:hAnsi="宋体" w:hint="eastAsia"/>
          <w:sz w:val="30"/>
          <w:szCs w:val="30"/>
        </w:rPr>
        <w:t>/</w:t>
      </w:r>
      <w:r>
        <w:rPr>
          <w:rFonts w:ascii="仿宋_GB2312" w:eastAsia="仿宋_GB2312" w:hAnsi="宋体" w:hint="eastAsia"/>
          <w:sz w:val="30"/>
          <w:szCs w:val="30"/>
        </w:rPr>
        <w:t>三季度）</w:t>
      </w:r>
    </w:p>
    <w:p w14:paraId="64C163B0" w14:textId="77777777" w:rsidR="006F3D2A" w:rsidRDefault="00291481">
      <w:pPr>
        <w:adjustRightInd w:val="0"/>
        <w:snapToGrid w:val="0"/>
        <w:spacing w:line="560" w:lineRule="exact"/>
        <w:jc w:val="center"/>
        <w:rPr>
          <w:rFonts w:ascii="仿宋_GB2312" w:eastAsia="仿宋_GB2312" w:hAnsi="宋体"/>
          <w:sz w:val="30"/>
          <w:szCs w:val="30"/>
        </w:rPr>
      </w:pPr>
      <w:r>
        <w:rPr>
          <w:rFonts w:ascii="仿宋_GB2312" w:eastAsia="仿宋_GB2312" w:hAnsi="宋体" w:hint="eastAsia"/>
          <w:sz w:val="30"/>
          <w:szCs w:val="30"/>
        </w:rPr>
        <w:t>利润分配（及公积金转增股本）方案公告</w:t>
      </w:r>
    </w:p>
    <w:p w14:paraId="456C065B" w14:textId="77777777" w:rsidR="006F3D2A" w:rsidRDefault="006F3D2A">
      <w:pPr>
        <w:widowControl/>
        <w:spacing w:line="560" w:lineRule="exact"/>
        <w:ind w:firstLineChars="200" w:firstLine="480"/>
        <w:rPr>
          <w:rFonts w:ascii="楷体" w:eastAsia="楷体" w:hAnsi="楷体"/>
          <w:sz w:val="24"/>
        </w:rPr>
      </w:pPr>
    </w:p>
    <w:p w14:paraId="39650758"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（编制</w:t>
      </w:r>
      <w:r>
        <w:rPr>
          <w:rFonts w:ascii="楷体" w:eastAsia="楷体" w:hAnsi="楷体" w:hint="eastAsia"/>
          <w:sz w:val="24"/>
        </w:rPr>
        <w:t>提醒：</w:t>
      </w:r>
    </w:p>
    <w:p w14:paraId="46900577"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1</w:t>
      </w:r>
      <w:r>
        <w:rPr>
          <w:rFonts w:ascii="楷体" w:eastAsia="楷体" w:hAnsi="楷体"/>
          <w:sz w:val="24"/>
        </w:rPr>
        <w:t>.</w:t>
      </w:r>
      <w:r>
        <w:rPr>
          <w:rFonts w:ascii="楷体" w:eastAsia="楷体" w:hAnsi="楷体" w:hint="eastAsia"/>
          <w:sz w:val="24"/>
        </w:rPr>
        <w:t>上市公司披露定期报告时，如涉及利润分配、转增股本事项，包括派送现金红利、送红股、以盈余公积金、资本公积金转增股本等，应当同时按照本指引披露利润分配、转增股本方案。</w:t>
      </w:r>
    </w:p>
    <w:p w14:paraId="4A42A329"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sz w:val="24"/>
        </w:rPr>
        <w:t>2.</w:t>
      </w:r>
      <w:r>
        <w:rPr>
          <w:rFonts w:ascii="楷体" w:eastAsia="楷体" w:hAnsi="楷体" w:hint="eastAsia"/>
          <w:sz w:val="24"/>
        </w:rPr>
        <w:t>根据《证券发行与承销管理办法》第三十三条，上市公司发行证券，存在利润分配方案、公积金转增股本方案尚未提交</w:t>
      </w:r>
      <w:r>
        <w:rPr>
          <w:rFonts w:ascii="楷体" w:eastAsia="楷体" w:hAnsi="楷体" w:hint="eastAsia"/>
          <w:sz w:val="24"/>
        </w:rPr>
        <w:t>股东会</w:t>
      </w:r>
      <w:r>
        <w:rPr>
          <w:rFonts w:ascii="楷体" w:eastAsia="楷体" w:hAnsi="楷体" w:hint="eastAsia"/>
          <w:sz w:val="24"/>
        </w:rPr>
        <w:t>表决或者虽经</w:t>
      </w:r>
      <w:r>
        <w:rPr>
          <w:rFonts w:ascii="楷体" w:eastAsia="楷体" w:hAnsi="楷体" w:hint="eastAsia"/>
          <w:sz w:val="24"/>
        </w:rPr>
        <w:t>股东会</w:t>
      </w:r>
      <w:r>
        <w:rPr>
          <w:rFonts w:ascii="楷体" w:eastAsia="楷体" w:hAnsi="楷体" w:hint="eastAsia"/>
          <w:sz w:val="24"/>
        </w:rPr>
        <w:t>表决通过但未实施的，应当在方案实施后发行。相关方案实施前，主承销商不得承销上市公司发行的证券。上市公司应当做好证券发行、利润分配工作相关安排，避免产生冲突。</w:t>
      </w:r>
    </w:p>
    <w:p w14:paraId="29CF95B8"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3.</w:t>
      </w:r>
      <w:r>
        <w:rPr>
          <w:rFonts w:ascii="楷体" w:eastAsia="楷体" w:hAnsi="楷体" w:hint="eastAsia"/>
          <w:sz w:val="24"/>
        </w:rPr>
        <w:t>上市公司拟依据半年度、季度财务数据派发股票股利或者以公积金转增股本的，半年报、季度报告应当审计。</w:t>
      </w:r>
    </w:p>
    <w:p w14:paraId="7EF7B5EC"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4.</w:t>
      </w:r>
      <w:r>
        <w:rPr>
          <w:rFonts w:ascii="楷体" w:eastAsia="楷体" w:hAnsi="楷体" w:hint="eastAsia"/>
          <w:sz w:val="24"/>
        </w:rPr>
        <w:t>利润分配、转增股本方案经</w:t>
      </w:r>
      <w:r>
        <w:rPr>
          <w:rFonts w:ascii="楷体" w:eastAsia="楷体" w:hAnsi="楷体" w:hint="eastAsia"/>
          <w:sz w:val="24"/>
        </w:rPr>
        <w:t>股东会</w:t>
      </w:r>
      <w:r>
        <w:rPr>
          <w:rFonts w:ascii="楷体" w:eastAsia="楷体" w:hAnsi="楷体" w:hint="eastAsia"/>
          <w:sz w:val="24"/>
        </w:rPr>
        <w:t>审议通过后实施时，应当按照本所《科创板上市公司自律监管指南第</w:t>
      </w:r>
      <w:r>
        <w:rPr>
          <w:rFonts w:ascii="楷体" w:eastAsia="楷体" w:hAnsi="楷体" w:hint="eastAsia"/>
          <w:sz w:val="24"/>
        </w:rPr>
        <w:t>6</w:t>
      </w:r>
      <w:r>
        <w:rPr>
          <w:rFonts w:ascii="楷体" w:eastAsia="楷体" w:hAnsi="楷体" w:hint="eastAsia"/>
          <w:sz w:val="24"/>
        </w:rPr>
        <w:t>号——业务操作事项》所附《</w:t>
      </w:r>
      <w:r>
        <w:rPr>
          <w:rFonts w:ascii="楷体" w:eastAsia="楷体" w:hAnsi="楷体" w:hint="eastAsia"/>
          <w:sz w:val="24"/>
        </w:rPr>
        <w:t>9</w:t>
      </w:r>
      <w:r>
        <w:rPr>
          <w:rFonts w:ascii="楷体" w:eastAsia="楷体" w:hAnsi="楷体"/>
          <w:sz w:val="24"/>
        </w:rPr>
        <w:t>.</w:t>
      </w:r>
      <w:r>
        <w:rPr>
          <w:rFonts w:hint="eastAsia"/>
        </w:rPr>
        <w:t xml:space="preserve"> </w:t>
      </w:r>
      <w:r>
        <w:rPr>
          <w:rFonts w:ascii="楷体" w:eastAsia="楷体" w:hAnsi="楷体" w:hint="eastAsia"/>
          <w:sz w:val="24"/>
        </w:rPr>
        <w:t>科创板上市公司权益分派实施》格式指引披露实施安排。）</w:t>
      </w:r>
    </w:p>
    <w:p w14:paraId="5C7E0D9F" w14:textId="77777777" w:rsidR="006F3D2A" w:rsidRDefault="006F3D2A">
      <w:pPr>
        <w:adjustRightInd w:val="0"/>
        <w:snapToGrid w:val="0"/>
        <w:spacing w:line="560" w:lineRule="exact"/>
        <w:ind w:firstLineChars="200" w:firstLine="480"/>
        <w:rPr>
          <w:rFonts w:ascii="宋体" w:hAnsi="宋体"/>
          <w:sz w:val="24"/>
        </w:rPr>
      </w:pPr>
    </w:p>
    <w:p w14:paraId="62015735" w14:textId="77777777" w:rsidR="006F3D2A" w:rsidRDefault="00291481">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本公司董事会及全体董事保证本公告内容不存在任何虚假记载、误导性陈述或者重大遗漏，并对其内容的真实性、准确性和完整性承担法律责任。</w:t>
      </w:r>
    </w:p>
    <w:p w14:paraId="36D369B0" w14:textId="77777777" w:rsidR="006F3D2A" w:rsidRDefault="00291481">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如有董事对临时公告内容的真实性、准确性和完整性无法保证或存在异议的，公司应当在公告中作特别提示。</w:t>
      </w:r>
    </w:p>
    <w:p w14:paraId="0425041F" w14:textId="77777777" w:rsidR="006F3D2A" w:rsidRDefault="006F3D2A">
      <w:pPr>
        <w:adjustRightInd w:val="0"/>
        <w:snapToGrid w:val="0"/>
        <w:spacing w:line="560" w:lineRule="exact"/>
        <w:ind w:firstLineChars="200" w:firstLine="600"/>
        <w:rPr>
          <w:rFonts w:ascii="仿宋_GB2312" w:eastAsia="仿宋_GB2312" w:hAnsi="宋体"/>
          <w:bCs/>
          <w:sz w:val="30"/>
          <w:szCs w:val="30"/>
        </w:rPr>
      </w:pPr>
    </w:p>
    <w:p w14:paraId="5590C9DE" w14:textId="77777777" w:rsidR="006F3D2A" w:rsidRDefault="00291481">
      <w:pPr>
        <w:adjustRightInd w:val="0"/>
        <w:snapToGrid w:val="0"/>
        <w:spacing w:line="560" w:lineRule="exact"/>
        <w:ind w:firstLineChars="200" w:firstLine="602"/>
        <w:rPr>
          <w:rFonts w:ascii="仿宋_GB2312" w:eastAsia="仿宋_GB2312" w:hAnsi="宋体"/>
          <w:b/>
          <w:bCs/>
          <w:sz w:val="30"/>
          <w:szCs w:val="30"/>
        </w:rPr>
      </w:pPr>
      <w:r>
        <w:rPr>
          <w:rFonts w:ascii="仿宋_GB2312" w:eastAsia="仿宋_GB2312" w:hAnsi="宋体" w:hint="eastAsia"/>
          <w:b/>
          <w:bCs/>
          <w:sz w:val="30"/>
          <w:szCs w:val="30"/>
        </w:rPr>
        <w:t>重要内容提示：</w:t>
      </w:r>
    </w:p>
    <w:p w14:paraId="4C337E60" w14:textId="77777777" w:rsidR="006F3D2A" w:rsidRDefault="00291481">
      <w:pPr>
        <w:numPr>
          <w:ilvl w:val="3"/>
          <w:numId w:val="1"/>
        </w:numPr>
        <w:tabs>
          <w:tab w:val="clear" w:pos="2218"/>
          <w:tab w:val="left" w:pos="1080"/>
        </w:tabs>
        <w:adjustRightInd w:val="0"/>
        <w:snapToGrid w:val="0"/>
        <w:spacing w:line="560" w:lineRule="exact"/>
        <w:ind w:left="0" w:firstLineChars="200" w:firstLine="600"/>
        <w:rPr>
          <w:rFonts w:ascii="仿宋_GB2312" w:eastAsia="仿宋_GB2312" w:hAnsi="宋体"/>
          <w:sz w:val="30"/>
          <w:szCs w:val="30"/>
        </w:rPr>
      </w:pPr>
      <w:r>
        <w:rPr>
          <w:rFonts w:ascii="仿宋_GB2312" w:eastAsia="仿宋_GB2312" w:hAnsi="宋体" w:hint="eastAsia"/>
          <w:sz w:val="30"/>
          <w:szCs w:val="30"/>
        </w:rPr>
        <w:t>每股分配比例，每股转增比例</w:t>
      </w:r>
    </w:p>
    <w:p w14:paraId="1AB066B9" w14:textId="77777777" w:rsidR="006F3D2A" w:rsidRDefault="00291481">
      <w:pPr>
        <w:widowControl/>
        <w:spacing w:line="560" w:lineRule="exact"/>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A</w:t>
      </w:r>
      <w:r>
        <w:rPr>
          <w:rFonts w:ascii="仿宋_GB2312" w:eastAsia="仿宋_GB2312" w:hAnsi="宋体" w:cs="宋体" w:hint="eastAsia"/>
          <w:color w:val="000000"/>
          <w:kern w:val="0"/>
          <w:sz w:val="30"/>
          <w:szCs w:val="30"/>
        </w:rPr>
        <w:t>股每股派发现金红利</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w:t>
      </w:r>
    </w:p>
    <w:p w14:paraId="486980B1" w14:textId="77777777" w:rsidR="006F3D2A" w:rsidRDefault="00291481">
      <w:pPr>
        <w:widowControl/>
        <w:spacing w:line="560" w:lineRule="exact"/>
        <w:ind w:firstLineChars="200" w:firstLine="600"/>
        <w:jc w:val="left"/>
        <w:rPr>
          <w:rFonts w:ascii="楷体" w:eastAsia="楷体" w:hAnsi="楷体"/>
          <w:sz w:val="24"/>
        </w:rPr>
      </w:pPr>
      <w:r>
        <w:rPr>
          <w:rFonts w:ascii="仿宋_GB2312" w:eastAsia="仿宋_GB2312" w:hAnsi="宋体" w:cs="宋体" w:hint="eastAsia"/>
          <w:color w:val="000000"/>
          <w:kern w:val="0"/>
          <w:sz w:val="30"/>
          <w:szCs w:val="30"/>
        </w:rPr>
        <w:t>每股派送红股</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股，每股转增</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股</w:t>
      </w:r>
    </w:p>
    <w:p w14:paraId="2952B15D" w14:textId="77777777" w:rsidR="006F3D2A" w:rsidRDefault="00291481">
      <w:pPr>
        <w:numPr>
          <w:ilvl w:val="3"/>
          <w:numId w:val="1"/>
        </w:numPr>
        <w:tabs>
          <w:tab w:val="clear" w:pos="2218"/>
          <w:tab w:val="left" w:pos="1080"/>
        </w:tabs>
        <w:adjustRightInd w:val="0"/>
        <w:snapToGrid w:val="0"/>
        <w:spacing w:line="560" w:lineRule="exact"/>
        <w:ind w:left="0" w:firstLineChars="200" w:firstLine="600"/>
        <w:rPr>
          <w:rFonts w:ascii="仿宋_GB2312" w:eastAsia="仿宋_GB2312" w:hAnsi="宋体"/>
          <w:sz w:val="30"/>
          <w:szCs w:val="30"/>
        </w:rPr>
      </w:pPr>
      <w:r>
        <w:rPr>
          <w:rFonts w:ascii="仿宋_GB2312" w:eastAsia="仿宋_GB2312" w:hAnsi="宋体" w:hint="eastAsia"/>
          <w:sz w:val="30"/>
          <w:szCs w:val="30"/>
        </w:rPr>
        <w:t>本次利润分配</w:t>
      </w:r>
      <w:r>
        <w:rPr>
          <w:rFonts w:ascii="仿宋_GB2312" w:eastAsia="仿宋_GB2312" w:hAnsi="宋体" w:hint="eastAsia"/>
          <w:sz w:val="30"/>
          <w:szCs w:val="30"/>
        </w:rPr>
        <w:t>/</w:t>
      </w:r>
      <w:r>
        <w:rPr>
          <w:rFonts w:ascii="仿宋_GB2312" w:eastAsia="仿宋_GB2312" w:hAnsi="宋体" w:hint="eastAsia"/>
          <w:sz w:val="30"/>
          <w:szCs w:val="30"/>
        </w:rPr>
        <w:t>公积金转增股本以实施权益分派股权登记日登记的总股本为基数，具体日期将在权益分派实施公告中明确。在实施权益分派的股权登记日前公司总股本发生变动的，拟维持分配（转增）总额</w:t>
      </w:r>
      <w:r>
        <w:rPr>
          <w:rFonts w:ascii="仿宋_GB2312" w:eastAsia="仿宋_GB2312" w:hAnsi="宋体" w:hint="eastAsia"/>
          <w:sz w:val="30"/>
          <w:szCs w:val="30"/>
        </w:rPr>
        <w:t>/</w:t>
      </w:r>
      <w:r>
        <w:rPr>
          <w:rFonts w:ascii="仿宋_GB2312" w:eastAsia="仿宋_GB2312" w:hAnsi="宋体" w:hint="eastAsia"/>
          <w:sz w:val="30"/>
          <w:szCs w:val="30"/>
        </w:rPr>
        <w:t>每股分配（转增）比例不变，相应调整每股分配（转增）比例</w:t>
      </w:r>
      <w:r>
        <w:rPr>
          <w:rFonts w:ascii="仿宋_GB2312" w:eastAsia="仿宋_GB2312" w:hAnsi="宋体" w:hint="eastAsia"/>
          <w:sz w:val="30"/>
          <w:szCs w:val="30"/>
        </w:rPr>
        <w:t>/</w:t>
      </w:r>
      <w:r>
        <w:rPr>
          <w:rFonts w:ascii="仿宋_GB2312" w:eastAsia="仿宋_GB2312" w:hAnsi="宋体" w:hint="eastAsia"/>
          <w:sz w:val="30"/>
          <w:szCs w:val="30"/>
        </w:rPr>
        <w:t>分配（转增）总额，并将另行公告具体调整情况。</w:t>
      </w:r>
    </w:p>
    <w:p w14:paraId="7766BB7F" w14:textId="77777777" w:rsidR="006F3D2A" w:rsidRDefault="00291481">
      <w:pPr>
        <w:widowControl/>
        <w:numPr>
          <w:ilvl w:val="3"/>
          <w:numId w:val="1"/>
        </w:numPr>
        <w:tabs>
          <w:tab w:val="clear" w:pos="2218"/>
          <w:tab w:val="left" w:pos="1080"/>
        </w:tabs>
        <w:adjustRightInd w:val="0"/>
        <w:snapToGrid w:val="0"/>
        <w:spacing w:line="560" w:lineRule="exact"/>
        <w:ind w:left="0" w:firstLineChars="200" w:firstLine="600"/>
        <w:rPr>
          <w:rFonts w:ascii="仿宋_GB2312" w:eastAsia="仿宋_GB2312" w:hAnsi="Times New Roman"/>
          <w:bCs/>
          <w:color w:val="000000"/>
          <w:sz w:val="30"/>
          <w:szCs w:val="30"/>
        </w:rPr>
      </w:pPr>
      <w:r>
        <w:rPr>
          <w:rFonts w:ascii="仿宋_GB2312" w:eastAsia="仿宋_GB2312" w:hAnsi="Times New Roman" w:hint="eastAsia"/>
          <w:color w:val="000000"/>
          <w:sz w:val="30"/>
          <w:szCs w:val="30"/>
        </w:rPr>
        <w:t>是否可能触及《上海证券交易所科创板股票上市规则》（以下简称《科创板股票上市规则》）第</w:t>
      </w:r>
      <w:r>
        <w:rPr>
          <w:rFonts w:ascii="仿宋_GB2312" w:eastAsia="仿宋_GB2312" w:hAnsi="Times New Roman" w:hint="eastAsia"/>
          <w:color w:val="000000"/>
          <w:sz w:val="30"/>
          <w:szCs w:val="30"/>
        </w:rPr>
        <w:t>12.9.1</w:t>
      </w:r>
      <w:r>
        <w:rPr>
          <w:rFonts w:ascii="仿宋_GB2312" w:eastAsia="仿宋_GB2312" w:hAnsi="Times New Roman" w:hint="eastAsia"/>
          <w:color w:val="000000"/>
          <w:sz w:val="30"/>
          <w:szCs w:val="30"/>
        </w:rPr>
        <w:t>条第一款第（八）项规定的可能被实施其他风险警示的情形</w:t>
      </w:r>
      <w:r>
        <w:rPr>
          <w:rFonts w:ascii="Times New Roman" w:eastAsia="仿宋_GB2312" w:hAnsi="Times New Roman" w:hint="eastAsia"/>
          <w:bCs/>
          <w:color w:val="000000"/>
          <w:kern w:val="0"/>
          <w:sz w:val="30"/>
          <w:szCs w:val="30"/>
        </w:rPr>
        <w:t>（适用于年度分红方案）。</w:t>
      </w:r>
    </w:p>
    <w:p w14:paraId="6861CF6F" w14:textId="77777777" w:rsidR="006F3D2A" w:rsidRDefault="006F3D2A">
      <w:pPr>
        <w:numPr>
          <w:ilvl w:val="255"/>
          <w:numId w:val="0"/>
        </w:numPr>
        <w:tabs>
          <w:tab w:val="left" w:pos="1080"/>
        </w:tabs>
        <w:adjustRightInd w:val="0"/>
        <w:snapToGrid w:val="0"/>
        <w:spacing w:line="560" w:lineRule="exact"/>
        <w:ind w:leftChars="200" w:left="420"/>
        <w:rPr>
          <w:rFonts w:ascii="仿宋_GB2312" w:eastAsia="仿宋_GB2312" w:hAnsi="宋体"/>
          <w:sz w:val="30"/>
          <w:szCs w:val="30"/>
        </w:rPr>
      </w:pPr>
    </w:p>
    <w:p w14:paraId="206E908C" w14:textId="77777777" w:rsidR="006F3D2A" w:rsidRDefault="006F3D2A">
      <w:pPr>
        <w:widowControl/>
        <w:spacing w:line="560" w:lineRule="exact"/>
        <w:ind w:firstLineChars="200" w:firstLine="643"/>
        <w:rPr>
          <w:rFonts w:ascii="黑体" w:eastAsia="黑体" w:hAnsi="黑体" w:cs="宋体"/>
          <w:b/>
          <w:color w:val="000000"/>
          <w:kern w:val="0"/>
          <w:sz w:val="32"/>
          <w:szCs w:val="32"/>
        </w:rPr>
      </w:pPr>
    </w:p>
    <w:p w14:paraId="517D1D26" w14:textId="77777777" w:rsidR="006F3D2A" w:rsidRDefault="00291481">
      <w:pPr>
        <w:pStyle w:val="af"/>
        <w:widowControl/>
        <w:numPr>
          <w:ilvl w:val="0"/>
          <w:numId w:val="2"/>
        </w:numPr>
        <w:spacing w:line="560" w:lineRule="exact"/>
        <w:ind w:firstLineChars="0"/>
        <w:outlineLvl w:val="0"/>
        <w:rPr>
          <w:rFonts w:ascii="黑体" w:eastAsia="黑体" w:hAnsi="黑体" w:cs="宋体"/>
          <w:b/>
          <w:color w:val="000000"/>
          <w:kern w:val="0"/>
          <w:sz w:val="32"/>
          <w:szCs w:val="32"/>
        </w:rPr>
      </w:pPr>
      <w:r>
        <w:rPr>
          <w:rFonts w:ascii="黑体" w:eastAsia="黑体" w:hAnsi="黑体" w:cs="宋体" w:hint="eastAsia"/>
          <w:b/>
          <w:color w:val="000000"/>
          <w:kern w:val="0"/>
          <w:sz w:val="32"/>
          <w:szCs w:val="32"/>
        </w:rPr>
        <w:t>利润分配方案内容</w:t>
      </w:r>
    </w:p>
    <w:p w14:paraId="4196B5B1" w14:textId="77777777" w:rsidR="006F3D2A" w:rsidRDefault="00291481">
      <w:pPr>
        <w:autoSpaceDE w:val="0"/>
        <w:autoSpaceDN w:val="0"/>
        <w:adjustRightInd w:val="0"/>
        <w:snapToGrid w:val="0"/>
        <w:spacing w:line="560" w:lineRule="exact"/>
        <w:ind w:firstLineChars="200" w:firstLine="602"/>
        <w:rPr>
          <w:rFonts w:ascii="仿宋_GB2312" w:eastAsia="仿宋_GB2312" w:hAnsi="Times New Roman"/>
          <w:b/>
          <w:color w:val="000000"/>
          <w:kern w:val="0"/>
          <w:sz w:val="30"/>
          <w:szCs w:val="30"/>
        </w:rPr>
      </w:pPr>
      <w:r>
        <w:rPr>
          <w:rFonts w:ascii="仿宋_GB2312" w:eastAsia="仿宋_GB2312" w:hAnsi="Times New Roman" w:hint="eastAsia"/>
          <w:b/>
          <w:color w:val="000000"/>
          <w:kern w:val="0"/>
          <w:sz w:val="30"/>
          <w:szCs w:val="30"/>
        </w:rPr>
        <w:t>（一）利润分配方案的具体内容</w:t>
      </w:r>
    </w:p>
    <w:p w14:paraId="16DD37FF"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截至</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年</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月</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日，公司母公司报表中期末未分配利润为人民币</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元。经董事会决议，公司</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年年度</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半年度</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一季度</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三季度拟以实施权益分派股权登记日登记的总股本为基数分配利润</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转增股本。本次利润分配、公积金转增股本方案如下：</w:t>
      </w:r>
    </w:p>
    <w:p w14:paraId="0AC34E67"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lastRenderedPageBreak/>
        <w:t>1.</w:t>
      </w:r>
      <w:r>
        <w:rPr>
          <w:rFonts w:ascii="仿宋_GB2312" w:eastAsia="仿宋_GB2312" w:hAnsi="宋体" w:cs="宋体" w:hint="eastAsia"/>
          <w:color w:val="000000"/>
          <w:kern w:val="0"/>
          <w:sz w:val="30"/>
          <w:szCs w:val="30"/>
        </w:rPr>
        <w:t>上市公司拟向全体股东每</w:t>
      </w:r>
      <w:r>
        <w:rPr>
          <w:rFonts w:ascii="仿宋_GB2312" w:eastAsia="仿宋_GB2312" w:hAnsi="宋体" w:cs="宋体" w:hint="eastAsia"/>
          <w:color w:val="000000"/>
          <w:kern w:val="0"/>
          <w:sz w:val="30"/>
          <w:szCs w:val="30"/>
        </w:rPr>
        <w:t>1</w:t>
      </w:r>
      <w:r>
        <w:rPr>
          <w:rFonts w:ascii="仿宋_GB2312" w:eastAsia="仿宋_GB2312" w:hAnsi="宋体" w:cs="宋体"/>
          <w:color w:val="000000"/>
          <w:kern w:val="0"/>
          <w:sz w:val="30"/>
          <w:szCs w:val="30"/>
        </w:rPr>
        <w:t>0</w:t>
      </w:r>
      <w:r>
        <w:rPr>
          <w:rFonts w:ascii="仿宋_GB2312" w:eastAsia="仿宋_GB2312" w:hAnsi="宋体" w:cs="宋体" w:hint="eastAsia"/>
          <w:color w:val="000000"/>
          <w:kern w:val="0"/>
          <w:sz w:val="30"/>
          <w:szCs w:val="30"/>
        </w:rPr>
        <w:t>股派发现金红利</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元（含税）。截至</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年</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月</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日，公司总股本</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股，以此计算合计拟派发现金红利</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元（含税）。本年度公司现金分红（包括中期已分配的现金红利）总额</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元；本年度以现金为对价，采用集中竞价方式、要约方式已实施的股份回购金额</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元，现金分红和回购金额合计</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元，占本年度归属于上市公司股东净利润的比例</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。其中，以现金为对价，采用要约方式、集中竞价方式回购股份并注销的回购（以下简称回购并注销）金额</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元，现金分红和回购并注销金额合计</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元，占本年度归属于上市公司股东净利润的比例</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w:t>
      </w:r>
    </w:p>
    <w:p w14:paraId="21A825DA"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2.</w:t>
      </w:r>
      <w:r>
        <w:rPr>
          <w:rFonts w:ascii="仿宋_GB2312" w:eastAsia="仿宋_GB2312" w:hAnsi="宋体" w:cs="宋体" w:hint="eastAsia"/>
          <w:color w:val="000000"/>
          <w:kern w:val="0"/>
          <w:sz w:val="30"/>
          <w:szCs w:val="30"/>
        </w:rPr>
        <w:t>上</w:t>
      </w:r>
      <w:r>
        <w:rPr>
          <w:rFonts w:ascii="仿宋_GB2312" w:eastAsia="仿宋_GB2312" w:hAnsi="宋体" w:cs="宋体" w:hint="eastAsia"/>
          <w:color w:val="000000"/>
          <w:kern w:val="0"/>
          <w:sz w:val="30"/>
          <w:szCs w:val="30"/>
        </w:rPr>
        <w:t>市公司拟向全体股东每</w:t>
      </w:r>
      <w:r>
        <w:rPr>
          <w:rFonts w:ascii="仿宋_GB2312" w:eastAsia="仿宋_GB2312" w:hAnsi="宋体" w:cs="宋体" w:hint="eastAsia"/>
          <w:color w:val="000000"/>
          <w:kern w:val="0"/>
          <w:sz w:val="30"/>
          <w:szCs w:val="30"/>
        </w:rPr>
        <w:t>1</w:t>
      </w:r>
      <w:r>
        <w:rPr>
          <w:rFonts w:ascii="仿宋_GB2312" w:eastAsia="仿宋_GB2312" w:hAnsi="宋体" w:cs="宋体"/>
          <w:color w:val="000000"/>
          <w:kern w:val="0"/>
          <w:sz w:val="30"/>
          <w:szCs w:val="30"/>
        </w:rPr>
        <w:t>0</w:t>
      </w:r>
      <w:r>
        <w:rPr>
          <w:rFonts w:ascii="仿宋_GB2312" w:eastAsia="仿宋_GB2312" w:hAnsi="宋体" w:cs="宋体" w:hint="eastAsia"/>
          <w:color w:val="000000"/>
          <w:kern w:val="0"/>
          <w:sz w:val="30"/>
          <w:szCs w:val="30"/>
        </w:rPr>
        <w:t>股送红股</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股、以公积金转增</w:t>
      </w: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w:t>
      </w:r>
      <w:r>
        <w:rPr>
          <w:rFonts w:ascii="仿宋_GB2312" w:eastAsia="仿宋_GB2312" w:hAnsi="宋体" w:cs="宋体" w:hint="eastAsia"/>
          <w:color w:val="000000"/>
          <w:kern w:val="0"/>
          <w:sz w:val="30"/>
          <w:szCs w:val="30"/>
        </w:rPr>
        <w:t>股。截至</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年</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月</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日，公司总股本</w:t>
      </w:r>
      <w:r>
        <w:rPr>
          <w:rFonts w:ascii="仿宋_GB2312" w:eastAsia="仿宋_GB2312" w:hAnsi="宋体" w:cs="宋体" w:hint="eastAsia"/>
          <w:color w:val="000000"/>
          <w:kern w:val="0"/>
          <w:sz w:val="30"/>
          <w:szCs w:val="30"/>
        </w:rPr>
        <w:t>XX</w:t>
      </w:r>
      <w:r>
        <w:rPr>
          <w:rFonts w:ascii="仿宋_GB2312" w:eastAsia="仿宋_GB2312" w:hAnsi="宋体" w:cs="宋体" w:hint="eastAsia"/>
          <w:color w:val="000000"/>
          <w:kern w:val="0"/>
          <w:sz w:val="30"/>
          <w:szCs w:val="30"/>
        </w:rPr>
        <w:t>股，本次送转股后，公司的总股本为</w:t>
      </w: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w:t>
      </w:r>
      <w:r>
        <w:rPr>
          <w:rFonts w:ascii="仿宋_GB2312" w:eastAsia="仿宋_GB2312" w:hAnsi="宋体" w:cs="宋体" w:hint="eastAsia"/>
          <w:color w:val="000000"/>
          <w:kern w:val="0"/>
          <w:sz w:val="30"/>
          <w:szCs w:val="30"/>
        </w:rPr>
        <w:t>股。</w:t>
      </w:r>
    </w:p>
    <w:p w14:paraId="3397A215"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上市公司通过回购专用账户所持有本公司股份</w:t>
      </w: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w:t>
      </w:r>
      <w:r>
        <w:rPr>
          <w:rFonts w:ascii="仿宋_GB2312" w:eastAsia="仿宋_GB2312" w:hAnsi="宋体" w:cs="宋体" w:hint="eastAsia"/>
          <w:color w:val="000000"/>
          <w:kern w:val="0"/>
          <w:sz w:val="30"/>
          <w:szCs w:val="30"/>
        </w:rPr>
        <w:t>股（如有），不参与本次利润分配及资本公积金转增股本。</w:t>
      </w:r>
    </w:p>
    <w:p w14:paraId="55812742"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如在本公告披露之日起至实施权益分派股权登记日期间，因可转债转股</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回购股份</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股权激励授予股份回购注销</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重大资产重组股份回购注销等致使公司总股本发生变动的，公司拟维持分配（转增）总额</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每股分配（转增）比例不变，相应调整每股分配（转增）比例</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分配（转增）总额。如后续总股本发生变化</w:t>
      </w:r>
      <w:r>
        <w:rPr>
          <w:rFonts w:ascii="仿宋_GB2312" w:eastAsia="仿宋_GB2312" w:hAnsi="宋体" w:cs="宋体" w:hint="eastAsia"/>
          <w:color w:val="000000"/>
          <w:kern w:val="0"/>
          <w:sz w:val="30"/>
          <w:szCs w:val="30"/>
        </w:rPr>
        <w:t>，将另行公告具体调整情况。</w:t>
      </w:r>
    </w:p>
    <w:p w14:paraId="3D73AE7B"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说明本次利润分配、公积金转增股本方案是否尚需提交</w:t>
      </w:r>
      <w:r>
        <w:rPr>
          <w:rFonts w:ascii="仿宋_GB2312" w:eastAsia="仿宋_GB2312" w:hAnsi="宋体" w:cs="宋体" w:hint="eastAsia"/>
          <w:color w:val="000000"/>
          <w:kern w:val="0"/>
          <w:sz w:val="30"/>
          <w:szCs w:val="30"/>
        </w:rPr>
        <w:t>股东会</w:t>
      </w:r>
      <w:r>
        <w:rPr>
          <w:rFonts w:ascii="仿宋_GB2312" w:eastAsia="仿宋_GB2312" w:hAnsi="宋体" w:cs="宋体" w:hint="eastAsia"/>
          <w:color w:val="000000"/>
          <w:kern w:val="0"/>
          <w:sz w:val="30"/>
          <w:szCs w:val="30"/>
        </w:rPr>
        <w:t>审议。</w:t>
      </w:r>
    </w:p>
    <w:p w14:paraId="34275472" w14:textId="77777777" w:rsidR="006F3D2A" w:rsidRDefault="00291481">
      <w:pPr>
        <w:widowControl/>
        <w:spacing w:line="560" w:lineRule="exact"/>
        <w:ind w:firstLineChars="200" w:firstLine="602"/>
        <w:rPr>
          <w:rFonts w:ascii="仿宋_GB2312" w:eastAsia="仿宋_GB2312" w:hAnsi="宋体" w:cs="宋体"/>
          <w:b/>
          <w:bCs/>
          <w:color w:val="000000"/>
          <w:kern w:val="0"/>
          <w:sz w:val="30"/>
          <w:szCs w:val="30"/>
        </w:rPr>
      </w:pPr>
      <w:r>
        <w:rPr>
          <w:rFonts w:ascii="仿宋_GB2312" w:eastAsia="仿宋_GB2312" w:hAnsi="宋体" w:cs="宋体" w:hint="eastAsia"/>
          <w:b/>
          <w:bCs/>
          <w:color w:val="000000"/>
          <w:kern w:val="0"/>
          <w:sz w:val="30"/>
          <w:szCs w:val="30"/>
        </w:rPr>
        <w:lastRenderedPageBreak/>
        <w:t>（二）是否可能触及其他风险警示情形（适用于年度分红方案）</w:t>
      </w:r>
    </w:p>
    <w:p w14:paraId="3C1362E6"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公司上市满三个完整会计年度，本年度净利润为正值且母公司报表年度末未分配利润为正值的，应当披露以下指标并说明公司是否可能触及其他风险警示情形：</w:t>
      </w:r>
    </w:p>
    <w:tbl>
      <w:tblPr>
        <w:tblStyle w:val="ac"/>
        <w:tblW w:w="0" w:type="auto"/>
        <w:tblLook w:val="04A0" w:firstRow="1" w:lastRow="0" w:firstColumn="1" w:lastColumn="0" w:noHBand="0" w:noVBand="1"/>
      </w:tblPr>
      <w:tblGrid>
        <w:gridCol w:w="4048"/>
        <w:gridCol w:w="1459"/>
        <w:gridCol w:w="1541"/>
        <w:gridCol w:w="1474"/>
      </w:tblGrid>
      <w:tr w:rsidR="006F3D2A" w14:paraId="3E6A3E29" w14:textId="77777777">
        <w:tc>
          <w:tcPr>
            <w:tcW w:w="4048" w:type="dxa"/>
          </w:tcPr>
          <w:p w14:paraId="09AD3252" w14:textId="77777777" w:rsidR="006F3D2A" w:rsidRDefault="00291481">
            <w:pPr>
              <w:autoSpaceDE w:val="0"/>
              <w:autoSpaceDN w:val="0"/>
              <w:adjustRightInd w:val="0"/>
              <w:snapToGrid w:val="0"/>
              <w:spacing w:line="560" w:lineRule="exact"/>
              <w:jc w:val="center"/>
              <w:rPr>
                <w:rFonts w:ascii="Times New Roman" w:eastAsia="仿宋_GB2312" w:hAnsi="Times New Roman"/>
                <w:b/>
                <w:color w:val="000000"/>
                <w:kern w:val="0"/>
                <w:szCs w:val="21"/>
              </w:rPr>
            </w:pPr>
            <w:r>
              <w:rPr>
                <w:rFonts w:ascii="Times New Roman" w:eastAsia="仿宋_GB2312" w:hAnsi="Times New Roman" w:hint="eastAsia"/>
                <w:b/>
                <w:color w:val="000000"/>
                <w:kern w:val="0"/>
                <w:szCs w:val="21"/>
              </w:rPr>
              <w:t>项目</w:t>
            </w:r>
          </w:p>
        </w:tc>
        <w:tc>
          <w:tcPr>
            <w:tcW w:w="1459" w:type="dxa"/>
          </w:tcPr>
          <w:p w14:paraId="180411E6" w14:textId="77777777" w:rsidR="006F3D2A" w:rsidRDefault="00291481">
            <w:pPr>
              <w:autoSpaceDE w:val="0"/>
              <w:autoSpaceDN w:val="0"/>
              <w:adjustRightInd w:val="0"/>
              <w:snapToGrid w:val="0"/>
              <w:spacing w:line="560" w:lineRule="exact"/>
              <w:jc w:val="center"/>
              <w:rPr>
                <w:rFonts w:ascii="Times New Roman" w:eastAsia="仿宋_GB2312" w:hAnsi="Times New Roman"/>
                <w:b/>
                <w:color w:val="000000"/>
                <w:kern w:val="0"/>
                <w:szCs w:val="21"/>
              </w:rPr>
            </w:pPr>
            <w:r>
              <w:rPr>
                <w:rFonts w:ascii="Times New Roman" w:eastAsia="仿宋_GB2312" w:hAnsi="Times New Roman" w:hint="eastAsia"/>
                <w:b/>
                <w:color w:val="000000"/>
                <w:kern w:val="0"/>
                <w:szCs w:val="21"/>
              </w:rPr>
              <w:t>本年度</w:t>
            </w:r>
          </w:p>
        </w:tc>
        <w:tc>
          <w:tcPr>
            <w:tcW w:w="1541" w:type="dxa"/>
          </w:tcPr>
          <w:p w14:paraId="211F86FF" w14:textId="77777777" w:rsidR="006F3D2A" w:rsidRDefault="00291481">
            <w:pPr>
              <w:autoSpaceDE w:val="0"/>
              <w:autoSpaceDN w:val="0"/>
              <w:adjustRightInd w:val="0"/>
              <w:snapToGrid w:val="0"/>
              <w:spacing w:line="560" w:lineRule="exact"/>
              <w:jc w:val="center"/>
              <w:rPr>
                <w:rFonts w:ascii="Times New Roman" w:eastAsia="仿宋_GB2312" w:hAnsi="Times New Roman"/>
                <w:b/>
                <w:color w:val="000000"/>
                <w:kern w:val="0"/>
                <w:szCs w:val="21"/>
              </w:rPr>
            </w:pPr>
            <w:r>
              <w:rPr>
                <w:rFonts w:ascii="Times New Roman" w:eastAsia="仿宋_GB2312" w:hAnsi="Times New Roman" w:hint="eastAsia"/>
                <w:b/>
                <w:color w:val="000000"/>
                <w:kern w:val="0"/>
                <w:szCs w:val="21"/>
              </w:rPr>
              <w:t>上年度</w:t>
            </w:r>
          </w:p>
        </w:tc>
        <w:tc>
          <w:tcPr>
            <w:tcW w:w="1474" w:type="dxa"/>
          </w:tcPr>
          <w:p w14:paraId="609FEC9B" w14:textId="77777777" w:rsidR="006F3D2A" w:rsidRDefault="00291481">
            <w:pPr>
              <w:autoSpaceDE w:val="0"/>
              <w:autoSpaceDN w:val="0"/>
              <w:adjustRightInd w:val="0"/>
              <w:snapToGrid w:val="0"/>
              <w:spacing w:line="560" w:lineRule="exact"/>
              <w:jc w:val="center"/>
              <w:rPr>
                <w:rFonts w:ascii="Times New Roman" w:eastAsia="仿宋_GB2312" w:hAnsi="Times New Roman"/>
                <w:b/>
                <w:color w:val="000000"/>
                <w:kern w:val="0"/>
                <w:szCs w:val="21"/>
              </w:rPr>
            </w:pPr>
            <w:r>
              <w:rPr>
                <w:rFonts w:ascii="Times New Roman" w:eastAsia="仿宋_GB2312" w:hAnsi="Times New Roman" w:hint="eastAsia"/>
                <w:b/>
                <w:color w:val="000000"/>
                <w:kern w:val="0"/>
                <w:szCs w:val="21"/>
              </w:rPr>
              <w:t>上上年度</w:t>
            </w:r>
          </w:p>
        </w:tc>
      </w:tr>
      <w:tr w:rsidR="006F3D2A" w14:paraId="2CC2C576" w14:textId="77777777">
        <w:tc>
          <w:tcPr>
            <w:tcW w:w="4048" w:type="dxa"/>
          </w:tcPr>
          <w:p w14:paraId="1F0212A5"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现金分红总额（元）</w:t>
            </w:r>
          </w:p>
        </w:tc>
        <w:tc>
          <w:tcPr>
            <w:tcW w:w="1459" w:type="dxa"/>
          </w:tcPr>
          <w:p w14:paraId="2861C659"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vertAlign w:val="subscript"/>
              </w:rPr>
            </w:pPr>
            <w:r>
              <w:rPr>
                <w:rFonts w:ascii="Times New Roman" w:eastAsia="仿宋_GB2312" w:hAnsi="Times New Roman" w:hint="eastAsia"/>
                <w:color w:val="000000"/>
                <w:kern w:val="0"/>
                <w:szCs w:val="21"/>
              </w:rPr>
              <w:t>a</w:t>
            </w:r>
            <w:r>
              <w:rPr>
                <w:rFonts w:ascii="Times New Roman" w:eastAsia="仿宋_GB2312" w:hAnsi="Times New Roman" w:hint="eastAsia"/>
                <w:color w:val="000000"/>
                <w:kern w:val="0"/>
                <w:szCs w:val="21"/>
                <w:vertAlign w:val="subscript"/>
              </w:rPr>
              <w:t>1</w:t>
            </w:r>
            <w:r>
              <w:rPr>
                <w:rFonts w:ascii="Times New Roman" w:eastAsia="仿宋_GB2312" w:hAnsi="Times New Roman" w:hint="eastAsia"/>
                <w:color w:val="000000"/>
                <w:kern w:val="0"/>
                <w:szCs w:val="21"/>
              </w:rPr>
              <w:t>（预计数）</w:t>
            </w:r>
          </w:p>
        </w:tc>
        <w:tc>
          <w:tcPr>
            <w:tcW w:w="1541" w:type="dxa"/>
          </w:tcPr>
          <w:p w14:paraId="0A476618"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a</w:t>
            </w:r>
            <w:r>
              <w:rPr>
                <w:rFonts w:ascii="Times New Roman" w:eastAsia="仿宋_GB2312" w:hAnsi="Times New Roman" w:hint="eastAsia"/>
                <w:color w:val="000000"/>
                <w:kern w:val="0"/>
                <w:szCs w:val="21"/>
                <w:vertAlign w:val="subscript"/>
              </w:rPr>
              <w:t>2</w:t>
            </w:r>
            <w:r>
              <w:rPr>
                <w:rFonts w:ascii="Times New Roman" w:eastAsia="仿宋_GB2312" w:hAnsi="Times New Roman" w:hint="eastAsia"/>
                <w:color w:val="000000"/>
                <w:kern w:val="0"/>
                <w:szCs w:val="21"/>
              </w:rPr>
              <w:t>（实施数）</w:t>
            </w:r>
          </w:p>
        </w:tc>
        <w:tc>
          <w:tcPr>
            <w:tcW w:w="1474" w:type="dxa"/>
          </w:tcPr>
          <w:p w14:paraId="760E7267"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a</w:t>
            </w:r>
            <w:r>
              <w:rPr>
                <w:rFonts w:ascii="Times New Roman" w:eastAsia="仿宋_GB2312" w:hAnsi="Times New Roman" w:hint="eastAsia"/>
                <w:color w:val="000000"/>
                <w:kern w:val="0"/>
                <w:szCs w:val="21"/>
                <w:vertAlign w:val="subscript"/>
              </w:rPr>
              <w:t>3</w:t>
            </w:r>
            <w:r>
              <w:rPr>
                <w:rFonts w:ascii="Times New Roman" w:eastAsia="仿宋_GB2312" w:hAnsi="Times New Roman" w:hint="eastAsia"/>
                <w:color w:val="000000"/>
                <w:kern w:val="0"/>
                <w:szCs w:val="21"/>
              </w:rPr>
              <w:t>（实施数）</w:t>
            </w:r>
          </w:p>
        </w:tc>
      </w:tr>
      <w:tr w:rsidR="006F3D2A" w14:paraId="2B2343BF" w14:textId="77777777">
        <w:tc>
          <w:tcPr>
            <w:tcW w:w="4048" w:type="dxa"/>
          </w:tcPr>
          <w:p w14:paraId="780133D4"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回购注销总额（元）</w:t>
            </w:r>
          </w:p>
        </w:tc>
        <w:tc>
          <w:tcPr>
            <w:tcW w:w="1459" w:type="dxa"/>
          </w:tcPr>
          <w:p w14:paraId="4C4B2A22"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vertAlign w:val="subscript"/>
              </w:rPr>
            </w:pPr>
            <w:r>
              <w:rPr>
                <w:rFonts w:ascii="Times New Roman" w:eastAsia="仿宋_GB2312" w:hAnsi="Times New Roman" w:hint="eastAsia"/>
                <w:color w:val="000000"/>
                <w:kern w:val="0"/>
                <w:szCs w:val="21"/>
              </w:rPr>
              <w:t>b</w:t>
            </w:r>
            <w:r>
              <w:rPr>
                <w:rFonts w:ascii="Times New Roman" w:eastAsia="仿宋_GB2312" w:hAnsi="Times New Roman" w:hint="eastAsia"/>
                <w:color w:val="000000"/>
                <w:kern w:val="0"/>
                <w:szCs w:val="21"/>
                <w:vertAlign w:val="subscript"/>
              </w:rPr>
              <w:t>1</w:t>
            </w:r>
          </w:p>
        </w:tc>
        <w:tc>
          <w:tcPr>
            <w:tcW w:w="1541" w:type="dxa"/>
          </w:tcPr>
          <w:p w14:paraId="146A851E"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b</w:t>
            </w:r>
            <w:r>
              <w:rPr>
                <w:rFonts w:ascii="Times New Roman" w:eastAsia="仿宋_GB2312" w:hAnsi="Times New Roman" w:hint="eastAsia"/>
                <w:color w:val="000000"/>
                <w:kern w:val="0"/>
                <w:szCs w:val="21"/>
                <w:vertAlign w:val="subscript"/>
              </w:rPr>
              <w:t>2</w:t>
            </w:r>
          </w:p>
        </w:tc>
        <w:tc>
          <w:tcPr>
            <w:tcW w:w="1474" w:type="dxa"/>
          </w:tcPr>
          <w:p w14:paraId="6B329A52"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b</w:t>
            </w:r>
            <w:r>
              <w:rPr>
                <w:rFonts w:ascii="Times New Roman" w:eastAsia="仿宋_GB2312" w:hAnsi="Times New Roman" w:hint="eastAsia"/>
                <w:color w:val="000000"/>
                <w:kern w:val="0"/>
                <w:szCs w:val="21"/>
                <w:vertAlign w:val="subscript"/>
              </w:rPr>
              <w:t>3</w:t>
            </w:r>
          </w:p>
        </w:tc>
      </w:tr>
      <w:tr w:rsidR="006F3D2A" w14:paraId="38C2B615" w14:textId="77777777">
        <w:tc>
          <w:tcPr>
            <w:tcW w:w="4048" w:type="dxa"/>
          </w:tcPr>
          <w:p w14:paraId="43881546"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归属于上市公司股东的净利润（元）</w:t>
            </w:r>
          </w:p>
        </w:tc>
        <w:tc>
          <w:tcPr>
            <w:tcW w:w="1459" w:type="dxa"/>
          </w:tcPr>
          <w:p w14:paraId="428EDA7F"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c</w:t>
            </w:r>
            <w:r>
              <w:rPr>
                <w:rFonts w:ascii="Times New Roman" w:eastAsia="仿宋_GB2312" w:hAnsi="Times New Roman" w:hint="eastAsia"/>
                <w:color w:val="000000"/>
                <w:kern w:val="0"/>
                <w:szCs w:val="21"/>
                <w:vertAlign w:val="subscript"/>
              </w:rPr>
              <w:t>1</w:t>
            </w:r>
          </w:p>
        </w:tc>
        <w:tc>
          <w:tcPr>
            <w:tcW w:w="1541" w:type="dxa"/>
          </w:tcPr>
          <w:p w14:paraId="525AA404"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c</w:t>
            </w:r>
            <w:r>
              <w:rPr>
                <w:rFonts w:ascii="Times New Roman" w:eastAsia="仿宋_GB2312" w:hAnsi="Times New Roman" w:hint="eastAsia"/>
                <w:color w:val="000000"/>
                <w:kern w:val="0"/>
                <w:szCs w:val="21"/>
                <w:vertAlign w:val="subscript"/>
              </w:rPr>
              <w:t>2</w:t>
            </w:r>
          </w:p>
        </w:tc>
        <w:tc>
          <w:tcPr>
            <w:tcW w:w="1474" w:type="dxa"/>
          </w:tcPr>
          <w:p w14:paraId="0319DC42" w14:textId="77777777" w:rsidR="006F3D2A" w:rsidRDefault="00291481">
            <w:pPr>
              <w:autoSpaceDE w:val="0"/>
              <w:autoSpaceDN w:val="0"/>
              <w:adjustRightInd w:val="0"/>
              <w:snapToGrid w:val="0"/>
              <w:spacing w:line="560" w:lineRule="exact"/>
              <w:jc w:val="center"/>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c</w:t>
            </w:r>
            <w:r>
              <w:rPr>
                <w:rFonts w:ascii="Times New Roman" w:eastAsia="仿宋_GB2312" w:hAnsi="Times New Roman" w:hint="eastAsia"/>
                <w:color w:val="000000"/>
                <w:kern w:val="0"/>
                <w:szCs w:val="21"/>
                <w:vertAlign w:val="subscript"/>
              </w:rPr>
              <w:t>3</w:t>
            </w:r>
          </w:p>
        </w:tc>
      </w:tr>
      <w:tr w:rsidR="006F3D2A" w14:paraId="13C0AA39" w14:textId="77777777">
        <w:tc>
          <w:tcPr>
            <w:tcW w:w="4048" w:type="dxa"/>
          </w:tcPr>
          <w:p w14:paraId="7E6BD77C"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母公司报表本年度末累计未分配利润（元）</w:t>
            </w:r>
          </w:p>
        </w:tc>
        <w:tc>
          <w:tcPr>
            <w:tcW w:w="4474" w:type="dxa"/>
            <w:gridSpan w:val="3"/>
          </w:tcPr>
          <w:p w14:paraId="23CB0A1C" w14:textId="77777777" w:rsidR="006F3D2A" w:rsidRDefault="006F3D2A">
            <w:pPr>
              <w:autoSpaceDE w:val="0"/>
              <w:autoSpaceDN w:val="0"/>
              <w:adjustRightInd w:val="0"/>
              <w:snapToGrid w:val="0"/>
              <w:spacing w:line="560" w:lineRule="exact"/>
              <w:rPr>
                <w:rFonts w:ascii="Times New Roman" w:eastAsia="仿宋_GB2312" w:hAnsi="Times New Roman"/>
                <w:color w:val="000000"/>
                <w:kern w:val="0"/>
                <w:szCs w:val="21"/>
              </w:rPr>
            </w:pPr>
          </w:p>
        </w:tc>
      </w:tr>
      <w:tr w:rsidR="006F3D2A" w14:paraId="2D33E8C7" w14:textId="77777777">
        <w:tc>
          <w:tcPr>
            <w:tcW w:w="4048" w:type="dxa"/>
          </w:tcPr>
          <w:p w14:paraId="6624580A"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最近三个会计年度累计现金分红总额（元）</w:t>
            </w:r>
          </w:p>
        </w:tc>
        <w:tc>
          <w:tcPr>
            <w:tcW w:w="4474" w:type="dxa"/>
            <w:gridSpan w:val="3"/>
          </w:tcPr>
          <w:p w14:paraId="355A4FBF"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A= a</w:t>
            </w:r>
            <w:r>
              <w:rPr>
                <w:rFonts w:ascii="Times New Roman" w:eastAsia="仿宋_GB2312" w:hAnsi="Times New Roman" w:hint="eastAsia"/>
                <w:color w:val="000000"/>
                <w:kern w:val="0"/>
                <w:szCs w:val="21"/>
                <w:vertAlign w:val="subscript"/>
              </w:rPr>
              <w:t>1</w:t>
            </w:r>
            <w:r>
              <w:rPr>
                <w:rFonts w:ascii="Times New Roman" w:eastAsia="仿宋_GB2312" w:hAnsi="Times New Roman" w:hint="eastAsia"/>
                <w:color w:val="000000"/>
                <w:kern w:val="0"/>
                <w:szCs w:val="21"/>
              </w:rPr>
              <w:t>+ a</w:t>
            </w:r>
            <w:r>
              <w:rPr>
                <w:rFonts w:ascii="Times New Roman" w:eastAsia="仿宋_GB2312" w:hAnsi="Times New Roman" w:hint="eastAsia"/>
                <w:color w:val="000000"/>
                <w:kern w:val="0"/>
                <w:szCs w:val="21"/>
                <w:vertAlign w:val="subscript"/>
              </w:rPr>
              <w:t>2</w:t>
            </w:r>
            <w:r>
              <w:rPr>
                <w:rFonts w:ascii="Times New Roman" w:eastAsia="仿宋_GB2312" w:hAnsi="Times New Roman" w:hint="eastAsia"/>
                <w:color w:val="000000"/>
                <w:kern w:val="0"/>
                <w:szCs w:val="21"/>
              </w:rPr>
              <w:t>+ a</w:t>
            </w:r>
            <w:r>
              <w:rPr>
                <w:rFonts w:ascii="Times New Roman" w:eastAsia="仿宋_GB2312" w:hAnsi="Times New Roman" w:hint="eastAsia"/>
                <w:color w:val="000000"/>
                <w:kern w:val="0"/>
                <w:szCs w:val="21"/>
                <w:vertAlign w:val="subscript"/>
              </w:rPr>
              <w:t>3</w:t>
            </w:r>
          </w:p>
        </w:tc>
      </w:tr>
      <w:tr w:rsidR="006F3D2A" w14:paraId="14B1D072" w14:textId="77777777">
        <w:tc>
          <w:tcPr>
            <w:tcW w:w="4048" w:type="dxa"/>
          </w:tcPr>
          <w:p w14:paraId="24D417E5"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最近三个会计年度累计回购注销总额（元）</w:t>
            </w:r>
          </w:p>
        </w:tc>
        <w:tc>
          <w:tcPr>
            <w:tcW w:w="4474" w:type="dxa"/>
            <w:gridSpan w:val="3"/>
          </w:tcPr>
          <w:p w14:paraId="4DD6749E"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B= b</w:t>
            </w:r>
            <w:r>
              <w:rPr>
                <w:rFonts w:ascii="Times New Roman" w:eastAsia="仿宋_GB2312" w:hAnsi="Times New Roman" w:hint="eastAsia"/>
                <w:color w:val="000000"/>
                <w:kern w:val="0"/>
                <w:szCs w:val="21"/>
                <w:vertAlign w:val="subscript"/>
              </w:rPr>
              <w:t>1</w:t>
            </w:r>
            <w:r>
              <w:rPr>
                <w:rFonts w:ascii="Times New Roman" w:eastAsia="仿宋_GB2312" w:hAnsi="Times New Roman" w:hint="eastAsia"/>
                <w:color w:val="000000"/>
                <w:kern w:val="0"/>
                <w:szCs w:val="21"/>
              </w:rPr>
              <w:t>+ b</w:t>
            </w:r>
            <w:r>
              <w:rPr>
                <w:rFonts w:ascii="Times New Roman" w:eastAsia="仿宋_GB2312" w:hAnsi="Times New Roman" w:hint="eastAsia"/>
                <w:color w:val="000000"/>
                <w:kern w:val="0"/>
                <w:szCs w:val="21"/>
                <w:vertAlign w:val="subscript"/>
              </w:rPr>
              <w:t>2</w:t>
            </w:r>
            <w:r>
              <w:rPr>
                <w:rFonts w:ascii="Times New Roman" w:eastAsia="仿宋_GB2312" w:hAnsi="Times New Roman" w:hint="eastAsia"/>
                <w:color w:val="000000"/>
                <w:kern w:val="0"/>
                <w:szCs w:val="21"/>
              </w:rPr>
              <w:t>+ b</w:t>
            </w:r>
            <w:r>
              <w:rPr>
                <w:rFonts w:ascii="Times New Roman" w:eastAsia="仿宋_GB2312" w:hAnsi="Times New Roman" w:hint="eastAsia"/>
                <w:color w:val="000000"/>
                <w:kern w:val="0"/>
                <w:szCs w:val="21"/>
                <w:vertAlign w:val="subscript"/>
              </w:rPr>
              <w:t>3</w:t>
            </w:r>
          </w:p>
        </w:tc>
      </w:tr>
      <w:tr w:rsidR="006F3D2A" w14:paraId="23916732" w14:textId="77777777">
        <w:tc>
          <w:tcPr>
            <w:tcW w:w="4048" w:type="dxa"/>
          </w:tcPr>
          <w:p w14:paraId="72D7BEEA"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最近三个会计年度平均净利润（元）</w:t>
            </w:r>
          </w:p>
        </w:tc>
        <w:tc>
          <w:tcPr>
            <w:tcW w:w="4474" w:type="dxa"/>
            <w:gridSpan w:val="3"/>
          </w:tcPr>
          <w:p w14:paraId="382F782B"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color w:val="000000"/>
                <w:kern w:val="0"/>
                <w:szCs w:val="21"/>
              </w:rPr>
              <w:t>C</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c</w:t>
            </w:r>
            <w:r>
              <w:rPr>
                <w:rFonts w:ascii="Times New Roman" w:eastAsia="仿宋_GB2312" w:hAnsi="Times New Roman" w:hint="eastAsia"/>
                <w:color w:val="000000"/>
                <w:kern w:val="0"/>
                <w:szCs w:val="21"/>
                <w:vertAlign w:val="subscript"/>
              </w:rPr>
              <w:t>1</w:t>
            </w:r>
            <w:r>
              <w:rPr>
                <w:rFonts w:ascii="Times New Roman" w:eastAsia="仿宋_GB2312" w:hAnsi="Times New Roman" w:hint="eastAsia"/>
                <w:color w:val="000000"/>
                <w:kern w:val="0"/>
                <w:szCs w:val="21"/>
              </w:rPr>
              <w:t>+ c</w:t>
            </w:r>
            <w:r>
              <w:rPr>
                <w:rFonts w:ascii="Times New Roman" w:eastAsia="仿宋_GB2312" w:hAnsi="Times New Roman" w:hint="eastAsia"/>
                <w:color w:val="000000"/>
                <w:kern w:val="0"/>
                <w:szCs w:val="21"/>
                <w:vertAlign w:val="subscript"/>
              </w:rPr>
              <w:t>2</w:t>
            </w:r>
            <w:r>
              <w:rPr>
                <w:rFonts w:ascii="Times New Roman" w:eastAsia="仿宋_GB2312" w:hAnsi="Times New Roman" w:hint="eastAsia"/>
                <w:color w:val="000000"/>
                <w:kern w:val="0"/>
                <w:szCs w:val="21"/>
              </w:rPr>
              <w:t>+ c</w:t>
            </w:r>
            <w:r>
              <w:rPr>
                <w:rFonts w:ascii="Times New Roman" w:eastAsia="仿宋_GB2312" w:hAnsi="Times New Roman" w:hint="eastAsia"/>
                <w:color w:val="000000"/>
                <w:kern w:val="0"/>
                <w:szCs w:val="21"/>
                <w:vertAlign w:val="subscript"/>
              </w:rPr>
              <w:t>3</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/3</w:t>
            </w:r>
          </w:p>
        </w:tc>
      </w:tr>
      <w:tr w:rsidR="006F3D2A" w14:paraId="25B978B6" w14:textId="77777777">
        <w:tc>
          <w:tcPr>
            <w:tcW w:w="4048" w:type="dxa"/>
          </w:tcPr>
          <w:p w14:paraId="7C16507E"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最近三个会计年度累计现金分红及回购注销总额（元）</w:t>
            </w:r>
          </w:p>
        </w:tc>
        <w:tc>
          <w:tcPr>
            <w:tcW w:w="4474" w:type="dxa"/>
            <w:gridSpan w:val="3"/>
          </w:tcPr>
          <w:p w14:paraId="33C0C8B7"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D=A+B</w:t>
            </w:r>
          </w:p>
        </w:tc>
      </w:tr>
      <w:tr w:rsidR="006F3D2A" w14:paraId="5C8A2204" w14:textId="77777777">
        <w:tc>
          <w:tcPr>
            <w:tcW w:w="4048" w:type="dxa"/>
          </w:tcPr>
          <w:p w14:paraId="10714714" w14:textId="77777777" w:rsidR="006F3D2A" w:rsidRDefault="00291481">
            <w:pPr>
              <w:autoSpaceDE w:val="0"/>
              <w:autoSpaceDN w:val="0"/>
              <w:adjustRightInd w:val="0"/>
              <w:snapToGrid w:val="0"/>
              <w:spacing w:line="560" w:lineRule="exact"/>
              <w:rPr>
                <w:rFonts w:ascii="Times New Roman" w:eastAsia="仿宋_GB2312" w:hAnsi="Times New Roman"/>
                <w:color w:val="000000" w:themeColor="text1"/>
                <w:kern w:val="0"/>
                <w:szCs w:val="21"/>
              </w:rPr>
            </w:pPr>
            <w:r>
              <w:rPr>
                <w:rFonts w:ascii="Times New Roman" w:eastAsia="仿宋_GB2312" w:hAnsi="Times New Roman" w:hint="eastAsia"/>
                <w:color w:val="000000" w:themeColor="text1"/>
                <w:kern w:val="0"/>
                <w:szCs w:val="21"/>
              </w:rPr>
              <w:t>最近三个会计年度累计现金分红及回购注销总额（</w:t>
            </w:r>
            <w:r>
              <w:rPr>
                <w:rFonts w:ascii="Times New Roman" w:eastAsia="仿宋_GB2312" w:hAnsi="Times New Roman" w:hint="eastAsia"/>
                <w:color w:val="000000" w:themeColor="text1"/>
                <w:kern w:val="0"/>
                <w:szCs w:val="21"/>
              </w:rPr>
              <w:t>D</w:t>
            </w:r>
            <w:r>
              <w:rPr>
                <w:rFonts w:ascii="Times New Roman" w:eastAsia="仿宋_GB2312" w:hAnsi="Times New Roman" w:hint="eastAsia"/>
                <w:color w:val="000000" w:themeColor="text1"/>
                <w:kern w:val="0"/>
                <w:szCs w:val="21"/>
              </w:rPr>
              <w:t>）是否低于</w:t>
            </w:r>
            <w:r>
              <w:rPr>
                <w:rFonts w:ascii="Times New Roman" w:eastAsia="仿宋_GB2312" w:hAnsi="Times New Roman" w:hint="eastAsia"/>
                <w:color w:val="000000" w:themeColor="text1"/>
                <w:kern w:val="0"/>
                <w:szCs w:val="21"/>
              </w:rPr>
              <w:t>3000</w:t>
            </w:r>
            <w:r>
              <w:rPr>
                <w:rFonts w:ascii="Times New Roman" w:eastAsia="仿宋_GB2312" w:hAnsi="Times New Roman" w:hint="eastAsia"/>
                <w:color w:val="000000" w:themeColor="text1"/>
                <w:kern w:val="0"/>
                <w:szCs w:val="21"/>
              </w:rPr>
              <w:t>万元</w:t>
            </w:r>
          </w:p>
        </w:tc>
        <w:tc>
          <w:tcPr>
            <w:tcW w:w="4474" w:type="dxa"/>
            <w:gridSpan w:val="3"/>
          </w:tcPr>
          <w:p w14:paraId="0F71D986" w14:textId="77777777" w:rsidR="006F3D2A" w:rsidRDefault="00291481">
            <w:pPr>
              <w:autoSpaceDE w:val="0"/>
              <w:autoSpaceDN w:val="0"/>
              <w:adjustRightInd w:val="0"/>
              <w:snapToGrid w:val="0"/>
              <w:spacing w:line="560" w:lineRule="exact"/>
              <w:rPr>
                <w:rFonts w:ascii="Times New Roman" w:eastAsia="仿宋_GB2312" w:hAnsi="Times New Roman"/>
                <w:color w:val="000000" w:themeColor="text1"/>
                <w:kern w:val="0"/>
                <w:szCs w:val="21"/>
              </w:rPr>
            </w:pPr>
            <w:r>
              <w:rPr>
                <w:rFonts w:ascii="Times New Roman" w:eastAsia="仿宋_GB2312" w:hAnsi="Times New Roman" w:hint="eastAsia"/>
                <w:bCs/>
                <w:color w:val="000000" w:themeColor="text1"/>
                <w:kern w:val="0"/>
                <w:szCs w:val="21"/>
              </w:rPr>
              <w:t>是</w:t>
            </w:r>
            <w:r>
              <w:rPr>
                <w:rFonts w:ascii="Times New Roman" w:eastAsia="仿宋_GB2312" w:hAnsi="Times New Roman" w:hint="eastAsia"/>
                <w:bCs/>
                <w:color w:val="000000" w:themeColor="text1"/>
                <w:kern w:val="0"/>
                <w:szCs w:val="21"/>
              </w:rPr>
              <w:t>/</w:t>
            </w:r>
            <w:r>
              <w:rPr>
                <w:rFonts w:ascii="Times New Roman" w:eastAsia="仿宋_GB2312" w:hAnsi="Times New Roman" w:hint="eastAsia"/>
                <w:bCs/>
                <w:color w:val="000000" w:themeColor="text1"/>
                <w:kern w:val="0"/>
                <w:szCs w:val="21"/>
              </w:rPr>
              <w:t>否</w:t>
            </w:r>
          </w:p>
        </w:tc>
      </w:tr>
      <w:tr w:rsidR="006F3D2A" w14:paraId="649A5002" w14:textId="77777777">
        <w:tc>
          <w:tcPr>
            <w:tcW w:w="4048" w:type="dxa"/>
          </w:tcPr>
          <w:p w14:paraId="2280BB62"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现金分红比例（</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w:t>
            </w:r>
          </w:p>
        </w:tc>
        <w:tc>
          <w:tcPr>
            <w:tcW w:w="4474" w:type="dxa"/>
            <w:gridSpan w:val="3"/>
          </w:tcPr>
          <w:p w14:paraId="34ED0035"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E=D/C</w:t>
            </w:r>
          </w:p>
        </w:tc>
      </w:tr>
      <w:tr w:rsidR="006F3D2A" w14:paraId="6B0BFAF6" w14:textId="77777777">
        <w:tc>
          <w:tcPr>
            <w:tcW w:w="4048" w:type="dxa"/>
          </w:tcPr>
          <w:p w14:paraId="3EE9E61A"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现金分红比例（</w:t>
            </w:r>
            <w:r>
              <w:rPr>
                <w:rFonts w:ascii="Times New Roman" w:eastAsia="仿宋_GB2312" w:hAnsi="Times New Roman" w:hint="eastAsia"/>
                <w:color w:val="000000"/>
                <w:kern w:val="0"/>
                <w:szCs w:val="21"/>
              </w:rPr>
              <w:t>E</w:t>
            </w:r>
            <w:r>
              <w:rPr>
                <w:rFonts w:ascii="Times New Roman" w:eastAsia="仿宋_GB2312" w:hAnsi="Times New Roman" w:hint="eastAsia"/>
                <w:color w:val="000000"/>
                <w:kern w:val="0"/>
                <w:szCs w:val="21"/>
              </w:rPr>
              <w:t>）是否低于</w:t>
            </w:r>
            <w:r>
              <w:rPr>
                <w:rFonts w:ascii="Times New Roman" w:eastAsia="仿宋_GB2312" w:hAnsi="Times New Roman" w:hint="eastAsia"/>
                <w:color w:val="000000"/>
                <w:kern w:val="0"/>
                <w:szCs w:val="21"/>
              </w:rPr>
              <w:t>30%</w:t>
            </w:r>
          </w:p>
        </w:tc>
        <w:tc>
          <w:tcPr>
            <w:tcW w:w="4474" w:type="dxa"/>
            <w:gridSpan w:val="3"/>
          </w:tcPr>
          <w:p w14:paraId="7F9BB718"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是</w:t>
            </w:r>
            <w:r>
              <w:rPr>
                <w:rFonts w:ascii="Times New Roman" w:eastAsia="仿宋_GB2312" w:hAnsi="Times New Roman" w:hint="eastAsia"/>
                <w:bCs/>
                <w:color w:val="000000"/>
                <w:kern w:val="0"/>
                <w:szCs w:val="21"/>
              </w:rPr>
              <w:t>/</w:t>
            </w:r>
            <w:r>
              <w:rPr>
                <w:rFonts w:ascii="Times New Roman" w:eastAsia="仿宋_GB2312" w:hAnsi="Times New Roman" w:hint="eastAsia"/>
                <w:bCs/>
                <w:color w:val="000000"/>
                <w:kern w:val="0"/>
                <w:szCs w:val="21"/>
              </w:rPr>
              <w:t>否</w:t>
            </w:r>
          </w:p>
        </w:tc>
      </w:tr>
      <w:tr w:rsidR="006F3D2A" w14:paraId="07D9773D" w14:textId="77777777">
        <w:tc>
          <w:tcPr>
            <w:tcW w:w="4048" w:type="dxa"/>
          </w:tcPr>
          <w:p w14:paraId="226451E6"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最近三个会计年度累计研发投入金额（元）</w:t>
            </w:r>
          </w:p>
        </w:tc>
        <w:tc>
          <w:tcPr>
            <w:tcW w:w="4474" w:type="dxa"/>
            <w:gridSpan w:val="3"/>
            <w:vAlign w:val="center"/>
          </w:tcPr>
          <w:p w14:paraId="54DE4A6A"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F</w:t>
            </w:r>
          </w:p>
        </w:tc>
      </w:tr>
      <w:tr w:rsidR="006F3D2A" w14:paraId="41BFEDC7" w14:textId="77777777">
        <w:tc>
          <w:tcPr>
            <w:tcW w:w="4048" w:type="dxa"/>
          </w:tcPr>
          <w:p w14:paraId="39532584"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最近三个会计年度累计研发投入金额是否在</w:t>
            </w:r>
            <w:r>
              <w:rPr>
                <w:rFonts w:ascii="Times New Roman" w:eastAsia="仿宋_GB2312" w:hAnsi="Times New Roman" w:hint="eastAsia"/>
                <w:color w:val="000000"/>
                <w:kern w:val="0"/>
                <w:szCs w:val="21"/>
              </w:rPr>
              <w:t>3</w:t>
            </w:r>
            <w:r>
              <w:rPr>
                <w:rFonts w:ascii="Times New Roman" w:eastAsia="仿宋_GB2312" w:hAnsi="Times New Roman" w:hint="eastAsia"/>
                <w:color w:val="000000"/>
                <w:kern w:val="0"/>
                <w:szCs w:val="21"/>
              </w:rPr>
              <w:t>亿元以上</w:t>
            </w:r>
          </w:p>
        </w:tc>
        <w:tc>
          <w:tcPr>
            <w:tcW w:w="4474" w:type="dxa"/>
            <w:gridSpan w:val="3"/>
          </w:tcPr>
          <w:p w14:paraId="7A491C9E"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是</w:t>
            </w:r>
            <w:r>
              <w:rPr>
                <w:rFonts w:ascii="Times New Roman" w:eastAsia="仿宋_GB2312" w:hAnsi="Times New Roman" w:hint="eastAsia"/>
                <w:bCs/>
                <w:color w:val="000000"/>
                <w:kern w:val="0"/>
                <w:szCs w:val="21"/>
              </w:rPr>
              <w:t>/</w:t>
            </w:r>
            <w:r>
              <w:rPr>
                <w:rFonts w:ascii="Times New Roman" w:eastAsia="仿宋_GB2312" w:hAnsi="Times New Roman" w:hint="eastAsia"/>
                <w:bCs/>
                <w:color w:val="000000"/>
                <w:kern w:val="0"/>
                <w:szCs w:val="21"/>
              </w:rPr>
              <w:t>否</w:t>
            </w:r>
          </w:p>
        </w:tc>
      </w:tr>
      <w:tr w:rsidR="006F3D2A" w14:paraId="3DC73CD1" w14:textId="77777777">
        <w:tc>
          <w:tcPr>
            <w:tcW w:w="4048" w:type="dxa"/>
          </w:tcPr>
          <w:p w14:paraId="5F777EA3"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最近三个会计年度累计营业收入（元）</w:t>
            </w:r>
          </w:p>
        </w:tc>
        <w:tc>
          <w:tcPr>
            <w:tcW w:w="4474" w:type="dxa"/>
            <w:gridSpan w:val="3"/>
          </w:tcPr>
          <w:p w14:paraId="59707C20"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G</w:t>
            </w:r>
          </w:p>
        </w:tc>
      </w:tr>
      <w:tr w:rsidR="006F3D2A" w14:paraId="28017FC9" w14:textId="77777777">
        <w:tc>
          <w:tcPr>
            <w:tcW w:w="4048" w:type="dxa"/>
          </w:tcPr>
          <w:p w14:paraId="28C5DEB6"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color w:val="000000"/>
                <w:kern w:val="0"/>
                <w:szCs w:val="21"/>
              </w:rPr>
              <w:t>最近三个会计年度累计研发投入占累计营</w:t>
            </w:r>
            <w:r>
              <w:rPr>
                <w:rFonts w:ascii="Times New Roman" w:eastAsia="仿宋_GB2312" w:hAnsi="Times New Roman"/>
                <w:color w:val="000000"/>
                <w:kern w:val="0"/>
                <w:szCs w:val="21"/>
              </w:rPr>
              <w:lastRenderedPageBreak/>
              <w:t>业收入比例</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w:t>
            </w:r>
          </w:p>
        </w:tc>
        <w:tc>
          <w:tcPr>
            <w:tcW w:w="4474" w:type="dxa"/>
            <w:gridSpan w:val="3"/>
          </w:tcPr>
          <w:p w14:paraId="03E2DCC9"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lastRenderedPageBreak/>
              <w:t>H=F/G</w:t>
            </w:r>
          </w:p>
        </w:tc>
      </w:tr>
      <w:tr w:rsidR="006F3D2A" w14:paraId="3ECEDCCF" w14:textId="77777777">
        <w:tc>
          <w:tcPr>
            <w:tcW w:w="4048" w:type="dxa"/>
          </w:tcPr>
          <w:p w14:paraId="65BA5582"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color w:val="000000"/>
                <w:kern w:val="0"/>
                <w:szCs w:val="21"/>
              </w:rPr>
              <w:lastRenderedPageBreak/>
              <w:t>最近三个会计年度累计研发投入占累计营业收入比例</w:t>
            </w:r>
            <w:r>
              <w:rPr>
                <w:rFonts w:ascii="Times New Roman" w:eastAsia="仿宋_GB2312" w:hAnsi="Times New Roman" w:hint="eastAsia"/>
                <w:color w:val="000000"/>
                <w:kern w:val="0"/>
                <w:szCs w:val="21"/>
              </w:rPr>
              <w:t>（</w:t>
            </w:r>
            <w:r>
              <w:rPr>
                <w:rFonts w:ascii="Times New Roman" w:eastAsia="仿宋_GB2312" w:hAnsi="Times New Roman" w:hint="eastAsia"/>
                <w:color w:val="000000"/>
                <w:kern w:val="0"/>
                <w:szCs w:val="21"/>
              </w:rPr>
              <w:t>H</w:t>
            </w:r>
            <w:r>
              <w:rPr>
                <w:rFonts w:ascii="Times New Roman" w:eastAsia="仿宋_GB2312" w:hAnsi="Times New Roman" w:hint="eastAsia"/>
                <w:color w:val="000000"/>
                <w:kern w:val="0"/>
                <w:szCs w:val="21"/>
              </w:rPr>
              <w:t>）是否</w:t>
            </w:r>
            <w:r>
              <w:rPr>
                <w:rFonts w:ascii="Times New Roman" w:eastAsia="仿宋_GB2312" w:hAnsi="Times New Roman"/>
                <w:color w:val="000000"/>
                <w:kern w:val="0"/>
                <w:szCs w:val="21"/>
              </w:rPr>
              <w:t>在</w:t>
            </w:r>
            <w:r>
              <w:rPr>
                <w:rFonts w:ascii="Times New Roman" w:eastAsia="仿宋_GB2312" w:hAnsi="Times New Roman"/>
                <w:color w:val="000000"/>
                <w:kern w:val="0"/>
                <w:szCs w:val="21"/>
              </w:rPr>
              <w:t>15%</w:t>
            </w:r>
            <w:r>
              <w:rPr>
                <w:rFonts w:ascii="Times New Roman" w:eastAsia="仿宋_GB2312" w:hAnsi="Times New Roman"/>
                <w:color w:val="000000"/>
                <w:kern w:val="0"/>
                <w:szCs w:val="21"/>
              </w:rPr>
              <w:t>以上</w:t>
            </w:r>
          </w:p>
        </w:tc>
        <w:tc>
          <w:tcPr>
            <w:tcW w:w="4474" w:type="dxa"/>
            <w:gridSpan w:val="3"/>
          </w:tcPr>
          <w:p w14:paraId="4D65C2ED"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是</w:t>
            </w:r>
            <w:r>
              <w:rPr>
                <w:rFonts w:ascii="Times New Roman" w:eastAsia="仿宋_GB2312" w:hAnsi="Times New Roman" w:hint="eastAsia"/>
                <w:bCs/>
                <w:color w:val="000000"/>
                <w:kern w:val="0"/>
                <w:szCs w:val="21"/>
              </w:rPr>
              <w:t>/</w:t>
            </w:r>
            <w:r>
              <w:rPr>
                <w:rFonts w:ascii="Times New Roman" w:eastAsia="仿宋_GB2312" w:hAnsi="Times New Roman" w:hint="eastAsia"/>
                <w:bCs/>
                <w:color w:val="000000"/>
                <w:kern w:val="0"/>
                <w:szCs w:val="21"/>
              </w:rPr>
              <w:t>否</w:t>
            </w:r>
          </w:p>
        </w:tc>
      </w:tr>
      <w:tr w:rsidR="006F3D2A" w14:paraId="68FD780E" w14:textId="77777777">
        <w:tc>
          <w:tcPr>
            <w:tcW w:w="4048" w:type="dxa"/>
          </w:tcPr>
          <w:p w14:paraId="5BC41C55" w14:textId="77777777" w:rsidR="006F3D2A" w:rsidRDefault="00291481">
            <w:pPr>
              <w:autoSpaceDE w:val="0"/>
              <w:autoSpaceDN w:val="0"/>
              <w:adjustRightInd w:val="0"/>
              <w:snapToGrid w:val="0"/>
              <w:spacing w:line="560" w:lineRule="exact"/>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是否触及《科创板股票上市规则》第</w:t>
            </w:r>
            <w:r>
              <w:rPr>
                <w:rFonts w:ascii="Times New Roman" w:eastAsia="仿宋_GB2312" w:hAnsi="Times New Roman" w:hint="eastAsia"/>
                <w:color w:val="000000"/>
                <w:kern w:val="0"/>
                <w:szCs w:val="21"/>
              </w:rPr>
              <w:t>12.9.1</w:t>
            </w:r>
            <w:r>
              <w:rPr>
                <w:rFonts w:ascii="Times New Roman" w:eastAsia="仿宋_GB2312" w:hAnsi="Times New Roman" w:hint="eastAsia"/>
                <w:color w:val="000000"/>
                <w:kern w:val="0"/>
                <w:szCs w:val="21"/>
              </w:rPr>
              <w:t>条第一款第（八）项规定的可能被实施其他风险警示的情形</w:t>
            </w:r>
          </w:p>
        </w:tc>
        <w:tc>
          <w:tcPr>
            <w:tcW w:w="4474" w:type="dxa"/>
            <w:gridSpan w:val="3"/>
          </w:tcPr>
          <w:p w14:paraId="1FDDAFA5" w14:textId="77777777" w:rsidR="006F3D2A" w:rsidRDefault="00291481">
            <w:pPr>
              <w:autoSpaceDE w:val="0"/>
              <w:autoSpaceDN w:val="0"/>
              <w:adjustRightInd w:val="0"/>
              <w:snapToGrid w:val="0"/>
              <w:spacing w:line="560" w:lineRule="exact"/>
              <w:jc w:val="left"/>
              <w:rPr>
                <w:rFonts w:ascii="Times New Roman" w:eastAsia="仿宋_GB2312" w:hAnsi="Times New Roman"/>
                <w:bCs/>
                <w:color w:val="000000"/>
                <w:kern w:val="0"/>
                <w:szCs w:val="21"/>
              </w:rPr>
            </w:pPr>
            <w:r>
              <w:rPr>
                <w:rFonts w:ascii="Times New Roman" w:eastAsia="仿宋_GB2312" w:hAnsi="Times New Roman" w:hint="eastAsia"/>
                <w:bCs/>
                <w:color w:val="000000"/>
                <w:kern w:val="0"/>
                <w:szCs w:val="21"/>
              </w:rPr>
              <w:t>是</w:t>
            </w:r>
            <w:r>
              <w:rPr>
                <w:rFonts w:ascii="Times New Roman" w:eastAsia="仿宋_GB2312" w:hAnsi="Times New Roman" w:hint="eastAsia"/>
                <w:bCs/>
                <w:color w:val="000000"/>
                <w:kern w:val="0"/>
                <w:szCs w:val="21"/>
              </w:rPr>
              <w:t>/</w:t>
            </w:r>
            <w:r>
              <w:rPr>
                <w:rFonts w:ascii="Times New Roman" w:eastAsia="仿宋_GB2312" w:hAnsi="Times New Roman" w:hint="eastAsia"/>
                <w:bCs/>
                <w:color w:val="000000"/>
                <w:kern w:val="0"/>
                <w:szCs w:val="21"/>
              </w:rPr>
              <w:t>否</w:t>
            </w:r>
          </w:p>
        </w:tc>
      </w:tr>
    </w:tbl>
    <w:p w14:paraId="322A59F8" w14:textId="77777777" w:rsidR="006F3D2A" w:rsidRDefault="00291481">
      <w:pPr>
        <w:autoSpaceDE w:val="0"/>
        <w:autoSpaceDN w:val="0"/>
        <w:adjustRightInd w:val="0"/>
        <w:snapToGrid w:val="0"/>
        <w:spacing w:line="560" w:lineRule="exact"/>
        <w:ind w:firstLineChars="200" w:firstLine="420"/>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注：</w:t>
      </w:r>
    </w:p>
    <w:p w14:paraId="688F33F4" w14:textId="77777777" w:rsidR="006F3D2A" w:rsidRDefault="00291481">
      <w:pPr>
        <w:autoSpaceDE w:val="0"/>
        <w:autoSpaceDN w:val="0"/>
        <w:adjustRightInd w:val="0"/>
        <w:snapToGrid w:val="0"/>
        <w:spacing w:line="560" w:lineRule="exact"/>
        <w:ind w:firstLineChars="200" w:firstLine="420"/>
        <w:rPr>
          <w:rFonts w:ascii="Times New Roman" w:eastAsia="仿宋_GB2312" w:hAnsi="Times New Roman"/>
          <w:color w:val="000000"/>
          <w:kern w:val="0"/>
          <w:szCs w:val="21"/>
        </w:rPr>
      </w:pPr>
      <w:r>
        <w:rPr>
          <w:rFonts w:ascii="Times New Roman" w:eastAsia="仿宋_GB2312" w:hAnsi="Times New Roman" w:hint="eastAsia"/>
          <w:color w:val="000000"/>
          <w:kern w:val="0"/>
          <w:szCs w:val="21"/>
        </w:rPr>
        <w:t>1.</w:t>
      </w:r>
      <w:r>
        <w:rPr>
          <w:rFonts w:ascii="Times New Roman" w:eastAsia="仿宋_GB2312" w:hAnsi="Times New Roman" w:hint="eastAsia"/>
          <w:color w:val="000000"/>
          <w:kern w:val="0"/>
          <w:szCs w:val="21"/>
        </w:rPr>
        <w:t>填报上述指标时，净利润为负值的年份包括在内。如公司上市未满三个完整会计年度，仅需填报上市后数据。</w:t>
      </w:r>
    </w:p>
    <w:p w14:paraId="396498F6" w14:textId="77777777" w:rsidR="006F3D2A" w:rsidRDefault="00291481">
      <w:pPr>
        <w:autoSpaceDE w:val="0"/>
        <w:autoSpaceDN w:val="0"/>
        <w:adjustRightInd w:val="0"/>
        <w:snapToGrid w:val="0"/>
        <w:spacing w:line="560" w:lineRule="exact"/>
        <w:ind w:firstLineChars="200" w:firstLine="420"/>
        <w:rPr>
          <w:rFonts w:ascii="Times New Roman" w:eastAsia="仿宋_GB2312" w:hAnsi="Times New Roman"/>
          <w:color w:val="000000"/>
          <w:kern w:val="0"/>
          <w:sz w:val="30"/>
          <w:szCs w:val="30"/>
        </w:rPr>
      </w:pPr>
      <w:r>
        <w:rPr>
          <w:rFonts w:ascii="Times New Roman" w:eastAsia="仿宋_GB2312" w:hAnsi="Times New Roman" w:hint="eastAsia"/>
          <w:color w:val="000000"/>
          <w:kern w:val="0"/>
          <w:szCs w:val="21"/>
        </w:rPr>
        <w:t>2.</w:t>
      </w:r>
      <w:r>
        <w:rPr>
          <w:rFonts w:ascii="Times New Roman" w:eastAsia="仿宋_GB2312" w:hAnsi="Times New Roman" w:hint="eastAsia"/>
          <w:color w:val="000000"/>
          <w:kern w:val="0"/>
          <w:szCs w:val="21"/>
        </w:rPr>
        <w:t>回购注销是指上市公司采用集中竞价、要约方式实施回购股份并完成注销的金额。</w:t>
      </w:r>
      <w:r>
        <w:rPr>
          <w:rFonts w:ascii="仿宋_GB2312" w:eastAsia="仿宋_GB2312" w:hint="eastAsia"/>
          <w:szCs w:val="21"/>
        </w:rPr>
        <w:t>公司已明确用于回购并注销金额的，需提供相关确认依据；公司未明确用于回购并注销金额的，</w:t>
      </w:r>
      <w:r>
        <w:rPr>
          <w:rFonts w:ascii="Times New Roman" w:eastAsia="仿宋_GB2312" w:hAnsi="Times New Roman" w:hint="eastAsia"/>
          <w:color w:val="000000"/>
          <w:kern w:val="0"/>
          <w:szCs w:val="21"/>
        </w:rPr>
        <w:t>回购并注销金额计算方式为：已回购资金总额</w:t>
      </w:r>
      <w:r>
        <w:rPr>
          <w:rFonts w:ascii="Times New Roman" w:eastAsia="仿宋_GB2312" w:hAnsi="Times New Roman"/>
          <w:color w:val="000000"/>
          <w:kern w:val="0"/>
          <w:szCs w:val="21"/>
        </w:rPr>
        <w:t>/</w:t>
      </w:r>
      <w:r>
        <w:rPr>
          <w:rFonts w:ascii="Times New Roman" w:eastAsia="仿宋_GB2312" w:hAnsi="Times New Roman" w:hint="eastAsia"/>
          <w:color w:val="000000"/>
          <w:kern w:val="0"/>
          <w:szCs w:val="21"/>
        </w:rPr>
        <w:t>已回购股份数量×本会计年度内注销股数；回购注销完成时点，以公司公告披露的股份注销日期为准。</w:t>
      </w:r>
    </w:p>
    <w:p w14:paraId="372F68B7"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（编制提醒：</w:t>
      </w:r>
    </w:p>
    <w:p w14:paraId="5C6B5736"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1.</w:t>
      </w:r>
      <w:r>
        <w:rPr>
          <w:rFonts w:ascii="楷体" w:eastAsia="楷体" w:hAnsi="楷体" w:hint="eastAsia"/>
          <w:sz w:val="24"/>
        </w:rPr>
        <w:t>涉及可转债、股份回购、股权激励、重大资产重组的上市公司，如因股本变动导致利润分配（转增）总额或者每股分配（转增）比例发生变化的，应当根据实际情况及时披露相关进展。</w:t>
      </w:r>
    </w:p>
    <w:p w14:paraId="14CAB128"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2.</w:t>
      </w:r>
      <w:r>
        <w:rPr>
          <w:rFonts w:ascii="楷体" w:eastAsia="楷体" w:hAnsi="楷体" w:hint="eastAsia"/>
          <w:sz w:val="24"/>
        </w:rPr>
        <w:t>上市公司本次利润分配及公积金转增股本方案未以总股本为基数实施或存在其他差异化安排的，应当在公告做出特别提示和说明。</w:t>
      </w:r>
    </w:p>
    <w:p w14:paraId="14588FD1"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3.</w:t>
      </w:r>
      <w:r>
        <w:rPr>
          <w:rFonts w:ascii="楷体" w:eastAsia="楷体" w:hAnsi="楷体" w:hint="eastAsia"/>
          <w:sz w:val="24"/>
        </w:rPr>
        <w:t>本所鼓励上市公司在总股本发生变动时，选择以每股分配（转增）比例不变，调整拟分配的利润总额或拟转增的公积金总额。</w:t>
      </w:r>
    </w:p>
    <w:p w14:paraId="0B5B3D5E"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4.</w:t>
      </w:r>
      <w:r>
        <w:rPr>
          <w:rFonts w:ascii="Times New Roman" w:eastAsia="楷体" w:hAnsi="Times New Roman"/>
          <w:color w:val="000000"/>
          <w:kern w:val="0"/>
          <w:sz w:val="24"/>
          <w:szCs w:val="24"/>
        </w:rPr>
        <w:t>上市公司在确定</w:t>
      </w:r>
      <w:r>
        <w:rPr>
          <w:rFonts w:ascii="Times New Roman" w:eastAsia="楷体" w:hAnsi="Times New Roman" w:hint="eastAsia"/>
          <w:color w:val="000000"/>
          <w:kern w:val="0"/>
          <w:sz w:val="24"/>
          <w:szCs w:val="24"/>
        </w:rPr>
        <w:t>能否实施利润分配</w:t>
      </w:r>
      <w:r>
        <w:rPr>
          <w:rFonts w:ascii="Times New Roman" w:eastAsia="楷体" w:hAnsi="Times New Roman"/>
          <w:color w:val="000000"/>
          <w:kern w:val="0"/>
          <w:sz w:val="24"/>
          <w:szCs w:val="24"/>
        </w:rPr>
        <w:t>时应当以母公司报表</w:t>
      </w:r>
      <w:r>
        <w:rPr>
          <w:rFonts w:ascii="Times New Roman" w:eastAsia="楷体" w:hAnsi="Times New Roman" w:hint="eastAsia"/>
          <w:color w:val="000000"/>
          <w:kern w:val="0"/>
          <w:sz w:val="24"/>
          <w:szCs w:val="24"/>
        </w:rPr>
        <w:t>期末未分配利润</w:t>
      </w:r>
      <w:r>
        <w:rPr>
          <w:rFonts w:ascii="Times New Roman" w:eastAsia="楷体" w:hAnsi="Times New Roman"/>
          <w:color w:val="000000"/>
          <w:kern w:val="0"/>
          <w:sz w:val="24"/>
          <w:szCs w:val="24"/>
        </w:rPr>
        <w:t>为基础，计算所涉及的分红比例时应当以合并报表</w:t>
      </w:r>
      <w:r>
        <w:rPr>
          <w:rFonts w:ascii="Times New Roman" w:eastAsia="楷体" w:hAnsi="Times New Roman" w:hint="eastAsia"/>
          <w:color w:val="000000"/>
          <w:kern w:val="0"/>
          <w:sz w:val="24"/>
          <w:szCs w:val="24"/>
        </w:rPr>
        <w:t>归属于上市公司股东净利润</w:t>
      </w:r>
      <w:r>
        <w:rPr>
          <w:rFonts w:ascii="Times New Roman" w:eastAsia="楷体" w:hAnsi="Times New Roman"/>
          <w:color w:val="000000"/>
          <w:kern w:val="0"/>
          <w:sz w:val="24"/>
          <w:szCs w:val="24"/>
        </w:rPr>
        <w:t>为基础。</w:t>
      </w:r>
    </w:p>
    <w:p w14:paraId="1C4F24EB"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lastRenderedPageBreak/>
        <w:t>5.</w:t>
      </w:r>
      <w:r>
        <w:rPr>
          <w:rFonts w:ascii="楷体" w:eastAsia="楷体" w:hAnsi="楷体" w:hint="eastAsia"/>
          <w:sz w:val="24"/>
        </w:rPr>
        <w:t>上市公司最近一个会计年度净利润为正值且母公司报表年度末未分配利润为正值的公司，其最近三个会计年度累计现金分红总额低于最近三个会计</w:t>
      </w:r>
      <w:r>
        <w:rPr>
          <w:rFonts w:ascii="楷体" w:eastAsia="楷体" w:hAnsi="楷体" w:hint="eastAsia"/>
          <w:sz w:val="24"/>
        </w:rPr>
        <w:t>年度年均净利润的</w:t>
      </w:r>
      <w:r>
        <w:rPr>
          <w:rFonts w:ascii="楷体" w:eastAsia="楷体" w:hAnsi="楷体" w:hint="eastAsia"/>
          <w:sz w:val="24"/>
        </w:rPr>
        <w:t>30%</w:t>
      </w:r>
      <w:r>
        <w:rPr>
          <w:rFonts w:ascii="楷体" w:eastAsia="楷体" w:hAnsi="楷体" w:hint="eastAsia"/>
          <w:sz w:val="24"/>
        </w:rPr>
        <w:t>，且最近三个会计年度累计现金分红金额低于</w:t>
      </w:r>
      <w:r>
        <w:rPr>
          <w:rFonts w:ascii="楷体" w:eastAsia="楷体" w:hAnsi="楷体" w:hint="eastAsia"/>
          <w:sz w:val="24"/>
        </w:rPr>
        <w:t>3000</w:t>
      </w:r>
      <w:r>
        <w:rPr>
          <w:rFonts w:ascii="楷体" w:eastAsia="楷体" w:hAnsi="楷体" w:hint="eastAsia"/>
          <w:sz w:val="24"/>
        </w:rPr>
        <w:t>万元，本所对其股票实施其他风险警示。但最近三个会计年度累计研发投入占累计营业收入比例在</w:t>
      </w:r>
      <w:r>
        <w:rPr>
          <w:rFonts w:ascii="楷体" w:eastAsia="楷体" w:hAnsi="楷体" w:hint="eastAsia"/>
          <w:sz w:val="24"/>
        </w:rPr>
        <w:t>15%</w:t>
      </w:r>
      <w:r>
        <w:rPr>
          <w:rFonts w:ascii="楷体" w:eastAsia="楷体" w:hAnsi="楷体" w:hint="eastAsia"/>
          <w:sz w:val="24"/>
        </w:rPr>
        <w:t>以上或最近三个会计年度累计研发投入金额在</w:t>
      </w:r>
      <w:r>
        <w:rPr>
          <w:rFonts w:ascii="楷体" w:eastAsia="楷体" w:hAnsi="楷体" w:hint="eastAsia"/>
          <w:sz w:val="24"/>
        </w:rPr>
        <w:t>3</w:t>
      </w:r>
      <w:r>
        <w:rPr>
          <w:rFonts w:ascii="楷体" w:eastAsia="楷体" w:hAnsi="楷体" w:hint="eastAsia"/>
          <w:sz w:val="24"/>
        </w:rPr>
        <w:t>亿元以上的除外。</w:t>
      </w:r>
    </w:p>
    <w:p w14:paraId="09ADA1F1"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公司上市不满三个完整会计年度的，前款所称最近三个会计年度以公司上市后的首个完整会计年度作为首个起算年度。</w:t>
      </w:r>
    </w:p>
    <w:p w14:paraId="4D667EC4"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公司将最近一个会计年度母公司报表未分配利润全部分配后，仍出现第一款所述情形的，本所不对其公司股票实施其他风险警示。</w:t>
      </w:r>
    </w:p>
    <w:p w14:paraId="4697C7C3"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上市公司以现金为对价，采用要约方式、集中竞价方式回购股份并注销的，纳入本条第一款所称现金分红金额。</w:t>
      </w:r>
    </w:p>
    <w:p w14:paraId="44AF7A41"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6.</w:t>
      </w:r>
      <w:r>
        <w:rPr>
          <w:rFonts w:ascii="Times New Roman" w:eastAsia="楷体" w:hAnsi="Times New Roman" w:hint="eastAsia"/>
          <w:color w:val="000000"/>
          <w:kern w:val="0"/>
          <w:sz w:val="24"/>
          <w:szCs w:val="24"/>
        </w:rPr>
        <w:t>上市公司董事会审议通过的年度利润分配方案实施后，公司可能出现上述第</w:t>
      </w:r>
      <w:r>
        <w:rPr>
          <w:rFonts w:ascii="Times New Roman" w:eastAsia="楷体" w:hAnsi="Times New Roman" w:hint="eastAsia"/>
          <w:color w:val="000000"/>
          <w:kern w:val="0"/>
          <w:sz w:val="24"/>
          <w:szCs w:val="24"/>
        </w:rPr>
        <w:t>5</w:t>
      </w:r>
      <w:r>
        <w:rPr>
          <w:rFonts w:ascii="Times New Roman" w:eastAsia="楷体" w:hAnsi="Times New Roman" w:hint="eastAsia"/>
          <w:color w:val="000000"/>
          <w:kern w:val="0"/>
          <w:sz w:val="24"/>
          <w:szCs w:val="24"/>
        </w:rPr>
        <w:t>点规定情形的，应当在年度利润分配方案披露的同时，披露公司股票可能被实施其他风险警示的风险提示公告，并在相应</w:t>
      </w:r>
      <w:r>
        <w:rPr>
          <w:rFonts w:ascii="Times New Roman" w:eastAsia="楷体" w:hAnsi="Times New Roman" w:hint="eastAsia"/>
          <w:color w:val="000000"/>
          <w:kern w:val="0"/>
          <w:sz w:val="24"/>
          <w:szCs w:val="24"/>
        </w:rPr>
        <w:t>股东会</w:t>
      </w:r>
      <w:r>
        <w:rPr>
          <w:rFonts w:ascii="Times New Roman" w:eastAsia="楷体" w:hAnsi="Times New Roman" w:hint="eastAsia"/>
          <w:color w:val="000000"/>
          <w:kern w:val="0"/>
          <w:sz w:val="24"/>
          <w:szCs w:val="24"/>
        </w:rPr>
        <w:t>审议通过年度利润分配方案之日，披露公司股票交易被实施其他风险警示公告。公司</w:t>
      </w:r>
      <w:r>
        <w:rPr>
          <w:rFonts w:ascii="Times New Roman" w:eastAsia="楷体" w:hAnsi="Times New Roman" w:hint="eastAsia"/>
          <w:color w:val="000000"/>
          <w:kern w:val="0"/>
          <w:sz w:val="24"/>
          <w:szCs w:val="24"/>
        </w:rPr>
        <w:t>股东会</w:t>
      </w:r>
      <w:r>
        <w:rPr>
          <w:rFonts w:ascii="Times New Roman" w:eastAsia="楷体" w:hAnsi="Times New Roman" w:hint="eastAsia"/>
          <w:color w:val="000000"/>
          <w:kern w:val="0"/>
          <w:sz w:val="24"/>
          <w:szCs w:val="24"/>
        </w:rPr>
        <w:t>如未及时审议通过有效的年度利润分配方案，导致公司直至当年</w:t>
      </w:r>
      <w:r>
        <w:rPr>
          <w:rFonts w:ascii="Times New Roman" w:eastAsia="楷体" w:hAnsi="Times New Roman" w:hint="eastAsia"/>
          <w:color w:val="000000"/>
          <w:kern w:val="0"/>
          <w:sz w:val="24"/>
          <w:szCs w:val="24"/>
        </w:rPr>
        <w:t>6</w:t>
      </w:r>
      <w:r>
        <w:rPr>
          <w:rFonts w:ascii="Times New Roman" w:eastAsia="楷体" w:hAnsi="Times New Roman" w:hint="eastAsia"/>
          <w:color w:val="000000"/>
          <w:kern w:val="0"/>
          <w:sz w:val="24"/>
          <w:szCs w:val="24"/>
        </w:rPr>
        <w:t>月</w:t>
      </w:r>
      <w:r>
        <w:rPr>
          <w:rFonts w:ascii="Times New Roman" w:eastAsia="楷体" w:hAnsi="Times New Roman" w:hint="eastAsia"/>
          <w:color w:val="000000"/>
          <w:kern w:val="0"/>
          <w:sz w:val="24"/>
          <w:szCs w:val="24"/>
        </w:rPr>
        <w:t>30</w:t>
      </w:r>
      <w:r>
        <w:rPr>
          <w:rFonts w:ascii="Times New Roman" w:eastAsia="楷体" w:hAnsi="Times New Roman" w:hint="eastAsia"/>
          <w:color w:val="000000"/>
          <w:kern w:val="0"/>
          <w:sz w:val="24"/>
          <w:szCs w:val="24"/>
        </w:rPr>
        <w:t>日仍触及《科创板股票上市规则》第</w:t>
      </w:r>
      <w:r>
        <w:rPr>
          <w:rFonts w:ascii="Times New Roman" w:eastAsia="楷体" w:hAnsi="Times New Roman" w:hint="eastAsia"/>
          <w:color w:val="000000"/>
          <w:kern w:val="0"/>
          <w:sz w:val="24"/>
          <w:szCs w:val="24"/>
        </w:rPr>
        <w:t>12.9.1</w:t>
      </w:r>
      <w:r>
        <w:rPr>
          <w:rFonts w:ascii="Times New Roman" w:eastAsia="楷体" w:hAnsi="Times New Roman" w:hint="eastAsia"/>
          <w:color w:val="000000"/>
          <w:kern w:val="0"/>
          <w:sz w:val="24"/>
          <w:szCs w:val="24"/>
        </w:rPr>
        <w:t>条第一款第（八）项规定情形的</w:t>
      </w:r>
      <w:r>
        <w:rPr>
          <w:rFonts w:ascii="Times New Roman" w:eastAsia="楷体" w:hAnsi="Times New Roman" w:hint="eastAsia"/>
          <w:color w:val="000000"/>
          <w:kern w:val="0"/>
          <w:sz w:val="24"/>
          <w:szCs w:val="24"/>
        </w:rPr>
        <w:t>，</w:t>
      </w:r>
      <w:r>
        <w:rPr>
          <w:rFonts w:ascii="Times New Roman" w:eastAsia="楷体" w:hAnsi="Times New Roman" w:hint="eastAsia"/>
          <w:color w:val="000000"/>
          <w:kern w:val="0"/>
          <w:sz w:val="24"/>
          <w:szCs w:val="24"/>
        </w:rPr>
        <w:t>公司应当及</w:t>
      </w:r>
      <w:r>
        <w:rPr>
          <w:rFonts w:ascii="Times New Roman" w:eastAsia="楷体" w:hAnsi="Times New Roman" w:hint="eastAsia"/>
          <w:color w:val="000000"/>
          <w:kern w:val="0"/>
          <w:sz w:val="24"/>
          <w:szCs w:val="24"/>
        </w:rPr>
        <w:t>时披露相关公告</w:t>
      </w:r>
      <w:r>
        <w:rPr>
          <w:rFonts w:ascii="Times New Roman" w:eastAsia="楷体" w:hAnsi="Times New Roman" w:hint="eastAsia"/>
          <w:color w:val="000000"/>
          <w:kern w:val="0"/>
          <w:sz w:val="24"/>
          <w:szCs w:val="24"/>
        </w:rPr>
        <w:t>，</w:t>
      </w:r>
      <w:r>
        <w:rPr>
          <w:rFonts w:ascii="Times New Roman" w:eastAsia="楷体" w:hAnsi="Times New Roman" w:hint="eastAsia"/>
          <w:color w:val="000000"/>
          <w:kern w:val="0"/>
          <w:sz w:val="24"/>
          <w:szCs w:val="24"/>
        </w:rPr>
        <w:t>本所将根据实际情况对公司股票实施其他风险警示。</w:t>
      </w:r>
      <w:r>
        <w:rPr>
          <w:rFonts w:ascii="楷体" w:eastAsia="楷体" w:hAnsi="楷体" w:hint="eastAsia"/>
          <w:sz w:val="24"/>
        </w:rPr>
        <w:t>）</w:t>
      </w:r>
    </w:p>
    <w:p w14:paraId="034F19B9" w14:textId="77777777" w:rsidR="006F3D2A" w:rsidRDefault="006F3D2A">
      <w:pPr>
        <w:widowControl/>
        <w:spacing w:line="560" w:lineRule="exact"/>
        <w:ind w:firstLineChars="200" w:firstLine="480"/>
        <w:rPr>
          <w:rFonts w:ascii="楷体" w:eastAsia="楷体" w:hAnsi="楷体"/>
          <w:sz w:val="24"/>
        </w:rPr>
      </w:pPr>
    </w:p>
    <w:p w14:paraId="4285CA06" w14:textId="77777777" w:rsidR="006F3D2A" w:rsidRDefault="00291481">
      <w:pPr>
        <w:widowControl/>
        <w:spacing w:line="560" w:lineRule="exact"/>
        <w:ind w:firstLineChars="200" w:firstLine="643"/>
        <w:outlineLvl w:val="0"/>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二、本年度现金分红比例低于</w:t>
      </w:r>
      <w:r>
        <w:rPr>
          <w:rFonts w:ascii="黑体" w:eastAsia="黑体" w:hAnsi="黑体" w:cs="宋体" w:hint="eastAsia"/>
          <w:b/>
          <w:color w:val="000000"/>
          <w:kern w:val="0"/>
          <w:sz w:val="32"/>
          <w:szCs w:val="32"/>
        </w:rPr>
        <w:t>30%</w:t>
      </w:r>
      <w:r>
        <w:rPr>
          <w:rFonts w:ascii="黑体" w:eastAsia="黑体" w:hAnsi="黑体" w:cs="宋体" w:hint="eastAsia"/>
          <w:b/>
          <w:color w:val="000000"/>
          <w:kern w:val="0"/>
          <w:sz w:val="32"/>
          <w:szCs w:val="32"/>
        </w:rPr>
        <w:t>的情况说明（如适用）</w:t>
      </w:r>
    </w:p>
    <w:p w14:paraId="1B921F1A"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报告期内，上市公司实现归属于上市公司股东的净利润</w:t>
      </w: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w:t>
      </w:r>
      <w:r>
        <w:rPr>
          <w:rFonts w:ascii="仿宋_GB2312" w:eastAsia="仿宋_GB2312" w:hAnsi="宋体" w:cs="宋体" w:hint="eastAsia"/>
          <w:color w:val="000000"/>
          <w:kern w:val="0"/>
          <w:sz w:val="30"/>
          <w:szCs w:val="30"/>
        </w:rPr>
        <w:t>元，拟分配的现金红利总额（包括中期已分配的现金红利，以及</w:t>
      </w:r>
      <w:r>
        <w:rPr>
          <w:rFonts w:ascii="仿宋_GB2312" w:eastAsia="仿宋_GB2312" w:hAnsi="微软雅黑" w:hint="eastAsia"/>
          <w:sz w:val="30"/>
          <w:szCs w:val="30"/>
        </w:rPr>
        <w:t>以现金为对价，</w:t>
      </w:r>
      <w:r>
        <w:rPr>
          <w:rFonts w:ascii="仿宋_GB2312" w:eastAsia="仿宋_GB2312" w:hAnsi="宋体" w:cs="宋体" w:hint="eastAsia"/>
          <w:color w:val="000000"/>
          <w:kern w:val="0"/>
          <w:sz w:val="30"/>
          <w:szCs w:val="30"/>
        </w:rPr>
        <w:t>当年</w:t>
      </w:r>
      <w:r>
        <w:rPr>
          <w:rFonts w:ascii="仿宋_GB2312" w:eastAsia="仿宋_GB2312" w:hAnsi="微软雅黑" w:hint="eastAsia"/>
          <w:sz w:val="30"/>
          <w:szCs w:val="30"/>
        </w:rPr>
        <w:t>采用集中竞价方式、要约方式当年已实施的</w:t>
      </w:r>
      <w:r>
        <w:rPr>
          <w:rFonts w:ascii="仿宋_GB2312" w:eastAsia="仿宋_GB2312" w:hAnsi="微软雅黑" w:hint="eastAsia"/>
          <w:sz w:val="30"/>
          <w:szCs w:val="30"/>
        </w:rPr>
        <w:lastRenderedPageBreak/>
        <w:t>股份回购金额</w:t>
      </w:r>
      <w:r>
        <w:rPr>
          <w:rFonts w:ascii="仿宋_GB2312" w:eastAsia="仿宋_GB2312" w:hAnsi="宋体" w:cs="宋体" w:hint="eastAsia"/>
          <w:color w:val="000000"/>
          <w:kern w:val="0"/>
          <w:sz w:val="30"/>
          <w:szCs w:val="30"/>
        </w:rPr>
        <w:t>）为</w:t>
      </w:r>
      <w:r>
        <w:rPr>
          <w:rFonts w:ascii="仿宋_GB2312" w:eastAsia="仿宋_GB2312" w:hAnsi="宋体" w:cs="宋体" w:hint="eastAsia"/>
          <w:color w:val="000000"/>
          <w:kern w:val="0"/>
          <w:sz w:val="30"/>
          <w:szCs w:val="30"/>
        </w:rPr>
        <w:t>X</w:t>
      </w:r>
      <w:r>
        <w:rPr>
          <w:rFonts w:ascii="仿宋_GB2312" w:eastAsia="仿宋_GB2312" w:hAnsi="宋体" w:cs="宋体"/>
          <w:color w:val="000000"/>
          <w:kern w:val="0"/>
          <w:sz w:val="30"/>
          <w:szCs w:val="30"/>
        </w:rPr>
        <w:t>X</w:t>
      </w:r>
      <w:r>
        <w:rPr>
          <w:rFonts w:ascii="仿宋_GB2312" w:eastAsia="仿宋_GB2312" w:hAnsi="宋体" w:cs="宋体" w:hint="eastAsia"/>
          <w:color w:val="000000"/>
          <w:kern w:val="0"/>
          <w:sz w:val="30"/>
          <w:szCs w:val="30"/>
        </w:rPr>
        <w:t>元，占本年度归属于上市公司股东的净利润比例低于</w:t>
      </w:r>
      <w:r>
        <w:rPr>
          <w:rFonts w:ascii="仿宋_GB2312" w:eastAsia="仿宋_GB2312" w:hAnsi="宋体" w:cs="宋体" w:hint="eastAsia"/>
          <w:color w:val="000000"/>
          <w:kern w:val="0"/>
          <w:sz w:val="30"/>
          <w:szCs w:val="30"/>
        </w:rPr>
        <w:t>30%</w:t>
      </w:r>
      <w:r>
        <w:rPr>
          <w:rFonts w:ascii="仿宋_GB2312" w:eastAsia="仿宋_GB2312" w:hAnsi="宋体" w:cs="宋体" w:hint="eastAsia"/>
          <w:color w:val="000000"/>
          <w:kern w:val="0"/>
          <w:sz w:val="30"/>
          <w:szCs w:val="30"/>
        </w:rPr>
        <w:t>，具体原因分项说明如下。</w:t>
      </w:r>
    </w:p>
    <w:p w14:paraId="0B932BB0"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（一）上市公司所处行业及其特点、发展阶段、自身经营模式、盈利水平、偿债能力及资金需求；</w:t>
      </w:r>
    </w:p>
    <w:p w14:paraId="6782D87A"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（二）上市公司留存未分配利润的预计用途以及收益情况；</w:t>
      </w:r>
    </w:p>
    <w:p w14:paraId="37DCD03C"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（三）公司是否按照中国证监会相关规定为中小股东参与现金分红决策提供了便利；</w:t>
      </w:r>
    </w:p>
    <w:p w14:paraId="0C60FAF9"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宋体" w:cs="宋体" w:hint="eastAsia"/>
          <w:color w:val="000000"/>
          <w:kern w:val="0"/>
          <w:sz w:val="30"/>
          <w:szCs w:val="30"/>
        </w:rPr>
        <w:t>（四）</w:t>
      </w:r>
      <w:r>
        <w:rPr>
          <w:rFonts w:ascii="仿宋_GB2312" w:eastAsia="仿宋_GB2312" w:hAnsi="Times New Roman" w:hint="eastAsia"/>
          <w:color w:val="000000"/>
          <w:kern w:val="0"/>
          <w:sz w:val="30"/>
          <w:szCs w:val="30"/>
        </w:rPr>
        <w:t>公司为增强投资者回报水平拟采取的措施。</w:t>
      </w:r>
    </w:p>
    <w:p w14:paraId="46ECD43C"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（编制提醒：</w:t>
      </w:r>
    </w:p>
    <w:p w14:paraId="3FA0FB7A"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1.</w:t>
      </w:r>
      <w:r>
        <w:rPr>
          <w:rFonts w:ascii="楷体" w:eastAsia="楷体" w:hAnsi="楷体" w:hint="eastAsia"/>
          <w:sz w:val="24"/>
        </w:rPr>
        <w:t>上市公司年度报告期内盈利且</w:t>
      </w:r>
      <w:r>
        <w:rPr>
          <w:rFonts w:ascii="Times New Roman" w:eastAsia="楷体" w:hAnsi="Times New Roman" w:hint="eastAsia"/>
          <w:color w:val="000000"/>
          <w:kern w:val="0"/>
          <w:sz w:val="24"/>
          <w:szCs w:val="24"/>
        </w:rPr>
        <w:t>母公司报表中</w:t>
      </w:r>
      <w:r>
        <w:rPr>
          <w:rFonts w:ascii="楷体" w:eastAsia="楷体" w:hAnsi="楷体" w:hint="eastAsia"/>
          <w:sz w:val="24"/>
        </w:rPr>
        <w:t>未分配利润为正，未进行现金分红或拟分配的现金红利总额（包括中期已分配的现金红利）与当年归属于上市公司股东的净利润之比低于</w:t>
      </w:r>
      <w:r>
        <w:rPr>
          <w:rFonts w:ascii="楷体" w:eastAsia="楷体" w:hAnsi="楷体" w:hint="eastAsia"/>
          <w:sz w:val="24"/>
        </w:rPr>
        <w:t>30%</w:t>
      </w:r>
      <w:r>
        <w:rPr>
          <w:rFonts w:ascii="楷体" w:eastAsia="楷体" w:hAnsi="楷体" w:hint="eastAsia"/>
          <w:sz w:val="24"/>
        </w:rPr>
        <w:t>的，公司董事会应当就有关情况进行针对性说明。</w:t>
      </w:r>
    </w:p>
    <w:p w14:paraId="6DFDF851"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2.</w:t>
      </w:r>
      <w:r>
        <w:rPr>
          <w:rFonts w:ascii="楷体" w:eastAsia="楷体" w:hAnsi="楷体" w:hint="eastAsia"/>
          <w:sz w:val="24"/>
        </w:rPr>
        <w:t>上市公司以现金为对价，采用集中竞价方式、要约方式回购股份的，当年已实施的股份回购金额视同现金分红，纳入该</w:t>
      </w:r>
      <w:r>
        <w:rPr>
          <w:rFonts w:ascii="楷体" w:eastAsia="楷体" w:hAnsi="楷体" w:hint="eastAsia"/>
          <w:sz w:val="24"/>
        </w:rPr>
        <w:t>年度现金分红的相关比例计算。</w:t>
      </w:r>
    </w:p>
    <w:p w14:paraId="0C9EEAB1" w14:textId="77777777" w:rsidR="006F3D2A" w:rsidRDefault="00291481">
      <w:pPr>
        <w:widowControl/>
        <w:spacing w:line="560" w:lineRule="exact"/>
        <w:ind w:firstLineChars="150" w:firstLine="360"/>
        <w:rPr>
          <w:rFonts w:ascii="楷体" w:eastAsia="楷体" w:hAnsi="楷体"/>
          <w:sz w:val="24"/>
        </w:rPr>
      </w:pPr>
      <w:r>
        <w:rPr>
          <w:rFonts w:ascii="楷体" w:eastAsia="楷体" w:hAnsi="楷体" w:hint="eastAsia"/>
          <w:sz w:val="24"/>
        </w:rPr>
        <w:t>3.</w:t>
      </w:r>
      <w:r>
        <w:rPr>
          <w:rFonts w:ascii="楷体" w:eastAsia="楷体" w:hAnsi="楷体" w:hint="eastAsia"/>
          <w:sz w:val="24"/>
        </w:rPr>
        <w:t>现金分红比例低于</w:t>
      </w:r>
      <w:r>
        <w:rPr>
          <w:rFonts w:ascii="楷体" w:eastAsia="楷体" w:hAnsi="楷体" w:hint="eastAsia"/>
          <w:sz w:val="24"/>
        </w:rPr>
        <w:t>30%</w:t>
      </w:r>
      <w:r>
        <w:rPr>
          <w:rFonts w:ascii="楷体" w:eastAsia="楷体" w:hAnsi="楷体" w:hint="eastAsia"/>
          <w:sz w:val="24"/>
        </w:rPr>
        <w:t>，上市公司应当在年度报告披露之后、年度</w:t>
      </w:r>
      <w:r>
        <w:rPr>
          <w:rFonts w:ascii="楷体" w:eastAsia="楷体" w:hAnsi="楷体" w:hint="eastAsia"/>
          <w:sz w:val="24"/>
        </w:rPr>
        <w:t>股东会</w:t>
      </w:r>
      <w:r>
        <w:rPr>
          <w:rFonts w:ascii="楷体" w:eastAsia="楷体" w:hAnsi="楷体" w:hint="eastAsia"/>
          <w:sz w:val="24"/>
        </w:rPr>
        <w:t>股权登记日之前，召开上市公司业绩说明会，就相关事项与媒体、股东特别是持有上市公司股份的机构投资者、中小股东进行沟通和交流，及时答复媒体和股东关心的问题。）</w:t>
      </w:r>
    </w:p>
    <w:p w14:paraId="61DDA543" w14:textId="77777777" w:rsidR="006F3D2A" w:rsidRDefault="006F3D2A">
      <w:pPr>
        <w:widowControl/>
        <w:spacing w:line="560" w:lineRule="exact"/>
        <w:ind w:firstLineChars="150" w:firstLine="450"/>
        <w:rPr>
          <w:rFonts w:ascii="仿宋_GB2312" w:eastAsia="仿宋_GB2312" w:hAnsi="Times New Roman"/>
          <w:color w:val="000000"/>
          <w:kern w:val="0"/>
          <w:sz w:val="30"/>
          <w:szCs w:val="30"/>
        </w:rPr>
      </w:pPr>
    </w:p>
    <w:p w14:paraId="22F7E64B" w14:textId="77777777" w:rsidR="006F3D2A" w:rsidRDefault="00291481">
      <w:pPr>
        <w:autoSpaceDE w:val="0"/>
        <w:autoSpaceDN w:val="0"/>
        <w:adjustRightInd w:val="0"/>
        <w:snapToGrid w:val="0"/>
        <w:spacing w:line="560" w:lineRule="exact"/>
        <w:ind w:firstLineChars="200" w:firstLine="602"/>
        <w:rPr>
          <w:rFonts w:ascii="黑体" w:eastAsia="黑体" w:hAnsi="黑体"/>
          <w:color w:val="000000"/>
          <w:kern w:val="0"/>
          <w:sz w:val="30"/>
          <w:szCs w:val="30"/>
        </w:rPr>
      </w:pPr>
      <w:r>
        <w:rPr>
          <w:rFonts w:ascii="黑体" w:eastAsia="黑体" w:hAnsi="黑体" w:hint="eastAsia"/>
          <w:b/>
          <w:color w:val="000000"/>
          <w:kern w:val="0"/>
          <w:sz w:val="30"/>
          <w:szCs w:val="30"/>
        </w:rPr>
        <w:t>三、</w:t>
      </w:r>
      <w:r>
        <w:rPr>
          <w:rFonts w:ascii="黑体" w:eastAsia="黑体" w:hAnsi="黑体" w:hint="eastAsia"/>
          <w:b/>
          <w:sz w:val="30"/>
          <w:szCs w:val="30"/>
        </w:rPr>
        <w:t>上市公司母公司报表未分配利润为负但合并报表未分配利润为正的情况（适用于年度分红方案）</w:t>
      </w:r>
    </w:p>
    <w:p w14:paraId="509B4E72"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上市公司母公司报表中期末未分配利润为</w:t>
      </w:r>
      <w:r>
        <w:rPr>
          <w:rFonts w:ascii="仿宋_GB2312" w:eastAsia="仿宋_GB2312" w:hAnsi="Times New Roman" w:hint="eastAsia"/>
          <w:color w:val="000000"/>
          <w:kern w:val="0"/>
          <w:sz w:val="30"/>
          <w:szCs w:val="30"/>
        </w:rPr>
        <w:t>X</w:t>
      </w:r>
      <w:r>
        <w:rPr>
          <w:rFonts w:ascii="仿宋_GB2312" w:eastAsia="仿宋_GB2312" w:hAnsi="Times New Roman"/>
          <w:color w:val="000000"/>
          <w:kern w:val="0"/>
          <w:sz w:val="30"/>
          <w:szCs w:val="30"/>
        </w:rPr>
        <w:t>X</w:t>
      </w:r>
      <w:r>
        <w:rPr>
          <w:rFonts w:ascii="仿宋_GB2312" w:eastAsia="仿宋_GB2312" w:hAnsi="Times New Roman" w:hint="eastAsia"/>
          <w:color w:val="000000"/>
          <w:kern w:val="0"/>
          <w:sz w:val="30"/>
          <w:szCs w:val="30"/>
        </w:rPr>
        <w:t>元，合并报表中期末未分配利润为</w:t>
      </w:r>
      <w:r>
        <w:rPr>
          <w:rFonts w:ascii="仿宋_GB2312" w:eastAsia="仿宋_GB2312" w:hAnsi="Times New Roman" w:hint="eastAsia"/>
          <w:color w:val="000000"/>
          <w:kern w:val="0"/>
          <w:sz w:val="30"/>
          <w:szCs w:val="30"/>
        </w:rPr>
        <w:t>X</w:t>
      </w:r>
      <w:r>
        <w:rPr>
          <w:rFonts w:ascii="仿宋_GB2312" w:eastAsia="仿宋_GB2312" w:hAnsi="Times New Roman"/>
          <w:color w:val="000000"/>
          <w:kern w:val="0"/>
          <w:sz w:val="30"/>
          <w:szCs w:val="30"/>
        </w:rPr>
        <w:t>X</w:t>
      </w:r>
      <w:r>
        <w:rPr>
          <w:rFonts w:ascii="仿宋_GB2312" w:eastAsia="仿宋_GB2312" w:hAnsi="Times New Roman" w:hint="eastAsia"/>
          <w:color w:val="000000"/>
          <w:kern w:val="0"/>
          <w:sz w:val="30"/>
          <w:szCs w:val="30"/>
        </w:rPr>
        <w:t>元，报告期内，上市公司控股子公司向上市公司母公司实施利润分配</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元。说明母公司未分配利润为负但合</w:t>
      </w:r>
      <w:r>
        <w:rPr>
          <w:rFonts w:ascii="仿宋_GB2312" w:eastAsia="仿宋_GB2312" w:hAnsi="Times New Roman" w:hint="eastAsia"/>
          <w:color w:val="000000"/>
          <w:kern w:val="0"/>
          <w:sz w:val="30"/>
          <w:szCs w:val="30"/>
        </w:rPr>
        <w:lastRenderedPageBreak/>
        <w:t>并报表未分配利润为正的原因，及公司为增强投资者回报水平拟采取的措施。</w:t>
      </w:r>
    </w:p>
    <w:p w14:paraId="77DC585D" w14:textId="77777777" w:rsidR="006F3D2A" w:rsidRDefault="00291481">
      <w:pPr>
        <w:widowControl/>
        <w:spacing w:line="560" w:lineRule="exact"/>
        <w:ind w:firstLineChars="200" w:firstLine="480"/>
        <w:rPr>
          <w:rFonts w:ascii="楷体" w:eastAsia="楷体" w:hAnsi="楷体"/>
          <w:sz w:val="24"/>
        </w:rPr>
      </w:pPr>
      <w:r>
        <w:rPr>
          <w:rFonts w:ascii="楷体" w:eastAsia="楷体" w:hAnsi="楷体" w:hint="eastAsia"/>
          <w:sz w:val="24"/>
        </w:rPr>
        <w:t>（编制提醒：</w:t>
      </w:r>
      <w:r>
        <w:rPr>
          <w:rFonts w:ascii="Times New Roman" w:eastAsia="楷体" w:hAnsi="Times New Roman" w:hint="eastAsia"/>
          <w:color w:val="000000"/>
          <w:kern w:val="0"/>
          <w:sz w:val="24"/>
          <w:szCs w:val="24"/>
        </w:rPr>
        <w:t>上市公司母公司报表中未分配利润为负但合并报表中未分配利润为正的，公司应当在年度利润分配相关公告中披露上市公司控股子公司向母公司实施利润分配的情况，及上市公司为增强投资者回报水平拟采取的措施。</w:t>
      </w:r>
      <w:r>
        <w:rPr>
          <w:rFonts w:ascii="楷体" w:eastAsia="楷体" w:hAnsi="楷体" w:hint="eastAsia"/>
          <w:sz w:val="24"/>
        </w:rPr>
        <w:t>）</w:t>
      </w:r>
    </w:p>
    <w:p w14:paraId="01C7221D" w14:textId="77777777" w:rsidR="006F3D2A" w:rsidRDefault="006F3D2A">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p>
    <w:p w14:paraId="0E46C8DC" w14:textId="77777777" w:rsidR="006F3D2A" w:rsidRDefault="00291481">
      <w:pPr>
        <w:numPr>
          <w:ilvl w:val="0"/>
          <w:numId w:val="3"/>
        </w:numPr>
        <w:autoSpaceDE w:val="0"/>
        <w:autoSpaceDN w:val="0"/>
        <w:adjustRightInd w:val="0"/>
        <w:snapToGrid w:val="0"/>
        <w:spacing w:line="560" w:lineRule="exact"/>
        <w:ind w:firstLineChars="200" w:firstLine="602"/>
        <w:rPr>
          <w:rFonts w:ascii="Times New Roman" w:eastAsia="黑体" w:hAnsi="Times New Roman"/>
          <w:b/>
          <w:sz w:val="30"/>
          <w:szCs w:val="30"/>
        </w:rPr>
      </w:pPr>
      <w:r>
        <w:rPr>
          <w:rFonts w:ascii="Times New Roman" w:eastAsia="黑体" w:hAnsi="Times New Roman" w:hint="eastAsia"/>
          <w:b/>
          <w:sz w:val="30"/>
          <w:szCs w:val="30"/>
        </w:rPr>
        <w:t>最近连续两个会计年度交易性金融资产等科目金额合计占总资产的</w:t>
      </w:r>
      <w:r>
        <w:rPr>
          <w:rFonts w:ascii="Times New Roman" w:eastAsia="黑体" w:hAnsi="Times New Roman"/>
          <w:b/>
          <w:sz w:val="30"/>
          <w:szCs w:val="30"/>
        </w:rPr>
        <w:t>50%</w:t>
      </w:r>
      <w:r>
        <w:rPr>
          <w:rFonts w:ascii="Times New Roman" w:eastAsia="黑体" w:hAnsi="Times New Roman" w:hint="eastAsia"/>
          <w:b/>
          <w:sz w:val="30"/>
          <w:szCs w:val="30"/>
        </w:rPr>
        <w:t>以上但分红比例低于</w:t>
      </w:r>
      <w:r>
        <w:rPr>
          <w:rFonts w:ascii="Times New Roman" w:eastAsia="黑体" w:hAnsi="Times New Roman"/>
          <w:b/>
          <w:sz w:val="30"/>
          <w:szCs w:val="30"/>
        </w:rPr>
        <w:t>50%</w:t>
      </w:r>
      <w:r>
        <w:rPr>
          <w:rFonts w:ascii="Times New Roman" w:eastAsia="黑体" w:hAnsi="Times New Roman" w:hint="eastAsia"/>
          <w:b/>
          <w:sz w:val="30"/>
          <w:szCs w:val="30"/>
        </w:rPr>
        <w:t>的情况说明（适用于年度分红方案）</w:t>
      </w:r>
    </w:p>
    <w:p w14:paraId="6CDCCB7A" w14:textId="77777777" w:rsidR="006F3D2A" w:rsidRDefault="00291481">
      <w:pPr>
        <w:numPr>
          <w:ilvl w:val="255"/>
          <w:numId w:val="0"/>
        </w:num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Times New Roman" w:eastAsia="仿宋_GB2312" w:hAnsi="Times New Roman" w:hint="eastAsia"/>
          <w:color w:val="000000"/>
          <w:kern w:val="0"/>
          <w:sz w:val="30"/>
          <w:szCs w:val="30"/>
        </w:rPr>
        <w:t>公司报告期内</w:t>
      </w:r>
      <w:r>
        <w:rPr>
          <w:rFonts w:ascii="仿宋_GB2312" w:eastAsia="仿宋_GB2312" w:hAnsi="Times New Roman" w:hint="eastAsia"/>
          <w:color w:val="000000"/>
          <w:kern w:val="0"/>
          <w:sz w:val="30"/>
          <w:szCs w:val="30"/>
        </w:rPr>
        <w:t>实现归属于上市公司股东的净利润</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元，母公司期末未分配利润</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w:t>
      </w:r>
      <w:r>
        <w:rPr>
          <w:rFonts w:ascii="Times New Roman"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最近连续两个会计年度经审计的交易性金融资产、衍生金融资产（套期保值工具除外）、债权投资、其他债权投资、其他权益工具投资、其他非流动金融资产、其他流动资产（与经营活动相关的资产除外）等财务报表项目金额合计占总资产的</w:t>
      </w:r>
      <w:r>
        <w:rPr>
          <w:rFonts w:ascii="仿宋_GB2312" w:eastAsia="仿宋_GB2312" w:hAnsi="Times New Roman"/>
          <w:color w:val="000000"/>
          <w:kern w:val="0"/>
          <w:sz w:val="30"/>
          <w:szCs w:val="30"/>
        </w:rPr>
        <w:t>XX</w:t>
      </w:r>
      <w:r>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XX</w:t>
      </w:r>
      <w:r>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，均达到</w:t>
      </w:r>
      <w:r>
        <w:rPr>
          <w:rFonts w:ascii="仿宋_GB2312" w:eastAsia="仿宋_GB2312" w:hAnsi="Times New Roman" w:hint="eastAsia"/>
          <w:color w:val="000000"/>
          <w:kern w:val="0"/>
          <w:sz w:val="30"/>
          <w:szCs w:val="30"/>
        </w:rPr>
        <w:t>5</w:t>
      </w:r>
      <w:r>
        <w:rPr>
          <w:rFonts w:ascii="仿宋_GB2312" w:eastAsia="仿宋_GB2312" w:hAnsi="Times New Roman"/>
          <w:color w:val="000000"/>
          <w:kern w:val="0"/>
          <w:sz w:val="30"/>
          <w:szCs w:val="30"/>
        </w:rPr>
        <w:t>0%</w:t>
      </w:r>
      <w:r>
        <w:rPr>
          <w:rFonts w:ascii="仿宋_GB2312" w:eastAsia="仿宋_GB2312" w:hAnsi="Times New Roman" w:hint="eastAsia"/>
          <w:color w:val="000000"/>
          <w:kern w:val="0"/>
          <w:sz w:val="30"/>
          <w:szCs w:val="30"/>
        </w:rPr>
        <w:t>以上，公司本年度拟分配的现金红利总额（包括中期已分配的现金红利，以及以现金为对价，当年采用集中竞价方式、要约方式已实施的股份回购金额）</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元，低于归属于上市公司股东净利润的</w:t>
      </w:r>
      <w:r>
        <w:rPr>
          <w:rFonts w:ascii="仿宋_GB2312" w:eastAsia="仿宋_GB2312" w:hAnsi="Times New Roman" w:hint="eastAsia"/>
          <w:color w:val="000000"/>
          <w:kern w:val="0"/>
          <w:sz w:val="30"/>
          <w:szCs w:val="30"/>
        </w:rPr>
        <w:t>50%</w:t>
      </w:r>
      <w:r>
        <w:rPr>
          <w:rFonts w:ascii="仿宋_GB2312" w:eastAsia="仿宋_GB2312" w:hAnsi="Times New Roman" w:hint="eastAsia"/>
          <w:color w:val="000000"/>
          <w:kern w:val="0"/>
          <w:sz w:val="30"/>
          <w:szCs w:val="30"/>
        </w:rPr>
        <w:t>，具体原因如下。</w:t>
      </w:r>
    </w:p>
    <w:p w14:paraId="0C2DA69D"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（一）现金</w:t>
      </w:r>
      <w:r>
        <w:rPr>
          <w:rFonts w:ascii="仿宋_GB2312" w:eastAsia="仿宋_GB2312" w:hAnsi="Times New Roman" w:hint="eastAsia"/>
          <w:color w:val="000000"/>
          <w:kern w:val="0"/>
          <w:sz w:val="30"/>
          <w:szCs w:val="30"/>
        </w:rPr>
        <w:t>分红比例确定的依据；</w:t>
      </w:r>
    </w:p>
    <w:p w14:paraId="11EA2B22"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Times New Roman" w:eastAsia="仿宋_GB2312" w:hAnsi="Times New Roman" w:hint="eastAsia"/>
          <w:color w:val="000000"/>
          <w:kern w:val="0"/>
          <w:sz w:val="30"/>
          <w:szCs w:val="30"/>
        </w:rPr>
        <w:t>（二）</w:t>
      </w:r>
      <w:r>
        <w:rPr>
          <w:rFonts w:ascii="仿宋_GB2312" w:eastAsia="仿宋_GB2312" w:hAnsi="Times New Roman"/>
          <w:color w:val="000000"/>
          <w:kern w:val="0"/>
          <w:sz w:val="30"/>
          <w:szCs w:val="30"/>
        </w:rPr>
        <w:t>未来增强投资者回报的规划</w:t>
      </w:r>
      <w:r>
        <w:rPr>
          <w:rFonts w:ascii="仿宋_GB2312" w:eastAsia="仿宋_GB2312" w:hAnsi="Times New Roman" w:hint="eastAsia"/>
          <w:color w:val="000000"/>
          <w:kern w:val="0"/>
          <w:sz w:val="30"/>
          <w:szCs w:val="30"/>
        </w:rPr>
        <w:t>。</w:t>
      </w:r>
    </w:p>
    <w:p w14:paraId="7B376649" w14:textId="77777777" w:rsidR="006F3D2A" w:rsidRDefault="006F3D2A">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p>
    <w:p w14:paraId="44D42164" w14:textId="77777777" w:rsidR="006F3D2A" w:rsidRDefault="00291481">
      <w:pPr>
        <w:autoSpaceDE w:val="0"/>
        <w:autoSpaceDN w:val="0"/>
        <w:adjustRightInd w:val="0"/>
        <w:snapToGrid w:val="0"/>
        <w:spacing w:line="560" w:lineRule="exact"/>
        <w:ind w:firstLineChars="200" w:firstLine="602"/>
        <w:rPr>
          <w:rFonts w:ascii="Times New Roman" w:eastAsia="黑体" w:hAnsi="Times New Roman"/>
          <w:b/>
          <w:sz w:val="30"/>
          <w:szCs w:val="30"/>
        </w:rPr>
      </w:pPr>
      <w:r>
        <w:rPr>
          <w:rFonts w:ascii="Times New Roman" w:eastAsia="黑体" w:hAnsi="Times New Roman" w:hint="eastAsia"/>
          <w:b/>
          <w:sz w:val="30"/>
          <w:szCs w:val="30"/>
        </w:rPr>
        <w:t>五、现金分红方案合理性的情况说明（如适用）</w:t>
      </w:r>
    </w:p>
    <w:p w14:paraId="79D36FE3"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情形一：</w:t>
      </w:r>
    </w:p>
    <w:p w14:paraId="51E7BD69"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报告期内，公司现金分红总额</w:t>
      </w:r>
      <w:r>
        <w:rPr>
          <w:rFonts w:ascii="仿宋_GB2312" w:eastAsia="仿宋_GB2312" w:hAnsi="Times New Roman" w:hint="eastAsia"/>
          <w:color w:val="000000"/>
          <w:kern w:val="0"/>
          <w:sz w:val="30"/>
          <w:szCs w:val="30"/>
        </w:rPr>
        <w:t>X</w:t>
      </w:r>
      <w:r>
        <w:rPr>
          <w:rFonts w:ascii="仿宋_GB2312" w:eastAsia="仿宋_GB2312" w:hAnsi="Times New Roman"/>
          <w:color w:val="000000"/>
          <w:kern w:val="0"/>
          <w:sz w:val="30"/>
          <w:szCs w:val="30"/>
        </w:rPr>
        <w:t>X</w:t>
      </w:r>
      <w:r>
        <w:rPr>
          <w:rFonts w:ascii="仿宋_GB2312" w:eastAsia="仿宋_GB2312" w:hAnsi="Times New Roman" w:hint="eastAsia"/>
          <w:color w:val="000000"/>
          <w:kern w:val="0"/>
          <w:sz w:val="30"/>
          <w:szCs w:val="30"/>
        </w:rPr>
        <w:t>元，占当期归属于上市公司</w:t>
      </w:r>
      <w:r>
        <w:rPr>
          <w:rFonts w:ascii="仿宋_GB2312" w:eastAsia="仿宋_GB2312" w:hAnsi="Times New Roman" w:hint="eastAsia"/>
          <w:color w:val="000000"/>
          <w:kern w:val="0"/>
          <w:sz w:val="30"/>
          <w:szCs w:val="30"/>
        </w:rPr>
        <w:lastRenderedPageBreak/>
        <w:t>股东净利润的</w:t>
      </w:r>
      <w:r>
        <w:rPr>
          <w:rFonts w:ascii="仿宋_GB2312" w:eastAsia="仿宋_GB2312" w:hAnsi="Times New Roman"/>
          <w:color w:val="000000"/>
          <w:kern w:val="0"/>
          <w:sz w:val="30"/>
          <w:szCs w:val="30"/>
        </w:rPr>
        <w:t>XX%</w:t>
      </w:r>
      <w:r>
        <w:rPr>
          <w:rFonts w:ascii="仿宋_GB2312" w:eastAsia="仿宋_GB2312" w:hAnsi="Times New Roman" w:hint="eastAsia"/>
          <w:color w:val="000000"/>
          <w:kern w:val="0"/>
          <w:sz w:val="30"/>
          <w:szCs w:val="30"/>
        </w:rPr>
        <w:t>，达到</w:t>
      </w:r>
      <w:r>
        <w:rPr>
          <w:rFonts w:ascii="仿宋_GB2312" w:eastAsia="仿宋_GB2312" w:hAnsi="Times New Roman" w:hint="eastAsia"/>
          <w:color w:val="000000"/>
          <w:kern w:val="0"/>
          <w:sz w:val="30"/>
          <w:szCs w:val="30"/>
        </w:rPr>
        <w:t>1</w:t>
      </w:r>
      <w:r>
        <w:rPr>
          <w:rFonts w:ascii="仿宋_GB2312" w:eastAsia="仿宋_GB2312" w:hAnsi="Times New Roman"/>
          <w:color w:val="000000"/>
          <w:kern w:val="0"/>
          <w:sz w:val="30"/>
          <w:szCs w:val="30"/>
        </w:rPr>
        <w:t>00%</w:t>
      </w:r>
      <w:r>
        <w:rPr>
          <w:rFonts w:ascii="仿宋_GB2312" w:eastAsia="仿宋_GB2312" w:hAnsi="Times New Roman" w:hint="eastAsia"/>
          <w:color w:val="000000"/>
          <w:kern w:val="0"/>
          <w:sz w:val="30"/>
          <w:szCs w:val="30"/>
        </w:rPr>
        <w:t>以上；占期末母公司报表中未分配利润的</w:t>
      </w:r>
      <w:r>
        <w:rPr>
          <w:rFonts w:ascii="仿宋_GB2312" w:eastAsia="仿宋_GB2312" w:hAnsi="Times New Roman"/>
          <w:color w:val="000000"/>
          <w:kern w:val="0"/>
          <w:sz w:val="30"/>
          <w:szCs w:val="30"/>
        </w:rPr>
        <w:t>XX%</w:t>
      </w:r>
      <w:r>
        <w:rPr>
          <w:rFonts w:ascii="仿宋_GB2312" w:eastAsia="仿宋_GB2312" w:hAnsi="Times New Roman" w:hint="eastAsia"/>
          <w:color w:val="000000"/>
          <w:kern w:val="0"/>
          <w:sz w:val="30"/>
          <w:szCs w:val="30"/>
        </w:rPr>
        <w:t>，达到</w:t>
      </w:r>
      <w:r>
        <w:rPr>
          <w:rFonts w:ascii="仿宋_GB2312" w:eastAsia="仿宋_GB2312" w:hAnsi="Times New Roman" w:hint="eastAsia"/>
          <w:color w:val="000000"/>
          <w:kern w:val="0"/>
          <w:sz w:val="30"/>
          <w:szCs w:val="30"/>
        </w:rPr>
        <w:t>5</w:t>
      </w:r>
      <w:r>
        <w:rPr>
          <w:rFonts w:ascii="仿宋_GB2312" w:eastAsia="仿宋_GB2312" w:hAnsi="Times New Roman"/>
          <w:color w:val="000000"/>
          <w:kern w:val="0"/>
          <w:sz w:val="30"/>
          <w:szCs w:val="30"/>
        </w:rPr>
        <w:t>0</w:t>
      </w:r>
      <w:r>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以上。说明如下：利润分配是否影响公司偿债能力，过去十二个月内是否使用过募集资金补充流动资金以及未来十二个月是否计划使用募集资金补充流动资金。</w:t>
      </w:r>
    </w:p>
    <w:p w14:paraId="46F786E9" w14:textId="77777777" w:rsidR="006F3D2A" w:rsidRDefault="00291481">
      <w:pPr>
        <w:autoSpaceDE w:val="0"/>
        <w:autoSpaceDN w:val="0"/>
        <w:adjustRightInd w:val="0"/>
        <w:snapToGrid w:val="0"/>
        <w:spacing w:line="560" w:lineRule="exact"/>
        <w:ind w:firstLineChars="200" w:firstLine="480"/>
        <w:rPr>
          <w:rFonts w:ascii="仿宋_GB2312" w:eastAsia="仿宋_GB2312" w:hAnsi="Times New Roman"/>
          <w:color w:val="000000"/>
          <w:kern w:val="0"/>
          <w:sz w:val="30"/>
          <w:szCs w:val="30"/>
        </w:rPr>
      </w:pPr>
      <w:r>
        <w:rPr>
          <w:rFonts w:ascii="Times New Roman" w:eastAsia="楷体" w:hAnsi="Times New Roman"/>
          <w:color w:val="000000"/>
          <w:kern w:val="0"/>
          <w:sz w:val="24"/>
          <w:szCs w:val="24"/>
        </w:rPr>
        <w:t>（编制提醒：</w:t>
      </w:r>
      <w:r>
        <w:rPr>
          <w:rFonts w:ascii="Times New Roman" w:eastAsia="楷体" w:hAnsi="Times New Roman" w:hint="eastAsia"/>
          <w:color w:val="000000"/>
          <w:kern w:val="0"/>
          <w:sz w:val="24"/>
          <w:szCs w:val="24"/>
        </w:rPr>
        <w:t>上市公司利润分配方案中现金分红的金额达到或者超过当期归属于上市公司股东净利润的</w:t>
      </w:r>
      <w:r>
        <w:rPr>
          <w:rFonts w:ascii="Times New Roman" w:eastAsia="楷体" w:hAnsi="Times New Roman"/>
          <w:color w:val="000000"/>
          <w:kern w:val="0"/>
          <w:sz w:val="24"/>
          <w:szCs w:val="24"/>
        </w:rPr>
        <w:t>100%</w:t>
      </w:r>
      <w:r>
        <w:rPr>
          <w:rFonts w:ascii="Times New Roman" w:eastAsia="楷体" w:hAnsi="Times New Roman" w:hint="eastAsia"/>
          <w:color w:val="000000"/>
          <w:kern w:val="0"/>
          <w:sz w:val="24"/>
          <w:szCs w:val="24"/>
        </w:rPr>
        <w:t>，且达到或者超过当期</w:t>
      </w:r>
      <w:r>
        <w:rPr>
          <w:rFonts w:ascii="Times New Roman" w:eastAsia="楷体" w:hAnsi="Times New Roman" w:hint="eastAsia"/>
          <w:color w:val="000000"/>
          <w:kern w:val="0"/>
          <w:sz w:val="24"/>
          <w:szCs w:val="24"/>
        </w:rPr>
        <w:t>末母公司报表中未分配利润的</w:t>
      </w:r>
      <w:r>
        <w:rPr>
          <w:rFonts w:ascii="Times New Roman" w:eastAsia="楷体" w:hAnsi="Times New Roman"/>
          <w:color w:val="000000"/>
          <w:kern w:val="0"/>
          <w:sz w:val="24"/>
          <w:szCs w:val="24"/>
        </w:rPr>
        <w:t>50%</w:t>
      </w:r>
      <w:r>
        <w:rPr>
          <w:rFonts w:ascii="Times New Roman" w:eastAsia="楷体" w:hAnsi="Times New Roman" w:hint="eastAsia"/>
          <w:color w:val="000000"/>
          <w:kern w:val="0"/>
          <w:sz w:val="24"/>
          <w:szCs w:val="24"/>
        </w:rPr>
        <w:t>的，公司应当在利润分配相关公告中同时披露是否影响偿债能力、过去十二个月内是否使用过募集资金补充流动资金以及未来十二个月内是否计划使用募集资金补充流动资金等内容。）</w:t>
      </w:r>
    </w:p>
    <w:p w14:paraId="40A732D5" w14:textId="77777777" w:rsidR="006F3D2A" w:rsidRDefault="00291481">
      <w:pPr>
        <w:autoSpaceDE w:val="0"/>
        <w:autoSpaceDN w:val="0"/>
        <w:adjustRightInd w:val="0"/>
        <w:snapToGrid w:val="0"/>
        <w:spacing w:line="560" w:lineRule="exact"/>
        <w:ind w:firstLineChars="250" w:firstLine="75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情形二：</w:t>
      </w:r>
    </w:p>
    <w:p w14:paraId="75613F61" w14:textId="77777777" w:rsidR="006F3D2A" w:rsidRDefault="00291481">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报告期末，公司资产负债率</w:t>
      </w:r>
      <w:r>
        <w:rPr>
          <w:rFonts w:ascii="仿宋_GB2312" w:eastAsia="仿宋_GB2312" w:hAnsi="Times New Roman"/>
          <w:color w:val="000000"/>
          <w:kern w:val="0"/>
          <w:sz w:val="30"/>
          <w:szCs w:val="30"/>
        </w:rPr>
        <w:t>XX</w:t>
      </w:r>
      <w:r>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，一年内到期的债务</w:t>
      </w:r>
      <w:r>
        <w:rPr>
          <w:rFonts w:ascii="仿宋_GB2312" w:eastAsia="仿宋_GB2312" w:hAnsi="Times New Roman" w:hint="eastAsia"/>
          <w:color w:val="000000"/>
          <w:kern w:val="0"/>
          <w:sz w:val="30"/>
          <w:szCs w:val="30"/>
        </w:rPr>
        <w:t>X</w:t>
      </w:r>
      <w:r>
        <w:rPr>
          <w:rFonts w:ascii="仿宋_GB2312" w:eastAsia="仿宋_GB2312" w:hAnsi="Times New Roman"/>
          <w:color w:val="000000"/>
          <w:kern w:val="0"/>
          <w:sz w:val="30"/>
          <w:szCs w:val="30"/>
        </w:rPr>
        <w:t>X</w:t>
      </w:r>
      <w:r>
        <w:rPr>
          <w:rFonts w:ascii="仿宋_GB2312" w:eastAsia="仿宋_GB2312" w:hAnsi="Times New Roman" w:hint="eastAsia"/>
          <w:color w:val="000000"/>
          <w:kern w:val="0"/>
          <w:sz w:val="30"/>
          <w:szCs w:val="30"/>
        </w:rPr>
        <w:t>元，账面货币资金</w:t>
      </w:r>
      <w:r>
        <w:rPr>
          <w:rFonts w:ascii="仿宋_GB2312" w:eastAsia="仿宋_GB2312" w:hAnsi="Times New Roman" w:hint="eastAsia"/>
          <w:color w:val="000000"/>
          <w:kern w:val="0"/>
          <w:sz w:val="30"/>
          <w:szCs w:val="30"/>
        </w:rPr>
        <w:t>X</w:t>
      </w:r>
      <w:r>
        <w:rPr>
          <w:rFonts w:ascii="仿宋_GB2312" w:eastAsia="仿宋_GB2312" w:hAnsi="Times New Roman"/>
          <w:color w:val="000000"/>
          <w:kern w:val="0"/>
          <w:sz w:val="30"/>
          <w:szCs w:val="30"/>
        </w:rPr>
        <w:t>X</w:t>
      </w:r>
      <w:r>
        <w:rPr>
          <w:rFonts w:ascii="仿宋_GB2312" w:eastAsia="仿宋_GB2312" w:hAnsi="Times New Roman" w:hint="eastAsia"/>
          <w:color w:val="000000"/>
          <w:kern w:val="0"/>
          <w:sz w:val="30"/>
          <w:szCs w:val="30"/>
        </w:rPr>
        <w:t>元，一年内融资总额</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元，融资成本</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元，经营活动产生现金流净额</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元，公司本期利润分配预案的确定依据，会</w:t>
      </w:r>
      <w:r>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不会导致公司营运资金不足或者影响公司正常经营。</w:t>
      </w:r>
    </w:p>
    <w:p w14:paraId="0B77E33F" w14:textId="77777777" w:rsidR="006F3D2A" w:rsidRDefault="00291481">
      <w:pPr>
        <w:autoSpaceDE w:val="0"/>
        <w:autoSpaceDN w:val="0"/>
        <w:adjustRightInd w:val="0"/>
        <w:snapToGrid w:val="0"/>
        <w:spacing w:line="560" w:lineRule="exact"/>
        <w:ind w:firstLineChars="200" w:firstLine="480"/>
        <w:rPr>
          <w:rFonts w:ascii="Times New Roman" w:eastAsia="楷体" w:hAnsi="Times New Roman"/>
          <w:color w:val="000000"/>
          <w:kern w:val="0"/>
          <w:sz w:val="24"/>
          <w:szCs w:val="24"/>
        </w:rPr>
      </w:pPr>
      <w:r>
        <w:rPr>
          <w:rFonts w:ascii="Times New Roman" w:eastAsia="楷体" w:hAnsi="Times New Roman"/>
          <w:color w:val="000000"/>
          <w:kern w:val="0"/>
          <w:sz w:val="24"/>
          <w:szCs w:val="24"/>
        </w:rPr>
        <w:t>（编制提醒：</w:t>
      </w:r>
      <w:r>
        <w:rPr>
          <w:rFonts w:ascii="Times New Roman" w:eastAsia="楷体" w:hAnsi="Times New Roman" w:hint="eastAsia"/>
          <w:color w:val="000000"/>
          <w:kern w:val="0"/>
          <w:sz w:val="24"/>
          <w:szCs w:val="24"/>
        </w:rPr>
        <w:t>上市公司存在下列情形之一的，应当根据公司盈利能力、融资能力及其成本、偿债能力及现金流等情况，在利润分配相关公告中披露该现金分红方案的合理性，是否导致公司营运资金不足或者影响公司正常生产经营：</w:t>
      </w:r>
    </w:p>
    <w:p w14:paraId="769DDBE0" w14:textId="77777777" w:rsidR="006F3D2A" w:rsidRDefault="00291481">
      <w:pPr>
        <w:autoSpaceDE w:val="0"/>
        <w:autoSpaceDN w:val="0"/>
        <w:adjustRightInd w:val="0"/>
        <w:snapToGrid w:val="0"/>
        <w:spacing w:line="560" w:lineRule="exact"/>
        <w:ind w:firstLineChars="200" w:firstLine="480"/>
        <w:rPr>
          <w:rFonts w:ascii="Times New Roman" w:eastAsia="楷体" w:hAnsi="Times New Roman"/>
          <w:color w:val="000000"/>
          <w:kern w:val="0"/>
          <w:sz w:val="24"/>
          <w:szCs w:val="24"/>
        </w:rPr>
      </w:pPr>
      <w:r>
        <w:rPr>
          <w:rFonts w:ascii="Times New Roman" w:eastAsia="楷体" w:hAnsi="Times New Roman" w:hint="eastAsia"/>
          <w:color w:val="000000"/>
          <w:kern w:val="0"/>
          <w:sz w:val="24"/>
          <w:szCs w:val="24"/>
        </w:rPr>
        <w:t>（一）最近一个会计年度的财务会计报告被出具非无保留意见的审计报告或者带与持续经营相关的重大不确定性段落的无保留意见的审计报告，且实施现金分红的；</w:t>
      </w:r>
    </w:p>
    <w:p w14:paraId="6B1D665B" w14:textId="77777777" w:rsidR="006F3D2A" w:rsidRDefault="00291481">
      <w:pPr>
        <w:autoSpaceDE w:val="0"/>
        <w:autoSpaceDN w:val="0"/>
        <w:adjustRightInd w:val="0"/>
        <w:snapToGrid w:val="0"/>
        <w:spacing w:line="560" w:lineRule="exact"/>
        <w:ind w:firstLineChars="200" w:firstLine="480"/>
        <w:rPr>
          <w:rFonts w:ascii="Times New Roman" w:eastAsia="楷体" w:hAnsi="Times New Roman"/>
          <w:color w:val="000000"/>
          <w:kern w:val="0"/>
          <w:sz w:val="24"/>
          <w:szCs w:val="24"/>
        </w:rPr>
      </w:pPr>
      <w:r>
        <w:rPr>
          <w:rFonts w:ascii="Times New Roman" w:eastAsia="楷体" w:hAnsi="Times New Roman" w:hint="eastAsia"/>
          <w:color w:val="000000"/>
          <w:kern w:val="0"/>
          <w:sz w:val="24"/>
          <w:szCs w:val="24"/>
        </w:rPr>
        <w:t>（二）报告期末资产负债率超过</w:t>
      </w:r>
      <w:r>
        <w:rPr>
          <w:rFonts w:ascii="Times New Roman" w:eastAsia="楷体" w:hAnsi="Times New Roman" w:hint="eastAsia"/>
          <w:color w:val="000000"/>
          <w:kern w:val="0"/>
          <w:sz w:val="24"/>
          <w:szCs w:val="24"/>
        </w:rPr>
        <w:t>80%</w:t>
      </w:r>
      <w:r>
        <w:rPr>
          <w:rFonts w:ascii="Times New Roman" w:eastAsia="楷体" w:hAnsi="Times New Roman" w:hint="eastAsia"/>
          <w:color w:val="000000"/>
          <w:kern w:val="0"/>
          <w:sz w:val="24"/>
          <w:szCs w:val="24"/>
        </w:rPr>
        <w:t>且当期经营活动产生的现金流量净额为负，现金分红金额超过当期归属于上市公司股东净利润</w:t>
      </w:r>
      <w:r>
        <w:rPr>
          <w:rFonts w:ascii="Times New Roman" w:eastAsia="楷体" w:hAnsi="Times New Roman" w:hint="eastAsia"/>
          <w:color w:val="000000"/>
          <w:kern w:val="0"/>
          <w:sz w:val="24"/>
          <w:szCs w:val="24"/>
        </w:rPr>
        <w:t>50%</w:t>
      </w:r>
      <w:r>
        <w:rPr>
          <w:rFonts w:ascii="Times New Roman" w:eastAsia="楷体" w:hAnsi="Times New Roman" w:hint="eastAsia"/>
          <w:color w:val="000000"/>
          <w:kern w:val="0"/>
          <w:sz w:val="24"/>
          <w:szCs w:val="24"/>
        </w:rPr>
        <w:t>的。）</w:t>
      </w:r>
    </w:p>
    <w:p w14:paraId="4D0FEF96" w14:textId="77777777" w:rsidR="006F3D2A" w:rsidRDefault="006F3D2A">
      <w:pPr>
        <w:autoSpaceDE w:val="0"/>
        <w:autoSpaceDN w:val="0"/>
        <w:adjustRightInd w:val="0"/>
        <w:snapToGrid w:val="0"/>
        <w:spacing w:line="560" w:lineRule="exact"/>
        <w:ind w:firstLineChars="200" w:firstLine="600"/>
        <w:rPr>
          <w:rFonts w:ascii="仿宋_GB2312" w:eastAsia="仿宋_GB2312" w:hAnsi="Times New Roman"/>
          <w:color w:val="000000"/>
          <w:kern w:val="0"/>
          <w:sz w:val="30"/>
          <w:szCs w:val="30"/>
        </w:rPr>
      </w:pPr>
    </w:p>
    <w:p w14:paraId="659DE4EC" w14:textId="77777777" w:rsidR="006F3D2A" w:rsidRDefault="00291481">
      <w:pPr>
        <w:widowControl/>
        <w:spacing w:line="56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六、公司履行的决策程序</w:t>
      </w:r>
    </w:p>
    <w:p w14:paraId="5219AF9E" w14:textId="77777777" w:rsidR="006F3D2A" w:rsidRDefault="00291481">
      <w:pPr>
        <w:widowControl/>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公司于</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年</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月</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日召开</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年</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届</w:t>
      </w:r>
      <w:r>
        <w:rPr>
          <w:rFonts w:ascii="仿宋_GB2312" w:eastAsia="仿宋_GB2312" w:hAnsi="Times New Roman" w:hint="eastAsia"/>
          <w:color w:val="000000"/>
          <w:kern w:val="0"/>
          <w:sz w:val="30"/>
          <w:szCs w:val="30"/>
        </w:rPr>
        <w:t>XX</w:t>
      </w:r>
      <w:r>
        <w:rPr>
          <w:rFonts w:ascii="仿宋_GB2312" w:eastAsia="仿宋_GB2312" w:hAnsi="Times New Roman" w:hint="eastAsia"/>
          <w:color w:val="000000"/>
          <w:kern w:val="0"/>
          <w:sz w:val="30"/>
          <w:szCs w:val="30"/>
        </w:rPr>
        <w:t>次董事会审议通过本利润分配方案，本方案符合公司章程规定的利润分配政策和公司已披露的股东回报规划。（如不符合，披露具体原因及相关保护投资者措施）。</w:t>
      </w:r>
    </w:p>
    <w:p w14:paraId="24638A71" w14:textId="77777777" w:rsidR="006F3D2A" w:rsidRDefault="00291481">
      <w:pPr>
        <w:widowControl/>
        <w:spacing w:line="560" w:lineRule="exact"/>
        <w:ind w:firstLineChars="200" w:firstLine="480"/>
        <w:rPr>
          <w:rFonts w:ascii="Times New Roman" w:eastAsia="楷体" w:hAnsi="Times New Roman"/>
          <w:color w:val="000000"/>
          <w:kern w:val="0"/>
          <w:sz w:val="24"/>
          <w:szCs w:val="24"/>
        </w:rPr>
      </w:pPr>
      <w:r>
        <w:rPr>
          <w:rFonts w:ascii="楷体" w:eastAsia="楷体" w:hAnsi="楷体"/>
          <w:sz w:val="24"/>
        </w:rPr>
        <w:t>（</w:t>
      </w:r>
      <w:r>
        <w:rPr>
          <w:rFonts w:ascii="楷体" w:eastAsia="楷体" w:hAnsi="楷体" w:hint="eastAsia"/>
          <w:sz w:val="24"/>
        </w:rPr>
        <w:t>编制提醒：</w:t>
      </w:r>
      <w:r>
        <w:rPr>
          <w:rFonts w:ascii="Times New Roman" w:eastAsia="楷体" w:hAnsi="Times New Roman" w:hint="eastAsia"/>
          <w:color w:val="000000"/>
          <w:kern w:val="0"/>
          <w:sz w:val="24"/>
          <w:szCs w:val="24"/>
        </w:rPr>
        <w:t>独立董事认为现金分红具体方案可能损害上市公司或者中小股东权益的，有权发表独立意见。董事会对独立董事的意见未采纳或者未完全采纳的，应当在董事会决议公告中披露独立董事的意见及未采纳的具体理由。</w:t>
      </w:r>
    </w:p>
    <w:p w14:paraId="46A436D3" w14:textId="77777777" w:rsidR="006F3D2A" w:rsidRDefault="006F3D2A">
      <w:pPr>
        <w:autoSpaceDE w:val="0"/>
        <w:autoSpaceDN w:val="0"/>
        <w:adjustRightInd w:val="0"/>
        <w:snapToGrid w:val="0"/>
        <w:spacing w:line="560" w:lineRule="exact"/>
        <w:ind w:firstLineChars="200" w:firstLine="480"/>
        <w:rPr>
          <w:rFonts w:ascii="Times New Roman" w:eastAsia="楷体" w:hAnsi="Times New Roman"/>
          <w:color w:val="000000"/>
          <w:kern w:val="0"/>
          <w:sz w:val="24"/>
          <w:szCs w:val="24"/>
        </w:rPr>
      </w:pPr>
    </w:p>
    <w:p w14:paraId="1854E8D0" w14:textId="77777777" w:rsidR="006F3D2A" w:rsidRDefault="00291481">
      <w:pPr>
        <w:widowControl/>
        <w:spacing w:line="560" w:lineRule="exact"/>
        <w:ind w:firstLineChars="200" w:firstLine="643"/>
        <w:rPr>
          <w:rFonts w:ascii="黑体" w:eastAsia="黑体" w:hAnsi="黑体" w:cs="宋体"/>
          <w:b/>
          <w:color w:val="000000"/>
          <w:kern w:val="0"/>
          <w:sz w:val="32"/>
          <w:szCs w:val="32"/>
        </w:rPr>
      </w:pPr>
      <w:r>
        <w:rPr>
          <w:rFonts w:ascii="黑体" w:eastAsia="黑体" w:hAnsi="黑体" w:cs="宋体" w:hint="eastAsia"/>
          <w:b/>
          <w:color w:val="000000"/>
          <w:kern w:val="0"/>
          <w:sz w:val="32"/>
          <w:szCs w:val="32"/>
        </w:rPr>
        <w:t>七、相关风险提示</w:t>
      </w:r>
    </w:p>
    <w:p w14:paraId="38617A40"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（一）现金分红对上市公司每股收益、现金流状况、生产经营的影响分析</w:t>
      </w:r>
    </w:p>
    <w:p w14:paraId="7BB5DC73"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（二）其他风险说明</w:t>
      </w:r>
    </w:p>
    <w:p w14:paraId="2400A7E4" w14:textId="77777777" w:rsidR="006F3D2A" w:rsidRDefault="006F3D2A">
      <w:pPr>
        <w:widowControl/>
        <w:spacing w:line="560" w:lineRule="exact"/>
        <w:ind w:firstLineChars="200" w:firstLine="600"/>
        <w:rPr>
          <w:rFonts w:ascii="仿宋_GB2312" w:eastAsia="仿宋_GB2312" w:hAnsi="宋体" w:cs="宋体"/>
          <w:color w:val="000000"/>
          <w:kern w:val="0"/>
          <w:sz w:val="30"/>
          <w:szCs w:val="30"/>
        </w:rPr>
      </w:pPr>
    </w:p>
    <w:p w14:paraId="7EB05B3D" w14:textId="77777777" w:rsidR="006F3D2A" w:rsidRDefault="00291481">
      <w:pPr>
        <w:widowControl/>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特此公告。</w:t>
      </w:r>
    </w:p>
    <w:p w14:paraId="49C21C97" w14:textId="77777777" w:rsidR="006F3D2A" w:rsidRDefault="006F3D2A">
      <w:pPr>
        <w:adjustRightInd w:val="0"/>
        <w:snapToGrid w:val="0"/>
        <w:spacing w:line="560" w:lineRule="exact"/>
        <w:ind w:firstLineChars="200" w:firstLine="480"/>
        <w:rPr>
          <w:rFonts w:ascii="宋体" w:hAnsi="宋体"/>
          <w:sz w:val="24"/>
        </w:rPr>
      </w:pPr>
    </w:p>
    <w:p w14:paraId="1D3D395D" w14:textId="77777777" w:rsidR="006F3D2A" w:rsidRDefault="00291481">
      <w:pPr>
        <w:widowControl/>
        <w:spacing w:line="560" w:lineRule="exact"/>
        <w:ind w:firstLineChars="200" w:firstLine="600"/>
        <w:jc w:val="right"/>
        <w:outlineLvl w:val="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XXXX</w:t>
      </w:r>
      <w:r>
        <w:rPr>
          <w:rFonts w:ascii="仿宋_GB2312" w:eastAsia="仿宋_GB2312" w:hAnsi="宋体" w:cs="宋体" w:hint="eastAsia"/>
          <w:color w:val="000000"/>
          <w:kern w:val="0"/>
          <w:sz w:val="30"/>
          <w:szCs w:val="30"/>
        </w:rPr>
        <w:t>股份有限公司董事会</w:t>
      </w:r>
    </w:p>
    <w:p w14:paraId="134E5F91" w14:textId="77777777" w:rsidR="006F3D2A" w:rsidRDefault="00291481">
      <w:pPr>
        <w:pStyle w:val="a9"/>
        <w:spacing w:line="560" w:lineRule="exact"/>
        <w:ind w:firstLine="750"/>
        <w:jc w:val="right"/>
        <w:rPr>
          <w:rFonts w:ascii="仿宋_GB2312" w:eastAsia="仿宋_GB2312" w:hAnsi="宋体" w:cs="宋体"/>
          <w:color w:val="000000"/>
          <w:sz w:val="30"/>
          <w:szCs w:val="30"/>
        </w:rPr>
      </w:pPr>
      <w:r>
        <w:rPr>
          <w:rFonts w:ascii="仿宋_GB2312" w:eastAsia="仿宋_GB2312" w:hAnsi="宋体" w:cs="宋体" w:hint="eastAsia"/>
          <w:color w:val="000000"/>
          <w:sz w:val="30"/>
          <w:szCs w:val="30"/>
        </w:rPr>
        <w:t xml:space="preserve"> </w:t>
      </w:r>
      <w:r>
        <w:rPr>
          <w:rFonts w:ascii="仿宋_GB2312" w:eastAsia="仿宋_GB2312" w:hAnsi="宋体" w:cs="宋体" w:hint="eastAsia"/>
          <w:color w:val="000000"/>
          <w:sz w:val="30"/>
          <w:szCs w:val="30"/>
        </w:rPr>
        <w:t>年</w:t>
      </w:r>
      <w:r>
        <w:rPr>
          <w:rFonts w:ascii="仿宋_GB2312" w:eastAsia="仿宋_GB2312" w:hAnsi="宋体" w:cs="宋体" w:hint="eastAsia"/>
          <w:color w:val="000000"/>
          <w:sz w:val="30"/>
          <w:szCs w:val="30"/>
        </w:rPr>
        <w:t xml:space="preserve">  </w:t>
      </w:r>
      <w:r>
        <w:rPr>
          <w:rFonts w:ascii="仿宋_GB2312" w:eastAsia="仿宋_GB2312" w:hAnsi="宋体" w:cs="宋体" w:hint="eastAsia"/>
          <w:color w:val="000000"/>
          <w:sz w:val="30"/>
          <w:szCs w:val="30"/>
        </w:rPr>
        <w:t>月</w:t>
      </w:r>
      <w:r>
        <w:rPr>
          <w:rFonts w:ascii="仿宋_GB2312" w:eastAsia="仿宋_GB2312" w:hAnsi="宋体" w:cs="宋体" w:hint="eastAsia"/>
          <w:color w:val="000000"/>
          <w:sz w:val="30"/>
          <w:szCs w:val="30"/>
        </w:rPr>
        <w:t xml:space="preserve">  </w:t>
      </w:r>
      <w:r>
        <w:rPr>
          <w:rFonts w:ascii="仿宋_GB2312" w:eastAsia="仿宋_GB2312" w:hAnsi="宋体" w:cs="宋体" w:hint="eastAsia"/>
          <w:color w:val="000000"/>
          <w:sz w:val="30"/>
          <w:szCs w:val="30"/>
        </w:rPr>
        <w:t>日</w:t>
      </w:r>
    </w:p>
    <w:p w14:paraId="5BE822DE" w14:textId="77777777" w:rsidR="006F3D2A" w:rsidRDefault="006F3D2A">
      <w:pPr>
        <w:pStyle w:val="a9"/>
        <w:spacing w:line="560" w:lineRule="exact"/>
        <w:ind w:firstLine="750"/>
        <w:jc w:val="right"/>
        <w:rPr>
          <w:rFonts w:ascii="仿宋_GB2312" w:eastAsia="仿宋_GB2312" w:hAnsi="宋体" w:cs="宋体"/>
          <w:color w:val="000000"/>
          <w:sz w:val="30"/>
          <w:szCs w:val="30"/>
        </w:rPr>
      </w:pPr>
    </w:p>
    <w:p w14:paraId="0728A8A1" w14:textId="77777777" w:rsidR="006F3D2A" w:rsidRDefault="00291481">
      <w:pPr>
        <w:pStyle w:val="af"/>
        <w:numPr>
          <w:ilvl w:val="0"/>
          <w:numId w:val="4"/>
        </w:numPr>
        <w:autoSpaceDE w:val="0"/>
        <w:autoSpaceDN w:val="0"/>
        <w:adjustRightInd w:val="0"/>
        <w:snapToGrid w:val="0"/>
        <w:spacing w:line="560" w:lineRule="exact"/>
        <w:ind w:firstLineChars="0"/>
        <w:jc w:val="left"/>
        <w:rPr>
          <w:rFonts w:ascii="Times New Roman" w:eastAsia="仿宋_GB2312" w:hAnsi="Times New Roman"/>
          <w:b/>
          <w:color w:val="000000"/>
          <w:sz w:val="30"/>
          <w:szCs w:val="30"/>
        </w:rPr>
      </w:pPr>
      <w:r>
        <w:rPr>
          <w:rFonts w:ascii="Times New Roman" w:eastAsia="仿宋_GB2312" w:hAnsi="Times New Roman" w:hint="eastAsia"/>
          <w:b/>
          <w:color w:val="000000"/>
          <w:sz w:val="30"/>
          <w:szCs w:val="30"/>
        </w:rPr>
        <w:t>报备文件</w:t>
      </w:r>
    </w:p>
    <w:p w14:paraId="3A61B753" w14:textId="30AFAF19" w:rsidR="006F3D2A" w:rsidRDefault="00291481">
      <w:pPr>
        <w:autoSpaceDE w:val="0"/>
        <w:autoSpaceDN w:val="0"/>
        <w:adjustRightInd w:val="0"/>
        <w:snapToGrid w:val="0"/>
        <w:spacing w:line="560" w:lineRule="exact"/>
        <w:ind w:firstLineChars="200" w:firstLine="600"/>
        <w:rPr>
          <w:rFonts w:ascii="Times New Roman" w:eastAsia="仿宋_GB2312" w:hAnsi="Times New Roman"/>
          <w:color w:val="000000"/>
          <w:sz w:val="30"/>
          <w:szCs w:val="30"/>
        </w:rPr>
      </w:pPr>
      <w:bookmarkStart w:id="0" w:name="_GoBack"/>
      <w:bookmarkEnd w:id="0"/>
      <w:r>
        <w:rPr>
          <w:rFonts w:ascii="Times New Roman" w:eastAsia="仿宋_GB2312" w:hAnsi="Times New Roman" w:hint="eastAsia"/>
          <w:color w:val="000000"/>
          <w:sz w:val="30"/>
          <w:szCs w:val="30"/>
        </w:rPr>
        <w:t>回购注销金额的相关证明文件（如适用）</w:t>
      </w:r>
    </w:p>
    <w:p w14:paraId="28BD2E60" w14:textId="77777777" w:rsidR="006F3D2A" w:rsidRDefault="006F3D2A">
      <w:pPr>
        <w:pStyle w:val="a9"/>
        <w:spacing w:line="560" w:lineRule="exact"/>
        <w:ind w:firstLine="750"/>
        <w:rPr>
          <w:rFonts w:ascii="仿宋_GB2312" w:eastAsia="仿宋_GB2312" w:hAnsi="宋体" w:cs="宋体"/>
          <w:color w:val="000000"/>
          <w:sz w:val="30"/>
          <w:szCs w:val="30"/>
        </w:rPr>
      </w:pPr>
    </w:p>
    <w:p w14:paraId="5377FB7E" w14:textId="77777777" w:rsidR="006F3D2A" w:rsidRDefault="006F3D2A">
      <w:pPr>
        <w:pStyle w:val="a9"/>
        <w:spacing w:line="560" w:lineRule="exact"/>
        <w:ind w:right="600" w:firstLine="750"/>
        <w:jc w:val="right"/>
        <w:rPr>
          <w:rFonts w:ascii="仿宋_GB2312" w:eastAsia="仿宋_GB2312" w:hAnsi="宋体" w:cs="宋体"/>
          <w:color w:val="000000"/>
          <w:sz w:val="30"/>
          <w:szCs w:val="30"/>
        </w:rPr>
      </w:pPr>
    </w:p>
    <w:p w14:paraId="3EE2C043" w14:textId="77777777" w:rsidR="006F3D2A" w:rsidRDefault="006F3D2A">
      <w:pPr>
        <w:pStyle w:val="a9"/>
        <w:spacing w:line="560" w:lineRule="exact"/>
        <w:ind w:firstLine="750"/>
        <w:jc w:val="right"/>
        <w:rPr>
          <w:rFonts w:ascii="仿宋_GB2312" w:eastAsia="仿宋_GB2312" w:hAnsi="宋体" w:cs="宋体"/>
          <w:color w:val="000000"/>
          <w:sz w:val="30"/>
          <w:szCs w:val="30"/>
        </w:rPr>
      </w:pPr>
    </w:p>
    <w:sectPr w:rsidR="006F3D2A">
      <w:headerReference w:type="default" r:id="rId7"/>
      <w:footerReference w:type="default" r:id="rId8"/>
      <w:type w:val="continuous"/>
      <w:pgSz w:w="11906" w:h="16838"/>
      <w:pgMar w:top="1440" w:right="1800" w:bottom="1440" w:left="1800" w:header="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50C8C" w14:textId="77777777" w:rsidR="00291481" w:rsidRDefault="00291481">
      <w:r>
        <w:separator/>
      </w:r>
    </w:p>
  </w:endnote>
  <w:endnote w:type="continuationSeparator" w:id="0">
    <w:p w14:paraId="7995ED75" w14:textId="77777777" w:rsidR="00291481" w:rsidRDefault="0029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F1490" w14:textId="54C82F3B" w:rsidR="006F3D2A" w:rsidRDefault="00291481">
    <w:pPr>
      <w:pStyle w:val="a9"/>
      <w:jc w:val="right"/>
      <w:rPr>
        <w:rFonts w:ascii="仿宋_GB2312" w:eastAsia="仿宋_GB2312"/>
        <w:bCs/>
        <w:kern w:val="2"/>
        <w:sz w:val="28"/>
      </w:rPr>
    </w:pPr>
    <w:r>
      <w:rPr>
        <w:rFonts w:ascii="仿宋_GB2312" w:eastAsia="仿宋_GB2312" w:hint="eastAsia"/>
        <w:bCs/>
        <w:kern w:val="2"/>
        <w:sz w:val="28"/>
      </w:rPr>
      <w:t>－</w:t>
    </w:r>
    <w:r>
      <w:rPr>
        <w:rFonts w:ascii="仿宋_GB2312" w:eastAsia="仿宋_GB2312"/>
        <w:bCs/>
        <w:kern w:val="2"/>
        <w:sz w:val="28"/>
      </w:rPr>
      <w:fldChar w:fldCharType="begin"/>
    </w:r>
    <w:r>
      <w:rPr>
        <w:rFonts w:ascii="仿宋_GB2312" w:eastAsia="仿宋_GB2312"/>
        <w:bCs/>
        <w:kern w:val="2"/>
        <w:sz w:val="28"/>
      </w:rPr>
      <w:instrText>PAGE   \* MERGEFORMAT</w:instrText>
    </w:r>
    <w:r>
      <w:rPr>
        <w:rFonts w:ascii="仿宋_GB2312" w:eastAsia="仿宋_GB2312"/>
        <w:bCs/>
        <w:kern w:val="2"/>
        <w:sz w:val="28"/>
      </w:rPr>
      <w:fldChar w:fldCharType="separate"/>
    </w:r>
    <w:r w:rsidR="008C37CA">
      <w:rPr>
        <w:rFonts w:ascii="仿宋_GB2312" w:eastAsia="仿宋_GB2312"/>
        <w:bCs/>
        <w:noProof/>
        <w:kern w:val="2"/>
        <w:sz w:val="28"/>
      </w:rPr>
      <w:t>10</w:t>
    </w:r>
    <w:r>
      <w:rPr>
        <w:rFonts w:ascii="仿宋_GB2312" w:eastAsia="仿宋_GB2312"/>
        <w:bCs/>
        <w:kern w:val="2"/>
        <w:sz w:val="28"/>
      </w:rPr>
      <w:fldChar w:fldCharType="end"/>
    </w:r>
    <w:r>
      <w:rPr>
        <w:rFonts w:ascii="仿宋_GB2312" w:eastAsia="仿宋_GB2312" w:hint="eastAsia"/>
        <w:bCs/>
        <w:kern w:val="2"/>
        <w:sz w:val="28"/>
      </w:rPr>
      <w:t>－</w:t>
    </w:r>
  </w:p>
  <w:p w14:paraId="67BCA5E0" w14:textId="77777777" w:rsidR="006F3D2A" w:rsidRDefault="006F3D2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51D1E" w14:textId="77777777" w:rsidR="00291481" w:rsidRDefault="00291481">
      <w:r>
        <w:separator/>
      </w:r>
    </w:p>
  </w:footnote>
  <w:footnote w:type="continuationSeparator" w:id="0">
    <w:p w14:paraId="5A058B4A" w14:textId="77777777" w:rsidR="00291481" w:rsidRDefault="002914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B844" w14:textId="77777777" w:rsidR="006F3D2A" w:rsidRDefault="006F3D2A">
    <w:pPr>
      <w:pStyle w:val="aa"/>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EFA722"/>
    <w:multiLevelType w:val="singleLevel"/>
    <w:tmpl w:val="B3EFA722"/>
    <w:lvl w:ilvl="0">
      <w:start w:val="4"/>
      <w:numFmt w:val="chineseCounting"/>
      <w:suff w:val="nothing"/>
      <w:lvlText w:val="%1、"/>
      <w:lvlJc w:val="left"/>
      <w:rPr>
        <w:rFonts w:hint="eastAsia"/>
      </w:rPr>
    </w:lvl>
  </w:abstractNum>
  <w:abstractNum w:abstractNumId="1" w15:restartNumberingAfterBreak="0">
    <w:nsid w:val="136C48CB"/>
    <w:multiLevelType w:val="multilevel"/>
    <w:tmpl w:val="136C48CB"/>
    <w:lvl w:ilvl="0">
      <w:start w:val="1"/>
      <w:numFmt w:val="japaneseCounting"/>
      <w:lvlText w:val="%1、"/>
      <w:lvlJc w:val="left"/>
      <w:pPr>
        <w:ind w:left="1363" w:hanging="720"/>
      </w:pPr>
      <w:rPr>
        <w:rFonts w:hint="default"/>
      </w:rPr>
    </w:lvl>
    <w:lvl w:ilvl="1">
      <w:start w:val="1"/>
      <w:numFmt w:val="lowerLetter"/>
      <w:lvlText w:val="%2)"/>
      <w:lvlJc w:val="left"/>
      <w:pPr>
        <w:ind w:left="1523" w:hanging="440"/>
      </w:pPr>
    </w:lvl>
    <w:lvl w:ilvl="2">
      <w:start w:val="1"/>
      <w:numFmt w:val="lowerRoman"/>
      <w:lvlText w:val="%3."/>
      <w:lvlJc w:val="right"/>
      <w:pPr>
        <w:ind w:left="1963" w:hanging="440"/>
      </w:pPr>
    </w:lvl>
    <w:lvl w:ilvl="3">
      <w:start w:val="1"/>
      <w:numFmt w:val="decimal"/>
      <w:lvlText w:val="%4."/>
      <w:lvlJc w:val="left"/>
      <w:pPr>
        <w:ind w:left="2403" w:hanging="440"/>
      </w:pPr>
    </w:lvl>
    <w:lvl w:ilvl="4">
      <w:start w:val="1"/>
      <w:numFmt w:val="lowerLetter"/>
      <w:lvlText w:val="%5)"/>
      <w:lvlJc w:val="left"/>
      <w:pPr>
        <w:ind w:left="2843" w:hanging="440"/>
      </w:pPr>
    </w:lvl>
    <w:lvl w:ilvl="5">
      <w:start w:val="1"/>
      <w:numFmt w:val="lowerRoman"/>
      <w:lvlText w:val="%6."/>
      <w:lvlJc w:val="right"/>
      <w:pPr>
        <w:ind w:left="3283" w:hanging="440"/>
      </w:pPr>
    </w:lvl>
    <w:lvl w:ilvl="6">
      <w:start w:val="1"/>
      <w:numFmt w:val="decimal"/>
      <w:lvlText w:val="%7."/>
      <w:lvlJc w:val="left"/>
      <w:pPr>
        <w:ind w:left="3723" w:hanging="440"/>
      </w:pPr>
    </w:lvl>
    <w:lvl w:ilvl="7">
      <w:start w:val="1"/>
      <w:numFmt w:val="lowerLetter"/>
      <w:lvlText w:val="%8)"/>
      <w:lvlJc w:val="left"/>
      <w:pPr>
        <w:ind w:left="4163" w:hanging="440"/>
      </w:pPr>
    </w:lvl>
    <w:lvl w:ilvl="8">
      <w:start w:val="1"/>
      <w:numFmt w:val="lowerRoman"/>
      <w:lvlText w:val="%9."/>
      <w:lvlJc w:val="right"/>
      <w:pPr>
        <w:ind w:left="4603" w:hanging="440"/>
      </w:pPr>
    </w:lvl>
  </w:abstractNum>
  <w:abstractNum w:abstractNumId="2" w15:restartNumberingAfterBreak="0">
    <w:nsid w:val="23286009"/>
    <w:multiLevelType w:val="multilevel"/>
    <w:tmpl w:val="23286009"/>
    <w:lvl w:ilvl="0">
      <w:numFmt w:val="bullet"/>
      <w:lvlText w:val=""/>
      <w:lvlJc w:val="left"/>
      <w:pPr>
        <w:tabs>
          <w:tab w:val="left" w:pos="1318"/>
        </w:tabs>
        <w:ind w:left="1318" w:hanging="780"/>
      </w:pPr>
      <w:rPr>
        <w:rFonts w:ascii="Wingdings" w:eastAsia="仿宋_GB2312" w:hAnsi="Wingdings" w:cs="Times New Roman" w:hint="default"/>
        <w:b w:val="0"/>
      </w:rPr>
    </w:lvl>
    <w:lvl w:ilvl="1">
      <w:start w:val="1"/>
      <w:numFmt w:val="bullet"/>
      <w:lvlText w:val=""/>
      <w:lvlJc w:val="left"/>
      <w:pPr>
        <w:tabs>
          <w:tab w:val="left" w:pos="1378"/>
        </w:tabs>
        <w:ind w:left="1378" w:hanging="420"/>
      </w:pPr>
      <w:rPr>
        <w:rFonts w:ascii="Wingdings" w:hAnsi="Wingdings" w:hint="default"/>
      </w:rPr>
    </w:lvl>
    <w:lvl w:ilvl="2">
      <w:start w:val="1"/>
      <w:numFmt w:val="bullet"/>
      <w:lvlText w:val=""/>
      <w:lvlJc w:val="left"/>
      <w:pPr>
        <w:tabs>
          <w:tab w:val="left" w:pos="1798"/>
        </w:tabs>
        <w:ind w:left="1798" w:hanging="420"/>
      </w:pPr>
      <w:rPr>
        <w:rFonts w:ascii="Wingdings" w:hAnsi="Wingdings" w:hint="default"/>
      </w:rPr>
    </w:lvl>
    <w:lvl w:ilvl="3">
      <w:start w:val="1"/>
      <w:numFmt w:val="bullet"/>
      <w:lvlText w:val=""/>
      <w:lvlJc w:val="left"/>
      <w:pPr>
        <w:tabs>
          <w:tab w:val="left" w:pos="2218"/>
        </w:tabs>
        <w:ind w:left="2218" w:hanging="420"/>
      </w:pPr>
      <w:rPr>
        <w:rFonts w:ascii="Wingdings" w:hAnsi="Wingdings" w:hint="default"/>
        <w:b w:val="0"/>
      </w:rPr>
    </w:lvl>
    <w:lvl w:ilvl="4">
      <w:start w:val="1"/>
      <w:numFmt w:val="bullet"/>
      <w:lvlText w:val=""/>
      <w:lvlJc w:val="left"/>
      <w:pPr>
        <w:tabs>
          <w:tab w:val="left" w:pos="2638"/>
        </w:tabs>
        <w:ind w:left="2638" w:hanging="420"/>
      </w:pPr>
      <w:rPr>
        <w:rFonts w:ascii="Wingdings" w:hAnsi="Wingdings" w:hint="default"/>
      </w:rPr>
    </w:lvl>
    <w:lvl w:ilvl="5">
      <w:start w:val="1"/>
      <w:numFmt w:val="bullet"/>
      <w:lvlText w:val=""/>
      <w:lvlJc w:val="left"/>
      <w:pPr>
        <w:tabs>
          <w:tab w:val="left" w:pos="3058"/>
        </w:tabs>
        <w:ind w:left="3058" w:hanging="420"/>
      </w:pPr>
      <w:rPr>
        <w:rFonts w:ascii="Wingdings" w:hAnsi="Wingdings" w:hint="default"/>
      </w:rPr>
    </w:lvl>
    <w:lvl w:ilvl="6">
      <w:start w:val="1"/>
      <w:numFmt w:val="bullet"/>
      <w:lvlText w:val=""/>
      <w:lvlJc w:val="left"/>
      <w:pPr>
        <w:tabs>
          <w:tab w:val="left" w:pos="3478"/>
        </w:tabs>
        <w:ind w:left="3478" w:hanging="420"/>
      </w:pPr>
      <w:rPr>
        <w:rFonts w:ascii="Wingdings" w:hAnsi="Wingdings" w:hint="default"/>
      </w:rPr>
    </w:lvl>
    <w:lvl w:ilvl="7">
      <w:start w:val="1"/>
      <w:numFmt w:val="bullet"/>
      <w:lvlText w:val=""/>
      <w:lvlJc w:val="left"/>
      <w:pPr>
        <w:tabs>
          <w:tab w:val="left" w:pos="3898"/>
        </w:tabs>
        <w:ind w:left="3898" w:hanging="420"/>
      </w:pPr>
      <w:rPr>
        <w:rFonts w:ascii="Wingdings" w:hAnsi="Wingdings" w:hint="default"/>
      </w:rPr>
    </w:lvl>
    <w:lvl w:ilvl="8">
      <w:start w:val="1"/>
      <w:numFmt w:val="bullet"/>
      <w:lvlText w:val=""/>
      <w:lvlJc w:val="left"/>
      <w:pPr>
        <w:tabs>
          <w:tab w:val="left" w:pos="4318"/>
        </w:tabs>
        <w:ind w:left="4318" w:hanging="420"/>
      </w:pPr>
      <w:rPr>
        <w:rFonts w:ascii="Wingdings" w:hAnsi="Wingdings" w:hint="default"/>
      </w:rPr>
    </w:lvl>
  </w:abstractNum>
  <w:abstractNum w:abstractNumId="3" w15:restartNumberingAfterBreak="0">
    <w:nsid w:val="234F360F"/>
    <w:multiLevelType w:val="multilevel"/>
    <w:tmpl w:val="234F360F"/>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0FF"/>
    <w:rsid w:val="9FFC5F54"/>
    <w:rsid w:val="BCFBF08C"/>
    <w:rsid w:val="BE03EE82"/>
    <w:rsid w:val="CFBB9979"/>
    <w:rsid w:val="DFEFC800"/>
    <w:rsid w:val="F3DF3628"/>
    <w:rsid w:val="F4DF4664"/>
    <w:rsid w:val="F5EBAA2A"/>
    <w:rsid w:val="F7FF83F6"/>
    <w:rsid w:val="FB7F0190"/>
    <w:rsid w:val="FBAF91C8"/>
    <w:rsid w:val="FBDEC4C4"/>
    <w:rsid w:val="FBEF22CB"/>
    <w:rsid w:val="FD8D9D22"/>
    <w:rsid w:val="FDDFEBA5"/>
    <w:rsid w:val="FF957FAF"/>
    <w:rsid w:val="FFDB37BA"/>
    <w:rsid w:val="000121F2"/>
    <w:rsid w:val="00013615"/>
    <w:rsid w:val="000210EA"/>
    <w:rsid w:val="00022D1A"/>
    <w:rsid w:val="00024A36"/>
    <w:rsid w:val="00031A7E"/>
    <w:rsid w:val="00033C39"/>
    <w:rsid w:val="00034298"/>
    <w:rsid w:val="00035E18"/>
    <w:rsid w:val="00041A82"/>
    <w:rsid w:val="000454E7"/>
    <w:rsid w:val="0004572D"/>
    <w:rsid w:val="00046727"/>
    <w:rsid w:val="00051754"/>
    <w:rsid w:val="00051DBB"/>
    <w:rsid w:val="00052DA6"/>
    <w:rsid w:val="00057BFD"/>
    <w:rsid w:val="00062618"/>
    <w:rsid w:val="00062D4E"/>
    <w:rsid w:val="000640D6"/>
    <w:rsid w:val="00085113"/>
    <w:rsid w:val="00085BE2"/>
    <w:rsid w:val="0009061F"/>
    <w:rsid w:val="0009171C"/>
    <w:rsid w:val="000942F3"/>
    <w:rsid w:val="0009560A"/>
    <w:rsid w:val="000A3012"/>
    <w:rsid w:val="000A31AF"/>
    <w:rsid w:val="000A3CBE"/>
    <w:rsid w:val="000A70D4"/>
    <w:rsid w:val="000B1EC7"/>
    <w:rsid w:val="000B3ACE"/>
    <w:rsid w:val="000B60B1"/>
    <w:rsid w:val="000B648A"/>
    <w:rsid w:val="000B69C8"/>
    <w:rsid w:val="000B6FBA"/>
    <w:rsid w:val="000C47A6"/>
    <w:rsid w:val="000C602A"/>
    <w:rsid w:val="000C66A4"/>
    <w:rsid w:val="000C6A20"/>
    <w:rsid w:val="000D0E7E"/>
    <w:rsid w:val="000D2E62"/>
    <w:rsid w:val="000D7048"/>
    <w:rsid w:val="000D7793"/>
    <w:rsid w:val="000E18EC"/>
    <w:rsid w:val="000E1C84"/>
    <w:rsid w:val="000E413D"/>
    <w:rsid w:val="000E459E"/>
    <w:rsid w:val="000E6340"/>
    <w:rsid w:val="000E69C2"/>
    <w:rsid w:val="001026C4"/>
    <w:rsid w:val="00105CFD"/>
    <w:rsid w:val="0010688F"/>
    <w:rsid w:val="00107D25"/>
    <w:rsid w:val="0011125A"/>
    <w:rsid w:val="00121366"/>
    <w:rsid w:val="001239DD"/>
    <w:rsid w:val="00123EA8"/>
    <w:rsid w:val="00124129"/>
    <w:rsid w:val="00132067"/>
    <w:rsid w:val="0013279E"/>
    <w:rsid w:val="00132CBC"/>
    <w:rsid w:val="00135102"/>
    <w:rsid w:val="00135155"/>
    <w:rsid w:val="001429E4"/>
    <w:rsid w:val="0015442B"/>
    <w:rsid w:val="0016255E"/>
    <w:rsid w:val="00173EE0"/>
    <w:rsid w:val="00175784"/>
    <w:rsid w:val="001773A8"/>
    <w:rsid w:val="001774DC"/>
    <w:rsid w:val="0017765E"/>
    <w:rsid w:val="00181105"/>
    <w:rsid w:val="00194D89"/>
    <w:rsid w:val="001952CD"/>
    <w:rsid w:val="0019657A"/>
    <w:rsid w:val="001A0A47"/>
    <w:rsid w:val="001A2686"/>
    <w:rsid w:val="001B304E"/>
    <w:rsid w:val="001B7891"/>
    <w:rsid w:val="001C5EE0"/>
    <w:rsid w:val="001C602C"/>
    <w:rsid w:val="001D5B0F"/>
    <w:rsid w:val="001E478D"/>
    <w:rsid w:val="001E669E"/>
    <w:rsid w:val="001E72F9"/>
    <w:rsid w:val="001E793C"/>
    <w:rsid w:val="001F3585"/>
    <w:rsid w:val="001F419F"/>
    <w:rsid w:val="00204C1C"/>
    <w:rsid w:val="002061A1"/>
    <w:rsid w:val="002121CE"/>
    <w:rsid w:val="002175E6"/>
    <w:rsid w:val="00221061"/>
    <w:rsid w:val="00222FA1"/>
    <w:rsid w:val="00223CA3"/>
    <w:rsid w:val="002250F0"/>
    <w:rsid w:val="002272A2"/>
    <w:rsid w:val="00227666"/>
    <w:rsid w:val="00233727"/>
    <w:rsid w:val="00236433"/>
    <w:rsid w:val="00236B36"/>
    <w:rsid w:val="00240DEF"/>
    <w:rsid w:val="00240FFB"/>
    <w:rsid w:val="00245D55"/>
    <w:rsid w:val="0025766F"/>
    <w:rsid w:val="00261480"/>
    <w:rsid w:val="002618EA"/>
    <w:rsid w:val="002707CD"/>
    <w:rsid w:val="00274313"/>
    <w:rsid w:val="00274824"/>
    <w:rsid w:val="00284DB3"/>
    <w:rsid w:val="00285D17"/>
    <w:rsid w:val="0029121A"/>
    <w:rsid w:val="00291481"/>
    <w:rsid w:val="00293BFC"/>
    <w:rsid w:val="00294BEB"/>
    <w:rsid w:val="00296009"/>
    <w:rsid w:val="002A2BC1"/>
    <w:rsid w:val="002A7765"/>
    <w:rsid w:val="002B3986"/>
    <w:rsid w:val="002B425A"/>
    <w:rsid w:val="002C0BC9"/>
    <w:rsid w:val="002C2032"/>
    <w:rsid w:val="002C6CA5"/>
    <w:rsid w:val="002C730B"/>
    <w:rsid w:val="002E137E"/>
    <w:rsid w:val="002E2441"/>
    <w:rsid w:val="002E3695"/>
    <w:rsid w:val="002E51A8"/>
    <w:rsid w:val="002E51BB"/>
    <w:rsid w:val="002F27E2"/>
    <w:rsid w:val="002F3362"/>
    <w:rsid w:val="002F3E42"/>
    <w:rsid w:val="002F445C"/>
    <w:rsid w:val="002F6A1E"/>
    <w:rsid w:val="002F6CCA"/>
    <w:rsid w:val="0030464B"/>
    <w:rsid w:val="00306F8C"/>
    <w:rsid w:val="00313253"/>
    <w:rsid w:val="003140CC"/>
    <w:rsid w:val="00314D3D"/>
    <w:rsid w:val="003152F8"/>
    <w:rsid w:val="00320A44"/>
    <w:rsid w:val="00326A87"/>
    <w:rsid w:val="00326B11"/>
    <w:rsid w:val="00334456"/>
    <w:rsid w:val="00335574"/>
    <w:rsid w:val="003379E6"/>
    <w:rsid w:val="00342B35"/>
    <w:rsid w:val="0036009C"/>
    <w:rsid w:val="00363AD9"/>
    <w:rsid w:val="00370DBF"/>
    <w:rsid w:val="00372375"/>
    <w:rsid w:val="003725DA"/>
    <w:rsid w:val="003738AF"/>
    <w:rsid w:val="00375C97"/>
    <w:rsid w:val="00376977"/>
    <w:rsid w:val="003848F6"/>
    <w:rsid w:val="00385A72"/>
    <w:rsid w:val="00386819"/>
    <w:rsid w:val="003874A4"/>
    <w:rsid w:val="003A196F"/>
    <w:rsid w:val="003B1F49"/>
    <w:rsid w:val="003C7546"/>
    <w:rsid w:val="003D515C"/>
    <w:rsid w:val="003D521D"/>
    <w:rsid w:val="003E4702"/>
    <w:rsid w:val="00400B18"/>
    <w:rsid w:val="00402B13"/>
    <w:rsid w:val="00406C0D"/>
    <w:rsid w:val="00414C2C"/>
    <w:rsid w:val="00414E61"/>
    <w:rsid w:val="00416846"/>
    <w:rsid w:val="0042010B"/>
    <w:rsid w:val="00427CDE"/>
    <w:rsid w:val="00432B0C"/>
    <w:rsid w:val="004375D2"/>
    <w:rsid w:val="0044641A"/>
    <w:rsid w:val="00452FC7"/>
    <w:rsid w:val="00453D38"/>
    <w:rsid w:val="0045457F"/>
    <w:rsid w:val="0045616A"/>
    <w:rsid w:val="00456D9D"/>
    <w:rsid w:val="00457CDB"/>
    <w:rsid w:val="00463D11"/>
    <w:rsid w:val="00467C33"/>
    <w:rsid w:val="00475AB1"/>
    <w:rsid w:val="00475E7A"/>
    <w:rsid w:val="00475FF8"/>
    <w:rsid w:val="00487731"/>
    <w:rsid w:val="00487EDB"/>
    <w:rsid w:val="004901D9"/>
    <w:rsid w:val="00490245"/>
    <w:rsid w:val="0049046F"/>
    <w:rsid w:val="00491C88"/>
    <w:rsid w:val="004A1E1E"/>
    <w:rsid w:val="004A23A4"/>
    <w:rsid w:val="004A3A95"/>
    <w:rsid w:val="004A5F21"/>
    <w:rsid w:val="004A6DA2"/>
    <w:rsid w:val="004A7EE7"/>
    <w:rsid w:val="004B0AD5"/>
    <w:rsid w:val="004B1AA9"/>
    <w:rsid w:val="004B67A1"/>
    <w:rsid w:val="004C0788"/>
    <w:rsid w:val="004C2959"/>
    <w:rsid w:val="004C2CCB"/>
    <w:rsid w:val="004C51D3"/>
    <w:rsid w:val="004C6113"/>
    <w:rsid w:val="004C7688"/>
    <w:rsid w:val="004D02D3"/>
    <w:rsid w:val="004D6808"/>
    <w:rsid w:val="004E0900"/>
    <w:rsid w:val="004E27DD"/>
    <w:rsid w:val="004E5EAA"/>
    <w:rsid w:val="004F46DA"/>
    <w:rsid w:val="005008AC"/>
    <w:rsid w:val="0050540D"/>
    <w:rsid w:val="00506D1B"/>
    <w:rsid w:val="00511467"/>
    <w:rsid w:val="00520616"/>
    <w:rsid w:val="00520869"/>
    <w:rsid w:val="00523C04"/>
    <w:rsid w:val="00525B2D"/>
    <w:rsid w:val="005311A0"/>
    <w:rsid w:val="0053405F"/>
    <w:rsid w:val="00535684"/>
    <w:rsid w:val="00542729"/>
    <w:rsid w:val="005437F3"/>
    <w:rsid w:val="00550967"/>
    <w:rsid w:val="00560FA1"/>
    <w:rsid w:val="00564FDE"/>
    <w:rsid w:val="0056629E"/>
    <w:rsid w:val="005674A6"/>
    <w:rsid w:val="00572894"/>
    <w:rsid w:val="00572A21"/>
    <w:rsid w:val="00572CD2"/>
    <w:rsid w:val="00585C65"/>
    <w:rsid w:val="00587437"/>
    <w:rsid w:val="00590510"/>
    <w:rsid w:val="0059051C"/>
    <w:rsid w:val="005927B4"/>
    <w:rsid w:val="00594648"/>
    <w:rsid w:val="00595012"/>
    <w:rsid w:val="00596FCA"/>
    <w:rsid w:val="00597D76"/>
    <w:rsid w:val="005A0FB9"/>
    <w:rsid w:val="005A3972"/>
    <w:rsid w:val="005A6B70"/>
    <w:rsid w:val="005A6D71"/>
    <w:rsid w:val="005B0AF7"/>
    <w:rsid w:val="005B171A"/>
    <w:rsid w:val="005B1BCD"/>
    <w:rsid w:val="005B2D60"/>
    <w:rsid w:val="005B48F0"/>
    <w:rsid w:val="005C058C"/>
    <w:rsid w:val="005C05CE"/>
    <w:rsid w:val="005C416B"/>
    <w:rsid w:val="005C41F9"/>
    <w:rsid w:val="005C78FA"/>
    <w:rsid w:val="005D7B1E"/>
    <w:rsid w:val="005E5C56"/>
    <w:rsid w:val="005E7845"/>
    <w:rsid w:val="005F29C3"/>
    <w:rsid w:val="006041E4"/>
    <w:rsid w:val="00605FAF"/>
    <w:rsid w:val="00613A7B"/>
    <w:rsid w:val="0061591D"/>
    <w:rsid w:val="00630E89"/>
    <w:rsid w:val="0063183B"/>
    <w:rsid w:val="00632C04"/>
    <w:rsid w:val="00632CDA"/>
    <w:rsid w:val="0064288C"/>
    <w:rsid w:val="00642C9C"/>
    <w:rsid w:val="00650B0A"/>
    <w:rsid w:val="00655E57"/>
    <w:rsid w:val="00657BA5"/>
    <w:rsid w:val="0066224C"/>
    <w:rsid w:val="00663192"/>
    <w:rsid w:val="0066465B"/>
    <w:rsid w:val="00666361"/>
    <w:rsid w:val="00675A2D"/>
    <w:rsid w:val="00677431"/>
    <w:rsid w:val="00677F62"/>
    <w:rsid w:val="006834E7"/>
    <w:rsid w:val="00687996"/>
    <w:rsid w:val="006A45BF"/>
    <w:rsid w:val="006A5840"/>
    <w:rsid w:val="006A781B"/>
    <w:rsid w:val="006B3541"/>
    <w:rsid w:val="006C055F"/>
    <w:rsid w:val="006C61E1"/>
    <w:rsid w:val="006D0141"/>
    <w:rsid w:val="006D09A3"/>
    <w:rsid w:val="006D21A3"/>
    <w:rsid w:val="006D33A5"/>
    <w:rsid w:val="006D6081"/>
    <w:rsid w:val="006D6231"/>
    <w:rsid w:val="006E1E54"/>
    <w:rsid w:val="006E2F0C"/>
    <w:rsid w:val="006F06D8"/>
    <w:rsid w:val="006F191E"/>
    <w:rsid w:val="006F2851"/>
    <w:rsid w:val="006F2D96"/>
    <w:rsid w:val="006F3D2A"/>
    <w:rsid w:val="00711A96"/>
    <w:rsid w:val="00712E61"/>
    <w:rsid w:val="00713018"/>
    <w:rsid w:val="00713A54"/>
    <w:rsid w:val="007154DC"/>
    <w:rsid w:val="00715F10"/>
    <w:rsid w:val="00717211"/>
    <w:rsid w:val="007215CF"/>
    <w:rsid w:val="007225B7"/>
    <w:rsid w:val="00733683"/>
    <w:rsid w:val="007342A0"/>
    <w:rsid w:val="00736C29"/>
    <w:rsid w:val="00744139"/>
    <w:rsid w:val="00755F6E"/>
    <w:rsid w:val="0076201E"/>
    <w:rsid w:val="007625D4"/>
    <w:rsid w:val="007659BD"/>
    <w:rsid w:val="00765F64"/>
    <w:rsid w:val="00771088"/>
    <w:rsid w:val="00772E00"/>
    <w:rsid w:val="0077363D"/>
    <w:rsid w:val="00773A20"/>
    <w:rsid w:val="00774903"/>
    <w:rsid w:val="00780892"/>
    <w:rsid w:val="007813DC"/>
    <w:rsid w:val="00782BB8"/>
    <w:rsid w:val="007846F7"/>
    <w:rsid w:val="00785250"/>
    <w:rsid w:val="00785712"/>
    <w:rsid w:val="00786851"/>
    <w:rsid w:val="007967D2"/>
    <w:rsid w:val="007A4CEF"/>
    <w:rsid w:val="007A78E0"/>
    <w:rsid w:val="007B26D0"/>
    <w:rsid w:val="007B2AD7"/>
    <w:rsid w:val="007C2795"/>
    <w:rsid w:val="007C3EB1"/>
    <w:rsid w:val="007C62C8"/>
    <w:rsid w:val="007C7FC0"/>
    <w:rsid w:val="007D1E5C"/>
    <w:rsid w:val="007D427A"/>
    <w:rsid w:val="007D5569"/>
    <w:rsid w:val="007D7B04"/>
    <w:rsid w:val="007E1239"/>
    <w:rsid w:val="007E5033"/>
    <w:rsid w:val="007E509E"/>
    <w:rsid w:val="007F1A9D"/>
    <w:rsid w:val="007F5A22"/>
    <w:rsid w:val="008056C9"/>
    <w:rsid w:val="0080582A"/>
    <w:rsid w:val="0081281A"/>
    <w:rsid w:val="00814D65"/>
    <w:rsid w:val="00817BE8"/>
    <w:rsid w:val="00817C42"/>
    <w:rsid w:val="00817DDC"/>
    <w:rsid w:val="008217CC"/>
    <w:rsid w:val="008255B7"/>
    <w:rsid w:val="00825885"/>
    <w:rsid w:val="00831A68"/>
    <w:rsid w:val="00831B41"/>
    <w:rsid w:val="00835F5A"/>
    <w:rsid w:val="00837DC7"/>
    <w:rsid w:val="00843765"/>
    <w:rsid w:val="00852F6A"/>
    <w:rsid w:val="00853E99"/>
    <w:rsid w:val="00855F7B"/>
    <w:rsid w:val="00856880"/>
    <w:rsid w:val="00857958"/>
    <w:rsid w:val="00863730"/>
    <w:rsid w:val="00865B33"/>
    <w:rsid w:val="008713FE"/>
    <w:rsid w:val="00873F01"/>
    <w:rsid w:val="00874B60"/>
    <w:rsid w:val="008772D9"/>
    <w:rsid w:val="00884A6B"/>
    <w:rsid w:val="00890415"/>
    <w:rsid w:val="008923ED"/>
    <w:rsid w:val="008959A7"/>
    <w:rsid w:val="00897BB2"/>
    <w:rsid w:val="008A0C06"/>
    <w:rsid w:val="008A37F6"/>
    <w:rsid w:val="008A486A"/>
    <w:rsid w:val="008B3F98"/>
    <w:rsid w:val="008B509D"/>
    <w:rsid w:val="008B6614"/>
    <w:rsid w:val="008B74CE"/>
    <w:rsid w:val="008C37CA"/>
    <w:rsid w:val="008C5512"/>
    <w:rsid w:val="008C59B7"/>
    <w:rsid w:val="008D0D6B"/>
    <w:rsid w:val="008D12FE"/>
    <w:rsid w:val="008D4365"/>
    <w:rsid w:val="008D61FF"/>
    <w:rsid w:val="008F273E"/>
    <w:rsid w:val="009034FA"/>
    <w:rsid w:val="009213AE"/>
    <w:rsid w:val="0092288A"/>
    <w:rsid w:val="009246A4"/>
    <w:rsid w:val="00931FFE"/>
    <w:rsid w:val="00933591"/>
    <w:rsid w:val="0093714B"/>
    <w:rsid w:val="0094356E"/>
    <w:rsid w:val="009440A5"/>
    <w:rsid w:val="0094550F"/>
    <w:rsid w:val="00947DF2"/>
    <w:rsid w:val="0095079F"/>
    <w:rsid w:val="00952BBB"/>
    <w:rsid w:val="00955AAA"/>
    <w:rsid w:val="009570EE"/>
    <w:rsid w:val="00972BF4"/>
    <w:rsid w:val="00975156"/>
    <w:rsid w:val="00976314"/>
    <w:rsid w:val="00977AAA"/>
    <w:rsid w:val="00980819"/>
    <w:rsid w:val="00981FA2"/>
    <w:rsid w:val="00984340"/>
    <w:rsid w:val="0098556E"/>
    <w:rsid w:val="009A1CA0"/>
    <w:rsid w:val="009A4244"/>
    <w:rsid w:val="009A7E88"/>
    <w:rsid w:val="009B0E3B"/>
    <w:rsid w:val="009B1035"/>
    <w:rsid w:val="009B74F0"/>
    <w:rsid w:val="009C0B8A"/>
    <w:rsid w:val="009C3247"/>
    <w:rsid w:val="009C53DB"/>
    <w:rsid w:val="009D0EC1"/>
    <w:rsid w:val="009D1824"/>
    <w:rsid w:val="009D3EDB"/>
    <w:rsid w:val="009D5F36"/>
    <w:rsid w:val="009D69D5"/>
    <w:rsid w:val="009E4E8B"/>
    <w:rsid w:val="009E6822"/>
    <w:rsid w:val="009F0132"/>
    <w:rsid w:val="009F2EF8"/>
    <w:rsid w:val="009F4F23"/>
    <w:rsid w:val="009F7977"/>
    <w:rsid w:val="00A00417"/>
    <w:rsid w:val="00A01848"/>
    <w:rsid w:val="00A07229"/>
    <w:rsid w:val="00A0781E"/>
    <w:rsid w:val="00A12D49"/>
    <w:rsid w:val="00A141C5"/>
    <w:rsid w:val="00A15040"/>
    <w:rsid w:val="00A21CD9"/>
    <w:rsid w:val="00A22548"/>
    <w:rsid w:val="00A31DAE"/>
    <w:rsid w:val="00A352EE"/>
    <w:rsid w:val="00A477A3"/>
    <w:rsid w:val="00A53057"/>
    <w:rsid w:val="00A732BB"/>
    <w:rsid w:val="00A76E6E"/>
    <w:rsid w:val="00A776E1"/>
    <w:rsid w:val="00A80575"/>
    <w:rsid w:val="00A821BC"/>
    <w:rsid w:val="00A94401"/>
    <w:rsid w:val="00A97240"/>
    <w:rsid w:val="00AA513B"/>
    <w:rsid w:val="00AB5ACE"/>
    <w:rsid w:val="00AB75D4"/>
    <w:rsid w:val="00AC08AD"/>
    <w:rsid w:val="00AC4327"/>
    <w:rsid w:val="00AC6633"/>
    <w:rsid w:val="00AD2C51"/>
    <w:rsid w:val="00AD5E33"/>
    <w:rsid w:val="00AE775B"/>
    <w:rsid w:val="00AF1419"/>
    <w:rsid w:val="00AF418B"/>
    <w:rsid w:val="00AF4412"/>
    <w:rsid w:val="00AF4D6B"/>
    <w:rsid w:val="00AF5A1A"/>
    <w:rsid w:val="00AF6F95"/>
    <w:rsid w:val="00B02CC3"/>
    <w:rsid w:val="00B054AF"/>
    <w:rsid w:val="00B060D7"/>
    <w:rsid w:val="00B066E5"/>
    <w:rsid w:val="00B11286"/>
    <w:rsid w:val="00B11289"/>
    <w:rsid w:val="00B11EFF"/>
    <w:rsid w:val="00B1272A"/>
    <w:rsid w:val="00B17185"/>
    <w:rsid w:val="00B1744C"/>
    <w:rsid w:val="00B23376"/>
    <w:rsid w:val="00B233CA"/>
    <w:rsid w:val="00B257A4"/>
    <w:rsid w:val="00B27C69"/>
    <w:rsid w:val="00B33085"/>
    <w:rsid w:val="00B34A13"/>
    <w:rsid w:val="00B40C6E"/>
    <w:rsid w:val="00B412A1"/>
    <w:rsid w:val="00B41857"/>
    <w:rsid w:val="00B420BE"/>
    <w:rsid w:val="00B52D80"/>
    <w:rsid w:val="00B62042"/>
    <w:rsid w:val="00B6211C"/>
    <w:rsid w:val="00B63CB1"/>
    <w:rsid w:val="00B64EEE"/>
    <w:rsid w:val="00B65FD4"/>
    <w:rsid w:val="00B7027B"/>
    <w:rsid w:val="00B70C0E"/>
    <w:rsid w:val="00B72913"/>
    <w:rsid w:val="00B738CE"/>
    <w:rsid w:val="00B81E0C"/>
    <w:rsid w:val="00B83146"/>
    <w:rsid w:val="00B8623F"/>
    <w:rsid w:val="00B8766E"/>
    <w:rsid w:val="00B87D9F"/>
    <w:rsid w:val="00B87E5C"/>
    <w:rsid w:val="00B91AD3"/>
    <w:rsid w:val="00B95111"/>
    <w:rsid w:val="00B9643B"/>
    <w:rsid w:val="00B96E08"/>
    <w:rsid w:val="00B97150"/>
    <w:rsid w:val="00B97BFC"/>
    <w:rsid w:val="00BA5645"/>
    <w:rsid w:val="00BA58DB"/>
    <w:rsid w:val="00BA60B2"/>
    <w:rsid w:val="00BA7CA0"/>
    <w:rsid w:val="00BB1DCB"/>
    <w:rsid w:val="00BB26A5"/>
    <w:rsid w:val="00BB29AB"/>
    <w:rsid w:val="00BB37F1"/>
    <w:rsid w:val="00BD0899"/>
    <w:rsid w:val="00BD3D80"/>
    <w:rsid w:val="00BD6AD1"/>
    <w:rsid w:val="00BE087A"/>
    <w:rsid w:val="00BF05FC"/>
    <w:rsid w:val="00BF170B"/>
    <w:rsid w:val="00BF2715"/>
    <w:rsid w:val="00BF5C2A"/>
    <w:rsid w:val="00BF6913"/>
    <w:rsid w:val="00C06714"/>
    <w:rsid w:val="00C142F7"/>
    <w:rsid w:val="00C15389"/>
    <w:rsid w:val="00C1572F"/>
    <w:rsid w:val="00C16F9F"/>
    <w:rsid w:val="00C22606"/>
    <w:rsid w:val="00C2527B"/>
    <w:rsid w:val="00C25890"/>
    <w:rsid w:val="00C26AFC"/>
    <w:rsid w:val="00C316B0"/>
    <w:rsid w:val="00C32D58"/>
    <w:rsid w:val="00C33CFD"/>
    <w:rsid w:val="00C34CA7"/>
    <w:rsid w:val="00C4633C"/>
    <w:rsid w:val="00C50B6A"/>
    <w:rsid w:val="00C51048"/>
    <w:rsid w:val="00C51123"/>
    <w:rsid w:val="00C524A1"/>
    <w:rsid w:val="00C55505"/>
    <w:rsid w:val="00C564ED"/>
    <w:rsid w:val="00C57261"/>
    <w:rsid w:val="00C60DAF"/>
    <w:rsid w:val="00C6138B"/>
    <w:rsid w:val="00C617D1"/>
    <w:rsid w:val="00C63E92"/>
    <w:rsid w:val="00C71E2D"/>
    <w:rsid w:val="00C72306"/>
    <w:rsid w:val="00C747BF"/>
    <w:rsid w:val="00C76B9D"/>
    <w:rsid w:val="00C76C61"/>
    <w:rsid w:val="00C82E02"/>
    <w:rsid w:val="00C86581"/>
    <w:rsid w:val="00C91D73"/>
    <w:rsid w:val="00CB04E6"/>
    <w:rsid w:val="00CC5FD6"/>
    <w:rsid w:val="00CD33F4"/>
    <w:rsid w:val="00CD55C8"/>
    <w:rsid w:val="00CD6C9E"/>
    <w:rsid w:val="00CE0FF9"/>
    <w:rsid w:val="00CE2571"/>
    <w:rsid w:val="00CE54BD"/>
    <w:rsid w:val="00CF1916"/>
    <w:rsid w:val="00CF3837"/>
    <w:rsid w:val="00CF48C4"/>
    <w:rsid w:val="00CF7762"/>
    <w:rsid w:val="00D0207B"/>
    <w:rsid w:val="00D063C1"/>
    <w:rsid w:val="00D06D4C"/>
    <w:rsid w:val="00D11A6C"/>
    <w:rsid w:val="00D151CB"/>
    <w:rsid w:val="00D16820"/>
    <w:rsid w:val="00D16B69"/>
    <w:rsid w:val="00D178D8"/>
    <w:rsid w:val="00D20513"/>
    <w:rsid w:val="00D219DE"/>
    <w:rsid w:val="00D23076"/>
    <w:rsid w:val="00D260F5"/>
    <w:rsid w:val="00D2695C"/>
    <w:rsid w:val="00D31EBE"/>
    <w:rsid w:val="00D37B9C"/>
    <w:rsid w:val="00D40998"/>
    <w:rsid w:val="00D455B4"/>
    <w:rsid w:val="00D45BDE"/>
    <w:rsid w:val="00D51C9C"/>
    <w:rsid w:val="00D54BCD"/>
    <w:rsid w:val="00D60679"/>
    <w:rsid w:val="00D67277"/>
    <w:rsid w:val="00D74790"/>
    <w:rsid w:val="00D84D76"/>
    <w:rsid w:val="00D87A6F"/>
    <w:rsid w:val="00D91C28"/>
    <w:rsid w:val="00D9397D"/>
    <w:rsid w:val="00D97687"/>
    <w:rsid w:val="00DA4429"/>
    <w:rsid w:val="00DB1C34"/>
    <w:rsid w:val="00DB39A2"/>
    <w:rsid w:val="00DC5495"/>
    <w:rsid w:val="00DC5862"/>
    <w:rsid w:val="00DD0090"/>
    <w:rsid w:val="00DD1AC0"/>
    <w:rsid w:val="00DD42EA"/>
    <w:rsid w:val="00DE1CD3"/>
    <w:rsid w:val="00DF17B2"/>
    <w:rsid w:val="00DF1F3D"/>
    <w:rsid w:val="00DF232F"/>
    <w:rsid w:val="00DF3BE4"/>
    <w:rsid w:val="00DF573A"/>
    <w:rsid w:val="00DF69AA"/>
    <w:rsid w:val="00E0193F"/>
    <w:rsid w:val="00E02831"/>
    <w:rsid w:val="00E04970"/>
    <w:rsid w:val="00E0720C"/>
    <w:rsid w:val="00E11DFA"/>
    <w:rsid w:val="00E13A58"/>
    <w:rsid w:val="00E13C41"/>
    <w:rsid w:val="00E1654C"/>
    <w:rsid w:val="00E16C84"/>
    <w:rsid w:val="00E21E0B"/>
    <w:rsid w:val="00E46026"/>
    <w:rsid w:val="00E50801"/>
    <w:rsid w:val="00E51883"/>
    <w:rsid w:val="00E5227B"/>
    <w:rsid w:val="00E620FF"/>
    <w:rsid w:val="00E67C49"/>
    <w:rsid w:val="00E718FF"/>
    <w:rsid w:val="00E74312"/>
    <w:rsid w:val="00E77335"/>
    <w:rsid w:val="00E8729C"/>
    <w:rsid w:val="00E90617"/>
    <w:rsid w:val="00E95CCD"/>
    <w:rsid w:val="00E9665C"/>
    <w:rsid w:val="00E96FF0"/>
    <w:rsid w:val="00EA11FB"/>
    <w:rsid w:val="00EA15BC"/>
    <w:rsid w:val="00EA2932"/>
    <w:rsid w:val="00EB3F96"/>
    <w:rsid w:val="00EB537C"/>
    <w:rsid w:val="00EC273C"/>
    <w:rsid w:val="00EC3002"/>
    <w:rsid w:val="00EC3354"/>
    <w:rsid w:val="00ED0FC9"/>
    <w:rsid w:val="00ED38AE"/>
    <w:rsid w:val="00EE430A"/>
    <w:rsid w:val="00EE70BC"/>
    <w:rsid w:val="00EE760B"/>
    <w:rsid w:val="00EF1CBE"/>
    <w:rsid w:val="00EF793E"/>
    <w:rsid w:val="00F07A3F"/>
    <w:rsid w:val="00F1098A"/>
    <w:rsid w:val="00F11053"/>
    <w:rsid w:val="00F11ADE"/>
    <w:rsid w:val="00F170B5"/>
    <w:rsid w:val="00F24DE4"/>
    <w:rsid w:val="00F31F74"/>
    <w:rsid w:val="00F33025"/>
    <w:rsid w:val="00F45D9F"/>
    <w:rsid w:val="00F54196"/>
    <w:rsid w:val="00F55096"/>
    <w:rsid w:val="00F61624"/>
    <w:rsid w:val="00F61950"/>
    <w:rsid w:val="00F61C3C"/>
    <w:rsid w:val="00F638B5"/>
    <w:rsid w:val="00F70C0C"/>
    <w:rsid w:val="00F7694B"/>
    <w:rsid w:val="00F7758B"/>
    <w:rsid w:val="00F8710C"/>
    <w:rsid w:val="00F91166"/>
    <w:rsid w:val="00F95593"/>
    <w:rsid w:val="00FA0311"/>
    <w:rsid w:val="00FA045B"/>
    <w:rsid w:val="00FA5BC8"/>
    <w:rsid w:val="00FB186F"/>
    <w:rsid w:val="00FB49F0"/>
    <w:rsid w:val="00FC2476"/>
    <w:rsid w:val="00FC3B83"/>
    <w:rsid w:val="00FC643C"/>
    <w:rsid w:val="00FD0667"/>
    <w:rsid w:val="00FD0CC4"/>
    <w:rsid w:val="00FD0F89"/>
    <w:rsid w:val="00FE478F"/>
    <w:rsid w:val="00FE4CD4"/>
    <w:rsid w:val="00FE6D40"/>
    <w:rsid w:val="00FF0D08"/>
    <w:rsid w:val="00FF3AB1"/>
    <w:rsid w:val="00FF4266"/>
    <w:rsid w:val="00FF5B87"/>
    <w:rsid w:val="00FF68DE"/>
    <w:rsid w:val="02F125F7"/>
    <w:rsid w:val="08D956FC"/>
    <w:rsid w:val="097B1496"/>
    <w:rsid w:val="09C90306"/>
    <w:rsid w:val="139F5206"/>
    <w:rsid w:val="14B8020C"/>
    <w:rsid w:val="14CD6438"/>
    <w:rsid w:val="154624B8"/>
    <w:rsid w:val="160D7893"/>
    <w:rsid w:val="1D2101BF"/>
    <w:rsid w:val="271572C7"/>
    <w:rsid w:val="27451B87"/>
    <w:rsid w:val="2AF46F08"/>
    <w:rsid w:val="2D2F6832"/>
    <w:rsid w:val="33BBEED3"/>
    <w:rsid w:val="35717CBC"/>
    <w:rsid w:val="36280C33"/>
    <w:rsid w:val="3A3C4CAD"/>
    <w:rsid w:val="3BEA8BB0"/>
    <w:rsid w:val="4250605B"/>
    <w:rsid w:val="474F4A54"/>
    <w:rsid w:val="48437C01"/>
    <w:rsid w:val="4E1C5A93"/>
    <w:rsid w:val="5657725D"/>
    <w:rsid w:val="667FD745"/>
    <w:rsid w:val="6DFB42FF"/>
    <w:rsid w:val="6FDFF5EF"/>
    <w:rsid w:val="7A263AF5"/>
    <w:rsid w:val="7E7C81C8"/>
    <w:rsid w:val="7FB79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D77B02-7459-4C84-A6D8-C55B9812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11"/>
    <w:uiPriority w:val="99"/>
    <w:unhideWhenUsed/>
    <w:qFormat/>
    <w:pPr>
      <w:tabs>
        <w:tab w:val="center" w:pos="4153"/>
        <w:tab w:val="right" w:pos="8306"/>
      </w:tabs>
      <w:snapToGrid w:val="0"/>
      <w:jc w:val="left"/>
    </w:pPr>
    <w:rPr>
      <w:kern w:val="0"/>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kern w:val="0"/>
      <w:sz w:val="18"/>
      <w:szCs w:val="18"/>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annotation reference"/>
    <w:uiPriority w:val="99"/>
    <w:semiHidden/>
    <w:unhideWhenUsed/>
    <w:qFormat/>
    <w:rPr>
      <w:sz w:val="21"/>
      <w:szCs w:val="21"/>
    </w:rPr>
  </w:style>
  <w:style w:type="character" w:customStyle="1" w:styleId="ab">
    <w:name w:val="页眉 字符"/>
    <w:link w:val="aa"/>
    <w:uiPriority w:val="99"/>
    <w:qFormat/>
    <w:rPr>
      <w:sz w:val="18"/>
      <w:szCs w:val="18"/>
    </w:rPr>
  </w:style>
  <w:style w:type="character" w:customStyle="1" w:styleId="11">
    <w:name w:val="页脚 字符1"/>
    <w:link w:val="a9"/>
    <w:uiPriority w:val="99"/>
    <w:qFormat/>
    <w:rPr>
      <w:sz w:val="18"/>
      <w:szCs w:val="18"/>
    </w:rPr>
  </w:style>
  <w:style w:type="character" w:customStyle="1" w:styleId="10">
    <w:name w:val="标题 1 字符"/>
    <w:link w:val="1"/>
    <w:qFormat/>
    <w:rPr>
      <w:rFonts w:ascii="Times New Roman" w:eastAsia="宋体" w:hAnsi="Times New Roman" w:cs="Times New Roman"/>
      <w:b/>
      <w:bCs/>
      <w:kern w:val="44"/>
      <w:sz w:val="44"/>
      <w:szCs w:val="44"/>
    </w:rPr>
  </w:style>
  <w:style w:type="paragraph" w:styleId="af">
    <w:name w:val="List Paragraph"/>
    <w:basedOn w:val="a"/>
    <w:link w:val="af0"/>
    <w:qFormat/>
    <w:pPr>
      <w:ind w:firstLineChars="200" w:firstLine="420"/>
    </w:pPr>
  </w:style>
  <w:style w:type="character" w:customStyle="1" w:styleId="a8">
    <w:name w:val="批注框文本 字符"/>
    <w:link w:val="a7"/>
    <w:uiPriority w:val="99"/>
    <w:semiHidden/>
    <w:qFormat/>
    <w:rPr>
      <w:kern w:val="2"/>
      <w:sz w:val="18"/>
      <w:szCs w:val="18"/>
    </w:rPr>
  </w:style>
  <w:style w:type="character" w:customStyle="1" w:styleId="af0">
    <w:name w:val="列出段落 字符"/>
    <w:link w:val="af"/>
    <w:qFormat/>
    <w:locked/>
    <w:rPr>
      <w:kern w:val="2"/>
      <w:sz w:val="21"/>
      <w:szCs w:val="22"/>
    </w:rPr>
  </w:style>
  <w:style w:type="character" w:customStyle="1" w:styleId="af1">
    <w:name w:val="页脚 字符"/>
    <w:uiPriority w:val="99"/>
    <w:qFormat/>
  </w:style>
  <w:style w:type="paragraph" w:customStyle="1" w:styleId="12">
    <w:name w:val="修订1"/>
    <w:hidden/>
    <w:uiPriority w:val="99"/>
    <w:semiHidden/>
    <w:qFormat/>
    <w:rPr>
      <w:kern w:val="2"/>
      <w:sz w:val="21"/>
      <w:szCs w:val="22"/>
    </w:rPr>
  </w:style>
  <w:style w:type="character" w:customStyle="1" w:styleId="a6">
    <w:name w:val="批注文字 字符"/>
    <w:basedOn w:val="a0"/>
    <w:link w:val="a5"/>
    <w:uiPriority w:val="99"/>
    <w:qFormat/>
    <w:rPr>
      <w:kern w:val="2"/>
      <w:sz w:val="21"/>
      <w:szCs w:val="22"/>
    </w:rPr>
  </w:style>
  <w:style w:type="character" w:customStyle="1" w:styleId="a4">
    <w:name w:val="文档结构图 字符"/>
    <w:basedOn w:val="a0"/>
    <w:link w:val="a3"/>
    <w:uiPriority w:val="99"/>
    <w:semiHidden/>
    <w:qFormat/>
    <w:rPr>
      <w:rFonts w:ascii="宋体"/>
      <w:kern w:val="2"/>
      <w:sz w:val="18"/>
      <w:szCs w:val="18"/>
    </w:rPr>
  </w:style>
  <w:style w:type="paragraph" w:customStyle="1" w:styleId="2">
    <w:name w:val="修订2"/>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11</Pages>
  <Words>2918</Words>
  <Characters>3007</Characters>
  <Application>Microsoft Office Word</Application>
  <DocSecurity>0</DocSecurity>
  <Lines>158</Lines>
  <Paragraphs>128</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shytan</dc:creator>
  <cp:lastModifiedBy>QYJ</cp:lastModifiedBy>
  <cp:revision>4</cp:revision>
  <cp:lastPrinted>2024-12-09T18:40:00Z</cp:lastPrinted>
  <dcterms:created xsi:type="dcterms:W3CDTF">2024-11-28T21:11:00Z</dcterms:created>
  <dcterms:modified xsi:type="dcterms:W3CDTF">2025-08-17T13:55:00Z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47CDDC4D6721428C8EB9CADAAF2EA1EC_13</vt:lpwstr>
  </property>
</Properties>
</file>