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7FB264">
      <w:pPr>
        <w:adjustRightInd w:val="0"/>
        <w:snapToGrid w:val="0"/>
        <w:spacing w:line="560" w:lineRule="exact"/>
        <w:jc w:val="center"/>
        <w:rPr>
          <w:rFonts w:hint="eastAsia" w:ascii="黑体" w:hAnsi="黑体" w:eastAsia="黑体"/>
          <w:b/>
          <w:bCs/>
          <w:sz w:val="36"/>
          <w:szCs w:val="36"/>
        </w:rPr>
      </w:pPr>
      <w:bookmarkStart w:id="0" w:name="_Toc408933484"/>
      <w:r>
        <w:rPr>
          <w:rFonts w:ascii="黑体" w:hAnsi="黑体" w:eastAsia="黑体"/>
          <w:b/>
          <w:bCs/>
          <w:sz w:val="36"/>
          <w:szCs w:val="36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ascii="黑体" w:hAnsi="黑体" w:eastAsia="黑体"/>
          <w:b/>
          <w:bCs/>
          <w:sz w:val="36"/>
          <w:szCs w:val="36"/>
        </w:rPr>
        <w:instrText xml:space="preserve">ADDIN CNKISM.UserStyle</w:instrText>
      </w:r>
      <w:r>
        <w:rPr>
          <w:rFonts w:hint="eastAsia" w:ascii="黑体" w:hAnsi="黑体" w:eastAsia="黑体"/>
          <w:b/>
          <w:bCs/>
          <w:sz w:val="36"/>
          <w:szCs w:val="36"/>
        </w:rPr>
        <w:fldChar w:fldCharType="separate"/>
      </w:r>
      <w:r>
        <w:rPr>
          <w:rFonts w:ascii="黑体" w:hAnsi="黑体" w:eastAsia="黑体"/>
          <w:b/>
          <w:bCs/>
          <w:sz w:val="36"/>
          <w:szCs w:val="36"/>
        </w:rPr>
        <w:fldChar w:fldCharType="end"/>
      </w:r>
      <w:r>
        <w:rPr>
          <w:rFonts w:hint="eastAsia" w:ascii="黑体" w:hAnsi="黑体" w:eastAsia="黑体"/>
          <w:b/>
          <w:bCs/>
          <w:sz w:val="36"/>
          <w:szCs w:val="36"/>
        </w:rPr>
        <w:t>第三十三号</w:t>
      </w:r>
      <w:bookmarkEnd w:id="0"/>
      <w:r>
        <w:rPr>
          <w:rFonts w:ascii="黑体" w:hAnsi="黑体" w:eastAsia="黑体"/>
          <w:b/>
          <w:bCs/>
          <w:sz w:val="36"/>
          <w:szCs w:val="36"/>
        </w:rPr>
        <w:t xml:space="preserve"> </w:t>
      </w:r>
      <w:r>
        <w:rPr>
          <w:rFonts w:hint="eastAsia" w:ascii="黑体" w:hAnsi="黑体" w:eastAsia="黑体"/>
          <w:b/>
          <w:bCs/>
          <w:sz w:val="36"/>
          <w:szCs w:val="36"/>
        </w:rPr>
        <w:t xml:space="preserve"> 科创板上市公司董事、高级管理人员离任公告</w:t>
      </w:r>
    </w:p>
    <w:p w14:paraId="020E533C">
      <w:pPr>
        <w:spacing w:line="600" w:lineRule="exact"/>
        <w:jc w:val="center"/>
        <w:rPr>
          <w:rFonts w:hint="eastAsia" w:ascii="仿宋_GB2312" w:hAnsi="宋体" w:eastAsia="仿宋_GB2312" w:cs="宋体"/>
          <w:color w:val="0000FF"/>
          <w:kern w:val="0"/>
          <w:sz w:val="24"/>
          <w:szCs w:val="24"/>
        </w:rPr>
      </w:pPr>
      <w:r>
        <w:rPr>
          <w:rFonts w:hint="eastAsia" w:ascii="仿宋_GB2312" w:hAnsi="宋体" w:eastAsia="仿宋_GB2312" w:cs="宋体"/>
          <w:color w:val="0000FF"/>
          <w:kern w:val="0"/>
          <w:sz w:val="24"/>
          <w:szCs w:val="24"/>
        </w:rPr>
        <w:t>（本公告应使用本所公告编制软件编制）</w:t>
      </w:r>
    </w:p>
    <w:p w14:paraId="7275B2B8">
      <w:pPr>
        <w:widowControl/>
        <w:spacing w:line="560" w:lineRule="exact"/>
        <w:jc w:val="left"/>
        <w:rPr>
          <w:rFonts w:hint="eastAsia" w:ascii="宋体" w:hAnsi="宋体" w:cs="宋体"/>
          <w:color w:val="000000"/>
          <w:kern w:val="0"/>
          <w:sz w:val="24"/>
          <w:szCs w:val="24"/>
        </w:rPr>
      </w:pPr>
    </w:p>
    <w:p w14:paraId="29438998">
      <w:pPr>
        <w:autoSpaceDE w:val="0"/>
        <w:autoSpaceDN w:val="0"/>
        <w:adjustRightInd w:val="0"/>
        <w:snapToGrid w:val="0"/>
        <w:spacing w:line="560" w:lineRule="exact"/>
        <w:rPr>
          <w:rFonts w:hint="eastAsia" w:ascii="仿宋_GB2312" w:hAnsi="宋体" w:eastAsia="仿宋_GB2312"/>
          <w:b/>
          <w:sz w:val="30"/>
          <w:szCs w:val="30"/>
        </w:rPr>
      </w:pPr>
      <w:r>
        <w:rPr>
          <w:rFonts w:hint="eastAsia" w:ascii="仿宋_GB2312" w:hAnsi="宋体" w:eastAsia="仿宋_GB2312"/>
          <w:b/>
          <w:sz w:val="30"/>
          <w:szCs w:val="30"/>
        </w:rPr>
        <w:t>适用情形：</w:t>
      </w:r>
    </w:p>
    <w:p w14:paraId="0EE2D873">
      <w:pPr>
        <w:spacing w:line="560" w:lineRule="exact"/>
        <w:ind w:firstLine="600" w:firstLineChars="200"/>
        <w:rPr>
          <w:rFonts w:ascii="仿宋_GB2312" w:eastAsia="仿宋_GB2312"/>
          <w:color w:val="000000"/>
          <w:sz w:val="30"/>
          <w:szCs w:val="30"/>
        </w:rPr>
      </w:pPr>
      <w:r>
        <w:rPr>
          <w:rFonts w:hint="eastAsia" w:ascii="仿宋_GB2312" w:eastAsia="仿宋_GB2312"/>
          <w:color w:val="000000"/>
          <w:sz w:val="30"/>
          <w:szCs w:val="30"/>
        </w:rPr>
        <w:t>科创板上市公司（以下简称上市公司）董事、总经理、董事会秘书或者财务负责人因辞职、解聘、工作调动、退休等原因提前离任的（不含任期届满、换届），</w:t>
      </w:r>
      <w:bookmarkStart w:id="1" w:name="_GoBack"/>
      <w:bookmarkEnd w:id="1"/>
      <w:r>
        <w:rPr>
          <w:rFonts w:hint="eastAsia" w:ascii="仿宋_GB2312" w:eastAsia="仿宋_GB2312"/>
          <w:color w:val="000000"/>
          <w:sz w:val="30"/>
          <w:szCs w:val="30"/>
        </w:rPr>
        <w:t>适用本公告格式。</w:t>
      </w:r>
    </w:p>
    <w:p w14:paraId="57F8CF98">
      <w:pPr>
        <w:widowControl/>
        <w:spacing w:line="560" w:lineRule="exact"/>
        <w:jc w:val="left"/>
        <w:rPr>
          <w:rFonts w:hint="eastAsia" w:ascii="宋体" w:hAnsi="宋体" w:cs="宋体"/>
          <w:color w:val="000000"/>
          <w:kern w:val="0"/>
          <w:sz w:val="24"/>
          <w:szCs w:val="24"/>
        </w:rPr>
      </w:pPr>
    </w:p>
    <w:p w14:paraId="4CCF3C11">
      <w:pPr>
        <w:adjustRightInd w:val="0"/>
        <w:snapToGrid w:val="0"/>
        <w:spacing w:line="560" w:lineRule="exact"/>
        <w:rPr>
          <w:rFonts w:hint="eastAsia"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证券代码：             证券简称：            公告编号：</w:t>
      </w:r>
    </w:p>
    <w:p w14:paraId="160761BA">
      <w:pPr>
        <w:widowControl/>
        <w:spacing w:line="560" w:lineRule="exact"/>
        <w:jc w:val="left"/>
        <w:rPr>
          <w:rFonts w:hint="eastAsia" w:ascii="仿宋_GB2312" w:hAnsi="宋体" w:eastAsia="仿宋_GB2312"/>
          <w:sz w:val="30"/>
          <w:szCs w:val="30"/>
        </w:rPr>
      </w:pPr>
    </w:p>
    <w:p w14:paraId="7E1BEEC1">
      <w:pPr>
        <w:widowControl/>
        <w:spacing w:line="560" w:lineRule="exact"/>
        <w:jc w:val="center"/>
        <w:rPr>
          <w:rFonts w:hint="eastAsia" w:ascii="仿宋_GB2312" w:hAnsi="宋体" w:eastAsia="仿宋_GB2312"/>
          <w:sz w:val="30"/>
          <w:szCs w:val="30"/>
        </w:rPr>
      </w:pPr>
      <w:r>
        <w:rPr>
          <w:rFonts w:ascii="仿宋_GB2312" w:hAnsi="宋体" w:eastAsia="仿宋_GB2312"/>
          <w:sz w:val="30"/>
          <w:szCs w:val="30"/>
        </w:rPr>
        <w:t>XXXX</w:t>
      </w:r>
      <w:r>
        <w:rPr>
          <w:rFonts w:hint="eastAsia" w:ascii="仿宋_GB2312" w:hAnsi="宋体" w:eastAsia="仿宋_GB2312"/>
          <w:sz w:val="30"/>
          <w:szCs w:val="30"/>
        </w:rPr>
        <w:t>股份有限公司董事</w:t>
      </w:r>
      <w:r>
        <w:rPr>
          <w:rFonts w:ascii="仿宋_GB2312" w:hAnsi="宋体" w:eastAsia="仿宋_GB2312"/>
          <w:sz w:val="30"/>
          <w:szCs w:val="30"/>
        </w:rPr>
        <w:t>/高级管理人员</w:t>
      </w:r>
      <w:r>
        <w:rPr>
          <w:rFonts w:hint="eastAsia" w:ascii="仿宋_GB2312" w:hAnsi="宋体" w:eastAsia="仿宋_GB2312"/>
          <w:sz w:val="30"/>
          <w:szCs w:val="30"/>
        </w:rPr>
        <w:t>离任的公告</w:t>
      </w:r>
    </w:p>
    <w:p w14:paraId="398EE2E9">
      <w:pPr>
        <w:adjustRightInd w:val="0"/>
        <w:snapToGrid w:val="0"/>
        <w:spacing w:line="560" w:lineRule="exact"/>
        <w:jc w:val="center"/>
        <w:rPr>
          <w:rFonts w:hint="eastAsia" w:ascii="仿宋_GB2312" w:hAnsi="宋体" w:eastAsia="仿宋_GB2312"/>
          <w:sz w:val="30"/>
          <w:szCs w:val="30"/>
        </w:rPr>
      </w:pPr>
    </w:p>
    <w:p w14:paraId="76B131F2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adjustRightInd w:val="0"/>
        <w:snapToGrid w:val="0"/>
        <w:spacing w:line="560" w:lineRule="exact"/>
        <w:ind w:firstLine="600" w:firstLineChars="200"/>
        <w:rPr>
          <w:rFonts w:hint="eastAsia" w:ascii="仿宋_GB2312" w:hAnsi="宋体" w:eastAsia="仿宋_GB2312"/>
          <w:color w:val="000000"/>
          <w:sz w:val="30"/>
          <w:szCs w:val="30"/>
        </w:rPr>
      </w:pPr>
      <w:r>
        <w:rPr>
          <w:rFonts w:hint="eastAsia" w:ascii="仿宋_GB2312" w:hAnsi="宋体" w:eastAsia="仿宋_GB2312"/>
          <w:color w:val="000000"/>
          <w:sz w:val="30"/>
          <w:szCs w:val="30"/>
        </w:rPr>
        <w:t>本公司董事会及全体董事保证本公告内容不存在任何虚假记载、误导性陈述或者重大遗漏，并对其内容的真实性、准确性和完整性承担法律责任。</w:t>
      </w:r>
    </w:p>
    <w:p w14:paraId="0103D4F8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adjustRightInd w:val="0"/>
        <w:snapToGrid w:val="0"/>
        <w:spacing w:line="560" w:lineRule="exact"/>
        <w:ind w:firstLine="600" w:firstLineChars="200"/>
        <w:rPr>
          <w:rFonts w:hint="eastAsia" w:ascii="仿宋_GB2312" w:hAnsi="宋体" w:eastAsia="仿宋_GB2312"/>
          <w:color w:val="000000"/>
          <w:sz w:val="30"/>
          <w:szCs w:val="30"/>
        </w:rPr>
      </w:pPr>
      <w:r>
        <w:rPr>
          <w:rFonts w:hint="eastAsia" w:ascii="仿宋_GB2312" w:hAnsi="宋体" w:eastAsia="仿宋_GB2312"/>
          <w:color w:val="000000"/>
          <w:sz w:val="30"/>
          <w:szCs w:val="30"/>
        </w:rPr>
        <w:t>如有董事对公告内容的真实性、准确性和完整性无法保证或存在异议的，公司应当在公告中作特别提示。</w:t>
      </w:r>
    </w:p>
    <w:p w14:paraId="6E595FDD">
      <w:pPr>
        <w:adjustRightInd w:val="0"/>
        <w:snapToGrid w:val="0"/>
        <w:spacing w:line="560" w:lineRule="exact"/>
        <w:ind w:firstLine="600" w:firstLineChars="200"/>
        <w:rPr>
          <w:rFonts w:hint="eastAsia" w:ascii="仿宋_GB2312" w:hAnsi="宋体" w:eastAsia="仿宋_GB2312"/>
          <w:sz w:val="30"/>
          <w:szCs w:val="30"/>
        </w:rPr>
      </w:pPr>
    </w:p>
    <w:p w14:paraId="3F9D1E60">
      <w:pPr>
        <w:adjustRightInd w:val="0"/>
        <w:snapToGrid w:val="0"/>
        <w:spacing w:line="560" w:lineRule="exact"/>
        <w:ind w:firstLine="602" w:firstLineChars="200"/>
        <w:rPr>
          <w:rFonts w:hint="eastAsia" w:ascii="黑体" w:hAnsi="黑体" w:eastAsia="黑体"/>
          <w:b/>
          <w:sz w:val="30"/>
          <w:szCs w:val="30"/>
        </w:rPr>
      </w:pPr>
      <w:r>
        <w:rPr>
          <w:rFonts w:hint="eastAsia" w:ascii="黑体" w:hAnsi="黑体" w:eastAsia="黑体"/>
          <w:b/>
          <w:sz w:val="30"/>
          <w:szCs w:val="30"/>
        </w:rPr>
        <w:t>一、董事/高级管理人员离任情况</w:t>
      </w:r>
    </w:p>
    <w:p w14:paraId="06CAE4D3">
      <w:pPr>
        <w:adjustRightInd w:val="0"/>
        <w:snapToGrid w:val="0"/>
        <w:spacing w:line="560" w:lineRule="exact"/>
        <w:ind w:firstLine="600" w:firstLineChars="200"/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（一）提前离任的基本情况</w:t>
      </w:r>
    </w:p>
    <w:tbl>
      <w:tblPr>
        <w:tblStyle w:val="7"/>
        <w:tblW w:w="108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5"/>
        <w:gridCol w:w="1191"/>
        <w:gridCol w:w="1191"/>
        <w:gridCol w:w="1137"/>
        <w:gridCol w:w="1317"/>
        <w:gridCol w:w="1601"/>
        <w:gridCol w:w="1252"/>
        <w:gridCol w:w="1233"/>
        <w:gridCol w:w="1233"/>
      </w:tblGrid>
      <w:tr w14:paraId="61A34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5" w:type="dxa"/>
            <w:vAlign w:val="center"/>
          </w:tcPr>
          <w:p w14:paraId="0BC77469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_GB2312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_GB2312" w:cs="宋体"/>
                <w:b/>
                <w:kern w:val="0"/>
                <w:sz w:val="24"/>
                <w:szCs w:val="24"/>
              </w:rPr>
              <w:t>姓名</w:t>
            </w:r>
          </w:p>
        </w:tc>
        <w:tc>
          <w:tcPr>
            <w:tcW w:w="1191" w:type="dxa"/>
            <w:vAlign w:val="center"/>
          </w:tcPr>
          <w:p w14:paraId="40112549"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_GB2312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_GB2312" w:cs="宋体"/>
                <w:b/>
                <w:bCs/>
                <w:kern w:val="0"/>
                <w:sz w:val="24"/>
                <w:szCs w:val="24"/>
              </w:rPr>
              <w:t>离任</w:t>
            </w:r>
            <w:r>
              <w:rPr>
                <w:rFonts w:ascii="仿宋" w:hAnsi="仿宋" w:eastAsia="仿宋_GB2312" w:cs="宋体"/>
                <w:b/>
                <w:bCs/>
                <w:kern w:val="0"/>
                <w:sz w:val="24"/>
                <w:szCs w:val="24"/>
              </w:rPr>
              <w:t>职务</w:t>
            </w:r>
          </w:p>
        </w:tc>
        <w:tc>
          <w:tcPr>
            <w:tcW w:w="1191" w:type="dxa"/>
            <w:vAlign w:val="center"/>
          </w:tcPr>
          <w:p w14:paraId="2E3A45B0"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_GB2312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_GB2312" w:cs="宋体"/>
                <w:b/>
                <w:bCs/>
                <w:kern w:val="0"/>
                <w:sz w:val="24"/>
                <w:szCs w:val="24"/>
              </w:rPr>
              <w:t>离任</w:t>
            </w:r>
            <w:r>
              <w:rPr>
                <w:rFonts w:ascii="仿宋" w:hAnsi="仿宋" w:eastAsia="仿宋_GB2312" w:cs="宋体"/>
                <w:b/>
                <w:bCs/>
                <w:kern w:val="0"/>
                <w:sz w:val="24"/>
                <w:szCs w:val="24"/>
              </w:rPr>
              <w:t>时间</w:t>
            </w:r>
          </w:p>
        </w:tc>
        <w:tc>
          <w:tcPr>
            <w:tcW w:w="1137" w:type="dxa"/>
            <w:vAlign w:val="center"/>
          </w:tcPr>
          <w:p w14:paraId="5D160E35"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_GB2312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_GB2312" w:cs="宋体"/>
                <w:b/>
                <w:kern w:val="0"/>
                <w:sz w:val="24"/>
                <w:szCs w:val="24"/>
              </w:rPr>
              <w:t>原定任期到期日</w:t>
            </w:r>
          </w:p>
        </w:tc>
        <w:tc>
          <w:tcPr>
            <w:tcW w:w="1317" w:type="dxa"/>
            <w:vAlign w:val="center"/>
          </w:tcPr>
          <w:p w14:paraId="747A6E1F"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_GB2312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_GB2312" w:cs="宋体"/>
                <w:b/>
                <w:kern w:val="0"/>
                <w:sz w:val="24"/>
                <w:szCs w:val="24"/>
              </w:rPr>
              <w:t>离任原因</w:t>
            </w:r>
          </w:p>
        </w:tc>
        <w:tc>
          <w:tcPr>
            <w:tcW w:w="1601" w:type="dxa"/>
            <w:vAlign w:val="center"/>
          </w:tcPr>
          <w:p w14:paraId="60ED6C80"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_GB2312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_GB2312" w:cs="宋体"/>
                <w:b/>
                <w:kern w:val="0"/>
                <w:sz w:val="24"/>
                <w:szCs w:val="24"/>
              </w:rPr>
              <w:t>是否继续在上市公司及其控股子公司任职</w:t>
            </w:r>
          </w:p>
        </w:tc>
        <w:tc>
          <w:tcPr>
            <w:tcW w:w="1252" w:type="dxa"/>
            <w:vAlign w:val="center"/>
          </w:tcPr>
          <w:p w14:paraId="04B98E17"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_GB2312" w:cs="宋体"/>
                <w:b/>
                <w:kern w:val="0"/>
                <w:sz w:val="24"/>
                <w:szCs w:val="24"/>
              </w:rPr>
              <w:t>具体职务（如适用）</w:t>
            </w:r>
          </w:p>
        </w:tc>
        <w:tc>
          <w:tcPr>
            <w:tcW w:w="1233" w:type="dxa"/>
            <w:vAlign w:val="center"/>
          </w:tcPr>
          <w:p w14:paraId="027C73B5"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_GB2312" w:cs="宋体"/>
                <w:b/>
                <w:kern w:val="0"/>
                <w:sz w:val="24"/>
                <w:szCs w:val="24"/>
              </w:rPr>
            </w:pPr>
            <w:r>
              <w:rPr>
                <w:rFonts w:ascii="仿宋" w:hAnsi="仿宋" w:eastAsia="仿宋_GB2312" w:cs="宋体"/>
                <w:b/>
                <w:bCs/>
                <w:kern w:val="0"/>
                <w:sz w:val="24"/>
                <w:szCs w:val="24"/>
              </w:rPr>
              <w:t>是否存在未履行完毕的公开承诺</w:t>
            </w:r>
          </w:p>
        </w:tc>
        <w:tc>
          <w:tcPr>
            <w:tcW w:w="1233" w:type="dxa"/>
          </w:tcPr>
          <w:p w14:paraId="1BBD9B2A"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_GB2312" w:cs="宋体"/>
                <w:b/>
                <w:bCs/>
                <w:kern w:val="0"/>
                <w:sz w:val="24"/>
                <w:szCs w:val="24"/>
              </w:rPr>
              <w:t>是否存在未履行完毕的增持承诺</w:t>
            </w:r>
          </w:p>
        </w:tc>
      </w:tr>
      <w:tr w14:paraId="079128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5" w:type="dxa"/>
          </w:tcPr>
          <w:p w14:paraId="491DD056">
            <w:pPr>
              <w:spacing w:line="560" w:lineRule="exact"/>
              <w:rPr>
                <w:rFonts w:hint="eastAsia" w:ascii="仿宋_GB2312" w:hAnsi="宋体" w:eastAsia="仿宋_GB2312" w:cs="宋体"/>
                <w:kern w:val="0"/>
                <w:sz w:val="30"/>
                <w:szCs w:val="30"/>
              </w:rPr>
            </w:pPr>
          </w:p>
        </w:tc>
        <w:tc>
          <w:tcPr>
            <w:tcW w:w="1191" w:type="dxa"/>
          </w:tcPr>
          <w:p w14:paraId="22E17999">
            <w:pPr>
              <w:spacing w:line="560" w:lineRule="exact"/>
              <w:rPr>
                <w:rFonts w:hint="eastAsia" w:ascii="仿宋_GB2312" w:hAnsi="宋体" w:eastAsia="仿宋_GB2312" w:cs="宋体"/>
                <w:kern w:val="0"/>
                <w:sz w:val="30"/>
                <w:szCs w:val="30"/>
              </w:rPr>
            </w:pPr>
          </w:p>
        </w:tc>
        <w:tc>
          <w:tcPr>
            <w:tcW w:w="1191" w:type="dxa"/>
          </w:tcPr>
          <w:p w14:paraId="6A965FCF">
            <w:pPr>
              <w:spacing w:line="560" w:lineRule="exact"/>
              <w:rPr>
                <w:rFonts w:hint="eastAsia" w:ascii="仿宋_GB2312" w:hAnsi="宋体" w:eastAsia="仿宋_GB2312" w:cs="宋体"/>
                <w:kern w:val="0"/>
                <w:sz w:val="30"/>
                <w:szCs w:val="30"/>
              </w:rPr>
            </w:pPr>
          </w:p>
        </w:tc>
        <w:tc>
          <w:tcPr>
            <w:tcW w:w="1137" w:type="dxa"/>
          </w:tcPr>
          <w:p w14:paraId="56C4BDCC">
            <w:pPr>
              <w:spacing w:line="560" w:lineRule="exact"/>
              <w:rPr>
                <w:rFonts w:hint="eastAsia" w:ascii="仿宋_GB2312" w:hAnsi="宋体" w:eastAsia="仿宋_GB2312" w:cs="宋体"/>
                <w:kern w:val="0"/>
                <w:sz w:val="30"/>
                <w:szCs w:val="30"/>
              </w:rPr>
            </w:pPr>
          </w:p>
        </w:tc>
        <w:tc>
          <w:tcPr>
            <w:tcW w:w="1317" w:type="dxa"/>
          </w:tcPr>
          <w:p w14:paraId="386D346C">
            <w:pPr>
              <w:spacing w:line="560" w:lineRule="exact"/>
              <w:rPr>
                <w:rFonts w:hint="eastAsia" w:ascii="仿宋_GB2312" w:hAnsi="宋体" w:eastAsia="仿宋_GB2312" w:cs="宋体"/>
                <w:kern w:val="0"/>
                <w:sz w:val="30"/>
                <w:szCs w:val="30"/>
              </w:rPr>
            </w:pPr>
          </w:p>
        </w:tc>
        <w:tc>
          <w:tcPr>
            <w:tcW w:w="1601" w:type="dxa"/>
          </w:tcPr>
          <w:p w14:paraId="67D3F12D">
            <w:pPr>
              <w:spacing w:line="560" w:lineRule="exact"/>
              <w:rPr>
                <w:color w:val="000000"/>
                <w:sz w:val="22"/>
              </w:rPr>
            </w:pPr>
          </w:p>
        </w:tc>
        <w:tc>
          <w:tcPr>
            <w:tcW w:w="1252" w:type="dxa"/>
          </w:tcPr>
          <w:p w14:paraId="5F6079BC">
            <w:pPr>
              <w:spacing w:line="560" w:lineRule="exact"/>
              <w:rPr>
                <w:rFonts w:hint="eastAsia" w:ascii="仿宋_GB2312" w:hAnsi="宋体" w:eastAsia="仿宋_GB2312" w:cs="宋体"/>
                <w:kern w:val="0"/>
                <w:sz w:val="30"/>
                <w:szCs w:val="30"/>
              </w:rPr>
            </w:pPr>
          </w:p>
        </w:tc>
        <w:tc>
          <w:tcPr>
            <w:tcW w:w="1233" w:type="dxa"/>
          </w:tcPr>
          <w:p w14:paraId="2C8DCB46">
            <w:pPr>
              <w:spacing w:line="560" w:lineRule="exact"/>
              <w:rPr>
                <w:rFonts w:hint="eastAsia" w:ascii="仿宋_GB2312" w:hAnsi="宋体" w:eastAsia="仿宋_GB2312" w:cs="宋体"/>
                <w:kern w:val="0"/>
                <w:sz w:val="30"/>
                <w:szCs w:val="30"/>
              </w:rPr>
            </w:pPr>
          </w:p>
        </w:tc>
        <w:tc>
          <w:tcPr>
            <w:tcW w:w="1233" w:type="dxa"/>
          </w:tcPr>
          <w:p w14:paraId="3DD0066E">
            <w:pPr>
              <w:spacing w:line="560" w:lineRule="exact"/>
              <w:rPr>
                <w:rFonts w:hint="eastAsia" w:ascii="仿宋_GB2312" w:hAnsi="宋体" w:eastAsia="仿宋_GB2312" w:cs="宋体"/>
                <w:kern w:val="0"/>
                <w:sz w:val="30"/>
                <w:szCs w:val="30"/>
              </w:rPr>
            </w:pPr>
          </w:p>
        </w:tc>
      </w:tr>
    </w:tbl>
    <w:p w14:paraId="5A6811D6">
      <w:pPr>
        <w:widowControl/>
        <w:spacing w:line="560" w:lineRule="exact"/>
        <w:ind w:firstLine="480"/>
        <w:rPr>
          <w:color w:val="000000"/>
          <w:sz w:val="22"/>
        </w:rPr>
      </w:pPr>
    </w:p>
    <w:p w14:paraId="2CED738B">
      <w:pPr>
        <w:widowControl/>
        <w:spacing w:line="560" w:lineRule="exact"/>
        <w:ind w:firstLine="480"/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（二）离任对公司的影响。董事离任的，应当说明是否导致董事会成员低于法定人数。董事会秘书离任且尚未新聘的，应当说明代行董事会秘书职责的具体安排。根据《公司法》《公司章程》及相关规定，离任后需要补选的，上市公司应当说明后续选聘安排。离任人员存在未履行完毕的公开承诺的，应当说明具体 情况及保障措施。公司还应当说明离任人员是否按照公司离职管理制度做好交接工作。</w:t>
      </w:r>
    </w:p>
    <w:p w14:paraId="789C27E6">
      <w:pPr>
        <w:widowControl/>
        <w:adjustRightInd w:val="0"/>
        <w:snapToGrid w:val="0"/>
        <w:spacing w:line="560" w:lineRule="exact"/>
        <w:ind w:firstLine="602" w:firstLineChars="200"/>
        <w:rPr>
          <w:rFonts w:hint="eastAsia" w:ascii="黑体" w:hAnsi="黑体" w:eastAsia="黑体" w:cs="宋体"/>
          <w:b/>
          <w:color w:val="000000"/>
          <w:kern w:val="0"/>
          <w:sz w:val="30"/>
          <w:szCs w:val="30"/>
        </w:rPr>
      </w:pPr>
      <w:r>
        <w:rPr>
          <w:rFonts w:hint="eastAsia" w:ascii="黑体" w:hAnsi="黑体" w:eastAsia="黑体" w:cs="宋体"/>
          <w:b/>
          <w:color w:val="000000"/>
          <w:kern w:val="0"/>
          <w:sz w:val="30"/>
          <w:szCs w:val="30"/>
        </w:rPr>
        <w:t>二、董事会审计委员会意见（如适用）</w:t>
      </w:r>
    </w:p>
    <w:p w14:paraId="17DE1D98">
      <w:pPr>
        <w:widowControl/>
        <w:shd w:val="clear" w:color="auto" w:fill="FFFFFF"/>
        <w:spacing w:line="560" w:lineRule="exact"/>
        <w:ind w:firstLine="601"/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涉及解聘财务负责人的，公司董事会审计委员会应当按规定履行相应审议程序。</w:t>
      </w:r>
    </w:p>
    <w:p w14:paraId="2631C51B">
      <w:pPr>
        <w:widowControl/>
        <w:spacing w:line="560" w:lineRule="exact"/>
        <w:ind w:firstLine="480"/>
        <w:rPr>
          <w:rFonts w:hint="eastAsia" w:ascii="楷体" w:hAnsi="楷体" w:eastAsia="楷体" w:cstheme="minorBidi"/>
          <w:color w:val="000000"/>
          <w:sz w:val="24"/>
          <w:szCs w:val="24"/>
        </w:rPr>
      </w:pPr>
      <w:r>
        <w:rPr>
          <w:rFonts w:hint="eastAsia" w:ascii="楷体" w:hAnsi="楷体" w:eastAsia="楷体" w:cstheme="minorBidi"/>
          <w:color w:val="000000"/>
          <w:sz w:val="24"/>
          <w:szCs w:val="24"/>
        </w:rPr>
        <w:t>（编制提醒：离职人员应当基于诚信原则完成涉及上市公司的未尽事宜，保守公司秘密，履行与公司约定的不竞争义务。）</w:t>
      </w:r>
    </w:p>
    <w:p w14:paraId="47163E62">
      <w:pPr>
        <w:widowControl/>
        <w:spacing w:line="560" w:lineRule="exact"/>
        <w:ind w:firstLine="480"/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</w:pPr>
    </w:p>
    <w:p w14:paraId="724BA5A1">
      <w:pPr>
        <w:widowControl/>
        <w:spacing w:line="560" w:lineRule="exact"/>
        <w:ind w:firstLine="480"/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特此公告。</w:t>
      </w:r>
    </w:p>
    <w:p w14:paraId="1F2F9191">
      <w:pPr>
        <w:widowControl/>
        <w:spacing w:line="560" w:lineRule="exact"/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</w:pPr>
    </w:p>
    <w:p w14:paraId="498D74BB">
      <w:pPr>
        <w:widowControl/>
        <w:spacing w:line="560" w:lineRule="exact"/>
        <w:ind w:firstLine="480"/>
        <w:jc w:val="right"/>
        <w:outlineLvl w:val="0"/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XXXX股份有限公司董事会</w:t>
      </w:r>
    </w:p>
    <w:p w14:paraId="0B521601">
      <w:pPr>
        <w:widowControl/>
        <w:spacing w:line="560" w:lineRule="exact"/>
        <w:ind w:firstLine="480"/>
        <w:jc w:val="right"/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年  月  日</w:t>
      </w:r>
    </w:p>
    <w:p w14:paraId="23C198E5">
      <w:pPr>
        <w:widowControl/>
        <w:spacing w:line="560" w:lineRule="exact"/>
        <w:ind w:firstLine="480"/>
        <w:jc w:val="right"/>
        <w:rPr>
          <w:rFonts w:hint="eastAsia" w:ascii="宋体" w:hAnsi="宋体" w:cs="宋体"/>
          <w:color w:val="000000"/>
          <w:kern w:val="0"/>
          <w:sz w:val="24"/>
          <w:szCs w:val="24"/>
        </w:rPr>
      </w:pPr>
    </w:p>
    <w:p w14:paraId="3729D307">
      <w:pPr>
        <w:ind w:firstLine="600"/>
        <w:rPr>
          <w:rFonts w:hint="eastAsia" w:ascii="仿宋" w:hAnsi="仿宋" w:eastAsia="仿宋_GB2312"/>
          <w:sz w:val="30"/>
          <w:szCs w:val="30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大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rial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5D4122">
    <w:pPr>
      <w:pStyle w:val="4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  \* MERGEFORMAT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  <w:lang w:val="zh-CN"/>
      </w:rPr>
      <w:t>2</w:t>
    </w:r>
    <w:r>
      <w:rPr>
        <w:rFonts w:ascii="Times New Roman" w:hAnsi="Times New Roman"/>
      </w:rPr>
      <w:fldChar w:fldCharType="end"/>
    </w:r>
  </w:p>
  <w:p w14:paraId="55A93770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EE0"/>
    <w:rsid w:val="0001294D"/>
    <w:rsid w:val="00017C6A"/>
    <w:rsid w:val="00024ACC"/>
    <w:rsid w:val="000325AC"/>
    <w:rsid w:val="000357E8"/>
    <w:rsid w:val="00044595"/>
    <w:rsid w:val="00062EA9"/>
    <w:rsid w:val="000637B2"/>
    <w:rsid w:val="000666B3"/>
    <w:rsid w:val="00071F8E"/>
    <w:rsid w:val="0007507D"/>
    <w:rsid w:val="00080035"/>
    <w:rsid w:val="00093ED1"/>
    <w:rsid w:val="00094559"/>
    <w:rsid w:val="00095878"/>
    <w:rsid w:val="000963DA"/>
    <w:rsid w:val="000A6EE0"/>
    <w:rsid w:val="000C6948"/>
    <w:rsid w:val="000E67CB"/>
    <w:rsid w:val="000F4423"/>
    <w:rsid w:val="001272E1"/>
    <w:rsid w:val="00141FC8"/>
    <w:rsid w:val="00152BEF"/>
    <w:rsid w:val="001530B9"/>
    <w:rsid w:val="00157F2B"/>
    <w:rsid w:val="00167AC1"/>
    <w:rsid w:val="0017543F"/>
    <w:rsid w:val="001766EF"/>
    <w:rsid w:val="001A00B6"/>
    <w:rsid w:val="001B419B"/>
    <w:rsid w:val="001B5FA0"/>
    <w:rsid w:val="001D3AFC"/>
    <w:rsid w:val="001D49CC"/>
    <w:rsid w:val="002003FB"/>
    <w:rsid w:val="00202E01"/>
    <w:rsid w:val="00254CDF"/>
    <w:rsid w:val="00256E60"/>
    <w:rsid w:val="00276E24"/>
    <w:rsid w:val="002775CA"/>
    <w:rsid w:val="002946B1"/>
    <w:rsid w:val="00295FBC"/>
    <w:rsid w:val="002B1A63"/>
    <w:rsid w:val="002D1C96"/>
    <w:rsid w:val="002D44E0"/>
    <w:rsid w:val="002E4861"/>
    <w:rsid w:val="002E4BF5"/>
    <w:rsid w:val="002F18A7"/>
    <w:rsid w:val="00314FDE"/>
    <w:rsid w:val="00326740"/>
    <w:rsid w:val="00327BAB"/>
    <w:rsid w:val="00327C25"/>
    <w:rsid w:val="00345E79"/>
    <w:rsid w:val="003465C9"/>
    <w:rsid w:val="00365962"/>
    <w:rsid w:val="00366330"/>
    <w:rsid w:val="00383CFC"/>
    <w:rsid w:val="00383E38"/>
    <w:rsid w:val="00391A27"/>
    <w:rsid w:val="00396FF1"/>
    <w:rsid w:val="003D6144"/>
    <w:rsid w:val="00440E4C"/>
    <w:rsid w:val="00440F35"/>
    <w:rsid w:val="00442FE5"/>
    <w:rsid w:val="004676F1"/>
    <w:rsid w:val="00473AF5"/>
    <w:rsid w:val="0047651D"/>
    <w:rsid w:val="00480697"/>
    <w:rsid w:val="004C079A"/>
    <w:rsid w:val="004E6453"/>
    <w:rsid w:val="004F5A16"/>
    <w:rsid w:val="004F6F7E"/>
    <w:rsid w:val="00506F4E"/>
    <w:rsid w:val="005130D9"/>
    <w:rsid w:val="00520004"/>
    <w:rsid w:val="00526348"/>
    <w:rsid w:val="005453DF"/>
    <w:rsid w:val="00555614"/>
    <w:rsid w:val="005573FA"/>
    <w:rsid w:val="00570548"/>
    <w:rsid w:val="0057271D"/>
    <w:rsid w:val="00584586"/>
    <w:rsid w:val="005848AD"/>
    <w:rsid w:val="00586A05"/>
    <w:rsid w:val="00587613"/>
    <w:rsid w:val="00590233"/>
    <w:rsid w:val="00590BD1"/>
    <w:rsid w:val="005A1675"/>
    <w:rsid w:val="005C2CEB"/>
    <w:rsid w:val="005F03C5"/>
    <w:rsid w:val="005F4172"/>
    <w:rsid w:val="0061746B"/>
    <w:rsid w:val="00631606"/>
    <w:rsid w:val="006376E2"/>
    <w:rsid w:val="0064360C"/>
    <w:rsid w:val="006533DB"/>
    <w:rsid w:val="00664460"/>
    <w:rsid w:val="006658D3"/>
    <w:rsid w:val="00681F53"/>
    <w:rsid w:val="00701284"/>
    <w:rsid w:val="007214DC"/>
    <w:rsid w:val="00724C6D"/>
    <w:rsid w:val="007328C9"/>
    <w:rsid w:val="00743345"/>
    <w:rsid w:val="00753292"/>
    <w:rsid w:val="007729E4"/>
    <w:rsid w:val="00783783"/>
    <w:rsid w:val="007913DD"/>
    <w:rsid w:val="007B11FF"/>
    <w:rsid w:val="007B2E29"/>
    <w:rsid w:val="007F7679"/>
    <w:rsid w:val="008067FC"/>
    <w:rsid w:val="00821BB4"/>
    <w:rsid w:val="008402FF"/>
    <w:rsid w:val="008446C2"/>
    <w:rsid w:val="008467CF"/>
    <w:rsid w:val="008479CF"/>
    <w:rsid w:val="00854032"/>
    <w:rsid w:val="00857165"/>
    <w:rsid w:val="00864F65"/>
    <w:rsid w:val="00896EFC"/>
    <w:rsid w:val="00897628"/>
    <w:rsid w:val="008B693E"/>
    <w:rsid w:val="008B6A50"/>
    <w:rsid w:val="008E1646"/>
    <w:rsid w:val="008F0E72"/>
    <w:rsid w:val="008F793F"/>
    <w:rsid w:val="009229D0"/>
    <w:rsid w:val="00924C8A"/>
    <w:rsid w:val="009446FC"/>
    <w:rsid w:val="009561EC"/>
    <w:rsid w:val="0096186A"/>
    <w:rsid w:val="0097309E"/>
    <w:rsid w:val="0097747A"/>
    <w:rsid w:val="009A60CB"/>
    <w:rsid w:val="009B39D5"/>
    <w:rsid w:val="009C1D76"/>
    <w:rsid w:val="009C5B7F"/>
    <w:rsid w:val="009E18E4"/>
    <w:rsid w:val="00A061FD"/>
    <w:rsid w:val="00A10FE6"/>
    <w:rsid w:val="00A12FBC"/>
    <w:rsid w:val="00A21BD1"/>
    <w:rsid w:val="00A26966"/>
    <w:rsid w:val="00A3613A"/>
    <w:rsid w:val="00A36DA7"/>
    <w:rsid w:val="00A40687"/>
    <w:rsid w:val="00A46894"/>
    <w:rsid w:val="00A53748"/>
    <w:rsid w:val="00A62AD3"/>
    <w:rsid w:val="00A631BD"/>
    <w:rsid w:val="00A63DE2"/>
    <w:rsid w:val="00A669D2"/>
    <w:rsid w:val="00A726B7"/>
    <w:rsid w:val="00A86800"/>
    <w:rsid w:val="00A94425"/>
    <w:rsid w:val="00A95135"/>
    <w:rsid w:val="00A976F8"/>
    <w:rsid w:val="00B00BA6"/>
    <w:rsid w:val="00B329E9"/>
    <w:rsid w:val="00B370C9"/>
    <w:rsid w:val="00B42D91"/>
    <w:rsid w:val="00B44B68"/>
    <w:rsid w:val="00B50375"/>
    <w:rsid w:val="00B535D2"/>
    <w:rsid w:val="00B53AA3"/>
    <w:rsid w:val="00B554DE"/>
    <w:rsid w:val="00B63104"/>
    <w:rsid w:val="00B642AF"/>
    <w:rsid w:val="00B8032D"/>
    <w:rsid w:val="00B85089"/>
    <w:rsid w:val="00BB3927"/>
    <w:rsid w:val="00BB3C4D"/>
    <w:rsid w:val="00BE3459"/>
    <w:rsid w:val="00C0450D"/>
    <w:rsid w:val="00C04B83"/>
    <w:rsid w:val="00C0754B"/>
    <w:rsid w:val="00C12310"/>
    <w:rsid w:val="00C16324"/>
    <w:rsid w:val="00C4215E"/>
    <w:rsid w:val="00C62C56"/>
    <w:rsid w:val="00C71D1D"/>
    <w:rsid w:val="00C855B8"/>
    <w:rsid w:val="00CE7F5A"/>
    <w:rsid w:val="00D05AE3"/>
    <w:rsid w:val="00D07B24"/>
    <w:rsid w:val="00D15035"/>
    <w:rsid w:val="00D17603"/>
    <w:rsid w:val="00D409AC"/>
    <w:rsid w:val="00D62C77"/>
    <w:rsid w:val="00D75F14"/>
    <w:rsid w:val="00DB20F7"/>
    <w:rsid w:val="00DD5C33"/>
    <w:rsid w:val="00DF78DE"/>
    <w:rsid w:val="00E2122D"/>
    <w:rsid w:val="00E262FE"/>
    <w:rsid w:val="00E33F5A"/>
    <w:rsid w:val="00E57573"/>
    <w:rsid w:val="00E7507B"/>
    <w:rsid w:val="00E76F19"/>
    <w:rsid w:val="00E92F09"/>
    <w:rsid w:val="00EA0A28"/>
    <w:rsid w:val="00EA3ADF"/>
    <w:rsid w:val="00ED4276"/>
    <w:rsid w:val="00EE3666"/>
    <w:rsid w:val="00EE3F3F"/>
    <w:rsid w:val="00EF2CD8"/>
    <w:rsid w:val="00F1339E"/>
    <w:rsid w:val="00F400F1"/>
    <w:rsid w:val="00F466E7"/>
    <w:rsid w:val="00F60D85"/>
    <w:rsid w:val="00F67042"/>
    <w:rsid w:val="00F72D1B"/>
    <w:rsid w:val="00F7524C"/>
    <w:rsid w:val="00F803CA"/>
    <w:rsid w:val="00F9137A"/>
    <w:rsid w:val="00FB5FE1"/>
    <w:rsid w:val="00FD7F4A"/>
    <w:rsid w:val="00FF2111"/>
    <w:rsid w:val="2C1B5CED"/>
    <w:rsid w:val="31FC03E5"/>
    <w:rsid w:val="3E516F6F"/>
    <w:rsid w:val="4BA15994"/>
    <w:rsid w:val="4D2427CF"/>
    <w:rsid w:val="4EC97BC6"/>
    <w:rsid w:val="7A1E45DA"/>
    <w:rsid w:val="7EAE594F"/>
    <w:rsid w:val="7ED13777"/>
    <w:rsid w:val="B7EE7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14"/>
    <w:semiHidden/>
    <w:unhideWhenUsed/>
    <w:qFormat/>
    <w:uiPriority w:val="99"/>
    <w:rPr>
      <w:rFonts w:ascii="宋体"/>
      <w:sz w:val="18"/>
      <w:szCs w:val="18"/>
    </w:rPr>
  </w:style>
  <w:style w:type="paragraph" w:styleId="3">
    <w:name w:val="Balloon Text"/>
    <w:basedOn w:val="1"/>
    <w:link w:val="9"/>
    <w:semiHidden/>
    <w:unhideWhenUsed/>
    <w:qFormat/>
    <w:uiPriority w:val="99"/>
    <w:rPr>
      <w:kern w:val="0"/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table" w:styleId="7">
    <w:name w:val="Table Grid"/>
    <w:basedOn w:val="6"/>
    <w:qFormat/>
    <w:uiPriority w:val="5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批注框文本 字符"/>
    <w:link w:val="3"/>
    <w:semiHidden/>
    <w:qFormat/>
    <w:uiPriority w:val="99"/>
    <w:rPr>
      <w:sz w:val="18"/>
      <w:szCs w:val="18"/>
    </w:rPr>
  </w:style>
  <w:style w:type="character" w:customStyle="1" w:styleId="10">
    <w:name w:val="页眉 字符"/>
    <w:link w:val="5"/>
    <w:qFormat/>
    <w:uiPriority w:val="99"/>
    <w:rPr>
      <w:sz w:val="18"/>
      <w:szCs w:val="18"/>
    </w:rPr>
  </w:style>
  <w:style w:type="character" w:customStyle="1" w:styleId="11">
    <w:name w:val="页脚 字符"/>
    <w:link w:val="4"/>
    <w:qFormat/>
    <w:uiPriority w:val="99"/>
    <w:rPr>
      <w:sz w:val="18"/>
      <w:szCs w:val="18"/>
    </w:rPr>
  </w:style>
  <w:style w:type="paragraph" w:styleId="12">
    <w:name w:val="List Paragraph"/>
    <w:basedOn w:val="1"/>
    <w:link w:val="13"/>
    <w:qFormat/>
    <w:uiPriority w:val="34"/>
    <w:pPr>
      <w:ind w:firstLine="420" w:firstLineChars="200"/>
    </w:pPr>
  </w:style>
  <w:style w:type="character" w:customStyle="1" w:styleId="13">
    <w:name w:val="列表段落 字符"/>
    <w:link w:val="12"/>
    <w:qFormat/>
    <w:uiPriority w:val="0"/>
    <w:rPr>
      <w:rFonts w:ascii="Calibri" w:hAnsi="Calibri" w:eastAsia="宋体" w:cs="Times New Roman"/>
      <w:kern w:val="2"/>
      <w:sz w:val="21"/>
      <w:szCs w:val="22"/>
    </w:rPr>
  </w:style>
  <w:style w:type="character" w:customStyle="1" w:styleId="14">
    <w:name w:val="文档结构图 字符"/>
    <w:link w:val="2"/>
    <w:semiHidden/>
    <w:qFormat/>
    <w:uiPriority w:val="99"/>
    <w:rPr>
      <w:rFonts w:ascii="宋体"/>
      <w:kern w:val="2"/>
      <w:sz w:val="18"/>
      <w:szCs w:val="18"/>
    </w:rPr>
  </w:style>
  <w:style w:type="character" w:customStyle="1" w:styleId="15">
    <w:name w:val="font31"/>
    <w:basedOn w:val="8"/>
    <w:qFormat/>
    <w:uiPriority w:val="0"/>
    <w:rPr>
      <w:rFonts w:hint="eastAsia" w:ascii="宋体" w:hAnsi="宋体" w:eastAsia="宋体"/>
      <w:b/>
      <w:bCs/>
      <w:color w:val="000000"/>
      <w:sz w:val="22"/>
      <w:szCs w:val="22"/>
      <w:u w:val="none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/>
      <w:b/>
      <w:bCs/>
      <w:color w:val="FF0000"/>
      <w:sz w:val="22"/>
      <w:szCs w:val="22"/>
      <w:u w:val="none"/>
    </w:rPr>
  </w:style>
  <w:style w:type="paragraph" w:customStyle="1" w:styleId="17">
    <w:name w:val="Revision"/>
    <w:hidden/>
    <w:unhideWhenUsed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home/whxu/C:\dsoa\wdzx97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wdzx97</Template>
  <Pages>2</Pages>
  <Words>675</Words>
  <Characters>681</Characters>
  <Lines>5</Lines>
  <Paragraphs>1</Paragraphs>
  <TotalTime>3</TotalTime>
  <ScaleCrop>false</ScaleCrop>
  <LinksUpToDate>false</LinksUpToDate>
  <CharactersWithSpaces>713</CharactersWithSpaces>
  <Application>WPS Office_12.8.2.19313_F1E327BC-269C-435d-A152-05C5408002CA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2025-02-10T15:19:00Z</dcterms:created>
  <dc:creator>sse</dc:creator>
  <cp:lastModifiedBy>whxu</cp:lastModifiedBy>
  <cp:lastPrinted>2024-12-18T09:31:00Z</cp:lastPrinted>
  <dcterms:modified xsi:type="dcterms:W3CDTF">2026-04-24T21:20:35Z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2052-12.8.2.19313</vt:lpwstr>
  </property>
  <property fmtid="{D5CDD505-2E9C-101B-9397-08002B2CF9AE}" pid="3" name="ICV">
    <vt:lpwstr>63C8EF686F6C431AB0A74B77C5A5FC15</vt:lpwstr>
  </property>
  <property fmtid="{D5CDD505-2E9C-101B-9397-08002B2CF9AE}" pid="4" name="KSOTemplateDocerSaveRecord">
    <vt:lpwstr>eyJoZGlkIjoiNzk4NDZhMDk4MTdjOTk4MGM0ZGY5OGRjMjIxMmQ0OGEiLCJ1c2VySWQiOiI0ODY2ODYzMDEifQ==</vt:lpwstr>
  </property>
</Properties>
</file>