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665E14">
      <w:pPr>
        <w:spacing w:line="560" w:lineRule="exact"/>
        <w:jc w:val="center"/>
        <w:rPr>
          <w:rFonts w:ascii="黑体" w:hAnsi="黑体" w:eastAsia="黑体"/>
          <w:b/>
          <w:bCs/>
          <w:sz w:val="36"/>
          <w:szCs w:val="36"/>
          <w:highlight w:val="none"/>
        </w:rPr>
      </w:pPr>
      <w:bookmarkStart w:id="3" w:name="_GoBack"/>
      <w:bookmarkEnd w:id="3"/>
      <w:bookmarkStart w:id="0" w:name="_Toc356840100"/>
      <w:r>
        <w:rPr>
          <w:rFonts w:hint="eastAsia" w:ascii="黑体" w:hAnsi="黑体" w:eastAsia="黑体"/>
          <w:b/>
          <w:bCs/>
          <w:sz w:val="36"/>
          <w:szCs w:val="36"/>
          <w:highlight w:val="none"/>
        </w:rPr>
        <w:t xml:space="preserve">第四十三号 </w:t>
      </w:r>
      <w:bookmarkEnd w:id="0"/>
      <w:r>
        <w:rPr>
          <w:rFonts w:hint="eastAsia" w:ascii="黑体" w:hAnsi="黑体" w:eastAsia="黑体"/>
          <w:b/>
          <w:bCs/>
          <w:sz w:val="36"/>
          <w:szCs w:val="36"/>
          <w:highlight w:val="none"/>
        </w:rPr>
        <w:t>上市公司现金选择权实施公告</w:t>
      </w:r>
    </w:p>
    <w:p w14:paraId="312116A5">
      <w:pPr>
        <w:pStyle w:val="23"/>
        <w:snapToGrid w:val="0"/>
        <w:spacing w:line="560" w:lineRule="exact"/>
        <w:jc w:val="left"/>
        <w:rPr>
          <w:rFonts w:ascii="宋体"/>
          <w:highlight w:val="none"/>
        </w:rPr>
      </w:pPr>
    </w:p>
    <w:p w14:paraId="6FC02348">
      <w:pPr>
        <w:adjustRightInd w:val="0"/>
        <w:snapToGrid w:val="0"/>
        <w:spacing w:line="560" w:lineRule="exact"/>
        <w:rPr>
          <w:rFonts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适用情形：</w:t>
      </w:r>
    </w:p>
    <w:p w14:paraId="6E220B68">
      <w:pPr>
        <w:spacing w:line="560" w:lineRule="exact"/>
        <w:ind w:firstLine="600" w:firstLineChars="200"/>
        <w:rPr>
          <w:rFonts w:ascii="仿宋_GB2312" w:hAnsi="Calibri" w:eastAsia="仿宋_GB2312"/>
          <w:color w:val="000000"/>
          <w:sz w:val="30"/>
          <w:szCs w:val="30"/>
          <w:highlight w:val="none"/>
        </w:rPr>
      </w:pPr>
      <w:r>
        <w:rPr>
          <w:rFonts w:hint="eastAsia" w:ascii="仿宋_GB2312" w:hAnsi="Calibri" w:eastAsia="仿宋_GB2312"/>
          <w:color w:val="000000"/>
          <w:sz w:val="30"/>
          <w:szCs w:val="30"/>
          <w:highlight w:val="none"/>
        </w:rPr>
        <w:t>1.上市公司拟实施合并、分立、收购、主动退市等重大事项时，相关当事人可依据</w:t>
      </w:r>
      <w:r>
        <w:rPr>
          <w:rFonts w:ascii="仿宋_GB2312" w:hAnsi="Calibri" w:eastAsia="仿宋_GB2312"/>
          <w:color w:val="000000"/>
          <w:sz w:val="30"/>
          <w:szCs w:val="30"/>
          <w:highlight w:val="none"/>
        </w:rPr>
        <w:t>《上市公司收购管理办法》《上市公司重大资产重组管理办法》</w:t>
      </w:r>
      <w:r>
        <w:rPr>
          <w:rFonts w:hint="eastAsia" w:ascii="仿宋_GB2312" w:hAnsi="Calibri" w:eastAsia="仿宋_GB2312"/>
          <w:color w:val="000000"/>
          <w:sz w:val="30"/>
          <w:szCs w:val="30"/>
          <w:highlight w:val="none"/>
        </w:rPr>
        <w:t>《上海证券交易所股票上市规则》</w:t>
      </w:r>
      <w:r>
        <w:rPr>
          <w:rFonts w:ascii="仿宋_GB2312" w:hAnsi="Calibri" w:eastAsia="仿宋_GB2312"/>
          <w:color w:val="000000"/>
          <w:sz w:val="30"/>
          <w:szCs w:val="30"/>
          <w:highlight w:val="none"/>
        </w:rPr>
        <w:t>等有关规定</w:t>
      </w:r>
      <w:r>
        <w:rPr>
          <w:rFonts w:hint="eastAsia" w:ascii="仿宋_GB2312" w:hAnsi="Calibri" w:eastAsia="仿宋_GB2312"/>
          <w:color w:val="000000"/>
          <w:sz w:val="30"/>
          <w:szCs w:val="30"/>
          <w:highlight w:val="none"/>
        </w:rPr>
        <w:t>，通过本所交易系统向股东提供现金选择权。</w:t>
      </w:r>
    </w:p>
    <w:p w14:paraId="53C5C450">
      <w:pPr>
        <w:adjustRightInd w:val="0"/>
        <w:snapToGrid w:val="0"/>
        <w:spacing w:line="560" w:lineRule="exact"/>
        <w:ind w:firstLine="600" w:firstLineChars="200"/>
        <w:rPr>
          <w:rFonts w:hint="eastAsia" w:ascii="仿宋_GB2312" w:hAnsi="Calibri" w:eastAsia="仿宋_GB2312"/>
          <w:color w:val="000000"/>
          <w:sz w:val="30"/>
          <w:szCs w:val="30"/>
          <w:highlight w:val="none"/>
          <w:lang w:eastAsia="zh-CN"/>
        </w:rPr>
      </w:pPr>
      <w:r>
        <w:rPr>
          <w:rFonts w:hint="eastAsia" w:ascii="仿宋_GB2312" w:hAnsi="Calibri" w:eastAsia="仿宋_GB2312"/>
          <w:color w:val="000000"/>
          <w:sz w:val="30"/>
          <w:szCs w:val="30"/>
          <w:highlight w:val="none"/>
          <w:lang w:val="en-US" w:eastAsia="zh-CN"/>
        </w:rPr>
        <w:t>2</w:t>
      </w:r>
      <w:r>
        <w:rPr>
          <w:rFonts w:hint="eastAsia" w:ascii="仿宋_GB2312" w:hAnsi="Calibri" w:eastAsia="仿宋_GB2312"/>
          <w:color w:val="000000"/>
          <w:sz w:val="30"/>
          <w:szCs w:val="30"/>
          <w:highlight w:val="none"/>
        </w:rPr>
        <w:t>.上市公司应当根据申报主体是全体股东或异议股东</w:t>
      </w:r>
      <w:r>
        <w:rPr>
          <w:rFonts w:hint="eastAsia" w:ascii="仿宋_GB2312" w:hAnsi="Calibri" w:eastAsia="仿宋_GB2312"/>
          <w:color w:val="000000"/>
          <w:sz w:val="30"/>
          <w:szCs w:val="30"/>
          <w:highlight w:val="none"/>
          <w:lang w:eastAsia="zh-CN"/>
        </w:rPr>
        <w:t>，</w:t>
      </w:r>
      <w:r>
        <w:rPr>
          <w:rFonts w:hint="eastAsia" w:ascii="仿宋_GB2312" w:hAnsi="Calibri" w:eastAsia="仿宋_GB2312"/>
          <w:color w:val="000000"/>
          <w:sz w:val="30"/>
          <w:szCs w:val="30"/>
          <w:highlight w:val="none"/>
        </w:rPr>
        <w:t>实施现金选择权的股份性质是A股、B股或A+B股</w:t>
      </w:r>
      <w:r>
        <w:rPr>
          <w:rFonts w:hint="eastAsia" w:ascii="仿宋_GB2312" w:hAnsi="Calibri" w:eastAsia="仿宋_GB2312"/>
          <w:color w:val="000000"/>
          <w:sz w:val="30"/>
          <w:szCs w:val="30"/>
          <w:highlight w:val="none"/>
          <w:lang w:eastAsia="zh-CN"/>
        </w:rPr>
        <w:t>，调整相应表述。</w:t>
      </w:r>
    </w:p>
    <w:p w14:paraId="031918E2">
      <w:pPr>
        <w:pStyle w:val="27"/>
        <w:spacing w:line="560" w:lineRule="exact"/>
        <w:rPr>
          <w:rFonts w:ascii="仿宋_GB2312" w:hAnsi="Calibri" w:eastAsia="仿宋_GB2312"/>
          <w:color w:val="000000"/>
          <w:sz w:val="30"/>
          <w:szCs w:val="30"/>
          <w:highlight w:val="none"/>
        </w:rPr>
      </w:pPr>
    </w:p>
    <w:p w14:paraId="3723CAC2">
      <w:pPr>
        <w:widowControl/>
        <w:spacing w:line="560" w:lineRule="exact"/>
        <w:jc w:val="left"/>
        <w:rPr>
          <w:rFonts w:ascii="仿宋_GB2312" w:hAnsi="宋体" w:eastAsia="仿宋_GB2312"/>
          <w:sz w:val="30"/>
          <w:szCs w:val="30"/>
          <w:highlight w:val="none"/>
        </w:rPr>
      </w:pPr>
      <w:r>
        <w:rPr>
          <w:rFonts w:ascii="仿宋_GB2312" w:hAnsi="宋体" w:eastAsia="仿宋_GB2312"/>
          <w:sz w:val="30"/>
          <w:szCs w:val="30"/>
          <w:highlight w:val="none"/>
        </w:rPr>
        <w:br w:type="page"/>
      </w:r>
    </w:p>
    <w:p w14:paraId="141B9193">
      <w:pPr>
        <w:pStyle w:val="3"/>
        <w:spacing w:before="0" w:after="0" w:line="560" w:lineRule="exact"/>
        <w:jc w:val="center"/>
        <w:rPr>
          <w:rFonts w:ascii="黑体" w:hAnsi="黑体" w:eastAsia="黑体"/>
          <w:highlight w:val="none"/>
        </w:rPr>
      </w:pPr>
      <w:bookmarkStart w:id="1" w:name="_Toc1441985516"/>
      <w:bookmarkStart w:id="2" w:name="_Toc101730899"/>
      <w:r>
        <w:rPr>
          <w:rFonts w:hint="eastAsia" w:ascii="黑体" w:hAnsi="黑体" w:eastAsia="黑体"/>
          <w:highlight w:val="none"/>
        </w:rPr>
        <w:t>现金选择权实施公告</w:t>
      </w:r>
      <w:bookmarkEnd w:id="1"/>
      <w:bookmarkEnd w:id="2"/>
    </w:p>
    <w:p w14:paraId="341A2B06">
      <w:pPr>
        <w:adjustRightInd w:val="0"/>
        <w:snapToGrid w:val="0"/>
        <w:spacing w:line="560" w:lineRule="exact"/>
        <w:rPr>
          <w:rFonts w:ascii="仿宋_GB2312" w:hAnsi="宋体" w:eastAsia="仿宋_GB2312"/>
          <w:sz w:val="30"/>
          <w:szCs w:val="30"/>
          <w:highlight w:val="none"/>
        </w:rPr>
      </w:pPr>
    </w:p>
    <w:p w14:paraId="498AEC0C">
      <w:pPr>
        <w:adjustRightInd w:val="0"/>
        <w:snapToGrid w:val="0"/>
        <w:spacing w:line="560" w:lineRule="exact"/>
        <w:rPr>
          <w:rFonts w:ascii="仿宋_GB2312" w:hAnsi="宋体" w:eastAsia="仿宋_GB2312"/>
          <w:sz w:val="30"/>
          <w:szCs w:val="30"/>
          <w:highlight w:val="none"/>
        </w:rPr>
      </w:pPr>
      <w:r>
        <w:rPr>
          <w:rFonts w:hint="eastAsia" w:ascii="仿宋_GB2312" w:hAnsi="宋体" w:eastAsia="仿宋_GB2312"/>
          <w:sz w:val="30"/>
          <w:szCs w:val="30"/>
          <w:highlight w:val="none"/>
        </w:rPr>
        <w:t>证券代码：             证券简称：            公告编号：</w:t>
      </w:r>
    </w:p>
    <w:p w14:paraId="6F3A97EC">
      <w:pPr>
        <w:adjustRightInd w:val="0"/>
        <w:snapToGrid w:val="0"/>
        <w:spacing w:line="560" w:lineRule="exact"/>
        <w:jc w:val="left"/>
        <w:rPr>
          <w:rFonts w:ascii="仿宋_GB2312" w:hAnsi="宋体" w:eastAsia="仿宋_GB2312"/>
          <w:sz w:val="30"/>
          <w:szCs w:val="30"/>
          <w:highlight w:val="none"/>
        </w:rPr>
      </w:pPr>
    </w:p>
    <w:p w14:paraId="525A1F00">
      <w:pPr>
        <w:adjustRightInd w:val="0"/>
        <w:snapToGrid w:val="0"/>
        <w:spacing w:line="560" w:lineRule="exact"/>
        <w:jc w:val="center"/>
        <w:rPr>
          <w:rFonts w:ascii="仿宋_GB2312" w:hAnsi="宋体" w:eastAsia="仿宋_GB2312"/>
          <w:sz w:val="30"/>
          <w:szCs w:val="30"/>
          <w:highlight w:val="none"/>
        </w:rPr>
      </w:pPr>
      <w:r>
        <w:rPr>
          <w:rFonts w:ascii="仿宋_GB2312" w:hAnsi="宋体" w:eastAsia="仿宋_GB2312"/>
          <w:sz w:val="30"/>
          <w:szCs w:val="30"/>
          <w:highlight w:val="none"/>
        </w:rPr>
        <w:t>XXXX</w:t>
      </w:r>
      <w:r>
        <w:rPr>
          <w:rFonts w:hint="eastAsia" w:ascii="仿宋_GB2312" w:hAnsi="宋体" w:eastAsia="仿宋_GB2312"/>
          <w:sz w:val="30"/>
          <w:szCs w:val="30"/>
          <w:highlight w:val="none"/>
        </w:rPr>
        <w:t>公司异议股东（或全体股东）现金选择权实施公告</w:t>
      </w:r>
    </w:p>
    <w:p w14:paraId="6E2BA36C">
      <w:pPr>
        <w:pStyle w:val="23"/>
        <w:spacing w:line="560" w:lineRule="exact"/>
        <w:jc w:val="center"/>
        <w:rPr>
          <w:rFonts w:ascii="仿宋_GB2312" w:hAnsi="仿宋_GB2312" w:eastAsia="仿宋_GB2312" w:cs="仿宋_GB2312"/>
          <w:color w:val="000000"/>
          <w:sz w:val="30"/>
          <w:szCs w:val="30"/>
          <w:highlight w:val="none"/>
        </w:rPr>
      </w:pPr>
    </w:p>
    <w:p w14:paraId="01BEA655">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rPr>
        <w:t>本公司董事会及全体董事保证本公告内容不存在任何虚假记载、误导性陈述或者重大遗漏，并对其内容的真实性、准确性和完整性承担法律责任。</w:t>
      </w:r>
    </w:p>
    <w:p w14:paraId="07EE48C2">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rPr>
        <w:t>如有董事对临时公告内容的真实性、准确性和完整性无法保证或存在异议的，公司应当在公告中作特别提示。</w:t>
      </w:r>
    </w:p>
    <w:p w14:paraId="55D1F6E3">
      <w:pPr>
        <w:pStyle w:val="23"/>
        <w:snapToGrid w:val="0"/>
        <w:spacing w:line="560" w:lineRule="exact"/>
        <w:rPr>
          <w:rFonts w:ascii="仿宋_GB2312" w:hAnsi="仿宋_GB2312" w:eastAsia="仿宋_GB2312" w:cs="仿宋_GB2312"/>
          <w:b/>
          <w:bCs/>
          <w:color w:val="000000"/>
          <w:sz w:val="30"/>
          <w:szCs w:val="30"/>
          <w:highlight w:val="none"/>
        </w:rPr>
      </w:pPr>
    </w:p>
    <w:p w14:paraId="15880ADA">
      <w:pPr>
        <w:tabs>
          <w:tab w:val="left" w:pos="0"/>
        </w:tabs>
        <w:autoSpaceDE w:val="0"/>
        <w:autoSpaceDN w:val="0"/>
        <w:adjustRightInd w:val="0"/>
        <w:snapToGrid w:val="0"/>
        <w:spacing w:line="560" w:lineRule="exact"/>
        <w:ind w:firstLine="602" w:firstLineChars="200"/>
        <w:rPr>
          <w:rFonts w:ascii="仿宋_GB2312" w:hAnsi="仿宋_GB2312" w:eastAsia="仿宋_GB2312" w:cs="仿宋_GB2312"/>
          <w:b/>
          <w:color w:val="000000"/>
          <w:kern w:val="0"/>
          <w:sz w:val="30"/>
          <w:szCs w:val="30"/>
          <w:highlight w:val="none"/>
        </w:rPr>
      </w:pPr>
      <w:r>
        <w:rPr>
          <w:rFonts w:hint="eastAsia" w:ascii="仿宋_GB2312" w:hAnsi="仿宋_GB2312" w:eastAsia="仿宋_GB2312" w:cs="仿宋_GB2312"/>
          <w:b/>
          <w:color w:val="000000"/>
          <w:kern w:val="0"/>
          <w:sz w:val="30"/>
          <w:szCs w:val="30"/>
          <w:highlight w:val="none"/>
        </w:rPr>
        <w:t>重要内容提示：</w:t>
      </w:r>
    </w:p>
    <w:p w14:paraId="785369C9">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本公司XXXX年XX月XX日召开的股东会审议通过了XX议案，其中部分股东投出了有效反对票，该部分股东就其所投有效反对票数量对应的异议股份（以下简称“异议股份”）享有股份现金选择权。本公司将通过上海证券交易所交易系统向异议股东提供平台申报，实施其所持异议股份的现金选择权，现就有关事项公告如下：（仅向异议股东提供现金选择权适用）</w:t>
      </w:r>
    </w:p>
    <w:p w14:paraId="10493B31">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本公司XXXX年XX月XX日召开的股东会审议通过了XX议案</w:t>
      </w:r>
      <w:r>
        <w:rPr>
          <w:rFonts w:hint="eastAsia" w:ascii="仿宋_GB2312" w:hAnsi="仿宋_GB2312" w:eastAsia="仿宋_GB2312" w:cs="仿宋_GB2312"/>
          <w:kern w:val="0"/>
          <w:sz w:val="30"/>
          <w:szCs w:val="30"/>
          <w:highlight w:val="none"/>
        </w:rPr>
        <w:t>，该议案审议通过给予股权登记日登记在册的本公司全体股东就其持有的本公司股份享有现金选择权。</w:t>
      </w:r>
      <w:r>
        <w:rPr>
          <w:rFonts w:hint="eastAsia" w:ascii="仿宋_GB2312" w:hAnsi="仿宋_GB2312" w:eastAsia="仿宋_GB2312" w:cs="仿宋_GB2312"/>
          <w:sz w:val="30"/>
          <w:szCs w:val="30"/>
          <w:highlight w:val="none"/>
        </w:rPr>
        <w:t>本公司将通过上海证券交易所交易系统向全体股东提供平台申报，实施其所持股份的现金选择权，现就有关事项公告如下：（向全体股东提供现金选择权适用）</w:t>
      </w:r>
    </w:p>
    <w:p w14:paraId="4AAB2400">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其中A股、B股异议股份的申报主体、申报编号、收购价格等事项存在差异，敬请投资者注意（仅同时向A+B股股东提供现金选择权适用）。</w:t>
      </w:r>
    </w:p>
    <w:p w14:paraId="68F7807E">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XXXX年XX月XX日[本公告披露日前一个交易日]本公司A股收盘价为XX.XX元/股，现金选择权行权价格为YY.YY元/股，申报行使现金选择权的A股股东将以YY.YY元/股的行权价格获得现金对价；XXXX年XX月XX日[本公告</w:t>
      </w:r>
      <w:r>
        <w:rPr>
          <w:rFonts w:hint="eastAsia" w:ascii="仿宋_GB2312" w:hAnsi="仿宋_GB2312" w:eastAsia="仿宋_GB2312" w:cs="仿宋_GB2312"/>
          <w:sz w:val="30"/>
          <w:szCs w:val="30"/>
          <w:highlight w:val="none"/>
          <w:lang w:eastAsia="zh-CN"/>
        </w:rPr>
        <w:t>披露</w:t>
      </w:r>
      <w:r>
        <w:rPr>
          <w:rFonts w:hint="eastAsia" w:ascii="仿宋_GB2312" w:hAnsi="仿宋_GB2312" w:eastAsia="仿宋_GB2312" w:cs="仿宋_GB2312"/>
          <w:sz w:val="30"/>
          <w:szCs w:val="30"/>
          <w:highlight w:val="none"/>
        </w:rPr>
        <w:t>日前一个工作日]本公司B股收盘价为XX.XXX美元/股，现金选择权行权价格为YY.YYY美元/股，申报行使现金选择权的B股股东将以YY.YYY美元/股的行权价格获得现金对价，敬请异议股东注意风险（如</w:t>
      </w:r>
      <w:r>
        <w:rPr>
          <w:rFonts w:ascii="仿宋_GB2312" w:eastAsia="仿宋_GB2312" w:hAnsiTheme="minorEastAsia"/>
          <w:color w:val="000000" w:themeColor="text1"/>
          <w:kern w:val="0"/>
          <w:sz w:val="30"/>
          <w:szCs w:val="30"/>
          <w:highlight w:val="none"/>
          <w14:textFill>
            <w14:solidFill>
              <w14:schemeClr w14:val="tx1"/>
            </w14:solidFill>
          </w14:textFill>
        </w:rPr>
        <w:t>公告</w:t>
      </w:r>
      <w:r>
        <w:rPr>
          <w:rFonts w:hint="eastAsia" w:ascii="仿宋_GB2312" w:eastAsia="仿宋_GB2312" w:hAnsiTheme="minorEastAsia"/>
          <w:color w:val="000000" w:themeColor="text1"/>
          <w:kern w:val="0"/>
          <w:sz w:val="30"/>
          <w:szCs w:val="30"/>
          <w:highlight w:val="none"/>
          <w14:textFill>
            <w14:solidFill>
              <w14:schemeClr w14:val="tx1"/>
            </w14:solidFill>
          </w14:textFill>
        </w:rPr>
        <w:t>披露日</w:t>
      </w:r>
      <w:r>
        <w:rPr>
          <w:rFonts w:ascii="仿宋_GB2312" w:eastAsia="仿宋_GB2312" w:hAnsiTheme="minorEastAsia"/>
          <w:color w:val="000000" w:themeColor="text1"/>
          <w:kern w:val="0"/>
          <w:sz w:val="30"/>
          <w:szCs w:val="30"/>
          <w:highlight w:val="none"/>
          <w14:textFill>
            <w14:solidFill>
              <w14:schemeClr w14:val="tx1"/>
            </w14:solidFill>
          </w14:textFill>
        </w:rPr>
        <w:t>前</w:t>
      </w:r>
      <w:r>
        <w:rPr>
          <w:rFonts w:hint="eastAsia" w:ascii="仿宋_GB2312" w:eastAsia="仿宋_GB2312" w:hAnsiTheme="minorEastAsia"/>
          <w:color w:val="000000" w:themeColor="text1"/>
          <w:kern w:val="0"/>
          <w:sz w:val="30"/>
          <w:szCs w:val="30"/>
          <w:highlight w:val="none"/>
          <w14:textFill>
            <w14:solidFill>
              <w14:schemeClr w14:val="tx1"/>
            </w14:solidFill>
          </w14:textFill>
        </w:rPr>
        <w:t>一</w:t>
      </w:r>
      <w:r>
        <w:rPr>
          <w:rFonts w:ascii="仿宋_GB2312" w:eastAsia="仿宋_GB2312" w:hAnsiTheme="minorEastAsia"/>
          <w:color w:val="000000" w:themeColor="text1"/>
          <w:kern w:val="0"/>
          <w:sz w:val="30"/>
          <w:szCs w:val="30"/>
          <w:highlight w:val="none"/>
          <w14:textFill>
            <w14:solidFill>
              <w14:schemeClr w14:val="tx1"/>
            </w14:solidFill>
          </w14:textFill>
        </w:rPr>
        <w:t>个交易日的公司股票收盘价高于现金选择权行权价格</w:t>
      </w:r>
      <w:r>
        <w:rPr>
          <w:rFonts w:hint="eastAsia" w:ascii="仿宋_GB2312" w:eastAsia="仿宋_GB2312" w:hAnsiTheme="minorEastAsia"/>
          <w:color w:val="000000" w:themeColor="text1"/>
          <w:kern w:val="0"/>
          <w:sz w:val="30"/>
          <w:szCs w:val="30"/>
          <w:highlight w:val="none"/>
          <w14:textFill>
            <w14:solidFill>
              <w14:schemeClr w14:val="tx1"/>
            </w14:solidFill>
          </w14:textFill>
        </w:rPr>
        <w:t>，</w:t>
      </w:r>
      <w:r>
        <w:rPr>
          <w:rFonts w:ascii="仿宋_GB2312" w:eastAsia="仿宋_GB2312" w:hAnsiTheme="minorEastAsia"/>
          <w:color w:val="000000" w:themeColor="text1"/>
          <w:kern w:val="0"/>
          <w:sz w:val="30"/>
          <w:szCs w:val="30"/>
          <w:highlight w:val="none"/>
          <w14:textFill>
            <w14:solidFill>
              <w14:schemeClr w14:val="tx1"/>
            </w14:solidFill>
          </w14:textFill>
        </w:rPr>
        <w:t>公司应当向投资者充分提示申报现金选择权</w:t>
      </w:r>
      <w:r>
        <w:rPr>
          <w:rFonts w:hint="eastAsia" w:ascii="仿宋_GB2312" w:eastAsia="仿宋_GB2312" w:hAnsiTheme="minorEastAsia"/>
          <w:color w:val="000000" w:themeColor="text1"/>
          <w:kern w:val="0"/>
          <w:sz w:val="30"/>
          <w:szCs w:val="30"/>
          <w:highlight w:val="none"/>
          <w:lang w:eastAsia="zh-CN"/>
          <w14:textFill>
            <w14:solidFill>
              <w14:schemeClr w14:val="tx1"/>
            </w14:solidFill>
          </w14:textFill>
        </w:rPr>
        <w:t>可能</w:t>
      </w:r>
      <w:r>
        <w:rPr>
          <w:rFonts w:ascii="仿宋_GB2312" w:eastAsia="仿宋_GB2312" w:hAnsiTheme="minorEastAsia"/>
          <w:color w:val="000000" w:themeColor="text1"/>
          <w:kern w:val="0"/>
          <w:sz w:val="30"/>
          <w:szCs w:val="30"/>
          <w:highlight w:val="none"/>
          <w14:textFill>
            <w14:solidFill>
              <w14:schemeClr w14:val="tx1"/>
            </w14:solidFill>
          </w14:textFill>
        </w:rPr>
        <w:t>导致投资损失</w:t>
      </w:r>
      <w:r>
        <w:rPr>
          <w:rFonts w:hint="eastAsia" w:ascii="仿宋_GB2312" w:hAnsi="仿宋_GB2312" w:eastAsia="仿宋_GB2312" w:cs="仿宋_GB2312"/>
          <w:sz w:val="30"/>
          <w:szCs w:val="30"/>
          <w:highlight w:val="none"/>
        </w:rPr>
        <w:t>）。</w:t>
      </w:r>
    </w:p>
    <w:p w14:paraId="375925E7">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现金选择权实施A股股权登记日：XXXX年XX月XX日（T日）；B股股权登记日：XXXX年XX月XX日（T+3日），B股最后交易日为XXXX年XX月XX日（一般为T日A股股权登记日）。</w:t>
      </w:r>
    </w:p>
    <w:p w14:paraId="7C5413A6">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申报主体：A股申报主体为截止A股股权登记日收市后持有有效异议股份的A股异议股东，非异议股东申报无效。B股申报主体为截止B股股权登记日收市后持有有效异议股份的B股异议股东，非异议股东申报无效。（仅向异议股东提供现金选择权适用）</w:t>
      </w:r>
    </w:p>
    <w:p w14:paraId="412B0D9F">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申报主体：截止股权登记日收市后持有本公司股份的股东。（向全体股东提供现金选择权适用）</w:t>
      </w:r>
    </w:p>
    <w:p w14:paraId="2D4FC205">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申报期间：XXXX年XX月XX日至XX月XX日（T+1至T+N日，申报时间应当为交易时间，不少于三个交易日），期间公司股票及衍生品种停牌。（向A股股东提供现金选择权适用。）</w:t>
      </w:r>
    </w:p>
    <w:p w14:paraId="076EFF4A">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申报期间：XXXX年XX月XX日至XX月XX日（T+4日至T+N日，申报时间应当为交易时间，不少于三个交易日）的9:30-11:30、13:00-15:00，公司股票及衍生品种T+1日至T+N日停牌。（向B股或A+B股股东提供现金选择权适用。）</w:t>
      </w:r>
    </w:p>
    <w:p w14:paraId="708B8964">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申报编号：A股申报编号为7XXXXX，B股申报编号为7YYYYY</w:t>
      </w:r>
    </w:p>
    <w:p w14:paraId="78C2D045">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申报简称：XX现金</w:t>
      </w:r>
    </w:p>
    <w:p w14:paraId="034270BA">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申报方式：通过上海证券交易所交易系统网上申报</w:t>
      </w:r>
    </w:p>
    <w:p w14:paraId="3D45EC56">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申报方向：申报卖出；“申报买入”为无效申报；申报有效期内，当天可以撤单，次日开始不得撤回。</w:t>
      </w:r>
    </w:p>
    <w:p w14:paraId="3C38EAEC">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XXX作为本次现金选择权提供方，受让全部有效申报行使现金选择权的股份。（同时为A+B股</w:t>
      </w:r>
      <w:r>
        <w:rPr>
          <w:rFonts w:hint="eastAsia" w:ascii="仿宋_GB2312" w:hAnsi="仿宋_GB2312" w:eastAsia="仿宋_GB2312" w:cs="仿宋_GB2312"/>
          <w:sz w:val="30"/>
          <w:szCs w:val="30"/>
          <w:highlight w:val="none"/>
          <w:lang w:val="en-US" w:eastAsia="zh-CN"/>
        </w:rPr>
        <w:t>的</w:t>
      </w:r>
      <w:r>
        <w:rPr>
          <w:rFonts w:hint="eastAsia" w:ascii="仿宋_GB2312" w:hAnsi="仿宋_GB2312" w:eastAsia="仿宋_GB2312" w:cs="仿宋_GB2312"/>
          <w:sz w:val="30"/>
          <w:szCs w:val="30"/>
          <w:highlight w:val="none"/>
        </w:rPr>
        <w:t>A股、B股股东提供现金选择权的提供方可以是同一主体，也可以是不同主体。）</w:t>
      </w:r>
    </w:p>
    <w:p w14:paraId="77C478C0">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投资者应当核对持有的异议股份数量，申报的非异议股份数量将在申报结束后继续被冻结，直至现金选择权实施完毕后解冻。</w:t>
      </w:r>
    </w:p>
    <w:p w14:paraId="30ED1ABA">
      <w:pPr>
        <w:numPr>
          <w:ilvl w:val="0"/>
          <w:numId w:val="1"/>
        </w:num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融资融券信用证券账户中持有公司股票且需要进行</w:t>
      </w:r>
      <w:r>
        <w:rPr>
          <w:rFonts w:hint="eastAsia" w:ascii="仿宋_GB2312" w:hAnsi="仿宋_GB2312" w:eastAsia="仿宋_GB2312" w:cs="仿宋_GB2312"/>
          <w:sz w:val="30"/>
          <w:szCs w:val="30"/>
          <w:highlight w:val="none"/>
          <w:lang w:eastAsia="zh-CN"/>
        </w:rPr>
        <w:t>现金选择</w:t>
      </w:r>
      <w:r>
        <w:rPr>
          <w:rFonts w:hint="eastAsia" w:ascii="仿宋_GB2312" w:hAnsi="仿宋_GB2312" w:eastAsia="仿宋_GB2312" w:cs="仿宋_GB2312"/>
          <w:sz w:val="30"/>
          <w:szCs w:val="30"/>
          <w:highlight w:val="none"/>
        </w:rPr>
        <w:t>权申报的投资者，应在</w:t>
      </w:r>
      <w:r>
        <w:rPr>
          <w:rFonts w:hint="eastAsia" w:ascii="仿宋_GB2312" w:hAnsi="仿宋_GB2312" w:eastAsia="仿宋_GB2312" w:cs="仿宋_GB2312"/>
          <w:sz w:val="30"/>
          <w:szCs w:val="30"/>
          <w:highlight w:val="none"/>
          <w:lang w:eastAsia="zh-CN"/>
        </w:rPr>
        <w:t>现金选择</w:t>
      </w:r>
      <w:r>
        <w:rPr>
          <w:rFonts w:hint="eastAsia" w:ascii="仿宋_GB2312" w:hAnsi="仿宋_GB2312" w:eastAsia="仿宋_GB2312" w:cs="仿宋_GB2312"/>
          <w:sz w:val="30"/>
          <w:szCs w:val="30"/>
          <w:highlight w:val="none"/>
        </w:rPr>
        <w:t>权实施股权登记日前完成将相应股票从信用证券账户划转至其对应的普通证券账户，并于申报期通过普通证券账户进行相关申报。（仅股票为融资融券标的适用）</w:t>
      </w:r>
    </w:p>
    <w:p w14:paraId="5C0FC365">
      <w:p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 xml:space="preserve">    </w:t>
      </w:r>
    </w:p>
    <w:p w14:paraId="32F06C19">
      <w:pPr>
        <w:adjustRightInd w:val="0"/>
        <w:snapToGrid w:val="0"/>
        <w:spacing w:line="560" w:lineRule="exact"/>
        <w:rPr>
          <w:rFonts w:ascii="黑体" w:hAnsi="黑体" w:eastAsia="黑体" w:cs="黑体"/>
          <w:b/>
          <w:sz w:val="30"/>
          <w:szCs w:val="30"/>
          <w:highlight w:val="none"/>
        </w:rPr>
      </w:pPr>
      <w:r>
        <w:rPr>
          <w:rFonts w:hint="eastAsia" w:ascii="仿宋_GB2312" w:hAnsi="仿宋_GB2312" w:eastAsia="仿宋_GB2312" w:cs="仿宋_GB2312"/>
          <w:b/>
          <w:sz w:val="30"/>
          <w:szCs w:val="30"/>
          <w:highlight w:val="none"/>
        </w:rPr>
        <w:t xml:space="preserve">  </w:t>
      </w:r>
      <w:r>
        <w:rPr>
          <w:rFonts w:hint="eastAsia" w:ascii="黑体" w:hAnsi="黑体" w:eastAsia="黑体" w:cs="黑体"/>
          <w:b/>
          <w:sz w:val="30"/>
          <w:szCs w:val="30"/>
          <w:highlight w:val="none"/>
        </w:rPr>
        <w:t xml:space="preserve">  一、现金选择权申报基本情况</w:t>
      </w:r>
    </w:p>
    <w:p w14:paraId="4423AE04">
      <w:pPr>
        <w:adjustRightInd w:val="0"/>
        <w:snapToGrid w:val="0"/>
        <w:spacing w:line="560" w:lineRule="exact"/>
        <w:ind w:firstLine="48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（一）异议股东（仅向异议股东提供现金选择权适用）</w:t>
      </w:r>
    </w:p>
    <w:p w14:paraId="671AB1C7">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异议股东为在本公司XXXX年XX月XX日召开的股东会上对XX议案投出有效反对票的本公司股东；非异议股东的申报无效。</w:t>
      </w:r>
    </w:p>
    <w:p w14:paraId="7D1693D0">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股东会投出有效反对票的A股异议股份合计数为XX股，B股异议股份合计数为YY股。</w:t>
      </w:r>
    </w:p>
    <w:p w14:paraId="4858A38D">
      <w:pPr>
        <w:adjustRightInd w:val="0"/>
        <w:snapToGrid w:val="0"/>
        <w:spacing w:line="560" w:lineRule="exact"/>
        <w:ind w:firstLine="480"/>
        <w:rPr>
          <w:rFonts w:ascii="楷体" w:hAnsi="楷体" w:eastAsia="楷体" w:cs="仿宋_GB2312"/>
          <w:sz w:val="24"/>
          <w:szCs w:val="24"/>
          <w:highlight w:val="none"/>
        </w:rPr>
      </w:pPr>
      <w:r>
        <w:rPr>
          <w:rFonts w:hint="eastAsia" w:ascii="楷体" w:hAnsi="楷体" w:eastAsia="楷体" w:cs="仿宋_GB2312"/>
          <w:sz w:val="24"/>
          <w:szCs w:val="24"/>
          <w:highlight w:val="none"/>
        </w:rPr>
        <w:t>（编制提醒：上市公司可根据吸收合并方案对异议股东和有效异议股份的认定增加其他标准，如除在股东会上投出有效反对票外，是否有连续持股的要求等）</w:t>
      </w:r>
    </w:p>
    <w:p w14:paraId="5B28AEBA">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（一）申报主体（向全体股东提供现金选择权适用）</w:t>
      </w:r>
    </w:p>
    <w:p w14:paraId="192AD84E">
      <w:pPr>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截至现金选择权实施股权登记日收市后持有本公司股份的股东。</w:t>
      </w:r>
    </w:p>
    <w:p w14:paraId="348CCF77">
      <w:pPr>
        <w:numPr>
          <w:ilvl w:val="0"/>
          <w:numId w:val="2"/>
        </w:num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申报期间：XXXX年XX月XX日至XX月XX日（T+1至T+N日，申报时间应当为交易时间，不少于三个交易日），期间公司股票及衍生品种停牌。（向A股股东提供现金选择权适用。）</w:t>
      </w:r>
    </w:p>
    <w:p w14:paraId="08D1870A">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（二）申报期间：XXXX年XX月XX日至XX月XX日（T+4日至T+N日）的9:30-11:30、13:00-15:00，公司股票及衍生品种T+1日至T+N日停牌。（向B股或A+B股股东提供现金选择权适用。）</w:t>
      </w:r>
    </w:p>
    <w:p w14:paraId="175DD649">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（三）申报方式：通过上海证券交易所交易系统进行申报。</w:t>
      </w:r>
    </w:p>
    <w:p w14:paraId="1E89C1A3">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（四）申报编号：A股申报编号为7XXXXX，B股申报编号为7YYYYY。</w:t>
      </w:r>
    </w:p>
    <w:p w14:paraId="7007AA04">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（五）申报简称：XX现金。</w:t>
      </w:r>
    </w:p>
    <w:p w14:paraId="24689A98">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（六）申报方向：申报卖出。</w:t>
      </w:r>
    </w:p>
    <w:p w14:paraId="0373EF3C">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（七）收购价格：A股收购价格为YY.YY元/股，B股收购价格为YY.YYY美元/股。</w:t>
      </w:r>
    </w:p>
    <w:p w14:paraId="54723C13">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（八）申报数量：（仅向异议股东提供现金选择权适用）</w:t>
      </w:r>
    </w:p>
    <w:p w14:paraId="2474681A">
      <w:pPr>
        <w:adjustRightInd w:val="0"/>
        <w:snapToGrid w:val="0"/>
        <w:spacing w:line="560" w:lineRule="exact"/>
        <w:ind w:firstLine="480" w:firstLineChars="200"/>
        <w:rPr>
          <w:rFonts w:ascii="楷体" w:hAnsi="楷体" w:eastAsia="楷体" w:cs="仿宋_GB2312"/>
          <w:sz w:val="24"/>
          <w:szCs w:val="24"/>
          <w:highlight w:val="none"/>
        </w:rPr>
      </w:pPr>
      <w:r>
        <w:rPr>
          <w:rFonts w:hint="eastAsia" w:ascii="楷体" w:hAnsi="楷体" w:eastAsia="楷体" w:cs="仿宋_GB2312"/>
          <w:sz w:val="24"/>
          <w:szCs w:val="24"/>
          <w:highlight w:val="none"/>
        </w:rPr>
        <w:t>（编制提醒：申报股份数量的上限是对本公司</w:t>
      </w:r>
      <w:r>
        <w:rPr>
          <w:rFonts w:ascii="楷体" w:hAnsi="楷体" w:eastAsia="楷体" w:cs="仿宋_GB2312"/>
          <w:sz w:val="24"/>
          <w:szCs w:val="24"/>
          <w:highlight w:val="none"/>
        </w:rPr>
        <w:t>XX</w:t>
      </w:r>
      <w:r>
        <w:rPr>
          <w:rFonts w:hint="eastAsia" w:ascii="楷体" w:hAnsi="楷体" w:eastAsia="楷体" w:cs="仿宋_GB2312"/>
          <w:sz w:val="24"/>
          <w:szCs w:val="24"/>
          <w:highlight w:val="none"/>
        </w:rPr>
        <w:t>方案投出的有效反对票数并剔除被司法冻结、设定质押或其他第三方权利、被司法强制扣划后的股份数量，如遇股份送转的则做相应调整。</w:t>
      </w:r>
    </w:p>
    <w:p w14:paraId="06532B99">
      <w:pPr>
        <w:adjustRightInd w:val="0"/>
        <w:snapToGrid w:val="0"/>
        <w:spacing w:line="560" w:lineRule="exact"/>
        <w:ind w:firstLine="480" w:firstLineChars="200"/>
        <w:rPr>
          <w:rFonts w:ascii="楷体" w:hAnsi="楷体" w:eastAsia="楷体" w:cs="仿宋_GB2312"/>
          <w:sz w:val="24"/>
          <w:szCs w:val="24"/>
          <w:highlight w:val="none"/>
        </w:rPr>
      </w:pPr>
      <w:r>
        <w:rPr>
          <w:rFonts w:hint="eastAsia" w:ascii="楷体" w:hAnsi="楷体" w:eastAsia="楷体" w:cs="仿宋_GB2312"/>
          <w:sz w:val="24"/>
          <w:szCs w:val="24"/>
          <w:highlight w:val="none"/>
        </w:rPr>
        <w:t>公司须明确：股东会通过合并方案后至现金选择权申报前异议股东发生持股变动的，异议股份数量上限如何计算。</w:t>
      </w:r>
    </w:p>
    <w:p w14:paraId="022B5E5B">
      <w:pPr>
        <w:adjustRightInd w:val="0"/>
        <w:snapToGrid w:val="0"/>
        <w:spacing w:line="560" w:lineRule="exact"/>
        <w:ind w:firstLine="480" w:firstLineChars="200"/>
        <w:rPr>
          <w:rFonts w:ascii="楷体" w:hAnsi="楷体" w:eastAsia="楷体" w:cs="仿宋_GB2312"/>
          <w:sz w:val="24"/>
          <w:szCs w:val="24"/>
          <w:highlight w:val="none"/>
        </w:rPr>
      </w:pPr>
      <w:r>
        <w:rPr>
          <w:rFonts w:hint="eastAsia" w:ascii="楷体" w:hAnsi="楷体" w:eastAsia="楷体" w:cs="仿宋_GB2312"/>
          <w:sz w:val="24"/>
          <w:szCs w:val="24"/>
          <w:highlight w:val="none"/>
        </w:rPr>
        <w:t>同一股票账户在申报有效期内可多次申报，有效申报数量为各次申报卖出数量之和，但不超过申报数量上限。）</w:t>
      </w:r>
    </w:p>
    <w:p w14:paraId="1B5709B1">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（八）申报数量：（向全体股东提供现金选择权适用）</w:t>
      </w:r>
    </w:p>
    <w:p w14:paraId="04112839">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1.申报期内，股东可以全部或部分申报现金选择权。</w:t>
      </w:r>
    </w:p>
    <w:p w14:paraId="0AC3AB47">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2.申报股份数量的上限是截至股权登记日收市后持有本公司的股份并剔除被司法冻结、设定质押或其他第三方权利、被司法强制扣划后的股份数量，如遇股份送转的则做相应调整。</w:t>
      </w:r>
    </w:p>
    <w:p w14:paraId="279CAA99">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3.同一股票账户在申报有效期内可多次申报，有效申报数量为各次申报卖出数量之和，但不超过申报数量上限。</w:t>
      </w:r>
    </w:p>
    <w:p w14:paraId="3133D12F">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4.其他申报数量要求（如适用）。</w:t>
      </w:r>
    </w:p>
    <w:p w14:paraId="15CC61EA">
      <w:pPr>
        <w:adjustRightInd w:val="0"/>
        <w:snapToGrid w:val="0"/>
        <w:spacing w:line="560" w:lineRule="exact"/>
        <w:ind w:firstLine="600" w:firstLineChars="200"/>
        <w:rPr>
          <w:rFonts w:ascii="黑体" w:hAnsi="黑体" w:eastAsia="黑体" w:cs="黑体"/>
          <w:b/>
          <w:sz w:val="30"/>
          <w:szCs w:val="30"/>
          <w:highlight w:val="none"/>
        </w:rPr>
      </w:pPr>
      <w:r>
        <w:rPr>
          <w:rFonts w:hint="eastAsia" w:ascii="仿宋_GB2312" w:hAnsi="仿宋_GB2312" w:eastAsia="仿宋_GB2312" w:cs="仿宋_GB2312"/>
          <w:sz w:val="30"/>
          <w:szCs w:val="30"/>
          <w:highlight w:val="none"/>
        </w:rPr>
        <w:t>（九）现金选择权的提供方为XX（</w:t>
      </w:r>
      <w:r>
        <w:rPr>
          <w:rFonts w:hint="eastAsia" w:ascii="仿宋_GB2312" w:hAnsi="仿宋_GB2312" w:eastAsia="仿宋_GB2312" w:cs="仿宋_GB2312"/>
          <w:sz w:val="30"/>
          <w:szCs w:val="30"/>
          <w:highlight w:val="none"/>
          <w:lang w:val="en-US" w:eastAsia="zh-CN"/>
        </w:rPr>
        <w:t>A+B股的</w:t>
      </w:r>
      <w:r>
        <w:rPr>
          <w:rFonts w:hint="eastAsia" w:ascii="仿宋_GB2312" w:hAnsi="仿宋_GB2312" w:eastAsia="仿宋_GB2312" w:cs="仿宋_GB2312"/>
          <w:sz w:val="30"/>
          <w:szCs w:val="30"/>
          <w:highlight w:val="none"/>
        </w:rPr>
        <w:t>A股、B股现金选择权提供方可以是不同主体）；异议股东（或股东）行使现金选择权，相当于以YY.YY元/股（A股）或YY.YYY美元/股（B股）将异议股份（或股份）出售给XX。</w:t>
      </w:r>
      <w:r>
        <w:rPr>
          <w:rFonts w:hint="eastAsia" w:ascii="黑体" w:hAnsi="黑体" w:eastAsia="黑体" w:cs="黑体"/>
          <w:b/>
          <w:sz w:val="30"/>
          <w:szCs w:val="30"/>
          <w:highlight w:val="none"/>
        </w:rPr>
        <w:t xml:space="preserve"> </w:t>
      </w:r>
    </w:p>
    <w:p w14:paraId="49728C8D">
      <w:pPr>
        <w:adjustRightInd w:val="0"/>
        <w:snapToGrid w:val="0"/>
        <w:spacing w:line="560" w:lineRule="exact"/>
        <w:ind w:firstLine="600" w:firstLineChars="200"/>
        <w:rPr>
          <w:rFonts w:ascii="仿宋_GB2312" w:hAnsi="仿宋_GB2312" w:eastAsia="仿宋_GB2312" w:cs="仿宋_GB2312"/>
          <w:sz w:val="30"/>
          <w:szCs w:val="30"/>
          <w:highlight w:val="none"/>
        </w:rPr>
      </w:pPr>
    </w:p>
    <w:p w14:paraId="3883CE6C">
      <w:pPr>
        <w:adjustRightInd w:val="0"/>
        <w:snapToGrid w:val="0"/>
        <w:spacing w:line="560" w:lineRule="exact"/>
        <w:ind w:firstLine="602" w:firstLineChars="200"/>
        <w:rPr>
          <w:rFonts w:ascii="黑体" w:hAnsi="黑体" w:eastAsia="黑体" w:cs="黑体"/>
          <w:b/>
          <w:sz w:val="30"/>
          <w:szCs w:val="30"/>
          <w:highlight w:val="none"/>
        </w:rPr>
      </w:pPr>
      <w:r>
        <w:rPr>
          <w:rFonts w:hint="eastAsia" w:ascii="黑体" w:hAnsi="黑体" w:eastAsia="黑体" w:cs="黑体"/>
          <w:b/>
          <w:sz w:val="30"/>
          <w:szCs w:val="30"/>
          <w:highlight w:val="none"/>
        </w:rPr>
        <w:t>二、关注事项</w:t>
      </w:r>
    </w:p>
    <w:p w14:paraId="50E081BE">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（一）申报方向只能是申报卖出，申报买入无效；申报有效期内，当天可以撤单，次日开始不得撤回。</w:t>
      </w:r>
    </w:p>
    <w:p w14:paraId="2288D6F1">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（二）异议股东（或股东）申报前应当与质权人或司法机关协商解除质押或司法冻结；清算时仍存在质押或司法冻结的股份，其现金选择权申报属于无效申报。</w:t>
      </w:r>
    </w:p>
    <w:p w14:paraId="43B4643C">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（三）对于同一账户中的异议股份（或股份），异议股东（或股东）可部分申报卖出。</w:t>
      </w:r>
    </w:p>
    <w:p w14:paraId="5BADD049">
      <w:pPr>
        <w:numPr>
          <w:ilvl w:val="0"/>
          <w:numId w:val="3"/>
        </w:num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股份保管：有效申报的股份将由中国结算予以冻结。股份在冻结期间，股东不得再行转让该部分股份。</w:t>
      </w:r>
    </w:p>
    <w:p w14:paraId="21246934">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（五）本公司在现金选择权申报首日和截止日刊登行使现金选择权提示性公告。</w:t>
      </w:r>
    </w:p>
    <w:p w14:paraId="14FFFCAF">
      <w:pPr>
        <w:adjustRightInd w:val="0"/>
        <w:snapToGrid w:val="0"/>
        <w:spacing w:line="560" w:lineRule="exact"/>
        <w:ind w:firstLine="600" w:firstLineChars="200"/>
        <w:rPr>
          <w:rFonts w:ascii="仿宋_GB2312" w:hAnsi="仿宋_GB2312" w:eastAsia="仿宋_GB2312" w:cs="仿宋_GB2312"/>
          <w:sz w:val="30"/>
          <w:szCs w:val="30"/>
          <w:highlight w:val="none"/>
        </w:rPr>
      </w:pPr>
    </w:p>
    <w:p w14:paraId="568B0ADC">
      <w:pPr>
        <w:adjustRightInd w:val="0"/>
        <w:snapToGrid w:val="0"/>
        <w:spacing w:line="560" w:lineRule="exact"/>
        <w:ind w:firstLine="602" w:firstLineChars="200"/>
        <w:rPr>
          <w:rFonts w:ascii="黑体" w:hAnsi="黑体" w:eastAsia="黑体" w:cs="黑体"/>
          <w:b/>
          <w:sz w:val="30"/>
          <w:szCs w:val="30"/>
          <w:highlight w:val="none"/>
        </w:rPr>
      </w:pPr>
      <w:r>
        <w:rPr>
          <w:rFonts w:hint="eastAsia" w:ascii="黑体" w:hAnsi="黑体" w:eastAsia="黑体" w:cs="黑体"/>
          <w:b/>
          <w:sz w:val="30"/>
          <w:szCs w:val="30"/>
          <w:highlight w:val="none"/>
        </w:rPr>
        <w:t>三、费用</w:t>
      </w:r>
    </w:p>
    <w:p w14:paraId="10EB5FD3">
      <w:pPr>
        <w:adjustRightInd w:val="0"/>
        <w:snapToGrid w:val="0"/>
        <w:spacing w:line="560" w:lineRule="exact"/>
        <w:ind w:firstLine="600" w:firstLineChars="200"/>
        <w:rPr>
          <w:rFonts w:ascii="仿宋_GB2312" w:hAnsi="仿宋_GB2312" w:eastAsia="仿宋_GB2312" w:cs="仿宋_GB2312"/>
          <w:kern w:val="0"/>
          <w:sz w:val="30"/>
          <w:szCs w:val="30"/>
          <w:highlight w:val="none"/>
        </w:rPr>
      </w:pPr>
      <w:r>
        <w:rPr>
          <w:rFonts w:hint="eastAsia" w:ascii="仿宋_GB2312" w:hAnsi="仿宋_GB2312" w:eastAsia="仿宋_GB2312" w:cs="仿宋_GB2312"/>
          <w:bCs/>
          <w:smallCaps/>
          <w:sz w:val="30"/>
          <w:szCs w:val="30"/>
          <w:highlight w:val="none"/>
        </w:rPr>
        <w:t>现金选择权申报方、提供方后续办理股份过户登记手续时，所涉及的税费项目及标准分别参照A股、B股交易执行</w:t>
      </w:r>
      <w:r>
        <w:rPr>
          <w:rFonts w:hint="eastAsia" w:ascii="仿宋_GB2312" w:hAnsi="仿宋_GB2312" w:eastAsia="仿宋_GB2312" w:cs="仿宋_GB2312"/>
          <w:kern w:val="0"/>
          <w:sz w:val="30"/>
          <w:szCs w:val="30"/>
          <w:highlight w:val="none"/>
        </w:rPr>
        <w:t>。</w:t>
      </w:r>
    </w:p>
    <w:p w14:paraId="2226CAE7">
      <w:pPr>
        <w:adjustRightInd w:val="0"/>
        <w:snapToGrid w:val="0"/>
        <w:spacing w:line="560" w:lineRule="exact"/>
        <w:ind w:firstLine="600" w:firstLineChars="200"/>
        <w:rPr>
          <w:rFonts w:ascii="仿宋_GB2312" w:hAnsi="仿宋_GB2312" w:eastAsia="仿宋_GB2312" w:cs="仿宋_GB2312"/>
          <w:kern w:val="0"/>
          <w:sz w:val="30"/>
          <w:szCs w:val="30"/>
          <w:highlight w:val="none"/>
        </w:rPr>
      </w:pPr>
    </w:p>
    <w:p w14:paraId="4C7755F1">
      <w:pPr>
        <w:adjustRightInd w:val="0"/>
        <w:snapToGrid w:val="0"/>
        <w:spacing w:line="560" w:lineRule="exact"/>
        <w:ind w:firstLine="602" w:firstLineChars="200"/>
        <w:rPr>
          <w:rFonts w:ascii="黑体" w:hAnsi="黑体" w:eastAsia="黑体" w:cs="黑体"/>
          <w:b/>
          <w:sz w:val="30"/>
          <w:szCs w:val="30"/>
          <w:highlight w:val="none"/>
        </w:rPr>
      </w:pPr>
      <w:r>
        <w:rPr>
          <w:rFonts w:hint="eastAsia" w:ascii="黑体" w:hAnsi="黑体" w:eastAsia="黑体" w:cs="黑体"/>
          <w:b/>
          <w:kern w:val="0"/>
          <w:sz w:val="30"/>
          <w:szCs w:val="30"/>
          <w:highlight w:val="none"/>
        </w:rPr>
        <w:t>四、</w:t>
      </w:r>
      <w:r>
        <w:rPr>
          <w:rFonts w:hint="eastAsia" w:ascii="黑体" w:hAnsi="黑体" w:eastAsia="黑体" w:cs="黑体"/>
          <w:b/>
          <w:sz w:val="30"/>
          <w:szCs w:val="30"/>
          <w:highlight w:val="none"/>
        </w:rPr>
        <w:t>联系方式</w:t>
      </w:r>
    </w:p>
    <w:p w14:paraId="6873AEA2">
      <w:pPr>
        <w:adjustRightInd w:val="0"/>
        <w:snapToGrid w:val="0"/>
        <w:spacing w:line="560" w:lineRule="exac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 xml:space="preserve">    联系人员：XX</w:t>
      </w:r>
    </w:p>
    <w:p w14:paraId="7891FFBE">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联系电话：（XXXX）XXXXXXX</w:t>
      </w:r>
    </w:p>
    <w:p w14:paraId="107576CE">
      <w:pPr>
        <w:adjustRightInd w:val="0"/>
        <w:snapToGrid w:val="0"/>
        <w:spacing w:line="560" w:lineRule="exact"/>
        <w:ind w:firstLine="600" w:firstLineChars="200"/>
        <w:rPr>
          <w:rFonts w:ascii="仿宋_GB2312" w:hAnsi="仿宋_GB2312" w:eastAsia="仿宋_GB2312" w:cs="仿宋_GB2312"/>
          <w:sz w:val="30"/>
          <w:szCs w:val="30"/>
          <w:highlight w:val="none"/>
        </w:rPr>
      </w:pPr>
    </w:p>
    <w:p w14:paraId="404DFF86">
      <w:pPr>
        <w:adjustRightInd w:val="0"/>
        <w:snapToGrid w:val="0"/>
        <w:spacing w:line="560" w:lineRule="exact"/>
        <w:ind w:firstLine="602" w:firstLineChars="200"/>
        <w:rPr>
          <w:rFonts w:ascii="黑体" w:hAnsi="黑体" w:eastAsia="黑体" w:cs="黑体"/>
          <w:b/>
          <w:sz w:val="30"/>
          <w:szCs w:val="30"/>
          <w:highlight w:val="none"/>
        </w:rPr>
      </w:pPr>
      <w:r>
        <w:rPr>
          <w:rFonts w:hint="eastAsia" w:ascii="黑体" w:hAnsi="黑体" w:eastAsia="黑体" w:cs="黑体"/>
          <w:b/>
          <w:sz w:val="30"/>
          <w:szCs w:val="30"/>
          <w:highlight w:val="none"/>
        </w:rPr>
        <w:t>五、后续事宜</w:t>
      </w:r>
    </w:p>
    <w:p w14:paraId="4D697900">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（一）本次申报有效期满后，本公司将另行发布申报结果公告，请投资者关注资金发放日。</w:t>
      </w:r>
    </w:p>
    <w:p w14:paraId="3753B6FF">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二）[被合并公司公告时增加披露本条]现金选择权申报结束后，本公司（被合并公司）股票及衍生品种将继续停牌，同时将向上海证券交易所申请终止上市，未申报实施现金选择权的异议股东所持的本公司股份将按《吸收合并报告书》确认的换股比例转换为XX公司（合并方）的股票，换股时间另行公告。</w:t>
      </w:r>
    </w:p>
    <w:p w14:paraId="609FFA17">
      <w:pPr>
        <w:numPr>
          <w:ilvl w:val="0"/>
          <w:numId w:val="2"/>
        </w:num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[吸并方公司公告时增加披露本条]“现金选择权申报结果公告”后本公司股票及衍生品种的停复牌安排。</w:t>
      </w:r>
    </w:p>
    <w:p w14:paraId="681FB191">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（四）已申报现金选择权的股份随即被司法冻结、扣划的，指定交易券商应当及时通知</w:t>
      </w:r>
      <w:r>
        <w:rPr>
          <w:rFonts w:hint="eastAsia" w:ascii="仿宋_GB2312" w:hAnsi="仿宋_GB2312" w:eastAsia="仿宋_GB2312" w:cs="仿宋_GB2312"/>
          <w:color w:val="000000"/>
          <w:sz w:val="30"/>
          <w:szCs w:val="30"/>
          <w:highlight w:val="none"/>
        </w:rPr>
        <w:t>中国结算</w:t>
      </w:r>
      <w:r>
        <w:rPr>
          <w:rFonts w:hint="eastAsia" w:ascii="仿宋_GB2312" w:hAnsi="仿宋_GB2312" w:eastAsia="仿宋_GB2312" w:cs="仿宋_GB2312"/>
          <w:sz w:val="30"/>
          <w:szCs w:val="30"/>
          <w:highlight w:val="none"/>
        </w:rPr>
        <w:t>或冻结相应现金对价。</w:t>
      </w:r>
    </w:p>
    <w:p w14:paraId="1715AE46">
      <w:pPr>
        <w:adjustRightInd w:val="0"/>
        <w:snapToGrid w:val="0"/>
        <w:spacing w:line="560" w:lineRule="exact"/>
        <w:ind w:firstLine="482"/>
        <w:rPr>
          <w:rFonts w:ascii="仿宋_GB2312" w:hAnsi="仿宋_GB2312" w:eastAsia="仿宋_GB2312" w:cs="仿宋_GB2312"/>
          <w:sz w:val="30"/>
          <w:szCs w:val="30"/>
          <w:highlight w:val="none"/>
        </w:rPr>
      </w:pPr>
    </w:p>
    <w:p w14:paraId="24482C19">
      <w:pPr>
        <w:adjustRightInd w:val="0"/>
        <w:snapToGrid w:val="0"/>
        <w:spacing w:line="560" w:lineRule="exact"/>
        <w:ind w:firstLine="600" w:firstLineChars="200"/>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特此公告。</w:t>
      </w:r>
    </w:p>
    <w:p w14:paraId="78EDBF76">
      <w:pPr>
        <w:adjustRightInd w:val="0"/>
        <w:snapToGrid w:val="0"/>
        <w:spacing w:line="560" w:lineRule="exact"/>
        <w:ind w:firstLine="482"/>
        <w:rPr>
          <w:rFonts w:ascii="仿宋_GB2312" w:hAnsi="仿宋_GB2312" w:eastAsia="仿宋_GB2312" w:cs="仿宋_GB2312"/>
          <w:sz w:val="30"/>
          <w:szCs w:val="30"/>
          <w:highlight w:val="none"/>
        </w:rPr>
      </w:pPr>
    </w:p>
    <w:p w14:paraId="06838160">
      <w:pPr>
        <w:adjustRightInd w:val="0"/>
        <w:snapToGrid w:val="0"/>
        <w:spacing w:line="560" w:lineRule="exact"/>
        <w:ind w:firstLine="482"/>
        <w:jc w:val="right"/>
        <w:rPr>
          <w:rFonts w:ascii="仿宋_GB2312" w:hAnsi="仿宋_GB2312" w:eastAsia="仿宋_GB2312" w:cs="仿宋_GB2312"/>
          <w:sz w:val="30"/>
          <w:szCs w:val="30"/>
          <w:highlight w:val="none"/>
        </w:rPr>
      </w:pPr>
      <w:r>
        <w:rPr>
          <w:rFonts w:hint="eastAsia" w:ascii="仿宋_GB2312" w:hAnsi="宋体" w:eastAsia="仿宋_GB2312" w:cs="宋体"/>
          <w:color w:val="000000"/>
          <w:kern w:val="0"/>
          <w:sz w:val="30"/>
          <w:szCs w:val="30"/>
          <w:highlight w:val="none"/>
        </w:rPr>
        <w:t>××××股份有限公司董事会</w:t>
      </w:r>
    </w:p>
    <w:p w14:paraId="3BF4501F">
      <w:pPr>
        <w:pStyle w:val="6"/>
        <w:adjustRightInd w:val="0"/>
        <w:snapToGrid w:val="0"/>
        <w:spacing w:line="560" w:lineRule="exact"/>
        <w:ind w:left="0" w:leftChars="0" w:firstLine="600" w:firstLineChars="200"/>
        <w:jc w:val="righ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年  月  日</w:t>
      </w:r>
    </w:p>
    <w:p w14:paraId="0A293ECD">
      <w:pPr>
        <w:spacing w:line="560" w:lineRule="exact"/>
        <w:rPr>
          <w:rFonts w:ascii="仿宋_GB2312" w:hAnsi="仿宋_GB2312" w:eastAsia="仿宋_GB2312" w:cs="仿宋_GB2312"/>
          <w:sz w:val="30"/>
          <w:szCs w:val="30"/>
          <w:highlight w:val="none"/>
        </w:rPr>
      </w:pPr>
    </w:p>
    <w:p w14:paraId="20C49103">
      <w:pPr>
        <w:numPr>
          <w:ilvl w:val="0"/>
          <w:numId w:val="4"/>
        </w:numPr>
        <w:adjustRightInd w:val="0"/>
        <w:snapToGrid w:val="0"/>
        <w:spacing w:line="560" w:lineRule="exact"/>
        <w:rPr>
          <w:rFonts w:ascii="仿宋_GB2312" w:hAnsi="仿宋_GB2312" w:eastAsia="仿宋_GB2312" w:cs="仿宋_GB2312"/>
          <w:b/>
          <w:sz w:val="30"/>
          <w:szCs w:val="30"/>
          <w:highlight w:val="none"/>
        </w:rPr>
      </w:pPr>
      <w:r>
        <w:rPr>
          <w:rFonts w:hint="eastAsia" w:ascii="仿宋_GB2312" w:hAnsi="仿宋_GB2312" w:eastAsia="仿宋_GB2312" w:cs="仿宋_GB2312"/>
          <w:b/>
          <w:sz w:val="30"/>
          <w:szCs w:val="30"/>
          <w:highlight w:val="none"/>
        </w:rPr>
        <w:t>报备文件</w:t>
      </w:r>
    </w:p>
    <w:p w14:paraId="323F5013">
      <w:pPr>
        <w:adjustRightInd w:val="0"/>
        <w:snapToGrid w:val="0"/>
        <w:spacing w:line="560" w:lineRule="exact"/>
        <w:ind w:firstLine="482"/>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ascii="仿宋_GB2312" w:hAnsi="仿宋_GB2312" w:eastAsia="仿宋_GB2312" w:cs="仿宋_GB2312"/>
          <w:sz w:val="30"/>
          <w:szCs w:val="30"/>
          <w:highlight w:val="none"/>
        </w:rPr>
        <w:t>.</w:t>
      </w:r>
      <w:r>
        <w:rPr>
          <w:rFonts w:ascii="仿宋_GB2312" w:eastAsia="仿宋_GB2312" w:cs="Times New Roman" w:hAnsiTheme="minorEastAsia"/>
          <w:color w:val="000000" w:themeColor="text1"/>
          <w:kern w:val="0"/>
          <w:sz w:val="30"/>
          <w:szCs w:val="30"/>
          <w:highlight w:val="none"/>
          <w14:textFill>
            <w14:solidFill>
              <w14:schemeClr w14:val="tx1"/>
            </w14:solidFill>
          </w14:textFill>
        </w:rPr>
        <w:t>中国证监会相关注册文件</w:t>
      </w:r>
      <w:r>
        <w:rPr>
          <w:rFonts w:hint="eastAsia" w:ascii="仿宋_GB2312" w:eastAsia="仿宋_GB2312" w:cs="Times New Roman" w:hAnsiTheme="minorEastAsia"/>
          <w:color w:val="000000" w:themeColor="text1"/>
          <w:kern w:val="0"/>
          <w:sz w:val="30"/>
          <w:szCs w:val="30"/>
          <w:highlight w:val="none"/>
          <w14:textFill>
            <w14:solidFill>
              <w14:schemeClr w14:val="tx1"/>
            </w14:solidFill>
          </w14:textFill>
        </w:rPr>
        <w:t>（如适用）</w:t>
      </w:r>
      <w:r>
        <w:rPr>
          <w:rFonts w:ascii="仿宋_GB2312" w:eastAsia="仿宋_GB2312" w:cs="Times New Roman" w:hAnsiTheme="minorEastAsia"/>
          <w:color w:val="000000" w:themeColor="text1"/>
          <w:kern w:val="0"/>
          <w:sz w:val="30"/>
          <w:szCs w:val="30"/>
          <w:highlight w:val="none"/>
          <w14:textFill>
            <w14:solidFill>
              <w14:schemeClr w14:val="tx1"/>
            </w14:solidFill>
          </w14:textFill>
        </w:rPr>
        <w:t>；</w:t>
      </w:r>
    </w:p>
    <w:p w14:paraId="366D2F69">
      <w:pPr>
        <w:adjustRightInd w:val="0"/>
        <w:snapToGrid w:val="0"/>
        <w:spacing w:line="560" w:lineRule="exact"/>
        <w:ind w:firstLine="482"/>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w:t>
      </w:r>
      <w:r>
        <w:rPr>
          <w:rFonts w:ascii="仿宋_GB2312" w:eastAsia="仿宋_GB2312" w:cs="Times New Roman" w:hAnsiTheme="minorEastAsia"/>
          <w:color w:val="000000" w:themeColor="text1"/>
          <w:kern w:val="0"/>
          <w:sz w:val="30"/>
          <w:szCs w:val="30"/>
          <w:highlight w:val="none"/>
          <w14:textFill>
            <w14:solidFill>
              <w14:schemeClr w14:val="tx1"/>
            </w14:solidFill>
          </w14:textFill>
        </w:rPr>
        <w:t>现金选择权提供方的</w:t>
      </w:r>
      <w:r>
        <w:rPr>
          <w:sz w:val="30"/>
          <w:szCs w:val="30"/>
          <w:highlight w:val="none"/>
        </w:rPr>
        <w:fldChar w:fldCharType="begin"/>
      </w:r>
      <w:r>
        <w:rPr>
          <w:sz w:val="30"/>
          <w:szCs w:val="30"/>
          <w:highlight w:val="none"/>
        </w:rPr>
        <w:instrText xml:space="preserve"> HYPERLINK "https://m.66law.cn/special/yingyezhizhao/" \t "_blank" \o "营业执照" </w:instrText>
      </w:r>
      <w:r>
        <w:rPr>
          <w:sz w:val="30"/>
          <w:szCs w:val="30"/>
          <w:highlight w:val="none"/>
        </w:rPr>
        <w:fldChar w:fldCharType="separate"/>
      </w:r>
      <w:r>
        <w:rPr>
          <w:rFonts w:ascii="仿宋_GB2312" w:eastAsia="仿宋_GB2312" w:cs="Times New Roman" w:hAnsiTheme="minorEastAsia"/>
          <w:color w:val="000000" w:themeColor="text1"/>
          <w:kern w:val="0"/>
          <w:sz w:val="30"/>
          <w:szCs w:val="30"/>
          <w:highlight w:val="none"/>
          <w14:textFill>
            <w14:solidFill>
              <w14:schemeClr w14:val="tx1"/>
            </w14:solidFill>
          </w14:textFill>
        </w:rPr>
        <w:t>营业执照</w:t>
      </w:r>
      <w:r>
        <w:rPr>
          <w:rFonts w:ascii="仿宋_GB2312" w:eastAsia="仿宋_GB2312" w:cs="Times New Roman" w:hAnsiTheme="minorEastAsia"/>
          <w:color w:val="000000" w:themeColor="text1"/>
          <w:kern w:val="0"/>
          <w:sz w:val="30"/>
          <w:szCs w:val="30"/>
          <w:highlight w:val="none"/>
          <w14:textFill>
            <w14:solidFill>
              <w14:schemeClr w14:val="tx1"/>
            </w14:solidFill>
          </w14:textFill>
        </w:rPr>
        <w:fldChar w:fldCharType="end"/>
      </w:r>
      <w:r>
        <w:rPr>
          <w:rFonts w:ascii="仿宋_GB2312" w:eastAsia="仿宋_GB2312" w:cs="Times New Roman" w:hAnsiTheme="minorEastAsia"/>
          <w:color w:val="000000" w:themeColor="text1"/>
          <w:kern w:val="0"/>
          <w:sz w:val="30"/>
          <w:szCs w:val="30"/>
          <w:highlight w:val="none"/>
          <w14:textFill>
            <w14:solidFill>
              <w14:schemeClr w14:val="tx1"/>
            </w14:solidFill>
          </w14:textFill>
        </w:rPr>
        <w:t>复印件</w:t>
      </w:r>
      <w:r>
        <w:rPr>
          <w:rFonts w:hint="eastAsia" w:ascii="仿宋_GB2312" w:eastAsia="仿宋_GB2312" w:cs="Times New Roman" w:hAnsiTheme="minorEastAsia"/>
          <w:color w:val="000000" w:themeColor="text1"/>
          <w:kern w:val="0"/>
          <w:sz w:val="30"/>
          <w:szCs w:val="30"/>
          <w:highlight w:val="none"/>
          <w14:textFill>
            <w14:solidFill>
              <w14:schemeClr w14:val="tx1"/>
            </w14:solidFill>
          </w14:textFill>
        </w:rPr>
        <w:t>、</w:t>
      </w:r>
      <w:r>
        <w:rPr>
          <w:rFonts w:ascii="仿宋_GB2312" w:eastAsia="仿宋_GB2312" w:cs="Times New Roman" w:hAnsiTheme="minorEastAsia"/>
          <w:color w:val="000000" w:themeColor="text1"/>
          <w:kern w:val="0"/>
          <w:sz w:val="30"/>
          <w:szCs w:val="30"/>
          <w:highlight w:val="none"/>
          <w14:textFill>
            <w14:solidFill>
              <w14:schemeClr w14:val="tx1"/>
            </w14:solidFill>
          </w14:textFill>
        </w:rPr>
        <w:t>已办理指定交易的证券账户名称及账户号码；</w:t>
      </w:r>
    </w:p>
    <w:p w14:paraId="7EF75B70">
      <w:pPr>
        <w:adjustRightInd w:val="0"/>
        <w:snapToGrid w:val="0"/>
        <w:spacing w:line="560" w:lineRule="exact"/>
        <w:ind w:firstLine="482"/>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w:t>
      </w:r>
      <w:r>
        <w:rPr>
          <w:rFonts w:hint="eastAsia" w:ascii="仿宋_GB2312" w:eastAsia="仿宋_GB2312" w:cs="Times New Roman" w:hAnsiTheme="minorEastAsia"/>
          <w:color w:val="000000" w:themeColor="text1"/>
          <w:kern w:val="0"/>
          <w:sz w:val="30"/>
          <w:szCs w:val="30"/>
          <w:highlight w:val="none"/>
          <w14:textFill>
            <w14:solidFill>
              <w14:schemeClr w14:val="tx1"/>
            </w14:solidFill>
          </w14:textFill>
        </w:rPr>
        <w:t>中国结算</w:t>
      </w:r>
      <w:r>
        <w:rPr>
          <w:rFonts w:ascii="仿宋_GB2312" w:eastAsia="仿宋_GB2312" w:cs="Times New Roman" w:hAnsiTheme="minorEastAsia"/>
          <w:color w:val="000000" w:themeColor="text1"/>
          <w:kern w:val="0"/>
          <w:sz w:val="30"/>
          <w:szCs w:val="30"/>
          <w:highlight w:val="none"/>
          <w14:textFill>
            <w14:solidFill>
              <w14:schemeClr w14:val="tx1"/>
            </w14:solidFill>
          </w14:textFill>
        </w:rPr>
        <w:t>出具的、现金选择权提供方已将</w:t>
      </w:r>
      <w:r>
        <w:rPr>
          <w:sz w:val="30"/>
          <w:szCs w:val="30"/>
          <w:highlight w:val="none"/>
        </w:rPr>
        <w:fldChar w:fldCharType="begin"/>
      </w:r>
      <w:r>
        <w:rPr>
          <w:sz w:val="30"/>
          <w:szCs w:val="30"/>
          <w:highlight w:val="none"/>
        </w:rPr>
        <w:instrText xml:space="preserve"> HYPERLINK "https://m.66law.cn/special/lybzj/" \t "_blank" \o "履约保证金" </w:instrText>
      </w:r>
      <w:r>
        <w:rPr>
          <w:sz w:val="30"/>
          <w:szCs w:val="30"/>
          <w:highlight w:val="none"/>
        </w:rPr>
        <w:fldChar w:fldCharType="separate"/>
      </w:r>
      <w:r>
        <w:rPr>
          <w:rFonts w:ascii="仿宋_GB2312" w:eastAsia="仿宋_GB2312" w:cs="Times New Roman" w:hAnsiTheme="minorEastAsia"/>
          <w:color w:val="000000" w:themeColor="text1"/>
          <w:kern w:val="0"/>
          <w:sz w:val="30"/>
          <w:szCs w:val="30"/>
          <w:highlight w:val="none"/>
          <w14:textFill>
            <w14:solidFill>
              <w14:schemeClr w14:val="tx1"/>
            </w14:solidFill>
          </w14:textFill>
        </w:rPr>
        <w:t>履约保证金</w:t>
      </w:r>
      <w:r>
        <w:rPr>
          <w:rFonts w:ascii="仿宋_GB2312" w:eastAsia="仿宋_GB2312" w:cs="Times New Roman" w:hAnsiTheme="minorEastAsia"/>
          <w:color w:val="000000" w:themeColor="text1"/>
          <w:kern w:val="0"/>
          <w:sz w:val="30"/>
          <w:szCs w:val="30"/>
          <w:highlight w:val="none"/>
          <w14:textFill>
            <w14:solidFill>
              <w14:schemeClr w14:val="tx1"/>
            </w14:solidFill>
          </w14:textFill>
        </w:rPr>
        <w:fldChar w:fldCharType="end"/>
      </w:r>
      <w:r>
        <w:rPr>
          <w:rFonts w:ascii="仿宋_GB2312" w:eastAsia="仿宋_GB2312" w:cs="Times New Roman" w:hAnsiTheme="minorEastAsia"/>
          <w:color w:val="000000" w:themeColor="text1"/>
          <w:kern w:val="0"/>
          <w:sz w:val="30"/>
          <w:szCs w:val="30"/>
          <w:highlight w:val="none"/>
          <w14:textFill>
            <w14:solidFill>
              <w14:schemeClr w14:val="tx1"/>
            </w14:solidFill>
          </w14:textFill>
        </w:rPr>
        <w:t>冻结在</w:t>
      </w:r>
      <w:r>
        <w:rPr>
          <w:rFonts w:hint="eastAsia" w:ascii="仿宋_GB2312" w:eastAsia="仿宋_GB2312" w:cs="Times New Roman" w:hAnsiTheme="minorEastAsia"/>
          <w:color w:val="000000" w:themeColor="text1"/>
          <w:kern w:val="0"/>
          <w:sz w:val="30"/>
          <w:szCs w:val="30"/>
          <w:highlight w:val="none"/>
          <w14:textFill>
            <w14:solidFill>
              <w14:schemeClr w14:val="tx1"/>
            </w14:solidFill>
          </w14:textFill>
        </w:rPr>
        <w:t>中国结算</w:t>
      </w:r>
      <w:r>
        <w:rPr>
          <w:rFonts w:ascii="仿宋_GB2312" w:eastAsia="仿宋_GB2312" w:cs="Times New Roman" w:hAnsiTheme="minorEastAsia"/>
          <w:color w:val="000000" w:themeColor="text1"/>
          <w:kern w:val="0"/>
          <w:sz w:val="30"/>
          <w:szCs w:val="30"/>
          <w:highlight w:val="none"/>
          <w14:textFill>
            <w14:solidFill>
              <w14:schemeClr w14:val="tx1"/>
            </w14:solidFill>
          </w14:textFill>
        </w:rPr>
        <w:t>指定账户的证明文件；</w:t>
      </w:r>
    </w:p>
    <w:p w14:paraId="1EA0E926">
      <w:pPr>
        <w:adjustRightInd w:val="0"/>
        <w:snapToGrid w:val="0"/>
        <w:spacing w:line="560" w:lineRule="exact"/>
        <w:ind w:firstLine="482"/>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4.上市公司现金选择权业务申请；</w:t>
      </w:r>
    </w:p>
    <w:p w14:paraId="3F1EDD61">
      <w:pPr>
        <w:adjustRightInd w:val="0"/>
        <w:snapToGrid w:val="0"/>
        <w:spacing w:line="560" w:lineRule="exact"/>
        <w:ind w:firstLine="482"/>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5.公司股票及其衍生品种在现金选择权实施期间的连续停牌申请。</w:t>
      </w:r>
    </w:p>
    <w:p w14:paraId="334744AD">
      <w:pPr>
        <w:pStyle w:val="24"/>
        <w:adjustRightInd w:val="0"/>
        <w:snapToGrid w:val="0"/>
        <w:spacing w:line="560" w:lineRule="exact"/>
        <w:ind w:firstLine="0" w:firstLineChars="0"/>
        <w:rPr>
          <w:rFonts w:ascii="仿宋_GB2312" w:hAnsi="仿宋_GB2312" w:eastAsia="仿宋_GB2312" w:cs="仿宋_GB2312"/>
          <w:sz w:val="30"/>
          <w:szCs w:val="30"/>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Book Antiqua">
    <w:altName w:val="Noto Sans Syriac Eastern"/>
    <w:panose1 w:val="02040602050305030304"/>
    <w:charset w:val="00"/>
    <w:family w:val="roman"/>
    <w:pitch w:val="default"/>
    <w:sig w:usb0="00000000" w:usb1="00000000" w:usb2="00000000" w:usb3="00000000" w:csb0="0000009F" w:csb1="00000000"/>
  </w:font>
  <w:font w:name="楷体_GB2312">
    <w:panose1 w:val="02000000000000000000"/>
    <w:charset w:val="86"/>
    <w:family w:val="modern"/>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2170704"/>
    </w:sdtPr>
    <w:sdtContent>
      <w:p w14:paraId="01EA71CC">
        <w:pPr>
          <w:pStyle w:val="8"/>
          <w:jc w:val="center"/>
        </w:pPr>
        <w:r>
          <w:fldChar w:fldCharType="begin"/>
        </w:r>
        <w:r>
          <w:instrText xml:space="preserve"> PAGE   \* MERGEFORMAT </w:instrText>
        </w:r>
        <w:r>
          <w:fldChar w:fldCharType="separate"/>
        </w:r>
        <w:r>
          <w:rPr>
            <w:lang w:val="zh-CN"/>
          </w:rPr>
          <w:t>9</w:t>
        </w:r>
        <w:r>
          <w:rPr>
            <w:lang w:val="zh-CN"/>
          </w:rPr>
          <w:fldChar w:fldCharType="end"/>
        </w:r>
      </w:p>
    </w:sdtContent>
  </w:sdt>
  <w:p w14:paraId="30B065CA">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FBA0B9"/>
    <w:multiLevelType w:val="singleLevel"/>
    <w:tmpl w:val="95FBA0B9"/>
    <w:lvl w:ilvl="0" w:tentative="0">
      <w:start w:val="4"/>
      <w:numFmt w:val="chineseCounting"/>
      <w:suff w:val="nothing"/>
      <w:lvlText w:val="（%1）"/>
      <w:lvlJc w:val="left"/>
      <w:rPr>
        <w:rFonts w:hint="eastAsia"/>
      </w:rPr>
    </w:lvl>
  </w:abstractNum>
  <w:abstractNum w:abstractNumId="1">
    <w:nsid w:val="19723F9D"/>
    <w:multiLevelType w:val="singleLevel"/>
    <w:tmpl w:val="19723F9D"/>
    <w:lvl w:ilvl="0" w:tentative="0">
      <w:start w:val="2"/>
      <w:numFmt w:val="chineseCounting"/>
      <w:suff w:val="nothing"/>
      <w:lvlText w:val="（%1）"/>
      <w:lvlJc w:val="left"/>
      <w:rPr>
        <w:rFonts w:hint="eastAsia"/>
      </w:rPr>
    </w:lvl>
  </w:abstractNum>
  <w:abstractNum w:abstractNumId="2">
    <w:nsid w:val="314905C2"/>
    <w:multiLevelType w:val="multilevel"/>
    <w:tmpl w:val="314905C2"/>
    <w:lvl w:ilvl="0" w:tentative="0">
      <w:start w:val="1"/>
      <w:numFmt w:val="bullet"/>
      <w:lvlText w:val=""/>
      <w:lvlJc w:val="left"/>
      <w:pPr>
        <w:tabs>
          <w:tab w:val="left" w:pos="900"/>
        </w:tabs>
        <w:ind w:left="900" w:hanging="420"/>
      </w:pPr>
      <w:rPr>
        <w:rFonts w:hint="default" w:ascii="Wingdings" w:hAnsi="Wingdings"/>
      </w:rPr>
    </w:lvl>
    <w:lvl w:ilvl="1" w:tentative="0">
      <w:start w:val="1"/>
      <w:numFmt w:val="decimal"/>
      <w:lvlText w:val="%2."/>
      <w:lvlJc w:val="left"/>
      <w:pPr>
        <w:tabs>
          <w:tab w:val="left" w:pos="1320"/>
        </w:tabs>
        <w:ind w:left="1320" w:hanging="420"/>
      </w:pPr>
      <w:rPr>
        <w:rFonts w:hint="default"/>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
    <w:nsid w:val="4CF80482"/>
    <w:multiLevelType w:val="multilevel"/>
    <w:tmpl w:val="4CF80482"/>
    <w:lvl w:ilvl="0" w:tentative="0">
      <w:start w:val="1"/>
      <w:numFmt w:val="bullet"/>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19"/>
    <w:rsid w:val="00037A92"/>
    <w:rsid w:val="00047C02"/>
    <w:rsid w:val="000C2D8D"/>
    <w:rsid w:val="00172A27"/>
    <w:rsid w:val="00180386"/>
    <w:rsid w:val="0018319B"/>
    <w:rsid w:val="001B5AFA"/>
    <w:rsid w:val="001E36EE"/>
    <w:rsid w:val="001E625C"/>
    <w:rsid w:val="001F271F"/>
    <w:rsid w:val="002172E5"/>
    <w:rsid w:val="00220D62"/>
    <w:rsid w:val="0022260D"/>
    <w:rsid w:val="00245D7E"/>
    <w:rsid w:val="0026737E"/>
    <w:rsid w:val="002B5704"/>
    <w:rsid w:val="00301196"/>
    <w:rsid w:val="00306049"/>
    <w:rsid w:val="00363258"/>
    <w:rsid w:val="003B0017"/>
    <w:rsid w:val="003B0E14"/>
    <w:rsid w:val="003B63FA"/>
    <w:rsid w:val="003C1AAE"/>
    <w:rsid w:val="00400367"/>
    <w:rsid w:val="00410327"/>
    <w:rsid w:val="0041449A"/>
    <w:rsid w:val="00435828"/>
    <w:rsid w:val="00436108"/>
    <w:rsid w:val="00451708"/>
    <w:rsid w:val="004527C1"/>
    <w:rsid w:val="0047521C"/>
    <w:rsid w:val="004A066C"/>
    <w:rsid w:val="004B4577"/>
    <w:rsid w:val="004B56C9"/>
    <w:rsid w:val="004E4835"/>
    <w:rsid w:val="00512645"/>
    <w:rsid w:val="00520427"/>
    <w:rsid w:val="005571F2"/>
    <w:rsid w:val="00594045"/>
    <w:rsid w:val="005A29D5"/>
    <w:rsid w:val="0060355E"/>
    <w:rsid w:val="00644B42"/>
    <w:rsid w:val="0068573F"/>
    <w:rsid w:val="0069276E"/>
    <w:rsid w:val="006979E2"/>
    <w:rsid w:val="006A760E"/>
    <w:rsid w:val="006B4B0D"/>
    <w:rsid w:val="006F4619"/>
    <w:rsid w:val="0070125C"/>
    <w:rsid w:val="007052FA"/>
    <w:rsid w:val="00712F40"/>
    <w:rsid w:val="007B6DB6"/>
    <w:rsid w:val="007D3B9A"/>
    <w:rsid w:val="007D6B59"/>
    <w:rsid w:val="0082325B"/>
    <w:rsid w:val="0084700C"/>
    <w:rsid w:val="008754EB"/>
    <w:rsid w:val="008A33FE"/>
    <w:rsid w:val="008A4A79"/>
    <w:rsid w:val="008B5131"/>
    <w:rsid w:val="008C0319"/>
    <w:rsid w:val="008E0182"/>
    <w:rsid w:val="008E0F4A"/>
    <w:rsid w:val="00956E4C"/>
    <w:rsid w:val="00957567"/>
    <w:rsid w:val="0096494D"/>
    <w:rsid w:val="009A4533"/>
    <w:rsid w:val="009A480F"/>
    <w:rsid w:val="009A4CA7"/>
    <w:rsid w:val="00A03CB1"/>
    <w:rsid w:val="00A1309A"/>
    <w:rsid w:val="00A170CF"/>
    <w:rsid w:val="00A24EAC"/>
    <w:rsid w:val="00A32058"/>
    <w:rsid w:val="00A50DC6"/>
    <w:rsid w:val="00A854AB"/>
    <w:rsid w:val="00A966A2"/>
    <w:rsid w:val="00AB3CBA"/>
    <w:rsid w:val="00AB47B7"/>
    <w:rsid w:val="00AD559D"/>
    <w:rsid w:val="00AE1725"/>
    <w:rsid w:val="00B538AE"/>
    <w:rsid w:val="00B8536F"/>
    <w:rsid w:val="00B91E16"/>
    <w:rsid w:val="00B9476B"/>
    <w:rsid w:val="00C13455"/>
    <w:rsid w:val="00C660B6"/>
    <w:rsid w:val="00C67218"/>
    <w:rsid w:val="00CB6AA2"/>
    <w:rsid w:val="00CC1BA3"/>
    <w:rsid w:val="00CC77A8"/>
    <w:rsid w:val="00D03E0B"/>
    <w:rsid w:val="00D1094E"/>
    <w:rsid w:val="00D369BE"/>
    <w:rsid w:val="00D7325E"/>
    <w:rsid w:val="00DB2F08"/>
    <w:rsid w:val="00DF48E2"/>
    <w:rsid w:val="00E15572"/>
    <w:rsid w:val="00E22ACA"/>
    <w:rsid w:val="00E508A6"/>
    <w:rsid w:val="00E52933"/>
    <w:rsid w:val="00E704AD"/>
    <w:rsid w:val="00EA7607"/>
    <w:rsid w:val="00ED7074"/>
    <w:rsid w:val="00EE3E0C"/>
    <w:rsid w:val="00EF50B8"/>
    <w:rsid w:val="00F02047"/>
    <w:rsid w:val="00F26435"/>
    <w:rsid w:val="00F305F9"/>
    <w:rsid w:val="00F4327B"/>
    <w:rsid w:val="00FA38B2"/>
    <w:rsid w:val="00FB183D"/>
    <w:rsid w:val="00FB50CB"/>
    <w:rsid w:val="00FF79FE"/>
    <w:rsid w:val="0DBA5A1A"/>
    <w:rsid w:val="0FFB28D7"/>
    <w:rsid w:val="1FFF2CDE"/>
    <w:rsid w:val="23F0AFAB"/>
    <w:rsid w:val="23F810A3"/>
    <w:rsid w:val="25BF3115"/>
    <w:rsid w:val="2A6A5409"/>
    <w:rsid w:val="2CD22C15"/>
    <w:rsid w:val="2E6B45D6"/>
    <w:rsid w:val="2E724F50"/>
    <w:rsid w:val="2F7449BB"/>
    <w:rsid w:val="35C05AED"/>
    <w:rsid w:val="3CB51582"/>
    <w:rsid w:val="3E7D5057"/>
    <w:rsid w:val="45FF2766"/>
    <w:rsid w:val="56EB0F54"/>
    <w:rsid w:val="5ABA0AFF"/>
    <w:rsid w:val="5CFFB4C8"/>
    <w:rsid w:val="5E778928"/>
    <w:rsid w:val="5FBFCA89"/>
    <w:rsid w:val="5FFE797C"/>
    <w:rsid w:val="61F7A8F6"/>
    <w:rsid w:val="64550470"/>
    <w:rsid w:val="6767A0BC"/>
    <w:rsid w:val="6A575EE2"/>
    <w:rsid w:val="6BCE548D"/>
    <w:rsid w:val="6BEAD5C7"/>
    <w:rsid w:val="72BD4C7B"/>
    <w:rsid w:val="7B222A93"/>
    <w:rsid w:val="7E6F8059"/>
    <w:rsid w:val="7F3E23E7"/>
    <w:rsid w:val="7FA625EC"/>
    <w:rsid w:val="7FBF3135"/>
    <w:rsid w:val="7FDADE3C"/>
    <w:rsid w:val="7FF7A128"/>
    <w:rsid w:val="7FF7B53C"/>
    <w:rsid w:val="7FFE4ACE"/>
    <w:rsid w:val="877F130A"/>
    <w:rsid w:val="9CF5E8EB"/>
    <w:rsid w:val="A4FA5429"/>
    <w:rsid w:val="BCFBBBCF"/>
    <w:rsid w:val="BEFE5624"/>
    <w:rsid w:val="BFCDCC1E"/>
    <w:rsid w:val="C4FEA518"/>
    <w:rsid w:val="D7AF6B9B"/>
    <w:rsid w:val="DBBBFD2D"/>
    <w:rsid w:val="DF5E3F02"/>
    <w:rsid w:val="DFFF828A"/>
    <w:rsid w:val="E2FE5F0D"/>
    <w:rsid w:val="EDAF2B9B"/>
    <w:rsid w:val="EEFB0D9C"/>
    <w:rsid w:val="F7FC62E3"/>
    <w:rsid w:val="FB2F627F"/>
    <w:rsid w:val="FBBA62C7"/>
    <w:rsid w:val="FBEB4F84"/>
    <w:rsid w:val="FD3F2EF9"/>
    <w:rsid w:val="FD9F74DA"/>
    <w:rsid w:val="FED97A31"/>
    <w:rsid w:val="FFEAE6F0"/>
    <w:rsid w:val="FFEEDE41"/>
    <w:rsid w:val="FFFD8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8"/>
    <w:qFormat/>
    <w:uiPriority w:val="0"/>
    <w:rPr>
      <w:rFonts w:ascii="宋体"/>
      <w:sz w:val="18"/>
      <w:szCs w:val="18"/>
    </w:rPr>
  </w:style>
  <w:style w:type="paragraph" w:styleId="5">
    <w:name w:val="annotation text"/>
    <w:basedOn w:val="1"/>
    <w:link w:val="21"/>
    <w:qFormat/>
    <w:uiPriority w:val="0"/>
    <w:pPr>
      <w:jc w:val="left"/>
    </w:pPr>
  </w:style>
  <w:style w:type="paragraph" w:styleId="6">
    <w:name w:val="Date"/>
    <w:basedOn w:val="1"/>
    <w:next w:val="1"/>
    <w:link w:val="19"/>
    <w:qFormat/>
    <w:uiPriority w:val="0"/>
    <w:pPr>
      <w:ind w:left="100" w:leftChars="2500"/>
    </w:pPr>
    <w:rPr>
      <w:rFonts w:ascii="Book Antiqua" w:hAnsi="Book Antiqua" w:eastAsia="楷体_GB2312"/>
      <w:sz w:val="24"/>
      <w:szCs w:val="24"/>
    </w:rPr>
  </w:style>
  <w:style w:type="paragraph" w:styleId="7">
    <w:name w:val="Balloon Text"/>
    <w:basedOn w:val="1"/>
    <w:link w:val="20"/>
    <w:qFormat/>
    <w:uiPriority w:val="0"/>
    <w:rPr>
      <w:sz w:val="18"/>
      <w:szCs w:val="18"/>
    </w:rPr>
  </w:style>
  <w:style w:type="paragraph" w:styleId="8">
    <w:name w:val="footer"/>
    <w:basedOn w:val="1"/>
    <w:link w:val="29"/>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39"/>
  </w:style>
  <w:style w:type="paragraph" w:styleId="11">
    <w:name w:val="toc 2"/>
    <w:basedOn w:val="1"/>
    <w:next w:val="1"/>
    <w:qFormat/>
    <w:uiPriority w:val="39"/>
    <w:pPr>
      <w:ind w:left="420" w:leftChars="200"/>
    </w:pPr>
  </w:style>
  <w:style w:type="paragraph" w:styleId="12">
    <w:name w:val="Title"/>
    <w:basedOn w:val="1"/>
    <w:next w:val="1"/>
    <w:link w:val="18"/>
    <w:qFormat/>
    <w:uiPriority w:val="0"/>
    <w:pPr>
      <w:spacing w:before="240" w:after="60"/>
      <w:jc w:val="center"/>
      <w:outlineLvl w:val="0"/>
    </w:pPr>
    <w:rPr>
      <w:rFonts w:ascii="Cambria" w:hAnsi="Cambria"/>
      <w:b/>
      <w:bCs/>
      <w:sz w:val="32"/>
      <w:szCs w:val="32"/>
    </w:rPr>
  </w:style>
  <w:style w:type="paragraph" w:styleId="13">
    <w:name w:val="annotation subject"/>
    <w:basedOn w:val="5"/>
    <w:next w:val="5"/>
    <w:link w:val="22"/>
    <w:qFormat/>
    <w:uiPriority w:val="0"/>
    <w:rPr>
      <w:b/>
      <w:bCs/>
    </w:rPr>
  </w:style>
  <w:style w:type="character" w:styleId="16">
    <w:name w:val="Hyperlink"/>
    <w:basedOn w:val="15"/>
    <w:qFormat/>
    <w:uiPriority w:val="99"/>
    <w:rPr>
      <w:color w:val="0000FF" w:themeColor="hyperlink"/>
      <w:u w:val="single"/>
      <w14:textFill>
        <w14:solidFill>
          <w14:schemeClr w14:val="hlink"/>
        </w14:solidFill>
      </w14:textFill>
    </w:rPr>
  </w:style>
  <w:style w:type="character" w:styleId="17">
    <w:name w:val="annotation reference"/>
    <w:qFormat/>
    <w:uiPriority w:val="0"/>
    <w:rPr>
      <w:sz w:val="21"/>
      <w:szCs w:val="21"/>
    </w:rPr>
  </w:style>
  <w:style w:type="character" w:customStyle="1" w:styleId="18">
    <w:name w:val="标题 Char"/>
    <w:link w:val="12"/>
    <w:qFormat/>
    <w:locked/>
    <w:uiPriority w:val="0"/>
    <w:rPr>
      <w:rFonts w:ascii="Cambria" w:hAnsi="Cambria" w:eastAsia="宋体"/>
      <w:b/>
      <w:bCs/>
      <w:kern w:val="2"/>
      <w:sz w:val="32"/>
      <w:szCs w:val="32"/>
      <w:lang w:val="en-US" w:eastAsia="zh-CN" w:bidi="ar-SA"/>
    </w:rPr>
  </w:style>
  <w:style w:type="character" w:customStyle="1" w:styleId="19">
    <w:name w:val="日期 Char"/>
    <w:link w:val="6"/>
    <w:qFormat/>
    <w:locked/>
    <w:uiPriority w:val="0"/>
    <w:rPr>
      <w:rFonts w:ascii="Book Antiqua" w:hAnsi="Book Antiqua" w:eastAsia="楷体_GB2312"/>
      <w:kern w:val="2"/>
      <w:sz w:val="24"/>
      <w:szCs w:val="24"/>
      <w:lang w:val="en-US" w:eastAsia="zh-CN" w:bidi="ar-SA"/>
    </w:rPr>
  </w:style>
  <w:style w:type="character" w:customStyle="1" w:styleId="20">
    <w:name w:val="批注框文本 Char"/>
    <w:link w:val="7"/>
    <w:qFormat/>
    <w:uiPriority w:val="0"/>
    <w:rPr>
      <w:kern w:val="2"/>
      <w:sz w:val="18"/>
      <w:szCs w:val="18"/>
    </w:rPr>
  </w:style>
  <w:style w:type="character" w:customStyle="1" w:styleId="21">
    <w:name w:val="批注文字 Char"/>
    <w:link w:val="5"/>
    <w:qFormat/>
    <w:uiPriority w:val="0"/>
    <w:rPr>
      <w:kern w:val="2"/>
      <w:sz w:val="21"/>
    </w:rPr>
  </w:style>
  <w:style w:type="character" w:customStyle="1" w:styleId="22">
    <w:name w:val="批注主题 Char"/>
    <w:link w:val="13"/>
    <w:qFormat/>
    <w:uiPriority w:val="0"/>
    <w:rPr>
      <w:b/>
      <w:bCs/>
      <w:kern w:val="2"/>
      <w:sz w:val="21"/>
    </w:rPr>
  </w:style>
  <w:style w:type="paragraph" w:customStyle="1" w:styleId="23">
    <w:name w:val="p0"/>
    <w:basedOn w:val="1"/>
    <w:qFormat/>
    <w:uiPriority w:val="0"/>
    <w:pPr>
      <w:widowControl/>
    </w:pPr>
    <w:rPr>
      <w:rFonts w:ascii="Book Antiqua" w:hAnsi="Book Antiqua" w:cs="宋体"/>
      <w:kern w:val="0"/>
      <w:sz w:val="24"/>
      <w:szCs w:val="24"/>
    </w:rPr>
  </w:style>
  <w:style w:type="paragraph" w:styleId="24">
    <w:name w:val="List Paragraph"/>
    <w:basedOn w:val="1"/>
    <w:qFormat/>
    <w:uiPriority w:val="99"/>
    <w:pPr>
      <w:ind w:firstLine="420" w:firstLineChars="200"/>
    </w:pPr>
  </w:style>
  <w:style w:type="character" w:customStyle="1" w:styleId="25">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26">
    <w:name w:val="标题 1 Char"/>
    <w:basedOn w:val="15"/>
    <w:link w:val="2"/>
    <w:qFormat/>
    <w:uiPriority w:val="0"/>
    <w:rPr>
      <w:b/>
      <w:bCs/>
      <w:kern w:val="44"/>
      <w:sz w:val="44"/>
      <w:szCs w:val="44"/>
    </w:rPr>
  </w:style>
  <w:style w:type="paragraph" w:customStyle="1" w:styleId="2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8">
    <w:name w:val="文档结构图 Char"/>
    <w:basedOn w:val="15"/>
    <w:link w:val="4"/>
    <w:qFormat/>
    <w:uiPriority w:val="0"/>
    <w:rPr>
      <w:rFonts w:ascii="宋体" w:hAnsi="Times New Roman" w:eastAsia="宋体" w:cs="Times New Roman"/>
      <w:kern w:val="2"/>
      <w:sz w:val="18"/>
      <w:szCs w:val="18"/>
    </w:rPr>
  </w:style>
  <w:style w:type="character" w:customStyle="1" w:styleId="29">
    <w:name w:val="页脚 Char"/>
    <w:basedOn w:val="15"/>
    <w:link w:val="8"/>
    <w:qFormat/>
    <w:uiPriority w:val="99"/>
    <w:rPr>
      <w:rFonts w:ascii="Times New Roman" w:hAnsi="Times New Roman" w:eastAsia="宋体" w:cs="Times New Roman"/>
      <w:kern w:val="2"/>
      <w:sz w:val="18"/>
    </w:rPr>
  </w:style>
  <w:style w:type="paragraph" w:customStyle="1" w:styleId="30">
    <w:name w:val="修订1"/>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上海证券交易所</Company>
  <Pages>9</Pages>
  <Words>3417</Words>
  <Characters>3663</Characters>
  <Lines>54</Lines>
  <Paragraphs>15</Paragraphs>
  <TotalTime>2</TotalTime>
  <ScaleCrop>false</ScaleCrop>
  <LinksUpToDate>false</LinksUpToDate>
  <CharactersWithSpaces>3706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2022-03-09T10:15:00Z</dcterms:created>
  <dc:creator>sse</dc:creator>
  <cp:lastModifiedBy>whxu</cp:lastModifiedBy>
  <dcterms:modified xsi:type="dcterms:W3CDTF">2026-04-24T21:01:26Z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F73F749ECFF14405D9C8E9693115EC5A_43</vt:lpwstr>
  </property>
</Properties>
</file>