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884AE">
      <w:pPr>
        <w:pStyle w:val="2"/>
        <w:adjustRightInd w:val="0"/>
        <w:snapToGrid w:val="0"/>
        <w:spacing w:line="600" w:lineRule="exact"/>
        <w:rPr>
          <w:rFonts w:ascii="黑体" w:hAnsi="黑体"/>
          <w:szCs w:val="36"/>
        </w:rPr>
      </w:pPr>
      <w:bookmarkStart w:id="0" w:name="_GoBack"/>
      <w:bookmarkEnd w:id="0"/>
      <w:r>
        <w:rPr>
          <w:rFonts w:hint="eastAsia" w:ascii="黑体" w:hAnsi="黑体"/>
          <w:szCs w:val="36"/>
        </w:rPr>
        <w:t>科创板上市公司</w:t>
      </w:r>
      <w:r>
        <w:rPr>
          <w:rFonts w:ascii="黑体" w:hAnsi="黑体"/>
          <w:szCs w:val="36"/>
        </w:rPr>
        <w:t>超额配售选择权实施</w:t>
      </w:r>
    </w:p>
    <w:p w14:paraId="69C09919">
      <w:pPr>
        <w:adjustRightInd w:val="0"/>
        <w:snapToGrid w:val="0"/>
        <w:spacing w:line="600" w:lineRule="exact"/>
        <w:jc w:val="center"/>
        <w:rPr>
          <w:rFonts w:ascii="仿宋_GB2312" w:hAnsi="宋体" w:eastAsia="仿宋_GB2312"/>
          <w:b/>
          <w:bCs/>
          <w:sz w:val="30"/>
          <w:szCs w:val="30"/>
        </w:rPr>
      </w:pPr>
      <w:r>
        <w:rPr>
          <w:rFonts w:hint="eastAsia" w:ascii="仿宋_GB2312" w:hAnsi="宋体" w:eastAsia="仿宋_GB2312" w:cs="宋体"/>
          <w:color w:val="0000FF"/>
          <w:kern w:val="0"/>
          <w:sz w:val="24"/>
          <w:szCs w:val="28"/>
        </w:rPr>
        <w:t>（此公告涉及业务流程及操作，请按相关要求逐项编制公告，勿随意删改）</w:t>
      </w:r>
    </w:p>
    <w:p w14:paraId="75314626">
      <w:pPr>
        <w:snapToGrid w:val="0"/>
        <w:spacing w:line="600" w:lineRule="exact"/>
        <w:ind w:firstLine="422" w:firstLineChars="200"/>
        <w:rPr>
          <w:rFonts w:ascii="宋体" w:hAnsi="宋体"/>
          <w:b/>
        </w:rPr>
      </w:pPr>
    </w:p>
    <w:p w14:paraId="07E4DCEB">
      <w:pPr>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700C6FB9">
      <w:pPr>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科创板上市公司实施超额配售选择权的，在超额配售选择权行使期届满或者累计购回股票数量达到采用超额配售选择权发行股票数量限额的2个工作日内，上市公司与获授权的主承销商披露相关信息，适用本</w:t>
      </w:r>
      <w:r>
        <w:rPr>
          <w:rFonts w:hint="eastAsia" w:ascii="仿宋_GB2312" w:hAnsi="宋体" w:eastAsia="仿宋_GB2312"/>
          <w:bCs/>
          <w:sz w:val="30"/>
          <w:szCs w:val="30"/>
        </w:rPr>
        <w:t>业务操作指引</w:t>
      </w:r>
      <w:r>
        <w:rPr>
          <w:rFonts w:hint="eastAsia" w:ascii="仿宋_GB2312" w:hAnsi="宋体" w:eastAsia="仿宋_GB2312"/>
          <w:sz w:val="30"/>
          <w:szCs w:val="30"/>
        </w:rPr>
        <w:t>。</w:t>
      </w:r>
    </w:p>
    <w:p w14:paraId="0B3A8DDA">
      <w:pPr>
        <w:snapToGrid w:val="0"/>
        <w:spacing w:line="600" w:lineRule="exact"/>
        <w:ind w:firstLine="600" w:firstLineChars="200"/>
        <w:rPr>
          <w:rFonts w:ascii="仿宋_GB2312" w:hAnsi="宋体" w:eastAsia="仿宋_GB2312"/>
          <w:color w:val="000000"/>
          <w:sz w:val="30"/>
          <w:szCs w:val="30"/>
        </w:rPr>
      </w:pPr>
    </w:p>
    <w:p w14:paraId="12BFE772">
      <w:pPr>
        <w:adjustRightInd w:val="0"/>
        <w:snapToGrid w:val="0"/>
        <w:spacing w:line="600" w:lineRule="exact"/>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99E5396">
      <w:pPr>
        <w:adjustRightInd w:val="0"/>
        <w:snapToGrid w:val="0"/>
        <w:spacing w:line="600" w:lineRule="exact"/>
        <w:ind w:firstLine="600" w:firstLineChars="200"/>
        <w:jc w:val="left"/>
        <w:rPr>
          <w:rFonts w:ascii="仿宋_GB2312" w:hAnsi="宋体" w:eastAsia="仿宋_GB2312"/>
          <w:sz w:val="30"/>
          <w:szCs w:val="30"/>
        </w:rPr>
      </w:pPr>
    </w:p>
    <w:p w14:paraId="797E0EDE">
      <w:pPr>
        <w:pStyle w:val="14"/>
        <w:spacing w:line="60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XXXX股份有限公司超额配售选择权实施公告</w:t>
      </w:r>
    </w:p>
    <w:p w14:paraId="77E91234">
      <w:pPr>
        <w:pStyle w:val="14"/>
        <w:spacing w:line="600" w:lineRule="exact"/>
        <w:jc w:val="center"/>
        <w:rPr>
          <w:rFonts w:ascii="仿宋_GB2312" w:eastAsia="仿宋_GB2312"/>
          <w:color w:val="000000"/>
          <w:sz w:val="30"/>
          <w:szCs w:val="3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B0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8522" w:type="dxa"/>
            <w:noWrap w:val="0"/>
            <w:vAlign w:val="top"/>
          </w:tcPr>
          <w:p w14:paraId="3A60B2D9">
            <w:pPr>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2A09AEEA">
            <w:pPr>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tc>
      </w:tr>
    </w:tbl>
    <w:p w14:paraId="36E29BD3">
      <w:pPr>
        <w:spacing w:line="600" w:lineRule="exact"/>
        <w:ind w:firstLine="602" w:firstLineChars="200"/>
        <w:rPr>
          <w:rFonts w:ascii="仿宋_GB2312" w:hAnsi="宋体" w:eastAsia="仿宋_GB2312"/>
          <w:b/>
          <w:sz w:val="30"/>
          <w:szCs w:val="30"/>
        </w:rPr>
      </w:pPr>
    </w:p>
    <w:p w14:paraId="30427E97">
      <w:pPr>
        <w:spacing w:line="600" w:lineRule="exact"/>
        <w:ind w:firstLine="602" w:firstLineChars="200"/>
        <w:rPr>
          <w:rFonts w:ascii="仿宋_GB2312" w:hAnsi="宋体" w:eastAsia="仿宋_GB2312"/>
          <w:sz w:val="30"/>
          <w:szCs w:val="30"/>
        </w:rPr>
      </w:pPr>
      <w:r>
        <w:rPr>
          <w:rFonts w:hint="eastAsia" w:ascii="仿宋_GB2312" w:hAnsi="宋体" w:eastAsia="仿宋_GB2312"/>
          <w:b/>
          <w:sz w:val="30"/>
          <w:szCs w:val="30"/>
        </w:rPr>
        <w:t>重要内容提示：</w:t>
      </w:r>
    </w:p>
    <w:p w14:paraId="40D9362C">
      <w:pPr>
        <w:numPr>
          <w:ilvl w:val="0"/>
          <w:numId w:val="1"/>
        </w:numPr>
        <w:spacing w:line="600" w:lineRule="exact"/>
        <w:ind w:left="0" w:firstLine="600" w:firstLineChars="200"/>
        <w:rPr>
          <w:rFonts w:ascii="仿宋_GB2312" w:hAnsi="宋体" w:eastAsia="仿宋_GB2312"/>
          <w:sz w:val="30"/>
          <w:szCs w:val="30"/>
        </w:rPr>
      </w:pPr>
      <w:r>
        <w:rPr>
          <w:rFonts w:hint="eastAsia" w:ascii="仿宋_GB2312" w:eastAsia="仿宋_GB2312"/>
          <w:sz w:val="30"/>
          <w:szCs w:val="30"/>
        </w:rPr>
        <w:t>超额配售选择权行使期</w:t>
      </w:r>
    </w:p>
    <w:p w14:paraId="460F8906">
      <w:pPr>
        <w:numPr>
          <w:ilvl w:val="0"/>
          <w:numId w:val="1"/>
        </w:numPr>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超额配售的股票总数</w:t>
      </w:r>
    </w:p>
    <w:p w14:paraId="3B28FD63">
      <w:pPr>
        <w:numPr>
          <w:ilvl w:val="0"/>
          <w:numId w:val="1"/>
        </w:numPr>
        <w:spacing w:line="600" w:lineRule="exact"/>
        <w:ind w:left="0" w:firstLine="600" w:firstLineChars="200"/>
        <w:rPr>
          <w:rFonts w:ascii="仿宋_GB2312" w:hAnsi="宋体" w:eastAsia="仿宋_GB2312"/>
          <w:sz w:val="30"/>
          <w:szCs w:val="30"/>
        </w:rPr>
      </w:pPr>
      <w:r>
        <w:rPr>
          <w:rFonts w:hint="eastAsia" w:ascii="仿宋_GB2312" w:eastAsia="仿宋_GB2312"/>
          <w:sz w:val="30"/>
          <w:szCs w:val="30"/>
        </w:rPr>
        <w:t>超额配售选择权行使</w:t>
      </w:r>
      <w:r>
        <w:rPr>
          <w:rFonts w:hint="eastAsia" w:ascii="仿宋_GB2312" w:hAnsi="宋体" w:eastAsia="仿宋_GB2312"/>
          <w:sz w:val="30"/>
          <w:szCs w:val="30"/>
        </w:rPr>
        <w:t>期内主承销商</w:t>
      </w:r>
      <w:r>
        <w:rPr>
          <w:rFonts w:hint="eastAsia" w:ascii="仿宋_GB2312" w:eastAsia="仿宋_GB2312"/>
          <w:sz w:val="30"/>
          <w:szCs w:val="30"/>
        </w:rPr>
        <w:t>以竞价交易方式购回</w:t>
      </w:r>
      <w:r>
        <w:rPr>
          <w:rFonts w:hint="eastAsia" w:ascii="仿宋_GB2312" w:hAnsi="宋体" w:eastAsia="仿宋_GB2312"/>
          <w:sz w:val="30"/>
          <w:szCs w:val="30"/>
        </w:rPr>
        <w:t>的股票数量</w:t>
      </w:r>
    </w:p>
    <w:p w14:paraId="74F387B6">
      <w:pPr>
        <w:numPr>
          <w:ilvl w:val="0"/>
          <w:numId w:val="1"/>
        </w:numPr>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因行使超额配售选择权而发行的新股数量</w:t>
      </w:r>
    </w:p>
    <w:p w14:paraId="0F48F1C9">
      <w:pPr>
        <w:numPr>
          <w:ilvl w:val="0"/>
          <w:numId w:val="1"/>
        </w:numPr>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行使超额配售选择权的募集资金金额</w:t>
      </w:r>
    </w:p>
    <w:p w14:paraId="266EE2A9">
      <w:pPr>
        <w:spacing w:line="600" w:lineRule="exact"/>
        <w:ind w:firstLine="750" w:firstLineChars="250"/>
        <w:rPr>
          <w:rFonts w:ascii="仿宋_GB2312" w:hAnsi="宋体" w:eastAsia="仿宋_GB2312"/>
          <w:sz w:val="30"/>
          <w:szCs w:val="30"/>
        </w:rPr>
      </w:pPr>
    </w:p>
    <w:p w14:paraId="5633BC1B">
      <w:pPr>
        <w:spacing w:line="600" w:lineRule="exact"/>
        <w:ind w:firstLine="643" w:firstLineChars="200"/>
        <w:rPr>
          <w:rFonts w:ascii="黑体" w:hAnsi="黑体" w:eastAsia="黑体"/>
          <w:b/>
          <w:sz w:val="32"/>
          <w:szCs w:val="32"/>
        </w:rPr>
      </w:pPr>
      <w:r>
        <w:rPr>
          <w:rFonts w:hint="eastAsia" w:ascii="黑体" w:hAnsi="黑体" w:eastAsia="黑体"/>
          <w:b/>
          <w:sz w:val="32"/>
          <w:szCs w:val="32"/>
        </w:rPr>
        <w:t>一、本次超额配售情况</w:t>
      </w:r>
    </w:p>
    <w:p w14:paraId="649221C5">
      <w:pPr>
        <w:spacing w:line="600" w:lineRule="exact"/>
        <w:ind w:firstLine="480"/>
        <w:rPr>
          <w:rFonts w:ascii="仿宋_GB2312" w:hAnsi="宋体" w:eastAsia="仿宋_GB2312"/>
          <w:sz w:val="30"/>
          <w:szCs w:val="30"/>
        </w:rPr>
      </w:pPr>
      <w:r>
        <w:rPr>
          <w:rFonts w:hint="eastAsia" w:ascii="仿宋_GB2312" w:hAnsi="宋体" w:eastAsia="仿宋_GB2312"/>
          <w:sz w:val="30"/>
          <w:szCs w:val="30"/>
        </w:rPr>
        <w:t>披露本次超额配售股票的配售时间、配售数量及占初始发行数量的比例、配售价格、超额配售后本次发行的总配售数量。</w:t>
      </w:r>
    </w:p>
    <w:p w14:paraId="2996C4D1">
      <w:pPr>
        <w:spacing w:line="600" w:lineRule="exact"/>
        <w:ind w:firstLine="480"/>
        <w:rPr>
          <w:rFonts w:ascii="仿宋_GB2312" w:hAnsi="宋体" w:eastAsia="仿宋_GB2312"/>
          <w:sz w:val="30"/>
          <w:szCs w:val="30"/>
        </w:rPr>
      </w:pPr>
    </w:p>
    <w:p w14:paraId="68D88F25">
      <w:pPr>
        <w:spacing w:line="600" w:lineRule="exact"/>
        <w:ind w:firstLine="643" w:firstLineChars="200"/>
        <w:rPr>
          <w:rFonts w:ascii="黑体" w:hAnsi="黑体" w:eastAsia="黑体"/>
          <w:b/>
          <w:sz w:val="32"/>
          <w:szCs w:val="32"/>
        </w:rPr>
      </w:pPr>
      <w:r>
        <w:rPr>
          <w:rFonts w:hint="eastAsia" w:ascii="黑体" w:hAnsi="黑体" w:eastAsia="黑体"/>
          <w:b/>
          <w:sz w:val="32"/>
          <w:szCs w:val="32"/>
        </w:rPr>
        <w:t>二、超额配售选择权行使情况</w:t>
      </w:r>
    </w:p>
    <w:p w14:paraId="16610CC1">
      <w:pPr>
        <w:spacing w:line="600" w:lineRule="exact"/>
        <w:ind w:firstLine="600" w:firstLineChars="200"/>
        <w:rPr>
          <w:rFonts w:ascii="仿宋_GB2312" w:eastAsia="仿宋_GB2312"/>
          <w:sz w:val="30"/>
          <w:szCs w:val="30"/>
        </w:rPr>
      </w:pPr>
      <w:r>
        <w:rPr>
          <w:rFonts w:hint="eastAsia" w:ascii="仿宋_GB2312" w:hAnsi="宋体" w:eastAsia="仿宋_GB2312"/>
          <w:sz w:val="30"/>
          <w:szCs w:val="30"/>
        </w:rPr>
        <w:t>披露</w:t>
      </w:r>
      <w:r>
        <w:rPr>
          <w:rFonts w:hint="eastAsia" w:ascii="仿宋_GB2312" w:eastAsia="仿宋_GB2312"/>
          <w:sz w:val="30"/>
          <w:szCs w:val="30"/>
        </w:rPr>
        <w:t>超额配售选择权行使期届满或者累计购回股票数量达到采用超额配售选择权发行股票数量限额的日期。</w:t>
      </w:r>
    </w:p>
    <w:p w14:paraId="7E5071F0">
      <w:pPr>
        <w:spacing w:line="600" w:lineRule="exact"/>
        <w:ind w:firstLine="600" w:firstLineChars="200"/>
        <w:rPr>
          <w:rFonts w:ascii="仿宋_GB2312" w:eastAsia="仿宋_GB2312"/>
          <w:sz w:val="30"/>
          <w:szCs w:val="30"/>
        </w:rPr>
      </w:pPr>
      <w:r>
        <w:rPr>
          <w:rFonts w:hint="eastAsia" w:ascii="仿宋_GB2312" w:eastAsia="仿宋_GB2312"/>
          <w:sz w:val="30"/>
          <w:szCs w:val="30"/>
        </w:rPr>
        <w:t>因全部或部分行使超额配售选择权而发行股票的，应当披露发行数量与发行价格、</w:t>
      </w:r>
      <w:r>
        <w:rPr>
          <w:rFonts w:hint="eastAsia" w:ascii="仿宋_GB2312" w:hAnsi="宋体" w:eastAsia="仿宋_GB2312"/>
          <w:sz w:val="30"/>
          <w:szCs w:val="30"/>
        </w:rPr>
        <w:t>发行数量占初始发行数量的比例、发行人因行使超额配售选择权的募集资金金额、本次发行的最终募集资金总额，以及扣除发行费用后的募集资金净额。</w:t>
      </w:r>
    </w:p>
    <w:p w14:paraId="1DC8D240">
      <w:pPr>
        <w:spacing w:line="600" w:lineRule="exact"/>
        <w:ind w:firstLine="600" w:firstLineChars="200"/>
        <w:rPr>
          <w:rFonts w:ascii="仿宋_GB2312" w:eastAsia="仿宋_GB2312"/>
          <w:sz w:val="30"/>
          <w:szCs w:val="30"/>
        </w:rPr>
      </w:pPr>
      <w:r>
        <w:rPr>
          <w:rFonts w:hint="eastAsia" w:ascii="仿宋_GB2312" w:eastAsia="仿宋_GB2312"/>
          <w:sz w:val="30"/>
          <w:szCs w:val="30"/>
        </w:rPr>
        <w:t>因未行使或部分行使超额配售选择权而以竞价交易方式购回股票的，应当披露购回股票数量及所支付的总金额、平均价格、最高与最低价格</w:t>
      </w:r>
      <w:r>
        <w:rPr>
          <w:rFonts w:hint="eastAsia" w:ascii="仿宋_GB2312" w:hAnsi="宋体" w:eastAsia="仿宋_GB2312"/>
          <w:sz w:val="30"/>
          <w:szCs w:val="30"/>
        </w:rPr>
        <w:t>。</w:t>
      </w:r>
    </w:p>
    <w:p w14:paraId="0602F82F">
      <w:pPr>
        <w:spacing w:line="600" w:lineRule="exact"/>
        <w:ind w:firstLine="600" w:firstLineChars="200"/>
        <w:rPr>
          <w:rFonts w:ascii="仿宋_GB2312" w:hAnsi="宋体" w:eastAsia="仿宋_GB2312"/>
          <w:sz w:val="30"/>
          <w:szCs w:val="30"/>
        </w:rPr>
      </w:pPr>
    </w:p>
    <w:p w14:paraId="6A2FDACB">
      <w:pPr>
        <w:spacing w:line="600" w:lineRule="exact"/>
        <w:ind w:firstLine="643" w:firstLineChars="200"/>
        <w:rPr>
          <w:rFonts w:ascii="黑体" w:hAnsi="黑体" w:eastAsia="黑体"/>
          <w:b/>
          <w:sz w:val="32"/>
          <w:szCs w:val="32"/>
        </w:rPr>
      </w:pPr>
      <w:r>
        <w:rPr>
          <w:rFonts w:hint="eastAsia" w:ascii="黑体" w:hAnsi="黑体" w:eastAsia="黑体"/>
          <w:b/>
          <w:sz w:val="32"/>
          <w:szCs w:val="32"/>
        </w:rPr>
        <w:t>三、超额配售股票和资金交付情况</w:t>
      </w:r>
    </w:p>
    <w:p w14:paraId="229555C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披露延期交付的股票登记于作出延期交付安排的投资者股票账户的时间、锁定期起始时间，并列表披露如下事项。</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071"/>
        <w:gridCol w:w="2071"/>
      </w:tblGrid>
      <w:tr w14:paraId="1A67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jc w:val="center"/>
        </w:trPr>
        <w:tc>
          <w:tcPr>
            <w:tcW w:w="1285" w:type="pct"/>
            <w:noWrap w:val="0"/>
            <w:vAlign w:val="center"/>
          </w:tcPr>
          <w:p w14:paraId="1674F9D1">
            <w:pPr>
              <w:jc w:val="center"/>
              <w:rPr>
                <w:rFonts w:ascii="仿宋_GB2312" w:eastAsia="仿宋_GB2312"/>
                <w:b/>
                <w:sz w:val="24"/>
              </w:rPr>
            </w:pPr>
            <w:r>
              <w:rPr>
                <w:rFonts w:hint="eastAsia" w:ascii="仿宋_GB2312" w:eastAsia="仿宋_GB2312"/>
                <w:b/>
                <w:sz w:val="24"/>
              </w:rPr>
              <w:t>作出延期交付安排的投资者名称</w:t>
            </w:r>
          </w:p>
        </w:tc>
        <w:tc>
          <w:tcPr>
            <w:tcW w:w="1285" w:type="pct"/>
            <w:noWrap w:val="0"/>
            <w:vAlign w:val="center"/>
          </w:tcPr>
          <w:p w14:paraId="4C22EC3D">
            <w:pPr>
              <w:jc w:val="center"/>
              <w:rPr>
                <w:rFonts w:ascii="仿宋_GB2312" w:eastAsia="仿宋_GB2312"/>
                <w:b/>
                <w:sz w:val="24"/>
              </w:rPr>
            </w:pPr>
            <w:r>
              <w:rPr>
                <w:rFonts w:hint="eastAsia" w:ascii="仿宋_GB2312" w:eastAsia="仿宋_GB2312"/>
                <w:b/>
                <w:sz w:val="24"/>
              </w:rPr>
              <w:t>延期交付的股票数量</w:t>
            </w:r>
          </w:p>
        </w:tc>
        <w:tc>
          <w:tcPr>
            <w:tcW w:w="1215" w:type="pct"/>
            <w:noWrap w:val="0"/>
            <w:vAlign w:val="center"/>
          </w:tcPr>
          <w:p w14:paraId="62929003">
            <w:pPr>
              <w:jc w:val="center"/>
              <w:rPr>
                <w:rFonts w:ascii="仿宋_GB2312" w:eastAsia="仿宋_GB2312"/>
                <w:b/>
                <w:sz w:val="24"/>
              </w:rPr>
            </w:pPr>
            <w:r>
              <w:rPr>
                <w:rFonts w:hint="eastAsia" w:ascii="仿宋_GB2312" w:eastAsia="仿宋_GB2312"/>
                <w:b/>
                <w:sz w:val="24"/>
              </w:rPr>
              <w:t>本次发行获配售股票总量</w:t>
            </w:r>
          </w:p>
        </w:tc>
        <w:tc>
          <w:tcPr>
            <w:tcW w:w="1215" w:type="pct"/>
            <w:noWrap w:val="0"/>
            <w:vAlign w:val="center"/>
          </w:tcPr>
          <w:p w14:paraId="628C7A2B">
            <w:pPr>
              <w:jc w:val="center"/>
              <w:rPr>
                <w:rFonts w:ascii="仿宋_GB2312" w:eastAsia="仿宋_GB2312"/>
                <w:b/>
                <w:sz w:val="24"/>
              </w:rPr>
            </w:pPr>
            <w:r>
              <w:rPr>
                <w:rFonts w:hint="eastAsia" w:ascii="仿宋_GB2312" w:eastAsia="仿宋_GB2312"/>
                <w:b/>
                <w:sz w:val="24"/>
              </w:rPr>
              <w:t>锁定期限</w:t>
            </w:r>
          </w:p>
        </w:tc>
      </w:tr>
      <w:tr w14:paraId="3077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285" w:type="pct"/>
            <w:noWrap w:val="0"/>
            <w:vAlign w:val="center"/>
          </w:tcPr>
          <w:p w14:paraId="2F82BAF9">
            <w:pPr>
              <w:jc w:val="center"/>
              <w:rPr>
                <w:rFonts w:ascii="仿宋_GB2312" w:eastAsia="仿宋_GB2312"/>
                <w:sz w:val="24"/>
              </w:rPr>
            </w:pPr>
          </w:p>
        </w:tc>
        <w:tc>
          <w:tcPr>
            <w:tcW w:w="1285" w:type="pct"/>
            <w:noWrap w:val="0"/>
            <w:vAlign w:val="center"/>
          </w:tcPr>
          <w:p w14:paraId="3D4795E1">
            <w:pPr>
              <w:jc w:val="center"/>
              <w:rPr>
                <w:rFonts w:ascii="仿宋_GB2312" w:eastAsia="仿宋_GB2312"/>
                <w:sz w:val="24"/>
              </w:rPr>
            </w:pPr>
          </w:p>
        </w:tc>
        <w:tc>
          <w:tcPr>
            <w:tcW w:w="1215" w:type="pct"/>
            <w:noWrap w:val="0"/>
            <w:vAlign w:val="top"/>
          </w:tcPr>
          <w:p w14:paraId="4DCEE509">
            <w:pPr>
              <w:jc w:val="center"/>
              <w:rPr>
                <w:rFonts w:ascii="仿宋_GB2312" w:eastAsia="仿宋_GB2312"/>
                <w:sz w:val="24"/>
              </w:rPr>
            </w:pPr>
          </w:p>
        </w:tc>
        <w:tc>
          <w:tcPr>
            <w:tcW w:w="1215" w:type="pct"/>
            <w:noWrap w:val="0"/>
            <w:vAlign w:val="top"/>
          </w:tcPr>
          <w:p w14:paraId="7E12A1C6">
            <w:pPr>
              <w:jc w:val="center"/>
              <w:rPr>
                <w:rFonts w:ascii="仿宋_GB2312" w:eastAsia="仿宋_GB2312"/>
                <w:sz w:val="24"/>
              </w:rPr>
            </w:pPr>
          </w:p>
        </w:tc>
      </w:tr>
      <w:tr w14:paraId="3876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285" w:type="pct"/>
            <w:noWrap w:val="0"/>
            <w:vAlign w:val="center"/>
          </w:tcPr>
          <w:p w14:paraId="0A968E05">
            <w:pPr>
              <w:jc w:val="center"/>
              <w:rPr>
                <w:rFonts w:ascii="仿宋_GB2312" w:eastAsia="仿宋_GB2312"/>
                <w:sz w:val="24"/>
              </w:rPr>
            </w:pPr>
          </w:p>
        </w:tc>
        <w:tc>
          <w:tcPr>
            <w:tcW w:w="1285" w:type="pct"/>
            <w:noWrap w:val="0"/>
            <w:vAlign w:val="center"/>
          </w:tcPr>
          <w:p w14:paraId="1EC26C2B">
            <w:pPr>
              <w:jc w:val="center"/>
              <w:rPr>
                <w:rFonts w:ascii="仿宋_GB2312" w:eastAsia="仿宋_GB2312"/>
                <w:sz w:val="24"/>
              </w:rPr>
            </w:pPr>
          </w:p>
        </w:tc>
        <w:tc>
          <w:tcPr>
            <w:tcW w:w="1215" w:type="pct"/>
            <w:noWrap w:val="0"/>
            <w:vAlign w:val="top"/>
          </w:tcPr>
          <w:p w14:paraId="0AC710AD">
            <w:pPr>
              <w:jc w:val="center"/>
              <w:rPr>
                <w:rFonts w:ascii="仿宋_GB2312" w:eastAsia="仿宋_GB2312"/>
                <w:sz w:val="24"/>
              </w:rPr>
            </w:pPr>
          </w:p>
        </w:tc>
        <w:tc>
          <w:tcPr>
            <w:tcW w:w="1215" w:type="pct"/>
            <w:noWrap w:val="0"/>
            <w:vAlign w:val="top"/>
          </w:tcPr>
          <w:p w14:paraId="2D0C2D5A">
            <w:pPr>
              <w:jc w:val="center"/>
              <w:rPr>
                <w:rFonts w:ascii="仿宋_GB2312" w:eastAsia="仿宋_GB2312"/>
                <w:sz w:val="24"/>
              </w:rPr>
            </w:pPr>
          </w:p>
        </w:tc>
      </w:tr>
      <w:tr w14:paraId="6BFD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285" w:type="pct"/>
            <w:noWrap w:val="0"/>
            <w:vAlign w:val="center"/>
          </w:tcPr>
          <w:p w14:paraId="7E9F2AB2">
            <w:pPr>
              <w:jc w:val="center"/>
              <w:rPr>
                <w:rFonts w:ascii="仿宋_GB2312" w:eastAsia="仿宋_GB2312"/>
                <w:b/>
                <w:sz w:val="24"/>
              </w:rPr>
            </w:pPr>
            <w:r>
              <w:rPr>
                <w:rFonts w:hint="eastAsia" w:ascii="仿宋_GB2312" w:eastAsia="仿宋_GB2312"/>
                <w:b/>
                <w:sz w:val="24"/>
              </w:rPr>
              <w:t>合计</w:t>
            </w:r>
          </w:p>
        </w:tc>
        <w:tc>
          <w:tcPr>
            <w:tcW w:w="1285" w:type="pct"/>
            <w:noWrap w:val="0"/>
            <w:vAlign w:val="center"/>
          </w:tcPr>
          <w:p w14:paraId="4BDB41D4">
            <w:pPr>
              <w:jc w:val="center"/>
              <w:rPr>
                <w:rFonts w:ascii="仿宋_GB2312" w:eastAsia="仿宋_GB2312"/>
                <w:sz w:val="24"/>
              </w:rPr>
            </w:pPr>
          </w:p>
        </w:tc>
        <w:tc>
          <w:tcPr>
            <w:tcW w:w="1215" w:type="pct"/>
            <w:noWrap w:val="0"/>
            <w:vAlign w:val="top"/>
          </w:tcPr>
          <w:p w14:paraId="523CB181">
            <w:pPr>
              <w:jc w:val="center"/>
              <w:rPr>
                <w:rFonts w:ascii="仿宋_GB2312" w:eastAsia="仿宋_GB2312"/>
                <w:sz w:val="24"/>
              </w:rPr>
            </w:pPr>
          </w:p>
        </w:tc>
        <w:tc>
          <w:tcPr>
            <w:tcW w:w="1215" w:type="pct"/>
            <w:noWrap w:val="0"/>
            <w:vAlign w:val="top"/>
          </w:tcPr>
          <w:p w14:paraId="0BAA49CE">
            <w:pPr>
              <w:jc w:val="center"/>
              <w:rPr>
                <w:rFonts w:ascii="仿宋_GB2312" w:eastAsia="仿宋_GB2312"/>
                <w:sz w:val="24"/>
              </w:rPr>
            </w:pPr>
          </w:p>
        </w:tc>
      </w:tr>
    </w:tbl>
    <w:p w14:paraId="7C73DB4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披露超额配售选择权行使后，本次发行的最终配售数量，战略投资者、网下及网上投资者分别获得的股票数量，及占最终配售数量的比例。</w:t>
      </w:r>
    </w:p>
    <w:p w14:paraId="5FDC704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披露超额配售股票募集资金与主承销商从二级市场购回股票使用资金的差额及该部分资金的使用安排，包括：</w:t>
      </w:r>
    </w:p>
    <w:p w14:paraId="2A5677E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1.增发股票募集资金划转给发行人的金额；</w:t>
      </w:r>
    </w:p>
    <w:p w14:paraId="1242C75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2.划转给中国证券投资者保护基金有限责任公司的金额。</w:t>
      </w:r>
    </w:p>
    <w:p w14:paraId="2A1615C6">
      <w:pPr>
        <w:spacing w:line="600" w:lineRule="exact"/>
        <w:ind w:firstLine="600" w:firstLineChars="200"/>
        <w:rPr>
          <w:rFonts w:ascii="仿宋_GB2312" w:hAnsi="宋体" w:eastAsia="仿宋_GB2312"/>
          <w:sz w:val="30"/>
          <w:szCs w:val="30"/>
        </w:rPr>
      </w:pPr>
    </w:p>
    <w:p w14:paraId="205BAFD8">
      <w:pPr>
        <w:spacing w:line="600" w:lineRule="exact"/>
        <w:ind w:firstLine="643" w:firstLineChars="200"/>
        <w:rPr>
          <w:rFonts w:ascii="黑体" w:hAnsi="黑体" w:eastAsia="黑体"/>
          <w:b/>
          <w:sz w:val="32"/>
          <w:szCs w:val="32"/>
        </w:rPr>
      </w:pPr>
      <w:r>
        <w:rPr>
          <w:rFonts w:hint="eastAsia" w:ascii="黑体" w:hAnsi="黑体" w:eastAsia="黑体"/>
          <w:b/>
          <w:sz w:val="32"/>
          <w:szCs w:val="32"/>
        </w:rPr>
        <w:t>四、超额配售选择权行使前后发行人股份变动情况</w:t>
      </w:r>
    </w:p>
    <w:p w14:paraId="23C4869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披露超额配售选择权行使前后发行人股份变动情况。</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9"/>
        <w:gridCol w:w="2603"/>
      </w:tblGrid>
      <w:tr w14:paraId="20F0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21AEAAAF">
            <w:pPr>
              <w:rPr>
                <w:rFonts w:ascii="仿宋_GB2312" w:hAnsi="宋体" w:eastAsia="仿宋_GB2312" w:cs="宋体"/>
                <w:b/>
                <w:color w:val="222222"/>
                <w:kern w:val="0"/>
                <w:sz w:val="24"/>
                <w:szCs w:val="21"/>
              </w:rPr>
            </w:pPr>
            <w:r>
              <w:rPr>
                <w:rFonts w:hint="eastAsia" w:ascii="仿宋_GB2312" w:hAnsi="宋体" w:eastAsia="仿宋_GB2312" w:cs="宋体"/>
                <w:b/>
                <w:color w:val="222222"/>
                <w:kern w:val="0"/>
                <w:sz w:val="24"/>
                <w:szCs w:val="21"/>
              </w:rPr>
              <w:t>超额配售选择权股份来源</w:t>
            </w:r>
          </w:p>
          <w:p w14:paraId="0E7BE6A4">
            <w:pPr>
              <w:rPr>
                <w:rFonts w:ascii="仿宋_GB2312" w:eastAsia="仿宋_GB2312"/>
                <w:b/>
                <w:sz w:val="24"/>
              </w:rPr>
            </w:pPr>
            <w:r>
              <w:rPr>
                <w:rFonts w:hint="eastAsia" w:ascii="仿宋_GB2312" w:hAnsi="宋体" w:eastAsia="仿宋_GB2312" w:cs="宋体"/>
                <w:b/>
                <w:color w:val="222222"/>
                <w:kern w:val="0"/>
                <w:sz w:val="24"/>
                <w:szCs w:val="21"/>
              </w:rPr>
              <w:t>（增发及/或以竞价交易方式购回）：</w:t>
            </w:r>
          </w:p>
        </w:tc>
        <w:tc>
          <w:tcPr>
            <w:tcW w:w="1527" w:type="pct"/>
            <w:noWrap w:val="0"/>
            <w:vAlign w:val="center"/>
          </w:tcPr>
          <w:p w14:paraId="65C5C51C">
            <w:pPr>
              <w:rPr>
                <w:rFonts w:ascii="仿宋_GB2312" w:eastAsia="仿宋_GB2312"/>
                <w:b/>
                <w:sz w:val="24"/>
              </w:rPr>
            </w:pPr>
          </w:p>
        </w:tc>
      </w:tr>
      <w:tr w14:paraId="4C7F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17D09F6B">
            <w:pPr>
              <w:rPr>
                <w:rFonts w:hint="eastAsia" w:ascii="仿宋_GB2312" w:hAnsi="宋体" w:eastAsia="仿宋_GB2312" w:cs="宋体"/>
                <w:b/>
                <w:color w:val="222222"/>
                <w:kern w:val="0"/>
                <w:sz w:val="24"/>
                <w:szCs w:val="21"/>
              </w:rPr>
            </w:pPr>
            <w:r>
              <w:rPr>
                <w:rFonts w:hint="eastAsia" w:ascii="仿宋_GB2312" w:hAnsi="宋体" w:eastAsia="仿宋_GB2312" w:cs="宋体"/>
                <w:color w:val="222222"/>
                <w:kern w:val="0"/>
                <w:sz w:val="24"/>
                <w:szCs w:val="21"/>
              </w:rPr>
              <w:t>超额配售选择权专门账户：</w:t>
            </w:r>
          </w:p>
        </w:tc>
        <w:tc>
          <w:tcPr>
            <w:tcW w:w="1527" w:type="pct"/>
            <w:noWrap w:val="0"/>
            <w:vAlign w:val="center"/>
          </w:tcPr>
          <w:p w14:paraId="4BE7CBDD">
            <w:pPr>
              <w:rPr>
                <w:rFonts w:ascii="仿宋_GB2312" w:eastAsia="仿宋_GB2312"/>
                <w:b/>
                <w:sz w:val="24"/>
              </w:rPr>
            </w:pPr>
          </w:p>
        </w:tc>
      </w:tr>
      <w:tr w14:paraId="490A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37CE7CB7">
            <w:pPr>
              <w:widowControl/>
              <w:rPr>
                <w:rFonts w:ascii="仿宋_GB2312" w:hAnsi="宋体" w:eastAsia="仿宋_GB2312" w:cs="宋体"/>
                <w:b/>
                <w:color w:val="222222"/>
                <w:kern w:val="0"/>
                <w:sz w:val="24"/>
                <w:szCs w:val="21"/>
              </w:rPr>
            </w:pPr>
            <w:r>
              <w:rPr>
                <w:rFonts w:hint="eastAsia" w:ascii="仿宋_GB2312" w:hAnsi="宋体" w:eastAsia="仿宋_GB2312" w:cs="宋体"/>
                <w:b/>
                <w:color w:val="222222"/>
                <w:kern w:val="0"/>
                <w:sz w:val="24"/>
                <w:szCs w:val="21"/>
              </w:rPr>
              <w:t>一、增发股份行使超额配售选择权</w:t>
            </w:r>
          </w:p>
        </w:tc>
        <w:tc>
          <w:tcPr>
            <w:tcW w:w="1527" w:type="pct"/>
            <w:noWrap w:val="0"/>
            <w:vAlign w:val="center"/>
          </w:tcPr>
          <w:p w14:paraId="45401F8E">
            <w:pPr>
              <w:rPr>
                <w:rFonts w:ascii="仿宋_GB2312" w:eastAsia="仿宋_GB2312"/>
                <w:b/>
                <w:sz w:val="24"/>
              </w:rPr>
            </w:pPr>
          </w:p>
        </w:tc>
      </w:tr>
      <w:tr w14:paraId="5139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672E6367">
            <w:pPr>
              <w:ind w:firstLine="480" w:firstLineChars="200"/>
              <w:rPr>
                <w:rFonts w:ascii="仿宋_GB2312" w:eastAsia="仿宋_GB2312"/>
                <w:sz w:val="24"/>
              </w:rPr>
            </w:pPr>
            <w:r>
              <w:rPr>
                <w:rFonts w:hint="eastAsia" w:ascii="仿宋_GB2312" w:hAnsi="宋体" w:eastAsia="仿宋_GB2312" w:cs="宋体"/>
                <w:color w:val="222222"/>
                <w:kern w:val="0"/>
                <w:sz w:val="24"/>
                <w:szCs w:val="21"/>
              </w:rPr>
              <w:t>增发股份总量（股）：</w:t>
            </w:r>
          </w:p>
        </w:tc>
        <w:tc>
          <w:tcPr>
            <w:tcW w:w="1527" w:type="pct"/>
            <w:noWrap w:val="0"/>
            <w:vAlign w:val="center"/>
          </w:tcPr>
          <w:p w14:paraId="1547E792">
            <w:pPr>
              <w:rPr>
                <w:rFonts w:ascii="仿宋_GB2312" w:eastAsia="仿宋_GB2312"/>
                <w:sz w:val="24"/>
              </w:rPr>
            </w:pPr>
          </w:p>
        </w:tc>
      </w:tr>
      <w:tr w14:paraId="0C0C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21A09D11">
            <w:pPr>
              <w:widowControl/>
              <w:rPr>
                <w:rFonts w:ascii="仿宋_GB2312" w:hAnsi="宋体" w:eastAsia="仿宋_GB2312" w:cs="宋体"/>
                <w:b/>
                <w:color w:val="222222"/>
                <w:kern w:val="0"/>
                <w:sz w:val="24"/>
                <w:szCs w:val="21"/>
              </w:rPr>
            </w:pPr>
            <w:r>
              <w:rPr>
                <w:rFonts w:hint="eastAsia" w:ascii="仿宋_GB2312" w:hAnsi="宋体" w:eastAsia="仿宋_GB2312" w:cs="宋体"/>
                <w:b/>
                <w:color w:val="222222"/>
                <w:kern w:val="0"/>
                <w:sz w:val="24"/>
                <w:szCs w:val="21"/>
              </w:rPr>
              <w:t>二、以竞价交易方式购回股份行使超额配售选择权</w:t>
            </w:r>
          </w:p>
        </w:tc>
        <w:tc>
          <w:tcPr>
            <w:tcW w:w="1527" w:type="pct"/>
            <w:noWrap w:val="0"/>
            <w:vAlign w:val="center"/>
          </w:tcPr>
          <w:p w14:paraId="0F3A9BC0">
            <w:pPr>
              <w:rPr>
                <w:rFonts w:ascii="仿宋_GB2312" w:eastAsia="仿宋_GB2312"/>
                <w:b/>
                <w:sz w:val="24"/>
              </w:rPr>
            </w:pPr>
          </w:p>
        </w:tc>
      </w:tr>
      <w:tr w14:paraId="708E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473" w:type="pct"/>
            <w:noWrap w:val="0"/>
            <w:vAlign w:val="center"/>
          </w:tcPr>
          <w:p w14:paraId="607CFA99">
            <w:pPr>
              <w:ind w:firstLine="480" w:firstLineChars="200"/>
              <w:rPr>
                <w:rFonts w:ascii="仿宋_GB2312" w:eastAsia="仿宋_GB2312"/>
                <w:sz w:val="24"/>
              </w:rPr>
            </w:pPr>
            <w:r>
              <w:rPr>
                <w:rFonts w:hint="eastAsia" w:ascii="仿宋_GB2312" w:hAnsi="宋体" w:eastAsia="仿宋_GB2312" w:cs="宋体"/>
                <w:color w:val="222222"/>
                <w:kern w:val="0"/>
                <w:sz w:val="24"/>
                <w:szCs w:val="21"/>
              </w:rPr>
              <w:t>拟变更类别的股份总量（股）：</w:t>
            </w:r>
          </w:p>
        </w:tc>
        <w:tc>
          <w:tcPr>
            <w:tcW w:w="1527" w:type="pct"/>
            <w:noWrap w:val="0"/>
            <w:vAlign w:val="center"/>
          </w:tcPr>
          <w:p w14:paraId="556EBF1D">
            <w:pPr>
              <w:rPr>
                <w:rFonts w:ascii="仿宋_GB2312" w:eastAsia="仿宋_GB2312"/>
                <w:sz w:val="24"/>
              </w:rPr>
            </w:pPr>
          </w:p>
        </w:tc>
      </w:tr>
    </w:tbl>
    <w:p w14:paraId="32DC88D2">
      <w:pPr>
        <w:spacing w:line="600" w:lineRule="exact"/>
        <w:ind w:firstLine="560" w:firstLineChars="200"/>
        <w:rPr>
          <w:rFonts w:ascii="仿宋_GB2312" w:hAnsi="宋体" w:eastAsia="仿宋_GB2312"/>
          <w:sz w:val="28"/>
          <w:szCs w:val="30"/>
        </w:rPr>
      </w:pPr>
    </w:p>
    <w:p w14:paraId="3BFA57A1">
      <w:pPr>
        <w:spacing w:line="600" w:lineRule="exact"/>
        <w:ind w:firstLine="643" w:firstLineChars="200"/>
        <w:rPr>
          <w:rFonts w:ascii="黑体" w:hAnsi="黑体" w:eastAsia="黑体"/>
          <w:b/>
          <w:sz w:val="32"/>
          <w:szCs w:val="32"/>
        </w:rPr>
      </w:pPr>
      <w:r>
        <w:rPr>
          <w:rFonts w:hint="eastAsia" w:ascii="黑体" w:hAnsi="黑体" w:eastAsia="黑体"/>
          <w:b/>
          <w:sz w:val="32"/>
          <w:szCs w:val="32"/>
        </w:rPr>
        <w:t>五、本次行使超额配售选择权对应的募集资金用途（如适用）</w:t>
      </w:r>
    </w:p>
    <w:p w14:paraId="0D1D47E9">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披露本次超额发行股票对应的募集资金用途。</w:t>
      </w:r>
    </w:p>
    <w:p w14:paraId="7C29A9D9">
      <w:pPr>
        <w:spacing w:line="600" w:lineRule="exact"/>
        <w:ind w:firstLine="600" w:firstLineChars="200"/>
        <w:rPr>
          <w:rFonts w:ascii="仿宋_GB2312" w:hAnsi="宋体" w:eastAsia="仿宋_GB2312"/>
          <w:sz w:val="30"/>
          <w:szCs w:val="30"/>
        </w:rPr>
      </w:pPr>
    </w:p>
    <w:p w14:paraId="61575B67">
      <w:pPr>
        <w:spacing w:line="600" w:lineRule="exact"/>
        <w:ind w:firstLine="643" w:firstLineChars="200"/>
        <w:rPr>
          <w:rFonts w:ascii="仿宋_GB2312" w:hAnsi="宋体" w:eastAsia="仿宋_GB2312"/>
          <w:sz w:val="30"/>
          <w:szCs w:val="30"/>
        </w:rPr>
      </w:pPr>
      <w:r>
        <w:rPr>
          <w:rFonts w:hint="eastAsia" w:ascii="黑体" w:hAnsi="黑体" w:eastAsia="黑体"/>
          <w:b/>
          <w:sz w:val="32"/>
          <w:szCs w:val="32"/>
        </w:rPr>
        <w:t>六、对本次超额配售选择权实施的意见</w:t>
      </w:r>
    </w:p>
    <w:p w14:paraId="2461179C">
      <w:pPr>
        <w:adjustRightInd w:val="0"/>
        <w:snapToGrid w:val="0"/>
        <w:spacing w:line="600" w:lineRule="exact"/>
        <w:ind w:firstLine="600" w:firstLineChars="200"/>
        <w:rPr>
          <w:rFonts w:ascii="仿宋_GB2312" w:hAnsi="宋体" w:eastAsia="仿宋_GB2312"/>
          <w:sz w:val="30"/>
          <w:szCs w:val="30"/>
        </w:rPr>
      </w:pPr>
      <w:r>
        <w:rPr>
          <w:rFonts w:hint="eastAsia" w:ascii="仿宋_GB2312" w:eastAsia="仿宋_GB2312"/>
          <w:sz w:val="30"/>
          <w:szCs w:val="30"/>
        </w:rPr>
        <w:t>董事会关于超额配售选择权实施情况是否合法、合规，是否符合所披露的有关超额配售选择权的实施方案要求，是否实现预期达到的效果的说明。</w:t>
      </w:r>
    </w:p>
    <w:p w14:paraId="47D08BA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主承销商、律师对本次发行的结论性意见。</w:t>
      </w:r>
    </w:p>
    <w:p w14:paraId="5EE1F61D">
      <w:pPr>
        <w:adjustRightInd w:val="0"/>
        <w:snapToGrid w:val="0"/>
        <w:spacing w:line="600" w:lineRule="exact"/>
        <w:ind w:firstLine="600" w:firstLineChars="200"/>
        <w:rPr>
          <w:rFonts w:ascii="仿宋_GB2312" w:hAnsi="宋体" w:eastAsia="仿宋_GB2312"/>
          <w:sz w:val="30"/>
          <w:szCs w:val="30"/>
        </w:rPr>
      </w:pPr>
    </w:p>
    <w:p w14:paraId="13CE97E0">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七、上网公告附件</w:t>
      </w:r>
    </w:p>
    <w:p w14:paraId="1BAA0982">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中介机构核查意见。</w:t>
      </w:r>
    </w:p>
    <w:p w14:paraId="5EB4F74D">
      <w:pPr>
        <w:widowControl/>
        <w:spacing w:line="600" w:lineRule="exact"/>
        <w:ind w:firstLine="600" w:firstLineChars="200"/>
        <w:rPr>
          <w:rFonts w:ascii="仿宋_GB2312" w:hAnsi="宋体" w:eastAsia="仿宋_GB2312" w:cs="宋体"/>
          <w:color w:val="000000"/>
          <w:kern w:val="0"/>
          <w:sz w:val="30"/>
          <w:szCs w:val="30"/>
        </w:rPr>
      </w:pPr>
    </w:p>
    <w:p w14:paraId="5A37AC2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07E5B6DC">
      <w:pPr>
        <w:spacing w:line="600" w:lineRule="exact"/>
        <w:ind w:firstLine="600" w:firstLineChars="200"/>
        <w:jc w:val="right"/>
        <w:rPr>
          <w:rFonts w:ascii="仿宋_GB2312" w:hAnsi="宋体" w:eastAsia="仿宋_GB2312"/>
          <w:sz w:val="30"/>
          <w:szCs w:val="30"/>
        </w:rPr>
      </w:pPr>
    </w:p>
    <w:p w14:paraId="69C91B98">
      <w:pPr>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发行人：XXXX股份有限公司</w:t>
      </w:r>
    </w:p>
    <w:p w14:paraId="0C9294BA">
      <w:pPr>
        <w:spacing w:line="600" w:lineRule="exact"/>
        <w:ind w:firstLine="600" w:firstLineChars="200"/>
        <w:jc w:val="right"/>
        <w:rPr>
          <w:rFonts w:ascii="仿宋_GB2312" w:hAnsi="宋体" w:eastAsia="仿宋_GB2312"/>
          <w:sz w:val="30"/>
          <w:szCs w:val="30"/>
        </w:rPr>
      </w:pPr>
      <w:r>
        <w:rPr>
          <w:rFonts w:hint="eastAsia" w:ascii="仿宋_GB2312" w:eastAsia="仿宋_GB2312"/>
          <w:sz w:val="30"/>
          <w:szCs w:val="30"/>
        </w:rPr>
        <w:t>获授权的</w:t>
      </w:r>
      <w:r>
        <w:rPr>
          <w:rFonts w:hint="eastAsia" w:ascii="仿宋_GB2312" w:hAnsi="宋体" w:eastAsia="仿宋_GB2312"/>
          <w:sz w:val="30"/>
          <w:szCs w:val="30"/>
        </w:rPr>
        <w:t>主承销商：XXXX公司</w:t>
      </w:r>
    </w:p>
    <w:p w14:paraId="267F1A5A">
      <w:pPr>
        <w:adjustRightInd w:val="0"/>
        <w:snapToGrid w:val="0"/>
        <w:spacing w:line="60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69B4BAF0">
      <w:pPr>
        <w:widowControl/>
        <w:spacing w:line="600" w:lineRule="exact"/>
        <w:jc w:val="left"/>
        <w:rPr>
          <w:rFonts w:ascii="黑体" w:hAnsi="黑体" w:eastAsia="黑体"/>
          <w:b/>
          <w:bCs/>
          <w:kern w:val="44"/>
          <w:sz w:val="36"/>
          <w:szCs w:val="30"/>
        </w:rPr>
      </w:pPr>
    </w:p>
    <w:p w14:paraId="4D651D15">
      <w:pPr>
        <w:pStyle w:val="13"/>
        <w:widowControl w:val="0"/>
        <w:numPr>
          <w:ilvl w:val="0"/>
          <w:numId w:val="2"/>
        </w:numPr>
        <w:spacing w:before="0" w:beforeAutospacing="0" w:after="0" w:afterAutospacing="0" w:line="600" w:lineRule="exact"/>
        <w:ind w:left="0" w:firstLine="602" w:firstLineChars="200"/>
        <w:jc w:val="both"/>
        <w:rPr>
          <w:rFonts w:ascii="仿宋_GB2312" w:eastAsia="仿宋_GB2312"/>
          <w:b/>
          <w:color w:val="000000"/>
          <w:sz w:val="30"/>
          <w:szCs w:val="30"/>
        </w:rPr>
      </w:pPr>
      <w:r>
        <w:rPr>
          <w:rFonts w:hint="eastAsia" w:ascii="仿宋_GB2312" w:eastAsia="仿宋_GB2312"/>
          <w:b/>
          <w:color w:val="000000"/>
          <w:sz w:val="30"/>
          <w:szCs w:val="30"/>
        </w:rPr>
        <w:t>报备文件</w:t>
      </w:r>
    </w:p>
    <w:p w14:paraId="5F03F679">
      <w:pPr>
        <w:autoSpaceDE w:val="0"/>
        <w:autoSpaceDN w:val="0"/>
        <w:adjustRightInd w:val="0"/>
        <w:snapToGrid w:val="0"/>
        <w:spacing w:line="600" w:lineRule="exact"/>
        <w:ind w:firstLine="600" w:firstLineChars="200"/>
      </w:pPr>
      <w:r>
        <w:rPr>
          <w:rFonts w:hint="eastAsia" w:ascii="仿宋_GB2312" w:hAnsi="宋体" w:eastAsia="仿宋_GB2312"/>
          <w:color w:val="000000"/>
          <w:sz w:val="30"/>
          <w:szCs w:val="30"/>
        </w:rPr>
        <w:t>中国证券登记结算有限责任公司上海分公司出具的超额配售选择权专用账户持股数量查询证明。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6FCB6">
    <w:pPr>
      <w:pStyle w:val="6"/>
      <w:jc w:val="center"/>
    </w:pPr>
    <w:r>
      <w:fldChar w:fldCharType="begin"/>
    </w:r>
    <w:r>
      <w:instrText xml:space="preserve"> PAGE   \* MERGEFORMAT </w:instrText>
    </w:r>
    <w:r>
      <w:fldChar w:fldCharType="separate"/>
    </w:r>
    <w:r>
      <w:rPr>
        <w:lang w:val="zh-CN"/>
      </w:rPr>
      <w:t>1</w:t>
    </w:r>
    <w:r>
      <w:fldChar w:fldCharType="end"/>
    </w:r>
  </w:p>
  <w:p w14:paraId="2CB5013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19D3A"/>
    <w:multiLevelType w:val="multilevel"/>
    <w:tmpl w:val="56C19D3A"/>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D2478A0"/>
    <w:multiLevelType w:val="multilevel"/>
    <w:tmpl w:val="5D2478A0"/>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0D7"/>
    <w:rsid w:val="00027ACC"/>
    <w:rsid w:val="000655FA"/>
    <w:rsid w:val="00134DBB"/>
    <w:rsid w:val="00161F36"/>
    <w:rsid w:val="00231300"/>
    <w:rsid w:val="002400C2"/>
    <w:rsid w:val="002B1575"/>
    <w:rsid w:val="002C6B9E"/>
    <w:rsid w:val="002D19B5"/>
    <w:rsid w:val="002E4333"/>
    <w:rsid w:val="00310B8E"/>
    <w:rsid w:val="00327888"/>
    <w:rsid w:val="003D58D5"/>
    <w:rsid w:val="00405815"/>
    <w:rsid w:val="00431FC1"/>
    <w:rsid w:val="00473B26"/>
    <w:rsid w:val="004E2C63"/>
    <w:rsid w:val="00500421"/>
    <w:rsid w:val="00501BFE"/>
    <w:rsid w:val="00576A4C"/>
    <w:rsid w:val="005B45F2"/>
    <w:rsid w:val="005E2501"/>
    <w:rsid w:val="005F6600"/>
    <w:rsid w:val="006D6F85"/>
    <w:rsid w:val="00705E68"/>
    <w:rsid w:val="0077536E"/>
    <w:rsid w:val="007F0BD2"/>
    <w:rsid w:val="007F13DF"/>
    <w:rsid w:val="007F2DF3"/>
    <w:rsid w:val="008320EC"/>
    <w:rsid w:val="008870D7"/>
    <w:rsid w:val="008A6BA4"/>
    <w:rsid w:val="008B563F"/>
    <w:rsid w:val="00905FC9"/>
    <w:rsid w:val="009126F2"/>
    <w:rsid w:val="00943148"/>
    <w:rsid w:val="00966D91"/>
    <w:rsid w:val="009932CB"/>
    <w:rsid w:val="009D635C"/>
    <w:rsid w:val="009E49ED"/>
    <w:rsid w:val="00A82EA2"/>
    <w:rsid w:val="00AC37CB"/>
    <w:rsid w:val="00AE172D"/>
    <w:rsid w:val="00AF15FA"/>
    <w:rsid w:val="00AF6A6D"/>
    <w:rsid w:val="00B65F5A"/>
    <w:rsid w:val="00B82CB5"/>
    <w:rsid w:val="00BA3304"/>
    <w:rsid w:val="00C1054C"/>
    <w:rsid w:val="00C41676"/>
    <w:rsid w:val="00CB2C8B"/>
    <w:rsid w:val="00CD411B"/>
    <w:rsid w:val="00CD63C5"/>
    <w:rsid w:val="00D60D4F"/>
    <w:rsid w:val="00D67302"/>
    <w:rsid w:val="00DE6E2E"/>
    <w:rsid w:val="00E443E7"/>
    <w:rsid w:val="00E62F16"/>
    <w:rsid w:val="00EB6393"/>
    <w:rsid w:val="00F27F66"/>
    <w:rsid w:val="00F5602E"/>
    <w:rsid w:val="00FE22D6"/>
    <w:rsid w:val="00FF32AA"/>
    <w:rsid w:val="1F7278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eastAsia="黑体"/>
      <w:b/>
      <w:bCs/>
      <w:kern w:val="44"/>
      <w:sz w:val="36"/>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Style w:val="8"/>
      <w:tblCellMar>
        <w:top w:w="0" w:type="dxa"/>
        <w:left w:w="108" w:type="dxa"/>
        <w:bottom w:w="0" w:type="dxa"/>
        <w:right w:w="108" w:type="dxa"/>
      </w:tblCellMar>
    </w:tblPr>
    <w:trPr>
      <w:wBefore w:w="0" w:type="dxa"/>
    </w:trPr>
  </w:style>
  <w:style w:type="paragraph" w:styleId="3">
    <w:name w:val="Document Map"/>
    <w:basedOn w:val="1"/>
    <w:link w:val="18"/>
    <w:semiHidden/>
    <w:unhideWhenUsed/>
    <w:uiPriority w:val="99"/>
    <w:rPr>
      <w:rFonts w:ascii="宋体"/>
      <w:sz w:val="18"/>
      <w:szCs w:val="18"/>
    </w:rPr>
  </w:style>
  <w:style w:type="paragraph" w:styleId="4">
    <w:name w:val="annotation text"/>
    <w:basedOn w:val="1"/>
    <w:link w:val="12"/>
    <w:uiPriority w:val="0"/>
    <w:pPr>
      <w:jc w:val="left"/>
    </w:pPr>
    <w:rPr>
      <w:kern w:val="0"/>
      <w:sz w:val="20"/>
    </w:rPr>
  </w:style>
  <w:style w:type="paragraph" w:styleId="5">
    <w:name w:val="Balloon Text"/>
    <w:basedOn w:val="1"/>
    <w:link w:val="15"/>
    <w:semiHidden/>
    <w:unhideWhenUsed/>
    <w:uiPriority w:val="99"/>
    <w:rPr>
      <w:sz w:val="18"/>
      <w:szCs w:val="18"/>
    </w:rPr>
  </w:style>
  <w:style w:type="paragraph" w:styleId="6">
    <w:name w:val="footer"/>
    <w:basedOn w:val="1"/>
    <w:link w:val="17"/>
    <w:unhideWhenUsed/>
    <w:uiPriority w:val="99"/>
    <w:pPr>
      <w:tabs>
        <w:tab w:val="center" w:pos="4153"/>
        <w:tab w:val="right" w:pos="8306"/>
      </w:tabs>
      <w:snapToGrid w:val="0"/>
      <w:jc w:val="left"/>
    </w:pPr>
    <w:rPr>
      <w:sz w:val="18"/>
      <w:szCs w:val="18"/>
    </w:rPr>
  </w:style>
  <w:style w:type="paragraph" w:styleId="7">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character" w:styleId="10">
    <w:name w:val="annotation reference"/>
    <w:uiPriority w:val="0"/>
    <w:rPr>
      <w:sz w:val="21"/>
      <w:szCs w:val="21"/>
    </w:rPr>
  </w:style>
  <w:style w:type="character" w:customStyle="1" w:styleId="11">
    <w:name w:val="标题 1 Char"/>
    <w:basedOn w:val="9"/>
    <w:link w:val="2"/>
    <w:uiPriority w:val="0"/>
    <w:rPr>
      <w:rFonts w:ascii="Times New Roman" w:hAnsi="Times New Roman" w:eastAsia="黑体" w:cs="Times New Roman"/>
      <w:b/>
      <w:bCs/>
      <w:kern w:val="44"/>
      <w:sz w:val="36"/>
      <w:szCs w:val="44"/>
    </w:rPr>
  </w:style>
  <w:style w:type="character" w:customStyle="1" w:styleId="12">
    <w:name w:val="批注文字 Char"/>
    <w:basedOn w:val="9"/>
    <w:link w:val="4"/>
    <w:uiPriority w:val="0"/>
    <w:rPr>
      <w:rFonts w:ascii="Times New Roman" w:hAnsi="Times New Roman" w:eastAsia="宋体" w:cs="Times New Roman"/>
      <w:kern w:val="0"/>
      <w:sz w:val="20"/>
      <w:szCs w:val="24"/>
    </w:rPr>
  </w:style>
  <w:style w:type="paragraph" w:customStyle="1" w:styleId="13">
    <w:name w:val="列出段落1"/>
    <w:basedOn w:val="1"/>
    <w:qFormat/>
    <w:uiPriority w:val="0"/>
    <w:pPr>
      <w:widowControl/>
      <w:spacing w:before="100" w:beforeAutospacing="1" w:after="100" w:afterAutospacing="1"/>
      <w:jc w:val="left"/>
    </w:pPr>
    <w:rPr>
      <w:rFonts w:ascii="宋体" w:hAnsi="宋体"/>
      <w:kern w:val="0"/>
      <w:sz w:val="24"/>
    </w:rPr>
  </w:style>
  <w:style w:type="paragraph" w:customStyle="1" w:styleId="14">
    <w:name w:val="p0"/>
    <w:basedOn w:val="1"/>
    <w:uiPriority w:val="0"/>
    <w:pPr>
      <w:widowControl/>
    </w:pPr>
    <w:rPr>
      <w:rFonts w:ascii="Book Antiqua" w:hAnsi="Book Antiqua" w:cs="宋体"/>
      <w:kern w:val="0"/>
      <w:sz w:val="24"/>
    </w:rPr>
  </w:style>
  <w:style w:type="character" w:customStyle="1" w:styleId="15">
    <w:name w:val="批注框文本 Char"/>
    <w:basedOn w:val="9"/>
    <w:link w:val="5"/>
    <w:semiHidden/>
    <w:uiPriority w:val="99"/>
    <w:rPr>
      <w:rFonts w:ascii="Times New Roman" w:hAnsi="Times New Roman" w:eastAsia="宋体" w:cs="Times New Roman"/>
      <w:sz w:val="18"/>
      <w:szCs w:val="18"/>
    </w:rPr>
  </w:style>
  <w:style w:type="character" w:customStyle="1" w:styleId="16">
    <w:name w:val="页眉 Char"/>
    <w:basedOn w:val="9"/>
    <w:link w:val="7"/>
    <w:semiHidden/>
    <w:uiPriority w:val="99"/>
    <w:rPr>
      <w:rFonts w:ascii="Times New Roman" w:hAnsi="Times New Roman" w:eastAsia="宋体" w:cs="Times New Roman"/>
      <w:sz w:val="18"/>
      <w:szCs w:val="18"/>
    </w:rPr>
  </w:style>
  <w:style w:type="character" w:customStyle="1" w:styleId="17">
    <w:name w:val="页脚 Char"/>
    <w:basedOn w:val="9"/>
    <w:link w:val="6"/>
    <w:uiPriority w:val="99"/>
    <w:rPr>
      <w:rFonts w:ascii="Times New Roman" w:hAnsi="Times New Roman" w:eastAsia="宋体" w:cs="Times New Roman"/>
      <w:sz w:val="18"/>
      <w:szCs w:val="18"/>
    </w:rPr>
  </w:style>
  <w:style w:type="character" w:customStyle="1" w:styleId="18">
    <w:name w:val="文档结构图 Char"/>
    <w:basedOn w:val="9"/>
    <w:link w:val="3"/>
    <w:semiHidden/>
    <w:uiPriority w:val="99"/>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217</Words>
  <Characters>1240</Characters>
  <Lines>10</Lines>
  <Paragraphs>2</Paragraphs>
  <TotalTime>0</TotalTime>
  <ScaleCrop>false</ScaleCrop>
  <LinksUpToDate>false</LinksUpToDate>
  <CharactersWithSpaces>1455</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2019-07-08T01:37:00Z</dcterms:created>
  <dc:creator>wenyihuang</dc:creator>
  <cp:lastModifiedBy>黄文怡</cp:lastModifiedBy>
  <dcterms:modified xsi:type="dcterms:W3CDTF">2025-04-25T08:56:53Z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07B33973B40D405BA73873853AF92E95_13</vt:lpwstr>
  </property>
</Properties>
</file>