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0034101"/>
    <w:bookmarkStart w:id="1" w:name="_Toc108525220"/>
    <w:bookmarkStart w:id="2" w:name="_Toc340839656"/>
    <w:bookmarkStart w:id="3" w:name="_Toc330904173"/>
    <w:p w14:paraId="7A71738A" w14:textId="613E3D79" w:rsidR="00116E8D" w:rsidRDefault="009C607D">
      <w:pPr>
        <w:pStyle w:val="3"/>
        <w:rPr>
          <w:sz w:val="32"/>
          <w:szCs w:val="32"/>
        </w:rPr>
      </w:pPr>
      <w:r>
        <w:rPr>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32"/>
          <w:szCs w:val="32"/>
        </w:rPr>
        <w:instrText>ADDIN CNKISM.UserStyle</w:instrText>
      </w:r>
      <w:r>
        <w:rPr>
          <w:sz w:val="32"/>
          <w:szCs w:val="32"/>
        </w:rPr>
      </w:r>
      <w:r>
        <w:rPr>
          <w:sz w:val="32"/>
          <w:szCs w:val="32"/>
        </w:rPr>
        <w:fldChar w:fldCharType="separate"/>
      </w:r>
      <w:r>
        <w:rPr>
          <w:sz w:val="32"/>
          <w:szCs w:val="32"/>
        </w:rPr>
        <w:fldChar w:fldCharType="end"/>
      </w:r>
      <w:r w:rsidR="00863A62">
        <w:rPr>
          <w:rFonts w:hint="eastAsia"/>
          <w:sz w:val="32"/>
          <w:szCs w:val="32"/>
        </w:rPr>
        <w:t>科创板上市公司可转债到期兑付暨摘牌</w:t>
      </w:r>
      <w:bookmarkEnd w:id="0"/>
      <w:bookmarkEnd w:id="1"/>
      <w:bookmarkEnd w:id="2"/>
      <w:bookmarkEnd w:id="3"/>
    </w:p>
    <w:p w14:paraId="4107D778" w14:textId="77777777" w:rsidR="00116E8D" w:rsidRDefault="00863A62">
      <w:pPr>
        <w:jc w:val="center"/>
      </w:pPr>
      <w:r>
        <w:rPr>
          <w:rFonts w:ascii="仿宋_GB2312" w:eastAsia="仿宋_GB2312" w:hAnsi="宋体" w:cs="宋体" w:hint="eastAsia"/>
          <w:color w:val="0000FF"/>
          <w:kern w:val="0"/>
          <w:sz w:val="24"/>
          <w:szCs w:val="28"/>
        </w:rPr>
        <w:t>（此公告涉及业务流程及操作，请按相关要求逐项编制公告，勿随意删改）</w:t>
      </w:r>
    </w:p>
    <w:p w14:paraId="35C31446" w14:textId="77777777" w:rsidR="00116E8D" w:rsidRDefault="00116E8D"/>
    <w:p w14:paraId="4D7EC054" w14:textId="77777777" w:rsidR="00116E8D" w:rsidRDefault="00863A62">
      <w:pPr>
        <w:tabs>
          <w:tab w:val="left" w:pos="0"/>
        </w:tabs>
        <w:autoSpaceDE w:val="0"/>
        <w:autoSpaceDN w:val="0"/>
        <w:adjustRightInd w:val="0"/>
        <w:snapToGrid w:val="0"/>
        <w:spacing w:line="560" w:lineRule="exact"/>
        <w:rPr>
          <w:rFonts w:ascii="仿宋" w:eastAsia="仿宋_GB2312" w:hAnsi="仿宋" w:cs="宋体"/>
          <w:b/>
          <w:color w:val="000000"/>
          <w:kern w:val="0"/>
          <w:sz w:val="30"/>
          <w:szCs w:val="30"/>
        </w:rPr>
      </w:pPr>
      <w:r>
        <w:rPr>
          <w:rFonts w:ascii="仿宋" w:eastAsia="仿宋_GB2312" w:hAnsi="仿宋" w:cs="宋体" w:hint="eastAsia"/>
          <w:b/>
          <w:color w:val="000000"/>
          <w:kern w:val="0"/>
          <w:sz w:val="30"/>
          <w:szCs w:val="30"/>
        </w:rPr>
        <w:t>适用情形：</w:t>
      </w:r>
    </w:p>
    <w:p w14:paraId="48E73315" w14:textId="77777777" w:rsidR="00116E8D" w:rsidRDefault="00863A62">
      <w:pPr>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Pr>
          <w:rFonts w:ascii="仿宋_GB2312" w:eastAsia="仿宋_GB2312" w:hAnsi="宋体" w:hint="eastAsia"/>
          <w:sz w:val="30"/>
          <w:szCs w:val="30"/>
        </w:rPr>
        <w:t>、</w:t>
      </w:r>
      <w:r>
        <w:rPr>
          <w:rFonts w:ascii="仿宋" w:eastAsia="仿宋_GB2312" w:hAnsi="仿宋" w:hint="eastAsia"/>
          <w:sz w:val="30"/>
          <w:szCs w:val="30"/>
        </w:rPr>
        <w:t>科创板上市公司可转债到期兑付及摘牌时，适用本公告格式。</w:t>
      </w:r>
    </w:p>
    <w:p w14:paraId="15216CE3"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_GB2312" w:eastAsia="仿宋_GB2312" w:hAnsi="宋体"/>
          <w:sz w:val="30"/>
          <w:szCs w:val="30"/>
        </w:rPr>
        <w:t>2</w:t>
      </w:r>
      <w:r>
        <w:rPr>
          <w:rFonts w:ascii="仿宋_GB2312" w:eastAsia="仿宋_GB2312" w:hAnsi="宋体" w:hint="eastAsia"/>
          <w:sz w:val="30"/>
          <w:szCs w:val="30"/>
        </w:rPr>
        <w:t>、科创板上市公司在可转债转股期结束的</w:t>
      </w:r>
      <w:r>
        <w:rPr>
          <w:rFonts w:ascii="仿宋_GB2312" w:eastAsia="仿宋_GB2312" w:hAnsi="宋体" w:hint="eastAsia"/>
          <w:sz w:val="30"/>
          <w:szCs w:val="30"/>
        </w:rPr>
        <w:t>20</w:t>
      </w:r>
      <w:r>
        <w:rPr>
          <w:rFonts w:ascii="仿宋_GB2312" w:eastAsia="仿宋_GB2312" w:hAnsi="宋体" w:hint="eastAsia"/>
          <w:sz w:val="30"/>
          <w:szCs w:val="30"/>
        </w:rPr>
        <w:t>个交易日前，披露提示性公告，</w:t>
      </w:r>
      <w:r>
        <w:rPr>
          <w:rFonts w:ascii="仿宋" w:eastAsia="仿宋_GB2312" w:hAnsi="仿宋" w:hint="eastAsia"/>
          <w:sz w:val="30"/>
          <w:szCs w:val="30"/>
        </w:rPr>
        <w:t>适用本公告格式</w:t>
      </w:r>
      <w:r>
        <w:rPr>
          <w:rFonts w:ascii="仿宋_GB2312" w:eastAsia="仿宋_GB2312" w:hAnsi="宋体" w:hint="eastAsia"/>
          <w:sz w:val="30"/>
          <w:szCs w:val="30"/>
        </w:rPr>
        <w:t>。</w:t>
      </w:r>
    </w:p>
    <w:p w14:paraId="55A022E1"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54963CCC" w14:textId="77777777" w:rsidR="00116E8D" w:rsidRDefault="00863A62">
      <w:pPr>
        <w:adjustRightInd w:val="0"/>
        <w:snapToGrid w:val="0"/>
        <w:spacing w:line="560" w:lineRule="exact"/>
        <w:rPr>
          <w:rFonts w:ascii="仿宋" w:eastAsia="仿宋_GB2312" w:hAnsi="仿宋"/>
          <w:sz w:val="30"/>
          <w:szCs w:val="30"/>
        </w:rPr>
      </w:pPr>
      <w:r>
        <w:rPr>
          <w:rFonts w:ascii="仿宋" w:eastAsia="仿宋_GB2312" w:hAnsi="仿宋" w:hint="eastAsia"/>
          <w:sz w:val="30"/>
          <w:szCs w:val="30"/>
        </w:rPr>
        <w:t>证券代码：</w:t>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证券简称：</w:t>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公告编号：</w:t>
      </w:r>
    </w:p>
    <w:p w14:paraId="54C7800B" w14:textId="77777777" w:rsidR="00116E8D" w:rsidRDefault="00863A62">
      <w:pPr>
        <w:adjustRightInd w:val="0"/>
        <w:snapToGrid w:val="0"/>
        <w:spacing w:line="560" w:lineRule="exact"/>
        <w:rPr>
          <w:rFonts w:ascii="仿宋" w:eastAsia="仿宋_GB2312" w:hAnsi="仿宋"/>
          <w:sz w:val="30"/>
          <w:szCs w:val="30"/>
        </w:rPr>
      </w:pPr>
      <w:r>
        <w:rPr>
          <w:rFonts w:ascii="仿宋" w:eastAsia="仿宋_GB2312" w:hAnsi="仿宋" w:hint="eastAsia"/>
          <w:sz w:val="30"/>
          <w:szCs w:val="30"/>
        </w:rPr>
        <w:t>转债代码：</w:t>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ab/>
      </w:r>
      <w:r>
        <w:rPr>
          <w:rFonts w:ascii="仿宋" w:eastAsia="仿宋_GB2312" w:hAnsi="仿宋" w:hint="eastAsia"/>
          <w:sz w:val="30"/>
          <w:szCs w:val="30"/>
        </w:rPr>
        <w:t>转债简称：</w:t>
      </w:r>
    </w:p>
    <w:p w14:paraId="75851964"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169CB271" w14:textId="77777777" w:rsidR="00116E8D" w:rsidRDefault="00863A62">
      <w:pPr>
        <w:adjustRightInd w:val="0"/>
        <w:snapToGrid w:val="0"/>
        <w:spacing w:line="560" w:lineRule="exact"/>
        <w:jc w:val="center"/>
        <w:rPr>
          <w:rFonts w:ascii="仿宋" w:eastAsia="仿宋_GB2312" w:hAnsi="仿宋"/>
          <w:sz w:val="30"/>
          <w:szCs w:val="30"/>
        </w:rPr>
      </w:pPr>
      <w:r>
        <w:rPr>
          <w:rFonts w:ascii="仿宋" w:eastAsia="仿宋_GB2312" w:hAnsi="仿宋" w:hint="eastAsia"/>
          <w:sz w:val="30"/>
          <w:szCs w:val="30"/>
        </w:rPr>
        <w:t>XXXX</w:t>
      </w:r>
      <w:r>
        <w:rPr>
          <w:rFonts w:ascii="仿宋" w:eastAsia="仿宋_GB2312" w:hAnsi="仿宋" w:hint="eastAsia"/>
          <w:sz w:val="30"/>
          <w:szCs w:val="30"/>
        </w:rPr>
        <w:t>股份有限公司关于“</w:t>
      </w:r>
      <w:r>
        <w:rPr>
          <w:rFonts w:ascii="仿宋" w:eastAsia="仿宋_GB2312" w:hAnsi="仿宋" w:hint="eastAsia"/>
          <w:sz w:val="30"/>
          <w:szCs w:val="30"/>
        </w:rPr>
        <w:t>XX</w:t>
      </w:r>
      <w:r>
        <w:rPr>
          <w:rFonts w:ascii="仿宋" w:eastAsia="仿宋_GB2312" w:hAnsi="仿宋" w:hint="eastAsia"/>
          <w:sz w:val="30"/>
          <w:szCs w:val="30"/>
        </w:rPr>
        <w:t>转债”到期兑付暨摘牌的公告</w:t>
      </w:r>
      <w:r>
        <w:rPr>
          <w:rFonts w:ascii="仿宋" w:eastAsia="仿宋_GB2312" w:hAnsi="仿宋" w:hint="eastAsia"/>
          <w:sz w:val="30"/>
          <w:szCs w:val="30"/>
        </w:rPr>
        <w:t>/</w:t>
      </w:r>
      <w:r>
        <w:rPr>
          <w:rFonts w:ascii="仿宋" w:eastAsia="仿宋_GB2312" w:hAnsi="仿宋" w:hint="eastAsia"/>
          <w:sz w:val="30"/>
          <w:szCs w:val="30"/>
        </w:rPr>
        <w:t>提示性公告</w:t>
      </w:r>
    </w:p>
    <w:p w14:paraId="074A366B"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58D4147B" w14:textId="77777777" w:rsidR="00116E8D" w:rsidRDefault="00863A62">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olor w:val="000000"/>
          <w:sz w:val="30"/>
          <w:szCs w:val="30"/>
        </w:rPr>
      </w:pPr>
      <w:r>
        <w:rPr>
          <w:rFonts w:ascii="仿宋" w:eastAsia="仿宋_GB2312" w:hAnsi="仿宋" w:hint="eastAsia"/>
          <w:color w:val="000000"/>
          <w:sz w:val="30"/>
          <w:szCs w:val="30"/>
        </w:rPr>
        <w:t>本公司董事会及全体董事保证本公告内容不存在任何虚假记载、误导性陈述或者重大遗漏，并对其内容的真实性、准确性和完整性承担法律责任。</w:t>
      </w:r>
    </w:p>
    <w:p w14:paraId="7DC1FC6F" w14:textId="77777777" w:rsidR="00116E8D" w:rsidRDefault="00863A62">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olor w:val="000000"/>
          <w:sz w:val="30"/>
          <w:szCs w:val="30"/>
        </w:rPr>
      </w:pPr>
      <w:r>
        <w:rPr>
          <w:rFonts w:ascii="仿宋" w:eastAsia="仿宋_GB2312" w:hAnsi="仿宋" w:hint="eastAsia"/>
          <w:color w:val="000000"/>
          <w:sz w:val="30"/>
          <w:szCs w:val="30"/>
        </w:rPr>
        <w:t>如有董事对临时公告内容的真实性、准确性和完整性无法保证或存在异议的，公司应当在公告中作特别提示。</w:t>
      </w:r>
    </w:p>
    <w:p w14:paraId="6755304B"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1ADA293E" w14:textId="77777777" w:rsidR="00116E8D" w:rsidRDefault="00863A62">
      <w:pPr>
        <w:adjustRightInd w:val="0"/>
        <w:snapToGrid w:val="0"/>
        <w:spacing w:line="560" w:lineRule="exact"/>
        <w:ind w:firstLineChars="200" w:firstLine="602"/>
        <w:rPr>
          <w:rFonts w:ascii="仿宋" w:eastAsia="仿宋_GB2312" w:hAnsi="仿宋"/>
          <w:b/>
          <w:sz w:val="30"/>
          <w:szCs w:val="30"/>
        </w:rPr>
      </w:pPr>
      <w:r>
        <w:rPr>
          <w:rFonts w:ascii="仿宋" w:eastAsia="仿宋_GB2312" w:hAnsi="仿宋" w:hint="eastAsia"/>
          <w:b/>
          <w:sz w:val="30"/>
          <w:szCs w:val="30"/>
        </w:rPr>
        <w:t>重要内容提示：</w:t>
      </w:r>
    </w:p>
    <w:p w14:paraId="166EE3A4" w14:textId="77777777" w:rsidR="00116E8D" w:rsidRDefault="00863A62">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可转债到期日和兑付登记日：</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2C05E78C" w14:textId="77777777" w:rsidR="00116E8D" w:rsidRDefault="00863A62">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兑付本息金额：</w:t>
      </w:r>
      <w:r>
        <w:rPr>
          <w:rFonts w:ascii="仿宋" w:eastAsia="仿宋_GB2312" w:hAnsi="仿宋" w:hint="eastAsia"/>
          <w:sz w:val="30"/>
          <w:szCs w:val="30"/>
        </w:rPr>
        <w:t>XX.XX</w:t>
      </w:r>
      <w:r>
        <w:rPr>
          <w:rFonts w:ascii="仿宋" w:eastAsia="仿宋_GB2312" w:hAnsi="仿宋" w:hint="eastAsia"/>
          <w:sz w:val="30"/>
          <w:szCs w:val="30"/>
        </w:rPr>
        <w:t>元人民币</w:t>
      </w:r>
      <w:r>
        <w:rPr>
          <w:rFonts w:ascii="仿宋" w:eastAsia="仿宋_GB2312" w:hAnsi="仿宋" w:hint="eastAsia"/>
          <w:sz w:val="30"/>
          <w:szCs w:val="30"/>
        </w:rPr>
        <w:t>/</w:t>
      </w:r>
      <w:r>
        <w:rPr>
          <w:rFonts w:ascii="仿宋" w:eastAsia="仿宋_GB2312" w:hAnsi="仿宋" w:hint="eastAsia"/>
          <w:sz w:val="30"/>
          <w:szCs w:val="30"/>
        </w:rPr>
        <w:t>张</w:t>
      </w:r>
    </w:p>
    <w:p w14:paraId="0880538E" w14:textId="77777777" w:rsidR="00116E8D" w:rsidRDefault="00863A62">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lastRenderedPageBreak/>
        <w:t>兑付资金发放日</w:t>
      </w:r>
      <w:r>
        <w:rPr>
          <w:rFonts w:ascii="仿宋" w:eastAsia="仿宋_GB2312" w:hAnsi="仿宋" w:hint="eastAsia"/>
          <w:sz w:val="30"/>
          <w:szCs w:val="30"/>
        </w:rPr>
        <w:t>: 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222197D4" w14:textId="77777777" w:rsidR="00116E8D" w:rsidRDefault="00863A62">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可转债摘牌日</w:t>
      </w:r>
      <w:r>
        <w:rPr>
          <w:rFonts w:ascii="仿宋" w:eastAsia="仿宋_GB2312" w:hAnsi="仿宋" w:hint="eastAsia"/>
          <w:sz w:val="30"/>
          <w:szCs w:val="30"/>
        </w:rPr>
        <w:t>: 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5FF90880" w14:textId="77777777" w:rsidR="00116E8D" w:rsidRDefault="00863A62">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可转债最后交易日：</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21850E4D" w14:textId="77777777" w:rsidR="00116E8D" w:rsidRDefault="00863A62">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可转债最后转股日：</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03FC879F"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自</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日（可转债停止交易起始日）至</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日（可转债转股期结束日），“</w:t>
      </w:r>
      <w:r>
        <w:rPr>
          <w:rFonts w:ascii="仿宋" w:eastAsia="仿宋_GB2312" w:hAnsi="仿宋" w:hint="eastAsia"/>
          <w:sz w:val="30"/>
          <w:szCs w:val="30"/>
        </w:rPr>
        <w:t>XX</w:t>
      </w:r>
      <w:r>
        <w:rPr>
          <w:rFonts w:ascii="仿宋" w:eastAsia="仿宋_GB2312" w:hAnsi="仿宋" w:hint="eastAsia"/>
          <w:sz w:val="30"/>
          <w:szCs w:val="30"/>
        </w:rPr>
        <w:t>转债”持有人仍可以依据约定的条件将“</w:t>
      </w:r>
      <w:r>
        <w:rPr>
          <w:rFonts w:ascii="仿宋" w:eastAsia="仿宋_GB2312" w:hAnsi="仿宋" w:hint="eastAsia"/>
          <w:sz w:val="30"/>
          <w:szCs w:val="30"/>
        </w:rPr>
        <w:t>XX</w:t>
      </w:r>
      <w:r>
        <w:rPr>
          <w:rFonts w:ascii="仿宋" w:eastAsia="仿宋_GB2312" w:hAnsi="仿宋" w:hint="eastAsia"/>
          <w:sz w:val="30"/>
          <w:szCs w:val="30"/>
        </w:rPr>
        <w:t>转债”转换为公司股票。</w:t>
      </w:r>
    </w:p>
    <w:p w14:paraId="624E8F9B"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5883C551"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XXXX</w:t>
      </w:r>
      <w:r>
        <w:rPr>
          <w:rFonts w:ascii="仿宋" w:eastAsia="仿宋_GB2312" w:hAnsi="仿宋" w:hint="eastAsia"/>
          <w:sz w:val="30"/>
          <w:szCs w:val="30"/>
        </w:rPr>
        <w:t>股份有限公司</w:t>
      </w:r>
      <w:r>
        <w:rPr>
          <w:rFonts w:ascii="仿宋" w:eastAsia="仿宋_GB2312" w:hAnsi="仿宋" w:hint="eastAsia"/>
          <w:sz w:val="30"/>
          <w:szCs w:val="30"/>
        </w:rPr>
        <w:t>(</w:t>
      </w:r>
      <w:r>
        <w:rPr>
          <w:rFonts w:ascii="仿宋" w:eastAsia="仿宋_GB2312" w:hAnsi="仿宋" w:hint="eastAsia"/>
          <w:sz w:val="30"/>
          <w:szCs w:val="30"/>
        </w:rPr>
        <w:t>以下简称本公司</w:t>
      </w:r>
      <w:r>
        <w:rPr>
          <w:rFonts w:ascii="仿宋" w:eastAsia="仿宋_GB2312" w:hAnsi="仿宋" w:hint="eastAsia"/>
          <w:sz w:val="30"/>
          <w:szCs w:val="30"/>
        </w:rPr>
        <w:t>)</w:t>
      </w:r>
      <w:r>
        <w:rPr>
          <w:rFonts w:ascii="仿宋" w:eastAsia="仿宋_GB2312" w:hAnsi="仿宋" w:hint="eastAsia"/>
          <w:sz w:val="30"/>
          <w:szCs w:val="30"/>
        </w:rPr>
        <w:t>经中国证监会</w:t>
      </w:r>
      <w:r>
        <w:rPr>
          <w:rFonts w:ascii="仿宋" w:eastAsia="仿宋_GB2312" w:hAnsi="仿宋" w:hint="eastAsia"/>
          <w:sz w:val="30"/>
          <w:szCs w:val="30"/>
        </w:rPr>
        <w:t>XXXX</w:t>
      </w:r>
      <w:r>
        <w:rPr>
          <w:rFonts w:ascii="仿宋" w:eastAsia="仿宋_GB2312" w:hAnsi="仿宋" w:hint="eastAsia"/>
          <w:sz w:val="30"/>
          <w:szCs w:val="30"/>
        </w:rPr>
        <w:t>号文批准，于</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日通过上海证券交易所向社会公开发行</w:t>
      </w:r>
      <w:r>
        <w:rPr>
          <w:rFonts w:ascii="仿宋" w:eastAsia="仿宋_GB2312" w:hAnsi="仿宋" w:hint="eastAsia"/>
          <w:sz w:val="30"/>
          <w:szCs w:val="30"/>
        </w:rPr>
        <w:t>XXXX</w:t>
      </w:r>
      <w:r>
        <w:rPr>
          <w:rFonts w:ascii="仿宋" w:eastAsia="仿宋_GB2312" w:hAnsi="仿宋" w:hint="eastAsia"/>
          <w:sz w:val="30"/>
          <w:szCs w:val="30"/>
        </w:rPr>
        <w:t>万元人民币可转换公司债券，期限为</w:t>
      </w:r>
      <w:r>
        <w:rPr>
          <w:rFonts w:ascii="仿宋" w:eastAsia="仿宋_GB2312" w:hAnsi="仿宋" w:hint="eastAsia"/>
          <w:sz w:val="30"/>
          <w:szCs w:val="30"/>
        </w:rPr>
        <w:t>XX</w:t>
      </w:r>
      <w:r>
        <w:rPr>
          <w:rFonts w:ascii="仿宋" w:eastAsia="仿宋_GB2312" w:hAnsi="仿宋" w:hint="eastAsia"/>
          <w:sz w:val="30"/>
          <w:szCs w:val="30"/>
        </w:rPr>
        <w:t>年</w:t>
      </w:r>
      <w:r>
        <w:rPr>
          <w:rFonts w:ascii="仿宋" w:eastAsia="仿宋_GB2312" w:hAnsi="仿宋" w:hint="eastAsia"/>
          <w:sz w:val="30"/>
          <w:szCs w:val="30"/>
        </w:rPr>
        <w:t>(</w:t>
      </w:r>
      <w:r>
        <w:rPr>
          <w:rFonts w:ascii="仿宋" w:eastAsia="仿宋_GB2312" w:hAnsi="仿宋" w:hint="eastAsia"/>
          <w:sz w:val="30"/>
          <w:szCs w:val="30"/>
        </w:rPr>
        <w:t>即</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r>
        <w:rPr>
          <w:rFonts w:ascii="仿宋" w:eastAsia="仿宋_GB2312" w:hAnsi="仿宋" w:hint="eastAsia"/>
          <w:sz w:val="30"/>
          <w:szCs w:val="30"/>
        </w:rPr>
        <w:t>)</w:t>
      </w:r>
      <w:r>
        <w:rPr>
          <w:rFonts w:ascii="仿宋" w:eastAsia="仿宋_GB2312" w:hAnsi="仿宋" w:hint="eastAsia"/>
          <w:sz w:val="30"/>
          <w:szCs w:val="30"/>
        </w:rPr>
        <w:t>，</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日起在上海证券交易所挂牌交易，证券简称为“</w:t>
      </w:r>
      <w:r>
        <w:rPr>
          <w:rFonts w:ascii="仿宋" w:eastAsia="仿宋_GB2312" w:hAnsi="仿宋" w:hint="eastAsia"/>
          <w:sz w:val="30"/>
          <w:szCs w:val="30"/>
        </w:rPr>
        <w:t>XX</w:t>
      </w:r>
      <w:r>
        <w:rPr>
          <w:rFonts w:ascii="仿宋" w:eastAsia="仿宋_GB2312" w:hAnsi="仿宋" w:hint="eastAsia"/>
          <w:sz w:val="30"/>
          <w:szCs w:val="30"/>
        </w:rPr>
        <w:t>转债”，证券代码为“</w:t>
      </w:r>
      <w:r>
        <w:rPr>
          <w:rFonts w:ascii="仿宋" w:eastAsia="仿宋_GB2312" w:hAnsi="仿宋" w:hint="eastAsia"/>
          <w:sz w:val="30"/>
          <w:szCs w:val="30"/>
        </w:rPr>
        <w:t>XXXXXX</w:t>
      </w:r>
      <w:r>
        <w:rPr>
          <w:rFonts w:ascii="仿宋" w:eastAsia="仿宋_GB2312" w:hAnsi="仿宋" w:hint="eastAsia"/>
          <w:sz w:val="30"/>
          <w:szCs w:val="30"/>
        </w:rPr>
        <w:t>”。</w:t>
      </w:r>
    </w:p>
    <w:p w14:paraId="2BCE585F"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XX</w:t>
      </w:r>
      <w:r>
        <w:rPr>
          <w:rFonts w:ascii="仿宋" w:eastAsia="仿宋_GB2312" w:hAnsi="仿宋" w:hint="eastAsia"/>
          <w:sz w:val="30"/>
          <w:szCs w:val="30"/>
        </w:rPr>
        <w:t>转债自</w:t>
      </w:r>
      <w:r>
        <w:rPr>
          <w:rFonts w:ascii="仿宋" w:eastAsia="仿宋_GB2312" w:hAnsi="仿宋" w:hint="eastAsia"/>
          <w:sz w:val="30"/>
          <w:szCs w:val="30"/>
        </w:rPr>
        <w:t>XXX</w:t>
      </w:r>
      <w:r>
        <w:rPr>
          <w:rFonts w:ascii="仿宋" w:eastAsia="仿宋_GB2312" w:hAnsi="仿宋" w:hint="eastAsia"/>
          <w:sz w:val="30"/>
          <w:szCs w:val="30"/>
        </w:rPr>
        <w:t>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日进入转股期，截至</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日（到期日）共有</w:t>
      </w:r>
      <w:r>
        <w:rPr>
          <w:rFonts w:ascii="仿宋" w:eastAsia="仿宋_GB2312" w:hAnsi="仿宋" w:hint="eastAsia"/>
          <w:sz w:val="30"/>
          <w:szCs w:val="30"/>
        </w:rPr>
        <w:t>XXXX</w:t>
      </w:r>
      <w:r>
        <w:rPr>
          <w:rFonts w:ascii="仿宋" w:eastAsia="仿宋_GB2312" w:hAnsi="仿宋" w:hint="eastAsia"/>
          <w:sz w:val="30"/>
          <w:szCs w:val="30"/>
        </w:rPr>
        <w:t>万元人民币已转为本公司股票，本次兑付的本金为</w:t>
      </w:r>
      <w:r>
        <w:rPr>
          <w:rFonts w:ascii="仿宋" w:eastAsia="仿宋_GB2312" w:hAnsi="仿宋" w:hint="eastAsia"/>
          <w:sz w:val="30"/>
          <w:szCs w:val="30"/>
        </w:rPr>
        <w:t>XXXX</w:t>
      </w:r>
      <w:r>
        <w:rPr>
          <w:rFonts w:ascii="仿宋" w:eastAsia="仿宋_GB2312" w:hAnsi="仿宋" w:hint="eastAsia"/>
          <w:sz w:val="30"/>
          <w:szCs w:val="30"/>
        </w:rPr>
        <w:t>万元人民币，利息为</w:t>
      </w:r>
      <w:r>
        <w:rPr>
          <w:rFonts w:ascii="仿宋" w:eastAsia="仿宋_GB2312" w:hAnsi="仿宋" w:hint="eastAsia"/>
          <w:sz w:val="30"/>
          <w:szCs w:val="30"/>
        </w:rPr>
        <w:t>XXXX</w:t>
      </w:r>
      <w:r>
        <w:rPr>
          <w:rFonts w:ascii="仿宋" w:eastAsia="仿宋_GB2312" w:hAnsi="仿宋" w:hint="eastAsia"/>
          <w:sz w:val="30"/>
          <w:szCs w:val="30"/>
        </w:rPr>
        <w:t>万元人民币，兑付总额为</w:t>
      </w:r>
      <w:r>
        <w:rPr>
          <w:rFonts w:ascii="仿宋" w:eastAsia="仿宋_GB2312" w:hAnsi="仿宋" w:hint="eastAsia"/>
          <w:sz w:val="30"/>
          <w:szCs w:val="30"/>
        </w:rPr>
        <w:t>XXXX</w:t>
      </w:r>
      <w:r>
        <w:rPr>
          <w:rFonts w:ascii="仿宋" w:eastAsia="仿宋_GB2312" w:hAnsi="仿宋" w:hint="eastAsia"/>
          <w:sz w:val="30"/>
          <w:szCs w:val="30"/>
        </w:rPr>
        <w:t>万元人民币。（如适用）</w:t>
      </w:r>
    </w:p>
    <w:p w14:paraId="02F95F9B" w14:textId="7F9A03BB"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根据《</w:t>
      </w:r>
      <w:r>
        <w:rPr>
          <w:rFonts w:ascii="仿宋" w:eastAsia="仿宋_GB2312" w:hAnsi="仿宋" w:hint="eastAsia"/>
          <w:sz w:val="30"/>
          <w:szCs w:val="30"/>
        </w:rPr>
        <w:t>上市公司</w:t>
      </w:r>
      <w:r>
        <w:rPr>
          <w:rFonts w:ascii="仿宋" w:eastAsia="仿宋_GB2312" w:hAnsi="仿宋" w:cs="Times New Roman" w:hint="eastAsia"/>
          <w:sz w:val="30"/>
          <w:szCs w:val="30"/>
        </w:rPr>
        <w:t>证券发行注册管理办法</w:t>
      </w:r>
      <w:r>
        <w:rPr>
          <w:rFonts w:ascii="仿宋" w:eastAsia="仿宋_GB2312" w:hAnsi="仿宋" w:hint="eastAsia"/>
          <w:sz w:val="30"/>
          <w:szCs w:val="30"/>
        </w:rPr>
        <w:t>》《上海证券交易所科创板股票上市规则》及本公司《可转换公司债券募集说明书》，现将</w:t>
      </w:r>
      <w:r>
        <w:rPr>
          <w:rFonts w:ascii="仿宋" w:eastAsia="仿宋_GB2312" w:hAnsi="仿宋" w:hint="eastAsia"/>
          <w:sz w:val="30"/>
          <w:szCs w:val="30"/>
        </w:rPr>
        <w:t>XX</w:t>
      </w:r>
      <w:r>
        <w:rPr>
          <w:rFonts w:ascii="仿宋" w:eastAsia="仿宋_GB2312" w:hAnsi="仿宋" w:hint="eastAsia"/>
          <w:sz w:val="30"/>
          <w:szCs w:val="30"/>
        </w:rPr>
        <w:t>转债到期兑付摘牌事项公告如下：</w:t>
      </w:r>
    </w:p>
    <w:p w14:paraId="248FDF18"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4B863D88"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一、兑付方案</w:t>
      </w:r>
    </w:p>
    <w:p w14:paraId="237C60D3"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披露公司《可转换公司债券募集说明书》的有关约定，说明</w:t>
      </w:r>
      <w:r>
        <w:rPr>
          <w:rFonts w:ascii="仿宋" w:eastAsia="仿宋_GB2312" w:hAnsi="仿宋" w:hint="eastAsia"/>
          <w:sz w:val="30"/>
          <w:szCs w:val="30"/>
        </w:rPr>
        <w:lastRenderedPageBreak/>
        <w:t>每张可转债公司兑付金额以及本次兑付总金额。</w:t>
      </w:r>
    </w:p>
    <w:p w14:paraId="68D431A4"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795DD1B9"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二、可转债停止交易日</w:t>
      </w:r>
    </w:p>
    <w:p w14:paraId="1AB49D0E" w14:textId="32428AFA" w:rsidR="00116E8D" w:rsidRDefault="00863A62">
      <w:pPr>
        <w:adjustRightInd w:val="0"/>
        <w:snapToGrid w:val="0"/>
        <w:spacing w:line="560" w:lineRule="exact"/>
        <w:ind w:firstLineChars="200" w:firstLine="600"/>
        <w:rPr>
          <w:rFonts w:ascii="仿宋" w:eastAsia="仿宋_GB2312" w:hAnsi="仿宋"/>
          <w:sz w:val="30"/>
          <w:szCs w:val="30"/>
        </w:rPr>
      </w:pPr>
      <w:bookmarkStart w:id="4" w:name="_GoBack"/>
      <w:bookmarkEnd w:id="4"/>
      <w:r>
        <w:rPr>
          <w:rFonts w:ascii="仿宋" w:eastAsia="仿宋_GB2312" w:hAnsi="仿宋" w:hint="eastAsia"/>
          <w:sz w:val="30"/>
          <w:szCs w:val="30"/>
        </w:rPr>
        <w:t>“</w:t>
      </w:r>
      <w:r>
        <w:rPr>
          <w:rFonts w:ascii="仿宋" w:eastAsia="仿宋_GB2312" w:hAnsi="仿宋" w:hint="eastAsia"/>
          <w:sz w:val="30"/>
          <w:szCs w:val="30"/>
        </w:rPr>
        <w:t>XX</w:t>
      </w:r>
      <w:r>
        <w:rPr>
          <w:rFonts w:ascii="仿宋" w:eastAsia="仿宋_GB2312" w:hAnsi="仿宋" w:hint="eastAsia"/>
          <w:sz w:val="30"/>
          <w:szCs w:val="30"/>
        </w:rPr>
        <w:t>转债”将于</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日开始停止交易，</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日为“</w:t>
      </w:r>
      <w:r>
        <w:rPr>
          <w:rFonts w:ascii="仿宋" w:eastAsia="仿宋_GB2312" w:hAnsi="仿宋" w:hint="eastAsia"/>
          <w:sz w:val="30"/>
          <w:szCs w:val="30"/>
        </w:rPr>
        <w:t>XX</w:t>
      </w:r>
      <w:r>
        <w:rPr>
          <w:rFonts w:ascii="仿宋" w:eastAsia="仿宋_GB2312" w:hAnsi="仿宋" w:hint="eastAsia"/>
          <w:sz w:val="30"/>
          <w:szCs w:val="30"/>
        </w:rPr>
        <w:t>转债”最后交易日。</w:t>
      </w:r>
    </w:p>
    <w:p w14:paraId="5CC41BB5"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在停止交易后、转股期结束前（即自</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日至</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r>
        <w:rPr>
          <w:rFonts w:ascii="仿宋" w:eastAsia="仿宋_GB2312" w:hAnsi="仿宋" w:hint="eastAsia"/>
          <w:sz w:val="30"/>
          <w:szCs w:val="30"/>
        </w:rPr>
        <w:t>XX</w:t>
      </w:r>
      <w:r>
        <w:rPr>
          <w:rFonts w:ascii="仿宋" w:eastAsia="仿宋_GB2312" w:hAnsi="仿宋" w:hint="eastAsia"/>
          <w:sz w:val="30"/>
          <w:szCs w:val="30"/>
        </w:rPr>
        <w:t>转债”持有人仍可以依据约定的条件将“</w:t>
      </w:r>
      <w:r>
        <w:rPr>
          <w:rFonts w:ascii="仿宋" w:eastAsia="仿宋_GB2312" w:hAnsi="仿宋" w:hint="eastAsia"/>
          <w:sz w:val="30"/>
          <w:szCs w:val="30"/>
        </w:rPr>
        <w:t>XX</w:t>
      </w:r>
      <w:r>
        <w:rPr>
          <w:rFonts w:ascii="仿宋" w:eastAsia="仿宋_GB2312" w:hAnsi="仿宋" w:hint="eastAsia"/>
          <w:sz w:val="30"/>
          <w:szCs w:val="30"/>
        </w:rPr>
        <w:t>转债”转换为公司股票。</w:t>
      </w:r>
    </w:p>
    <w:p w14:paraId="6B85E268"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公司股票当前收盘价（</w:t>
      </w:r>
      <w:r>
        <w:rPr>
          <w:rFonts w:ascii="仿宋" w:eastAsia="仿宋_GB2312" w:hAnsi="仿宋" w:hint="eastAsia"/>
          <w:sz w:val="30"/>
          <w:szCs w:val="30"/>
        </w:rPr>
        <w:t>XX</w:t>
      </w:r>
      <w:r>
        <w:rPr>
          <w:rFonts w:ascii="仿宋" w:eastAsia="仿宋_GB2312" w:hAnsi="仿宋" w:hint="eastAsia"/>
          <w:sz w:val="30"/>
          <w:szCs w:val="30"/>
        </w:rPr>
        <w:t>元</w:t>
      </w:r>
      <w:r>
        <w:rPr>
          <w:rFonts w:ascii="仿宋" w:eastAsia="仿宋_GB2312" w:hAnsi="仿宋" w:hint="eastAsia"/>
          <w:sz w:val="30"/>
          <w:szCs w:val="30"/>
        </w:rPr>
        <w:t>/</w:t>
      </w:r>
      <w:r>
        <w:rPr>
          <w:rFonts w:ascii="仿宋" w:eastAsia="仿宋_GB2312" w:hAnsi="仿宋" w:hint="eastAsia"/>
          <w:sz w:val="30"/>
          <w:szCs w:val="30"/>
        </w:rPr>
        <w:t>股）与转股价格（</w:t>
      </w:r>
      <w:r>
        <w:rPr>
          <w:rFonts w:ascii="仿宋" w:eastAsia="仿宋_GB2312" w:hAnsi="仿宋" w:hint="eastAsia"/>
          <w:sz w:val="30"/>
          <w:szCs w:val="30"/>
        </w:rPr>
        <w:t>XX</w:t>
      </w:r>
      <w:r>
        <w:rPr>
          <w:rFonts w:ascii="仿宋" w:eastAsia="仿宋_GB2312" w:hAnsi="仿宋" w:hint="eastAsia"/>
          <w:sz w:val="30"/>
          <w:szCs w:val="30"/>
        </w:rPr>
        <w:t>元</w:t>
      </w:r>
      <w:r>
        <w:rPr>
          <w:rFonts w:ascii="仿宋" w:eastAsia="仿宋_GB2312" w:hAnsi="仿宋" w:hint="eastAsia"/>
          <w:sz w:val="30"/>
          <w:szCs w:val="30"/>
        </w:rPr>
        <w:t>/</w:t>
      </w:r>
      <w:r>
        <w:rPr>
          <w:rFonts w:ascii="仿宋" w:eastAsia="仿宋_GB2312" w:hAnsi="仿宋" w:hint="eastAsia"/>
          <w:sz w:val="30"/>
          <w:szCs w:val="30"/>
        </w:rPr>
        <w:t>股）存在一定差异，请投资者注意转股可能存在的风险。（如适用）</w:t>
      </w:r>
    </w:p>
    <w:p w14:paraId="1D64119B"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34A6BC89"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三、兑付债权登记日（可转债到期日）</w:t>
      </w:r>
    </w:p>
    <w:p w14:paraId="677BA752"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w:t>
      </w:r>
      <w:r>
        <w:rPr>
          <w:rFonts w:ascii="仿宋" w:eastAsia="仿宋_GB2312" w:hAnsi="仿宋" w:hint="eastAsia"/>
          <w:sz w:val="30"/>
          <w:szCs w:val="30"/>
        </w:rPr>
        <w:t>XX</w:t>
      </w:r>
      <w:r>
        <w:rPr>
          <w:rFonts w:ascii="仿宋" w:eastAsia="仿宋_GB2312" w:hAnsi="仿宋" w:hint="eastAsia"/>
          <w:sz w:val="30"/>
          <w:szCs w:val="30"/>
        </w:rPr>
        <w:t>转债”到期日和兑付登记日为</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日，本次兑付的对象为截止</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日上海证券交易所收市后在中国证券登记结算有限责任公司上海分公司（以下简称中登上海分公司）登记在册的</w:t>
      </w:r>
      <w:r>
        <w:rPr>
          <w:rFonts w:ascii="仿宋" w:eastAsia="仿宋_GB2312" w:hAnsi="仿宋" w:hint="eastAsia"/>
          <w:sz w:val="30"/>
          <w:szCs w:val="30"/>
        </w:rPr>
        <w:t>XX</w:t>
      </w:r>
      <w:r>
        <w:rPr>
          <w:rFonts w:ascii="仿宋" w:eastAsia="仿宋_GB2312" w:hAnsi="仿宋" w:hint="eastAsia"/>
          <w:sz w:val="30"/>
          <w:szCs w:val="30"/>
        </w:rPr>
        <w:t>转债全体持有人。</w:t>
      </w:r>
    </w:p>
    <w:p w14:paraId="6600429D"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351A5B3D"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四、兑付本息金额与兑付资金发放日</w:t>
      </w:r>
    </w:p>
    <w:p w14:paraId="262AB888" w14:textId="77777777" w:rsidR="00116E8D" w:rsidRDefault="00863A62">
      <w:pPr>
        <w:adjustRightInd w:val="0"/>
        <w:snapToGrid w:val="0"/>
        <w:spacing w:line="560" w:lineRule="exact"/>
        <w:ind w:firstLineChars="188" w:firstLine="564"/>
        <w:rPr>
          <w:rFonts w:ascii="仿宋" w:eastAsia="仿宋_GB2312" w:hAnsi="仿宋"/>
          <w:sz w:val="30"/>
          <w:szCs w:val="30"/>
        </w:rPr>
      </w:pPr>
      <w:r>
        <w:rPr>
          <w:rFonts w:ascii="仿宋" w:eastAsia="仿宋_GB2312" w:hAnsi="仿宋" w:hint="eastAsia"/>
          <w:sz w:val="30"/>
          <w:szCs w:val="30"/>
        </w:rPr>
        <w:t>“</w:t>
      </w:r>
      <w:r>
        <w:rPr>
          <w:rFonts w:ascii="仿宋" w:eastAsia="仿宋_GB2312" w:hAnsi="仿宋" w:hint="eastAsia"/>
          <w:sz w:val="30"/>
          <w:szCs w:val="30"/>
        </w:rPr>
        <w:t>XX</w:t>
      </w:r>
      <w:r>
        <w:rPr>
          <w:rFonts w:ascii="仿宋" w:eastAsia="仿宋_GB2312" w:hAnsi="仿宋" w:hint="eastAsia"/>
          <w:sz w:val="30"/>
          <w:szCs w:val="30"/>
        </w:rPr>
        <w:t>转债”到期兑付本息金额为</w:t>
      </w:r>
      <w:r>
        <w:rPr>
          <w:rFonts w:ascii="仿宋" w:eastAsia="仿宋_GB2312" w:hAnsi="仿宋" w:hint="eastAsia"/>
          <w:sz w:val="30"/>
          <w:szCs w:val="30"/>
        </w:rPr>
        <w:t>XX.XX</w:t>
      </w:r>
      <w:r>
        <w:rPr>
          <w:rFonts w:ascii="仿宋" w:eastAsia="仿宋_GB2312" w:hAnsi="仿宋" w:hint="eastAsia"/>
          <w:sz w:val="30"/>
          <w:szCs w:val="30"/>
        </w:rPr>
        <w:t>元人民币</w:t>
      </w:r>
      <w:r>
        <w:rPr>
          <w:rFonts w:ascii="仿宋" w:eastAsia="仿宋_GB2312" w:hAnsi="仿宋" w:hint="eastAsia"/>
          <w:sz w:val="30"/>
          <w:szCs w:val="30"/>
        </w:rPr>
        <w:t>/</w:t>
      </w:r>
      <w:r>
        <w:rPr>
          <w:rFonts w:ascii="仿宋" w:eastAsia="仿宋_GB2312" w:hAnsi="仿宋" w:hint="eastAsia"/>
          <w:sz w:val="30"/>
          <w:szCs w:val="30"/>
        </w:rPr>
        <w:t>张，兑付资金发放日为</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03FE97FB" w14:textId="77777777" w:rsidR="00116E8D" w:rsidRDefault="00116E8D">
      <w:pPr>
        <w:adjustRightInd w:val="0"/>
        <w:snapToGrid w:val="0"/>
        <w:spacing w:line="560" w:lineRule="exact"/>
        <w:ind w:firstLineChars="188" w:firstLine="564"/>
        <w:rPr>
          <w:rFonts w:ascii="仿宋" w:eastAsia="仿宋_GB2312" w:hAnsi="仿宋"/>
          <w:sz w:val="30"/>
          <w:szCs w:val="30"/>
        </w:rPr>
      </w:pPr>
    </w:p>
    <w:p w14:paraId="0BD12C0D"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五、兑付办法</w:t>
      </w:r>
    </w:p>
    <w:p w14:paraId="73727F48"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XX</w:t>
      </w:r>
      <w:r>
        <w:rPr>
          <w:rFonts w:ascii="仿宋" w:eastAsia="仿宋_GB2312" w:hAnsi="仿宋" w:hint="eastAsia"/>
          <w:sz w:val="30"/>
          <w:szCs w:val="30"/>
        </w:rPr>
        <w:t>转债的本金和利息将由中登上海分公司通过托管证券商划入</w:t>
      </w:r>
      <w:r>
        <w:rPr>
          <w:rFonts w:ascii="仿宋" w:eastAsia="仿宋_GB2312" w:hAnsi="仿宋" w:hint="eastAsia"/>
          <w:sz w:val="30"/>
          <w:szCs w:val="30"/>
        </w:rPr>
        <w:t>XX</w:t>
      </w:r>
      <w:r>
        <w:rPr>
          <w:rFonts w:ascii="仿宋" w:eastAsia="仿宋_GB2312" w:hAnsi="仿宋" w:hint="eastAsia"/>
          <w:sz w:val="30"/>
          <w:szCs w:val="30"/>
        </w:rPr>
        <w:t>债券相关持有人资金帐户。</w:t>
      </w:r>
    </w:p>
    <w:p w14:paraId="3203129E"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7B2B53E5"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六、可转债摘牌日</w:t>
      </w:r>
    </w:p>
    <w:p w14:paraId="09B0AAA8"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自</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日（可转债转股期结束前的第</w:t>
      </w:r>
      <w:r>
        <w:rPr>
          <w:rFonts w:ascii="仿宋" w:eastAsia="仿宋_GB2312" w:hAnsi="仿宋"/>
          <w:sz w:val="30"/>
          <w:szCs w:val="30"/>
        </w:rPr>
        <w:t>3</w:t>
      </w:r>
      <w:r>
        <w:rPr>
          <w:rFonts w:ascii="仿宋" w:eastAsia="仿宋_GB2312" w:hAnsi="仿宋" w:hint="eastAsia"/>
          <w:sz w:val="30"/>
          <w:szCs w:val="30"/>
        </w:rPr>
        <w:t>个交易日）起，</w:t>
      </w:r>
      <w:r>
        <w:rPr>
          <w:rFonts w:ascii="仿宋" w:eastAsia="仿宋_GB2312" w:hAnsi="仿宋" w:hint="eastAsia"/>
          <w:sz w:val="30"/>
          <w:szCs w:val="30"/>
        </w:rPr>
        <w:t>XX</w:t>
      </w:r>
      <w:r>
        <w:rPr>
          <w:rFonts w:ascii="仿宋" w:eastAsia="仿宋_GB2312" w:hAnsi="仿宋" w:hint="eastAsia"/>
          <w:sz w:val="30"/>
          <w:szCs w:val="30"/>
        </w:rPr>
        <w:t>转债将停止交易。自</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r>
        <w:rPr>
          <w:rFonts w:ascii="仿宋" w:eastAsia="仿宋_GB2312" w:hAnsi="仿宋" w:hint="eastAsia"/>
          <w:sz w:val="30"/>
          <w:szCs w:val="30"/>
        </w:rPr>
        <w:t>(</w:t>
      </w:r>
      <w:r>
        <w:rPr>
          <w:rFonts w:ascii="仿宋" w:eastAsia="仿宋_GB2312" w:hAnsi="仿宋" w:hint="eastAsia"/>
          <w:sz w:val="30"/>
          <w:szCs w:val="30"/>
        </w:rPr>
        <w:t>可转债到期日的次一交易日</w:t>
      </w:r>
      <w:r>
        <w:rPr>
          <w:rFonts w:ascii="仿宋" w:eastAsia="仿宋_GB2312" w:hAnsi="仿宋" w:hint="eastAsia"/>
          <w:sz w:val="30"/>
          <w:szCs w:val="30"/>
        </w:rPr>
        <w:t>)</w:t>
      </w:r>
      <w:r>
        <w:rPr>
          <w:rFonts w:ascii="仿宋" w:eastAsia="仿宋_GB2312" w:hAnsi="仿宋" w:hint="eastAsia"/>
          <w:sz w:val="30"/>
          <w:szCs w:val="30"/>
        </w:rPr>
        <w:t>起，</w:t>
      </w:r>
      <w:r>
        <w:rPr>
          <w:rFonts w:ascii="仿宋" w:eastAsia="仿宋_GB2312" w:hAnsi="仿宋" w:hint="eastAsia"/>
          <w:sz w:val="30"/>
          <w:szCs w:val="30"/>
        </w:rPr>
        <w:t>XX</w:t>
      </w:r>
      <w:r>
        <w:rPr>
          <w:rFonts w:ascii="仿宋" w:eastAsia="仿宋_GB2312" w:hAnsi="仿宋" w:hint="eastAsia"/>
          <w:sz w:val="30"/>
          <w:szCs w:val="30"/>
        </w:rPr>
        <w:t>转债将在上海证券交易所摘牌。</w:t>
      </w:r>
    </w:p>
    <w:p w14:paraId="17718AE4"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2E7DFDE9" w14:textId="77777777" w:rsidR="00116E8D" w:rsidRDefault="00863A62">
      <w:pPr>
        <w:adjustRightInd w:val="0"/>
        <w:snapToGrid w:val="0"/>
        <w:spacing w:line="560" w:lineRule="exact"/>
        <w:ind w:firstLineChars="200" w:firstLine="602"/>
        <w:rPr>
          <w:rFonts w:ascii="黑体" w:eastAsia="黑体" w:hAnsi="黑体"/>
          <w:b/>
          <w:bCs/>
          <w:sz w:val="30"/>
          <w:szCs w:val="30"/>
        </w:rPr>
      </w:pPr>
      <w:r>
        <w:rPr>
          <w:rFonts w:ascii="黑体" w:eastAsia="黑体" w:hAnsi="黑体" w:hint="eastAsia"/>
          <w:b/>
          <w:bCs/>
          <w:sz w:val="30"/>
          <w:szCs w:val="30"/>
        </w:rPr>
        <w:t>七、其他</w:t>
      </w:r>
    </w:p>
    <w:p w14:paraId="31BFDD5B"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联系部门：</w:t>
      </w:r>
    </w:p>
    <w:p w14:paraId="6E55D15F"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联系电话：（</w:t>
      </w:r>
      <w:r>
        <w:rPr>
          <w:rFonts w:ascii="仿宋" w:eastAsia="仿宋_GB2312" w:hAnsi="仿宋" w:hint="eastAsia"/>
          <w:sz w:val="30"/>
          <w:szCs w:val="30"/>
        </w:rPr>
        <w:t>XXXX</w:t>
      </w:r>
      <w:r>
        <w:rPr>
          <w:rFonts w:ascii="仿宋" w:eastAsia="仿宋_GB2312" w:hAnsi="仿宋" w:hint="eastAsia"/>
          <w:sz w:val="30"/>
          <w:szCs w:val="30"/>
        </w:rPr>
        <w:t>）</w:t>
      </w:r>
      <w:r>
        <w:rPr>
          <w:rFonts w:ascii="仿宋" w:eastAsia="仿宋_GB2312" w:hAnsi="仿宋" w:hint="eastAsia"/>
          <w:sz w:val="30"/>
          <w:szCs w:val="30"/>
        </w:rPr>
        <w:t>XXXXXXX</w:t>
      </w:r>
    </w:p>
    <w:p w14:paraId="74813268"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17AE827C" w14:textId="77777777" w:rsidR="00116E8D" w:rsidRDefault="00863A62">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特此公告。</w:t>
      </w:r>
    </w:p>
    <w:p w14:paraId="7B369AC5"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05ED2AE4" w14:textId="77777777" w:rsidR="00116E8D" w:rsidRDefault="00863A62">
      <w:pPr>
        <w:adjustRightInd w:val="0"/>
        <w:snapToGrid w:val="0"/>
        <w:spacing w:line="560" w:lineRule="exact"/>
        <w:ind w:firstLineChars="200" w:firstLine="600"/>
        <w:jc w:val="right"/>
        <w:rPr>
          <w:rFonts w:ascii="仿宋" w:eastAsia="仿宋_GB2312" w:hAnsi="仿宋"/>
          <w:sz w:val="30"/>
          <w:szCs w:val="30"/>
        </w:rPr>
      </w:pPr>
      <w:r>
        <w:rPr>
          <w:rFonts w:ascii="仿宋" w:eastAsia="仿宋_GB2312" w:hAnsi="仿宋" w:hint="eastAsia"/>
          <w:sz w:val="30"/>
          <w:szCs w:val="30"/>
        </w:rPr>
        <w:t>XXXX</w:t>
      </w:r>
      <w:r>
        <w:rPr>
          <w:rFonts w:ascii="仿宋" w:eastAsia="仿宋_GB2312" w:hAnsi="仿宋" w:hint="eastAsia"/>
          <w:sz w:val="30"/>
          <w:szCs w:val="30"/>
        </w:rPr>
        <w:t>股份有限公司董事会</w:t>
      </w:r>
    </w:p>
    <w:p w14:paraId="1F708A21" w14:textId="77777777" w:rsidR="00116E8D" w:rsidRDefault="00863A62">
      <w:pPr>
        <w:pStyle w:val="a3"/>
        <w:adjustRightInd w:val="0"/>
        <w:snapToGrid w:val="0"/>
        <w:spacing w:line="560" w:lineRule="exact"/>
        <w:ind w:leftChars="0" w:left="0" w:firstLineChars="200" w:firstLine="600"/>
        <w:jc w:val="right"/>
        <w:rPr>
          <w:rFonts w:ascii="仿宋" w:eastAsia="仿宋_GB2312" w:hAnsi="仿宋"/>
          <w:sz w:val="30"/>
          <w:szCs w:val="30"/>
        </w:rPr>
      </w:pPr>
      <w:r>
        <w:rPr>
          <w:rFonts w:ascii="仿宋" w:eastAsia="仿宋_GB2312" w:hAnsi="仿宋" w:hint="eastAsia"/>
          <w:sz w:val="30"/>
          <w:szCs w:val="30"/>
        </w:rPr>
        <w:t>年</w:t>
      </w:r>
      <w:r>
        <w:rPr>
          <w:rFonts w:ascii="仿宋" w:eastAsia="仿宋_GB2312" w:hAnsi="仿宋" w:hint="eastAsia"/>
          <w:sz w:val="30"/>
          <w:szCs w:val="30"/>
        </w:rPr>
        <w:t xml:space="preserve">  </w:t>
      </w:r>
      <w:r>
        <w:rPr>
          <w:rFonts w:ascii="仿宋" w:eastAsia="仿宋_GB2312" w:hAnsi="仿宋" w:hint="eastAsia"/>
          <w:sz w:val="30"/>
          <w:szCs w:val="30"/>
        </w:rPr>
        <w:t>月</w:t>
      </w:r>
      <w:r>
        <w:rPr>
          <w:rFonts w:ascii="仿宋" w:eastAsia="仿宋_GB2312" w:hAnsi="仿宋" w:hint="eastAsia"/>
          <w:sz w:val="30"/>
          <w:szCs w:val="30"/>
        </w:rPr>
        <w:t xml:space="preserve">  </w:t>
      </w:r>
      <w:r>
        <w:rPr>
          <w:rFonts w:ascii="仿宋" w:eastAsia="仿宋_GB2312" w:hAnsi="仿宋" w:hint="eastAsia"/>
          <w:sz w:val="30"/>
          <w:szCs w:val="30"/>
        </w:rPr>
        <w:t>日</w:t>
      </w:r>
    </w:p>
    <w:p w14:paraId="27B5A249" w14:textId="77777777" w:rsidR="00116E8D" w:rsidRDefault="00116E8D">
      <w:pPr>
        <w:adjustRightInd w:val="0"/>
        <w:snapToGrid w:val="0"/>
        <w:spacing w:line="560" w:lineRule="exact"/>
        <w:ind w:firstLineChars="200" w:firstLine="600"/>
        <w:rPr>
          <w:rFonts w:ascii="仿宋" w:eastAsia="仿宋_GB2312" w:hAnsi="仿宋"/>
          <w:sz w:val="30"/>
          <w:szCs w:val="30"/>
        </w:rPr>
      </w:pPr>
    </w:p>
    <w:p w14:paraId="2ED0DD52" w14:textId="77777777" w:rsidR="00116E8D" w:rsidRDefault="00116E8D">
      <w:pPr>
        <w:widowControl/>
        <w:spacing w:line="560" w:lineRule="exact"/>
        <w:jc w:val="left"/>
      </w:pPr>
    </w:p>
    <w:sectPr w:rsidR="00116E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28B31" w14:textId="77777777" w:rsidR="00863A62" w:rsidRDefault="00863A62" w:rsidP="009C607D">
      <w:r>
        <w:separator/>
      </w:r>
    </w:p>
  </w:endnote>
  <w:endnote w:type="continuationSeparator" w:id="0">
    <w:p w14:paraId="0FD8417C" w14:textId="77777777" w:rsidR="00863A62" w:rsidRDefault="00863A62" w:rsidP="009C6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38A31" w14:textId="77777777" w:rsidR="00863A62" w:rsidRDefault="00863A62" w:rsidP="009C607D">
      <w:r>
        <w:separator/>
      </w:r>
    </w:p>
  </w:footnote>
  <w:footnote w:type="continuationSeparator" w:id="0">
    <w:p w14:paraId="329DFD75" w14:textId="77777777" w:rsidR="00863A62" w:rsidRDefault="00863A62" w:rsidP="009C60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905C2"/>
    <w:multiLevelType w:val="multilevel"/>
    <w:tmpl w:val="314905C2"/>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32A"/>
    <w:rsid w:val="00116E8D"/>
    <w:rsid w:val="00376C38"/>
    <w:rsid w:val="003C3F69"/>
    <w:rsid w:val="004F032A"/>
    <w:rsid w:val="00863A62"/>
    <w:rsid w:val="009C607D"/>
    <w:rsid w:val="009F63AA"/>
    <w:rsid w:val="00B15388"/>
    <w:rsid w:val="00C16BE0"/>
    <w:rsid w:val="00D70D6E"/>
    <w:rsid w:val="00E13139"/>
    <w:rsid w:val="00FB7925"/>
    <w:rsid w:val="1189484A"/>
    <w:rsid w:val="442B480D"/>
    <w:rsid w:val="590E43B3"/>
    <w:rsid w:val="7D4E4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78854-DBD8-4BA2-AA0B-1A943D0B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黑体" w:eastAsia="黑体" w:hAnsi="黑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pPr>
      <w:ind w:leftChars="2500" w:left="100"/>
    </w:pPr>
    <w:rPr>
      <w:rFonts w:ascii="Times New Roman" w:eastAsia="宋体" w:hAnsi="Times New Roman" w:cs="Times New Roman"/>
      <w:szCs w:val="24"/>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30">
    <w:name w:val="标题 3 字符"/>
    <w:basedOn w:val="a0"/>
    <w:link w:val="3"/>
    <w:uiPriority w:val="9"/>
    <w:rPr>
      <w:rFonts w:ascii="黑体" w:eastAsia="黑体" w:hAnsi="黑体"/>
      <w:b/>
      <w:bCs/>
      <w:sz w:val="36"/>
      <w:szCs w:val="36"/>
    </w:rPr>
  </w:style>
  <w:style w:type="character" w:customStyle="1" w:styleId="a4">
    <w:name w:val="日期 字符"/>
    <w:basedOn w:val="a0"/>
    <w:link w:val="a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1299</Words>
  <Characters>1476</Characters>
  <Application>Microsoft Office Word</Application>
  <DocSecurity>0</DocSecurity>
  <Lines>87</Lines>
  <Paragraphs>41</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shytan</dc:creator>
  <cp:lastModifiedBy>QYJ</cp:lastModifiedBy>
  <cp:revision>3</cp:revision>
  <dcterms:created xsi:type="dcterms:W3CDTF">2022-07-22T02:10:00Z</dcterms:created>
  <dcterms:modified xsi:type="dcterms:W3CDTF">2025-08-17T14:07:00Z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E529B096E385422798234A50E2D20493_12</vt:lpwstr>
  </property>
</Properties>
</file>