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BEF6EA">
      <w:pPr>
        <w:pStyle w:val="2"/>
        <w:spacing w:before="0" w:after="0" w:line="600" w:lineRule="exact"/>
        <w:jc w:val="center"/>
        <w:rPr>
          <w:rFonts w:ascii="黑体" w:hAnsi="黑体" w:eastAsia="黑体"/>
          <w:sz w:val="36"/>
          <w:szCs w:val="36"/>
        </w:rPr>
      </w:pPr>
      <w:r>
        <w:rPr>
          <w:rFonts w:ascii="黑体" w:hAnsi="黑体" w:eastAsia="黑体"/>
          <w:sz w:val="36"/>
          <w:szCs w:val="36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rPr>
          <w:rFonts w:ascii="黑体" w:hAnsi="黑体" w:eastAsia="黑体"/>
          <w:sz w:val="36"/>
          <w:szCs w:val="36"/>
        </w:rPr>
        <w:instrText xml:space="preserve">ADDIN CNKISM.UserStyle</w:instrText>
      </w:r>
      <w:r>
        <w:rPr>
          <w:rFonts w:ascii="黑体" w:hAnsi="黑体" w:eastAsia="黑体"/>
          <w:sz w:val="36"/>
          <w:szCs w:val="36"/>
        </w:rPr>
        <w:fldChar w:fldCharType="end"/>
      </w:r>
      <w:r>
        <w:rPr>
          <w:rFonts w:hint="eastAsia" w:ascii="黑体" w:hAnsi="黑体" w:eastAsia="黑体"/>
          <w:sz w:val="36"/>
          <w:szCs w:val="36"/>
        </w:rPr>
        <w:t>第二十二号 科创板上市公司变更证券简称（实施）公告</w:t>
      </w:r>
    </w:p>
    <w:p w14:paraId="6E7B16E9">
      <w:pPr>
        <w:autoSpaceDE w:val="0"/>
        <w:autoSpaceDN w:val="0"/>
        <w:adjustRightInd w:val="0"/>
        <w:spacing w:line="600" w:lineRule="exact"/>
        <w:jc w:val="center"/>
        <w:rPr>
          <w:rFonts w:ascii="宋体" w:hAnsi="宋体"/>
          <w:color w:val="000000"/>
          <w:szCs w:val="21"/>
        </w:rPr>
      </w:pPr>
    </w:p>
    <w:p w14:paraId="741E56FC">
      <w:pPr>
        <w:adjustRightInd w:val="0"/>
        <w:snapToGrid w:val="0"/>
        <w:spacing w:line="600" w:lineRule="exact"/>
        <w:rPr>
          <w:rFonts w:ascii="仿宋_GB2312" w:hAnsi="宋体" w:eastAsia="仿宋_GB2312"/>
          <w:b/>
          <w:sz w:val="30"/>
          <w:szCs w:val="30"/>
        </w:rPr>
      </w:pPr>
      <w:r>
        <w:rPr>
          <w:rFonts w:hint="eastAsia" w:ascii="仿宋_GB2312" w:hAnsi="宋体" w:eastAsia="仿宋_GB2312"/>
          <w:b/>
          <w:sz w:val="30"/>
          <w:szCs w:val="30"/>
        </w:rPr>
        <w:t>适用情形：</w:t>
      </w:r>
    </w:p>
    <w:p w14:paraId="7225B122">
      <w:pPr>
        <w:adjustRightInd w:val="0"/>
        <w:snapToGrid w:val="0"/>
        <w:spacing w:line="600" w:lineRule="exact"/>
        <w:ind w:firstLine="600" w:firstLineChars="200"/>
        <w:rPr>
          <w:rFonts w:ascii="仿宋_GB2312" w:hAnsi="宋体" w:eastAsia="仿宋_GB2312"/>
          <w:bCs/>
          <w:sz w:val="30"/>
          <w:szCs w:val="30"/>
        </w:rPr>
      </w:pPr>
      <w:r>
        <w:rPr>
          <w:rFonts w:hint="eastAsia" w:ascii="仿宋_GB2312" w:hAnsi="宋体" w:eastAsia="仿宋_GB2312"/>
          <w:bCs/>
          <w:sz w:val="30"/>
          <w:szCs w:val="30"/>
        </w:rPr>
        <w:t>科创板上市公司董事会审议变更证券简称事项，或实施证券简称变更的，应当符合本所《科创板上市公司自律监管指引第1号——规范运作》第七章第五节“变更证券简称”的要求，并履行信息披露义务，适用本公告格式指引。</w:t>
      </w:r>
    </w:p>
    <w:p w14:paraId="639C1F4B">
      <w:pPr>
        <w:adjustRightInd w:val="0"/>
        <w:snapToGrid w:val="0"/>
        <w:spacing w:line="600" w:lineRule="exact"/>
        <w:rPr>
          <w:rFonts w:ascii="宋体" w:hAnsi="宋体"/>
          <w:szCs w:val="21"/>
        </w:rPr>
      </w:pPr>
    </w:p>
    <w:p w14:paraId="76364D51">
      <w:pPr>
        <w:adjustRightInd w:val="0"/>
        <w:snapToGrid w:val="0"/>
        <w:spacing w:line="600" w:lineRule="exact"/>
        <w:ind w:firstLine="153" w:firstLineChars="51"/>
        <w:rPr>
          <w:rFonts w:ascii="仿宋_GB2312" w:hAnsi="宋体" w:eastAsia="仿宋_GB2312"/>
          <w:bCs/>
          <w:sz w:val="30"/>
          <w:szCs w:val="30"/>
        </w:rPr>
      </w:pPr>
      <w:r>
        <w:rPr>
          <w:rFonts w:hint="eastAsia" w:ascii="仿宋_GB2312" w:hAnsi="宋体" w:eastAsia="仿宋_GB2312"/>
          <w:bCs/>
          <w:sz w:val="30"/>
          <w:szCs w:val="30"/>
        </w:rPr>
        <w:t>证券代码：             证券简称：            公告编号：</w:t>
      </w:r>
    </w:p>
    <w:p w14:paraId="726593C1">
      <w:pPr>
        <w:adjustRightInd w:val="0"/>
        <w:snapToGrid w:val="0"/>
        <w:spacing w:line="600" w:lineRule="exact"/>
        <w:jc w:val="left"/>
        <w:rPr>
          <w:rFonts w:ascii="宋体" w:hAnsi="宋体"/>
          <w:szCs w:val="21"/>
        </w:rPr>
      </w:pPr>
    </w:p>
    <w:p w14:paraId="545E007A">
      <w:pPr>
        <w:adjustRightInd w:val="0"/>
        <w:snapToGrid w:val="0"/>
        <w:spacing w:line="600" w:lineRule="exact"/>
        <w:jc w:val="center"/>
        <w:rPr>
          <w:rFonts w:ascii="仿宋_GB2312" w:hAnsi="宋体" w:eastAsia="仿宋_GB2312"/>
          <w:bCs/>
          <w:sz w:val="30"/>
          <w:szCs w:val="30"/>
        </w:rPr>
      </w:pPr>
      <w:r>
        <w:rPr>
          <w:rFonts w:hint="eastAsia" w:ascii="仿宋_GB2312" w:hAnsi="宋体" w:eastAsia="仿宋_GB2312"/>
          <w:bCs/>
          <w:sz w:val="30"/>
          <w:szCs w:val="30"/>
        </w:rPr>
        <w:t>XXXX股份有限公司变更证券简称</w:t>
      </w:r>
      <w:r>
        <w:rPr>
          <w:rFonts w:ascii="仿宋_GB2312" w:hAnsi="宋体" w:eastAsia="仿宋_GB2312"/>
          <w:bCs/>
          <w:sz w:val="30"/>
          <w:szCs w:val="30"/>
        </w:rPr>
        <w:t>（</w:t>
      </w:r>
      <w:r>
        <w:rPr>
          <w:rFonts w:hint="eastAsia" w:ascii="仿宋_GB2312" w:hAnsi="宋体" w:eastAsia="仿宋_GB2312"/>
          <w:bCs/>
          <w:sz w:val="30"/>
          <w:szCs w:val="30"/>
        </w:rPr>
        <w:t>实施</w:t>
      </w:r>
      <w:r>
        <w:rPr>
          <w:rFonts w:ascii="仿宋_GB2312" w:hAnsi="宋体" w:eastAsia="仿宋_GB2312"/>
          <w:bCs/>
          <w:sz w:val="30"/>
          <w:szCs w:val="30"/>
        </w:rPr>
        <w:t>）</w:t>
      </w:r>
      <w:r>
        <w:rPr>
          <w:rFonts w:hint="eastAsia" w:ascii="仿宋_GB2312" w:hAnsi="宋体" w:eastAsia="仿宋_GB2312"/>
          <w:bCs/>
          <w:sz w:val="30"/>
          <w:szCs w:val="30"/>
        </w:rPr>
        <w:t>公告</w:t>
      </w:r>
    </w:p>
    <w:p w14:paraId="7CE915A4">
      <w:pPr>
        <w:adjustRightInd w:val="0"/>
        <w:snapToGrid w:val="0"/>
        <w:spacing w:line="600" w:lineRule="exact"/>
        <w:jc w:val="center"/>
        <w:rPr>
          <w:rFonts w:ascii="仿宋_GB2312" w:hAnsi="宋体" w:eastAsia="仿宋_GB2312"/>
          <w:bCs/>
          <w:sz w:val="30"/>
          <w:szCs w:val="30"/>
        </w:rPr>
      </w:pPr>
    </w:p>
    <w:p w14:paraId="2ABF10A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djustRightInd w:val="0"/>
        <w:snapToGrid w:val="0"/>
        <w:spacing w:line="600" w:lineRule="exact"/>
        <w:ind w:firstLine="879" w:firstLineChars="293"/>
        <w:rPr>
          <w:rFonts w:ascii="仿宋_GB2312" w:hAnsi="宋体" w:eastAsia="仿宋_GB2312"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color w:val="000000"/>
          <w:sz w:val="30"/>
          <w:szCs w:val="30"/>
        </w:rPr>
        <w:t>本公司董事会及全体董事保证本公告内容不存在任何虚假记载、误导性陈述或者重大遗漏，并对其内容的真实性、准确性和完整性依法承担法律责任。</w:t>
      </w:r>
    </w:p>
    <w:p w14:paraId="6551D83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djustRightInd w:val="0"/>
        <w:snapToGrid w:val="0"/>
        <w:spacing w:line="600" w:lineRule="exact"/>
        <w:ind w:firstLine="600" w:firstLineChars="200"/>
        <w:rPr>
          <w:rFonts w:ascii="仿宋_GB2312" w:hAnsi="宋体" w:eastAsia="仿宋_GB2312"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color w:val="000000"/>
          <w:sz w:val="30"/>
          <w:szCs w:val="30"/>
        </w:rPr>
        <w:t>如有董事对临时公告内容的真实性、准确性和完整性无法保证或存在异议的，公司应当在公告中作特别提示。</w:t>
      </w:r>
    </w:p>
    <w:p w14:paraId="74661977">
      <w:pPr>
        <w:adjustRightInd w:val="0"/>
        <w:snapToGrid w:val="0"/>
        <w:spacing w:line="600" w:lineRule="exact"/>
        <w:rPr>
          <w:rFonts w:ascii="宋体" w:hAnsi="宋体"/>
          <w:szCs w:val="21"/>
        </w:rPr>
      </w:pPr>
    </w:p>
    <w:p w14:paraId="19A5BA30">
      <w:pPr>
        <w:adjustRightInd w:val="0"/>
        <w:snapToGrid w:val="0"/>
        <w:spacing w:line="600" w:lineRule="exact"/>
        <w:ind w:firstLine="602" w:firstLineChars="200"/>
        <w:rPr>
          <w:rFonts w:ascii="仿宋_GB2312" w:hAnsi="宋体" w:eastAsia="仿宋_GB2312"/>
          <w:b/>
          <w:sz w:val="30"/>
          <w:szCs w:val="30"/>
        </w:rPr>
      </w:pPr>
      <w:r>
        <w:rPr>
          <w:rFonts w:hint="eastAsia" w:ascii="仿宋_GB2312" w:hAnsi="宋体" w:eastAsia="仿宋_GB2312"/>
          <w:b/>
          <w:sz w:val="30"/>
          <w:szCs w:val="30"/>
        </w:rPr>
        <w:t>重要内容提示：</w:t>
      </w:r>
    </w:p>
    <w:p w14:paraId="1B341819">
      <w:pPr>
        <w:numPr>
          <w:ilvl w:val="0"/>
          <w:numId w:val="1"/>
        </w:numPr>
        <w:adjustRightInd w:val="0"/>
        <w:snapToGrid w:val="0"/>
        <w:spacing w:line="600" w:lineRule="exact"/>
        <w:ind w:left="0" w:firstLine="600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 xml:space="preserve"> 变更后的证券简称</w:t>
      </w:r>
    </w:p>
    <w:p w14:paraId="4A6228E2">
      <w:pPr>
        <w:numPr>
          <w:ilvl w:val="0"/>
          <w:numId w:val="1"/>
        </w:numPr>
        <w:adjustRightInd w:val="0"/>
        <w:snapToGrid w:val="0"/>
        <w:spacing w:line="600" w:lineRule="exact"/>
        <w:ind w:left="0" w:firstLine="600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 xml:space="preserve"> 变更后的扩位证券简称</w:t>
      </w:r>
    </w:p>
    <w:p w14:paraId="3022D193">
      <w:pPr>
        <w:numPr>
          <w:ilvl w:val="0"/>
          <w:numId w:val="1"/>
        </w:numPr>
        <w:adjustRightInd w:val="0"/>
        <w:snapToGrid w:val="0"/>
        <w:spacing w:line="600" w:lineRule="exact"/>
        <w:ind w:left="0" w:firstLine="600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 xml:space="preserve"> 证券简称变更日期（实施公告适用）</w:t>
      </w:r>
    </w:p>
    <w:p w14:paraId="30880137">
      <w:pPr>
        <w:widowControl/>
        <w:spacing w:line="600" w:lineRule="exact"/>
        <w:ind w:firstLine="643" w:firstLineChars="200"/>
        <w:rPr>
          <w:rFonts w:ascii="黑体" w:hAnsi="黑体" w:eastAsia="黑体" w:cs="宋体"/>
          <w:b/>
          <w:color w:val="000000"/>
          <w:kern w:val="0"/>
          <w:sz w:val="32"/>
          <w:szCs w:val="32"/>
        </w:rPr>
      </w:pPr>
    </w:p>
    <w:p w14:paraId="661F1DD7">
      <w:pPr>
        <w:widowControl/>
        <w:spacing w:line="600" w:lineRule="exact"/>
        <w:ind w:firstLine="643" w:firstLineChars="200"/>
        <w:rPr>
          <w:rFonts w:ascii="黑体" w:hAnsi="黑体" w:eastAsia="黑体" w:cs="宋体"/>
          <w:b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b/>
          <w:color w:val="000000"/>
          <w:kern w:val="0"/>
          <w:sz w:val="32"/>
          <w:szCs w:val="32"/>
        </w:rPr>
        <w:t>一、公司董事会审议变更证券简称的情况</w:t>
      </w:r>
    </w:p>
    <w:p w14:paraId="2B6CC3E4">
      <w:pPr>
        <w:widowControl/>
        <w:spacing w:line="600" w:lineRule="exact"/>
        <w:ind w:firstLine="600" w:firstLineChars="200"/>
        <w:rPr>
          <w:rFonts w:ascii="仿宋_GB2312" w:hAnsi="宋体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上市公司拟变更证券简称的，应当召开董事会进行审议，并披露董事会的召开情况、审议表决结果。董事反对或弃权的，应当披露反对或弃权理由。</w:t>
      </w:r>
    </w:p>
    <w:p w14:paraId="743FD9FA">
      <w:pPr>
        <w:widowControl/>
        <w:spacing w:line="600" w:lineRule="exact"/>
        <w:ind w:firstLine="600" w:firstLineChars="200"/>
        <w:rPr>
          <w:rFonts w:ascii="仿宋_GB2312" w:hAnsi="宋体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同时，涉及变更公司全称的，说明还需将变更全称事项提请股东会审议。</w:t>
      </w:r>
    </w:p>
    <w:p w14:paraId="7FFFD993">
      <w:pPr>
        <w:widowControl/>
        <w:spacing w:line="600" w:lineRule="exact"/>
        <w:ind w:firstLine="600" w:firstLineChars="200"/>
        <w:rPr>
          <w:rFonts w:ascii="仿宋_GB2312" w:hAnsi="宋体" w:eastAsia="仿宋_GB2312" w:cs="宋体"/>
          <w:color w:val="000000"/>
          <w:kern w:val="0"/>
          <w:sz w:val="30"/>
          <w:szCs w:val="30"/>
        </w:rPr>
      </w:pPr>
    </w:p>
    <w:p w14:paraId="7EC85CFC">
      <w:pPr>
        <w:widowControl/>
        <w:spacing w:line="600" w:lineRule="exact"/>
        <w:ind w:firstLine="643" w:firstLineChars="200"/>
        <w:rPr>
          <w:rFonts w:ascii="黑体" w:hAnsi="黑体" w:eastAsia="黑体" w:cs="宋体"/>
          <w:b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b/>
          <w:color w:val="000000"/>
          <w:kern w:val="0"/>
          <w:sz w:val="32"/>
          <w:szCs w:val="32"/>
        </w:rPr>
        <w:t>二、公司董事会关于变更证券简称的理由</w:t>
      </w:r>
    </w:p>
    <w:p w14:paraId="194B75C3">
      <w:pPr>
        <w:widowControl/>
        <w:spacing w:line="600" w:lineRule="exact"/>
        <w:ind w:firstLine="600" w:firstLineChars="200"/>
        <w:rPr>
          <w:rFonts w:ascii="仿宋_GB2312" w:hAnsi="宋体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（一）上市公司董事会应当披露变更证券简称的理由，并详细说明其合理性和必要性。例如，主营业务是否发生重大变化，发展战略是否发生重大调整，实际控制人是否发生变更等。</w:t>
      </w:r>
    </w:p>
    <w:p w14:paraId="4F23C0FE">
      <w:pPr>
        <w:widowControl/>
        <w:spacing w:line="600" w:lineRule="exact"/>
        <w:ind w:firstLine="600" w:firstLineChars="200"/>
        <w:rPr>
          <w:rFonts w:ascii="仿宋_GB2312" w:hAnsi="宋体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（二）上市公司变更证券简称与拟发展的新业态、新技术、新模式、新行业等有关的，应当详细披露相关具体情况、在公司整体业务中所占的比重及其对公司生产经营的影响等。</w:t>
      </w:r>
    </w:p>
    <w:p w14:paraId="342A3E5E">
      <w:pPr>
        <w:widowControl/>
        <w:spacing w:line="600" w:lineRule="exact"/>
        <w:ind w:firstLine="600" w:firstLineChars="200"/>
        <w:rPr>
          <w:rFonts w:ascii="仿宋_GB2312" w:hAnsi="宋体" w:eastAsia="仿宋_GB2312" w:cs="宋体"/>
          <w:color w:val="000000"/>
          <w:kern w:val="0"/>
          <w:sz w:val="30"/>
          <w:szCs w:val="30"/>
        </w:rPr>
      </w:pPr>
    </w:p>
    <w:p w14:paraId="6C9EFD38">
      <w:pPr>
        <w:widowControl/>
        <w:spacing w:line="600" w:lineRule="exact"/>
        <w:ind w:firstLine="643" w:firstLineChars="200"/>
        <w:rPr>
          <w:rFonts w:ascii="黑体" w:hAnsi="黑体" w:eastAsia="黑体" w:cs="宋体"/>
          <w:b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b/>
          <w:color w:val="000000"/>
          <w:kern w:val="0"/>
          <w:sz w:val="32"/>
          <w:szCs w:val="32"/>
        </w:rPr>
        <w:t>三、公司董事会关于变更证券简称的风险提示</w:t>
      </w:r>
    </w:p>
    <w:p w14:paraId="615D9B53">
      <w:pPr>
        <w:widowControl/>
        <w:spacing w:line="600" w:lineRule="exact"/>
        <w:ind w:firstLine="600" w:firstLineChars="200"/>
        <w:rPr>
          <w:rFonts w:ascii="仿宋_GB2312" w:hAnsi="宋体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（一）证券简称变更反映公司已经实际开展的新业务，但其营业收入占公司最近一个会计年度经审计营业收入低于</w:t>
      </w:r>
      <w:r>
        <w:rPr>
          <w:rFonts w:ascii="仿宋_GB2312" w:hAnsi="宋体" w:eastAsia="仿宋_GB2312" w:cs="宋体"/>
          <w:color w:val="000000"/>
          <w:kern w:val="0"/>
          <w:sz w:val="30"/>
          <w:szCs w:val="30"/>
        </w:rPr>
        <w:t>3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0%的，应当充分披露其合理性</w:t>
      </w:r>
      <w:r>
        <w:rPr>
          <w:rFonts w:ascii="仿宋_GB2312" w:hAnsi="宋体" w:eastAsia="仿宋_GB2312" w:cs="宋体"/>
          <w:color w:val="000000"/>
          <w:kern w:val="0"/>
          <w:sz w:val="30"/>
          <w:szCs w:val="30"/>
        </w:rPr>
        <w:t>、必要性以及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相关业务的开展情况或实施进展，如项目进度、经营业绩（新业务最近一年又一期的营业收入、净利润及其占比）、人员配置、资产投入、行业准入证照和相关资质的取得情况等，并予以风险提示。</w:t>
      </w:r>
    </w:p>
    <w:p w14:paraId="2F852BD4">
      <w:pPr>
        <w:widowControl/>
        <w:spacing w:line="600" w:lineRule="exact"/>
        <w:ind w:firstLine="600" w:firstLineChars="200"/>
        <w:rPr>
          <w:rFonts w:ascii="仿宋_GB2312" w:hAnsi="宋体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（二）本所要求披露的其他事项。</w:t>
      </w:r>
    </w:p>
    <w:p w14:paraId="28813322">
      <w:pPr>
        <w:widowControl/>
        <w:spacing w:line="600" w:lineRule="exact"/>
        <w:ind w:firstLine="643" w:firstLineChars="200"/>
        <w:rPr>
          <w:rFonts w:ascii="黑体" w:hAnsi="黑体" w:eastAsia="黑体" w:cs="宋体"/>
          <w:b/>
          <w:color w:val="000000"/>
          <w:kern w:val="0"/>
          <w:sz w:val="32"/>
          <w:szCs w:val="32"/>
        </w:rPr>
      </w:pPr>
    </w:p>
    <w:p w14:paraId="3F0BCCE2">
      <w:pPr>
        <w:widowControl/>
        <w:spacing w:line="600" w:lineRule="exact"/>
        <w:ind w:firstLine="643" w:firstLineChars="200"/>
        <w:rPr>
          <w:rFonts w:ascii="黑体" w:hAnsi="黑体" w:eastAsia="黑体" w:cs="宋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b/>
          <w:color w:val="000000"/>
          <w:kern w:val="0"/>
          <w:sz w:val="32"/>
          <w:szCs w:val="32"/>
        </w:rPr>
        <w:t>四、公司证券简称变更的实施（变更实施公告适用）</w:t>
      </w:r>
    </w:p>
    <w:p w14:paraId="4948A2E0">
      <w:pPr>
        <w:widowControl/>
        <w:spacing w:line="600" w:lineRule="exact"/>
        <w:ind w:firstLine="600" w:firstLineChars="200"/>
        <w:rPr>
          <w:rFonts w:ascii="仿宋_GB2312" w:hAnsi="宋体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（一）上市公司实施证券简称变更的，应当列明同意变更的董事会届次；</w:t>
      </w:r>
      <w:r>
        <w:rPr>
          <w:rFonts w:ascii="仿宋_GB2312" w:hAnsi="宋体" w:eastAsia="仿宋_GB2312" w:cs="宋体"/>
          <w:color w:val="000000"/>
          <w:kern w:val="0"/>
          <w:sz w:val="30"/>
          <w:szCs w:val="30"/>
        </w:rPr>
        <w:t>公司全称发生变化的，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还应当</w:t>
      </w:r>
      <w:r>
        <w:rPr>
          <w:rFonts w:ascii="仿宋_GB2312" w:hAnsi="宋体" w:eastAsia="仿宋_GB2312" w:cs="宋体"/>
          <w:color w:val="000000"/>
          <w:kern w:val="0"/>
          <w:sz w:val="30"/>
          <w:szCs w:val="30"/>
        </w:rPr>
        <w:t>列明同意变更公司全称的股东会届次，并说明全称变更经工商行政管理部门登记的情况。</w:t>
      </w:r>
    </w:p>
    <w:p w14:paraId="39EF7792">
      <w:pPr>
        <w:widowControl/>
        <w:spacing w:line="600" w:lineRule="exact"/>
        <w:ind w:firstLine="600" w:firstLineChars="200"/>
        <w:rPr>
          <w:rFonts w:ascii="仿宋_GB2312" w:hAnsi="宋体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（二）上市公司实施证券简称变更的，应当</w:t>
      </w:r>
      <w:r>
        <w:rPr>
          <w:rFonts w:ascii="仿宋_GB2312" w:hAnsi="宋体" w:eastAsia="仿宋_GB2312" w:cs="宋体"/>
          <w:color w:val="000000"/>
          <w:kern w:val="0"/>
          <w:sz w:val="30"/>
          <w:szCs w:val="30"/>
        </w:rPr>
        <w:t>说明经公司申请，并经上海证券交易所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办理</w:t>
      </w:r>
      <w:r>
        <w:rPr>
          <w:rFonts w:ascii="仿宋_GB2312" w:hAnsi="宋体" w:eastAsia="仿宋_GB2312" w:cs="宋体"/>
          <w:color w:val="000000"/>
          <w:kern w:val="0"/>
          <w:sz w:val="30"/>
          <w:szCs w:val="30"/>
        </w:rPr>
        <w:t>，公司证券简称变更的具体日期及变更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前</w:t>
      </w:r>
      <w:r>
        <w:rPr>
          <w:rFonts w:ascii="仿宋_GB2312" w:hAnsi="宋体" w:eastAsia="仿宋_GB2312" w:cs="宋体"/>
          <w:color w:val="000000"/>
          <w:kern w:val="0"/>
          <w:sz w:val="30"/>
          <w:szCs w:val="30"/>
        </w:rPr>
        <w:t>后的证券简称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、</w:t>
      </w:r>
      <w:r>
        <w:rPr>
          <w:rFonts w:hint="eastAsia" w:ascii="仿宋_GB2312" w:hAnsi="宋体" w:eastAsia="仿宋_GB2312"/>
          <w:sz w:val="30"/>
          <w:szCs w:val="30"/>
        </w:rPr>
        <w:t>扩位证券简称</w:t>
      </w:r>
      <w:r>
        <w:rPr>
          <w:rFonts w:ascii="仿宋_GB2312" w:hAnsi="宋体" w:eastAsia="仿宋_GB2312" w:cs="宋体"/>
          <w:color w:val="000000"/>
          <w:kern w:val="0"/>
          <w:sz w:val="30"/>
          <w:szCs w:val="30"/>
        </w:rPr>
        <w:t>，并说明公司证券代码</w:t>
      </w: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保持</w:t>
      </w:r>
      <w:r>
        <w:rPr>
          <w:rFonts w:ascii="仿宋_GB2312" w:hAnsi="宋体" w:eastAsia="仿宋_GB2312" w:cs="宋体"/>
          <w:color w:val="000000"/>
          <w:kern w:val="0"/>
          <w:sz w:val="30"/>
          <w:szCs w:val="30"/>
        </w:rPr>
        <w:t>不变。</w:t>
      </w:r>
    </w:p>
    <w:p w14:paraId="70EF4A7D">
      <w:pPr>
        <w:widowControl/>
        <w:spacing w:line="600" w:lineRule="exact"/>
        <w:ind w:firstLine="600" w:firstLineChars="200"/>
        <w:rPr>
          <w:rFonts w:ascii="仿宋_GB2312" w:hAnsi="宋体" w:eastAsia="仿宋_GB2312" w:cs="宋体"/>
          <w:color w:val="000000"/>
          <w:kern w:val="0"/>
          <w:sz w:val="30"/>
          <w:szCs w:val="30"/>
        </w:rPr>
      </w:pPr>
    </w:p>
    <w:p w14:paraId="41D2B8A1">
      <w:pPr>
        <w:widowControl/>
        <w:spacing w:line="600" w:lineRule="exact"/>
        <w:ind w:firstLine="600" w:firstLineChars="200"/>
        <w:rPr>
          <w:rFonts w:ascii="仿宋_GB2312" w:hAnsi="宋体" w:eastAsia="仿宋_GB2312" w:cs="宋体"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特此公告。</w:t>
      </w:r>
    </w:p>
    <w:p w14:paraId="730E5611">
      <w:pPr>
        <w:adjustRightInd w:val="0"/>
        <w:snapToGrid w:val="0"/>
        <w:spacing w:line="600" w:lineRule="exact"/>
        <w:outlineLvl w:val="0"/>
        <w:rPr>
          <w:rFonts w:ascii="仿宋_GB2312" w:hAnsi="宋体" w:eastAsia="仿宋_GB2312"/>
          <w:sz w:val="30"/>
          <w:szCs w:val="30"/>
        </w:rPr>
      </w:pPr>
    </w:p>
    <w:p w14:paraId="28E67D9C">
      <w:pPr>
        <w:tabs>
          <w:tab w:val="left" w:pos="4860"/>
        </w:tabs>
        <w:adjustRightInd w:val="0"/>
        <w:snapToGrid w:val="0"/>
        <w:spacing w:line="600" w:lineRule="exact"/>
        <w:jc w:val="right"/>
        <w:rPr>
          <w:rFonts w:ascii="仿宋_GB2312" w:hAnsi="宋体" w:eastAsia="仿宋_GB2312"/>
          <w:sz w:val="30"/>
          <w:szCs w:val="30"/>
        </w:rPr>
      </w:pPr>
      <w:bookmarkStart w:id="0" w:name="_Toc330498472"/>
      <w:bookmarkStart w:id="1" w:name="_Toc330497081"/>
      <w:r>
        <w:rPr>
          <w:rFonts w:hint="eastAsia" w:ascii="仿宋_GB2312" w:hAnsi="宋体" w:eastAsia="仿宋_GB2312"/>
          <w:sz w:val="30"/>
          <w:szCs w:val="30"/>
        </w:rPr>
        <w:t>XXXX股份有限公司</w:t>
      </w:r>
      <w:bookmarkEnd w:id="0"/>
      <w:bookmarkEnd w:id="1"/>
      <w:r>
        <w:rPr>
          <w:rFonts w:hint="eastAsia" w:ascii="仿宋_GB2312" w:hAnsi="宋体" w:eastAsia="仿宋_GB2312"/>
          <w:sz w:val="30"/>
          <w:szCs w:val="30"/>
        </w:rPr>
        <w:t>董事会</w:t>
      </w:r>
    </w:p>
    <w:p w14:paraId="56074313">
      <w:pPr>
        <w:tabs>
          <w:tab w:val="left" w:pos="4860"/>
        </w:tabs>
        <w:adjustRightInd w:val="0"/>
        <w:snapToGrid w:val="0"/>
        <w:spacing w:line="600" w:lineRule="exact"/>
        <w:jc w:val="right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 xml:space="preserve">   年  月  日</w:t>
      </w:r>
    </w:p>
    <w:p w14:paraId="003C223B">
      <w:pPr>
        <w:tabs>
          <w:tab w:val="left" w:pos="4860"/>
        </w:tabs>
        <w:adjustRightInd w:val="0"/>
        <w:snapToGrid w:val="0"/>
        <w:spacing w:line="600" w:lineRule="exact"/>
        <w:ind w:right="480"/>
        <w:jc w:val="right"/>
        <w:rPr>
          <w:rFonts w:ascii="仿宋_GB2312" w:hAnsi="宋体" w:eastAsia="仿宋_GB2312"/>
          <w:sz w:val="30"/>
          <w:szCs w:val="30"/>
        </w:rPr>
      </w:pPr>
    </w:p>
    <w:p w14:paraId="257CD42B">
      <w:pPr>
        <w:tabs>
          <w:tab w:val="left" w:pos="4860"/>
        </w:tabs>
        <w:adjustRightInd w:val="0"/>
        <w:snapToGrid w:val="0"/>
        <w:spacing w:line="600" w:lineRule="exact"/>
        <w:ind w:right="480"/>
        <w:jc w:val="right"/>
        <w:rPr>
          <w:rFonts w:ascii="仿宋_GB2312" w:hAnsi="宋体" w:eastAsia="仿宋_GB2312"/>
          <w:sz w:val="30"/>
          <w:szCs w:val="30"/>
        </w:rPr>
      </w:pPr>
      <w:bookmarkStart w:id="2" w:name="_GoBack"/>
      <w:bookmarkEnd w:id="2"/>
    </w:p>
    <w:p w14:paraId="19E1D808">
      <w:pPr>
        <w:numPr>
          <w:ilvl w:val="0"/>
          <w:numId w:val="1"/>
        </w:numPr>
        <w:adjustRightInd w:val="0"/>
        <w:snapToGrid w:val="0"/>
        <w:spacing w:line="600" w:lineRule="exact"/>
        <w:ind w:left="0" w:firstLine="602" w:firstLineChars="200"/>
        <w:rPr>
          <w:rFonts w:ascii="仿宋_GB2312" w:hAnsi="宋体" w:eastAsia="仿宋_GB2312"/>
          <w:b/>
          <w:sz w:val="30"/>
          <w:szCs w:val="30"/>
        </w:rPr>
      </w:pPr>
      <w:r>
        <w:rPr>
          <w:rFonts w:hint="eastAsia" w:ascii="仿宋_GB2312" w:hAnsi="宋体" w:eastAsia="仿宋_GB2312"/>
          <w:b/>
          <w:sz w:val="30"/>
          <w:szCs w:val="30"/>
        </w:rPr>
        <w:t xml:space="preserve"> 注意事项</w:t>
      </w:r>
    </w:p>
    <w:p w14:paraId="2F13E1B6">
      <w:pPr>
        <w:adjustRightInd w:val="0"/>
        <w:snapToGrid w:val="0"/>
        <w:spacing w:line="600" w:lineRule="exact"/>
        <w:ind w:firstLine="600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（一）证券简称应当全部或部分从企业全称中选取。</w:t>
      </w:r>
    </w:p>
    <w:p w14:paraId="47026F21">
      <w:pPr>
        <w:adjustRightInd w:val="0"/>
        <w:snapToGrid w:val="0"/>
        <w:spacing w:line="600" w:lineRule="exact"/>
        <w:ind w:firstLine="600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（二）证券简称应当反映上市公司主营业务，突出行业特点，易于投资者理解。</w:t>
      </w:r>
    </w:p>
    <w:p w14:paraId="36987547">
      <w:pPr>
        <w:adjustRightInd w:val="0"/>
        <w:snapToGrid w:val="0"/>
        <w:spacing w:line="600" w:lineRule="exact"/>
        <w:ind w:firstLine="600" w:firstLine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（三）上市公司变更企业全称，本所认为必要的，可以要求公司适用本公告格式指引。</w:t>
      </w:r>
    </w:p>
    <w:p w14:paraId="4B8AD568">
      <w:pPr>
        <w:adjustRightInd w:val="0"/>
        <w:snapToGrid w:val="0"/>
        <w:spacing w:line="600" w:lineRule="exact"/>
        <w:ind w:firstLine="600" w:firstLineChars="200"/>
      </w:pPr>
      <w:r>
        <w:rPr>
          <w:rFonts w:hint="eastAsia" w:ascii="仿宋_GB2312" w:hAnsi="宋体" w:eastAsia="仿宋_GB2312"/>
          <w:sz w:val="30"/>
          <w:szCs w:val="30"/>
        </w:rPr>
        <w:t>（四）上市公司实施证券简称变更的，仅需披露本公告格式指引第四部分。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8FFDCC">
    <w:pPr>
      <w:pStyle w:val="6"/>
      <w:jc w:val="center"/>
      <w:rPr>
        <w:sz w:val="21"/>
        <w:szCs w:val="21"/>
      </w:rPr>
    </w:pPr>
    <w:r>
      <w:rPr>
        <w:sz w:val="21"/>
        <w:szCs w:val="21"/>
      </w:rPr>
      <w:fldChar w:fldCharType="begin"/>
    </w:r>
    <w:r>
      <w:rPr>
        <w:sz w:val="21"/>
        <w:szCs w:val="21"/>
      </w:rPr>
      <w:instrText xml:space="preserve"> PAGE   \* MERGEFORMAT </w:instrText>
    </w:r>
    <w:r>
      <w:rPr>
        <w:sz w:val="21"/>
        <w:szCs w:val="21"/>
      </w:rPr>
      <w:fldChar w:fldCharType="separate"/>
    </w:r>
    <w:r>
      <w:rPr>
        <w:sz w:val="21"/>
        <w:szCs w:val="21"/>
        <w:lang w:val="zh-CN"/>
      </w:rPr>
      <w:t>1</w:t>
    </w:r>
    <w:r>
      <w:rPr>
        <w:sz w:val="21"/>
        <w:szCs w:val="21"/>
      </w:rPr>
      <w:fldChar w:fldCharType="end"/>
    </w:r>
  </w:p>
  <w:p w14:paraId="1AAF7734">
    <w:pPr>
      <w:pStyle w:val="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7D0067"/>
    <w:multiLevelType w:val="singleLevel"/>
    <w:tmpl w:val="127D0067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D2E"/>
    <w:rsid w:val="000141AC"/>
    <w:rsid w:val="000604EA"/>
    <w:rsid w:val="0006724D"/>
    <w:rsid w:val="000823BD"/>
    <w:rsid w:val="000F0389"/>
    <w:rsid w:val="001C1ED0"/>
    <w:rsid w:val="0020347D"/>
    <w:rsid w:val="00236A8D"/>
    <w:rsid w:val="0024513C"/>
    <w:rsid w:val="002A65C8"/>
    <w:rsid w:val="002B4ABC"/>
    <w:rsid w:val="00366925"/>
    <w:rsid w:val="00371D83"/>
    <w:rsid w:val="0038014B"/>
    <w:rsid w:val="003B7CB7"/>
    <w:rsid w:val="003E35E1"/>
    <w:rsid w:val="003F038C"/>
    <w:rsid w:val="00403D2E"/>
    <w:rsid w:val="00414B6A"/>
    <w:rsid w:val="004506A7"/>
    <w:rsid w:val="00475298"/>
    <w:rsid w:val="00482CAC"/>
    <w:rsid w:val="004B6E4A"/>
    <w:rsid w:val="004E2C63"/>
    <w:rsid w:val="00550F1C"/>
    <w:rsid w:val="005F2136"/>
    <w:rsid w:val="00600C85"/>
    <w:rsid w:val="00601D41"/>
    <w:rsid w:val="006926F0"/>
    <w:rsid w:val="006932A3"/>
    <w:rsid w:val="00717BF1"/>
    <w:rsid w:val="007205AD"/>
    <w:rsid w:val="00747425"/>
    <w:rsid w:val="008320EC"/>
    <w:rsid w:val="008645C2"/>
    <w:rsid w:val="008769C8"/>
    <w:rsid w:val="00880DB4"/>
    <w:rsid w:val="008D3069"/>
    <w:rsid w:val="008E1F04"/>
    <w:rsid w:val="0090172A"/>
    <w:rsid w:val="0095478C"/>
    <w:rsid w:val="009F39B9"/>
    <w:rsid w:val="00A03F1F"/>
    <w:rsid w:val="00A21D13"/>
    <w:rsid w:val="00A47FF3"/>
    <w:rsid w:val="00AA74BB"/>
    <w:rsid w:val="00AC2B7F"/>
    <w:rsid w:val="00AC2EA5"/>
    <w:rsid w:val="00AD1B28"/>
    <w:rsid w:val="00B119F5"/>
    <w:rsid w:val="00B35330"/>
    <w:rsid w:val="00B3723F"/>
    <w:rsid w:val="00B522EB"/>
    <w:rsid w:val="00BA4F1E"/>
    <w:rsid w:val="00BD76E8"/>
    <w:rsid w:val="00C0346F"/>
    <w:rsid w:val="00C575A7"/>
    <w:rsid w:val="00C96DD2"/>
    <w:rsid w:val="00CB22D6"/>
    <w:rsid w:val="00CB3EDA"/>
    <w:rsid w:val="00D0132F"/>
    <w:rsid w:val="00D07BA5"/>
    <w:rsid w:val="00D60F81"/>
    <w:rsid w:val="00D65127"/>
    <w:rsid w:val="00DD15EA"/>
    <w:rsid w:val="00DF24DA"/>
    <w:rsid w:val="00DF5FB3"/>
    <w:rsid w:val="00E47C1F"/>
    <w:rsid w:val="00E5035B"/>
    <w:rsid w:val="00E55432"/>
    <w:rsid w:val="00E71454"/>
    <w:rsid w:val="00E95459"/>
    <w:rsid w:val="00EB38DF"/>
    <w:rsid w:val="00F84DE8"/>
    <w:rsid w:val="00FB3B23"/>
    <w:rsid w:val="00FC1BAD"/>
    <w:rsid w:val="00FE38B9"/>
    <w:rsid w:val="1F4A5556"/>
    <w:rsid w:val="4DE94096"/>
    <w:rsid w:val="5C7C116D"/>
    <w:rsid w:val="5C953F75"/>
    <w:rsid w:val="5D3F2675"/>
    <w:rsid w:val="77C7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semiHidden="0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link w:val="11"/>
    <w:unhideWhenUsed/>
    <w:qFormat/>
    <w:uiPriority w:val="99"/>
    <w:rPr>
      <w:rFonts w:ascii="宋体"/>
      <w:sz w:val="18"/>
      <w:szCs w:val="18"/>
    </w:rPr>
  </w:style>
  <w:style w:type="paragraph" w:styleId="4">
    <w:name w:val="Body Text Indent"/>
    <w:basedOn w:val="1"/>
    <w:link w:val="12"/>
    <w:unhideWhenUsed/>
    <w:qFormat/>
    <w:uiPriority w:val="0"/>
    <w:pPr>
      <w:spacing w:after="120"/>
      <w:ind w:left="420" w:leftChars="200"/>
    </w:pPr>
    <w:rPr>
      <w:kern w:val="0"/>
      <w:sz w:val="20"/>
    </w:rPr>
  </w:style>
  <w:style w:type="paragraph" w:styleId="5">
    <w:name w:val="Balloon Text"/>
    <w:basedOn w:val="1"/>
    <w:link w:val="13"/>
    <w:unhideWhenUsed/>
    <w:qFormat/>
    <w:uiPriority w:val="99"/>
    <w:rPr>
      <w:kern w:val="0"/>
      <w:sz w:val="18"/>
      <w:szCs w:val="18"/>
    </w:rPr>
  </w:style>
  <w:style w:type="paragraph" w:styleId="6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7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10">
    <w:name w:val="标题 1 字符"/>
    <w:link w:val="2"/>
    <w:qFormat/>
    <w:uiPriority w:val="9"/>
    <w:rPr>
      <w:rFonts w:ascii="Times New Roman" w:hAnsi="Times New Roman"/>
      <w:b/>
      <w:bCs/>
      <w:kern w:val="44"/>
      <w:sz w:val="44"/>
      <w:szCs w:val="44"/>
    </w:rPr>
  </w:style>
  <w:style w:type="character" w:customStyle="1" w:styleId="11">
    <w:name w:val="文档结构图 字符"/>
    <w:link w:val="3"/>
    <w:semiHidden/>
    <w:qFormat/>
    <w:uiPriority w:val="99"/>
    <w:rPr>
      <w:rFonts w:ascii="宋体" w:hAnsi="Times New Roman"/>
      <w:kern w:val="2"/>
      <w:sz w:val="18"/>
      <w:szCs w:val="18"/>
    </w:rPr>
  </w:style>
  <w:style w:type="character" w:customStyle="1" w:styleId="12">
    <w:name w:val="正文文本缩进 字符"/>
    <w:link w:val="4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13">
    <w:name w:val="批注框文本 字符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脚 字符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眉 字符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640</Words>
  <Characters>640</Characters>
  <Lines>40</Lines>
  <Paragraphs>35</Paragraphs>
  <TotalTime>1</TotalTime>
  <ScaleCrop>false</ScaleCrop>
  <LinksUpToDate>false</LinksUpToDate>
  <CharactersWithSpaces>1245</CharactersWithSpaces>
  <Application>WPS Office_12.8.2.21555_F1E327BC-269C-435d-A152-05C5408002CA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2019-06-20T05:43:00Z</dcterms:created>
  <dc:creator>shytan</dc:creator>
  <cp:lastModifiedBy>yjqin</cp:lastModifiedBy>
  <cp:lastPrinted>2019-06-20T05:36:00Z</cp:lastPrinted>
  <dcterms:modified xsi:type="dcterms:W3CDTF">2025-08-21T11:54:46Z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2052-12.8.2.21555</vt:lpwstr>
  </property>
  <property fmtid="{D5CDD505-2E9C-101B-9397-08002B2CF9AE}" pid="3" name="ICV">
    <vt:lpwstr>EB3DC12BD0AF4B679D50A90B6F87E7A2_13</vt:lpwstr>
  </property>
</Properties>
</file>