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E120E9A">
      <w:pPr>
        <w:jc w:val="center"/>
        <w:rPr>
          <w:rStyle w:val="11"/>
          <w:rFonts w:hint="eastAsia" w:ascii="黑体" w:hAnsi="黑体" w:eastAsia="黑体"/>
          <w:sz w:val="36"/>
          <w:szCs w:val="36"/>
        </w:rPr>
      </w:pPr>
      <w:bookmarkStart w:id="1" w:name="_GoBack"/>
      <w:bookmarkEnd w:id="1"/>
      <w:bookmarkStart w:id="0" w:name="_Toc356840131"/>
      <w:r>
        <w:rPr>
          <w:rStyle w:val="11"/>
          <w:rFonts w:hint="eastAsia" w:ascii="黑体" w:hAnsi="黑体" w:eastAsia="黑体"/>
          <w:sz w:val="36"/>
          <w:szCs w:val="36"/>
        </w:rPr>
        <w:t>第三十七号 上市公司投资者说明会预告公告</w:t>
      </w:r>
      <w:bookmarkEnd w:id="0"/>
    </w:p>
    <w:p w14:paraId="3B112FE4">
      <w:pPr>
        <w:spacing w:line="560" w:lineRule="exact"/>
        <w:rPr>
          <w:rFonts w:ascii="宋体" w:hAnsi="宋体"/>
          <w:b/>
        </w:rPr>
      </w:pPr>
    </w:p>
    <w:p w14:paraId="00B5BEE2">
      <w:pPr>
        <w:autoSpaceDE w:val="0"/>
        <w:autoSpaceDN w:val="0"/>
        <w:adjustRightInd w:val="0"/>
        <w:snapToGrid w:val="0"/>
        <w:spacing w:line="560" w:lineRule="exact"/>
        <w:rPr>
          <w:rFonts w:ascii="仿宋_GB2312" w:hAnsi="宋体" w:eastAsia="仿宋_GB2312"/>
          <w:b/>
          <w:sz w:val="30"/>
          <w:szCs w:val="30"/>
        </w:rPr>
      </w:pPr>
      <w:r>
        <w:rPr>
          <w:rFonts w:hint="eastAsia" w:ascii="仿宋_GB2312" w:hAnsi="宋体" w:eastAsia="仿宋_GB2312"/>
          <w:b/>
          <w:sz w:val="30"/>
          <w:szCs w:val="30"/>
        </w:rPr>
        <w:t>适用情形：</w:t>
      </w:r>
    </w:p>
    <w:p w14:paraId="792D92A8">
      <w:pPr>
        <w:snapToGrid w:val="0"/>
        <w:spacing w:line="560" w:lineRule="exact"/>
        <w:ind w:firstLine="600" w:firstLineChars="200"/>
        <w:rPr>
          <w:rFonts w:hint="eastAsia" w:ascii="仿宋_GB2312" w:eastAsia="仿宋_GB2312"/>
          <w:color w:val="000000"/>
          <w:sz w:val="30"/>
          <w:szCs w:val="30"/>
        </w:rPr>
      </w:pPr>
      <w:r>
        <w:rPr>
          <w:rFonts w:hint="eastAsia" w:ascii="仿宋_GB2312" w:eastAsia="仿宋_GB2312"/>
          <w:color w:val="000000"/>
          <w:sz w:val="30"/>
          <w:szCs w:val="30"/>
        </w:rPr>
        <w:t>本所上市公司面向全体股东召开业绩说明会、现金分红说明会、风险说明会、重大事项说明会等投资者说明会的，适用本公告格式，公告标题可以根据说明会的具体类型相应调整。</w:t>
      </w:r>
    </w:p>
    <w:p w14:paraId="70602E96">
      <w:pPr>
        <w:snapToGrid w:val="0"/>
        <w:spacing w:line="560" w:lineRule="exact"/>
        <w:jc w:val="center"/>
        <w:rPr>
          <w:rFonts w:hint="eastAsia" w:ascii="仿宋_GB2312" w:eastAsia="仿宋_GB2312"/>
          <w:color w:val="000000"/>
          <w:sz w:val="30"/>
          <w:szCs w:val="30"/>
        </w:rPr>
      </w:pPr>
    </w:p>
    <w:p w14:paraId="7A039BE1">
      <w:pPr>
        <w:adjustRightInd w:val="0"/>
        <w:snapToGrid w:val="0"/>
        <w:spacing w:line="560" w:lineRule="exact"/>
        <w:rPr>
          <w:rFonts w:ascii="仿宋_GB2312" w:hAnsi="宋体" w:eastAsia="仿宋_GB2312"/>
          <w:sz w:val="30"/>
          <w:szCs w:val="30"/>
        </w:rPr>
      </w:pPr>
      <w:r>
        <w:rPr>
          <w:rFonts w:hint="eastAsia" w:ascii="仿宋_GB2312" w:hAnsi="宋体" w:eastAsia="仿宋_GB2312"/>
          <w:sz w:val="30"/>
          <w:szCs w:val="30"/>
        </w:rPr>
        <w:t>证券代码：             证券简称：            公告编号：</w:t>
      </w:r>
    </w:p>
    <w:p w14:paraId="2EC52A04">
      <w:pPr>
        <w:adjustRightInd w:val="0"/>
        <w:snapToGrid w:val="0"/>
        <w:spacing w:line="560" w:lineRule="exact"/>
        <w:rPr>
          <w:rFonts w:hint="eastAsia" w:ascii="仿宋" w:hAnsi="仿宋" w:eastAsia="仿宋"/>
          <w:sz w:val="30"/>
          <w:szCs w:val="30"/>
        </w:rPr>
      </w:pPr>
    </w:p>
    <w:p w14:paraId="0250C6D9">
      <w:pPr>
        <w:snapToGrid w:val="0"/>
        <w:spacing w:line="560" w:lineRule="exact"/>
        <w:jc w:val="center"/>
        <w:rPr>
          <w:rFonts w:hint="eastAsia" w:ascii="仿宋_GB2312" w:hAnsi="宋体" w:eastAsia="仿宋_GB2312" w:cs="黑体-WinCharSetFFFF-H"/>
          <w:kern w:val="0"/>
          <w:sz w:val="30"/>
          <w:szCs w:val="30"/>
        </w:rPr>
      </w:pPr>
      <w:r>
        <w:rPr>
          <w:rFonts w:hint="eastAsia" w:ascii="仿宋_GB2312" w:hAnsi="宋体" w:eastAsia="仿宋_GB2312"/>
          <w:color w:val="000000"/>
          <w:sz w:val="30"/>
          <w:szCs w:val="30"/>
        </w:rPr>
        <w:t>X</w:t>
      </w:r>
      <w:r>
        <w:rPr>
          <w:rFonts w:ascii="仿宋_GB2312" w:hAnsi="宋体" w:eastAsia="仿宋_GB2312"/>
          <w:color w:val="000000"/>
          <w:sz w:val="30"/>
          <w:szCs w:val="30"/>
        </w:rPr>
        <w:t>XXX</w:t>
      </w:r>
      <w:r>
        <w:rPr>
          <w:rFonts w:hint="eastAsia" w:ascii="仿宋_GB2312" w:hAnsi="宋体" w:eastAsia="仿宋_GB2312"/>
          <w:color w:val="000000"/>
          <w:sz w:val="30"/>
          <w:szCs w:val="30"/>
        </w:rPr>
        <w:t>股份有限公司X</w:t>
      </w:r>
      <w:r>
        <w:rPr>
          <w:rFonts w:ascii="仿宋_GB2312" w:hAnsi="宋体" w:eastAsia="仿宋_GB2312"/>
          <w:color w:val="000000"/>
          <w:sz w:val="30"/>
          <w:szCs w:val="30"/>
        </w:rPr>
        <w:t>XXX</w:t>
      </w:r>
      <w:r>
        <w:rPr>
          <w:rFonts w:hint="eastAsia" w:ascii="仿宋_GB2312" w:hAnsi="宋体" w:eastAsia="仿宋_GB2312"/>
          <w:color w:val="000000"/>
          <w:sz w:val="30"/>
          <w:szCs w:val="30"/>
        </w:rPr>
        <w:t>说明会（写明具体类型）预告</w:t>
      </w:r>
      <w:r>
        <w:rPr>
          <w:rFonts w:hint="eastAsia" w:ascii="仿宋_GB2312" w:hAnsi="宋体" w:eastAsia="仿宋_GB2312" w:cs="黑体-WinCharSetFFFF-H"/>
          <w:kern w:val="0"/>
          <w:sz w:val="30"/>
          <w:szCs w:val="30"/>
        </w:rPr>
        <w:t>公告</w:t>
      </w:r>
    </w:p>
    <w:p w14:paraId="35943A40">
      <w:pPr>
        <w:snapToGrid w:val="0"/>
        <w:spacing w:line="560" w:lineRule="exact"/>
        <w:jc w:val="center"/>
        <w:rPr>
          <w:rFonts w:ascii="仿宋_GB2312" w:hAnsi="宋体" w:eastAsia="仿宋_GB2312"/>
          <w:color w:val="000000"/>
          <w:sz w:val="30"/>
          <w:szCs w:val="30"/>
        </w:rPr>
      </w:pPr>
    </w:p>
    <w:p w14:paraId="253D955B">
      <w:pPr>
        <w:pBdr>
          <w:top w:val="single" w:color="auto" w:sz="4" w:space="1"/>
          <w:left w:val="single" w:color="auto" w:sz="4" w:space="4"/>
          <w:bottom w:val="single" w:color="auto" w:sz="4" w:space="2"/>
          <w:right w:val="single" w:color="auto" w:sz="4" w:space="4"/>
        </w:pBdr>
        <w:adjustRightInd w:val="0"/>
        <w:spacing w:line="560" w:lineRule="exact"/>
        <w:rPr>
          <w:rFonts w:ascii="仿宋_GB2312" w:hAnsi="宋体" w:eastAsia="仿宋_GB2312"/>
          <w:color w:val="000000"/>
          <w:sz w:val="30"/>
          <w:szCs w:val="30"/>
        </w:rPr>
      </w:pPr>
      <w:r>
        <w:rPr>
          <w:rFonts w:hint="eastAsia" w:ascii="仿宋_GB2312" w:hAnsi="宋体" w:eastAsia="仿宋_GB2312"/>
          <w:color w:val="000000"/>
          <w:sz w:val="30"/>
          <w:szCs w:val="30"/>
        </w:rPr>
        <w:t xml:space="preserve">    本公司董事会及全体董事保证本公告内容不存在任何虚假记载、误导性陈述或者重大遗漏，并对其内容的真实性、准确性和完整性承担法律责任。</w:t>
      </w:r>
    </w:p>
    <w:p w14:paraId="7DE7F88E">
      <w:pPr>
        <w:pBdr>
          <w:top w:val="single" w:color="auto" w:sz="4" w:space="1"/>
          <w:left w:val="single" w:color="auto" w:sz="4" w:space="4"/>
          <w:bottom w:val="single" w:color="auto" w:sz="4" w:space="2"/>
          <w:right w:val="single" w:color="auto" w:sz="4" w:space="4"/>
        </w:pBdr>
        <w:adjustRightInd w:val="0"/>
        <w:spacing w:line="560" w:lineRule="exact"/>
        <w:rPr>
          <w:rFonts w:ascii="仿宋_GB2312" w:hAnsi="宋体" w:eastAsia="仿宋_GB2312"/>
          <w:color w:val="000000"/>
          <w:sz w:val="30"/>
          <w:szCs w:val="30"/>
        </w:rPr>
      </w:pPr>
      <w:r>
        <w:rPr>
          <w:rFonts w:hint="eastAsia" w:ascii="仿宋_GB2312" w:hAnsi="宋体" w:eastAsia="仿宋_GB2312"/>
          <w:color w:val="000000"/>
          <w:sz w:val="30"/>
          <w:szCs w:val="30"/>
        </w:rPr>
        <w:t xml:space="preserve">    如有董事对临时公告内容的真实性、准确性和完整性无法保证或存在异议的，公司应当在公告中作特别提示。</w:t>
      </w:r>
    </w:p>
    <w:p w14:paraId="1DEBAEDB">
      <w:pPr>
        <w:adjustRightInd w:val="0"/>
        <w:snapToGrid w:val="0"/>
        <w:spacing w:line="560" w:lineRule="exact"/>
        <w:rPr>
          <w:rFonts w:ascii="仿宋_GB2312" w:hAnsi="宋体" w:eastAsia="仿宋_GB2312"/>
          <w:sz w:val="30"/>
          <w:szCs w:val="30"/>
        </w:rPr>
      </w:pPr>
    </w:p>
    <w:p w14:paraId="48F0B85E">
      <w:pPr>
        <w:adjustRightInd w:val="0"/>
        <w:snapToGrid w:val="0"/>
        <w:spacing w:line="56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重要内容提示：</w:t>
      </w:r>
    </w:p>
    <w:p w14:paraId="73D01900">
      <w:pPr>
        <w:numPr>
          <w:ilvl w:val="0"/>
          <w:numId w:val="1"/>
        </w:numPr>
        <w:adjustRightInd w:val="0"/>
        <w:snapToGrid w:val="0"/>
        <w:spacing w:line="560" w:lineRule="exact"/>
        <w:jc w:val="left"/>
        <w:rPr>
          <w:rFonts w:ascii="仿宋_GB2312" w:eastAsia="仿宋_GB2312"/>
          <w:color w:val="000000"/>
          <w:sz w:val="30"/>
          <w:szCs w:val="30"/>
        </w:rPr>
      </w:pPr>
      <w:r>
        <w:rPr>
          <w:rFonts w:hint="eastAsia" w:ascii="仿宋_GB2312" w:eastAsia="仿宋_GB2312"/>
          <w:color w:val="000000"/>
          <w:sz w:val="30"/>
          <w:szCs w:val="30"/>
        </w:rPr>
        <w:t>会议召开时间</w:t>
      </w:r>
    </w:p>
    <w:p w14:paraId="27B221D2">
      <w:pPr>
        <w:numPr>
          <w:ilvl w:val="0"/>
          <w:numId w:val="1"/>
        </w:numPr>
        <w:adjustRightInd w:val="0"/>
        <w:snapToGrid w:val="0"/>
        <w:spacing w:line="560" w:lineRule="exact"/>
        <w:jc w:val="left"/>
        <w:rPr>
          <w:rFonts w:ascii="仿宋_GB2312" w:eastAsia="仿宋_GB2312"/>
          <w:color w:val="000000"/>
          <w:sz w:val="30"/>
          <w:szCs w:val="30"/>
        </w:rPr>
      </w:pPr>
      <w:r>
        <w:rPr>
          <w:rFonts w:hint="eastAsia" w:ascii="仿宋_GB2312" w:eastAsia="仿宋_GB2312"/>
          <w:color w:val="000000"/>
          <w:sz w:val="30"/>
          <w:szCs w:val="30"/>
        </w:rPr>
        <w:t>会议召开地点</w:t>
      </w:r>
    </w:p>
    <w:p w14:paraId="2D296726">
      <w:pPr>
        <w:numPr>
          <w:ilvl w:val="0"/>
          <w:numId w:val="1"/>
        </w:numPr>
        <w:adjustRightInd w:val="0"/>
        <w:snapToGrid w:val="0"/>
        <w:spacing w:line="560" w:lineRule="exact"/>
        <w:jc w:val="left"/>
        <w:rPr>
          <w:rFonts w:ascii="仿宋_GB2312" w:eastAsia="仿宋_GB2312"/>
          <w:color w:val="000000"/>
          <w:sz w:val="30"/>
          <w:szCs w:val="30"/>
        </w:rPr>
      </w:pPr>
      <w:r>
        <w:rPr>
          <w:rFonts w:hint="eastAsia" w:ascii="仿宋_GB2312" w:eastAsia="仿宋_GB2312"/>
          <w:color w:val="000000"/>
          <w:sz w:val="30"/>
          <w:szCs w:val="30"/>
        </w:rPr>
        <w:t>会议召开方式</w:t>
      </w:r>
    </w:p>
    <w:p w14:paraId="1FDEAA86">
      <w:pPr>
        <w:numPr>
          <w:ilvl w:val="0"/>
          <w:numId w:val="1"/>
        </w:numPr>
        <w:adjustRightInd w:val="0"/>
        <w:snapToGrid w:val="0"/>
        <w:spacing w:line="560" w:lineRule="exact"/>
        <w:jc w:val="left"/>
        <w:rPr>
          <w:rFonts w:ascii="仿宋_GB2312" w:eastAsia="仿宋_GB2312"/>
          <w:color w:val="000000"/>
          <w:sz w:val="30"/>
          <w:szCs w:val="30"/>
        </w:rPr>
      </w:pPr>
      <w:r>
        <w:rPr>
          <w:rFonts w:hint="eastAsia" w:ascii="仿宋_GB2312" w:eastAsia="仿宋_GB2312"/>
          <w:color w:val="000000"/>
          <w:sz w:val="30"/>
          <w:szCs w:val="30"/>
        </w:rPr>
        <w:t>预征集投资者提问的相关安排，包括提问渠道、截止时间等</w:t>
      </w:r>
    </w:p>
    <w:p w14:paraId="36E00C36">
      <w:pPr>
        <w:adjustRightInd w:val="0"/>
        <w:snapToGrid w:val="0"/>
        <w:spacing w:line="560" w:lineRule="exact"/>
        <w:ind w:firstLine="600" w:firstLineChars="200"/>
        <w:jc w:val="left"/>
        <w:rPr>
          <w:rFonts w:ascii="仿宋" w:hAnsi="仿宋" w:eastAsia="仿宋"/>
          <w:sz w:val="30"/>
          <w:szCs w:val="30"/>
        </w:rPr>
      </w:pPr>
    </w:p>
    <w:p w14:paraId="72F07230">
      <w:pPr>
        <w:adjustRightInd w:val="0"/>
        <w:snapToGrid w:val="0"/>
        <w:spacing w:line="560" w:lineRule="exact"/>
        <w:ind w:firstLine="602" w:firstLineChars="200"/>
        <w:jc w:val="left"/>
        <w:rPr>
          <w:rFonts w:ascii="黑体" w:hAnsi="黑体" w:eastAsia="黑体"/>
          <w:b/>
          <w:sz w:val="30"/>
          <w:szCs w:val="30"/>
        </w:rPr>
      </w:pPr>
      <w:r>
        <w:rPr>
          <w:rFonts w:hint="eastAsia" w:ascii="黑体" w:hAnsi="黑体" w:eastAsia="黑体"/>
          <w:b/>
          <w:sz w:val="30"/>
          <w:szCs w:val="30"/>
        </w:rPr>
        <w:t>一、说明会类型</w:t>
      </w:r>
    </w:p>
    <w:p w14:paraId="2D1EBD24">
      <w:pPr>
        <w:adjustRightInd w:val="0"/>
        <w:snapToGrid w:val="0"/>
        <w:spacing w:line="560" w:lineRule="exact"/>
        <w:ind w:firstLine="600" w:firstLineChars="200"/>
        <w:jc w:val="left"/>
        <w:rPr>
          <w:rFonts w:hint="eastAsia" w:ascii="仿宋_GB2312" w:eastAsia="仿宋_GB2312"/>
          <w:color w:val="000000"/>
          <w:sz w:val="30"/>
          <w:szCs w:val="30"/>
        </w:rPr>
      </w:pPr>
      <w:r>
        <w:rPr>
          <w:rFonts w:hint="eastAsia" w:ascii="仿宋_GB2312" w:eastAsia="仿宋_GB2312"/>
          <w:color w:val="000000"/>
          <w:sz w:val="30"/>
          <w:szCs w:val="30"/>
        </w:rPr>
        <w:t>详细说明本次说明会的类型，披露说明会的具体事项。</w:t>
      </w:r>
    </w:p>
    <w:p w14:paraId="5F28DB1A">
      <w:pPr>
        <w:adjustRightInd w:val="0"/>
        <w:snapToGrid w:val="0"/>
        <w:spacing w:line="560" w:lineRule="exact"/>
        <w:ind w:firstLine="600" w:firstLineChars="200"/>
        <w:jc w:val="left"/>
        <w:rPr>
          <w:rFonts w:hint="eastAsia" w:ascii="仿宋_GB2312" w:eastAsia="仿宋_GB2312"/>
          <w:color w:val="000000"/>
          <w:sz w:val="30"/>
          <w:szCs w:val="30"/>
        </w:rPr>
      </w:pPr>
    </w:p>
    <w:p w14:paraId="305E9FA1">
      <w:pPr>
        <w:adjustRightInd w:val="0"/>
        <w:snapToGrid w:val="0"/>
        <w:spacing w:line="560" w:lineRule="exact"/>
        <w:ind w:firstLine="602" w:firstLineChars="200"/>
        <w:jc w:val="left"/>
        <w:rPr>
          <w:rFonts w:ascii="黑体" w:hAnsi="黑体" w:eastAsia="黑体"/>
          <w:b/>
          <w:sz w:val="30"/>
          <w:szCs w:val="30"/>
        </w:rPr>
      </w:pPr>
      <w:r>
        <w:rPr>
          <w:rFonts w:hint="eastAsia" w:ascii="黑体" w:hAnsi="黑体" w:eastAsia="黑体"/>
          <w:b/>
          <w:sz w:val="30"/>
          <w:szCs w:val="30"/>
        </w:rPr>
        <w:t>二、说明会召开的时间、地点</w:t>
      </w:r>
    </w:p>
    <w:p w14:paraId="5A1C0F69">
      <w:pPr>
        <w:adjustRightInd w:val="0"/>
        <w:snapToGrid w:val="0"/>
        <w:spacing w:line="560" w:lineRule="exact"/>
        <w:ind w:firstLine="600" w:firstLineChars="200"/>
        <w:jc w:val="left"/>
        <w:rPr>
          <w:rFonts w:hint="eastAsia" w:ascii="仿宋_GB2312" w:eastAsia="仿宋_GB2312"/>
          <w:color w:val="000000"/>
          <w:sz w:val="30"/>
          <w:szCs w:val="30"/>
        </w:rPr>
      </w:pPr>
      <w:r>
        <w:rPr>
          <w:rFonts w:hint="eastAsia" w:ascii="仿宋_GB2312" w:eastAsia="仿宋_GB2312"/>
          <w:color w:val="000000"/>
          <w:sz w:val="30"/>
          <w:szCs w:val="30"/>
        </w:rPr>
        <w:t>详细说明本次说明会的召开时间、地点和方式。</w:t>
      </w:r>
    </w:p>
    <w:p w14:paraId="22EF82ED">
      <w:pPr>
        <w:adjustRightInd w:val="0"/>
        <w:snapToGrid w:val="0"/>
        <w:spacing w:line="560" w:lineRule="exact"/>
        <w:ind w:firstLine="600" w:firstLineChars="200"/>
        <w:jc w:val="left"/>
        <w:rPr>
          <w:rFonts w:hint="eastAsia" w:ascii="仿宋_GB2312" w:eastAsia="仿宋_GB2312"/>
          <w:color w:val="000000"/>
          <w:sz w:val="30"/>
          <w:szCs w:val="30"/>
        </w:rPr>
      </w:pPr>
    </w:p>
    <w:p w14:paraId="0BD0B246">
      <w:pPr>
        <w:adjustRightInd w:val="0"/>
        <w:snapToGrid w:val="0"/>
        <w:spacing w:line="560" w:lineRule="exact"/>
        <w:ind w:firstLine="602" w:firstLineChars="200"/>
        <w:jc w:val="left"/>
        <w:rPr>
          <w:rFonts w:ascii="黑体" w:hAnsi="黑体" w:eastAsia="黑体"/>
          <w:b/>
          <w:sz w:val="30"/>
          <w:szCs w:val="30"/>
        </w:rPr>
      </w:pPr>
      <w:r>
        <w:rPr>
          <w:rFonts w:hint="eastAsia" w:ascii="黑体" w:hAnsi="黑体" w:eastAsia="黑体"/>
          <w:b/>
          <w:sz w:val="30"/>
          <w:szCs w:val="30"/>
        </w:rPr>
        <w:t>三、参加人员</w:t>
      </w:r>
    </w:p>
    <w:p w14:paraId="47497518">
      <w:pPr>
        <w:adjustRightInd w:val="0"/>
        <w:snapToGrid w:val="0"/>
        <w:spacing w:line="560" w:lineRule="exact"/>
        <w:ind w:firstLine="600" w:firstLineChars="200"/>
        <w:jc w:val="left"/>
        <w:rPr>
          <w:rFonts w:ascii="仿宋_GB2312" w:eastAsia="仿宋_GB2312"/>
          <w:color w:val="000000"/>
          <w:sz w:val="30"/>
          <w:szCs w:val="30"/>
        </w:rPr>
      </w:pPr>
      <w:r>
        <w:rPr>
          <w:rFonts w:hint="eastAsia" w:ascii="仿宋_GB2312" w:eastAsia="仿宋_GB2312"/>
          <w:color w:val="000000"/>
          <w:sz w:val="30"/>
          <w:szCs w:val="30"/>
        </w:rPr>
        <w:t>详细说明参加说明会的机构及个人，包括：</w:t>
      </w:r>
    </w:p>
    <w:p w14:paraId="2E47A53F">
      <w:pPr>
        <w:numPr>
          <w:ilvl w:val="0"/>
          <w:numId w:val="2"/>
        </w:numPr>
        <w:adjustRightInd w:val="0"/>
        <w:snapToGrid w:val="0"/>
        <w:spacing w:line="560" w:lineRule="exact"/>
        <w:ind w:firstLine="600" w:firstLineChars="200"/>
        <w:jc w:val="left"/>
        <w:rPr>
          <w:rFonts w:hint="eastAsia" w:ascii="仿宋_GB2312" w:eastAsia="仿宋_GB2312"/>
          <w:color w:val="000000"/>
          <w:sz w:val="30"/>
          <w:szCs w:val="30"/>
        </w:rPr>
      </w:pPr>
      <w:r>
        <w:rPr>
          <w:rFonts w:hint="eastAsia" w:ascii="仿宋_GB2312" w:eastAsia="仿宋_GB2312"/>
          <w:color w:val="000000"/>
          <w:sz w:val="30"/>
          <w:szCs w:val="30"/>
        </w:rPr>
        <w:t>上市公司：列明上市公司参加说明会的相关人员信息。</w:t>
      </w:r>
    </w:p>
    <w:p w14:paraId="64F4EF78">
      <w:pPr>
        <w:adjustRightInd w:val="0"/>
        <w:snapToGrid w:val="0"/>
        <w:spacing w:line="560" w:lineRule="exact"/>
        <w:ind w:firstLine="480" w:firstLineChars="200"/>
        <w:jc w:val="left"/>
        <w:rPr>
          <w:rFonts w:hint="eastAsia" w:ascii="楷体" w:hAnsi="楷体" w:eastAsia="楷体" w:cs="宋体-WinCharSetFFFF-H"/>
          <w:color w:val="000000"/>
          <w:kern w:val="0"/>
          <w:sz w:val="24"/>
          <w:szCs w:val="24"/>
        </w:rPr>
      </w:pPr>
      <w:r>
        <w:rPr>
          <w:rFonts w:hint="eastAsia" w:ascii="楷体" w:hAnsi="楷体" w:eastAsia="楷体" w:cs="宋体-WinCharSetFFFF-H"/>
          <w:color w:val="000000"/>
          <w:kern w:val="0"/>
          <w:sz w:val="24"/>
          <w:szCs w:val="24"/>
        </w:rPr>
        <w:t>（编制提醒：根据《上海证券交易所上市公司自律监管指引第1号——规范运作》第7.3.2条第一款规定，参与投资者说明会的上市公司人员应当包括公司董事长（或者总经理）、财务负责人、至少一名独立董事、董事会秘书。）</w:t>
      </w:r>
    </w:p>
    <w:p w14:paraId="3374BA80">
      <w:pPr>
        <w:adjustRightInd w:val="0"/>
        <w:snapToGrid w:val="0"/>
        <w:spacing w:line="560" w:lineRule="exact"/>
        <w:ind w:firstLine="600" w:firstLineChars="200"/>
        <w:jc w:val="left"/>
        <w:rPr>
          <w:rFonts w:ascii="仿宋_GB2312" w:eastAsia="仿宋_GB2312"/>
          <w:color w:val="000000"/>
          <w:sz w:val="30"/>
          <w:szCs w:val="30"/>
        </w:rPr>
      </w:pPr>
      <w:r>
        <w:rPr>
          <w:rFonts w:hint="eastAsia" w:ascii="仿宋_GB2312" w:eastAsia="仿宋_GB2312"/>
          <w:color w:val="000000"/>
          <w:sz w:val="30"/>
          <w:szCs w:val="30"/>
        </w:rPr>
        <w:t>（二）投资者：列明参加说明会的机构投资者名称。</w:t>
      </w:r>
    </w:p>
    <w:p w14:paraId="4CD2BADB">
      <w:pPr>
        <w:adjustRightInd w:val="0"/>
        <w:snapToGrid w:val="0"/>
        <w:spacing w:line="560" w:lineRule="exact"/>
        <w:ind w:firstLine="600" w:firstLineChars="200"/>
        <w:jc w:val="left"/>
        <w:rPr>
          <w:rFonts w:ascii="仿宋_GB2312" w:eastAsia="仿宋_GB2312"/>
          <w:color w:val="000000"/>
          <w:sz w:val="30"/>
          <w:szCs w:val="30"/>
        </w:rPr>
      </w:pPr>
      <w:r>
        <w:rPr>
          <w:rFonts w:hint="eastAsia" w:ascii="仿宋_GB2312" w:eastAsia="仿宋_GB2312"/>
          <w:color w:val="000000"/>
          <w:sz w:val="30"/>
          <w:szCs w:val="30"/>
        </w:rPr>
        <w:t>（三）中介机构：列明参加说明会的中介机构名称。</w:t>
      </w:r>
    </w:p>
    <w:p w14:paraId="48FE3AC8">
      <w:pPr>
        <w:adjustRightInd w:val="0"/>
        <w:snapToGrid w:val="0"/>
        <w:spacing w:line="560" w:lineRule="exact"/>
        <w:ind w:firstLine="600" w:firstLineChars="200"/>
        <w:jc w:val="left"/>
        <w:rPr>
          <w:rFonts w:hint="eastAsia" w:ascii="仿宋_GB2312" w:eastAsia="仿宋_GB2312"/>
          <w:color w:val="000000"/>
          <w:sz w:val="30"/>
          <w:szCs w:val="30"/>
        </w:rPr>
      </w:pPr>
      <w:r>
        <w:rPr>
          <w:rFonts w:hint="eastAsia" w:ascii="仿宋_GB2312" w:eastAsia="仿宋_GB2312"/>
          <w:color w:val="000000"/>
          <w:sz w:val="30"/>
          <w:szCs w:val="30"/>
        </w:rPr>
        <w:t>（四）其他相关人员：列明除上述机构和个人以外的媒体、相关监管机构、行业专家等其他参加人员，并简要说明其相关信息。</w:t>
      </w:r>
    </w:p>
    <w:p w14:paraId="1B7135BD">
      <w:pPr>
        <w:adjustRightInd w:val="0"/>
        <w:snapToGrid w:val="0"/>
        <w:spacing w:line="560" w:lineRule="exact"/>
        <w:ind w:firstLine="600" w:firstLineChars="200"/>
        <w:jc w:val="left"/>
        <w:rPr>
          <w:rFonts w:hint="eastAsia" w:ascii="仿宋_GB2312" w:eastAsia="仿宋_GB2312"/>
          <w:color w:val="000000"/>
          <w:sz w:val="30"/>
          <w:szCs w:val="30"/>
        </w:rPr>
      </w:pPr>
    </w:p>
    <w:p w14:paraId="3895F661">
      <w:pPr>
        <w:adjustRightInd w:val="0"/>
        <w:snapToGrid w:val="0"/>
        <w:spacing w:line="560" w:lineRule="exact"/>
        <w:ind w:firstLine="602" w:firstLineChars="200"/>
        <w:jc w:val="left"/>
        <w:rPr>
          <w:rFonts w:ascii="黑体" w:hAnsi="黑体" w:eastAsia="黑体"/>
          <w:b/>
          <w:sz w:val="30"/>
          <w:szCs w:val="30"/>
        </w:rPr>
      </w:pPr>
      <w:r>
        <w:rPr>
          <w:rFonts w:hint="eastAsia" w:ascii="黑体" w:hAnsi="黑体" w:eastAsia="黑体"/>
          <w:b/>
          <w:sz w:val="30"/>
          <w:szCs w:val="30"/>
        </w:rPr>
        <w:t>四、投资者参加方式</w:t>
      </w:r>
    </w:p>
    <w:p w14:paraId="44C1D74F">
      <w:pPr>
        <w:adjustRightInd w:val="0"/>
        <w:snapToGrid w:val="0"/>
        <w:spacing w:line="560" w:lineRule="exact"/>
        <w:ind w:firstLine="600" w:firstLineChars="200"/>
        <w:jc w:val="left"/>
        <w:rPr>
          <w:rFonts w:ascii="仿宋_GB2312" w:eastAsia="仿宋_GB2312"/>
          <w:color w:val="000000"/>
          <w:sz w:val="30"/>
          <w:szCs w:val="30"/>
        </w:rPr>
      </w:pPr>
      <w:r>
        <w:rPr>
          <w:rFonts w:hint="eastAsia" w:ascii="仿宋_GB2312" w:eastAsia="仿宋_GB2312"/>
          <w:color w:val="000000"/>
          <w:sz w:val="30"/>
          <w:szCs w:val="30"/>
        </w:rPr>
        <w:t>（一）详细说明机构和个人参加相关说明会的方式，例如现场、网络、电话方式。</w:t>
      </w:r>
    </w:p>
    <w:p w14:paraId="47450ED4">
      <w:pPr>
        <w:adjustRightInd w:val="0"/>
        <w:snapToGrid w:val="0"/>
        <w:spacing w:line="560" w:lineRule="exact"/>
        <w:ind w:firstLine="600" w:firstLineChars="200"/>
        <w:jc w:val="left"/>
        <w:rPr>
          <w:rFonts w:hint="eastAsia" w:ascii="仿宋_GB2312" w:eastAsia="仿宋_GB2312"/>
          <w:color w:val="000000"/>
          <w:sz w:val="30"/>
          <w:szCs w:val="30"/>
        </w:rPr>
      </w:pPr>
      <w:r>
        <w:rPr>
          <w:rFonts w:hint="eastAsia" w:ascii="仿宋_GB2312" w:eastAsia="仿宋_GB2312"/>
          <w:color w:val="000000"/>
          <w:sz w:val="30"/>
          <w:szCs w:val="30"/>
        </w:rPr>
        <w:t>（二）预征集投资者提问的相关安排，包括提问渠道、截止时间等。</w:t>
      </w:r>
    </w:p>
    <w:p w14:paraId="31445620">
      <w:pPr>
        <w:adjustRightInd w:val="0"/>
        <w:snapToGrid w:val="0"/>
        <w:spacing w:line="560" w:lineRule="exact"/>
        <w:ind w:firstLine="600" w:firstLineChars="200"/>
        <w:jc w:val="left"/>
        <w:rPr>
          <w:rFonts w:hint="eastAsia" w:ascii="仿宋_GB2312" w:eastAsia="仿宋_GB2312"/>
          <w:color w:val="000000"/>
          <w:sz w:val="30"/>
          <w:szCs w:val="30"/>
        </w:rPr>
      </w:pPr>
      <w:r>
        <w:rPr>
          <w:rFonts w:hint="eastAsia" w:ascii="仿宋_GB2312" w:eastAsia="仿宋_GB2312"/>
          <w:color w:val="000000"/>
          <w:sz w:val="30"/>
          <w:szCs w:val="30"/>
        </w:rPr>
        <w:t>公司应当在投资者说明会召开前以及召开期间为投资者开通提问渠道，做好投资者提问征集工作，并在说明会上对投资者关注的问题予以答复。</w:t>
      </w:r>
    </w:p>
    <w:p w14:paraId="5D8B7AC7">
      <w:pPr>
        <w:adjustRightInd w:val="0"/>
        <w:snapToGrid w:val="0"/>
        <w:spacing w:line="560" w:lineRule="exact"/>
        <w:ind w:firstLine="600" w:firstLineChars="200"/>
        <w:jc w:val="left"/>
        <w:rPr>
          <w:rFonts w:hint="eastAsia" w:ascii="仿宋_GB2312" w:eastAsia="仿宋_GB2312"/>
          <w:color w:val="000000"/>
          <w:sz w:val="30"/>
          <w:szCs w:val="30"/>
        </w:rPr>
      </w:pPr>
    </w:p>
    <w:p w14:paraId="193BC1F1">
      <w:pPr>
        <w:adjustRightInd w:val="0"/>
        <w:snapToGrid w:val="0"/>
        <w:spacing w:line="560" w:lineRule="exact"/>
        <w:ind w:firstLine="602" w:firstLineChars="200"/>
        <w:jc w:val="left"/>
        <w:rPr>
          <w:rFonts w:ascii="黑体" w:hAnsi="黑体" w:eastAsia="黑体"/>
          <w:b/>
          <w:sz w:val="30"/>
          <w:szCs w:val="30"/>
        </w:rPr>
      </w:pPr>
      <w:r>
        <w:rPr>
          <w:rFonts w:hint="eastAsia" w:ascii="黑体" w:hAnsi="黑体" w:eastAsia="黑体"/>
          <w:b/>
          <w:sz w:val="30"/>
          <w:szCs w:val="30"/>
        </w:rPr>
        <w:t>五、联系人及咨询办法</w:t>
      </w:r>
    </w:p>
    <w:p w14:paraId="5830E991">
      <w:pPr>
        <w:adjustRightInd w:val="0"/>
        <w:snapToGrid w:val="0"/>
        <w:spacing w:line="560" w:lineRule="exact"/>
        <w:ind w:firstLine="600" w:firstLineChars="200"/>
        <w:jc w:val="left"/>
        <w:rPr>
          <w:rFonts w:hint="eastAsia" w:ascii="仿宋_GB2312" w:eastAsia="仿宋_GB2312"/>
          <w:color w:val="000000"/>
          <w:sz w:val="30"/>
          <w:szCs w:val="30"/>
        </w:rPr>
      </w:pPr>
      <w:r>
        <w:rPr>
          <w:rFonts w:hint="eastAsia" w:ascii="仿宋_GB2312" w:eastAsia="仿宋_GB2312"/>
          <w:color w:val="000000"/>
          <w:sz w:val="30"/>
          <w:szCs w:val="30"/>
        </w:rPr>
        <w:t>上市公司投资者说明会的负责人及联系方式。</w:t>
      </w:r>
    </w:p>
    <w:p w14:paraId="4CE72017">
      <w:pPr>
        <w:adjustRightInd w:val="0"/>
        <w:snapToGrid w:val="0"/>
        <w:spacing w:line="560" w:lineRule="exact"/>
        <w:ind w:firstLine="600" w:firstLineChars="200"/>
        <w:jc w:val="left"/>
        <w:rPr>
          <w:rFonts w:hint="eastAsia" w:ascii="仿宋_GB2312" w:eastAsia="仿宋_GB2312"/>
          <w:color w:val="000000"/>
          <w:sz w:val="30"/>
          <w:szCs w:val="30"/>
        </w:rPr>
      </w:pPr>
    </w:p>
    <w:p w14:paraId="3373358D">
      <w:pPr>
        <w:adjustRightInd w:val="0"/>
        <w:snapToGrid w:val="0"/>
        <w:spacing w:line="560" w:lineRule="exact"/>
        <w:ind w:firstLine="602" w:firstLineChars="200"/>
        <w:jc w:val="left"/>
        <w:rPr>
          <w:rFonts w:ascii="黑体" w:hAnsi="黑体" w:eastAsia="黑体"/>
          <w:b/>
          <w:sz w:val="30"/>
          <w:szCs w:val="30"/>
        </w:rPr>
      </w:pPr>
      <w:r>
        <w:rPr>
          <w:rFonts w:hint="eastAsia" w:ascii="黑体" w:hAnsi="黑体" w:eastAsia="黑体"/>
          <w:b/>
          <w:sz w:val="30"/>
          <w:szCs w:val="30"/>
        </w:rPr>
        <w:t>六、其他事项</w:t>
      </w:r>
    </w:p>
    <w:p w14:paraId="3243E834">
      <w:pPr>
        <w:adjustRightInd w:val="0"/>
        <w:snapToGrid w:val="0"/>
        <w:spacing w:line="560" w:lineRule="exact"/>
        <w:ind w:firstLine="600" w:firstLineChars="200"/>
        <w:jc w:val="left"/>
        <w:rPr>
          <w:rFonts w:hint="eastAsia" w:ascii="仿宋_GB2312" w:eastAsia="仿宋_GB2312"/>
          <w:color w:val="000000"/>
          <w:sz w:val="30"/>
          <w:szCs w:val="30"/>
        </w:rPr>
      </w:pPr>
      <w:r>
        <w:rPr>
          <w:rFonts w:hint="eastAsia" w:ascii="仿宋_GB2312" w:eastAsia="仿宋_GB2312"/>
          <w:color w:val="000000"/>
          <w:sz w:val="30"/>
          <w:szCs w:val="30"/>
        </w:rPr>
        <w:t>会后供投资者回看或查阅的方式，全面如实地向投资者反映说明会的召开情况。</w:t>
      </w:r>
    </w:p>
    <w:p w14:paraId="21093632">
      <w:pPr>
        <w:adjustRightInd w:val="0"/>
        <w:snapToGrid w:val="0"/>
        <w:spacing w:line="560" w:lineRule="exact"/>
        <w:ind w:firstLine="600" w:firstLineChars="200"/>
        <w:jc w:val="left"/>
        <w:rPr>
          <w:rFonts w:ascii="仿宋_GB2312" w:eastAsia="仿宋_GB2312"/>
          <w:color w:val="000000"/>
          <w:sz w:val="30"/>
          <w:szCs w:val="30"/>
        </w:rPr>
      </w:pPr>
    </w:p>
    <w:p w14:paraId="344059F4">
      <w:pPr>
        <w:adjustRightInd w:val="0"/>
        <w:snapToGrid w:val="0"/>
        <w:spacing w:line="560" w:lineRule="exact"/>
        <w:ind w:firstLine="600" w:firstLineChars="200"/>
        <w:jc w:val="left"/>
        <w:rPr>
          <w:rFonts w:hint="eastAsia" w:ascii="仿宋_GB2312" w:eastAsia="仿宋_GB2312"/>
          <w:color w:val="000000"/>
          <w:sz w:val="30"/>
          <w:szCs w:val="30"/>
        </w:rPr>
      </w:pPr>
      <w:r>
        <w:rPr>
          <w:rFonts w:hint="eastAsia" w:ascii="仿宋_GB2312" w:eastAsia="仿宋_GB2312"/>
          <w:color w:val="000000"/>
          <w:sz w:val="30"/>
          <w:szCs w:val="30"/>
        </w:rPr>
        <w:t>特此公告。</w:t>
      </w:r>
    </w:p>
    <w:p w14:paraId="6A33EC3D">
      <w:pPr>
        <w:adjustRightInd w:val="0"/>
        <w:snapToGrid w:val="0"/>
        <w:spacing w:line="560" w:lineRule="exact"/>
        <w:ind w:firstLine="600" w:firstLineChars="200"/>
        <w:jc w:val="right"/>
        <w:rPr>
          <w:rFonts w:ascii="仿宋_GB2312" w:eastAsia="仿宋_GB2312"/>
          <w:color w:val="000000"/>
          <w:sz w:val="30"/>
          <w:szCs w:val="30"/>
        </w:rPr>
      </w:pPr>
    </w:p>
    <w:p w14:paraId="42717401">
      <w:pPr>
        <w:adjustRightInd w:val="0"/>
        <w:snapToGrid w:val="0"/>
        <w:spacing w:line="560" w:lineRule="exact"/>
        <w:ind w:firstLine="600" w:firstLineChars="200"/>
        <w:jc w:val="right"/>
        <w:rPr>
          <w:rFonts w:ascii="仿宋_GB2312" w:eastAsia="仿宋_GB2312"/>
          <w:color w:val="000000"/>
          <w:sz w:val="30"/>
          <w:szCs w:val="30"/>
        </w:rPr>
      </w:pPr>
      <w:r>
        <w:rPr>
          <w:rFonts w:hint="eastAsia" w:ascii="仿宋_GB2312" w:hAnsi="宋体" w:eastAsia="仿宋_GB2312"/>
          <w:color w:val="000000"/>
          <w:sz w:val="30"/>
          <w:szCs w:val="30"/>
        </w:rPr>
        <w:t>××××</w:t>
      </w:r>
      <w:r>
        <w:rPr>
          <w:rFonts w:hint="eastAsia" w:ascii="仿宋_GB2312" w:eastAsia="仿宋_GB2312"/>
          <w:color w:val="000000"/>
          <w:sz w:val="30"/>
          <w:szCs w:val="30"/>
        </w:rPr>
        <w:t>股份有限公司董事会</w:t>
      </w:r>
    </w:p>
    <w:p w14:paraId="1264148C">
      <w:pPr>
        <w:adjustRightInd w:val="0"/>
        <w:snapToGrid w:val="0"/>
        <w:spacing w:line="560" w:lineRule="exact"/>
        <w:ind w:firstLine="600" w:firstLineChars="200"/>
        <w:jc w:val="right"/>
        <w:rPr>
          <w:rFonts w:hint="eastAsia" w:ascii="仿宋_GB2312" w:eastAsia="仿宋_GB2312"/>
          <w:color w:val="000000"/>
          <w:sz w:val="30"/>
          <w:szCs w:val="30"/>
        </w:rPr>
      </w:pPr>
      <w:r>
        <w:rPr>
          <w:rFonts w:hint="eastAsia" w:ascii="仿宋_GB2312" w:eastAsia="仿宋_GB2312"/>
          <w:color w:val="000000"/>
          <w:sz w:val="30"/>
          <w:szCs w:val="30"/>
        </w:rPr>
        <w:t>年</w:t>
      </w:r>
      <w:r>
        <w:rPr>
          <w:rFonts w:ascii="仿宋_GB2312" w:eastAsia="仿宋_GB2312"/>
          <w:color w:val="000000"/>
          <w:sz w:val="30"/>
          <w:szCs w:val="30"/>
        </w:rPr>
        <w:t xml:space="preserve">  </w:t>
      </w:r>
      <w:r>
        <w:rPr>
          <w:rFonts w:hint="eastAsia" w:ascii="仿宋_GB2312" w:eastAsia="仿宋_GB2312"/>
          <w:color w:val="000000"/>
          <w:sz w:val="30"/>
          <w:szCs w:val="30"/>
        </w:rPr>
        <w:t>月</w:t>
      </w:r>
      <w:r>
        <w:rPr>
          <w:rFonts w:ascii="仿宋_GB2312" w:eastAsia="仿宋_GB2312"/>
          <w:color w:val="000000"/>
          <w:sz w:val="30"/>
          <w:szCs w:val="30"/>
        </w:rPr>
        <w:t xml:space="preserve">  </w:t>
      </w:r>
      <w:r>
        <w:rPr>
          <w:rFonts w:hint="eastAsia" w:ascii="仿宋_GB2312" w:eastAsia="仿宋_GB2312"/>
          <w:color w:val="000000"/>
          <w:sz w:val="30"/>
          <w:szCs w:val="30"/>
        </w:rPr>
        <w:t>日</w:t>
      </w:r>
    </w:p>
    <w:p w14:paraId="0558ADA0">
      <w:pPr>
        <w:adjustRightInd w:val="0"/>
        <w:snapToGrid w:val="0"/>
        <w:spacing w:line="560" w:lineRule="exact"/>
        <w:ind w:firstLine="600" w:firstLineChars="200"/>
        <w:jc w:val="left"/>
        <w:rPr>
          <w:rFonts w:hint="eastAsia" w:ascii="仿宋_GB2312" w:eastAsia="仿宋_GB2312"/>
          <w:color w:val="000000"/>
          <w:sz w:val="30"/>
          <w:szCs w:val="30"/>
        </w:rPr>
      </w:pPr>
    </w:p>
    <w:p w14:paraId="2400BB55">
      <w:pPr>
        <w:adjustRightInd w:val="0"/>
        <w:snapToGrid w:val="0"/>
        <w:spacing w:line="560" w:lineRule="exact"/>
        <w:ind w:firstLine="600" w:firstLineChars="200"/>
        <w:jc w:val="left"/>
        <w:rPr>
          <w:rFonts w:ascii="仿宋_GB2312" w:eastAsia="仿宋_GB2312"/>
          <w:color w:val="000000"/>
          <w:sz w:val="30"/>
          <w:szCs w:val="30"/>
        </w:rPr>
      </w:pPr>
    </w:p>
    <w:sectPr>
      <w:headerReference r:id="rId3" w:type="default"/>
      <w:footerReference r:id="rId4" w:type="default"/>
      <w:footerReference r:id="rId5"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黑体-WinCharSetFFFF-H">
    <w:altName w:val="黑体"/>
    <w:panose1 w:val="00000000000000000000"/>
    <w:charset w:val="86"/>
    <w:family w:val="auto"/>
    <w:pitch w:val="default"/>
    <w:sig w:usb0="00000000" w:usb1="00000000" w:usb2="0000001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宋体-WinCharSetFFFF-H">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BC0379">
    <w:pPr>
      <w:pStyle w:val="5"/>
      <w:jc w:val="center"/>
    </w:pPr>
    <w:r>
      <w:fldChar w:fldCharType="begin"/>
    </w:r>
    <w:r>
      <w:instrText xml:space="preserve"> PAGE   \* MERGEFORMAT </w:instrText>
    </w:r>
    <w:r>
      <w:fldChar w:fldCharType="separate"/>
    </w:r>
    <w:r>
      <w:rPr>
        <w:lang w:val="zh-CN"/>
      </w:rPr>
      <w:t>1</w:t>
    </w:r>
    <w:r>
      <w:fldChar w:fldCharType="end"/>
    </w:r>
  </w:p>
  <w:p w14:paraId="7F81E78C">
    <w:pPr>
      <w:pStyle w:val="5"/>
      <w:ind w:right="360"/>
      <w:jc w:val="center"/>
      <w:rPr>
        <w:rFonts w:ascii="宋体" w:hAnsi="宋体"/>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E13F3C">
    <w:pPr>
      <w:pStyle w:val="5"/>
      <w:framePr w:wrap="around" w:vAnchor="text" w:hAnchor="margin" w:xAlign="right" w:y="1"/>
      <w:rPr>
        <w:rStyle w:val="12"/>
      </w:rPr>
    </w:pPr>
    <w:r>
      <w:rPr>
        <w:rStyle w:val="12"/>
      </w:rPr>
      <w:fldChar w:fldCharType="begin"/>
    </w:r>
    <w:r>
      <w:rPr>
        <w:rStyle w:val="12"/>
      </w:rPr>
      <w:instrText xml:space="preserve">PAGE  </w:instrText>
    </w:r>
    <w:r>
      <w:rPr>
        <w:rStyle w:val="12"/>
      </w:rPr>
      <w:fldChar w:fldCharType="end"/>
    </w:r>
  </w:p>
  <w:p w14:paraId="42A38008">
    <w:pPr>
      <w:pStyle w:val="5"/>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BC8C57">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B90876"/>
    <w:multiLevelType w:val="multilevel"/>
    <w:tmpl w:val="0EB90876"/>
    <w:lvl w:ilvl="0" w:tentative="0">
      <w:start w:val="1"/>
      <w:numFmt w:val="bullet"/>
      <w:lvlText w:val=""/>
      <w:lvlJc w:val="left"/>
      <w:pPr>
        <w:tabs>
          <w:tab w:val="left" w:pos="1005"/>
        </w:tabs>
        <w:ind w:left="1005" w:hanging="420"/>
      </w:pPr>
      <w:rPr>
        <w:rFonts w:hint="default" w:ascii="Wingdings" w:hAnsi="Wingdings"/>
      </w:rPr>
    </w:lvl>
    <w:lvl w:ilvl="1" w:tentative="0">
      <w:start w:val="1"/>
      <w:numFmt w:val="bullet"/>
      <w:lvlText w:val=""/>
      <w:lvlJc w:val="left"/>
      <w:pPr>
        <w:ind w:left="1425" w:hanging="420"/>
      </w:pPr>
      <w:rPr>
        <w:rFonts w:hint="default" w:ascii="Wingdings" w:hAnsi="Wingdings"/>
      </w:rPr>
    </w:lvl>
    <w:lvl w:ilvl="2" w:tentative="0">
      <w:start w:val="1"/>
      <w:numFmt w:val="bullet"/>
      <w:lvlText w:val=""/>
      <w:lvlJc w:val="left"/>
      <w:pPr>
        <w:ind w:left="1845" w:hanging="420"/>
      </w:pPr>
      <w:rPr>
        <w:rFonts w:hint="default" w:ascii="Wingdings" w:hAnsi="Wingdings"/>
      </w:rPr>
    </w:lvl>
    <w:lvl w:ilvl="3" w:tentative="0">
      <w:start w:val="1"/>
      <w:numFmt w:val="bullet"/>
      <w:lvlText w:val=""/>
      <w:lvlJc w:val="left"/>
      <w:pPr>
        <w:ind w:left="2265" w:hanging="420"/>
      </w:pPr>
      <w:rPr>
        <w:rFonts w:hint="default" w:ascii="Wingdings" w:hAnsi="Wingdings"/>
      </w:rPr>
    </w:lvl>
    <w:lvl w:ilvl="4" w:tentative="0">
      <w:start w:val="1"/>
      <w:numFmt w:val="bullet"/>
      <w:lvlText w:val=""/>
      <w:lvlJc w:val="left"/>
      <w:pPr>
        <w:ind w:left="2685" w:hanging="420"/>
      </w:pPr>
      <w:rPr>
        <w:rFonts w:hint="default" w:ascii="Wingdings" w:hAnsi="Wingdings"/>
      </w:rPr>
    </w:lvl>
    <w:lvl w:ilvl="5" w:tentative="0">
      <w:start w:val="1"/>
      <w:numFmt w:val="bullet"/>
      <w:lvlText w:val=""/>
      <w:lvlJc w:val="left"/>
      <w:pPr>
        <w:ind w:left="3105" w:hanging="420"/>
      </w:pPr>
      <w:rPr>
        <w:rFonts w:hint="default" w:ascii="Wingdings" w:hAnsi="Wingdings"/>
      </w:rPr>
    </w:lvl>
    <w:lvl w:ilvl="6" w:tentative="0">
      <w:start w:val="1"/>
      <w:numFmt w:val="bullet"/>
      <w:lvlText w:val=""/>
      <w:lvlJc w:val="left"/>
      <w:pPr>
        <w:ind w:left="3525" w:hanging="420"/>
      </w:pPr>
      <w:rPr>
        <w:rFonts w:hint="default" w:ascii="Wingdings" w:hAnsi="Wingdings"/>
      </w:rPr>
    </w:lvl>
    <w:lvl w:ilvl="7" w:tentative="0">
      <w:start w:val="1"/>
      <w:numFmt w:val="bullet"/>
      <w:lvlText w:val=""/>
      <w:lvlJc w:val="left"/>
      <w:pPr>
        <w:ind w:left="3945" w:hanging="420"/>
      </w:pPr>
      <w:rPr>
        <w:rFonts w:hint="default" w:ascii="Wingdings" w:hAnsi="Wingdings"/>
      </w:rPr>
    </w:lvl>
    <w:lvl w:ilvl="8" w:tentative="0">
      <w:start w:val="1"/>
      <w:numFmt w:val="bullet"/>
      <w:lvlText w:val=""/>
      <w:lvlJc w:val="left"/>
      <w:pPr>
        <w:ind w:left="4365" w:hanging="420"/>
      </w:pPr>
      <w:rPr>
        <w:rFonts w:hint="default" w:ascii="Wingdings" w:hAnsi="Wingdings"/>
      </w:rPr>
    </w:lvl>
  </w:abstractNum>
  <w:abstractNum w:abstractNumId="1">
    <w:nsid w:val="1276F366"/>
    <w:multiLevelType w:val="singleLevel"/>
    <w:tmpl w:val="1276F366"/>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1201"/>
    <w:rsid w:val="0008456D"/>
    <w:rsid w:val="00095925"/>
    <w:rsid w:val="00100C7C"/>
    <w:rsid w:val="001515A1"/>
    <w:rsid w:val="00173C5E"/>
    <w:rsid w:val="001925CB"/>
    <w:rsid w:val="001A792E"/>
    <w:rsid w:val="002061F0"/>
    <w:rsid w:val="00240892"/>
    <w:rsid w:val="002760DE"/>
    <w:rsid w:val="002A6482"/>
    <w:rsid w:val="002D06BE"/>
    <w:rsid w:val="002E4B61"/>
    <w:rsid w:val="00311EBC"/>
    <w:rsid w:val="00314ADB"/>
    <w:rsid w:val="00333535"/>
    <w:rsid w:val="003428CE"/>
    <w:rsid w:val="003616FA"/>
    <w:rsid w:val="003775A9"/>
    <w:rsid w:val="003F6FA7"/>
    <w:rsid w:val="004302E9"/>
    <w:rsid w:val="0044662A"/>
    <w:rsid w:val="00486588"/>
    <w:rsid w:val="00495379"/>
    <w:rsid w:val="005248B7"/>
    <w:rsid w:val="00544631"/>
    <w:rsid w:val="00557F79"/>
    <w:rsid w:val="00574258"/>
    <w:rsid w:val="00576BED"/>
    <w:rsid w:val="00663941"/>
    <w:rsid w:val="006967B7"/>
    <w:rsid w:val="0070756D"/>
    <w:rsid w:val="00765123"/>
    <w:rsid w:val="0077086C"/>
    <w:rsid w:val="008513DE"/>
    <w:rsid w:val="00857AB4"/>
    <w:rsid w:val="00876B4E"/>
    <w:rsid w:val="008B22C7"/>
    <w:rsid w:val="008B5431"/>
    <w:rsid w:val="008E1834"/>
    <w:rsid w:val="00941936"/>
    <w:rsid w:val="00991E4A"/>
    <w:rsid w:val="009B66BB"/>
    <w:rsid w:val="009D10C0"/>
    <w:rsid w:val="009E3967"/>
    <w:rsid w:val="00A5131D"/>
    <w:rsid w:val="00A64CFA"/>
    <w:rsid w:val="00A82CA6"/>
    <w:rsid w:val="00BE0CAF"/>
    <w:rsid w:val="00C17BE8"/>
    <w:rsid w:val="00C24B90"/>
    <w:rsid w:val="00C465E4"/>
    <w:rsid w:val="00C53A80"/>
    <w:rsid w:val="00C577B0"/>
    <w:rsid w:val="00C96421"/>
    <w:rsid w:val="00CD1FA9"/>
    <w:rsid w:val="00CF33E7"/>
    <w:rsid w:val="00CF4E72"/>
    <w:rsid w:val="00D003D0"/>
    <w:rsid w:val="00D66056"/>
    <w:rsid w:val="00E466A6"/>
    <w:rsid w:val="00E55101"/>
    <w:rsid w:val="00F34F66"/>
    <w:rsid w:val="00F87C1C"/>
    <w:rsid w:val="00FD169D"/>
    <w:rsid w:val="00FF3DA9"/>
    <w:rsid w:val="01E7603C"/>
    <w:rsid w:val="02E80F26"/>
    <w:rsid w:val="04990D10"/>
    <w:rsid w:val="37587D43"/>
    <w:rsid w:val="62A74EAD"/>
    <w:rsid w:val="70B07A3E"/>
    <w:rsid w:val="CCFE67C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Document Map"/>
    <w:basedOn w:val="1"/>
    <w:link w:val="21"/>
    <w:qFormat/>
    <w:uiPriority w:val="0"/>
    <w:rPr>
      <w:rFonts w:ascii="宋体"/>
      <w:sz w:val="18"/>
      <w:szCs w:val="18"/>
    </w:rPr>
  </w:style>
  <w:style w:type="paragraph" w:styleId="3">
    <w:name w:val="annotation text"/>
    <w:basedOn w:val="1"/>
    <w:link w:val="19"/>
    <w:qFormat/>
    <w:uiPriority w:val="0"/>
    <w:pPr>
      <w:jc w:val="left"/>
    </w:pPr>
  </w:style>
  <w:style w:type="paragraph" w:styleId="4">
    <w:name w:val="Balloon Text"/>
    <w:basedOn w:val="1"/>
    <w:link w:val="14"/>
    <w:qFormat/>
    <w:uiPriority w:val="0"/>
    <w:rPr>
      <w:sz w:val="18"/>
      <w:szCs w:val="18"/>
    </w:rPr>
  </w:style>
  <w:style w:type="paragraph" w:styleId="5">
    <w:name w:val="footer"/>
    <w:basedOn w:val="1"/>
    <w:link w:val="15"/>
    <w:qFormat/>
    <w:uiPriority w:val="99"/>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7">
    <w:name w:val="Title"/>
    <w:basedOn w:val="1"/>
    <w:next w:val="1"/>
    <w:link w:val="16"/>
    <w:qFormat/>
    <w:uiPriority w:val="0"/>
    <w:pPr>
      <w:spacing w:before="240" w:after="60"/>
      <w:jc w:val="center"/>
      <w:outlineLvl w:val="0"/>
    </w:pPr>
    <w:rPr>
      <w:rFonts w:ascii="Cambria" w:hAnsi="Cambria"/>
      <w:b/>
      <w:bCs/>
      <w:sz w:val="32"/>
      <w:szCs w:val="32"/>
    </w:rPr>
  </w:style>
  <w:style w:type="paragraph" w:styleId="8">
    <w:name w:val="annotation subject"/>
    <w:basedOn w:val="3"/>
    <w:next w:val="3"/>
    <w:link w:val="20"/>
    <w:qFormat/>
    <w:uiPriority w:val="0"/>
    <w:rPr>
      <w:b/>
      <w:bCs/>
    </w:rPr>
  </w:style>
  <w:style w:type="character" w:styleId="11">
    <w:name w:val="Strong"/>
    <w:qFormat/>
    <w:uiPriority w:val="0"/>
    <w:rPr>
      <w:b/>
      <w:bCs/>
    </w:rPr>
  </w:style>
  <w:style w:type="character" w:styleId="12">
    <w:name w:val="page number"/>
    <w:qFormat/>
    <w:uiPriority w:val="0"/>
  </w:style>
  <w:style w:type="character" w:styleId="13">
    <w:name w:val="annotation reference"/>
    <w:qFormat/>
    <w:uiPriority w:val="0"/>
    <w:rPr>
      <w:sz w:val="21"/>
      <w:szCs w:val="21"/>
    </w:rPr>
  </w:style>
  <w:style w:type="character" w:customStyle="1" w:styleId="14">
    <w:name w:val="批注框文本 Char"/>
    <w:link w:val="4"/>
    <w:qFormat/>
    <w:uiPriority w:val="0"/>
    <w:rPr>
      <w:kern w:val="2"/>
      <w:sz w:val="18"/>
      <w:szCs w:val="18"/>
    </w:rPr>
  </w:style>
  <w:style w:type="character" w:customStyle="1" w:styleId="15">
    <w:name w:val="页脚 Char"/>
    <w:link w:val="5"/>
    <w:qFormat/>
    <w:locked/>
    <w:uiPriority w:val="99"/>
    <w:rPr>
      <w:rFonts w:eastAsia="宋体"/>
      <w:kern w:val="2"/>
      <w:sz w:val="18"/>
      <w:lang w:val="en-US" w:eastAsia="zh-CN" w:bidi="ar-SA"/>
    </w:rPr>
  </w:style>
  <w:style w:type="character" w:customStyle="1" w:styleId="16">
    <w:name w:val="标题 Char"/>
    <w:link w:val="7"/>
    <w:qFormat/>
    <w:locked/>
    <w:uiPriority w:val="0"/>
    <w:rPr>
      <w:rFonts w:ascii="Cambria" w:hAnsi="Cambria" w:eastAsia="宋体"/>
      <w:b/>
      <w:bCs/>
      <w:kern w:val="2"/>
      <w:sz w:val="32"/>
      <w:szCs w:val="32"/>
      <w:lang w:val="en-US" w:eastAsia="zh-CN" w:bidi="ar-SA"/>
    </w:rPr>
  </w:style>
  <w:style w:type="paragraph" w:styleId="17">
    <w:name w:val="List Paragraph"/>
    <w:basedOn w:val="1"/>
    <w:qFormat/>
    <w:uiPriority w:val="34"/>
    <w:pPr>
      <w:ind w:firstLine="420" w:firstLineChars="200"/>
    </w:pPr>
    <w:rPr>
      <w:rFonts w:ascii="Calibri" w:hAnsi="Calibri"/>
      <w:szCs w:val="22"/>
    </w:rPr>
  </w:style>
  <w:style w:type="paragraph" w:customStyle="1" w:styleId="18">
    <w:name w:val="_Style 17"/>
    <w:hidden/>
    <w:unhideWhenUsed/>
    <w:qFormat/>
    <w:uiPriority w:val="99"/>
    <w:rPr>
      <w:rFonts w:ascii="Times New Roman" w:hAnsi="Times New Roman" w:eastAsia="宋体" w:cs="Times New Roman"/>
      <w:kern w:val="2"/>
      <w:sz w:val="21"/>
      <w:lang w:val="en-US" w:eastAsia="zh-CN" w:bidi="ar-SA"/>
    </w:rPr>
  </w:style>
  <w:style w:type="character" w:customStyle="1" w:styleId="19">
    <w:name w:val="批注文字 Char"/>
    <w:link w:val="3"/>
    <w:qFormat/>
    <w:uiPriority w:val="0"/>
    <w:rPr>
      <w:kern w:val="2"/>
      <w:sz w:val="21"/>
    </w:rPr>
  </w:style>
  <w:style w:type="character" w:customStyle="1" w:styleId="20">
    <w:name w:val="批注主题 Char"/>
    <w:link w:val="8"/>
    <w:qFormat/>
    <w:uiPriority w:val="0"/>
    <w:rPr>
      <w:b/>
      <w:bCs/>
      <w:kern w:val="2"/>
      <w:sz w:val="21"/>
    </w:rPr>
  </w:style>
  <w:style w:type="character" w:customStyle="1" w:styleId="21">
    <w:name w:val="文档结构图 Char"/>
    <w:link w:val="2"/>
    <w:qFormat/>
    <w:uiPriority w:val="0"/>
    <w:rPr>
      <w:rFonts w:ascii="宋体"/>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wentinglou/C:\Users\whzhou\AppData\Local\Temp\Normal.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Normal.wpt</Template>
  <Pages>3</Pages>
  <Words>141</Words>
  <Characters>805</Characters>
  <Lines>6</Lines>
  <Paragraphs>1</Paragraphs>
  <TotalTime>0</TotalTime>
  <ScaleCrop>false</ScaleCrop>
  <LinksUpToDate>false</LinksUpToDate>
  <CharactersWithSpaces>945</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2022-04-24T08:48:00Z</dcterms:created>
  <dc:creator>wentinglou</dc:creator>
  <cp:lastModifiedBy>wentinglou</cp:lastModifiedBy>
  <dcterms:modified xsi:type="dcterms:W3CDTF">2025-08-25T16:16:50Z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14CCCD09E5574A58BAFA1F3CCD082BCD</vt:lpwstr>
  </property>
</Properties>
</file>