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D43AB">
      <w:pPr>
        <w:pStyle w:val="6"/>
        <w:spacing w:before="0" w:after="0" w:line="600" w:lineRule="exact"/>
        <w:rPr>
          <w:rFonts w:ascii="黑体" w:hAnsi="黑体" w:eastAsia="黑体"/>
          <w:bCs w:val="0"/>
          <w:sz w:val="36"/>
          <w:szCs w:val="36"/>
        </w:rPr>
      </w:pPr>
      <w:bookmarkStart w:id="0" w:name="_Toc359483097"/>
      <w:bookmarkStart w:id="1" w:name="_Toc357500303"/>
      <w:r>
        <w:rPr>
          <w:rFonts w:hint="eastAsia" w:ascii="黑体" w:hAnsi="黑体" w:eastAsia="黑体"/>
          <w:bCs w:val="0"/>
          <w:sz w:val="36"/>
          <w:szCs w:val="36"/>
        </w:rPr>
        <w:t>科创板上市公司换股实施结果、股份变动暨新增股份上市（合并方）</w:t>
      </w:r>
      <w:bookmarkEnd w:id="0"/>
      <w:bookmarkEnd w:id="1"/>
    </w:p>
    <w:p w14:paraId="25D3DD2B">
      <w:pPr>
        <w:spacing w:line="600" w:lineRule="exact"/>
        <w:jc w:val="center"/>
        <w:rPr>
          <w:rFonts w:hint="eastAsia" w:ascii="仿宋_GB2312" w:eastAsia="仿宋_GB2312"/>
          <w:sz w:val="24"/>
          <w:szCs w:val="28"/>
        </w:rPr>
      </w:pPr>
      <w:r>
        <w:rPr>
          <w:rFonts w:hint="eastAsia" w:ascii="仿宋_GB2312" w:hAnsi="宋体" w:eastAsia="仿宋_GB2312" w:cs="宋体"/>
          <w:color w:val="0000FF"/>
          <w:kern w:val="0"/>
          <w:sz w:val="24"/>
          <w:szCs w:val="28"/>
        </w:rPr>
        <w:t>（此公告涉及业务流程及操作，请按相关要求逐项编制公告，勿随意删改）</w:t>
      </w:r>
    </w:p>
    <w:p w14:paraId="73B256FF">
      <w:pPr>
        <w:autoSpaceDE w:val="0"/>
        <w:autoSpaceDN w:val="0"/>
        <w:adjustRightInd w:val="0"/>
        <w:snapToGrid w:val="0"/>
        <w:spacing w:line="600" w:lineRule="exact"/>
        <w:jc w:val="center"/>
        <w:rPr>
          <w:rFonts w:ascii="宋体" w:hAnsi="宋体"/>
          <w:color w:val="000000"/>
          <w:sz w:val="18"/>
        </w:rPr>
      </w:pPr>
    </w:p>
    <w:p w14:paraId="3D4165C4">
      <w:pPr>
        <w:adjustRightInd w:val="0"/>
        <w:snapToGrid w:val="0"/>
        <w:spacing w:line="600" w:lineRule="exact"/>
        <w:rPr>
          <w:rFonts w:ascii="仿宋_GB2312" w:hAnsi="宋体" w:eastAsia="仿宋_GB2312"/>
          <w:b/>
          <w:bCs/>
          <w:sz w:val="30"/>
          <w:szCs w:val="30"/>
        </w:rPr>
      </w:pPr>
      <w:r>
        <w:rPr>
          <w:rFonts w:hint="eastAsia" w:ascii="仿宋_GB2312" w:hAnsi="宋体" w:eastAsia="仿宋_GB2312"/>
          <w:b/>
          <w:bCs/>
          <w:sz w:val="30"/>
          <w:szCs w:val="30"/>
        </w:rPr>
        <w:t>适用情形：</w:t>
      </w:r>
    </w:p>
    <w:p w14:paraId="0C6A6B18">
      <w:pPr>
        <w:adjustRightInd w:val="0"/>
        <w:snapToGrid w:val="0"/>
        <w:spacing w:line="600" w:lineRule="exact"/>
        <w:ind w:firstLine="588" w:firstLineChars="196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科创板上市公司为合并方的换股吸收合并完成后，需履行信息披露义务，适用本业务操作指引；非上市公司吸收合并上市公司，不适用本业务操作指引。</w:t>
      </w:r>
    </w:p>
    <w:p w14:paraId="286AA30B">
      <w:pPr>
        <w:adjustRightInd w:val="0"/>
        <w:snapToGrid w:val="0"/>
        <w:spacing w:line="600" w:lineRule="exact"/>
        <w:ind w:firstLine="588" w:firstLineChars="196"/>
        <w:rPr>
          <w:rFonts w:ascii="仿宋_GB2312" w:hAnsi="宋体" w:eastAsia="仿宋_GB2312"/>
          <w:bCs/>
          <w:sz w:val="30"/>
          <w:szCs w:val="30"/>
        </w:rPr>
      </w:pPr>
    </w:p>
    <w:p w14:paraId="466C1AD5">
      <w:pPr>
        <w:adjustRightInd w:val="0"/>
        <w:snapToGrid w:val="0"/>
        <w:spacing w:line="600" w:lineRule="exact"/>
        <w:jc w:val="center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 xml:space="preserve">证券代码：         </w:t>
      </w:r>
      <w:r>
        <w:rPr>
          <w:rFonts w:hint="eastAsia" w:ascii="仿宋_GB2312" w:hAnsi="宋体" w:eastAsia="仿宋_GB2312"/>
          <w:bCs/>
          <w:sz w:val="30"/>
          <w:szCs w:val="30"/>
        </w:rPr>
        <w:tab/>
      </w:r>
      <w:r>
        <w:rPr>
          <w:rFonts w:hint="eastAsia" w:ascii="仿宋_GB2312" w:hAnsi="宋体" w:eastAsia="仿宋_GB2312"/>
          <w:bCs/>
          <w:sz w:val="30"/>
          <w:szCs w:val="30"/>
        </w:rPr>
        <w:t xml:space="preserve"> 证券简称：          公告编号：</w:t>
      </w:r>
    </w:p>
    <w:p w14:paraId="32B3EC00">
      <w:pPr>
        <w:adjustRightInd w:val="0"/>
        <w:snapToGrid w:val="0"/>
        <w:spacing w:line="600" w:lineRule="exact"/>
        <w:ind w:firstLine="588" w:firstLineChars="196"/>
        <w:rPr>
          <w:rFonts w:ascii="仿宋_GB2312" w:hAnsi="宋体" w:eastAsia="仿宋_GB2312"/>
          <w:bCs/>
          <w:sz w:val="30"/>
          <w:szCs w:val="30"/>
        </w:rPr>
      </w:pPr>
    </w:p>
    <w:p w14:paraId="51816549">
      <w:pPr>
        <w:adjustRightInd w:val="0"/>
        <w:snapToGrid w:val="0"/>
        <w:spacing w:line="600" w:lineRule="exact"/>
        <w:jc w:val="center"/>
        <w:rPr>
          <w:rFonts w:hint="eastAsia"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XXXX股份有限公司换股实施结果、股份变动暨新增股份上市（合并方）公告</w:t>
      </w:r>
    </w:p>
    <w:p w14:paraId="532DDC99">
      <w:pPr>
        <w:adjustRightInd w:val="0"/>
        <w:snapToGrid w:val="0"/>
        <w:spacing w:line="600" w:lineRule="exact"/>
        <w:jc w:val="center"/>
        <w:rPr>
          <w:rFonts w:ascii="仿宋_GB2312" w:hAnsi="宋体" w:eastAsia="仿宋_GB2312"/>
          <w:bCs/>
          <w:sz w:val="30"/>
          <w:szCs w:val="30"/>
        </w:rPr>
      </w:pPr>
    </w:p>
    <w:p w14:paraId="645F1A8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600" w:lineRule="exact"/>
        <w:ind w:firstLine="600" w:firstLineChars="200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本公司董事会及全体董事保证本公告内容不存在任何虚假记载、误导性陈述或者重大遗漏，并对其内容的真实性、准确性和完整性依法承担法律责任。</w:t>
      </w:r>
    </w:p>
    <w:p w14:paraId="62668B9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600" w:lineRule="exact"/>
        <w:ind w:firstLine="600" w:firstLineChars="200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如有董事对临时公告内容的真实性、准确性和完整性无法保证或存在异议的，公司应当在公告中作特别提示。</w:t>
      </w:r>
    </w:p>
    <w:p w14:paraId="5FF6D480">
      <w:pPr>
        <w:adjustRightInd w:val="0"/>
        <w:snapToGrid w:val="0"/>
        <w:spacing w:line="600" w:lineRule="exact"/>
        <w:ind w:firstLine="480" w:firstLineChars="200"/>
        <w:rPr>
          <w:rFonts w:ascii="宋体" w:hAnsi="宋体" w:cs="Arial Unicode MS"/>
          <w:sz w:val="24"/>
        </w:rPr>
      </w:pPr>
    </w:p>
    <w:p w14:paraId="12864E93">
      <w:pPr>
        <w:adjustRightInd w:val="0"/>
        <w:snapToGrid w:val="0"/>
        <w:spacing w:line="600" w:lineRule="exact"/>
        <w:ind w:firstLine="420"/>
        <w:rPr>
          <w:rFonts w:ascii="仿宋_GB2312" w:hAnsi="宋体" w:eastAsia="仿宋_GB2312"/>
          <w:b/>
          <w:bCs/>
          <w:sz w:val="30"/>
          <w:szCs w:val="30"/>
        </w:rPr>
      </w:pPr>
      <w:r>
        <w:rPr>
          <w:rFonts w:hint="eastAsia" w:ascii="仿宋_GB2312" w:hAnsi="宋体" w:eastAsia="仿宋_GB2312"/>
          <w:b/>
          <w:bCs/>
          <w:sz w:val="30"/>
          <w:szCs w:val="30"/>
        </w:rPr>
        <w:t>重要内容提示：</w:t>
      </w:r>
    </w:p>
    <w:p w14:paraId="5D0CF155">
      <w:pPr>
        <w:numPr>
          <w:ilvl w:val="0"/>
          <w:numId w:val="1"/>
        </w:numPr>
        <w:tabs>
          <w:tab w:val="clear" w:pos="900"/>
        </w:tabs>
        <w:adjustRightInd w:val="0"/>
        <w:snapToGrid w:val="0"/>
        <w:spacing w:line="600" w:lineRule="exact"/>
        <w:ind w:left="0" w:firstLine="420" w:firstLineChars="140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本次新增股份共计XXX股。其中，无限售流通股XXX股，限售流通股XXX股。</w:t>
      </w:r>
    </w:p>
    <w:p w14:paraId="66CBC9E3">
      <w:pPr>
        <w:numPr>
          <w:ilvl w:val="0"/>
          <w:numId w:val="1"/>
        </w:numPr>
        <w:tabs>
          <w:tab w:val="clear" w:pos="900"/>
        </w:tabs>
        <w:adjustRightInd w:val="0"/>
        <w:snapToGrid w:val="0"/>
        <w:spacing w:line="600" w:lineRule="exact"/>
        <w:ind w:left="0" w:firstLine="420" w:firstLineChars="140"/>
        <w:rPr>
          <w:rFonts w:hint="eastAsia"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本次新增无限售流通股上市流通日期为XXXX年XX月XX日，限售流通股上市流通日期为XXXX年XX月XX日。</w:t>
      </w:r>
    </w:p>
    <w:p w14:paraId="1A028B9D">
      <w:pPr>
        <w:adjustRightInd w:val="0"/>
        <w:snapToGrid w:val="0"/>
        <w:spacing w:line="600" w:lineRule="exact"/>
        <w:ind w:left="420"/>
        <w:rPr>
          <w:rFonts w:ascii="仿宋_GB2312" w:hAnsi="宋体" w:eastAsia="仿宋_GB2312"/>
          <w:bCs/>
          <w:sz w:val="30"/>
          <w:szCs w:val="30"/>
        </w:rPr>
      </w:pPr>
    </w:p>
    <w:p w14:paraId="7EC7FB01">
      <w:pPr>
        <w:widowControl/>
        <w:spacing w:line="600" w:lineRule="exact"/>
        <w:ind w:firstLine="643" w:firstLineChars="20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一、简要介绍本次换股吸收合并的批准情况，以及完成后公司总股本的变化情况</w:t>
      </w:r>
    </w:p>
    <w:p w14:paraId="027B01B9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XXXX股份有限公司换股吸收合并XXXX股份有限公司的申请已经中国证券监督管理委员会同意注册（文号：XXXX）并于XXXX年XX月XX日完成换股。本次换股吸收合并后，公司总股本增加XXXX股，变更为XXXX股。</w:t>
      </w:r>
    </w:p>
    <w:p w14:paraId="333801A2">
      <w:pPr>
        <w:widowControl/>
        <w:spacing w:line="600" w:lineRule="exact"/>
        <w:ind w:firstLine="600" w:firstLineChars="20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用表格形式列示本次换股吸收合并前后公司股本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eastAsia="zh-CN"/>
        </w:rPr>
        <w:t>结构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变化情况，如：</w:t>
      </w:r>
    </w:p>
    <w:tbl>
      <w:tblPr>
        <w:tblStyle w:val="8"/>
        <w:tblW w:w="8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1517"/>
        <w:gridCol w:w="1800"/>
        <w:gridCol w:w="1433"/>
        <w:gridCol w:w="1667"/>
      </w:tblGrid>
      <w:tr w14:paraId="22867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4" w:type="dxa"/>
            <w:noWrap/>
            <w:vAlign w:val="center"/>
          </w:tcPr>
          <w:p w14:paraId="205C960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517" w:type="dxa"/>
            <w:noWrap/>
            <w:vAlign w:val="center"/>
          </w:tcPr>
          <w:p w14:paraId="03D84A4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变动前（股）</w:t>
            </w:r>
          </w:p>
        </w:tc>
        <w:tc>
          <w:tcPr>
            <w:tcW w:w="1800" w:type="dxa"/>
            <w:noWrap/>
            <w:vAlign w:val="center"/>
          </w:tcPr>
          <w:p w14:paraId="754133C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新增股份（股）</w:t>
            </w:r>
          </w:p>
        </w:tc>
        <w:tc>
          <w:tcPr>
            <w:tcW w:w="1433" w:type="dxa"/>
            <w:noWrap w:val="0"/>
            <w:vAlign w:val="center"/>
          </w:tcPr>
          <w:p w14:paraId="3B131AE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变动后（股）</w:t>
            </w:r>
          </w:p>
        </w:tc>
        <w:tc>
          <w:tcPr>
            <w:tcW w:w="1667" w:type="dxa"/>
            <w:noWrap/>
            <w:vAlign w:val="center"/>
          </w:tcPr>
          <w:p w14:paraId="6AC3C1A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所占比例（%）</w:t>
            </w:r>
          </w:p>
        </w:tc>
      </w:tr>
      <w:tr w14:paraId="0AC9C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4" w:type="dxa"/>
            <w:noWrap/>
            <w:vAlign w:val="center"/>
          </w:tcPr>
          <w:p w14:paraId="62FFAFC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有限售条件的流通股</w:t>
            </w:r>
          </w:p>
        </w:tc>
        <w:tc>
          <w:tcPr>
            <w:tcW w:w="1517" w:type="dxa"/>
            <w:noWrap/>
            <w:vAlign w:val="center"/>
          </w:tcPr>
          <w:p w14:paraId="7B39E7F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00" w:type="dxa"/>
            <w:noWrap/>
            <w:vAlign w:val="center"/>
          </w:tcPr>
          <w:p w14:paraId="7433A00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7A6307C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67" w:type="dxa"/>
            <w:noWrap/>
            <w:vAlign w:val="center"/>
          </w:tcPr>
          <w:p w14:paraId="06AEBCD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48D17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4" w:type="dxa"/>
            <w:noWrap/>
            <w:vAlign w:val="center"/>
          </w:tcPr>
          <w:p w14:paraId="119FC9B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无限售条件的流通股</w:t>
            </w:r>
          </w:p>
        </w:tc>
        <w:tc>
          <w:tcPr>
            <w:tcW w:w="1517" w:type="dxa"/>
            <w:noWrap/>
            <w:vAlign w:val="center"/>
          </w:tcPr>
          <w:p w14:paraId="039D9C6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00" w:type="dxa"/>
            <w:noWrap/>
            <w:vAlign w:val="center"/>
          </w:tcPr>
          <w:p w14:paraId="2F27B45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15BC78A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67" w:type="dxa"/>
            <w:noWrap/>
            <w:vAlign w:val="center"/>
          </w:tcPr>
          <w:p w14:paraId="10788B9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7C0EE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4" w:type="dxa"/>
            <w:noWrap/>
            <w:vAlign w:val="center"/>
          </w:tcPr>
          <w:p w14:paraId="247C038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合计</w:t>
            </w:r>
          </w:p>
        </w:tc>
        <w:tc>
          <w:tcPr>
            <w:tcW w:w="1517" w:type="dxa"/>
            <w:noWrap/>
            <w:vAlign w:val="center"/>
          </w:tcPr>
          <w:p w14:paraId="71B4087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00" w:type="dxa"/>
            <w:noWrap/>
            <w:vAlign w:val="center"/>
          </w:tcPr>
          <w:p w14:paraId="3A63C5A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501199C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67" w:type="dxa"/>
            <w:noWrap/>
            <w:vAlign w:val="center"/>
          </w:tcPr>
          <w:p w14:paraId="3E0F5A4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</w:tbl>
    <w:p w14:paraId="3AAC4E50">
      <w:pPr>
        <w:ind w:firstLine="0" w:firstLineChars="0"/>
        <w:jc w:val="both"/>
        <w:rPr>
          <w:rFonts w:ascii="仿宋_GB2312" w:hAnsi="宋体" w:eastAsia="仿宋_GB2312" w:cs="宋体"/>
          <w:color w:val="000000"/>
          <w:kern w:val="0"/>
          <w:sz w:val="24"/>
          <w:szCs w:val="30"/>
        </w:rPr>
      </w:pPr>
      <w:r>
        <w:rPr>
          <w:rFonts w:hint="eastAsia" w:ascii="仿宋_GB2312" w:hAnsi="宋体" w:eastAsia="仿宋_GB2312" w:cs="宋体"/>
          <w:i/>
          <w:kern w:val="0"/>
          <w:sz w:val="24"/>
          <w:szCs w:val="24"/>
        </w:rPr>
        <w:t>[注：若公司发行除A股外其他类别的股票（如H股），则需分股票类别列示有限售和无限售股份的变化情况。]</w:t>
      </w:r>
    </w:p>
    <w:p w14:paraId="58499414">
      <w:pPr>
        <w:adjustRightInd w:val="0"/>
        <w:snapToGrid w:val="0"/>
        <w:spacing w:line="600" w:lineRule="exact"/>
        <w:ind w:firstLine="0" w:firstLineChars="0"/>
        <w:rPr>
          <w:rFonts w:hint="eastAsia" w:ascii="仿宋_GB2312" w:hAnsi="宋体" w:eastAsia="仿宋_GB2312" w:cs="宋体"/>
          <w:i/>
          <w:kern w:val="0"/>
          <w:sz w:val="24"/>
          <w:szCs w:val="24"/>
        </w:rPr>
      </w:pPr>
    </w:p>
    <w:p w14:paraId="51F3F096">
      <w:pPr>
        <w:widowControl/>
        <w:spacing w:line="600" w:lineRule="exact"/>
        <w:ind w:firstLine="643" w:firstLineChars="20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二、介绍新增股份的限售情况，包括新增股份的预计上市流通日期、</w:t>
      </w:r>
      <w:bookmarkStart w:id="2" w:name="OLE_LINK1"/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限售流通股解除限售的条件</w:t>
      </w:r>
      <w:bookmarkEnd w:id="2"/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等</w:t>
      </w:r>
    </w:p>
    <w:p w14:paraId="514577BD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本次新增股份XXXX股，其中无限售流通股XXXX股，上市流通日期为XXXX年XX月XX日，限售流通股XXXX股，上市流通日期为XXXX年XX月XX日。</w:t>
      </w:r>
    </w:p>
    <w:p w14:paraId="4A2D99DC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逐项列明限售流通股解除限售的条件。</w:t>
      </w:r>
    </w:p>
    <w:p w14:paraId="532D2694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color w:val="000000"/>
          <w:sz w:val="24"/>
        </w:rPr>
      </w:pPr>
    </w:p>
    <w:p w14:paraId="7FD30B8A">
      <w:pPr>
        <w:widowControl/>
        <w:spacing w:line="600" w:lineRule="exact"/>
        <w:ind w:firstLine="643" w:firstLineChars="20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三、介绍资产过户情况、注册会计师出具的专项验资报告的结论性意见、股份登记情况，独立财务顾问和律师事务所对本次换股吸收合并的结论性意见</w:t>
      </w:r>
    </w:p>
    <w:p w14:paraId="44EEF766">
      <w:pPr>
        <w:adjustRightInd w:val="0"/>
        <w:snapToGrid w:val="0"/>
        <w:spacing w:line="600" w:lineRule="exact"/>
        <w:ind w:firstLine="482" w:firstLineChars="200"/>
        <w:rPr>
          <w:rFonts w:ascii="宋体" w:hAnsi="宋体"/>
          <w:b/>
          <w:color w:val="000000"/>
          <w:sz w:val="24"/>
        </w:rPr>
      </w:pPr>
    </w:p>
    <w:p w14:paraId="7B22C8F3">
      <w:pPr>
        <w:widowControl/>
        <w:adjustRightInd/>
        <w:snapToGrid/>
        <w:spacing w:line="600" w:lineRule="exact"/>
        <w:ind w:firstLine="643" w:firstLineChars="200"/>
        <w:rPr>
          <w:rFonts w:hint="eastAsia" w:ascii="黑体" w:hAnsi="黑体" w:eastAsia="黑体" w:cs="宋体"/>
          <w:b/>
          <w:bCs w:val="0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 w:val="0"/>
          <w:color w:val="000000"/>
          <w:kern w:val="0"/>
          <w:sz w:val="32"/>
          <w:szCs w:val="32"/>
        </w:rPr>
        <w:t>四、用表格形式列示换股完成后，公司前十名股东及相关股东持股情况</w:t>
      </w:r>
    </w:p>
    <w:p w14:paraId="72D6192A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（一）换股完成前后，公司前10名股东持股数量和持股比例变动情况。</w:t>
      </w:r>
    </w:p>
    <w:p w14:paraId="29CF79AE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（二）换股前后公司相关股东持股变化（如适用）</w:t>
      </w:r>
    </w:p>
    <w:p w14:paraId="394A27C6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bCs/>
          <w:sz w:val="30"/>
          <w:szCs w:val="30"/>
        </w:rPr>
      </w:pPr>
      <w:r>
        <w:rPr>
          <w:rFonts w:hint="eastAsia" w:eastAsia="仿宋_GB2312"/>
          <w:color w:val="000000"/>
          <w:sz w:val="30"/>
          <w:szCs w:val="30"/>
        </w:rPr>
        <w:t>上市公司股本变动，可能导致公司</w:t>
      </w:r>
      <w:r>
        <w:rPr>
          <w:rFonts w:eastAsia="仿宋_GB2312"/>
          <w:color w:val="000000"/>
          <w:sz w:val="30"/>
          <w:szCs w:val="30"/>
        </w:rPr>
        <w:t>股东及其一致行动人拥有权益的股份比例</w:t>
      </w:r>
      <w:r>
        <w:rPr>
          <w:rFonts w:hint="eastAsia" w:eastAsia="仿宋_GB2312"/>
          <w:color w:val="000000"/>
          <w:sz w:val="30"/>
          <w:szCs w:val="30"/>
        </w:rPr>
        <w:t>触及</w:t>
      </w:r>
      <w:r>
        <w:rPr>
          <w:rFonts w:eastAsia="仿宋_GB2312"/>
          <w:color w:val="000000"/>
          <w:sz w:val="30"/>
          <w:szCs w:val="30"/>
        </w:rPr>
        <w:t>或者跨越5%及5%的整数倍，或者导致持股5%以上的</w:t>
      </w:r>
      <w:r>
        <w:rPr>
          <w:rFonts w:hint="eastAsia" w:eastAsia="仿宋_GB2312"/>
          <w:color w:val="000000"/>
          <w:sz w:val="30"/>
          <w:szCs w:val="30"/>
        </w:rPr>
        <w:t>股东</w:t>
      </w:r>
      <w:r>
        <w:rPr>
          <w:rFonts w:eastAsia="仿宋_GB2312"/>
          <w:color w:val="000000"/>
          <w:sz w:val="30"/>
          <w:szCs w:val="30"/>
        </w:rPr>
        <w:t>及其一致行动人拥有权益的股份比例</w:t>
      </w:r>
      <w:r>
        <w:rPr>
          <w:rFonts w:hint="eastAsia" w:eastAsia="仿宋_GB2312"/>
          <w:color w:val="000000"/>
          <w:sz w:val="30"/>
          <w:szCs w:val="30"/>
        </w:rPr>
        <w:t>触及</w:t>
      </w:r>
      <w:r>
        <w:rPr>
          <w:rFonts w:eastAsia="仿宋_GB2312"/>
          <w:color w:val="000000"/>
          <w:sz w:val="30"/>
          <w:szCs w:val="30"/>
        </w:rPr>
        <w:t>1%的整数倍</w:t>
      </w:r>
      <w:r>
        <w:rPr>
          <w:rFonts w:hint="eastAsia" w:eastAsia="仿宋_GB2312"/>
          <w:color w:val="000000"/>
          <w:sz w:val="30"/>
          <w:szCs w:val="30"/>
        </w:rPr>
        <w:t>。存在前述情况，公司应当</w:t>
      </w:r>
      <w:r>
        <w:rPr>
          <w:rFonts w:hint="eastAsia" w:ascii="仿宋" w:hAnsi="仿宋" w:eastAsia="仿宋_GB2312"/>
          <w:bCs/>
          <w:sz w:val="30"/>
          <w:szCs w:val="30"/>
        </w:rPr>
        <w:t>披露发行完成前后，上述股东及其一致行动人</w:t>
      </w:r>
      <w:r>
        <w:rPr>
          <w:rFonts w:hint="eastAsia" w:ascii="仿宋" w:hAnsi="仿宋" w:eastAsia="仿宋_GB2312"/>
          <w:sz w:val="30"/>
          <w:szCs w:val="30"/>
        </w:rPr>
        <w:t>持股数量和持股比例变动</w:t>
      </w:r>
      <w:r>
        <w:rPr>
          <w:rFonts w:hint="eastAsia" w:ascii="仿宋" w:hAnsi="仿宋" w:eastAsia="仿宋_GB2312"/>
          <w:bCs/>
          <w:sz w:val="30"/>
          <w:szCs w:val="30"/>
        </w:rPr>
        <w:t>情况。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30"/>
        <w:gridCol w:w="1418"/>
        <w:gridCol w:w="1417"/>
        <w:gridCol w:w="1248"/>
        <w:gridCol w:w="1438"/>
      </w:tblGrid>
      <w:tr w14:paraId="7764A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0" w:type="dxa"/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D928CD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仿宋" w:eastAsia="仿宋_GB2312"/>
                <w:sz w:val="21"/>
                <w:szCs w:val="21"/>
              </w:rPr>
            </w:pPr>
            <w:bookmarkStart w:id="3" w:name="_Hlk189844299"/>
            <w:bookmarkStart w:id="4" w:name="_Hlk189846806"/>
            <w:bookmarkStart w:id="5" w:name="OLE_LINK4"/>
            <w:r>
              <w:rPr>
                <w:rFonts w:hint="eastAsia" w:ascii="仿宋_GB2312" w:hAnsi="仿宋" w:eastAsia="仿宋_GB2312"/>
                <w:sz w:val="21"/>
                <w:szCs w:val="21"/>
              </w:rPr>
              <w:t>股东名称</w:t>
            </w:r>
          </w:p>
        </w:tc>
        <w:tc>
          <w:tcPr>
            <w:tcW w:w="1418" w:type="dxa"/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6AA379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  <w:r>
              <w:rPr>
                <w:rFonts w:hint="eastAsia" w:ascii="仿宋_GB2312" w:hAnsi="楷体" w:eastAsia="仿宋_GB2312" w:cs="楷体"/>
                <w:szCs w:val="21"/>
              </w:rPr>
              <w:t>变动前持股数量（股）</w:t>
            </w:r>
          </w:p>
        </w:tc>
        <w:tc>
          <w:tcPr>
            <w:tcW w:w="1417" w:type="dxa"/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30F1A1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  <w:r>
              <w:rPr>
                <w:rFonts w:hint="eastAsia" w:ascii="仿宋_GB2312" w:hAnsi="楷体" w:eastAsia="仿宋_GB2312" w:cs="楷体"/>
                <w:szCs w:val="21"/>
              </w:rPr>
              <w:t>变动前持股比例（%）</w:t>
            </w:r>
          </w:p>
        </w:tc>
        <w:tc>
          <w:tcPr>
            <w:tcW w:w="1248" w:type="dxa"/>
            <w:shd w:val="clear" w:color="auto" w:fill="FFFFFF"/>
            <w:noWrap w:val="0"/>
            <w:vAlign w:val="top"/>
          </w:tcPr>
          <w:p w14:paraId="3026CFE0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  <w:r>
              <w:rPr>
                <w:rFonts w:hint="eastAsia" w:ascii="仿宋_GB2312" w:hAnsi="楷体" w:eastAsia="仿宋_GB2312" w:cs="楷体"/>
                <w:szCs w:val="21"/>
              </w:rPr>
              <w:t>变动后持股数量（股）</w:t>
            </w:r>
          </w:p>
        </w:tc>
        <w:tc>
          <w:tcPr>
            <w:tcW w:w="0" w:type="auto"/>
            <w:shd w:val="clear" w:color="auto" w:fill="FFFFFF"/>
            <w:noWrap w:val="0"/>
            <w:vAlign w:val="top"/>
          </w:tcPr>
          <w:p w14:paraId="084890CA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  <w:r>
              <w:rPr>
                <w:rFonts w:hint="eastAsia" w:ascii="仿宋_GB2312" w:hAnsi="楷体" w:eastAsia="仿宋_GB2312" w:cs="楷体"/>
                <w:szCs w:val="21"/>
              </w:rPr>
              <w:t>变动后持股比例（%）</w:t>
            </w:r>
          </w:p>
        </w:tc>
      </w:tr>
      <w:bookmarkEnd w:id="3"/>
      <w:tr w14:paraId="7E9F5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0" w:type="dxa"/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8E5DE43">
            <w:pPr>
              <w:adjustRightInd w:val="0"/>
              <w:snapToGrid w:val="0"/>
              <w:spacing w:line="360" w:lineRule="auto"/>
              <w:jc w:val="left"/>
              <w:rPr>
                <w:rFonts w:ascii="仿宋_GB2312" w:hAnsi="楷体" w:eastAsia="仿宋_GB2312" w:cs="楷体"/>
                <w:szCs w:val="21"/>
              </w:rPr>
            </w:pPr>
            <w:r>
              <w:rPr>
                <w:rFonts w:hint="eastAsia" w:ascii="仿宋_GB2312" w:hAnsi="楷体" w:eastAsia="仿宋_GB2312" w:cs="楷体"/>
                <w:szCs w:val="21"/>
              </w:rPr>
              <w:t>股东A及其</w:t>
            </w:r>
            <w:bookmarkStart w:id="6" w:name="OLE_LINK3"/>
            <w:r>
              <w:rPr>
                <w:rFonts w:hint="eastAsia" w:ascii="仿宋_GB2312" w:hAnsi="楷体" w:eastAsia="仿宋_GB2312" w:cs="楷体"/>
                <w:szCs w:val="21"/>
              </w:rPr>
              <w:t>一致行动人</w:t>
            </w:r>
            <w:bookmarkEnd w:id="6"/>
            <w:r>
              <w:rPr>
                <w:rFonts w:hint="eastAsia" w:ascii="仿宋_GB2312" w:hAnsi="楷体" w:eastAsia="仿宋_GB2312" w:cs="楷体"/>
                <w:szCs w:val="21"/>
              </w:rPr>
              <w:t>（合并计算）</w:t>
            </w:r>
          </w:p>
        </w:tc>
        <w:tc>
          <w:tcPr>
            <w:tcW w:w="1418" w:type="dxa"/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8CB9453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417" w:type="dxa"/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2272BD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248" w:type="dxa"/>
            <w:shd w:val="clear" w:color="auto" w:fill="FFFFFF"/>
            <w:noWrap w:val="0"/>
            <w:vAlign w:val="top"/>
          </w:tcPr>
          <w:p w14:paraId="19EC53B4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0" w:type="auto"/>
            <w:shd w:val="clear" w:color="auto" w:fill="FFFFFF"/>
            <w:noWrap w:val="0"/>
            <w:vAlign w:val="top"/>
          </w:tcPr>
          <w:p w14:paraId="79F93C5F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</w:tr>
      <w:tr w14:paraId="28046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0" w:type="dxa"/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CE9CF0C">
            <w:pPr>
              <w:adjustRightInd w:val="0"/>
              <w:snapToGrid w:val="0"/>
              <w:spacing w:line="360" w:lineRule="auto"/>
              <w:jc w:val="left"/>
              <w:rPr>
                <w:rFonts w:ascii="仿宋_GB2312" w:hAnsi="楷体" w:eastAsia="仿宋_GB2312" w:cs="楷体"/>
                <w:szCs w:val="21"/>
              </w:rPr>
            </w:pPr>
            <w:r>
              <w:rPr>
                <w:rFonts w:hint="eastAsia" w:ascii="仿宋_GB2312" w:hAnsi="楷体" w:eastAsia="仿宋_GB2312" w:cs="楷体"/>
                <w:szCs w:val="21"/>
              </w:rPr>
              <w:t>股东A</w:t>
            </w:r>
          </w:p>
        </w:tc>
        <w:tc>
          <w:tcPr>
            <w:tcW w:w="1418" w:type="dxa"/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9B29F6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417" w:type="dxa"/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7A6C86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248" w:type="dxa"/>
            <w:shd w:val="clear" w:color="auto" w:fill="FFFFFF"/>
            <w:noWrap w:val="0"/>
            <w:vAlign w:val="top"/>
          </w:tcPr>
          <w:p w14:paraId="6347E605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0" w:type="auto"/>
            <w:shd w:val="clear" w:color="auto" w:fill="FFFFFF"/>
            <w:noWrap w:val="0"/>
            <w:vAlign w:val="top"/>
          </w:tcPr>
          <w:p w14:paraId="390AB8CB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</w:tr>
      <w:tr w14:paraId="40558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0" w:type="dxa"/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5809254">
            <w:pPr>
              <w:adjustRightInd w:val="0"/>
              <w:snapToGrid w:val="0"/>
              <w:spacing w:line="360" w:lineRule="auto"/>
              <w:jc w:val="left"/>
              <w:rPr>
                <w:rFonts w:ascii="仿宋_GB2312" w:hAnsi="楷体" w:eastAsia="仿宋_GB2312" w:cs="楷体"/>
                <w:szCs w:val="21"/>
              </w:rPr>
            </w:pPr>
            <w:bookmarkStart w:id="7" w:name="OLE_LINK2"/>
            <w:r>
              <w:rPr>
                <w:rFonts w:hint="eastAsia" w:ascii="仿宋_GB2312" w:hAnsi="楷体" w:eastAsia="仿宋_GB2312" w:cs="楷体"/>
                <w:szCs w:val="21"/>
              </w:rPr>
              <w:t>一致行动人1</w:t>
            </w:r>
            <w:bookmarkEnd w:id="7"/>
          </w:p>
        </w:tc>
        <w:tc>
          <w:tcPr>
            <w:tcW w:w="1418" w:type="dxa"/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A377B1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417" w:type="dxa"/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8E0E51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248" w:type="dxa"/>
            <w:shd w:val="clear" w:color="auto" w:fill="FFFFFF"/>
            <w:noWrap w:val="0"/>
            <w:vAlign w:val="top"/>
          </w:tcPr>
          <w:p w14:paraId="1459EFFA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0" w:type="auto"/>
            <w:shd w:val="clear" w:color="auto" w:fill="FFFFFF"/>
            <w:noWrap w:val="0"/>
            <w:vAlign w:val="top"/>
          </w:tcPr>
          <w:p w14:paraId="58698EC6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</w:tr>
      <w:tr w14:paraId="33550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0" w:type="dxa"/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5F2D07">
            <w:pPr>
              <w:adjustRightInd w:val="0"/>
              <w:snapToGrid w:val="0"/>
              <w:spacing w:line="360" w:lineRule="auto"/>
              <w:jc w:val="left"/>
              <w:rPr>
                <w:rFonts w:ascii="仿宋_GB2312" w:hAnsi="楷体" w:eastAsia="仿宋_GB2312" w:cs="楷体"/>
                <w:szCs w:val="21"/>
              </w:rPr>
            </w:pPr>
            <w:r>
              <w:rPr>
                <w:rFonts w:hint="eastAsia" w:ascii="仿宋_GB2312" w:hAnsi="楷体" w:eastAsia="仿宋_GB2312" w:cs="楷体"/>
                <w:szCs w:val="21"/>
              </w:rPr>
              <w:t>一致行动人2</w:t>
            </w:r>
          </w:p>
        </w:tc>
        <w:tc>
          <w:tcPr>
            <w:tcW w:w="1418" w:type="dxa"/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9B6C17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417" w:type="dxa"/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5ABC47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248" w:type="dxa"/>
            <w:shd w:val="clear" w:color="auto" w:fill="FFFFFF"/>
            <w:noWrap w:val="0"/>
            <w:vAlign w:val="top"/>
          </w:tcPr>
          <w:p w14:paraId="7D1F406A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0" w:type="auto"/>
            <w:shd w:val="clear" w:color="auto" w:fill="FFFFFF"/>
            <w:noWrap w:val="0"/>
            <w:vAlign w:val="top"/>
          </w:tcPr>
          <w:p w14:paraId="58CE2C79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</w:tr>
      <w:tr w14:paraId="21520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0" w:type="dxa"/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559CF3">
            <w:pPr>
              <w:adjustRightInd w:val="0"/>
              <w:snapToGrid w:val="0"/>
              <w:spacing w:line="360" w:lineRule="auto"/>
              <w:jc w:val="left"/>
              <w:rPr>
                <w:rFonts w:ascii="仿宋_GB2312" w:hAnsi="楷体" w:eastAsia="仿宋_GB2312" w:cs="楷体"/>
                <w:szCs w:val="21"/>
              </w:rPr>
            </w:pPr>
            <w:r>
              <w:rPr>
                <w:rFonts w:hint="eastAsia" w:ascii="仿宋_GB2312" w:hAnsi="楷体" w:eastAsia="仿宋_GB2312" w:cs="楷体"/>
                <w:szCs w:val="21"/>
              </w:rPr>
              <w:t>股东B</w:t>
            </w:r>
          </w:p>
        </w:tc>
        <w:tc>
          <w:tcPr>
            <w:tcW w:w="1418" w:type="dxa"/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F90605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417" w:type="dxa"/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53B4B57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1248" w:type="dxa"/>
            <w:shd w:val="clear" w:color="auto" w:fill="FFFFFF"/>
            <w:noWrap w:val="0"/>
            <w:vAlign w:val="top"/>
          </w:tcPr>
          <w:p w14:paraId="6248DDCB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  <w:tc>
          <w:tcPr>
            <w:tcW w:w="0" w:type="auto"/>
            <w:shd w:val="clear" w:color="auto" w:fill="FFFFFF"/>
            <w:noWrap w:val="0"/>
            <w:vAlign w:val="top"/>
          </w:tcPr>
          <w:p w14:paraId="18B27E5A"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楷体" w:eastAsia="仿宋_GB2312" w:cs="楷体"/>
                <w:szCs w:val="21"/>
              </w:rPr>
            </w:pPr>
          </w:p>
        </w:tc>
      </w:tr>
      <w:bookmarkEnd w:id="4"/>
    </w:tbl>
    <w:p w14:paraId="525F1C83">
      <w:pPr>
        <w:widowControl/>
        <w:ind w:firstLine="420" w:firstLineChars="200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楷体" w:eastAsia="仿宋_GB2312" w:cs="楷体"/>
          <w:szCs w:val="20"/>
        </w:rPr>
        <w:t>注：</w:t>
      </w:r>
      <w:r>
        <w:rPr>
          <w:rFonts w:hint="eastAsia" w:ascii="仿宋_GB2312" w:hAnsi="楷体" w:eastAsia="仿宋_GB2312" w:cs="楷体"/>
        </w:rPr>
        <w:t>股东如有一致行动人参照股东A进行披露，先合并计算持股</w:t>
      </w:r>
      <w:r>
        <w:rPr>
          <w:rFonts w:hint="eastAsia" w:ascii="仿宋_GB2312" w:hAnsi="楷体" w:eastAsia="仿宋_GB2312" w:cs="楷体"/>
          <w:lang w:eastAsia="zh-CN"/>
        </w:rPr>
        <w:t>列示</w:t>
      </w:r>
      <w:r>
        <w:rPr>
          <w:rFonts w:hint="eastAsia" w:ascii="仿宋_GB2312" w:hAnsi="楷体" w:eastAsia="仿宋_GB2312" w:cs="楷体"/>
        </w:rPr>
        <w:t>，后单独列示；股东如无一致行动人参照股东B进行披露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。</w:t>
      </w:r>
    </w:p>
    <w:bookmarkEnd w:id="5"/>
    <w:p w14:paraId="547BCAE3">
      <w:pPr>
        <w:widowControl/>
        <w:spacing w:line="600" w:lineRule="exact"/>
        <w:ind w:firstLine="480" w:firstLineChars="200"/>
        <w:rPr>
          <w:rFonts w:hint="eastAsia" w:ascii="宋体" w:hAnsi="宋体"/>
          <w:color w:val="000000"/>
          <w:sz w:val="24"/>
        </w:rPr>
      </w:pPr>
    </w:p>
    <w:p w14:paraId="4D9E8CFA">
      <w:pPr>
        <w:widowControl/>
        <w:spacing w:line="600" w:lineRule="exact"/>
        <w:ind w:firstLine="643" w:firstLineChars="20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五、介绍本次换股吸收合并相关各方的其他承诺情况</w:t>
      </w:r>
    </w:p>
    <w:p w14:paraId="3738952A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特此公告。</w:t>
      </w:r>
    </w:p>
    <w:p w14:paraId="3AFCDF5E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</w:p>
    <w:p w14:paraId="2B6A00F1">
      <w:pPr>
        <w:widowControl/>
        <w:spacing w:line="600" w:lineRule="exact"/>
        <w:ind w:firstLine="600" w:firstLineChars="200"/>
        <w:jc w:val="right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XXXX股份有限公司董事会</w:t>
      </w:r>
    </w:p>
    <w:p w14:paraId="65BCA7FD">
      <w:pPr>
        <w:widowControl/>
        <w:spacing w:line="600" w:lineRule="exact"/>
        <w:ind w:firstLine="600" w:firstLineChars="200"/>
        <w:jc w:val="right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年  月  日</w:t>
      </w:r>
    </w:p>
    <w:p w14:paraId="5A459CA5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</w:p>
    <w:p w14:paraId="2F696E8D">
      <w:pPr>
        <w:pStyle w:val="17"/>
        <w:widowControl/>
        <w:numPr>
          <w:ilvl w:val="0"/>
          <w:numId w:val="2"/>
        </w:numPr>
        <w:spacing w:line="600" w:lineRule="exact"/>
        <w:ind w:left="0" w:firstLine="602"/>
        <w:rPr>
          <w:rFonts w:ascii="仿宋_GB2312" w:hAnsi="宋体" w:eastAsia="仿宋_GB2312" w:cs="宋体"/>
          <w:b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30"/>
          <w:szCs w:val="30"/>
        </w:rPr>
        <w:t xml:space="preserve"> 报备文件</w:t>
      </w:r>
    </w:p>
    <w:p w14:paraId="01F384B0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bookmarkStart w:id="8" w:name="_GoBack"/>
      <w:bookmarkEnd w:id="8"/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eastAsia="zh-CN"/>
        </w:rPr>
        <w:t>一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）中国证券登记结算有限责任公司上海分公司出具的《证券变更登记证明》</w:t>
      </w:r>
    </w:p>
    <w:p w14:paraId="503AD3D3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eastAsia="zh-CN"/>
        </w:rPr>
        <w:t>二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）会计师事务所出具的验资报告</w:t>
      </w:r>
    </w:p>
    <w:p w14:paraId="1C5629B0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eastAsia="zh-CN"/>
        </w:rPr>
        <w:t>三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）独立财务顾问出具的换股吸收合并实施情况核查意见</w:t>
      </w:r>
    </w:p>
    <w:p w14:paraId="691A0E4E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eastAsia="zh-CN"/>
        </w:rPr>
        <w:t>四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）律师事务所出具的换股吸收合并实施情况法律意见书</w:t>
      </w:r>
    </w:p>
    <w:p w14:paraId="698AFCDF">
      <w:pPr>
        <w:widowControl/>
        <w:spacing w:line="600" w:lineRule="exact"/>
        <w:ind w:firstLine="600" w:firstLineChars="200"/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42724">
    <w:pPr>
      <w:pStyle w:val="4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>
      <w:rPr>
        <w:sz w:val="21"/>
        <w:szCs w:val="21"/>
        <w:lang w:val="zh-CN"/>
      </w:rPr>
      <w:t>3</w:t>
    </w:r>
    <w:r>
      <w:rPr>
        <w:sz w:val="21"/>
        <w:szCs w:val="21"/>
      </w:rPr>
      <w:fldChar w:fldCharType="end"/>
    </w:r>
  </w:p>
  <w:p w14:paraId="44C6E050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030EAA"/>
    <w:multiLevelType w:val="multilevel"/>
    <w:tmpl w:val="38030EAA"/>
    <w:lvl w:ilvl="0" w:tentative="0">
      <w:start w:val="1"/>
      <w:numFmt w:val="bullet"/>
      <w:lvlText w:val=""/>
      <w:lvlJc w:val="left"/>
      <w:pPr>
        <w:tabs>
          <w:tab w:val="left" w:pos="900"/>
        </w:tabs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320"/>
        </w:tabs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1">
    <w:nsid w:val="68943B92"/>
    <w:multiLevelType w:val="multilevel"/>
    <w:tmpl w:val="68943B92"/>
    <w:lvl w:ilvl="0" w:tentative="0">
      <w:start w:val="1"/>
      <w:numFmt w:val="bullet"/>
      <w:lvlText w:val=""/>
      <w:lvlJc w:val="left"/>
      <w:pPr>
        <w:ind w:left="10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8C6"/>
    <w:rsid w:val="00000D8F"/>
    <w:rsid w:val="00001D01"/>
    <w:rsid w:val="00004DD7"/>
    <w:rsid w:val="00006419"/>
    <w:rsid w:val="00011EAF"/>
    <w:rsid w:val="00052BE9"/>
    <w:rsid w:val="00064CC2"/>
    <w:rsid w:val="000822E8"/>
    <w:rsid w:val="000A1DA1"/>
    <w:rsid w:val="000A5BCD"/>
    <w:rsid w:val="000B1822"/>
    <w:rsid w:val="000E70B3"/>
    <w:rsid w:val="001078BE"/>
    <w:rsid w:val="00112D62"/>
    <w:rsid w:val="001C2593"/>
    <w:rsid w:val="001D1AA8"/>
    <w:rsid w:val="002173D7"/>
    <w:rsid w:val="002E3E31"/>
    <w:rsid w:val="002F756E"/>
    <w:rsid w:val="003160CA"/>
    <w:rsid w:val="00322CC2"/>
    <w:rsid w:val="0033001B"/>
    <w:rsid w:val="003707E9"/>
    <w:rsid w:val="00374218"/>
    <w:rsid w:val="003A5D4A"/>
    <w:rsid w:val="003B1302"/>
    <w:rsid w:val="003B49D0"/>
    <w:rsid w:val="003D2EB6"/>
    <w:rsid w:val="003E119D"/>
    <w:rsid w:val="004032FF"/>
    <w:rsid w:val="00445EB8"/>
    <w:rsid w:val="004E3226"/>
    <w:rsid w:val="004F4038"/>
    <w:rsid w:val="00534E40"/>
    <w:rsid w:val="00547389"/>
    <w:rsid w:val="005A61A3"/>
    <w:rsid w:val="005B377A"/>
    <w:rsid w:val="005E1CDC"/>
    <w:rsid w:val="006A5E16"/>
    <w:rsid w:val="006B1D63"/>
    <w:rsid w:val="006B3637"/>
    <w:rsid w:val="00746628"/>
    <w:rsid w:val="0077297F"/>
    <w:rsid w:val="00775BE9"/>
    <w:rsid w:val="00792201"/>
    <w:rsid w:val="007F4A09"/>
    <w:rsid w:val="007F7997"/>
    <w:rsid w:val="00840C32"/>
    <w:rsid w:val="00851A61"/>
    <w:rsid w:val="008766FA"/>
    <w:rsid w:val="008769D4"/>
    <w:rsid w:val="008A1E23"/>
    <w:rsid w:val="008C6EF9"/>
    <w:rsid w:val="008D60FF"/>
    <w:rsid w:val="008D7529"/>
    <w:rsid w:val="008F7320"/>
    <w:rsid w:val="0090028B"/>
    <w:rsid w:val="009338AB"/>
    <w:rsid w:val="0093535D"/>
    <w:rsid w:val="00956CC2"/>
    <w:rsid w:val="0099203B"/>
    <w:rsid w:val="009939FE"/>
    <w:rsid w:val="009A5C38"/>
    <w:rsid w:val="009F269A"/>
    <w:rsid w:val="009F60A3"/>
    <w:rsid w:val="00A01933"/>
    <w:rsid w:val="00A05DEE"/>
    <w:rsid w:val="00A32567"/>
    <w:rsid w:val="00A60680"/>
    <w:rsid w:val="00AA155C"/>
    <w:rsid w:val="00AB26F4"/>
    <w:rsid w:val="00AC71BE"/>
    <w:rsid w:val="00AD4CBF"/>
    <w:rsid w:val="00AF7BB7"/>
    <w:rsid w:val="00B0573A"/>
    <w:rsid w:val="00B21D0E"/>
    <w:rsid w:val="00B638C6"/>
    <w:rsid w:val="00BE1E79"/>
    <w:rsid w:val="00C0074C"/>
    <w:rsid w:val="00C3099D"/>
    <w:rsid w:val="00C401E5"/>
    <w:rsid w:val="00C60D0A"/>
    <w:rsid w:val="00C926D3"/>
    <w:rsid w:val="00D16BB9"/>
    <w:rsid w:val="00D8013F"/>
    <w:rsid w:val="00DA32CC"/>
    <w:rsid w:val="00DD6933"/>
    <w:rsid w:val="00E31C4C"/>
    <w:rsid w:val="00E51DCB"/>
    <w:rsid w:val="00E6592F"/>
    <w:rsid w:val="00E845E4"/>
    <w:rsid w:val="00EB109A"/>
    <w:rsid w:val="00EB6BBE"/>
    <w:rsid w:val="00EC1746"/>
    <w:rsid w:val="00ED345A"/>
    <w:rsid w:val="00F02546"/>
    <w:rsid w:val="00F25D6D"/>
    <w:rsid w:val="00F90D70"/>
    <w:rsid w:val="00F92E1B"/>
    <w:rsid w:val="00FA05FA"/>
    <w:rsid w:val="00FF487B"/>
    <w:rsid w:val="01B24556"/>
    <w:rsid w:val="0AF67B8B"/>
    <w:rsid w:val="0FD00499"/>
    <w:rsid w:val="1B3C0AD5"/>
    <w:rsid w:val="3839052C"/>
    <w:rsid w:val="384277F9"/>
    <w:rsid w:val="4DBF31BA"/>
    <w:rsid w:val="5A9D2B17"/>
    <w:rsid w:val="708C17E3"/>
    <w:rsid w:val="76E65457"/>
    <w:rsid w:val="7DD46B8D"/>
    <w:rsid w:val="7DF344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nhideWhenUsed/>
    <w:qFormat/>
    <w:uiPriority w:val="99"/>
    <w:pPr>
      <w:jc w:val="left"/>
    </w:p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5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7">
    <w:name w:val="annotation subject"/>
    <w:basedOn w:val="2"/>
    <w:next w:val="2"/>
    <w:link w:val="16"/>
    <w:unhideWhenUsed/>
    <w:qFormat/>
    <w:uiPriority w:val="99"/>
    <w:rPr>
      <w:b/>
      <w:bCs/>
    </w:rPr>
  </w:style>
  <w:style w:type="character" w:styleId="10">
    <w:name w:val="annotation reference"/>
    <w:basedOn w:val="9"/>
    <w:unhideWhenUsed/>
    <w:qFormat/>
    <w:uiPriority w:val="99"/>
    <w:rPr>
      <w:sz w:val="21"/>
      <w:szCs w:val="21"/>
    </w:rPr>
  </w:style>
  <w:style w:type="character" w:customStyle="1" w:styleId="11">
    <w:name w:val="批注文字 Char"/>
    <w:basedOn w:val="9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Char"/>
    <w:basedOn w:val="9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标题 Char"/>
    <w:basedOn w:val="9"/>
    <w:link w:val="6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6">
    <w:name w:val="批注主题 Char"/>
    <w:basedOn w:val="11"/>
    <w:link w:val="7"/>
    <w:semiHidden/>
    <w:qFormat/>
    <w:uiPriority w:val="99"/>
    <w:rPr>
      <w:b/>
      <w:bCs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_Style 17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235</Words>
  <Characters>1345</Characters>
  <Lines>11</Lines>
  <Paragraphs>3</Paragraphs>
  <TotalTime>3</TotalTime>
  <ScaleCrop>false</ScaleCrop>
  <LinksUpToDate>false</LinksUpToDate>
  <CharactersWithSpaces>1577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2019-04-05T08:42:00Z</dcterms:created>
  <dc:creator>操龙飞</dc:creator>
  <cp:lastModifiedBy>yjqin</cp:lastModifiedBy>
  <dcterms:modified xsi:type="dcterms:W3CDTF">2025-08-22T02:31:24Z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F5D1EEA65E0741648C8F2D2DAEBFBCA9</vt:lpwstr>
  </property>
</Properties>
</file>