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5CC566">
      <w:pPr>
        <w:keepNext/>
        <w:keepLines/>
        <w:spacing w:before="260" w:after="260" w:line="416" w:lineRule="auto"/>
        <w:jc w:val="center"/>
        <w:outlineLvl w:val="2"/>
        <w:rPr>
          <w:rFonts w:ascii="黑体" w:hAnsi="黑体" w:eastAsia="黑体" w:cs="Times New Roman"/>
          <w:b/>
          <w:bCs/>
          <w:sz w:val="32"/>
          <w:szCs w:val="32"/>
        </w:rPr>
      </w:pPr>
      <w:bookmarkStart w:id="1" w:name="_GoBack"/>
      <w:bookmarkEnd w:id="1"/>
      <w:bookmarkStart w:id="0" w:name="_Toc108525206"/>
      <w:r>
        <w:rPr>
          <w:rFonts w:hint="eastAsia" w:ascii="黑体" w:hAnsi="黑体" w:eastAsia="黑体" w:cs="Times New Roman"/>
          <w:b/>
          <w:bCs/>
          <w:sz w:val="32"/>
          <w:szCs w:val="32"/>
        </w:rPr>
        <w:t>科创板上市公司可转债转股价格调整/修正</w:t>
      </w:r>
      <w:bookmarkEnd w:id="0"/>
    </w:p>
    <w:p w14:paraId="456BA851">
      <w:pPr>
        <w:jc w:val="center"/>
        <w:rPr>
          <w:rFonts w:ascii="Calibri" w:hAnsi="Calibri" w:eastAsia="宋体" w:cs="Times New Roman"/>
        </w:rPr>
      </w:pPr>
      <w:r>
        <w:rPr>
          <w:rFonts w:hint="eastAsia" w:ascii="仿宋_GB2312" w:hAnsi="宋体" w:eastAsia="仿宋_GB2312" w:cs="宋体"/>
          <w:color w:val="0000FF"/>
          <w:kern w:val="0"/>
          <w:sz w:val="24"/>
          <w:szCs w:val="28"/>
        </w:rPr>
        <w:t>（此公告涉及业务流程及操作，请按相关要求逐项编制公告，勿随意删改）</w:t>
      </w:r>
    </w:p>
    <w:p w14:paraId="5B44FD7D">
      <w:pPr>
        <w:rPr>
          <w:rFonts w:ascii="Calibri" w:hAnsi="Calibri" w:eastAsia="宋体" w:cs="Times New Roman"/>
        </w:rPr>
      </w:pPr>
    </w:p>
    <w:p w14:paraId="70195CE5">
      <w:pPr>
        <w:adjustRightInd w:val="0"/>
        <w:snapToGrid w:val="0"/>
        <w:spacing w:line="560" w:lineRule="exact"/>
        <w:rPr>
          <w:rFonts w:ascii="仿宋" w:hAnsi="仿宋" w:eastAsia="仿宋_GB2312" w:cs="宋体"/>
          <w:b/>
          <w:kern w:val="0"/>
          <w:sz w:val="30"/>
          <w:szCs w:val="30"/>
        </w:rPr>
      </w:pPr>
      <w:r>
        <w:rPr>
          <w:rFonts w:hint="eastAsia" w:ascii="仿宋" w:hAnsi="仿宋" w:eastAsia="仿宋_GB2312" w:cs="宋体"/>
          <w:b/>
          <w:kern w:val="0"/>
          <w:sz w:val="30"/>
          <w:szCs w:val="30"/>
        </w:rPr>
        <w:t>适用情形：</w:t>
      </w:r>
    </w:p>
    <w:p w14:paraId="16460B17">
      <w:pPr>
        <w:adjustRightInd w:val="0"/>
        <w:snapToGrid w:val="0"/>
        <w:spacing w:line="560" w:lineRule="exact"/>
        <w:ind w:firstLine="600" w:firstLineChars="200"/>
        <w:rPr>
          <w:rFonts w:ascii="仿宋" w:hAnsi="仿宋" w:eastAsia="仿宋_GB2312" w:cs="宋体"/>
          <w:kern w:val="0"/>
          <w:sz w:val="30"/>
          <w:szCs w:val="30"/>
        </w:rPr>
      </w:pPr>
      <w:r>
        <w:rPr>
          <w:rFonts w:hint="eastAsia" w:ascii="仿宋" w:hAnsi="仿宋" w:eastAsia="仿宋_GB2312" w:cs="宋体"/>
          <w:kern w:val="0"/>
          <w:sz w:val="30"/>
          <w:szCs w:val="30"/>
        </w:rPr>
        <w:t>科创板上市公司因配股/增发/利润分配/其他原因需及时调整可转债转股价格时，适用本公告格式。</w:t>
      </w:r>
    </w:p>
    <w:p w14:paraId="598A79B0">
      <w:pPr>
        <w:adjustRightInd w:val="0"/>
        <w:snapToGrid w:val="0"/>
        <w:spacing w:line="560" w:lineRule="exact"/>
        <w:ind w:firstLine="600" w:firstLineChars="200"/>
        <w:rPr>
          <w:rFonts w:ascii="仿宋" w:hAnsi="仿宋" w:eastAsia="仿宋_GB2312" w:cs="宋体"/>
          <w:kern w:val="0"/>
          <w:sz w:val="30"/>
          <w:szCs w:val="30"/>
        </w:rPr>
      </w:pPr>
      <w:r>
        <w:rPr>
          <w:rFonts w:hint="eastAsia" w:ascii="仿宋" w:hAnsi="仿宋" w:eastAsia="仿宋_GB2312" w:cs="宋体"/>
          <w:kern w:val="0"/>
          <w:sz w:val="30"/>
          <w:szCs w:val="30"/>
        </w:rPr>
        <w:t>科创板上市公司董事会决定按照修正条款调整转股价格的，适用本公告格式。</w:t>
      </w:r>
      <w:r>
        <w:rPr>
          <w:rFonts w:hint="eastAsia" w:ascii="仿宋_GB2312" w:hAnsi="仿宋_GB2312" w:eastAsia="仿宋_GB2312" w:cs="仿宋_GB2312"/>
          <w:sz w:val="30"/>
          <w:szCs w:val="30"/>
        </w:rPr>
        <w:t>董事会决定不修正转股价格的，下一触发转股价格修正条件的期间从本次触发修正条件的次一交易日重新起算。</w:t>
      </w:r>
    </w:p>
    <w:p w14:paraId="100CDA18">
      <w:pPr>
        <w:adjustRightInd w:val="0"/>
        <w:snapToGrid w:val="0"/>
        <w:spacing w:line="560" w:lineRule="exact"/>
        <w:ind w:left="360" w:firstLine="600" w:firstLineChars="200"/>
        <w:rPr>
          <w:rFonts w:ascii="仿宋" w:hAnsi="仿宋" w:eastAsia="仿宋_GB2312" w:cs="宋体"/>
          <w:kern w:val="0"/>
          <w:sz w:val="30"/>
          <w:szCs w:val="30"/>
        </w:rPr>
      </w:pPr>
    </w:p>
    <w:p w14:paraId="7EE3E67C">
      <w:pPr>
        <w:widowControl/>
        <w:adjustRightInd w:val="0"/>
        <w:snapToGrid w:val="0"/>
        <w:spacing w:line="560" w:lineRule="exact"/>
        <w:rPr>
          <w:rFonts w:ascii="仿宋" w:hAnsi="仿宋" w:eastAsia="仿宋_GB2312" w:cs="宋体"/>
          <w:color w:val="000000"/>
          <w:kern w:val="0"/>
          <w:sz w:val="30"/>
          <w:szCs w:val="30"/>
        </w:rPr>
      </w:pPr>
      <w:r>
        <w:rPr>
          <w:rFonts w:ascii="仿宋" w:hAnsi="仿宋" w:eastAsia="仿宋_GB2312" w:cs="宋体"/>
          <w:color w:val="000000"/>
          <w:kern w:val="0"/>
          <w:sz w:val="30"/>
          <w:szCs w:val="30"/>
        </w:rPr>
        <w:t>证券代码：</w:t>
      </w:r>
      <w:r>
        <w:rPr>
          <w:rFonts w:hint="eastAsia" w:ascii="仿宋" w:hAnsi="仿宋" w:eastAsia="仿宋_GB2312" w:cs="宋体"/>
          <w:color w:val="000000"/>
          <w:kern w:val="0"/>
          <w:sz w:val="30"/>
          <w:szCs w:val="30"/>
        </w:rPr>
        <w:t xml:space="preserve"> </w:t>
      </w:r>
      <w:r>
        <w:rPr>
          <w:rFonts w:ascii="仿宋" w:hAnsi="仿宋" w:eastAsia="仿宋_GB2312" w:cs="宋体"/>
          <w:color w:val="000000"/>
          <w:kern w:val="0"/>
          <w:sz w:val="30"/>
          <w:szCs w:val="30"/>
        </w:rPr>
        <w:t xml:space="preserve">        </w:t>
      </w:r>
      <w:r>
        <w:rPr>
          <w:rFonts w:hint="eastAsia" w:ascii="仿宋" w:hAnsi="仿宋" w:eastAsia="仿宋_GB2312" w:cs="宋体"/>
          <w:color w:val="000000"/>
          <w:kern w:val="0"/>
          <w:sz w:val="30"/>
          <w:szCs w:val="30"/>
        </w:rPr>
        <w:t xml:space="preserve"> </w:t>
      </w:r>
      <w:r>
        <w:rPr>
          <w:rFonts w:ascii="仿宋" w:hAnsi="仿宋" w:eastAsia="仿宋_GB2312" w:cs="宋体"/>
          <w:color w:val="000000"/>
          <w:kern w:val="0"/>
          <w:sz w:val="30"/>
          <w:szCs w:val="30"/>
        </w:rPr>
        <w:t xml:space="preserve">  </w:t>
      </w:r>
      <w:r>
        <w:rPr>
          <w:rFonts w:hint="eastAsia" w:ascii="仿宋" w:hAnsi="仿宋" w:eastAsia="仿宋_GB2312" w:cs="宋体"/>
          <w:color w:val="000000"/>
          <w:kern w:val="0"/>
          <w:sz w:val="30"/>
          <w:szCs w:val="30"/>
        </w:rPr>
        <w:t xml:space="preserve"> </w:t>
      </w:r>
      <w:r>
        <w:rPr>
          <w:rFonts w:ascii="仿宋" w:hAnsi="仿宋" w:eastAsia="仿宋_GB2312" w:cs="宋体"/>
          <w:color w:val="000000"/>
          <w:kern w:val="0"/>
          <w:sz w:val="30"/>
          <w:szCs w:val="30"/>
        </w:rPr>
        <w:t>证券简称：</w:t>
      </w:r>
      <w:r>
        <w:rPr>
          <w:rFonts w:hint="eastAsia" w:ascii="仿宋" w:hAnsi="仿宋" w:eastAsia="仿宋_GB2312" w:cs="宋体"/>
          <w:color w:val="000000"/>
          <w:kern w:val="0"/>
          <w:sz w:val="30"/>
          <w:szCs w:val="30"/>
        </w:rPr>
        <w:t xml:space="preserve">     </w:t>
      </w:r>
      <w:r>
        <w:rPr>
          <w:rFonts w:ascii="仿宋" w:hAnsi="仿宋" w:eastAsia="仿宋_GB2312" w:cs="宋体"/>
          <w:color w:val="000000"/>
          <w:kern w:val="0"/>
          <w:sz w:val="30"/>
          <w:szCs w:val="30"/>
        </w:rPr>
        <w:t xml:space="preserve">       </w:t>
      </w:r>
      <w:r>
        <w:rPr>
          <w:rFonts w:hint="eastAsia" w:ascii="仿宋" w:hAnsi="仿宋" w:eastAsia="仿宋_GB2312" w:cs="宋体"/>
          <w:color w:val="000000"/>
          <w:kern w:val="0"/>
          <w:sz w:val="30"/>
          <w:szCs w:val="30"/>
        </w:rPr>
        <w:t>公告</w:t>
      </w:r>
      <w:r>
        <w:rPr>
          <w:rFonts w:ascii="仿宋" w:hAnsi="仿宋" w:eastAsia="仿宋_GB2312" w:cs="宋体"/>
          <w:color w:val="000000"/>
          <w:kern w:val="0"/>
          <w:sz w:val="30"/>
          <w:szCs w:val="30"/>
        </w:rPr>
        <w:t>编号：</w:t>
      </w:r>
    </w:p>
    <w:p w14:paraId="5E2155FA">
      <w:pPr>
        <w:widowControl/>
        <w:adjustRightInd w:val="0"/>
        <w:snapToGrid w:val="0"/>
        <w:spacing w:line="560" w:lineRule="exact"/>
        <w:rPr>
          <w:rFonts w:ascii="仿宋" w:hAnsi="仿宋" w:eastAsia="仿宋_GB2312" w:cs="宋体"/>
          <w:color w:val="000000"/>
          <w:kern w:val="0"/>
          <w:sz w:val="30"/>
          <w:szCs w:val="30"/>
        </w:rPr>
      </w:pPr>
      <w:r>
        <w:rPr>
          <w:rFonts w:hint="eastAsia" w:ascii="仿宋" w:hAnsi="仿宋" w:eastAsia="仿宋_GB2312" w:cs="宋体"/>
          <w:color w:val="000000"/>
          <w:kern w:val="0"/>
          <w:sz w:val="30"/>
          <w:szCs w:val="30"/>
        </w:rPr>
        <w:t xml:space="preserve">转债代码：  </w:t>
      </w:r>
      <w:r>
        <w:rPr>
          <w:rFonts w:ascii="仿宋" w:hAnsi="仿宋" w:eastAsia="仿宋_GB2312" w:cs="宋体"/>
          <w:color w:val="000000"/>
          <w:kern w:val="0"/>
          <w:sz w:val="30"/>
          <w:szCs w:val="30"/>
        </w:rPr>
        <w:t xml:space="preserve">         </w:t>
      </w:r>
      <w:r>
        <w:rPr>
          <w:rFonts w:hint="eastAsia" w:ascii="仿宋" w:hAnsi="仿宋" w:eastAsia="仿宋_GB2312" w:cs="宋体"/>
          <w:color w:val="000000"/>
          <w:kern w:val="0"/>
          <w:sz w:val="30"/>
          <w:szCs w:val="30"/>
        </w:rPr>
        <w:t xml:space="preserve">  转债简称</w:t>
      </w:r>
      <w:r>
        <w:rPr>
          <w:rFonts w:ascii="仿宋" w:hAnsi="仿宋" w:eastAsia="仿宋_GB2312" w:cs="宋体"/>
          <w:color w:val="000000"/>
          <w:kern w:val="0"/>
          <w:sz w:val="30"/>
          <w:szCs w:val="30"/>
        </w:rPr>
        <w:t>：</w:t>
      </w:r>
      <w:r>
        <w:rPr>
          <w:rFonts w:hint="eastAsia" w:ascii="仿宋" w:hAnsi="仿宋" w:eastAsia="仿宋_GB2312" w:cs="宋体"/>
          <w:color w:val="000000"/>
          <w:kern w:val="0"/>
          <w:sz w:val="30"/>
          <w:szCs w:val="30"/>
        </w:rPr>
        <w:t xml:space="preserve">     </w:t>
      </w:r>
    </w:p>
    <w:p w14:paraId="0A893CD7">
      <w:pPr>
        <w:adjustRightInd w:val="0"/>
        <w:snapToGrid w:val="0"/>
        <w:spacing w:line="560" w:lineRule="exact"/>
        <w:ind w:left="360" w:firstLine="600" w:firstLineChars="200"/>
        <w:jc w:val="center"/>
        <w:rPr>
          <w:rFonts w:ascii="仿宋" w:hAnsi="仿宋" w:eastAsia="仿宋_GB2312" w:cs="宋体"/>
          <w:kern w:val="0"/>
          <w:sz w:val="30"/>
          <w:szCs w:val="30"/>
        </w:rPr>
      </w:pPr>
    </w:p>
    <w:p w14:paraId="21A85CE2">
      <w:pPr>
        <w:adjustRightInd w:val="0"/>
        <w:snapToGrid w:val="0"/>
        <w:spacing w:line="560" w:lineRule="exact"/>
        <w:ind w:firstLine="600" w:firstLineChars="200"/>
        <w:jc w:val="center"/>
        <w:rPr>
          <w:rFonts w:ascii="仿宋" w:hAnsi="仿宋" w:eastAsia="仿宋_GB2312" w:cs="Times New Roman"/>
          <w:sz w:val="30"/>
          <w:szCs w:val="30"/>
        </w:rPr>
      </w:pPr>
      <w:r>
        <w:rPr>
          <w:rFonts w:hint="eastAsia" w:ascii="仿宋" w:hAnsi="仿宋" w:eastAsia="仿宋_GB2312" w:cs="宋体"/>
          <w:kern w:val="0"/>
          <w:sz w:val="30"/>
          <w:szCs w:val="30"/>
        </w:rPr>
        <w:t>XXXX股份有限公司关于因配股/增发/利润分配</w:t>
      </w:r>
      <w:r>
        <w:rPr>
          <w:rFonts w:ascii="仿宋" w:hAnsi="仿宋" w:eastAsia="仿宋_GB2312" w:cs="宋体"/>
          <w:kern w:val="0"/>
          <w:sz w:val="30"/>
          <w:szCs w:val="30"/>
        </w:rPr>
        <w:t>/</w:t>
      </w:r>
      <w:r>
        <w:rPr>
          <w:rFonts w:hint="eastAsia" w:ascii="仿宋" w:hAnsi="仿宋" w:eastAsia="仿宋_GB2312" w:cs="宋体"/>
          <w:kern w:val="0"/>
          <w:sz w:val="30"/>
          <w:szCs w:val="30"/>
        </w:rPr>
        <w:t>股权激励调整可转债转股价格/按照修正条款修正可转债转股价格的公告</w:t>
      </w:r>
    </w:p>
    <w:p w14:paraId="011B847E">
      <w:pPr>
        <w:adjustRightInd w:val="0"/>
        <w:snapToGrid w:val="0"/>
        <w:spacing w:line="560" w:lineRule="exact"/>
        <w:jc w:val="center"/>
        <w:rPr>
          <w:rFonts w:ascii="仿宋" w:hAnsi="仿宋" w:eastAsia="仿宋_GB2312" w:cs="宋体"/>
          <w:kern w:val="0"/>
          <w:sz w:val="30"/>
          <w:szCs w:val="30"/>
        </w:rPr>
      </w:pPr>
    </w:p>
    <w:p w14:paraId="16544883">
      <w:pPr>
        <w:pBdr>
          <w:top w:val="single" w:color="auto" w:sz="4" w:space="1"/>
          <w:left w:val="single" w:color="auto" w:sz="4" w:space="4"/>
          <w:bottom w:val="single" w:color="auto" w:sz="4" w:space="1"/>
          <w:right w:val="single" w:color="auto" w:sz="4" w:space="4"/>
        </w:pBdr>
        <w:adjustRightInd w:val="0"/>
        <w:snapToGrid w:val="0"/>
        <w:spacing w:line="560" w:lineRule="exact"/>
        <w:ind w:firstLine="600" w:firstLineChars="200"/>
        <w:rPr>
          <w:rFonts w:ascii="仿宋" w:hAnsi="仿宋" w:eastAsia="仿宋_GB2312" w:cs="宋体"/>
          <w:kern w:val="0"/>
          <w:sz w:val="30"/>
          <w:szCs w:val="30"/>
        </w:rPr>
      </w:pPr>
      <w:r>
        <w:rPr>
          <w:rFonts w:hint="eastAsia" w:ascii="仿宋" w:hAnsi="仿宋" w:eastAsia="仿宋_GB2312" w:cs="宋体"/>
          <w:kern w:val="0"/>
          <w:sz w:val="30"/>
          <w:szCs w:val="30"/>
        </w:rPr>
        <w:t>本公司董事会及全体董事保证本公告内容不存在任何虚假记载、误导性陈述或者重大遗漏，并对其内容的真实性、准确性和完整性承担法律责任。</w:t>
      </w:r>
    </w:p>
    <w:p w14:paraId="3013E3A0">
      <w:pPr>
        <w:pBdr>
          <w:top w:val="single" w:color="auto" w:sz="4" w:space="1"/>
          <w:left w:val="single" w:color="auto" w:sz="4" w:space="4"/>
          <w:bottom w:val="single" w:color="auto" w:sz="4" w:space="1"/>
          <w:right w:val="single" w:color="auto" w:sz="4" w:space="4"/>
        </w:pBdr>
        <w:adjustRightInd w:val="0"/>
        <w:snapToGrid w:val="0"/>
        <w:spacing w:line="560" w:lineRule="exact"/>
        <w:ind w:firstLine="600" w:firstLineChars="200"/>
        <w:rPr>
          <w:rFonts w:ascii="仿宋" w:hAnsi="仿宋" w:eastAsia="仿宋_GB2312" w:cs="宋体"/>
          <w:kern w:val="0"/>
          <w:sz w:val="30"/>
          <w:szCs w:val="30"/>
        </w:rPr>
      </w:pPr>
      <w:r>
        <w:rPr>
          <w:rFonts w:hint="eastAsia" w:ascii="仿宋" w:hAnsi="仿宋" w:eastAsia="仿宋_GB2312" w:cs="宋体"/>
          <w:kern w:val="0"/>
          <w:sz w:val="30"/>
          <w:szCs w:val="30"/>
        </w:rPr>
        <w:t>如有董事对临时公告内容的真实性、准确性和完整性无法保证或存在异议的，公司应当在公告中作特别提示。</w:t>
      </w:r>
    </w:p>
    <w:p w14:paraId="7BD26D21">
      <w:pPr>
        <w:adjustRightInd w:val="0"/>
        <w:snapToGrid w:val="0"/>
        <w:spacing w:before="156" w:beforeLines="50" w:line="560" w:lineRule="exact"/>
        <w:ind w:firstLine="600" w:firstLineChars="200"/>
        <w:rPr>
          <w:rFonts w:ascii="仿宋" w:hAnsi="仿宋" w:eastAsia="仿宋_GB2312" w:cs="宋体"/>
          <w:kern w:val="0"/>
          <w:sz w:val="30"/>
          <w:szCs w:val="30"/>
        </w:rPr>
      </w:pPr>
    </w:p>
    <w:p w14:paraId="762937EE">
      <w:pPr>
        <w:tabs>
          <w:tab w:val="left" w:pos="0"/>
        </w:tabs>
        <w:autoSpaceDE w:val="0"/>
        <w:autoSpaceDN w:val="0"/>
        <w:adjustRightInd w:val="0"/>
        <w:snapToGrid w:val="0"/>
        <w:spacing w:line="560" w:lineRule="exact"/>
        <w:ind w:firstLine="602" w:firstLineChars="200"/>
        <w:rPr>
          <w:rFonts w:ascii="仿宋" w:hAnsi="仿宋" w:eastAsia="仿宋_GB2312" w:cs="宋体"/>
          <w:b/>
          <w:color w:val="000000"/>
          <w:kern w:val="0"/>
          <w:sz w:val="30"/>
          <w:szCs w:val="30"/>
        </w:rPr>
      </w:pPr>
      <w:r>
        <w:rPr>
          <w:rFonts w:hint="eastAsia" w:ascii="仿宋" w:hAnsi="仿宋" w:eastAsia="仿宋_GB2312" w:cs="宋体"/>
          <w:b/>
          <w:color w:val="000000"/>
          <w:kern w:val="0"/>
          <w:sz w:val="30"/>
          <w:szCs w:val="30"/>
        </w:rPr>
        <w:t>重要内容提示：</w:t>
      </w:r>
    </w:p>
    <w:p w14:paraId="056928EF">
      <w:pPr>
        <w:numPr>
          <w:ilvl w:val="0"/>
          <w:numId w:val="1"/>
        </w:numPr>
        <w:autoSpaceDE w:val="0"/>
        <w:autoSpaceDN w:val="0"/>
        <w:adjustRightInd w:val="0"/>
        <w:snapToGrid w:val="0"/>
        <w:spacing w:line="560" w:lineRule="exact"/>
        <w:ind w:left="0" w:firstLine="600" w:firstLineChars="200"/>
        <w:rPr>
          <w:rFonts w:ascii="仿宋" w:hAnsi="仿宋" w:eastAsia="仿宋_GB2312" w:cs="宋体"/>
          <w:color w:val="000000"/>
          <w:kern w:val="0"/>
          <w:sz w:val="30"/>
          <w:szCs w:val="30"/>
        </w:rPr>
      </w:pPr>
      <w:r>
        <w:rPr>
          <w:rFonts w:hint="eastAsia" w:ascii="仿宋" w:hAnsi="仿宋" w:eastAsia="仿宋_GB2312" w:cs="宋体"/>
          <w:color w:val="000000"/>
          <w:kern w:val="0"/>
          <w:sz w:val="30"/>
          <w:szCs w:val="30"/>
        </w:rPr>
        <w:t>调整/修正前转股价格：XX元</w:t>
      </w:r>
      <w:r>
        <w:rPr>
          <w:rFonts w:ascii="仿宋" w:hAnsi="仿宋" w:eastAsia="仿宋_GB2312" w:cs="宋体"/>
          <w:color w:val="000000"/>
          <w:kern w:val="0"/>
          <w:sz w:val="30"/>
          <w:szCs w:val="30"/>
        </w:rPr>
        <w:t>/</w:t>
      </w:r>
      <w:r>
        <w:rPr>
          <w:rFonts w:hint="eastAsia" w:ascii="仿宋" w:hAnsi="仿宋" w:eastAsia="仿宋_GB2312" w:cs="宋体"/>
          <w:color w:val="000000"/>
          <w:kern w:val="0"/>
          <w:sz w:val="30"/>
          <w:szCs w:val="30"/>
        </w:rPr>
        <w:t>股</w:t>
      </w:r>
      <w:r>
        <w:rPr>
          <w:rFonts w:ascii="仿宋" w:hAnsi="仿宋" w:eastAsia="仿宋_GB2312" w:cs="宋体"/>
          <w:color w:val="000000"/>
          <w:kern w:val="0"/>
          <w:sz w:val="30"/>
          <w:szCs w:val="30"/>
        </w:rPr>
        <w:t xml:space="preserve"> </w:t>
      </w:r>
    </w:p>
    <w:p w14:paraId="42568567">
      <w:pPr>
        <w:numPr>
          <w:ilvl w:val="0"/>
          <w:numId w:val="1"/>
        </w:numPr>
        <w:autoSpaceDE w:val="0"/>
        <w:autoSpaceDN w:val="0"/>
        <w:adjustRightInd w:val="0"/>
        <w:snapToGrid w:val="0"/>
        <w:spacing w:line="560" w:lineRule="exact"/>
        <w:ind w:left="0" w:firstLine="600" w:firstLineChars="200"/>
        <w:rPr>
          <w:rFonts w:ascii="仿宋" w:hAnsi="仿宋" w:eastAsia="仿宋_GB2312" w:cs="宋体"/>
          <w:color w:val="000000"/>
          <w:kern w:val="0"/>
          <w:sz w:val="30"/>
          <w:szCs w:val="30"/>
        </w:rPr>
      </w:pPr>
      <w:r>
        <w:rPr>
          <w:rFonts w:hint="eastAsia" w:ascii="仿宋" w:hAnsi="仿宋" w:eastAsia="仿宋_GB2312" w:cs="宋体"/>
          <w:color w:val="000000"/>
          <w:kern w:val="0"/>
          <w:sz w:val="30"/>
          <w:szCs w:val="30"/>
        </w:rPr>
        <w:t>调整/修正后转股价格：XX元</w:t>
      </w:r>
      <w:r>
        <w:rPr>
          <w:rFonts w:ascii="仿宋" w:hAnsi="仿宋" w:eastAsia="仿宋_GB2312" w:cs="宋体"/>
          <w:color w:val="000000"/>
          <w:kern w:val="0"/>
          <w:sz w:val="30"/>
          <w:szCs w:val="30"/>
        </w:rPr>
        <w:t>/</w:t>
      </w:r>
      <w:r>
        <w:rPr>
          <w:rFonts w:hint="eastAsia" w:ascii="仿宋" w:hAnsi="仿宋" w:eastAsia="仿宋_GB2312" w:cs="宋体"/>
          <w:color w:val="000000"/>
          <w:kern w:val="0"/>
          <w:sz w:val="30"/>
          <w:szCs w:val="30"/>
        </w:rPr>
        <w:t>股</w:t>
      </w:r>
      <w:r>
        <w:rPr>
          <w:rFonts w:ascii="仿宋" w:hAnsi="仿宋" w:eastAsia="仿宋_GB2312" w:cs="宋体"/>
          <w:color w:val="000000"/>
          <w:kern w:val="0"/>
          <w:sz w:val="30"/>
          <w:szCs w:val="30"/>
        </w:rPr>
        <w:t xml:space="preserve"> </w:t>
      </w:r>
    </w:p>
    <w:p w14:paraId="1C21AB7B">
      <w:pPr>
        <w:numPr>
          <w:ilvl w:val="0"/>
          <w:numId w:val="1"/>
        </w:numPr>
        <w:autoSpaceDE w:val="0"/>
        <w:autoSpaceDN w:val="0"/>
        <w:adjustRightInd w:val="0"/>
        <w:snapToGrid w:val="0"/>
        <w:spacing w:line="560" w:lineRule="exact"/>
        <w:ind w:left="0" w:firstLine="600" w:firstLineChars="200"/>
        <w:rPr>
          <w:rFonts w:ascii="仿宋" w:hAnsi="仿宋" w:eastAsia="仿宋_GB2312" w:cs="宋体"/>
          <w:color w:val="000000"/>
          <w:kern w:val="0"/>
          <w:sz w:val="30"/>
          <w:szCs w:val="30"/>
        </w:rPr>
      </w:pPr>
      <w:r>
        <w:rPr>
          <w:rFonts w:hint="eastAsia" w:ascii="仿宋" w:hAnsi="仿宋" w:eastAsia="仿宋_GB2312" w:cs="宋体"/>
          <w:color w:val="000000"/>
          <w:kern w:val="0"/>
          <w:sz w:val="30"/>
          <w:szCs w:val="30"/>
        </w:rPr>
        <w:t>XX转债本次转股价格调整/修正实施日期：XXXX年XX月XX日</w:t>
      </w:r>
      <w:r>
        <w:rPr>
          <w:rFonts w:ascii="仿宋" w:hAnsi="仿宋" w:eastAsia="仿宋_GB2312" w:cs="宋体"/>
          <w:color w:val="000000"/>
          <w:kern w:val="0"/>
          <w:sz w:val="30"/>
          <w:szCs w:val="30"/>
        </w:rPr>
        <w:t xml:space="preserve"> </w:t>
      </w:r>
    </w:p>
    <w:p w14:paraId="6583509D">
      <w:pPr>
        <w:adjustRightInd w:val="0"/>
        <w:snapToGrid w:val="0"/>
        <w:spacing w:line="560" w:lineRule="exact"/>
        <w:ind w:firstLine="600" w:firstLineChars="200"/>
        <w:rPr>
          <w:rFonts w:ascii="仿宋" w:hAnsi="仿宋" w:eastAsia="仿宋_GB2312" w:cs="宋体"/>
          <w:kern w:val="0"/>
          <w:sz w:val="30"/>
          <w:szCs w:val="30"/>
        </w:rPr>
      </w:pPr>
    </w:p>
    <w:p w14:paraId="20BF74E3">
      <w:pPr>
        <w:autoSpaceDE w:val="0"/>
        <w:autoSpaceDN w:val="0"/>
        <w:adjustRightInd w:val="0"/>
        <w:snapToGrid w:val="0"/>
        <w:spacing w:line="560" w:lineRule="exact"/>
        <w:ind w:firstLine="602" w:firstLineChars="200"/>
        <w:jc w:val="left"/>
        <w:rPr>
          <w:rFonts w:ascii="黑体" w:hAnsi="黑体" w:eastAsia="黑体" w:cs="宋体"/>
          <w:b/>
          <w:kern w:val="0"/>
          <w:sz w:val="30"/>
          <w:szCs w:val="30"/>
        </w:rPr>
      </w:pPr>
      <w:r>
        <w:rPr>
          <w:rFonts w:hint="eastAsia" w:ascii="黑体" w:hAnsi="黑体" w:eastAsia="黑体" w:cs="宋体"/>
          <w:b/>
          <w:kern w:val="0"/>
          <w:sz w:val="30"/>
          <w:szCs w:val="30"/>
        </w:rPr>
        <w:t>一、转股价格调整/修正依据</w:t>
      </w:r>
    </w:p>
    <w:p w14:paraId="42DC30DC">
      <w:pPr>
        <w:autoSpaceDE w:val="0"/>
        <w:autoSpaceDN w:val="0"/>
        <w:adjustRightInd w:val="0"/>
        <w:snapToGrid w:val="0"/>
        <w:spacing w:line="560" w:lineRule="exact"/>
        <w:ind w:firstLine="600" w:firstLineChars="200"/>
        <w:jc w:val="left"/>
        <w:rPr>
          <w:rFonts w:ascii="仿宋" w:hAnsi="仿宋" w:eastAsia="仿宋_GB2312" w:cs="宋体"/>
          <w:kern w:val="0"/>
          <w:sz w:val="30"/>
          <w:szCs w:val="30"/>
        </w:rPr>
      </w:pPr>
      <w:r>
        <w:rPr>
          <w:rFonts w:hint="eastAsia" w:ascii="仿宋" w:hAnsi="仿宋" w:eastAsia="仿宋_GB2312" w:cs="宋体"/>
          <w:kern w:val="0"/>
          <w:sz w:val="30"/>
          <w:szCs w:val="30"/>
        </w:rPr>
        <w:t>（一）简要说明公司因股本变化、利润分配或触发修正条款等原因导致公司需对可转债转股价格进行调整/修正的情形。</w:t>
      </w:r>
    </w:p>
    <w:p w14:paraId="31A8B72B">
      <w:pPr>
        <w:autoSpaceDE w:val="0"/>
        <w:autoSpaceDN w:val="0"/>
        <w:adjustRightInd w:val="0"/>
        <w:snapToGrid w:val="0"/>
        <w:spacing w:line="560" w:lineRule="exact"/>
        <w:ind w:firstLine="600" w:firstLineChars="200"/>
        <w:jc w:val="left"/>
        <w:rPr>
          <w:rFonts w:ascii="仿宋" w:hAnsi="仿宋" w:eastAsia="仿宋_GB2312" w:cs="宋体"/>
          <w:kern w:val="0"/>
          <w:sz w:val="30"/>
          <w:szCs w:val="30"/>
        </w:rPr>
      </w:pPr>
      <w:r>
        <w:rPr>
          <w:rFonts w:hint="eastAsia" w:ascii="仿宋" w:hAnsi="仿宋" w:eastAsia="仿宋_GB2312" w:cs="宋体"/>
          <w:kern w:val="0"/>
          <w:sz w:val="30"/>
          <w:szCs w:val="30"/>
        </w:rPr>
        <w:t>科创板上市公司实施配股、增发、利润分配等方案的具体内容、实施时间，由此导致可转债转股价格的调整是否符合公司《可转换公司债券募集说明书》的规定。</w:t>
      </w:r>
    </w:p>
    <w:p w14:paraId="7D57F056">
      <w:pPr>
        <w:autoSpaceDE w:val="0"/>
        <w:autoSpaceDN w:val="0"/>
        <w:adjustRightInd w:val="0"/>
        <w:snapToGrid w:val="0"/>
        <w:spacing w:line="560" w:lineRule="exact"/>
        <w:ind w:firstLine="600" w:firstLineChars="200"/>
        <w:jc w:val="left"/>
        <w:rPr>
          <w:rFonts w:ascii="仿宋" w:hAnsi="仿宋" w:eastAsia="仿宋_GB2312" w:cs="宋体"/>
          <w:kern w:val="0"/>
          <w:sz w:val="30"/>
          <w:szCs w:val="30"/>
        </w:rPr>
      </w:pPr>
      <w:r>
        <w:rPr>
          <w:rFonts w:hint="eastAsia" w:ascii="仿宋" w:hAnsi="仿宋" w:eastAsia="仿宋_GB2312" w:cs="宋体"/>
          <w:kern w:val="0"/>
          <w:sz w:val="30"/>
          <w:szCs w:val="30"/>
        </w:rPr>
        <w:t>（二）简要说明按照修正条款修正转股价格的股东会召开时间、议案的主要内容等。（如适用）</w:t>
      </w:r>
    </w:p>
    <w:p w14:paraId="7ABEF882">
      <w:pPr>
        <w:autoSpaceDE w:val="0"/>
        <w:autoSpaceDN w:val="0"/>
        <w:adjustRightInd w:val="0"/>
        <w:snapToGrid w:val="0"/>
        <w:spacing w:line="560" w:lineRule="exact"/>
        <w:ind w:firstLine="600" w:firstLineChars="200"/>
        <w:jc w:val="left"/>
        <w:rPr>
          <w:rFonts w:ascii="仿宋" w:hAnsi="仿宋" w:eastAsia="仿宋_GB2312" w:cs="宋体"/>
          <w:kern w:val="0"/>
          <w:sz w:val="30"/>
          <w:szCs w:val="30"/>
        </w:rPr>
      </w:pPr>
    </w:p>
    <w:p w14:paraId="302FF7CA">
      <w:pPr>
        <w:autoSpaceDE w:val="0"/>
        <w:autoSpaceDN w:val="0"/>
        <w:adjustRightInd w:val="0"/>
        <w:snapToGrid w:val="0"/>
        <w:spacing w:line="560" w:lineRule="exact"/>
        <w:ind w:firstLine="602" w:firstLineChars="200"/>
        <w:jc w:val="left"/>
        <w:rPr>
          <w:rFonts w:ascii="黑体" w:hAnsi="黑体" w:eastAsia="黑体" w:cs="宋体"/>
          <w:b/>
          <w:kern w:val="0"/>
          <w:sz w:val="30"/>
          <w:szCs w:val="30"/>
        </w:rPr>
      </w:pPr>
      <w:r>
        <w:rPr>
          <w:rFonts w:hint="eastAsia" w:ascii="黑体" w:hAnsi="黑体" w:eastAsia="黑体" w:cs="宋体"/>
          <w:b/>
          <w:kern w:val="0"/>
          <w:sz w:val="30"/>
          <w:szCs w:val="30"/>
        </w:rPr>
        <w:t>二、转股价格调整/修正公式与调整/修正结果</w:t>
      </w:r>
    </w:p>
    <w:p w14:paraId="055256D2">
      <w:pPr>
        <w:autoSpaceDE w:val="0"/>
        <w:autoSpaceDN w:val="0"/>
        <w:adjustRightInd w:val="0"/>
        <w:snapToGrid w:val="0"/>
        <w:spacing w:line="560" w:lineRule="exact"/>
        <w:ind w:firstLine="600" w:firstLineChars="200"/>
        <w:jc w:val="left"/>
        <w:rPr>
          <w:rFonts w:ascii="仿宋" w:hAnsi="仿宋" w:eastAsia="仿宋_GB2312" w:cs="宋体"/>
          <w:kern w:val="0"/>
          <w:sz w:val="30"/>
          <w:szCs w:val="30"/>
        </w:rPr>
      </w:pPr>
      <w:r>
        <w:rPr>
          <w:rFonts w:hint="eastAsia" w:ascii="仿宋" w:hAnsi="仿宋" w:eastAsia="仿宋_GB2312" w:cs="宋体"/>
          <w:kern w:val="0"/>
          <w:sz w:val="30"/>
          <w:szCs w:val="30"/>
        </w:rPr>
        <w:t>简要说明公司可转债价格调整/修正的有关规定、转股价格调整/修正公式。</w:t>
      </w:r>
    </w:p>
    <w:p w14:paraId="54D812DF">
      <w:pPr>
        <w:autoSpaceDE w:val="0"/>
        <w:autoSpaceDN w:val="0"/>
        <w:adjustRightInd w:val="0"/>
        <w:snapToGrid w:val="0"/>
        <w:spacing w:line="560" w:lineRule="exact"/>
        <w:ind w:firstLine="600" w:firstLineChars="200"/>
        <w:jc w:val="left"/>
        <w:rPr>
          <w:rFonts w:ascii="仿宋" w:hAnsi="仿宋" w:eastAsia="仿宋_GB2312" w:cs="宋体"/>
          <w:kern w:val="0"/>
          <w:sz w:val="30"/>
          <w:szCs w:val="30"/>
        </w:rPr>
      </w:pPr>
      <w:r>
        <w:rPr>
          <w:rFonts w:hint="eastAsia" w:ascii="仿宋" w:hAnsi="仿宋" w:eastAsia="仿宋_GB2312" w:cs="宋体"/>
          <w:kern w:val="0"/>
          <w:sz w:val="30"/>
          <w:szCs w:val="30"/>
        </w:rPr>
        <w:t>说明“XX转债”转股价格调整/修正时间、调整/修正前价格、调整/修正后价格、转股价格调整生效时间，以及“XX转债”停止转股时间、恢复转股时间。</w:t>
      </w:r>
    </w:p>
    <w:p w14:paraId="3DBB372D">
      <w:pPr>
        <w:autoSpaceDE w:val="0"/>
        <w:autoSpaceDN w:val="0"/>
        <w:adjustRightInd w:val="0"/>
        <w:snapToGrid w:val="0"/>
        <w:spacing w:line="560" w:lineRule="exact"/>
        <w:ind w:firstLine="600" w:firstLineChars="200"/>
        <w:jc w:val="left"/>
        <w:rPr>
          <w:rFonts w:ascii="仿宋" w:hAnsi="仿宋" w:eastAsia="仿宋_GB2312" w:cs="宋体"/>
          <w:kern w:val="0"/>
          <w:sz w:val="30"/>
          <w:szCs w:val="30"/>
        </w:rPr>
      </w:pPr>
    </w:p>
    <w:p w14:paraId="4E1A6C5B">
      <w:pPr>
        <w:autoSpaceDE w:val="0"/>
        <w:autoSpaceDN w:val="0"/>
        <w:adjustRightInd w:val="0"/>
        <w:snapToGrid w:val="0"/>
        <w:spacing w:line="560" w:lineRule="exact"/>
        <w:ind w:firstLine="600" w:firstLineChars="200"/>
        <w:jc w:val="left"/>
        <w:rPr>
          <w:rFonts w:ascii="仿宋" w:hAnsi="仿宋" w:eastAsia="仿宋_GB2312" w:cs="宋体"/>
          <w:kern w:val="0"/>
          <w:sz w:val="30"/>
          <w:szCs w:val="30"/>
        </w:rPr>
      </w:pPr>
      <w:r>
        <w:rPr>
          <w:rFonts w:hint="eastAsia" w:ascii="仿宋" w:hAnsi="仿宋" w:eastAsia="仿宋_GB2312" w:cs="宋体"/>
          <w:kern w:val="0"/>
          <w:sz w:val="30"/>
          <w:szCs w:val="30"/>
        </w:rPr>
        <w:t>特此公告。</w:t>
      </w:r>
      <w:r>
        <w:rPr>
          <w:rFonts w:ascii="仿宋" w:hAnsi="仿宋" w:eastAsia="仿宋_GB2312" w:cs="宋体"/>
          <w:kern w:val="0"/>
          <w:sz w:val="30"/>
          <w:szCs w:val="30"/>
        </w:rPr>
        <w:t xml:space="preserve"> </w:t>
      </w:r>
    </w:p>
    <w:p w14:paraId="549CF456">
      <w:pPr>
        <w:autoSpaceDE w:val="0"/>
        <w:autoSpaceDN w:val="0"/>
        <w:adjustRightInd w:val="0"/>
        <w:snapToGrid w:val="0"/>
        <w:spacing w:line="560" w:lineRule="exact"/>
        <w:ind w:firstLine="600" w:firstLineChars="200"/>
        <w:jc w:val="left"/>
        <w:rPr>
          <w:rFonts w:ascii="仿宋" w:hAnsi="仿宋" w:eastAsia="仿宋_GB2312" w:cs="宋体"/>
          <w:kern w:val="0"/>
          <w:sz w:val="30"/>
          <w:szCs w:val="30"/>
        </w:rPr>
      </w:pPr>
      <w:r>
        <w:rPr>
          <w:rFonts w:hint="eastAsia" w:ascii="仿宋" w:hAnsi="仿宋" w:eastAsia="仿宋_GB2312" w:cs="宋体"/>
          <w:kern w:val="0"/>
          <w:sz w:val="30"/>
          <w:szCs w:val="30"/>
        </w:rPr>
        <w:t xml:space="preserve">   </w:t>
      </w:r>
    </w:p>
    <w:p w14:paraId="047E91E8">
      <w:pPr>
        <w:adjustRightInd w:val="0"/>
        <w:snapToGrid w:val="0"/>
        <w:spacing w:line="560" w:lineRule="exact"/>
        <w:ind w:firstLine="600" w:firstLineChars="200"/>
        <w:jc w:val="right"/>
        <w:rPr>
          <w:rFonts w:ascii="仿宋" w:hAnsi="仿宋" w:eastAsia="仿宋_GB2312" w:cs="Times New Roman"/>
          <w:color w:val="000000"/>
          <w:sz w:val="30"/>
          <w:szCs w:val="30"/>
        </w:rPr>
      </w:pPr>
      <w:r>
        <w:rPr>
          <w:rFonts w:hint="eastAsia" w:ascii="仿宋" w:hAnsi="仿宋" w:eastAsia="仿宋_GB2312" w:cs="Times New Roman"/>
          <w:sz w:val="30"/>
          <w:szCs w:val="30"/>
        </w:rPr>
        <w:t xml:space="preserve">                          </w:t>
      </w:r>
      <w:r>
        <w:rPr>
          <w:rFonts w:ascii="仿宋" w:hAnsi="仿宋" w:eastAsia="仿宋_GB2312" w:cs="Times New Roman"/>
          <w:color w:val="000000"/>
          <w:sz w:val="30"/>
          <w:szCs w:val="30"/>
        </w:rPr>
        <w:t>XXXX</w:t>
      </w:r>
      <w:r>
        <w:rPr>
          <w:rFonts w:hint="eastAsia" w:ascii="仿宋" w:hAnsi="仿宋" w:eastAsia="仿宋_GB2312" w:cs="Times New Roman"/>
          <w:color w:val="000000"/>
          <w:sz w:val="30"/>
          <w:szCs w:val="30"/>
        </w:rPr>
        <w:t>股份有限公司董事会</w:t>
      </w:r>
    </w:p>
    <w:p w14:paraId="3B8D5B58">
      <w:pPr>
        <w:adjustRightInd w:val="0"/>
        <w:snapToGrid w:val="0"/>
        <w:spacing w:line="560" w:lineRule="exact"/>
        <w:ind w:firstLine="600" w:firstLineChars="200"/>
        <w:jc w:val="right"/>
        <w:rPr>
          <w:rFonts w:ascii="仿宋" w:hAnsi="仿宋" w:eastAsia="仿宋_GB2312" w:cs="Times New Roman"/>
          <w:color w:val="000000"/>
          <w:sz w:val="30"/>
          <w:szCs w:val="30"/>
        </w:rPr>
      </w:pPr>
      <w:r>
        <w:rPr>
          <w:rFonts w:hint="eastAsia" w:ascii="仿宋" w:hAnsi="仿宋" w:eastAsia="仿宋_GB2312" w:cs="Times New Roman"/>
          <w:color w:val="000000"/>
          <w:sz w:val="30"/>
          <w:szCs w:val="30"/>
        </w:rPr>
        <w:t>年</w:t>
      </w:r>
      <w:r>
        <w:rPr>
          <w:rFonts w:ascii="仿宋" w:hAnsi="仿宋" w:eastAsia="仿宋_GB2312" w:cs="Times New Roman"/>
          <w:color w:val="000000"/>
          <w:sz w:val="30"/>
          <w:szCs w:val="30"/>
        </w:rPr>
        <w:t xml:space="preserve">  </w:t>
      </w:r>
      <w:r>
        <w:rPr>
          <w:rFonts w:hint="eastAsia" w:ascii="仿宋" w:hAnsi="仿宋" w:eastAsia="仿宋_GB2312" w:cs="Times New Roman"/>
          <w:color w:val="000000"/>
          <w:sz w:val="30"/>
          <w:szCs w:val="30"/>
        </w:rPr>
        <w:t>月</w:t>
      </w:r>
      <w:r>
        <w:rPr>
          <w:rFonts w:ascii="仿宋" w:hAnsi="仿宋" w:eastAsia="仿宋_GB2312" w:cs="Times New Roman"/>
          <w:color w:val="000000"/>
          <w:sz w:val="30"/>
          <w:szCs w:val="30"/>
        </w:rPr>
        <w:t xml:space="preserve">  </w:t>
      </w:r>
      <w:r>
        <w:rPr>
          <w:rFonts w:hint="eastAsia" w:ascii="仿宋" w:hAnsi="仿宋" w:eastAsia="仿宋_GB2312" w:cs="Times New Roman"/>
          <w:color w:val="000000"/>
          <w:sz w:val="30"/>
          <w:szCs w:val="30"/>
        </w:rPr>
        <w:t>日</w:t>
      </w:r>
    </w:p>
    <w:p w14:paraId="6BE50F15">
      <w:pPr>
        <w:adjustRightInd w:val="0"/>
        <w:snapToGrid w:val="0"/>
        <w:spacing w:line="560" w:lineRule="exact"/>
        <w:ind w:firstLine="600" w:firstLineChars="200"/>
        <w:jc w:val="right"/>
        <w:rPr>
          <w:rFonts w:ascii="仿宋" w:hAnsi="仿宋" w:eastAsia="仿宋_GB2312" w:cs="Times New Roman"/>
          <w:color w:val="000000"/>
          <w:sz w:val="30"/>
          <w:szCs w:val="30"/>
        </w:rPr>
      </w:pPr>
    </w:p>
    <w:p w14:paraId="053BD7F3">
      <w:pPr>
        <w:autoSpaceDE w:val="0"/>
        <w:autoSpaceDN w:val="0"/>
        <w:adjustRightInd w:val="0"/>
        <w:snapToGrid w:val="0"/>
        <w:spacing w:line="560" w:lineRule="exact"/>
        <w:ind w:firstLine="600" w:firstLineChars="200"/>
        <w:jc w:val="left"/>
        <w:rPr>
          <w:rFonts w:ascii="仿宋" w:hAnsi="仿宋" w:eastAsia="仿宋_GB2312" w:cs="宋体"/>
          <w:kern w:val="0"/>
          <w:sz w:val="30"/>
          <w:szCs w:val="30"/>
        </w:rPr>
      </w:pPr>
    </w:p>
    <w:p w14:paraId="2D1ACD0A">
      <w:pPr>
        <w:autoSpaceDE w:val="0"/>
        <w:autoSpaceDN w:val="0"/>
        <w:adjustRightInd w:val="0"/>
        <w:spacing w:line="600" w:lineRule="exact"/>
        <w:ind w:firstLine="600" w:firstLineChars="200"/>
        <w:jc w:val="left"/>
        <w:rPr>
          <w:rFonts w:hint="eastAsia" w:ascii="仿宋_GB2312" w:hAnsi="宋体" w:eastAsia="仿宋_GB2312" w:cs="宋体"/>
          <w:kern w:val="0"/>
          <w:sz w:val="30"/>
          <w:szCs w:val="30"/>
          <w:lang w:eastAsia="zh-CN"/>
        </w:rPr>
      </w:pPr>
    </w:p>
    <w:p w14:paraId="6EFC07E1">
      <w:pPr>
        <w:numPr>
          <w:ilvl w:val="0"/>
          <w:numId w:val="2"/>
        </w:numPr>
        <w:tabs>
          <w:tab w:val="left" w:pos="900"/>
        </w:tabs>
        <w:autoSpaceDE w:val="0"/>
        <w:autoSpaceDN w:val="0"/>
        <w:adjustRightInd w:val="0"/>
        <w:snapToGrid w:val="0"/>
        <w:spacing w:line="600" w:lineRule="exact"/>
        <w:ind w:firstLine="602" w:firstLineChars="200"/>
        <w:rPr>
          <w:rFonts w:ascii="仿宋_GB2312" w:hAnsi="宋体" w:eastAsia="仿宋_GB2312" w:cs="Times New Roman"/>
          <w:b/>
          <w:color w:val="000000"/>
          <w:sz w:val="30"/>
          <w:szCs w:val="30"/>
        </w:rPr>
      </w:pPr>
      <w:r>
        <w:rPr>
          <w:rFonts w:hint="eastAsia" w:ascii="仿宋_GB2312" w:hAnsi="宋体" w:eastAsia="仿宋_GB2312" w:cs="Times New Roman"/>
          <w:b/>
          <w:color w:val="000000"/>
          <w:sz w:val="30"/>
          <w:szCs w:val="30"/>
        </w:rPr>
        <w:t>注意事项</w:t>
      </w:r>
    </w:p>
    <w:p w14:paraId="666E8BCC">
      <w:pPr>
        <w:autoSpaceDE w:val="0"/>
        <w:autoSpaceDN w:val="0"/>
        <w:adjustRightInd w:val="0"/>
        <w:spacing w:line="600" w:lineRule="exact"/>
        <w:ind w:firstLine="600"/>
        <w:jc w:val="left"/>
        <w:rPr>
          <w:rFonts w:ascii="仿宋_GB2312" w:hAnsi="宋体" w:eastAsia="仿宋_GB2312" w:cs="宋体"/>
          <w:kern w:val="0"/>
          <w:sz w:val="30"/>
          <w:szCs w:val="30"/>
        </w:rPr>
      </w:pPr>
      <w:r>
        <w:rPr>
          <w:rFonts w:hint="eastAsia" w:ascii="仿宋_GB2312" w:hAnsi="宋体" w:eastAsia="仿宋_GB2312" w:cs="宋体"/>
          <w:kern w:val="0"/>
          <w:sz w:val="30"/>
          <w:szCs w:val="30"/>
        </w:rPr>
        <w:t>（一）公司按照修正条款向下调整转股价格的，修正后的转股价格应符合《上市公司证券发行注册管理办法》相关规定。</w:t>
      </w:r>
    </w:p>
    <w:p w14:paraId="404888F5">
      <w:pPr>
        <w:autoSpaceDE w:val="0"/>
        <w:autoSpaceDN w:val="0"/>
        <w:adjustRightInd w:val="0"/>
        <w:spacing w:line="600" w:lineRule="exact"/>
        <w:ind w:firstLine="600"/>
        <w:jc w:val="left"/>
        <w:rPr>
          <w:rFonts w:ascii="仿宋_GB2312" w:hAnsi="宋体" w:eastAsia="仿宋_GB2312" w:cs="宋体"/>
          <w:kern w:val="0"/>
          <w:sz w:val="30"/>
          <w:szCs w:val="30"/>
        </w:rPr>
      </w:pPr>
      <w:r>
        <w:rPr>
          <w:rFonts w:hint="eastAsia" w:ascii="仿宋_GB2312" w:hAnsi="宋体" w:eastAsia="仿宋_GB2312" w:cs="宋体"/>
          <w:kern w:val="0"/>
          <w:sz w:val="30"/>
          <w:szCs w:val="30"/>
        </w:rPr>
        <w:t>（二）转股价格调整生效时间与恢复转股时间原则上为同一天，一般为股权登记日的下一个交易日。</w:t>
      </w:r>
    </w:p>
    <w:p w14:paraId="0310E94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8030EAA"/>
    <w:multiLevelType w:val="multilevel"/>
    <w:tmpl w:val="38030EAA"/>
    <w:lvl w:ilvl="0" w:tentative="0">
      <w:start w:val="1"/>
      <w:numFmt w:val="bullet"/>
      <w:lvlText w:val=""/>
      <w:lvlJc w:val="left"/>
      <w:pPr>
        <w:tabs>
          <w:tab w:val="left" w:pos="0"/>
        </w:tabs>
        <w:ind w:left="0" w:hanging="420"/>
      </w:pPr>
      <w:rPr>
        <w:rFonts w:hint="default" w:ascii="Wingdings" w:hAnsi="Wingdings"/>
      </w:rPr>
    </w:lvl>
    <w:lvl w:ilvl="1" w:tentative="0">
      <w:start w:val="1"/>
      <w:numFmt w:val="bullet"/>
      <w:lvlText w:val=""/>
      <w:lvlJc w:val="left"/>
      <w:pPr>
        <w:tabs>
          <w:tab w:val="left" w:pos="420"/>
        </w:tabs>
        <w:ind w:left="420" w:hanging="420"/>
      </w:pPr>
      <w:rPr>
        <w:rFonts w:hint="default" w:ascii="Wingdings" w:hAnsi="Wingdings"/>
      </w:rPr>
    </w:lvl>
    <w:lvl w:ilvl="2" w:tentative="0">
      <w:start w:val="1"/>
      <w:numFmt w:val="bullet"/>
      <w:lvlText w:val=""/>
      <w:lvlJc w:val="left"/>
      <w:pPr>
        <w:ind w:left="840" w:hanging="420"/>
      </w:pPr>
      <w:rPr>
        <w:rFonts w:hint="default" w:ascii="Wingdings" w:hAnsi="Wingdings"/>
      </w:rPr>
    </w:lvl>
    <w:lvl w:ilvl="3" w:tentative="0">
      <w:start w:val="1"/>
      <w:numFmt w:val="bullet"/>
      <w:lvlText w:val=""/>
      <w:lvlJc w:val="left"/>
      <w:pPr>
        <w:ind w:left="1260" w:hanging="420"/>
      </w:pPr>
      <w:rPr>
        <w:rFonts w:hint="default" w:ascii="Wingdings" w:hAnsi="Wingdings"/>
      </w:rPr>
    </w:lvl>
    <w:lvl w:ilvl="4" w:tentative="0">
      <w:start w:val="1"/>
      <w:numFmt w:val="bullet"/>
      <w:lvlText w:val=""/>
      <w:lvlJc w:val="left"/>
      <w:pPr>
        <w:ind w:left="1680" w:hanging="420"/>
      </w:pPr>
      <w:rPr>
        <w:rFonts w:hint="default" w:ascii="Wingdings" w:hAnsi="Wingdings"/>
      </w:rPr>
    </w:lvl>
    <w:lvl w:ilvl="5" w:tentative="0">
      <w:start w:val="1"/>
      <w:numFmt w:val="bullet"/>
      <w:lvlText w:val=""/>
      <w:lvlJc w:val="left"/>
      <w:pPr>
        <w:ind w:left="2100" w:hanging="420"/>
      </w:pPr>
      <w:rPr>
        <w:rFonts w:hint="default" w:ascii="Wingdings" w:hAnsi="Wingdings"/>
      </w:rPr>
    </w:lvl>
    <w:lvl w:ilvl="6" w:tentative="0">
      <w:start w:val="1"/>
      <w:numFmt w:val="bullet"/>
      <w:lvlText w:val=""/>
      <w:lvlJc w:val="left"/>
      <w:pPr>
        <w:ind w:left="2520" w:hanging="420"/>
      </w:pPr>
      <w:rPr>
        <w:rFonts w:hint="default" w:ascii="Wingdings" w:hAnsi="Wingdings"/>
      </w:rPr>
    </w:lvl>
    <w:lvl w:ilvl="7" w:tentative="0">
      <w:start w:val="1"/>
      <w:numFmt w:val="bullet"/>
      <w:lvlText w:val=""/>
      <w:lvlJc w:val="left"/>
      <w:pPr>
        <w:ind w:left="2940" w:hanging="420"/>
      </w:pPr>
      <w:rPr>
        <w:rFonts w:hint="default" w:ascii="Wingdings" w:hAnsi="Wingdings"/>
      </w:rPr>
    </w:lvl>
    <w:lvl w:ilvl="8" w:tentative="0">
      <w:start w:val="1"/>
      <w:numFmt w:val="bullet"/>
      <w:lvlText w:val=""/>
      <w:lvlJc w:val="left"/>
      <w:pPr>
        <w:ind w:left="3360" w:hanging="420"/>
      </w:pPr>
      <w:rPr>
        <w:rFonts w:hint="default" w:ascii="Wingdings" w:hAnsi="Wingdings"/>
      </w:rPr>
    </w:lvl>
  </w:abstractNum>
  <w:abstractNum w:abstractNumId="1">
    <w:nsid w:val="65AE7EB0"/>
    <w:multiLevelType w:val="multilevel"/>
    <w:tmpl w:val="65AE7EB0"/>
    <w:lvl w:ilvl="0" w:tentative="0">
      <w:start w:val="1"/>
      <w:numFmt w:val="bullet"/>
      <w:lvlText w:val=""/>
      <w:lvlJc w:val="left"/>
      <w:pPr>
        <w:ind w:left="930" w:hanging="420"/>
      </w:pPr>
      <w:rPr>
        <w:rFonts w:hint="default" w:ascii="Wingdings" w:hAnsi="Wingdings"/>
      </w:rPr>
    </w:lvl>
    <w:lvl w:ilvl="1" w:tentative="0">
      <w:start w:val="1"/>
      <w:numFmt w:val="decimal"/>
      <w:lvlText w:val="%2."/>
      <w:lvlJc w:val="left"/>
      <w:pPr>
        <w:tabs>
          <w:tab w:val="left" w:pos="1440"/>
        </w:tabs>
        <w:ind w:left="1440" w:hanging="360"/>
      </w:pPr>
      <w:rPr>
        <w:rFonts w:cs="Times New Roman"/>
      </w:rPr>
    </w:lvl>
    <w:lvl w:ilvl="2" w:tentative="0">
      <w:start w:val="1"/>
      <w:numFmt w:val="decimal"/>
      <w:lvlText w:val="%3."/>
      <w:lvlJc w:val="left"/>
      <w:pPr>
        <w:tabs>
          <w:tab w:val="left" w:pos="2160"/>
        </w:tabs>
        <w:ind w:left="2160" w:hanging="36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decimal"/>
      <w:lvlText w:val="%5."/>
      <w:lvlJc w:val="left"/>
      <w:pPr>
        <w:tabs>
          <w:tab w:val="left" w:pos="3600"/>
        </w:tabs>
        <w:ind w:left="3600" w:hanging="360"/>
      </w:pPr>
      <w:rPr>
        <w:rFonts w:cs="Times New Roman"/>
      </w:rPr>
    </w:lvl>
    <w:lvl w:ilvl="5" w:tentative="0">
      <w:start w:val="1"/>
      <w:numFmt w:val="decimal"/>
      <w:lvlText w:val="%6."/>
      <w:lvlJc w:val="left"/>
      <w:pPr>
        <w:tabs>
          <w:tab w:val="left" w:pos="4320"/>
        </w:tabs>
        <w:ind w:left="4320" w:hanging="36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decimal"/>
      <w:lvlText w:val="%8."/>
      <w:lvlJc w:val="left"/>
      <w:pPr>
        <w:tabs>
          <w:tab w:val="left" w:pos="5760"/>
        </w:tabs>
        <w:ind w:left="5760" w:hanging="360"/>
      </w:pPr>
      <w:rPr>
        <w:rFonts w:cs="Times New Roman"/>
      </w:rPr>
    </w:lvl>
    <w:lvl w:ilvl="8" w:tentative="0">
      <w:start w:val="1"/>
      <w:numFmt w:val="decimal"/>
      <w:lvlText w:val="%9."/>
      <w:lvlJc w:val="left"/>
      <w:pPr>
        <w:tabs>
          <w:tab w:val="left" w:pos="6480"/>
        </w:tabs>
        <w:ind w:left="6480" w:hanging="360"/>
      </w:pPr>
      <w:rPr>
        <w:rFonts w:cs="Times New Roman"/>
      </w:rPr>
    </w:lvl>
  </w:abstractNum>
  <w:num w:numId="1">
    <w:abstractNumId w:val="1"/>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46D"/>
    <w:rsid w:val="002A7332"/>
    <w:rsid w:val="00581DDA"/>
    <w:rsid w:val="006D1908"/>
    <w:rsid w:val="007A07C6"/>
    <w:rsid w:val="009F2279"/>
    <w:rsid w:val="00A11E86"/>
    <w:rsid w:val="00A636A1"/>
    <w:rsid w:val="00A6556F"/>
    <w:rsid w:val="00B3646D"/>
    <w:rsid w:val="00D07469"/>
    <w:rsid w:val="00EA2656"/>
    <w:rsid w:val="2346416A"/>
    <w:rsid w:val="2B4679DE"/>
    <w:rsid w:val="33A3343D"/>
    <w:rsid w:val="33B15CDB"/>
    <w:rsid w:val="44F24676"/>
    <w:rsid w:val="65DA7E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qFormat/>
    <w:uiPriority w:val="99"/>
    <w:rPr>
      <w:sz w:val="18"/>
      <w:szCs w:val="18"/>
    </w:rPr>
  </w:style>
  <w:style w:type="character" w:customStyle="1" w:styleId="8">
    <w:name w:val="页脚 字符"/>
    <w:basedOn w:val="6"/>
    <w:link w:val="3"/>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912</Words>
  <Characters>928</Characters>
  <Lines>7</Lines>
  <Paragraphs>2</Paragraphs>
  <TotalTime>19</TotalTime>
  <ScaleCrop>false</ScaleCrop>
  <LinksUpToDate>false</LinksUpToDate>
  <CharactersWithSpaces>1008</CharactersWithSpaces>
  <Application>WPS Office_12.8.2.21555_F1E327BC-269C-435d-A152-05C5408002CA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2022-07-20T09:30:00Z</dcterms:created>
  <dc:creator>PC</dc:creator>
  <cp:lastModifiedBy>yjqin</cp:lastModifiedBy>
  <dcterms:modified xsi:type="dcterms:W3CDTF">2025-08-22T02:28:51Z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eyJoZGlkIjoiMzk4NGIwMTVlYjczY2M2MGVkYzUzMjIwZWIyMjUzOTYiLCJ1c2VySWQiOiI1MTQ2NTAzMTUifQ==</vt:lpwstr>
  </property>
  <property fmtid="{D5CDD505-2E9C-101B-9397-08002B2CF9AE}" pid="3" name="KSOProductBuildVer">
    <vt:lpwstr>2052-12.8.2.21555</vt:lpwstr>
  </property>
  <property fmtid="{D5CDD505-2E9C-101B-9397-08002B2CF9AE}" pid="4" name="ICV">
    <vt:lpwstr>E8AAEC9C61994DBCAC62D12DE394E0D5_13</vt:lpwstr>
  </property>
</Properties>
</file>