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EFA354">
      <w:pPr>
        <w:snapToGrid w:val="0"/>
        <w:spacing w:line="240" w:lineRule="auto"/>
        <w:jc w:val="both"/>
        <w:rPr>
          <w:rFonts w:hint="default" w:ascii="Times New Roman" w:hAnsi="Times New Roman" w:cs="Times New Roman"/>
          <w:lang w:val="en-US" w:eastAsia="zh-CN"/>
        </w:rPr>
      </w:pPr>
      <w:r>
        <w:rPr>
          <w:rFonts w:hint="eastAsia" w:ascii="黑体" w:hAnsi="黑体" w:eastAsia="黑体" w:cs="黑体"/>
          <w:sz w:val="32"/>
          <w:szCs w:val="32"/>
          <w:lang w:val="en-US" w:eastAsia="zh-CN"/>
        </w:rPr>
        <w:t>附件1</w:t>
      </w:r>
    </w:p>
    <w:p w14:paraId="60873853">
      <w:pPr>
        <w:pStyle w:val="2"/>
        <w:rPr>
          <w:rFonts w:hint="default" w:ascii="Times New Roman" w:hAnsi="Times New Roman" w:cs="Times New Roman"/>
          <w:lang w:val="en-US" w:eastAsia="zh-CN"/>
        </w:rPr>
      </w:pPr>
    </w:p>
    <w:p w14:paraId="365EAAB4">
      <w:pPr>
        <w:snapToGrid w:val="0"/>
        <w:spacing w:line="240" w:lineRule="auto"/>
        <w:jc w:val="center"/>
        <w:rPr>
          <w:rFonts w:hint="eastAsia" w:ascii="方正大标宋简体" w:hAnsi="方正大标宋简体" w:eastAsia="方正大标宋简体" w:cs="方正大标宋简体"/>
          <w:sz w:val="44"/>
          <w:szCs w:val="44"/>
          <w:lang w:val="en-US" w:eastAsia="zh-CN"/>
        </w:rPr>
      </w:pPr>
      <w:r>
        <w:rPr>
          <w:rFonts w:hint="eastAsia" w:ascii="方正大标宋简体" w:hAnsi="方正大标宋简体" w:eastAsia="方正大标宋简体" w:cs="方正大标宋简体"/>
          <w:sz w:val="44"/>
          <w:szCs w:val="44"/>
          <w:lang w:val="en-US" w:eastAsia="zh-CN"/>
        </w:rPr>
        <w:t>上海证券交易所发行上市审核规则适用指引</w:t>
      </w:r>
    </w:p>
    <w:p w14:paraId="2C51A2CC">
      <w:pPr>
        <w:snapToGrid w:val="0"/>
        <w:spacing w:line="240" w:lineRule="auto"/>
        <w:jc w:val="center"/>
        <w:rPr>
          <w:rFonts w:hint="eastAsia" w:ascii="方正大标宋简体" w:hAnsi="方正大标宋简体" w:eastAsia="方正大标宋简体" w:cs="方正大标宋简体"/>
          <w:sz w:val="44"/>
          <w:szCs w:val="44"/>
          <w:lang w:val="en-US" w:eastAsia="zh-CN"/>
        </w:rPr>
      </w:pPr>
      <w:r>
        <w:rPr>
          <w:rFonts w:hint="eastAsia" w:ascii="方正大标宋简体" w:hAnsi="方正大标宋简体" w:eastAsia="方正大标宋简体" w:cs="方正大标宋简体"/>
          <w:sz w:val="44"/>
          <w:szCs w:val="44"/>
          <w:lang w:val="en-US" w:eastAsia="zh-CN"/>
        </w:rPr>
        <w:t>第</w:t>
      </w:r>
      <w:r>
        <w:rPr>
          <w:rFonts w:hint="default" w:ascii="Times New Roman" w:hAnsi="Times New Roman" w:eastAsia="方正大标宋简体" w:cs="Times New Roman"/>
          <w:sz w:val="44"/>
          <w:szCs w:val="44"/>
          <w:lang w:val="en-US" w:eastAsia="zh-CN"/>
        </w:rPr>
        <w:t>6</w:t>
      </w:r>
      <w:r>
        <w:rPr>
          <w:rFonts w:hint="eastAsia" w:ascii="方正大标宋简体" w:hAnsi="方正大标宋简体" w:eastAsia="方正大标宋简体" w:cs="方正大标宋简体"/>
          <w:sz w:val="44"/>
          <w:szCs w:val="44"/>
          <w:lang w:val="en-US" w:eastAsia="zh-CN"/>
        </w:rPr>
        <w:t>号——轻资产、高研发投入认定标准</w:t>
      </w:r>
    </w:p>
    <w:p w14:paraId="5162EF39">
      <w:pPr>
        <w:snapToGrid w:val="0"/>
        <w:spacing w:line="240" w:lineRule="auto"/>
        <w:jc w:val="center"/>
        <w:rPr>
          <w:rFonts w:hint="eastAsia" w:ascii="方正大标宋简体" w:hAnsi="方正大标宋简体" w:eastAsia="方正大标宋简体" w:cs="方正大标宋简体"/>
          <w:sz w:val="44"/>
          <w:szCs w:val="44"/>
          <w:lang w:val="en-US" w:eastAsia="zh-CN"/>
        </w:rPr>
      </w:pPr>
      <w:r>
        <w:rPr>
          <w:rFonts w:hint="eastAsia" w:ascii="楷体_GB2312" w:hAnsi="楷体_GB2312" w:eastAsia="楷体_GB2312" w:cs="楷体_GB2312"/>
          <w:sz w:val="32"/>
          <w:szCs w:val="32"/>
          <w:lang w:val="en-US" w:eastAsia="zh-CN"/>
        </w:rPr>
        <w:t>（征求意见稿）</w:t>
      </w:r>
    </w:p>
    <w:p w14:paraId="1CB08170">
      <w:pPr>
        <w:rPr>
          <w:rFonts w:hint="default" w:ascii="Times New Roman" w:hAnsi="Times New Roman" w:eastAsia="仿宋" w:cs="Times New Roman"/>
          <w:b w:val="0"/>
          <w:bCs w:val="0"/>
          <w:sz w:val="32"/>
          <w:szCs w:val="32"/>
          <w:lang w:val="en-US" w:eastAsia="zh-CN"/>
        </w:rPr>
      </w:pPr>
    </w:p>
    <w:p w14:paraId="69384FC6">
      <w:pPr>
        <w:numPr>
          <w:ilvl w:val="0"/>
          <w:numId w:val="1"/>
        </w:numPr>
        <w:spacing w:line="600" w:lineRule="exact"/>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为了进一步提升上海证券交易所（以下简称本所）上市公司科技创新能力，鼓励企业加大研发投入，根据《上市公司证券发行注册管理办法》等有</w:t>
      </w:r>
      <w:bookmarkStart w:id="0" w:name="_GoBack"/>
      <w:bookmarkEnd w:id="0"/>
      <w:r>
        <w:rPr>
          <w:rFonts w:hint="default" w:ascii="Times New Roman" w:hAnsi="Times New Roman" w:eastAsia="仿宋_GB2312" w:cs="Times New Roman"/>
          <w:sz w:val="32"/>
          <w:szCs w:val="32"/>
          <w:lang w:val="en-US" w:eastAsia="zh-CN"/>
        </w:rPr>
        <w:t>关规定，制定本指引。</w:t>
      </w:r>
    </w:p>
    <w:p w14:paraId="344D51CB">
      <w:pPr>
        <w:numPr>
          <w:ilvl w:val="0"/>
          <w:numId w:val="1"/>
        </w:numPr>
        <w:spacing w:line="600" w:lineRule="exact"/>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具有轻资产、高研发投入特点的上市公司，发行证券募集资金用于补充流动资金和偿还债务的比例超过募集资金总额的30%的，适用本指引。</w:t>
      </w:r>
    </w:p>
    <w:p w14:paraId="32750AE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前款所称具有轻资产、高研发投入特点，是指同时具有轻资产特点和高研发投入特点。</w:t>
      </w:r>
    </w:p>
    <w:p w14:paraId="2F35C1E7">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_GB2312" w:cs="Times New Roman"/>
          <w:sz w:val="32"/>
          <w:szCs w:val="32"/>
          <w:lang w:val="en-US" w:eastAsia="zh-CN"/>
        </w:rPr>
        <w:t>上市公司最近一年末固定资产、在建工程、土地使用权、使用权资产、长期待摊费用以及其他通过资本性支出形成的实物资产合计占总资产比重不高于20%的，可以认定为具有轻资产特点。</w:t>
      </w:r>
    </w:p>
    <w:p w14:paraId="738E34FD">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科创板上市公司同时符合下列指标的，可以认定为具有高研发投入特点：</w:t>
      </w:r>
    </w:p>
    <w:p w14:paraId="6E88D12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（一）最近三年平均研发投入占营业收入比例不低于15%或者最近三年累计研发投入不低于3亿元；</w:t>
      </w:r>
    </w:p>
    <w:p w14:paraId="7B76C4B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（二）最近一年研发人员占当年员工总数的比例不低于10%。</w:t>
      </w:r>
    </w:p>
    <w:p w14:paraId="216F95F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主板上市公司符合下列指标之一的，可以认定为具有高研发投入特点：</w:t>
      </w:r>
    </w:p>
    <w:p w14:paraId="4E331A45">
      <w:pPr>
        <w:numPr>
          <w:ilvl w:val="0"/>
          <w:numId w:val="0"/>
        </w:numPr>
        <w:spacing w:line="600" w:lineRule="exact"/>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（一）最近三年平均研发投入占营业收入比例不低于15%；</w:t>
      </w:r>
    </w:p>
    <w:p w14:paraId="07C307B3">
      <w:pPr>
        <w:numPr>
          <w:ilvl w:val="0"/>
          <w:numId w:val="0"/>
        </w:numPr>
        <w:spacing w:line="600" w:lineRule="exact"/>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（二）最近三年累计研发投入不低于3亿元且最近三年平均研发投入占营业收入比例不低于5%。</w:t>
      </w:r>
    </w:p>
    <w:p w14:paraId="0495EBCF">
      <w:pPr>
        <w:numPr>
          <w:ilvl w:val="0"/>
          <w:numId w:val="1"/>
        </w:numPr>
        <w:spacing w:line="600" w:lineRule="exact"/>
        <w:ind w:firstLine="640" w:firstLineChars="200"/>
        <w:rPr>
          <w:rFonts w:hint="default" w:ascii="Times New Roman" w:hAnsi="Times New Roman" w:eastAsia="仿宋" w:cs="Times New Roman"/>
          <w:sz w:val="32"/>
          <w:szCs w:val="32"/>
          <w:lang w:val="en-US" w:eastAsia="zh-CN"/>
        </w:rPr>
      </w:pPr>
      <w:r>
        <w:rPr>
          <w:rFonts w:hint="default" w:ascii="Times New Roman" w:hAnsi="Times New Roman" w:eastAsia="仿宋_GB2312" w:cs="Times New Roman"/>
          <w:sz w:val="32"/>
          <w:szCs w:val="32"/>
          <w:lang w:val="en-US" w:eastAsia="zh-CN"/>
        </w:rPr>
        <w:t>上市公司不符合本指引第三条、第四条规定，但是本次募投项目属于符合国家重大战略支持方向，用于研发突破关键核心技术的，发行证券募集资金用于补充流动资金和偿还债务的比例可以在充分论证合理性后超过募集资金总额的30%，但超过部分原则上应当用于主营业务相关的研发投入。</w:t>
      </w:r>
    </w:p>
    <w:p w14:paraId="58C7517D">
      <w:pPr>
        <w:numPr>
          <w:ilvl w:val="0"/>
          <w:numId w:val="1"/>
        </w:numPr>
        <w:spacing w:line="600" w:lineRule="exact"/>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上市公司股票被实施退市风险警示或者其他风险警示的，发行证券募集资金用于补充流动资金和偿还债务的比例不得超过募集资金总额的30%。</w:t>
      </w:r>
    </w:p>
    <w:p w14:paraId="6BEDBAD9">
      <w:pPr>
        <w:numPr>
          <w:ilvl w:val="0"/>
          <w:numId w:val="1"/>
        </w:numPr>
        <w:spacing w:line="600" w:lineRule="exact"/>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保荐机构及申报会计师应当重点关注并核查下列事项，出具专项核查意见：</w:t>
      </w:r>
    </w:p>
    <w:p w14:paraId="3A06386B">
      <w:pPr>
        <w:numPr>
          <w:ilvl w:val="0"/>
          <w:numId w:val="0"/>
        </w:numPr>
        <w:spacing w:line="600" w:lineRule="exact"/>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（一）轻资产特点认定所涉及相关资产科目的具体确定依据及合理性，相关资产科目归集、核算是否合理准确；</w:t>
      </w:r>
    </w:p>
    <w:p w14:paraId="1AE107E7">
      <w:pPr>
        <w:numPr>
          <w:ilvl w:val="0"/>
          <w:numId w:val="0"/>
        </w:numPr>
        <w:spacing w:line="600" w:lineRule="exact"/>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（二）上市公司研发投入计算口径是否合理，研发投入的归集是否准确，研发投入相关数据来源是否可验证，研发相关内控制度是否健全且被有效执行；</w:t>
      </w:r>
    </w:p>
    <w:p w14:paraId="6302DCC3">
      <w:pPr>
        <w:numPr>
          <w:ilvl w:val="0"/>
          <w:numId w:val="0"/>
        </w:numPr>
        <w:spacing w:line="600" w:lineRule="exact"/>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（三）上市公司是否符合本指引第二条至第五条规定的标准，本次募集资金用于补充流动资金和偿还债务比例超过30%的合理性；</w:t>
      </w:r>
    </w:p>
    <w:p w14:paraId="1342A9E7">
      <w:pPr>
        <w:numPr>
          <w:ilvl w:val="0"/>
          <w:numId w:val="0"/>
        </w:numPr>
        <w:spacing w:line="600" w:lineRule="exact"/>
        <w:ind w:firstLine="640" w:firstLineChars="200"/>
        <w:rPr>
          <w:rFonts w:hint="default" w:ascii="Times New Roman" w:hAnsi="Times New Roman" w:eastAsia="仿宋_GB2312" w:cs="Times New Roman"/>
          <w:lang w:val="en-US" w:eastAsia="zh-CN"/>
        </w:rPr>
      </w:pPr>
      <w:r>
        <w:rPr>
          <w:rFonts w:hint="default" w:ascii="Times New Roman" w:hAnsi="Times New Roman" w:eastAsia="仿宋_GB2312" w:cs="Times New Roman"/>
          <w:sz w:val="32"/>
          <w:szCs w:val="32"/>
          <w:lang w:val="en-US" w:eastAsia="zh-CN"/>
        </w:rPr>
        <w:t>（四）上市公司本次募投项目研发支出的具体投向、测算依据及融资必要性，以及研发内容与主营业务的相关性。</w:t>
      </w:r>
    </w:p>
    <w:p w14:paraId="2B5B490A">
      <w:pPr>
        <w:numPr>
          <w:ilvl w:val="0"/>
          <w:numId w:val="1"/>
        </w:numPr>
        <w:spacing w:line="600" w:lineRule="exact"/>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上市公司应当在募集说明书中披露下列内容：</w:t>
      </w:r>
    </w:p>
    <w:p w14:paraId="798AF21D">
      <w:pPr>
        <w:numPr>
          <w:ilvl w:val="0"/>
          <w:numId w:val="0"/>
        </w:numPr>
        <w:spacing w:line="600" w:lineRule="exact"/>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（一）轻资产特点认定所涉及相关资产的具体构成、金额，及占总资产的比重；</w:t>
      </w:r>
    </w:p>
    <w:p w14:paraId="2CD2401B">
      <w:pPr>
        <w:numPr>
          <w:ilvl w:val="0"/>
          <w:numId w:val="0"/>
        </w:numPr>
        <w:spacing w:line="600" w:lineRule="exact"/>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（二）最近三年平均研发投入占营业收入比例及最近三年累计研发投入总额；</w:t>
      </w:r>
    </w:p>
    <w:p w14:paraId="75BCF29F">
      <w:pPr>
        <w:numPr>
          <w:ilvl w:val="0"/>
          <w:numId w:val="0"/>
        </w:numPr>
        <w:spacing w:line="600" w:lineRule="exact"/>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（三）上市公司是否符合本指引第二条至第五条规定的标准，本次募集资金用于补充流动资金和偿还债务比例超过30%的合理性；</w:t>
      </w:r>
    </w:p>
    <w:p w14:paraId="50E0C8EA">
      <w:pPr>
        <w:numPr>
          <w:ilvl w:val="0"/>
          <w:numId w:val="0"/>
        </w:numPr>
        <w:spacing w:line="600" w:lineRule="exact"/>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（四）本次募投项目研发支出的具体投向构成及测算依据、研发成果预计转化情况、研发的不确定性风险，以及研发内容与主营业务的相关性。</w:t>
      </w:r>
    </w:p>
    <w:p w14:paraId="5235B8B4">
      <w:pPr>
        <w:numPr>
          <w:ilvl w:val="0"/>
          <w:numId w:val="1"/>
        </w:numPr>
        <w:spacing w:line="600" w:lineRule="exact"/>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上市公司发行证券实施完成后，应当在年度报告和前次募集资金使用情况鉴证报告中披露下列内容：</w:t>
      </w:r>
    </w:p>
    <w:p w14:paraId="57D8AC34">
      <w:pPr>
        <w:numPr>
          <w:ilvl w:val="0"/>
          <w:numId w:val="0"/>
        </w:numPr>
        <w:spacing w:line="600" w:lineRule="exact"/>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（一）超过补充流动资金和偿还债务比例限制部分的募集资金使用情况、投入进度、结余情况、相关研发项目的推进情况；</w:t>
      </w:r>
    </w:p>
    <w:p w14:paraId="13AF4C40">
      <w:pPr>
        <w:numPr>
          <w:ilvl w:val="0"/>
          <w:numId w:val="0"/>
        </w:numPr>
        <w:spacing w:line="600" w:lineRule="exact"/>
        <w:ind w:firstLine="640" w:firstLineChars="200"/>
        <w:rPr>
          <w:rFonts w:hint="default" w:ascii="Times New Roman" w:hAnsi="Times New Roman" w:eastAsia="仿宋" w:cs="Times New Roman"/>
          <w:sz w:val="32"/>
          <w:szCs w:val="32"/>
          <w:lang w:val="en-US" w:eastAsia="zh-CN"/>
        </w:rPr>
      </w:pPr>
      <w:r>
        <w:rPr>
          <w:rFonts w:hint="default" w:ascii="Times New Roman" w:hAnsi="Times New Roman" w:eastAsia="仿宋_GB2312" w:cs="Times New Roman"/>
          <w:sz w:val="32"/>
          <w:szCs w:val="32"/>
          <w:lang w:val="en-US" w:eastAsia="zh-CN"/>
        </w:rPr>
        <w:t>（二）前次超过补充流动资金和偿还债务比例限制部分募集资金用途发生变更的情况。</w:t>
      </w:r>
    </w:p>
    <w:p w14:paraId="7F83310C">
      <w:pPr>
        <w:numPr>
          <w:ilvl w:val="0"/>
          <w:numId w:val="1"/>
        </w:numPr>
        <w:spacing w:line="600" w:lineRule="exact"/>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上市公司用于补充流动资金和偿还债务的募集资金超过募集资金30%比例的部分，后续拟变更用途的，原则上应当继续用于主营业务相关的研发投入。</w:t>
      </w:r>
    </w:p>
    <w:p w14:paraId="2436EB85">
      <w:pPr>
        <w:numPr>
          <w:ilvl w:val="0"/>
          <w:numId w:val="1"/>
        </w:numPr>
        <w:spacing w:line="600" w:lineRule="exact"/>
        <w:ind w:firstLine="640" w:firstLineChars="200"/>
        <w:rPr>
          <w:rFonts w:hint="default" w:ascii="Times New Roman" w:hAnsi="Times New Roman" w:eastAsia="仿宋" w:cs="Times New Roman"/>
          <w:sz w:val="32"/>
          <w:szCs w:val="32"/>
          <w:lang w:val="en-US" w:eastAsia="zh-CN"/>
        </w:rPr>
      </w:pPr>
      <w:r>
        <w:rPr>
          <w:rFonts w:hint="default" w:ascii="Times New Roman" w:hAnsi="Times New Roman" w:eastAsia="仿宋_GB2312" w:cs="Times New Roman"/>
          <w:sz w:val="32"/>
          <w:szCs w:val="32"/>
          <w:lang w:val="en-US" w:eastAsia="zh-CN"/>
        </w:rPr>
        <w:t>本指引由本所负责解释。</w:t>
      </w:r>
    </w:p>
    <w:p w14:paraId="5A40237C">
      <w:pPr>
        <w:numPr>
          <w:ilvl w:val="0"/>
          <w:numId w:val="1"/>
        </w:numPr>
        <w:spacing w:line="600" w:lineRule="exact"/>
        <w:ind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本指引自发布之日起施行。本所于202</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eastAsia="zh-CN"/>
        </w:rPr>
        <w:t>年</w:t>
      </w:r>
      <w:r>
        <w:rPr>
          <w:rFonts w:hint="default" w:ascii="Times New Roman" w:hAnsi="Times New Roman" w:eastAsia="仿宋_GB2312" w:cs="Times New Roman"/>
          <w:sz w:val="32"/>
          <w:szCs w:val="32"/>
          <w:lang w:val="en-US" w:eastAsia="zh-CN"/>
        </w:rPr>
        <w:t>10</w:t>
      </w:r>
      <w:r>
        <w:rPr>
          <w:rFonts w:hint="default" w:ascii="Times New Roman" w:hAnsi="Times New Roman" w:eastAsia="仿宋_GB2312" w:cs="Times New Roman"/>
          <w:sz w:val="32"/>
          <w:szCs w:val="32"/>
          <w:lang w:eastAsia="zh-CN"/>
        </w:rPr>
        <w:t>月</w:t>
      </w:r>
      <w:r>
        <w:rPr>
          <w:rFonts w:hint="default" w:ascii="Times New Roman" w:hAnsi="Times New Roman" w:eastAsia="仿宋_GB2312" w:cs="Times New Roman"/>
          <w:sz w:val="32"/>
          <w:szCs w:val="32"/>
          <w:lang w:val="en-US" w:eastAsia="zh-CN"/>
        </w:rPr>
        <w:t>11</w:t>
      </w:r>
      <w:r>
        <w:rPr>
          <w:rFonts w:hint="default" w:ascii="Times New Roman" w:hAnsi="Times New Roman" w:eastAsia="仿宋_GB2312" w:cs="Times New Roman"/>
          <w:sz w:val="32"/>
          <w:szCs w:val="32"/>
          <w:lang w:eastAsia="zh-CN"/>
        </w:rPr>
        <w:t>日发布的《上海证券交易所发行上市审核规则适用指引第</w:t>
      </w: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lang w:eastAsia="zh-CN"/>
        </w:rPr>
        <w:t>号——轻资产、高研发投入认定标准（试行）》（上证发〔202</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130号</w:t>
      </w:r>
      <w:r>
        <w:rPr>
          <w:rFonts w:hint="default" w:ascii="Times New Roman" w:hAnsi="Times New Roman" w:eastAsia="仿宋_GB2312" w:cs="Times New Roman"/>
          <w:sz w:val="32"/>
          <w:szCs w:val="32"/>
          <w:lang w:eastAsia="zh-CN"/>
        </w:rPr>
        <w:t>）同时废止。</w:t>
      </w:r>
    </w:p>
    <w:p w14:paraId="52423040">
      <w:pPr>
        <w:pStyle w:val="3"/>
        <w:rPr>
          <w:rFonts w:hint="default" w:ascii="Times New Roman" w:hAnsi="Times New Roman" w:cs="Times New Roman"/>
        </w:rPr>
      </w:pPr>
    </w:p>
    <w:p w14:paraId="6CED8723">
      <w:pPr>
        <w:rPr>
          <w:rFonts w:hint="default" w:ascii="Times New Roman" w:hAnsi="Times New Roman" w:cs="Times New Roman"/>
        </w:rPr>
      </w:pPr>
    </w:p>
    <w:sectPr>
      <w:headerReference r:id="rId3" w:type="default"/>
      <w:footerReference r:id="rId4" w:type="default"/>
      <w:pgSz w:w="11906" w:h="16838"/>
      <w:pgMar w:top="2098" w:right="1474" w:bottom="1984" w:left="1587"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仿宋_GB2312">
    <w:panose1 w:val="02010609030101010101"/>
    <w:charset w:val="86"/>
    <w:family w:val="modern"/>
    <w:pitch w:val="default"/>
    <w:sig w:usb0="00000001" w:usb1="080E0000" w:usb2="00000000" w:usb3="00000000" w:csb0="00040000" w:csb1="00000000"/>
  </w:font>
  <w:font w:name="方正大标宋简体">
    <w:panose1 w:val="02000000000000000000"/>
    <w:charset w:val="86"/>
    <w:family w:val="script"/>
    <w:pitch w:val="default"/>
    <w:sig w:usb0="A00002BF" w:usb1="184F6CFA" w:usb2="00000012" w:usb3="00000000" w:csb0="00040001" w:csb1="00000000"/>
  </w:font>
  <w:font w:name="楷体_GB2312">
    <w:panose1 w:val="02000000000000000000"/>
    <w:charset w:val="86"/>
    <w:family w:val="auto"/>
    <w:pitch w:val="default"/>
    <w:sig w:usb0="A00002BF" w:usb1="184F6CFA" w:usb2="00000012" w:usb3="00000000" w:csb0="00040001" w:csb1="00000000"/>
  </w:font>
  <w:font w:name="仿宋">
    <w:altName w:val="宋体"/>
    <w:panose1 w:val="02010609060101010101"/>
    <w:charset w:val="00"/>
    <w:family w:val="modern"/>
    <w:pitch w:val="default"/>
    <w:sig w:usb0="00000000" w:usb1="0000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45640F">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3239A0E">
                          <w:pPr>
                            <w:pStyle w:val="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3239A0E">
                    <w:pPr>
                      <w:pStyle w:val="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9277B6">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E9837C2"/>
    <w:multiLevelType w:val="multilevel"/>
    <w:tmpl w:val="5E9837C2"/>
    <w:lvl w:ilvl="0" w:tentative="0">
      <w:start w:val="1"/>
      <w:numFmt w:val="chineseCountingThousand"/>
      <w:lvlText w:val="第%1条"/>
      <w:lvlJc w:val="left"/>
      <w:pPr>
        <w:ind w:left="0" w:firstLine="397"/>
      </w:pPr>
      <w:rPr>
        <w:rFonts w:hint="eastAsia" w:ascii="黑体" w:hAnsi="黑体" w:eastAsia="黑体" w:cs="黑体"/>
        <w:b w:val="0"/>
        <w:bCs/>
        <w:lang w:val="en-US"/>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BC78A9F"/>
    <w:rsid w:val="1FA9B8D0"/>
    <w:rsid w:val="3B6F61D0"/>
    <w:rsid w:val="5B770E05"/>
    <w:rsid w:val="5BC78A9F"/>
    <w:rsid w:val="65FF30F0"/>
    <w:rsid w:val="6A67CDCF"/>
    <w:rsid w:val="730F9E37"/>
    <w:rsid w:val="73BE051A"/>
    <w:rsid w:val="73F05BED"/>
    <w:rsid w:val="73FD95A5"/>
    <w:rsid w:val="7FF8C9D8"/>
    <w:rsid w:val="A69F703A"/>
    <w:rsid w:val="BFFD6408"/>
    <w:rsid w:val="DFBFB903"/>
    <w:rsid w:val="EBFD218E"/>
    <w:rsid w:val="EEBF17BA"/>
    <w:rsid w:val="F21D078A"/>
    <w:rsid w:val="FEFF62C6"/>
    <w:rsid w:val="FF7C186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rPr>
      <w:kern w:val="0"/>
      <w:sz w:val="20"/>
    </w:rPr>
  </w:style>
  <w:style w:type="paragraph" w:styleId="3">
    <w:name w:val="Plain Text"/>
    <w:basedOn w:val="1"/>
    <w:next w:val="1"/>
    <w:unhideWhenUsed/>
    <w:qFormat/>
    <w:uiPriority w:val="99"/>
    <w:rPr>
      <w:rFonts w:ascii="宋体" w:hAnsi="Courier New"/>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4</Pages>
  <Words>1446</Words>
  <Characters>1478</Characters>
  <Lines>0</Lines>
  <Paragraphs>0</Paragraphs>
  <TotalTime>37</TotalTime>
  <ScaleCrop>false</ScaleCrop>
  <LinksUpToDate>false</LinksUpToDate>
  <CharactersWithSpaces>1478</CharactersWithSpaces>
  <Application>WPS Office_12.8.2.19313_F1E327BC-269C-435d-A152-05C5408002CA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2026-02-05T18:07:00Z</dcterms:created>
  <dc:creator>sse</dc:creator>
  <cp:lastModifiedBy>whxu</cp:lastModifiedBy>
  <cp:lastPrinted>2026-02-06T01:51:00Z</cp:lastPrinted>
  <dcterms:modified xsi:type="dcterms:W3CDTF">2026-02-09T17:05:45Z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2052-12.8.2.19313</vt:lpwstr>
  </property>
  <property fmtid="{D5CDD505-2E9C-101B-9397-08002B2CF9AE}" pid="3" name="ICV">
    <vt:lpwstr>EFD55F5D31ACD94C468A8569F56DC411_43</vt:lpwstr>
  </property>
</Properties>
</file>